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B1335" w14:textId="77777777" w:rsidR="00FE4077" w:rsidRDefault="00FE4077" w:rsidP="00FE4077">
      <w:pPr>
        <w:pStyle w:val="Heading1"/>
      </w:pPr>
      <w:r>
        <w:t>How do older people with sight loss manage their general health? A Qualitative Study</w:t>
      </w:r>
    </w:p>
    <w:p w14:paraId="408B1336" w14:textId="77777777" w:rsidR="00855802" w:rsidRPr="00FE4077" w:rsidRDefault="00FE4077" w:rsidP="00FE4077">
      <w:pPr>
        <w:pStyle w:val="Heading1"/>
      </w:pPr>
      <w:r w:rsidRPr="00FE4077">
        <w:t xml:space="preserve">Abstract </w:t>
      </w:r>
    </w:p>
    <w:p w14:paraId="408B1337" w14:textId="77777777" w:rsidR="00FE4077" w:rsidRPr="00FE4077" w:rsidRDefault="00FE4077" w:rsidP="00FE4077">
      <w:pPr>
        <w:rPr>
          <w:shd w:val="clear" w:color="auto" w:fill="FFFFFF"/>
        </w:rPr>
      </w:pPr>
      <w:r w:rsidRPr="00FE4077">
        <w:rPr>
          <w:i/>
        </w:rPr>
        <w:t>Purpose</w:t>
      </w:r>
      <w:r w:rsidRPr="00FE4077">
        <w:t xml:space="preserve">: Older people with sight loss experience a number of barriers to managing their health. The purpose of this qualitative study was to explore how older people with </w:t>
      </w:r>
      <w:r w:rsidRPr="00FE4077">
        <w:rPr>
          <w:shd w:val="clear" w:color="auto" w:fill="FFFFFF"/>
        </w:rPr>
        <w:t xml:space="preserve">sight loss manage their general health and explore the techniques used and strategies employed for health management. </w:t>
      </w:r>
      <w:r w:rsidRPr="00FE4077">
        <w:rPr>
          <w:i/>
          <w:shd w:val="clear" w:color="auto" w:fill="FFFFFF"/>
        </w:rPr>
        <w:t>Method</w:t>
      </w:r>
      <w:r w:rsidR="001E4E61">
        <w:rPr>
          <w:i/>
          <w:shd w:val="clear" w:color="auto" w:fill="FFFFFF"/>
        </w:rPr>
        <w:t>s</w:t>
      </w:r>
      <w:r w:rsidRPr="00FE4077">
        <w:rPr>
          <w:shd w:val="clear" w:color="auto" w:fill="FFFFFF"/>
        </w:rPr>
        <w:t xml:space="preserve">: Semi-structured face-to-face interviews were conducted with 30 participants. Interviews were audio-recorded, transcribed verbatim and analysed using thematic analysis. </w:t>
      </w:r>
      <w:r w:rsidRPr="00FE4077">
        <w:rPr>
          <w:i/>
          <w:shd w:val="clear" w:color="auto" w:fill="FFFFFF"/>
        </w:rPr>
        <w:t>Results</w:t>
      </w:r>
      <w:r w:rsidRPr="00FE4077">
        <w:rPr>
          <w:shd w:val="clear" w:color="auto" w:fill="FFFFFF"/>
        </w:rPr>
        <w:t xml:space="preserve">: Health management challenges experienced included: managing multiple health conditions; accessing information; engaging in health behaviours; and maintaining wellbeing.  Positive strategies included: joining support groups, clubs and societies; using low vision aids; seeking support from family and friends; and accessing support through health and social care services. </w:t>
      </w:r>
      <w:r w:rsidRPr="00FE4077">
        <w:rPr>
          <w:i/>
          <w:shd w:val="clear" w:color="auto" w:fill="FFFFFF"/>
        </w:rPr>
        <w:t>Conclusions</w:t>
      </w:r>
      <w:r w:rsidRPr="00FE4077">
        <w:rPr>
          <w:shd w:val="clear" w:color="auto" w:fill="FFFFFF"/>
        </w:rPr>
        <w:t xml:space="preserve">: Healthcare professionals need to be more aware of the challenges faced by older people with sight loss. Improved promotion of group support and charity services which are best placed to share information, provide fora to learn about coping techniques and strategies, and give older people social support to prevent isolation is needed. </w:t>
      </w:r>
      <w:r>
        <w:rPr>
          <w:shd w:val="clear" w:color="auto" w:fill="FFFFFF"/>
        </w:rPr>
        <w:t>Rehabilitation and support s</w:t>
      </w:r>
      <w:r w:rsidRPr="00FE4077">
        <w:rPr>
          <w:shd w:val="clear" w:color="auto" w:fill="FFFFFF"/>
        </w:rPr>
        <w:t>ervices and equipment can only be beneficial if patients know what is available and how to access them</w:t>
      </w:r>
      <w:r>
        <w:rPr>
          <w:shd w:val="clear" w:color="auto" w:fill="FFFFFF"/>
        </w:rPr>
        <w:t>. O</w:t>
      </w:r>
      <w:r w:rsidRPr="00FE4077">
        <w:rPr>
          <w:shd w:val="clear" w:color="auto" w:fill="FFFFFF"/>
        </w:rPr>
        <w:t>ver reliance on self-advocacy in current healthcare systems is not conducive to patient-centred care.</w:t>
      </w:r>
    </w:p>
    <w:p w14:paraId="408B1338" w14:textId="5B2BFE5B" w:rsidR="00FE4077" w:rsidRDefault="00C947AE" w:rsidP="00FE4077">
      <w:r>
        <w:t>Key words: Vision Impairment, Healthcare, Health Management, Older People</w:t>
      </w:r>
      <w:bookmarkStart w:id="0" w:name="_GoBack"/>
      <w:bookmarkEnd w:id="0"/>
    </w:p>
    <w:p w14:paraId="408B1339" w14:textId="77777777" w:rsidR="00FE4077" w:rsidRDefault="00FE4077" w:rsidP="00FE4077">
      <w:r w:rsidRPr="00FE4077">
        <w:rPr>
          <w:rStyle w:val="Heading1Char"/>
        </w:rPr>
        <w:t>Implications for rehabilitation</w:t>
      </w:r>
      <w:r>
        <w:t xml:space="preserve"> </w:t>
      </w:r>
    </w:p>
    <w:p w14:paraId="0910047B" w14:textId="77777777" w:rsidR="00183C30" w:rsidRDefault="00183C30" w:rsidP="00183C30">
      <w:pPr>
        <w:pStyle w:val="ListParagraph"/>
        <w:numPr>
          <w:ilvl w:val="0"/>
          <w:numId w:val="1"/>
        </w:numPr>
      </w:pPr>
      <w:r w:rsidRPr="00C91EFE">
        <w:t xml:space="preserve">Sight loss in older people and can impact on </w:t>
      </w:r>
      <w:r>
        <w:t>many</w:t>
      </w:r>
      <w:r w:rsidRPr="00C91EFE">
        <w:t xml:space="preserve"> factors including health management.</w:t>
      </w:r>
      <w:r>
        <w:t xml:space="preserve"> </w:t>
      </w:r>
      <w:r w:rsidRPr="00C91EFE">
        <w:t xml:space="preserve">This study identifies </w:t>
      </w:r>
      <w:r>
        <w:t>challenges to health management and highlights strategies</w:t>
      </w:r>
      <w:r w:rsidRPr="00C91EFE">
        <w:t xml:space="preserve"> </w:t>
      </w:r>
      <w:r>
        <w:t>used by older people with sight loss to manage their health</w:t>
      </w:r>
      <w:r w:rsidRPr="00C91EFE">
        <w:t>.</w:t>
      </w:r>
    </w:p>
    <w:p w14:paraId="468896FC" w14:textId="77777777" w:rsidR="00183C30" w:rsidRDefault="00183C30" w:rsidP="00183C30">
      <w:pPr>
        <w:pStyle w:val="ListParagraph"/>
        <w:numPr>
          <w:ilvl w:val="0"/>
          <w:numId w:val="1"/>
        </w:numPr>
      </w:pPr>
      <w:r>
        <w:t>Access to support often relies on patients seeking information for themselves. However self-advocacy is challenging due to information accessibility barriers.</w:t>
      </w:r>
    </w:p>
    <w:p w14:paraId="01151326" w14:textId="77777777" w:rsidR="00183C30" w:rsidRDefault="00183C30" w:rsidP="00183C30">
      <w:pPr>
        <w:pStyle w:val="ListParagraph"/>
        <w:numPr>
          <w:ilvl w:val="0"/>
          <w:numId w:val="1"/>
        </w:numPr>
      </w:pPr>
      <w:r>
        <w:t>Informal groups and charities play an important role in educating patients about their condition and advising on available support to facilitate health management.</w:t>
      </w:r>
    </w:p>
    <w:p w14:paraId="408B133D" w14:textId="77777777" w:rsidR="00FE4077" w:rsidRDefault="00FE4077" w:rsidP="00FE4077">
      <w:pPr>
        <w:pStyle w:val="Heading1"/>
      </w:pPr>
      <w:r>
        <w:lastRenderedPageBreak/>
        <w:t>Introduction</w:t>
      </w:r>
    </w:p>
    <w:p w14:paraId="408B133E" w14:textId="77777777" w:rsidR="00FE4077" w:rsidRDefault="00FE4077" w:rsidP="00FE4077">
      <w:pPr>
        <w:pStyle w:val="Body"/>
      </w:pPr>
      <w:r>
        <w:t xml:space="preserve">Sight loss is one of the most common disabling conditions in the ageing population and evidence suggests impairment can impact on the day-to-day life of older people regardless of its level of severity </w:t>
      </w:r>
      <w:r w:rsidR="001631B7">
        <w:fldChar w:fldCharType="begin" w:fldLock="1"/>
      </w:r>
      <w:r w:rsidR="00A72FA5">
        <w:instrText>ADDIN CSL_CITATION { "citationItems" : [ { "id" : "ITEM-1", "itemData" : { "abstract" : "AIMS: To describe the impact of age related macular degeneration (AMD) on quality of life and explore the association with vision, health, and demographic variables. METHODS: Adult participants diagnosed with AMD and with impaired vision (visual acuity &lt;6/12) were assessed with the Impact of Vision Impairment (IVI) questionnaire. Participants rated the extent that vision restricted participation in activities affecting quality of life and completed the Short Form General Health Survey (SF-12) and a sociodemographic questionnaire. RESULTS: The mean age of the 106 participants (66% female) was 83.6 years (range 64-98). One quarter had mild vision impairment, (VA&lt;6/12-6/18) and 75% had moderate or severely impaired vision. Participants reported from at least \"a little\" concern on 23 of the 32 IVI items including reading, emotional health, mobility, and participation in relevant activities. Those with mild and moderate vision impairment were similarly affected but significantly different from those with severe vision loss (p&lt;0.05). Distance vision was associated with IVI scores but not age, sex, or duration of vision loss. CONCLUSION: AMD affects many quality of life related activities and not just those related to reading. Referral to low vision care services should be considered for people with mild vision loss and worse.", "author" : [ { "dropping-particle" : "", "family" : "Hassell", "given" : "J B", "non-dropping-particle" : "", "parse-names" : false, "suffix" : "" }, { "dropping-particle" : "", "family" : "Lamoureux", "given" : "E L", "non-dropping-particle" : "", "parse-names" : false, "suffix" : "" }, { "dropping-particle" : "", "family" : "Keeffe", "given" : "J E", "non-dropping-particle" : "", "parse-names" : false, "suffix" : "" } ], "container-title" : "The British journal of ophthalmology", "id" : "ITEM-1", "issue" : "5", "issued" : { "date-parts" : [ [ "2006" ] ] }, "page" : "593-596", "title" : "Impact of age related macular degeneration on quality of life.", "type" : "article-journal", "volume" : "90" }, "uris" : [ "http://www.mendeley.com/documents/?uuid=12e95851-9ef0-4b6b-9edf-44513322e758" ] } ], "mendeley" : { "formattedCitation" : "&lt;sup&gt;1&lt;/sup&gt;", "plainTextFormattedCitation" : "1", "previouslyFormattedCitation" : "&lt;sup&gt;1&lt;/sup&gt;" }, "properties" : { "noteIndex" : 0 }, "schema" : "https://github.com/citation-style-language/schema/raw/master/csl-citation.json" }</w:instrText>
      </w:r>
      <w:r w:rsidR="001631B7">
        <w:fldChar w:fldCharType="separate"/>
      </w:r>
      <w:r w:rsidR="00A72FA5" w:rsidRPr="00A72FA5">
        <w:rPr>
          <w:noProof/>
          <w:vertAlign w:val="superscript"/>
        </w:rPr>
        <w:t>1</w:t>
      </w:r>
      <w:r w:rsidR="001631B7">
        <w:fldChar w:fldCharType="end"/>
      </w:r>
      <w:r>
        <w:t xml:space="preserve">. Older people with sight loss have reported problems with many different aspects of life: mobility and transport,  reading and writing, leisure activities, household tasks, personal care, pain and discomfort </w:t>
      </w:r>
      <w:r w:rsidR="001631B7">
        <w:fldChar w:fldCharType="begin" w:fldLock="1"/>
      </w:r>
      <w:r w:rsidR="00A72FA5">
        <w:instrText>ADDIN CSL_CITATION { "citationItems" : [ { "id" : "ITEM-1", "itemData" : { "abstract" : "Objective: To explore the needs of individuals with low vision in order to inform the contents of a low vision self-management (SM) program and determine potential barriers to participation. Methods: Semi-structured interviews were conducted with 48 participants with low vision resulting different from eye conditions. Qualitative analysis was conducted in order to identify major themes. Results: All participants described a range of consequences as a result of vision loss including difficulties with functional activities, social interaction and emotional distress. Less than half were interested in attending a SM program. Barriers included practical reasons as well as a perceived lack of need and unclear or negative perceptions of such a program. Conclusion: SM programs for low vision are a promising way to help address the range of difficulties experienced by this population if barriers to participation can be overcome. Practice implications: SM programs should include vision-specific strategies, training in generic problem-solving and goal setting skills and how to cope with emotional reactions to vision impairment. Programs should be delivered and promoted in such a way to enhance access and encourage uptake by those with a range of vision loss in the community. ?? 2007 Elsevier Ireland Ltd. All rights reserved.", "author" : [ { "dropping-particle" : "", "family" : "Rees", "given" : "G.", "non-dropping-particle" : "", "parse-names" : false, "suffix" : "" }, { "dropping-particle" : "", "family" : "Saw", "given" : "C. L.", "non-dropping-particle" : "", "parse-names" : false, "suffix" : "" }, { "dropping-particle" : "", "family" : "Lamoureux", "given" : "E. L.", "non-dropping-particle" : "", "parse-names" : false, "suffix" : "" }, { "dropping-particle" : "", "family" : "Keeffe", "given" : "J. E.", "non-dropping-particle" : "", "parse-names" : false, "suffix" : "" } ], "container-title" : "Patient Education and Counseling", "id" : "ITEM-1", "issue" : "1-3", "issued" : { "date-parts" : [ [ "2007" ] ] }, "page" : "39-46", "title" : "Self-management programs for adults with low vision: Needs and challenges", "type" : "article-journal", "volume" : "69" }, "uris" : [ "http://www.mendeley.com/documents/?uuid=43d26fce-8c08-4e54-bc9c-1bf73fd9990b" ] } ], "mendeley" : { "formattedCitation" : "&lt;sup&gt;2&lt;/sup&gt;", "plainTextFormattedCitation" : "2", "previouslyFormattedCitation" : "&lt;sup&gt;2&lt;/sup&gt;" }, "properties" : { "noteIndex" : 0 }, "schema" : "https://github.com/citation-style-language/schema/raw/master/csl-citation.json" }</w:instrText>
      </w:r>
      <w:r w:rsidR="001631B7">
        <w:fldChar w:fldCharType="separate"/>
      </w:r>
      <w:r w:rsidR="00A72FA5" w:rsidRPr="00A72FA5">
        <w:rPr>
          <w:noProof/>
          <w:vertAlign w:val="superscript"/>
        </w:rPr>
        <w:t>2</w:t>
      </w:r>
      <w:r w:rsidR="001631B7">
        <w:fldChar w:fldCharType="end"/>
      </w:r>
      <w:r w:rsidR="00822E63">
        <w:t xml:space="preserve">, </w:t>
      </w:r>
      <w:r>
        <w:t xml:space="preserve">negative emotions </w:t>
      </w:r>
      <w:r w:rsidR="001631B7">
        <w:fldChar w:fldCharType="begin" w:fldLock="1"/>
      </w:r>
      <w:r w:rsidR="00A72FA5">
        <w:instrText>ADDIN CSL_CITATION { "citationItems" : [ { "id" : "ITEM-1", "itemData" : { "abstract" : "Although more therapists are responding to the increasing need for visual rehabilitation services for older adults, little is reported in the literature about the emotional experience of vision loss, especially in the words of persons with low vision themselves. This paper reports findings from a qualitative inquiry involving focus groups and in-depth interviews with 15 older adults using or considering using low vision assistive devices (Copolillo &amp; Teitelman, 2005). Although the study's original intent was to focus primarily on decisions about LVAD use, psychological and social implications of vision loss emerged spontaneously as a dominant area of concern for participants. From an analysis of 154 codes derived from transcripted data, three themes related to psychosocial experience were generated: (a) Emotional Challenges, (b) Negative Emotional Outcomes, and (c) Indicators of Emotional Adaptation. In this article, individual components of the themes are described using illustrative quotes, and potential practice implications for therapists are presented.", "author" : [ { "dropping-particle" : "", "family" : "Teitelman", "given" : "Jodi", "non-dropping-particle" : "", "parse-names" : false, "suffix" : "" }, { "dropping-particle" : "", "family" : "Copolillo", "given" : "Al", "non-dropping-particle" : "", "parse-names" : false, "suffix" : "" } ], "container-title" : "American Journal of Occupational Therapy", "id" : "ITEM-1", "issue" : "4", "issued" : { "date-parts" : [ [ "2005" ] ] }, "page" : "409-417", "title" : "Psychosocial issues in older adults' adjustment to vision loss: Findings from qualitative interviews and focus groups", "type" : "article-journal", "volume" : "59" }, "uris" : [ "http://www.mendeley.com/documents/?uuid=59139176-98e3-4255-a615-61eac5d7b935" ] } ], "mendeley" : { "formattedCitation" : "&lt;sup&gt;3&lt;/sup&gt;", "plainTextFormattedCitation" : "3", "previouslyFormattedCitation" : "&lt;sup&gt;3&lt;/sup&gt;" }, "properties" : { "noteIndex" : 0 }, "schema" : "https://github.com/citation-style-language/schema/raw/master/csl-citation.json" }</w:instrText>
      </w:r>
      <w:r w:rsidR="001631B7">
        <w:fldChar w:fldCharType="separate"/>
      </w:r>
      <w:r w:rsidR="00A72FA5" w:rsidRPr="00A72FA5">
        <w:rPr>
          <w:noProof/>
          <w:vertAlign w:val="superscript"/>
        </w:rPr>
        <w:t>3</w:t>
      </w:r>
      <w:r w:rsidR="001631B7">
        <w:fldChar w:fldCharType="end"/>
      </w:r>
      <w:r w:rsidR="00AE1ECE">
        <w:t xml:space="preserve"> </w:t>
      </w:r>
      <w:r>
        <w:t>and maintaining social interactions</w:t>
      </w:r>
      <w:r w:rsidR="00AE1ECE">
        <w:t xml:space="preserve"> </w:t>
      </w:r>
      <w:r w:rsidR="001631B7">
        <w:fldChar w:fldCharType="begin" w:fldLock="1"/>
      </w:r>
      <w:r w:rsidR="00A72FA5">
        <w:instrText>ADDIN CSL_CITATION { "citationItems" : [ { "id" : "ITEM-1", "itemData" : { "DOI" : "10.1017/S0144686X03001491", "ISBN" : "0144-686X", "ISSN" : "0144-686X", "abstract" : "Sensory loss (visual and/or hearing loss) is prevalent in older adults. Decreased vision and/or hearing acuity often result in poor communication and psychosocial functioning. This qualitative study explores the communication and psychosocial perceptions of a group of older adults with single or dual sensory loss. The aims were to identify the communication difficulties and conversational strategies used by the subjects, and to explore their perceptions of their social adjustment, quality of life and physical and mental well-being. The participants were all older adults with sensory loss who attended the Vision Australia Foundation. In-depth interviews revealed that the participants experienced frequent communication difficulties. They identified the personal, situational and environmental triggers responsible for communication breakdown, and they described the compensation and avoidance strategies that they used. The participants acknowledged that frequent communication breakdown resulted in decreased socialisation. The problems of adjusting to sensory loss, depression, anxiety, lethargy and social dissatisfaction were cited as factors that affected their physical and mental wellbeing, while being optimistic, coping with their sensory loss, and maintaining social contact contributed to an improved quality of life. All participants expressed interest in being involved in further communication intervention programmes.", "author" : [ { "dropping-particle" : "", "family" : "Heine", "given" : "Chyrisse", "non-dropping-particle" : "", "parse-names" : false, "suffix" : "" }, { "dropping-particle" : "", "family" : "Browning", "given" : "Colette J.", "non-dropping-particle" : "", "parse-names" : false, "suffix" : "" } ], "container-title" : "Ageing and Society", "id" : "ITEM-1", "issue" : "1", "issued" : { "date-parts" : [ [ "2004" ] ] }, "page" : "113-130", "title" : "The communication and psychosocial perceptions of older adults with sensory loss: a qualitative study", "type" : "article", "volume" : "24" }, "uris" : [ "http://www.mendeley.com/documents/?uuid=dbb25f4e-18d6-4ec3-9010-4991dbdd1859" ] } ], "mendeley" : { "formattedCitation" : "&lt;sup&gt;4&lt;/sup&gt;", "plainTextFormattedCitation" : "4", "previouslyFormattedCitation" : "&lt;sup&gt;4&lt;/sup&gt;" }, "properties" : { "noteIndex" : 0 }, "schema" : "https://github.com/citation-style-language/schema/raw/master/csl-citation.json" }</w:instrText>
      </w:r>
      <w:r w:rsidR="001631B7">
        <w:fldChar w:fldCharType="separate"/>
      </w:r>
      <w:r w:rsidR="00A72FA5" w:rsidRPr="00A72FA5">
        <w:rPr>
          <w:noProof/>
          <w:vertAlign w:val="superscript"/>
        </w:rPr>
        <w:t>4</w:t>
      </w:r>
      <w:r w:rsidR="001631B7">
        <w:fldChar w:fldCharType="end"/>
      </w:r>
      <w:r>
        <w:t xml:space="preserve">.  In addition, higher levels of vision impairment are associated with poorer general health </w:t>
      </w:r>
      <w:r w:rsidR="001631B7">
        <w:fldChar w:fldCharType="begin" w:fldLock="1"/>
      </w:r>
      <w:r w:rsidR="00A72FA5">
        <w:instrText>ADDIN CSL_CITATION { "citationItems" : [ { "id" : "ITEM-1", "itemData" : { "abstract" : "One key challenge to those charged with tackling the social exclusion of visually impaired people is having information about the extent to which visual impairment is related to the ability to enjoy and participate in various aspects of life. Using data from the English Longitudinal Study of Ageing (ELSA), this article considers how self-reported visual impairment is related to older people's physical health and cognitive abilities, their economic and housing conditions, their social engagement, as well as their emotional well-being and life-satisfaction. We find self-reported poor vision to be associated with multiple disadvantages in those outcome measures. Further research is needed to establish causal links between visual impairment and the various health, economic, social and emotional well-being experiences documented in this article. Nevertheless, secondary data analysis of ELSA offers a useful and cost-effective research approach.", "author" : [ { "dropping-particle" : "", "family" : "Zimdars", "given" : "A.", "non-dropping-particle" : "", "parse-names" : false, "suffix" : "" }, { "dropping-particle" : "", "family" : "Nazroo", "given" : "J.", "non-dropping-particle" : "", "parse-names" : false, "suffix" : "" }, { "dropping-particle" : "", "family" : "Gjonca", "given" : "E.", "non-dropping-particle" : "", "parse-names" : false, "suffix" : "" } ], "container-title" : "British Journal of Visual Impairment", "id" : "ITEM-1", "issue" : "1", "issued" : { "date-parts" : [ [ "2012" ] ] }, "page" : "22-30", "title" : "The circumstances of older people in England with self-reported visual impairment: A secondary analysis of the English Longitudinal Study of Ageing (ELSA)", "type" : "article", "volume" : "30" }, "uris" : [ "http://www.mendeley.com/documents/?uuid=08ae4a30-2a7d-4373-8644-82a388e331e8" ] } ], "mendeley" : { "formattedCitation" : "&lt;sup&gt;5&lt;/sup&gt;", "plainTextFormattedCitation" : "5", "previouslyFormattedCitation" : "&lt;sup&gt;5&lt;/sup&gt;" }, "properties" : { "noteIndex" : 0 }, "schema" : "https://github.com/citation-style-language/schema/raw/master/csl-citation.json" }</w:instrText>
      </w:r>
      <w:r w:rsidR="001631B7">
        <w:fldChar w:fldCharType="separate"/>
      </w:r>
      <w:r w:rsidR="00A72FA5" w:rsidRPr="00A72FA5">
        <w:rPr>
          <w:noProof/>
          <w:vertAlign w:val="superscript"/>
        </w:rPr>
        <w:t>5</w:t>
      </w:r>
      <w:r w:rsidR="001631B7">
        <w:fldChar w:fldCharType="end"/>
      </w:r>
      <w:r w:rsidR="00AE1ECE">
        <w:t xml:space="preserve"> </w:t>
      </w:r>
      <w:r w:rsidR="00855802">
        <w:t xml:space="preserve">and psychosocial </w:t>
      </w:r>
      <w:r w:rsidR="00855802" w:rsidRPr="00822E63">
        <w:t xml:space="preserve">wellbeing </w:t>
      </w:r>
      <w:r w:rsidR="001631B7" w:rsidRPr="00822E63">
        <w:fldChar w:fldCharType="begin" w:fldLock="1"/>
      </w:r>
      <w:r w:rsidR="00A72FA5">
        <w:instrText>ADDIN CSL_CITATION { "citationItems" : [ { "id" : "ITEM-1", "itemData" : { "DOI" : "10.3109/09638288.2011.626487", "ISBN" : "1464-5165", "ISSN" : "0963-8288", "PMID" : "22066708", "abstract" : "Purpose: To review perceived emotional well-being in older people with visual impairment and perceived factors that inhibit/facilitate psychosocial adjustment to vision loss. Method: The databases of MEDLINE, EMBASE, PsycINFO and CINAHL were searched for studies published from January 1980 to December 2010, which recruited older people with irreversible vision loss, and used qualitative methods for both data collection and analysis. Results sections of the papers were synthesised using a thematic-style analysis to identify the emergent and dominant themes. Results: Seventeen qualitative papers were included in the review, and five main themes emerged from the synthesis: 1) the trauma of an ophthalmic diagnosis, 2) impact of vision loss on daily life, 3) negative impact of visual impairment on psychosocial well-being, 4) factors that inhibit social well-being, and 5) factors that facilitate psychological well-being. We found the response shift model useful for explaining our synthesis. Conclusions: Acquired visual impairment can have a significant impact on older people's well-being and make psychosocial adjustment to the condition a major challenge. Acceptance of the condition and a positive attitude facilitate successful psychosocial adjustment to vision loss as well as social support from family, friends and peers who have successfully adjusted to the condition. [Box: see text].", "author" : [ { "dropping-particle" : "", "family" : "Nyman", "given" : "Samuel Robert", "non-dropping-particle" : "", "parse-names" : false, "suffix" : "" }, { "dropping-particle" : "", "family" : "Dibb", "given" : "Bridget", "non-dropping-particle" : "", "parse-names" : false, "suffix" : "" }, { "dropping-particle" : "", "family" : "Victor", "given" : "Christina Rita", "non-dropping-particle" : "", "parse-names" : false, "suffix" : "" }, { "dropping-particle" : "", "family" : "Gosney", "given" : "Margot", "non-dropping-particle" : "", "parse-names" : false, "suffix" : "" } ], "id" : "ITEM-1", "issue" : "September 2011", "issued" : { "date-parts" : [ [ "2012" ] ] }, "page" : "971-981", "title" : "Emotional well-being and adjustment to vision loss in later life: a meta-synthesis of qualitative studies.", "type" : "article-journal", "volume" : "34" }, "uris" : [ "http://www.mendeley.com/documents/?uuid=0efcc62c-d673-403c-b625-012132440deb" ] } ], "mendeley" : { "formattedCitation" : "&lt;sup&gt;6&lt;/sup&gt;", "plainTextFormattedCitation" : "6", "previouslyFormattedCitation" : "&lt;sup&gt;6&lt;/sup&gt;" }, "properties" : { "noteIndex" : 0 }, "schema" : "https://github.com/citation-style-language/schema/raw/master/csl-citation.json" }</w:instrText>
      </w:r>
      <w:r w:rsidR="001631B7" w:rsidRPr="00822E63">
        <w:fldChar w:fldCharType="separate"/>
      </w:r>
      <w:r w:rsidR="00A72FA5" w:rsidRPr="00A72FA5">
        <w:rPr>
          <w:noProof/>
          <w:vertAlign w:val="superscript"/>
        </w:rPr>
        <w:t>6</w:t>
      </w:r>
      <w:r w:rsidR="001631B7" w:rsidRPr="00822E63">
        <w:fldChar w:fldCharType="end"/>
      </w:r>
      <w:r w:rsidR="00822E63" w:rsidRPr="00822E63">
        <w:t>.</w:t>
      </w:r>
      <w:r w:rsidR="00822E63">
        <w:t xml:space="preserve"> </w:t>
      </w:r>
    </w:p>
    <w:p w14:paraId="408B133F" w14:textId="14ED3473" w:rsidR="00FE4077" w:rsidRDefault="008F736D" w:rsidP="00FE4077">
      <w:pPr>
        <w:pStyle w:val="Body"/>
      </w:pPr>
      <w:r w:rsidRPr="008F736D">
        <w:rPr>
          <w:highlight w:val="yellow"/>
        </w:rPr>
        <w:t>L</w:t>
      </w:r>
      <w:r w:rsidR="00FE4077" w:rsidRPr="008F736D">
        <w:rPr>
          <w:highlight w:val="yellow"/>
        </w:rPr>
        <w:t>iterature concerning the management of health in people with sight loss has</w:t>
      </w:r>
      <w:r w:rsidRPr="008F736D">
        <w:rPr>
          <w:highlight w:val="yellow"/>
        </w:rPr>
        <w:t xml:space="preserve"> mainly</w:t>
      </w:r>
      <w:r w:rsidR="00FE4077" w:rsidRPr="008F736D">
        <w:rPr>
          <w:highlight w:val="yellow"/>
        </w:rPr>
        <w:t xml:space="preserve"> focused on </w:t>
      </w:r>
      <w:r w:rsidR="00AE31D6" w:rsidRPr="008F736D">
        <w:rPr>
          <w:highlight w:val="yellow"/>
        </w:rPr>
        <w:t xml:space="preserve">poor </w:t>
      </w:r>
      <w:r w:rsidR="00FE4077" w:rsidRPr="008F736D">
        <w:rPr>
          <w:highlight w:val="yellow"/>
        </w:rPr>
        <w:t>compliance with eyedrop medication</w:t>
      </w:r>
      <w:r w:rsidRPr="008F736D">
        <w:rPr>
          <w:highlight w:val="yellow"/>
        </w:rPr>
        <w:t xml:space="preserve"> in patients with Glaucoma</w:t>
      </w:r>
      <w:r w:rsidR="00FE4077" w:rsidRPr="008F736D">
        <w:rPr>
          <w:highlight w:val="yellow"/>
        </w:rPr>
        <w:t>.</w:t>
      </w:r>
      <w:r w:rsidR="00FE4077">
        <w:t xml:space="preserve"> A variety of reasons have been proposed for this: low health literacy, problems administering medication, underestimating seriousness of the condition, lack of faith in efficacy of treatment, memory problems, and lack of information about the condition</w:t>
      </w:r>
      <w:r w:rsidR="00AE1ECE">
        <w:t xml:space="preserve"> </w:t>
      </w:r>
      <w:r w:rsidR="001631B7">
        <w:fldChar w:fldCharType="begin" w:fldLock="1"/>
      </w:r>
      <w:r w:rsidR="00A72FA5">
        <w:instrText>ADDIN CSL_CITATION { "citationItems" : [ { "id" : "ITEM-1", "itemData" : { "abstract" : "Objective: To use multiple data sources to determine drivers of patient adherence to topical ocular hypotensive therapy. Design: Retrospective database and chart reviews in combination with prospective patient surveys. Diverse medical environments where insured patients in the research database seek care. Participants: Three hundred patients with a new claim diagnosis for open-angle glaucoma who initially were prescribed one of three prostaglandins and 103 physicians participating in the same medical plans. Methods: A structured interview addressing self-reported adherence, experiences with medication, communication with the physician, and health-related beliefs associated with adherence behavior was administered to surveyed patients. Phone interviews were conducted with participating ophthalmologists. Main Outcome Measure: Of adherence, medication possession ratio. Results: Eight variables were associated independently with a lower medication possession ratio: (1) hearing all of what you know about glaucoma from your doctor (compared with some or nothing); (2) not believing that reduced vision is a risk of not taking medication as recommended; (3) having a problem paying for medications; (4) difficulty while traveling or away from home; (5) not acknowledging stinging and burning; (6) being nonwhite; (7) receiving samples; and (8) not receiving a phone call visit reminder. The multivariate model explained 21% of the variance. Conclusions: These findings indicate that doctor-patient communications and health-related beliefs of patients contribute to patient adherence. Patient learning styles that are associated with less concern about the future effects of glaucoma and the risks of not taking medications are associated with lower adherence. Specifically, knowledge about potential vision loss from glaucoma is a critical element that tends to be missed by more passive doctor-dependent patients who tend to be poorly adherent. These findings suggest that educational efforts in the office may improve patient adherence to medical therapies. \u00a9 2008 American Academy of Ophthalmology.", "author" : [ { "dropping-particle" : "", "family" : "Friedman", "given" : "David S.", "non-dropping-particle" : "", "parse-names" : false, "suffix" : "" }, { "dropping-particle" : "", "family" : "Hahn", "given" : "Steven R.", "non-dropping-particle" : "", "parse-names" : false, "suffix" : "" }, { "dropping-particle" : "", "family" : "Gelb", "given" : "Laurie", "non-dropping-particle" : "", "parse-names" : false, "suffix" : "" }, { "dropping-particle" : "", "family" : "Tan", "given" : "Jason", "non-dropping-particle" : "", "parse-names" : false, "suffix" : "" }, { "dropping-particle" : "", "family" : "Shah", "given" : "Sonali N.", "non-dropping-particle" : "", "parse-names" : false, "suffix" : "" }, { "dropping-particle" : "", "family" : "Kim", "given" : "Elizabeth E.", "non-dropping-particle" : "", "parse-names" : false, "suffix" : "" }, { "dropping-particle" : "", "family" : "Zimmerman", "given" : "Thom J.", "non-dropping-particle" : "", "parse-names" : false, "suffix" : "" }, { "dropping-particle" : "", "family" : "Quigley", "given" : "Harry A.", "non-dropping-particle" : "", "parse-names" : false, "suffix" : "" } ], "container-title" : "Ophthalmology", "id" : "ITEM-1", "issue" : "8", "issued" : { "date-parts" : [ [ "2008" ] ] }, "title" : "Doctor-Patient Communication, Health-Related Beliefs, and Adherence in Glaucoma. Results from the Glaucoma Adherence and Persistency Study", "type" : "article-journal", "volume" : "115" }, "uris" : [ "http://www.mendeley.com/documents/?uuid=357dda7f-1890-4180-be50-62672c8bfdba" ] }, { "id" : "ITEM-2", "itemData" : { "abstract" : "Objective: To test an educational intervention targeted to health literacy level with the goal of improving glaucoma medication adherence. Methods: One hundred and twenty-seven veterans with glaucoma were randomized to glaucoma education or standard care. The intervention included a video scripted at a 4th, 7th, or 10th grade level, depending on the subject's literacy level. After six months, the number of days without glaucoma medicine (DWM) according to pharmacy records for the intervention and control groups was compared. Results: The number of DWM in the six months following enrollment was similar for control and intervention groups (intervention, n= 67, DWM = 63 \u00b1 198; standard care, n= 60, DWM = 65 \u00b1 198; p= 0.708). For each subgroup of literacy (adequate, marginal, inadequate), subjects in the intervention group experienced less mean DWM than subjects in the control group and the effect size (ES) increased as literacy decreased: adequate literacy, ES 0.069; marginal, ES 0.183, inadequate, ES 0.363. Decreasing health literacy skills were associated with decreasing self-reported satisfaction with care (slope = 0.017, SE = 0.005, p= 0.002). Conclusions: Patients with decreased health literacy skills may benefit from educational efforts tailored to address their health literacy level and learning style. Practice implications: Providers should consider health literacy skills when engaging in glaucoma education. \u00a9 2011.", "author" : [ { "dropping-particle" : "", "family" : "Muir", "given" : "Kelly W.", "non-dropping-particle" : "", "parse-names" : false, "suffix" : "" }, { "dropping-particle" : "", "family" : "Ventura", "given" : "Alice", "non-dropping-particle" : "", "parse-names" : false, "suffix" : "" }, { "dropping-particle" : "", "family" : "Stinnett", "given" : "Sandra S.", "non-dropping-particle" : "", "parse-names" : false, "suffix" : "" }, { "dropping-particle" : "", "family" : "Enfiedjian", "given" : "Abraham", "non-dropping-particle" : "", "parse-names" : false, "suffix" : "" }, { "dropping-particle" : "", "family" : "Allingham", "given" : "R. Rand", "non-dropping-particle" : "", "parse-names" : false, "suffix" : "" }, { "dropping-particle" : "", "family" : "Lee", "given" : "Paul P.", "non-dropping-particle" : "", "parse-names" : false, "suffix" : "" } ], "container-title" : "Patient Education and Counseling", "id" : "ITEM-2", "issue" : "2", "issued" : { "date-parts" : [ [ "2012" ] ] }, "page" : "160-164", "title" : "The influence of health literacy level on an educational intervention to improve glaucoma medication adherence", "type" : "article-journal", "volume" : "87" }, "uris" : [ "http://www.mendeley.com/documents/?uuid=c6119279-ddba-4813-b5c2-198c846809db" ] }, { "id" : "ITEM-3", "itemData" : { "abstract" : "Glaucoma is initially asymptomatic, but untreated can result in progressive visual field loss and eventual blindness. With adequate therapy progression can be halted, but poor adherence with medical therapy is a significant issue requiring further research. The aim of the present study was to gain a better understanding of the obstacles to, and the motivations for, adherence with glaucoma medication and explore potential methods to improve adherence.", "author" : [ { "dropping-particle" : "", "family" : "Lacey", "given" : "J", "non-dropping-particle" : "", "parse-names" : false, "suffix" : "" }, { "dropping-particle" : "", "family" : "Cate", "given" : "H", "non-dropping-particle" : "", "parse-names" : false, "suffix" : "" }, { "dropping-particle" : "", "family" : "Broadway", "given" : "D C", "non-dropping-particle" : "", "parse-names" : false, "suffix" : "" } ], "container-title" : "Eye (London, England)", "id" : "ITEM-3", "issue" : "4", "issued" : { "date-parts" : [ [ "2009" ] ] }, "page" : "924-932", "title" : "Barriers to adherence with glaucoma medications: a qualitative research study.", "type" : "article-journal", "volume" : "23" }, "uris" : [ "http://www.mendeley.com/documents/?uuid=03cb7577-b83f-41ec-b3be-805e6d5e2000" ] }, { "id" : "ITEM-4", "itemData" : { "abstract" : "TOPIC: Risk factors for poor adherence or nonadherence to topical glaucoma medication regimens. CLINICAL RELEVANCE: Poor adherence to glaucoma medication regimens may be associated with subsequent visual loss and irreversible optic nerve damage. METHODS: A literature search was performed using the words \"glaucoma AND adherence AND risk\" and \"glaucoma AND compliance AND risk,\" limited to those studies in English and focused on care in the United States. Publications from well-regarded journals in this field were reviewed, and a focused summary of the literature is presented. RESULTS: There are a myriad of adherence barriers inherent to the glaucoma patient population. Although most of these obstacles are common in the elderly (e.g., reduced cognition, musculoskeletal problems, and transportation difficulties), older age has not been shown to be a consistent risk factor for poor adherence to glaucoma medication regimens. Other expected barriers, such as medication cost, limited health insurance, disease severity, and role of complicated dosing regimens, have varied effects based on the patient population studied and the definition of adherence. Poor medication adherence also is associated with decreased adherence to follow-up medical visit schedules. A systematic taxonomy of adherence barriers has been formulated. In addition, subanalyses from the Glaucoma Adherence and Persistency Study identified 8 variables that affect adherence to glaucoma medication regimens as well as several characteristics that support the importance of and associations between doctor-patient communications. CONCLUSIONS: Recent studies have provided valuable insights into the many factors that increase the risk(s) for poor adherence in patients prescribed glaucoma medications. Four major types of barriers to effective patient adherence (medication regimen, patient factors, provider factors, and situational or environmental factors) have been identified. Addressing these specific barriers will require a tailored, patient-centered approach. FINANCIAL DISCLOSURE(S): Proprietary or commercial disclosure may be found after the references.", "author" : [ { "dropping-particle" : "", "family" : "Tsai", "given" : "James C", "non-dropping-particle" : "", "parse-names" : false, "suffix" : "" } ], "container-title" : "Ophthalmology", "id" : "ITEM-4", "issue" : "11 Suppl", "issued" : { "date-parts" : [ [ "2009" ] ] }, "page" : "S30-S36", "title" : "A comprehensive perspective on patient adherence to topical glaucoma therapy.", "type" : "article-journal", "volume" : "116" }, "uris" : [ "http://www.mendeley.com/documents/?uuid=e78180b4-091b-4af0-95c1-b37aff87c031" ] } ], "mendeley" : { "formattedCitation" : "&lt;sup&gt;7\u201310&lt;/sup&gt;", "plainTextFormattedCitation" : "7\u201310", "previouslyFormattedCitation" : "&lt;sup&gt;7\u201310&lt;/sup&gt;" }, "properties" : { "noteIndex" : 0 }, "schema" : "https://github.com/citation-style-language/schema/raw/master/csl-citation.json" }</w:instrText>
      </w:r>
      <w:r w:rsidR="001631B7">
        <w:fldChar w:fldCharType="separate"/>
      </w:r>
      <w:r w:rsidR="00A72FA5" w:rsidRPr="00A72FA5">
        <w:rPr>
          <w:noProof/>
          <w:vertAlign w:val="superscript"/>
        </w:rPr>
        <w:t>7–10</w:t>
      </w:r>
      <w:r w:rsidR="001631B7">
        <w:fldChar w:fldCharType="end"/>
      </w:r>
      <w:r w:rsidR="00AE1ECE">
        <w:t xml:space="preserve">. </w:t>
      </w:r>
      <w:r w:rsidR="00AE31D6">
        <w:t>People</w:t>
      </w:r>
      <w:r w:rsidR="00FE4077">
        <w:t xml:space="preserve"> with other forms of sight loss may also experience challenges when managing their eye condition. For example, The Age Rel</w:t>
      </w:r>
      <w:r w:rsidR="00AE31D6">
        <w:t>ated Eye Disease Study (AREDS)</w:t>
      </w:r>
      <w:r w:rsidR="00FE4077">
        <w:t xml:space="preserve"> demonstrated that in patients with Age Related Macular Degeneration (AMD) categories 3 (intermediate) and 4 (advanced AMD in one eye), suitable dietary supplements are protective against progression of visual loss </w:t>
      </w:r>
      <w:r w:rsidR="001631B7">
        <w:fldChar w:fldCharType="begin" w:fldLock="1"/>
      </w:r>
      <w:r w:rsidR="00A72FA5">
        <w:instrText>ADDIN CSL_CITATION { "citationItems" : [ { "id" : "ITEM-1", "itemData" : { "DOI" : "10.1016/j.bbi.2008.05.010", "ISSN" : "0003-9950", "PMID" : "11594942", "abstract" : "BACKGROUND: Observational and experimental data suggest that antioxidant and/or zinc supplements may delay progression of age-related macular degeneration (AMD) and vision loss. OBJECTIVE: To evaluate the effect of high-dose vitamins C and E, beta carotene, and zinc supplements on AMD progression and visual acuity. DESIGN: The Age-Related Eye Disease Study, an 11-center double-masked clinical trial, enrolled participants in an AMD trial if they had extensive small drusen, intermediate drusen, large drusen, noncentral geographic atrophy, or pigment abnormalities in 1 or both eyes, or advanced AMD or vision loss due to AMD in 1 eye. At least 1 eye had best-corrected visual acuity of 20/32 or better. Participants were randomly assigned to receive daily oral tablets containing: (1) antioxidants (vitamin C, 500 mg; vitamin E, 400 IU; and beta carotene, 15 mg); (2) zinc, 80 mg, as zinc oxide and copper, 2 mg, as cupric oxide; (3) antioxidants plus zinc; or (4) placebo. MAIN OUTCOME MEASURES: (1) Photographic assessment of progression to or treatment for advanced AMD and (2) at least moderate visual acuity loss from baseline (&gt; or =15 letters). Primary analyses used repeated-measures logistic regression with a significance level of.01, unadjusted for covariates. Serum level measurements, medical histories, and mortality rates were used for safety monitoring. RESULTS: Average follow-up of the 3640 enrolled study participants, aged 55-80 years, was 6.3 years, with 2.4% lost to follow-up. Comparison with placebo demonstrated a statistically significant odds reduction for the development of advanced AMD with antioxidants plus zinc (odds ratio [OR], 0.72; 99% confidence interval [CI], 0.52-0.98). The ORs for zinc alone and antioxidants alone are 0.75 (99% CI, 0.55-1.03) and 0.80 (99% CI, 0.59-1.09), respectively. Participants with extensive small drusen, nonextensive intermediate size drusen, or pigment abnormalities had only a 1.3% 5-year probability of progression to advanced AMD. Odds reduction estimates increased when these 1063 participants were excluded (antioxidants plus zinc: OR, 0.66; 99% CI, 0.47-0.91; zinc: OR, 0.71; 99% CI, 0.52-0.99; antioxidants: OR, 0.76; 99% CI, 0.55-1.05). Both zinc and antioxidants plus zinc significantly reduced the odds of developing advanced AMD in this higher-risk group. The only statistically significant reduction in rates of at least moderate visual acuity loss occurred in persons assigned to receive antioxidants plus zinc (\u2026", "author" : [ { "dropping-particle" : "", "family" : "Age-Related Eye Disease Study Research Group", "given" : "", "non-dropping-particle" : "", "parse-names" : false, "suffix" : "" } ], "container-title" : "Archives of ophthalmology", "id" : "ITEM-1", "issue" : "10", "issued" : { "date-parts" : [ [ "2001" ] ] }, "page" : "1417-36", "title" : "A randomized, placebo-controlled, clinical trial of high-dose supplementation with vitamins C and E, beta carotene, and zinc for age-related macular degeneration and vision loss: AREDS report no. 8.", "type" : "article-journal", "volume" : "119" }, "uris" : [ "http://www.mendeley.com/documents/?uuid=959e62e4-2fc8-4d42-988b-189b2da9bc34" ] }, { "id" : "ITEM-2", "itemData" : { "DOI" : "10.1111/aos.12650", "ISSN" : "1755375X", "author" : [ { "dropping-particle" : "", "family" : "Schmidl", "given" : "Doreen", "non-dropping-particle" : "", "parse-names" : false, "suffix" : "" }, { "dropping-particle" : "", "family" : "Garh\u00f6fer", "given" : "Gerhard", "non-dropping-particle" : "", "parse-names" : false, "suffix" : "" }, { "dropping-particle" : "", "family" : "Schmetterer", "given" : "Leopold", "non-dropping-particle" : "", "parse-names" : false, "suffix" : "" } ], "container-title" : "Acta Ophthalmologica", "id" : "ITEM-2", "issue" : "2", "issued" : { "date-parts" : [ [ "2015" ] ] }, "page" : "105-121", "title" : "Nutritional supplements in age-related macular degeneration", "type" : "article-journal", "volume" : "93" }, "uris" : [ "http://www.mendeley.com/documents/?uuid=0e022e2f-3610-4e75-be34-b517136e9a15" ] } ], "mendeley" : { "formattedCitation" : "&lt;sup&gt;11,12&lt;/sup&gt;", "plainTextFormattedCitation" : "11,12", "previouslyFormattedCitation" : "&lt;sup&gt;11,12&lt;/sup&gt;" }, "properties" : { "noteIndex" : 0 }, "schema" : "https://github.com/citation-style-language/schema/raw/master/csl-citation.json" }</w:instrText>
      </w:r>
      <w:r w:rsidR="001631B7">
        <w:fldChar w:fldCharType="separate"/>
      </w:r>
      <w:r w:rsidR="00A72FA5" w:rsidRPr="00A72FA5">
        <w:rPr>
          <w:noProof/>
          <w:vertAlign w:val="superscript"/>
        </w:rPr>
        <w:t>11,12</w:t>
      </w:r>
      <w:r w:rsidR="001631B7">
        <w:fldChar w:fldCharType="end"/>
      </w:r>
      <w:r w:rsidR="00FE4077">
        <w:t xml:space="preserve">.  </w:t>
      </w:r>
      <w:r w:rsidR="00AE31D6">
        <w:t>Despite this, evidence</w:t>
      </w:r>
      <w:r w:rsidR="00FE4077">
        <w:t xml:space="preserve"> suggests that many </w:t>
      </w:r>
      <w:r w:rsidR="00AE31D6">
        <w:t xml:space="preserve">suitable </w:t>
      </w:r>
      <w:r w:rsidR="00FE4077">
        <w:t>patients do not use these supplements</w:t>
      </w:r>
      <w:r w:rsidR="00AE31D6">
        <w:t xml:space="preserve"> or </w:t>
      </w:r>
      <w:r w:rsidR="00FE4077">
        <w:t xml:space="preserve">fail to take the correct dose, </w:t>
      </w:r>
      <w:r w:rsidR="00AE31D6">
        <w:t>while</w:t>
      </w:r>
      <w:r w:rsidR="00FE4077">
        <w:t xml:space="preserve"> patients with advanced disease, in which there is no proven benefit, are keen to take them </w:t>
      </w:r>
      <w:r w:rsidR="00AE1ECE">
        <w:t xml:space="preserve"> </w:t>
      </w:r>
      <w:r w:rsidR="001631B7">
        <w:fldChar w:fldCharType="begin" w:fldLock="1"/>
      </w:r>
      <w:r w:rsidR="00A72FA5">
        <w:instrText>ADDIN CSL_CITATION { "citationItems" : [ { "id" : "ITEM-1", "itemData" : { "abstract" : "BACKGROUND: The age-related eye disease study suggested that taking zinc and anti-oxidants supplements could reduce the progression of age-related macular degeneration (AMD). In Australia, the available supplement is Macu-Vision. The study aimed to assess the awareness of and compliance with taking this supplement and the public health implication. METHODS: The fundus photograph database of patients aged 55 years and older at the ophthalmology department of a public teaching hospital in Adelaide, Australia was reviewed. In total, 125 patients with category 3 and 4 AMD were identified. A total of 100 patients participated in this cross-sectional study. RESULTS: In total, 53% of participants were aware of the availability of the formulae available in Australia, 38% were taking the supplement and only 1% were taking the correct dose. Of those taking the supplement 95% (36/38) were taking half the recommended dosage. Among those who were aware of the supplement but not taking it, cost was the most common reason (31%). Another 31% were not taking it because of actual side-effects experienced, fear of potential side-effect and/or fear of interaction with other medications. There was no predictive factor for failing to take the formulae available in Australia among age, sex, smoking status, living arrangement and category of AMD. CONCLUSIONS: Clinicians need to emphasize that the recommended dosage is twice that on the supplement label. If the trend demonstrated here of underutilizing the formulae available in Australia among public hospital patients continues, it is unlikely to have any major public health impact in similar settings in Australia.", "author" : [ { "dropping-particle" : "", "family" : "Ng", "given" : "W. T Weng T", "non-dropping-particle" : "", "parse-names" : false, "suffix" : "" }, { "dropping-particle" : "", "family" : "Goggin", "given" : "Michael", "non-dropping-particle" : "", "parse-names" : false, "suffix" : "" } ], "container-title" : "Clinical and Experimental Ophthalmology", "id" : "ITEM-1", "issue" : "1", "issued" : { "date-parts" : [ [ "2006" ] ] }, "page" : "9-14", "title" : "Awareness of and compliance with recommended dietary supplement among age-related macular degeneration patients", "type" : "article-journal", "volume" : "34" }, "uris" : [ "http://www.mendeley.com/documents/?uuid=40092a62-04d1-4f9b-8d98-aed082145f81" ] }, { "id" : "ITEM-2", "itemData" : { "author" : [ { "dropping-particle" : "", "family" : "Yu", "given" : "Alice L", "non-dropping-particle" : "", "parse-names" : false, "suffix" : "" }, { "dropping-particle" : "", "family" : "Paul", "given" : "Tobias", "non-dropping-particle" : "", "parse-names" : false, "suffix" : "" }, { "dropping-particle" : "", "family" : "Schaumberger", "given" : "Markus", "non-dropping-particle" : "", "parse-names" : false, "suffix" : "" }, { "dropping-particle" : "", "family" : "Welge-lussen", "given" : "Ulrich", "non-dropping-particle" : "", "parse-names" : false, "suffix" : "" } ], "id" : "ITEM-2", "issued" : { "date-parts" : [ [ "2014" ] ] }, "page" : "1227-1232", "title" : "Factors affecting the use of antioxidant supplements in patients with late AMD", "type" : "article-journal" }, "uris" : [ "http://www.mendeley.com/documents/?uuid=3dbd3572-aa9b-475c-abc1-2cb8f38aa30c" ] } ], "mendeley" : { "formattedCitation" : "&lt;sup&gt;13,14&lt;/sup&gt;", "plainTextFormattedCitation" : "13,14", "previouslyFormattedCitation" : "&lt;sup&gt;13,14&lt;/sup&gt;" }, "properties" : { "noteIndex" : 0 }, "schema" : "https://github.com/citation-style-language/schema/raw/master/csl-citation.json" }</w:instrText>
      </w:r>
      <w:r w:rsidR="001631B7">
        <w:fldChar w:fldCharType="separate"/>
      </w:r>
      <w:r w:rsidR="00A72FA5" w:rsidRPr="00A72FA5">
        <w:rPr>
          <w:noProof/>
          <w:vertAlign w:val="superscript"/>
        </w:rPr>
        <w:t>13,14</w:t>
      </w:r>
      <w:r w:rsidR="001631B7">
        <w:fldChar w:fldCharType="end"/>
      </w:r>
    </w:p>
    <w:p w14:paraId="408B1340" w14:textId="4D618AFD" w:rsidR="00FE4077" w:rsidRDefault="00FE4077" w:rsidP="00FE4077">
      <w:pPr>
        <w:pStyle w:val="Body"/>
      </w:pPr>
      <w:r>
        <w:t>In addition to sight loss many older people are living with co</w:t>
      </w:r>
      <w:r>
        <w:rPr>
          <w:lang w:val="en-GB"/>
        </w:rPr>
        <w:t>-</w:t>
      </w:r>
      <w:r>
        <w:t xml:space="preserve">morbid chronic health problems </w:t>
      </w:r>
      <w:r w:rsidR="001631B7">
        <w:fldChar w:fldCharType="begin" w:fldLock="1"/>
      </w:r>
      <w:r w:rsidR="003935C3">
        <w:instrText>ADDIN CSL_CITATION { "citationItems" : [ { "id" : "ITEM-1", "itemData" : { "author" : [ { "dropping-particle" : "", "family" : "Cattan", "given" : "Mima", "non-dropping-particle" : "", "parse-names" : false, "suffix" : "" }, { "dropping-particle" : "", "family" : "Hughes", "given" : "Skye", "non-dropping-particle" : "", "parse-names" : false, "suffix" : "" }, { "dropping-particle" : "", "family" : "Fylan", "given" : "Fiona", "non-dropping-particle" : "", "parse-names" : false, "suffix" : "" }, { "dropping-particle" : "", "family" : "Kimes", "given" : "Nicola", "non-dropping-particle" : "", "parse-names" : false, "suffix" : "" }, { "dropping-particle" : "", "family" : "Giuntoli", "given" : "Gianfranco", "non-dropping-particle" : "", "parse-names" : false, "suffix" : "" } ], "id" : "ITEM-1", "issue" : "Occasional Paper Number 29", "issued" : { "date-parts" : [ [ "2011" ] ] }, "number-of-pages" : "1-22", "publisher-place" : "London", "title" : "The needs of frail older people with sight loss", "type" : "report" }, "uris" : [ "http://www.mendeley.com/documents/?uuid=981f27c9-0e44-4128-803f-ba9245f063c3" ] }, { "id" : "ITEM-2", "itemData" : { "author" : [ { "dropping-particle" : "", "family" : "Hanson", "given" : "Julienne", "non-dropping-particle" : "", "parse-names" : false, "suffix" : "" }, { "dropping-particle" : "", "family" : "Percival", "given" : "John", "non-dropping-particle" : "", "parse-names" : false, "suffix" : "" }, { "dropping-particle" : "", "family" : "Zako", "given" : "Reem", "non-dropping-particle" : "", "parse-names" : false, "suffix" : "" }, { "dropping-particle" : "", "family" : "Johnson", "given" : "M.", "non-dropping-particle" : "", "parse-names" : false, "suffix" : "" } ], "container-title" : "Thomas Pocklington Trust", "id" : "ITEM-2", "issued" : { "date-parts" : [ [ "2001" ] ] }, "page" : "1-20", "title" : "Housing and support needs of older people with visual impairment \u2013 experiences and challenges", "type" : "article-journal" }, "uris" : [ "http://www.mendeley.com/documents/?uuid=daa8a06a-4ac7-427d-a776-7ded36cf624c" ] } ], "mendeley" : { "formattedCitation" : "&lt;sup&gt;15,16&lt;/sup&gt;", "plainTextFormattedCitation" : "15,16", "previouslyFormattedCitation" : "&lt;sup&gt;15,16&lt;/sup&gt;" }, "properties" : { "noteIndex" : 0 }, "schema" : "https://github.com/citation-style-language/schema/raw/master/csl-citation.json" }</w:instrText>
      </w:r>
      <w:r w:rsidR="001631B7">
        <w:fldChar w:fldCharType="separate"/>
      </w:r>
      <w:r w:rsidR="00A72FA5" w:rsidRPr="00A72FA5">
        <w:rPr>
          <w:noProof/>
          <w:vertAlign w:val="superscript"/>
        </w:rPr>
        <w:t>15,16</w:t>
      </w:r>
      <w:r w:rsidR="001631B7">
        <w:fldChar w:fldCharType="end"/>
      </w:r>
      <w:r w:rsidR="00005092">
        <w:t>.</w:t>
      </w:r>
      <w:r>
        <w:t xml:space="preserve"> The management of these conditions can be challenging, for example the onset of</w:t>
      </w:r>
      <w:r w:rsidR="00AE31D6">
        <w:t xml:space="preserve"> sight loss caused by</w:t>
      </w:r>
      <w:r>
        <w:t xml:space="preserve"> diabetic retinopathy can make controlling diabetes more difficult </w:t>
      </w:r>
      <w:r w:rsidR="00B638C4" w:rsidRPr="00B638C4">
        <w:rPr>
          <w:vertAlign w:val="superscript"/>
        </w:rPr>
        <w:t>17,18</w:t>
      </w:r>
      <w:r w:rsidR="00B638C4">
        <w:t xml:space="preserve"> . </w:t>
      </w:r>
      <w:r w:rsidR="00AE31D6">
        <w:t>Older people with sight loss often report needing support from others in order to take prescribed medication</w:t>
      </w:r>
      <w:r w:rsidR="00005092">
        <w:t xml:space="preserve"> </w:t>
      </w:r>
      <w:r w:rsidR="001631B7">
        <w:fldChar w:fldCharType="begin" w:fldLock="1"/>
      </w:r>
      <w:r w:rsidR="00A72FA5">
        <w:instrText>ADDIN CSL_CITATION { "citationItems" : [ { "id" : "ITEM-1", "itemData" : { "abstract" : "BACKGROUND: Visual impairment (VI) is rising in prevalence and contributing to increasing morbidity, particularly among older people. Understanding patients' problems is fundamental to achieving optimal health outcomes but little is known about how VI impacts on self-management of medication. AIM: To compare issues relating to medication self-management between older people with and without VI. DESIGN AND SETTING: Case-control study with participants aged &gt;/=65 years, prescribed at least two long-term oral medications daily, living within the community. METHOD: The study recruited 156 patients with VI (best corrected visual acuity [BCVA] 6/18 to 3/60) at low-vision clinics; community optometrists identified 158 controls (BCVA 6/9 or better). Researchers visited participants in their homes, administered two validated questionnaires to assess medication adherence (Morisky; Medication Adherence Report Scale [MARS]), and asked questions about medication self-management, beliefs, and support. RESULTS: Approximately half of the participants in both groups reported perfect adherence on both questionnaires (52.5% Morisky; 43.3%, MARS). Despite using optical aids, few (3%) with VI could read medication information clearly; 24% had difficulty distinguishing different tablets. More people with VI (29%) than controls (13%) (odds ratio [OR] = 2.8; 95% confidence interval [CI] = 1.6 to 5.0) needed help managing their medication, from friends (19% versus 10%) or pharmacists (10% versus 2.5%; OR = 4.4, 95% CI = 1.4 to 13.5); more received social service support (OR = 7.1; 95% CI = 3.9 to 12.9). CONCLUSION: Compared to their peers without VI, older people with VI are more than twice as likely to need help in managing medication. In clinical practice in primary care, patients' needs for practical support in taking prescribed treatment must be recognised. Strategies for effective medication self-management should be explored.", "author" : [ { "dropping-particle" : "", "family" : "McCann", "given" : "Roseleen M.", "non-dropping-particle" : "", "parse-names" : false, "suffix" : "" }, { "dropping-particle" : "", "family" : "Jackson", "given" : "A. Jonathan", "non-dropping-particle" : "", "parse-names" : false, "suffix" : "" }, { "dropping-particle" : "", "family" : "Stevenson", "given" : "Michael", "non-dropping-particle" : "", "parse-names" : false, "suffix" : "" }, { "dropping-particle" : "", "family" : "Dempster", "given" : "Martin", "non-dropping-particle" : "", "parse-names" : false, "suffix" : "" }, { "dropping-particle" : "", "family" : "McElnay", "given" : "James C.", "non-dropping-particle" : "", "parse-names" : false, "suffix" : "" }, { "dropping-particle" : "", "family" : "Cupples", "given" : "Margaret E.", "non-dropping-particle" : "", "parse-names" : false, "suffix" : "" } ], "container-title" : "British Journal of General Practice", "id" : "ITEM-1", "issue" : "601", "issued" : { "date-parts" : [ [ "2012" ] ] }, "title" : "Help needed inmedication self-management for people with visual impairment: Case-control study", "type" : "article-journal", "volume" : "62" }, "uris" : [ "http://www.mendeley.com/documents/?uuid=c21f9096-a759-4f7e-ab80-006f72059989" ] } ], "mendeley" : { "formattedCitation" : "&lt;sup&gt;19&lt;/sup&gt;", "plainTextFormattedCitation" : "19", "previouslyFormattedCitation" : "&lt;sup&gt;19&lt;/sup&gt;" }, "properties" : { "noteIndex" : 0 }, "schema" : "https://github.com/citation-style-language/schema/raw/master/csl-citation.json" }</w:instrText>
      </w:r>
      <w:r w:rsidR="001631B7">
        <w:fldChar w:fldCharType="separate"/>
      </w:r>
      <w:r w:rsidR="00A72FA5" w:rsidRPr="00A72FA5">
        <w:rPr>
          <w:noProof/>
          <w:vertAlign w:val="superscript"/>
        </w:rPr>
        <w:t>19</w:t>
      </w:r>
      <w:r w:rsidR="001631B7">
        <w:fldChar w:fldCharType="end"/>
      </w:r>
      <w:r w:rsidR="00005092">
        <w:t xml:space="preserve"> </w:t>
      </w:r>
      <w:r w:rsidR="00AE31D6">
        <w:t>and many</w:t>
      </w:r>
      <w:r>
        <w:t xml:space="preserve"> experience difficulties when visiting their pharmacist for “over the counter” medications to prevent or treat minor illnes</w:t>
      </w:r>
      <w:r w:rsidR="00AE31D6">
        <w:t>s</w:t>
      </w:r>
      <w:r w:rsidR="00005092">
        <w:t xml:space="preserve"> </w:t>
      </w:r>
      <w:r w:rsidR="00AE31D6">
        <w:t xml:space="preserve"> </w:t>
      </w:r>
      <w:r w:rsidR="001631B7">
        <w:fldChar w:fldCharType="begin" w:fldLock="1"/>
      </w:r>
      <w:r w:rsidR="003935C3">
        <w:instrText>ADDIN CSL_CITATION { "citationItems" : [ { "id" : "ITEM-1", "itemData" : { "author" : [ { "dropping-particle" : "", "family" : "Sansgiry", "given" : "SS", "non-dropping-particle" : "", "parse-names" : false, "suffix" : "" }, { "dropping-particle" : "", "family" : "Pawaskar", "given" : "M", "non-dropping-particle" : "", "parse-names" : false, "suffix" : "" } ], "container-title" : "Optometry", "id" : "ITEM-1", "issued" : { "date-parts" : [ [ "2004" ] ] }, "page" : "407-408", "title" : "Over-the-counter medication labels: are we ignoring the needs of blind consumers?", "type" : "article-journal", "volume" : "75" }, "uris" : [ "http://www.mendeley.com/documents/?uuid=47afa7ed-834c-4dcb-afa8-c146e530be53" ] } ], "mendeley" : { "formattedCitation" : "&lt;sup&gt;20&lt;/sup&gt;", "plainTextFormattedCitation" : "20", "previouslyFormattedCitation" : "&lt;sup&gt;20&lt;/sup&gt;" }, "properties" : { "noteIndex" : 0 }, "schema" : "https://github.com/citation-style-language/schema/raw/master/csl-citation.json" }</w:instrText>
      </w:r>
      <w:r w:rsidR="001631B7">
        <w:fldChar w:fldCharType="separate"/>
      </w:r>
      <w:r w:rsidR="00A72FA5" w:rsidRPr="00A72FA5">
        <w:rPr>
          <w:noProof/>
          <w:vertAlign w:val="superscript"/>
        </w:rPr>
        <w:t>20</w:t>
      </w:r>
      <w:r w:rsidR="001631B7">
        <w:fldChar w:fldCharType="end"/>
      </w:r>
      <w:r w:rsidR="00005092">
        <w:t>.</w:t>
      </w:r>
      <w:r w:rsidR="00AE31D6">
        <w:t xml:space="preserve"> </w:t>
      </w:r>
    </w:p>
    <w:p w14:paraId="408B1341" w14:textId="29C5A4EF" w:rsidR="00FE4077" w:rsidRDefault="00FE4077" w:rsidP="00FE4077">
      <w:pPr>
        <w:pStyle w:val="Body"/>
      </w:pPr>
      <w:r>
        <w:lastRenderedPageBreak/>
        <w:t>As well as barriers regarding the management of medication, older people with sight loss may struggle to access general health services</w:t>
      </w:r>
      <w:r w:rsidR="000B174E">
        <w:t xml:space="preserve"> </w:t>
      </w:r>
      <w:r w:rsidR="001631B7">
        <w:fldChar w:fldCharType="begin" w:fldLock="1"/>
      </w:r>
      <w:r w:rsidR="00A72FA5">
        <w:instrText>ADDIN CSL_CITATION { "citationItems" : [ { "id" : "ITEM-1", "itemData" : { "author" : [ { "dropping-particle" : "", "family" : "Sibley", "given" : "E", "non-dropping-particle" : "", "parse-names" : false, "suffix" : "" }, { "dropping-particle" : "", "family" : "Alexandrou", "given" : "B", "non-dropping-particle" : "", "parse-names" : false, "suffix" : "" } ], "id" : "ITEM-1", "issued" : { "date-parts" : [ [ "2009" ] ] }, "publisher-place" : "London", "title" : "Towards an inclusive health service: a research report into the availability of health information for blind and partially sighted people.", "type" : "report" }, "uris" : [ "http://www.mendeley.com/documents/?uuid=cb4448bb-3d2f-429f-81e7-07b344c760a7" ] } ], "mendeley" : { "formattedCitation" : "&lt;sup&gt;21&lt;/sup&gt;", "plainTextFormattedCitation" : "21", "previouslyFormattedCitation" : "&lt;sup&gt;21&lt;/sup&gt;" }, "properties" : { "noteIndex" : 0 }, "schema" : "https://github.com/citation-style-language/schema/raw/master/csl-citation.json" }</w:instrText>
      </w:r>
      <w:r w:rsidR="001631B7">
        <w:fldChar w:fldCharType="separate"/>
      </w:r>
      <w:r w:rsidR="00A72FA5" w:rsidRPr="00A72FA5">
        <w:rPr>
          <w:noProof/>
          <w:vertAlign w:val="superscript"/>
        </w:rPr>
        <w:t>21</w:t>
      </w:r>
      <w:r w:rsidR="001631B7">
        <w:fldChar w:fldCharType="end"/>
      </w:r>
      <w:r w:rsidRPr="000B174E">
        <w:t>.</w:t>
      </w:r>
      <w:r>
        <w:t xml:space="preserve"> </w:t>
      </w:r>
      <w:r w:rsidR="001631B7">
        <w:fldChar w:fldCharType="begin" w:fldLock="1"/>
      </w:r>
      <w:r w:rsidR="00A72FA5">
        <w:instrText>ADDIN CSL_CITATION { "citationItems" : [ { "id" : "ITEM-1", "itemData" : { "DOI" : "10.1097/NUR.0b013e3181d82b89", "ISSN" : "1538-9782", "PMID" : "20404623", "abstract" : "PURPOSE: This investigation was a secondary analysis of focus group transcripts to address the question of how women with low vision or blindness have experienced healthcare.\n\nDESIGN: Secondary analysis of qualitative data was performed on transcripts from 2 focus groups.\n\nSETTING: These focus groups were conducted at an agency serving visually impaired people in Philadelphia.\n\nSAMPLE: The 2 focus groups included 7 and 11 women, respectively, having low-vision or who are blind who had been part of an original study of reaching hard-to-reach women with disabilities.\n\nMETHODS: Content analysis for the identification of thematic clusters was performed on transcriptions of the focus group data.\n\nFINDINGS: Findings are consistent with existing research on the health needs of women with disabilities but add specific understanding related to visual impairment. Six thematic categories were identified: health professionals' awareness, information access, healthcare access, isolation, the need for self-advocacy, and perception by others.\n\nCONCLUSIONS AND IMPLICATIONS: Secondary analysis of qualitative data affords in-depth understanding of a particular subset of participants within a larger study. Clinical nurse specialists and other health professionals need to increase their sensitivity to the challenges faced by women with visual impairment, and plan and provide care accordingly. Health professions students need to be prepared to interact with people who are visually impaired and healthcare settings need to respond to their needs.", "author" : [ { "dropping-particle" : "", "family" : "Sharts-Hopko", "given" : "Nancy C", "non-dropping-particle" : "", "parse-names" : false, "suffix" : "" }, { "dropping-particle" : "", "family" : "Smeltzer", "given" : "Suzanne", "non-dropping-particle" : "", "parse-names" : false, "suffix" : "" }, { "dropping-particle" : "", "family" : "Ott", "given" : "Barbara B", "non-dropping-particle" : "", "parse-names" : false, "suffix" : "" }, { "dropping-particle" : "", "family" : "Zimmerman", "given" : "Vanessa", "non-dropping-particle" : "", "parse-names" : false, "suffix" : "" }, { "dropping-particle" : "", "family" : "Duffin", "given" : "Janice", "non-dropping-particle" : "", "parse-names" : false, "suffix" : "" } ], "container-title" : "Clinical nurse specialist CNS", "id" : "ITEM-1", "issue" : "3", "issued" : { "date-parts" : [ [ "0", "1" ] ] }, "page" : "149-53", "title" : "Healthcare experiences of women with visual impairment.", "type" : "article-journal", "volume" : "24" }, "uris" : [ "http://www.mendeley.com/documents/?uuid=b89b1445-a960-47c5-8c81-edf92bd0470b" ] } ], "mendeley" : { "formattedCitation" : "&lt;sup&gt;22&lt;/sup&gt;", "manualFormatting" : "Sharts-Hopko, Smeltzer, Ott, Zimmerman, &amp; Duffin", "plainTextFormattedCitation" : "22", "previouslyFormattedCitation" : "&lt;sup&gt;22&lt;/sup&gt;" }, "properties" : { "noteIndex" : 0 }, "schema" : "https://github.com/citation-style-language/schema/raw/master/csl-citation.json" }</w:instrText>
      </w:r>
      <w:r w:rsidR="001631B7">
        <w:fldChar w:fldCharType="separate"/>
      </w:r>
      <w:r w:rsidR="00005092" w:rsidRPr="00005092">
        <w:rPr>
          <w:noProof/>
        </w:rPr>
        <w:t>Sharts-Hopko, Smeltzer, Ott, Zimmerman, &amp; Duffin</w:t>
      </w:r>
      <w:r w:rsidR="001631B7">
        <w:fldChar w:fldCharType="end"/>
      </w:r>
      <w:r w:rsidRPr="00005092">
        <w:t xml:space="preserve"> </w:t>
      </w:r>
      <w:r w:rsidR="00B638C4" w:rsidRPr="00B638C4">
        <w:rPr>
          <w:vertAlign w:val="superscript"/>
        </w:rPr>
        <w:t>22</w:t>
      </w:r>
      <w:r w:rsidR="00B638C4">
        <w:t xml:space="preserve"> </w:t>
      </w:r>
      <w:r>
        <w:t>found that older women with vision impairment had to overcome a variety of barriers to healthcare services including: a lack of health professional awareness of their condition and its impact, difficulty accessing information in written format, problems accessing healthcare</w:t>
      </w:r>
      <w:r w:rsidR="00AE31D6">
        <w:t xml:space="preserve"> environments</w:t>
      </w:r>
      <w:r>
        <w:t xml:space="preserve"> (e.g. inaccessible settings, transport issues and cost), feelings of isolation (living alone and not wanting to burden others), a need for self-advocacy and knowing what services to ask for, and concerns about the perception of others (i.e. assumptions about being deaf/mentally </w:t>
      </w:r>
      <w:r>
        <w:rPr>
          <w:lang w:val="en-GB"/>
        </w:rPr>
        <w:t>deficient</w:t>
      </w:r>
      <w:r>
        <w:t xml:space="preserve"> and healthcare professionals not recognising their needs). Patients with AMD have also been shown to feel frustration and mistrust towards healthcare services with some </w:t>
      </w:r>
      <w:r w:rsidR="008F736D" w:rsidRPr="008F736D">
        <w:rPr>
          <w:highlight w:val="yellow"/>
        </w:rPr>
        <w:t>not seeking</w:t>
      </w:r>
      <w:r>
        <w:t xml:space="preserve"> help due to attributing their condition to ‘</w:t>
      </w:r>
      <w:r>
        <w:rPr>
          <w:lang w:val="de-DE"/>
        </w:rPr>
        <w:t>normal ageing</w:t>
      </w:r>
      <w:r>
        <w:rPr>
          <w:lang w:val="fr-FR"/>
        </w:rPr>
        <w:t>’</w:t>
      </w:r>
      <w:r w:rsidR="00005092">
        <w:rPr>
          <w:lang w:val="fr-FR"/>
        </w:rPr>
        <w:t xml:space="preserve"> </w:t>
      </w:r>
      <w:r w:rsidR="001631B7">
        <w:rPr>
          <w:lang w:val="fr-FR"/>
        </w:rPr>
        <w:fldChar w:fldCharType="begin" w:fldLock="1"/>
      </w:r>
      <w:r w:rsidR="00A72FA5">
        <w:rPr>
          <w:lang w:val="fr-FR"/>
        </w:rPr>
        <w:instrText>ADDIN CSL_CITATION { "citationItems" : [ { "id" : "ITEM-1", "itemData" : { "abstract" : "Age Related Macular Degeneration (AMD) is the leading cause of registerable blindness with a high medical and societal cost burden. Much of the research examining experiences of living with AMD has been conducted independently with small sample sizes and has failed to impact on practice. Meta-synthesis of qualitative research can improve the understanding of the experience of living with AMD by drawing together findings of qualitative studies. This article presents a systematic review and meta-synthesis of qualitative studies investigating the experience of AMD (literature searched up to April 2012; published studies identified range from 1996 to 2009). The review highlights themes relating to: functional limitations, adaptation and independence; feelings about the future with vision impairment; interaction with the health service; social engagement; disclosure; and the emotional impacts of living with AMD. Attention to the experience of living with AMD can help us to better understand the needs of patients. This meta-synthesis aimed to bring together the findings of qualitative research studies and highlights important areas for consideration when caring for patients with AMD. Our findings suggest that a holistic approach to service provision and support for AMD is needed which takes into account individuals' needs and experiences when coping with and adjusting to living with AMD. This support should aim to reduce stigma, increase social engagement, and develop the psychological resources of patients with AMD. ?? 2012 Elsevier Ltd.", "author" : [ { "dropping-particle" : "", "family" : "Bennion", "given" : "Amy E.", "non-dropping-particle" : "", "parse-names" : false, "suffix" : "" }, { "dropping-particle" : "", "family" : "Shaw", "given" : "Rachel L.", "non-dropping-particle" : "", "parse-names" : false, "suffix" : "" }, { "dropping-particle" : "", "family" : "Gibson", "given" : "Jonathan M.", "non-dropping-particle" : "", "parse-names" : false, "suffix" : "" } ], "container-title" : "Social Science and Medicine", "id" : "ITEM-1", "issue" : "6", "issued" : { "date-parts" : [ [ "2012" ] ] }, "page" : "976-985", "title" : "What do we know about the experience of age related macular degeneration? A systematic review and meta-synthesis of qualitative research", "type" : "article", "volume" : "75" }, "uris" : [ "http://www.mendeley.com/documents/?uuid=44deeff0-d961-4a8f-ba33-3b0317426e42" ] } ], "mendeley" : { "formattedCitation" : "&lt;sup&gt;23&lt;/sup&gt;", "plainTextFormattedCitation" : "23", "previouslyFormattedCitation" : "&lt;sup&gt;23&lt;/sup&gt;" }, "properties" : { "noteIndex" : 0 }, "schema" : "https://github.com/citation-style-language/schema/raw/master/csl-citation.json" }</w:instrText>
      </w:r>
      <w:r w:rsidR="001631B7">
        <w:rPr>
          <w:lang w:val="fr-FR"/>
        </w:rPr>
        <w:fldChar w:fldCharType="separate"/>
      </w:r>
      <w:r w:rsidR="00A72FA5" w:rsidRPr="00A72FA5">
        <w:rPr>
          <w:noProof/>
          <w:vertAlign w:val="superscript"/>
          <w:lang w:val="fr-FR"/>
        </w:rPr>
        <w:t>23</w:t>
      </w:r>
      <w:r w:rsidR="001631B7">
        <w:rPr>
          <w:lang w:val="fr-FR"/>
        </w:rPr>
        <w:fldChar w:fldCharType="end"/>
      </w:r>
      <w:r w:rsidR="00005092">
        <w:rPr>
          <w:lang w:val="fr-FR"/>
        </w:rPr>
        <w:t>.</w:t>
      </w:r>
      <w:r>
        <w:t xml:space="preserve"> These challenges are exacerbated when patients with sight loss are provided with information in written formats which are inaccessible without assistance</w:t>
      </w:r>
      <w:r w:rsidR="000B174E">
        <w:t xml:space="preserve"> </w:t>
      </w:r>
      <w:r w:rsidR="00B638C4">
        <w:rPr>
          <w:vertAlign w:val="superscript"/>
        </w:rPr>
        <w:t>24-26</w:t>
      </w:r>
      <w:r w:rsidR="00B638C4">
        <w:t>.</w:t>
      </w:r>
    </w:p>
    <w:p w14:paraId="408B1342" w14:textId="77777777" w:rsidR="00AE31D6" w:rsidRDefault="00AE31D6" w:rsidP="00AE31D6">
      <w:pPr>
        <w:pStyle w:val="Heading1"/>
      </w:pPr>
      <w:r>
        <w:t>The current study</w:t>
      </w:r>
    </w:p>
    <w:p w14:paraId="408B1343" w14:textId="77777777" w:rsidR="00FE4077" w:rsidRDefault="00D32715" w:rsidP="00FE4077">
      <w:pPr>
        <w:pStyle w:val="Body"/>
      </w:pPr>
      <w:r>
        <w:t>The purpose of this qualitative study was to u</w:t>
      </w:r>
      <w:r w:rsidR="00FE4077">
        <w:t xml:space="preserve">nderstanding how older people </w:t>
      </w:r>
      <w:r>
        <w:t xml:space="preserve">with sight loss </w:t>
      </w:r>
      <w:r w:rsidR="00FE4077">
        <w:t xml:space="preserve">manage their general health </w:t>
      </w:r>
      <w:r>
        <w:t>and</w:t>
      </w:r>
      <w:r w:rsidR="00FE4077">
        <w:t xml:space="preserve"> to identify barriers and facilitators encountered by this patient group. </w:t>
      </w:r>
      <w:r>
        <w:t xml:space="preserve">The study also explored </w:t>
      </w:r>
      <w:r w:rsidR="00FE4077">
        <w:t xml:space="preserve">how </w:t>
      </w:r>
      <w:r>
        <w:t xml:space="preserve">older people with sight loss overcome barriers in order to </w:t>
      </w:r>
      <w:r w:rsidR="00FE4077">
        <w:t>aid the development of recommendations for</w:t>
      </w:r>
      <w:r w:rsidR="00AE31D6">
        <w:t xml:space="preserve"> rehabilitation and</w:t>
      </w:r>
      <w:r w:rsidR="00FE4077">
        <w:t xml:space="preserve"> improving health.</w:t>
      </w:r>
      <w:r>
        <w:t xml:space="preserve"> The research questions guiding this work included</w:t>
      </w:r>
      <w:r w:rsidR="00FE4077">
        <w:t>:</w:t>
      </w:r>
      <w:r w:rsidR="00FE4077" w:rsidRPr="00B4622B">
        <w:t xml:space="preserve"> </w:t>
      </w:r>
      <w:r>
        <w:t>(i</w:t>
      </w:r>
      <w:r w:rsidR="00FE4077">
        <w:t>) What barriers and facilitators to health management do older people with sight loss experience? (</w:t>
      </w:r>
      <w:r>
        <w:t>ii</w:t>
      </w:r>
      <w:r w:rsidR="00FE4077">
        <w:t>) What strategies do older people with sight loss use to manage their general health?</w:t>
      </w:r>
    </w:p>
    <w:p w14:paraId="408B1344" w14:textId="77777777" w:rsidR="00855802" w:rsidRDefault="00855802" w:rsidP="00D32715">
      <w:pPr>
        <w:pStyle w:val="Heading1"/>
      </w:pPr>
      <w:r w:rsidRPr="00E958D1">
        <w:t>Method</w:t>
      </w:r>
    </w:p>
    <w:p w14:paraId="408B1345" w14:textId="77777777" w:rsidR="00855802" w:rsidRPr="00B2505E" w:rsidRDefault="00855802" w:rsidP="00855802">
      <w:pPr>
        <w:spacing w:line="480" w:lineRule="auto"/>
        <w:rPr>
          <w:rFonts w:ascii="Calibri" w:hAnsi="Calibri"/>
        </w:rPr>
      </w:pPr>
      <w:r w:rsidRPr="00B2505E">
        <w:rPr>
          <w:rFonts w:ascii="Calibri" w:hAnsi="Calibri"/>
        </w:rPr>
        <w:t>Ethical and research and development permissions were obtained from the North Staffordshire NHS Research Ethics Committee, Aston University Ethics Committee and West Birmingham and Sandwell NHS Trust</w:t>
      </w:r>
    </w:p>
    <w:p w14:paraId="408B1346" w14:textId="77777777" w:rsidR="00855802" w:rsidRPr="00D32715" w:rsidRDefault="00D32715" w:rsidP="00D32715">
      <w:pPr>
        <w:pStyle w:val="Heading2"/>
      </w:pPr>
      <w:r>
        <w:lastRenderedPageBreak/>
        <w:t>Procedure</w:t>
      </w:r>
    </w:p>
    <w:p w14:paraId="408B1347" w14:textId="06C7F889" w:rsidR="00855802" w:rsidRDefault="00855802" w:rsidP="00855802">
      <w:pPr>
        <w:pStyle w:val="Body"/>
      </w:pPr>
      <w:r>
        <w:t>Eligible patients were identified by a Consultant Ophthalmologist or an Eye Clinic Liaison Officer</w:t>
      </w:r>
      <w:r w:rsidR="00165B31">
        <w:t xml:space="preserve"> (</w:t>
      </w:r>
      <w:r w:rsidR="0066437A" w:rsidRPr="0066437A">
        <w:rPr>
          <w:highlight w:val="yellow"/>
        </w:rPr>
        <w:t xml:space="preserve">clinic team member </w:t>
      </w:r>
      <w:r w:rsidR="00165B31" w:rsidRPr="0066437A">
        <w:rPr>
          <w:highlight w:val="yellow"/>
        </w:rPr>
        <w:t>responsible for helping patients make sense of their diagnosis, register</w:t>
      </w:r>
      <w:r w:rsidR="0066437A">
        <w:rPr>
          <w:highlight w:val="yellow"/>
        </w:rPr>
        <w:t>ing pateints</w:t>
      </w:r>
      <w:r w:rsidR="00165B31" w:rsidRPr="0066437A">
        <w:rPr>
          <w:highlight w:val="yellow"/>
        </w:rPr>
        <w:t xml:space="preserve"> as partially sighted and signpost</w:t>
      </w:r>
      <w:r w:rsidR="0066437A">
        <w:rPr>
          <w:highlight w:val="yellow"/>
        </w:rPr>
        <w:t>ing</w:t>
      </w:r>
      <w:r w:rsidR="00165B31" w:rsidRPr="0066437A">
        <w:rPr>
          <w:highlight w:val="yellow"/>
        </w:rPr>
        <w:t xml:space="preserve"> additional support services</w:t>
      </w:r>
      <w:r w:rsidR="00165B31">
        <w:t xml:space="preserve">) </w:t>
      </w:r>
      <w:r>
        <w:t>and provided with a large print information sheet. Consent to pass on contact details to the research team was obtained and patients were then contacted by phone to offer the opportunity to ask questions about the research and schedule an interview. In addition participants were recruited through local support groups for older adults with sight loss. The researcher introduced the study at group meetings and large print information sheets were distributed. Interested individuals were able to ask questions and provide their contact details. These individuals were then contacted by phone to arrange interviews. All participants gave written consent.</w:t>
      </w:r>
    </w:p>
    <w:p w14:paraId="408B1348" w14:textId="77777777" w:rsidR="00D32715" w:rsidRDefault="00D32715" w:rsidP="00D32715">
      <w:pPr>
        <w:pStyle w:val="Heading2"/>
      </w:pPr>
      <w:r>
        <w:t>Participants</w:t>
      </w:r>
    </w:p>
    <w:p w14:paraId="408B1349" w14:textId="77777777" w:rsidR="00D32715" w:rsidRDefault="00D32715" w:rsidP="00D32715">
      <w:pPr>
        <w:pStyle w:val="Body"/>
      </w:pPr>
      <w:r>
        <w:t xml:space="preserve">Thirty older adults with sight loss were recruited (20 from clinics and 10 from support groups). Participants were aged 69-95; 14 were male, 16 female; 15 lived alone, 13 with a partner, and 2 with a family member; 29 were white, 1 was South Asian. A wide variety of eye conditions were represented including AMD, glaucoma and diabetic retinopathy (see tables 1 and 2). </w:t>
      </w:r>
    </w:p>
    <w:p w14:paraId="408B134A" w14:textId="77777777" w:rsidR="00D32715" w:rsidRPr="007D4E15" w:rsidRDefault="00D32715" w:rsidP="00D32715">
      <w:pPr>
        <w:pStyle w:val="Body"/>
        <w:jc w:val="center"/>
        <w:rPr>
          <w:b/>
        </w:rPr>
      </w:pPr>
      <w:r w:rsidRPr="007D4E15">
        <w:rPr>
          <w:b/>
        </w:rPr>
        <w:t>INSERT TABLES 1 AND 2 ABOUT HERE</w:t>
      </w:r>
    </w:p>
    <w:p w14:paraId="408B134B" w14:textId="77777777" w:rsidR="00855802" w:rsidRPr="00E958D1" w:rsidRDefault="00855802" w:rsidP="00D32715">
      <w:pPr>
        <w:pStyle w:val="Heading1"/>
      </w:pPr>
      <w:r w:rsidRPr="00E958D1">
        <w:t>Data collection</w:t>
      </w:r>
    </w:p>
    <w:p w14:paraId="408B134C" w14:textId="77777777" w:rsidR="00855802" w:rsidRPr="00E958D1" w:rsidRDefault="00855802" w:rsidP="00D32715">
      <w:pPr>
        <w:pStyle w:val="Heading2"/>
      </w:pPr>
      <w:r>
        <w:t>Semi-structured i</w:t>
      </w:r>
      <w:r w:rsidRPr="00E958D1">
        <w:t>nterviews</w:t>
      </w:r>
    </w:p>
    <w:p w14:paraId="408B134D" w14:textId="77777777" w:rsidR="00855802" w:rsidRDefault="00855802" w:rsidP="00855802">
      <w:pPr>
        <w:pStyle w:val="Body"/>
      </w:pPr>
      <w:r>
        <w:t>An interview guide was created, informed by the literature and discussions of the project advisory group (made up of the research team, older people with sight loss, and representatives from the Macular Society, Vision 2020 UK Ltd and Thomas Pocklington Trust). The guide included open questions about:  participants</w:t>
      </w:r>
      <w:r>
        <w:rPr>
          <w:lang w:val="fr-FR"/>
        </w:rPr>
        <w:t xml:space="preserve">’ </w:t>
      </w:r>
      <w:r>
        <w:t xml:space="preserve">life contexts; eye conditions; engagement with health, social care and charity services; and engagement in health behaviours including diet and physical activity. Interviews lasted between 45 minutes and 2.5 hours, were audio-recorded and transcribed verbatim. </w:t>
      </w:r>
    </w:p>
    <w:p w14:paraId="408B134E" w14:textId="77777777" w:rsidR="00855802" w:rsidRPr="00E958D1" w:rsidRDefault="00855802" w:rsidP="00D32715">
      <w:pPr>
        <w:pStyle w:val="Heading2"/>
      </w:pPr>
      <w:r w:rsidRPr="00E958D1">
        <w:lastRenderedPageBreak/>
        <w:t>Measures</w:t>
      </w:r>
    </w:p>
    <w:p w14:paraId="408B134F" w14:textId="77777777" w:rsidR="00855802" w:rsidRDefault="00855802" w:rsidP="00855802">
      <w:pPr>
        <w:pStyle w:val="Body"/>
      </w:pPr>
      <w:r>
        <w:t>Participants recruited through clinics gave consent to access medical records which were used to determine visual function, eye condition diagnosis, and co</w:t>
      </w:r>
      <w:r>
        <w:rPr>
          <w:lang w:val="en-GB"/>
        </w:rPr>
        <w:t>-</w:t>
      </w:r>
      <w:r>
        <w:t xml:space="preserve">morbidities. For participants recruited through support groups, co-morbidities and eye condition diagnosis were self-reported and the National Eye Institute Visual Function Questionnaire (NEI VFQ-25) was administered to assess visual function.   </w:t>
      </w:r>
    </w:p>
    <w:p w14:paraId="408B1350" w14:textId="79D6E070" w:rsidR="00855802" w:rsidRDefault="00855802" w:rsidP="00855802">
      <w:pPr>
        <w:pStyle w:val="Body"/>
      </w:pPr>
      <w:r w:rsidRPr="00D32715">
        <w:rPr>
          <w:rStyle w:val="Heading1Char"/>
        </w:rPr>
        <w:t>Data analysis</w:t>
      </w:r>
      <w:r w:rsidRPr="00D32715">
        <w:rPr>
          <w:rStyle w:val="Heading1Char"/>
        </w:rPr>
        <w:br/>
      </w:r>
      <w:r w:rsidRPr="00835F53">
        <w:t>Thematic analysis</w:t>
      </w:r>
      <w:r w:rsidR="000B174E">
        <w:t xml:space="preserve"> </w:t>
      </w:r>
      <w:r w:rsidR="001631B7">
        <w:fldChar w:fldCharType="begin" w:fldLock="1"/>
      </w:r>
      <w:r w:rsidR="00A72FA5">
        <w:instrText>ADDIN CSL_CITATION { "citationItems" : [ { "id" : "ITEM-1", "itemData" : { "DOI" : "10.1191/1478088706qp063oa", "ISSN" : "1478-0887", "abstract" : "Thematic analysis is a poorly demarcated, rarely-acknowledged, yet widely-used qualitative analytic method within psychology. In this paper, we argue that it offers an accessible and theoretically-flexible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"author" : [ { "dropping-particle" : "", "family" : "Braun", "given" : "Virginia", "non-dropping-particle" : "", "parse-names" : false, "suffix" : "" }, { "dropping-particle" : "", "family" : "Clarke", "given" : "Victoria", "non-dropping-particle" : "", "parse-names" : false, "suffix" : "" } ], "container-title" : "Qualitative Research in Psychology", "id" : "ITEM-1", "issued" : { "date-parts" : [ [ "2006" ] ] }, "page" : "77-101", "title" : "Braun, V ., Clarke, V .Using thematic analysis in psychology., 3:2 (2006), 77-101.", "type" : "article-journal", "volume" : "3" }, "uris" : [ "http://www.mendeley.com/documents/?uuid=1027680d-099d-4206-84ec-267291e39473" ] } ], "mendeley" : { "formattedCitation" : "&lt;sup&gt;27&lt;/sup&gt;", "plainTextFormattedCitation" : "27", "previouslyFormattedCitation" : "&lt;sup&gt;27&lt;/sup&gt;" }, "properties" : { "noteIndex" : 0 }, "schema" : "https://github.com/citation-style-language/schema/raw/master/csl-citation.json" }</w:instrText>
      </w:r>
      <w:r w:rsidR="001631B7">
        <w:fldChar w:fldCharType="separate"/>
      </w:r>
      <w:r w:rsidR="00A72FA5" w:rsidRPr="00A72FA5">
        <w:rPr>
          <w:noProof/>
          <w:vertAlign w:val="superscript"/>
        </w:rPr>
        <w:t>27</w:t>
      </w:r>
      <w:r w:rsidR="001631B7">
        <w:fldChar w:fldCharType="end"/>
      </w:r>
      <w:r w:rsidR="000B174E">
        <w:t xml:space="preserve"> </w:t>
      </w:r>
      <w:r w:rsidRPr="00835F53">
        <w:t xml:space="preserve">was conducted </w:t>
      </w:r>
      <w:r w:rsidR="0066437A" w:rsidRPr="0066437A">
        <w:rPr>
          <w:highlight w:val="yellow"/>
        </w:rPr>
        <w:t>assisted by</w:t>
      </w:r>
      <w:r w:rsidR="0066437A">
        <w:t xml:space="preserve"> computer software (NVivo).  </w:t>
      </w:r>
      <w:r>
        <w:t>Data were coded in an iterative manner</w:t>
      </w:r>
      <w:r w:rsidR="0066437A">
        <w:t xml:space="preserve"> </w:t>
      </w:r>
      <w:r w:rsidR="0066437A" w:rsidRPr="0066437A">
        <w:rPr>
          <w:highlight w:val="yellow"/>
        </w:rPr>
        <w:t>by the first and third authors and developing codes were discussed during meetings</w:t>
      </w:r>
      <w:r w:rsidRPr="0066437A">
        <w:rPr>
          <w:highlight w:val="yellow"/>
        </w:rPr>
        <w:t xml:space="preserve"> with the Project Advisory Group</w:t>
      </w:r>
      <w:r w:rsidR="0066437A">
        <w:t>. T</w:t>
      </w:r>
      <w:r>
        <w:t xml:space="preserve">he initial coding frame was modified as new themes were identified in subsequent </w:t>
      </w:r>
      <w:r w:rsidR="0066437A" w:rsidRPr="0066437A">
        <w:rPr>
          <w:highlight w:val="yellow"/>
        </w:rPr>
        <w:t>participant</w:t>
      </w:r>
      <w:r w:rsidR="0066437A">
        <w:t xml:space="preserve"> </w:t>
      </w:r>
      <w:r>
        <w:t xml:space="preserve">cases </w:t>
      </w:r>
      <w:r w:rsidR="0066437A" w:rsidRPr="0066437A">
        <w:rPr>
          <w:highlight w:val="yellow"/>
        </w:rPr>
        <w:t>as part of a</w:t>
      </w:r>
      <w:r>
        <w:t xml:space="preserve"> cyclical process. The final set of themes </w:t>
      </w:r>
      <w:r w:rsidRPr="0066437A">
        <w:rPr>
          <w:highlight w:val="yellow"/>
        </w:rPr>
        <w:t>w</w:t>
      </w:r>
      <w:r w:rsidR="0066437A">
        <w:rPr>
          <w:highlight w:val="yellow"/>
        </w:rPr>
        <w:t>ere</w:t>
      </w:r>
      <w:r w:rsidR="0066437A" w:rsidRPr="0066437A">
        <w:rPr>
          <w:highlight w:val="yellow"/>
        </w:rPr>
        <w:t xml:space="preserve"> presented to the</w:t>
      </w:r>
      <w:r>
        <w:t xml:space="preserve"> Project Advisory Group </w:t>
      </w:r>
      <w:r w:rsidR="00152D60" w:rsidRPr="00152D60">
        <w:rPr>
          <w:highlight w:val="yellow"/>
        </w:rPr>
        <w:t xml:space="preserve">for discussion </w:t>
      </w:r>
      <w:r w:rsidR="0066437A" w:rsidRPr="00152D60">
        <w:rPr>
          <w:highlight w:val="yellow"/>
        </w:rPr>
        <w:t xml:space="preserve">and it was agreed that these </w:t>
      </w:r>
      <w:r w:rsidR="0066437A" w:rsidRPr="0066437A">
        <w:rPr>
          <w:highlight w:val="yellow"/>
        </w:rPr>
        <w:t>represented</w:t>
      </w:r>
      <w:r>
        <w:t xml:space="preserve"> participants’ concerns and convey</w:t>
      </w:r>
      <w:r w:rsidR="0066437A">
        <w:t>ed</w:t>
      </w:r>
      <w:r>
        <w:t xml:space="preserve"> the meaning of their experiences.</w:t>
      </w:r>
    </w:p>
    <w:p w14:paraId="408B1351" w14:textId="77777777" w:rsidR="00855802" w:rsidRDefault="00D32715" w:rsidP="00D32715">
      <w:pPr>
        <w:pStyle w:val="Heading2"/>
      </w:pPr>
      <w:r>
        <w:t>Results</w:t>
      </w:r>
    </w:p>
    <w:p w14:paraId="408B1352" w14:textId="77777777" w:rsidR="00D32715" w:rsidRDefault="00D32715" w:rsidP="00855802">
      <w:pPr>
        <w:pStyle w:val="Body"/>
      </w:pPr>
    </w:p>
    <w:p w14:paraId="408B1353" w14:textId="77777777" w:rsidR="00855802" w:rsidRPr="00CC1FBA" w:rsidRDefault="00855802" w:rsidP="00855802">
      <w:pPr>
        <w:pStyle w:val="Body"/>
      </w:pPr>
      <w:r>
        <w:t>Four main themes are presented: managing complex health needs, access to information, health behaviours, and maintaining wellbeing.</w:t>
      </w:r>
      <w:r w:rsidR="00D32715">
        <w:t xml:space="preserve"> Barriers and facilitators to health management and strategies and techniques for managing health in relation to each of these issues is discussed.</w:t>
      </w:r>
    </w:p>
    <w:p w14:paraId="408B1354" w14:textId="77777777" w:rsidR="00855802" w:rsidRDefault="00855802" w:rsidP="00D32715">
      <w:pPr>
        <w:pStyle w:val="Heading2"/>
      </w:pPr>
      <w:r>
        <w:t>Managing complex health needs</w:t>
      </w:r>
    </w:p>
    <w:p w14:paraId="408B1355" w14:textId="77777777" w:rsidR="00855802" w:rsidRDefault="00855802" w:rsidP="00855802">
      <w:pPr>
        <w:pStyle w:val="Body"/>
      </w:pPr>
      <w:r>
        <w:t xml:space="preserve">As well as sight loss, all participants lived with long-term conditions including angina, arthritis, cancer, diabetes, hypertension, and osteoporosis; others had experienced stroke, heart attack, and kidney failure. Managing multiple conditions usually required multiple </w:t>
      </w:r>
      <w:r>
        <w:rPr>
          <w:lang w:val="en-GB"/>
        </w:rPr>
        <w:t xml:space="preserve">clinic </w:t>
      </w:r>
      <w:r>
        <w:t xml:space="preserve">appointments, and medications. This posed problems when medications interacted and caused side effects. </w:t>
      </w:r>
    </w:p>
    <w:p w14:paraId="408B1356" w14:textId="77777777" w:rsidR="00855802" w:rsidRDefault="00855802" w:rsidP="00855802">
      <w:pPr>
        <w:pStyle w:val="Quote"/>
      </w:pPr>
      <w:r>
        <w:t>“</w:t>
      </w:r>
      <w:r>
        <w:rPr>
          <w:rFonts w:ascii="Courier New"/>
        </w:rPr>
        <w:t xml:space="preserve">The doctor at [the hospital] said, </w:t>
      </w:r>
      <w:r>
        <w:t>‘</w:t>
      </w:r>
      <w:r>
        <w:rPr>
          <w:rFonts w:ascii="Courier New"/>
        </w:rPr>
        <w:t xml:space="preserve">I want you to take these tablets because it will help with the bleeding at the back of </w:t>
      </w:r>
      <w:r>
        <w:rPr>
          <w:rFonts w:ascii="Courier New"/>
        </w:rPr>
        <w:lastRenderedPageBreak/>
        <w:t>the eyes.</w:t>
      </w:r>
      <w:r>
        <w:t xml:space="preserve">’ </w:t>
      </w:r>
      <w:r>
        <w:rPr>
          <w:rFonts w:ascii="Courier New"/>
        </w:rPr>
        <w:t xml:space="preserve">So I said, </w:t>
      </w:r>
      <w:r>
        <w:t>‘</w:t>
      </w:r>
      <w:r>
        <w:rPr>
          <w:rFonts w:ascii="Courier New"/>
        </w:rPr>
        <w:t>OK</w:t>
      </w:r>
      <w:r>
        <w:t>’</w:t>
      </w:r>
      <w:r>
        <w:rPr>
          <w:rFonts w:ascii="Courier New"/>
        </w:rPr>
        <w:t xml:space="preserve">. She said, </w:t>
      </w:r>
      <w:r>
        <w:t>‘</w:t>
      </w:r>
      <w:r>
        <w:rPr>
          <w:rFonts w:ascii="Courier New"/>
        </w:rPr>
        <w:t>See your doctor and ask them to prescribe</w:t>
      </w:r>
      <w:r>
        <w:t>’</w:t>
      </w:r>
      <w:r>
        <w:rPr>
          <w:rFonts w:ascii="Courier New"/>
        </w:rPr>
        <w:t xml:space="preserve">, and she gave me a note, like, to give to my doctor. I took that down and the doctor seemed a bit dubious about giving them to me because I was taking cholesterol tablets. And she said that one of the side effects is muscle ache. So I thought, </w:t>
      </w:r>
      <w:r>
        <w:t>‘</w:t>
      </w:r>
      <w:r>
        <w:rPr>
          <w:rFonts w:ascii="Courier New"/>
        </w:rPr>
        <w:t>Well, that</w:t>
      </w:r>
      <w:r>
        <w:t>’</w:t>
      </w:r>
      <w:r>
        <w:rPr>
          <w:rFonts w:ascii="Courier New"/>
        </w:rPr>
        <w:t>s alright, like you know, I</w:t>
      </w:r>
      <w:r>
        <w:t>’</w:t>
      </w:r>
      <w:r>
        <w:rPr>
          <w:rFonts w:ascii="Courier New"/>
        </w:rPr>
        <w:t>ll just cope with it.</w:t>
      </w:r>
      <w:r>
        <w:t xml:space="preserve">’ </w:t>
      </w:r>
      <w:r>
        <w:rPr>
          <w:rFonts w:ascii="Courier New"/>
        </w:rPr>
        <w:t>But oh God, it</w:t>
      </w:r>
      <w:r>
        <w:t>’</w:t>
      </w:r>
      <w:r>
        <w:rPr>
          <w:rFonts w:ascii="Courier New"/>
        </w:rPr>
        <w:t>s terrible! The pain in my arms and my back and my legs. I can</w:t>
      </w:r>
      <w:r>
        <w:t>’</w:t>
      </w:r>
      <w:r>
        <w:rPr>
          <w:rFonts w:ascii="Courier New"/>
        </w:rPr>
        <w:t>t walk now. I mean before I started taking them I was right as anything like, you know. But I</w:t>
      </w:r>
      <w:r>
        <w:t>’</w:t>
      </w:r>
      <w:r>
        <w:rPr>
          <w:rFonts w:ascii="Courier New"/>
        </w:rPr>
        <w:t>ve told them but they said it</w:t>
      </w:r>
      <w:r>
        <w:t>’</w:t>
      </w:r>
      <w:r>
        <w:rPr>
          <w:rFonts w:ascii="Courier New"/>
        </w:rPr>
        <w:t>s the lesser of two evils really. But I would sooner that than my eyes get worse, you know.</w:t>
      </w:r>
      <w:r>
        <w:t xml:space="preserve">” </w:t>
      </w:r>
      <w:r>
        <w:rPr>
          <w:rFonts w:ascii="Courier New"/>
        </w:rPr>
        <w:t>(Marion)</w:t>
      </w:r>
    </w:p>
    <w:p w14:paraId="408B1357" w14:textId="77777777" w:rsidR="00855802" w:rsidRDefault="00855802" w:rsidP="00855802">
      <w:pPr>
        <w:pStyle w:val="Body"/>
      </w:pPr>
    </w:p>
    <w:p w14:paraId="408B1358" w14:textId="77777777" w:rsidR="00855802" w:rsidRDefault="00855802" w:rsidP="00855802">
      <w:pPr>
        <w:pStyle w:val="Body"/>
      </w:pPr>
      <w:r>
        <w:t xml:space="preserve">The extract above demonstrates the dilemmas experienced but also the pain participants were willing to suffer to prevent their vision from deteriorating further. Despite these challenges participants reported a variety of strategies and techniques to overcome problems faced (see </w:t>
      </w:r>
      <w:r w:rsidR="00993520">
        <w:t>supplementary file</w:t>
      </w:r>
      <w:r>
        <w:t xml:space="preserve"> for a full list by theme) for example, the majority took multiple medications without difficulty and most were able to manage by devising a routine.</w:t>
      </w:r>
    </w:p>
    <w:p w14:paraId="408B1359" w14:textId="77777777" w:rsidR="00855802" w:rsidRDefault="00855802" w:rsidP="00855802">
      <w:pPr>
        <w:pStyle w:val="Quote"/>
      </w:pPr>
      <w:r>
        <w:rPr>
          <w:rFonts w:ascii="Courier New"/>
        </w:rPr>
        <w:t>I am pretty good because I do have a routine of taking [medications] at certain times of the day or having them after specific meals or just before you go to bed, you know?  So you do tend to remember them. (Bill)</w:t>
      </w:r>
    </w:p>
    <w:p w14:paraId="408B135A" w14:textId="77777777" w:rsidR="00855802" w:rsidRDefault="00855802" w:rsidP="00855802">
      <w:pPr>
        <w:pStyle w:val="BodyA"/>
        <w:spacing w:line="480" w:lineRule="auto"/>
      </w:pPr>
    </w:p>
    <w:p w14:paraId="408B135B" w14:textId="77777777" w:rsidR="00855802" w:rsidRPr="00E958D1" w:rsidRDefault="00855802" w:rsidP="00855802">
      <w:pPr>
        <w:pStyle w:val="BodyA"/>
        <w:spacing w:line="480" w:lineRule="auto"/>
      </w:pPr>
      <w:r w:rsidRPr="00E958D1">
        <w:t>Others used the blister packets prepared by pharmacists (which organise tablets by days of the week) but one participant complained about them saying, “</w:t>
      </w:r>
      <w:r w:rsidRPr="005608F1">
        <w:rPr>
          <w:i/>
        </w:rPr>
        <w:t>I declined those because once you open the pack the tablets inside spring everywhere and it’s difficult then for me to collect them up and take them</w:t>
      </w:r>
      <w:r w:rsidRPr="00E958D1">
        <w:t>” (George).</w:t>
      </w:r>
      <w:r>
        <w:rPr>
          <w:rFonts w:ascii="Times New Roman"/>
        </w:rPr>
        <w:t xml:space="preserve"> </w:t>
      </w:r>
      <w:r w:rsidRPr="00E958D1">
        <w:t>Another participant was worried about her daughter’s dog finding and eating tablets that had fallen on the floor and becoming ill.</w:t>
      </w:r>
    </w:p>
    <w:p w14:paraId="408B135C" w14:textId="77777777" w:rsidR="00855802" w:rsidRDefault="00855802" w:rsidP="00855802">
      <w:pPr>
        <w:pStyle w:val="Quote"/>
      </w:pPr>
      <w:r>
        <w:rPr>
          <w:rFonts w:ascii="Courier New"/>
        </w:rPr>
        <w:t>[My daughter] has to go round the bedroom looking for tablets before she gets the dog off the lead.  Because I've dropped them sometimes and I can't see to pick them up, so I just leave them. (Margaret)</w:t>
      </w:r>
    </w:p>
    <w:p w14:paraId="408B135D" w14:textId="77777777" w:rsidR="00855802" w:rsidRDefault="00855802" w:rsidP="00855802">
      <w:pPr>
        <w:pStyle w:val="Body"/>
      </w:pPr>
    </w:p>
    <w:p w14:paraId="408B135E" w14:textId="77777777" w:rsidR="00855802" w:rsidRDefault="00855802" w:rsidP="00855802">
      <w:pPr>
        <w:pStyle w:val="Body"/>
      </w:pPr>
      <w:r>
        <w:lastRenderedPageBreak/>
        <w:t>Another challenge was attending appointments and many participants reported not going to the doctors</w:t>
      </w:r>
      <w:r>
        <w:rPr>
          <w:lang w:val="fr-FR"/>
        </w:rPr>
        <w:t xml:space="preserve">’ </w:t>
      </w:r>
      <w:r>
        <w:t xml:space="preserve">surgery for fear of falling, inadequate public transport and no other means by which to get there, except for those who felt they could afford it, by taxi. This was particularly prohibitive in the winter months. Some participants, especially those living with their partner, were happy to walk to the surgery if they lived close by in the summer months but would be practically housebound in the winter. </w:t>
      </w:r>
    </w:p>
    <w:p w14:paraId="408B135F" w14:textId="77777777" w:rsidR="00855802" w:rsidRDefault="00855802" w:rsidP="00855802">
      <w:pPr>
        <w:pStyle w:val="Quote"/>
      </w:pPr>
      <w:r>
        <w:t>“</w:t>
      </w:r>
      <w:r>
        <w:rPr>
          <w:rFonts w:ascii="Courier New"/>
        </w:rPr>
        <w:t>If it</w:t>
      </w:r>
      <w:r>
        <w:t>’</w:t>
      </w:r>
      <w:r>
        <w:rPr>
          <w:rFonts w:ascii="Courier New"/>
        </w:rPr>
        <w:t>s an early appointment, we always go in a taxi. If it</w:t>
      </w:r>
      <w:r>
        <w:t>’</w:t>
      </w:r>
      <w:r>
        <w:rPr>
          <w:rFonts w:ascii="Courier New"/>
        </w:rPr>
        <w:t>s a later appointment, and it</w:t>
      </w:r>
      <w:r>
        <w:t>’</w:t>
      </w:r>
      <w:r>
        <w:rPr>
          <w:rFonts w:ascii="Courier New"/>
        </w:rPr>
        <w:t xml:space="preserve">s a very nice day </w:t>
      </w:r>
      <w:r>
        <w:t xml:space="preserve">– </w:t>
      </w:r>
      <w:r>
        <w:rPr>
          <w:rFonts w:ascii="Courier New"/>
        </w:rPr>
        <w:t>if I went out today and had to walk to the doctors, I couldn</w:t>
      </w:r>
      <w:r>
        <w:t>’</w:t>
      </w:r>
      <w:r>
        <w:rPr>
          <w:rFonts w:ascii="Courier New"/>
        </w:rPr>
        <w:t>t because I wouldn</w:t>
      </w:r>
      <w:r>
        <w:t>’</w:t>
      </w:r>
      <w:r>
        <w:rPr>
          <w:rFonts w:ascii="Courier New"/>
        </w:rPr>
        <w:t>t be able to breathe with the cold air. But in the summer months, we try, we go on the bus which is only one stop, then it</w:t>
      </w:r>
      <w:r>
        <w:t>’</w:t>
      </w:r>
      <w:r>
        <w:rPr>
          <w:rFonts w:ascii="Courier New"/>
        </w:rPr>
        <w:t>s a walk, a four or five minute walk. Not so far. But we are tending to use the taxi more than we are the bus.</w:t>
      </w:r>
      <w:r>
        <w:t xml:space="preserve">” </w:t>
      </w:r>
      <w:r>
        <w:rPr>
          <w:rFonts w:ascii="Courier New"/>
        </w:rPr>
        <w:t xml:space="preserve">(Henry) </w:t>
      </w:r>
    </w:p>
    <w:p w14:paraId="408B1360" w14:textId="77777777" w:rsidR="00855802" w:rsidRDefault="00855802" w:rsidP="00855802">
      <w:pPr>
        <w:pStyle w:val="Body"/>
      </w:pPr>
    </w:p>
    <w:p w14:paraId="408B1361" w14:textId="77777777" w:rsidR="00855802" w:rsidRDefault="00855802" w:rsidP="00855802">
      <w:pPr>
        <w:pStyle w:val="Body"/>
      </w:pPr>
      <w:r>
        <w:t>Other participants reported depending on their family for lifts to hospital and surgery appointments. Some participants did not have family or friends to rely on and without knowledge of services available to help them get to appointments could go for months without appropriate care. Access to information was a significant barrier to health management for these participants.</w:t>
      </w:r>
    </w:p>
    <w:p w14:paraId="408B1362" w14:textId="77777777" w:rsidR="00855802" w:rsidRDefault="00855802" w:rsidP="00D32715">
      <w:pPr>
        <w:pStyle w:val="Heading2"/>
      </w:pPr>
      <w:r>
        <w:t xml:space="preserve">Access to information </w:t>
      </w:r>
    </w:p>
    <w:p w14:paraId="408B1363" w14:textId="77777777" w:rsidR="00855802" w:rsidRDefault="00855802" w:rsidP="00855802">
      <w:pPr>
        <w:pStyle w:val="Body"/>
      </w:pPr>
      <w:r>
        <w:t>Examples of challenges when accessing information included being dependent on friends and family to read letters informing them of appointments and lack of knowledge about transport services. A few participants knew about the hospital taxi service for getting patients to their appointments, but none was aware of the local government provision (available at the time of interview) of Dial-a-Ride services for people on Disability Living Allowance to access healthcare services</w:t>
      </w:r>
      <w:r>
        <w:rPr>
          <w:lang w:val="en-GB"/>
        </w:rPr>
        <w:t>.</w:t>
      </w:r>
    </w:p>
    <w:p w14:paraId="408B1364" w14:textId="77777777" w:rsidR="00855802" w:rsidRDefault="00855802" w:rsidP="00855802">
      <w:pPr>
        <w:pStyle w:val="Body"/>
      </w:pPr>
      <w:r>
        <w:t xml:space="preserve">Problems with multiple health conditions were made worse by poor relationships with </w:t>
      </w:r>
      <w:r>
        <w:rPr>
          <w:lang w:val="en-GB"/>
        </w:rPr>
        <w:t>General Practice doctors (GP)</w:t>
      </w:r>
      <w:r>
        <w:t xml:space="preserve"> which acted as another barrier to information and appointment attendance. </w:t>
      </w:r>
    </w:p>
    <w:p w14:paraId="408B1365" w14:textId="77777777" w:rsidR="00855802" w:rsidRDefault="00855802" w:rsidP="00855802">
      <w:pPr>
        <w:pStyle w:val="Quote"/>
      </w:pPr>
      <w:r>
        <w:lastRenderedPageBreak/>
        <w:t>“</w:t>
      </w:r>
      <w:r>
        <w:rPr>
          <w:rFonts w:ascii="Courier New"/>
        </w:rPr>
        <w:t>I don</w:t>
      </w:r>
      <w:r>
        <w:t>’</w:t>
      </w:r>
      <w:r>
        <w:rPr>
          <w:rFonts w:ascii="Courier New"/>
        </w:rPr>
        <w:t>t have the confidence in the doctors so much. So unless it was something really, really desperate that I couldn</w:t>
      </w:r>
      <w:r>
        <w:t>’</w:t>
      </w:r>
      <w:r>
        <w:rPr>
          <w:rFonts w:ascii="Courier New"/>
        </w:rPr>
        <w:t>t work out for myself, I won</w:t>
      </w:r>
      <w:r>
        <w:t>’</w:t>
      </w:r>
      <w:r>
        <w:rPr>
          <w:rFonts w:ascii="Courier New"/>
        </w:rPr>
        <w:t>t be going.</w:t>
      </w:r>
      <w:r>
        <w:t>”</w:t>
      </w:r>
      <w:r>
        <w:rPr>
          <w:rFonts w:ascii="Courier New"/>
        </w:rPr>
        <w:t xml:space="preserve"> (Joyce) </w:t>
      </w:r>
    </w:p>
    <w:p w14:paraId="408B1366" w14:textId="77777777" w:rsidR="00855802" w:rsidRDefault="00855802" w:rsidP="00855802">
      <w:pPr>
        <w:pStyle w:val="Body"/>
      </w:pPr>
    </w:p>
    <w:p w14:paraId="408B1367" w14:textId="77777777" w:rsidR="00855802" w:rsidRDefault="00855802" w:rsidP="00855802">
      <w:pPr>
        <w:pStyle w:val="Body"/>
      </w:pPr>
      <w:r>
        <w:t xml:space="preserve">One </w:t>
      </w:r>
      <w:r>
        <w:rPr>
          <w:lang w:val="en-GB"/>
        </w:rPr>
        <w:t>perceived</w:t>
      </w:r>
      <w:r>
        <w:t xml:space="preserve"> risk was being prescribed new medications that would interact with current medication regimens and have a negative impact on health. One patient</w:t>
      </w:r>
      <w:r>
        <w:rPr>
          <w:lang w:val="fr-FR"/>
        </w:rPr>
        <w:t>’</w:t>
      </w:r>
      <w:r>
        <w:t>s experience suggested that some GPs may not be adequately informed about individuals</w:t>
      </w:r>
      <w:r>
        <w:rPr>
          <w:lang w:val="fr-FR"/>
        </w:rPr>
        <w:t xml:space="preserve">’ </w:t>
      </w:r>
      <w:r>
        <w:t>co-morbidities to ensure conflicting medications are not prescribed:</w:t>
      </w:r>
    </w:p>
    <w:p w14:paraId="408B1368" w14:textId="77777777" w:rsidR="00855802" w:rsidRDefault="00855802" w:rsidP="00855802">
      <w:pPr>
        <w:pStyle w:val="Quote"/>
      </w:pPr>
      <w:r>
        <w:rPr>
          <w:rFonts w:ascii="Courier New"/>
        </w:rPr>
        <w:t>Interviewer: how do you access or find out health information?</w:t>
      </w:r>
    </w:p>
    <w:p w14:paraId="408B1369" w14:textId="77777777" w:rsidR="00855802" w:rsidRDefault="00855802" w:rsidP="00855802">
      <w:pPr>
        <w:pStyle w:val="Quote"/>
        <w:rPr>
          <w:rFonts w:ascii="Courier New"/>
        </w:rPr>
      </w:pPr>
      <w:r>
        <w:rPr>
          <w:rFonts w:ascii="Courier New"/>
        </w:rPr>
        <w:t>Mary:</w:t>
      </w:r>
      <w:r>
        <w:rPr>
          <w:rFonts w:ascii="Courier New"/>
        </w:rPr>
        <w:tab/>
        <w:t>I don't.[...]Well</w:t>
      </w:r>
      <w:r>
        <w:t>…</w:t>
      </w:r>
      <w:r>
        <w:rPr>
          <w:rFonts w:ascii="Courier New"/>
        </w:rPr>
        <w:t xml:space="preserve">they've never mentioned my eyesight the doctors haven't to me never. I remember years ago when I was going to the hospital they said, </w:t>
      </w:r>
      <w:r>
        <w:t>‘</w:t>
      </w:r>
      <w:r>
        <w:rPr>
          <w:rFonts w:ascii="Courier New"/>
        </w:rPr>
        <w:t>Watch what your doctor gives you because they'll give you tablets that'll send your pressure up</w:t>
      </w:r>
      <w:r>
        <w:t xml:space="preserve">’ </w:t>
      </w:r>
      <w:r>
        <w:rPr>
          <w:rFonts w:ascii="Courier New"/>
        </w:rPr>
        <w:t xml:space="preserve">and the doctors just give you things.  And I say, </w:t>
      </w:r>
      <w:r>
        <w:t>‘</w:t>
      </w:r>
      <w:r>
        <w:rPr>
          <w:rFonts w:ascii="Courier New"/>
        </w:rPr>
        <w:t>is that all right with glaucoma?</w:t>
      </w:r>
      <w:r>
        <w:t>’</w:t>
      </w:r>
      <w:r>
        <w:rPr>
          <w:rFonts w:ascii="Courier New"/>
        </w:rPr>
        <w:t xml:space="preserve">, </w:t>
      </w:r>
      <w:r>
        <w:t>‘</w:t>
      </w:r>
      <w:r>
        <w:rPr>
          <w:rFonts w:ascii="Courier New"/>
        </w:rPr>
        <w:t>oh, no, no</w:t>
      </w:r>
      <w:r>
        <w:t>’</w:t>
      </w:r>
      <w:r>
        <w:rPr>
          <w:rFonts w:ascii="Courier New"/>
        </w:rPr>
        <w:t>, they say.</w:t>
      </w:r>
    </w:p>
    <w:p w14:paraId="408B136A" w14:textId="77777777" w:rsidR="00855802" w:rsidRPr="00390D90" w:rsidRDefault="00855802" w:rsidP="00855802"/>
    <w:p w14:paraId="408B136B" w14:textId="77777777" w:rsidR="00855802" w:rsidRDefault="00855802" w:rsidP="00855802">
      <w:pPr>
        <w:pStyle w:val="Body"/>
      </w:pPr>
      <w:r>
        <w:t>As a regular point of contact</w:t>
      </w:r>
      <w:r>
        <w:rPr>
          <w:lang w:val="en-GB"/>
        </w:rPr>
        <w:t>, participants felt</w:t>
      </w:r>
      <w:r>
        <w:t xml:space="preserve"> it would be useful if GPs were aware of the limitations sight loss could pose when combined with other health complaints. Routine primary care for older people with sight loss in which all aspects of health are discussed is needed to better co</w:t>
      </w:r>
      <w:r>
        <w:rPr>
          <w:lang w:val="en-GB"/>
        </w:rPr>
        <w:t>-</w:t>
      </w:r>
      <w:r>
        <w:t>ordinate care and reduce negative health outcomes.</w:t>
      </w:r>
    </w:p>
    <w:p w14:paraId="408B136C" w14:textId="77777777" w:rsidR="00855802" w:rsidRDefault="00855802" w:rsidP="00855802">
      <w:pPr>
        <w:pStyle w:val="Body"/>
      </w:pPr>
      <w:r>
        <w:t>One important source of information for some participants was support groups. For example, Henry did not attend a support group for his own condition (wet AMD and diabetes) but had previously joined his wife in attending groups for her glaucoma.</w:t>
      </w:r>
    </w:p>
    <w:p w14:paraId="408B136D" w14:textId="77777777" w:rsidR="00855802" w:rsidRDefault="00855802" w:rsidP="00855802">
      <w:pPr>
        <w:pStyle w:val="Quote"/>
      </w:pPr>
      <w:r>
        <w:rPr>
          <w:rFonts w:ascii="Courier New"/>
        </w:rPr>
        <w:t>[My wife] used to go to a meeting every month with the glaucoma.  Which they held by the hospital in [town].  They were very, very good.  Excellent, marvellous speakers giving you advice and giving you things to help you. They were excellent.  But, no, I'm not affiliated to..  I'm not a member of any</w:t>
      </w:r>
      <w:r w:rsidDel="00636E38">
        <w:t xml:space="preserve"> </w:t>
      </w:r>
      <w:r>
        <w:t xml:space="preserve"> </w:t>
      </w:r>
      <w:r>
        <w:rPr>
          <w:rFonts w:ascii="Courier New"/>
        </w:rPr>
        <w:t>[..] whenever [my wife] went to the meetings, I went with her.  And this lady was talking about aids for reading and that.  She made me an appointment.  And that was through</w:t>
      </w:r>
      <w:r>
        <w:t xml:space="preserve">… </w:t>
      </w:r>
      <w:r>
        <w:rPr>
          <w:rFonts w:ascii="Courier New"/>
        </w:rPr>
        <w:lastRenderedPageBreak/>
        <w:t>when she came to give a talk with the glaucoma.  But I've never been in any society. (Henry)</w:t>
      </w:r>
    </w:p>
    <w:p w14:paraId="408B136E" w14:textId="77777777" w:rsidR="00855802" w:rsidRDefault="00855802" w:rsidP="00855802">
      <w:pPr>
        <w:pStyle w:val="Body"/>
      </w:pPr>
    </w:p>
    <w:p w14:paraId="408B136F" w14:textId="77777777" w:rsidR="00855802" w:rsidRDefault="00855802" w:rsidP="00855802">
      <w:pPr>
        <w:pStyle w:val="Body"/>
      </w:pPr>
      <w:r>
        <w:t>Through access to this group Henry was able to get information and advice and was even referred for an assessment for magnifying glasses.</w:t>
      </w:r>
      <w:r>
        <w:rPr>
          <w:lang w:val="en-GB"/>
        </w:rPr>
        <w:t xml:space="preserve"> This suggests that</w:t>
      </w:r>
      <w:r>
        <w:t xml:space="preserve"> condition specific support groups</w:t>
      </w:r>
      <w:r>
        <w:rPr>
          <w:lang w:val="en-GB"/>
        </w:rPr>
        <w:t xml:space="preserve"> may not always be required;</w:t>
      </w:r>
      <w:r>
        <w:t xml:space="preserve"> a general source of information about sight loss </w:t>
      </w:r>
      <w:r>
        <w:rPr>
          <w:lang w:val="en-GB"/>
        </w:rPr>
        <w:t>for</w:t>
      </w:r>
      <w:r>
        <w:t xml:space="preserve"> older people may be sufficient to make a difference to the lives of patients and help them manage their general health. </w:t>
      </w:r>
    </w:p>
    <w:p w14:paraId="408B1370" w14:textId="77777777" w:rsidR="00855802" w:rsidRDefault="00855802" w:rsidP="00D32715">
      <w:pPr>
        <w:pStyle w:val="Heading2"/>
      </w:pPr>
      <w:r>
        <w:t>Health behaviours</w:t>
      </w:r>
    </w:p>
    <w:p w14:paraId="408B1371" w14:textId="77777777" w:rsidR="00855802" w:rsidRDefault="00855802" w:rsidP="00855802">
      <w:pPr>
        <w:pStyle w:val="Body"/>
      </w:pPr>
      <w:r>
        <w:t>Health behaviours are those activities of everyday life which are protective and help prevent lifestyle-related conditions, such as diabetes, from getting worse, e.g., eating a healthy diet and being physically active. A fear of falling prevented many participants from physical activity outside of the home.</w:t>
      </w:r>
    </w:p>
    <w:p w14:paraId="408B1372" w14:textId="77777777" w:rsidR="00855802" w:rsidRDefault="00855802" w:rsidP="00855802">
      <w:pPr>
        <w:pStyle w:val="Quote"/>
        <w:rPr>
          <w:rFonts w:ascii="Times New Roman" w:eastAsia="Times New Roman" w:hAnsi="Times New Roman" w:cs="Times New Roman"/>
        </w:rPr>
      </w:pPr>
      <w:r>
        <w:t>“</w:t>
      </w:r>
      <w:r>
        <w:rPr>
          <w:rFonts w:ascii="Courier New"/>
        </w:rPr>
        <w:t>I try not to go out unless there</w:t>
      </w:r>
      <w:r>
        <w:t>’</w:t>
      </w:r>
      <w:r>
        <w:rPr>
          <w:rFonts w:ascii="Courier New"/>
        </w:rPr>
        <w:t>s somebody holding me up like, because in point of fact I have fallen now on five occasions and it</w:t>
      </w:r>
      <w:r>
        <w:t>’</w:t>
      </w:r>
      <w:r>
        <w:rPr>
          <w:rFonts w:ascii="Courier New"/>
        </w:rPr>
        <w:t>s only about five, maybe six weeks ago that I was cut underneath my nose, there, all the way down inside my lip and I had ten stitches.</w:t>
      </w:r>
      <w:r>
        <w:t>”</w:t>
      </w:r>
      <w:r>
        <w:rPr>
          <w:rFonts w:ascii="Courier New"/>
        </w:rPr>
        <w:t xml:space="preserve"> (George) </w:t>
      </w:r>
      <w:r>
        <w:rPr>
          <w:rFonts w:ascii="Times New Roman"/>
        </w:rPr>
        <w:t xml:space="preserve"> </w:t>
      </w:r>
    </w:p>
    <w:p w14:paraId="408B1373" w14:textId="77777777" w:rsidR="00855802" w:rsidRDefault="00855802" w:rsidP="00855802">
      <w:pPr>
        <w:pStyle w:val="Body"/>
      </w:pPr>
    </w:p>
    <w:p w14:paraId="408B1374" w14:textId="77777777" w:rsidR="00855802" w:rsidRDefault="00855802" w:rsidP="00855802">
      <w:pPr>
        <w:pStyle w:val="Body"/>
      </w:pPr>
      <w:r>
        <w:t xml:space="preserve">Others felt confident to go out, and made a point of doing so especially in summer. For some living in retirement homes there were gyms available on site which made keeping active much easier and others living in the community talked of groups they attended to keep active. </w:t>
      </w:r>
    </w:p>
    <w:p w14:paraId="408B1375" w14:textId="77777777" w:rsidR="00855802" w:rsidRDefault="00855802" w:rsidP="00855802">
      <w:pPr>
        <w:pStyle w:val="Quote"/>
      </w:pPr>
      <w:r>
        <w:rPr>
          <w:rFonts w:ascii="Courier New"/>
        </w:rPr>
        <w:t xml:space="preserve">I go to a swimming club because I like swimming...it's a big club.  It's called </w:t>
      </w:r>
      <w:r>
        <w:rPr>
          <w:rFonts w:ascii="Courier New"/>
        </w:rPr>
        <w:t>‘</w:t>
      </w:r>
      <w:r>
        <w:rPr>
          <w:rFonts w:ascii="Courier New"/>
        </w:rPr>
        <w:t>Nifty Fifties</w:t>
      </w:r>
      <w:r>
        <w:rPr>
          <w:rFonts w:ascii="Courier New"/>
        </w:rPr>
        <w:t>’</w:t>
      </w:r>
      <w:r>
        <w:rPr>
          <w:rFonts w:ascii="Courier New"/>
        </w:rPr>
        <w:t>.  But most of them are over 70 there. (Margaret)</w:t>
      </w:r>
    </w:p>
    <w:p w14:paraId="408B1376" w14:textId="77777777" w:rsidR="00855802" w:rsidRDefault="00855802" w:rsidP="00855802">
      <w:pPr>
        <w:pStyle w:val="Body"/>
      </w:pPr>
    </w:p>
    <w:p w14:paraId="408B1377" w14:textId="77777777" w:rsidR="00855802" w:rsidRDefault="00855802" w:rsidP="00855802">
      <w:pPr>
        <w:pStyle w:val="Body"/>
      </w:pPr>
      <w:r>
        <w:t>One participant described exercises done while sitting in a chair using a walking stick when the weather prevented him from going outside.</w:t>
      </w:r>
    </w:p>
    <w:p w14:paraId="408B1378" w14:textId="77777777" w:rsidR="00855802" w:rsidRDefault="00855802" w:rsidP="00855802">
      <w:pPr>
        <w:pStyle w:val="Quote"/>
      </w:pPr>
      <w:r>
        <w:rPr>
          <w:rFonts w:ascii="Courier New"/>
        </w:rPr>
        <w:t>Jim: I'll sit on the chair and I'll start doing exercises.</w:t>
      </w:r>
    </w:p>
    <w:p w14:paraId="408B1379" w14:textId="77777777" w:rsidR="00855802" w:rsidRDefault="00855802" w:rsidP="00855802">
      <w:pPr>
        <w:pStyle w:val="Quote"/>
      </w:pPr>
      <w:r>
        <w:rPr>
          <w:rFonts w:ascii="Courier New"/>
        </w:rPr>
        <w:lastRenderedPageBreak/>
        <w:t>Interviewer: OK.  What kinds of exercises will you do?</w:t>
      </w:r>
    </w:p>
    <w:p w14:paraId="408B137A" w14:textId="77777777" w:rsidR="00855802" w:rsidRDefault="00855802" w:rsidP="00855802">
      <w:pPr>
        <w:pStyle w:val="Quote"/>
      </w:pPr>
      <w:r>
        <w:rPr>
          <w:rFonts w:ascii="Courier New"/>
        </w:rPr>
        <w:t xml:space="preserve">Jim: Well I've got a book and it's with the walking stick.  And you sit on that chair and you hold the stick like that, my walking stick.  And just do that like, doing that [holds stick out to the side]. </w:t>
      </w:r>
    </w:p>
    <w:p w14:paraId="408B137B" w14:textId="77777777" w:rsidR="00855802" w:rsidRDefault="00855802" w:rsidP="00855802">
      <w:pPr>
        <w:pStyle w:val="Body"/>
      </w:pPr>
    </w:p>
    <w:p w14:paraId="408B137C" w14:textId="77777777" w:rsidR="00855802" w:rsidRDefault="00855802" w:rsidP="00855802">
      <w:pPr>
        <w:pStyle w:val="Body"/>
      </w:pPr>
      <w:r>
        <w:t xml:space="preserve">One participant was aware of the need for self-motivation in keeping active, something which has been identified many times in research regardless of age. </w:t>
      </w:r>
    </w:p>
    <w:p w14:paraId="408B137D" w14:textId="77777777" w:rsidR="00855802" w:rsidRDefault="00855802" w:rsidP="00855802">
      <w:pPr>
        <w:pStyle w:val="Quote"/>
      </w:pPr>
      <w:r>
        <w:t>“</w:t>
      </w:r>
      <w:r>
        <w:rPr>
          <w:rFonts w:ascii="Courier New"/>
        </w:rPr>
        <w:t>You have to look after yourself, you know, nobody can do it for you. I go out everyday from 2 to 3 and I walk about a mile every day to keep [fit]</w:t>
      </w:r>
      <w:r>
        <w:t>–</w:t>
      </w:r>
      <w:r>
        <w:rPr>
          <w:rFonts w:ascii="Courier New"/>
        </w:rPr>
        <w:t xml:space="preserve"> you have to.</w:t>
      </w:r>
      <w:r>
        <w:t>”</w:t>
      </w:r>
      <w:r>
        <w:rPr>
          <w:rFonts w:ascii="Courier New"/>
        </w:rPr>
        <w:t xml:space="preserve"> (Arthur) </w:t>
      </w:r>
    </w:p>
    <w:p w14:paraId="408B137E" w14:textId="77777777" w:rsidR="00855802" w:rsidRDefault="00855802" w:rsidP="00855802">
      <w:pPr>
        <w:pStyle w:val="Body"/>
      </w:pPr>
    </w:p>
    <w:p w14:paraId="408B137F" w14:textId="77777777" w:rsidR="00855802" w:rsidRDefault="00855802" w:rsidP="00855802">
      <w:pPr>
        <w:pStyle w:val="Body"/>
      </w:pPr>
      <w:r>
        <w:t>Cooking also posed problems for participants. Several participants described difficulties shopping, chopping vegetables, for some the pans were too heavy and others had difficulty detecting when meat had browned or where butter had been spread.</w:t>
      </w:r>
    </w:p>
    <w:p w14:paraId="408B1380" w14:textId="77777777" w:rsidR="00855802" w:rsidRDefault="00855802" w:rsidP="00855802">
      <w:pPr>
        <w:pStyle w:val="Quote"/>
        <w:rPr>
          <w:sz w:val="24"/>
          <w:szCs w:val="24"/>
        </w:rPr>
      </w:pPr>
      <w:r>
        <w:rPr>
          <w:rFonts w:ascii="Courier New"/>
        </w:rPr>
        <w:t>I have difficulty with if I do any cooking at all, I can't see when anything's gone...you know? When the meat's gone brown or..it's simple things really.  If I do a sandwich, I can't see where I have spread the butter to! (Marion)</w:t>
      </w:r>
    </w:p>
    <w:p w14:paraId="408B1381" w14:textId="77777777" w:rsidR="00855802" w:rsidRDefault="00855802" w:rsidP="00855802">
      <w:pPr>
        <w:pStyle w:val="Body"/>
      </w:pPr>
    </w:p>
    <w:p w14:paraId="408B1382" w14:textId="77777777" w:rsidR="00855802" w:rsidRDefault="00855802" w:rsidP="00855802">
      <w:pPr>
        <w:pStyle w:val="Body"/>
      </w:pPr>
      <w:r>
        <w:t xml:space="preserve">Many developed techniques or changed their habits in order to manage.  For example, one participant now bought red skinned potatoes so she could see where she has peeled, and another had talking lids for canned food </w:t>
      </w:r>
      <w:r>
        <w:rPr>
          <w:lang w:val="en-GB"/>
        </w:rPr>
        <w:t>to avoid mistaking</w:t>
      </w:r>
      <w:r>
        <w:t xml:space="preserve"> her beans </w:t>
      </w:r>
      <w:r>
        <w:rPr>
          <w:lang w:val="en-GB"/>
        </w:rPr>
        <w:t>for</w:t>
      </w:r>
      <w:r>
        <w:t xml:space="preserve"> peaches. </w:t>
      </w:r>
    </w:p>
    <w:p w14:paraId="408B1383" w14:textId="77777777" w:rsidR="00855802" w:rsidRDefault="00855802" w:rsidP="00855802">
      <w:pPr>
        <w:pStyle w:val="Quote"/>
      </w:pPr>
      <w:r>
        <w:rPr>
          <w:rFonts w:ascii="Courier New"/>
        </w:rPr>
        <w:t>I've got talking lids for all my tins in the pantry...now I couldn't be without them or I would be opening peaches for beans or whatever, you know.  So, the talking lids are marvellous! (Barbara)</w:t>
      </w:r>
    </w:p>
    <w:p w14:paraId="408B1384" w14:textId="77777777" w:rsidR="00855802" w:rsidRDefault="00855802" w:rsidP="00855802">
      <w:pPr>
        <w:pStyle w:val="Heading5"/>
      </w:pPr>
    </w:p>
    <w:p w14:paraId="408B1385" w14:textId="77777777" w:rsidR="00855802" w:rsidRDefault="00855802" w:rsidP="00D32715">
      <w:pPr>
        <w:pStyle w:val="Heading2"/>
      </w:pPr>
      <w:r>
        <w:t xml:space="preserve">Maintaining wellbeing </w:t>
      </w:r>
    </w:p>
    <w:p w14:paraId="408B1386" w14:textId="77777777" w:rsidR="00855802" w:rsidRDefault="00855802" w:rsidP="00855802">
      <w:pPr>
        <w:pStyle w:val="Body"/>
      </w:pPr>
      <w:r>
        <w:t xml:space="preserve">Those participants who lived alone described times when they felt completely isolated from others and some felt that giving up favourite pastimes was just a part of growing old. Again, this was particularly highlighted when there was bad weather but for some it was routine. </w:t>
      </w:r>
    </w:p>
    <w:p w14:paraId="408B1387" w14:textId="77777777" w:rsidR="00855802" w:rsidRDefault="00855802" w:rsidP="00855802">
      <w:pPr>
        <w:pStyle w:val="Quote"/>
        <w:rPr>
          <w:rFonts w:ascii="Times New Roman" w:eastAsia="Times New Roman" w:hAnsi="Times New Roman" w:cs="Times New Roman"/>
        </w:rPr>
      </w:pPr>
      <w:r>
        <w:t>“</w:t>
      </w:r>
      <w:r>
        <w:rPr>
          <w:rFonts w:ascii="Courier New"/>
        </w:rPr>
        <w:t>Friday, I</w:t>
      </w:r>
      <w:r>
        <w:t>’</w:t>
      </w:r>
      <w:r>
        <w:rPr>
          <w:rFonts w:ascii="Courier New"/>
        </w:rPr>
        <w:t>m totally on my own. Saturday, I</w:t>
      </w:r>
      <w:r>
        <w:t>’</w:t>
      </w:r>
      <w:r>
        <w:rPr>
          <w:rFonts w:ascii="Courier New"/>
        </w:rPr>
        <w:t>m totally on my own and Sunday, I</w:t>
      </w:r>
      <w:r>
        <w:t>’</w:t>
      </w:r>
      <w:r>
        <w:rPr>
          <w:rFonts w:ascii="Courier New"/>
        </w:rPr>
        <w:t>m totally on my own, which I just laze about, do nothing basically.</w:t>
      </w:r>
      <w:r>
        <w:t>”</w:t>
      </w:r>
      <w:r>
        <w:rPr>
          <w:rFonts w:ascii="Courier New"/>
        </w:rPr>
        <w:t xml:space="preserve"> (Trevor) </w:t>
      </w:r>
    </w:p>
    <w:p w14:paraId="408B1388" w14:textId="77777777" w:rsidR="00855802" w:rsidRDefault="00855802" w:rsidP="00855802">
      <w:pPr>
        <w:pStyle w:val="Body"/>
      </w:pPr>
    </w:p>
    <w:p w14:paraId="408B1389" w14:textId="77777777" w:rsidR="00855802" w:rsidRDefault="00855802" w:rsidP="00855802">
      <w:pPr>
        <w:pStyle w:val="Body"/>
      </w:pPr>
      <w:r>
        <w:t>The loss of previous pastimes was felt particularly strongly by some. The majority of participants described not being able to read anymore; they were unaware of talking books and newspapers or of the benefits of e-readers. When asked about technology there was an expected fear that they were too late to learn but one participant loved her e-reader.</w:t>
      </w:r>
    </w:p>
    <w:p w14:paraId="408B138A" w14:textId="77777777" w:rsidR="00855802" w:rsidRDefault="00855802" w:rsidP="00855802">
      <w:pPr>
        <w:pStyle w:val="Quote"/>
        <w:rPr>
          <w:rFonts w:ascii="Courier New"/>
        </w:rPr>
      </w:pPr>
      <w:r>
        <w:t>“</w:t>
      </w:r>
      <w:r>
        <w:rPr>
          <w:rFonts w:ascii="Courier New"/>
        </w:rPr>
        <w:t>Most evenings I watch television or I read, I</w:t>
      </w:r>
      <w:r>
        <w:t>’</w:t>
      </w:r>
      <w:r>
        <w:rPr>
          <w:rFonts w:ascii="Courier New"/>
        </w:rPr>
        <w:t>ve got a Kindle which is very useful because if I can</w:t>
      </w:r>
      <w:r>
        <w:t>’</w:t>
      </w:r>
      <w:r>
        <w:rPr>
          <w:rFonts w:ascii="Courier New"/>
        </w:rPr>
        <w:t>t see I can increase the size of the font.</w:t>
      </w:r>
      <w:r>
        <w:t>”</w:t>
      </w:r>
      <w:r>
        <w:rPr>
          <w:rFonts w:ascii="Courier New"/>
        </w:rPr>
        <w:t xml:space="preserve"> (Ethel) </w:t>
      </w:r>
    </w:p>
    <w:p w14:paraId="408B138B" w14:textId="77777777" w:rsidR="00855802" w:rsidRPr="00390D90" w:rsidRDefault="00855802" w:rsidP="00855802"/>
    <w:p w14:paraId="408B138C" w14:textId="77777777" w:rsidR="00855802" w:rsidRDefault="00855802" w:rsidP="00855802">
      <w:pPr>
        <w:pStyle w:val="Body"/>
      </w:pPr>
      <w:r>
        <w:t>The majority of participants relied on existing friendship groups and family to get out and about; most did not feel comfortable seeking support elsewhere. One participant imagined that support groups</w:t>
      </w:r>
      <w:r>
        <w:rPr>
          <w:rFonts w:ascii="Times New Roman"/>
        </w:rPr>
        <w:t xml:space="preserve"> </w:t>
      </w:r>
      <w:r w:rsidRPr="00234435">
        <w:t>“overdo it a bit” which was a threat to him as “an independent-minded individual” (Brian). But those who</w:t>
      </w:r>
      <w:r>
        <w:t xml:space="preserve"> did attend groups were hugely grateful for what they had given them; for most that was a revived sense of social interaction and enjoyment. </w:t>
      </w:r>
    </w:p>
    <w:p w14:paraId="408B138D" w14:textId="77777777" w:rsidR="00AE31D6" w:rsidRDefault="00855802" w:rsidP="000B174E">
      <w:pPr>
        <w:pStyle w:val="Heading2"/>
      </w:pPr>
      <w:r w:rsidRPr="00234435">
        <w:t xml:space="preserve">Discussion </w:t>
      </w:r>
    </w:p>
    <w:p w14:paraId="408B138E" w14:textId="77777777" w:rsidR="000B174E" w:rsidRPr="000B174E" w:rsidRDefault="000B174E" w:rsidP="000B174E"/>
    <w:p w14:paraId="408B138F" w14:textId="77777777" w:rsidR="00855802" w:rsidRDefault="00855802" w:rsidP="00855802">
      <w:pPr>
        <w:pStyle w:val="Body"/>
      </w:pPr>
      <w:r>
        <w:t xml:space="preserve">This research explored experiences of how older people with sight loss manage their health. The findings lend support to and reiterate past literature highlighting the wide variety of barriers experienced. In addition new insight has been gained into the methods used by older people with </w:t>
      </w:r>
      <w:r>
        <w:lastRenderedPageBreak/>
        <w:t xml:space="preserve">sight loss to keep well and active. Many older people have chronic health conditions such as diabetes or are managing the after-effects of acute conditions such as stroke and our findings illustrate that sight loss makes managing these conditions more challenging.  </w:t>
      </w:r>
      <w:r w:rsidR="006A30B7">
        <w:t xml:space="preserve">However, they also had long lists of techniques for managing their health conditions and continuing to remain independent (see </w:t>
      </w:r>
      <w:r w:rsidR="00993520">
        <w:t xml:space="preserve">supplementary </w:t>
      </w:r>
      <w:r w:rsidR="006A30B7">
        <w:t>file). These ranged from major life changes such as moving house to be closer to services, to smaller day-to-day changes such as using pharmacist-provided blister packs and using talking lids to label food. </w:t>
      </w:r>
      <w:r>
        <w:t xml:space="preserve"> </w:t>
      </w:r>
    </w:p>
    <w:p w14:paraId="408B1390" w14:textId="77777777" w:rsidR="006A30B7" w:rsidRDefault="006A30B7" w:rsidP="00855802">
      <w:pPr>
        <w:pStyle w:val="Body"/>
      </w:pPr>
      <w:r w:rsidRPr="006A30B7">
        <w:t>Education in self-management strategies may be beneficial both</w:t>
      </w:r>
      <w:r w:rsidRPr="006A30B7">
        <w:rPr>
          <w:lang w:val="da-DK"/>
        </w:rPr>
        <w:t xml:space="preserve"> for </w:t>
      </w:r>
      <w:r w:rsidRPr="006A30B7">
        <w:t xml:space="preserve">vision problems and to help individuals take care of themselves and improve their physical health </w:t>
      </w:r>
      <w:r w:rsidR="001631B7">
        <w:fldChar w:fldCharType="begin" w:fldLock="1"/>
      </w:r>
      <w:r w:rsidR="00A72FA5">
        <w:instrText>ADDIN CSL_CITATION { "citationItems" : [ { "id" : "ITEM-1", "itemData" : { "DOI" : "10.1167/iovs.12-9580", "ISBN" : "1111111111", "ISSN" : "01460404", "PMID" : "22599581", "abstract" : "PURPOSE: Quality of life (QoL) questionnaires have been suggested as the most appropriate way to measure the effectiveness of low vision rehabilitation. This study investigated the relative contribution of visual and psychosocial factors to different aspects of QoL in people with low vision.\\n\\nMETHODS: A total of 448 consecutive patients between the ages of 18 and 96 years, with best-corrected binocular visual acuity\u22646/18 and attending a low vision clinic, were recruited. Telephone delivery of previously validated questionnaires was used. The Low Vision Quality of Life (LVQOL), the Adaptation to Age-Related Vision Loss (AVL)-12, and the Keele Participation Restriction Questionnaire (KAP) questionnaires were considered as outcome measures for functional vision, adaptation to vision loss, and participation restriction, respectively. Personality (BFI-10), religious beliefs (SBI-15), social support (MOS), the mental and physical components of general health (the MCS and PCS of SF-12), well-being (WHO-5), use of magnifiers (MLVQ), understanding of their eye condition and satisfaction with the eye clinic (MLVQ), level of education, and financial status were all considered as predictive of QoL.\\n\\nRESULTS: Regression analysis found the PCS and MCS from SF-12 to be major predictors of LVQOL, AVL-12, and KAP scores. Although distance visual acuity and contrast sensitivity were predictors of LVQOL scores, \"use of magnifiers\" did not contribute to any of the QoL measures.\\n\\nCONCLUSIONS: Nonvisual factors, such as physical and mental health, were found to be stronger predictors of QoL in people with low vision than visual factors such as contrast sensitivity and visual acuity, or the use of magnifiers. Researchers need to be aware when measuring QoL in a population with low vision that even vision-related QoL is strongly influenced by nonvisual variables.", "author" : [ { "dropping-particle" : "", "family" : "Hernandez Trillo", "given" : "Ana", "non-dropping-particle" : "", "parse-names" : false, "suffix" : "" }, { "dropping-particle" : "", "family" : "Dickinson", "given" : "Christine M.", "non-dropping-particle" : "", "parse-names" : false, "suffix" : "" } ], "container-title" : "Investigative Ophthalmology and Visual Science", "id" : "ITEM-1", "issue" : "7", "issued" : { "date-parts" : [ [ "2012" ] ] }, "page" : "4234-4241", "title" : "The impact of visual and nonvisual factors on quality of life and adaptation in adults with visual impairment", "type" : "article-journal", "volume" : "53" }, "uris" : [ "http://www.mendeley.com/documents/?uuid=745240ef-67b6-46e2-9eac-322f8c60efc6" ] } ], "mendeley" : { "formattedCitation" : "&lt;sup&gt;28&lt;/sup&gt;", "plainTextFormattedCitation" : "28", "previouslyFormattedCitation" : "&lt;sup&gt;28&lt;/sup&gt;" }, "properties" : { "noteIndex" : 0 }, "schema" : "https://github.com/citation-style-language/schema/raw/master/csl-citation.json" }</w:instrText>
      </w:r>
      <w:r w:rsidR="001631B7">
        <w:fldChar w:fldCharType="separate"/>
      </w:r>
      <w:r w:rsidR="00A72FA5" w:rsidRPr="00A72FA5">
        <w:rPr>
          <w:noProof/>
          <w:vertAlign w:val="superscript"/>
        </w:rPr>
        <w:t>28</w:t>
      </w:r>
      <w:r w:rsidR="001631B7">
        <w:fldChar w:fldCharType="end"/>
      </w:r>
      <w:r w:rsidR="000B174E">
        <w:t xml:space="preserve">. </w:t>
      </w:r>
      <w:r>
        <w:t>H</w:t>
      </w:r>
      <w:r w:rsidRPr="006A30B7">
        <w:t xml:space="preserve">owever, </w:t>
      </w:r>
      <w:r>
        <w:t xml:space="preserve">the current approach to </w:t>
      </w:r>
      <w:r w:rsidRPr="006A30B7">
        <w:t>rehabilitation can be criticised for focusing too heavily on functional issues rather than adapti</w:t>
      </w:r>
      <w:r>
        <w:t>ve cognitive processes</w:t>
      </w:r>
      <w:r w:rsidRPr="006A30B7">
        <w:t xml:space="preserve">. </w:t>
      </w:r>
      <w:r>
        <w:t>E</w:t>
      </w:r>
      <w:r w:rsidRPr="006A30B7">
        <w:t>vidence suggests that it is the individual</w:t>
      </w:r>
      <w:r w:rsidRPr="006A30B7">
        <w:rPr>
          <w:lang w:val="fr-FR"/>
        </w:rPr>
        <w:t>’</w:t>
      </w:r>
      <w:r w:rsidRPr="006A30B7">
        <w:t>s perception and cognitive appraisal of their condition which predicts distress and disability rather than objective and functional measures such as visual acuity</w:t>
      </w:r>
      <w:r w:rsidR="000B174E">
        <w:t xml:space="preserve"> </w:t>
      </w:r>
      <w:r w:rsidR="001631B7">
        <w:fldChar w:fldCharType="begin" w:fldLock="1"/>
      </w:r>
      <w:r w:rsidR="00A72FA5">
        <w:instrText>ADDIN CSL_CITATION { "citationItems" : [ { "id" : "ITEM-1", "itemData" : { "abstract" : "OBJECTIVE: Examined cognitive appraisals of interference and tolerance in the prediction of distress and self-reported disability among persons presenting for low vision rehabilitation. DESIGN: Cross-sectional; correlational and path analyses. METHODS: One-hundred and thirteen patients (mean age, 71 years; 52 men and 61 women) presenting for low vision rehabilitation at a university-based centre for low vision rehabilitation participated in an initial clinical vision examination and completed several questionnaires to evaluate cognitive appraisals, emotional distress and self-reported disability. RESULTS: Path analyses indicated that greater tolerance was associated with less interference imposed by vision loss. Greater tolerance was also associated with less emotional distress and symptom severity (visual acuity) was associated with self-reported disability. Cognitive appraisals (tolerance and interference) indirectly influenced self-reported disability through emotional distress. CONCLUSIONS: The data indicate that appraisals of personal ability to tolerate vision loss and the perceived interference of vision loss on goal-directed behaviour and expected activities have greater influence on distress and are subsequently predictive of disability in comparison with objective symptoms (visual acuity). Implications for clinical interventions and further research are discussed.", "author" : [ { "dropping-particle" : "", "family" : "Dreer", "given" : "Laura E", "non-dropping-particle" : "", "parse-names" : false, "suffix" : "" }, { "dropping-particle" : "", "family" : "Elliott", "given" : "Timothy R", "non-dropping-particle" : "", "parse-names" : false, "suffix" : "" }, { "dropping-particle" : "", "family" : "Berry", "given" : "Jack", "non-dropping-particle" : "", "parse-names" : false, "suffix" : "" }, { "dropping-particle" : "", "family" : "Fletcher", "given" : "Donald C", "non-dropping-particle" : "", "parse-names" : false, "suffix" : "" }, { "dropping-particle" : "", "family" : "Swanson", "given" : "Marsha", "non-dropping-particle" : "", "parse-names" : false, "suffix" : "" }, { "dropping-particle" : "", "family" : "Christopher McNeal", "given" : "J", "non-dropping-particle" : "", "parse-names" : false, "suffix" : "" } ], "container-title" : "British journal of health psychology", "id" : "ITEM-1", "issue" : "Pt 3", "issued" : { "date-parts" : [ [ "2008" ] ] }, "page" : "449-461", "title" : "Cognitive appraisals, distress and disability among persons in low vision rehabilitation.", "type" : "article-journal", "volume" : "13" }, "uris" : [ "http://www.mendeley.com/documents/?uuid=8717da4a-0c58-4d7f-9c5c-a1a2aec51ab2" ] } ], "mendeley" : { "formattedCitation" : "&lt;sup&gt;29&lt;/sup&gt;", "plainTextFormattedCitation" : "29", "previouslyFormattedCitation" : "&lt;sup&gt;29&lt;/sup&gt;" }, "properties" : { "noteIndex" : 0 }, "schema" : "https://github.com/citation-style-language/schema/raw/master/csl-citation.json" }</w:instrText>
      </w:r>
      <w:r w:rsidR="001631B7">
        <w:fldChar w:fldCharType="separate"/>
      </w:r>
      <w:r w:rsidR="00A72FA5" w:rsidRPr="00A72FA5">
        <w:rPr>
          <w:noProof/>
          <w:vertAlign w:val="superscript"/>
        </w:rPr>
        <w:t>29</w:t>
      </w:r>
      <w:r w:rsidR="001631B7">
        <w:fldChar w:fldCharType="end"/>
      </w:r>
      <w:r w:rsidRPr="006A30B7">
        <w:t xml:space="preserve">. </w:t>
      </w:r>
      <w:r>
        <w:t xml:space="preserve"> This study has illustrated that, despite all the difficulties faced, older people often talk positively about their health, feeling they are doing okay “for their age”. P</w:t>
      </w:r>
      <w:r w:rsidRPr="006A30B7">
        <w:t>ersonal characteristics such as self-reliance, stoicism, and self-determination may help older adults to cope with sight loss but overriding determination to remain independent may also impact on patients</w:t>
      </w:r>
      <w:r w:rsidRPr="006A30B7">
        <w:rPr>
          <w:lang w:val="fr-FR"/>
        </w:rPr>
        <w:t xml:space="preserve">’ </w:t>
      </w:r>
      <w:r w:rsidRPr="006A30B7">
        <w:t xml:space="preserve">willingness to accept help which can have a negative impact on health </w:t>
      </w:r>
      <w:r w:rsidR="001631B7">
        <w:fldChar w:fldCharType="begin" w:fldLock="1"/>
      </w:r>
      <w:r w:rsidR="00A72FA5">
        <w:instrText>ADDIN CSL_CITATION { "citationItems" : [ { "id" : "ITEM-1", "itemData" : { "author" : [ { "dropping-particle" : "", "family" : "Hanson", "given" : "Julienne", "non-dropping-particle" : "", "parse-names" : false, "suffix" : "" }, { "dropping-particle" : "", "family" : "Percival", "given" : "John", "non-dropping-particle" : "", "parse-names" : false, "suffix" : "" }, { "dropping-particle" : "", "family" : "Zako", "given" : "Reem", "non-dropping-particle" : "", "parse-names" : false, "suffix" : "" }, { "dropping-particle" : "", "family" : "Johnson", "given" : "M.", "non-dropping-particle" : "", "parse-names" : false, "suffix" : "" } ], "container-title" : "Thomas Pocklington Trust", "id" : "ITEM-1", "issued" : { "date-parts" : [ [ "2001" ] ] }, "page" : "1-20", "title" : "Housing and support needs of older people with visual impairment \u2013 experiences and challenges", "type" : "article-journal" }, "uris" : [ "http://www.mendeley.com/documents/?uuid=daa8a06a-4ac7-427d-a776-7ded36cf624c" ] } ], "mendeley" : { "formattedCitation" : "&lt;sup&gt;16&lt;/sup&gt;", "plainTextFormattedCitation" : "16", "previouslyFormattedCitation" : "&lt;sup&gt;16&lt;/sup&gt;" }, "properties" : { "noteIndex" : 0 }, "schema" : "https://github.com/citation-style-language/schema/raw/master/csl-citation.json" }</w:instrText>
      </w:r>
      <w:r w:rsidR="001631B7">
        <w:fldChar w:fldCharType="separate"/>
      </w:r>
      <w:r w:rsidR="00A72FA5" w:rsidRPr="00A72FA5">
        <w:rPr>
          <w:noProof/>
          <w:vertAlign w:val="superscript"/>
        </w:rPr>
        <w:t>16</w:t>
      </w:r>
      <w:r w:rsidR="001631B7">
        <w:fldChar w:fldCharType="end"/>
      </w:r>
      <w:r w:rsidR="000B174E">
        <w:t>.</w:t>
      </w:r>
      <w:r>
        <w:t xml:space="preserve"> </w:t>
      </w:r>
    </w:p>
    <w:p w14:paraId="408B1391" w14:textId="5385DC0C" w:rsidR="00855802" w:rsidRDefault="00855802" w:rsidP="00855802">
      <w:pPr>
        <w:pStyle w:val="Body"/>
      </w:pPr>
      <w:r>
        <w:t>Several participants lacked confidence in healthcare professionals and experienced challenges in making appointments in addition to receiving confusing or conflicting advice.  It is important that all healthcare professionals are aware when their patients have sight loss and adapt care appropriately. In support of previous research</w:t>
      </w:r>
      <w:r w:rsidR="00B638C4">
        <w:t xml:space="preserve"> </w:t>
      </w:r>
      <w:r w:rsidR="00B638C4">
        <w:rPr>
          <w:vertAlign w:val="superscript"/>
        </w:rPr>
        <w:t>22,24,25</w:t>
      </w:r>
      <w:r>
        <w:t xml:space="preserve"> this study has highlighted that patients may not be provided with information in a format accessible to them and increasing awareness about the needs of patients with sight loss will help to overcome this problem. In addition, healthcare professionals need to be educated about the impacts low vision can have on the lives of their patients. A recent report by the Royal National Institute for Blind People (RNIB) assessing service provision for patients </w:t>
      </w:r>
      <w:r>
        <w:lastRenderedPageBreak/>
        <w:t xml:space="preserve">with vision loss within East Sussex NHS clinics has also highlighted this need to improve vision impairment awareness among healthcare staff </w:t>
      </w:r>
      <w:r w:rsidR="00A72FA5">
        <w:t xml:space="preserve"> </w:t>
      </w:r>
      <w:r w:rsidR="001631B7">
        <w:fldChar w:fldCharType="begin" w:fldLock="1"/>
      </w:r>
      <w:r w:rsidR="003935C3">
        <w:instrText>ADDIN CSL_CITATION { "citationItems" : [ { "id" : "ITEM-1", "itemData" : { "URL" : "http://www.rnib.org.uk/professionals/health/services/nbmagazine/features/Pages/nhs.aspx", "author" : [ { "dropping-particle" : "", "family" : "NB Magazine", "given" : "", "non-dropping-particle" : "", "parse-names" : false, "suffix" : "" } ], "id" : "ITEM-1", "issued" : { "date-parts" : [ [ "2013" ] ] }, "title" : "Transforming the NHS", "type" : "webpage" }, "uris" : [ "http://www.mendeley.com/documents/?uuid=95a36dd8-f615-4209-891e-502f662426e9" ] } ], "mendeley" : { "formattedCitation" : "&lt;sup&gt;30&lt;/sup&gt;", "plainTextFormattedCitation" : "30", "previouslyFormattedCitation" : "&lt;sup&gt;30&lt;/sup&gt;" }, "properties" : { "noteIndex" : 0 }, "schema" : "https://github.com/citation-style-language/schema/raw/master/csl-citation.json" }</w:instrText>
      </w:r>
      <w:r w:rsidR="001631B7">
        <w:fldChar w:fldCharType="separate"/>
      </w:r>
      <w:r w:rsidR="00A72FA5" w:rsidRPr="00A72FA5">
        <w:rPr>
          <w:noProof/>
          <w:vertAlign w:val="superscript"/>
        </w:rPr>
        <w:t>30</w:t>
      </w:r>
      <w:r w:rsidR="001631B7">
        <w:fldChar w:fldCharType="end"/>
      </w:r>
      <w:r>
        <w:t xml:space="preserve"> and the RNIB have created a ‘top tips for healthcare professionals</w:t>
      </w:r>
      <w:r>
        <w:rPr>
          <w:lang w:val="fr-FR"/>
        </w:rPr>
        <w:t xml:space="preserve">’ </w:t>
      </w:r>
      <w:r>
        <w:t>to enhance this awareness</w:t>
      </w:r>
      <w:r w:rsidR="00A72FA5">
        <w:t xml:space="preserve"> </w:t>
      </w:r>
      <w:r w:rsidR="001631B7">
        <w:fldChar w:fldCharType="begin" w:fldLock="1"/>
      </w:r>
      <w:r w:rsidR="003935C3">
        <w:instrText>ADDIN CSL_CITATION { "citationItems" : [ { "id" : "ITEM-1", "itemData" : { "URL" : "http://www.rnib.org.uk/sites/default/files/Top-Healthcare-Tips-Accessing-Care_0.pdf", "author" : [ { "dropping-particle" : "", "family" : "Royal National Institute for the Blind", "given" : "", "non-dropping-particle" : "", "parse-names" : false, "suffix" : "" } ], "id" : "ITEM-1", "issued" : { "date-parts" : [ [ "2014" ] ] }, "title" : "Top tips for health care professionals. Accessing care: meeting patients needs", "type" : "webpage" }, "uris" : [ "http://www.mendeley.com/documents/?uuid=514f28d2-54b8-47df-9c19-73da1ff1d0a5" ] } ], "mendeley" : { "formattedCitation" : "&lt;sup&gt;31&lt;/sup&gt;", "plainTextFormattedCitation" : "31", "previouslyFormattedCitation" : "&lt;sup&gt;31&lt;/sup&gt;" }, "properties" : { "noteIndex" : 0 }, "schema" : "https://github.com/citation-style-language/schema/raw/master/csl-citation.json" }</w:instrText>
      </w:r>
      <w:r w:rsidR="001631B7">
        <w:fldChar w:fldCharType="separate"/>
      </w:r>
      <w:r w:rsidR="00A72FA5" w:rsidRPr="00A72FA5">
        <w:rPr>
          <w:noProof/>
          <w:vertAlign w:val="superscript"/>
        </w:rPr>
        <w:t>31</w:t>
      </w:r>
      <w:r w:rsidR="001631B7">
        <w:fldChar w:fldCharType="end"/>
      </w:r>
      <w:r>
        <w:t xml:space="preserve">. Furthermore, eye health has been named as a clinical priority by the Royal College of General Practitioners </w:t>
      </w:r>
      <w:r w:rsidR="001631B7">
        <w:fldChar w:fldCharType="begin" w:fldLock="1"/>
      </w:r>
      <w:r w:rsidR="00A72FA5">
        <w:instrText>ADDIN CSL_CITATION { "citationItems" : [ { "id" : "ITEM-1", "itemData" : { "author" : [ { "dropping-particle" : "", "family" : "Royal College of General Practitioners", "given" : "", "non-dropping-particle" : "", "parse-names" : false, "suffix" : "" } ], "id" : "ITEM-1", "issued" : { "date-parts" : [ [ "2015" ] ] }, "title" : "Clinical Priorities for General Practice", "type" : "article-journal" }, "uris" : [ "http://www.mendeley.com/documents/?uuid=ab4ae843-6522-4f8f-850f-706e41174d42" ] } ], "mendeley" : { "formattedCitation" : "&lt;sup&gt;32&lt;/sup&gt;", "plainTextFormattedCitation" : "32", "previouslyFormattedCitation" : "&lt;sup&gt;32&lt;/sup&gt;" }, "properties" : { "noteIndex" : 0 }, "schema" : "https://github.com/citation-style-language/schema/raw/master/csl-citation.json" }</w:instrText>
      </w:r>
      <w:r w:rsidR="001631B7">
        <w:fldChar w:fldCharType="separate"/>
      </w:r>
      <w:r w:rsidR="00A72FA5" w:rsidRPr="00A72FA5">
        <w:rPr>
          <w:noProof/>
          <w:vertAlign w:val="superscript"/>
        </w:rPr>
        <w:t>32</w:t>
      </w:r>
      <w:r w:rsidR="001631B7">
        <w:fldChar w:fldCharType="end"/>
      </w:r>
      <w:r>
        <w:t>. The need for GPs to understand vision impairment and its impact on patients is particularly important, especially when patients are accessing primary and secondary care for multiple health conditions which may require a co-ordinated medication regime.</w:t>
      </w:r>
    </w:p>
    <w:p w14:paraId="408B1392" w14:textId="77777777" w:rsidR="00855802" w:rsidRDefault="00855802" w:rsidP="00855802">
      <w:pPr>
        <w:pStyle w:val="Body"/>
      </w:pPr>
      <w:r>
        <w:t>Our participants often relied on family support for help with reading letters and attending appointments but when that was absent, they faced these challenges alone</w:t>
      </w:r>
      <w:r>
        <w:rPr>
          <w:lang w:val="en-GB"/>
        </w:rPr>
        <w:t xml:space="preserve"> and threatened their privacy by relying on neighbours or friends</w:t>
      </w:r>
      <w:r>
        <w:t xml:space="preserve">. Information needs to be in a format accessible to the patients themselves. </w:t>
      </w:r>
      <w:r>
        <w:rPr>
          <w:lang w:val="en-GB"/>
        </w:rPr>
        <w:t xml:space="preserve">Furthermore, </w:t>
      </w:r>
      <w:r w:rsidR="006A30B7">
        <w:t>patients</w:t>
      </w:r>
      <w:r>
        <w:t xml:space="preserve"> need to feel empowered to ask questions of healthcare professionals. We found examples of those who stayed quiet and those who pro-actively sought clarification in clinic. Management of complex conditions and seeking treatment if conditions deteriorate is dependent on accessible information and open dialogue at consultations.  It is clear that older adults with sight loss</w:t>
      </w:r>
      <w:r>
        <w:rPr>
          <w:lang w:val="fr-FR"/>
        </w:rPr>
        <w:t xml:space="preserve"> </w:t>
      </w:r>
      <w:r>
        <w:t xml:space="preserve">need on-going support to manage their eye condition alongside co-morbidities signifying the limitations of services that are time-limited or only available at diagnosis </w:t>
      </w:r>
      <w:r w:rsidR="001631B7">
        <w:fldChar w:fldCharType="begin" w:fldLock="1"/>
      </w:r>
      <w:r w:rsidR="00A72FA5">
        <w:instrText>ADDIN CSL_CITATION { "citationItems" : [ { "id" : "ITEM-1", "itemData" : { "author" : [ { "dropping-particle" : "", "family" : "Thetford", "given" : "Clare", "non-dropping-particle" : "", "parse-names" : false, "suffix" : "" }, { "dropping-particle" : "", "family" : "Robinson", "given" : "Jude", "non-dropping-particle" : "", "parse-names" : false, "suffix" : "" }, { "dropping-particle" : "", "family" : "Knox", "given" : "Paul", "non-dropping-particle" : "", "parse-names" : false, "suffix" : "" } ], "container-title" : "Qualitative Research", "id" : "ITEM-1", "issue" : "17", "issued" : { "date-parts" : [ [ "2009" ] ] }, "page" : "1-20", "title" : "The changing needs of people with sight loss This publication presents findings from a research study", "type" : "article-journal" }, "uris" : [ "http://www.mendeley.com/documents/?uuid=debe38c7-0e06-42a7-b8f6-584ae237576e" ] } ], "mendeley" : { "formattedCitation" : "&lt;sup&gt;33&lt;/sup&gt;", "plainTextFormattedCitation" : "33", "previouslyFormattedCitation" : "&lt;sup&gt;33&lt;/sup&gt;" }, "properties" : { "noteIndex" : 0 }, "schema" : "https://github.com/citation-style-language/schema/raw/master/csl-citation.json" }</w:instrText>
      </w:r>
      <w:r w:rsidR="001631B7">
        <w:fldChar w:fldCharType="separate"/>
      </w:r>
      <w:r w:rsidR="00A72FA5" w:rsidRPr="00A72FA5">
        <w:rPr>
          <w:noProof/>
          <w:vertAlign w:val="superscript"/>
        </w:rPr>
        <w:t>33</w:t>
      </w:r>
      <w:r w:rsidR="001631B7">
        <w:fldChar w:fldCharType="end"/>
      </w:r>
      <w:r>
        <w:t xml:space="preserve">. </w:t>
      </w:r>
    </w:p>
    <w:p w14:paraId="408B1393" w14:textId="77777777" w:rsidR="00855802" w:rsidRDefault="00855802" w:rsidP="00855802">
      <w:pPr>
        <w:pStyle w:val="Body"/>
      </w:pPr>
      <w:r>
        <w:t>Additional factors associated with managing sight loss and long-term conditions include medication regimes and engaging in health behaviours to maintain a healthy lifestyle.  Some participants experienced challenges in taking their medication, cooking, and physical activity. Access to healthcare services, including hospital clinics and GP surgeries were also difficult for some. Accessible packaging</w:t>
      </w:r>
      <w:r w:rsidRPr="00EB2FBF">
        <w:t xml:space="preserve"> </w:t>
      </w:r>
      <w:r>
        <w:t xml:space="preserve">and the delivery of medication are issues which require a co-ordinated response from GP surgeries and community pharmacies. However, our findings indicate that even when such services are available older adults are not always aware of them. Awareness of aids for </w:t>
      </w:r>
      <w:r>
        <w:lastRenderedPageBreak/>
        <w:t>cooking and different types of exercises was also poor among some participants. A key facilitator of awareness and access of aids and services was attending a support group.</w:t>
      </w:r>
    </w:p>
    <w:p w14:paraId="408B1394" w14:textId="5D6CF4BB" w:rsidR="00855802" w:rsidRDefault="00855802" w:rsidP="00855802">
      <w:pPr>
        <w:pStyle w:val="Body"/>
      </w:pPr>
      <w:r>
        <w:t xml:space="preserve">Support groups, whether related to vision impairment specifically or not, offered advice and support to participants and opened doors to services of which patients were otherwise unaware. Support groups also acted as a way to maintain wellbeing in terms of an opportunity to be socially engaged and provided an opportunity to interact with other older people coming to terms with sight loss. For some participants, this led to sharing novel coping strategies for managing with vision loss. </w:t>
      </w:r>
      <w:r w:rsidR="001631B7">
        <w:fldChar w:fldCharType="begin" w:fldLock="1"/>
      </w:r>
      <w:r w:rsidR="00A72FA5">
        <w:instrText>ADDIN CSL_CITATION { "citationItems" : [ { "id" : "ITEM-1", "itemData" : { "abstract" : "Research has proposed that when faced with a stressor, individuals test novel coping strategies when preexisting strategies fail to reduce perceived threat. However, the utilization of novel coping strategies has received scant empirical attention. This study presents data in the form of spontaneous comments or responses to open-ended questions from three previous quantitative studies of adaptation to age-related vision loss (N = 155, 95, and 343 participants). Self-reported coping strategies were identified using a \"Grounded Theory\" approach, and then examined for evidence of whether the strategy was recently utilized (novel) or whether it had been used prior to vision loss (preexisting). Results supported the utilization of novel coping strategies in the process of adaptation to a chronic impairment among older adults. Overall, the use of novel coping strategies was found to be associated with better adaptational outcomes, emphasizing the importance of novel coping in response to stressful life circumstances.", "author" : [ { "dropping-particle" : "", "family" : "Brennan", "given" : "M", "non-dropping-particle" : "", "parse-names" : false, "suffix" : "" }, { "dropping-particle" : "", "family" : "Cardinali", "given" : "G", "non-dropping-particle" : "", "parse-names" : false, "suffix" : "" } ], "container-title" : "The Gerontologist", "id" : "ITEM-1", "issue" : "3", "issued" : { "date-parts" : [ [ "2000" ] ] }, "page" : "327-334", "title" : "The use of preexisting and novel coping strategies in adapting to age-related vision loss.", "type" : "article-journal", "volume" : "40" }, "uris" : [ "http://www.mendeley.com/documents/?uuid=85860c3a-f1a7-4a09-8f8f-fcc631d23c22" ] } ], "mendeley" : { "formattedCitation" : "&lt;sup&gt;34&lt;/sup&gt;", "manualFormatting" : "Brennan &amp; Cardinali, (2000)", "plainTextFormattedCitation" : "34", "previouslyFormattedCitation" : "&lt;sup&gt;34&lt;/sup&gt;" }, "properties" : { "noteIndex" : 0 }, "schema" : "https://github.com/citation-style-language/schema/raw/master/csl-citation.json" }</w:instrText>
      </w:r>
      <w:r w:rsidR="001631B7">
        <w:fldChar w:fldCharType="separate"/>
      </w:r>
      <w:r w:rsidR="00B638C4">
        <w:rPr>
          <w:noProof/>
        </w:rPr>
        <w:t xml:space="preserve">Brennan &amp; Cardinali </w:t>
      </w:r>
      <w:r w:rsidR="00B638C4">
        <w:rPr>
          <w:noProof/>
          <w:vertAlign w:val="superscript"/>
        </w:rPr>
        <w:t>34</w:t>
      </w:r>
      <w:r w:rsidR="001631B7">
        <w:fldChar w:fldCharType="end"/>
      </w:r>
      <w:r>
        <w:t xml:space="preserve"> have reported that the use of novel coping strategies are associated with better adjustment and a reduction of depression symptoms in older people with age related sight loss.</w:t>
      </w:r>
    </w:p>
    <w:p w14:paraId="408B1395" w14:textId="1BC98898" w:rsidR="00855802" w:rsidRDefault="001631B7" w:rsidP="00855802">
      <w:pPr>
        <w:pStyle w:val="Body"/>
      </w:pPr>
      <w:r>
        <w:fldChar w:fldCharType="begin" w:fldLock="1"/>
      </w:r>
      <w:r w:rsidR="00A72FA5">
        <w:instrText>ADDIN CSL_CITATION { "citationItems" : [ { "id" : "ITEM-1", "itemData" : { "abstract" : "BACKGROUND: People with retinitis pigmentosa (RP) experience functional and psychological challenges as they adjust to progressive loss of visual function. The authors aimed to understand better the process of adjusting to RP in light of the emotional suffering associated with this process. METHODS: Adults with RP were recruited from the Foundation Fighting Blindness and the Wilmer Eye Institute in Baltimore. Focus groups and semistructured interviews addressed the process of adjusting to RP and were audiotaped and transcribed. The transcripts were analysed qualitatively in order to generate a model of adjustment. RESULTS: A total of 43 individuals participated. It was found that, on diagnosis, people with RP seek to understand its meaning in their lives. Mastering the progressive functional implications associated with RP is contingent upon shifting personal identity from a sighted to a visually impaired person. In this sample, six participants self identified as sighted, 10 self identified as in transition, and 27 self identified as visually impaired. This adjustment process can be understood in terms of a five stage model of behaviour change. CONCLUSIONS: The proposed model presents one way to understand the process of adjusting to RP and could assist ophthalmologists in meeting their moral obligation to lessen patients' suffering, which arises in the course of their adjustment to progressive loss of visual function.", "author" : [ { "dropping-particle" : "", "family" : "Hayeems", "given" : "R Z", "non-dropping-particle" : "", "parse-names" : false, "suffix" : "" }, { "dropping-particle" : "", "family" : "Geller", "given" : "G", "non-dropping-particle" : "", "parse-names" : false, "suffix" : "" }, { "dropping-particle" : "", "family" : "Finkelstein", "given" : "D", "non-dropping-particle" : "", "parse-names" : false, "suffix" : "" }, { "dropping-particle" : "", "family" : "Faden", "given" : "R R", "non-dropping-particle" : "", "parse-names" : false, "suffix" : "" } ], "container-title" : "The British journal of ophthalmology", "id" : "ITEM-1", "issue" : "5", "issued" : { "date-parts" : [ [ "2005" ] ] }, "page" : "615-620", "title" : "How patients experience progressive loss of visual function: a model of adjustment using qualitative methods.", "type" : "article-journal", "volume" : "89" }, "uris" : [ "http://www.mendeley.com/documents/?uuid=98ad7300-2b69-4035-bae2-dbfde7d6f0d0" ] } ], "mendeley" : { "formattedCitation" : "&lt;sup&gt;35&lt;/sup&gt;", "manualFormatting" : "Hayeems, Geller, Finkelstein, &amp; Faden, (2005)", "plainTextFormattedCitation" : "35", "previouslyFormattedCitation" : "&lt;sup&gt;35&lt;/sup&gt;" }, "properties" : { "noteIndex" : 0 }, "schema" : "https://github.com/citation-style-language/schema/raw/master/csl-citation.json" }</w:instrText>
      </w:r>
      <w:r>
        <w:fldChar w:fldCharType="separate"/>
      </w:r>
      <w:r w:rsidR="000B174E" w:rsidRPr="000B174E">
        <w:rPr>
          <w:noProof/>
        </w:rPr>
        <w:t>Hayeem</w:t>
      </w:r>
      <w:r w:rsidR="00B638C4">
        <w:rPr>
          <w:noProof/>
        </w:rPr>
        <w:t>s, Geller, Finkelstein, &amp; Faden</w:t>
      </w:r>
      <w:r w:rsidR="00B638C4">
        <w:rPr>
          <w:noProof/>
          <w:vertAlign w:val="superscript"/>
        </w:rPr>
        <w:t>35</w:t>
      </w:r>
      <w:r>
        <w:fldChar w:fldCharType="end"/>
      </w:r>
      <w:r w:rsidR="000B174E">
        <w:t xml:space="preserve"> </w:t>
      </w:r>
      <w:r w:rsidR="00855802">
        <w:t xml:space="preserve">highlighted that patients who identify as visually impaired will reveal their condition, use low vision aids, and become more independent while those who identify as sighted hide their condition, reject low vision aids, and gradually become more dependent. Participants in our sample also showed this pattern. As well as providing practical support using vision aids can help avoid the internalised feelings of stigma and shame exhibited by those keen to hide their vision loss. It is worth considering whether older adults with vision impairment require emotional support to come to terms with how it will affect their daily living. </w:t>
      </w:r>
    </w:p>
    <w:p w14:paraId="408B1396" w14:textId="3DA50765" w:rsidR="00855802" w:rsidRDefault="00855802" w:rsidP="00855802">
      <w:pPr>
        <w:pStyle w:val="Body"/>
      </w:pPr>
      <w:r>
        <w:t>To close, changing attitudes to old age represents a serious societal challenge. There is a need to highlight the capabilities of older people rather than to focus only on the deficits associated with old age. Widely held western attitudes about ageing have important implications for older patients</w:t>
      </w:r>
      <w:r>
        <w:rPr>
          <w:lang w:val="fr-FR"/>
        </w:rPr>
        <w:t xml:space="preserve">’ </w:t>
      </w:r>
      <w:r>
        <w:t>health management behaviours. The internalised stigma associated with both vision impairment and advancing age can have a negative impact on patients</w:t>
      </w:r>
      <w:r>
        <w:rPr>
          <w:lang w:val="fr-FR"/>
        </w:rPr>
        <w:t xml:space="preserve">’ </w:t>
      </w:r>
      <w:r>
        <w:t>abilities to both manage health and seek help and support.</w:t>
      </w:r>
      <w:r w:rsidR="000B174E">
        <w:t xml:space="preserve"> </w:t>
      </w:r>
      <w:r w:rsidR="001631B7">
        <w:fldChar w:fldCharType="begin" w:fldLock="1"/>
      </w:r>
      <w:r w:rsidR="00A72FA5">
        <w:instrText>ADDIN CSL_CITATION { "citationItems" : [ { "id" : "ITEM-1", "itemData" : { "abstract" : "see: ch1- turner- theories of body ch3? elias ch6- Featherstone- bo...", "author" : [ { "dropping-particle" : "", "family" : "Featherstone", "given" : "M", "non-dropping-particle" : "", "parse-names" : false, "suffix" : "" }, { "dropping-particle" : "", "family" : "Hepworth", "given" : "M", "non-dropping-particle" : "", "parse-names" : false, "suffix" : "" } ], "container-title" : "The Body: Social Process and Cultural Theory", "editor" : [ { "dropping-particle" : "", "family" : "Featherstone", "given" : "M", "non-dropping-particle" : "", "parse-names" : false, "suffix" : "" }, { "dropping-particle" : "", "family" : "Hepworth", "given" : "M", "non-dropping-particle" : "", "parse-names" : false, "suffix" : "" }, { "dropping-particle" : "", "family" : "Turner", "given" : "B", "non-dropping-particle" : "", "parse-names" : false, "suffix" : "" } ], "id" : "ITEM-1", "issued" : { "date-parts" : [ [ "1991" ] ] }, "page" : "170-196", "publisher" : "Sage", "title" : "The mask of ageing and the postmodern lifecourse", "type" : "chapter" }, "uris" : [ "http://www.mendeley.com/documents/?uuid=4bb75f65-2e9b-425e-9061-376dcfc8f419" ] } ], "mendeley" : { "formattedCitation" : "&lt;sup&gt;36&lt;/sup&gt;", "manualFormatting" : "Featherstone &amp; Hepworth (1991)", "plainTextFormattedCitation" : "36", "previouslyFormattedCitation" : "&lt;sup&gt;36&lt;/sup&gt;" }, "properties" : { "noteIndex" : 0 }, "schema" : "https://github.com/citation-style-language/schema/raw/master/csl-citation.json" }</w:instrText>
      </w:r>
      <w:r w:rsidR="001631B7">
        <w:fldChar w:fldCharType="separate"/>
      </w:r>
      <w:r w:rsidR="000B174E">
        <w:rPr>
          <w:noProof/>
        </w:rPr>
        <w:t>Featherstone &amp; Hepworth</w:t>
      </w:r>
      <w:r w:rsidR="00B638C4">
        <w:rPr>
          <w:noProof/>
          <w:vertAlign w:val="superscript"/>
        </w:rPr>
        <w:t>36</w:t>
      </w:r>
      <w:r w:rsidR="001631B7">
        <w:fldChar w:fldCharType="end"/>
      </w:r>
      <w:r w:rsidR="000B174E">
        <w:t xml:space="preserve"> </w:t>
      </w:r>
      <w:r>
        <w:t>described the ageing body as a ‘mask</w:t>
      </w:r>
      <w:r>
        <w:rPr>
          <w:lang w:val="fr-FR"/>
        </w:rPr>
        <w:t xml:space="preserve">’ </w:t>
      </w:r>
      <w:r>
        <w:t xml:space="preserve">which is judged by appearance, function, cultural values, and used to classify a person as old. Behind the mask is the lived body a person knows and experiences according to their own individual context and biography. It is this experience of the body which should be acknowledged and explored within healthcare. </w:t>
      </w:r>
      <w:r>
        <w:lastRenderedPageBreak/>
        <w:t xml:space="preserve">Ageing has been reduced to the mechanics of the body creating a deficit model which was familiar to participants. Nevertheless, there is a need to encourage older adults to seek advice and support instead of suffering with something which could help them to adjust with the help of aids, technology or support networks. The notion of support seeking is complex though, and we found some participants felt that seeking support would detract from their independence. A shift in mindset or perhaps more simply increased awareness of the aids and support that </w:t>
      </w:r>
      <w:r>
        <w:rPr>
          <w:lang w:val="en-GB"/>
        </w:rPr>
        <w:t>are</w:t>
      </w:r>
      <w:r>
        <w:t xml:space="preserve"> available would enable older adults with sight loss to retain their independence for longer. </w:t>
      </w:r>
    </w:p>
    <w:p w14:paraId="408B1397" w14:textId="77777777" w:rsidR="00855802" w:rsidRDefault="00855802" w:rsidP="00D32715">
      <w:pPr>
        <w:pStyle w:val="Heading2"/>
      </w:pPr>
      <w:r>
        <w:rPr>
          <w:lang w:val="fr-FR"/>
        </w:rPr>
        <w:t>Limitations</w:t>
      </w:r>
    </w:p>
    <w:p w14:paraId="408B1398" w14:textId="181CA0D7" w:rsidR="00855802" w:rsidRDefault="00855802" w:rsidP="00855802">
      <w:pPr>
        <w:pStyle w:val="Body"/>
      </w:pPr>
      <w:r>
        <w:t xml:space="preserve">A limitation of the present study is </w:t>
      </w:r>
      <w:r w:rsidRPr="008F736D">
        <w:rPr>
          <w:highlight w:val="yellow"/>
        </w:rPr>
        <w:t xml:space="preserve">that </w:t>
      </w:r>
      <w:r w:rsidR="008F736D" w:rsidRPr="008F736D">
        <w:rPr>
          <w:highlight w:val="yellow"/>
        </w:rPr>
        <w:t>each participant was only interviewed once</w:t>
      </w:r>
      <w:r>
        <w:t xml:space="preserve"> and therefore our research was not able to capture the fluid and ever changing nature of the challenges and solutions experienced by the participants</w:t>
      </w:r>
      <w:r w:rsidR="008F736D">
        <w:t xml:space="preserve"> </w:t>
      </w:r>
      <w:r w:rsidR="008F736D" w:rsidRPr="008F736D">
        <w:rPr>
          <w:highlight w:val="yellow"/>
        </w:rPr>
        <w:t>over time</w:t>
      </w:r>
      <w:r>
        <w:t>. However</w:t>
      </w:r>
      <w:r w:rsidR="008F736D">
        <w:t>,</w:t>
      </w:r>
      <w:r>
        <w:t xml:space="preserve"> contextualised data were collected and participants were encouraged to reflect on experiences during interviews which have enabled some understanding of this issue particularly in relation to access to services. In addition it is acknowledged that participants recruited from support groups were more likely to highlight the value of this resource, however evidence of the value of support groups in those recruited through hospital clinics adds to the evidence regarding the importance of these services for all patients. Finally, despite aiming to recruit a diverse range of participants there was a lack of ethnic diversity within the sample. It is likely that our data do not fully represent the experiences of individuals from different cultures and therefore further research in this area is needed.</w:t>
      </w:r>
    </w:p>
    <w:p w14:paraId="408B1399" w14:textId="77777777" w:rsidR="00855802" w:rsidRDefault="00855802" w:rsidP="00D32715">
      <w:pPr>
        <w:pStyle w:val="Heading2"/>
      </w:pPr>
      <w:r>
        <w:t>Conclusions</w:t>
      </w:r>
    </w:p>
    <w:p w14:paraId="408B139A" w14:textId="77777777" w:rsidR="00855802" w:rsidRDefault="00855802" w:rsidP="00855802">
      <w:pPr>
        <w:pStyle w:val="Body"/>
      </w:pPr>
      <w:r>
        <w:t>This qualitative study about older adults</w:t>
      </w:r>
      <w:r>
        <w:rPr>
          <w:lang w:val="fr-FR"/>
        </w:rPr>
        <w:t xml:space="preserve">’ </w:t>
      </w:r>
      <w:r>
        <w:t xml:space="preserve">experience of managing general health when living with vision impairment supports the existing literature and adds depth and specificity in terms of how older adults with vision impairment can overcome barriers faced and maintain their general health and wellbeing. The accounts provided from older adults have identified a number of barriers which need to be addressed, examples of stoicism which prevent older adults from seeking support, but also a range of techniques for adapting in everyday situations. The resourcefulness and foresight of </w:t>
      </w:r>
      <w:r>
        <w:lastRenderedPageBreak/>
        <w:t>some participants is admirable; we hope that in passing on these findings they will help others adapt and effectively manage their health and wellbeing while living with sight loss.</w:t>
      </w:r>
    </w:p>
    <w:p w14:paraId="408B139B" w14:textId="77777777" w:rsidR="00855802" w:rsidRDefault="00F27EA5" w:rsidP="00F27EA5">
      <w:pPr>
        <w:pStyle w:val="Heading1"/>
      </w:pPr>
      <w:r>
        <w:t>Declaration of interest</w:t>
      </w:r>
    </w:p>
    <w:p w14:paraId="408B139C" w14:textId="77777777" w:rsidR="00F27EA5" w:rsidRDefault="00F27EA5" w:rsidP="00F27EA5">
      <w:r>
        <w:t>The authors report no declarations of interest.</w:t>
      </w:r>
      <w:r w:rsidR="000A2B55">
        <w:t xml:space="preserve"> </w:t>
      </w:r>
      <w:r>
        <w:t xml:space="preserve">This work was funded by the Thomas Pocklington Trust, and West Birmingham and Sandwell NHS Trust.  </w:t>
      </w:r>
    </w:p>
    <w:p w14:paraId="408B139D" w14:textId="77777777" w:rsidR="000A2B55" w:rsidRDefault="000A2B55" w:rsidP="000A2B55">
      <w:pPr>
        <w:pStyle w:val="Heading1"/>
        <w:rPr>
          <w:rFonts w:eastAsia="Arial"/>
        </w:rPr>
      </w:pPr>
      <w:r>
        <w:rPr>
          <w:rFonts w:eastAsia="Arial"/>
        </w:rPr>
        <w:t>Acknowledgements</w:t>
      </w:r>
    </w:p>
    <w:p w14:paraId="408B139E" w14:textId="77777777" w:rsidR="000A2B55" w:rsidRPr="00D1779F" w:rsidRDefault="000A2B55" w:rsidP="000A2B55">
      <w:r>
        <w:t>First, w</w:t>
      </w:r>
      <w:r w:rsidRPr="00D1779F">
        <w:t>e would like to thank the participants for giving up their time to this study. Thanks to Mary Dahdah who contributed to data collection and analysis. We thank Rebecca Marsden for her clinical expertise as an Eye</w:t>
      </w:r>
      <w:r>
        <w:t xml:space="preserve"> Clinic and Liaison Office</w:t>
      </w:r>
      <w:r w:rsidRPr="00D1779F">
        <w:t xml:space="preserve"> and</w:t>
      </w:r>
      <w:r>
        <w:t xml:space="preserve"> help with accessing patients and Anne Hawkins for her invaluable contributions as a patient. Thanks also to</w:t>
      </w:r>
      <w:r w:rsidRPr="00D1779F">
        <w:t xml:space="preserve"> Danny Gleeson </w:t>
      </w:r>
      <w:r>
        <w:t xml:space="preserve">and Amanda Reeve, representatives from the Macular Society, and Mary Bairstow, from RNIB and the Vision 2020 UK Ltd, </w:t>
      </w:r>
      <w:r w:rsidRPr="00D1779F">
        <w:t xml:space="preserve">for </w:t>
      </w:r>
      <w:r>
        <w:t>their</w:t>
      </w:r>
      <w:r w:rsidRPr="00D1779F">
        <w:t xml:space="preserve"> expertise </w:t>
      </w:r>
      <w:r>
        <w:t xml:space="preserve">and support throughout the project. Finally, thanks to Thomas Pocklington Trust, especially Catherine Dennison, for recognizing this important issue and for their financial support, to West Birmingham and Sandwell NHS Trust for their financial contribution and help with recruiting patients, and to Birmingham Focus for their help with accessing participants.  </w:t>
      </w:r>
      <w:r w:rsidRPr="00D1779F">
        <w:t xml:space="preserve"> </w:t>
      </w:r>
    </w:p>
    <w:p w14:paraId="408B139F" w14:textId="77777777" w:rsidR="000A2B55" w:rsidRPr="00F27EA5" w:rsidRDefault="000A2B55" w:rsidP="000A2B55">
      <w:pPr>
        <w:sectPr w:rsidR="000A2B55" w:rsidRPr="00F27EA5">
          <w:footerReference w:type="default" r:id="rId8"/>
          <w:pgSz w:w="11900" w:h="16840"/>
          <w:pgMar w:top="1440" w:right="1440" w:bottom="1440" w:left="1440" w:header="708" w:footer="708" w:gutter="0"/>
          <w:cols w:space="720"/>
        </w:sectPr>
      </w:pPr>
    </w:p>
    <w:p w14:paraId="408B13A0" w14:textId="77777777" w:rsidR="00855802" w:rsidRDefault="00855802" w:rsidP="00D32715">
      <w:pPr>
        <w:pStyle w:val="Heading2"/>
      </w:pPr>
      <w:r>
        <w:lastRenderedPageBreak/>
        <w:t>References</w:t>
      </w:r>
    </w:p>
    <w:p w14:paraId="408B13A1" w14:textId="77777777" w:rsidR="003935C3" w:rsidRPr="003935C3" w:rsidRDefault="001631B7">
      <w:pPr>
        <w:pStyle w:val="NormalWeb"/>
        <w:ind w:left="640" w:hanging="640"/>
        <w:divId w:val="1979069497"/>
        <w:rPr>
          <w:rFonts w:ascii="Calibri" w:hAnsi="Calibri"/>
          <w:noProof/>
          <w:sz w:val="22"/>
        </w:rPr>
      </w:pPr>
      <w:r>
        <w:rPr>
          <w:rFonts w:ascii="Calibri" w:eastAsia="Calibri" w:hAnsi="Calibri" w:cs="Calibri"/>
          <w:sz w:val="22"/>
          <w:szCs w:val="22"/>
        </w:rPr>
        <w:fldChar w:fldCharType="begin" w:fldLock="1"/>
      </w:r>
      <w:r w:rsidR="000B174E">
        <w:rPr>
          <w:rFonts w:ascii="Calibri" w:eastAsia="Calibri" w:hAnsi="Calibri" w:cs="Calibri"/>
          <w:sz w:val="22"/>
          <w:szCs w:val="22"/>
        </w:rPr>
        <w:instrText xml:space="preserve">ADDIN Mendeley Bibliography CSL_BIBLIOGRAPHY </w:instrText>
      </w:r>
      <w:r>
        <w:rPr>
          <w:rFonts w:ascii="Calibri" w:eastAsia="Calibri" w:hAnsi="Calibri" w:cs="Calibri"/>
          <w:sz w:val="22"/>
          <w:szCs w:val="22"/>
        </w:rPr>
        <w:fldChar w:fldCharType="separate"/>
      </w:r>
      <w:r w:rsidR="003935C3" w:rsidRPr="003935C3">
        <w:rPr>
          <w:rFonts w:ascii="Calibri" w:hAnsi="Calibri"/>
          <w:noProof/>
          <w:sz w:val="22"/>
        </w:rPr>
        <w:t xml:space="preserve">1. </w:t>
      </w:r>
      <w:r w:rsidR="003935C3" w:rsidRPr="003935C3">
        <w:rPr>
          <w:rFonts w:ascii="Calibri" w:hAnsi="Calibri"/>
          <w:noProof/>
          <w:sz w:val="22"/>
        </w:rPr>
        <w:tab/>
        <w:t xml:space="preserve">Hassell JB, Lamoureux EL, Keeffe JE. Impact of age related macular degeneration on quality of life. </w:t>
      </w:r>
      <w:r w:rsidR="003935C3" w:rsidRPr="003935C3">
        <w:rPr>
          <w:rFonts w:ascii="Calibri" w:hAnsi="Calibri"/>
          <w:i/>
          <w:iCs/>
          <w:noProof/>
          <w:sz w:val="22"/>
        </w:rPr>
        <w:t>Br J Ophthalmol</w:t>
      </w:r>
      <w:r w:rsidR="003935C3" w:rsidRPr="003935C3">
        <w:rPr>
          <w:rFonts w:ascii="Calibri" w:hAnsi="Calibri"/>
          <w:noProof/>
          <w:sz w:val="22"/>
        </w:rPr>
        <w:t>. 2006;90(5):593-596.</w:t>
      </w:r>
    </w:p>
    <w:p w14:paraId="408B13A2"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2. </w:t>
      </w:r>
      <w:r w:rsidRPr="003935C3">
        <w:rPr>
          <w:rFonts w:ascii="Calibri" w:hAnsi="Calibri"/>
          <w:noProof/>
          <w:sz w:val="22"/>
        </w:rPr>
        <w:tab/>
        <w:t xml:space="preserve">Rees G, Saw CL, Lamoureux EL, Keeffe JE. Self-management programs for adults with low vision: Needs and challenges. </w:t>
      </w:r>
      <w:r w:rsidRPr="003935C3">
        <w:rPr>
          <w:rFonts w:ascii="Calibri" w:hAnsi="Calibri"/>
          <w:i/>
          <w:iCs/>
          <w:noProof/>
          <w:sz w:val="22"/>
        </w:rPr>
        <w:t>Patient Educ Couns</w:t>
      </w:r>
      <w:r w:rsidRPr="003935C3">
        <w:rPr>
          <w:rFonts w:ascii="Calibri" w:hAnsi="Calibri"/>
          <w:noProof/>
          <w:sz w:val="22"/>
        </w:rPr>
        <w:t>. 2007;69(1-3):39-46.</w:t>
      </w:r>
    </w:p>
    <w:p w14:paraId="408B13A3"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3. </w:t>
      </w:r>
      <w:r w:rsidRPr="003935C3">
        <w:rPr>
          <w:rFonts w:ascii="Calibri" w:hAnsi="Calibri"/>
          <w:noProof/>
          <w:sz w:val="22"/>
        </w:rPr>
        <w:tab/>
        <w:t xml:space="preserve">Teitelman J, Copolillo A. Psychosocial issues in older adults’ adjustment to vision loss: Findings from qualitative interviews and focus groups. </w:t>
      </w:r>
      <w:r w:rsidRPr="003935C3">
        <w:rPr>
          <w:rFonts w:ascii="Calibri" w:hAnsi="Calibri"/>
          <w:i/>
          <w:iCs/>
          <w:noProof/>
          <w:sz w:val="22"/>
        </w:rPr>
        <w:t>Am J Occup Ther</w:t>
      </w:r>
      <w:r w:rsidRPr="003935C3">
        <w:rPr>
          <w:rFonts w:ascii="Calibri" w:hAnsi="Calibri"/>
          <w:noProof/>
          <w:sz w:val="22"/>
        </w:rPr>
        <w:t>. 2005;59(4):409-417.</w:t>
      </w:r>
    </w:p>
    <w:p w14:paraId="408B13A4"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4. </w:t>
      </w:r>
      <w:r w:rsidRPr="003935C3">
        <w:rPr>
          <w:rFonts w:ascii="Calibri" w:hAnsi="Calibri"/>
          <w:noProof/>
          <w:sz w:val="22"/>
        </w:rPr>
        <w:tab/>
        <w:t xml:space="preserve">Heine C, Browning CJ. The communication and psychosocial perceptions of older adults with sensory loss: a qualitative study. </w:t>
      </w:r>
      <w:r w:rsidRPr="003935C3">
        <w:rPr>
          <w:rFonts w:ascii="Calibri" w:hAnsi="Calibri"/>
          <w:i/>
          <w:iCs/>
          <w:noProof/>
          <w:sz w:val="22"/>
        </w:rPr>
        <w:t>Ageing Soc</w:t>
      </w:r>
      <w:r w:rsidRPr="003935C3">
        <w:rPr>
          <w:rFonts w:ascii="Calibri" w:hAnsi="Calibri"/>
          <w:noProof/>
          <w:sz w:val="22"/>
        </w:rPr>
        <w:t>. 2004;24(1):113-130. doi:10.1017/S0144686X03001491.</w:t>
      </w:r>
    </w:p>
    <w:p w14:paraId="408B13A5"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5. </w:t>
      </w:r>
      <w:r w:rsidRPr="003935C3">
        <w:rPr>
          <w:rFonts w:ascii="Calibri" w:hAnsi="Calibri"/>
          <w:noProof/>
          <w:sz w:val="22"/>
        </w:rPr>
        <w:tab/>
        <w:t xml:space="preserve">Zimdars A, Nazroo J, Gjonca E. The circumstances of older people in England with self-reported visual impairment: A secondary analysis of the English Longitudinal Study of Ageing (ELSA). </w:t>
      </w:r>
      <w:r w:rsidRPr="003935C3">
        <w:rPr>
          <w:rFonts w:ascii="Calibri" w:hAnsi="Calibri"/>
          <w:i/>
          <w:iCs/>
          <w:noProof/>
          <w:sz w:val="22"/>
        </w:rPr>
        <w:t>Br J Vis Impair</w:t>
      </w:r>
      <w:r w:rsidRPr="003935C3">
        <w:rPr>
          <w:rFonts w:ascii="Calibri" w:hAnsi="Calibri"/>
          <w:noProof/>
          <w:sz w:val="22"/>
        </w:rPr>
        <w:t>. 2012;30(1):22-30.</w:t>
      </w:r>
    </w:p>
    <w:p w14:paraId="408B13A6" w14:textId="47D47E6B"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6. </w:t>
      </w:r>
      <w:r w:rsidRPr="003935C3">
        <w:rPr>
          <w:rFonts w:ascii="Calibri" w:hAnsi="Calibri"/>
          <w:noProof/>
          <w:sz w:val="22"/>
        </w:rPr>
        <w:tab/>
      </w:r>
      <w:r w:rsidRPr="008F736D">
        <w:rPr>
          <w:rFonts w:ascii="Calibri" w:hAnsi="Calibri"/>
          <w:noProof/>
          <w:sz w:val="22"/>
          <w:highlight w:val="yellow"/>
        </w:rPr>
        <w:t xml:space="preserve">Nyman SR, Dibb B, Victor CR, Gosney M. Emotional well-being and adjustment to vision loss in later life: a meta-synthesis of qualitative studies. </w:t>
      </w:r>
      <w:r w:rsidR="00152D60" w:rsidRPr="008F736D">
        <w:rPr>
          <w:rFonts w:ascii="Calibri" w:hAnsi="Calibri"/>
          <w:i/>
          <w:noProof/>
          <w:sz w:val="22"/>
          <w:highlight w:val="yellow"/>
        </w:rPr>
        <w:t xml:space="preserve">Disabil Rehabil. </w:t>
      </w:r>
      <w:r w:rsidRPr="008F736D">
        <w:rPr>
          <w:rFonts w:ascii="Calibri" w:hAnsi="Calibri"/>
          <w:noProof/>
          <w:sz w:val="22"/>
          <w:highlight w:val="yellow"/>
        </w:rPr>
        <w:t>2012;34:971-981. doi:10.3109/09638288.2011.626487.</w:t>
      </w:r>
    </w:p>
    <w:p w14:paraId="408B13A7"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7. </w:t>
      </w:r>
      <w:r w:rsidRPr="003935C3">
        <w:rPr>
          <w:rFonts w:ascii="Calibri" w:hAnsi="Calibri"/>
          <w:noProof/>
          <w:sz w:val="22"/>
        </w:rPr>
        <w:tab/>
        <w:t xml:space="preserve">Friedman DS, Hahn SR, Gelb L, et al. Doctor-Patient Communication, Health-Related Beliefs, and Adherence in Glaucoma. Results from the Glaucoma Adherence and Persistency Study. </w:t>
      </w:r>
      <w:r w:rsidRPr="003935C3">
        <w:rPr>
          <w:rFonts w:ascii="Calibri" w:hAnsi="Calibri"/>
          <w:i/>
          <w:iCs/>
          <w:noProof/>
          <w:sz w:val="22"/>
        </w:rPr>
        <w:t>Ophthalmology</w:t>
      </w:r>
      <w:r w:rsidRPr="003935C3">
        <w:rPr>
          <w:rFonts w:ascii="Calibri" w:hAnsi="Calibri"/>
          <w:noProof/>
          <w:sz w:val="22"/>
        </w:rPr>
        <w:t>. 2008;115(8).</w:t>
      </w:r>
    </w:p>
    <w:p w14:paraId="408B13A8"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8. </w:t>
      </w:r>
      <w:r w:rsidRPr="003935C3">
        <w:rPr>
          <w:rFonts w:ascii="Calibri" w:hAnsi="Calibri"/>
          <w:noProof/>
          <w:sz w:val="22"/>
        </w:rPr>
        <w:tab/>
        <w:t xml:space="preserve">Muir KW, Ventura A, Stinnett SS, Enfiedjian A, Allingham RR, Lee PP. The influence of health literacy level on an educational intervention to improve glaucoma medication adherence. </w:t>
      </w:r>
      <w:r w:rsidRPr="003935C3">
        <w:rPr>
          <w:rFonts w:ascii="Calibri" w:hAnsi="Calibri"/>
          <w:i/>
          <w:iCs/>
          <w:noProof/>
          <w:sz w:val="22"/>
        </w:rPr>
        <w:t>Patient Educ Couns</w:t>
      </w:r>
      <w:r w:rsidRPr="003935C3">
        <w:rPr>
          <w:rFonts w:ascii="Calibri" w:hAnsi="Calibri"/>
          <w:noProof/>
          <w:sz w:val="22"/>
        </w:rPr>
        <w:t>. 2012;87(2):160-164.</w:t>
      </w:r>
    </w:p>
    <w:p w14:paraId="408B13A9"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9. </w:t>
      </w:r>
      <w:r w:rsidRPr="003935C3">
        <w:rPr>
          <w:rFonts w:ascii="Calibri" w:hAnsi="Calibri"/>
          <w:noProof/>
          <w:sz w:val="22"/>
        </w:rPr>
        <w:tab/>
        <w:t xml:space="preserve">Lacey J, Cate H, Broadway DC. Barriers to adherence with glaucoma medications: a qualitative research study. </w:t>
      </w:r>
      <w:r w:rsidRPr="003935C3">
        <w:rPr>
          <w:rFonts w:ascii="Calibri" w:hAnsi="Calibri"/>
          <w:i/>
          <w:iCs/>
          <w:noProof/>
          <w:sz w:val="22"/>
        </w:rPr>
        <w:t>Eye (Lond)</w:t>
      </w:r>
      <w:r w:rsidRPr="003935C3">
        <w:rPr>
          <w:rFonts w:ascii="Calibri" w:hAnsi="Calibri"/>
          <w:noProof/>
          <w:sz w:val="22"/>
        </w:rPr>
        <w:t>. 2009;23(4):924-932.</w:t>
      </w:r>
    </w:p>
    <w:p w14:paraId="408B13AA"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10. </w:t>
      </w:r>
      <w:r w:rsidRPr="003935C3">
        <w:rPr>
          <w:rFonts w:ascii="Calibri" w:hAnsi="Calibri"/>
          <w:noProof/>
          <w:sz w:val="22"/>
        </w:rPr>
        <w:tab/>
        <w:t xml:space="preserve">Tsai JC. A comprehensive perspective on patient adherence to topical glaucoma therapy. </w:t>
      </w:r>
      <w:r w:rsidRPr="003935C3">
        <w:rPr>
          <w:rFonts w:ascii="Calibri" w:hAnsi="Calibri"/>
          <w:i/>
          <w:iCs/>
          <w:noProof/>
          <w:sz w:val="22"/>
        </w:rPr>
        <w:t>Ophthalmology</w:t>
      </w:r>
      <w:r w:rsidRPr="003935C3">
        <w:rPr>
          <w:rFonts w:ascii="Calibri" w:hAnsi="Calibri"/>
          <w:noProof/>
          <w:sz w:val="22"/>
        </w:rPr>
        <w:t>. 2009;116(11 Suppl):S30-S36.</w:t>
      </w:r>
    </w:p>
    <w:p w14:paraId="408B13AB"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11. </w:t>
      </w:r>
      <w:r w:rsidRPr="003935C3">
        <w:rPr>
          <w:rFonts w:ascii="Calibri" w:hAnsi="Calibri"/>
          <w:noProof/>
          <w:sz w:val="22"/>
        </w:rPr>
        <w:tab/>
        <w:t xml:space="preserve">Age-Related Eye Disease Study Research Group. A randomized, placebo-controlled, clinical trial of high-dose supplementation with vitamins C and E, beta carotene, and zinc for age-related macular degeneration and vision loss: AREDS report no. 8. </w:t>
      </w:r>
      <w:r w:rsidRPr="003935C3">
        <w:rPr>
          <w:rFonts w:ascii="Calibri" w:hAnsi="Calibri"/>
          <w:i/>
          <w:iCs/>
          <w:noProof/>
          <w:sz w:val="22"/>
        </w:rPr>
        <w:t>Arch Ophthalmol</w:t>
      </w:r>
      <w:r w:rsidRPr="003935C3">
        <w:rPr>
          <w:rFonts w:ascii="Calibri" w:hAnsi="Calibri"/>
          <w:noProof/>
          <w:sz w:val="22"/>
        </w:rPr>
        <w:t>. 2001;119(10):1417-1436. doi:10.1016/j.bbi.2008.05.010.</w:t>
      </w:r>
    </w:p>
    <w:p w14:paraId="408B13AC"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12. </w:t>
      </w:r>
      <w:r w:rsidRPr="003935C3">
        <w:rPr>
          <w:rFonts w:ascii="Calibri" w:hAnsi="Calibri"/>
          <w:noProof/>
          <w:sz w:val="22"/>
        </w:rPr>
        <w:tab/>
        <w:t xml:space="preserve">Schmidl D, Garhöfer G, Schmetterer L. Nutritional supplements in age-related macular degeneration. </w:t>
      </w:r>
      <w:r w:rsidRPr="003935C3">
        <w:rPr>
          <w:rFonts w:ascii="Calibri" w:hAnsi="Calibri"/>
          <w:i/>
          <w:iCs/>
          <w:noProof/>
          <w:sz w:val="22"/>
        </w:rPr>
        <w:t>Acta Ophthalmol</w:t>
      </w:r>
      <w:r w:rsidRPr="003935C3">
        <w:rPr>
          <w:rFonts w:ascii="Calibri" w:hAnsi="Calibri"/>
          <w:noProof/>
          <w:sz w:val="22"/>
        </w:rPr>
        <w:t>. 2015;93(2):105-121. doi:10.1111/aos.12650.</w:t>
      </w:r>
    </w:p>
    <w:p w14:paraId="408B13AD"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13. </w:t>
      </w:r>
      <w:r w:rsidRPr="003935C3">
        <w:rPr>
          <w:rFonts w:ascii="Calibri" w:hAnsi="Calibri"/>
          <w:noProof/>
          <w:sz w:val="22"/>
        </w:rPr>
        <w:tab/>
        <w:t xml:space="preserve">Ng WTWT, Goggin M. Awareness of and compliance with recommended dietary supplement among age-related macular degeneration patients. </w:t>
      </w:r>
      <w:r w:rsidRPr="003935C3">
        <w:rPr>
          <w:rFonts w:ascii="Calibri" w:hAnsi="Calibri"/>
          <w:i/>
          <w:iCs/>
          <w:noProof/>
          <w:sz w:val="22"/>
        </w:rPr>
        <w:t>Clin Exp Ophthalmol</w:t>
      </w:r>
      <w:r w:rsidRPr="003935C3">
        <w:rPr>
          <w:rFonts w:ascii="Calibri" w:hAnsi="Calibri"/>
          <w:noProof/>
          <w:sz w:val="22"/>
        </w:rPr>
        <w:t>. 2006;34(1):9-14.</w:t>
      </w:r>
    </w:p>
    <w:p w14:paraId="408B13AE"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14. </w:t>
      </w:r>
      <w:r w:rsidRPr="003935C3">
        <w:rPr>
          <w:rFonts w:ascii="Calibri" w:hAnsi="Calibri"/>
          <w:noProof/>
          <w:sz w:val="22"/>
        </w:rPr>
        <w:tab/>
        <w:t>Yu AL, Paul T, Schaumberger M, Welge-lussen U. Factors affecting the use of antioxidant supplements in patients with late AMD. 2014:1227-1232.</w:t>
      </w:r>
    </w:p>
    <w:p w14:paraId="408B13AF"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lastRenderedPageBreak/>
        <w:t xml:space="preserve">15. </w:t>
      </w:r>
      <w:r w:rsidRPr="003935C3">
        <w:rPr>
          <w:rFonts w:ascii="Calibri" w:hAnsi="Calibri"/>
          <w:noProof/>
          <w:sz w:val="22"/>
        </w:rPr>
        <w:tab/>
        <w:t xml:space="preserve">Cattan M, Hughes S, Fylan F, Kimes N, Giuntoli G. </w:t>
      </w:r>
      <w:r w:rsidRPr="003935C3">
        <w:rPr>
          <w:rFonts w:ascii="Calibri" w:hAnsi="Calibri"/>
          <w:i/>
          <w:iCs/>
          <w:noProof/>
          <w:sz w:val="22"/>
        </w:rPr>
        <w:t>The Needs of Frail Older People with Sight Loss</w:t>
      </w:r>
      <w:r w:rsidRPr="003935C3">
        <w:rPr>
          <w:rFonts w:ascii="Calibri" w:hAnsi="Calibri"/>
          <w:noProof/>
          <w:sz w:val="22"/>
        </w:rPr>
        <w:t>. London</w:t>
      </w:r>
      <w:r>
        <w:rPr>
          <w:rFonts w:ascii="Calibri" w:hAnsi="Calibri"/>
          <w:noProof/>
          <w:sz w:val="22"/>
        </w:rPr>
        <w:t>; Thomas Pocklington Trust</w:t>
      </w:r>
      <w:r w:rsidRPr="003935C3">
        <w:rPr>
          <w:rFonts w:ascii="Calibri" w:hAnsi="Calibri"/>
          <w:noProof/>
          <w:sz w:val="22"/>
        </w:rPr>
        <w:t>; 2011.</w:t>
      </w:r>
    </w:p>
    <w:p w14:paraId="408B13B0"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16. </w:t>
      </w:r>
      <w:r w:rsidRPr="003935C3">
        <w:rPr>
          <w:rFonts w:ascii="Calibri" w:hAnsi="Calibri"/>
          <w:noProof/>
          <w:sz w:val="22"/>
        </w:rPr>
        <w:tab/>
        <w:t xml:space="preserve">Hanson J, Percival J, Zako R, Johnson M. Housing and support needs of older people with visual impairment – experiences and challenges. </w:t>
      </w:r>
      <w:r w:rsidRPr="003935C3">
        <w:rPr>
          <w:rFonts w:ascii="Calibri" w:hAnsi="Calibri"/>
          <w:i/>
          <w:iCs/>
          <w:noProof/>
          <w:sz w:val="22"/>
        </w:rPr>
        <w:t>Thomas Pocklingt Trust</w:t>
      </w:r>
      <w:r w:rsidRPr="003935C3">
        <w:rPr>
          <w:rFonts w:ascii="Calibri" w:hAnsi="Calibri"/>
          <w:noProof/>
          <w:sz w:val="22"/>
        </w:rPr>
        <w:t>. 2001:1-20.</w:t>
      </w:r>
    </w:p>
    <w:p w14:paraId="408B13B1"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17. </w:t>
      </w:r>
      <w:r w:rsidRPr="003935C3">
        <w:rPr>
          <w:rFonts w:ascii="Calibri" w:hAnsi="Calibri"/>
          <w:noProof/>
          <w:sz w:val="22"/>
        </w:rPr>
        <w:tab/>
        <w:t xml:space="preserve">Coyne KS, Margolis MK, Kennedy-Martin T, et al. The impact of diabetic retinopathy: Perspectives from patient focus groups. </w:t>
      </w:r>
      <w:r w:rsidRPr="003935C3">
        <w:rPr>
          <w:rFonts w:ascii="Calibri" w:hAnsi="Calibri"/>
          <w:i/>
          <w:iCs/>
          <w:noProof/>
          <w:sz w:val="22"/>
        </w:rPr>
        <w:t>Fam Pract</w:t>
      </w:r>
      <w:r w:rsidRPr="003935C3">
        <w:rPr>
          <w:rFonts w:ascii="Calibri" w:hAnsi="Calibri"/>
          <w:noProof/>
          <w:sz w:val="22"/>
        </w:rPr>
        <w:t>. 2004;21(4):447-453.</w:t>
      </w:r>
    </w:p>
    <w:p w14:paraId="408B13B2"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18. </w:t>
      </w:r>
      <w:r w:rsidRPr="003935C3">
        <w:rPr>
          <w:rFonts w:ascii="Calibri" w:hAnsi="Calibri"/>
          <w:noProof/>
          <w:sz w:val="22"/>
        </w:rPr>
        <w:tab/>
        <w:t xml:space="preserve">Devenney R, O&amp;apos;Neill S. The experience of diabetic retinopathy: A qualitative study. </w:t>
      </w:r>
      <w:r w:rsidRPr="003935C3">
        <w:rPr>
          <w:rFonts w:ascii="Calibri" w:hAnsi="Calibri"/>
          <w:i/>
          <w:iCs/>
          <w:noProof/>
          <w:sz w:val="22"/>
        </w:rPr>
        <w:t>Br J Health Psychol</w:t>
      </w:r>
      <w:r w:rsidRPr="003935C3">
        <w:rPr>
          <w:rFonts w:ascii="Calibri" w:hAnsi="Calibri"/>
          <w:noProof/>
          <w:sz w:val="22"/>
        </w:rPr>
        <w:t>. 2011;16(4):707-721. doi:10.1111/j.2044-8287.2010.02008.x.</w:t>
      </w:r>
    </w:p>
    <w:p w14:paraId="408B13B3"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19. </w:t>
      </w:r>
      <w:r w:rsidRPr="003935C3">
        <w:rPr>
          <w:rFonts w:ascii="Calibri" w:hAnsi="Calibri"/>
          <w:noProof/>
          <w:sz w:val="22"/>
        </w:rPr>
        <w:tab/>
        <w:t xml:space="preserve">McCann RM, Jackson AJ, Stevenson M, Dempster M, McElnay JC, Cupples ME. Help needed inmedication self-management for people with visual impairment: Case-control study. </w:t>
      </w:r>
      <w:r w:rsidRPr="003935C3">
        <w:rPr>
          <w:rFonts w:ascii="Calibri" w:hAnsi="Calibri"/>
          <w:i/>
          <w:iCs/>
          <w:noProof/>
          <w:sz w:val="22"/>
        </w:rPr>
        <w:t>Br J Gen Pract</w:t>
      </w:r>
      <w:r w:rsidRPr="003935C3">
        <w:rPr>
          <w:rFonts w:ascii="Calibri" w:hAnsi="Calibri"/>
          <w:noProof/>
          <w:sz w:val="22"/>
        </w:rPr>
        <w:t>. 2012;62(601).</w:t>
      </w:r>
    </w:p>
    <w:p w14:paraId="408B13B4"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20. </w:t>
      </w:r>
      <w:r w:rsidRPr="003935C3">
        <w:rPr>
          <w:rFonts w:ascii="Calibri" w:hAnsi="Calibri"/>
          <w:noProof/>
          <w:sz w:val="22"/>
        </w:rPr>
        <w:tab/>
        <w:t xml:space="preserve">Sansgiry S, Pawaskar M. Over-the-counter medication labels: are we ignoring the needs of blind consumers? </w:t>
      </w:r>
      <w:r w:rsidRPr="003935C3">
        <w:rPr>
          <w:rFonts w:ascii="Calibri" w:hAnsi="Calibri"/>
          <w:i/>
          <w:iCs/>
          <w:noProof/>
          <w:sz w:val="22"/>
        </w:rPr>
        <w:t>Optometry</w:t>
      </w:r>
      <w:r w:rsidRPr="003935C3">
        <w:rPr>
          <w:rFonts w:ascii="Calibri" w:hAnsi="Calibri"/>
          <w:noProof/>
          <w:sz w:val="22"/>
        </w:rPr>
        <w:t>. 2004;75:407-408.</w:t>
      </w:r>
    </w:p>
    <w:p w14:paraId="408B13B5"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21. </w:t>
      </w:r>
      <w:r w:rsidRPr="003935C3">
        <w:rPr>
          <w:rFonts w:ascii="Calibri" w:hAnsi="Calibri"/>
          <w:noProof/>
          <w:sz w:val="22"/>
        </w:rPr>
        <w:tab/>
        <w:t xml:space="preserve">Sibley E, Alexandrou B. </w:t>
      </w:r>
      <w:r w:rsidRPr="003935C3">
        <w:rPr>
          <w:rFonts w:ascii="Calibri" w:hAnsi="Calibri"/>
          <w:i/>
          <w:iCs/>
          <w:noProof/>
          <w:sz w:val="22"/>
        </w:rPr>
        <w:t>Towards an Inclusive Health Service: A Research Report into the Availability of Health Information for Blind and Partially Sighted People.</w:t>
      </w:r>
      <w:r w:rsidRPr="003935C3">
        <w:rPr>
          <w:rFonts w:ascii="Calibri" w:hAnsi="Calibri"/>
          <w:noProof/>
          <w:sz w:val="22"/>
        </w:rPr>
        <w:t xml:space="preserve"> London; 2009.</w:t>
      </w:r>
    </w:p>
    <w:p w14:paraId="408B13B6"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22. </w:t>
      </w:r>
      <w:r w:rsidRPr="003935C3">
        <w:rPr>
          <w:rFonts w:ascii="Calibri" w:hAnsi="Calibri"/>
          <w:noProof/>
          <w:sz w:val="22"/>
        </w:rPr>
        <w:tab/>
        <w:t xml:space="preserve">Sharts-Hopko NC, Smeltzer S, Ott BB, Zimmerman V, Duffin J. Healthcare experiences of women with visual impairment. </w:t>
      </w:r>
      <w:r w:rsidRPr="003935C3">
        <w:rPr>
          <w:rFonts w:ascii="Calibri" w:hAnsi="Calibri"/>
          <w:i/>
          <w:iCs/>
          <w:noProof/>
          <w:sz w:val="22"/>
        </w:rPr>
        <w:t>Clin Nurse Spec</w:t>
      </w:r>
      <w:r w:rsidRPr="003935C3">
        <w:rPr>
          <w:rFonts w:ascii="Calibri" w:hAnsi="Calibri"/>
          <w:noProof/>
          <w:sz w:val="22"/>
        </w:rPr>
        <w:t>. 24(3):149-153. doi:10.1097/NUR.0b013e3181d82b89.</w:t>
      </w:r>
    </w:p>
    <w:p w14:paraId="408B13B7"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23. </w:t>
      </w:r>
      <w:r w:rsidRPr="003935C3">
        <w:rPr>
          <w:rFonts w:ascii="Calibri" w:hAnsi="Calibri"/>
          <w:noProof/>
          <w:sz w:val="22"/>
        </w:rPr>
        <w:tab/>
        <w:t xml:space="preserve">Bennion AE, Shaw RL, Gibson JM. What do we know about the experience of age related macular degeneration? A systematic review and meta-synthesis of qualitative research. </w:t>
      </w:r>
      <w:r w:rsidRPr="003935C3">
        <w:rPr>
          <w:rFonts w:ascii="Calibri" w:hAnsi="Calibri"/>
          <w:i/>
          <w:iCs/>
          <w:noProof/>
          <w:sz w:val="22"/>
        </w:rPr>
        <w:t>Soc Sci Med</w:t>
      </w:r>
      <w:r w:rsidRPr="003935C3">
        <w:rPr>
          <w:rFonts w:ascii="Calibri" w:hAnsi="Calibri"/>
          <w:noProof/>
          <w:sz w:val="22"/>
        </w:rPr>
        <w:t>. 2012;75(6):976-985.</w:t>
      </w:r>
    </w:p>
    <w:p w14:paraId="408B13B8"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24. </w:t>
      </w:r>
      <w:r w:rsidRPr="003935C3">
        <w:rPr>
          <w:rFonts w:ascii="Calibri" w:hAnsi="Calibri"/>
          <w:noProof/>
          <w:sz w:val="22"/>
        </w:rPr>
        <w:tab/>
        <w:t xml:space="preserve">Burton AE, Shaw R, Gibson J. Experiences of patients with age-related macular degeneration receiving anti-vascular endothelial growth factor therapy: A qualitative study. </w:t>
      </w:r>
      <w:r w:rsidRPr="003935C3">
        <w:rPr>
          <w:rFonts w:ascii="Calibri" w:hAnsi="Calibri"/>
          <w:i/>
          <w:iCs/>
          <w:noProof/>
          <w:sz w:val="22"/>
        </w:rPr>
        <w:t>Br J Vis Impair</w:t>
      </w:r>
      <w:r w:rsidRPr="003935C3">
        <w:rPr>
          <w:rFonts w:ascii="Calibri" w:hAnsi="Calibri"/>
          <w:noProof/>
          <w:sz w:val="22"/>
        </w:rPr>
        <w:t>. 2013;31(3):178-188. http://jvi.sagepub.com/content/31/3/178.abstract?rss=1.</w:t>
      </w:r>
    </w:p>
    <w:p w14:paraId="408B13B9"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25. </w:t>
      </w:r>
      <w:r w:rsidRPr="003935C3">
        <w:rPr>
          <w:rFonts w:ascii="Calibri" w:hAnsi="Calibri"/>
          <w:noProof/>
          <w:sz w:val="22"/>
        </w:rPr>
        <w:tab/>
        <w:t xml:space="preserve">Burton AE, Shaw RL, Gibson JM. “I”d like to know what causes it, you know, anything I’ve done?' Are we meeting the information and support needs of patients with macular degeneration? A qualitative study. </w:t>
      </w:r>
      <w:r w:rsidRPr="003935C3">
        <w:rPr>
          <w:rFonts w:ascii="Calibri" w:hAnsi="Calibri"/>
          <w:i/>
          <w:iCs/>
          <w:noProof/>
          <w:sz w:val="22"/>
        </w:rPr>
        <w:t>BMJ Open</w:t>
      </w:r>
      <w:r w:rsidRPr="003935C3">
        <w:rPr>
          <w:rFonts w:ascii="Calibri" w:hAnsi="Calibri"/>
          <w:noProof/>
          <w:sz w:val="22"/>
        </w:rPr>
        <w:t>. 2013;3(11):e003306-e003306. doi:10.1136/bmjopen-2013-003306.</w:t>
      </w:r>
    </w:p>
    <w:p w14:paraId="408B13BA" w14:textId="1BB6FDD1"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26. </w:t>
      </w:r>
      <w:r w:rsidRPr="003935C3">
        <w:rPr>
          <w:rFonts w:ascii="Calibri" w:hAnsi="Calibri"/>
          <w:noProof/>
          <w:sz w:val="22"/>
        </w:rPr>
        <w:tab/>
        <w:t xml:space="preserve">Burton AE, Shaw RL, Gibson JM. Living together with age-related macular degeneration: An interpretative phenomenological analysis of sense-making within a dyadic relationship. </w:t>
      </w:r>
      <w:r w:rsidRPr="003935C3">
        <w:rPr>
          <w:rFonts w:ascii="Calibri" w:hAnsi="Calibri"/>
          <w:i/>
          <w:iCs/>
          <w:noProof/>
          <w:sz w:val="22"/>
        </w:rPr>
        <w:t>J Health Psychol</w:t>
      </w:r>
      <w:r w:rsidRPr="003935C3">
        <w:rPr>
          <w:rFonts w:ascii="Calibri" w:hAnsi="Calibri"/>
          <w:noProof/>
          <w:sz w:val="22"/>
        </w:rPr>
        <w:t xml:space="preserve">. </w:t>
      </w:r>
      <w:r w:rsidR="008F3A2C">
        <w:rPr>
          <w:rFonts w:ascii="Calibri" w:hAnsi="Calibri"/>
          <w:noProof/>
          <w:sz w:val="22"/>
        </w:rPr>
        <w:t>2015;20(10): 1285-1295</w:t>
      </w:r>
      <w:r w:rsidRPr="003935C3">
        <w:rPr>
          <w:rFonts w:ascii="Calibri" w:hAnsi="Calibri"/>
          <w:noProof/>
          <w:sz w:val="22"/>
        </w:rPr>
        <w:t>. doi:10.1177/1359105313511134.</w:t>
      </w:r>
    </w:p>
    <w:p w14:paraId="408B13BB"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27. </w:t>
      </w:r>
      <w:r w:rsidRPr="003935C3">
        <w:rPr>
          <w:rFonts w:ascii="Calibri" w:hAnsi="Calibri"/>
          <w:noProof/>
          <w:sz w:val="22"/>
        </w:rPr>
        <w:tab/>
        <w:t>Braun V, Clarke V. Braun, V ., Clarke, V .Using thematic analysis in psychology.</w:t>
      </w:r>
      <w:r w:rsidR="00F23A4F">
        <w:rPr>
          <w:rFonts w:ascii="Calibri" w:hAnsi="Calibri"/>
          <w:noProof/>
          <w:sz w:val="22"/>
        </w:rPr>
        <w:t xml:space="preserve"> </w:t>
      </w:r>
      <w:r w:rsidRPr="003935C3">
        <w:rPr>
          <w:rFonts w:ascii="Calibri" w:hAnsi="Calibri"/>
          <w:i/>
          <w:iCs/>
          <w:noProof/>
          <w:sz w:val="22"/>
        </w:rPr>
        <w:t>Qual Res Psychol</w:t>
      </w:r>
      <w:r w:rsidRPr="003935C3">
        <w:rPr>
          <w:rFonts w:ascii="Calibri" w:hAnsi="Calibri"/>
          <w:noProof/>
          <w:sz w:val="22"/>
        </w:rPr>
        <w:t>. 2006;3:77-101. doi:10.1191/1478088706qp063oa.</w:t>
      </w:r>
    </w:p>
    <w:p w14:paraId="408B13BC"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28. </w:t>
      </w:r>
      <w:r w:rsidRPr="003935C3">
        <w:rPr>
          <w:rFonts w:ascii="Calibri" w:hAnsi="Calibri"/>
          <w:noProof/>
          <w:sz w:val="22"/>
        </w:rPr>
        <w:tab/>
        <w:t xml:space="preserve">Hernandez Trillo A, Dickinson CM. The impact of visual and nonvisual factors on quality of life and adaptation in adults with visual impairment. </w:t>
      </w:r>
      <w:r w:rsidRPr="003935C3">
        <w:rPr>
          <w:rFonts w:ascii="Calibri" w:hAnsi="Calibri"/>
          <w:i/>
          <w:iCs/>
          <w:noProof/>
          <w:sz w:val="22"/>
        </w:rPr>
        <w:t>Investig Ophthalmol Vis Sci</w:t>
      </w:r>
      <w:r w:rsidRPr="003935C3">
        <w:rPr>
          <w:rFonts w:ascii="Calibri" w:hAnsi="Calibri"/>
          <w:noProof/>
          <w:sz w:val="22"/>
        </w:rPr>
        <w:t>. 2012;53(7):4234-4241. doi:10.1167/iovs.12-9580.</w:t>
      </w:r>
    </w:p>
    <w:p w14:paraId="408B13BD"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lastRenderedPageBreak/>
        <w:t xml:space="preserve">29. </w:t>
      </w:r>
      <w:r w:rsidRPr="003935C3">
        <w:rPr>
          <w:rFonts w:ascii="Calibri" w:hAnsi="Calibri"/>
          <w:noProof/>
          <w:sz w:val="22"/>
        </w:rPr>
        <w:tab/>
        <w:t xml:space="preserve">Dreer LE, Elliott TR, Berry J, Fletcher DC, Swanson M, Christopher McNeal J. Cognitive appraisals, distress and disability among persons in low vision rehabilitation. </w:t>
      </w:r>
      <w:r w:rsidRPr="003935C3">
        <w:rPr>
          <w:rFonts w:ascii="Calibri" w:hAnsi="Calibri"/>
          <w:i/>
          <w:iCs/>
          <w:noProof/>
          <w:sz w:val="22"/>
        </w:rPr>
        <w:t>Br J Health Psychol</w:t>
      </w:r>
      <w:r w:rsidR="00F23A4F">
        <w:rPr>
          <w:rFonts w:ascii="Calibri" w:hAnsi="Calibri"/>
          <w:noProof/>
          <w:sz w:val="22"/>
        </w:rPr>
        <w:t>. 2008;13(</w:t>
      </w:r>
      <w:r w:rsidRPr="003935C3">
        <w:rPr>
          <w:rFonts w:ascii="Calibri" w:hAnsi="Calibri"/>
          <w:noProof/>
          <w:sz w:val="22"/>
        </w:rPr>
        <w:t>3):449-461.</w:t>
      </w:r>
    </w:p>
    <w:p w14:paraId="408B13BE"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30. </w:t>
      </w:r>
      <w:r w:rsidRPr="003935C3">
        <w:rPr>
          <w:rFonts w:ascii="Calibri" w:hAnsi="Calibri"/>
          <w:noProof/>
          <w:sz w:val="22"/>
        </w:rPr>
        <w:tab/>
        <w:t xml:space="preserve">NB Magazine. Transforming the NHS. 2013. </w:t>
      </w:r>
      <w:r w:rsidR="00F23A4F">
        <w:rPr>
          <w:rFonts w:ascii="Calibri" w:hAnsi="Calibri"/>
          <w:noProof/>
          <w:sz w:val="22"/>
        </w:rPr>
        <w:t xml:space="preserve">Available from: </w:t>
      </w:r>
      <w:r w:rsidRPr="003935C3">
        <w:rPr>
          <w:rFonts w:ascii="Calibri" w:hAnsi="Calibri"/>
          <w:noProof/>
          <w:sz w:val="22"/>
        </w:rPr>
        <w:t>http://www.rnib.org.uk/professionals/health/services/nbmagazine/features/Pages/nhs.aspx.</w:t>
      </w:r>
      <w:r w:rsidR="00F23A4F">
        <w:rPr>
          <w:rFonts w:ascii="Calibri" w:hAnsi="Calibri"/>
          <w:noProof/>
          <w:sz w:val="22"/>
        </w:rPr>
        <w:t xml:space="preserve"> Accessed 2013 Sept 19.</w:t>
      </w:r>
    </w:p>
    <w:p w14:paraId="408B13BF"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31. </w:t>
      </w:r>
      <w:r w:rsidRPr="003935C3">
        <w:rPr>
          <w:rFonts w:ascii="Calibri" w:hAnsi="Calibri"/>
          <w:noProof/>
          <w:sz w:val="22"/>
        </w:rPr>
        <w:tab/>
        <w:t>Royal National Institute for the Blind. Top tips for health care professionals. Accessing care: meeting patients needs. 2014.</w:t>
      </w:r>
      <w:r w:rsidR="00F23A4F">
        <w:rPr>
          <w:rFonts w:ascii="Calibri" w:hAnsi="Calibri"/>
          <w:noProof/>
          <w:sz w:val="22"/>
        </w:rPr>
        <w:t xml:space="preserve"> Available from: </w:t>
      </w:r>
      <w:r w:rsidRPr="003935C3">
        <w:rPr>
          <w:rFonts w:ascii="Calibri" w:hAnsi="Calibri"/>
          <w:noProof/>
          <w:sz w:val="22"/>
        </w:rPr>
        <w:t xml:space="preserve"> http://www.rnib.org.uk/sites/default/files/Top-Healthcare-Tips-Accessing-Care_0.pdf.</w:t>
      </w:r>
      <w:r w:rsidR="00F23A4F">
        <w:rPr>
          <w:rFonts w:ascii="Calibri" w:hAnsi="Calibri"/>
          <w:noProof/>
          <w:sz w:val="22"/>
        </w:rPr>
        <w:t xml:space="preserve"> Accessed 2014 Jul 30.</w:t>
      </w:r>
    </w:p>
    <w:p w14:paraId="408B13C0"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32. </w:t>
      </w:r>
      <w:r w:rsidRPr="003935C3">
        <w:rPr>
          <w:rFonts w:ascii="Calibri" w:hAnsi="Calibri"/>
          <w:noProof/>
          <w:sz w:val="22"/>
        </w:rPr>
        <w:tab/>
        <w:t xml:space="preserve">Royal College of General Practitioners. Clinical Priorities for General Practice. 2015. </w:t>
      </w:r>
      <w:r w:rsidR="00F23A4F">
        <w:rPr>
          <w:rFonts w:ascii="Calibri" w:hAnsi="Calibri"/>
          <w:noProof/>
          <w:sz w:val="22"/>
        </w:rPr>
        <w:t xml:space="preserve">Available from: </w:t>
      </w:r>
      <w:r w:rsidRPr="003935C3">
        <w:rPr>
          <w:rFonts w:ascii="Calibri" w:hAnsi="Calibri"/>
          <w:noProof/>
          <w:sz w:val="22"/>
        </w:rPr>
        <w:t>http://www.rcgp.org.uk/clinical-and-research/our-programmes/clinical-priorities.aspx.</w:t>
      </w:r>
      <w:r w:rsidR="00F23A4F">
        <w:rPr>
          <w:rFonts w:ascii="Calibri" w:hAnsi="Calibri"/>
          <w:noProof/>
          <w:sz w:val="22"/>
        </w:rPr>
        <w:t xml:space="preserve"> Accessed 2015 June 19.</w:t>
      </w:r>
    </w:p>
    <w:p w14:paraId="408B13C1"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33. </w:t>
      </w:r>
      <w:r w:rsidRPr="003935C3">
        <w:rPr>
          <w:rFonts w:ascii="Calibri" w:hAnsi="Calibri"/>
          <w:noProof/>
          <w:sz w:val="22"/>
        </w:rPr>
        <w:tab/>
        <w:t xml:space="preserve">Thetford C, Robinson J, Knox P. The changing needs of people with sight loss This publication presents findings from a research study. </w:t>
      </w:r>
      <w:r w:rsidRPr="003935C3">
        <w:rPr>
          <w:rFonts w:ascii="Calibri" w:hAnsi="Calibri"/>
          <w:i/>
          <w:iCs/>
          <w:noProof/>
          <w:sz w:val="22"/>
        </w:rPr>
        <w:t>Qual Res</w:t>
      </w:r>
      <w:r w:rsidRPr="003935C3">
        <w:rPr>
          <w:rFonts w:ascii="Calibri" w:hAnsi="Calibri"/>
          <w:noProof/>
          <w:sz w:val="22"/>
        </w:rPr>
        <w:t>. 2009;(17):1-20.</w:t>
      </w:r>
    </w:p>
    <w:p w14:paraId="408B13C2"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34. </w:t>
      </w:r>
      <w:r w:rsidRPr="003935C3">
        <w:rPr>
          <w:rFonts w:ascii="Calibri" w:hAnsi="Calibri"/>
          <w:noProof/>
          <w:sz w:val="22"/>
        </w:rPr>
        <w:tab/>
        <w:t xml:space="preserve">Brennan M, Cardinali G. The use of preexisting and novel coping strategies in adapting to age-related vision loss. </w:t>
      </w:r>
      <w:r w:rsidRPr="003935C3">
        <w:rPr>
          <w:rFonts w:ascii="Calibri" w:hAnsi="Calibri"/>
          <w:i/>
          <w:iCs/>
          <w:noProof/>
          <w:sz w:val="22"/>
        </w:rPr>
        <w:t>Gerontologist</w:t>
      </w:r>
      <w:r w:rsidRPr="003935C3">
        <w:rPr>
          <w:rFonts w:ascii="Calibri" w:hAnsi="Calibri"/>
          <w:noProof/>
          <w:sz w:val="22"/>
        </w:rPr>
        <w:t>. 2000;40(3):327-334.</w:t>
      </w:r>
    </w:p>
    <w:p w14:paraId="408B13C3"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35. </w:t>
      </w:r>
      <w:r w:rsidRPr="003935C3">
        <w:rPr>
          <w:rFonts w:ascii="Calibri" w:hAnsi="Calibri"/>
          <w:noProof/>
          <w:sz w:val="22"/>
        </w:rPr>
        <w:tab/>
        <w:t xml:space="preserve">Hayeems RZ, Geller G, Finkelstein D, Faden RR. How patients experience progressive loss of visual function: a model of adjustment using qualitative methods. </w:t>
      </w:r>
      <w:r w:rsidRPr="003935C3">
        <w:rPr>
          <w:rFonts w:ascii="Calibri" w:hAnsi="Calibri"/>
          <w:i/>
          <w:iCs/>
          <w:noProof/>
          <w:sz w:val="22"/>
        </w:rPr>
        <w:t>Br J Ophthalmol</w:t>
      </w:r>
      <w:r w:rsidRPr="003935C3">
        <w:rPr>
          <w:rFonts w:ascii="Calibri" w:hAnsi="Calibri"/>
          <w:noProof/>
          <w:sz w:val="22"/>
        </w:rPr>
        <w:t>. 2005;89(5):615-620.</w:t>
      </w:r>
    </w:p>
    <w:p w14:paraId="408B13C4" w14:textId="77777777" w:rsidR="003935C3" w:rsidRPr="003935C3" w:rsidRDefault="003935C3">
      <w:pPr>
        <w:pStyle w:val="NormalWeb"/>
        <w:ind w:left="640" w:hanging="640"/>
        <w:divId w:val="1979069497"/>
        <w:rPr>
          <w:rFonts w:ascii="Calibri" w:hAnsi="Calibri"/>
          <w:noProof/>
          <w:sz w:val="22"/>
        </w:rPr>
      </w:pPr>
      <w:r w:rsidRPr="003935C3">
        <w:rPr>
          <w:rFonts w:ascii="Calibri" w:hAnsi="Calibri"/>
          <w:noProof/>
          <w:sz w:val="22"/>
        </w:rPr>
        <w:t xml:space="preserve">36. </w:t>
      </w:r>
      <w:r w:rsidRPr="003935C3">
        <w:rPr>
          <w:rFonts w:ascii="Calibri" w:hAnsi="Calibri"/>
          <w:noProof/>
          <w:sz w:val="22"/>
        </w:rPr>
        <w:tab/>
        <w:t xml:space="preserve">Featherstone M, Hepworth M. The mask of ageing and the postmodern lifecourse. In: Featherstone M, Hepworth M, Turner B, eds. </w:t>
      </w:r>
      <w:r w:rsidRPr="003935C3">
        <w:rPr>
          <w:rFonts w:ascii="Calibri" w:hAnsi="Calibri"/>
          <w:i/>
          <w:iCs/>
          <w:noProof/>
          <w:sz w:val="22"/>
        </w:rPr>
        <w:t>The Body: Social Process and Cultural Theory</w:t>
      </w:r>
      <w:r w:rsidR="00F74109">
        <w:rPr>
          <w:rFonts w:ascii="Calibri" w:hAnsi="Calibri"/>
          <w:noProof/>
          <w:sz w:val="22"/>
        </w:rPr>
        <w:t>.</w:t>
      </w:r>
      <w:r w:rsidRPr="003935C3">
        <w:rPr>
          <w:rFonts w:ascii="Calibri" w:hAnsi="Calibri"/>
          <w:noProof/>
          <w:sz w:val="22"/>
        </w:rPr>
        <w:t xml:space="preserve"> Sage; 1991:170-196. </w:t>
      </w:r>
    </w:p>
    <w:p w14:paraId="408B13C5" w14:textId="77777777" w:rsidR="00855802" w:rsidRPr="00810AA4" w:rsidRDefault="001631B7" w:rsidP="00810AA4">
      <w:pPr>
        <w:pStyle w:val="NormalWeb"/>
        <w:ind w:left="640" w:hanging="640"/>
        <w:divId w:val="948046842"/>
        <w:rPr>
          <w:rFonts w:ascii="Calibri" w:eastAsia="Calibri" w:hAnsi="Calibri" w:cs="Calibri"/>
          <w:sz w:val="22"/>
          <w:szCs w:val="22"/>
        </w:rPr>
        <w:sectPr w:rsidR="00855802" w:rsidRPr="00810AA4">
          <w:pgSz w:w="11900" w:h="16840"/>
          <w:pgMar w:top="1440" w:right="1440" w:bottom="1440" w:left="1440" w:header="708" w:footer="708" w:gutter="0"/>
          <w:cols w:space="720"/>
        </w:sectPr>
      </w:pPr>
      <w:r>
        <w:rPr>
          <w:rFonts w:ascii="Calibri" w:eastAsia="Calibri" w:hAnsi="Calibri" w:cs="Calibri"/>
          <w:sz w:val="22"/>
          <w:szCs w:val="22"/>
        </w:rPr>
        <w:fldChar w:fldCharType="end"/>
      </w:r>
    </w:p>
    <w:p w14:paraId="408B13C6" w14:textId="77777777" w:rsidR="00FE4077" w:rsidRDefault="00FE4077" w:rsidP="00810AA4">
      <w:pPr>
        <w:pStyle w:val="Heading2"/>
      </w:pPr>
    </w:p>
    <w:sectPr w:rsidR="00FE4077" w:rsidSect="00810AA4">
      <w:footerReference w:type="default" r:id="rId9"/>
      <w:pgSz w:w="16840" w:h="11900" w:orient="landscape"/>
      <w:pgMar w:top="1440" w:right="1800" w:bottom="1440" w:left="1800"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B13C9" w14:textId="77777777" w:rsidR="00EB3B6E" w:rsidRDefault="00EB3B6E" w:rsidP="00855802">
      <w:pPr>
        <w:spacing w:after="0" w:line="240" w:lineRule="auto"/>
      </w:pPr>
      <w:r>
        <w:separator/>
      </w:r>
    </w:p>
  </w:endnote>
  <w:endnote w:type="continuationSeparator" w:id="0">
    <w:p w14:paraId="408B13CA" w14:textId="77777777" w:rsidR="00EB3B6E" w:rsidRDefault="00EB3B6E" w:rsidP="0085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13CB" w14:textId="77777777" w:rsidR="000B174E" w:rsidRDefault="008F3A2C">
    <w:pPr>
      <w:pStyle w:val="Footer"/>
      <w:tabs>
        <w:tab w:val="clear" w:pos="9026"/>
        <w:tab w:val="right" w:pos="9000"/>
      </w:tabs>
    </w:pPr>
    <w:r>
      <w:fldChar w:fldCharType="begin"/>
    </w:r>
    <w:r>
      <w:instrText xml:space="preserve"> PAGE </w:instrText>
    </w:r>
    <w:r>
      <w:fldChar w:fldCharType="separate"/>
    </w:r>
    <w:r w:rsidR="00C947AE">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13CC" w14:textId="77777777" w:rsidR="000B174E" w:rsidRDefault="008F3A2C">
    <w:pPr>
      <w:pStyle w:val="Footer"/>
      <w:tabs>
        <w:tab w:val="clear" w:pos="9026"/>
        <w:tab w:val="right" w:pos="9000"/>
      </w:tabs>
    </w:pPr>
    <w:r>
      <w:fldChar w:fldCharType="begin"/>
    </w:r>
    <w:r>
      <w:instrText xml:space="preserve"> PAGE </w:instrText>
    </w:r>
    <w:r>
      <w:fldChar w:fldCharType="separate"/>
    </w:r>
    <w:r w:rsidR="00C947AE">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B13C7" w14:textId="77777777" w:rsidR="00EB3B6E" w:rsidRDefault="00EB3B6E" w:rsidP="00855802">
      <w:pPr>
        <w:spacing w:after="0" w:line="240" w:lineRule="auto"/>
      </w:pPr>
      <w:r>
        <w:separator/>
      </w:r>
    </w:p>
  </w:footnote>
  <w:footnote w:type="continuationSeparator" w:id="0">
    <w:p w14:paraId="408B13C8" w14:textId="77777777" w:rsidR="00EB3B6E" w:rsidRDefault="00EB3B6E" w:rsidP="00855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D32BC"/>
    <w:multiLevelType w:val="hybridMultilevel"/>
    <w:tmpl w:val="3584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27"/>
    <w:rsid w:val="00005092"/>
    <w:rsid w:val="00007771"/>
    <w:rsid w:val="000A2B55"/>
    <w:rsid w:val="000B174E"/>
    <w:rsid w:val="000B71FE"/>
    <w:rsid w:val="00152D60"/>
    <w:rsid w:val="001631B7"/>
    <w:rsid w:val="00165B31"/>
    <w:rsid w:val="00183C30"/>
    <w:rsid w:val="001B54FF"/>
    <w:rsid w:val="001E4E61"/>
    <w:rsid w:val="002E779E"/>
    <w:rsid w:val="0031277D"/>
    <w:rsid w:val="003935C3"/>
    <w:rsid w:val="00571E8E"/>
    <w:rsid w:val="0058267D"/>
    <w:rsid w:val="0066437A"/>
    <w:rsid w:val="006A30B7"/>
    <w:rsid w:val="00730AA3"/>
    <w:rsid w:val="00810AA4"/>
    <w:rsid w:val="00822E63"/>
    <w:rsid w:val="00855802"/>
    <w:rsid w:val="00883599"/>
    <w:rsid w:val="008F3A2C"/>
    <w:rsid w:val="008F736D"/>
    <w:rsid w:val="00993520"/>
    <w:rsid w:val="00A21D27"/>
    <w:rsid w:val="00A32625"/>
    <w:rsid w:val="00A72FA5"/>
    <w:rsid w:val="00AE1ECE"/>
    <w:rsid w:val="00AE31D6"/>
    <w:rsid w:val="00B638C4"/>
    <w:rsid w:val="00B91663"/>
    <w:rsid w:val="00C91EFE"/>
    <w:rsid w:val="00C947AE"/>
    <w:rsid w:val="00D32715"/>
    <w:rsid w:val="00DA15E9"/>
    <w:rsid w:val="00DE5481"/>
    <w:rsid w:val="00DE6CA2"/>
    <w:rsid w:val="00E50CAB"/>
    <w:rsid w:val="00E6186B"/>
    <w:rsid w:val="00EB3B6E"/>
    <w:rsid w:val="00F23A4F"/>
    <w:rsid w:val="00F26F00"/>
    <w:rsid w:val="00F27EA5"/>
    <w:rsid w:val="00F74109"/>
    <w:rsid w:val="00FE4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1335"/>
  <w15:docId w15:val="{9242B4A3-C3EF-4721-8CAB-DD8E2D03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077"/>
    <w:pPr>
      <w:spacing w:line="360" w:lineRule="auto"/>
    </w:pPr>
  </w:style>
  <w:style w:type="paragraph" w:styleId="Heading1">
    <w:name w:val="heading 1"/>
    <w:basedOn w:val="Normal"/>
    <w:next w:val="Normal"/>
    <w:link w:val="Heading1Char"/>
    <w:uiPriority w:val="9"/>
    <w:qFormat/>
    <w:rsid w:val="00FE4077"/>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32715"/>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558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58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558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FE4077"/>
    <w:pPr>
      <w:tabs>
        <w:tab w:val="center" w:pos="4513"/>
        <w:tab w:val="right" w:pos="9026"/>
      </w:tabs>
      <w:spacing w:after="0" w:line="240" w:lineRule="auto"/>
    </w:pPr>
    <w:rPr>
      <w:rFonts w:ascii="Calibri" w:eastAsia="Calibri" w:hAnsi="Calibri" w:cs="Calibri"/>
      <w:color w:val="000000"/>
      <w:u w:color="000000"/>
      <w:lang w:val="en-US" w:eastAsia="en-GB"/>
    </w:rPr>
  </w:style>
  <w:style w:type="character" w:customStyle="1" w:styleId="FooterChar">
    <w:name w:val="Footer Char"/>
    <w:basedOn w:val="DefaultParagraphFont"/>
    <w:link w:val="Footer"/>
    <w:rsid w:val="00FE4077"/>
    <w:rPr>
      <w:rFonts w:ascii="Calibri" w:eastAsia="Calibri" w:hAnsi="Calibri" w:cs="Calibri"/>
      <w:color w:val="000000"/>
      <w:u w:color="000000"/>
      <w:lang w:val="en-US" w:eastAsia="en-GB"/>
    </w:rPr>
  </w:style>
  <w:style w:type="paragraph" w:customStyle="1" w:styleId="Body">
    <w:name w:val="Body"/>
    <w:rsid w:val="00FE4077"/>
    <w:pPr>
      <w:spacing w:line="480" w:lineRule="auto"/>
    </w:pPr>
    <w:rPr>
      <w:rFonts w:ascii="Calibri" w:eastAsia="Calibri" w:hAnsi="Calibri" w:cs="Calibri"/>
      <w:color w:val="000000"/>
      <w:u w:color="000000"/>
      <w:lang w:val="en-US" w:eastAsia="en-GB"/>
    </w:rPr>
  </w:style>
  <w:style w:type="character" w:customStyle="1" w:styleId="Heading1Char">
    <w:name w:val="Heading 1 Char"/>
    <w:basedOn w:val="DefaultParagraphFont"/>
    <w:link w:val="Heading1"/>
    <w:uiPriority w:val="9"/>
    <w:rsid w:val="00FE407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3271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5580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558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55802"/>
    <w:rPr>
      <w:rFonts w:asciiTheme="majorHAnsi" w:eastAsiaTheme="majorEastAsia" w:hAnsiTheme="majorHAnsi" w:cstheme="majorBidi"/>
      <w:color w:val="243F60" w:themeColor="accent1" w:themeShade="7F"/>
    </w:rPr>
  </w:style>
  <w:style w:type="character" w:styleId="Hyperlink">
    <w:name w:val="Hyperlink"/>
    <w:rsid w:val="00855802"/>
    <w:rPr>
      <w:u w:val="single"/>
    </w:rPr>
  </w:style>
  <w:style w:type="paragraph" w:styleId="Quote">
    <w:name w:val="Quote"/>
    <w:basedOn w:val="Normal"/>
    <w:next w:val="Normal"/>
    <w:link w:val="QuoteChar"/>
    <w:uiPriority w:val="29"/>
    <w:qFormat/>
    <w:rsid w:val="00855802"/>
    <w:pPr>
      <w:spacing w:before="200" w:after="0" w:line="276" w:lineRule="auto"/>
      <w:ind w:left="360" w:right="360"/>
    </w:pPr>
    <w:rPr>
      <w:rFonts w:eastAsiaTheme="minorEastAsia"/>
      <w:i/>
      <w:iCs/>
      <w:lang w:eastAsia="en-GB"/>
    </w:rPr>
  </w:style>
  <w:style w:type="character" w:customStyle="1" w:styleId="QuoteChar">
    <w:name w:val="Quote Char"/>
    <w:basedOn w:val="DefaultParagraphFont"/>
    <w:link w:val="Quote"/>
    <w:uiPriority w:val="29"/>
    <w:rsid w:val="00855802"/>
    <w:rPr>
      <w:rFonts w:eastAsiaTheme="minorEastAsia"/>
      <w:i/>
      <w:iCs/>
      <w:lang w:eastAsia="en-GB"/>
    </w:rPr>
  </w:style>
  <w:style w:type="paragraph" w:customStyle="1" w:styleId="BodyA">
    <w:name w:val="Body A"/>
    <w:rsid w:val="00855802"/>
    <w:rPr>
      <w:rFonts w:ascii="Calibri" w:eastAsia="Calibri" w:hAnsi="Calibri" w:cs="Calibri"/>
      <w:color w:val="000000"/>
      <w:u w:color="000000"/>
      <w:lang w:val="en-US" w:eastAsia="en-GB"/>
    </w:rPr>
  </w:style>
  <w:style w:type="paragraph" w:customStyle="1" w:styleId="Referencing">
    <w:name w:val="Referencing"/>
    <w:rsid w:val="00855802"/>
    <w:pPr>
      <w:spacing w:line="360" w:lineRule="auto"/>
      <w:ind w:left="720" w:hanging="720"/>
      <w:jc w:val="both"/>
    </w:pPr>
    <w:rPr>
      <w:rFonts w:ascii="Microsoft Sans Serif" w:eastAsia="Arial Unicode MS" w:hAnsi="Arial Unicode MS" w:cs="Arial Unicode MS"/>
      <w:color w:val="000000"/>
      <w:sz w:val="24"/>
      <w:szCs w:val="24"/>
      <w:u w:color="000000"/>
      <w:lang w:val="en-US" w:eastAsia="en-GB"/>
    </w:rPr>
  </w:style>
  <w:style w:type="character" w:customStyle="1" w:styleId="Hyperlink0">
    <w:name w:val="Hyperlink.0"/>
    <w:basedOn w:val="DefaultParagraphFont"/>
    <w:rsid w:val="00855802"/>
    <w:rPr>
      <w:rFonts w:ascii="Calibri" w:eastAsia="Calibri" w:hAnsi="Calibri" w:cs="Calibri"/>
      <w:color w:val="0000FF"/>
      <w:sz w:val="22"/>
      <w:szCs w:val="22"/>
      <w:u w:val="single" w:color="0000FF"/>
    </w:rPr>
  </w:style>
  <w:style w:type="character" w:customStyle="1" w:styleId="Hyperlink1">
    <w:name w:val="Hyperlink.1"/>
    <w:basedOn w:val="DefaultParagraphFont"/>
    <w:rsid w:val="00855802"/>
    <w:rPr>
      <w:rFonts w:ascii="Calibri" w:eastAsia="Calibri" w:hAnsi="Calibri" w:cs="Calibri"/>
      <w:color w:val="0000FF"/>
      <w:sz w:val="22"/>
      <w:szCs w:val="22"/>
      <w:u w:val="single" w:color="0000FF"/>
      <w:shd w:val="clear" w:color="auto" w:fill="FFFFFF"/>
    </w:rPr>
  </w:style>
  <w:style w:type="paragraph" w:styleId="FootnoteText">
    <w:name w:val="footnote text"/>
    <w:basedOn w:val="Normal"/>
    <w:link w:val="FootnoteTextChar"/>
    <w:uiPriority w:val="99"/>
    <w:semiHidden/>
    <w:unhideWhenUsed/>
    <w:rsid w:val="00855802"/>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855802"/>
    <w:rPr>
      <w:rFonts w:eastAsiaTheme="minorEastAsia"/>
      <w:sz w:val="20"/>
      <w:szCs w:val="20"/>
      <w:lang w:eastAsia="en-GB"/>
    </w:rPr>
  </w:style>
  <w:style w:type="character" w:styleId="FootnoteReference">
    <w:name w:val="footnote reference"/>
    <w:basedOn w:val="DefaultParagraphFont"/>
    <w:uiPriority w:val="99"/>
    <w:semiHidden/>
    <w:unhideWhenUsed/>
    <w:rsid w:val="00855802"/>
    <w:rPr>
      <w:vertAlign w:val="superscript"/>
    </w:rPr>
  </w:style>
  <w:style w:type="table" w:styleId="TableGrid">
    <w:name w:val="Table Grid"/>
    <w:basedOn w:val="TableNormal"/>
    <w:uiPriority w:val="59"/>
    <w:rsid w:val="0085580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6F00"/>
    <w:pPr>
      <w:ind w:left="720"/>
      <w:contextualSpacing/>
    </w:pPr>
  </w:style>
  <w:style w:type="character" w:styleId="FollowedHyperlink">
    <w:name w:val="FollowedHyperlink"/>
    <w:basedOn w:val="DefaultParagraphFont"/>
    <w:uiPriority w:val="99"/>
    <w:semiHidden/>
    <w:unhideWhenUsed/>
    <w:rsid w:val="000B174E"/>
    <w:rPr>
      <w:color w:val="800080" w:themeColor="followedHyperlink"/>
      <w:u w:val="single"/>
    </w:rPr>
  </w:style>
  <w:style w:type="paragraph" w:styleId="NormalWeb">
    <w:name w:val="Normal (Web)"/>
    <w:basedOn w:val="Normal"/>
    <w:uiPriority w:val="99"/>
    <w:unhideWhenUsed/>
    <w:rsid w:val="000B174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960936">
      <w:bodyDiv w:val="1"/>
      <w:marLeft w:val="0"/>
      <w:marRight w:val="0"/>
      <w:marTop w:val="0"/>
      <w:marBottom w:val="0"/>
      <w:divBdr>
        <w:top w:val="none" w:sz="0" w:space="0" w:color="auto"/>
        <w:left w:val="none" w:sz="0" w:space="0" w:color="auto"/>
        <w:bottom w:val="none" w:sz="0" w:space="0" w:color="auto"/>
        <w:right w:val="none" w:sz="0" w:space="0" w:color="auto"/>
      </w:divBdr>
      <w:divsChild>
        <w:div w:id="1058624725">
          <w:marLeft w:val="0"/>
          <w:marRight w:val="0"/>
          <w:marTop w:val="0"/>
          <w:marBottom w:val="0"/>
          <w:divBdr>
            <w:top w:val="none" w:sz="0" w:space="0" w:color="auto"/>
            <w:left w:val="none" w:sz="0" w:space="0" w:color="auto"/>
            <w:bottom w:val="none" w:sz="0" w:space="0" w:color="auto"/>
            <w:right w:val="none" w:sz="0" w:space="0" w:color="auto"/>
          </w:divBdr>
          <w:divsChild>
            <w:div w:id="406533254">
              <w:marLeft w:val="0"/>
              <w:marRight w:val="0"/>
              <w:marTop w:val="0"/>
              <w:marBottom w:val="0"/>
              <w:divBdr>
                <w:top w:val="none" w:sz="0" w:space="0" w:color="auto"/>
                <w:left w:val="none" w:sz="0" w:space="0" w:color="auto"/>
                <w:bottom w:val="none" w:sz="0" w:space="0" w:color="auto"/>
                <w:right w:val="none" w:sz="0" w:space="0" w:color="auto"/>
              </w:divBdr>
              <w:divsChild>
                <w:div w:id="1355811744">
                  <w:marLeft w:val="0"/>
                  <w:marRight w:val="0"/>
                  <w:marTop w:val="0"/>
                  <w:marBottom w:val="0"/>
                  <w:divBdr>
                    <w:top w:val="none" w:sz="0" w:space="0" w:color="auto"/>
                    <w:left w:val="none" w:sz="0" w:space="0" w:color="auto"/>
                    <w:bottom w:val="none" w:sz="0" w:space="0" w:color="auto"/>
                    <w:right w:val="none" w:sz="0" w:space="0" w:color="auto"/>
                  </w:divBdr>
                  <w:divsChild>
                    <w:div w:id="1913465825">
                      <w:marLeft w:val="0"/>
                      <w:marRight w:val="0"/>
                      <w:marTop w:val="0"/>
                      <w:marBottom w:val="0"/>
                      <w:divBdr>
                        <w:top w:val="none" w:sz="0" w:space="0" w:color="auto"/>
                        <w:left w:val="none" w:sz="0" w:space="0" w:color="auto"/>
                        <w:bottom w:val="none" w:sz="0" w:space="0" w:color="auto"/>
                        <w:right w:val="none" w:sz="0" w:space="0" w:color="auto"/>
                      </w:divBdr>
                      <w:divsChild>
                        <w:div w:id="1736272254">
                          <w:marLeft w:val="0"/>
                          <w:marRight w:val="0"/>
                          <w:marTop w:val="0"/>
                          <w:marBottom w:val="0"/>
                          <w:divBdr>
                            <w:top w:val="none" w:sz="0" w:space="0" w:color="auto"/>
                            <w:left w:val="none" w:sz="0" w:space="0" w:color="auto"/>
                            <w:bottom w:val="none" w:sz="0" w:space="0" w:color="auto"/>
                            <w:right w:val="none" w:sz="0" w:space="0" w:color="auto"/>
                          </w:divBdr>
                          <w:divsChild>
                            <w:div w:id="244342013">
                              <w:marLeft w:val="0"/>
                              <w:marRight w:val="0"/>
                              <w:marTop w:val="0"/>
                              <w:marBottom w:val="0"/>
                              <w:divBdr>
                                <w:top w:val="none" w:sz="0" w:space="0" w:color="auto"/>
                                <w:left w:val="none" w:sz="0" w:space="0" w:color="auto"/>
                                <w:bottom w:val="none" w:sz="0" w:space="0" w:color="auto"/>
                                <w:right w:val="none" w:sz="0" w:space="0" w:color="auto"/>
                              </w:divBdr>
                              <w:divsChild>
                                <w:div w:id="758873602">
                                  <w:marLeft w:val="0"/>
                                  <w:marRight w:val="0"/>
                                  <w:marTop w:val="0"/>
                                  <w:marBottom w:val="0"/>
                                  <w:divBdr>
                                    <w:top w:val="none" w:sz="0" w:space="0" w:color="auto"/>
                                    <w:left w:val="none" w:sz="0" w:space="0" w:color="auto"/>
                                    <w:bottom w:val="none" w:sz="0" w:space="0" w:color="auto"/>
                                    <w:right w:val="none" w:sz="0" w:space="0" w:color="auto"/>
                                  </w:divBdr>
                                  <w:divsChild>
                                    <w:div w:id="1803961963">
                                      <w:marLeft w:val="0"/>
                                      <w:marRight w:val="0"/>
                                      <w:marTop w:val="0"/>
                                      <w:marBottom w:val="0"/>
                                      <w:divBdr>
                                        <w:top w:val="none" w:sz="0" w:space="0" w:color="auto"/>
                                        <w:left w:val="none" w:sz="0" w:space="0" w:color="auto"/>
                                        <w:bottom w:val="none" w:sz="0" w:space="0" w:color="auto"/>
                                        <w:right w:val="none" w:sz="0" w:space="0" w:color="auto"/>
                                      </w:divBdr>
                                      <w:divsChild>
                                        <w:div w:id="1282304377">
                                          <w:marLeft w:val="0"/>
                                          <w:marRight w:val="0"/>
                                          <w:marTop w:val="0"/>
                                          <w:marBottom w:val="0"/>
                                          <w:divBdr>
                                            <w:top w:val="none" w:sz="0" w:space="0" w:color="auto"/>
                                            <w:left w:val="none" w:sz="0" w:space="0" w:color="auto"/>
                                            <w:bottom w:val="none" w:sz="0" w:space="0" w:color="auto"/>
                                            <w:right w:val="none" w:sz="0" w:space="0" w:color="auto"/>
                                          </w:divBdr>
                                          <w:divsChild>
                                            <w:div w:id="1191072969">
                                              <w:marLeft w:val="0"/>
                                              <w:marRight w:val="0"/>
                                              <w:marTop w:val="0"/>
                                              <w:marBottom w:val="0"/>
                                              <w:divBdr>
                                                <w:top w:val="none" w:sz="0" w:space="0" w:color="auto"/>
                                                <w:left w:val="none" w:sz="0" w:space="0" w:color="auto"/>
                                                <w:bottom w:val="none" w:sz="0" w:space="0" w:color="auto"/>
                                                <w:right w:val="none" w:sz="0" w:space="0" w:color="auto"/>
                                              </w:divBdr>
                                              <w:divsChild>
                                                <w:div w:id="1009992601">
                                                  <w:marLeft w:val="0"/>
                                                  <w:marRight w:val="0"/>
                                                  <w:marTop w:val="0"/>
                                                  <w:marBottom w:val="0"/>
                                                  <w:divBdr>
                                                    <w:top w:val="none" w:sz="0" w:space="0" w:color="auto"/>
                                                    <w:left w:val="none" w:sz="0" w:space="0" w:color="auto"/>
                                                    <w:bottom w:val="none" w:sz="0" w:space="0" w:color="auto"/>
                                                    <w:right w:val="none" w:sz="0" w:space="0" w:color="auto"/>
                                                  </w:divBdr>
                                                  <w:divsChild>
                                                    <w:div w:id="948046842">
                                                      <w:marLeft w:val="0"/>
                                                      <w:marRight w:val="0"/>
                                                      <w:marTop w:val="0"/>
                                                      <w:marBottom w:val="0"/>
                                                      <w:divBdr>
                                                        <w:top w:val="none" w:sz="0" w:space="0" w:color="auto"/>
                                                        <w:left w:val="none" w:sz="0" w:space="0" w:color="auto"/>
                                                        <w:bottom w:val="none" w:sz="0" w:space="0" w:color="auto"/>
                                                        <w:right w:val="none" w:sz="0" w:space="0" w:color="auto"/>
                                                      </w:divBdr>
                                                      <w:divsChild>
                                                        <w:div w:id="19790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6FC8A-6B60-46B5-B19F-EBC7E8A5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15841</Words>
  <Characters>90300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BURTON Amy</cp:lastModifiedBy>
  <cp:revision>9</cp:revision>
  <dcterms:created xsi:type="dcterms:W3CDTF">2015-11-03T19:23:00Z</dcterms:created>
  <dcterms:modified xsi:type="dcterms:W3CDTF">2015-11-04T16:06:00Z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amy.burton@staffs.ac.uk@www.mendeley.com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