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C2366" w14:textId="2D042A4E" w:rsidR="000437D1" w:rsidRPr="009D4019" w:rsidRDefault="002939F8" w:rsidP="0006716B">
      <w:pPr>
        <w:jc w:val="center"/>
        <w:rPr>
          <w:b/>
          <w:sz w:val="24"/>
          <w:szCs w:val="24"/>
        </w:rPr>
      </w:pPr>
      <w:bookmarkStart w:id="0" w:name="_GoBack"/>
      <w:bookmarkEnd w:id="0"/>
      <w:r>
        <w:rPr>
          <w:sz w:val="24"/>
          <w:szCs w:val="24"/>
        </w:rPr>
        <w:t xml:space="preserve"> </w:t>
      </w:r>
      <w:r w:rsidRPr="009D4019">
        <w:rPr>
          <w:b/>
          <w:sz w:val="24"/>
          <w:szCs w:val="24"/>
        </w:rPr>
        <w:t>Characteristics of good quality</w:t>
      </w:r>
      <w:r w:rsidR="00F1355C" w:rsidRPr="009D4019">
        <w:rPr>
          <w:b/>
          <w:sz w:val="24"/>
          <w:szCs w:val="24"/>
        </w:rPr>
        <w:t xml:space="preserve"> pharmaceutical services </w:t>
      </w:r>
      <w:r w:rsidRPr="009D4019">
        <w:rPr>
          <w:b/>
          <w:sz w:val="24"/>
          <w:szCs w:val="24"/>
        </w:rPr>
        <w:t xml:space="preserve">common to </w:t>
      </w:r>
      <w:r w:rsidR="00B45653" w:rsidRPr="009D4019">
        <w:rPr>
          <w:b/>
          <w:sz w:val="24"/>
          <w:szCs w:val="24"/>
        </w:rPr>
        <w:t>community pharmacies and dispensing general practices</w:t>
      </w:r>
      <w:r w:rsidR="00AF6323" w:rsidRPr="009D4019">
        <w:rPr>
          <w:b/>
          <w:sz w:val="24"/>
          <w:szCs w:val="24"/>
        </w:rPr>
        <w:t xml:space="preserve"> </w:t>
      </w:r>
    </w:p>
    <w:p w14:paraId="2336B9AD" w14:textId="77777777" w:rsidR="00AF6323" w:rsidRDefault="00AF6323" w:rsidP="0006716B">
      <w:pPr>
        <w:spacing w:line="480" w:lineRule="auto"/>
        <w:jc w:val="center"/>
      </w:pPr>
    </w:p>
    <w:p w14:paraId="4B58D5B0" w14:textId="5E34285D" w:rsidR="00B45653" w:rsidRDefault="00D11EC0" w:rsidP="001A0959">
      <w:pPr>
        <w:pStyle w:val="NoSpacing"/>
      </w:pPr>
      <w:r>
        <w:t>Elisabeth Grey, D</w:t>
      </w:r>
      <w:r w:rsidR="00AF6323">
        <w:t xml:space="preserve">epartment </w:t>
      </w:r>
      <w:r w:rsidR="009A69A0">
        <w:t>for Health</w:t>
      </w:r>
      <w:r w:rsidR="00AF6323">
        <w:t>, University of Bath, Bath</w:t>
      </w:r>
      <w:r w:rsidR="0055612C">
        <w:t>, UK,</w:t>
      </w:r>
      <w:r w:rsidR="00AF6323">
        <w:t xml:space="preserve"> BA2 7AY. </w:t>
      </w:r>
      <w:r>
        <w:t xml:space="preserve">Tele. ++44 (0)1225 383589. Email: e.b.grey@bath.ac.uk </w:t>
      </w:r>
    </w:p>
    <w:p w14:paraId="6209783D" w14:textId="77777777" w:rsidR="00B45653" w:rsidRPr="00B45653" w:rsidRDefault="00B45653" w:rsidP="001A0959">
      <w:pPr>
        <w:pStyle w:val="NoSpacing"/>
      </w:pPr>
    </w:p>
    <w:p w14:paraId="20569D32" w14:textId="5F3225FE" w:rsidR="00AF6323" w:rsidRDefault="00D11EC0" w:rsidP="00687C8A">
      <w:pPr>
        <w:pStyle w:val="PlainText"/>
      </w:pPr>
      <w:r>
        <w:t xml:space="preserve">Michael Harris, </w:t>
      </w:r>
      <w:r w:rsidR="00AF6323">
        <w:t xml:space="preserve">General Practitioner and </w:t>
      </w:r>
      <w:r>
        <w:t xml:space="preserve">Honorary Research Fellow, Department for Health, </w:t>
      </w:r>
      <w:r w:rsidR="004C4B0D">
        <w:t>University of Bath</w:t>
      </w:r>
      <w:r w:rsidR="0055612C">
        <w:t>, UK</w:t>
      </w:r>
      <w:r w:rsidR="00AF6323">
        <w:t xml:space="preserve">. </w:t>
      </w:r>
      <w:r w:rsidR="00687C8A">
        <w:t xml:space="preserve">Tele. ++44 (0)1761 241366. </w:t>
      </w:r>
      <w:r>
        <w:t>Email: michaelharris681@btinternet.com</w:t>
      </w:r>
    </w:p>
    <w:p w14:paraId="673297B3" w14:textId="77777777" w:rsidR="001A0959" w:rsidRDefault="001A0959" w:rsidP="001A0959">
      <w:pPr>
        <w:spacing w:after="0" w:line="240" w:lineRule="auto"/>
        <w:rPr>
          <w:b/>
        </w:rPr>
      </w:pPr>
    </w:p>
    <w:p w14:paraId="1AF2ABAF" w14:textId="455974CD" w:rsidR="001A0959" w:rsidRDefault="00D11EC0" w:rsidP="001A0959">
      <w:pPr>
        <w:spacing w:after="0" w:line="240" w:lineRule="auto"/>
      </w:pPr>
      <w:r>
        <w:rPr>
          <w:rFonts w:cs="Arial"/>
          <w:iCs/>
          <w:color w:val="000000"/>
          <w:szCs w:val="20"/>
          <w:shd w:val="clear" w:color="auto" w:fill="FFFFFF"/>
        </w:rPr>
        <w:t>Karen Rodham, S</w:t>
      </w:r>
      <w:r w:rsidR="00E22F33">
        <w:rPr>
          <w:rFonts w:cs="Arial"/>
          <w:iCs/>
          <w:color w:val="000000"/>
          <w:szCs w:val="20"/>
          <w:shd w:val="clear" w:color="auto" w:fill="FFFFFF"/>
        </w:rPr>
        <w:t xml:space="preserve">chool of </w:t>
      </w:r>
      <w:r w:rsidR="00F1355C" w:rsidRPr="00013C76">
        <w:rPr>
          <w:rFonts w:cs="Arial"/>
          <w:iCs/>
          <w:color w:val="000000"/>
          <w:szCs w:val="20"/>
          <w:shd w:val="clear" w:color="auto" w:fill="FFFFFF"/>
        </w:rPr>
        <w:t>Psychology, Sport and Exercise</w:t>
      </w:r>
      <w:r w:rsidR="00F1355C">
        <w:rPr>
          <w:rFonts w:cs="Arial"/>
          <w:iCs/>
          <w:color w:val="000000"/>
          <w:szCs w:val="20"/>
          <w:shd w:val="clear" w:color="auto" w:fill="FFFFFF"/>
        </w:rPr>
        <w:t xml:space="preserve"> </w:t>
      </w:r>
      <w:r w:rsidR="00F1355C" w:rsidRPr="00013C76">
        <w:rPr>
          <w:rFonts w:cs="Arial"/>
          <w:iCs/>
          <w:color w:val="000000"/>
          <w:szCs w:val="20"/>
          <w:shd w:val="clear" w:color="auto" w:fill="FFFFFF"/>
        </w:rPr>
        <w:t>Science Centre</w:t>
      </w:r>
      <w:r w:rsidR="00F1355C">
        <w:rPr>
          <w:rFonts w:cs="Arial"/>
          <w:iCs/>
          <w:color w:val="000000"/>
          <w:szCs w:val="20"/>
          <w:shd w:val="clear" w:color="auto" w:fill="FFFFFF"/>
        </w:rPr>
        <w:t xml:space="preserve">, </w:t>
      </w:r>
      <w:r w:rsidR="00F1355C" w:rsidRPr="00013C76">
        <w:rPr>
          <w:rFonts w:cs="Arial"/>
          <w:iCs/>
          <w:color w:val="000000"/>
          <w:szCs w:val="20"/>
          <w:shd w:val="clear" w:color="auto" w:fill="FFFFFF"/>
        </w:rPr>
        <w:t>Staffordshire University</w:t>
      </w:r>
      <w:r w:rsidR="00F1355C">
        <w:rPr>
          <w:rFonts w:cs="Arial"/>
          <w:iCs/>
          <w:color w:val="000000"/>
          <w:szCs w:val="20"/>
          <w:shd w:val="clear" w:color="auto" w:fill="FFFFFF"/>
        </w:rPr>
        <w:t xml:space="preserve">, </w:t>
      </w:r>
      <w:r w:rsidR="00F1355C" w:rsidRPr="00013C76">
        <w:rPr>
          <w:rFonts w:cs="Arial"/>
          <w:iCs/>
          <w:color w:val="000000"/>
          <w:szCs w:val="20"/>
          <w:shd w:val="clear" w:color="auto" w:fill="FFFFFF"/>
        </w:rPr>
        <w:t>Stoke-on-Trent</w:t>
      </w:r>
      <w:r w:rsidR="00F1355C">
        <w:rPr>
          <w:rFonts w:cs="Arial"/>
          <w:iCs/>
          <w:color w:val="000000"/>
          <w:szCs w:val="20"/>
        </w:rPr>
        <w:t xml:space="preserve">, </w:t>
      </w:r>
      <w:r w:rsidR="00B45653">
        <w:rPr>
          <w:rFonts w:cs="Arial"/>
          <w:iCs/>
          <w:color w:val="000000"/>
          <w:szCs w:val="20"/>
          <w:shd w:val="clear" w:color="auto" w:fill="FFFFFF"/>
        </w:rPr>
        <w:t>UK</w:t>
      </w:r>
      <w:r w:rsidR="00AF6323">
        <w:t>.</w:t>
      </w:r>
      <w:r w:rsidR="00687C8A">
        <w:t xml:space="preserve"> Tele. ++44 (0)1782 794601. Email: Karen.Rodham@staffs.ac.uk </w:t>
      </w:r>
    </w:p>
    <w:p w14:paraId="35D94342" w14:textId="6AB12380" w:rsidR="00AF6323" w:rsidRDefault="00AF6323" w:rsidP="001A0959">
      <w:pPr>
        <w:spacing w:after="0" w:line="240" w:lineRule="auto"/>
      </w:pPr>
      <w:r>
        <w:t xml:space="preserve"> </w:t>
      </w:r>
    </w:p>
    <w:p w14:paraId="77D0E6DB" w14:textId="15F89F8B" w:rsidR="009A69A0" w:rsidRDefault="00687C8A" w:rsidP="001A0959">
      <w:pPr>
        <w:pStyle w:val="NoSpacing"/>
      </w:pPr>
      <w:r>
        <w:t>*</w:t>
      </w:r>
      <w:r w:rsidR="00D11EC0">
        <w:t>Marjorie C Weiss, D</w:t>
      </w:r>
      <w:r w:rsidR="009A69A0">
        <w:t xml:space="preserve">epartment of Pharmacy &amp; Pharmacology, University of Bath, Bath, UK, BA2 7AY. </w:t>
      </w:r>
      <w:r>
        <w:t>Tele. ++44 (0)1225 386787. Email: m.weiss@bath.ac.uk</w:t>
      </w:r>
    </w:p>
    <w:p w14:paraId="6AF60860" w14:textId="77777777" w:rsidR="00AF6323" w:rsidRDefault="00AF6323" w:rsidP="001A0959">
      <w:pPr>
        <w:spacing w:after="0" w:line="240" w:lineRule="auto"/>
      </w:pPr>
    </w:p>
    <w:p w14:paraId="7BAC3D10" w14:textId="7E0D5CCD" w:rsidR="0006716B" w:rsidRPr="00687C8A" w:rsidRDefault="00687C8A" w:rsidP="009A69A0">
      <w:pPr>
        <w:spacing w:after="0" w:line="240" w:lineRule="auto"/>
        <w:rPr>
          <w:i/>
        </w:rPr>
      </w:pPr>
      <w:r w:rsidRPr="00687C8A">
        <w:rPr>
          <w:i/>
        </w:rPr>
        <w:t>*</w:t>
      </w:r>
      <w:r w:rsidR="009A69A0" w:rsidRPr="00687C8A">
        <w:rPr>
          <w:i/>
        </w:rPr>
        <w:t>Corresponding Author:</w:t>
      </w:r>
    </w:p>
    <w:p w14:paraId="739C72CA" w14:textId="77777777" w:rsidR="009A69A0" w:rsidRDefault="009A69A0" w:rsidP="009A69A0">
      <w:pPr>
        <w:spacing w:after="0" w:line="240" w:lineRule="auto"/>
      </w:pPr>
    </w:p>
    <w:p w14:paraId="1936E1A1" w14:textId="77777777" w:rsidR="009D4019" w:rsidRDefault="009D4019" w:rsidP="009A69A0">
      <w:pPr>
        <w:spacing w:after="0" w:line="240" w:lineRule="auto"/>
      </w:pPr>
    </w:p>
    <w:p w14:paraId="61AE2559" w14:textId="372FCAB9" w:rsidR="00687C8A" w:rsidRPr="009D4019" w:rsidRDefault="00687C8A" w:rsidP="009A69A0">
      <w:pPr>
        <w:spacing w:after="0" w:line="240" w:lineRule="auto"/>
        <w:rPr>
          <w:b/>
          <w:i/>
          <w:u w:val="single"/>
        </w:rPr>
      </w:pPr>
      <w:r w:rsidRPr="009D4019">
        <w:rPr>
          <w:b/>
          <w:i/>
          <w:u w:val="single"/>
        </w:rPr>
        <w:t>Authorship:</w:t>
      </w:r>
    </w:p>
    <w:p w14:paraId="098A5908" w14:textId="163DF645" w:rsidR="009D4019" w:rsidRPr="009D4019" w:rsidRDefault="00687C8A" w:rsidP="009D4019">
      <w:pPr>
        <w:shd w:val="clear" w:color="auto" w:fill="FFFFFF"/>
        <w:spacing w:before="100" w:beforeAutospacing="1" w:after="100" w:afterAutospacing="1" w:line="240" w:lineRule="auto"/>
        <w:jc w:val="both"/>
        <w:rPr>
          <w:rFonts w:ascii="Arial" w:eastAsia="Times New Roman" w:hAnsi="Arial" w:cs="Arial"/>
          <w:color w:val="333333"/>
          <w:sz w:val="15"/>
          <w:szCs w:val="15"/>
          <w:lang w:eastAsia="en-GB"/>
        </w:rPr>
      </w:pPr>
      <w:r>
        <w:t xml:space="preserve">Ms Grey was the research officer on the project. She </w:t>
      </w:r>
      <w:r w:rsidR="009D4019">
        <w:t>collected the data, drafted the original article, critically reviewed all subsequent versions and agrees to be accountable for all aspects of the work in terms of accuracy and integrity of reported findings and their interpretation.</w:t>
      </w:r>
    </w:p>
    <w:p w14:paraId="1F0699BD" w14:textId="239E20D5" w:rsidR="009D4019" w:rsidRPr="009D4019" w:rsidRDefault="009D4019" w:rsidP="009D4019">
      <w:pPr>
        <w:shd w:val="clear" w:color="auto" w:fill="FFFFFF"/>
        <w:spacing w:before="100" w:beforeAutospacing="1" w:after="100" w:afterAutospacing="1" w:line="240" w:lineRule="auto"/>
        <w:jc w:val="both"/>
        <w:rPr>
          <w:rFonts w:ascii="Arial" w:eastAsia="Times New Roman" w:hAnsi="Arial" w:cs="Arial"/>
          <w:color w:val="333333"/>
          <w:sz w:val="15"/>
          <w:szCs w:val="15"/>
          <w:lang w:eastAsia="en-GB"/>
        </w:rPr>
      </w:pPr>
      <w:r>
        <w:t>Dr Harris was involved in the conception and design of the work, was a collaborator on the research grant application and was involved in the analysis and interpretation of the data. Dr Harris critically reviewed all versions of the article and agrees to be accountable for all aspects of the work in terms of accuracy and integrity of reported findings and their interpretation.</w:t>
      </w:r>
    </w:p>
    <w:p w14:paraId="0E0EF309" w14:textId="169DC71B" w:rsidR="009D4019" w:rsidRPr="009D4019" w:rsidRDefault="009D4019" w:rsidP="009D4019">
      <w:pPr>
        <w:shd w:val="clear" w:color="auto" w:fill="FFFFFF"/>
        <w:spacing w:before="100" w:beforeAutospacing="1" w:after="100" w:afterAutospacing="1" w:line="240" w:lineRule="auto"/>
        <w:jc w:val="both"/>
        <w:rPr>
          <w:rFonts w:ascii="Arial" w:eastAsia="Times New Roman" w:hAnsi="Arial" w:cs="Arial"/>
          <w:color w:val="333333"/>
          <w:sz w:val="15"/>
          <w:szCs w:val="15"/>
          <w:lang w:eastAsia="en-GB"/>
        </w:rPr>
      </w:pPr>
      <w:r>
        <w:t>Professor Rodham was involved in the conception and design of the work, was a collaborator on the research grant application and was involved in the analysis and interpretation of the data. She critically reviewed all versions of the article and agrees to be accountable for all aspects of the work in terms of accuracy and integrity of reported findings and their interpretation.</w:t>
      </w:r>
    </w:p>
    <w:p w14:paraId="44C6511F" w14:textId="5F110202" w:rsidR="009D4019" w:rsidRPr="009D4019" w:rsidRDefault="009D4019" w:rsidP="009D4019">
      <w:pPr>
        <w:shd w:val="clear" w:color="auto" w:fill="FFFFFF"/>
        <w:spacing w:before="100" w:beforeAutospacing="1" w:after="100" w:afterAutospacing="1" w:line="240" w:lineRule="auto"/>
        <w:jc w:val="both"/>
        <w:rPr>
          <w:rFonts w:ascii="Arial" w:eastAsia="Times New Roman" w:hAnsi="Arial" w:cs="Arial"/>
          <w:color w:val="333333"/>
          <w:sz w:val="15"/>
          <w:szCs w:val="15"/>
          <w:lang w:eastAsia="en-GB"/>
        </w:rPr>
      </w:pPr>
      <w:r>
        <w:t>Professor Weiss was involved in the conception and design of the work, was the lead investigator on the research grant application and was involved in the analysis and interpretation of the data. She critically reviewed all versions of the article and agrees to be accountable for all aspects of the work in terms of accuracy and integrity of reported findings and their interpretation.</w:t>
      </w:r>
    </w:p>
    <w:p w14:paraId="3F80ECF4" w14:textId="500F2CFF" w:rsidR="00687C8A" w:rsidRDefault="00687C8A" w:rsidP="009D4019">
      <w:pPr>
        <w:spacing w:after="0" w:line="240" w:lineRule="auto"/>
        <w:jc w:val="both"/>
      </w:pPr>
    </w:p>
    <w:p w14:paraId="3FE82998" w14:textId="77777777" w:rsidR="009A69A0" w:rsidRDefault="009A69A0" w:rsidP="009D4019">
      <w:pPr>
        <w:ind w:hanging="360"/>
        <w:jc w:val="both"/>
      </w:pPr>
    </w:p>
    <w:p w14:paraId="0811B64B" w14:textId="77777777" w:rsidR="009A69A0" w:rsidRDefault="009A69A0" w:rsidP="009D4019">
      <w:pPr>
        <w:ind w:hanging="360"/>
        <w:jc w:val="both"/>
      </w:pPr>
    </w:p>
    <w:p w14:paraId="572D6EB3" w14:textId="77777777" w:rsidR="0006716B" w:rsidRDefault="0006716B"/>
    <w:p w14:paraId="04FCB348" w14:textId="77777777" w:rsidR="0006716B" w:rsidRDefault="0006716B"/>
    <w:p w14:paraId="6D7673FF" w14:textId="77777777" w:rsidR="00CE75CD" w:rsidRDefault="00CE75CD"/>
    <w:p w14:paraId="78A93DBA" w14:textId="77777777" w:rsidR="00FA1DB0" w:rsidRDefault="00FA1DB0" w:rsidP="00284534">
      <w:pPr>
        <w:spacing w:line="480" w:lineRule="auto"/>
        <w:jc w:val="center"/>
        <w:rPr>
          <w:b/>
          <w:sz w:val="24"/>
        </w:rPr>
        <w:sectPr w:rsidR="00FA1DB0" w:rsidSect="009D63E8">
          <w:headerReference w:type="default" r:id="rId8"/>
          <w:footerReference w:type="default" r:id="rId9"/>
          <w:pgSz w:w="11906" w:h="16838"/>
          <w:pgMar w:top="1440" w:right="1440" w:bottom="1440" w:left="1440" w:header="708" w:footer="708" w:gutter="0"/>
          <w:cols w:space="708"/>
          <w:docGrid w:linePitch="360"/>
        </w:sectPr>
      </w:pPr>
    </w:p>
    <w:p w14:paraId="033BE0EA" w14:textId="4C0BB846" w:rsidR="0006716B" w:rsidRPr="00284534" w:rsidRDefault="00CE75CD" w:rsidP="00284534">
      <w:pPr>
        <w:spacing w:line="480" w:lineRule="auto"/>
        <w:jc w:val="center"/>
      </w:pPr>
      <w:r w:rsidRPr="00CE75CD">
        <w:rPr>
          <w:b/>
          <w:sz w:val="24"/>
        </w:rPr>
        <w:lastRenderedPageBreak/>
        <w:t>ABSTRACT</w:t>
      </w:r>
      <w:r w:rsidR="00800422">
        <w:t xml:space="preserve"> </w:t>
      </w:r>
    </w:p>
    <w:p w14:paraId="7B636CEA" w14:textId="5FD4B67C" w:rsidR="00B52388" w:rsidRDefault="00831B6A" w:rsidP="00B52388">
      <w:pPr>
        <w:spacing w:line="480" w:lineRule="auto"/>
      </w:pPr>
      <w:r w:rsidRPr="00CE75CD">
        <w:rPr>
          <w:b/>
        </w:rPr>
        <w:t>Background:</w:t>
      </w:r>
      <w:r>
        <w:t xml:space="preserve"> </w:t>
      </w:r>
      <w:r w:rsidR="004C4B0D">
        <w:t>In the United Kingdom</w:t>
      </w:r>
      <w:r w:rsidR="003730AC">
        <w:t xml:space="preserve"> pharmaceutical services can be delivered by b</w:t>
      </w:r>
      <w:r>
        <w:t xml:space="preserve">oth </w:t>
      </w:r>
      <w:r w:rsidR="003730AC">
        <w:t>community pharmacies (</w:t>
      </w:r>
      <w:r>
        <w:t>CPs</w:t>
      </w:r>
      <w:r w:rsidR="003730AC">
        <w:t>)</w:t>
      </w:r>
      <w:r>
        <w:t xml:space="preserve"> and</w:t>
      </w:r>
      <w:r w:rsidR="003730AC">
        <w:t xml:space="preserve"> dispensing doctor practices</w:t>
      </w:r>
      <w:r>
        <w:t xml:space="preserve"> </w:t>
      </w:r>
      <w:r w:rsidR="003730AC">
        <w:t>(</w:t>
      </w:r>
      <w:r>
        <w:t>DPs</w:t>
      </w:r>
      <w:r w:rsidR="003730AC">
        <w:t>). Both must adhere to minimum stand</w:t>
      </w:r>
      <w:r w:rsidR="00B52388">
        <w:t>ards set out in NHS regulations</w:t>
      </w:r>
      <w:r w:rsidR="003730AC">
        <w:t xml:space="preserve"> however </w:t>
      </w:r>
      <w:r>
        <w:t>no common</w:t>
      </w:r>
      <w:r w:rsidR="00B52388">
        <w:t xml:space="preserve"> framework</w:t>
      </w:r>
      <w:r>
        <w:t xml:space="preserve"> exist</w:t>
      </w:r>
      <w:r w:rsidR="00B52388">
        <w:t>s</w:t>
      </w:r>
      <w:r>
        <w:t xml:space="preserve"> </w:t>
      </w:r>
      <w:r w:rsidR="003730AC">
        <w:t>to</w:t>
      </w:r>
      <w:r w:rsidR="00B52388">
        <w:t xml:space="preserve"> guide</w:t>
      </w:r>
      <w:r w:rsidR="003730AC">
        <w:t xml:space="preserve"> quality improvement</w:t>
      </w:r>
      <w:r>
        <w:t>.</w:t>
      </w:r>
      <w:r w:rsidR="00B52388">
        <w:t xml:space="preserve"> Previous phases of this research had developed a set of characteristics indicative of good pharmaceutical service provision. </w:t>
      </w:r>
    </w:p>
    <w:p w14:paraId="65857FF7" w14:textId="43B76253" w:rsidR="00B52388" w:rsidRDefault="0006716B" w:rsidP="00B52388">
      <w:pPr>
        <w:spacing w:line="480" w:lineRule="auto"/>
      </w:pPr>
      <w:r w:rsidRPr="00CE75CD">
        <w:rPr>
          <w:b/>
        </w:rPr>
        <w:t>Objective:</w:t>
      </w:r>
      <w:r w:rsidR="00FF6959">
        <w:t xml:space="preserve"> </w:t>
      </w:r>
      <w:r w:rsidR="003730AC">
        <w:t>T</w:t>
      </w:r>
      <w:r w:rsidR="00FF6959">
        <w:t xml:space="preserve">o </w:t>
      </w:r>
      <w:r w:rsidR="00B52388">
        <w:t>ask key stakeholders to confirm, and rank the importance of,</w:t>
      </w:r>
      <w:r w:rsidR="000902EC">
        <w:t xml:space="preserve"> </w:t>
      </w:r>
      <w:r w:rsidR="00FF6959">
        <w:t xml:space="preserve">a </w:t>
      </w:r>
      <w:r w:rsidR="00217E91">
        <w:t xml:space="preserve">set of characteristics of good pharmaceutical service provision. </w:t>
      </w:r>
    </w:p>
    <w:p w14:paraId="19A00624" w14:textId="233110BB" w:rsidR="00EA0F58" w:rsidRDefault="00327E12" w:rsidP="00B26D1F">
      <w:pPr>
        <w:spacing w:line="480" w:lineRule="auto"/>
      </w:pPr>
      <w:r w:rsidRPr="00CE75CD">
        <w:rPr>
          <w:b/>
        </w:rPr>
        <w:t>Method</w:t>
      </w:r>
      <w:r w:rsidR="0037356D">
        <w:rPr>
          <w:b/>
        </w:rPr>
        <w:t>s</w:t>
      </w:r>
      <w:r w:rsidRPr="00CE75CD">
        <w:rPr>
          <w:b/>
        </w:rPr>
        <w:t>:</w:t>
      </w:r>
      <w:r w:rsidR="00DF3523">
        <w:t xml:space="preserve"> A t</w:t>
      </w:r>
      <w:r w:rsidR="00BD3719">
        <w:t xml:space="preserve">wo-round Delphi-type survey </w:t>
      </w:r>
      <w:r w:rsidR="0037356D">
        <w:t xml:space="preserve">was conducted in South-West England and </w:t>
      </w:r>
      <w:r w:rsidR="00217E91">
        <w:t xml:space="preserve">was sent to </w:t>
      </w:r>
      <w:r w:rsidR="00DF3523">
        <w:t>pa</w:t>
      </w:r>
      <w:r w:rsidR="00831B6A">
        <w:t>rticipant</w:t>
      </w:r>
      <w:r w:rsidR="00DF3523">
        <w:t xml:space="preserve">s representing </w:t>
      </w:r>
      <w:r w:rsidR="00123A86">
        <w:t>three</w:t>
      </w:r>
      <w:r w:rsidR="00DF3523">
        <w:t xml:space="preserve"> stakeh</w:t>
      </w:r>
      <w:r w:rsidR="003771F3">
        <w:t xml:space="preserve">older groups: </w:t>
      </w:r>
      <w:r w:rsidR="00800422">
        <w:t>DPs</w:t>
      </w:r>
      <w:r w:rsidR="003771F3">
        <w:t xml:space="preserve">, </w:t>
      </w:r>
      <w:r w:rsidR="00800422">
        <w:t>CPs</w:t>
      </w:r>
      <w:r w:rsidR="00DF3523">
        <w:t xml:space="preserve"> and patients/lay members</w:t>
      </w:r>
      <w:r>
        <w:t>.</w:t>
      </w:r>
      <w:r w:rsidR="00DF3523">
        <w:t xml:space="preserve"> </w:t>
      </w:r>
      <w:r w:rsidR="00296F64">
        <w:t xml:space="preserve"> Participants were asked to confirm, and rank, the importance of these characteristics as representing good quality pharmaceutical services.</w:t>
      </w:r>
    </w:p>
    <w:p w14:paraId="2B18528B" w14:textId="02E05D2B" w:rsidR="0006716B" w:rsidRDefault="0037356D" w:rsidP="00B26D1F">
      <w:pPr>
        <w:spacing w:line="480" w:lineRule="auto"/>
      </w:pPr>
      <w:r>
        <w:rPr>
          <w:b/>
        </w:rPr>
        <w:t>Key Findings</w:t>
      </w:r>
      <w:r w:rsidR="0006716B" w:rsidRPr="00CE75CD">
        <w:rPr>
          <w:b/>
        </w:rPr>
        <w:t>:</w:t>
      </w:r>
      <w:r w:rsidR="00BD3719">
        <w:t xml:space="preserve"> Thirty people were sent the first round survey; 22 participants completed both rounds. </w:t>
      </w:r>
      <w:r w:rsidR="00773B71">
        <w:t>Median ratings for the</w:t>
      </w:r>
      <w:r w:rsidR="008A2BDA">
        <w:t xml:space="preserve"> 23</w:t>
      </w:r>
      <w:r w:rsidR="00773B71">
        <w:t xml:space="preserve"> </w:t>
      </w:r>
      <w:r w:rsidR="00217E91">
        <w:t xml:space="preserve">characteristics </w:t>
      </w:r>
      <w:r w:rsidR="00773B71">
        <w:t xml:space="preserve">showed that all were </w:t>
      </w:r>
      <w:r w:rsidR="00C403B6">
        <w:t xml:space="preserve">seen </w:t>
      </w:r>
      <w:r w:rsidR="00773B71">
        <w:t xml:space="preserve">to represent important aspects of pharmaceutical service provision. </w:t>
      </w:r>
      <w:r w:rsidR="008A2BDA">
        <w:t>P</w:t>
      </w:r>
      <w:r w:rsidR="00773B71">
        <w:t>articipants</w:t>
      </w:r>
      <w:r w:rsidR="008A2BDA">
        <w:t>’ comments</w:t>
      </w:r>
      <w:r w:rsidR="00773B71">
        <w:t xml:space="preserve"> </w:t>
      </w:r>
      <w:r w:rsidR="002E65D3">
        <w:t xml:space="preserve">highlighted potential problems with the </w:t>
      </w:r>
      <w:r w:rsidR="00800422">
        <w:t>practicality of the characteristics</w:t>
      </w:r>
      <w:r w:rsidR="002E65D3">
        <w:t xml:space="preserve">. </w:t>
      </w:r>
      <w:r w:rsidR="00800422">
        <w:t xml:space="preserve">Characteristics </w:t>
      </w:r>
      <w:r w:rsidR="002E65D3">
        <w:t xml:space="preserve">relating to </w:t>
      </w:r>
      <w:r w:rsidR="00946F19">
        <w:t xml:space="preserve">patient </w:t>
      </w:r>
      <w:r w:rsidR="002E65D3">
        <w:t xml:space="preserve">safety were deemed to be the most important and those relating to public health the least important. </w:t>
      </w:r>
    </w:p>
    <w:p w14:paraId="5F237290" w14:textId="24F38382" w:rsidR="0006716B" w:rsidRDefault="0006716B" w:rsidP="00B26D1F">
      <w:pPr>
        <w:spacing w:line="480" w:lineRule="auto"/>
      </w:pPr>
      <w:r w:rsidRPr="00CE75CD">
        <w:rPr>
          <w:b/>
        </w:rPr>
        <w:t>Conclusions:</w:t>
      </w:r>
      <w:r w:rsidR="002E65D3">
        <w:t xml:space="preserve"> A set of </w:t>
      </w:r>
      <w:r w:rsidR="007D4C1A">
        <w:t xml:space="preserve">23 </w:t>
      </w:r>
      <w:r w:rsidR="00800422">
        <w:t>characteristics</w:t>
      </w:r>
      <w:r w:rsidR="002E65D3">
        <w:t xml:space="preserve"> for providing </w:t>
      </w:r>
      <w:r w:rsidR="00800422">
        <w:t xml:space="preserve">good </w:t>
      </w:r>
      <w:r w:rsidR="002E65D3">
        <w:t xml:space="preserve">pharmaceutical services in CPs and DPs </w:t>
      </w:r>
      <w:r w:rsidR="00123A86">
        <w:t>was</w:t>
      </w:r>
      <w:r w:rsidR="002E65D3">
        <w:t xml:space="preserve"> developed and </w:t>
      </w:r>
      <w:r w:rsidR="002A2458">
        <w:t>attained approval from a sample of stakeholders. With further testing and wider discussion it is hoped that the</w:t>
      </w:r>
      <w:r w:rsidR="00800422">
        <w:t xml:space="preserve"> characteristics</w:t>
      </w:r>
      <w:r w:rsidR="002A2458">
        <w:t xml:space="preserve"> will form the basis of a quality improvement tool for </w:t>
      </w:r>
      <w:r w:rsidR="00FB2DF3">
        <w:t xml:space="preserve">CPs and DPs. </w:t>
      </w:r>
    </w:p>
    <w:p w14:paraId="492CB0BA" w14:textId="5284B09A" w:rsidR="00284534" w:rsidRPr="00284534" w:rsidRDefault="00284534" w:rsidP="00B26D1F">
      <w:pPr>
        <w:spacing w:line="480" w:lineRule="auto"/>
        <w:rPr>
          <w:b/>
        </w:rPr>
      </w:pPr>
      <w:r w:rsidRPr="00284534">
        <w:rPr>
          <w:b/>
        </w:rPr>
        <w:t>Keywords</w:t>
      </w:r>
    </w:p>
    <w:p w14:paraId="68867AF1" w14:textId="73DE6C2B" w:rsidR="0037356D" w:rsidRPr="00284534" w:rsidRDefault="00284534">
      <w:r w:rsidRPr="00284534">
        <w:t>Community pharmacy; dispensing doctor; health services quality; pharmacy services</w:t>
      </w:r>
      <w:r w:rsidR="00946F19">
        <w:t>; quality improvement</w:t>
      </w:r>
      <w:r w:rsidR="0037356D" w:rsidRPr="00284534">
        <w:br w:type="page"/>
      </w:r>
    </w:p>
    <w:p w14:paraId="461FA237" w14:textId="0A9A9D05" w:rsidR="009E398A" w:rsidRDefault="00A83CC4" w:rsidP="00B26D1F">
      <w:pPr>
        <w:spacing w:line="480" w:lineRule="auto"/>
        <w:rPr>
          <w:b/>
        </w:rPr>
      </w:pPr>
      <w:r>
        <w:rPr>
          <w:b/>
        </w:rPr>
        <w:lastRenderedPageBreak/>
        <w:t>INTRODUCTION</w:t>
      </w:r>
    </w:p>
    <w:p w14:paraId="469EEC93" w14:textId="64D3C4AB" w:rsidR="00C852FB" w:rsidRDefault="0008788F" w:rsidP="00B26D1F">
      <w:pPr>
        <w:spacing w:line="480" w:lineRule="auto"/>
      </w:pPr>
      <w:r>
        <w:t>In the UK, p</w:t>
      </w:r>
      <w:r w:rsidR="00E118DF" w:rsidRPr="00E118DF">
        <w:t>rimary care pharmaceutical services can be provided by both community pharmacies (CPs) and</w:t>
      </w:r>
      <w:r>
        <w:t xml:space="preserve"> dispensing doctor practices (DP</w:t>
      </w:r>
      <w:r w:rsidR="00E118DF" w:rsidRPr="00E118DF">
        <w:t xml:space="preserve">s). </w:t>
      </w:r>
      <w:r w:rsidR="00462C1A">
        <w:t>DPs</w:t>
      </w:r>
      <w:r>
        <w:t xml:space="preserve"> </w:t>
      </w:r>
      <w:r w:rsidR="004C388C">
        <w:t xml:space="preserve">are general medical practices that </w:t>
      </w:r>
      <w:r w:rsidR="00095977">
        <w:t xml:space="preserve">are </w:t>
      </w:r>
      <w:r w:rsidR="00095977" w:rsidRPr="00095977">
        <w:t xml:space="preserve">able to provide pharmaceutical services to patients </w:t>
      </w:r>
      <w:r w:rsidR="004C388C">
        <w:t>who</w:t>
      </w:r>
      <w:r w:rsidR="00095977" w:rsidRPr="00095977">
        <w:t xml:space="preserve"> live</w:t>
      </w:r>
      <w:r w:rsidR="004C388C">
        <w:t xml:space="preserve"> in an area ‘rural in character …</w:t>
      </w:r>
      <w:r w:rsidR="00095977" w:rsidRPr="00095977">
        <w:t xml:space="preserve"> more than one mile (1.6km) from a pharmacy</w:t>
      </w:r>
      <w:r w:rsidR="004C388C">
        <w:t>’s premises’</w:t>
      </w:r>
      <w:r w:rsidR="001B3991">
        <w:t xml:space="preserve"> </w:t>
      </w:r>
      <w:r w:rsidR="0043637D">
        <w:t>[1]</w:t>
      </w:r>
      <w:r w:rsidR="00095977" w:rsidRPr="00095977">
        <w:t>.</w:t>
      </w:r>
      <w:r w:rsidR="008E2D04">
        <w:t xml:space="preserve"> </w:t>
      </w:r>
      <w:r w:rsidR="004C388C">
        <w:t>Both CPs and DP</w:t>
      </w:r>
      <w:r w:rsidR="00E118DF" w:rsidRPr="00E118DF">
        <w:t>s have to meet minimum standards</w:t>
      </w:r>
      <w:r w:rsidR="008E2D04">
        <w:t xml:space="preserve"> of service provision</w:t>
      </w:r>
      <w:r w:rsidR="00E118DF" w:rsidRPr="00E118DF">
        <w:t xml:space="preserve"> set out in the N</w:t>
      </w:r>
      <w:r w:rsidR="00143565">
        <w:t xml:space="preserve">ational </w:t>
      </w:r>
      <w:r w:rsidR="00E118DF" w:rsidRPr="00E118DF">
        <w:t>H</w:t>
      </w:r>
      <w:r w:rsidR="00143565">
        <w:t xml:space="preserve">ealth </w:t>
      </w:r>
      <w:r w:rsidR="00E118DF" w:rsidRPr="00E118DF">
        <w:t>S</w:t>
      </w:r>
      <w:r w:rsidR="00143565">
        <w:t>ervices</w:t>
      </w:r>
      <w:r w:rsidR="00E118DF" w:rsidRPr="00E118DF">
        <w:t xml:space="preserve"> Pharmaceutical Services Regulations</w:t>
      </w:r>
      <w:r w:rsidR="001B3991">
        <w:t xml:space="preserve"> </w:t>
      </w:r>
      <w:r w:rsidR="00EE0D1C">
        <w:t>[2]</w:t>
      </w:r>
      <w:r w:rsidR="00E118DF" w:rsidRPr="00E118DF">
        <w:t xml:space="preserve">. </w:t>
      </w:r>
      <w:r w:rsidR="00E84C16">
        <w:t>However, s</w:t>
      </w:r>
      <w:r w:rsidR="00E118DF" w:rsidRPr="00E118DF">
        <w:t xml:space="preserve">eparate reimbursement schemes and </w:t>
      </w:r>
      <w:r w:rsidR="00940031">
        <w:t xml:space="preserve">monitoring procedures </w:t>
      </w:r>
      <w:r w:rsidR="00E118DF" w:rsidRPr="00E118DF">
        <w:t>exist for each provider</w:t>
      </w:r>
      <w:r w:rsidR="00E84C16">
        <w:t xml:space="preserve">. </w:t>
      </w:r>
      <w:r w:rsidR="00940031">
        <w:t xml:space="preserve">In England, </w:t>
      </w:r>
      <w:r w:rsidR="00143565">
        <w:t xml:space="preserve">the </w:t>
      </w:r>
      <w:r w:rsidR="00940031">
        <w:t>NHS use</w:t>
      </w:r>
      <w:r w:rsidR="00143565">
        <w:t>s</w:t>
      </w:r>
      <w:r w:rsidR="00940031">
        <w:t xml:space="preserve"> the Community Pharmacy Assurance Framework </w:t>
      </w:r>
      <w:r w:rsidR="00C852FB">
        <w:t>(CPAF)</w:t>
      </w:r>
      <w:r w:rsidR="00336213">
        <w:t xml:space="preserve"> </w:t>
      </w:r>
      <w:r w:rsidR="00462C1A">
        <w:t>[3]</w:t>
      </w:r>
      <w:r w:rsidR="00C852FB">
        <w:t xml:space="preserve"> </w:t>
      </w:r>
      <w:r w:rsidR="00940031">
        <w:t>to a</w:t>
      </w:r>
      <w:r w:rsidR="00143565">
        <w:t>ssess CPs’ compliance with the c</w:t>
      </w:r>
      <w:r w:rsidR="00940031">
        <w:t xml:space="preserve">ommunity </w:t>
      </w:r>
      <w:r w:rsidR="00143565">
        <w:t>pharmacy contractual f</w:t>
      </w:r>
      <w:r w:rsidR="00940031">
        <w:t>ramework</w:t>
      </w:r>
      <w:r w:rsidR="00C852FB">
        <w:t xml:space="preserve">. </w:t>
      </w:r>
      <w:r w:rsidR="00143565">
        <w:t xml:space="preserve">Most </w:t>
      </w:r>
      <w:r w:rsidR="001E1B65">
        <w:t>DPs</w:t>
      </w:r>
      <w:r w:rsidR="00A675E7">
        <w:t xml:space="preserve"> opt to participate in the </w:t>
      </w:r>
      <w:r w:rsidR="00143565">
        <w:t xml:space="preserve">separate </w:t>
      </w:r>
      <w:r w:rsidR="00A675E7">
        <w:t>Dispensary</w:t>
      </w:r>
      <w:r w:rsidR="00DD6A67">
        <w:t xml:space="preserve"> Services Quality Scheme (DSQS)</w:t>
      </w:r>
      <w:r w:rsidR="005E119E">
        <w:t xml:space="preserve"> </w:t>
      </w:r>
      <w:r w:rsidR="00462C1A">
        <w:t>[4]</w:t>
      </w:r>
      <w:r w:rsidR="0011677F">
        <w:t xml:space="preserve">. </w:t>
      </w:r>
    </w:p>
    <w:p w14:paraId="59E6A003" w14:textId="588AB435" w:rsidR="009A202B" w:rsidRDefault="00E84C16" w:rsidP="00B26D1F">
      <w:pPr>
        <w:spacing w:line="480" w:lineRule="auto"/>
      </w:pPr>
      <w:r>
        <w:t>T</w:t>
      </w:r>
      <w:r w:rsidR="008B36DC">
        <w:t xml:space="preserve">he CPAF </w:t>
      </w:r>
      <w:r w:rsidR="009A202B">
        <w:t xml:space="preserve">and DSQS </w:t>
      </w:r>
      <w:r w:rsidR="008B36DC">
        <w:t xml:space="preserve">focus on ensuring CPs </w:t>
      </w:r>
      <w:r w:rsidR="009A202B">
        <w:t xml:space="preserve">and DPs </w:t>
      </w:r>
      <w:r w:rsidR="008B36DC">
        <w:t>comply with a baseline level of quality</w:t>
      </w:r>
      <w:r w:rsidR="006F476F">
        <w:t>.</w:t>
      </w:r>
      <w:r w:rsidR="00143565">
        <w:t xml:space="preserve"> </w:t>
      </w:r>
      <w:r w:rsidR="006F476F">
        <w:t xml:space="preserve">However, </w:t>
      </w:r>
      <w:r w:rsidR="00EB0F9F">
        <w:t>t</w:t>
      </w:r>
      <w:r w:rsidR="00DC3358" w:rsidRPr="00782FF9">
        <w:t>he areas of service provision that focus on quality improvement (beyond a minim</w:t>
      </w:r>
      <w:r w:rsidR="00336213">
        <w:t>um</w:t>
      </w:r>
      <w:r w:rsidR="00DC3358" w:rsidRPr="00782FF9">
        <w:t xml:space="preserve"> baseline) are not tightly regulated and are thus open to interpretation by individual providers. </w:t>
      </w:r>
      <w:r w:rsidR="00B514EC">
        <w:t>With the exception</w:t>
      </w:r>
      <w:r w:rsidR="007D6C88">
        <w:t xml:space="preserve"> of the focus group study of Hal</w:t>
      </w:r>
      <w:r w:rsidR="00B514EC">
        <w:t xml:space="preserve">sall et al. [5] exploring quality in community pharmacy, there has been very little work investigating ideal practice or the characteristics of good pharmaceutical quality provision. </w:t>
      </w:r>
      <w:r w:rsidR="00397667">
        <w:t>Th</w:t>
      </w:r>
      <w:r w:rsidR="00EB0F9F">
        <w:t>is</w:t>
      </w:r>
      <w:r w:rsidR="00397667">
        <w:t xml:space="preserve"> could </w:t>
      </w:r>
      <w:r w:rsidR="00E478CE">
        <w:t xml:space="preserve">both help guide service providers in striving to improve quality and </w:t>
      </w:r>
      <w:r w:rsidR="00397667">
        <w:t xml:space="preserve">be used to inform a series of indicators suitable for judging the quality of pharmaceutical service provision </w:t>
      </w:r>
      <w:r w:rsidR="006A4D61">
        <w:t xml:space="preserve">beyond a minimum baseline. </w:t>
      </w:r>
      <w:r w:rsidR="005E119E">
        <w:t>In addition</w:t>
      </w:r>
      <w:r w:rsidR="00336213">
        <w:t>,</w:t>
      </w:r>
      <w:r w:rsidR="005E119E">
        <w:t xml:space="preserve"> a</w:t>
      </w:r>
      <w:r w:rsidR="008A2BDA">
        <w:t xml:space="preserve"> common set of </w:t>
      </w:r>
      <w:r w:rsidR="005E119E">
        <w:t xml:space="preserve">characteristics </w:t>
      </w:r>
      <w:r w:rsidR="008A2BDA">
        <w:t xml:space="preserve">for CPs and DPs would help to ensure equity of </w:t>
      </w:r>
      <w:r w:rsidR="008A2BDA" w:rsidRPr="008A2BDA">
        <w:t>service provision to patients</w:t>
      </w:r>
      <w:r w:rsidR="008A2BDA">
        <w:t>,</w:t>
      </w:r>
      <w:r w:rsidR="008A2BDA" w:rsidRPr="008A2BDA">
        <w:t xml:space="preserve"> regardless of where they receive pharmaceutical services.</w:t>
      </w:r>
    </w:p>
    <w:p w14:paraId="7F958068" w14:textId="5C304A4A" w:rsidR="009E398A" w:rsidRPr="0036704A" w:rsidRDefault="00E118DF" w:rsidP="00B26D1F">
      <w:pPr>
        <w:spacing w:line="480" w:lineRule="auto"/>
      </w:pPr>
      <w:r w:rsidRPr="00143565">
        <w:t xml:space="preserve">The aim of this research was to develop a set of </w:t>
      </w:r>
      <w:r w:rsidR="005E119E" w:rsidRPr="00143565">
        <w:t xml:space="preserve">characteristics of good </w:t>
      </w:r>
      <w:r w:rsidRPr="00143565">
        <w:t>pharmaceutical service</w:t>
      </w:r>
      <w:r w:rsidR="006A2586" w:rsidRPr="00143565">
        <w:t>s</w:t>
      </w:r>
      <w:r w:rsidR="00E9308A" w:rsidRPr="00143565">
        <w:t xml:space="preserve">, </w:t>
      </w:r>
      <w:r w:rsidR="00EB0F9F">
        <w:t>(</w:t>
      </w:r>
      <w:r w:rsidR="00E9308A" w:rsidRPr="00143565">
        <w:t xml:space="preserve">focusing on service provision beyond </w:t>
      </w:r>
      <w:r w:rsidR="00C729A4" w:rsidRPr="00143565">
        <w:t>the baseline level required by all providers</w:t>
      </w:r>
      <w:r w:rsidR="00EB0F9F">
        <w:t>)</w:t>
      </w:r>
      <w:r w:rsidR="00C729A4" w:rsidRPr="00143565">
        <w:t>,</w:t>
      </w:r>
      <w:r w:rsidRPr="00143565">
        <w:t xml:space="preserve"> that could be further refined into a quality improvement</w:t>
      </w:r>
      <w:r w:rsidR="007C1C05" w:rsidRPr="00143565">
        <w:t xml:space="preserve"> tool for use in both CPs and DP</w:t>
      </w:r>
      <w:r w:rsidRPr="00143565">
        <w:t xml:space="preserve">s. </w:t>
      </w:r>
      <w:r w:rsidR="00DD2CC7" w:rsidRPr="00143565">
        <w:t xml:space="preserve">The </w:t>
      </w:r>
      <w:r w:rsidR="004A3447" w:rsidRPr="00143565">
        <w:t>research</w:t>
      </w:r>
      <w:r w:rsidR="00DD2CC7" w:rsidRPr="00143565">
        <w:t xml:space="preserve"> </w:t>
      </w:r>
      <w:r w:rsidR="004A3447" w:rsidRPr="00143565">
        <w:t>was conducted</w:t>
      </w:r>
      <w:r w:rsidR="00DD2CC7" w:rsidRPr="00143565">
        <w:t xml:space="preserve"> in three phases, u</w:t>
      </w:r>
      <w:r w:rsidR="004A3447" w:rsidRPr="00143565">
        <w:t>si</w:t>
      </w:r>
      <w:r w:rsidR="00EC5D44" w:rsidRPr="00143565">
        <w:t>ng a mixed-methods approach. T</w:t>
      </w:r>
      <w:r w:rsidR="00DD2CC7" w:rsidRPr="00143565">
        <w:t>he first two phases (</w:t>
      </w:r>
      <w:r w:rsidR="004A36DD" w:rsidRPr="00143565">
        <w:t>survey</w:t>
      </w:r>
      <w:r w:rsidR="00EC5D44" w:rsidRPr="00143565">
        <w:t>s</w:t>
      </w:r>
      <w:r w:rsidR="004A36DD" w:rsidRPr="00143565">
        <w:t xml:space="preserve"> and case studies of CPs and DPs)</w:t>
      </w:r>
      <w:r w:rsidR="00EC5D44" w:rsidRPr="00143565">
        <w:t xml:space="preserve"> highlighted the overall similarity between CPs and DPs with regards to </w:t>
      </w:r>
      <w:r w:rsidR="00EC5D44" w:rsidRPr="00143565">
        <w:lastRenderedPageBreak/>
        <w:t>pharmace</w:t>
      </w:r>
      <w:r w:rsidR="00AB5693" w:rsidRPr="00143565">
        <w:t>utical service provision</w:t>
      </w:r>
      <w:r w:rsidR="00397667" w:rsidRPr="00143565">
        <w:t xml:space="preserve"> </w:t>
      </w:r>
      <w:r w:rsidR="005E119E" w:rsidRPr="00143565">
        <w:t>[</w:t>
      </w:r>
      <w:r w:rsidR="00FA61F0" w:rsidRPr="00143565">
        <w:t>6</w:t>
      </w:r>
      <w:r w:rsidR="00397667" w:rsidRPr="00143565">
        <w:t xml:space="preserve">], </w:t>
      </w:r>
      <w:r w:rsidR="00E478CE" w:rsidRPr="00143565">
        <w:t xml:space="preserve">finding </w:t>
      </w:r>
      <w:r w:rsidR="00397667" w:rsidRPr="00143565">
        <w:t>as much</w:t>
      </w:r>
      <w:r w:rsidR="006A0617" w:rsidRPr="00143565">
        <w:t xml:space="preserve"> variation within groups (CP and DP) as </w:t>
      </w:r>
      <w:r w:rsidR="006A2586" w:rsidRPr="00143565">
        <w:t xml:space="preserve">between. </w:t>
      </w:r>
      <w:r w:rsidR="00EB0F9F">
        <w:t>T</w:t>
      </w:r>
      <w:r w:rsidR="006A0617" w:rsidRPr="00143565">
        <w:t xml:space="preserve">he first two </w:t>
      </w:r>
      <w:r w:rsidR="003C4D59" w:rsidRPr="00143565">
        <w:t>phases</w:t>
      </w:r>
      <w:r w:rsidR="00EB0F9F">
        <w:t xml:space="preserve"> led to the identification of</w:t>
      </w:r>
      <w:r w:rsidR="004A3447" w:rsidRPr="00143565">
        <w:t xml:space="preserve"> </w:t>
      </w:r>
      <w:r w:rsidR="004A36DD" w:rsidRPr="00143565">
        <w:t xml:space="preserve">a set of </w:t>
      </w:r>
      <w:r w:rsidR="00AE4CC8" w:rsidRPr="00143565">
        <w:t xml:space="preserve">good service </w:t>
      </w:r>
      <w:r w:rsidR="005E119E" w:rsidRPr="00143565">
        <w:t>characteristics</w:t>
      </w:r>
      <w:r w:rsidR="004A36DD" w:rsidRPr="00143565">
        <w:t>. The third phase, reported here, involved a Delphi</w:t>
      </w:r>
      <w:r w:rsidR="00D25A0C">
        <w:t>-type</w:t>
      </w:r>
      <w:r w:rsidR="00E478CE" w:rsidRPr="00143565">
        <w:t>,</w:t>
      </w:r>
      <w:r w:rsidR="004A36DD" w:rsidRPr="00143565">
        <w:t xml:space="preserve"> </w:t>
      </w:r>
      <w:r w:rsidR="005E119E" w:rsidRPr="00143565">
        <w:t xml:space="preserve">two-round </w:t>
      </w:r>
      <w:r w:rsidR="004A36DD" w:rsidRPr="00143565">
        <w:t>survey</w:t>
      </w:r>
      <w:r w:rsidR="008C1C08" w:rsidRPr="00143565">
        <w:t xml:space="preserve"> with key stakeholders, asking them</w:t>
      </w:r>
      <w:r w:rsidR="004A36DD" w:rsidRPr="00143565">
        <w:t xml:space="preserve"> to </w:t>
      </w:r>
      <w:r w:rsidR="006A2586" w:rsidRPr="00143565">
        <w:t>confirm and rank the importance</w:t>
      </w:r>
      <w:r w:rsidR="005D0E01" w:rsidRPr="00143565">
        <w:t xml:space="preserve"> of </w:t>
      </w:r>
      <w:r w:rsidR="0047373B" w:rsidRPr="00143565">
        <w:t>the</w:t>
      </w:r>
      <w:r w:rsidR="006A2586" w:rsidRPr="00143565">
        <w:t>se characteristics</w:t>
      </w:r>
      <w:r w:rsidR="0047373B" w:rsidRPr="00143565">
        <w:t>.</w:t>
      </w:r>
      <w:r w:rsidR="004A36DD" w:rsidRPr="00143565">
        <w:t xml:space="preserve"> </w:t>
      </w:r>
    </w:p>
    <w:p w14:paraId="256C1683" w14:textId="77777777" w:rsidR="009E398A" w:rsidRPr="009E398A" w:rsidRDefault="00A83CC4" w:rsidP="00B26D1F">
      <w:pPr>
        <w:spacing w:line="480" w:lineRule="auto"/>
        <w:rPr>
          <w:b/>
        </w:rPr>
      </w:pPr>
      <w:r w:rsidRPr="009E398A">
        <w:rPr>
          <w:b/>
        </w:rPr>
        <w:t>METHOD</w:t>
      </w:r>
    </w:p>
    <w:p w14:paraId="3EA85577" w14:textId="35BE8843" w:rsidR="00510349" w:rsidRDefault="0036704A" w:rsidP="00B26D1F">
      <w:pPr>
        <w:spacing w:line="480" w:lineRule="auto"/>
      </w:pPr>
      <w:r w:rsidRPr="00143565">
        <w:t xml:space="preserve">Ethical approval for </w:t>
      </w:r>
      <w:r>
        <w:t>all three phases of the</w:t>
      </w:r>
      <w:r w:rsidR="006D1EA1">
        <w:t xml:space="preserve"> research</w:t>
      </w:r>
      <w:r w:rsidRPr="00143565">
        <w:t xml:space="preserve"> was granted by the Southmead NHS Ethics Committee</w:t>
      </w:r>
      <w:r w:rsidR="00D11EC0">
        <w:t xml:space="preserve"> on 31/08/11</w:t>
      </w:r>
      <w:r w:rsidRPr="00143565">
        <w:t xml:space="preserve"> (ref 11/SW/0203). </w:t>
      </w:r>
      <w:r>
        <w:t xml:space="preserve"> </w:t>
      </w:r>
      <w:r w:rsidR="00547841">
        <w:t>Phase 1 used</w:t>
      </w:r>
      <w:r>
        <w:t xml:space="preserve"> a</w:t>
      </w:r>
      <w:r w:rsidR="0047373B">
        <w:t xml:space="preserve"> </w:t>
      </w:r>
      <w:r w:rsidR="000B56CE">
        <w:t xml:space="preserve">postal </w:t>
      </w:r>
      <w:r w:rsidR="00142A78">
        <w:t>questionnaire</w:t>
      </w:r>
      <w:r w:rsidR="0047373B">
        <w:t xml:space="preserve"> </w:t>
      </w:r>
      <w:r w:rsidR="00547841">
        <w:t>to</w:t>
      </w:r>
      <w:r w:rsidR="000B56CE">
        <w:t xml:space="preserve"> CPs and </w:t>
      </w:r>
      <w:r w:rsidR="00EA117E">
        <w:t>DP</w:t>
      </w:r>
      <w:r w:rsidR="000B56CE">
        <w:t>s</w:t>
      </w:r>
      <w:r w:rsidR="000B56CE" w:rsidRPr="000B56CE">
        <w:t xml:space="preserve"> to identify</w:t>
      </w:r>
      <w:r>
        <w:t xml:space="preserve"> the</w:t>
      </w:r>
      <w:r w:rsidR="000B56CE" w:rsidRPr="000B56CE">
        <w:t xml:space="preserve"> services provided</w:t>
      </w:r>
      <w:r>
        <w:t>,</w:t>
      </w:r>
      <w:r w:rsidR="000B56CE" w:rsidRPr="000B56CE">
        <w:t xml:space="preserve"> areas of commonality a</w:t>
      </w:r>
      <w:r w:rsidR="00C55F14">
        <w:t>nd difference between CPs and DP</w:t>
      </w:r>
      <w:r w:rsidR="000B56CE" w:rsidRPr="000B56CE">
        <w:t xml:space="preserve">s in service provision and </w:t>
      </w:r>
      <w:r w:rsidR="00142A78">
        <w:t xml:space="preserve">any </w:t>
      </w:r>
      <w:r w:rsidR="000B56CE" w:rsidRPr="000B56CE">
        <w:t>monitoring systems</w:t>
      </w:r>
      <w:r w:rsidR="00142A78">
        <w:t xml:space="preserve"> in place to record services</w:t>
      </w:r>
      <w:r w:rsidR="000B56CE" w:rsidRPr="000B56CE">
        <w:t>.</w:t>
      </w:r>
      <w:r w:rsidR="00E454CC">
        <w:t xml:space="preserve"> </w:t>
      </w:r>
      <w:r w:rsidR="00CA0C63">
        <w:t>T</w:t>
      </w:r>
      <w:r w:rsidR="004B3C69">
        <w:t>he</w:t>
      </w:r>
      <w:r w:rsidR="00547841">
        <w:t>se findings informed Phase 2 of the research i</w:t>
      </w:r>
      <w:r w:rsidR="00E52565">
        <w:t xml:space="preserve">n which </w:t>
      </w:r>
      <w:r w:rsidR="008C1CD8">
        <w:t xml:space="preserve">in-depth </w:t>
      </w:r>
      <w:r w:rsidR="00CA0C63">
        <w:t xml:space="preserve">case studies </w:t>
      </w:r>
      <w:r w:rsidR="00EA117E">
        <w:t xml:space="preserve">of three CPs and </w:t>
      </w:r>
      <w:r w:rsidR="00AE4CC8">
        <w:t xml:space="preserve">four </w:t>
      </w:r>
      <w:r w:rsidR="00EA117E">
        <w:t>DPs took place</w:t>
      </w:r>
      <w:r w:rsidR="00E52565">
        <w:t>. These</w:t>
      </w:r>
      <w:r w:rsidR="00547841">
        <w:t xml:space="preserve"> were thematically analysed [7] to investigate</w:t>
      </w:r>
      <w:r w:rsidR="00E52565">
        <w:t xml:space="preserve"> </w:t>
      </w:r>
      <w:r w:rsidR="004B3C69" w:rsidRPr="004B3C69">
        <w:t>how the different procedures</w:t>
      </w:r>
      <w:r w:rsidR="00875E08">
        <w:t xml:space="preserve">, systems and staff dynamics at each site </w:t>
      </w:r>
      <w:r w:rsidR="004B3C69" w:rsidRPr="004B3C69">
        <w:t>affected service provision over time</w:t>
      </w:r>
      <w:r w:rsidR="004B3C69">
        <w:t>.</w:t>
      </w:r>
      <w:r w:rsidR="004B3C69" w:rsidRPr="004B3C69">
        <w:t xml:space="preserve"> </w:t>
      </w:r>
      <w:r w:rsidR="005B6D06" w:rsidRPr="005B6D06">
        <w:t>Through comparison and collation of data</w:t>
      </w:r>
      <w:r w:rsidR="00D16514">
        <w:t>,</w:t>
      </w:r>
      <w:r w:rsidR="005B6D06" w:rsidRPr="005B6D06">
        <w:t xml:space="preserve"> the main overall themes that related to quality of service provision</w:t>
      </w:r>
      <w:r w:rsidR="005B6D06">
        <w:t xml:space="preserve"> were identified</w:t>
      </w:r>
      <w:r w:rsidR="00547841">
        <w:t>. These findings have been published elsewhere [6]</w:t>
      </w:r>
      <w:r w:rsidR="005B6D06" w:rsidRPr="005B6D06">
        <w:t>.</w:t>
      </w:r>
      <w:r w:rsidR="005B6D06">
        <w:t xml:space="preserve"> </w:t>
      </w:r>
    </w:p>
    <w:p w14:paraId="3CE9296C" w14:textId="694F8D26" w:rsidR="00C8504A" w:rsidRDefault="00547841" w:rsidP="00B26D1F">
      <w:pPr>
        <w:spacing w:line="480" w:lineRule="auto"/>
      </w:pPr>
      <w:r>
        <w:t>From these P</w:t>
      </w:r>
      <w:r w:rsidR="00EB0F9F">
        <w:t xml:space="preserve">hase 1 and 2 </w:t>
      </w:r>
      <w:r>
        <w:t>findings</w:t>
      </w:r>
      <w:r w:rsidR="00EB0F9F">
        <w:t>, t</w:t>
      </w:r>
      <w:r w:rsidR="00D16514">
        <w:t>he research team drew up an initial set of</w:t>
      </w:r>
      <w:r w:rsidR="005B4550">
        <w:t xml:space="preserve"> 22</w:t>
      </w:r>
      <w:r w:rsidR="00D16514">
        <w:t xml:space="preserve"> </w:t>
      </w:r>
      <w:r w:rsidR="00AE4CC8">
        <w:t xml:space="preserve">characteristics of good quality pharmaceutical service. </w:t>
      </w:r>
      <w:r w:rsidR="00C73EEA">
        <w:t xml:space="preserve">The </w:t>
      </w:r>
      <w:r w:rsidR="00BC09BE">
        <w:t xml:space="preserve">characteristics </w:t>
      </w:r>
      <w:r w:rsidR="00902DAA">
        <w:t>related to</w:t>
      </w:r>
      <w:r w:rsidR="00C73EEA">
        <w:t xml:space="preserve"> four broad categories:</w:t>
      </w:r>
      <w:r w:rsidR="00FE0F37">
        <w:t xml:space="preserve"> </w:t>
      </w:r>
      <w:r w:rsidR="00C73EEA">
        <w:t>patient safety and dispensing; patient-provider interaction;</w:t>
      </w:r>
      <w:r w:rsidR="00C73EEA" w:rsidRPr="0056314D">
        <w:t xml:space="preserve"> workplace culture</w:t>
      </w:r>
      <w:r w:rsidR="00C73EEA">
        <w:t>;</w:t>
      </w:r>
      <w:r w:rsidR="00C73EEA" w:rsidRPr="0056314D">
        <w:t xml:space="preserve"> and public health</w:t>
      </w:r>
      <w:r w:rsidR="00C73EEA">
        <w:t xml:space="preserve">. </w:t>
      </w:r>
      <w:r w:rsidR="00FE0F37">
        <w:t xml:space="preserve">A two-round Delphi-type </w:t>
      </w:r>
      <w:r w:rsidR="00D95563">
        <w:t>survey</w:t>
      </w:r>
      <w:r w:rsidR="0058156D">
        <w:t xml:space="preserve"> using the appro</w:t>
      </w:r>
      <w:r w:rsidR="004877EB">
        <w:t>ach described by Hasson et al [8</w:t>
      </w:r>
      <w:r w:rsidR="0058156D">
        <w:t>]</w:t>
      </w:r>
      <w:r w:rsidR="00D95563">
        <w:t xml:space="preserve"> was then conducted over 5</w:t>
      </w:r>
      <w:r w:rsidR="00FE0F37">
        <w:t xml:space="preserve"> weeks </w:t>
      </w:r>
      <w:r w:rsidR="00D95563">
        <w:t>in 2013</w:t>
      </w:r>
      <w:r w:rsidR="006A2586">
        <w:t xml:space="preserve">, asking key stakeholders to confirm and rank the importance of the characteristics identified. </w:t>
      </w:r>
      <w:r w:rsidR="00C8504A">
        <w:t>Participants for the</w:t>
      </w:r>
      <w:r w:rsidR="00143565">
        <w:t xml:space="preserve"> </w:t>
      </w:r>
      <w:r w:rsidR="00C8504A">
        <w:t>Delphi</w:t>
      </w:r>
      <w:r w:rsidR="00143565">
        <w:t>-type</w:t>
      </w:r>
      <w:r w:rsidR="00C8504A">
        <w:t xml:space="preserve"> survey</w:t>
      </w:r>
      <w:r w:rsidR="006A2586">
        <w:t xml:space="preserve"> were selected purposively to represent the views of</w:t>
      </w:r>
      <w:r w:rsidR="00C8504A">
        <w:t xml:space="preserve"> community pharmacists, dispensing GPs, dispensing staff at CPs and DPs, board members of CP and DP professional organisations and lay persons. </w:t>
      </w:r>
      <w:r w:rsidR="00C8504A" w:rsidRPr="00C8504A">
        <w:t>In</w:t>
      </w:r>
      <w:r w:rsidR="00A442F6">
        <w:t xml:space="preserve">vitations were also sent to </w:t>
      </w:r>
      <w:r w:rsidR="00C07C07">
        <w:t>relevant professional organisations</w:t>
      </w:r>
      <w:r w:rsidR="00A442F6" w:rsidRPr="00C8504A">
        <w:t xml:space="preserve"> </w:t>
      </w:r>
      <w:r w:rsidR="00A442F6">
        <w:t xml:space="preserve">and </w:t>
      </w:r>
      <w:r w:rsidR="00C8504A" w:rsidRPr="00C8504A">
        <w:t>two large</w:t>
      </w:r>
      <w:r w:rsidR="009D04F9">
        <w:t>,</w:t>
      </w:r>
      <w:r w:rsidR="00C8504A" w:rsidRPr="00C8504A">
        <w:t xml:space="preserve"> chain pharmacy companies. </w:t>
      </w:r>
    </w:p>
    <w:p w14:paraId="242DF9DA" w14:textId="4FFADE5F" w:rsidR="003F5E1B" w:rsidRDefault="00852C1D" w:rsidP="00B26D1F">
      <w:pPr>
        <w:spacing w:line="480" w:lineRule="auto"/>
      </w:pPr>
      <w:r w:rsidRPr="00852C1D">
        <w:lastRenderedPageBreak/>
        <w:t xml:space="preserve">Delphi participants could complete the surveys online or </w:t>
      </w:r>
      <w:r>
        <w:t>be posted</w:t>
      </w:r>
      <w:r w:rsidRPr="00852C1D">
        <w:t xml:space="preserve"> paper copies. </w:t>
      </w:r>
      <w:r w:rsidR="00BF45B0">
        <w:t>To protect anonymity</w:t>
      </w:r>
      <w:r w:rsidR="006D6029">
        <w:t>,</w:t>
      </w:r>
      <w:r w:rsidR="00BF45B0">
        <w:t xml:space="preserve"> p</w:t>
      </w:r>
      <w:r w:rsidRPr="00852C1D">
        <w:t>articipant group (</w:t>
      </w:r>
      <w:r w:rsidR="00520EEC">
        <w:t>pharmacist</w:t>
      </w:r>
      <w:r w:rsidRPr="00852C1D">
        <w:t>,</w:t>
      </w:r>
      <w:r w:rsidR="00520EEC">
        <w:t xml:space="preserve"> GP,</w:t>
      </w:r>
      <w:r w:rsidR="00BF45B0">
        <w:t xml:space="preserve"> lay</w:t>
      </w:r>
      <w:r w:rsidRPr="00852C1D">
        <w:t xml:space="preserve">) was recorded but all other identifying information was removed.  </w:t>
      </w:r>
      <w:r w:rsidR="00520EEC">
        <w:t>In the first round of the survey</w:t>
      </w:r>
      <w:r w:rsidR="00C07C07">
        <w:t>,</w:t>
      </w:r>
      <w:r w:rsidR="005B4550">
        <w:t xml:space="preserve"> participants were presented with the </w:t>
      </w:r>
      <w:r w:rsidR="00216C1F">
        <w:t>characteristics</w:t>
      </w:r>
      <w:r w:rsidR="005B4550">
        <w:t xml:space="preserve"> along with a brief description of </w:t>
      </w:r>
      <w:r w:rsidR="00842C51">
        <w:t xml:space="preserve">what good engagement with </w:t>
      </w:r>
      <w:r w:rsidR="005B4550">
        <w:t>each</w:t>
      </w:r>
      <w:r w:rsidR="00842C51">
        <w:t xml:space="preserve"> would look like in practice</w:t>
      </w:r>
      <w:r w:rsidR="005B4550">
        <w:t xml:space="preserve"> (</w:t>
      </w:r>
      <w:r w:rsidR="00E1644C">
        <w:t>Figure</w:t>
      </w:r>
      <w:r w:rsidR="00842C51">
        <w:t xml:space="preserve"> 1). Participants were asked to rate</w:t>
      </w:r>
      <w:r w:rsidR="008D34FE">
        <w:t>, on a scale of one to nine,</w:t>
      </w:r>
      <w:r w:rsidR="00842C51">
        <w:t xml:space="preserve"> the extent to which they agreed each </w:t>
      </w:r>
      <w:r w:rsidR="00216C1F">
        <w:t xml:space="preserve">characteristic </w:t>
      </w:r>
      <w:r w:rsidR="008D34FE">
        <w:t>represented an important aspect of</w:t>
      </w:r>
      <w:r w:rsidR="00842C51">
        <w:t xml:space="preserve"> providing a good quality pharmaceutical service (</w:t>
      </w:r>
      <w:r w:rsidR="008D34FE">
        <w:t>1 = completely disagree, 9 = completely agree)</w:t>
      </w:r>
      <w:r w:rsidR="00842C51">
        <w:t>.</w:t>
      </w:r>
      <w:r w:rsidR="008D34FE">
        <w:t xml:space="preserve"> </w:t>
      </w:r>
      <w:r w:rsidR="003F5E1B">
        <w:t xml:space="preserve">Participants were also invited to comment on </w:t>
      </w:r>
      <w:r w:rsidR="00216C1F">
        <w:t xml:space="preserve">characteristics </w:t>
      </w:r>
      <w:r w:rsidR="003F5E1B">
        <w:t>or suggest improvements.</w:t>
      </w:r>
    </w:p>
    <w:p w14:paraId="3D720D1B" w14:textId="14E92E70" w:rsidR="003F5E1B" w:rsidRDefault="003F5E1B" w:rsidP="00B26D1F">
      <w:pPr>
        <w:spacing w:line="480" w:lineRule="auto"/>
      </w:pPr>
      <w:r>
        <w:t xml:space="preserve">In the second round, participants were provided with the median scores for each </w:t>
      </w:r>
      <w:r w:rsidR="00216C1F">
        <w:t xml:space="preserve">characteristic </w:t>
      </w:r>
      <w:r>
        <w:t>from round one</w:t>
      </w:r>
      <w:r w:rsidR="00C441EC">
        <w:t>. They were</w:t>
      </w:r>
      <w:r>
        <w:t xml:space="preserve"> asked to rate</w:t>
      </w:r>
      <w:r w:rsidR="00FE5A1A" w:rsidRPr="00FE5A1A">
        <w:t xml:space="preserve"> </w:t>
      </w:r>
      <w:r w:rsidR="00FE5A1A">
        <w:t xml:space="preserve">the extent to which they agreed each </w:t>
      </w:r>
      <w:r w:rsidR="00C441EC">
        <w:t xml:space="preserve">characteristic </w:t>
      </w:r>
      <w:r w:rsidR="00FE5A1A">
        <w:t>represented an important aspect of good quality pharmaceutical service</w:t>
      </w:r>
      <w:r w:rsidR="00AF3EE2">
        <w:t xml:space="preserve"> provision</w:t>
      </w:r>
      <w:r w:rsidR="00C441EC">
        <w:t xml:space="preserve">. </w:t>
      </w:r>
      <w:r w:rsidR="00C07C07">
        <w:t>P</w:t>
      </w:r>
      <w:r w:rsidR="002207DF">
        <w:t>articipants</w:t>
      </w:r>
      <w:r w:rsidR="00C07C07">
        <w:t xml:space="preserve"> </w:t>
      </w:r>
      <w:r w:rsidR="006116AC">
        <w:t xml:space="preserve">were asked </w:t>
      </w:r>
      <w:r w:rsidR="00C73EEA">
        <w:t xml:space="preserve">to rank the </w:t>
      </w:r>
      <w:r w:rsidR="00216C1F">
        <w:t xml:space="preserve">characteristics </w:t>
      </w:r>
      <w:r w:rsidR="00C73EEA">
        <w:t xml:space="preserve">within each of the four </w:t>
      </w:r>
      <w:r w:rsidR="00C07C07">
        <w:t xml:space="preserve">main </w:t>
      </w:r>
      <w:r w:rsidR="00F2084F">
        <w:t xml:space="preserve">categories </w:t>
      </w:r>
      <w:r w:rsidR="00C73EEA">
        <w:t xml:space="preserve">in </w:t>
      </w:r>
      <w:r w:rsidR="00C73EEA" w:rsidRPr="0056314D">
        <w:t xml:space="preserve">order of importance. Finally, </w:t>
      </w:r>
      <w:r w:rsidR="002F6E93">
        <w:t xml:space="preserve">they were asked to </w:t>
      </w:r>
      <w:r w:rsidR="00C73EEA" w:rsidRPr="0056314D">
        <w:t>place th</w:t>
      </w:r>
      <w:r w:rsidR="00BC4AAD">
        <w:t>ose</w:t>
      </w:r>
      <w:r w:rsidR="00C73EEA" w:rsidRPr="0056314D">
        <w:t xml:space="preserve"> four </w:t>
      </w:r>
      <w:r w:rsidR="003C742C">
        <w:t>categories</w:t>
      </w:r>
      <w:r w:rsidR="00C73EEA" w:rsidRPr="0056314D">
        <w:t xml:space="preserve"> in order of importance for pharmaceutical service quality.</w:t>
      </w:r>
    </w:p>
    <w:p w14:paraId="5B6D8AF1" w14:textId="1F79AD95" w:rsidR="00C600CD" w:rsidRDefault="009629FF" w:rsidP="00B26D1F">
      <w:pPr>
        <w:spacing w:line="480" w:lineRule="auto"/>
      </w:pPr>
      <w:r>
        <w:t>D</w:t>
      </w:r>
      <w:r w:rsidR="00C600CD">
        <w:t xml:space="preserve">ata </w:t>
      </w:r>
      <w:r w:rsidR="00C600CD" w:rsidRPr="00C600CD">
        <w:t>were entered in PASW Statistics-18 software</w:t>
      </w:r>
      <w:r w:rsidR="007743D5">
        <w:t xml:space="preserve"> for analysis. </w:t>
      </w:r>
      <w:r w:rsidR="00A66FEE">
        <w:t>Free text c</w:t>
      </w:r>
      <w:r>
        <w:t xml:space="preserve">omments were </w:t>
      </w:r>
      <w:r w:rsidR="001A1D63">
        <w:t xml:space="preserve">subject to </w:t>
      </w:r>
      <w:r w:rsidR="00FA61F0">
        <w:t xml:space="preserve">content </w:t>
      </w:r>
      <w:r>
        <w:t>analys</w:t>
      </w:r>
      <w:r w:rsidR="001A1D63">
        <w:t>is:</w:t>
      </w:r>
      <w:r w:rsidR="009A69A0">
        <w:t xml:space="preserve"> a list of categories derived from the data</w:t>
      </w:r>
      <w:r w:rsidR="001A1D63">
        <w:t xml:space="preserve"> and research questions was drawn up and d</w:t>
      </w:r>
      <w:r w:rsidR="009A69A0">
        <w:t>ata w</w:t>
      </w:r>
      <w:r w:rsidR="008D1678">
        <w:t>ere</w:t>
      </w:r>
      <w:r w:rsidR="009A69A0">
        <w:t xml:space="preserve"> systematically coded into these categories</w:t>
      </w:r>
      <w:r w:rsidR="00FA61F0">
        <w:t xml:space="preserve"> [</w:t>
      </w:r>
      <w:r w:rsidR="004877EB">
        <w:t>9</w:t>
      </w:r>
      <w:r w:rsidR="00FA61F0">
        <w:t>]</w:t>
      </w:r>
      <w:r>
        <w:t>.</w:t>
      </w:r>
      <w:r w:rsidR="007743D5">
        <w:t xml:space="preserve"> </w:t>
      </w:r>
    </w:p>
    <w:p w14:paraId="147819FE" w14:textId="77777777" w:rsidR="009E398A" w:rsidRDefault="00A83CC4" w:rsidP="00B26D1F">
      <w:pPr>
        <w:spacing w:line="480" w:lineRule="auto"/>
        <w:rPr>
          <w:b/>
        </w:rPr>
      </w:pPr>
      <w:r w:rsidRPr="009E398A">
        <w:rPr>
          <w:b/>
        </w:rPr>
        <w:t>RESULTS</w:t>
      </w:r>
    </w:p>
    <w:p w14:paraId="5E89E1F7" w14:textId="4914C984" w:rsidR="007A32CB" w:rsidRDefault="00051D96" w:rsidP="00B26D1F">
      <w:pPr>
        <w:spacing w:line="480" w:lineRule="auto"/>
      </w:pPr>
      <w:r>
        <w:t xml:space="preserve">Thirty-five people were directly contacted by the research team and invited to </w:t>
      </w:r>
      <w:r w:rsidR="00A8508B">
        <w:t xml:space="preserve">participate in </w:t>
      </w:r>
      <w:r w:rsidR="000F430D">
        <w:t>the Delphi.</w:t>
      </w:r>
      <w:r>
        <w:t xml:space="preserve"> </w:t>
      </w:r>
      <w:r w:rsidR="000F430D">
        <w:t>S</w:t>
      </w:r>
      <w:r>
        <w:t>everal</w:t>
      </w:r>
      <w:r w:rsidR="006D6029">
        <w:t xml:space="preserve"> individua</w:t>
      </w:r>
      <w:r w:rsidR="00643EB2">
        <w:t>ls</w:t>
      </w:r>
      <w:r>
        <w:t xml:space="preserve"> </w:t>
      </w:r>
      <w:r w:rsidR="00643EB2">
        <w:t xml:space="preserve">also </w:t>
      </w:r>
      <w:r>
        <w:t>circulated the invitation</w:t>
      </w:r>
      <w:r w:rsidR="00643EB2">
        <w:t xml:space="preserve"> within their organisations</w:t>
      </w:r>
      <w:r>
        <w:t xml:space="preserve"> to colleagues</w:t>
      </w:r>
      <w:r w:rsidR="00BC4AAD">
        <w:t>, making it im</w:t>
      </w:r>
      <w:r w:rsidR="00A8508B">
        <w:t xml:space="preserve">possible to </w:t>
      </w:r>
      <w:r w:rsidR="006D6029">
        <w:t>calculate a response rate.</w:t>
      </w:r>
      <w:r w:rsidR="00A8508B">
        <w:t xml:space="preserve"> </w:t>
      </w:r>
      <w:r w:rsidR="004056AF">
        <w:t>Table 1</w:t>
      </w:r>
      <w:r w:rsidR="007A32CB">
        <w:t xml:space="preserve"> </w:t>
      </w:r>
      <w:r w:rsidR="007A32CB" w:rsidRPr="007A32CB">
        <w:t xml:space="preserve">details how many people from each stakeholder group were </w:t>
      </w:r>
      <w:r w:rsidR="007A32CB" w:rsidRPr="007A32CB">
        <w:rPr>
          <w:i/>
        </w:rPr>
        <w:t>directly</w:t>
      </w:r>
      <w:r w:rsidR="007A32CB" w:rsidRPr="007A32CB">
        <w:t xml:space="preserve"> contacted</w:t>
      </w:r>
      <w:r w:rsidR="007A32CB">
        <w:t xml:space="preserve"> by the research team</w:t>
      </w:r>
      <w:r w:rsidR="007A32CB" w:rsidRPr="007A32CB">
        <w:t>.</w:t>
      </w:r>
    </w:p>
    <w:p w14:paraId="45824D6B" w14:textId="2BE6DAC0" w:rsidR="000F430D" w:rsidRDefault="00A8508B" w:rsidP="006D6029">
      <w:pPr>
        <w:spacing w:line="480" w:lineRule="auto"/>
        <w:rPr>
          <w:bCs/>
        </w:rPr>
      </w:pPr>
      <w:r w:rsidRPr="00A8508B">
        <w:rPr>
          <w:bCs/>
        </w:rPr>
        <w:t xml:space="preserve">Thirty people </w:t>
      </w:r>
      <w:r w:rsidR="0070314F">
        <w:rPr>
          <w:bCs/>
        </w:rPr>
        <w:t>expressed a willingness</w:t>
      </w:r>
      <w:r w:rsidRPr="00A8508B">
        <w:rPr>
          <w:bCs/>
        </w:rPr>
        <w:t xml:space="preserve"> to participate in the Delphi. </w:t>
      </w:r>
      <w:r w:rsidR="007A32CB">
        <w:rPr>
          <w:bCs/>
        </w:rPr>
        <w:t>Twenty-three</w:t>
      </w:r>
      <w:r w:rsidRPr="00A8508B">
        <w:rPr>
          <w:bCs/>
        </w:rPr>
        <w:t xml:space="preserve"> participants completed the</w:t>
      </w:r>
      <w:r w:rsidR="007A32CB">
        <w:rPr>
          <w:bCs/>
        </w:rPr>
        <w:t xml:space="preserve"> first round</w:t>
      </w:r>
      <w:r w:rsidRPr="00A8508B">
        <w:rPr>
          <w:bCs/>
        </w:rPr>
        <w:t xml:space="preserve"> and </w:t>
      </w:r>
      <w:r w:rsidR="004056AF">
        <w:rPr>
          <w:bCs/>
        </w:rPr>
        <w:t xml:space="preserve">were sent the second round survey, of these one failed to complete </w:t>
      </w:r>
      <w:r w:rsidR="004056AF">
        <w:rPr>
          <w:bCs/>
        </w:rPr>
        <w:lastRenderedPageBreak/>
        <w:t xml:space="preserve">the second survey. Table </w:t>
      </w:r>
      <w:r w:rsidR="00C069AE">
        <w:rPr>
          <w:bCs/>
        </w:rPr>
        <w:t>1</w:t>
      </w:r>
      <w:r w:rsidR="004056AF">
        <w:rPr>
          <w:bCs/>
        </w:rPr>
        <w:t xml:space="preserve"> displays the numbers of surveys sent and completed for each stakeholder group.</w:t>
      </w:r>
    </w:p>
    <w:p w14:paraId="7C547620" w14:textId="5262B976" w:rsidR="009F0734" w:rsidRDefault="003C742C" w:rsidP="00D3519C">
      <w:pPr>
        <w:spacing w:line="480" w:lineRule="auto"/>
        <w:rPr>
          <w:bCs/>
        </w:rPr>
      </w:pPr>
      <w:r>
        <w:rPr>
          <w:bCs/>
        </w:rPr>
        <w:t xml:space="preserve">Median </w:t>
      </w:r>
      <w:r w:rsidR="006232FF">
        <w:rPr>
          <w:bCs/>
        </w:rPr>
        <w:t>ratings</w:t>
      </w:r>
      <w:r w:rsidR="008D1678">
        <w:rPr>
          <w:bCs/>
        </w:rPr>
        <w:t xml:space="preserve"> </w:t>
      </w:r>
      <w:r w:rsidR="003C55DB">
        <w:rPr>
          <w:bCs/>
        </w:rPr>
        <w:t xml:space="preserve">of the characteristics </w:t>
      </w:r>
      <w:r>
        <w:rPr>
          <w:bCs/>
        </w:rPr>
        <w:t xml:space="preserve">are given in </w:t>
      </w:r>
      <w:r w:rsidR="009656F6">
        <w:rPr>
          <w:bCs/>
        </w:rPr>
        <w:t>T</w:t>
      </w:r>
      <w:r>
        <w:rPr>
          <w:bCs/>
        </w:rPr>
        <w:t xml:space="preserve">able </w:t>
      </w:r>
      <w:r w:rsidR="00C069AE">
        <w:rPr>
          <w:bCs/>
        </w:rPr>
        <w:t>2</w:t>
      </w:r>
      <w:r>
        <w:rPr>
          <w:bCs/>
        </w:rPr>
        <w:t xml:space="preserve">. </w:t>
      </w:r>
      <w:r w:rsidR="006232FF">
        <w:rPr>
          <w:bCs/>
        </w:rPr>
        <w:t>In general the median ratings remained the same across both rounds and a</w:t>
      </w:r>
      <w:r>
        <w:rPr>
          <w:bCs/>
        </w:rPr>
        <w:t>ll but one</w:t>
      </w:r>
      <w:r w:rsidR="008D1678">
        <w:rPr>
          <w:bCs/>
        </w:rPr>
        <w:t xml:space="preserve"> </w:t>
      </w:r>
      <w:r w:rsidR="00F04ACF">
        <w:rPr>
          <w:bCs/>
        </w:rPr>
        <w:t xml:space="preserve">received </w:t>
      </w:r>
      <w:r w:rsidR="000F430D">
        <w:rPr>
          <w:bCs/>
        </w:rPr>
        <w:t>a median rating</w:t>
      </w:r>
      <w:r w:rsidR="003C55DB">
        <w:rPr>
          <w:bCs/>
        </w:rPr>
        <w:t xml:space="preserve"> of 7 or more</w:t>
      </w:r>
      <w:r w:rsidR="003929D8">
        <w:rPr>
          <w:bCs/>
        </w:rPr>
        <w:t xml:space="preserve">. </w:t>
      </w:r>
      <w:r w:rsidR="00D57EC3">
        <w:rPr>
          <w:bCs/>
        </w:rPr>
        <w:t>S</w:t>
      </w:r>
      <w:r w:rsidR="006D59C3">
        <w:rPr>
          <w:bCs/>
        </w:rPr>
        <w:t xml:space="preserve">everal </w:t>
      </w:r>
      <w:r w:rsidR="008D1678">
        <w:rPr>
          <w:bCs/>
        </w:rPr>
        <w:t>characteristics</w:t>
      </w:r>
      <w:r w:rsidR="006D59C3">
        <w:rPr>
          <w:bCs/>
        </w:rPr>
        <w:t xml:space="preserve"> </w:t>
      </w:r>
      <w:r w:rsidR="006232FF">
        <w:rPr>
          <w:bCs/>
        </w:rPr>
        <w:t xml:space="preserve">received </w:t>
      </w:r>
      <w:r w:rsidR="000F3CE7">
        <w:rPr>
          <w:bCs/>
        </w:rPr>
        <w:t>a wide range of ratings</w:t>
      </w:r>
      <w:r w:rsidR="006232FF">
        <w:rPr>
          <w:bCs/>
        </w:rPr>
        <w:t xml:space="preserve"> and the</w:t>
      </w:r>
      <w:r w:rsidR="00B62D4A">
        <w:rPr>
          <w:bCs/>
        </w:rPr>
        <w:t xml:space="preserve"> ranges</w:t>
      </w:r>
      <w:r w:rsidR="006232FF">
        <w:rPr>
          <w:bCs/>
        </w:rPr>
        <w:t xml:space="preserve"> did not decrease in round two, indeed for some </w:t>
      </w:r>
      <w:r w:rsidR="008D1678">
        <w:rPr>
          <w:bCs/>
        </w:rPr>
        <w:t>characteristics</w:t>
      </w:r>
      <w:r w:rsidR="006232FF">
        <w:rPr>
          <w:bCs/>
        </w:rPr>
        <w:t xml:space="preserve"> the diversity of ratings increased in the second round.  </w:t>
      </w:r>
      <w:r w:rsidR="00D57EC3">
        <w:rPr>
          <w:bCs/>
        </w:rPr>
        <w:t xml:space="preserve">However, </w:t>
      </w:r>
      <w:r w:rsidR="00F0748A">
        <w:rPr>
          <w:bCs/>
        </w:rPr>
        <w:t>tak</w:t>
      </w:r>
      <w:r w:rsidR="00D57EC3">
        <w:rPr>
          <w:bCs/>
        </w:rPr>
        <w:t>ing a definition of disagreement</w:t>
      </w:r>
      <w:r w:rsidR="00F0748A">
        <w:rPr>
          <w:bCs/>
        </w:rPr>
        <w:t xml:space="preserve"> used in similar Delphi-type studies</w:t>
      </w:r>
      <w:r w:rsidR="009013B2">
        <w:rPr>
          <w:bCs/>
        </w:rPr>
        <w:t xml:space="preserve"> [</w:t>
      </w:r>
      <w:r w:rsidR="004877EB">
        <w:rPr>
          <w:bCs/>
        </w:rPr>
        <w:t>10</w:t>
      </w:r>
      <w:r w:rsidR="009013B2">
        <w:rPr>
          <w:bCs/>
        </w:rPr>
        <w:t>]</w:t>
      </w:r>
      <w:r w:rsidR="00D57EC3">
        <w:rPr>
          <w:bCs/>
        </w:rPr>
        <w:t xml:space="preserve"> </w:t>
      </w:r>
      <w:r w:rsidR="00F0748A">
        <w:rPr>
          <w:bCs/>
        </w:rPr>
        <w:t xml:space="preserve">of </w:t>
      </w:r>
      <w:r w:rsidR="00D57EC3">
        <w:rPr>
          <w:bCs/>
        </w:rPr>
        <w:t>30% or more of ratings in both the 1-3 and 7-9 tertiles, there was no</w:t>
      </w:r>
      <w:r w:rsidR="00D51D0E">
        <w:rPr>
          <w:bCs/>
        </w:rPr>
        <w:t>t</w:t>
      </w:r>
      <w:r w:rsidR="00D57EC3">
        <w:rPr>
          <w:bCs/>
        </w:rPr>
        <w:t xml:space="preserve"> sufficient disagreement among participants for any of the</w:t>
      </w:r>
      <w:r w:rsidR="00446E18">
        <w:rPr>
          <w:bCs/>
        </w:rPr>
        <w:t xml:space="preserve"> characteristics</w:t>
      </w:r>
      <w:r w:rsidR="0088026E">
        <w:rPr>
          <w:bCs/>
        </w:rPr>
        <w:t xml:space="preserve"> to be discounted</w:t>
      </w:r>
      <w:r w:rsidR="00D57EC3">
        <w:rPr>
          <w:bCs/>
        </w:rPr>
        <w:t>.</w:t>
      </w:r>
      <w:r w:rsidR="00D51D0E">
        <w:rPr>
          <w:bCs/>
        </w:rPr>
        <w:t xml:space="preserve"> </w:t>
      </w:r>
    </w:p>
    <w:p w14:paraId="39CEC4D3" w14:textId="3071C92C" w:rsidR="00AA3D33" w:rsidRDefault="003F266C" w:rsidP="00D3519C">
      <w:pPr>
        <w:spacing w:line="480" w:lineRule="auto"/>
      </w:pPr>
      <w:r>
        <w:t xml:space="preserve">Participants were asked to </w:t>
      </w:r>
      <w:r w:rsidR="00AA3D33">
        <w:t>place</w:t>
      </w:r>
      <w:r>
        <w:t xml:space="preserve"> the </w:t>
      </w:r>
      <w:r w:rsidR="0077514A">
        <w:t xml:space="preserve">characteristics </w:t>
      </w:r>
      <w:r>
        <w:t xml:space="preserve">within each </w:t>
      </w:r>
      <w:r w:rsidR="007526EE">
        <w:t>category</w:t>
      </w:r>
      <w:r>
        <w:t xml:space="preserve"> in order of importance for </w:t>
      </w:r>
      <w:r w:rsidR="007526EE">
        <w:t xml:space="preserve">delivering pharmaceutical services. The mean rank assigned to each indicator was used to </w:t>
      </w:r>
      <w:r w:rsidR="00AA3D33">
        <w:t>determine the over</w:t>
      </w:r>
      <w:r w:rsidR="00F0748A">
        <w:t xml:space="preserve">all order of </w:t>
      </w:r>
      <w:r w:rsidR="0077514A">
        <w:rPr>
          <w:bCs/>
        </w:rPr>
        <w:t>characteristics</w:t>
      </w:r>
      <w:r w:rsidR="00F0748A">
        <w:t>. T</w:t>
      </w:r>
      <w:r w:rsidR="00AA3D33">
        <w:t xml:space="preserve">he </w:t>
      </w:r>
      <w:r w:rsidR="0077514A">
        <w:rPr>
          <w:bCs/>
        </w:rPr>
        <w:t>characteristics</w:t>
      </w:r>
      <w:r w:rsidR="00F0748A">
        <w:t xml:space="preserve"> are displayed in </w:t>
      </w:r>
      <w:r w:rsidR="00955473">
        <w:t>T</w:t>
      </w:r>
      <w:r w:rsidR="00F0748A">
        <w:t xml:space="preserve">able </w:t>
      </w:r>
      <w:r w:rsidR="00C069AE">
        <w:t>2</w:t>
      </w:r>
      <w:r w:rsidR="00AA3D33">
        <w:t xml:space="preserve"> in their final order of </w:t>
      </w:r>
      <w:r w:rsidR="00955473">
        <w:t xml:space="preserve">perceived </w:t>
      </w:r>
      <w:r w:rsidR="00AA3D33">
        <w:t>importance</w:t>
      </w:r>
      <w:r w:rsidR="00F0748A">
        <w:t>, with the mean rank</w:t>
      </w:r>
      <w:r w:rsidR="00955473">
        <w:t>s</w:t>
      </w:r>
      <w:r w:rsidR="00F0748A">
        <w:t xml:space="preserve"> given in the final column</w:t>
      </w:r>
      <w:r w:rsidR="00AA3D33">
        <w:t>.</w:t>
      </w:r>
    </w:p>
    <w:p w14:paraId="4C61AA2B" w14:textId="4914506F" w:rsidR="000E2EB7" w:rsidRPr="003101FC" w:rsidRDefault="003101FC" w:rsidP="00D3519C">
      <w:pPr>
        <w:spacing w:line="480" w:lineRule="auto"/>
      </w:pPr>
      <w:r>
        <w:t xml:space="preserve">Finally, participants ranked the four categories of </w:t>
      </w:r>
      <w:r w:rsidR="0077514A">
        <w:rPr>
          <w:bCs/>
        </w:rPr>
        <w:t>characteristics</w:t>
      </w:r>
      <w:r>
        <w:t xml:space="preserve"> </w:t>
      </w:r>
      <w:r w:rsidR="000E2EB7" w:rsidRPr="003101FC">
        <w:t>in order of importance for quality of pharmaceutica</w:t>
      </w:r>
      <w:r>
        <w:t xml:space="preserve">l services (1 = most important): </w:t>
      </w:r>
    </w:p>
    <w:p w14:paraId="59CA1374" w14:textId="183F66A4" w:rsidR="000E2EB7" w:rsidRPr="003101FC" w:rsidRDefault="00946F19" w:rsidP="00D3519C">
      <w:pPr>
        <w:pStyle w:val="ListParagraph"/>
        <w:numPr>
          <w:ilvl w:val="0"/>
          <w:numId w:val="15"/>
        </w:numPr>
        <w:spacing w:line="480" w:lineRule="auto"/>
      </w:pPr>
      <w:r>
        <w:t>Patient s</w:t>
      </w:r>
      <w:r w:rsidR="000E2EB7" w:rsidRPr="003101FC">
        <w:t>afety and dispensing (mean rank = 1.05)</w:t>
      </w:r>
    </w:p>
    <w:p w14:paraId="38592F32" w14:textId="77777777" w:rsidR="000E2EB7" w:rsidRPr="003101FC" w:rsidRDefault="000E2EB7" w:rsidP="00D3519C">
      <w:pPr>
        <w:pStyle w:val="ListParagraph"/>
        <w:numPr>
          <w:ilvl w:val="0"/>
          <w:numId w:val="15"/>
        </w:numPr>
        <w:spacing w:line="480" w:lineRule="auto"/>
      </w:pPr>
      <w:r w:rsidRPr="003101FC">
        <w:t>Patient-provider interaction (mean rank = 2.27)</w:t>
      </w:r>
    </w:p>
    <w:p w14:paraId="507453C6" w14:textId="77777777" w:rsidR="000E2EB7" w:rsidRPr="003101FC" w:rsidRDefault="000E2EB7" w:rsidP="00D3519C">
      <w:pPr>
        <w:pStyle w:val="ListParagraph"/>
        <w:numPr>
          <w:ilvl w:val="0"/>
          <w:numId w:val="15"/>
        </w:numPr>
        <w:spacing w:line="480" w:lineRule="auto"/>
      </w:pPr>
      <w:r w:rsidRPr="003101FC">
        <w:t>Workplace culture (mean rank = 3.14)</w:t>
      </w:r>
    </w:p>
    <w:p w14:paraId="19BEBF21" w14:textId="77777777" w:rsidR="000E2EB7" w:rsidRPr="003101FC" w:rsidRDefault="00501619" w:rsidP="00D3519C">
      <w:pPr>
        <w:pStyle w:val="ListParagraph"/>
        <w:numPr>
          <w:ilvl w:val="0"/>
          <w:numId w:val="15"/>
        </w:numPr>
        <w:spacing w:line="480" w:lineRule="auto"/>
      </w:pPr>
      <w:r>
        <w:t>Public health</w:t>
      </w:r>
      <w:r w:rsidR="000E2EB7" w:rsidRPr="003101FC">
        <w:t xml:space="preserve"> (mean rank = 3.55)</w:t>
      </w:r>
    </w:p>
    <w:p w14:paraId="45B7138E" w14:textId="5F58679A" w:rsidR="00AA3D33" w:rsidRDefault="00103DD1" w:rsidP="00D3519C">
      <w:pPr>
        <w:spacing w:line="480" w:lineRule="auto"/>
      </w:pPr>
      <w:r>
        <w:t>P</w:t>
      </w:r>
      <w:r w:rsidR="003101FC" w:rsidRPr="003101FC">
        <w:t xml:space="preserve">articipants were not asked to rank all the </w:t>
      </w:r>
      <w:r w:rsidR="0077514A">
        <w:rPr>
          <w:bCs/>
        </w:rPr>
        <w:t>characteristics</w:t>
      </w:r>
      <w:r w:rsidR="003101FC" w:rsidRPr="003101FC">
        <w:t xml:space="preserve"> across all groups (i.e. all 23 </w:t>
      </w:r>
      <w:r w:rsidR="0077514A">
        <w:rPr>
          <w:bCs/>
        </w:rPr>
        <w:t>characteristics</w:t>
      </w:r>
      <w:r w:rsidR="003101FC" w:rsidRPr="003101FC">
        <w:t xml:space="preserve"> in rank order) and so</w:t>
      </w:r>
      <w:r w:rsidR="004A6FA6">
        <w:t>,</w:t>
      </w:r>
      <w:r w:rsidR="003101FC" w:rsidRPr="003101FC">
        <w:t xml:space="preserve"> for example, the top rated </w:t>
      </w:r>
      <w:r w:rsidR="004A6FA6">
        <w:rPr>
          <w:bCs/>
        </w:rPr>
        <w:t>characteristic in</w:t>
      </w:r>
      <w:r w:rsidR="003101FC" w:rsidRPr="003101FC">
        <w:t xml:space="preserve"> the </w:t>
      </w:r>
      <w:r w:rsidR="001B4CA9">
        <w:t>patient-provider interaction category</w:t>
      </w:r>
      <w:r w:rsidR="003101FC" w:rsidRPr="003101FC">
        <w:t xml:space="preserve"> </w:t>
      </w:r>
      <w:r w:rsidR="004A6FA6">
        <w:t>may not have been seen as</w:t>
      </w:r>
      <w:r w:rsidR="003101FC" w:rsidRPr="003101FC">
        <w:t xml:space="preserve"> less important</w:t>
      </w:r>
      <w:r w:rsidR="001B4CA9">
        <w:t xml:space="preserve"> than the bottom rated</w:t>
      </w:r>
      <w:r w:rsidR="0077514A" w:rsidRPr="0077514A">
        <w:rPr>
          <w:bCs/>
        </w:rPr>
        <w:t xml:space="preserve"> </w:t>
      </w:r>
      <w:r w:rsidR="004A6FA6">
        <w:rPr>
          <w:bCs/>
        </w:rPr>
        <w:t>characteristic</w:t>
      </w:r>
      <w:r w:rsidR="0077514A">
        <w:rPr>
          <w:bCs/>
        </w:rPr>
        <w:t xml:space="preserve"> </w:t>
      </w:r>
      <w:r w:rsidR="001B4CA9">
        <w:t xml:space="preserve">of the </w:t>
      </w:r>
      <w:r w:rsidR="00946F19">
        <w:t xml:space="preserve">patient </w:t>
      </w:r>
      <w:r w:rsidR="001B4CA9">
        <w:t>safety and dispensing category</w:t>
      </w:r>
      <w:r w:rsidR="003101FC" w:rsidRPr="003101FC">
        <w:t>.</w:t>
      </w:r>
    </w:p>
    <w:p w14:paraId="1B75FBC4" w14:textId="75837FA8" w:rsidR="001B4CA9" w:rsidRDefault="00E914BB" w:rsidP="00D3519C">
      <w:pPr>
        <w:spacing w:line="480" w:lineRule="auto"/>
        <w:rPr>
          <w:b/>
        </w:rPr>
      </w:pPr>
      <w:r>
        <w:rPr>
          <w:b/>
        </w:rPr>
        <w:t xml:space="preserve">Qualitative responses </w:t>
      </w:r>
    </w:p>
    <w:p w14:paraId="69F3F7E5" w14:textId="6A09CC29" w:rsidR="00C069AE" w:rsidRPr="00807F64" w:rsidRDefault="00C069AE" w:rsidP="00D3519C">
      <w:pPr>
        <w:spacing w:line="480" w:lineRule="auto"/>
      </w:pPr>
      <w:r>
        <w:t xml:space="preserve">Respondents were encouraged to offer comments on each of the characteristics. Although a diverse range of opinions were expressed, there were no clear differences in the types of comments expressed by the different respondent groups. That is, community pharmacists were not evidently more favourable or negative towards </w:t>
      </w:r>
      <w:r w:rsidR="00BF0AEE">
        <w:t>particular characteristics than dispensing doctors or lay respondents.</w:t>
      </w:r>
    </w:p>
    <w:p w14:paraId="09296675" w14:textId="1C1888BF" w:rsidR="00F348DA" w:rsidRPr="00F348DA" w:rsidRDefault="00946F19" w:rsidP="00D3519C">
      <w:pPr>
        <w:spacing w:line="480" w:lineRule="auto"/>
        <w:rPr>
          <w:i/>
        </w:rPr>
      </w:pPr>
      <w:r>
        <w:rPr>
          <w:i/>
        </w:rPr>
        <w:t xml:space="preserve">Patient </w:t>
      </w:r>
      <w:r w:rsidR="00F348DA" w:rsidRPr="00F348DA">
        <w:rPr>
          <w:i/>
        </w:rPr>
        <w:t>Safety and Dispensing</w:t>
      </w:r>
    </w:p>
    <w:p w14:paraId="18484521" w14:textId="4E3443DA" w:rsidR="00CE5E96" w:rsidRDefault="000C1D14" w:rsidP="00D3519C">
      <w:pPr>
        <w:spacing w:line="480" w:lineRule="auto"/>
      </w:pPr>
      <w:r>
        <w:t xml:space="preserve">All participants agreed that all staff members need to be involved in ensuring a culture of </w:t>
      </w:r>
      <w:r w:rsidR="00946F19">
        <w:t xml:space="preserve">patient </w:t>
      </w:r>
      <w:r>
        <w:t xml:space="preserve">safety and </w:t>
      </w:r>
      <w:r w:rsidR="008F618A">
        <w:t xml:space="preserve">should be </w:t>
      </w:r>
      <w:r>
        <w:t>encouraged to reflect on t</w:t>
      </w:r>
      <w:r w:rsidR="00B77B55">
        <w:t>he safety of current processes. However, there was less agreement over the value of SOPs in helping to ensure safe practice</w:t>
      </w:r>
      <w:r w:rsidR="0000268C">
        <w:t>, with</w:t>
      </w:r>
      <w:r w:rsidR="006960F3">
        <w:t xml:space="preserve"> some</w:t>
      </w:r>
      <w:r w:rsidR="0000268C">
        <w:t xml:space="preserve"> questioning</w:t>
      </w:r>
      <w:r w:rsidR="006960F3">
        <w:t xml:space="preserve"> the</w:t>
      </w:r>
      <w:r w:rsidR="002C6D38">
        <w:t>ir</w:t>
      </w:r>
      <w:r w:rsidR="006960F3">
        <w:t xml:space="preserve"> usability</w:t>
      </w:r>
      <w:r w:rsidR="00F348DA">
        <w:t>:</w:t>
      </w:r>
    </w:p>
    <w:p w14:paraId="76869B75" w14:textId="468FD39C" w:rsidR="006960F3" w:rsidRPr="006960F3" w:rsidRDefault="0034426E" w:rsidP="00D3519C">
      <w:pPr>
        <w:spacing w:line="480" w:lineRule="auto"/>
        <w:ind w:left="709"/>
        <w:rPr>
          <w:i/>
        </w:rPr>
      </w:pPr>
      <w:r>
        <w:rPr>
          <w:i/>
        </w:rPr>
        <w:t xml:space="preserve"> </w:t>
      </w:r>
      <w:r w:rsidR="002C6D38">
        <w:rPr>
          <w:i/>
        </w:rPr>
        <w:t>“</w:t>
      </w:r>
      <w:r w:rsidR="006960F3" w:rsidRPr="006960F3">
        <w:rPr>
          <w:i/>
        </w:rPr>
        <w:t xml:space="preserve">They are a good set of ideals </w:t>
      </w:r>
      <w:r w:rsidR="00521672">
        <w:rPr>
          <w:i/>
        </w:rPr>
        <w:t>…</w:t>
      </w:r>
      <w:r w:rsidR="006960F3" w:rsidRPr="006960F3">
        <w:rPr>
          <w:i/>
        </w:rPr>
        <w:t xml:space="preserve"> their shortfall is the detail. The volume and individual steps are impossible to retain exactly and to practice exactly.</w:t>
      </w:r>
      <w:r w:rsidR="002C6D38">
        <w:rPr>
          <w:i/>
        </w:rPr>
        <w:t>”</w:t>
      </w:r>
      <w:r w:rsidR="00DF07B1">
        <w:rPr>
          <w:i/>
        </w:rPr>
        <w:t xml:space="preserve"> (Community pharmacist 2)</w:t>
      </w:r>
    </w:p>
    <w:p w14:paraId="2506DD54" w14:textId="09401FBE" w:rsidR="00680F4B" w:rsidRDefault="00EC6C6B" w:rsidP="00D3519C">
      <w:pPr>
        <w:spacing w:line="480" w:lineRule="auto"/>
      </w:pPr>
      <w:r>
        <w:t>There were also differences in opinions on how prescriptions should be checked, with some participants viewing double checking (where a dispensed prescription is checked by two members of staff) as the only correct way to practice and others feeling that</w:t>
      </w:r>
      <w:r w:rsidR="003D5D1E">
        <w:t>,</w:t>
      </w:r>
      <w:r>
        <w:t xml:space="preserve"> as long as systems are in place to prevent errors (such as ensuring a gap is left between assembling and conducting the final check on a prescription), single checking is acceptable.</w:t>
      </w:r>
      <w:r w:rsidR="00680F4B">
        <w:t xml:space="preserve"> Although all participants agreed that interruptions during dispensing heightened the risk of error, a</w:t>
      </w:r>
      <w:r w:rsidR="007620BC">
        <w:t xml:space="preserve"> few</w:t>
      </w:r>
      <w:r w:rsidR="00680F4B">
        <w:t xml:space="preserve"> felt that </w:t>
      </w:r>
      <w:r w:rsidR="002F6E93">
        <w:t>the</w:t>
      </w:r>
      <w:r w:rsidR="00680F4B">
        <w:t xml:space="preserve"> suggestion to keep interruptions to a minimum could be misinterpreted or would be unfeasible</w:t>
      </w:r>
      <w:r w:rsidR="0000268C">
        <w:t>:</w:t>
      </w:r>
    </w:p>
    <w:p w14:paraId="1365A2E1" w14:textId="3A5C8C37" w:rsidR="00AB4868" w:rsidRPr="00AB4868" w:rsidRDefault="002C6D38" w:rsidP="00D3519C">
      <w:pPr>
        <w:spacing w:line="480" w:lineRule="auto"/>
        <w:ind w:left="709"/>
        <w:rPr>
          <w:i/>
        </w:rPr>
      </w:pPr>
      <w:r>
        <w:rPr>
          <w:i/>
        </w:rPr>
        <w:t>“</w:t>
      </w:r>
      <w:r w:rsidR="00E00791" w:rsidRPr="00E00791">
        <w:rPr>
          <w:i/>
        </w:rPr>
        <w:t>Not always practical as pharmacists are unable to avoid interaction with the public. Design of modern open plan dispensaries m</w:t>
      </w:r>
      <w:r w:rsidR="00E00791">
        <w:rPr>
          <w:i/>
        </w:rPr>
        <w:t xml:space="preserve">akes this even more difficult. </w:t>
      </w:r>
      <w:r>
        <w:rPr>
          <w:i/>
        </w:rPr>
        <w:t>”</w:t>
      </w:r>
      <w:r w:rsidR="00DF07B1">
        <w:rPr>
          <w:i/>
        </w:rPr>
        <w:t xml:space="preserve"> </w:t>
      </w:r>
      <w:r w:rsidR="00300016">
        <w:rPr>
          <w:i/>
        </w:rPr>
        <w:t>(Community pharmac</w:t>
      </w:r>
      <w:r w:rsidR="00E00791">
        <w:rPr>
          <w:i/>
        </w:rPr>
        <w:t>y Executive 1</w:t>
      </w:r>
      <w:r w:rsidR="00300016">
        <w:rPr>
          <w:i/>
        </w:rPr>
        <w:t>)</w:t>
      </w:r>
    </w:p>
    <w:p w14:paraId="01EC2D21" w14:textId="0B7BF300" w:rsidR="00AB4868" w:rsidRDefault="00AB4868" w:rsidP="00D3519C">
      <w:pPr>
        <w:spacing w:line="480" w:lineRule="auto"/>
      </w:pPr>
      <w:r>
        <w:t>All participants agreed that recording and reflecting on errors and near misses is important; unfortunately some of the pa</w:t>
      </w:r>
      <w:r w:rsidR="00E00791">
        <w:t>rticipants working in CPs and DP</w:t>
      </w:r>
      <w:r>
        <w:t xml:space="preserve">s reported that </w:t>
      </w:r>
      <w:r w:rsidR="002C6D38">
        <w:t>there was a</w:t>
      </w:r>
      <w:r>
        <w:t xml:space="preserve"> tendency to blame</w:t>
      </w:r>
      <w:r w:rsidR="00FB2DF3">
        <w:t xml:space="preserve"> individual</w:t>
      </w:r>
      <w:r w:rsidR="002C6D38">
        <w:t>s</w:t>
      </w:r>
      <w:r>
        <w:t xml:space="preserve">, which prevented </w:t>
      </w:r>
      <w:r w:rsidR="00FB2DF3">
        <w:t xml:space="preserve">reporting and </w:t>
      </w:r>
      <w:r>
        <w:t>learning from errors.</w:t>
      </w:r>
      <w:r w:rsidR="009D6D1A">
        <w:t xml:space="preserve"> </w:t>
      </w:r>
    </w:p>
    <w:p w14:paraId="5C8BF58C" w14:textId="77777777" w:rsidR="009D6D1A" w:rsidRPr="00F348DA" w:rsidRDefault="009D6D1A" w:rsidP="00D3519C">
      <w:pPr>
        <w:spacing w:line="480" w:lineRule="auto"/>
        <w:rPr>
          <w:i/>
        </w:rPr>
      </w:pPr>
      <w:r w:rsidRPr="00F348DA">
        <w:rPr>
          <w:i/>
        </w:rPr>
        <w:t>Patient-provider interaction</w:t>
      </w:r>
    </w:p>
    <w:p w14:paraId="0057DC4C" w14:textId="37A6FDB6" w:rsidR="00DF07B1" w:rsidRDefault="0000268C" w:rsidP="00D3519C">
      <w:pPr>
        <w:spacing w:line="480" w:lineRule="auto"/>
      </w:pPr>
      <w:r>
        <w:t xml:space="preserve">Most </w:t>
      </w:r>
      <w:r w:rsidR="0040319B">
        <w:t xml:space="preserve">participants </w:t>
      </w:r>
      <w:r w:rsidR="00A30A28">
        <w:t>strongly</w:t>
      </w:r>
      <w:r w:rsidR="0040319B">
        <w:t xml:space="preserve"> agreed with the importance of </w:t>
      </w:r>
      <w:r w:rsidR="00A8127E">
        <w:t>demonstrat</w:t>
      </w:r>
      <w:r w:rsidR="00A30A28">
        <w:t>ing a patient-centred ethos. Only one participant disagreed, feeling that patients need</w:t>
      </w:r>
      <w:r w:rsidR="002F6E93">
        <w:t>ed</w:t>
      </w:r>
      <w:r w:rsidR="00A30A28">
        <w:t xml:space="preserve"> to take more responsibility for their health. </w:t>
      </w:r>
      <w:r w:rsidR="00F76D7F">
        <w:t>O</w:t>
      </w:r>
      <w:r w:rsidR="00A30A28">
        <w:t>ne participant disagreed with the importance of staff ensuring patients understand why and how to take their medications</w:t>
      </w:r>
      <w:r w:rsidR="00F76D7F">
        <w:t>, believing</w:t>
      </w:r>
      <w:r w:rsidR="00A30A28">
        <w:t xml:space="preserve"> this to be the prescriber’s</w:t>
      </w:r>
      <w:r w:rsidR="00DF07B1" w:rsidRPr="00DF07B1">
        <w:t xml:space="preserve"> </w:t>
      </w:r>
      <w:r w:rsidR="00DF07B1">
        <w:t>role</w:t>
      </w:r>
      <w:r w:rsidR="00A30A28">
        <w:t xml:space="preserve">. </w:t>
      </w:r>
    </w:p>
    <w:p w14:paraId="45AB1152" w14:textId="3A2DBC11" w:rsidR="00E26E96" w:rsidRDefault="00EB0F9F" w:rsidP="00D3519C">
      <w:pPr>
        <w:spacing w:line="480" w:lineRule="auto"/>
      </w:pPr>
      <w:r w:rsidRPr="00EB0F9F">
        <w:t>Although a few participants felt that staff training on communication would not be feasible in smaller practices</w:t>
      </w:r>
      <w:r>
        <w:t>, s</w:t>
      </w:r>
      <w:r w:rsidR="00F2084F">
        <w:t xml:space="preserve">everal </w:t>
      </w:r>
      <w:r w:rsidR="00E26E96">
        <w:t>highlighted the importance of good staff-patient communication</w:t>
      </w:r>
      <w:r w:rsidR="00F46C3E">
        <w:t>,</w:t>
      </w:r>
      <w:r w:rsidR="00E26E96">
        <w:t xml:space="preserve"> not only for business purposes but also for ensuring treatment adherence and picking up on p</w:t>
      </w:r>
      <w:r w:rsidR="00DF07B1">
        <w:t>otential problems</w:t>
      </w:r>
      <w:r w:rsidR="00F76D7F">
        <w:t>:</w:t>
      </w:r>
      <w:r w:rsidR="00E26E96">
        <w:t xml:space="preserve"> </w:t>
      </w:r>
    </w:p>
    <w:p w14:paraId="4EC45C18" w14:textId="534F6AAC" w:rsidR="00E26E96" w:rsidRPr="00E26E96" w:rsidRDefault="002C6D38" w:rsidP="00D3519C">
      <w:pPr>
        <w:spacing w:line="480" w:lineRule="auto"/>
        <w:ind w:left="709"/>
        <w:rPr>
          <w:i/>
        </w:rPr>
      </w:pPr>
      <w:r>
        <w:rPr>
          <w:i/>
        </w:rPr>
        <w:t>“</w:t>
      </w:r>
      <w:r w:rsidR="00E26E96" w:rsidRPr="00E26E96">
        <w:rPr>
          <w:i/>
        </w:rPr>
        <w:t>It is an important role that can influence patient's compliance and identify possible problems. I'm not sure this is given a high enough priority in dispensaries but it will become more essential as the population ages.</w:t>
      </w:r>
      <w:r>
        <w:rPr>
          <w:i/>
        </w:rPr>
        <w:t>”</w:t>
      </w:r>
      <w:r w:rsidR="00300016">
        <w:rPr>
          <w:i/>
        </w:rPr>
        <w:t xml:space="preserve"> (Lay member 1)</w:t>
      </w:r>
    </w:p>
    <w:p w14:paraId="54DAE8B9" w14:textId="2D25F263" w:rsidR="00F54B66" w:rsidRDefault="00F54B66" w:rsidP="00D3519C">
      <w:pPr>
        <w:spacing w:line="480" w:lineRule="auto"/>
      </w:pPr>
      <w:r>
        <w:t xml:space="preserve">Engaging with patients to ensure good customer service was agreed to be important by all but several people disagreed with the need for a SOP on handling </w:t>
      </w:r>
      <w:r w:rsidRPr="00F54B66">
        <w:t>times when staff are unable to immediately deal with a patient</w:t>
      </w:r>
      <w:r w:rsidR="00E00791">
        <w:t>:</w:t>
      </w:r>
    </w:p>
    <w:p w14:paraId="6D1EF0C6" w14:textId="23D079F6" w:rsidR="00F54B66" w:rsidRPr="008E3948" w:rsidRDefault="002C6D38" w:rsidP="00D3519C">
      <w:pPr>
        <w:spacing w:line="480" w:lineRule="auto"/>
        <w:ind w:left="709"/>
        <w:rPr>
          <w:i/>
        </w:rPr>
      </w:pPr>
      <w:r>
        <w:rPr>
          <w:i/>
        </w:rPr>
        <w:t>“</w:t>
      </w:r>
      <w:r w:rsidR="00F54B66" w:rsidRPr="008E3948">
        <w:rPr>
          <w:i/>
        </w:rPr>
        <w:t>I don't think customer</w:t>
      </w:r>
      <w:r w:rsidR="00FB2DF3">
        <w:rPr>
          <w:i/>
        </w:rPr>
        <w:t>s</w:t>
      </w:r>
      <w:r w:rsidR="00F54B66" w:rsidRPr="008E3948">
        <w:rPr>
          <w:i/>
        </w:rPr>
        <w:t xml:space="preserve"> mind waiting as long as they can see you are not just talking about what you had for dinner last night. You make it known you ha</w:t>
      </w:r>
      <w:r w:rsidR="008E3948" w:rsidRPr="008E3948">
        <w:rPr>
          <w:i/>
        </w:rPr>
        <w:t xml:space="preserve">ve seen them by smiling at them </w:t>
      </w:r>
      <w:r w:rsidR="00F54B66" w:rsidRPr="008E3948">
        <w:rPr>
          <w:i/>
        </w:rPr>
        <w:t xml:space="preserve">and saying </w:t>
      </w:r>
      <w:r w:rsidR="00FB2DF3">
        <w:rPr>
          <w:i/>
        </w:rPr>
        <w:t>‘</w:t>
      </w:r>
      <w:r w:rsidR="00F54B66" w:rsidRPr="008E3948">
        <w:rPr>
          <w:i/>
        </w:rPr>
        <w:t>I will be with you soon</w:t>
      </w:r>
      <w:r w:rsidR="00FB2DF3">
        <w:rPr>
          <w:i/>
        </w:rPr>
        <w:t>’</w:t>
      </w:r>
      <w:r w:rsidR="00F54B66" w:rsidRPr="008E3948">
        <w:rPr>
          <w:i/>
        </w:rPr>
        <w:t>.</w:t>
      </w:r>
      <w:r>
        <w:rPr>
          <w:i/>
        </w:rPr>
        <w:t>”</w:t>
      </w:r>
      <w:r w:rsidR="00300016">
        <w:rPr>
          <w:i/>
        </w:rPr>
        <w:t xml:space="preserve"> (CP </w:t>
      </w:r>
      <w:r w:rsidR="00E00791">
        <w:rPr>
          <w:i/>
        </w:rPr>
        <w:t>dispensing assistant</w:t>
      </w:r>
      <w:r w:rsidR="00300016">
        <w:rPr>
          <w:i/>
        </w:rPr>
        <w:t xml:space="preserve"> 1)</w:t>
      </w:r>
    </w:p>
    <w:p w14:paraId="5707C787" w14:textId="4E0A1CC4" w:rsidR="00F54B66" w:rsidRDefault="002C6D38" w:rsidP="00D3519C">
      <w:pPr>
        <w:spacing w:line="480" w:lineRule="auto"/>
        <w:ind w:left="709"/>
        <w:rPr>
          <w:i/>
        </w:rPr>
      </w:pPr>
      <w:r>
        <w:rPr>
          <w:i/>
        </w:rPr>
        <w:t>“</w:t>
      </w:r>
      <w:r w:rsidR="001325A9">
        <w:rPr>
          <w:i/>
        </w:rPr>
        <w:t>We do acknowledge patients but I</w:t>
      </w:r>
      <w:r w:rsidR="00E00791" w:rsidRPr="00E00791">
        <w:rPr>
          <w:i/>
        </w:rPr>
        <w:t xml:space="preserve"> do not believe there is a SOP. That might be an excessive mi</w:t>
      </w:r>
      <w:r w:rsidR="001325A9">
        <w:rPr>
          <w:i/>
        </w:rPr>
        <w:t xml:space="preserve">cro-SOP. It’s just good manners </w:t>
      </w:r>
      <w:r w:rsidR="00E00791" w:rsidRPr="00E00791">
        <w:rPr>
          <w:i/>
        </w:rPr>
        <w:t>really.</w:t>
      </w:r>
      <w:r w:rsidR="001325A9">
        <w:rPr>
          <w:i/>
        </w:rPr>
        <w:t xml:space="preserve"> (Community Pharmacist 8)</w:t>
      </w:r>
    </w:p>
    <w:p w14:paraId="607E5996" w14:textId="74FE6F4E" w:rsidR="008E3948" w:rsidRDefault="00246F5F" w:rsidP="00D3519C">
      <w:pPr>
        <w:spacing w:line="480" w:lineRule="auto"/>
      </w:pPr>
      <w:r>
        <w:t xml:space="preserve">The </w:t>
      </w:r>
      <w:r w:rsidR="00487C6B">
        <w:t xml:space="preserve">service </w:t>
      </w:r>
      <w:r w:rsidR="00F348DA">
        <w:t xml:space="preserve">characteristic concerning </w:t>
      </w:r>
      <w:r>
        <w:t>medicines use reviews (M</w:t>
      </w:r>
      <w:r w:rsidR="008E3948">
        <w:t>URs</w:t>
      </w:r>
      <w:r>
        <w:t>) and dispensing reviews of use of medicines (</w:t>
      </w:r>
      <w:r w:rsidR="008E3948">
        <w:t>DRUMs</w:t>
      </w:r>
      <w:r>
        <w:t>)</w:t>
      </w:r>
      <w:r w:rsidR="008E3948">
        <w:t xml:space="preserve"> was divisive: several participants agreed that these checks should only be carried out </w:t>
      </w:r>
      <w:r w:rsidR="008E3948" w:rsidRPr="008E3948">
        <w:t>with patients who</w:t>
      </w:r>
      <w:r w:rsidR="00EB0F9F">
        <w:t>m</w:t>
      </w:r>
      <w:r w:rsidR="008E3948" w:rsidRPr="008E3948">
        <w:t xml:space="preserve"> staff believe w</w:t>
      </w:r>
      <w:r w:rsidR="002F6E93">
        <w:t>ould benefit from a review</w:t>
      </w:r>
      <w:r w:rsidR="00F46C3E">
        <w:t>. H</w:t>
      </w:r>
      <w:r w:rsidR="008E3948">
        <w:t xml:space="preserve">owever, some participants pointed out that </w:t>
      </w:r>
      <w:r w:rsidR="00152ADE">
        <w:t xml:space="preserve">it is hard to tell the potential </w:t>
      </w:r>
      <w:r w:rsidR="00301C01">
        <w:t>value</w:t>
      </w:r>
      <w:r w:rsidR="00152ADE">
        <w:t xml:space="preserve"> of a review beforehand</w:t>
      </w:r>
      <w:r w:rsidR="00F46C3E">
        <w:t>:</w:t>
      </w:r>
    </w:p>
    <w:p w14:paraId="6A3FBDA2" w14:textId="09EE9EA5" w:rsidR="00152ADE" w:rsidRDefault="00301C01" w:rsidP="00D3519C">
      <w:pPr>
        <w:spacing w:line="480" w:lineRule="auto"/>
        <w:ind w:left="709"/>
        <w:rPr>
          <w:i/>
        </w:rPr>
      </w:pPr>
      <w:r>
        <w:rPr>
          <w:i/>
        </w:rPr>
        <w:t>“</w:t>
      </w:r>
      <w:r w:rsidR="00152ADE" w:rsidRPr="00152ADE">
        <w:rPr>
          <w:i/>
        </w:rPr>
        <w:t>You often don’t know the full benefit till you start the consultation with the patient and appreciate their unspoken needs</w:t>
      </w:r>
      <w:r w:rsidR="00152ADE">
        <w:rPr>
          <w:i/>
        </w:rPr>
        <w:t>.</w:t>
      </w:r>
      <w:r>
        <w:rPr>
          <w:i/>
        </w:rPr>
        <w:t>”</w:t>
      </w:r>
      <w:r w:rsidR="00300016">
        <w:rPr>
          <w:i/>
        </w:rPr>
        <w:t xml:space="preserve"> (Community pharmacist 3)</w:t>
      </w:r>
    </w:p>
    <w:p w14:paraId="2A5AF081" w14:textId="335596DF" w:rsidR="00152ADE" w:rsidRDefault="00A00EE3" w:rsidP="00D3519C">
      <w:pPr>
        <w:spacing w:line="480" w:lineRule="auto"/>
      </w:pPr>
      <w:r>
        <w:t>However</w:t>
      </w:r>
      <w:r w:rsidR="00301C01">
        <w:t>,</w:t>
      </w:r>
      <w:r>
        <w:t xml:space="preserve"> if staff have the freedom to decide when to conduct an MUR, </w:t>
      </w:r>
      <w:r w:rsidR="00EB0F9F">
        <w:t xml:space="preserve">the fear was that </w:t>
      </w:r>
      <w:r w:rsidR="00487C6B">
        <w:t xml:space="preserve">they </w:t>
      </w:r>
      <w:r>
        <w:t xml:space="preserve">might not conduct any. </w:t>
      </w:r>
    </w:p>
    <w:p w14:paraId="7DC959FA" w14:textId="5D6DD25B" w:rsidR="00152ADE" w:rsidRDefault="00152ADE" w:rsidP="00D3519C">
      <w:pPr>
        <w:spacing w:line="480" w:lineRule="auto"/>
        <w:ind w:left="709"/>
        <w:rPr>
          <w:i/>
        </w:rPr>
      </w:pPr>
      <w:r>
        <w:rPr>
          <w:i/>
        </w:rPr>
        <w:t>A</w:t>
      </w:r>
      <w:r w:rsidRPr="00152ADE">
        <w:rPr>
          <w:i/>
        </w:rPr>
        <w:t xml:space="preserve"> member of staff who is pressed for time may decide that there is nothing to be gained by conducting a MUR / DRUM, whereas the patient might clearly benefit from one.</w:t>
      </w:r>
      <w:r w:rsidR="00300016">
        <w:rPr>
          <w:i/>
        </w:rPr>
        <w:t xml:space="preserve"> (Lay member 2)</w:t>
      </w:r>
    </w:p>
    <w:p w14:paraId="308DD936" w14:textId="77777777" w:rsidR="00152ADE" w:rsidRPr="00F348DA" w:rsidRDefault="002F576B" w:rsidP="00D3519C">
      <w:pPr>
        <w:spacing w:line="480" w:lineRule="auto"/>
        <w:rPr>
          <w:i/>
        </w:rPr>
      </w:pPr>
      <w:r w:rsidRPr="00F348DA">
        <w:rPr>
          <w:i/>
        </w:rPr>
        <w:t>Workplace culture</w:t>
      </w:r>
    </w:p>
    <w:p w14:paraId="4CD2BD2A" w14:textId="200EAC9C" w:rsidR="00991995" w:rsidRDefault="002F576B" w:rsidP="00D3519C">
      <w:pPr>
        <w:spacing w:line="480" w:lineRule="auto"/>
      </w:pPr>
      <w:r>
        <w:t xml:space="preserve">All participants agreed that having </w:t>
      </w:r>
      <w:r w:rsidR="00B7322B">
        <w:t>established</w:t>
      </w:r>
      <w:r>
        <w:t xml:space="preserve"> methods of communication among staff is important for providing good quality service. </w:t>
      </w:r>
      <w:r w:rsidR="00F170A2">
        <w:t xml:space="preserve">Promoting an ethos where staff feel </w:t>
      </w:r>
      <w:r w:rsidR="00F170A2" w:rsidRPr="00F170A2">
        <w:t>able to make suggestions</w:t>
      </w:r>
      <w:r w:rsidR="00F170A2">
        <w:t xml:space="preserve"> for improvement</w:t>
      </w:r>
      <w:r w:rsidR="000D5025">
        <w:t>s</w:t>
      </w:r>
      <w:r w:rsidR="00F170A2">
        <w:t xml:space="preserve"> and to learn about other providers’ systems was generally deemed important.</w:t>
      </w:r>
      <w:r w:rsidR="00EA4634">
        <w:t xml:space="preserve"> Training and CPD were </w:t>
      </w:r>
      <w:r w:rsidR="000D5025">
        <w:t xml:space="preserve">mostly </w:t>
      </w:r>
      <w:r w:rsidR="00EA4634">
        <w:t xml:space="preserve">acknowledged as important for </w:t>
      </w:r>
      <w:r w:rsidR="00F348DA">
        <w:t>providing “</w:t>
      </w:r>
      <w:r w:rsidR="00A0355B" w:rsidRPr="00A0355B">
        <w:rPr>
          <w:i/>
        </w:rPr>
        <w:t>better qualified staff, more self-confidence and job satisfaction, and better patient care</w:t>
      </w:r>
      <w:r w:rsidR="00301C01">
        <w:rPr>
          <w:i/>
        </w:rPr>
        <w:t>”</w:t>
      </w:r>
      <w:r w:rsidR="001325A9">
        <w:rPr>
          <w:i/>
        </w:rPr>
        <w:t xml:space="preserve"> (C</w:t>
      </w:r>
      <w:r w:rsidR="00300016">
        <w:rPr>
          <w:i/>
        </w:rPr>
        <w:t>ommunity pharmacist 4)</w:t>
      </w:r>
      <w:r w:rsidR="00A0355B">
        <w:t>. However, several of the participants reported that some mandatory courses had</w:t>
      </w:r>
      <w:r w:rsidR="0000268C">
        <w:t xml:space="preserve"> been</w:t>
      </w:r>
      <w:r w:rsidR="00A0355B">
        <w:t xml:space="preserve"> irrelevant and </w:t>
      </w:r>
      <w:r w:rsidR="0000268C">
        <w:t xml:space="preserve">they </w:t>
      </w:r>
      <w:r w:rsidR="00A0355B">
        <w:t xml:space="preserve">could not see how study time could be integrated into an already busy schedule. </w:t>
      </w:r>
    </w:p>
    <w:p w14:paraId="3406754C" w14:textId="4C54C53D" w:rsidR="00AC11EB" w:rsidRDefault="00CB3F15" w:rsidP="00D3519C">
      <w:pPr>
        <w:spacing w:line="480" w:lineRule="auto"/>
      </w:pPr>
      <w:r>
        <w:t>Linking up with other providers to share knowledge and experience was seen as something to aim for, but</w:t>
      </w:r>
      <w:r w:rsidR="00AC11EB">
        <w:t xml:space="preserve"> unlikely to happen due to time pressures</w:t>
      </w:r>
      <w:r w:rsidR="008C7430">
        <w:t>, confidentiality regulations</w:t>
      </w:r>
      <w:r w:rsidR="00AC11EB">
        <w:t xml:space="preserve"> and, possibly, competition for business hindering attempts to work together</w:t>
      </w:r>
      <w:r w:rsidR="00B81932">
        <w:t>:</w:t>
      </w:r>
    </w:p>
    <w:p w14:paraId="4D3932FF" w14:textId="5D80196F" w:rsidR="008C7430" w:rsidRDefault="00301C01" w:rsidP="00D3519C">
      <w:pPr>
        <w:spacing w:line="480" w:lineRule="auto"/>
        <w:ind w:left="709"/>
        <w:rPr>
          <w:i/>
        </w:rPr>
      </w:pPr>
      <w:r>
        <w:rPr>
          <w:i/>
        </w:rPr>
        <w:t>“</w:t>
      </w:r>
      <w:r w:rsidR="00635BF4">
        <w:rPr>
          <w:i/>
        </w:rPr>
        <w:t>G</w:t>
      </w:r>
      <w:r w:rsidR="00635BF4" w:rsidRPr="00635BF4">
        <w:rPr>
          <w:i/>
        </w:rPr>
        <w:t xml:space="preserve">ood idea.... But for a busy GP practice with several different pharmacies surrounding it..... </w:t>
      </w:r>
      <w:r w:rsidR="00635BF4">
        <w:rPr>
          <w:i/>
        </w:rPr>
        <w:t>[I] q</w:t>
      </w:r>
      <w:r w:rsidR="00635BF4" w:rsidRPr="00635BF4">
        <w:rPr>
          <w:i/>
        </w:rPr>
        <w:t>uestion the practicality</w:t>
      </w:r>
      <w:r w:rsidR="00635BF4">
        <w:rPr>
          <w:i/>
        </w:rPr>
        <w:t>” (Community Pharmacy Executive 2)</w:t>
      </w:r>
    </w:p>
    <w:p w14:paraId="26664677" w14:textId="77777777" w:rsidR="002F576B" w:rsidRPr="00600140" w:rsidRDefault="00501619" w:rsidP="00D3519C">
      <w:pPr>
        <w:spacing w:line="480" w:lineRule="auto"/>
        <w:rPr>
          <w:i/>
        </w:rPr>
      </w:pPr>
      <w:r w:rsidRPr="00600140">
        <w:rPr>
          <w:i/>
        </w:rPr>
        <w:t>Public health</w:t>
      </w:r>
    </w:p>
    <w:p w14:paraId="3CAA174D" w14:textId="77F061C8" w:rsidR="00152ADE" w:rsidRDefault="00513AFE" w:rsidP="00D3519C">
      <w:pPr>
        <w:spacing w:line="480" w:lineRule="auto"/>
      </w:pPr>
      <w:r>
        <w:t xml:space="preserve">While the majority of participants felt that it </w:t>
      </w:r>
      <w:r w:rsidR="00F9426F">
        <w:t>wa</w:t>
      </w:r>
      <w:r>
        <w:t xml:space="preserve">s important for all staff in a CP or DP dispensary to be able to provide up-to-date public health information, two participants felt that this was the role only of the pharmacist, practice nurse or GP. </w:t>
      </w:r>
      <w:r w:rsidR="00E107E7">
        <w:t>Overall, t</w:t>
      </w:r>
      <w:r>
        <w:t xml:space="preserve">he </w:t>
      </w:r>
      <w:r w:rsidR="00501619">
        <w:t>public health</w:t>
      </w:r>
      <w:r w:rsidR="00F348DA">
        <w:t xml:space="preserve"> characteristics</w:t>
      </w:r>
      <w:r>
        <w:t xml:space="preserve"> were seen as less important than those in the other categories, with several participants viewing </w:t>
      </w:r>
      <w:r w:rsidR="00501619">
        <w:t>public</w:t>
      </w:r>
      <w:r w:rsidR="00501619" w:rsidRPr="00513AFE">
        <w:t xml:space="preserve"> </w:t>
      </w:r>
      <w:r w:rsidRPr="00513AFE">
        <w:t xml:space="preserve">health as </w:t>
      </w:r>
      <w:r w:rsidRPr="00513AFE">
        <w:rPr>
          <w:i/>
        </w:rPr>
        <w:t>‘secondary’</w:t>
      </w:r>
      <w:r w:rsidRPr="00513AFE">
        <w:t xml:space="preserve"> or </w:t>
      </w:r>
      <w:r w:rsidRPr="00513AFE">
        <w:rPr>
          <w:i/>
        </w:rPr>
        <w:t>‘peripheral’</w:t>
      </w:r>
      <w:r w:rsidRPr="00513AFE">
        <w:t xml:space="preserve"> to pharmaceutical services</w:t>
      </w:r>
      <w:r>
        <w:t>.</w:t>
      </w:r>
      <w:r w:rsidR="00E3258D">
        <w:t xml:space="preserve"> So</w:t>
      </w:r>
      <w:r w:rsidR="00E107E7">
        <w:t>,</w:t>
      </w:r>
      <w:r w:rsidR="00E3258D">
        <w:t xml:space="preserve"> although having well-presented information of available services was seen as ideal</w:t>
      </w:r>
      <w:r w:rsidR="00E107E7">
        <w:t xml:space="preserve"> and </w:t>
      </w:r>
      <w:r w:rsidR="00301C01">
        <w:rPr>
          <w:i/>
        </w:rPr>
        <w:t>“</w:t>
      </w:r>
      <w:r w:rsidR="00E107E7" w:rsidRPr="00E107E7">
        <w:rPr>
          <w:i/>
        </w:rPr>
        <w:t>a good place to give health advice</w:t>
      </w:r>
      <w:r w:rsidR="00301C01">
        <w:rPr>
          <w:i/>
        </w:rPr>
        <w:t>”</w:t>
      </w:r>
      <w:r w:rsidR="00635BF4">
        <w:rPr>
          <w:i/>
        </w:rPr>
        <w:t xml:space="preserve"> (D</w:t>
      </w:r>
      <w:r w:rsidR="00E107E7" w:rsidRPr="00E107E7">
        <w:rPr>
          <w:i/>
        </w:rPr>
        <w:t>ispensing GP 2)</w:t>
      </w:r>
      <w:r w:rsidR="00A7351C">
        <w:t>,</w:t>
      </w:r>
      <w:r w:rsidR="001D1B8E">
        <w:t xml:space="preserve"> </w:t>
      </w:r>
      <w:r w:rsidR="00E107E7">
        <w:t>this</w:t>
      </w:r>
      <w:r w:rsidR="001D1B8E">
        <w:t xml:space="preserve"> should not be </w:t>
      </w:r>
      <w:r w:rsidR="00301C01">
        <w:rPr>
          <w:i/>
        </w:rPr>
        <w:t>“</w:t>
      </w:r>
      <w:r w:rsidR="001D1B8E" w:rsidRPr="00A7351C">
        <w:rPr>
          <w:i/>
        </w:rPr>
        <w:t>at the expense of (for example) a well-stocked pharmacy</w:t>
      </w:r>
      <w:r w:rsidR="00301C01">
        <w:rPr>
          <w:i/>
        </w:rPr>
        <w:t>”</w:t>
      </w:r>
      <w:r w:rsidR="00635BF4">
        <w:rPr>
          <w:i/>
        </w:rPr>
        <w:t xml:space="preserve"> (L</w:t>
      </w:r>
      <w:r w:rsidR="00300016">
        <w:rPr>
          <w:i/>
        </w:rPr>
        <w:t>ay member 2)</w:t>
      </w:r>
      <w:r w:rsidR="001D1B8E" w:rsidRPr="001D1B8E">
        <w:t>.</w:t>
      </w:r>
      <w:r>
        <w:t xml:space="preserve"> </w:t>
      </w:r>
      <w:r w:rsidRPr="00513AFE">
        <w:t xml:space="preserve">On the other hand, there were also several comments </w:t>
      </w:r>
      <w:r w:rsidR="00E3258D">
        <w:t xml:space="preserve">highlighting </w:t>
      </w:r>
      <w:r w:rsidRPr="00513AFE">
        <w:t>that health promotion is an</w:t>
      </w:r>
      <w:r w:rsidR="00DA0C60">
        <w:rPr>
          <w:i/>
        </w:rPr>
        <w:t xml:space="preserve"> “</w:t>
      </w:r>
      <w:r w:rsidRPr="00513AFE">
        <w:rPr>
          <w:i/>
        </w:rPr>
        <w:t>increasingly important role</w:t>
      </w:r>
      <w:r w:rsidR="00301C01">
        <w:rPr>
          <w:i/>
        </w:rPr>
        <w:t>”</w:t>
      </w:r>
      <w:r w:rsidR="00300016">
        <w:rPr>
          <w:i/>
        </w:rPr>
        <w:t xml:space="preserve"> (</w:t>
      </w:r>
      <w:r w:rsidR="00635BF4">
        <w:rPr>
          <w:i/>
        </w:rPr>
        <w:t>C</w:t>
      </w:r>
      <w:r w:rsidR="00E107E7">
        <w:rPr>
          <w:i/>
        </w:rPr>
        <w:t>ommunity pharmacist 5)</w:t>
      </w:r>
      <w:r w:rsidRPr="00513AFE">
        <w:t xml:space="preserve"> for all staff in primary care.</w:t>
      </w:r>
      <w:r>
        <w:t xml:space="preserve"> </w:t>
      </w:r>
      <w:r w:rsidR="005253AF">
        <w:t xml:space="preserve">A lack of space was reported as a common barrier to providing better health promotion and public health services. </w:t>
      </w:r>
    </w:p>
    <w:p w14:paraId="4CDFBB80" w14:textId="2943A9B8" w:rsidR="0036704A" w:rsidRPr="00284534" w:rsidRDefault="00284534" w:rsidP="00D3519C">
      <w:pPr>
        <w:spacing w:line="480" w:lineRule="auto"/>
        <w:rPr>
          <w:b/>
        </w:rPr>
      </w:pPr>
      <w:r w:rsidRPr="00284534">
        <w:rPr>
          <w:b/>
        </w:rPr>
        <w:t>DISCUSSION</w:t>
      </w:r>
    </w:p>
    <w:p w14:paraId="73BF563D" w14:textId="335E4295" w:rsidR="00446E18" w:rsidRDefault="00147135" w:rsidP="00D3519C">
      <w:pPr>
        <w:spacing w:line="480" w:lineRule="auto"/>
      </w:pPr>
      <w:r>
        <w:t>The study</w:t>
      </w:r>
      <w:r w:rsidR="000867A0" w:rsidRPr="000867A0">
        <w:t xml:space="preserve"> address</w:t>
      </w:r>
      <w:r>
        <w:t>ed</w:t>
      </w:r>
      <w:r w:rsidR="000867A0" w:rsidRPr="000867A0">
        <w:t xml:space="preserve"> areas of service provision tha</w:t>
      </w:r>
      <w:r w:rsidR="00544263">
        <w:t xml:space="preserve">t focus on quality improvement beyond a </w:t>
      </w:r>
      <w:r w:rsidR="00F63EF5">
        <w:t xml:space="preserve">minimum </w:t>
      </w:r>
      <w:r w:rsidR="00544263">
        <w:t>baseline</w:t>
      </w:r>
      <w:r w:rsidR="000867A0" w:rsidRPr="000867A0">
        <w:t xml:space="preserve"> </w:t>
      </w:r>
      <w:r w:rsidR="00B60E93">
        <w:t xml:space="preserve">that </w:t>
      </w:r>
      <w:r w:rsidR="000867A0" w:rsidRPr="000867A0">
        <w:t xml:space="preserve">are not tightly regulated and </w:t>
      </w:r>
      <w:r w:rsidR="00B60E93">
        <w:t xml:space="preserve">therefore </w:t>
      </w:r>
      <w:r w:rsidR="000867A0" w:rsidRPr="000867A0">
        <w:t xml:space="preserve">are open to interpretation by individual providers. </w:t>
      </w:r>
      <w:r>
        <w:t>Of the 23 characteristics investigated, all</w:t>
      </w:r>
      <w:r w:rsidR="0017704B">
        <w:t xml:space="preserve"> were rated as being</w:t>
      </w:r>
      <w:r>
        <w:t xml:space="preserve"> important aspects of pharmaceutical service provision, with characteristics relating to patient safety </w:t>
      </w:r>
      <w:r w:rsidR="0017704B">
        <w:t xml:space="preserve">perceived to be </w:t>
      </w:r>
      <w:r>
        <w:t>the most important. This study is the first</w:t>
      </w:r>
      <w:r w:rsidR="00C729A4" w:rsidRPr="005E652A">
        <w:t xml:space="preserve"> to characterise </w:t>
      </w:r>
      <w:r>
        <w:t xml:space="preserve">the </w:t>
      </w:r>
      <w:r w:rsidR="00C729A4" w:rsidRPr="005E652A">
        <w:t>quality of pharmaceutical service provision across both CPs and DPs.</w:t>
      </w:r>
      <w:r w:rsidR="000F0536" w:rsidRPr="005E652A">
        <w:t xml:space="preserve"> </w:t>
      </w:r>
    </w:p>
    <w:p w14:paraId="656E4655" w14:textId="5BE43050" w:rsidR="00147135" w:rsidRDefault="00147135" w:rsidP="00147135">
      <w:pPr>
        <w:spacing w:line="480" w:lineRule="auto"/>
      </w:pPr>
      <w:r w:rsidRPr="005E652A">
        <w:t>All the characteristics identified were retained as being important through</w:t>
      </w:r>
      <w:r>
        <w:t>out</w:t>
      </w:r>
      <w:r w:rsidRPr="005E652A">
        <w:t xml:space="preserve"> the Delphi, and it </w:t>
      </w:r>
      <w:r>
        <w:t>may be</w:t>
      </w:r>
      <w:r w:rsidRPr="005E652A">
        <w:t xml:space="preserve"> that it was not possible for respondents to make distinctions between the different characteristics in terms of assessing importance.</w:t>
      </w:r>
      <w:r>
        <w:t xml:space="preserve"> This was a relatively small study and, despite attempts to fairly represent both DPs and CPs, only two dispensing GPs completed both rounds of the survey</w:t>
      </w:r>
      <w:r w:rsidR="00300B4F">
        <w:t xml:space="preserve"> with no one from Dispensing Doctor Organisations participating</w:t>
      </w:r>
      <w:r>
        <w:t>. However, development of the characteristics was informed by previous phases of the research which had involved more DPs. While the characteristics were largely based on findings from the South West of England, six national primary care organisations were involved in the Delphi rounds.</w:t>
      </w:r>
    </w:p>
    <w:p w14:paraId="2B9EF159" w14:textId="12928693" w:rsidR="0017704B" w:rsidRDefault="0017704B" w:rsidP="0017704B">
      <w:pPr>
        <w:spacing w:line="480" w:lineRule="auto"/>
      </w:pPr>
      <w:r>
        <w:t xml:space="preserve">General </w:t>
      </w:r>
      <w:r w:rsidRPr="005E652A">
        <w:t>conceptual framework</w:t>
      </w:r>
      <w:r>
        <w:t>s</w:t>
      </w:r>
      <w:r w:rsidRPr="005E652A">
        <w:t xml:space="preserve"> of quality in</w:t>
      </w:r>
      <w:r>
        <w:t xml:space="preserve"> primary care have previously been developed [11</w:t>
      </w:r>
      <w:r w:rsidRPr="005E652A">
        <w:t>]. In community pharmacy, Halsall et al. used a Donabedian framework to analyse focus group discussions w</w:t>
      </w:r>
      <w:r w:rsidR="007D6C88">
        <w:t>ith pharmacy users and staff [5</w:t>
      </w:r>
      <w:r w:rsidRPr="005E652A">
        <w:t xml:space="preserve">]. They identified the three interdependent dimensions of accessibility, effectiveness and positive perceptions of the experience as characterising quality in </w:t>
      </w:r>
      <w:r w:rsidR="007D6C88">
        <w:t>a community pharmacy setting [5</w:t>
      </w:r>
      <w:r w:rsidRPr="005E652A">
        <w:t xml:space="preserve">]. </w:t>
      </w:r>
      <w:r>
        <w:t>The current stud</w:t>
      </w:r>
      <w:r w:rsidRPr="005E652A">
        <w:t>y adopted a different approach to Halsall et al.,</w:t>
      </w:r>
      <w:r w:rsidR="00600140">
        <w:t xml:space="preserve"> to inductively triangulate</w:t>
      </w:r>
      <w:r w:rsidRPr="005E652A">
        <w:t xml:space="preserve"> a variety of qualitative and quantitative data, involving both CPs and DPs, and focusing on quality above a minimum baseline. </w:t>
      </w:r>
    </w:p>
    <w:p w14:paraId="3C17BD57" w14:textId="1091C236" w:rsidR="00B7322B" w:rsidRDefault="00E35CF9" w:rsidP="00D3519C">
      <w:pPr>
        <w:spacing w:line="480" w:lineRule="auto"/>
      </w:pPr>
      <w:r>
        <w:t>The ambivalence towards public health practices</w:t>
      </w:r>
      <w:r w:rsidR="00714245">
        <w:t xml:space="preserve"> </w:t>
      </w:r>
      <w:r w:rsidR="00DD5921">
        <w:t xml:space="preserve">revealed </w:t>
      </w:r>
      <w:r w:rsidR="00714245">
        <w:t>in participants’ comments</w:t>
      </w:r>
      <w:r>
        <w:t xml:space="preserve"> seem</w:t>
      </w:r>
      <w:r w:rsidR="00D9370D">
        <w:t>s</w:t>
      </w:r>
      <w:r>
        <w:t xml:space="preserve"> particularly noteworthy given the </w:t>
      </w:r>
      <w:r w:rsidR="00DD5921">
        <w:t xml:space="preserve">United Kingdom </w:t>
      </w:r>
      <w:r w:rsidR="004B5663">
        <w:t xml:space="preserve">Department of Health’s </w:t>
      </w:r>
      <w:r>
        <w:t xml:space="preserve">current emphasis on </w:t>
      </w:r>
      <w:r w:rsidR="00C05F19">
        <w:t>health promotion</w:t>
      </w:r>
      <w:r>
        <w:t xml:space="preserve"> and shift towards </w:t>
      </w:r>
      <w:r w:rsidR="00971A6D">
        <w:t>preventive care</w:t>
      </w:r>
      <w:r w:rsidR="004C7591">
        <w:t xml:space="preserve"> [</w:t>
      </w:r>
      <w:r w:rsidR="007D6C88">
        <w:t>12</w:t>
      </w:r>
      <w:r w:rsidR="004C7591">
        <w:t>]</w:t>
      </w:r>
      <w:r w:rsidR="00E85346">
        <w:t>.</w:t>
      </w:r>
      <w:r w:rsidR="00A00EE3">
        <w:t xml:space="preserve"> </w:t>
      </w:r>
      <w:r w:rsidR="00D9370D">
        <w:t xml:space="preserve"> </w:t>
      </w:r>
      <w:r w:rsidR="006606C3">
        <w:t>T</w:t>
      </w:r>
      <w:r w:rsidR="004904F2">
        <w:t xml:space="preserve">here seemed to be a belief among some participants </w:t>
      </w:r>
      <w:r w:rsidR="004904F2" w:rsidRPr="004904F2">
        <w:t>that</w:t>
      </w:r>
      <w:r w:rsidR="005429BB">
        <w:t>,</w:t>
      </w:r>
      <w:r w:rsidR="004904F2" w:rsidRPr="004904F2">
        <w:t xml:space="preserve"> </w:t>
      </w:r>
      <w:r w:rsidR="004904F2">
        <w:t xml:space="preserve">although </w:t>
      </w:r>
      <w:r w:rsidR="004904F2" w:rsidRPr="004904F2">
        <w:t>public health and health promotion campaigns</w:t>
      </w:r>
      <w:r w:rsidR="004904F2">
        <w:t xml:space="preserve"> </w:t>
      </w:r>
      <w:r w:rsidR="00F9426F">
        <w:t>we</w:t>
      </w:r>
      <w:r w:rsidR="004904F2">
        <w:t>re important</w:t>
      </w:r>
      <w:r w:rsidR="005429BB">
        <w:t>,</w:t>
      </w:r>
      <w:r w:rsidR="004904F2">
        <w:t xml:space="preserve"> they </w:t>
      </w:r>
      <w:r w:rsidR="00F9426F">
        <w:t>we</w:t>
      </w:r>
      <w:r w:rsidR="004904F2">
        <w:t xml:space="preserve">re </w:t>
      </w:r>
      <w:r w:rsidR="004904F2" w:rsidRPr="004904F2">
        <w:t>not within the remit of primary care</w:t>
      </w:r>
      <w:r w:rsidR="004904F2">
        <w:t xml:space="preserve">. </w:t>
      </w:r>
      <w:r w:rsidR="00816543">
        <w:t>The need for better acknowledgement by primary care practitioners of their role in public health has been reported previously [</w:t>
      </w:r>
      <w:r w:rsidR="007D6C88">
        <w:t>13</w:t>
      </w:r>
      <w:r w:rsidR="00816543">
        <w:t xml:space="preserve">]. </w:t>
      </w:r>
      <w:r w:rsidR="0002613F">
        <w:t xml:space="preserve">While </w:t>
      </w:r>
      <w:r w:rsidR="00816543">
        <w:t>p</w:t>
      </w:r>
      <w:r w:rsidR="00C05F19" w:rsidRPr="00C05F19">
        <w:t xml:space="preserve">rimary care professional bodies have produced resources to help practices increase their involvement in public health </w:t>
      </w:r>
      <w:r w:rsidR="00C05F19">
        <w:t>[</w:t>
      </w:r>
      <w:r w:rsidR="007D6C88">
        <w:t>14</w:t>
      </w:r>
      <w:r w:rsidR="004C7591">
        <w:t>, 1</w:t>
      </w:r>
      <w:r w:rsidR="007D6C88">
        <w:t>5</w:t>
      </w:r>
      <w:r w:rsidR="00D9370D">
        <w:t>]</w:t>
      </w:r>
      <w:r w:rsidR="0002613F">
        <w:t>,</w:t>
      </w:r>
      <w:r w:rsidR="00C05F19" w:rsidRPr="00C05F19">
        <w:t xml:space="preserve"> more action needs to be taken if the D</w:t>
      </w:r>
      <w:r w:rsidR="00D9370D">
        <w:t xml:space="preserve">epartment of </w:t>
      </w:r>
      <w:r w:rsidR="00C05F19" w:rsidRPr="00C05F19">
        <w:t>H</w:t>
      </w:r>
      <w:r w:rsidR="00D9370D">
        <w:t>ealth</w:t>
      </w:r>
      <w:r w:rsidR="00C05F19" w:rsidRPr="00C05F19">
        <w:t>’s aims are to be met.</w:t>
      </w:r>
      <w:r w:rsidR="00153BB1">
        <w:t xml:space="preserve"> </w:t>
      </w:r>
    </w:p>
    <w:p w14:paraId="34D1AA92" w14:textId="3A014818" w:rsidR="00D168DF" w:rsidRDefault="00D168DF" w:rsidP="00D3519C">
      <w:pPr>
        <w:spacing w:line="480" w:lineRule="auto"/>
      </w:pPr>
      <w:r>
        <w:t xml:space="preserve">In addition to investigating the applicability of these </w:t>
      </w:r>
      <w:r w:rsidR="00446E18">
        <w:t>characteristic</w:t>
      </w:r>
      <w:r>
        <w:t xml:space="preserve">s in a wider population of CPs and DPs, further work is needed to develop and test a tool, based on the characteristics, that helps staff at CPs and DPs to identify areas where quality could be improved and then to make changes to practice. </w:t>
      </w:r>
      <w:r w:rsidR="00147135">
        <w:t>It is important to bear in mind, however, that assessing performance can lead t</w:t>
      </w:r>
      <w:r w:rsidR="007D6C88">
        <w:t>o dysfunctional consequences [16</w:t>
      </w:r>
      <w:r w:rsidR="00147135">
        <w:t>] call</w:t>
      </w:r>
      <w:r w:rsidR="00300B4F">
        <w:t>ed</w:t>
      </w:r>
      <w:r w:rsidR="00147135">
        <w:t xml:space="preserve"> ‘measurement fixation’: where staff focus solely on meeting specific targets rather than understanding the ‘spirit’ of the characteristic. </w:t>
      </w:r>
      <w:r>
        <w:t>While some of the characteristics might be easily assessed using traditional measures (such as number of dispensing errors), it has been the aim of the research team, in agreement with recomm</w:t>
      </w:r>
      <w:r w:rsidR="00D36603">
        <w:t>endations by the</w:t>
      </w:r>
      <w:r w:rsidR="007D6C88">
        <w:t xml:space="preserve"> King’s Fund [17</w:t>
      </w:r>
      <w:r>
        <w:t>], not to ignore those</w:t>
      </w:r>
      <w:r w:rsidR="00300B4F">
        <w:t xml:space="preserve"> aspects of quality that are less</w:t>
      </w:r>
      <w:r>
        <w:t xml:space="preserve"> easily quantifiable, such as culture, ethos and morale. Therefore innovative qualitative methods are also called for. Examples suggested include “mystery shopper”-style visits to assess specific aspects of patient-provider interaction and health promotion, random spot checks to assess staff understanding of SOPs, auditing the reasons behind un-filled prescriptions, and keeping minutes of staff meetings to review errors.</w:t>
      </w:r>
      <w:r w:rsidR="00147135">
        <w:t xml:space="preserve"> </w:t>
      </w:r>
      <w:r>
        <w:t xml:space="preserve">It will be important to </w:t>
      </w:r>
      <w:r w:rsidRPr="000B7564">
        <w:t>ascertain what form of quality improvement resource service providers would find most useful</w:t>
      </w:r>
      <w:r>
        <w:t>. F</w:t>
      </w:r>
      <w:r w:rsidRPr="000B7564">
        <w:t xml:space="preserve">or example, </w:t>
      </w:r>
      <w:r w:rsidR="00085FED">
        <w:t xml:space="preserve">a </w:t>
      </w:r>
      <w:r w:rsidRPr="000B7564">
        <w:t>reflective framework</w:t>
      </w:r>
      <w:r w:rsidR="00085FED">
        <w:t>,</w:t>
      </w:r>
      <w:r>
        <w:t xml:space="preserve"> </w:t>
      </w:r>
      <w:r w:rsidR="00085FED" w:rsidRPr="000B7564">
        <w:t xml:space="preserve">similar to the Manchester Patient Safety Framework </w:t>
      </w:r>
      <w:r w:rsidR="007D6C88">
        <w:t>[18</w:t>
      </w:r>
      <w:r w:rsidR="00085FED">
        <w:t>], could</w:t>
      </w:r>
      <w:r>
        <w:t xml:space="preserve"> provide</w:t>
      </w:r>
      <w:r w:rsidRPr="000B7564">
        <w:t xml:space="preserve"> users with descriptions of what increasing quality look</w:t>
      </w:r>
      <w:r>
        <w:t>s</w:t>
      </w:r>
      <w:r w:rsidRPr="000B7564">
        <w:t xml:space="preserve"> like on each of the </w:t>
      </w:r>
      <w:r w:rsidR="00085FED">
        <w:t>characteristics</w:t>
      </w:r>
      <w:r w:rsidRPr="000B7564">
        <w:t xml:space="preserve"> found in the present study. </w:t>
      </w:r>
    </w:p>
    <w:p w14:paraId="06AAC862" w14:textId="2C4B8D08" w:rsidR="009E398A" w:rsidRDefault="00284534" w:rsidP="00D3519C">
      <w:pPr>
        <w:spacing w:line="480" w:lineRule="auto"/>
        <w:rPr>
          <w:b/>
        </w:rPr>
      </w:pPr>
      <w:r>
        <w:rPr>
          <w:b/>
        </w:rPr>
        <w:t>CONCLUSION</w:t>
      </w:r>
    </w:p>
    <w:p w14:paraId="60D60754" w14:textId="6065A886" w:rsidR="000B7564" w:rsidRPr="000B7564" w:rsidRDefault="009013B2" w:rsidP="00D3519C">
      <w:pPr>
        <w:spacing w:line="480" w:lineRule="auto"/>
      </w:pPr>
      <w:r w:rsidRPr="000B7564">
        <w:t xml:space="preserve">A set of 23 </w:t>
      </w:r>
      <w:r w:rsidR="00DC5082">
        <w:t xml:space="preserve">characteristics defining good </w:t>
      </w:r>
      <w:r w:rsidRPr="000B7564">
        <w:t>quality pharmaceutical service</w:t>
      </w:r>
      <w:r w:rsidR="00DC5082">
        <w:t xml:space="preserve"> provision in DPs and CPs</w:t>
      </w:r>
      <w:r w:rsidRPr="000B7564">
        <w:t xml:space="preserve"> has been developed, covering </w:t>
      </w:r>
      <w:r w:rsidR="00946F19">
        <w:t xml:space="preserve">patient </w:t>
      </w:r>
      <w:r w:rsidRPr="000B7564">
        <w:t>safety and dispensing, patient-provider interaction, workplace culture</w:t>
      </w:r>
      <w:r w:rsidR="00EC57A2" w:rsidRPr="000B7564">
        <w:t>,</w:t>
      </w:r>
      <w:r w:rsidRPr="000B7564">
        <w:t xml:space="preserve"> and public health.</w:t>
      </w:r>
      <w:r w:rsidR="00EC57A2" w:rsidRPr="000B7564">
        <w:t xml:space="preserve"> </w:t>
      </w:r>
      <w:r w:rsidR="00405EC7">
        <w:t xml:space="preserve">These findings suggest that the </w:t>
      </w:r>
      <w:r w:rsidR="00DC5082">
        <w:t>characteristics</w:t>
      </w:r>
      <w:r w:rsidR="00405EC7">
        <w:t xml:space="preserve">, devised from two earlier phases of the research, were agreed by our participants to represent important aspects of providing good quality pharmaceutical services. </w:t>
      </w:r>
      <w:r w:rsidR="007763BB">
        <w:t xml:space="preserve">Given the recent policy emphasis on patient safety, it is unsurprising that patient safety was perceived to be the most important aspect of good quality pharmaceutical service provision. However, it is interesting to note that some respondents were ambivalent about the importance of public health, a view at odds with current health policy initiatives and the increasing role of the pharmacist. </w:t>
      </w:r>
      <w:r w:rsidR="000B7564" w:rsidRPr="000B7564">
        <w:t xml:space="preserve">Further work </w:t>
      </w:r>
      <w:r w:rsidR="000B7564">
        <w:t>is needed</w:t>
      </w:r>
      <w:r w:rsidR="00DC5082">
        <w:t xml:space="preserve"> to develop a</w:t>
      </w:r>
      <w:r w:rsidR="00DC5082" w:rsidRPr="000B7564">
        <w:t xml:space="preserve"> tool to guide quality improvement</w:t>
      </w:r>
      <w:r w:rsidR="000B7564">
        <w:t xml:space="preserve">. This could </w:t>
      </w:r>
      <w:r w:rsidR="00DC5082">
        <w:t>take</w:t>
      </w:r>
      <w:r w:rsidR="000B7564">
        <w:t xml:space="preserve"> the form of</w:t>
      </w:r>
      <w:r w:rsidR="000B7564" w:rsidRPr="000B7564">
        <w:t xml:space="preserve"> a reflective resource for service providers that will help them identify areas where quality could be improved</w:t>
      </w:r>
      <w:r w:rsidR="000B7564">
        <w:t xml:space="preserve"> and ultimately </w:t>
      </w:r>
      <w:r w:rsidR="000B7564" w:rsidRPr="000B7564">
        <w:t xml:space="preserve">help them make changes to their practice that promotes quality.   </w:t>
      </w:r>
    </w:p>
    <w:p w14:paraId="2B45EC34" w14:textId="77777777" w:rsidR="00CE75CD" w:rsidRPr="00CE75CD" w:rsidRDefault="00CE75CD">
      <w:pPr>
        <w:rPr>
          <w:b/>
        </w:rPr>
      </w:pPr>
      <w:r w:rsidRPr="00CE75CD">
        <w:rPr>
          <w:b/>
        </w:rPr>
        <w:t>FUNDING</w:t>
      </w:r>
    </w:p>
    <w:p w14:paraId="34834DC6" w14:textId="66801489" w:rsidR="00CE75CD" w:rsidRPr="00CE75CD" w:rsidRDefault="00CE75CD">
      <w:r w:rsidRPr="00CE75CD">
        <w:t xml:space="preserve">This research was </w:t>
      </w:r>
      <w:r w:rsidR="00284534">
        <w:t>supported</w:t>
      </w:r>
      <w:r w:rsidRPr="00CE75CD">
        <w:t xml:space="preserve"> by the Pharmaceutical Trust for Educational and Charitable Objects</w:t>
      </w:r>
      <w:r>
        <w:t>.</w:t>
      </w:r>
    </w:p>
    <w:p w14:paraId="6653E85C" w14:textId="77777777" w:rsidR="00F741D0" w:rsidRPr="00F741D0" w:rsidRDefault="00A83CC4">
      <w:pPr>
        <w:rPr>
          <w:b/>
        </w:rPr>
      </w:pPr>
      <w:r w:rsidRPr="00F741D0">
        <w:rPr>
          <w:b/>
        </w:rPr>
        <w:t>REFERENCES</w:t>
      </w:r>
    </w:p>
    <w:p w14:paraId="3C05F3F4" w14:textId="0481352D" w:rsidR="00F80510" w:rsidRDefault="0043637D" w:rsidP="00F80510">
      <w:r>
        <w:t>1</w:t>
      </w:r>
      <w:r w:rsidR="0070314F">
        <w:t>.</w:t>
      </w:r>
      <w:r w:rsidR="00843914">
        <w:t xml:space="preserve"> </w:t>
      </w:r>
      <w:r>
        <w:t xml:space="preserve">Department of Health. </w:t>
      </w:r>
      <w:r w:rsidRPr="00E13C34">
        <w:rPr>
          <w:i/>
        </w:rPr>
        <w:t>Rurality, controlled localities and the provision of pharmaceutical services by doctors – an explanation of the history</w:t>
      </w:r>
      <w:r>
        <w:t xml:space="preserve">. </w:t>
      </w:r>
      <w:r w:rsidR="00E13C34">
        <w:t>London</w:t>
      </w:r>
      <w:r w:rsidR="00DC3358">
        <w:t>: TSO</w:t>
      </w:r>
      <w:r w:rsidR="00E13C34">
        <w:t>;</w:t>
      </w:r>
      <w:r w:rsidR="00843914">
        <w:t xml:space="preserve"> </w:t>
      </w:r>
      <w:r>
        <w:t>2010</w:t>
      </w:r>
      <w:r w:rsidR="00F80510">
        <w:t>.</w:t>
      </w:r>
      <w:r w:rsidR="00843914">
        <w:t xml:space="preserve"> </w:t>
      </w:r>
      <w:hyperlink r:id="rId10" w:history="1">
        <w:r w:rsidR="00F80510" w:rsidRPr="004151E3">
          <w:rPr>
            <w:rStyle w:val="Hyperlink"/>
          </w:rPr>
          <w:t>http://www.pcc-cic.org.uk/article/rurality-controlled-localities-and-provision-pharmaceutical-services-doctors-explanation</w:t>
        </w:r>
      </w:hyperlink>
      <w:r w:rsidR="00F80510">
        <w:t xml:space="preserve"> (accessed </w:t>
      </w:r>
      <w:r w:rsidR="002E31BE">
        <w:t>March</w:t>
      </w:r>
      <w:r w:rsidR="00F80510">
        <w:t xml:space="preserve"> 201</w:t>
      </w:r>
      <w:r w:rsidR="002E31BE">
        <w:t>5</w:t>
      </w:r>
      <w:r w:rsidR="00F80510">
        <w:t>)</w:t>
      </w:r>
      <w:r w:rsidR="00A42DF2">
        <w:t>.</w:t>
      </w:r>
    </w:p>
    <w:p w14:paraId="4B6CAC02" w14:textId="77777777" w:rsidR="00EE0D1C" w:rsidRDefault="006116AC" w:rsidP="00F80510">
      <w:r>
        <w:t xml:space="preserve">2. </w:t>
      </w:r>
      <w:r w:rsidR="00EE0D1C" w:rsidRPr="004C6135">
        <w:t>The National Health Service</w:t>
      </w:r>
      <w:r w:rsidR="004C6135">
        <w:t xml:space="preserve">. </w:t>
      </w:r>
      <w:r w:rsidR="004C6135" w:rsidRPr="00F80510">
        <w:rPr>
          <w:i/>
        </w:rPr>
        <w:t>The National Health Service</w:t>
      </w:r>
      <w:r w:rsidR="00EE0D1C" w:rsidRPr="00F80510">
        <w:rPr>
          <w:i/>
        </w:rPr>
        <w:t xml:space="preserve"> (Pharmaceutical and Local Pharmaceutical Services) Regulations</w:t>
      </w:r>
      <w:r w:rsidR="00EE0D1C" w:rsidRPr="004C6135">
        <w:t xml:space="preserve"> </w:t>
      </w:r>
      <w:r w:rsidR="00EE0D1C" w:rsidRPr="00F80510">
        <w:rPr>
          <w:i/>
        </w:rPr>
        <w:t>2013</w:t>
      </w:r>
      <w:r w:rsidR="00EE0D1C">
        <w:t xml:space="preserve">. </w:t>
      </w:r>
      <w:r w:rsidR="00F80510">
        <w:t>Norwich: TSO</w:t>
      </w:r>
      <w:r w:rsidR="00E13C34">
        <w:t>;</w:t>
      </w:r>
      <w:r w:rsidR="00F80510">
        <w:t xml:space="preserve"> 2013</w:t>
      </w:r>
      <w:r w:rsidR="0051780E">
        <w:t>.</w:t>
      </w:r>
      <w:r w:rsidR="00EE0D1C">
        <w:t xml:space="preserve"> </w:t>
      </w:r>
    </w:p>
    <w:p w14:paraId="230FB6CC" w14:textId="6018FFA6" w:rsidR="00462C1A" w:rsidRDefault="0051780E" w:rsidP="002B2123">
      <w:r w:rsidRPr="0051780E">
        <w:t>3</w:t>
      </w:r>
      <w:r w:rsidR="006116AC">
        <w:t>.</w:t>
      </w:r>
      <w:r w:rsidRPr="0051780E">
        <w:t xml:space="preserve"> </w:t>
      </w:r>
      <w:r w:rsidR="004C6135">
        <w:t xml:space="preserve">NHS England. </w:t>
      </w:r>
      <w:r w:rsidR="004C6135" w:rsidRPr="00F80510">
        <w:rPr>
          <w:i/>
        </w:rPr>
        <w:t>Community Pharmacy Assurance Framework</w:t>
      </w:r>
      <w:r w:rsidR="004C6135">
        <w:t>.</w:t>
      </w:r>
      <w:r w:rsidR="00E13C34">
        <w:t xml:space="preserve"> </w:t>
      </w:r>
      <w:hyperlink r:id="rId11" w:history="1">
        <w:r w:rsidR="004C6135" w:rsidRPr="004151E3">
          <w:rPr>
            <w:rStyle w:val="Hyperlink"/>
          </w:rPr>
          <w:t>http://www.england.nhs.uk/monitoring/</w:t>
        </w:r>
      </w:hyperlink>
      <w:r w:rsidR="004C6135">
        <w:t xml:space="preserve"> (accessed </w:t>
      </w:r>
      <w:r w:rsidR="002E31BE">
        <w:t>March</w:t>
      </w:r>
      <w:r w:rsidR="00F80510">
        <w:t xml:space="preserve"> 201</w:t>
      </w:r>
      <w:r w:rsidR="002E31BE">
        <w:t>5</w:t>
      </w:r>
      <w:r w:rsidR="00F80510">
        <w:t>)</w:t>
      </w:r>
      <w:r w:rsidR="00A42DF2">
        <w:t>.</w:t>
      </w:r>
    </w:p>
    <w:p w14:paraId="2CE4836E" w14:textId="50BF7558" w:rsidR="00F80510" w:rsidRDefault="00F80510" w:rsidP="002B2123">
      <w:r>
        <w:t>4</w:t>
      </w:r>
      <w:r w:rsidR="006116AC">
        <w:t>.</w:t>
      </w:r>
      <w:r>
        <w:t xml:space="preserve"> NHS Employers</w:t>
      </w:r>
      <w:r w:rsidR="00A42DF2">
        <w:t xml:space="preserve"> and the British Medical Ass</w:t>
      </w:r>
      <w:r>
        <w:t xml:space="preserve">ociation. </w:t>
      </w:r>
      <w:r w:rsidRPr="00E13C34">
        <w:rPr>
          <w:i/>
        </w:rPr>
        <w:t>Dispensary Services Quality Scheme</w:t>
      </w:r>
      <w:r w:rsidR="00A42DF2">
        <w:t xml:space="preserve">. </w:t>
      </w:r>
      <w:r w:rsidR="00E13C34">
        <w:t>London: NHS Employers;</w:t>
      </w:r>
      <w:r w:rsidR="00A42DF2">
        <w:t xml:space="preserve"> 2006. </w:t>
      </w:r>
      <w:hyperlink r:id="rId12" w:history="1">
        <w:r w:rsidR="002E31BE" w:rsidRPr="00223E39">
          <w:rPr>
            <w:rStyle w:val="Hyperlink"/>
          </w:rPr>
          <w:t>http://bma.org.uk/practical-support-at-work/gp-practices/service-provision/prescribing/dispensary-services-quality-scheme</w:t>
        </w:r>
      </w:hyperlink>
      <w:r w:rsidR="002E31BE">
        <w:t xml:space="preserve"> </w:t>
      </w:r>
      <w:r w:rsidR="00A42DF2">
        <w:t xml:space="preserve">(accessed </w:t>
      </w:r>
      <w:r w:rsidR="002E31BE">
        <w:t>March</w:t>
      </w:r>
      <w:r w:rsidR="00A42DF2">
        <w:t xml:space="preserve"> 201</w:t>
      </w:r>
      <w:r w:rsidR="002E31BE">
        <w:t>5</w:t>
      </w:r>
      <w:r w:rsidR="00A42DF2">
        <w:t>).</w:t>
      </w:r>
    </w:p>
    <w:p w14:paraId="7E109B6C" w14:textId="768A2D67" w:rsidR="007D6C88" w:rsidRDefault="007D6C88" w:rsidP="007D6C88">
      <w:r>
        <w:t xml:space="preserve">5. Halsall D, Noyce PR and Ashcroft DM. </w:t>
      </w:r>
      <w:r w:rsidRPr="006A4D61">
        <w:t>Characterizing heal</w:t>
      </w:r>
      <w:r>
        <w:t xml:space="preserve">thcare quality in the community </w:t>
      </w:r>
      <w:r w:rsidRPr="006A4D61">
        <w:t>pharmacy setting: Insights from a focus group study</w:t>
      </w:r>
      <w:r>
        <w:t xml:space="preserve">. </w:t>
      </w:r>
      <w:r w:rsidRPr="006A4D61">
        <w:rPr>
          <w:i/>
        </w:rPr>
        <w:t>Res Social Adm Pharm</w:t>
      </w:r>
      <w:r>
        <w:t xml:space="preserve"> 2012; 8: 360-370.</w:t>
      </w:r>
    </w:p>
    <w:p w14:paraId="226E83B7" w14:textId="221BF36E" w:rsidR="00AD4388" w:rsidRPr="004877EB" w:rsidRDefault="004877EB" w:rsidP="006A4D61">
      <w:r>
        <w:t>6</w:t>
      </w:r>
      <w:r w:rsidR="006116AC" w:rsidRPr="004877EB">
        <w:t>.</w:t>
      </w:r>
      <w:r w:rsidR="00C22D5F" w:rsidRPr="004877EB">
        <w:t xml:space="preserve"> </w:t>
      </w:r>
      <w:r w:rsidR="00FA61F0" w:rsidRPr="004877EB">
        <w:t xml:space="preserve">Weiss MC, Grey E, Harris M and Rodham K. A Comparison of Dispensing Doctor and Community Pharmacy Systems for Providing Pharmaceutical Services. </w:t>
      </w:r>
      <w:r w:rsidR="00FA61F0" w:rsidRPr="004877EB">
        <w:rPr>
          <w:i/>
        </w:rPr>
        <w:t>Prim Health Care Res Dev</w:t>
      </w:r>
      <w:r w:rsidR="002943E5" w:rsidRPr="004877EB">
        <w:rPr>
          <w:i/>
        </w:rPr>
        <w:t>,</w:t>
      </w:r>
      <w:r w:rsidR="00FA61F0" w:rsidRPr="004877EB">
        <w:t xml:space="preserve"> </w:t>
      </w:r>
      <w:r w:rsidR="002943E5" w:rsidRPr="004877EB">
        <w:rPr>
          <w:i/>
        </w:rPr>
        <w:t>First View Article</w:t>
      </w:r>
      <w:r w:rsidR="002943E5" w:rsidRPr="004877EB">
        <w:t xml:space="preserve"> 2015, DOI:</w:t>
      </w:r>
      <w:hyperlink r:id="rId13" w:tgtFrame="_blank" w:history="1">
        <w:r w:rsidR="002943E5" w:rsidRPr="004877EB">
          <w:rPr>
            <w:rStyle w:val="Hyperlink"/>
          </w:rPr>
          <w:t xml:space="preserve"> http://dx.doi.org/10.1017/S1463423615000092</w:t>
        </w:r>
      </w:hyperlink>
      <w:r w:rsidR="00FA61F0" w:rsidRPr="004877EB">
        <w:rPr>
          <w:i/>
        </w:rPr>
        <w:t>.</w:t>
      </w:r>
    </w:p>
    <w:p w14:paraId="47F88E2E" w14:textId="651448C2" w:rsidR="004877EB" w:rsidRPr="004877EB" w:rsidRDefault="004877EB" w:rsidP="004877EB">
      <w:pPr>
        <w:rPr>
          <w:rFonts w:cstheme="minorHAnsi"/>
        </w:rPr>
      </w:pPr>
      <w:r>
        <w:rPr>
          <w:rFonts w:cstheme="minorHAnsi"/>
        </w:rPr>
        <w:t xml:space="preserve">7. </w:t>
      </w:r>
      <w:r w:rsidRPr="004877EB">
        <w:rPr>
          <w:rFonts w:cstheme="minorHAnsi"/>
        </w:rPr>
        <w:t xml:space="preserve">Braun V &amp; Clarke V. Using thematic analysis in psychology. </w:t>
      </w:r>
      <w:r w:rsidRPr="004877EB">
        <w:rPr>
          <w:rFonts w:cstheme="minorHAnsi"/>
          <w:i/>
        </w:rPr>
        <w:t>Qualitative Res Psych</w:t>
      </w:r>
      <w:r w:rsidRPr="004877EB">
        <w:rPr>
          <w:rFonts w:cstheme="minorHAnsi"/>
        </w:rPr>
        <w:t xml:space="preserve"> 2006, 3, 77-101.</w:t>
      </w:r>
    </w:p>
    <w:p w14:paraId="798724D6" w14:textId="126055C5" w:rsidR="00BF3DB3" w:rsidRPr="004877EB" w:rsidRDefault="004877EB" w:rsidP="00BF3DB3">
      <w:r>
        <w:t>8</w:t>
      </w:r>
      <w:r w:rsidR="00BF3DB3" w:rsidRPr="004877EB">
        <w:t xml:space="preserve">. Hasson F, Keeney S, McKenna H. Research guidelines for the Delphi Survey Technique. </w:t>
      </w:r>
      <w:r w:rsidR="00BF3DB3" w:rsidRPr="004877EB">
        <w:rPr>
          <w:i/>
        </w:rPr>
        <w:t>J Adv Nursing</w:t>
      </w:r>
      <w:r w:rsidR="00BF3DB3" w:rsidRPr="004877EB">
        <w:t xml:space="preserve"> 2000; 32(4): 1008-1015.</w:t>
      </w:r>
    </w:p>
    <w:p w14:paraId="3AC383B5" w14:textId="06B03B0C" w:rsidR="00CE75CD" w:rsidRPr="004877EB" w:rsidRDefault="004877EB" w:rsidP="006A4D61">
      <w:r>
        <w:t>9</w:t>
      </w:r>
      <w:r w:rsidR="006116AC" w:rsidRPr="004877EB">
        <w:t>.</w:t>
      </w:r>
      <w:r w:rsidR="0057175A" w:rsidRPr="004877EB">
        <w:t xml:space="preserve"> </w:t>
      </w:r>
      <w:r w:rsidR="00FA61F0" w:rsidRPr="004877EB">
        <w:t xml:space="preserve">Britten N, Jones R, Murphy E, Stacy R. Qualitative research methods in general practice and primary care. </w:t>
      </w:r>
      <w:r w:rsidR="00FA61F0" w:rsidRPr="004877EB">
        <w:rPr>
          <w:i/>
        </w:rPr>
        <w:t>Fam Pract</w:t>
      </w:r>
      <w:r w:rsidR="00FA61F0" w:rsidRPr="004877EB">
        <w:t xml:space="preserve"> 1995;</w:t>
      </w:r>
      <w:r w:rsidR="00284534">
        <w:t xml:space="preserve"> </w:t>
      </w:r>
      <w:r w:rsidR="00FA61F0" w:rsidRPr="004877EB">
        <w:t>12:</w:t>
      </w:r>
      <w:r w:rsidR="00284534">
        <w:t xml:space="preserve"> </w:t>
      </w:r>
      <w:r w:rsidR="00FA61F0" w:rsidRPr="004877EB">
        <w:t>104-114.</w:t>
      </w:r>
    </w:p>
    <w:p w14:paraId="5E23EFEA" w14:textId="42504380" w:rsidR="007620BC" w:rsidRDefault="004877EB" w:rsidP="007620BC">
      <w:r>
        <w:t>10</w:t>
      </w:r>
      <w:r w:rsidR="007620BC" w:rsidRPr="004877EB">
        <w:t>. Engels Y, Campbell S, Dautzenberg M et al. Developing a framework of, and quality indicators for, general practice</w:t>
      </w:r>
      <w:r w:rsidR="007620BC">
        <w:t xml:space="preserve"> management in Europe. </w:t>
      </w:r>
      <w:r w:rsidR="007620BC" w:rsidRPr="009013B2">
        <w:rPr>
          <w:i/>
        </w:rPr>
        <w:t>Fam Pract</w:t>
      </w:r>
      <w:r w:rsidR="007620BC">
        <w:t xml:space="preserve"> 2005;</w:t>
      </w:r>
      <w:r w:rsidR="00284534">
        <w:t xml:space="preserve"> </w:t>
      </w:r>
      <w:r w:rsidR="007620BC">
        <w:t>22:</w:t>
      </w:r>
      <w:r w:rsidR="00284534">
        <w:t xml:space="preserve"> </w:t>
      </w:r>
      <w:r w:rsidR="007620BC">
        <w:t>215-222.</w:t>
      </w:r>
    </w:p>
    <w:p w14:paraId="452B58FC" w14:textId="5388A535" w:rsidR="00BF3DB3" w:rsidRDefault="004877EB" w:rsidP="006A4D61">
      <w:r>
        <w:t>11</w:t>
      </w:r>
      <w:r w:rsidR="00BF3DB3">
        <w:t xml:space="preserve">. Campbell SM, Roland MO, Buetow SA. Defining Quality of Care. </w:t>
      </w:r>
      <w:r w:rsidR="00BF3DB3" w:rsidRPr="005E652A">
        <w:rPr>
          <w:i/>
        </w:rPr>
        <w:t>Social Science &amp; Medicine</w:t>
      </w:r>
      <w:r w:rsidR="00BF3DB3">
        <w:t xml:space="preserve"> 2000;</w:t>
      </w:r>
      <w:r w:rsidR="00284534">
        <w:t xml:space="preserve"> </w:t>
      </w:r>
      <w:r w:rsidR="00BF3DB3">
        <w:t>51:</w:t>
      </w:r>
      <w:r w:rsidR="00284534">
        <w:t xml:space="preserve"> </w:t>
      </w:r>
      <w:r w:rsidR="00BF3DB3">
        <w:t>1611-25.</w:t>
      </w:r>
    </w:p>
    <w:p w14:paraId="5983004D" w14:textId="7BE52E05" w:rsidR="00153BB1" w:rsidRDefault="006116AC" w:rsidP="002B2123">
      <w:pPr>
        <w:rPr>
          <w:rFonts w:cstheme="minorHAnsi"/>
          <w:szCs w:val="24"/>
        </w:rPr>
      </w:pPr>
      <w:r>
        <w:rPr>
          <w:rFonts w:cstheme="minorHAnsi"/>
          <w:szCs w:val="24"/>
        </w:rPr>
        <w:t>1</w:t>
      </w:r>
      <w:r w:rsidR="007D6C88">
        <w:rPr>
          <w:rFonts w:cstheme="minorHAnsi"/>
          <w:szCs w:val="24"/>
        </w:rPr>
        <w:t>2</w:t>
      </w:r>
      <w:r>
        <w:rPr>
          <w:rFonts w:cstheme="minorHAnsi"/>
          <w:szCs w:val="24"/>
        </w:rPr>
        <w:t>.</w:t>
      </w:r>
      <w:r w:rsidR="00153BB1">
        <w:rPr>
          <w:rFonts w:cstheme="minorHAnsi"/>
          <w:szCs w:val="24"/>
        </w:rPr>
        <w:t xml:space="preserve"> </w:t>
      </w:r>
      <w:r w:rsidR="00153BB1" w:rsidRPr="00153BB1">
        <w:rPr>
          <w:rFonts w:cstheme="minorHAnsi"/>
          <w:szCs w:val="24"/>
        </w:rPr>
        <w:t xml:space="preserve">Department of Health.  </w:t>
      </w:r>
      <w:r w:rsidR="00153BB1" w:rsidRPr="00153BB1">
        <w:rPr>
          <w:rFonts w:cstheme="minorHAnsi"/>
          <w:i/>
          <w:szCs w:val="24"/>
        </w:rPr>
        <w:t xml:space="preserve">Healthy Lives, Healthy People – our strategy for public health in England. </w:t>
      </w:r>
      <w:r w:rsidR="00153BB1">
        <w:rPr>
          <w:rFonts w:cstheme="minorHAnsi"/>
          <w:szCs w:val="24"/>
        </w:rPr>
        <w:t>London: TSO;</w:t>
      </w:r>
      <w:r w:rsidR="00153BB1" w:rsidRPr="00153BB1">
        <w:rPr>
          <w:rFonts w:cstheme="minorHAnsi"/>
          <w:szCs w:val="24"/>
        </w:rPr>
        <w:t xml:space="preserve"> 2010. </w:t>
      </w:r>
    </w:p>
    <w:p w14:paraId="11AF64DD" w14:textId="22236923" w:rsidR="004904F2" w:rsidRDefault="007D6C88" w:rsidP="00C05F19">
      <w:r>
        <w:rPr>
          <w:rFonts w:cstheme="minorHAnsi"/>
          <w:szCs w:val="24"/>
        </w:rPr>
        <w:t>13</w:t>
      </w:r>
      <w:r w:rsidR="006116AC">
        <w:rPr>
          <w:rFonts w:cstheme="minorHAnsi"/>
          <w:szCs w:val="24"/>
        </w:rPr>
        <w:t>.</w:t>
      </w:r>
      <w:r w:rsidR="00C05F19">
        <w:rPr>
          <w:rFonts w:cstheme="minorHAnsi"/>
          <w:szCs w:val="24"/>
        </w:rPr>
        <w:t xml:space="preserve"> </w:t>
      </w:r>
      <w:r w:rsidR="004904F2">
        <w:t>Gillam S and</w:t>
      </w:r>
      <w:r w:rsidR="004904F2" w:rsidRPr="00D9370D">
        <w:t xml:space="preserve"> Florin D. </w:t>
      </w:r>
      <w:r w:rsidR="004904F2" w:rsidRPr="00D9370D">
        <w:rPr>
          <w:i/>
        </w:rPr>
        <w:t>Reducing health inequalities: primary care organisations and public health</w:t>
      </w:r>
      <w:r w:rsidR="004904F2" w:rsidRPr="00D9370D">
        <w:t xml:space="preserve">. </w:t>
      </w:r>
      <w:r w:rsidR="004904F2">
        <w:t>London: The King’s Fund;</w:t>
      </w:r>
      <w:r w:rsidR="004904F2" w:rsidRPr="00D9370D">
        <w:t xml:space="preserve"> 2002.</w:t>
      </w:r>
    </w:p>
    <w:p w14:paraId="10BD326D" w14:textId="64AC3AE7" w:rsidR="00C05F19" w:rsidRDefault="006116AC" w:rsidP="00C05F19">
      <w:pPr>
        <w:rPr>
          <w:rFonts w:cstheme="minorHAnsi"/>
          <w:szCs w:val="24"/>
        </w:rPr>
      </w:pPr>
      <w:r>
        <w:t>1</w:t>
      </w:r>
      <w:r w:rsidR="007D6C88">
        <w:t>4</w:t>
      </w:r>
      <w:r>
        <w:t>.</w:t>
      </w:r>
      <w:r w:rsidR="004904F2">
        <w:t xml:space="preserve"> </w:t>
      </w:r>
      <w:r w:rsidR="00C05F19" w:rsidRPr="00C05F19">
        <w:rPr>
          <w:rFonts w:cstheme="minorHAnsi"/>
          <w:szCs w:val="24"/>
        </w:rPr>
        <w:t xml:space="preserve">Pharmaceutical Services Negotiating Committee. </w:t>
      </w:r>
      <w:r w:rsidR="00C05F19" w:rsidRPr="00C05F19">
        <w:rPr>
          <w:rFonts w:cstheme="minorHAnsi"/>
          <w:i/>
          <w:szCs w:val="24"/>
        </w:rPr>
        <w:t>Community Pharmacy: at the heart of public health.</w:t>
      </w:r>
      <w:r w:rsidR="00C05F19">
        <w:rPr>
          <w:rFonts w:cstheme="minorHAnsi"/>
          <w:szCs w:val="24"/>
        </w:rPr>
        <w:t xml:space="preserve"> Buckinghamshire: </w:t>
      </w:r>
      <w:r w:rsidR="00D9370D">
        <w:rPr>
          <w:rFonts w:cstheme="minorHAnsi"/>
          <w:szCs w:val="24"/>
        </w:rPr>
        <w:t xml:space="preserve">PSNC; </w:t>
      </w:r>
      <w:r w:rsidR="00C05F19">
        <w:rPr>
          <w:rFonts w:cstheme="minorHAnsi"/>
          <w:szCs w:val="24"/>
        </w:rPr>
        <w:t xml:space="preserve">2010. </w:t>
      </w:r>
      <w:hyperlink r:id="rId14" w:history="1">
        <w:r w:rsidR="00C05F19" w:rsidRPr="00B411FF">
          <w:rPr>
            <w:rStyle w:val="Hyperlink"/>
            <w:rFonts w:cstheme="minorHAnsi"/>
            <w:szCs w:val="24"/>
          </w:rPr>
          <w:t>http://psnc.org.uk/wp-content/uploads/2013/08/Community_Pharmacy_at_the_heart_of_public_health_V1.pdf</w:t>
        </w:r>
      </w:hyperlink>
      <w:r w:rsidR="00C05F19">
        <w:rPr>
          <w:rFonts w:cstheme="minorHAnsi"/>
          <w:szCs w:val="24"/>
        </w:rPr>
        <w:t xml:space="preserve"> </w:t>
      </w:r>
      <w:r w:rsidR="00D36603">
        <w:rPr>
          <w:rFonts w:cstheme="minorHAnsi"/>
          <w:szCs w:val="24"/>
        </w:rPr>
        <w:t>(accessed March 2015</w:t>
      </w:r>
      <w:r w:rsidR="00D9370D">
        <w:rPr>
          <w:rFonts w:cstheme="minorHAnsi"/>
          <w:szCs w:val="24"/>
        </w:rPr>
        <w:t>).</w:t>
      </w:r>
    </w:p>
    <w:p w14:paraId="454445A8" w14:textId="7F57268F" w:rsidR="00E85346" w:rsidRDefault="00E85346" w:rsidP="00C05F19">
      <w:pPr>
        <w:rPr>
          <w:rFonts w:cstheme="minorHAnsi"/>
          <w:szCs w:val="24"/>
        </w:rPr>
      </w:pPr>
      <w:r>
        <w:rPr>
          <w:rFonts w:cstheme="minorHAnsi"/>
          <w:szCs w:val="24"/>
        </w:rPr>
        <w:t>1</w:t>
      </w:r>
      <w:r w:rsidR="007D6C88">
        <w:rPr>
          <w:rFonts w:cstheme="minorHAnsi"/>
          <w:szCs w:val="24"/>
        </w:rPr>
        <w:t>5</w:t>
      </w:r>
      <w:r>
        <w:rPr>
          <w:rFonts w:cstheme="minorHAnsi"/>
          <w:szCs w:val="24"/>
        </w:rPr>
        <w:t xml:space="preserve">. Royal Pharmaceutical Society. </w:t>
      </w:r>
      <w:r w:rsidRPr="00E85346">
        <w:rPr>
          <w:rFonts w:cstheme="minorHAnsi"/>
          <w:i/>
          <w:szCs w:val="24"/>
        </w:rPr>
        <w:t xml:space="preserve">Professional Standards for Public Health Practice for Pharmacy. </w:t>
      </w:r>
      <w:r w:rsidRPr="00E85346">
        <w:rPr>
          <w:rFonts w:cstheme="minorHAnsi"/>
          <w:szCs w:val="24"/>
        </w:rPr>
        <w:t>Royal Pharmaceutical Society</w:t>
      </w:r>
      <w:r>
        <w:rPr>
          <w:rFonts w:cstheme="minorHAnsi"/>
          <w:i/>
          <w:szCs w:val="24"/>
        </w:rPr>
        <w:t xml:space="preserve">, </w:t>
      </w:r>
      <w:r>
        <w:rPr>
          <w:rFonts w:cstheme="minorHAnsi"/>
          <w:szCs w:val="24"/>
        </w:rPr>
        <w:t xml:space="preserve">Faculty of Public Health and the Royal Society for Public Health, March 2014. </w:t>
      </w:r>
      <w:hyperlink r:id="rId15" w:history="1">
        <w:r w:rsidR="00B82E80" w:rsidRPr="00DC6A80">
          <w:rPr>
            <w:rStyle w:val="Hyperlink"/>
            <w:rFonts w:cstheme="minorHAnsi"/>
            <w:szCs w:val="24"/>
          </w:rPr>
          <w:t>http://www.rpharms.com/news-story-downloads/rps-professional-standards-for-public-health-practice-for-pharmacy-augus....pdf</w:t>
        </w:r>
      </w:hyperlink>
      <w:r w:rsidR="00B82E80">
        <w:rPr>
          <w:rFonts w:cstheme="minorHAnsi"/>
          <w:szCs w:val="24"/>
        </w:rPr>
        <w:t xml:space="preserve"> (access</w:t>
      </w:r>
      <w:r w:rsidR="00D36603">
        <w:rPr>
          <w:rFonts w:cstheme="minorHAnsi"/>
          <w:szCs w:val="24"/>
        </w:rPr>
        <w:t>ed March</w:t>
      </w:r>
      <w:r w:rsidR="00B82E80">
        <w:rPr>
          <w:rFonts w:cstheme="minorHAnsi"/>
          <w:szCs w:val="24"/>
        </w:rPr>
        <w:t xml:space="preserve"> 201</w:t>
      </w:r>
      <w:r w:rsidR="00D36603">
        <w:rPr>
          <w:rFonts w:cstheme="minorHAnsi"/>
          <w:szCs w:val="24"/>
        </w:rPr>
        <w:t>5</w:t>
      </w:r>
      <w:r w:rsidR="00B82E80">
        <w:rPr>
          <w:rFonts w:cstheme="minorHAnsi"/>
          <w:szCs w:val="24"/>
        </w:rPr>
        <w:t>).</w:t>
      </w:r>
    </w:p>
    <w:p w14:paraId="2FD75347" w14:textId="3E77C085" w:rsidR="00147135" w:rsidRPr="000B7564" w:rsidRDefault="00147135" w:rsidP="00147135">
      <w:r w:rsidRPr="000B7564">
        <w:t>1</w:t>
      </w:r>
      <w:r w:rsidR="007D6C88">
        <w:t>6</w:t>
      </w:r>
      <w:r w:rsidRPr="000B7564">
        <w:t xml:space="preserve">. Mannion R and Braithwaite J. Unintended consequences of performance measurement in healthcare: 20 salutary lessons from the English National Health Service. </w:t>
      </w:r>
      <w:r w:rsidRPr="000B7564">
        <w:rPr>
          <w:i/>
        </w:rPr>
        <w:t xml:space="preserve">Intern Med J </w:t>
      </w:r>
      <w:r w:rsidRPr="000B7564">
        <w:t>2012;</w:t>
      </w:r>
      <w:r w:rsidR="00284534">
        <w:t xml:space="preserve"> </w:t>
      </w:r>
      <w:r w:rsidRPr="000B7564">
        <w:t>42:</w:t>
      </w:r>
      <w:r w:rsidR="00284534">
        <w:t xml:space="preserve"> </w:t>
      </w:r>
      <w:r w:rsidRPr="000B7564">
        <w:t>569-574.</w:t>
      </w:r>
    </w:p>
    <w:p w14:paraId="67311180" w14:textId="085199A1" w:rsidR="000B7564" w:rsidRDefault="000B7564" w:rsidP="000B7564">
      <w:r>
        <w:t>1</w:t>
      </w:r>
      <w:r w:rsidR="007D6C88">
        <w:t>7</w:t>
      </w:r>
      <w:r>
        <w:t xml:space="preserve">. Goodwin N, Dixon A, Poole T and </w:t>
      </w:r>
      <w:r w:rsidRPr="0051780E">
        <w:t xml:space="preserve">Raleigh V. </w:t>
      </w:r>
      <w:r w:rsidRPr="0051780E">
        <w:rPr>
          <w:i/>
        </w:rPr>
        <w:t>Improving the Quality of Care in General Practice – Report of an Independent Inquiry commissioned by the King’s Fund</w:t>
      </w:r>
      <w:r>
        <w:t xml:space="preserve">. London: The King’s Fund; </w:t>
      </w:r>
      <w:r w:rsidRPr="0051780E">
        <w:t xml:space="preserve">2011.  </w:t>
      </w:r>
    </w:p>
    <w:p w14:paraId="26FFC542" w14:textId="5CE4B226" w:rsidR="000B7564" w:rsidRPr="000B7564" w:rsidRDefault="000B7564" w:rsidP="000B7564">
      <w:pPr>
        <w:rPr>
          <w:rFonts w:cstheme="minorHAnsi"/>
        </w:rPr>
      </w:pPr>
      <w:r>
        <w:rPr>
          <w:rFonts w:cstheme="minorHAnsi"/>
        </w:rPr>
        <w:t>1</w:t>
      </w:r>
      <w:r w:rsidR="007D6C88">
        <w:rPr>
          <w:rFonts w:cstheme="minorHAnsi"/>
        </w:rPr>
        <w:t>8</w:t>
      </w:r>
      <w:r>
        <w:rPr>
          <w:rFonts w:cstheme="minorHAnsi"/>
        </w:rPr>
        <w:t xml:space="preserve">. </w:t>
      </w:r>
      <w:r w:rsidRPr="000B7564">
        <w:rPr>
          <w:rFonts w:cstheme="minorHAnsi"/>
        </w:rPr>
        <w:t xml:space="preserve">National Primary Care Research &amp; Development Centre. </w:t>
      </w:r>
      <w:r w:rsidRPr="005E652A">
        <w:rPr>
          <w:rFonts w:cstheme="minorHAnsi"/>
          <w:i/>
        </w:rPr>
        <w:t>Manchester Patient Safety Framework</w:t>
      </w:r>
      <w:r w:rsidRPr="000B7564">
        <w:rPr>
          <w:rFonts w:cstheme="minorHAnsi"/>
        </w:rPr>
        <w:t xml:space="preserve">, 2006. Available from (accessed </w:t>
      </w:r>
      <w:r>
        <w:rPr>
          <w:rFonts w:cstheme="minorHAnsi"/>
        </w:rPr>
        <w:t>September 2014</w:t>
      </w:r>
      <w:r w:rsidRPr="000B7564">
        <w:rPr>
          <w:rFonts w:cstheme="minorHAnsi"/>
        </w:rPr>
        <w:t>):</w:t>
      </w:r>
      <w:r>
        <w:rPr>
          <w:rFonts w:cstheme="minorHAnsi"/>
        </w:rPr>
        <w:t xml:space="preserve"> </w:t>
      </w:r>
      <w:hyperlink r:id="rId16" w:history="1">
        <w:r w:rsidRPr="000B7564">
          <w:rPr>
            <w:rStyle w:val="Hyperlink"/>
          </w:rPr>
          <w:t>http://www.nrls.npsa.nhs.uk/resources/?entryid45=59796</w:t>
        </w:r>
      </w:hyperlink>
      <w:r w:rsidRPr="000B7564">
        <w:t xml:space="preserve"> </w:t>
      </w:r>
    </w:p>
    <w:p w14:paraId="5B6DB736" w14:textId="77777777" w:rsidR="0070314F" w:rsidRDefault="0070314F" w:rsidP="00405EC7"/>
    <w:p w14:paraId="70D0744B" w14:textId="1D917089" w:rsidR="00C0124F" w:rsidRPr="006116AC" w:rsidRDefault="00296F64" w:rsidP="0017704B">
      <w:pPr>
        <w:rPr>
          <w:b/>
        </w:rPr>
      </w:pPr>
      <w:r>
        <w:br w:type="page"/>
      </w:r>
      <w:r w:rsidR="00E1644C">
        <w:rPr>
          <w:b/>
        </w:rPr>
        <w:t>Figure</w:t>
      </w:r>
      <w:r w:rsidR="00C0124F" w:rsidRPr="006116AC">
        <w:rPr>
          <w:b/>
        </w:rPr>
        <w:t xml:space="preserve"> 1.</w:t>
      </w:r>
      <w:r w:rsidR="00C0124F">
        <w:rPr>
          <w:b/>
        </w:rPr>
        <w:t xml:space="preserve"> Example characteristic with d</w:t>
      </w:r>
      <w:r w:rsidR="00C0124F" w:rsidRPr="006116AC">
        <w:rPr>
          <w:b/>
        </w:rPr>
        <w:t>escription</w:t>
      </w:r>
    </w:p>
    <w:p w14:paraId="080A5F3E" w14:textId="77777777" w:rsidR="00C0124F" w:rsidRDefault="00C0124F" w:rsidP="00C0124F">
      <w:r>
        <w:rPr>
          <w:noProof/>
          <w:lang w:eastAsia="en-GB"/>
        </w:rPr>
        <mc:AlternateContent>
          <mc:Choice Requires="wps">
            <w:drawing>
              <wp:anchor distT="0" distB="0" distL="114300" distR="114300" simplePos="0" relativeHeight="251663360" behindDoc="0" locked="0" layoutInCell="1" allowOverlap="1" wp14:anchorId="509794B4" wp14:editId="6230908F">
                <wp:simplePos x="0" y="0"/>
                <wp:positionH relativeFrom="column">
                  <wp:posOffset>695960</wp:posOffset>
                </wp:positionH>
                <wp:positionV relativeFrom="paragraph">
                  <wp:posOffset>135255</wp:posOffset>
                </wp:positionV>
                <wp:extent cx="4450080" cy="2896235"/>
                <wp:effectExtent l="0" t="0" r="266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2896235"/>
                        </a:xfrm>
                        <a:prstGeom prst="rect">
                          <a:avLst/>
                        </a:prstGeom>
                        <a:solidFill>
                          <a:srgbClr val="FFFFFF"/>
                        </a:solidFill>
                        <a:ln w="9525">
                          <a:solidFill>
                            <a:srgbClr val="000000"/>
                          </a:solidFill>
                          <a:miter lim="800000"/>
                          <a:headEnd/>
                          <a:tailEnd/>
                        </a:ln>
                      </wps:spPr>
                      <wps:txbx>
                        <w:txbxContent>
                          <w:p w14:paraId="1F39A572" w14:textId="77777777" w:rsidR="00C069AE" w:rsidRPr="00CA295E" w:rsidRDefault="00C069AE" w:rsidP="00C0124F">
                            <w:pPr>
                              <w:pStyle w:val="Default"/>
                              <w:rPr>
                                <w:sz w:val="22"/>
                                <w:szCs w:val="22"/>
                              </w:rPr>
                            </w:pPr>
                          </w:p>
                          <w:p w14:paraId="018CB852" w14:textId="77777777" w:rsidR="00C069AE" w:rsidRPr="00CA295E" w:rsidRDefault="00C069AE" w:rsidP="00C0124F">
                            <w:pPr>
                              <w:pStyle w:val="Default"/>
                              <w:rPr>
                                <w:sz w:val="22"/>
                                <w:szCs w:val="22"/>
                              </w:rPr>
                            </w:pPr>
                            <w:r>
                              <w:rPr>
                                <w:b/>
                                <w:i/>
                                <w:sz w:val="22"/>
                                <w:szCs w:val="22"/>
                              </w:rPr>
                              <w:t>Characteristic</w:t>
                            </w:r>
                            <w:r w:rsidRPr="00CA295E">
                              <w:rPr>
                                <w:b/>
                                <w:bCs/>
                                <w:i/>
                                <w:iCs/>
                                <w:sz w:val="22"/>
                                <w:szCs w:val="22"/>
                              </w:rPr>
                              <w:t xml:space="preserve">: </w:t>
                            </w:r>
                            <w:r w:rsidRPr="00CA295E">
                              <w:rPr>
                                <w:sz w:val="22"/>
                                <w:szCs w:val="22"/>
                              </w:rPr>
                              <w:t xml:space="preserve">The Practice demonstrates effective methods of internal staff communication. </w:t>
                            </w:r>
                          </w:p>
                          <w:p w14:paraId="0E87D438" w14:textId="77777777" w:rsidR="00C069AE" w:rsidRDefault="00C069AE" w:rsidP="00C0124F">
                            <w:r w:rsidRPr="00CA295E">
                              <w:rPr>
                                <w:b/>
                                <w:bCs/>
                                <w:i/>
                                <w:iCs/>
                              </w:rPr>
                              <w:t xml:space="preserve">Description: </w:t>
                            </w:r>
                            <w:r w:rsidRPr="00CA295E">
                              <w:t xml:space="preserve">There are agreed methods for communicating different types of messages (e.g. new </w:t>
                            </w:r>
                            <w:r w:rsidRPr="00A7351C">
                              <w:rPr>
                                <w:bCs/>
                              </w:rPr>
                              <w:t xml:space="preserve">protocols </w:t>
                            </w:r>
                            <w:r w:rsidRPr="00A7351C">
                              <w:t>w</w:t>
                            </w:r>
                            <w:r w:rsidRPr="00CA295E">
                              <w:t xml:space="preserve">ill be listed on a noticeboard for all staff to sign when they have read them; issues that cannot be resolved that day concerning a particular prescription are to be noted in the diary for next staff etc.). These methods are documented in a </w:t>
                            </w:r>
                            <w:r>
                              <w:t xml:space="preserve">standard operating procedure </w:t>
                            </w:r>
                            <w:r w:rsidRPr="00A7351C">
                              <w:t>(</w:t>
                            </w:r>
                            <w:r w:rsidRPr="00A7351C">
                              <w:rPr>
                                <w:bCs/>
                              </w:rPr>
                              <w:t xml:space="preserve">SOP) </w:t>
                            </w:r>
                            <w:r w:rsidRPr="00A7351C">
                              <w:t xml:space="preserve">and, if appropriate, the </w:t>
                            </w:r>
                            <w:r w:rsidRPr="00A7351C">
                              <w:rPr>
                                <w:bCs/>
                              </w:rPr>
                              <w:t xml:space="preserve">SOP </w:t>
                            </w:r>
                            <w:r w:rsidRPr="00A7351C">
                              <w:t xml:space="preserve">is also displayed as a poster in the dispensary for the benefit of </w:t>
                            </w:r>
                            <w:r w:rsidRPr="00A7351C">
                              <w:rPr>
                                <w:bCs/>
                              </w:rPr>
                              <w:t>locum</w:t>
                            </w:r>
                            <w:r w:rsidRPr="00A7351C">
                              <w:t>/new staff. Regular practice review meetings should be held with all staff present or receiving minutes</w:t>
                            </w:r>
                            <w:r w:rsidRPr="00CA295E">
                              <w:t xml:space="preserve">. Staff feel that they are listened to by their colleagues. Staff are required to reflect on how effective the communication systems are within the team at least annually.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794B4" id="_x0000_t202" coordsize="21600,21600" o:spt="202" path="m,l,21600r21600,l21600,xe">
                <v:stroke joinstyle="miter"/>
                <v:path gradientshapeok="t" o:connecttype="rect"/>
              </v:shapetype>
              <v:shape id="Text Box 2" o:spid="_x0000_s1026" type="#_x0000_t202" style="position:absolute;margin-left:54.8pt;margin-top:10.65pt;width:350.4pt;height:228.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">
                <v:textbox style="mso-fit-shape-to-text:t">
                  <w:txbxContent>
                    <w:p w14:paraId="1F39A572" w14:textId="77777777" w:rsidR="00C069AE" w:rsidRPr="00CA295E" w:rsidRDefault="00C069AE" w:rsidP="00C0124F">
                      <w:pPr>
                        <w:pStyle w:val="Default"/>
                        <w:rPr>
                          <w:sz w:val="22"/>
                          <w:szCs w:val="22"/>
                        </w:rPr>
                      </w:pPr>
                    </w:p>
                    <w:p w14:paraId="018CB852" w14:textId="77777777" w:rsidR="00C069AE" w:rsidRPr="00CA295E" w:rsidRDefault="00C069AE" w:rsidP="00C0124F">
                      <w:pPr>
                        <w:pStyle w:val="Default"/>
                        <w:rPr>
                          <w:sz w:val="22"/>
                          <w:szCs w:val="22"/>
                        </w:rPr>
                      </w:pPr>
                      <w:r>
                        <w:rPr>
                          <w:b/>
                          <w:i/>
                          <w:sz w:val="22"/>
                          <w:szCs w:val="22"/>
                        </w:rPr>
                        <w:t>Characteristic</w:t>
                      </w:r>
                      <w:r w:rsidRPr="00CA295E">
                        <w:rPr>
                          <w:b/>
                          <w:bCs/>
                          <w:i/>
                          <w:iCs/>
                          <w:sz w:val="22"/>
                          <w:szCs w:val="22"/>
                        </w:rPr>
                        <w:t xml:space="preserve">: </w:t>
                      </w:r>
                      <w:r w:rsidRPr="00CA295E">
                        <w:rPr>
                          <w:sz w:val="22"/>
                          <w:szCs w:val="22"/>
                        </w:rPr>
                        <w:t xml:space="preserve">The Practice demonstrates effective methods of internal staff communication. </w:t>
                      </w:r>
                    </w:p>
                    <w:p w14:paraId="0E87D438" w14:textId="77777777" w:rsidR="00C069AE" w:rsidRDefault="00C069AE" w:rsidP="00C0124F">
                      <w:r w:rsidRPr="00CA295E">
                        <w:rPr>
                          <w:b/>
                          <w:bCs/>
                          <w:i/>
                          <w:iCs/>
                        </w:rPr>
                        <w:t xml:space="preserve">Description: </w:t>
                      </w:r>
                      <w:r w:rsidRPr="00CA295E">
                        <w:t xml:space="preserve">There are agreed methods for communicating different types of messages (e.g. new </w:t>
                      </w:r>
                      <w:r w:rsidRPr="00A7351C">
                        <w:rPr>
                          <w:bCs/>
                        </w:rPr>
                        <w:t xml:space="preserve">protocols </w:t>
                      </w:r>
                      <w:r w:rsidRPr="00A7351C">
                        <w:t>w</w:t>
                      </w:r>
                      <w:r w:rsidRPr="00CA295E">
                        <w:t xml:space="preserve">ill be listed on a noticeboard for all staff to sign when they have read them; issues that cannot be resolved that day concerning a particular prescription are to be noted in the diary for next staff etc.). These methods are documented in a </w:t>
                      </w:r>
                      <w:r>
                        <w:t xml:space="preserve">standard operating procedure </w:t>
                      </w:r>
                      <w:r w:rsidRPr="00A7351C">
                        <w:t>(</w:t>
                      </w:r>
                      <w:r w:rsidRPr="00A7351C">
                        <w:rPr>
                          <w:bCs/>
                        </w:rPr>
                        <w:t xml:space="preserve">SOP) </w:t>
                      </w:r>
                      <w:r w:rsidRPr="00A7351C">
                        <w:t xml:space="preserve">and, if appropriate, the </w:t>
                      </w:r>
                      <w:r w:rsidRPr="00A7351C">
                        <w:rPr>
                          <w:bCs/>
                        </w:rPr>
                        <w:t xml:space="preserve">SOP </w:t>
                      </w:r>
                      <w:r w:rsidRPr="00A7351C">
                        <w:t xml:space="preserve">is also displayed as a poster in the dispensary for the benefit of </w:t>
                      </w:r>
                      <w:r w:rsidRPr="00A7351C">
                        <w:rPr>
                          <w:bCs/>
                        </w:rPr>
                        <w:t>locum</w:t>
                      </w:r>
                      <w:r w:rsidRPr="00A7351C">
                        <w:t>/new staff. Regular practice review meetings should be held with all staff present or receiving minutes</w:t>
                      </w:r>
                      <w:r w:rsidRPr="00CA295E">
                        <w:t xml:space="preserve">. Staff feel that they are listened to by their colleagues. Staff are required to reflect on how effective the communication systems are within the team at least annually. </w:t>
                      </w:r>
                    </w:p>
                  </w:txbxContent>
                </v:textbox>
              </v:shape>
            </w:pict>
          </mc:Fallback>
        </mc:AlternateContent>
      </w:r>
    </w:p>
    <w:p w14:paraId="10F47E4E" w14:textId="77777777" w:rsidR="00C0124F" w:rsidRDefault="00C0124F" w:rsidP="00C0124F"/>
    <w:p w14:paraId="0E9E3355" w14:textId="77777777" w:rsidR="00C0124F" w:rsidRDefault="00C0124F" w:rsidP="00C0124F"/>
    <w:p w14:paraId="6623F1CF" w14:textId="77777777" w:rsidR="00C0124F" w:rsidRDefault="00C0124F" w:rsidP="00C0124F"/>
    <w:p w14:paraId="0C00794E" w14:textId="77777777" w:rsidR="00C0124F" w:rsidRDefault="00C0124F" w:rsidP="00C0124F"/>
    <w:p w14:paraId="093A566B" w14:textId="77777777" w:rsidR="00C0124F" w:rsidRDefault="00C0124F" w:rsidP="00C0124F"/>
    <w:p w14:paraId="1E11F960" w14:textId="77777777" w:rsidR="00C0124F" w:rsidRDefault="00C0124F" w:rsidP="00C0124F"/>
    <w:p w14:paraId="32989BB0" w14:textId="77777777" w:rsidR="00C0124F" w:rsidRDefault="00C0124F" w:rsidP="00C0124F"/>
    <w:p w14:paraId="2399712D" w14:textId="77777777" w:rsidR="00C0124F" w:rsidRDefault="00C0124F" w:rsidP="00C0124F"/>
    <w:p w14:paraId="21679E89" w14:textId="77777777" w:rsidR="00C0124F" w:rsidRDefault="00C0124F" w:rsidP="00405EC7"/>
    <w:p w14:paraId="0F2DCCC4" w14:textId="77777777" w:rsidR="00C0124F" w:rsidRDefault="00C0124F" w:rsidP="00405EC7"/>
    <w:p w14:paraId="651B6CA4" w14:textId="77777777" w:rsidR="00296F64" w:rsidRDefault="00296F64">
      <w:pPr>
        <w:rPr>
          <w:b/>
        </w:rPr>
      </w:pPr>
      <w:r>
        <w:rPr>
          <w:b/>
        </w:rPr>
        <w:br w:type="page"/>
      </w:r>
    </w:p>
    <w:p w14:paraId="405A23AA" w14:textId="77777777" w:rsidR="00296F64" w:rsidRDefault="00296F64">
      <w:pPr>
        <w:rPr>
          <w:b/>
        </w:rPr>
      </w:pPr>
      <w:r>
        <w:rPr>
          <w:b/>
        </w:rPr>
        <w:br w:type="page"/>
      </w:r>
    </w:p>
    <w:p w14:paraId="2A17E476" w14:textId="4A2D482D" w:rsidR="00C0124F" w:rsidRPr="0070314F" w:rsidRDefault="00C0124F" w:rsidP="00C0124F">
      <w:pPr>
        <w:pStyle w:val="NoSpacing"/>
        <w:jc w:val="center"/>
        <w:rPr>
          <w:b/>
        </w:rPr>
      </w:pPr>
      <w:r w:rsidRPr="0070314F">
        <w:rPr>
          <w:b/>
        </w:rPr>
        <w:t xml:space="preserve">Table </w:t>
      </w:r>
      <w:r w:rsidR="00C069AE">
        <w:rPr>
          <w:b/>
        </w:rPr>
        <w:t>1</w:t>
      </w:r>
      <w:r w:rsidRPr="0070314F">
        <w:rPr>
          <w:b/>
        </w:rPr>
        <w:t>. Surveys sent and received</w:t>
      </w:r>
      <w:r>
        <w:rPr>
          <w:b/>
        </w:rPr>
        <w:t xml:space="preserve"> by</w:t>
      </w:r>
      <w:r w:rsidRPr="0070314F">
        <w:rPr>
          <w:b/>
        </w:rPr>
        <w:t xml:space="preserve"> stakeholder group.</w:t>
      </w:r>
    </w:p>
    <w:p w14:paraId="71A44A59" w14:textId="77777777" w:rsidR="00C0124F" w:rsidRDefault="00C0124F" w:rsidP="00C0124F">
      <w:pPr>
        <w:pStyle w:val="NoSpacing"/>
        <w:jc w:val="center"/>
      </w:pPr>
    </w:p>
    <w:tbl>
      <w:tblPr>
        <w:tblStyle w:val="PlainTable51"/>
        <w:tblW w:w="0" w:type="auto"/>
        <w:tblLook w:val="0600" w:firstRow="0" w:lastRow="0" w:firstColumn="0" w:lastColumn="0" w:noHBand="1" w:noVBand="1"/>
      </w:tblPr>
      <w:tblGrid>
        <w:gridCol w:w="2694"/>
        <w:gridCol w:w="1328"/>
        <w:gridCol w:w="1527"/>
        <w:gridCol w:w="1718"/>
        <w:gridCol w:w="1759"/>
      </w:tblGrid>
      <w:tr w:rsidR="007763BB" w14:paraId="780EFCB1" w14:textId="77777777" w:rsidTr="00807F64">
        <w:tc>
          <w:tcPr>
            <w:tcW w:w="2694" w:type="dxa"/>
          </w:tcPr>
          <w:p w14:paraId="46C51D1C" w14:textId="77777777" w:rsidR="007763BB" w:rsidRDefault="007763BB" w:rsidP="00B26D1F">
            <w:pPr>
              <w:rPr>
                <w:bCs/>
              </w:rPr>
            </w:pPr>
            <w:r>
              <w:rPr>
                <w:bCs/>
              </w:rPr>
              <w:t>Stakeholder group</w:t>
            </w:r>
          </w:p>
        </w:tc>
        <w:tc>
          <w:tcPr>
            <w:tcW w:w="1328" w:type="dxa"/>
          </w:tcPr>
          <w:p w14:paraId="050775C7" w14:textId="0E9CC9AA" w:rsidR="007763BB" w:rsidRDefault="007763BB" w:rsidP="00B26D1F">
            <w:pPr>
              <w:jc w:val="center"/>
              <w:rPr>
                <w:bCs/>
              </w:rPr>
            </w:pPr>
            <w:r>
              <w:rPr>
                <w:bCs/>
              </w:rPr>
              <w:t>Number Contacted</w:t>
            </w:r>
          </w:p>
        </w:tc>
        <w:tc>
          <w:tcPr>
            <w:tcW w:w="1527" w:type="dxa"/>
          </w:tcPr>
          <w:p w14:paraId="12FAA0DA" w14:textId="4B2C7EC0" w:rsidR="007763BB" w:rsidRDefault="007763BB" w:rsidP="00B26D1F">
            <w:pPr>
              <w:jc w:val="center"/>
              <w:rPr>
                <w:bCs/>
              </w:rPr>
            </w:pPr>
            <w:r>
              <w:rPr>
                <w:bCs/>
              </w:rPr>
              <w:t>First round surveys sent</w:t>
            </w:r>
          </w:p>
        </w:tc>
        <w:tc>
          <w:tcPr>
            <w:tcW w:w="1718" w:type="dxa"/>
          </w:tcPr>
          <w:p w14:paraId="33F99154" w14:textId="77777777" w:rsidR="007763BB" w:rsidRDefault="007763BB" w:rsidP="00B26D1F">
            <w:pPr>
              <w:jc w:val="center"/>
              <w:rPr>
                <w:bCs/>
              </w:rPr>
            </w:pPr>
            <w:r>
              <w:rPr>
                <w:bCs/>
              </w:rPr>
              <w:t>First round surveys completed</w:t>
            </w:r>
          </w:p>
        </w:tc>
        <w:tc>
          <w:tcPr>
            <w:tcW w:w="1759" w:type="dxa"/>
          </w:tcPr>
          <w:p w14:paraId="08491DF5" w14:textId="77777777" w:rsidR="007763BB" w:rsidRDefault="007763BB" w:rsidP="00B26D1F">
            <w:pPr>
              <w:jc w:val="center"/>
              <w:rPr>
                <w:bCs/>
              </w:rPr>
            </w:pPr>
            <w:r>
              <w:rPr>
                <w:bCs/>
              </w:rPr>
              <w:t>Second round surveys completed</w:t>
            </w:r>
          </w:p>
        </w:tc>
      </w:tr>
      <w:tr w:rsidR="007763BB" w14:paraId="71509175" w14:textId="77777777" w:rsidTr="00807F64">
        <w:tc>
          <w:tcPr>
            <w:tcW w:w="2694" w:type="dxa"/>
          </w:tcPr>
          <w:p w14:paraId="72011772" w14:textId="023A5F9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Dispensing GPs</w:t>
            </w:r>
            <w:r w:rsidR="00C069AE">
              <w:rPr>
                <w:rFonts w:ascii="Calibri" w:eastAsiaTheme="majorEastAsia" w:hAnsi="Calibri" w:cstheme="majorBidi"/>
                <w:bCs/>
                <w:szCs w:val="28"/>
              </w:rPr>
              <w:t xml:space="preserve"> or practice managers</w:t>
            </w:r>
          </w:p>
        </w:tc>
        <w:tc>
          <w:tcPr>
            <w:tcW w:w="1328" w:type="dxa"/>
          </w:tcPr>
          <w:p w14:paraId="08B623D2" w14:textId="58C7890F" w:rsidR="007763BB" w:rsidRDefault="00C069AE" w:rsidP="00B26D1F">
            <w:pPr>
              <w:jc w:val="center"/>
              <w:rPr>
                <w:bCs/>
              </w:rPr>
            </w:pPr>
            <w:r>
              <w:rPr>
                <w:bCs/>
              </w:rPr>
              <w:t>10</w:t>
            </w:r>
          </w:p>
        </w:tc>
        <w:tc>
          <w:tcPr>
            <w:tcW w:w="1527" w:type="dxa"/>
          </w:tcPr>
          <w:p w14:paraId="2EED6813" w14:textId="0A3E0799" w:rsidR="007763BB" w:rsidRDefault="007763BB" w:rsidP="00B26D1F">
            <w:pPr>
              <w:jc w:val="center"/>
              <w:rPr>
                <w:bCs/>
              </w:rPr>
            </w:pPr>
            <w:r>
              <w:rPr>
                <w:bCs/>
              </w:rPr>
              <w:t>4</w:t>
            </w:r>
          </w:p>
        </w:tc>
        <w:tc>
          <w:tcPr>
            <w:tcW w:w="1718" w:type="dxa"/>
          </w:tcPr>
          <w:p w14:paraId="64BE7DE3" w14:textId="77777777" w:rsidR="007763BB" w:rsidRDefault="007763BB" w:rsidP="00B26D1F">
            <w:pPr>
              <w:jc w:val="center"/>
              <w:rPr>
                <w:bCs/>
              </w:rPr>
            </w:pPr>
            <w:r>
              <w:rPr>
                <w:bCs/>
              </w:rPr>
              <w:t>3</w:t>
            </w:r>
          </w:p>
        </w:tc>
        <w:tc>
          <w:tcPr>
            <w:tcW w:w="1759" w:type="dxa"/>
          </w:tcPr>
          <w:p w14:paraId="7AF05743" w14:textId="77777777" w:rsidR="007763BB" w:rsidRDefault="007763BB" w:rsidP="00B26D1F">
            <w:pPr>
              <w:jc w:val="center"/>
              <w:rPr>
                <w:bCs/>
              </w:rPr>
            </w:pPr>
            <w:r>
              <w:rPr>
                <w:bCs/>
              </w:rPr>
              <w:t>2</w:t>
            </w:r>
          </w:p>
        </w:tc>
      </w:tr>
      <w:tr w:rsidR="007763BB" w14:paraId="0CF0676A" w14:textId="77777777" w:rsidTr="00807F64">
        <w:tc>
          <w:tcPr>
            <w:tcW w:w="2694" w:type="dxa"/>
          </w:tcPr>
          <w:p w14:paraId="3AE939E7" w14:textId="7777777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 xml:space="preserve">DP </w:t>
            </w:r>
            <w:r>
              <w:rPr>
                <w:rFonts w:ascii="Calibri" w:eastAsiaTheme="majorEastAsia" w:hAnsi="Calibri" w:cstheme="majorBidi"/>
                <w:bCs/>
                <w:szCs w:val="28"/>
              </w:rPr>
              <w:t>dispensers</w:t>
            </w:r>
          </w:p>
        </w:tc>
        <w:tc>
          <w:tcPr>
            <w:tcW w:w="1328" w:type="dxa"/>
          </w:tcPr>
          <w:p w14:paraId="7353B7AD" w14:textId="003FC16A" w:rsidR="007763BB" w:rsidRDefault="00C069AE" w:rsidP="00B26D1F">
            <w:pPr>
              <w:jc w:val="center"/>
              <w:rPr>
                <w:bCs/>
              </w:rPr>
            </w:pPr>
            <w:r>
              <w:rPr>
                <w:bCs/>
              </w:rPr>
              <w:t>-</w:t>
            </w:r>
          </w:p>
        </w:tc>
        <w:tc>
          <w:tcPr>
            <w:tcW w:w="1527" w:type="dxa"/>
          </w:tcPr>
          <w:p w14:paraId="205F2B43" w14:textId="4E88DB59" w:rsidR="007763BB" w:rsidRDefault="007763BB" w:rsidP="00B26D1F">
            <w:pPr>
              <w:jc w:val="center"/>
              <w:rPr>
                <w:bCs/>
              </w:rPr>
            </w:pPr>
            <w:r>
              <w:rPr>
                <w:bCs/>
              </w:rPr>
              <w:t>1</w:t>
            </w:r>
          </w:p>
        </w:tc>
        <w:tc>
          <w:tcPr>
            <w:tcW w:w="1718" w:type="dxa"/>
          </w:tcPr>
          <w:p w14:paraId="7E0B62BB" w14:textId="77777777" w:rsidR="007763BB" w:rsidRDefault="007763BB" w:rsidP="00B26D1F">
            <w:pPr>
              <w:jc w:val="center"/>
              <w:rPr>
                <w:bCs/>
              </w:rPr>
            </w:pPr>
            <w:r>
              <w:rPr>
                <w:bCs/>
              </w:rPr>
              <w:t>0</w:t>
            </w:r>
          </w:p>
        </w:tc>
        <w:tc>
          <w:tcPr>
            <w:tcW w:w="1759" w:type="dxa"/>
          </w:tcPr>
          <w:p w14:paraId="15D7A562" w14:textId="77777777" w:rsidR="007763BB" w:rsidRDefault="007763BB" w:rsidP="00B26D1F">
            <w:pPr>
              <w:jc w:val="center"/>
              <w:rPr>
                <w:bCs/>
              </w:rPr>
            </w:pPr>
            <w:r>
              <w:rPr>
                <w:bCs/>
              </w:rPr>
              <w:t>-</w:t>
            </w:r>
          </w:p>
        </w:tc>
      </w:tr>
      <w:tr w:rsidR="007763BB" w14:paraId="74865345" w14:textId="77777777" w:rsidTr="00807F64">
        <w:tc>
          <w:tcPr>
            <w:tcW w:w="2694" w:type="dxa"/>
          </w:tcPr>
          <w:p w14:paraId="7DBBF391" w14:textId="7777777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Community pharmacists</w:t>
            </w:r>
          </w:p>
        </w:tc>
        <w:tc>
          <w:tcPr>
            <w:tcW w:w="1328" w:type="dxa"/>
          </w:tcPr>
          <w:p w14:paraId="210BC582" w14:textId="1A3AEF14" w:rsidR="007763BB" w:rsidRDefault="00C069AE" w:rsidP="00B26D1F">
            <w:pPr>
              <w:jc w:val="center"/>
              <w:rPr>
                <w:bCs/>
              </w:rPr>
            </w:pPr>
            <w:r>
              <w:rPr>
                <w:bCs/>
              </w:rPr>
              <w:t>8</w:t>
            </w:r>
          </w:p>
        </w:tc>
        <w:tc>
          <w:tcPr>
            <w:tcW w:w="1527" w:type="dxa"/>
          </w:tcPr>
          <w:p w14:paraId="2E7C0C5F" w14:textId="6DBA5996" w:rsidR="007763BB" w:rsidRDefault="007763BB" w:rsidP="00B26D1F">
            <w:pPr>
              <w:jc w:val="center"/>
              <w:rPr>
                <w:bCs/>
              </w:rPr>
            </w:pPr>
            <w:r>
              <w:rPr>
                <w:bCs/>
              </w:rPr>
              <w:t>9</w:t>
            </w:r>
          </w:p>
        </w:tc>
        <w:tc>
          <w:tcPr>
            <w:tcW w:w="1718" w:type="dxa"/>
          </w:tcPr>
          <w:p w14:paraId="67F35461" w14:textId="77777777" w:rsidR="007763BB" w:rsidRDefault="007763BB" w:rsidP="00B26D1F">
            <w:pPr>
              <w:jc w:val="center"/>
              <w:rPr>
                <w:bCs/>
              </w:rPr>
            </w:pPr>
            <w:r>
              <w:rPr>
                <w:bCs/>
              </w:rPr>
              <w:t>8</w:t>
            </w:r>
          </w:p>
        </w:tc>
        <w:tc>
          <w:tcPr>
            <w:tcW w:w="1759" w:type="dxa"/>
          </w:tcPr>
          <w:p w14:paraId="7CF8EC18" w14:textId="77777777" w:rsidR="007763BB" w:rsidRDefault="007763BB" w:rsidP="00B26D1F">
            <w:pPr>
              <w:jc w:val="center"/>
              <w:rPr>
                <w:bCs/>
              </w:rPr>
            </w:pPr>
            <w:r>
              <w:rPr>
                <w:bCs/>
              </w:rPr>
              <w:t>8</w:t>
            </w:r>
          </w:p>
        </w:tc>
      </w:tr>
      <w:tr w:rsidR="007763BB" w14:paraId="59A14B1E" w14:textId="77777777" w:rsidTr="00807F64">
        <w:tc>
          <w:tcPr>
            <w:tcW w:w="2694" w:type="dxa"/>
          </w:tcPr>
          <w:p w14:paraId="60357653" w14:textId="7777777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CP dispensing assistants</w:t>
            </w:r>
          </w:p>
        </w:tc>
        <w:tc>
          <w:tcPr>
            <w:tcW w:w="1328" w:type="dxa"/>
          </w:tcPr>
          <w:p w14:paraId="5AD9A85F" w14:textId="4BE99A6B" w:rsidR="007763BB" w:rsidRDefault="00C069AE" w:rsidP="00B26D1F">
            <w:pPr>
              <w:jc w:val="center"/>
              <w:rPr>
                <w:bCs/>
              </w:rPr>
            </w:pPr>
            <w:r>
              <w:rPr>
                <w:bCs/>
              </w:rPr>
              <w:t>1</w:t>
            </w:r>
          </w:p>
        </w:tc>
        <w:tc>
          <w:tcPr>
            <w:tcW w:w="1527" w:type="dxa"/>
          </w:tcPr>
          <w:p w14:paraId="7E093C85" w14:textId="5BA4C2FF" w:rsidR="007763BB" w:rsidRDefault="007763BB" w:rsidP="00B26D1F">
            <w:pPr>
              <w:jc w:val="center"/>
              <w:rPr>
                <w:bCs/>
              </w:rPr>
            </w:pPr>
            <w:r>
              <w:rPr>
                <w:bCs/>
              </w:rPr>
              <w:t>2</w:t>
            </w:r>
          </w:p>
        </w:tc>
        <w:tc>
          <w:tcPr>
            <w:tcW w:w="1718" w:type="dxa"/>
          </w:tcPr>
          <w:p w14:paraId="4363A983" w14:textId="77777777" w:rsidR="007763BB" w:rsidRDefault="007763BB" w:rsidP="00B26D1F">
            <w:pPr>
              <w:jc w:val="center"/>
              <w:rPr>
                <w:bCs/>
              </w:rPr>
            </w:pPr>
            <w:r>
              <w:rPr>
                <w:bCs/>
              </w:rPr>
              <w:t>2</w:t>
            </w:r>
          </w:p>
        </w:tc>
        <w:tc>
          <w:tcPr>
            <w:tcW w:w="1759" w:type="dxa"/>
          </w:tcPr>
          <w:p w14:paraId="616ACF58" w14:textId="77777777" w:rsidR="007763BB" w:rsidRDefault="007763BB" w:rsidP="00B26D1F">
            <w:pPr>
              <w:jc w:val="center"/>
              <w:rPr>
                <w:bCs/>
              </w:rPr>
            </w:pPr>
            <w:r>
              <w:rPr>
                <w:bCs/>
              </w:rPr>
              <w:t>2</w:t>
            </w:r>
          </w:p>
        </w:tc>
      </w:tr>
      <w:tr w:rsidR="007763BB" w14:paraId="284A0FA5" w14:textId="77777777" w:rsidTr="00807F64">
        <w:tc>
          <w:tcPr>
            <w:tcW w:w="2694" w:type="dxa"/>
          </w:tcPr>
          <w:p w14:paraId="1BCBAA2C" w14:textId="7777777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DP organisation board members</w:t>
            </w:r>
          </w:p>
        </w:tc>
        <w:tc>
          <w:tcPr>
            <w:tcW w:w="1328" w:type="dxa"/>
          </w:tcPr>
          <w:p w14:paraId="58A36309" w14:textId="61241EBE" w:rsidR="007763BB" w:rsidRDefault="00C069AE" w:rsidP="00B26D1F">
            <w:pPr>
              <w:jc w:val="center"/>
              <w:rPr>
                <w:bCs/>
              </w:rPr>
            </w:pPr>
            <w:r>
              <w:rPr>
                <w:bCs/>
              </w:rPr>
              <w:t>4</w:t>
            </w:r>
          </w:p>
        </w:tc>
        <w:tc>
          <w:tcPr>
            <w:tcW w:w="1527" w:type="dxa"/>
          </w:tcPr>
          <w:p w14:paraId="6F4C1F84" w14:textId="6B1D2864" w:rsidR="007763BB" w:rsidRDefault="007763BB" w:rsidP="00B26D1F">
            <w:pPr>
              <w:jc w:val="center"/>
              <w:rPr>
                <w:bCs/>
              </w:rPr>
            </w:pPr>
            <w:r>
              <w:rPr>
                <w:bCs/>
              </w:rPr>
              <w:t>4</w:t>
            </w:r>
          </w:p>
        </w:tc>
        <w:tc>
          <w:tcPr>
            <w:tcW w:w="1718" w:type="dxa"/>
          </w:tcPr>
          <w:p w14:paraId="5661FA5F" w14:textId="77777777" w:rsidR="007763BB" w:rsidRDefault="007763BB" w:rsidP="00B26D1F">
            <w:pPr>
              <w:jc w:val="center"/>
              <w:rPr>
                <w:bCs/>
              </w:rPr>
            </w:pPr>
            <w:r>
              <w:rPr>
                <w:bCs/>
              </w:rPr>
              <w:t>0</w:t>
            </w:r>
          </w:p>
        </w:tc>
        <w:tc>
          <w:tcPr>
            <w:tcW w:w="1759" w:type="dxa"/>
          </w:tcPr>
          <w:p w14:paraId="07CEEC40" w14:textId="77777777" w:rsidR="007763BB" w:rsidRDefault="007763BB" w:rsidP="00B26D1F">
            <w:pPr>
              <w:jc w:val="center"/>
              <w:rPr>
                <w:bCs/>
              </w:rPr>
            </w:pPr>
            <w:r>
              <w:rPr>
                <w:bCs/>
              </w:rPr>
              <w:t>-</w:t>
            </w:r>
          </w:p>
        </w:tc>
      </w:tr>
      <w:tr w:rsidR="007763BB" w14:paraId="7AC9E110" w14:textId="77777777" w:rsidTr="00807F64">
        <w:tc>
          <w:tcPr>
            <w:tcW w:w="2694" w:type="dxa"/>
          </w:tcPr>
          <w:p w14:paraId="3C46EFDA" w14:textId="77777777" w:rsidR="007763BB" w:rsidRPr="0008650D" w:rsidRDefault="007763BB" w:rsidP="00B26D1F">
            <w:pPr>
              <w:rPr>
                <w:rFonts w:ascii="Calibri" w:eastAsiaTheme="majorEastAsia" w:hAnsi="Calibri" w:cstheme="majorBidi"/>
                <w:bCs/>
                <w:szCs w:val="28"/>
              </w:rPr>
            </w:pPr>
            <w:r>
              <w:rPr>
                <w:rFonts w:ascii="Calibri" w:eastAsiaTheme="majorEastAsia" w:hAnsi="Calibri" w:cstheme="majorBidi"/>
                <w:bCs/>
                <w:szCs w:val="28"/>
              </w:rPr>
              <w:t>C</w:t>
            </w:r>
            <w:r w:rsidRPr="0008650D">
              <w:rPr>
                <w:rFonts w:ascii="Calibri" w:eastAsiaTheme="majorEastAsia" w:hAnsi="Calibri" w:cstheme="majorBidi"/>
                <w:bCs/>
                <w:szCs w:val="28"/>
              </w:rPr>
              <w:t>P organisation board members</w:t>
            </w:r>
          </w:p>
        </w:tc>
        <w:tc>
          <w:tcPr>
            <w:tcW w:w="1328" w:type="dxa"/>
          </w:tcPr>
          <w:p w14:paraId="23951E88" w14:textId="6D96BB45" w:rsidR="007763BB" w:rsidRDefault="00C069AE" w:rsidP="00B26D1F">
            <w:pPr>
              <w:jc w:val="center"/>
              <w:rPr>
                <w:bCs/>
              </w:rPr>
            </w:pPr>
            <w:r>
              <w:rPr>
                <w:bCs/>
              </w:rPr>
              <w:t>-</w:t>
            </w:r>
          </w:p>
        </w:tc>
        <w:tc>
          <w:tcPr>
            <w:tcW w:w="1527" w:type="dxa"/>
          </w:tcPr>
          <w:p w14:paraId="086C5FE8" w14:textId="0F1B40E4" w:rsidR="007763BB" w:rsidRDefault="007763BB" w:rsidP="00B26D1F">
            <w:pPr>
              <w:jc w:val="center"/>
              <w:rPr>
                <w:bCs/>
              </w:rPr>
            </w:pPr>
            <w:r>
              <w:rPr>
                <w:bCs/>
              </w:rPr>
              <w:t>1</w:t>
            </w:r>
          </w:p>
        </w:tc>
        <w:tc>
          <w:tcPr>
            <w:tcW w:w="1718" w:type="dxa"/>
          </w:tcPr>
          <w:p w14:paraId="40A7F55D" w14:textId="77777777" w:rsidR="007763BB" w:rsidRDefault="007763BB" w:rsidP="00B26D1F">
            <w:pPr>
              <w:jc w:val="center"/>
              <w:rPr>
                <w:bCs/>
              </w:rPr>
            </w:pPr>
            <w:r>
              <w:rPr>
                <w:bCs/>
              </w:rPr>
              <w:t>1</w:t>
            </w:r>
          </w:p>
        </w:tc>
        <w:tc>
          <w:tcPr>
            <w:tcW w:w="1759" w:type="dxa"/>
          </w:tcPr>
          <w:p w14:paraId="067CBF77" w14:textId="77777777" w:rsidR="007763BB" w:rsidRDefault="007763BB" w:rsidP="00B26D1F">
            <w:pPr>
              <w:jc w:val="center"/>
              <w:rPr>
                <w:bCs/>
              </w:rPr>
            </w:pPr>
            <w:r>
              <w:rPr>
                <w:bCs/>
              </w:rPr>
              <w:t>1</w:t>
            </w:r>
          </w:p>
        </w:tc>
      </w:tr>
      <w:tr w:rsidR="007763BB" w14:paraId="54B0FADB" w14:textId="77777777" w:rsidTr="00807F64">
        <w:tc>
          <w:tcPr>
            <w:tcW w:w="2694" w:type="dxa"/>
          </w:tcPr>
          <w:p w14:paraId="2DCC22CB" w14:textId="77777777" w:rsidR="007763BB" w:rsidRPr="0008650D" w:rsidRDefault="007763BB" w:rsidP="00B26D1F">
            <w:pPr>
              <w:rPr>
                <w:rFonts w:ascii="Calibri" w:eastAsiaTheme="majorEastAsia" w:hAnsi="Calibri" w:cstheme="majorBidi"/>
                <w:bCs/>
                <w:szCs w:val="28"/>
              </w:rPr>
            </w:pPr>
            <w:r w:rsidRPr="0008650D">
              <w:rPr>
                <w:rFonts w:ascii="Calibri" w:eastAsiaTheme="majorEastAsia" w:hAnsi="Calibri" w:cstheme="majorBidi"/>
                <w:bCs/>
                <w:szCs w:val="28"/>
              </w:rPr>
              <w:t>Large chain CP executives</w:t>
            </w:r>
          </w:p>
        </w:tc>
        <w:tc>
          <w:tcPr>
            <w:tcW w:w="1328" w:type="dxa"/>
          </w:tcPr>
          <w:p w14:paraId="4A4E2BCA" w14:textId="6C002545" w:rsidR="007763BB" w:rsidRDefault="00C069AE" w:rsidP="00B26D1F">
            <w:pPr>
              <w:jc w:val="center"/>
              <w:rPr>
                <w:bCs/>
              </w:rPr>
            </w:pPr>
            <w:r>
              <w:rPr>
                <w:bCs/>
              </w:rPr>
              <w:t>2</w:t>
            </w:r>
          </w:p>
        </w:tc>
        <w:tc>
          <w:tcPr>
            <w:tcW w:w="1527" w:type="dxa"/>
          </w:tcPr>
          <w:p w14:paraId="0B5F8284" w14:textId="2AC1079F" w:rsidR="007763BB" w:rsidRDefault="007763BB" w:rsidP="00B26D1F">
            <w:pPr>
              <w:jc w:val="center"/>
              <w:rPr>
                <w:bCs/>
              </w:rPr>
            </w:pPr>
            <w:r>
              <w:rPr>
                <w:bCs/>
              </w:rPr>
              <w:t>2</w:t>
            </w:r>
          </w:p>
        </w:tc>
        <w:tc>
          <w:tcPr>
            <w:tcW w:w="1718" w:type="dxa"/>
          </w:tcPr>
          <w:p w14:paraId="6A1EC157" w14:textId="77777777" w:rsidR="007763BB" w:rsidRDefault="007763BB" w:rsidP="00B26D1F">
            <w:pPr>
              <w:jc w:val="center"/>
              <w:rPr>
                <w:bCs/>
              </w:rPr>
            </w:pPr>
            <w:r>
              <w:rPr>
                <w:bCs/>
              </w:rPr>
              <w:t>2</w:t>
            </w:r>
          </w:p>
        </w:tc>
        <w:tc>
          <w:tcPr>
            <w:tcW w:w="1759" w:type="dxa"/>
          </w:tcPr>
          <w:p w14:paraId="38EC1A12" w14:textId="77777777" w:rsidR="007763BB" w:rsidRDefault="007763BB" w:rsidP="00B26D1F">
            <w:pPr>
              <w:jc w:val="center"/>
              <w:rPr>
                <w:bCs/>
              </w:rPr>
            </w:pPr>
            <w:r>
              <w:rPr>
                <w:bCs/>
              </w:rPr>
              <w:t>2</w:t>
            </w:r>
          </w:p>
        </w:tc>
      </w:tr>
      <w:tr w:rsidR="007763BB" w14:paraId="7C314812" w14:textId="77777777" w:rsidTr="00807F64">
        <w:tc>
          <w:tcPr>
            <w:tcW w:w="2694" w:type="dxa"/>
          </w:tcPr>
          <w:p w14:paraId="249486FE" w14:textId="77777777" w:rsidR="007763BB" w:rsidRDefault="007763BB" w:rsidP="00B26D1F">
            <w:r w:rsidRPr="0008650D">
              <w:rPr>
                <w:rFonts w:ascii="Calibri" w:eastAsiaTheme="majorEastAsia" w:hAnsi="Calibri" w:cstheme="majorBidi"/>
                <w:bCs/>
                <w:szCs w:val="28"/>
              </w:rPr>
              <w:t>Lay</w:t>
            </w:r>
          </w:p>
        </w:tc>
        <w:tc>
          <w:tcPr>
            <w:tcW w:w="1328" w:type="dxa"/>
          </w:tcPr>
          <w:p w14:paraId="00E5F47D" w14:textId="20028EA8" w:rsidR="007763BB" w:rsidRDefault="00C069AE" w:rsidP="00B26D1F">
            <w:pPr>
              <w:jc w:val="center"/>
              <w:rPr>
                <w:bCs/>
              </w:rPr>
            </w:pPr>
            <w:r>
              <w:rPr>
                <w:bCs/>
              </w:rPr>
              <w:t>10</w:t>
            </w:r>
          </w:p>
        </w:tc>
        <w:tc>
          <w:tcPr>
            <w:tcW w:w="1527" w:type="dxa"/>
          </w:tcPr>
          <w:p w14:paraId="710B732C" w14:textId="33F2B3BC" w:rsidR="007763BB" w:rsidRDefault="007763BB" w:rsidP="00B26D1F">
            <w:pPr>
              <w:jc w:val="center"/>
              <w:rPr>
                <w:bCs/>
              </w:rPr>
            </w:pPr>
            <w:r>
              <w:rPr>
                <w:bCs/>
              </w:rPr>
              <w:t>7</w:t>
            </w:r>
          </w:p>
        </w:tc>
        <w:tc>
          <w:tcPr>
            <w:tcW w:w="1718" w:type="dxa"/>
          </w:tcPr>
          <w:p w14:paraId="5F4E41F7" w14:textId="77777777" w:rsidR="007763BB" w:rsidRDefault="007763BB" w:rsidP="00B26D1F">
            <w:pPr>
              <w:jc w:val="center"/>
              <w:rPr>
                <w:bCs/>
              </w:rPr>
            </w:pPr>
            <w:r>
              <w:rPr>
                <w:bCs/>
              </w:rPr>
              <w:t>7</w:t>
            </w:r>
          </w:p>
        </w:tc>
        <w:tc>
          <w:tcPr>
            <w:tcW w:w="1759" w:type="dxa"/>
          </w:tcPr>
          <w:p w14:paraId="5845789F" w14:textId="77777777" w:rsidR="007763BB" w:rsidRDefault="007763BB" w:rsidP="00B26D1F">
            <w:pPr>
              <w:jc w:val="center"/>
              <w:rPr>
                <w:bCs/>
              </w:rPr>
            </w:pPr>
            <w:r>
              <w:rPr>
                <w:bCs/>
              </w:rPr>
              <w:t>7</w:t>
            </w:r>
          </w:p>
        </w:tc>
      </w:tr>
      <w:tr w:rsidR="007763BB" w14:paraId="473D6CB1" w14:textId="77777777" w:rsidTr="00807F64">
        <w:tc>
          <w:tcPr>
            <w:tcW w:w="2694" w:type="dxa"/>
          </w:tcPr>
          <w:p w14:paraId="09A6D25A" w14:textId="77777777" w:rsidR="007763BB" w:rsidRPr="00324E31" w:rsidRDefault="007763BB" w:rsidP="00B26D1F">
            <w:pPr>
              <w:rPr>
                <w:rFonts w:ascii="Calibri" w:eastAsiaTheme="majorEastAsia" w:hAnsi="Calibri" w:cstheme="majorBidi"/>
                <w:b/>
                <w:bCs/>
                <w:szCs w:val="28"/>
              </w:rPr>
            </w:pPr>
            <w:r w:rsidRPr="00324E31">
              <w:rPr>
                <w:rFonts w:ascii="Calibri" w:eastAsiaTheme="majorEastAsia" w:hAnsi="Calibri" w:cstheme="majorBidi"/>
                <w:b/>
                <w:bCs/>
                <w:szCs w:val="28"/>
              </w:rPr>
              <w:t>Total</w:t>
            </w:r>
          </w:p>
        </w:tc>
        <w:tc>
          <w:tcPr>
            <w:tcW w:w="1328" w:type="dxa"/>
          </w:tcPr>
          <w:p w14:paraId="25C69E54" w14:textId="77777777" w:rsidR="007763BB" w:rsidRPr="00324E31" w:rsidRDefault="007763BB" w:rsidP="00B26D1F">
            <w:pPr>
              <w:jc w:val="center"/>
              <w:rPr>
                <w:b/>
                <w:bCs/>
              </w:rPr>
            </w:pPr>
          </w:p>
        </w:tc>
        <w:tc>
          <w:tcPr>
            <w:tcW w:w="1527" w:type="dxa"/>
          </w:tcPr>
          <w:p w14:paraId="5FE08B41" w14:textId="10E113F0" w:rsidR="007763BB" w:rsidRPr="00324E31" w:rsidRDefault="007763BB" w:rsidP="00B26D1F">
            <w:pPr>
              <w:jc w:val="center"/>
              <w:rPr>
                <w:b/>
                <w:bCs/>
              </w:rPr>
            </w:pPr>
            <w:r w:rsidRPr="00324E31">
              <w:rPr>
                <w:b/>
                <w:bCs/>
              </w:rPr>
              <w:t>30</w:t>
            </w:r>
          </w:p>
        </w:tc>
        <w:tc>
          <w:tcPr>
            <w:tcW w:w="1718" w:type="dxa"/>
          </w:tcPr>
          <w:p w14:paraId="444B1E2C" w14:textId="77777777" w:rsidR="007763BB" w:rsidRPr="00324E31" w:rsidRDefault="007763BB" w:rsidP="00B26D1F">
            <w:pPr>
              <w:jc w:val="center"/>
              <w:rPr>
                <w:b/>
                <w:bCs/>
              </w:rPr>
            </w:pPr>
            <w:r w:rsidRPr="00324E31">
              <w:rPr>
                <w:b/>
                <w:bCs/>
              </w:rPr>
              <w:t>23</w:t>
            </w:r>
          </w:p>
        </w:tc>
        <w:tc>
          <w:tcPr>
            <w:tcW w:w="1759" w:type="dxa"/>
          </w:tcPr>
          <w:p w14:paraId="10D1447F" w14:textId="77777777" w:rsidR="007763BB" w:rsidRPr="00324E31" w:rsidRDefault="007763BB" w:rsidP="00B26D1F">
            <w:pPr>
              <w:jc w:val="center"/>
              <w:rPr>
                <w:b/>
                <w:bCs/>
              </w:rPr>
            </w:pPr>
            <w:r w:rsidRPr="00324E31">
              <w:rPr>
                <w:b/>
                <w:bCs/>
              </w:rPr>
              <w:t>22</w:t>
            </w:r>
          </w:p>
        </w:tc>
      </w:tr>
    </w:tbl>
    <w:p w14:paraId="1A7F90C1" w14:textId="77777777" w:rsidR="00C0124F" w:rsidRDefault="00C0124F" w:rsidP="00C0124F">
      <w:pPr>
        <w:rPr>
          <w:bCs/>
        </w:rPr>
      </w:pPr>
    </w:p>
    <w:p w14:paraId="77CE46F5" w14:textId="77777777" w:rsidR="00C069AE" w:rsidRDefault="00C069AE" w:rsidP="00C069AE">
      <w:r w:rsidRPr="007A32CB">
        <w:rPr>
          <w:sz w:val="20"/>
        </w:rPr>
        <w:t xml:space="preserve">N.B. Several of the people detailed in this table also circulated the invitation to their colleagues. </w:t>
      </w:r>
      <w:r w:rsidRPr="007A32CB">
        <w:rPr>
          <w:bCs/>
          <w:sz w:val="20"/>
        </w:rPr>
        <w:t xml:space="preserve">In addition, invitations were sent to </w:t>
      </w:r>
      <w:r>
        <w:rPr>
          <w:bCs/>
          <w:sz w:val="20"/>
        </w:rPr>
        <w:t>general enquiry contact addresses for two CP organisations</w:t>
      </w:r>
      <w:r w:rsidRPr="007A32CB">
        <w:rPr>
          <w:bCs/>
          <w:sz w:val="20"/>
        </w:rPr>
        <w:t>.</w:t>
      </w:r>
    </w:p>
    <w:p w14:paraId="59713092" w14:textId="77777777" w:rsidR="00296F64" w:rsidRDefault="00296F64">
      <w:pPr>
        <w:rPr>
          <w:b/>
        </w:rPr>
      </w:pPr>
      <w:r>
        <w:rPr>
          <w:b/>
        </w:rPr>
        <w:br w:type="page"/>
      </w:r>
    </w:p>
    <w:p w14:paraId="1C2CA726" w14:textId="4636BAA4" w:rsidR="00C0124F" w:rsidRDefault="00C0124F" w:rsidP="00C0124F">
      <w:pPr>
        <w:pStyle w:val="NoSpacing"/>
        <w:jc w:val="center"/>
        <w:rPr>
          <w:b/>
        </w:rPr>
      </w:pPr>
      <w:r w:rsidRPr="009D63E8">
        <w:rPr>
          <w:b/>
        </w:rPr>
        <w:t xml:space="preserve">Table </w:t>
      </w:r>
      <w:r w:rsidR="00C069AE">
        <w:rPr>
          <w:b/>
        </w:rPr>
        <w:t>2</w:t>
      </w:r>
      <w:r w:rsidRPr="009D63E8">
        <w:rPr>
          <w:b/>
        </w:rPr>
        <w:t xml:space="preserve">. Median and range of ratings of importance of </w:t>
      </w:r>
      <w:r w:rsidRPr="00DF2DE3">
        <w:rPr>
          <w:b/>
          <w:bCs/>
        </w:rPr>
        <w:t>characteristics</w:t>
      </w:r>
      <w:r w:rsidRPr="009D63E8">
        <w:rPr>
          <w:b/>
        </w:rPr>
        <w:t xml:space="preserve"> for each round. </w:t>
      </w:r>
    </w:p>
    <w:p w14:paraId="78151A3E" w14:textId="0CA7566B" w:rsidR="00C0124F" w:rsidRPr="009D63E8" w:rsidRDefault="00C0124F" w:rsidP="00C0124F">
      <w:pPr>
        <w:pStyle w:val="NoSpacing"/>
        <w:jc w:val="center"/>
        <w:rPr>
          <w:b/>
        </w:rPr>
      </w:pPr>
      <w:r w:rsidRPr="00DF2DE3">
        <w:rPr>
          <w:b/>
          <w:bCs/>
        </w:rPr>
        <w:t>Characteristics</w:t>
      </w:r>
      <w:r w:rsidRPr="009D63E8">
        <w:rPr>
          <w:b/>
        </w:rPr>
        <w:t xml:space="preserve"> are displayed in rank order of importance within categories, mean rank given in final column.</w:t>
      </w:r>
      <w:r w:rsidR="00600140">
        <w:rPr>
          <w:b/>
        </w:rPr>
        <w:t xml:space="preserve"> [</w:t>
      </w:r>
      <w:r w:rsidR="0036704A">
        <w:rPr>
          <w:b/>
        </w:rPr>
        <w:t xml:space="preserve">where </w:t>
      </w:r>
      <w:r w:rsidR="00600140">
        <w:rPr>
          <w:b/>
        </w:rPr>
        <w:t>1=completely disagree to 9 = completely agree]</w:t>
      </w:r>
    </w:p>
    <w:tbl>
      <w:tblPr>
        <w:tblStyle w:val="PlainTable41"/>
        <w:tblpPr w:leftFromText="180" w:rightFromText="180" w:vertAnchor="text" w:horzAnchor="margin" w:tblpXSpec="center" w:tblpY="106"/>
        <w:tblW w:w="10666" w:type="dxa"/>
        <w:tblLayout w:type="fixed"/>
        <w:tblLook w:val="0600" w:firstRow="0" w:lastRow="0" w:firstColumn="0" w:lastColumn="0" w:noHBand="1" w:noVBand="1"/>
      </w:tblPr>
      <w:tblGrid>
        <w:gridCol w:w="1242"/>
        <w:gridCol w:w="777"/>
        <w:gridCol w:w="4043"/>
        <w:gridCol w:w="992"/>
        <w:gridCol w:w="919"/>
        <w:gridCol w:w="992"/>
        <w:gridCol w:w="850"/>
        <w:gridCol w:w="851"/>
      </w:tblGrid>
      <w:tr w:rsidR="00C0124F" w:rsidRPr="00BA3623" w14:paraId="18602E28" w14:textId="77777777" w:rsidTr="00807F64">
        <w:tc>
          <w:tcPr>
            <w:tcW w:w="1242" w:type="dxa"/>
            <w:vMerge w:val="restart"/>
          </w:tcPr>
          <w:p w14:paraId="5C9CC621" w14:textId="77777777" w:rsidR="00C0124F" w:rsidRPr="004E38DA" w:rsidRDefault="00C0124F" w:rsidP="00B26D1F">
            <w:pPr>
              <w:rPr>
                <w:b/>
                <w:bCs/>
              </w:rPr>
            </w:pPr>
            <w:r w:rsidRPr="004E38DA">
              <w:rPr>
                <w:b/>
                <w:bCs/>
              </w:rPr>
              <w:t>Service area category</w:t>
            </w:r>
          </w:p>
        </w:tc>
        <w:tc>
          <w:tcPr>
            <w:tcW w:w="777" w:type="dxa"/>
            <w:vMerge w:val="restart"/>
          </w:tcPr>
          <w:p w14:paraId="0569BD21" w14:textId="77777777" w:rsidR="00C0124F" w:rsidRPr="004E38DA" w:rsidRDefault="00C0124F" w:rsidP="00B26D1F">
            <w:pPr>
              <w:jc w:val="center"/>
              <w:rPr>
                <w:b/>
              </w:rPr>
            </w:pPr>
            <w:r w:rsidRPr="004E38DA">
              <w:rPr>
                <w:b/>
              </w:rPr>
              <w:t>Final rank</w:t>
            </w:r>
          </w:p>
        </w:tc>
        <w:tc>
          <w:tcPr>
            <w:tcW w:w="4043" w:type="dxa"/>
            <w:vMerge w:val="restart"/>
          </w:tcPr>
          <w:p w14:paraId="448945FF" w14:textId="77777777" w:rsidR="00C0124F" w:rsidRPr="004E38DA" w:rsidRDefault="00C0124F" w:rsidP="00B26D1F">
            <w:pPr>
              <w:rPr>
                <w:b/>
              </w:rPr>
            </w:pPr>
            <w:r>
              <w:rPr>
                <w:b/>
              </w:rPr>
              <w:t>Characteristic</w:t>
            </w:r>
          </w:p>
        </w:tc>
        <w:tc>
          <w:tcPr>
            <w:tcW w:w="1911" w:type="dxa"/>
            <w:gridSpan w:val="2"/>
          </w:tcPr>
          <w:p w14:paraId="614F2B84" w14:textId="77777777" w:rsidR="00C0124F" w:rsidRPr="004E38DA" w:rsidRDefault="00C0124F" w:rsidP="00B26D1F">
            <w:pPr>
              <w:jc w:val="center"/>
              <w:rPr>
                <w:b/>
                <w:bCs/>
              </w:rPr>
            </w:pPr>
            <w:r w:rsidRPr="004E38DA">
              <w:rPr>
                <w:b/>
                <w:bCs/>
              </w:rPr>
              <w:t>Round 1</w:t>
            </w:r>
          </w:p>
        </w:tc>
        <w:tc>
          <w:tcPr>
            <w:tcW w:w="1842" w:type="dxa"/>
            <w:gridSpan w:val="2"/>
          </w:tcPr>
          <w:p w14:paraId="354545AA" w14:textId="77777777" w:rsidR="00C0124F" w:rsidRPr="004E38DA" w:rsidRDefault="00C0124F" w:rsidP="00B26D1F">
            <w:pPr>
              <w:jc w:val="center"/>
              <w:rPr>
                <w:b/>
                <w:bCs/>
              </w:rPr>
            </w:pPr>
            <w:r w:rsidRPr="004E38DA">
              <w:rPr>
                <w:b/>
                <w:bCs/>
              </w:rPr>
              <w:t>Round 2</w:t>
            </w:r>
          </w:p>
        </w:tc>
        <w:tc>
          <w:tcPr>
            <w:tcW w:w="851" w:type="dxa"/>
            <w:vMerge w:val="restart"/>
          </w:tcPr>
          <w:p w14:paraId="3D8E5503" w14:textId="77777777" w:rsidR="00C0124F" w:rsidRPr="004E38DA" w:rsidRDefault="00C0124F" w:rsidP="00B26D1F">
            <w:pPr>
              <w:jc w:val="center"/>
              <w:rPr>
                <w:b/>
              </w:rPr>
            </w:pPr>
            <w:r w:rsidRPr="00405EC7">
              <w:rPr>
                <w:b/>
              </w:rPr>
              <w:t>M</w:t>
            </w:r>
            <w:r>
              <w:rPr>
                <w:b/>
              </w:rPr>
              <w:t>ean</w:t>
            </w:r>
            <w:r w:rsidRPr="00F0748A">
              <w:rPr>
                <w:b/>
                <w:i/>
              </w:rPr>
              <w:t xml:space="preserve"> </w:t>
            </w:r>
            <w:r w:rsidRPr="004E38DA">
              <w:rPr>
                <w:b/>
              </w:rPr>
              <w:t>rank</w:t>
            </w:r>
          </w:p>
        </w:tc>
      </w:tr>
      <w:tr w:rsidR="00C0124F" w:rsidRPr="00BA3623" w14:paraId="7E436668" w14:textId="77777777" w:rsidTr="00807F64">
        <w:tc>
          <w:tcPr>
            <w:tcW w:w="1242" w:type="dxa"/>
            <w:vMerge/>
          </w:tcPr>
          <w:p w14:paraId="3CD774BF" w14:textId="77777777" w:rsidR="00C0124F" w:rsidRPr="00BA3623" w:rsidRDefault="00C0124F" w:rsidP="00B26D1F">
            <w:pPr>
              <w:rPr>
                <w:bCs/>
              </w:rPr>
            </w:pPr>
          </w:p>
        </w:tc>
        <w:tc>
          <w:tcPr>
            <w:tcW w:w="777" w:type="dxa"/>
            <w:vMerge/>
          </w:tcPr>
          <w:p w14:paraId="30A6906A" w14:textId="77777777" w:rsidR="00C0124F" w:rsidRPr="00BA3623" w:rsidRDefault="00C0124F" w:rsidP="00B26D1F">
            <w:pPr>
              <w:jc w:val="center"/>
            </w:pPr>
          </w:p>
        </w:tc>
        <w:tc>
          <w:tcPr>
            <w:tcW w:w="4043" w:type="dxa"/>
            <w:vMerge/>
          </w:tcPr>
          <w:p w14:paraId="00FF01DC" w14:textId="77777777" w:rsidR="00C0124F" w:rsidRPr="00BA3623" w:rsidRDefault="00C0124F" w:rsidP="00B26D1F"/>
        </w:tc>
        <w:tc>
          <w:tcPr>
            <w:tcW w:w="992" w:type="dxa"/>
          </w:tcPr>
          <w:p w14:paraId="51F7161C" w14:textId="77777777" w:rsidR="00C0124F" w:rsidRPr="004E38DA" w:rsidRDefault="00C0124F" w:rsidP="00B26D1F">
            <w:pPr>
              <w:jc w:val="center"/>
              <w:rPr>
                <w:b/>
                <w:bCs/>
              </w:rPr>
            </w:pPr>
            <w:r w:rsidRPr="004E38DA">
              <w:rPr>
                <w:b/>
                <w:bCs/>
              </w:rPr>
              <w:t>Me</w:t>
            </w:r>
            <w:r>
              <w:rPr>
                <w:b/>
                <w:bCs/>
              </w:rPr>
              <w:t>dian</w:t>
            </w:r>
            <w:r w:rsidRPr="004E38DA">
              <w:rPr>
                <w:b/>
                <w:bCs/>
              </w:rPr>
              <w:t xml:space="preserve"> </w:t>
            </w:r>
            <w:r>
              <w:rPr>
                <w:b/>
                <w:bCs/>
              </w:rPr>
              <w:t>rating</w:t>
            </w:r>
          </w:p>
        </w:tc>
        <w:tc>
          <w:tcPr>
            <w:tcW w:w="919" w:type="dxa"/>
          </w:tcPr>
          <w:p w14:paraId="0F180B10" w14:textId="77777777" w:rsidR="00C0124F" w:rsidRPr="004E38DA" w:rsidRDefault="00C0124F" w:rsidP="00B26D1F">
            <w:pPr>
              <w:jc w:val="center"/>
              <w:rPr>
                <w:b/>
                <w:bCs/>
              </w:rPr>
            </w:pPr>
            <w:r w:rsidRPr="004E38DA">
              <w:rPr>
                <w:b/>
                <w:bCs/>
              </w:rPr>
              <w:t>Range</w:t>
            </w:r>
          </w:p>
        </w:tc>
        <w:tc>
          <w:tcPr>
            <w:tcW w:w="992" w:type="dxa"/>
          </w:tcPr>
          <w:p w14:paraId="286D306B" w14:textId="77777777" w:rsidR="00C0124F" w:rsidRPr="004E38DA" w:rsidRDefault="00C0124F" w:rsidP="00B26D1F">
            <w:pPr>
              <w:jc w:val="center"/>
              <w:rPr>
                <w:b/>
                <w:bCs/>
              </w:rPr>
            </w:pPr>
            <w:r>
              <w:rPr>
                <w:b/>
                <w:bCs/>
              </w:rPr>
              <w:t>Median</w:t>
            </w:r>
            <w:r w:rsidRPr="004E38DA">
              <w:rPr>
                <w:b/>
                <w:bCs/>
              </w:rPr>
              <w:t xml:space="preserve"> rating</w:t>
            </w:r>
          </w:p>
        </w:tc>
        <w:tc>
          <w:tcPr>
            <w:tcW w:w="850" w:type="dxa"/>
          </w:tcPr>
          <w:p w14:paraId="7FE736E8" w14:textId="77777777" w:rsidR="00C0124F" w:rsidRPr="004E38DA" w:rsidRDefault="00C0124F" w:rsidP="00B26D1F">
            <w:pPr>
              <w:jc w:val="center"/>
              <w:rPr>
                <w:b/>
                <w:bCs/>
              </w:rPr>
            </w:pPr>
            <w:r w:rsidRPr="004E38DA">
              <w:rPr>
                <w:b/>
                <w:bCs/>
              </w:rPr>
              <w:t>Range</w:t>
            </w:r>
          </w:p>
        </w:tc>
        <w:tc>
          <w:tcPr>
            <w:tcW w:w="851" w:type="dxa"/>
            <w:vMerge/>
          </w:tcPr>
          <w:p w14:paraId="643271C4" w14:textId="77777777" w:rsidR="00C0124F" w:rsidRPr="00BA3623" w:rsidRDefault="00C0124F" w:rsidP="00B26D1F"/>
        </w:tc>
      </w:tr>
      <w:tr w:rsidR="00C0124F" w:rsidRPr="00F0748A" w14:paraId="17AF3887" w14:textId="77777777" w:rsidTr="00807F64">
        <w:tc>
          <w:tcPr>
            <w:tcW w:w="1242" w:type="dxa"/>
            <w:vMerge w:val="restart"/>
          </w:tcPr>
          <w:p w14:paraId="7ABCADCC" w14:textId="77777777" w:rsidR="00C0124F" w:rsidRPr="004E38DA" w:rsidRDefault="00C0124F" w:rsidP="00B26D1F">
            <w:pPr>
              <w:rPr>
                <w:b/>
                <w:bCs/>
              </w:rPr>
            </w:pPr>
            <w:r w:rsidRPr="004E38DA">
              <w:rPr>
                <w:b/>
              </w:rPr>
              <w:t>Patient safety and dispensing</w:t>
            </w:r>
          </w:p>
        </w:tc>
        <w:tc>
          <w:tcPr>
            <w:tcW w:w="777" w:type="dxa"/>
          </w:tcPr>
          <w:p w14:paraId="33645B6E" w14:textId="77777777" w:rsidR="00C0124F" w:rsidRPr="00BA3623" w:rsidRDefault="00C0124F" w:rsidP="00B26D1F">
            <w:pPr>
              <w:jc w:val="center"/>
            </w:pPr>
            <w:r w:rsidRPr="00BA3623">
              <w:t>1</w:t>
            </w:r>
          </w:p>
        </w:tc>
        <w:tc>
          <w:tcPr>
            <w:tcW w:w="4043" w:type="dxa"/>
          </w:tcPr>
          <w:p w14:paraId="2C14493A" w14:textId="77777777" w:rsidR="00C0124F" w:rsidRPr="00B71A08" w:rsidRDefault="00C0124F" w:rsidP="00B26D1F">
            <w:r w:rsidRPr="00B71A08">
              <w:t xml:space="preserve">There is a clear culture of safety in how the dispensing process is managed. </w:t>
            </w:r>
          </w:p>
          <w:p w14:paraId="214A0DBD" w14:textId="77777777" w:rsidR="00C0124F" w:rsidRPr="00B71A08" w:rsidRDefault="00C0124F" w:rsidP="00B26D1F"/>
        </w:tc>
        <w:tc>
          <w:tcPr>
            <w:tcW w:w="992" w:type="dxa"/>
          </w:tcPr>
          <w:p w14:paraId="30FDD311" w14:textId="77777777" w:rsidR="00C0124F" w:rsidRPr="00BA3623" w:rsidRDefault="00C0124F" w:rsidP="00B26D1F">
            <w:pPr>
              <w:jc w:val="center"/>
              <w:rPr>
                <w:bCs/>
              </w:rPr>
            </w:pPr>
            <w:r>
              <w:rPr>
                <w:bCs/>
              </w:rPr>
              <w:t>9.0</w:t>
            </w:r>
          </w:p>
        </w:tc>
        <w:tc>
          <w:tcPr>
            <w:tcW w:w="919" w:type="dxa"/>
          </w:tcPr>
          <w:p w14:paraId="149710FD" w14:textId="77777777" w:rsidR="00C0124F" w:rsidRPr="00BA3623" w:rsidRDefault="00C0124F" w:rsidP="00B26D1F">
            <w:pPr>
              <w:jc w:val="center"/>
              <w:rPr>
                <w:bCs/>
              </w:rPr>
            </w:pPr>
            <w:r>
              <w:rPr>
                <w:bCs/>
              </w:rPr>
              <w:t>7-9</w:t>
            </w:r>
          </w:p>
        </w:tc>
        <w:tc>
          <w:tcPr>
            <w:tcW w:w="992" w:type="dxa"/>
          </w:tcPr>
          <w:p w14:paraId="02737D46" w14:textId="77777777" w:rsidR="00C0124F" w:rsidRPr="00BA3623" w:rsidRDefault="00C0124F" w:rsidP="00B26D1F">
            <w:pPr>
              <w:jc w:val="center"/>
            </w:pPr>
            <w:r w:rsidRPr="00BA3623">
              <w:t>9</w:t>
            </w:r>
            <w:r>
              <w:t>.0</w:t>
            </w:r>
          </w:p>
        </w:tc>
        <w:tc>
          <w:tcPr>
            <w:tcW w:w="850" w:type="dxa"/>
          </w:tcPr>
          <w:p w14:paraId="2399A539" w14:textId="77777777" w:rsidR="00C0124F" w:rsidRPr="00BA3623" w:rsidRDefault="00C0124F" w:rsidP="00B26D1F">
            <w:pPr>
              <w:jc w:val="center"/>
              <w:rPr>
                <w:bCs/>
              </w:rPr>
            </w:pPr>
            <w:r>
              <w:rPr>
                <w:bCs/>
              </w:rPr>
              <w:t>8-9</w:t>
            </w:r>
          </w:p>
        </w:tc>
        <w:tc>
          <w:tcPr>
            <w:tcW w:w="851" w:type="dxa"/>
          </w:tcPr>
          <w:p w14:paraId="5864376D" w14:textId="77777777" w:rsidR="00C0124F" w:rsidRPr="00F0748A" w:rsidRDefault="00C0124F" w:rsidP="00B26D1F">
            <w:pPr>
              <w:jc w:val="center"/>
              <w:rPr>
                <w:i/>
              </w:rPr>
            </w:pPr>
            <w:r w:rsidRPr="00F0748A">
              <w:rPr>
                <w:i/>
              </w:rPr>
              <w:t>1.73</w:t>
            </w:r>
          </w:p>
        </w:tc>
      </w:tr>
      <w:tr w:rsidR="00C0124F" w:rsidRPr="00F0748A" w14:paraId="64F95FED" w14:textId="77777777" w:rsidTr="00807F64">
        <w:tc>
          <w:tcPr>
            <w:tcW w:w="1242" w:type="dxa"/>
            <w:vMerge/>
          </w:tcPr>
          <w:p w14:paraId="3818440C" w14:textId="77777777" w:rsidR="00C0124F" w:rsidRPr="00BA3623" w:rsidRDefault="00C0124F" w:rsidP="00B26D1F"/>
        </w:tc>
        <w:tc>
          <w:tcPr>
            <w:tcW w:w="777" w:type="dxa"/>
          </w:tcPr>
          <w:p w14:paraId="15F75242" w14:textId="77777777" w:rsidR="00C0124F" w:rsidRPr="00BA3623" w:rsidRDefault="00C0124F" w:rsidP="00B26D1F">
            <w:pPr>
              <w:jc w:val="center"/>
            </w:pPr>
            <w:r w:rsidRPr="00BA3623">
              <w:t>2</w:t>
            </w:r>
          </w:p>
        </w:tc>
        <w:tc>
          <w:tcPr>
            <w:tcW w:w="4043" w:type="dxa"/>
          </w:tcPr>
          <w:p w14:paraId="4C1B75E8" w14:textId="77777777" w:rsidR="00C0124F" w:rsidRPr="00B71A08" w:rsidRDefault="00C0124F" w:rsidP="00B26D1F">
            <w:r w:rsidRPr="00B71A08">
              <w:t>The Practice has clear procedures for both second checking of prescriptions by another person (double checking) and second checking of one’s own work (single checking).</w:t>
            </w:r>
          </w:p>
          <w:p w14:paraId="54872D81" w14:textId="77777777" w:rsidR="00C0124F" w:rsidRPr="00B71A08" w:rsidRDefault="00C0124F" w:rsidP="00B26D1F"/>
        </w:tc>
        <w:tc>
          <w:tcPr>
            <w:tcW w:w="992" w:type="dxa"/>
          </w:tcPr>
          <w:p w14:paraId="60E9A11A" w14:textId="77777777" w:rsidR="00C0124F" w:rsidRPr="00BA3623" w:rsidRDefault="00C0124F" w:rsidP="00B26D1F">
            <w:pPr>
              <w:jc w:val="center"/>
              <w:rPr>
                <w:bCs/>
              </w:rPr>
            </w:pPr>
            <w:r>
              <w:rPr>
                <w:bCs/>
              </w:rPr>
              <w:t>9.0</w:t>
            </w:r>
          </w:p>
        </w:tc>
        <w:tc>
          <w:tcPr>
            <w:tcW w:w="919" w:type="dxa"/>
          </w:tcPr>
          <w:p w14:paraId="7DD64A38" w14:textId="77777777" w:rsidR="00C0124F" w:rsidRPr="00BA3623" w:rsidRDefault="00C0124F" w:rsidP="00B26D1F">
            <w:pPr>
              <w:jc w:val="center"/>
              <w:rPr>
                <w:bCs/>
              </w:rPr>
            </w:pPr>
            <w:r>
              <w:rPr>
                <w:bCs/>
              </w:rPr>
              <w:t>5-9</w:t>
            </w:r>
          </w:p>
        </w:tc>
        <w:tc>
          <w:tcPr>
            <w:tcW w:w="992" w:type="dxa"/>
          </w:tcPr>
          <w:p w14:paraId="20EA3624" w14:textId="77777777" w:rsidR="00C0124F" w:rsidRPr="00BA3623" w:rsidRDefault="00C0124F" w:rsidP="00B26D1F">
            <w:pPr>
              <w:jc w:val="center"/>
            </w:pPr>
            <w:r w:rsidRPr="00BA3623">
              <w:t>9</w:t>
            </w:r>
            <w:r>
              <w:t>.0</w:t>
            </w:r>
          </w:p>
        </w:tc>
        <w:tc>
          <w:tcPr>
            <w:tcW w:w="850" w:type="dxa"/>
          </w:tcPr>
          <w:p w14:paraId="542BB6DA" w14:textId="77777777" w:rsidR="00C0124F" w:rsidRPr="00BA3623" w:rsidRDefault="00C0124F" w:rsidP="00B26D1F">
            <w:pPr>
              <w:jc w:val="center"/>
              <w:rPr>
                <w:bCs/>
              </w:rPr>
            </w:pPr>
            <w:r>
              <w:rPr>
                <w:bCs/>
              </w:rPr>
              <w:t>1-9</w:t>
            </w:r>
          </w:p>
        </w:tc>
        <w:tc>
          <w:tcPr>
            <w:tcW w:w="851" w:type="dxa"/>
          </w:tcPr>
          <w:p w14:paraId="2C12B6BE" w14:textId="77777777" w:rsidR="00C0124F" w:rsidRPr="00F0748A" w:rsidRDefault="00C0124F" w:rsidP="00B26D1F">
            <w:pPr>
              <w:jc w:val="center"/>
              <w:rPr>
                <w:i/>
              </w:rPr>
            </w:pPr>
            <w:r w:rsidRPr="00F0748A">
              <w:rPr>
                <w:i/>
              </w:rPr>
              <w:t>2.95</w:t>
            </w:r>
          </w:p>
        </w:tc>
      </w:tr>
      <w:tr w:rsidR="00C0124F" w:rsidRPr="00F0748A" w14:paraId="696D99AD" w14:textId="77777777" w:rsidTr="00807F64">
        <w:tc>
          <w:tcPr>
            <w:tcW w:w="1242" w:type="dxa"/>
            <w:vMerge/>
          </w:tcPr>
          <w:p w14:paraId="4DE1FD2F" w14:textId="77777777" w:rsidR="00C0124F" w:rsidRPr="00BA3623" w:rsidRDefault="00C0124F" w:rsidP="00B26D1F"/>
        </w:tc>
        <w:tc>
          <w:tcPr>
            <w:tcW w:w="777" w:type="dxa"/>
          </w:tcPr>
          <w:p w14:paraId="71BAD81A" w14:textId="77777777" w:rsidR="00C0124F" w:rsidRPr="00BA3623" w:rsidRDefault="00C0124F" w:rsidP="00B26D1F">
            <w:pPr>
              <w:jc w:val="center"/>
            </w:pPr>
            <w:r w:rsidRPr="00BA3623">
              <w:t>3</w:t>
            </w:r>
          </w:p>
        </w:tc>
        <w:tc>
          <w:tcPr>
            <w:tcW w:w="4043" w:type="dxa"/>
          </w:tcPr>
          <w:p w14:paraId="28014A18" w14:textId="77777777" w:rsidR="00C0124F" w:rsidRPr="00B71A08" w:rsidRDefault="00C0124F" w:rsidP="00B26D1F">
            <w:r w:rsidRPr="00B71A08">
              <w:t>Standard operating procedures (SOPs) align with actual staff practice; they are reviewed annually and all staff understand and sign up to the importance of these procedures.</w:t>
            </w:r>
          </w:p>
          <w:p w14:paraId="54843CE1" w14:textId="77777777" w:rsidR="00C0124F" w:rsidRPr="00B71A08" w:rsidRDefault="00C0124F" w:rsidP="00B26D1F"/>
        </w:tc>
        <w:tc>
          <w:tcPr>
            <w:tcW w:w="992" w:type="dxa"/>
          </w:tcPr>
          <w:p w14:paraId="70206C7C" w14:textId="77777777" w:rsidR="00C0124F" w:rsidRPr="00BA3623" w:rsidRDefault="00C0124F" w:rsidP="00B26D1F">
            <w:pPr>
              <w:jc w:val="center"/>
              <w:rPr>
                <w:bCs/>
              </w:rPr>
            </w:pPr>
            <w:r w:rsidRPr="00BA3623">
              <w:rPr>
                <w:bCs/>
              </w:rPr>
              <w:t>7.5</w:t>
            </w:r>
          </w:p>
        </w:tc>
        <w:tc>
          <w:tcPr>
            <w:tcW w:w="919" w:type="dxa"/>
          </w:tcPr>
          <w:p w14:paraId="26EECEB4" w14:textId="77777777" w:rsidR="00C0124F" w:rsidRPr="00BA3623" w:rsidRDefault="00C0124F" w:rsidP="00B26D1F">
            <w:pPr>
              <w:jc w:val="center"/>
              <w:rPr>
                <w:bCs/>
              </w:rPr>
            </w:pPr>
            <w:r>
              <w:rPr>
                <w:bCs/>
              </w:rPr>
              <w:t>2-9</w:t>
            </w:r>
          </w:p>
        </w:tc>
        <w:tc>
          <w:tcPr>
            <w:tcW w:w="992" w:type="dxa"/>
          </w:tcPr>
          <w:p w14:paraId="327C9A65" w14:textId="77777777" w:rsidR="00C0124F" w:rsidRPr="00BA3623" w:rsidRDefault="00C0124F" w:rsidP="00B26D1F">
            <w:pPr>
              <w:jc w:val="center"/>
            </w:pPr>
            <w:r w:rsidRPr="00BA3623">
              <w:t>7.5</w:t>
            </w:r>
          </w:p>
        </w:tc>
        <w:tc>
          <w:tcPr>
            <w:tcW w:w="850" w:type="dxa"/>
          </w:tcPr>
          <w:p w14:paraId="713BE7B6" w14:textId="77777777" w:rsidR="00C0124F" w:rsidRPr="00BA3623" w:rsidRDefault="00C0124F" w:rsidP="00B26D1F">
            <w:pPr>
              <w:jc w:val="center"/>
              <w:rPr>
                <w:bCs/>
              </w:rPr>
            </w:pPr>
            <w:r>
              <w:rPr>
                <w:bCs/>
              </w:rPr>
              <w:t>6-9</w:t>
            </w:r>
          </w:p>
        </w:tc>
        <w:tc>
          <w:tcPr>
            <w:tcW w:w="851" w:type="dxa"/>
          </w:tcPr>
          <w:p w14:paraId="223514D9" w14:textId="77777777" w:rsidR="00C0124F" w:rsidRPr="00F0748A" w:rsidRDefault="00C0124F" w:rsidP="00B26D1F">
            <w:pPr>
              <w:jc w:val="center"/>
              <w:rPr>
                <w:i/>
              </w:rPr>
            </w:pPr>
            <w:r w:rsidRPr="00F0748A">
              <w:rPr>
                <w:i/>
              </w:rPr>
              <w:t>3.22</w:t>
            </w:r>
          </w:p>
        </w:tc>
      </w:tr>
      <w:tr w:rsidR="00C0124F" w:rsidRPr="00F0748A" w14:paraId="3FE1112B" w14:textId="77777777" w:rsidTr="00807F64">
        <w:tc>
          <w:tcPr>
            <w:tcW w:w="1242" w:type="dxa"/>
            <w:vMerge/>
          </w:tcPr>
          <w:p w14:paraId="2CAD81AD" w14:textId="77777777" w:rsidR="00C0124F" w:rsidRPr="00BA3623" w:rsidRDefault="00C0124F" w:rsidP="00B26D1F"/>
        </w:tc>
        <w:tc>
          <w:tcPr>
            <w:tcW w:w="777" w:type="dxa"/>
          </w:tcPr>
          <w:p w14:paraId="17549F0B" w14:textId="77777777" w:rsidR="00C0124F" w:rsidRPr="00BA3623" w:rsidRDefault="00C0124F" w:rsidP="00B26D1F">
            <w:pPr>
              <w:jc w:val="center"/>
            </w:pPr>
            <w:r w:rsidRPr="00BA3623">
              <w:t>4</w:t>
            </w:r>
          </w:p>
        </w:tc>
        <w:tc>
          <w:tcPr>
            <w:tcW w:w="4043" w:type="dxa"/>
          </w:tcPr>
          <w:p w14:paraId="246630A1" w14:textId="77777777" w:rsidR="00C0124F" w:rsidRPr="00466C41" w:rsidRDefault="00C0124F" w:rsidP="00B26D1F">
            <w:r w:rsidRPr="00466C41">
              <w:rPr>
                <w:bCs/>
              </w:rPr>
              <w:t>Patient safety is a priority; dispensing staff are not interrupted while dispensing a prescription.</w:t>
            </w:r>
          </w:p>
          <w:p w14:paraId="7F645CD6" w14:textId="77777777" w:rsidR="00C0124F" w:rsidRPr="00B71A08" w:rsidRDefault="00C0124F" w:rsidP="00B26D1F"/>
        </w:tc>
        <w:tc>
          <w:tcPr>
            <w:tcW w:w="992" w:type="dxa"/>
          </w:tcPr>
          <w:p w14:paraId="484A8177" w14:textId="77777777" w:rsidR="00C0124F" w:rsidRPr="00BA3623" w:rsidRDefault="00C0124F" w:rsidP="00B26D1F">
            <w:pPr>
              <w:jc w:val="center"/>
              <w:rPr>
                <w:bCs/>
              </w:rPr>
            </w:pPr>
            <w:r>
              <w:rPr>
                <w:bCs/>
              </w:rPr>
              <w:t>8.5</w:t>
            </w:r>
          </w:p>
        </w:tc>
        <w:tc>
          <w:tcPr>
            <w:tcW w:w="919" w:type="dxa"/>
          </w:tcPr>
          <w:p w14:paraId="6D5598A8" w14:textId="77777777" w:rsidR="00C0124F" w:rsidRPr="00BA3623" w:rsidRDefault="00C0124F" w:rsidP="00B26D1F">
            <w:pPr>
              <w:jc w:val="center"/>
              <w:rPr>
                <w:bCs/>
              </w:rPr>
            </w:pPr>
            <w:r>
              <w:rPr>
                <w:bCs/>
              </w:rPr>
              <w:t>6-9</w:t>
            </w:r>
          </w:p>
        </w:tc>
        <w:tc>
          <w:tcPr>
            <w:tcW w:w="992" w:type="dxa"/>
          </w:tcPr>
          <w:p w14:paraId="07CE4A7D" w14:textId="77777777" w:rsidR="00C0124F" w:rsidRPr="00BA3623" w:rsidRDefault="00C0124F" w:rsidP="00B26D1F">
            <w:pPr>
              <w:jc w:val="center"/>
            </w:pPr>
            <w:r w:rsidRPr="00BA3623">
              <w:t>8</w:t>
            </w:r>
            <w:r>
              <w:t>.0</w:t>
            </w:r>
          </w:p>
        </w:tc>
        <w:tc>
          <w:tcPr>
            <w:tcW w:w="850" w:type="dxa"/>
          </w:tcPr>
          <w:p w14:paraId="100C4ECB" w14:textId="77777777" w:rsidR="00C0124F" w:rsidRPr="00BA3623" w:rsidRDefault="00C0124F" w:rsidP="00B26D1F">
            <w:pPr>
              <w:jc w:val="center"/>
              <w:rPr>
                <w:bCs/>
              </w:rPr>
            </w:pPr>
            <w:r>
              <w:rPr>
                <w:bCs/>
              </w:rPr>
              <w:t>3-9</w:t>
            </w:r>
          </w:p>
        </w:tc>
        <w:tc>
          <w:tcPr>
            <w:tcW w:w="851" w:type="dxa"/>
          </w:tcPr>
          <w:p w14:paraId="433769C2" w14:textId="77777777" w:rsidR="00C0124F" w:rsidRPr="00F0748A" w:rsidRDefault="00C0124F" w:rsidP="00B26D1F">
            <w:pPr>
              <w:jc w:val="center"/>
              <w:rPr>
                <w:i/>
              </w:rPr>
            </w:pPr>
            <w:r w:rsidRPr="00F0748A">
              <w:rPr>
                <w:i/>
              </w:rPr>
              <w:t>3.45</w:t>
            </w:r>
          </w:p>
        </w:tc>
      </w:tr>
      <w:tr w:rsidR="00C0124F" w:rsidRPr="00F0748A" w14:paraId="5C7AD8F4" w14:textId="77777777" w:rsidTr="00807F64">
        <w:tc>
          <w:tcPr>
            <w:tcW w:w="1242" w:type="dxa"/>
            <w:vMerge/>
          </w:tcPr>
          <w:p w14:paraId="385C625B" w14:textId="77777777" w:rsidR="00C0124F" w:rsidRPr="00BA3623" w:rsidRDefault="00C0124F" w:rsidP="00B26D1F"/>
        </w:tc>
        <w:tc>
          <w:tcPr>
            <w:tcW w:w="777" w:type="dxa"/>
          </w:tcPr>
          <w:p w14:paraId="4B361EB1" w14:textId="77777777" w:rsidR="00C0124F" w:rsidRPr="00BA3623" w:rsidRDefault="00C0124F" w:rsidP="00B26D1F">
            <w:pPr>
              <w:jc w:val="center"/>
            </w:pPr>
            <w:r w:rsidRPr="00BA3623">
              <w:t>5</w:t>
            </w:r>
          </w:p>
        </w:tc>
        <w:tc>
          <w:tcPr>
            <w:tcW w:w="4043" w:type="dxa"/>
          </w:tcPr>
          <w:p w14:paraId="764439C6" w14:textId="77777777" w:rsidR="00C0124F" w:rsidRPr="00B71A08" w:rsidRDefault="00C0124F" w:rsidP="00B26D1F">
            <w:r>
              <w:t>The p</w:t>
            </w:r>
            <w:r w:rsidRPr="00B71A08">
              <w:t>ractice has clear SOPs for handling near-m</w:t>
            </w:r>
            <w:r>
              <w:t>isses and dispensed errors. Errors and near-misses</w:t>
            </w:r>
            <w:r w:rsidRPr="00B71A08">
              <w:t xml:space="preserve"> </w:t>
            </w:r>
            <w:r>
              <w:t xml:space="preserve">are </w:t>
            </w:r>
            <w:r w:rsidRPr="00B71A08">
              <w:t>re</w:t>
            </w:r>
            <w:r>
              <w:t>corded, reviewed</w:t>
            </w:r>
            <w:r w:rsidRPr="00B71A08">
              <w:t xml:space="preserve"> and</w:t>
            </w:r>
            <w:r>
              <w:t xml:space="preserve"> regularly</w:t>
            </w:r>
            <w:r w:rsidRPr="00B71A08">
              <w:t xml:space="preserve"> discussed</w:t>
            </w:r>
            <w:r>
              <w:t>.</w:t>
            </w:r>
          </w:p>
          <w:p w14:paraId="32695A17" w14:textId="77777777" w:rsidR="00C0124F" w:rsidRPr="00B71A08" w:rsidRDefault="00C0124F" w:rsidP="00B26D1F"/>
        </w:tc>
        <w:tc>
          <w:tcPr>
            <w:tcW w:w="992" w:type="dxa"/>
          </w:tcPr>
          <w:p w14:paraId="0EB1F342" w14:textId="77777777" w:rsidR="00C0124F" w:rsidRPr="00BA3623" w:rsidRDefault="00C0124F" w:rsidP="00B26D1F">
            <w:pPr>
              <w:jc w:val="center"/>
            </w:pPr>
            <w:r>
              <w:t>9.0</w:t>
            </w:r>
          </w:p>
        </w:tc>
        <w:tc>
          <w:tcPr>
            <w:tcW w:w="919" w:type="dxa"/>
          </w:tcPr>
          <w:p w14:paraId="5BCDE8B7" w14:textId="77777777" w:rsidR="00C0124F" w:rsidRPr="00BA3623" w:rsidRDefault="00C0124F" w:rsidP="00B26D1F">
            <w:pPr>
              <w:jc w:val="center"/>
            </w:pPr>
            <w:r>
              <w:t>7-9</w:t>
            </w:r>
          </w:p>
        </w:tc>
        <w:tc>
          <w:tcPr>
            <w:tcW w:w="992" w:type="dxa"/>
          </w:tcPr>
          <w:p w14:paraId="0565A819" w14:textId="77777777" w:rsidR="00C0124F" w:rsidRPr="00BA3623" w:rsidRDefault="00C0124F" w:rsidP="00B26D1F">
            <w:pPr>
              <w:jc w:val="center"/>
            </w:pPr>
            <w:r>
              <w:t>9.0</w:t>
            </w:r>
          </w:p>
        </w:tc>
        <w:tc>
          <w:tcPr>
            <w:tcW w:w="850" w:type="dxa"/>
          </w:tcPr>
          <w:p w14:paraId="27EE84F9" w14:textId="77777777" w:rsidR="00C0124F" w:rsidRPr="00BA3623" w:rsidRDefault="00C0124F" w:rsidP="00B26D1F">
            <w:pPr>
              <w:jc w:val="center"/>
            </w:pPr>
            <w:r>
              <w:t>6-9</w:t>
            </w:r>
          </w:p>
        </w:tc>
        <w:tc>
          <w:tcPr>
            <w:tcW w:w="851" w:type="dxa"/>
          </w:tcPr>
          <w:p w14:paraId="04701FA6" w14:textId="77777777" w:rsidR="00C0124F" w:rsidRPr="00F0748A" w:rsidRDefault="00C0124F" w:rsidP="00B26D1F">
            <w:pPr>
              <w:jc w:val="center"/>
              <w:rPr>
                <w:i/>
              </w:rPr>
            </w:pPr>
            <w:r w:rsidRPr="00F0748A">
              <w:rPr>
                <w:i/>
              </w:rPr>
              <w:t>4.27</w:t>
            </w:r>
          </w:p>
        </w:tc>
      </w:tr>
      <w:tr w:rsidR="00C0124F" w:rsidRPr="00F0748A" w14:paraId="58DC13EE" w14:textId="77777777" w:rsidTr="00807F64">
        <w:tc>
          <w:tcPr>
            <w:tcW w:w="1242" w:type="dxa"/>
            <w:vMerge/>
          </w:tcPr>
          <w:p w14:paraId="6FE1E493" w14:textId="77777777" w:rsidR="00C0124F" w:rsidRPr="00BA3623" w:rsidRDefault="00C0124F" w:rsidP="00B26D1F"/>
        </w:tc>
        <w:tc>
          <w:tcPr>
            <w:tcW w:w="777" w:type="dxa"/>
          </w:tcPr>
          <w:p w14:paraId="480AD6BC" w14:textId="77777777" w:rsidR="00C0124F" w:rsidRPr="00BA3623" w:rsidRDefault="00C0124F" w:rsidP="00B26D1F">
            <w:pPr>
              <w:jc w:val="center"/>
            </w:pPr>
            <w:r w:rsidRPr="00BA3623">
              <w:t>6</w:t>
            </w:r>
          </w:p>
        </w:tc>
        <w:tc>
          <w:tcPr>
            <w:tcW w:w="4043" w:type="dxa"/>
          </w:tcPr>
          <w:p w14:paraId="62DCC389" w14:textId="77777777" w:rsidR="00C0124F" w:rsidRPr="00466C41" w:rsidRDefault="00C0124F" w:rsidP="00B26D1F">
            <w:r w:rsidRPr="00466C41">
              <w:rPr>
                <w:bCs/>
              </w:rPr>
              <w:t>Dispensary space is optimally designed to ensure efficient processing of prescriptions.</w:t>
            </w:r>
          </w:p>
          <w:p w14:paraId="4A46456C" w14:textId="77777777" w:rsidR="00C0124F" w:rsidRPr="00B71A08" w:rsidRDefault="00C0124F" w:rsidP="00B26D1F"/>
        </w:tc>
        <w:tc>
          <w:tcPr>
            <w:tcW w:w="992" w:type="dxa"/>
          </w:tcPr>
          <w:p w14:paraId="04E2143C" w14:textId="77777777" w:rsidR="00C0124F" w:rsidRPr="00BA3623" w:rsidRDefault="00C0124F" w:rsidP="00B26D1F">
            <w:pPr>
              <w:jc w:val="center"/>
            </w:pPr>
            <w:r>
              <w:t>8.0</w:t>
            </w:r>
          </w:p>
        </w:tc>
        <w:tc>
          <w:tcPr>
            <w:tcW w:w="919" w:type="dxa"/>
          </w:tcPr>
          <w:p w14:paraId="702EE6A9" w14:textId="77777777" w:rsidR="00C0124F" w:rsidRPr="00BA3623" w:rsidRDefault="00C0124F" w:rsidP="00B26D1F">
            <w:pPr>
              <w:jc w:val="center"/>
            </w:pPr>
            <w:r>
              <w:t>6-9</w:t>
            </w:r>
          </w:p>
        </w:tc>
        <w:tc>
          <w:tcPr>
            <w:tcW w:w="992" w:type="dxa"/>
          </w:tcPr>
          <w:p w14:paraId="5253C952" w14:textId="77777777" w:rsidR="00C0124F" w:rsidRPr="00BA3623" w:rsidRDefault="00C0124F" w:rsidP="00B26D1F">
            <w:pPr>
              <w:jc w:val="center"/>
            </w:pPr>
            <w:r>
              <w:t>8.0</w:t>
            </w:r>
          </w:p>
        </w:tc>
        <w:tc>
          <w:tcPr>
            <w:tcW w:w="850" w:type="dxa"/>
          </w:tcPr>
          <w:p w14:paraId="735F263A" w14:textId="77777777" w:rsidR="00C0124F" w:rsidRPr="00BA3623" w:rsidRDefault="00C0124F" w:rsidP="00B26D1F">
            <w:pPr>
              <w:jc w:val="center"/>
            </w:pPr>
            <w:r>
              <w:t>5-9</w:t>
            </w:r>
          </w:p>
        </w:tc>
        <w:tc>
          <w:tcPr>
            <w:tcW w:w="851" w:type="dxa"/>
          </w:tcPr>
          <w:p w14:paraId="244A7E4D" w14:textId="77777777" w:rsidR="00C0124F" w:rsidRPr="00F0748A" w:rsidRDefault="00C0124F" w:rsidP="00B26D1F">
            <w:pPr>
              <w:jc w:val="center"/>
              <w:rPr>
                <w:i/>
              </w:rPr>
            </w:pPr>
            <w:r w:rsidRPr="00F0748A">
              <w:rPr>
                <w:i/>
              </w:rPr>
              <w:t>5.36</w:t>
            </w:r>
          </w:p>
        </w:tc>
      </w:tr>
      <w:tr w:rsidR="00C0124F" w:rsidRPr="00BA3623" w14:paraId="1ADBAB90" w14:textId="77777777" w:rsidTr="00807F64">
        <w:tc>
          <w:tcPr>
            <w:tcW w:w="1242" w:type="dxa"/>
            <w:vMerge w:val="restart"/>
          </w:tcPr>
          <w:p w14:paraId="0DF58800" w14:textId="77777777" w:rsidR="00C0124F" w:rsidRPr="004E38DA" w:rsidRDefault="00C0124F" w:rsidP="00B26D1F">
            <w:pPr>
              <w:rPr>
                <w:b/>
              </w:rPr>
            </w:pPr>
            <w:r w:rsidRPr="004E38DA">
              <w:rPr>
                <w:b/>
              </w:rPr>
              <w:t>Patient-provider interaction</w:t>
            </w:r>
          </w:p>
        </w:tc>
        <w:tc>
          <w:tcPr>
            <w:tcW w:w="777" w:type="dxa"/>
          </w:tcPr>
          <w:p w14:paraId="1F6F291D" w14:textId="77777777" w:rsidR="00C0124F" w:rsidRPr="00BA3623" w:rsidRDefault="00C0124F" w:rsidP="00B26D1F">
            <w:pPr>
              <w:jc w:val="center"/>
            </w:pPr>
            <w:r>
              <w:t>1</w:t>
            </w:r>
          </w:p>
        </w:tc>
        <w:tc>
          <w:tcPr>
            <w:tcW w:w="4043" w:type="dxa"/>
          </w:tcPr>
          <w:p w14:paraId="06891175" w14:textId="77777777" w:rsidR="00C0124F" w:rsidRPr="00466C41" w:rsidRDefault="00C0124F" w:rsidP="00B26D1F">
            <w:r w:rsidRPr="00466C41">
              <w:rPr>
                <w:bCs/>
              </w:rPr>
              <w:t>The practice demonstrates an ethos of patient-centred care, committed to “going the extra mile” for the patient.</w:t>
            </w:r>
          </w:p>
          <w:p w14:paraId="536F79C3" w14:textId="77777777" w:rsidR="00C0124F" w:rsidRPr="00B71A08" w:rsidRDefault="00C0124F" w:rsidP="00B26D1F">
            <w:pPr>
              <w:ind w:left="360"/>
            </w:pPr>
          </w:p>
        </w:tc>
        <w:tc>
          <w:tcPr>
            <w:tcW w:w="992" w:type="dxa"/>
          </w:tcPr>
          <w:p w14:paraId="769F19E2" w14:textId="77777777" w:rsidR="00C0124F" w:rsidRPr="00BA3623" w:rsidRDefault="00C0124F" w:rsidP="00B26D1F">
            <w:pPr>
              <w:jc w:val="center"/>
            </w:pPr>
            <w:r>
              <w:t>9.0</w:t>
            </w:r>
          </w:p>
        </w:tc>
        <w:tc>
          <w:tcPr>
            <w:tcW w:w="919" w:type="dxa"/>
          </w:tcPr>
          <w:p w14:paraId="50B0F075" w14:textId="77777777" w:rsidR="00C0124F" w:rsidRPr="00BA3623" w:rsidRDefault="00C0124F" w:rsidP="00B26D1F">
            <w:pPr>
              <w:jc w:val="center"/>
            </w:pPr>
            <w:r>
              <w:t>6-9</w:t>
            </w:r>
          </w:p>
        </w:tc>
        <w:tc>
          <w:tcPr>
            <w:tcW w:w="992" w:type="dxa"/>
          </w:tcPr>
          <w:p w14:paraId="2F058E00" w14:textId="77777777" w:rsidR="00C0124F" w:rsidRPr="00BA3623" w:rsidRDefault="00C0124F" w:rsidP="00B26D1F">
            <w:pPr>
              <w:jc w:val="center"/>
            </w:pPr>
            <w:r>
              <w:t>9.0</w:t>
            </w:r>
          </w:p>
        </w:tc>
        <w:tc>
          <w:tcPr>
            <w:tcW w:w="850" w:type="dxa"/>
          </w:tcPr>
          <w:p w14:paraId="03255325" w14:textId="77777777" w:rsidR="00C0124F" w:rsidRPr="00BA3623" w:rsidRDefault="00C0124F" w:rsidP="00B26D1F">
            <w:pPr>
              <w:jc w:val="center"/>
            </w:pPr>
            <w:r>
              <w:t>2-9</w:t>
            </w:r>
          </w:p>
        </w:tc>
        <w:tc>
          <w:tcPr>
            <w:tcW w:w="851" w:type="dxa"/>
          </w:tcPr>
          <w:p w14:paraId="49F36E4F" w14:textId="77777777" w:rsidR="00C0124F" w:rsidRPr="00BA3623" w:rsidRDefault="00C0124F" w:rsidP="00B26D1F">
            <w:pPr>
              <w:jc w:val="center"/>
            </w:pPr>
            <w:r w:rsidRPr="00B71A08">
              <w:rPr>
                <w:i/>
                <w:sz w:val="24"/>
              </w:rPr>
              <w:t>2.41</w:t>
            </w:r>
          </w:p>
        </w:tc>
      </w:tr>
      <w:tr w:rsidR="00C0124F" w:rsidRPr="00BA3623" w14:paraId="75DB8589" w14:textId="77777777" w:rsidTr="00807F64">
        <w:tc>
          <w:tcPr>
            <w:tcW w:w="1242" w:type="dxa"/>
            <w:vMerge/>
          </w:tcPr>
          <w:p w14:paraId="78517C24" w14:textId="77777777" w:rsidR="00C0124F" w:rsidRPr="00BA3623" w:rsidRDefault="00C0124F" w:rsidP="00B26D1F"/>
        </w:tc>
        <w:tc>
          <w:tcPr>
            <w:tcW w:w="777" w:type="dxa"/>
          </w:tcPr>
          <w:p w14:paraId="69146032" w14:textId="77777777" w:rsidR="00C0124F" w:rsidRPr="00BA3623" w:rsidRDefault="00C0124F" w:rsidP="00B26D1F">
            <w:pPr>
              <w:jc w:val="center"/>
            </w:pPr>
            <w:r>
              <w:t>2</w:t>
            </w:r>
          </w:p>
        </w:tc>
        <w:tc>
          <w:tcPr>
            <w:tcW w:w="4043" w:type="dxa"/>
          </w:tcPr>
          <w:p w14:paraId="4DBB4664" w14:textId="77777777" w:rsidR="00C0124F" w:rsidRPr="00B71A08" w:rsidRDefault="00C0124F" w:rsidP="00B26D1F">
            <w:r w:rsidRPr="00B71A08">
              <w:t>Staff ensure that all patients (and/or carers) understand why they should take their medicines, how to take them and any precautionary information.</w:t>
            </w:r>
            <w:r>
              <w:t>*</w:t>
            </w:r>
            <w:r w:rsidRPr="00B71A08">
              <w:t xml:space="preserve"> </w:t>
            </w:r>
          </w:p>
          <w:p w14:paraId="24883735" w14:textId="77777777" w:rsidR="00C0124F" w:rsidRPr="00B71A08" w:rsidRDefault="00C0124F" w:rsidP="00B26D1F"/>
        </w:tc>
        <w:tc>
          <w:tcPr>
            <w:tcW w:w="992" w:type="dxa"/>
          </w:tcPr>
          <w:p w14:paraId="18BAADAB" w14:textId="77777777" w:rsidR="00C0124F" w:rsidRPr="00BA3623" w:rsidRDefault="00C0124F" w:rsidP="00B26D1F">
            <w:pPr>
              <w:jc w:val="center"/>
            </w:pPr>
            <w:r>
              <w:t>-</w:t>
            </w:r>
          </w:p>
        </w:tc>
        <w:tc>
          <w:tcPr>
            <w:tcW w:w="919" w:type="dxa"/>
          </w:tcPr>
          <w:p w14:paraId="4CA5428D" w14:textId="77777777" w:rsidR="00C0124F" w:rsidRPr="00BA3623" w:rsidRDefault="00C0124F" w:rsidP="00B26D1F">
            <w:pPr>
              <w:jc w:val="center"/>
            </w:pPr>
            <w:r>
              <w:t>-</w:t>
            </w:r>
          </w:p>
        </w:tc>
        <w:tc>
          <w:tcPr>
            <w:tcW w:w="992" w:type="dxa"/>
          </w:tcPr>
          <w:p w14:paraId="7AF6F55C" w14:textId="77777777" w:rsidR="00C0124F" w:rsidRPr="00BA3623" w:rsidRDefault="00C0124F" w:rsidP="00B26D1F">
            <w:pPr>
              <w:jc w:val="center"/>
            </w:pPr>
            <w:r>
              <w:t>9.0</w:t>
            </w:r>
          </w:p>
        </w:tc>
        <w:tc>
          <w:tcPr>
            <w:tcW w:w="850" w:type="dxa"/>
          </w:tcPr>
          <w:p w14:paraId="6F2FB7F7" w14:textId="77777777" w:rsidR="00C0124F" w:rsidRPr="00BA3623" w:rsidRDefault="00C0124F" w:rsidP="00B26D1F">
            <w:pPr>
              <w:jc w:val="center"/>
            </w:pPr>
            <w:r>
              <w:t>5-9</w:t>
            </w:r>
          </w:p>
        </w:tc>
        <w:tc>
          <w:tcPr>
            <w:tcW w:w="851" w:type="dxa"/>
          </w:tcPr>
          <w:p w14:paraId="14B16E27" w14:textId="77777777" w:rsidR="00C0124F" w:rsidRPr="00BA3623" w:rsidRDefault="00C0124F" w:rsidP="00B26D1F">
            <w:pPr>
              <w:jc w:val="center"/>
            </w:pPr>
            <w:r w:rsidRPr="00B71A08">
              <w:rPr>
                <w:i/>
                <w:sz w:val="24"/>
              </w:rPr>
              <w:t>3.05</w:t>
            </w:r>
          </w:p>
        </w:tc>
      </w:tr>
      <w:tr w:rsidR="00C0124F" w:rsidRPr="00BA3623" w14:paraId="3341CE0F" w14:textId="77777777" w:rsidTr="00807F64">
        <w:tc>
          <w:tcPr>
            <w:tcW w:w="1242" w:type="dxa"/>
            <w:vMerge/>
          </w:tcPr>
          <w:p w14:paraId="019EE1E4" w14:textId="77777777" w:rsidR="00C0124F" w:rsidRPr="00BA3623" w:rsidRDefault="00C0124F" w:rsidP="00B26D1F"/>
        </w:tc>
        <w:tc>
          <w:tcPr>
            <w:tcW w:w="777" w:type="dxa"/>
          </w:tcPr>
          <w:p w14:paraId="474CAAE4" w14:textId="77777777" w:rsidR="00C0124F" w:rsidRPr="00BA3623" w:rsidRDefault="00C0124F" w:rsidP="00B26D1F">
            <w:pPr>
              <w:jc w:val="center"/>
            </w:pPr>
            <w:r>
              <w:t>3</w:t>
            </w:r>
          </w:p>
        </w:tc>
        <w:tc>
          <w:tcPr>
            <w:tcW w:w="4043" w:type="dxa"/>
          </w:tcPr>
          <w:p w14:paraId="6344B61B" w14:textId="77777777" w:rsidR="00C0124F" w:rsidRPr="00B71A08" w:rsidRDefault="00C0124F" w:rsidP="00B26D1F">
            <w:r w:rsidRPr="00B71A08">
              <w:t>The Practice</w:t>
            </w:r>
            <w:r>
              <w:t xml:space="preserve"> / Pharmacy</w:t>
            </w:r>
            <w:r w:rsidRPr="00B71A08">
              <w:t xml:space="preserve"> has effective and customer service-oriented methods of communicating with patients in one-to-one interactions. </w:t>
            </w:r>
          </w:p>
          <w:p w14:paraId="5E0B27D6" w14:textId="77777777" w:rsidR="00C0124F" w:rsidRPr="00B71A08" w:rsidRDefault="00C0124F" w:rsidP="00B26D1F"/>
        </w:tc>
        <w:tc>
          <w:tcPr>
            <w:tcW w:w="992" w:type="dxa"/>
          </w:tcPr>
          <w:p w14:paraId="6D042A82" w14:textId="77777777" w:rsidR="00C0124F" w:rsidRPr="00BA3623" w:rsidRDefault="00C0124F" w:rsidP="00B26D1F">
            <w:pPr>
              <w:jc w:val="center"/>
            </w:pPr>
            <w:r>
              <w:t>8.0</w:t>
            </w:r>
          </w:p>
        </w:tc>
        <w:tc>
          <w:tcPr>
            <w:tcW w:w="919" w:type="dxa"/>
          </w:tcPr>
          <w:p w14:paraId="53DFC166" w14:textId="77777777" w:rsidR="00C0124F" w:rsidRPr="00BA3623" w:rsidRDefault="00C0124F" w:rsidP="00B26D1F">
            <w:pPr>
              <w:jc w:val="center"/>
            </w:pPr>
            <w:r>
              <w:t>1-9</w:t>
            </w:r>
          </w:p>
        </w:tc>
        <w:tc>
          <w:tcPr>
            <w:tcW w:w="992" w:type="dxa"/>
          </w:tcPr>
          <w:p w14:paraId="4A0B4FC7" w14:textId="77777777" w:rsidR="00C0124F" w:rsidRPr="00BA3623" w:rsidRDefault="00C0124F" w:rsidP="00B26D1F">
            <w:pPr>
              <w:jc w:val="center"/>
            </w:pPr>
            <w:r>
              <w:t>8.0</w:t>
            </w:r>
          </w:p>
        </w:tc>
        <w:tc>
          <w:tcPr>
            <w:tcW w:w="850" w:type="dxa"/>
          </w:tcPr>
          <w:p w14:paraId="2F006A73" w14:textId="77777777" w:rsidR="00C0124F" w:rsidRPr="00BA3623" w:rsidRDefault="00C0124F" w:rsidP="00B26D1F">
            <w:pPr>
              <w:jc w:val="center"/>
            </w:pPr>
            <w:r>
              <w:t>3-9</w:t>
            </w:r>
          </w:p>
        </w:tc>
        <w:tc>
          <w:tcPr>
            <w:tcW w:w="851" w:type="dxa"/>
          </w:tcPr>
          <w:p w14:paraId="3E00797F" w14:textId="77777777" w:rsidR="00C0124F" w:rsidRPr="00BA3623" w:rsidRDefault="00C0124F" w:rsidP="00B26D1F">
            <w:pPr>
              <w:jc w:val="center"/>
            </w:pPr>
            <w:r w:rsidRPr="00B71A08">
              <w:rPr>
                <w:i/>
                <w:sz w:val="24"/>
              </w:rPr>
              <w:t>3.32</w:t>
            </w:r>
          </w:p>
        </w:tc>
      </w:tr>
      <w:tr w:rsidR="00C0124F" w:rsidRPr="00BA3623" w14:paraId="1964BF92" w14:textId="77777777" w:rsidTr="00807F64">
        <w:tc>
          <w:tcPr>
            <w:tcW w:w="1242" w:type="dxa"/>
            <w:vMerge/>
          </w:tcPr>
          <w:p w14:paraId="7E8AF5E1" w14:textId="77777777" w:rsidR="00C0124F" w:rsidRPr="00BA3623" w:rsidRDefault="00C0124F" w:rsidP="00B26D1F"/>
        </w:tc>
        <w:tc>
          <w:tcPr>
            <w:tcW w:w="777" w:type="dxa"/>
          </w:tcPr>
          <w:p w14:paraId="3407B02D" w14:textId="77777777" w:rsidR="00C0124F" w:rsidRPr="00BA3623" w:rsidRDefault="00C0124F" w:rsidP="00B26D1F">
            <w:pPr>
              <w:jc w:val="center"/>
            </w:pPr>
            <w:r>
              <w:t>4</w:t>
            </w:r>
          </w:p>
        </w:tc>
        <w:tc>
          <w:tcPr>
            <w:tcW w:w="4043" w:type="dxa"/>
          </w:tcPr>
          <w:p w14:paraId="25FE7681" w14:textId="77777777" w:rsidR="00C0124F" w:rsidRPr="00466C41" w:rsidRDefault="00C0124F" w:rsidP="00B26D1F">
            <w:r w:rsidRPr="00466C41">
              <w:rPr>
                <w:bCs/>
              </w:rPr>
              <w:t>Each staff member demonstrates excellent customer service</w:t>
            </w:r>
            <w:r>
              <w:rPr>
                <w:bCs/>
              </w:rPr>
              <w:t>,</w:t>
            </w:r>
            <w:r w:rsidRPr="00466C41">
              <w:rPr>
                <w:bCs/>
              </w:rPr>
              <w:t xml:space="preserve"> working as a team to define and implement good service.  </w:t>
            </w:r>
          </w:p>
          <w:p w14:paraId="2E1509A2" w14:textId="77777777" w:rsidR="00C0124F" w:rsidRPr="00B71A08" w:rsidRDefault="00C0124F" w:rsidP="00B26D1F"/>
        </w:tc>
        <w:tc>
          <w:tcPr>
            <w:tcW w:w="992" w:type="dxa"/>
          </w:tcPr>
          <w:p w14:paraId="781F4C5D" w14:textId="77777777" w:rsidR="00C0124F" w:rsidRPr="00BA3623" w:rsidRDefault="00C0124F" w:rsidP="00B26D1F">
            <w:pPr>
              <w:jc w:val="center"/>
            </w:pPr>
            <w:r>
              <w:t>8.5</w:t>
            </w:r>
          </w:p>
        </w:tc>
        <w:tc>
          <w:tcPr>
            <w:tcW w:w="919" w:type="dxa"/>
          </w:tcPr>
          <w:p w14:paraId="63C174AF" w14:textId="77777777" w:rsidR="00C0124F" w:rsidRPr="00BA3623" w:rsidRDefault="00C0124F" w:rsidP="00B26D1F">
            <w:pPr>
              <w:jc w:val="center"/>
            </w:pPr>
            <w:r>
              <w:t>6-9</w:t>
            </w:r>
          </w:p>
        </w:tc>
        <w:tc>
          <w:tcPr>
            <w:tcW w:w="992" w:type="dxa"/>
          </w:tcPr>
          <w:p w14:paraId="0FA642CE" w14:textId="77777777" w:rsidR="00C0124F" w:rsidRPr="00BA3623" w:rsidRDefault="00C0124F" w:rsidP="00B26D1F">
            <w:pPr>
              <w:jc w:val="center"/>
            </w:pPr>
            <w:r>
              <w:t>9.0</w:t>
            </w:r>
          </w:p>
        </w:tc>
        <w:tc>
          <w:tcPr>
            <w:tcW w:w="850" w:type="dxa"/>
          </w:tcPr>
          <w:p w14:paraId="785D9B85" w14:textId="77777777" w:rsidR="00C0124F" w:rsidRPr="00BA3623" w:rsidRDefault="00C0124F" w:rsidP="00B26D1F">
            <w:pPr>
              <w:jc w:val="center"/>
            </w:pPr>
            <w:r>
              <w:t>5-9</w:t>
            </w:r>
          </w:p>
        </w:tc>
        <w:tc>
          <w:tcPr>
            <w:tcW w:w="851" w:type="dxa"/>
          </w:tcPr>
          <w:p w14:paraId="3A24307B" w14:textId="77777777" w:rsidR="00C0124F" w:rsidRPr="00BA3623" w:rsidRDefault="00C0124F" w:rsidP="00B26D1F">
            <w:pPr>
              <w:jc w:val="center"/>
            </w:pPr>
            <w:r w:rsidRPr="00B71A08">
              <w:rPr>
                <w:i/>
                <w:sz w:val="24"/>
              </w:rPr>
              <w:t>3.45</w:t>
            </w:r>
          </w:p>
        </w:tc>
      </w:tr>
      <w:tr w:rsidR="00C0124F" w:rsidRPr="00BA3623" w14:paraId="2084DA61" w14:textId="77777777" w:rsidTr="00807F64">
        <w:tc>
          <w:tcPr>
            <w:tcW w:w="1242" w:type="dxa"/>
            <w:vMerge/>
          </w:tcPr>
          <w:p w14:paraId="4915F232" w14:textId="77777777" w:rsidR="00C0124F" w:rsidRPr="00BA3623" w:rsidRDefault="00C0124F" w:rsidP="00B26D1F"/>
        </w:tc>
        <w:tc>
          <w:tcPr>
            <w:tcW w:w="777" w:type="dxa"/>
          </w:tcPr>
          <w:p w14:paraId="69F93DCE" w14:textId="77777777" w:rsidR="00C0124F" w:rsidRPr="00BA3623" w:rsidRDefault="00C0124F" w:rsidP="00B26D1F">
            <w:pPr>
              <w:jc w:val="center"/>
            </w:pPr>
            <w:r>
              <w:t>5</w:t>
            </w:r>
          </w:p>
        </w:tc>
        <w:tc>
          <w:tcPr>
            <w:tcW w:w="4043" w:type="dxa"/>
          </w:tcPr>
          <w:p w14:paraId="19C4F948" w14:textId="77777777" w:rsidR="00C0124F" w:rsidRPr="00B71A08" w:rsidRDefault="00C0124F" w:rsidP="00B26D1F">
            <w:r w:rsidRPr="00B71A08">
              <w:t xml:space="preserve">Staff are always aware of and acknowledge waiting patients. </w:t>
            </w:r>
          </w:p>
          <w:p w14:paraId="349BF2C8" w14:textId="77777777" w:rsidR="00C0124F" w:rsidRPr="00B71A08" w:rsidRDefault="00C0124F" w:rsidP="00B26D1F"/>
        </w:tc>
        <w:tc>
          <w:tcPr>
            <w:tcW w:w="992" w:type="dxa"/>
          </w:tcPr>
          <w:p w14:paraId="5DBDC243" w14:textId="77777777" w:rsidR="00C0124F" w:rsidRPr="00BA3623" w:rsidRDefault="00C0124F" w:rsidP="00B26D1F">
            <w:pPr>
              <w:jc w:val="center"/>
            </w:pPr>
            <w:r>
              <w:t>7.5</w:t>
            </w:r>
          </w:p>
        </w:tc>
        <w:tc>
          <w:tcPr>
            <w:tcW w:w="919" w:type="dxa"/>
          </w:tcPr>
          <w:p w14:paraId="53D27BD9" w14:textId="77777777" w:rsidR="00C0124F" w:rsidRPr="00BA3623" w:rsidRDefault="00C0124F" w:rsidP="00B26D1F">
            <w:pPr>
              <w:jc w:val="center"/>
            </w:pPr>
            <w:r>
              <w:t>5-9</w:t>
            </w:r>
          </w:p>
        </w:tc>
        <w:tc>
          <w:tcPr>
            <w:tcW w:w="992" w:type="dxa"/>
          </w:tcPr>
          <w:p w14:paraId="4CE6292B" w14:textId="77777777" w:rsidR="00C0124F" w:rsidRPr="00BA3623" w:rsidRDefault="00C0124F" w:rsidP="00B26D1F">
            <w:pPr>
              <w:jc w:val="center"/>
            </w:pPr>
            <w:r>
              <w:t>7</w:t>
            </w:r>
          </w:p>
        </w:tc>
        <w:tc>
          <w:tcPr>
            <w:tcW w:w="850" w:type="dxa"/>
          </w:tcPr>
          <w:p w14:paraId="34C641B2" w14:textId="77777777" w:rsidR="00C0124F" w:rsidRPr="00BA3623" w:rsidRDefault="00C0124F" w:rsidP="00B26D1F">
            <w:pPr>
              <w:jc w:val="center"/>
            </w:pPr>
            <w:r>
              <w:t>4-9</w:t>
            </w:r>
          </w:p>
        </w:tc>
        <w:tc>
          <w:tcPr>
            <w:tcW w:w="851" w:type="dxa"/>
          </w:tcPr>
          <w:p w14:paraId="34D312CC" w14:textId="77777777" w:rsidR="00C0124F" w:rsidRPr="00BA3623" w:rsidRDefault="00C0124F" w:rsidP="00B26D1F">
            <w:pPr>
              <w:jc w:val="center"/>
            </w:pPr>
            <w:r w:rsidRPr="00B71A08">
              <w:rPr>
                <w:i/>
                <w:sz w:val="24"/>
              </w:rPr>
              <w:t>3.77</w:t>
            </w:r>
          </w:p>
        </w:tc>
      </w:tr>
      <w:tr w:rsidR="00C0124F" w:rsidRPr="00BA3623" w14:paraId="4C19E265" w14:textId="77777777" w:rsidTr="00807F64">
        <w:tc>
          <w:tcPr>
            <w:tcW w:w="1242" w:type="dxa"/>
            <w:vMerge/>
          </w:tcPr>
          <w:p w14:paraId="23BA6C8B" w14:textId="77777777" w:rsidR="00C0124F" w:rsidRPr="00BA3623" w:rsidRDefault="00C0124F" w:rsidP="00B26D1F"/>
        </w:tc>
        <w:tc>
          <w:tcPr>
            <w:tcW w:w="777" w:type="dxa"/>
          </w:tcPr>
          <w:p w14:paraId="41E2D7E7" w14:textId="77777777" w:rsidR="00C0124F" w:rsidRPr="00BA3623" w:rsidRDefault="00C0124F" w:rsidP="00B26D1F">
            <w:pPr>
              <w:jc w:val="center"/>
            </w:pPr>
            <w:r>
              <w:t>6</w:t>
            </w:r>
          </w:p>
        </w:tc>
        <w:tc>
          <w:tcPr>
            <w:tcW w:w="4043" w:type="dxa"/>
          </w:tcPr>
          <w:p w14:paraId="368196BB" w14:textId="77777777" w:rsidR="00C0124F" w:rsidRPr="00466C41" w:rsidRDefault="00C0124F" w:rsidP="00B26D1F">
            <w:r w:rsidRPr="00466C41">
              <w:t xml:space="preserve">Practices </w:t>
            </w:r>
            <w:r w:rsidRPr="00466C41">
              <w:rPr>
                <w:bCs/>
              </w:rPr>
              <w:t>conduct MURs / DRUMs</w:t>
            </w:r>
            <w:r>
              <w:rPr>
                <w:bCs/>
              </w:rPr>
              <w:t>**</w:t>
            </w:r>
            <w:r w:rsidRPr="00466C41">
              <w:rPr>
                <w:bCs/>
              </w:rPr>
              <w:t xml:space="preserve"> in a way that maximises patient benefit.</w:t>
            </w:r>
          </w:p>
          <w:p w14:paraId="2480474C" w14:textId="77777777" w:rsidR="00C0124F" w:rsidRPr="00B71A08" w:rsidRDefault="00C0124F" w:rsidP="00B26D1F"/>
        </w:tc>
        <w:tc>
          <w:tcPr>
            <w:tcW w:w="992" w:type="dxa"/>
          </w:tcPr>
          <w:p w14:paraId="683BED66" w14:textId="77777777" w:rsidR="00C0124F" w:rsidRPr="00BA3623" w:rsidRDefault="00C0124F" w:rsidP="00B26D1F">
            <w:pPr>
              <w:jc w:val="center"/>
            </w:pPr>
            <w:r>
              <w:t>7.5</w:t>
            </w:r>
          </w:p>
        </w:tc>
        <w:tc>
          <w:tcPr>
            <w:tcW w:w="919" w:type="dxa"/>
          </w:tcPr>
          <w:p w14:paraId="5E0F4422" w14:textId="77777777" w:rsidR="00C0124F" w:rsidRPr="00BA3623" w:rsidRDefault="00C0124F" w:rsidP="00B26D1F">
            <w:pPr>
              <w:jc w:val="center"/>
            </w:pPr>
            <w:r>
              <w:t>1-9</w:t>
            </w:r>
          </w:p>
        </w:tc>
        <w:tc>
          <w:tcPr>
            <w:tcW w:w="992" w:type="dxa"/>
          </w:tcPr>
          <w:p w14:paraId="0AB5C3A4" w14:textId="77777777" w:rsidR="00C0124F" w:rsidRPr="00BA3623" w:rsidRDefault="00C0124F" w:rsidP="00B26D1F">
            <w:pPr>
              <w:jc w:val="center"/>
            </w:pPr>
            <w:r>
              <w:t>7</w:t>
            </w:r>
          </w:p>
        </w:tc>
        <w:tc>
          <w:tcPr>
            <w:tcW w:w="850" w:type="dxa"/>
          </w:tcPr>
          <w:p w14:paraId="7A1F24A5" w14:textId="137D0FB8" w:rsidR="00C0124F" w:rsidRPr="00BA3623" w:rsidRDefault="00600140" w:rsidP="00B26D1F">
            <w:pPr>
              <w:jc w:val="center"/>
            </w:pPr>
            <w:r>
              <w:t>3-9</w:t>
            </w:r>
          </w:p>
        </w:tc>
        <w:tc>
          <w:tcPr>
            <w:tcW w:w="851" w:type="dxa"/>
          </w:tcPr>
          <w:p w14:paraId="17CDC561" w14:textId="77777777" w:rsidR="00C0124F" w:rsidRPr="00BA3623" w:rsidRDefault="00C0124F" w:rsidP="00B26D1F">
            <w:pPr>
              <w:jc w:val="center"/>
            </w:pPr>
            <w:r w:rsidRPr="00B71A08">
              <w:rPr>
                <w:i/>
                <w:sz w:val="24"/>
              </w:rPr>
              <w:t>5.00</w:t>
            </w:r>
          </w:p>
        </w:tc>
      </w:tr>
      <w:tr w:rsidR="00C0124F" w:rsidRPr="00BA3623" w14:paraId="2D4BEDBB" w14:textId="77777777" w:rsidTr="00807F64">
        <w:tc>
          <w:tcPr>
            <w:tcW w:w="1242" w:type="dxa"/>
            <w:vMerge w:val="restart"/>
          </w:tcPr>
          <w:p w14:paraId="180F1376" w14:textId="77777777" w:rsidR="00C0124F" w:rsidRPr="000437D1" w:rsidRDefault="00C0124F" w:rsidP="00B26D1F">
            <w:pPr>
              <w:rPr>
                <w:b/>
              </w:rPr>
            </w:pPr>
            <w:r w:rsidRPr="000437D1">
              <w:rPr>
                <w:b/>
              </w:rPr>
              <w:t>Workplace culture</w:t>
            </w:r>
          </w:p>
        </w:tc>
        <w:tc>
          <w:tcPr>
            <w:tcW w:w="777" w:type="dxa"/>
          </w:tcPr>
          <w:p w14:paraId="156A5662" w14:textId="77777777" w:rsidR="00C0124F" w:rsidRPr="00BA3623" w:rsidRDefault="00C0124F" w:rsidP="00B26D1F">
            <w:pPr>
              <w:jc w:val="center"/>
            </w:pPr>
            <w:r>
              <w:t>1</w:t>
            </w:r>
          </w:p>
        </w:tc>
        <w:tc>
          <w:tcPr>
            <w:tcW w:w="4043" w:type="dxa"/>
          </w:tcPr>
          <w:p w14:paraId="2B80B024" w14:textId="77777777" w:rsidR="00C0124F" w:rsidRPr="00B71A08" w:rsidRDefault="00C0124F" w:rsidP="00B26D1F">
            <w:r w:rsidRPr="00B71A08">
              <w:t xml:space="preserve">The Practice demonstrates effective methods of internal staff communication. </w:t>
            </w:r>
          </w:p>
          <w:p w14:paraId="02F213F2" w14:textId="77777777" w:rsidR="00C0124F" w:rsidRPr="00BA3623" w:rsidRDefault="00C0124F" w:rsidP="00B26D1F"/>
        </w:tc>
        <w:tc>
          <w:tcPr>
            <w:tcW w:w="992" w:type="dxa"/>
          </w:tcPr>
          <w:p w14:paraId="1BF3ED9A" w14:textId="77777777" w:rsidR="00C0124F" w:rsidRPr="00BA3623" w:rsidRDefault="00C0124F" w:rsidP="00B26D1F">
            <w:pPr>
              <w:jc w:val="center"/>
            </w:pPr>
            <w:r>
              <w:t>8.0</w:t>
            </w:r>
          </w:p>
        </w:tc>
        <w:tc>
          <w:tcPr>
            <w:tcW w:w="919" w:type="dxa"/>
          </w:tcPr>
          <w:p w14:paraId="77EEF9BF" w14:textId="77777777" w:rsidR="00C0124F" w:rsidRPr="00BA3623" w:rsidRDefault="00C0124F" w:rsidP="00B26D1F">
            <w:pPr>
              <w:jc w:val="center"/>
            </w:pPr>
            <w:r>
              <w:t>1-9</w:t>
            </w:r>
          </w:p>
        </w:tc>
        <w:tc>
          <w:tcPr>
            <w:tcW w:w="992" w:type="dxa"/>
          </w:tcPr>
          <w:p w14:paraId="25F00C33" w14:textId="77777777" w:rsidR="00C0124F" w:rsidRPr="00BA3623" w:rsidRDefault="00C0124F" w:rsidP="00B26D1F">
            <w:pPr>
              <w:jc w:val="center"/>
            </w:pPr>
            <w:r>
              <w:t>8.0</w:t>
            </w:r>
          </w:p>
        </w:tc>
        <w:tc>
          <w:tcPr>
            <w:tcW w:w="850" w:type="dxa"/>
          </w:tcPr>
          <w:p w14:paraId="0510C517" w14:textId="77777777" w:rsidR="00C0124F" w:rsidRPr="00BA3623" w:rsidRDefault="00C0124F" w:rsidP="00B26D1F">
            <w:pPr>
              <w:jc w:val="center"/>
            </w:pPr>
            <w:r>
              <w:t>6-9</w:t>
            </w:r>
          </w:p>
        </w:tc>
        <w:tc>
          <w:tcPr>
            <w:tcW w:w="851" w:type="dxa"/>
          </w:tcPr>
          <w:p w14:paraId="6F65BE8C" w14:textId="77777777" w:rsidR="00C0124F" w:rsidRPr="00BA3623" w:rsidRDefault="00C0124F" w:rsidP="00B26D1F">
            <w:pPr>
              <w:jc w:val="center"/>
            </w:pPr>
            <w:r w:rsidRPr="00B71A08">
              <w:rPr>
                <w:i/>
              </w:rPr>
              <w:t>2.55</w:t>
            </w:r>
          </w:p>
        </w:tc>
      </w:tr>
      <w:tr w:rsidR="00C0124F" w:rsidRPr="00BA3623" w14:paraId="47CF13A6" w14:textId="77777777" w:rsidTr="00807F64">
        <w:tc>
          <w:tcPr>
            <w:tcW w:w="1242" w:type="dxa"/>
            <w:vMerge/>
          </w:tcPr>
          <w:p w14:paraId="54EBF5ED" w14:textId="77777777" w:rsidR="00C0124F" w:rsidRPr="00BA3623" w:rsidRDefault="00C0124F" w:rsidP="00B26D1F"/>
        </w:tc>
        <w:tc>
          <w:tcPr>
            <w:tcW w:w="777" w:type="dxa"/>
          </w:tcPr>
          <w:p w14:paraId="7B465A83" w14:textId="77777777" w:rsidR="00C0124F" w:rsidRPr="00BA3623" w:rsidRDefault="00C0124F" w:rsidP="00B26D1F">
            <w:pPr>
              <w:jc w:val="center"/>
            </w:pPr>
            <w:r>
              <w:t>2</w:t>
            </w:r>
          </w:p>
        </w:tc>
        <w:tc>
          <w:tcPr>
            <w:tcW w:w="4043" w:type="dxa"/>
          </w:tcPr>
          <w:p w14:paraId="550B567D" w14:textId="77777777" w:rsidR="00C0124F" w:rsidRPr="00B71A08" w:rsidRDefault="00C0124F" w:rsidP="00B26D1F">
            <w:r w:rsidRPr="00B71A08">
              <w:t xml:space="preserve">There is a culture of encouraging staff to improve internal procedures. </w:t>
            </w:r>
          </w:p>
          <w:p w14:paraId="2F01DFD7" w14:textId="77777777" w:rsidR="00C0124F" w:rsidRPr="00BA3623" w:rsidRDefault="00C0124F" w:rsidP="00B26D1F"/>
        </w:tc>
        <w:tc>
          <w:tcPr>
            <w:tcW w:w="992" w:type="dxa"/>
          </w:tcPr>
          <w:p w14:paraId="75F4FA31" w14:textId="77777777" w:rsidR="00C0124F" w:rsidRPr="00BA3623" w:rsidRDefault="00C0124F" w:rsidP="00B26D1F">
            <w:pPr>
              <w:jc w:val="center"/>
            </w:pPr>
            <w:r>
              <w:t>7.0</w:t>
            </w:r>
          </w:p>
        </w:tc>
        <w:tc>
          <w:tcPr>
            <w:tcW w:w="919" w:type="dxa"/>
          </w:tcPr>
          <w:p w14:paraId="522F27C1" w14:textId="77777777" w:rsidR="00C0124F" w:rsidRPr="00BA3623" w:rsidRDefault="00C0124F" w:rsidP="00B26D1F">
            <w:pPr>
              <w:jc w:val="center"/>
            </w:pPr>
            <w:r>
              <w:t>2-9</w:t>
            </w:r>
          </w:p>
        </w:tc>
        <w:tc>
          <w:tcPr>
            <w:tcW w:w="992" w:type="dxa"/>
          </w:tcPr>
          <w:p w14:paraId="7614FDFD" w14:textId="77777777" w:rsidR="00C0124F" w:rsidRPr="00BA3623" w:rsidRDefault="00C0124F" w:rsidP="00B26D1F">
            <w:pPr>
              <w:jc w:val="center"/>
            </w:pPr>
            <w:r>
              <w:t>7.0</w:t>
            </w:r>
          </w:p>
        </w:tc>
        <w:tc>
          <w:tcPr>
            <w:tcW w:w="850" w:type="dxa"/>
          </w:tcPr>
          <w:p w14:paraId="1E60BBD0" w14:textId="77777777" w:rsidR="00C0124F" w:rsidRPr="00BA3623" w:rsidRDefault="00C0124F" w:rsidP="00B26D1F">
            <w:pPr>
              <w:jc w:val="center"/>
            </w:pPr>
            <w:r>
              <w:t>3-9</w:t>
            </w:r>
          </w:p>
        </w:tc>
        <w:tc>
          <w:tcPr>
            <w:tcW w:w="851" w:type="dxa"/>
          </w:tcPr>
          <w:p w14:paraId="0011D96E" w14:textId="77777777" w:rsidR="00C0124F" w:rsidRPr="00BA3623" w:rsidRDefault="00C0124F" w:rsidP="00B26D1F">
            <w:pPr>
              <w:jc w:val="center"/>
            </w:pPr>
            <w:r w:rsidRPr="00B71A08">
              <w:rPr>
                <w:i/>
              </w:rPr>
              <w:t>2.77</w:t>
            </w:r>
          </w:p>
        </w:tc>
      </w:tr>
      <w:tr w:rsidR="00C0124F" w:rsidRPr="00BA3623" w14:paraId="7D475940" w14:textId="77777777" w:rsidTr="00807F64">
        <w:tc>
          <w:tcPr>
            <w:tcW w:w="1242" w:type="dxa"/>
            <w:vMerge/>
          </w:tcPr>
          <w:p w14:paraId="6E31941B" w14:textId="77777777" w:rsidR="00C0124F" w:rsidRPr="00BA3623" w:rsidRDefault="00C0124F" w:rsidP="00B26D1F"/>
        </w:tc>
        <w:tc>
          <w:tcPr>
            <w:tcW w:w="777" w:type="dxa"/>
          </w:tcPr>
          <w:p w14:paraId="7F0BBE40" w14:textId="77777777" w:rsidR="00C0124F" w:rsidRPr="00BA3623" w:rsidRDefault="00C0124F" w:rsidP="00B26D1F">
            <w:pPr>
              <w:jc w:val="center"/>
            </w:pPr>
            <w:r>
              <w:t>3</w:t>
            </w:r>
          </w:p>
        </w:tc>
        <w:tc>
          <w:tcPr>
            <w:tcW w:w="4043" w:type="dxa"/>
          </w:tcPr>
          <w:p w14:paraId="008E9391" w14:textId="77777777" w:rsidR="00C0124F" w:rsidRPr="00466C41" w:rsidRDefault="00C0124F" w:rsidP="00B26D1F">
            <w:r w:rsidRPr="00466C41">
              <w:rPr>
                <w:bCs/>
              </w:rPr>
              <w:t xml:space="preserve">The </w:t>
            </w:r>
            <w:r>
              <w:rPr>
                <w:bCs/>
              </w:rPr>
              <w:t xml:space="preserve">Practice / Pharmacy </w:t>
            </w:r>
            <w:r w:rsidRPr="00466C41">
              <w:rPr>
                <w:bCs/>
              </w:rPr>
              <w:t>facilitates staff training with staff having access to, and knowing how to use, online resources.</w:t>
            </w:r>
          </w:p>
          <w:p w14:paraId="78BFCDF5" w14:textId="77777777" w:rsidR="00C0124F" w:rsidRPr="00BA3623" w:rsidRDefault="00C0124F" w:rsidP="00B26D1F"/>
        </w:tc>
        <w:tc>
          <w:tcPr>
            <w:tcW w:w="992" w:type="dxa"/>
          </w:tcPr>
          <w:p w14:paraId="714D1741" w14:textId="77777777" w:rsidR="00C0124F" w:rsidRPr="00BA3623" w:rsidRDefault="00C0124F" w:rsidP="00B26D1F">
            <w:pPr>
              <w:jc w:val="center"/>
            </w:pPr>
            <w:r>
              <w:t>7.0</w:t>
            </w:r>
          </w:p>
        </w:tc>
        <w:tc>
          <w:tcPr>
            <w:tcW w:w="919" w:type="dxa"/>
          </w:tcPr>
          <w:p w14:paraId="35820988" w14:textId="77777777" w:rsidR="00C0124F" w:rsidRPr="00BA3623" w:rsidRDefault="00C0124F" w:rsidP="00B26D1F">
            <w:pPr>
              <w:jc w:val="center"/>
            </w:pPr>
            <w:r>
              <w:t>5-9</w:t>
            </w:r>
          </w:p>
        </w:tc>
        <w:tc>
          <w:tcPr>
            <w:tcW w:w="992" w:type="dxa"/>
          </w:tcPr>
          <w:p w14:paraId="58B4760E" w14:textId="77777777" w:rsidR="00C0124F" w:rsidRPr="00BA3623" w:rsidRDefault="00C0124F" w:rsidP="00B26D1F">
            <w:pPr>
              <w:jc w:val="center"/>
            </w:pPr>
            <w:r>
              <w:t>8.0</w:t>
            </w:r>
          </w:p>
        </w:tc>
        <w:tc>
          <w:tcPr>
            <w:tcW w:w="850" w:type="dxa"/>
          </w:tcPr>
          <w:p w14:paraId="1E21D426" w14:textId="77777777" w:rsidR="00C0124F" w:rsidRPr="00BA3623" w:rsidRDefault="00C0124F" w:rsidP="00B26D1F">
            <w:pPr>
              <w:jc w:val="center"/>
            </w:pPr>
            <w:r>
              <w:t>4-9</w:t>
            </w:r>
          </w:p>
        </w:tc>
        <w:tc>
          <w:tcPr>
            <w:tcW w:w="851" w:type="dxa"/>
          </w:tcPr>
          <w:p w14:paraId="12D48036" w14:textId="77777777" w:rsidR="00C0124F" w:rsidRPr="00BA3623" w:rsidRDefault="00C0124F" w:rsidP="00B26D1F">
            <w:pPr>
              <w:jc w:val="center"/>
            </w:pPr>
            <w:r w:rsidRPr="00B71A08">
              <w:rPr>
                <w:i/>
              </w:rPr>
              <w:t>2.91</w:t>
            </w:r>
          </w:p>
        </w:tc>
      </w:tr>
      <w:tr w:rsidR="00C0124F" w:rsidRPr="00BA3623" w14:paraId="7B14BE8B" w14:textId="77777777" w:rsidTr="00807F64">
        <w:tc>
          <w:tcPr>
            <w:tcW w:w="1242" w:type="dxa"/>
            <w:vMerge/>
          </w:tcPr>
          <w:p w14:paraId="3537F0F3" w14:textId="77777777" w:rsidR="00C0124F" w:rsidRPr="00BA3623" w:rsidRDefault="00C0124F" w:rsidP="00B26D1F"/>
        </w:tc>
        <w:tc>
          <w:tcPr>
            <w:tcW w:w="777" w:type="dxa"/>
          </w:tcPr>
          <w:p w14:paraId="3E236821" w14:textId="77777777" w:rsidR="00C0124F" w:rsidRPr="00BA3623" w:rsidRDefault="00C0124F" w:rsidP="00B26D1F">
            <w:pPr>
              <w:jc w:val="center"/>
            </w:pPr>
            <w:r>
              <w:t>4</w:t>
            </w:r>
          </w:p>
        </w:tc>
        <w:tc>
          <w:tcPr>
            <w:tcW w:w="4043" w:type="dxa"/>
          </w:tcPr>
          <w:p w14:paraId="6F5E8943" w14:textId="77777777" w:rsidR="00C0124F" w:rsidRPr="00B71A08" w:rsidRDefault="00C0124F" w:rsidP="00B26D1F">
            <w:r w:rsidRPr="00B71A08">
              <w:t>The Practice</w:t>
            </w:r>
            <w:r>
              <w:t xml:space="preserve"> / Pharmacy</w:t>
            </w:r>
            <w:r w:rsidRPr="00B71A08">
              <w:t xml:space="preserve"> makes an effort to develop and maintain relationships with other local health care providers.</w:t>
            </w:r>
          </w:p>
          <w:p w14:paraId="18C4AFED" w14:textId="77777777" w:rsidR="00C0124F" w:rsidRPr="00BA3623" w:rsidRDefault="00C0124F" w:rsidP="00B26D1F"/>
        </w:tc>
        <w:tc>
          <w:tcPr>
            <w:tcW w:w="992" w:type="dxa"/>
          </w:tcPr>
          <w:p w14:paraId="4C9DCFD1" w14:textId="77777777" w:rsidR="00C0124F" w:rsidRPr="00BA3623" w:rsidRDefault="00C0124F" w:rsidP="00B26D1F">
            <w:pPr>
              <w:jc w:val="center"/>
            </w:pPr>
            <w:r>
              <w:t>7.0</w:t>
            </w:r>
          </w:p>
        </w:tc>
        <w:tc>
          <w:tcPr>
            <w:tcW w:w="919" w:type="dxa"/>
          </w:tcPr>
          <w:p w14:paraId="5D3A7205" w14:textId="77777777" w:rsidR="00C0124F" w:rsidRPr="00BA3623" w:rsidRDefault="00C0124F" w:rsidP="00B26D1F">
            <w:pPr>
              <w:jc w:val="center"/>
            </w:pPr>
            <w:r>
              <w:t>5-9</w:t>
            </w:r>
          </w:p>
        </w:tc>
        <w:tc>
          <w:tcPr>
            <w:tcW w:w="992" w:type="dxa"/>
          </w:tcPr>
          <w:p w14:paraId="263515A4" w14:textId="77777777" w:rsidR="00C0124F" w:rsidRPr="00BA3623" w:rsidRDefault="00C0124F" w:rsidP="00B26D1F">
            <w:pPr>
              <w:jc w:val="center"/>
            </w:pPr>
            <w:r>
              <w:t>8.0</w:t>
            </w:r>
          </w:p>
        </w:tc>
        <w:tc>
          <w:tcPr>
            <w:tcW w:w="850" w:type="dxa"/>
          </w:tcPr>
          <w:p w14:paraId="5D8BF6AA" w14:textId="77777777" w:rsidR="00C0124F" w:rsidRPr="00BA3623" w:rsidRDefault="00C0124F" w:rsidP="00B26D1F">
            <w:pPr>
              <w:jc w:val="center"/>
            </w:pPr>
            <w:r>
              <w:t>4-9</w:t>
            </w:r>
          </w:p>
        </w:tc>
        <w:tc>
          <w:tcPr>
            <w:tcW w:w="851" w:type="dxa"/>
          </w:tcPr>
          <w:p w14:paraId="5D82B98A" w14:textId="77777777" w:rsidR="00C0124F" w:rsidRPr="00BA3623" w:rsidRDefault="00C0124F" w:rsidP="00B26D1F">
            <w:pPr>
              <w:jc w:val="center"/>
            </w:pPr>
            <w:r w:rsidRPr="00B71A08">
              <w:rPr>
                <w:i/>
              </w:rPr>
              <w:t>3.77</w:t>
            </w:r>
          </w:p>
        </w:tc>
      </w:tr>
      <w:tr w:rsidR="00C0124F" w:rsidRPr="00BA3623" w14:paraId="09F05AE5" w14:textId="77777777" w:rsidTr="00807F64">
        <w:tc>
          <w:tcPr>
            <w:tcW w:w="1242" w:type="dxa"/>
            <w:vMerge/>
          </w:tcPr>
          <w:p w14:paraId="65DECB69" w14:textId="77777777" w:rsidR="00C0124F" w:rsidRPr="00BA3623" w:rsidRDefault="00C0124F" w:rsidP="00B26D1F"/>
        </w:tc>
        <w:tc>
          <w:tcPr>
            <w:tcW w:w="777" w:type="dxa"/>
          </w:tcPr>
          <w:p w14:paraId="2F2E7128" w14:textId="77777777" w:rsidR="00C0124F" w:rsidRPr="00BA3623" w:rsidRDefault="00C0124F" w:rsidP="00B26D1F">
            <w:pPr>
              <w:jc w:val="center"/>
            </w:pPr>
            <w:r>
              <w:t>5</w:t>
            </w:r>
          </w:p>
        </w:tc>
        <w:tc>
          <w:tcPr>
            <w:tcW w:w="4043" w:type="dxa"/>
          </w:tcPr>
          <w:p w14:paraId="23B7E898" w14:textId="77777777" w:rsidR="00C0124F" w:rsidRPr="00466C41" w:rsidRDefault="00C0124F" w:rsidP="00B26D1F">
            <w:r w:rsidRPr="00466C41">
              <w:rPr>
                <w:bCs/>
              </w:rPr>
              <w:t>Staff actively engage in Continuing Professional Development (CPD).</w:t>
            </w:r>
          </w:p>
          <w:p w14:paraId="6162D99F" w14:textId="77777777" w:rsidR="00C0124F" w:rsidRPr="00BA3623" w:rsidRDefault="00C0124F" w:rsidP="00B26D1F"/>
        </w:tc>
        <w:tc>
          <w:tcPr>
            <w:tcW w:w="992" w:type="dxa"/>
          </w:tcPr>
          <w:p w14:paraId="284390C4" w14:textId="77777777" w:rsidR="00C0124F" w:rsidRPr="00BA3623" w:rsidRDefault="00C0124F" w:rsidP="00B26D1F">
            <w:pPr>
              <w:jc w:val="center"/>
            </w:pPr>
            <w:r>
              <w:t>7.5</w:t>
            </w:r>
          </w:p>
        </w:tc>
        <w:tc>
          <w:tcPr>
            <w:tcW w:w="919" w:type="dxa"/>
          </w:tcPr>
          <w:p w14:paraId="4315672D" w14:textId="77777777" w:rsidR="00C0124F" w:rsidRPr="00BA3623" w:rsidRDefault="00C0124F" w:rsidP="00B26D1F">
            <w:pPr>
              <w:jc w:val="center"/>
            </w:pPr>
            <w:r>
              <w:t>4-9</w:t>
            </w:r>
          </w:p>
        </w:tc>
        <w:tc>
          <w:tcPr>
            <w:tcW w:w="992" w:type="dxa"/>
          </w:tcPr>
          <w:p w14:paraId="2723F720" w14:textId="77777777" w:rsidR="00C0124F" w:rsidRPr="00BA3623" w:rsidRDefault="00C0124F" w:rsidP="00B26D1F">
            <w:pPr>
              <w:jc w:val="center"/>
            </w:pPr>
            <w:r>
              <w:t>7.0</w:t>
            </w:r>
          </w:p>
        </w:tc>
        <w:tc>
          <w:tcPr>
            <w:tcW w:w="850" w:type="dxa"/>
          </w:tcPr>
          <w:p w14:paraId="29CC4EEF" w14:textId="77777777" w:rsidR="00C0124F" w:rsidRPr="00BA3623" w:rsidRDefault="00C0124F" w:rsidP="00B26D1F">
            <w:pPr>
              <w:jc w:val="center"/>
            </w:pPr>
            <w:r>
              <w:t>1-9</w:t>
            </w:r>
          </w:p>
        </w:tc>
        <w:tc>
          <w:tcPr>
            <w:tcW w:w="851" w:type="dxa"/>
          </w:tcPr>
          <w:p w14:paraId="1DFCE52B" w14:textId="77777777" w:rsidR="00C0124F" w:rsidRPr="00BA3623" w:rsidRDefault="00C0124F" w:rsidP="00B26D1F">
            <w:pPr>
              <w:jc w:val="center"/>
            </w:pPr>
            <w:r w:rsidRPr="00B71A08">
              <w:rPr>
                <w:i/>
              </w:rPr>
              <w:t>4.77</w:t>
            </w:r>
          </w:p>
        </w:tc>
      </w:tr>
      <w:tr w:rsidR="00C0124F" w:rsidRPr="00BA3623" w14:paraId="5C9E967B" w14:textId="77777777" w:rsidTr="00807F64">
        <w:tc>
          <w:tcPr>
            <w:tcW w:w="1242" w:type="dxa"/>
            <w:vMerge/>
          </w:tcPr>
          <w:p w14:paraId="64DBC67A" w14:textId="77777777" w:rsidR="00C0124F" w:rsidRPr="00BA3623" w:rsidRDefault="00C0124F" w:rsidP="00B26D1F"/>
        </w:tc>
        <w:tc>
          <w:tcPr>
            <w:tcW w:w="777" w:type="dxa"/>
          </w:tcPr>
          <w:p w14:paraId="5E5A1481" w14:textId="77777777" w:rsidR="00C0124F" w:rsidRPr="00BA3623" w:rsidRDefault="00C0124F" w:rsidP="00B26D1F">
            <w:pPr>
              <w:jc w:val="center"/>
            </w:pPr>
            <w:r>
              <w:t>6</w:t>
            </w:r>
          </w:p>
        </w:tc>
        <w:tc>
          <w:tcPr>
            <w:tcW w:w="4043" w:type="dxa"/>
          </w:tcPr>
          <w:p w14:paraId="40D17F11" w14:textId="77777777" w:rsidR="00C0124F" w:rsidRPr="00B71A08" w:rsidRDefault="00C0124F" w:rsidP="00B26D1F">
            <w:r w:rsidRPr="00B71A08">
              <w:t>The pharmacy ensures that locum pharmacists are able to uphold the good working relationships between the pharmacy and local healthcare providers.</w:t>
            </w:r>
            <w:r>
              <w:t>***</w:t>
            </w:r>
          </w:p>
          <w:p w14:paraId="40047FB9" w14:textId="77777777" w:rsidR="00C0124F" w:rsidRPr="00BA3623" w:rsidRDefault="00C0124F" w:rsidP="00B26D1F"/>
        </w:tc>
        <w:tc>
          <w:tcPr>
            <w:tcW w:w="992" w:type="dxa"/>
          </w:tcPr>
          <w:p w14:paraId="07A4C02A" w14:textId="77777777" w:rsidR="00C0124F" w:rsidRPr="00BA3623" w:rsidRDefault="00C0124F" w:rsidP="00B26D1F">
            <w:pPr>
              <w:jc w:val="center"/>
            </w:pPr>
            <w:r>
              <w:t>8.0</w:t>
            </w:r>
          </w:p>
        </w:tc>
        <w:tc>
          <w:tcPr>
            <w:tcW w:w="919" w:type="dxa"/>
          </w:tcPr>
          <w:p w14:paraId="566CCA92" w14:textId="77777777" w:rsidR="00C0124F" w:rsidRPr="00BA3623" w:rsidRDefault="00C0124F" w:rsidP="00B26D1F">
            <w:pPr>
              <w:jc w:val="center"/>
            </w:pPr>
            <w:r>
              <w:t>5-9</w:t>
            </w:r>
          </w:p>
        </w:tc>
        <w:tc>
          <w:tcPr>
            <w:tcW w:w="992" w:type="dxa"/>
          </w:tcPr>
          <w:p w14:paraId="26A42F89" w14:textId="77777777" w:rsidR="00C0124F" w:rsidRPr="00BA3623" w:rsidRDefault="00C0124F" w:rsidP="00B26D1F">
            <w:pPr>
              <w:jc w:val="center"/>
            </w:pPr>
            <w:r>
              <w:t>8.0</w:t>
            </w:r>
          </w:p>
        </w:tc>
        <w:tc>
          <w:tcPr>
            <w:tcW w:w="850" w:type="dxa"/>
          </w:tcPr>
          <w:p w14:paraId="03C07536" w14:textId="77777777" w:rsidR="00C0124F" w:rsidRPr="00BA3623" w:rsidRDefault="00C0124F" w:rsidP="00B26D1F">
            <w:pPr>
              <w:jc w:val="center"/>
            </w:pPr>
            <w:r>
              <w:t>2-9</w:t>
            </w:r>
          </w:p>
        </w:tc>
        <w:tc>
          <w:tcPr>
            <w:tcW w:w="851" w:type="dxa"/>
          </w:tcPr>
          <w:p w14:paraId="095D5550" w14:textId="77777777" w:rsidR="00C0124F" w:rsidRPr="00BA3623" w:rsidRDefault="00C0124F" w:rsidP="00B26D1F">
            <w:pPr>
              <w:jc w:val="center"/>
            </w:pPr>
            <w:r w:rsidRPr="00B71A08">
              <w:rPr>
                <w:i/>
              </w:rPr>
              <w:t>4.95</w:t>
            </w:r>
          </w:p>
        </w:tc>
      </w:tr>
      <w:tr w:rsidR="00C0124F" w:rsidRPr="00BA3623" w14:paraId="08FFECD9" w14:textId="77777777" w:rsidTr="00807F64">
        <w:tc>
          <w:tcPr>
            <w:tcW w:w="1242" w:type="dxa"/>
            <w:vMerge/>
          </w:tcPr>
          <w:p w14:paraId="4AFFE445" w14:textId="77777777" w:rsidR="00C0124F" w:rsidRPr="00BA3623" w:rsidRDefault="00C0124F" w:rsidP="00B26D1F"/>
        </w:tc>
        <w:tc>
          <w:tcPr>
            <w:tcW w:w="777" w:type="dxa"/>
          </w:tcPr>
          <w:p w14:paraId="55E50102" w14:textId="77777777" w:rsidR="00C0124F" w:rsidRPr="00BA3623" w:rsidRDefault="00C0124F" w:rsidP="00B26D1F">
            <w:pPr>
              <w:jc w:val="center"/>
            </w:pPr>
            <w:r>
              <w:t>7</w:t>
            </w:r>
          </w:p>
        </w:tc>
        <w:tc>
          <w:tcPr>
            <w:tcW w:w="4043" w:type="dxa"/>
          </w:tcPr>
          <w:p w14:paraId="4D6490AD" w14:textId="77777777" w:rsidR="00C0124F" w:rsidRPr="00466C41" w:rsidRDefault="00C0124F" w:rsidP="00B26D1F">
            <w:r w:rsidRPr="00466C41">
              <w:rPr>
                <w:bCs/>
              </w:rPr>
              <w:t xml:space="preserve">Sites link up to run </w:t>
            </w:r>
            <w:r>
              <w:rPr>
                <w:bCs/>
              </w:rPr>
              <w:t>DP</w:t>
            </w:r>
            <w:r w:rsidRPr="00466C41">
              <w:rPr>
                <w:bCs/>
              </w:rPr>
              <w:t xml:space="preserve"> and </w:t>
            </w:r>
            <w:r>
              <w:rPr>
                <w:bCs/>
              </w:rPr>
              <w:t xml:space="preserve">CP </w:t>
            </w:r>
            <w:r w:rsidRPr="00466C41">
              <w:rPr>
                <w:bCs/>
              </w:rPr>
              <w:t>staff discussion groups on relevant issues.</w:t>
            </w:r>
          </w:p>
          <w:p w14:paraId="260F2CB8" w14:textId="77777777" w:rsidR="00C0124F" w:rsidRPr="00BA3623" w:rsidRDefault="00C0124F" w:rsidP="00B26D1F"/>
        </w:tc>
        <w:tc>
          <w:tcPr>
            <w:tcW w:w="992" w:type="dxa"/>
          </w:tcPr>
          <w:p w14:paraId="2F334997" w14:textId="77777777" w:rsidR="00C0124F" w:rsidRPr="00BA3623" w:rsidRDefault="00C0124F" w:rsidP="00B26D1F">
            <w:pPr>
              <w:jc w:val="center"/>
            </w:pPr>
            <w:r>
              <w:t>6.5</w:t>
            </w:r>
          </w:p>
        </w:tc>
        <w:tc>
          <w:tcPr>
            <w:tcW w:w="919" w:type="dxa"/>
          </w:tcPr>
          <w:p w14:paraId="5D9AE8EA" w14:textId="77777777" w:rsidR="00C0124F" w:rsidRPr="00BA3623" w:rsidRDefault="00C0124F" w:rsidP="00B26D1F">
            <w:pPr>
              <w:jc w:val="center"/>
            </w:pPr>
            <w:r>
              <w:t>1-9</w:t>
            </w:r>
          </w:p>
        </w:tc>
        <w:tc>
          <w:tcPr>
            <w:tcW w:w="992" w:type="dxa"/>
          </w:tcPr>
          <w:p w14:paraId="1AE648A7" w14:textId="77777777" w:rsidR="00C0124F" w:rsidRPr="00BA3623" w:rsidRDefault="00C0124F" w:rsidP="00B26D1F">
            <w:pPr>
              <w:jc w:val="center"/>
            </w:pPr>
            <w:r>
              <w:t>6.0</w:t>
            </w:r>
          </w:p>
        </w:tc>
        <w:tc>
          <w:tcPr>
            <w:tcW w:w="850" w:type="dxa"/>
          </w:tcPr>
          <w:p w14:paraId="0F7DFAE0" w14:textId="77777777" w:rsidR="00C0124F" w:rsidRPr="00BA3623" w:rsidRDefault="00C0124F" w:rsidP="00B26D1F">
            <w:pPr>
              <w:jc w:val="center"/>
            </w:pPr>
            <w:r>
              <w:t>1-9</w:t>
            </w:r>
          </w:p>
        </w:tc>
        <w:tc>
          <w:tcPr>
            <w:tcW w:w="851" w:type="dxa"/>
          </w:tcPr>
          <w:p w14:paraId="6F0E0C6F" w14:textId="77777777" w:rsidR="00C0124F" w:rsidRPr="00BA3623" w:rsidRDefault="00C0124F" w:rsidP="00B26D1F">
            <w:pPr>
              <w:jc w:val="center"/>
            </w:pPr>
            <w:r w:rsidRPr="00B71A08">
              <w:rPr>
                <w:i/>
              </w:rPr>
              <w:t>6.27</w:t>
            </w:r>
          </w:p>
        </w:tc>
      </w:tr>
      <w:tr w:rsidR="00C0124F" w:rsidRPr="00BA3623" w14:paraId="20CCDAAB" w14:textId="77777777" w:rsidTr="00807F64">
        <w:tc>
          <w:tcPr>
            <w:tcW w:w="1242" w:type="dxa"/>
            <w:vMerge w:val="restart"/>
          </w:tcPr>
          <w:p w14:paraId="5D2DF14F" w14:textId="77777777" w:rsidR="00C0124F" w:rsidRPr="000437D1" w:rsidRDefault="00C0124F" w:rsidP="00B26D1F">
            <w:pPr>
              <w:rPr>
                <w:b/>
              </w:rPr>
            </w:pPr>
            <w:r w:rsidRPr="000437D1">
              <w:rPr>
                <w:b/>
              </w:rPr>
              <w:t>Public health</w:t>
            </w:r>
          </w:p>
        </w:tc>
        <w:tc>
          <w:tcPr>
            <w:tcW w:w="777" w:type="dxa"/>
          </w:tcPr>
          <w:p w14:paraId="468F518B" w14:textId="77777777" w:rsidR="00C0124F" w:rsidRPr="00BA3623" w:rsidRDefault="00C0124F" w:rsidP="00B26D1F">
            <w:pPr>
              <w:jc w:val="center"/>
            </w:pPr>
            <w:r>
              <w:t>1</w:t>
            </w:r>
          </w:p>
        </w:tc>
        <w:tc>
          <w:tcPr>
            <w:tcW w:w="4043" w:type="dxa"/>
          </w:tcPr>
          <w:p w14:paraId="03382647" w14:textId="77777777" w:rsidR="00C0124F" w:rsidRPr="00466C41" w:rsidRDefault="00C0124F" w:rsidP="00B26D1F">
            <w:r w:rsidRPr="004E38DA">
              <w:t>Practice</w:t>
            </w:r>
            <w:r>
              <w:t xml:space="preserve"> / Pharmacy</w:t>
            </w:r>
            <w:r w:rsidRPr="004E38DA">
              <w:t xml:space="preserve"> </w:t>
            </w:r>
            <w:r w:rsidRPr="00466C41">
              <w:rPr>
                <w:bCs/>
              </w:rPr>
              <w:t>staff are well equipped to provide essential public health advice.</w:t>
            </w:r>
          </w:p>
          <w:p w14:paraId="1C213109" w14:textId="77777777" w:rsidR="00C0124F" w:rsidRPr="00BA3623" w:rsidRDefault="00C0124F" w:rsidP="00B26D1F"/>
        </w:tc>
        <w:tc>
          <w:tcPr>
            <w:tcW w:w="992" w:type="dxa"/>
          </w:tcPr>
          <w:p w14:paraId="4062E570" w14:textId="77777777" w:rsidR="00C0124F" w:rsidRPr="00BA3623" w:rsidRDefault="00C0124F" w:rsidP="00B26D1F">
            <w:pPr>
              <w:jc w:val="center"/>
            </w:pPr>
            <w:r>
              <w:t>8.0</w:t>
            </w:r>
          </w:p>
        </w:tc>
        <w:tc>
          <w:tcPr>
            <w:tcW w:w="919" w:type="dxa"/>
          </w:tcPr>
          <w:p w14:paraId="2D08C8E3" w14:textId="77777777" w:rsidR="00C0124F" w:rsidRPr="00BA3623" w:rsidRDefault="00C0124F" w:rsidP="00B26D1F">
            <w:pPr>
              <w:jc w:val="center"/>
            </w:pPr>
            <w:r>
              <w:t>1-9</w:t>
            </w:r>
          </w:p>
        </w:tc>
        <w:tc>
          <w:tcPr>
            <w:tcW w:w="992" w:type="dxa"/>
          </w:tcPr>
          <w:p w14:paraId="450F8614" w14:textId="77777777" w:rsidR="00C0124F" w:rsidRPr="00BA3623" w:rsidRDefault="00C0124F" w:rsidP="00B26D1F">
            <w:pPr>
              <w:jc w:val="center"/>
            </w:pPr>
            <w:r>
              <w:t>8.0</w:t>
            </w:r>
          </w:p>
        </w:tc>
        <w:tc>
          <w:tcPr>
            <w:tcW w:w="850" w:type="dxa"/>
          </w:tcPr>
          <w:p w14:paraId="7F979064" w14:textId="77777777" w:rsidR="00C0124F" w:rsidRPr="00BA3623" w:rsidRDefault="00C0124F" w:rsidP="00B26D1F">
            <w:pPr>
              <w:jc w:val="center"/>
            </w:pPr>
            <w:r>
              <w:t>3-9</w:t>
            </w:r>
          </w:p>
        </w:tc>
        <w:tc>
          <w:tcPr>
            <w:tcW w:w="851" w:type="dxa"/>
          </w:tcPr>
          <w:p w14:paraId="748B5871" w14:textId="77777777" w:rsidR="00C0124F" w:rsidRPr="00BA3623" w:rsidRDefault="00C0124F" w:rsidP="00B26D1F">
            <w:pPr>
              <w:jc w:val="center"/>
            </w:pPr>
            <w:r w:rsidRPr="004E38DA">
              <w:rPr>
                <w:i/>
              </w:rPr>
              <w:t>2.18</w:t>
            </w:r>
          </w:p>
        </w:tc>
      </w:tr>
      <w:tr w:rsidR="00C0124F" w:rsidRPr="00BA3623" w14:paraId="26DE1A9A" w14:textId="77777777" w:rsidTr="00807F64">
        <w:tc>
          <w:tcPr>
            <w:tcW w:w="1242" w:type="dxa"/>
            <w:vMerge/>
          </w:tcPr>
          <w:p w14:paraId="6DED9016" w14:textId="77777777" w:rsidR="00C0124F" w:rsidRPr="00BA3623" w:rsidRDefault="00C0124F" w:rsidP="00B26D1F"/>
        </w:tc>
        <w:tc>
          <w:tcPr>
            <w:tcW w:w="777" w:type="dxa"/>
          </w:tcPr>
          <w:p w14:paraId="4DBD7E26" w14:textId="77777777" w:rsidR="00C0124F" w:rsidRPr="00BA3623" w:rsidRDefault="00C0124F" w:rsidP="00B26D1F">
            <w:pPr>
              <w:jc w:val="center"/>
            </w:pPr>
            <w:r>
              <w:t>2</w:t>
            </w:r>
          </w:p>
        </w:tc>
        <w:tc>
          <w:tcPr>
            <w:tcW w:w="4043" w:type="dxa"/>
          </w:tcPr>
          <w:p w14:paraId="799D4FD8" w14:textId="77777777" w:rsidR="00C0124F" w:rsidRPr="00466C41" w:rsidRDefault="00C0124F" w:rsidP="00B26D1F">
            <w:r w:rsidRPr="00466C41">
              <w:rPr>
                <w:bCs/>
              </w:rPr>
              <w:t xml:space="preserve">There is good use of patient waiting areas for health promotion and advice.  </w:t>
            </w:r>
          </w:p>
          <w:p w14:paraId="230CFBB8" w14:textId="77777777" w:rsidR="00C0124F" w:rsidRPr="00BA3623" w:rsidRDefault="00C0124F" w:rsidP="00B26D1F"/>
        </w:tc>
        <w:tc>
          <w:tcPr>
            <w:tcW w:w="992" w:type="dxa"/>
          </w:tcPr>
          <w:p w14:paraId="44218B33" w14:textId="77777777" w:rsidR="00C0124F" w:rsidRPr="00BA3623" w:rsidRDefault="00C0124F" w:rsidP="00B26D1F">
            <w:pPr>
              <w:jc w:val="center"/>
            </w:pPr>
            <w:r>
              <w:t>7.0</w:t>
            </w:r>
          </w:p>
        </w:tc>
        <w:tc>
          <w:tcPr>
            <w:tcW w:w="919" w:type="dxa"/>
          </w:tcPr>
          <w:p w14:paraId="55E5F6B2" w14:textId="77777777" w:rsidR="00C0124F" w:rsidRPr="00BA3623" w:rsidRDefault="00C0124F" w:rsidP="00B26D1F">
            <w:pPr>
              <w:jc w:val="center"/>
            </w:pPr>
            <w:r>
              <w:t>2-9</w:t>
            </w:r>
          </w:p>
        </w:tc>
        <w:tc>
          <w:tcPr>
            <w:tcW w:w="992" w:type="dxa"/>
          </w:tcPr>
          <w:p w14:paraId="7235FC54" w14:textId="77777777" w:rsidR="00C0124F" w:rsidRPr="00BA3623" w:rsidRDefault="00C0124F" w:rsidP="00B26D1F">
            <w:pPr>
              <w:jc w:val="center"/>
            </w:pPr>
            <w:r>
              <w:t>7.0</w:t>
            </w:r>
          </w:p>
        </w:tc>
        <w:tc>
          <w:tcPr>
            <w:tcW w:w="850" w:type="dxa"/>
          </w:tcPr>
          <w:p w14:paraId="1C1E1169" w14:textId="77777777" w:rsidR="00C0124F" w:rsidRPr="00BA3623" w:rsidRDefault="00C0124F" w:rsidP="00B26D1F">
            <w:pPr>
              <w:jc w:val="center"/>
            </w:pPr>
            <w:r>
              <w:t>6-9</w:t>
            </w:r>
          </w:p>
        </w:tc>
        <w:tc>
          <w:tcPr>
            <w:tcW w:w="851" w:type="dxa"/>
          </w:tcPr>
          <w:p w14:paraId="488EBC64" w14:textId="77777777" w:rsidR="00C0124F" w:rsidRPr="00BA3623" w:rsidRDefault="00C0124F" w:rsidP="00B26D1F">
            <w:pPr>
              <w:jc w:val="center"/>
            </w:pPr>
            <w:r w:rsidRPr="004E38DA">
              <w:rPr>
                <w:i/>
              </w:rPr>
              <w:t>2.50</w:t>
            </w:r>
          </w:p>
        </w:tc>
      </w:tr>
      <w:tr w:rsidR="00C0124F" w:rsidRPr="00BA3623" w14:paraId="28DF0DAA" w14:textId="77777777" w:rsidTr="00807F64">
        <w:tc>
          <w:tcPr>
            <w:tcW w:w="1242" w:type="dxa"/>
            <w:vMerge/>
          </w:tcPr>
          <w:p w14:paraId="31AF4A5B" w14:textId="77777777" w:rsidR="00C0124F" w:rsidRPr="00BA3623" w:rsidRDefault="00C0124F" w:rsidP="00B26D1F"/>
        </w:tc>
        <w:tc>
          <w:tcPr>
            <w:tcW w:w="777" w:type="dxa"/>
          </w:tcPr>
          <w:p w14:paraId="2CC458AE" w14:textId="77777777" w:rsidR="00C0124F" w:rsidRPr="00BA3623" w:rsidRDefault="00C0124F" w:rsidP="00B26D1F">
            <w:pPr>
              <w:jc w:val="center"/>
            </w:pPr>
            <w:r>
              <w:t>3</w:t>
            </w:r>
          </w:p>
        </w:tc>
        <w:tc>
          <w:tcPr>
            <w:tcW w:w="4043" w:type="dxa"/>
          </w:tcPr>
          <w:p w14:paraId="038AD9F7" w14:textId="77777777" w:rsidR="00C0124F" w:rsidRPr="004E38DA" w:rsidRDefault="00C0124F" w:rsidP="00B26D1F">
            <w:r w:rsidRPr="004E38DA">
              <w:t>Practices</w:t>
            </w:r>
            <w:r>
              <w:t xml:space="preserve"> / Pharmacies</w:t>
            </w:r>
            <w:r w:rsidRPr="004E38DA">
              <w:t xml:space="preserve"> proactively engage in health promotion. </w:t>
            </w:r>
          </w:p>
          <w:p w14:paraId="00D8888A" w14:textId="77777777" w:rsidR="00C0124F" w:rsidRPr="00BA3623" w:rsidRDefault="00C0124F" w:rsidP="00B26D1F"/>
        </w:tc>
        <w:tc>
          <w:tcPr>
            <w:tcW w:w="992" w:type="dxa"/>
          </w:tcPr>
          <w:p w14:paraId="0DFAC544" w14:textId="77777777" w:rsidR="00C0124F" w:rsidRPr="00BA3623" w:rsidRDefault="00C0124F" w:rsidP="00B26D1F">
            <w:pPr>
              <w:jc w:val="center"/>
            </w:pPr>
            <w:r>
              <w:t>7.0</w:t>
            </w:r>
          </w:p>
        </w:tc>
        <w:tc>
          <w:tcPr>
            <w:tcW w:w="919" w:type="dxa"/>
          </w:tcPr>
          <w:p w14:paraId="686E7ED8" w14:textId="77777777" w:rsidR="00C0124F" w:rsidRPr="00BA3623" w:rsidRDefault="00C0124F" w:rsidP="00B26D1F">
            <w:pPr>
              <w:jc w:val="center"/>
            </w:pPr>
            <w:r>
              <w:t>4-5</w:t>
            </w:r>
          </w:p>
        </w:tc>
        <w:tc>
          <w:tcPr>
            <w:tcW w:w="992" w:type="dxa"/>
          </w:tcPr>
          <w:p w14:paraId="72051233" w14:textId="77777777" w:rsidR="00C0124F" w:rsidRPr="00BA3623" w:rsidRDefault="00C0124F" w:rsidP="00B26D1F">
            <w:pPr>
              <w:jc w:val="center"/>
            </w:pPr>
            <w:r>
              <w:t>7.0</w:t>
            </w:r>
          </w:p>
        </w:tc>
        <w:tc>
          <w:tcPr>
            <w:tcW w:w="850" w:type="dxa"/>
          </w:tcPr>
          <w:p w14:paraId="47981C13" w14:textId="77777777" w:rsidR="00C0124F" w:rsidRPr="00BA3623" w:rsidRDefault="00C0124F" w:rsidP="00B26D1F">
            <w:pPr>
              <w:jc w:val="center"/>
            </w:pPr>
            <w:r>
              <w:t>5-9</w:t>
            </w:r>
          </w:p>
        </w:tc>
        <w:tc>
          <w:tcPr>
            <w:tcW w:w="851" w:type="dxa"/>
          </w:tcPr>
          <w:p w14:paraId="3179CDF5" w14:textId="77777777" w:rsidR="00C0124F" w:rsidRPr="00BA3623" w:rsidRDefault="00C0124F" w:rsidP="00B26D1F">
            <w:pPr>
              <w:jc w:val="center"/>
            </w:pPr>
            <w:r w:rsidRPr="004E38DA">
              <w:rPr>
                <w:i/>
              </w:rPr>
              <w:t>2.64</w:t>
            </w:r>
          </w:p>
        </w:tc>
      </w:tr>
      <w:tr w:rsidR="00C0124F" w:rsidRPr="00BA3623" w14:paraId="6FDE4DB3" w14:textId="77777777" w:rsidTr="00807F64">
        <w:tc>
          <w:tcPr>
            <w:tcW w:w="1242" w:type="dxa"/>
            <w:vMerge/>
          </w:tcPr>
          <w:p w14:paraId="101C0E8C" w14:textId="77777777" w:rsidR="00C0124F" w:rsidRPr="00BA3623" w:rsidRDefault="00C0124F" w:rsidP="00B26D1F"/>
        </w:tc>
        <w:tc>
          <w:tcPr>
            <w:tcW w:w="777" w:type="dxa"/>
          </w:tcPr>
          <w:p w14:paraId="1F66D7E5" w14:textId="77777777" w:rsidR="00C0124F" w:rsidRPr="00BA3623" w:rsidRDefault="00C0124F" w:rsidP="00B26D1F">
            <w:pPr>
              <w:jc w:val="center"/>
            </w:pPr>
            <w:r>
              <w:t>4</w:t>
            </w:r>
          </w:p>
        </w:tc>
        <w:tc>
          <w:tcPr>
            <w:tcW w:w="4043" w:type="dxa"/>
          </w:tcPr>
          <w:p w14:paraId="47752729" w14:textId="77777777" w:rsidR="00C0124F" w:rsidRPr="004E38DA" w:rsidRDefault="00C0124F" w:rsidP="00B26D1F">
            <w:r w:rsidRPr="004E38DA">
              <w:t>The services offered by the Practice</w:t>
            </w:r>
            <w:r>
              <w:t xml:space="preserve"> / Pharmacy</w:t>
            </w:r>
            <w:r w:rsidRPr="004E38DA">
              <w:t xml:space="preserve"> are clearly displayed. </w:t>
            </w:r>
          </w:p>
          <w:p w14:paraId="746C27DC" w14:textId="77777777" w:rsidR="00C0124F" w:rsidRPr="00BA3623" w:rsidRDefault="00C0124F" w:rsidP="00B26D1F"/>
        </w:tc>
        <w:tc>
          <w:tcPr>
            <w:tcW w:w="992" w:type="dxa"/>
          </w:tcPr>
          <w:p w14:paraId="74420633" w14:textId="77777777" w:rsidR="00C0124F" w:rsidRPr="00BA3623" w:rsidRDefault="00C0124F" w:rsidP="00B26D1F">
            <w:pPr>
              <w:jc w:val="center"/>
            </w:pPr>
            <w:r>
              <w:t>7.0</w:t>
            </w:r>
          </w:p>
        </w:tc>
        <w:tc>
          <w:tcPr>
            <w:tcW w:w="919" w:type="dxa"/>
          </w:tcPr>
          <w:p w14:paraId="23F4C64B" w14:textId="77777777" w:rsidR="00C0124F" w:rsidRPr="00BA3623" w:rsidRDefault="00C0124F" w:rsidP="00B26D1F">
            <w:pPr>
              <w:jc w:val="center"/>
            </w:pPr>
            <w:r>
              <w:t>2-9</w:t>
            </w:r>
          </w:p>
        </w:tc>
        <w:tc>
          <w:tcPr>
            <w:tcW w:w="992" w:type="dxa"/>
          </w:tcPr>
          <w:p w14:paraId="0067F727" w14:textId="77777777" w:rsidR="00C0124F" w:rsidRPr="00BA3623" w:rsidRDefault="00C0124F" w:rsidP="00B26D1F">
            <w:pPr>
              <w:jc w:val="center"/>
            </w:pPr>
            <w:r>
              <w:t>7.0</w:t>
            </w:r>
          </w:p>
        </w:tc>
        <w:tc>
          <w:tcPr>
            <w:tcW w:w="850" w:type="dxa"/>
          </w:tcPr>
          <w:p w14:paraId="2F8146B8" w14:textId="77777777" w:rsidR="00C0124F" w:rsidRPr="00BA3623" w:rsidRDefault="00C0124F" w:rsidP="00B26D1F">
            <w:pPr>
              <w:jc w:val="center"/>
            </w:pPr>
            <w:r>
              <w:t>5-9</w:t>
            </w:r>
          </w:p>
        </w:tc>
        <w:tc>
          <w:tcPr>
            <w:tcW w:w="851" w:type="dxa"/>
          </w:tcPr>
          <w:p w14:paraId="0D82D97D" w14:textId="77777777" w:rsidR="00C0124F" w:rsidRPr="00BA3623" w:rsidRDefault="00C0124F" w:rsidP="00B26D1F">
            <w:pPr>
              <w:jc w:val="center"/>
            </w:pPr>
            <w:r w:rsidRPr="004E38DA">
              <w:rPr>
                <w:i/>
              </w:rPr>
              <w:t>2.68</w:t>
            </w:r>
          </w:p>
        </w:tc>
      </w:tr>
    </w:tbl>
    <w:p w14:paraId="3E57BC32" w14:textId="77777777" w:rsidR="00C0124F" w:rsidRDefault="00C0124F" w:rsidP="00C0124F">
      <w:pPr>
        <w:pStyle w:val="NoSpacing"/>
      </w:pPr>
    </w:p>
    <w:p w14:paraId="46DBA0DB" w14:textId="77777777" w:rsidR="00C0124F" w:rsidRDefault="00C0124F" w:rsidP="00C0124F">
      <w:pPr>
        <w:rPr>
          <w:bCs/>
          <w:sz w:val="20"/>
        </w:rPr>
      </w:pPr>
      <w:r w:rsidRPr="003F266C">
        <w:rPr>
          <w:bCs/>
          <w:sz w:val="20"/>
        </w:rPr>
        <w:t>*</w:t>
      </w:r>
      <w:r>
        <w:rPr>
          <w:bCs/>
          <w:sz w:val="20"/>
        </w:rPr>
        <w:t xml:space="preserve">Characteristic </w:t>
      </w:r>
      <w:r w:rsidRPr="003F266C">
        <w:rPr>
          <w:bCs/>
          <w:sz w:val="20"/>
        </w:rPr>
        <w:t>added in round two</w:t>
      </w:r>
    </w:p>
    <w:p w14:paraId="72B6D177" w14:textId="77777777" w:rsidR="00C0124F" w:rsidRDefault="00C0124F" w:rsidP="00C0124F">
      <w:pPr>
        <w:rPr>
          <w:sz w:val="20"/>
          <w:szCs w:val="20"/>
        </w:rPr>
      </w:pPr>
      <w:r w:rsidRPr="002608FA">
        <w:rPr>
          <w:bCs/>
          <w:sz w:val="20"/>
          <w:szCs w:val="20"/>
        </w:rPr>
        <w:t>**</w:t>
      </w:r>
      <w:r w:rsidRPr="007E3882">
        <w:rPr>
          <w:sz w:val="20"/>
          <w:szCs w:val="20"/>
        </w:rPr>
        <w:t xml:space="preserve"> MURs = medicines use reviews, DRUMs = dispensing reviews of use of medicines; these are patient consultations, conducted at CPs and DPs respectively, aiming assess how a patient is taking their medication and if they are experiencing any problems.</w:t>
      </w:r>
    </w:p>
    <w:p w14:paraId="6A8EAF40" w14:textId="77777777" w:rsidR="00C0124F" w:rsidRPr="002608FA" w:rsidRDefault="00C0124F" w:rsidP="00C0124F">
      <w:pPr>
        <w:rPr>
          <w:bCs/>
          <w:sz w:val="20"/>
          <w:szCs w:val="20"/>
        </w:rPr>
      </w:pPr>
      <w:r>
        <w:rPr>
          <w:sz w:val="20"/>
          <w:szCs w:val="20"/>
        </w:rPr>
        <w:t>***This characteristic relates to CPs only.</w:t>
      </w:r>
    </w:p>
    <w:p w14:paraId="6B15460E" w14:textId="77777777" w:rsidR="00C0124F" w:rsidRDefault="00C0124F" w:rsidP="00405EC7"/>
    <w:sectPr w:rsidR="00C0124F" w:rsidSect="00FA1DB0">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3DF5" w14:textId="77777777" w:rsidR="00C069AE" w:rsidRDefault="00C069AE" w:rsidP="00E85346">
      <w:pPr>
        <w:spacing w:after="0" w:line="240" w:lineRule="auto"/>
      </w:pPr>
      <w:r>
        <w:separator/>
      </w:r>
    </w:p>
  </w:endnote>
  <w:endnote w:type="continuationSeparator" w:id="0">
    <w:p w14:paraId="626109FB" w14:textId="77777777" w:rsidR="00C069AE" w:rsidRDefault="00C069AE" w:rsidP="00E85346">
      <w:pPr>
        <w:spacing w:after="0" w:line="240" w:lineRule="auto"/>
      </w:pPr>
      <w:r>
        <w:continuationSeparator/>
      </w:r>
    </w:p>
  </w:endnote>
  <w:endnote w:type="continuationNotice" w:id="1">
    <w:p w14:paraId="10F17A1A" w14:textId="77777777" w:rsidR="00C069AE" w:rsidRDefault="00C06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05020"/>
      <w:docPartObj>
        <w:docPartGallery w:val="Page Numbers (Bottom of Page)"/>
        <w:docPartUnique/>
      </w:docPartObj>
    </w:sdtPr>
    <w:sdtEndPr>
      <w:rPr>
        <w:noProof/>
      </w:rPr>
    </w:sdtEndPr>
    <w:sdtContent>
      <w:p w14:paraId="2A4C386E" w14:textId="77777777" w:rsidR="00C069AE" w:rsidRDefault="00C069AE">
        <w:pPr>
          <w:pStyle w:val="Footer"/>
          <w:jc w:val="right"/>
        </w:pPr>
        <w:r>
          <w:fldChar w:fldCharType="begin"/>
        </w:r>
        <w:r>
          <w:instrText xml:space="preserve"> PAGE   \* MERGEFORMAT </w:instrText>
        </w:r>
        <w:r>
          <w:fldChar w:fldCharType="separate"/>
        </w:r>
        <w:r w:rsidR="005E62FB">
          <w:rPr>
            <w:noProof/>
          </w:rPr>
          <w:t>2</w:t>
        </w:r>
        <w:r>
          <w:rPr>
            <w:noProof/>
          </w:rPr>
          <w:fldChar w:fldCharType="end"/>
        </w:r>
      </w:p>
    </w:sdtContent>
  </w:sdt>
  <w:p w14:paraId="491D9F1D" w14:textId="77777777" w:rsidR="00C069AE" w:rsidRDefault="00C0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3E5F" w14:textId="77777777" w:rsidR="00C069AE" w:rsidRDefault="00C069AE" w:rsidP="00E85346">
      <w:pPr>
        <w:spacing w:after="0" w:line="240" w:lineRule="auto"/>
      </w:pPr>
      <w:r>
        <w:separator/>
      </w:r>
    </w:p>
  </w:footnote>
  <w:footnote w:type="continuationSeparator" w:id="0">
    <w:p w14:paraId="4CD6C081" w14:textId="77777777" w:rsidR="00C069AE" w:rsidRDefault="00C069AE" w:rsidP="00E85346">
      <w:pPr>
        <w:spacing w:after="0" w:line="240" w:lineRule="auto"/>
      </w:pPr>
      <w:r>
        <w:continuationSeparator/>
      </w:r>
    </w:p>
  </w:footnote>
  <w:footnote w:type="continuationNotice" w:id="1">
    <w:p w14:paraId="009E626D" w14:textId="77777777" w:rsidR="00C069AE" w:rsidRDefault="00C069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77EC" w14:textId="77777777" w:rsidR="00C069AE" w:rsidRDefault="00C06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7A0"/>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AC6EA8"/>
    <w:multiLevelType w:val="hybridMultilevel"/>
    <w:tmpl w:val="CED6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3968EF"/>
    <w:multiLevelType w:val="hybridMultilevel"/>
    <w:tmpl w:val="A8C04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3854B6"/>
    <w:multiLevelType w:val="hybridMultilevel"/>
    <w:tmpl w:val="F1920A60"/>
    <w:lvl w:ilvl="0" w:tplc="DFDA4F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5D0AC9"/>
    <w:multiLevelType w:val="hybridMultilevel"/>
    <w:tmpl w:val="FD9CD916"/>
    <w:lvl w:ilvl="0" w:tplc="BBE0EF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CE108C"/>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822AB9"/>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4D4CCD"/>
    <w:multiLevelType w:val="hybridMultilevel"/>
    <w:tmpl w:val="3CB0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474E93"/>
    <w:multiLevelType w:val="hybridMultilevel"/>
    <w:tmpl w:val="6C2AE8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B617B5"/>
    <w:multiLevelType w:val="hybridMultilevel"/>
    <w:tmpl w:val="B5249C22"/>
    <w:lvl w:ilvl="0" w:tplc="D6E0D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D32BCC"/>
    <w:multiLevelType w:val="hybridMultilevel"/>
    <w:tmpl w:val="D4263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965E76"/>
    <w:multiLevelType w:val="hybridMultilevel"/>
    <w:tmpl w:val="F09A0BCE"/>
    <w:lvl w:ilvl="0" w:tplc="6D8AE1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EC0230"/>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6C6EEA"/>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B61902"/>
    <w:multiLevelType w:val="multilevel"/>
    <w:tmpl w:val="2198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65357"/>
    <w:multiLevelType w:val="hybridMultilevel"/>
    <w:tmpl w:val="D256E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5D416A"/>
    <w:multiLevelType w:val="hybridMultilevel"/>
    <w:tmpl w:val="7916A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F9621F"/>
    <w:multiLevelType w:val="hybridMultilevel"/>
    <w:tmpl w:val="6D18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4"/>
  </w:num>
  <w:num w:numId="5">
    <w:abstractNumId w:val="11"/>
  </w:num>
  <w:num w:numId="6">
    <w:abstractNumId w:val="12"/>
  </w:num>
  <w:num w:numId="7">
    <w:abstractNumId w:val="13"/>
  </w:num>
  <w:num w:numId="8">
    <w:abstractNumId w:val="17"/>
  </w:num>
  <w:num w:numId="9">
    <w:abstractNumId w:val="6"/>
  </w:num>
  <w:num w:numId="10">
    <w:abstractNumId w:val="5"/>
  </w:num>
  <w:num w:numId="11">
    <w:abstractNumId w:val="0"/>
  </w:num>
  <w:num w:numId="12">
    <w:abstractNumId w:val="15"/>
  </w:num>
  <w:num w:numId="13">
    <w:abstractNumId w:val="16"/>
  </w:num>
  <w:num w:numId="14">
    <w:abstractNumId w:val="10"/>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23"/>
    <w:rsid w:val="0000268C"/>
    <w:rsid w:val="00002FC9"/>
    <w:rsid w:val="000151B2"/>
    <w:rsid w:val="0002613F"/>
    <w:rsid w:val="000437D1"/>
    <w:rsid w:val="00051D96"/>
    <w:rsid w:val="00061B5E"/>
    <w:rsid w:val="0006716B"/>
    <w:rsid w:val="00083E40"/>
    <w:rsid w:val="00085FED"/>
    <w:rsid w:val="000867A0"/>
    <w:rsid w:val="0008788F"/>
    <w:rsid w:val="000902EC"/>
    <w:rsid w:val="000927CB"/>
    <w:rsid w:val="00093A93"/>
    <w:rsid w:val="00095977"/>
    <w:rsid w:val="000B56CE"/>
    <w:rsid w:val="000B7564"/>
    <w:rsid w:val="000C1D14"/>
    <w:rsid w:val="000D4298"/>
    <w:rsid w:val="000D4908"/>
    <w:rsid w:val="000D5025"/>
    <w:rsid w:val="000D5753"/>
    <w:rsid w:val="000D61DF"/>
    <w:rsid w:val="000D6B4B"/>
    <w:rsid w:val="000E2EB7"/>
    <w:rsid w:val="000F0536"/>
    <w:rsid w:val="000F3CE7"/>
    <w:rsid w:val="000F430D"/>
    <w:rsid w:val="000F4F76"/>
    <w:rsid w:val="00103DD1"/>
    <w:rsid w:val="0011677F"/>
    <w:rsid w:val="00123A86"/>
    <w:rsid w:val="001315B6"/>
    <w:rsid w:val="001325A9"/>
    <w:rsid w:val="00135E43"/>
    <w:rsid w:val="00142A78"/>
    <w:rsid w:val="00143565"/>
    <w:rsid w:val="00146A18"/>
    <w:rsid w:val="00147135"/>
    <w:rsid w:val="00152ADE"/>
    <w:rsid w:val="00153BB1"/>
    <w:rsid w:val="00164E2A"/>
    <w:rsid w:val="0017704B"/>
    <w:rsid w:val="001827BF"/>
    <w:rsid w:val="001A0959"/>
    <w:rsid w:val="001A1D63"/>
    <w:rsid w:val="001B2D63"/>
    <w:rsid w:val="001B3991"/>
    <w:rsid w:val="001B4CA9"/>
    <w:rsid w:val="001D1B8E"/>
    <w:rsid w:val="001D4B1E"/>
    <w:rsid w:val="001E1B65"/>
    <w:rsid w:val="00206148"/>
    <w:rsid w:val="00212AF6"/>
    <w:rsid w:val="00213974"/>
    <w:rsid w:val="00216C1F"/>
    <w:rsid w:val="00217E91"/>
    <w:rsid w:val="002207DF"/>
    <w:rsid w:val="00220FA8"/>
    <w:rsid w:val="00232E62"/>
    <w:rsid w:val="002342B5"/>
    <w:rsid w:val="002361A9"/>
    <w:rsid w:val="00240B5F"/>
    <w:rsid w:val="00246F5F"/>
    <w:rsid w:val="00252342"/>
    <w:rsid w:val="002608FA"/>
    <w:rsid w:val="00277D02"/>
    <w:rsid w:val="00284534"/>
    <w:rsid w:val="002939F8"/>
    <w:rsid w:val="002943E5"/>
    <w:rsid w:val="00296F64"/>
    <w:rsid w:val="002A2390"/>
    <w:rsid w:val="002A2458"/>
    <w:rsid w:val="002B2123"/>
    <w:rsid w:val="002B3203"/>
    <w:rsid w:val="002C6D38"/>
    <w:rsid w:val="002D5995"/>
    <w:rsid w:val="002E31BE"/>
    <w:rsid w:val="002E5348"/>
    <w:rsid w:val="002E65D3"/>
    <w:rsid w:val="002F576B"/>
    <w:rsid w:val="002F6E93"/>
    <w:rsid w:val="00300016"/>
    <w:rsid w:val="00300B4F"/>
    <w:rsid w:val="00301C01"/>
    <w:rsid w:val="00307668"/>
    <w:rsid w:val="003101FC"/>
    <w:rsid w:val="00324E31"/>
    <w:rsid w:val="00327E12"/>
    <w:rsid w:val="00336213"/>
    <w:rsid w:val="0034426E"/>
    <w:rsid w:val="0034558F"/>
    <w:rsid w:val="00362916"/>
    <w:rsid w:val="0036704A"/>
    <w:rsid w:val="003730AC"/>
    <w:rsid w:val="0037356D"/>
    <w:rsid w:val="003771F3"/>
    <w:rsid w:val="003929D8"/>
    <w:rsid w:val="00397667"/>
    <w:rsid w:val="003B3C27"/>
    <w:rsid w:val="003C4D59"/>
    <w:rsid w:val="003C55DB"/>
    <w:rsid w:val="003C742C"/>
    <w:rsid w:val="003D5D1E"/>
    <w:rsid w:val="003D71B1"/>
    <w:rsid w:val="003E046B"/>
    <w:rsid w:val="003E4074"/>
    <w:rsid w:val="003E5E23"/>
    <w:rsid w:val="003F266C"/>
    <w:rsid w:val="003F5E1B"/>
    <w:rsid w:val="003F6322"/>
    <w:rsid w:val="0040319B"/>
    <w:rsid w:val="004056AF"/>
    <w:rsid w:val="00405EC7"/>
    <w:rsid w:val="004071A0"/>
    <w:rsid w:val="004245FC"/>
    <w:rsid w:val="0043637D"/>
    <w:rsid w:val="00437337"/>
    <w:rsid w:val="00446E18"/>
    <w:rsid w:val="00462C1A"/>
    <w:rsid w:val="00465BF6"/>
    <w:rsid w:val="00466C41"/>
    <w:rsid w:val="0047373B"/>
    <w:rsid w:val="00485350"/>
    <w:rsid w:val="004877EB"/>
    <w:rsid w:val="00487C6B"/>
    <w:rsid w:val="004904F2"/>
    <w:rsid w:val="004A0700"/>
    <w:rsid w:val="004A3447"/>
    <w:rsid w:val="004A36DD"/>
    <w:rsid w:val="004A6FA6"/>
    <w:rsid w:val="004B3C69"/>
    <w:rsid w:val="004B4C86"/>
    <w:rsid w:val="004B5663"/>
    <w:rsid w:val="004C388C"/>
    <w:rsid w:val="004C4B0D"/>
    <w:rsid w:val="004C6135"/>
    <w:rsid w:val="004C66A5"/>
    <w:rsid w:val="004C7591"/>
    <w:rsid w:val="004E38DA"/>
    <w:rsid w:val="00501619"/>
    <w:rsid w:val="00510349"/>
    <w:rsid w:val="00513AFE"/>
    <w:rsid w:val="00513CE7"/>
    <w:rsid w:val="0051780E"/>
    <w:rsid w:val="00520EEC"/>
    <w:rsid w:val="00521672"/>
    <w:rsid w:val="005253AF"/>
    <w:rsid w:val="0053534A"/>
    <w:rsid w:val="005429BB"/>
    <w:rsid w:val="00544263"/>
    <w:rsid w:val="00547841"/>
    <w:rsid w:val="0055612C"/>
    <w:rsid w:val="005567EA"/>
    <w:rsid w:val="0056314D"/>
    <w:rsid w:val="0057175A"/>
    <w:rsid w:val="00580FDB"/>
    <w:rsid w:val="00581471"/>
    <w:rsid w:val="0058156D"/>
    <w:rsid w:val="00584C0E"/>
    <w:rsid w:val="005B001F"/>
    <w:rsid w:val="005B4550"/>
    <w:rsid w:val="005B6D06"/>
    <w:rsid w:val="005D0E01"/>
    <w:rsid w:val="005D1FCA"/>
    <w:rsid w:val="005E119E"/>
    <w:rsid w:val="005E62FB"/>
    <w:rsid w:val="005E652A"/>
    <w:rsid w:val="005E7167"/>
    <w:rsid w:val="005F78D4"/>
    <w:rsid w:val="00600140"/>
    <w:rsid w:val="006116AC"/>
    <w:rsid w:val="0062165A"/>
    <w:rsid w:val="006232FF"/>
    <w:rsid w:val="00635BF4"/>
    <w:rsid w:val="006400CB"/>
    <w:rsid w:val="00643EB2"/>
    <w:rsid w:val="006606C3"/>
    <w:rsid w:val="006713A5"/>
    <w:rsid w:val="00676112"/>
    <w:rsid w:val="00680F4B"/>
    <w:rsid w:val="00687C8A"/>
    <w:rsid w:val="006960F3"/>
    <w:rsid w:val="006A0617"/>
    <w:rsid w:val="006A2586"/>
    <w:rsid w:val="006A4D61"/>
    <w:rsid w:val="006B2258"/>
    <w:rsid w:val="006D1EA1"/>
    <w:rsid w:val="006D59C3"/>
    <w:rsid w:val="006D6029"/>
    <w:rsid w:val="006E4F6B"/>
    <w:rsid w:val="006F476F"/>
    <w:rsid w:val="0070314F"/>
    <w:rsid w:val="00706F2C"/>
    <w:rsid w:val="00714245"/>
    <w:rsid w:val="00724366"/>
    <w:rsid w:val="00726918"/>
    <w:rsid w:val="00733F3B"/>
    <w:rsid w:val="007526EE"/>
    <w:rsid w:val="007620BC"/>
    <w:rsid w:val="007658B5"/>
    <w:rsid w:val="00773B71"/>
    <w:rsid w:val="007743D5"/>
    <w:rsid w:val="0077514A"/>
    <w:rsid w:val="007763BB"/>
    <w:rsid w:val="00782FF9"/>
    <w:rsid w:val="007A2EC5"/>
    <w:rsid w:val="007A32CB"/>
    <w:rsid w:val="007C1C05"/>
    <w:rsid w:val="007D4C1A"/>
    <w:rsid w:val="007D6C88"/>
    <w:rsid w:val="007E3882"/>
    <w:rsid w:val="007E4A7C"/>
    <w:rsid w:val="00800422"/>
    <w:rsid w:val="00807634"/>
    <w:rsid w:val="00807F64"/>
    <w:rsid w:val="00816543"/>
    <w:rsid w:val="0082516C"/>
    <w:rsid w:val="00830783"/>
    <w:rsid w:val="00831B6A"/>
    <w:rsid w:val="0083274B"/>
    <w:rsid w:val="0083500A"/>
    <w:rsid w:val="0083600C"/>
    <w:rsid w:val="00840235"/>
    <w:rsid w:val="00842C51"/>
    <w:rsid w:val="00843914"/>
    <w:rsid w:val="0084656E"/>
    <w:rsid w:val="00852C1D"/>
    <w:rsid w:val="00856CBD"/>
    <w:rsid w:val="00875E08"/>
    <w:rsid w:val="00877512"/>
    <w:rsid w:val="0088026E"/>
    <w:rsid w:val="008A2BDA"/>
    <w:rsid w:val="008A674F"/>
    <w:rsid w:val="008B36DC"/>
    <w:rsid w:val="008C0A65"/>
    <w:rsid w:val="008C1B0E"/>
    <w:rsid w:val="008C1C08"/>
    <w:rsid w:val="008C1CD8"/>
    <w:rsid w:val="008C7430"/>
    <w:rsid w:val="008D0C23"/>
    <w:rsid w:val="008D1678"/>
    <w:rsid w:val="008D34FE"/>
    <w:rsid w:val="008E2D04"/>
    <w:rsid w:val="008E2EDB"/>
    <w:rsid w:val="008E3948"/>
    <w:rsid w:val="008F3C19"/>
    <w:rsid w:val="008F437B"/>
    <w:rsid w:val="008F4F76"/>
    <w:rsid w:val="008F618A"/>
    <w:rsid w:val="009013B2"/>
    <w:rsid w:val="00902DAA"/>
    <w:rsid w:val="00936481"/>
    <w:rsid w:val="00940031"/>
    <w:rsid w:val="00946F19"/>
    <w:rsid w:val="00953103"/>
    <w:rsid w:val="0095333C"/>
    <w:rsid w:val="00955473"/>
    <w:rsid w:val="009629FF"/>
    <w:rsid w:val="00963BB6"/>
    <w:rsid w:val="009656F6"/>
    <w:rsid w:val="00965C80"/>
    <w:rsid w:val="00971A6D"/>
    <w:rsid w:val="00975B16"/>
    <w:rsid w:val="00980013"/>
    <w:rsid w:val="00991995"/>
    <w:rsid w:val="009A202B"/>
    <w:rsid w:val="009A23E0"/>
    <w:rsid w:val="009A69A0"/>
    <w:rsid w:val="009B0820"/>
    <w:rsid w:val="009C10B1"/>
    <w:rsid w:val="009C6779"/>
    <w:rsid w:val="009D04F9"/>
    <w:rsid w:val="009D4019"/>
    <w:rsid w:val="009D63E8"/>
    <w:rsid w:val="009D6D1A"/>
    <w:rsid w:val="009E2343"/>
    <w:rsid w:val="009E321C"/>
    <w:rsid w:val="009E398A"/>
    <w:rsid w:val="009E680A"/>
    <w:rsid w:val="009F0734"/>
    <w:rsid w:val="00A00DE6"/>
    <w:rsid w:val="00A00EE3"/>
    <w:rsid w:val="00A0355B"/>
    <w:rsid w:val="00A1389F"/>
    <w:rsid w:val="00A15CC2"/>
    <w:rsid w:val="00A30A28"/>
    <w:rsid w:val="00A318B3"/>
    <w:rsid w:val="00A32169"/>
    <w:rsid w:val="00A42DF2"/>
    <w:rsid w:val="00A4351A"/>
    <w:rsid w:val="00A442F6"/>
    <w:rsid w:val="00A66FEE"/>
    <w:rsid w:val="00A675E7"/>
    <w:rsid w:val="00A7351C"/>
    <w:rsid w:val="00A75F20"/>
    <w:rsid w:val="00A80FD0"/>
    <w:rsid w:val="00A8127E"/>
    <w:rsid w:val="00A83CC4"/>
    <w:rsid w:val="00A8508B"/>
    <w:rsid w:val="00A86C8B"/>
    <w:rsid w:val="00A95CF6"/>
    <w:rsid w:val="00A963DE"/>
    <w:rsid w:val="00AA3D33"/>
    <w:rsid w:val="00AB3159"/>
    <w:rsid w:val="00AB4868"/>
    <w:rsid w:val="00AB5693"/>
    <w:rsid w:val="00AC11EB"/>
    <w:rsid w:val="00AC2A1D"/>
    <w:rsid w:val="00AD4388"/>
    <w:rsid w:val="00AE4CC8"/>
    <w:rsid w:val="00AF3EE2"/>
    <w:rsid w:val="00AF6323"/>
    <w:rsid w:val="00B00293"/>
    <w:rsid w:val="00B26D1F"/>
    <w:rsid w:val="00B4331E"/>
    <w:rsid w:val="00B45653"/>
    <w:rsid w:val="00B514EC"/>
    <w:rsid w:val="00B52388"/>
    <w:rsid w:val="00B60E93"/>
    <w:rsid w:val="00B61235"/>
    <w:rsid w:val="00B62D4A"/>
    <w:rsid w:val="00B71A08"/>
    <w:rsid w:val="00B7322B"/>
    <w:rsid w:val="00B739A6"/>
    <w:rsid w:val="00B77B55"/>
    <w:rsid w:val="00B81932"/>
    <w:rsid w:val="00B82E80"/>
    <w:rsid w:val="00B84ED7"/>
    <w:rsid w:val="00B8779B"/>
    <w:rsid w:val="00B928BA"/>
    <w:rsid w:val="00BA3623"/>
    <w:rsid w:val="00BC09BE"/>
    <w:rsid w:val="00BC4AAD"/>
    <w:rsid w:val="00BD3010"/>
    <w:rsid w:val="00BD3719"/>
    <w:rsid w:val="00BF0AEE"/>
    <w:rsid w:val="00BF3DB3"/>
    <w:rsid w:val="00BF45B0"/>
    <w:rsid w:val="00BF62B2"/>
    <w:rsid w:val="00C0124F"/>
    <w:rsid w:val="00C01F4C"/>
    <w:rsid w:val="00C05F19"/>
    <w:rsid w:val="00C069AE"/>
    <w:rsid w:val="00C07C07"/>
    <w:rsid w:val="00C102D2"/>
    <w:rsid w:val="00C22D5F"/>
    <w:rsid w:val="00C325DC"/>
    <w:rsid w:val="00C4013A"/>
    <w:rsid w:val="00C403B6"/>
    <w:rsid w:val="00C441EC"/>
    <w:rsid w:val="00C55F14"/>
    <w:rsid w:val="00C600CD"/>
    <w:rsid w:val="00C729A4"/>
    <w:rsid w:val="00C73EEA"/>
    <w:rsid w:val="00C752B3"/>
    <w:rsid w:val="00C81BE5"/>
    <w:rsid w:val="00C8504A"/>
    <w:rsid w:val="00C852FB"/>
    <w:rsid w:val="00C951C2"/>
    <w:rsid w:val="00C967DB"/>
    <w:rsid w:val="00C96A63"/>
    <w:rsid w:val="00CA0C63"/>
    <w:rsid w:val="00CA295E"/>
    <w:rsid w:val="00CB3F15"/>
    <w:rsid w:val="00CC3C04"/>
    <w:rsid w:val="00CC7CBD"/>
    <w:rsid w:val="00CD5A36"/>
    <w:rsid w:val="00CE5E96"/>
    <w:rsid w:val="00CE75CD"/>
    <w:rsid w:val="00CF308E"/>
    <w:rsid w:val="00CF4F29"/>
    <w:rsid w:val="00D006F5"/>
    <w:rsid w:val="00D01C38"/>
    <w:rsid w:val="00D11EC0"/>
    <w:rsid w:val="00D12B01"/>
    <w:rsid w:val="00D16514"/>
    <w:rsid w:val="00D168DF"/>
    <w:rsid w:val="00D21741"/>
    <w:rsid w:val="00D21CF1"/>
    <w:rsid w:val="00D25A0C"/>
    <w:rsid w:val="00D272F6"/>
    <w:rsid w:val="00D3519C"/>
    <w:rsid w:val="00D36603"/>
    <w:rsid w:val="00D51308"/>
    <w:rsid w:val="00D51D0E"/>
    <w:rsid w:val="00D54DBA"/>
    <w:rsid w:val="00D57EC3"/>
    <w:rsid w:val="00D7319D"/>
    <w:rsid w:val="00D857EE"/>
    <w:rsid w:val="00D92267"/>
    <w:rsid w:val="00D9370D"/>
    <w:rsid w:val="00D95563"/>
    <w:rsid w:val="00DA0C60"/>
    <w:rsid w:val="00DC3358"/>
    <w:rsid w:val="00DC5082"/>
    <w:rsid w:val="00DD2CC7"/>
    <w:rsid w:val="00DD5921"/>
    <w:rsid w:val="00DD6A67"/>
    <w:rsid w:val="00DE4508"/>
    <w:rsid w:val="00DF07B1"/>
    <w:rsid w:val="00DF3523"/>
    <w:rsid w:val="00DF790F"/>
    <w:rsid w:val="00E00791"/>
    <w:rsid w:val="00E107E7"/>
    <w:rsid w:val="00E118DF"/>
    <w:rsid w:val="00E13C34"/>
    <w:rsid w:val="00E1644C"/>
    <w:rsid w:val="00E2219A"/>
    <w:rsid w:val="00E22F33"/>
    <w:rsid w:val="00E26E96"/>
    <w:rsid w:val="00E3258D"/>
    <w:rsid w:val="00E35CF9"/>
    <w:rsid w:val="00E454CC"/>
    <w:rsid w:val="00E478CE"/>
    <w:rsid w:val="00E47D3F"/>
    <w:rsid w:val="00E52565"/>
    <w:rsid w:val="00E71B5B"/>
    <w:rsid w:val="00E736E8"/>
    <w:rsid w:val="00E84C16"/>
    <w:rsid w:val="00E85346"/>
    <w:rsid w:val="00E914BB"/>
    <w:rsid w:val="00E9308A"/>
    <w:rsid w:val="00EA0F58"/>
    <w:rsid w:val="00EA117E"/>
    <w:rsid w:val="00EA4634"/>
    <w:rsid w:val="00EB0F9F"/>
    <w:rsid w:val="00EB10BF"/>
    <w:rsid w:val="00EC57A2"/>
    <w:rsid w:val="00EC5D44"/>
    <w:rsid w:val="00EC6C6B"/>
    <w:rsid w:val="00ED7631"/>
    <w:rsid w:val="00EE0D1C"/>
    <w:rsid w:val="00F04ACF"/>
    <w:rsid w:val="00F05127"/>
    <w:rsid w:val="00F0748A"/>
    <w:rsid w:val="00F1355C"/>
    <w:rsid w:val="00F170A2"/>
    <w:rsid w:val="00F2084F"/>
    <w:rsid w:val="00F348DA"/>
    <w:rsid w:val="00F34F65"/>
    <w:rsid w:val="00F41091"/>
    <w:rsid w:val="00F46C3E"/>
    <w:rsid w:val="00F51BCD"/>
    <w:rsid w:val="00F54B66"/>
    <w:rsid w:val="00F63EF5"/>
    <w:rsid w:val="00F64C43"/>
    <w:rsid w:val="00F6669A"/>
    <w:rsid w:val="00F72A93"/>
    <w:rsid w:val="00F741D0"/>
    <w:rsid w:val="00F76D7F"/>
    <w:rsid w:val="00F80510"/>
    <w:rsid w:val="00F83411"/>
    <w:rsid w:val="00F93BD8"/>
    <w:rsid w:val="00F9426F"/>
    <w:rsid w:val="00FA1DB0"/>
    <w:rsid w:val="00FA4219"/>
    <w:rsid w:val="00FA61F0"/>
    <w:rsid w:val="00FB2DF3"/>
    <w:rsid w:val="00FB43C4"/>
    <w:rsid w:val="00FC2710"/>
    <w:rsid w:val="00FE0F37"/>
    <w:rsid w:val="00FE5A1A"/>
    <w:rsid w:val="00FF69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EF952"/>
  <w15:docId w15:val="{21D99514-A313-4585-AC2D-3E08BD0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323"/>
    <w:rPr>
      <w:color w:val="0000FF"/>
      <w:u w:val="single"/>
    </w:rPr>
  </w:style>
  <w:style w:type="paragraph" w:styleId="ListParagraph">
    <w:name w:val="List Paragraph"/>
    <w:basedOn w:val="Normal"/>
    <w:uiPriority w:val="34"/>
    <w:qFormat/>
    <w:rsid w:val="00D01C38"/>
    <w:pPr>
      <w:ind w:left="720"/>
      <w:contextualSpacing/>
    </w:pPr>
  </w:style>
  <w:style w:type="character" w:styleId="CommentReference">
    <w:name w:val="annotation reference"/>
    <w:basedOn w:val="DefaultParagraphFont"/>
    <w:uiPriority w:val="99"/>
    <w:semiHidden/>
    <w:unhideWhenUsed/>
    <w:rsid w:val="007743D5"/>
    <w:rPr>
      <w:sz w:val="16"/>
      <w:szCs w:val="16"/>
    </w:rPr>
  </w:style>
  <w:style w:type="paragraph" w:styleId="CommentText">
    <w:name w:val="annotation text"/>
    <w:basedOn w:val="Normal"/>
    <w:link w:val="CommentTextChar"/>
    <w:uiPriority w:val="99"/>
    <w:semiHidden/>
    <w:unhideWhenUsed/>
    <w:rsid w:val="007743D5"/>
    <w:pPr>
      <w:spacing w:line="240" w:lineRule="auto"/>
    </w:pPr>
    <w:rPr>
      <w:sz w:val="20"/>
      <w:szCs w:val="20"/>
    </w:rPr>
  </w:style>
  <w:style w:type="character" w:customStyle="1" w:styleId="CommentTextChar">
    <w:name w:val="Comment Text Char"/>
    <w:basedOn w:val="DefaultParagraphFont"/>
    <w:link w:val="CommentText"/>
    <w:uiPriority w:val="99"/>
    <w:semiHidden/>
    <w:rsid w:val="007743D5"/>
    <w:rPr>
      <w:sz w:val="20"/>
      <w:szCs w:val="20"/>
    </w:rPr>
  </w:style>
  <w:style w:type="paragraph" w:styleId="CommentSubject">
    <w:name w:val="annotation subject"/>
    <w:basedOn w:val="CommentText"/>
    <w:next w:val="CommentText"/>
    <w:link w:val="CommentSubjectChar"/>
    <w:uiPriority w:val="99"/>
    <w:semiHidden/>
    <w:unhideWhenUsed/>
    <w:rsid w:val="007743D5"/>
    <w:rPr>
      <w:b/>
      <w:bCs/>
    </w:rPr>
  </w:style>
  <w:style w:type="character" w:customStyle="1" w:styleId="CommentSubjectChar">
    <w:name w:val="Comment Subject Char"/>
    <w:basedOn w:val="CommentTextChar"/>
    <w:link w:val="CommentSubject"/>
    <w:uiPriority w:val="99"/>
    <w:semiHidden/>
    <w:rsid w:val="007743D5"/>
    <w:rPr>
      <w:b/>
      <w:bCs/>
      <w:sz w:val="20"/>
      <w:szCs w:val="20"/>
    </w:rPr>
  </w:style>
  <w:style w:type="paragraph" w:styleId="BalloonText">
    <w:name w:val="Balloon Text"/>
    <w:basedOn w:val="Normal"/>
    <w:link w:val="BalloonTextChar"/>
    <w:uiPriority w:val="99"/>
    <w:semiHidden/>
    <w:unhideWhenUsed/>
    <w:rsid w:val="00774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D5"/>
    <w:rPr>
      <w:rFonts w:ascii="Tahoma" w:hAnsi="Tahoma" w:cs="Tahoma"/>
      <w:sz w:val="16"/>
      <w:szCs w:val="16"/>
    </w:rPr>
  </w:style>
  <w:style w:type="table" w:styleId="TableGrid">
    <w:name w:val="Table Grid"/>
    <w:basedOn w:val="TableNormal"/>
    <w:uiPriority w:val="59"/>
    <w:rsid w:val="0030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66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07668"/>
    <w:pPr>
      <w:spacing w:after="0" w:line="240" w:lineRule="auto"/>
    </w:pPr>
  </w:style>
  <w:style w:type="character" w:styleId="FollowedHyperlink">
    <w:name w:val="FollowedHyperlink"/>
    <w:basedOn w:val="DefaultParagraphFont"/>
    <w:uiPriority w:val="99"/>
    <w:semiHidden/>
    <w:unhideWhenUsed/>
    <w:rsid w:val="00F80510"/>
    <w:rPr>
      <w:color w:val="800080" w:themeColor="followedHyperlink"/>
      <w:u w:val="single"/>
    </w:rPr>
  </w:style>
  <w:style w:type="paragraph" w:styleId="Header">
    <w:name w:val="header"/>
    <w:basedOn w:val="Normal"/>
    <w:link w:val="HeaderChar"/>
    <w:uiPriority w:val="99"/>
    <w:unhideWhenUsed/>
    <w:rsid w:val="00E85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46"/>
  </w:style>
  <w:style w:type="paragraph" w:styleId="Footer">
    <w:name w:val="footer"/>
    <w:basedOn w:val="Normal"/>
    <w:link w:val="FooterChar"/>
    <w:uiPriority w:val="99"/>
    <w:unhideWhenUsed/>
    <w:rsid w:val="00E85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46"/>
  </w:style>
  <w:style w:type="character" w:styleId="LineNumber">
    <w:name w:val="line number"/>
    <w:basedOn w:val="DefaultParagraphFont"/>
    <w:uiPriority w:val="99"/>
    <w:semiHidden/>
    <w:unhideWhenUsed/>
    <w:rsid w:val="00C0124F"/>
  </w:style>
  <w:style w:type="paragraph" w:styleId="PlainText">
    <w:name w:val="Plain Text"/>
    <w:basedOn w:val="Normal"/>
    <w:link w:val="PlainTextChar"/>
    <w:uiPriority w:val="99"/>
    <w:unhideWhenUsed/>
    <w:rsid w:val="00687C8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87C8A"/>
    <w:rPr>
      <w:rFonts w:ascii="Calibri" w:hAnsi="Calibri" w:cs="Consolas"/>
      <w:szCs w:val="21"/>
    </w:rPr>
  </w:style>
  <w:style w:type="table" w:customStyle="1" w:styleId="PlainTable41">
    <w:name w:val="Plain Table 41"/>
    <w:basedOn w:val="TableNormal"/>
    <w:uiPriority w:val="44"/>
    <w:rsid w:val="00FA1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A1D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E45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45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E4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10919">
      <w:bodyDiv w:val="1"/>
      <w:marLeft w:val="0"/>
      <w:marRight w:val="0"/>
      <w:marTop w:val="0"/>
      <w:marBottom w:val="0"/>
      <w:divBdr>
        <w:top w:val="none" w:sz="0" w:space="0" w:color="auto"/>
        <w:left w:val="none" w:sz="0" w:space="0" w:color="auto"/>
        <w:bottom w:val="none" w:sz="0" w:space="0" w:color="auto"/>
        <w:right w:val="none" w:sz="0" w:space="0" w:color="auto"/>
      </w:divBdr>
    </w:div>
    <w:div w:id="1492022918">
      <w:bodyDiv w:val="1"/>
      <w:marLeft w:val="0"/>
      <w:marRight w:val="0"/>
      <w:marTop w:val="0"/>
      <w:marBottom w:val="0"/>
      <w:divBdr>
        <w:top w:val="none" w:sz="0" w:space="0" w:color="auto"/>
        <w:left w:val="none" w:sz="0" w:space="0" w:color="auto"/>
        <w:bottom w:val="none" w:sz="0" w:space="0" w:color="auto"/>
        <w:right w:val="none" w:sz="0" w:space="0" w:color="auto"/>
      </w:divBdr>
    </w:div>
    <w:div w:id="1750467150">
      <w:bodyDiv w:val="1"/>
      <w:marLeft w:val="0"/>
      <w:marRight w:val="0"/>
      <w:marTop w:val="0"/>
      <w:marBottom w:val="1500"/>
      <w:divBdr>
        <w:top w:val="none" w:sz="0" w:space="0" w:color="auto"/>
        <w:left w:val="none" w:sz="0" w:space="0" w:color="auto"/>
        <w:bottom w:val="none" w:sz="0" w:space="0" w:color="auto"/>
        <w:right w:val="none" w:sz="0" w:space="0" w:color="auto"/>
      </w:divBdr>
      <w:divsChild>
        <w:div w:id="73476515">
          <w:marLeft w:val="0"/>
          <w:marRight w:val="0"/>
          <w:marTop w:val="0"/>
          <w:marBottom w:val="0"/>
          <w:divBdr>
            <w:top w:val="none" w:sz="0" w:space="0" w:color="auto"/>
            <w:left w:val="none" w:sz="0" w:space="0" w:color="auto"/>
            <w:bottom w:val="none" w:sz="0" w:space="0" w:color="auto"/>
            <w:right w:val="none" w:sz="0" w:space="0" w:color="auto"/>
          </w:divBdr>
          <w:divsChild>
            <w:div w:id="103424790">
              <w:marLeft w:val="0"/>
              <w:marRight w:val="0"/>
              <w:marTop w:val="0"/>
              <w:marBottom w:val="0"/>
              <w:divBdr>
                <w:top w:val="none" w:sz="0" w:space="0" w:color="auto"/>
                <w:left w:val="none" w:sz="0" w:space="0" w:color="auto"/>
                <w:bottom w:val="none" w:sz="0" w:space="0" w:color="auto"/>
                <w:right w:val="none" w:sz="0" w:space="0" w:color="auto"/>
              </w:divBdr>
              <w:divsChild>
                <w:div w:id="670063873">
                  <w:marLeft w:val="30"/>
                  <w:marRight w:val="-100"/>
                  <w:marTop w:val="225"/>
                  <w:marBottom w:val="225"/>
                  <w:divBdr>
                    <w:top w:val="none" w:sz="0" w:space="0" w:color="auto"/>
                    <w:left w:val="none" w:sz="0" w:space="0" w:color="auto"/>
                    <w:bottom w:val="none" w:sz="0" w:space="0" w:color="auto"/>
                    <w:right w:val="none" w:sz="0" w:space="0" w:color="auto"/>
                  </w:divBdr>
                  <w:divsChild>
                    <w:div w:id="603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ezproxy1.bath.ac.uk/10.1017/S1463423615000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ma.org.uk/practical-support-at-work/gp-practices/service-provision/prescribing/dispensary-services-quality-sche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rls.npsa.nhs.uk/resources/?entryid45=59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and.nhs.uk/monitoring/" TargetMode="External"/><Relationship Id="rId5" Type="http://schemas.openxmlformats.org/officeDocument/2006/relationships/webSettings" Target="webSettings.xml"/><Relationship Id="rId15" Type="http://schemas.openxmlformats.org/officeDocument/2006/relationships/hyperlink" Target="http://www.rpharms.com/news-story-downloads/rps-professional-standards-for-public-health-practice-for-pharmacy-augus....pdf" TargetMode="External"/><Relationship Id="rId10" Type="http://schemas.openxmlformats.org/officeDocument/2006/relationships/hyperlink" Target="http://www.pcc-cic.org.uk/article/rurality-controlled-localities-and-provision-pharmaceutical-services-doctors-explan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snc.org.uk/wp-content/uploads/2013/08/Community_Pharmacy_at_the_heart_of_public_health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FBEE-E53C-40DD-9E76-D86D7A4F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4897</Words>
  <Characters>27914</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Grey</dc:creator>
  <cp:lastModifiedBy>RODHAM Karen</cp:lastModifiedBy>
  <cp:revision>2</cp:revision>
  <cp:lastPrinted>2015-03-27T16:06:00Z</cp:lastPrinted>
  <dcterms:created xsi:type="dcterms:W3CDTF">2015-10-19T14:59:00Z</dcterms:created>
  <dcterms:modified xsi:type="dcterms:W3CDTF">2015-10-19T14:59:00Z</dcterms:modified>
</cp:coreProperties>
</file>