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892" w:rsidRDefault="004D4706" w:rsidP="001F336E">
      <w:pPr>
        <w:pStyle w:val="Heading1"/>
        <w:numPr>
          <w:ilvl w:val="0"/>
          <w:numId w:val="0"/>
        </w:numPr>
        <w:jc w:val="center"/>
      </w:pPr>
      <w:bookmarkStart w:id="0" w:name="_Toc207111297"/>
      <w:bookmarkStart w:id="1" w:name="_Toc207111622"/>
      <w:r>
        <w:t>School Expenditure and School Performance</w:t>
      </w:r>
      <w:r w:rsidR="00AE5F04">
        <w:t>:</w:t>
      </w:r>
      <w:r w:rsidR="00EF264B">
        <w:t xml:space="preserve"> </w:t>
      </w:r>
      <w:r w:rsidR="00362DB2">
        <w:t>E</w:t>
      </w:r>
      <w:r w:rsidR="00D44914">
        <w:t xml:space="preserve">vidence </w:t>
      </w:r>
      <w:r w:rsidR="00120892">
        <w:t xml:space="preserve">from </w:t>
      </w:r>
      <w:r w:rsidR="004969EE">
        <w:t>New South Wales</w:t>
      </w:r>
      <w:r w:rsidR="00D44914">
        <w:t xml:space="preserve"> schools using a </w:t>
      </w:r>
      <w:r w:rsidR="00120892">
        <w:t>dynamic panel analysis</w:t>
      </w:r>
    </w:p>
    <w:p w:rsidR="00120892" w:rsidRDefault="00120892" w:rsidP="002A68C9">
      <w:pPr>
        <w:pStyle w:val="Heading1"/>
        <w:numPr>
          <w:ilvl w:val="0"/>
          <w:numId w:val="0"/>
        </w:numPr>
        <w:jc w:val="center"/>
      </w:pPr>
    </w:p>
    <w:bookmarkEnd w:id="0"/>
    <w:bookmarkEnd w:id="1"/>
    <w:p w:rsidR="0006151A" w:rsidRDefault="0006151A" w:rsidP="0006151A">
      <w:r>
        <w:t xml:space="preserve">G. </w:t>
      </w:r>
      <w:proofErr w:type="spellStart"/>
      <w:r>
        <w:t>Pugh</w:t>
      </w:r>
      <w:r w:rsidRPr="0006151A">
        <w:rPr>
          <w:vertAlign w:val="superscript"/>
        </w:rPr>
        <w:t>a</w:t>
      </w:r>
      <w:proofErr w:type="spellEnd"/>
      <w:r>
        <w:t xml:space="preserve">*, J. </w:t>
      </w:r>
      <w:proofErr w:type="spellStart"/>
      <w:r>
        <w:t>Mangan</w:t>
      </w:r>
      <w:r w:rsidRPr="0006151A">
        <w:rPr>
          <w:vertAlign w:val="superscript"/>
        </w:rPr>
        <w:t>a</w:t>
      </w:r>
      <w:proofErr w:type="spellEnd"/>
      <w:r>
        <w:t xml:space="preserve">, V. </w:t>
      </w:r>
      <w:proofErr w:type="spellStart"/>
      <w:r>
        <w:t>Blackburn</w:t>
      </w:r>
      <w:r w:rsidRPr="0006151A">
        <w:rPr>
          <w:vertAlign w:val="superscript"/>
        </w:rPr>
        <w:t>b</w:t>
      </w:r>
      <w:proofErr w:type="spellEnd"/>
      <w:r>
        <w:t xml:space="preserve"> and D. </w:t>
      </w:r>
      <w:proofErr w:type="spellStart"/>
      <w:r>
        <w:t>Radicic</w:t>
      </w:r>
      <w:r w:rsidRPr="0006151A">
        <w:rPr>
          <w:vertAlign w:val="superscript"/>
        </w:rPr>
        <w:t>a</w:t>
      </w:r>
      <w:proofErr w:type="spellEnd"/>
    </w:p>
    <w:p w:rsidR="0006151A" w:rsidRDefault="0006151A" w:rsidP="0006151A"/>
    <w:p w:rsidR="0086305E" w:rsidRDefault="0006151A" w:rsidP="0006151A">
      <w:proofErr w:type="gramStart"/>
      <w:r w:rsidRPr="0006151A">
        <w:rPr>
          <w:vertAlign w:val="superscript"/>
        </w:rPr>
        <w:t>a</w:t>
      </w:r>
      <w:proofErr w:type="gramEnd"/>
      <w:r w:rsidR="00447B0E">
        <w:rPr>
          <w:vertAlign w:val="superscript"/>
        </w:rPr>
        <w:t xml:space="preserve"> </w:t>
      </w:r>
      <w:r>
        <w:t xml:space="preserve">Staffordshire University, UK; </w:t>
      </w:r>
    </w:p>
    <w:p w:rsidR="0006151A" w:rsidRDefault="0006151A" w:rsidP="0006151A">
      <w:proofErr w:type="gramStart"/>
      <w:r w:rsidRPr="0006151A">
        <w:rPr>
          <w:vertAlign w:val="superscript"/>
        </w:rPr>
        <w:t>b</w:t>
      </w:r>
      <w:proofErr w:type="gramEnd"/>
      <w:r w:rsidR="00447B0E">
        <w:rPr>
          <w:vertAlign w:val="superscript"/>
        </w:rPr>
        <w:t xml:space="preserve"> </w:t>
      </w:r>
      <w:r>
        <w:t>NSW Department of Education and Communities,</w:t>
      </w:r>
    </w:p>
    <w:p w:rsidR="00120892" w:rsidRDefault="0006151A" w:rsidP="0006151A">
      <w:r>
        <w:t>Australia</w:t>
      </w:r>
    </w:p>
    <w:p w:rsidR="0006151A" w:rsidRDefault="0006151A" w:rsidP="0006151A"/>
    <w:p w:rsidR="0006151A" w:rsidRPr="00447B0E" w:rsidRDefault="00447B0E" w:rsidP="00447B0E">
      <w:pPr>
        <w:autoSpaceDE w:val="0"/>
        <w:autoSpaceDN w:val="0"/>
        <w:adjustRightInd w:val="0"/>
        <w:rPr>
          <w:rFonts w:ascii="AdvPSPLT" w:hAnsi="AdvPSPLT" w:cs="AdvPSPLT"/>
          <w:sz w:val="18"/>
          <w:szCs w:val="18"/>
        </w:rPr>
      </w:pPr>
      <w:r w:rsidRPr="00447B0E">
        <w:rPr>
          <w:rFonts w:ascii="AdvPSPLT" w:hAnsi="AdvPSPLT" w:cs="AdvPSPLT"/>
          <w:sz w:val="18"/>
          <w:szCs w:val="18"/>
        </w:rPr>
        <w:t>*</w:t>
      </w:r>
      <w:r>
        <w:rPr>
          <w:rFonts w:ascii="AdvPSPLT" w:hAnsi="AdvPSPLT" w:cs="AdvPSPLT"/>
          <w:sz w:val="18"/>
          <w:szCs w:val="18"/>
        </w:rPr>
        <w:t xml:space="preserve"> </w:t>
      </w:r>
      <w:r w:rsidR="0006151A" w:rsidRPr="00447B0E">
        <w:rPr>
          <w:rFonts w:ascii="AdvPSPLT" w:hAnsi="AdvPSPLT" w:cs="AdvPSPLT"/>
          <w:sz w:val="18"/>
          <w:szCs w:val="18"/>
        </w:rPr>
        <w:t>Corresponding author. Institute for Education Policy Research, Staffordshire University, Leek</w:t>
      </w:r>
    </w:p>
    <w:p w:rsidR="0006151A" w:rsidRDefault="0006151A" w:rsidP="0006151A">
      <w:proofErr w:type="gramStart"/>
      <w:r>
        <w:rPr>
          <w:rFonts w:ascii="AdvPSPLT" w:hAnsi="AdvPSPLT" w:cs="AdvPSPLT"/>
          <w:sz w:val="18"/>
          <w:szCs w:val="18"/>
        </w:rPr>
        <w:t>Road, Stoke-on-Trent, ST4 2DF, UK.</w:t>
      </w:r>
      <w:proofErr w:type="gramEnd"/>
      <w:r>
        <w:rPr>
          <w:rFonts w:ascii="AdvPSPLT" w:hAnsi="AdvPSPLT" w:cs="AdvPSPLT"/>
          <w:sz w:val="18"/>
          <w:szCs w:val="18"/>
        </w:rPr>
        <w:t xml:space="preserve"> Email: </w:t>
      </w:r>
      <w:hyperlink r:id="rId9" w:history="1">
        <w:r w:rsidR="00111D1F" w:rsidRPr="005F14E7">
          <w:rPr>
            <w:rStyle w:val="Hyperlink"/>
            <w:rFonts w:ascii="AdvPSPLT" w:hAnsi="AdvPSPLT" w:cs="AdvPSPLT"/>
            <w:sz w:val="18"/>
            <w:szCs w:val="18"/>
          </w:rPr>
          <w:t>g.t.pugh@staffs.ac.uk</w:t>
        </w:r>
      </w:hyperlink>
      <w:r w:rsidR="00111D1F">
        <w:rPr>
          <w:rFonts w:ascii="AdvPSPLT" w:hAnsi="AdvPSPLT" w:cs="AdvPSPLT"/>
          <w:sz w:val="18"/>
          <w:szCs w:val="18"/>
        </w:rPr>
        <w:t xml:space="preserve"> </w:t>
      </w:r>
    </w:p>
    <w:p w:rsidR="00120892" w:rsidRPr="002A68C9" w:rsidRDefault="00120892" w:rsidP="009652DA">
      <w:pPr>
        <w:rPr>
          <w:sz w:val="36"/>
          <w:szCs w:val="36"/>
        </w:rPr>
      </w:pPr>
    </w:p>
    <w:p w:rsidR="0069673D" w:rsidRDefault="0069673D" w:rsidP="004C50CB">
      <w:pPr>
        <w:spacing w:line="480" w:lineRule="auto"/>
        <w:jc w:val="both"/>
      </w:pPr>
    </w:p>
    <w:p w:rsidR="0069673D" w:rsidRPr="0069673D" w:rsidRDefault="0069673D" w:rsidP="00E44936">
      <w:pPr>
        <w:spacing w:after="200" w:line="276" w:lineRule="auto"/>
        <w:rPr>
          <w:rFonts w:asciiTheme="minorHAnsi" w:eastAsiaTheme="minorEastAsia" w:hAnsiTheme="minorHAnsi" w:cstheme="minorHAnsi"/>
          <w:b/>
          <w:i/>
          <w:iCs/>
          <w:sz w:val="28"/>
          <w:szCs w:val="28"/>
        </w:rPr>
      </w:pPr>
      <w:r w:rsidRPr="0069673D">
        <w:rPr>
          <w:rFonts w:asciiTheme="minorHAnsi" w:eastAsiaTheme="minorEastAsia" w:hAnsiTheme="minorHAnsi" w:cstheme="minorHAnsi"/>
          <w:b/>
          <w:iCs/>
          <w:sz w:val="28"/>
          <w:szCs w:val="28"/>
        </w:rPr>
        <w:t xml:space="preserve">This is an Accepted Manuscript of an article published </w:t>
      </w:r>
      <w:r w:rsidRPr="0069673D">
        <w:rPr>
          <w:rFonts w:asciiTheme="minorHAnsi" w:eastAsiaTheme="minorEastAsia" w:hAnsiTheme="minorHAnsi" w:cstheme="minorHAnsi"/>
          <w:b/>
          <w:bCs/>
          <w:iCs/>
          <w:sz w:val="28"/>
          <w:szCs w:val="28"/>
          <w:lang w:val="en"/>
        </w:rPr>
        <w:t xml:space="preserve">online </w:t>
      </w:r>
      <w:r w:rsidRPr="0069673D">
        <w:rPr>
          <w:rFonts w:asciiTheme="minorHAnsi" w:eastAsiaTheme="minorEastAsia" w:hAnsiTheme="minorHAnsi" w:cstheme="minorHAnsi"/>
          <w:b/>
          <w:iCs/>
          <w:sz w:val="28"/>
          <w:szCs w:val="28"/>
        </w:rPr>
        <w:t xml:space="preserve">on </w:t>
      </w:r>
      <w:r w:rsidR="00822BAF" w:rsidRPr="00822BAF">
        <w:rPr>
          <w:rFonts w:asciiTheme="minorHAnsi" w:eastAsiaTheme="minorEastAsia" w:hAnsiTheme="minorHAnsi" w:cstheme="minorHAnsi"/>
          <w:b/>
          <w:iCs/>
          <w:sz w:val="28"/>
          <w:szCs w:val="28"/>
          <w:lang w:val="en"/>
        </w:rPr>
        <w:t>21 MAY 2014</w:t>
      </w:r>
      <w:r w:rsidR="00822BAF">
        <w:rPr>
          <w:rFonts w:asciiTheme="minorHAnsi" w:eastAsiaTheme="minorEastAsia" w:hAnsiTheme="minorHAnsi" w:cstheme="minorHAnsi"/>
          <w:b/>
          <w:iCs/>
          <w:sz w:val="28"/>
          <w:szCs w:val="28"/>
          <w:lang w:val="en"/>
        </w:rPr>
        <w:t xml:space="preserve"> </w:t>
      </w:r>
      <w:bookmarkStart w:id="2" w:name="_GoBack"/>
      <w:bookmarkEnd w:id="2"/>
      <w:r w:rsidRPr="0069673D">
        <w:rPr>
          <w:rFonts w:asciiTheme="minorHAnsi" w:eastAsiaTheme="minorEastAsia" w:hAnsiTheme="minorHAnsi" w:cstheme="minorHAnsi"/>
          <w:b/>
          <w:bCs/>
          <w:iCs/>
          <w:sz w:val="28"/>
          <w:szCs w:val="28"/>
          <w:lang w:val="en"/>
        </w:rPr>
        <w:t>before print</w:t>
      </w:r>
      <w:r w:rsidRPr="0069673D">
        <w:rPr>
          <w:rFonts w:asciiTheme="minorHAnsi" w:eastAsiaTheme="minorEastAsia" w:hAnsiTheme="minorHAnsi" w:cstheme="minorHAnsi"/>
          <w:b/>
          <w:iCs/>
          <w:sz w:val="28"/>
          <w:szCs w:val="28"/>
        </w:rPr>
        <w:t xml:space="preserve"> by </w:t>
      </w:r>
      <w:r w:rsidR="00E44936">
        <w:rPr>
          <w:rFonts w:asciiTheme="minorHAnsi" w:eastAsiaTheme="minorEastAsia" w:hAnsiTheme="minorHAnsi" w:cstheme="minorHAnsi"/>
          <w:b/>
          <w:iCs/>
          <w:sz w:val="28"/>
          <w:szCs w:val="28"/>
        </w:rPr>
        <w:t>Wiley</w:t>
      </w:r>
      <w:r w:rsidRPr="0069673D">
        <w:rPr>
          <w:rFonts w:asciiTheme="minorHAnsi" w:eastAsiaTheme="minorEastAsia" w:hAnsiTheme="minorHAnsi" w:cstheme="minorHAnsi"/>
          <w:b/>
          <w:iCs/>
          <w:sz w:val="28"/>
          <w:szCs w:val="28"/>
        </w:rPr>
        <w:t xml:space="preserve"> in</w:t>
      </w:r>
      <w:r w:rsidR="00E44936">
        <w:rPr>
          <w:rFonts w:asciiTheme="minorHAnsi" w:eastAsiaTheme="minorEastAsia" w:hAnsiTheme="minorHAnsi" w:cstheme="minorHAnsi"/>
          <w:b/>
          <w:iCs/>
          <w:sz w:val="28"/>
          <w:szCs w:val="28"/>
        </w:rPr>
        <w:t xml:space="preserve"> the</w:t>
      </w:r>
      <w:r w:rsidRPr="0069673D">
        <w:rPr>
          <w:rFonts w:asciiTheme="minorHAnsi" w:eastAsiaTheme="minorEastAsia" w:hAnsiTheme="minorHAnsi" w:cstheme="minorHAnsi"/>
          <w:b/>
          <w:iCs/>
          <w:sz w:val="28"/>
          <w:szCs w:val="28"/>
        </w:rPr>
        <w:t xml:space="preserve"> </w:t>
      </w:r>
      <w:r w:rsidR="00E44936" w:rsidRPr="00E44936">
        <w:rPr>
          <w:rFonts w:asciiTheme="minorHAnsi" w:eastAsiaTheme="minorEastAsia" w:hAnsiTheme="minorHAnsi" w:cstheme="minorHAnsi"/>
          <w:b/>
          <w:i/>
          <w:iCs/>
          <w:sz w:val="28"/>
          <w:szCs w:val="28"/>
        </w:rPr>
        <w:t>British Educational Research Journal</w:t>
      </w:r>
      <w:r w:rsidR="00E44936">
        <w:rPr>
          <w:rFonts w:asciiTheme="minorHAnsi" w:eastAsiaTheme="minorEastAsia" w:hAnsiTheme="minorHAnsi" w:cstheme="minorHAnsi"/>
          <w:b/>
          <w:i/>
          <w:iCs/>
          <w:sz w:val="28"/>
          <w:szCs w:val="28"/>
        </w:rPr>
        <w:t xml:space="preserve">, </w:t>
      </w:r>
      <w:r w:rsidR="00E44936" w:rsidRPr="00E44936">
        <w:rPr>
          <w:rFonts w:asciiTheme="minorHAnsi" w:eastAsiaTheme="minorEastAsia" w:hAnsiTheme="minorHAnsi" w:cstheme="minorHAnsi"/>
          <w:b/>
          <w:iCs/>
          <w:sz w:val="28"/>
          <w:szCs w:val="28"/>
        </w:rPr>
        <w:t>Volume 41, Issue 2,  pages 244–264, April 2015</w:t>
      </w:r>
      <w:r w:rsidRPr="0069673D">
        <w:rPr>
          <w:rFonts w:asciiTheme="minorHAnsi" w:eastAsiaTheme="minorEastAsia" w:hAnsiTheme="minorHAnsi" w:cstheme="minorHAnsi"/>
          <w:b/>
          <w:iCs/>
          <w:sz w:val="28"/>
          <w:szCs w:val="28"/>
        </w:rPr>
        <w:t>, available online:</w:t>
      </w:r>
      <w:r w:rsidRPr="0069673D">
        <w:rPr>
          <w:rFonts w:asciiTheme="minorHAnsi" w:eastAsiaTheme="minorEastAsia" w:hAnsiTheme="minorHAnsi" w:cstheme="minorBidi"/>
          <w:sz w:val="22"/>
          <w:szCs w:val="22"/>
        </w:rPr>
        <w:t xml:space="preserve"> </w:t>
      </w:r>
      <w:hyperlink r:id="rId10" w:history="1">
        <w:r w:rsidR="00E44936" w:rsidRPr="00502F83">
          <w:rPr>
            <w:rStyle w:val="Hyperlink"/>
            <w:rFonts w:asciiTheme="minorHAnsi" w:eastAsiaTheme="minorEastAsia" w:hAnsiTheme="minorHAnsi" w:cstheme="minorBidi"/>
            <w:sz w:val="22"/>
            <w:szCs w:val="22"/>
          </w:rPr>
          <w:t>http://onlinelibrary.wiley.com/doi/10.1002/berj.3146/abstract</w:t>
        </w:r>
      </w:hyperlink>
      <w:r w:rsidR="00E44936">
        <w:rPr>
          <w:rFonts w:asciiTheme="minorHAnsi" w:eastAsiaTheme="minorEastAsia" w:hAnsiTheme="minorHAnsi" w:cstheme="minorBidi"/>
          <w:sz w:val="22"/>
          <w:szCs w:val="22"/>
        </w:rPr>
        <w:t xml:space="preserve"> </w:t>
      </w:r>
      <w:r w:rsidRPr="0069673D">
        <w:rPr>
          <w:rFonts w:asciiTheme="minorHAnsi" w:eastAsiaTheme="minorEastAsia" w:hAnsiTheme="minorHAnsi" w:cstheme="minorHAnsi"/>
          <w:b/>
          <w:i/>
          <w:iCs/>
          <w:sz w:val="28"/>
          <w:szCs w:val="28"/>
        </w:rPr>
        <w:t>.</w:t>
      </w:r>
    </w:p>
    <w:p w:rsidR="0069673D" w:rsidRPr="0069673D" w:rsidRDefault="008431EB" w:rsidP="0069673D">
      <w:pPr>
        <w:spacing w:after="200" w:line="276" w:lineRule="auto"/>
        <w:rPr>
          <w:rFonts w:asciiTheme="minorHAnsi" w:eastAsiaTheme="minorEastAsia" w:hAnsiTheme="minorHAnsi" w:cstheme="minorHAnsi"/>
          <w:b/>
          <w:sz w:val="28"/>
          <w:szCs w:val="28"/>
        </w:rPr>
      </w:pPr>
      <w:r>
        <w:rPr>
          <w:lang w:val="en"/>
        </w:rPr>
        <w:t xml:space="preserve">Pugh, G., </w:t>
      </w:r>
      <w:proofErr w:type="spellStart"/>
      <w:r>
        <w:rPr>
          <w:lang w:val="en"/>
        </w:rPr>
        <w:t>Mangan</w:t>
      </w:r>
      <w:proofErr w:type="spellEnd"/>
      <w:r>
        <w:rPr>
          <w:lang w:val="en"/>
        </w:rPr>
        <w:t xml:space="preserve">, J., Blackburn, V. and </w:t>
      </w:r>
      <w:proofErr w:type="spellStart"/>
      <w:r>
        <w:rPr>
          <w:lang w:val="en"/>
        </w:rPr>
        <w:t>Radicic</w:t>
      </w:r>
      <w:proofErr w:type="spellEnd"/>
      <w:r>
        <w:rPr>
          <w:lang w:val="en"/>
        </w:rPr>
        <w:t xml:space="preserve">, D. (2015), School expenditure and school performance: evidence from New South Wales schools using a dynamic panel analysis. </w:t>
      </w:r>
      <w:r w:rsidRPr="00B20424">
        <w:rPr>
          <w:i/>
          <w:lang w:val="en"/>
        </w:rPr>
        <w:t>British Educational Research Journal</w:t>
      </w:r>
      <w:r>
        <w:rPr>
          <w:lang w:val="en"/>
        </w:rPr>
        <w:t xml:space="preserve">, 41: 244–264. </w:t>
      </w:r>
      <w:proofErr w:type="spellStart"/>
      <w:proofErr w:type="gramStart"/>
      <w:r>
        <w:rPr>
          <w:lang w:val="en"/>
        </w:rPr>
        <w:t>doi</w:t>
      </w:r>
      <w:proofErr w:type="spellEnd"/>
      <w:proofErr w:type="gramEnd"/>
      <w:r>
        <w:rPr>
          <w:lang w:val="en"/>
        </w:rPr>
        <w:t>: 10.1002/berj.3146</w:t>
      </w:r>
      <w:r w:rsidR="00B20424">
        <w:rPr>
          <w:lang w:val="en"/>
        </w:rPr>
        <w:t xml:space="preserve"> </w:t>
      </w:r>
      <w:r w:rsidRPr="0069673D">
        <w:rPr>
          <w:rFonts w:asciiTheme="minorHAnsi" w:eastAsiaTheme="minorEastAsia" w:hAnsiTheme="minorHAnsi" w:cstheme="minorHAnsi"/>
          <w:b/>
          <w:sz w:val="28"/>
          <w:szCs w:val="28"/>
        </w:rPr>
        <w:t xml:space="preserve"> </w:t>
      </w:r>
      <w:r w:rsidR="0069673D" w:rsidRPr="0069673D">
        <w:rPr>
          <w:rFonts w:asciiTheme="minorHAnsi" w:eastAsiaTheme="minorEastAsia" w:hAnsiTheme="minorHAnsi" w:cstheme="minorHAnsi"/>
          <w:b/>
          <w:sz w:val="28"/>
          <w:szCs w:val="28"/>
        </w:rPr>
        <w:br w:type="page"/>
      </w:r>
    </w:p>
    <w:p w:rsidR="00120892" w:rsidRPr="00BF1456" w:rsidRDefault="00120892" w:rsidP="004C50CB">
      <w:pPr>
        <w:spacing w:line="480" w:lineRule="auto"/>
        <w:jc w:val="both"/>
        <w:rPr>
          <w:b/>
          <w:bCs/>
        </w:rPr>
      </w:pPr>
      <w:r w:rsidRPr="00BF1456">
        <w:rPr>
          <w:b/>
          <w:bCs/>
        </w:rPr>
        <w:lastRenderedPageBreak/>
        <w:t>Abstract</w:t>
      </w:r>
    </w:p>
    <w:p w:rsidR="00120892" w:rsidRPr="00BF1456" w:rsidRDefault="00120892" w:rsidP="004C50CB">
      <w:pPr>
        <w:spacing w:line="480" w:lineRule="auto"/>
        <w:jc w:val="both"/>
      </w:pPr>
    </w:p>
    <w:p w:rsidR="000465D1" w:rsidRPr="000465D1" w:rsidRDefault="000465D1" w:rsidP="000465D1">
      <w:pPr>
        <w:spacing w:line="480" w:lineRule="auto"/>
        <w:jc w:val="both"/>
      </w:pPr>
      <w:r w:rsidRPr="000465D1">
        <w:t xml:space="preserve">This article estimates the effects of school expenditure on school performance in </w:t>
      </w:r>
      <w:r w:rsidR="00811120" w:rsidRPr="007330B3">
        <w:t>government</w:t>
      </w:r>
      <w:r w:rsidRPr="007330B3">
        <w:t xml:space="preserve"> secondary schools in New South Wales, Australia over the period 2006-10. It</w:t>
      </w:r>
      <w:r w:rsidRPr="000465D1">
        <w:t xml:space="preserve"> uses dynamic panel analysis to exploit time series data on individual schools that only recently </w:t>
      </w:r>
      <w:r w:rsidRPr="00DA4AC7">
        <w:t xml:space="preserve">has become available. We find a significant but small effect of expenditure on relative school performance and significant dynamics in the school improvement process. In addition, our estimates support previous studies in suggesting that the size of schools is an important factor in their performance. Regarding methods for analysing school expenditure </w:t>
      </w:r>
      <w:proofErr w:type="gramStart"/>
      <w:r w:rsidRPr="00DA4AC7">
        <w:t>effects,</w:t>
      </w:r>
      <w:proofErr w:type="gramEnd"/>
      <w:r w:rsidRPr="000465D1">
        <w:t xml:space="preserve"> this article argues the relevance of a dynamic specification for the investigation of school performance and recommends a continuing research agenda using panel data and dynamic models. </w:t>
      </w:r>
    </w:p>
    <w:p w:rsidR="000465D1" w:rsidRPr="000465D1" w:rsidRDefault="000465D1" w:rsidP="000465D1">
      <w:pPr>
        <w:spacing w:line="480" w:lineRule="auto"/>
        <w:jc w:val="both"/>
      </w:pPr>
    </w:p>
    <w:p w:rsidR="000465D1" w:rsidRPr="000465D1" w:rsidRDefault="000465D1" w:rsidP="000465D1">
      <w:pPr>
        <w:spacing w:line="480" w:lineRule="auto"/>
        <w:jc w:val="both"/>
      </w:pPr>
    </w:p>
    <w:p w:rsidR="000465D1" w:rsidRPr="000465D1" w:rsidRDefault="000465D1" w:rsidP="000465D1">
      <w:pPr>
        <w:spacing w:line="480" w:lineRule="auto"/>
        <w:jc w:val="both"/>
        <w:rPr>
          <w:b/>
          <w:bCs/>
        </w:rPr>
      </w:pPr>
      <w:r w:rsidRPr="000465D1">
        <w:rPr>
          <w:b/>
        </w:rPr>
        <w:t>Key words:</w:t>
      </w:r>
    </w:p>
    <w:p w:rsidR="000465D1" w:rsidRPr="000465D1" w:rsidRDefault="000465D1" w:rsidP="000465D1">
      <w:pPr>
        <w:spacing w:line="480" w:lineRule="auto"/>
        <w:jc w:val="both"/>
        <w:rPr>
          <w:b/>
          <w:bCs/>
        </w:rPr>
      </w:pPr>
      <w:proofErr w:type="gramStart"/>
      <w:r w:rsidRPr="00DA4AC7">
        <w:t>School expenditure; school performance; panel data; dynamic models; school size.</w:t>
      </w:r>
      <w:proofErr w:type="gramEnd"/>
    </w:p>
    <w:p w:rsidR="008158E6" w:rsidRDefault="008158E6" w:rsidP="004C50CB">
      <w:pPr>
        <w:spacing w:line="480" w:lineRule="auto"/>
        <w:jc w:val="both"/>
        <w:rPr>
          <w:highlight w:val="yellow"/>
        </w:rPr>
      </w:pPr>
    </w:p>
    <w:p w:rsidR="008158E6" w:rsidRDefault="008158E6" w:rsidP="004C50CB">
      <w:pPr>
        <w:spacing w:line="480" w:lineRule="auto"/>
        <w:jc w:val="both"/>
        <w:rPr>
          <w:highlight w:val="yellow"/>
        </w:rPr>
      </w:pPr>
    </w:p>
    <w:p w:rsidR="008158E6" w:rsidRPr="008158E6" w:rsidRDefault="008158E6" w:rsidP="004C50CB">
      <w:pPr>
        <w:spacing w:line="480" w:lineRule="auto"/>
        <w:jc w:val="both"/>
        <w:rPr>
          <w:highlight w:val="yellow"/>
        </w:rPr>
      </w:pPr>
    </w:p>
    <w:p w:rsidR="00B309FB" w:rsidRPr="004C50CB" w:rsidRDefault="00B309FB" w:rsidP="004C50CB">
      <w:pPr>
        <w:pStyle w:val="Heading1"/>
        <w:numPr>
          <w:ilvl w:val="0"/>
          <w:numId w:val="0"/>
        </w:numPr>
        <w:spacing w:line="480" w:lineRule="auto"/>
        <w:jc w:val="both"/>
        <w:rPr>
          <w:rFonts w:cs="Times New Roman"/>
          <w:sz w:val="24"/>
          <w:szCs w:val="24"/>
        </w:rPr>
      </w:pPr>
      <w:bookmarkStart w:id="3" w:name="_Toc207111307"/>
      <w:bookmarkStart w:id="4" w:name="_Toc207111632"/>
    </w:p>
    <w:p w:rsidR="00120892" w:rsidRPr="00E4333E" w:rsidRDefault="00D40693" w:rsidP="00E4333E">
      <w:pPr>
        <w:pStyle w:val="Heading1"/>
      </w:pPr>
      <w:r w:rsidRPr="004C50CB">
        <w:br w:type="page"/>
      </w:r>
      <w:r w:rsidR="00120892" w:rsidRPr="00E4333E">
        <w:t>Introduction</w:t>
      </w:r>
      <w:bookmarkEnd w:id="3"/>
      <w:bookmarkEnd w:id="4"/>
    </w:p>
    <w:p w:rsidR="00E4333E" w:rsidRDefault="00E4333E" w:rsidP="00B741D4">
      <w:pPr>
        <w:spacing w:line="480" w:lineRule="auto"/>
        <w:jc w:val="both"/>
      </w:pPr>
    </w:p>
    <w:p w:rsidR="001628A3" w:rsidRDefault="001628A3" w:rsidP="00B741D4">
      <w:pPr>
        <w:spacing w:line="480" w:lineRule="auto"/>
        <w:jc w:val="both"/>
      </w:pPr>
      <w:r>
        <w:t xml:space="preserve">Given the large investment by governments in schooling, </w:t>
      </w:r>
      <w:r w:rsidR="00AF4A71">
        <w:t xml:space="preserve">the effects of education on diverse areas such as equity and </w:t>
      </w:r>
      <w:r>
        <w:t xml:space="preserve">the increasing </w:t>
      </w:r>
      <w:r w:rsidR="00FB4588">
        <w:t>desire</w:t>
      </w:r>
      <w:r>
        <w:t xml:space="preserve"> of governments for ‘value for money’</w:t>
      </w:r>
      <w:r w:rsidR="00AF4A71">
        <w:t xml:space="preserve">, </w:t>
      </w:r>
      <w:r>
        <w:t>the effect on school performance of school</w:t>
      </w:r>
      <w:r w:rsidR="00AF4A71">
        <w:t xml:space="preserve"> </w:t>
      </w:r>
      <w:r w:rsidR="00AF4A71" w:rsidRPr="002F77F9">
        <w:t xml:space="preserve">expenditure is of continuing concern. </w:t>
      </w:r>
      <w:r w:rsidR="00EE393F">
        <w:t xml:space="preserve">This includes </w:t>
      </w:r>
      <w:r w:rsidR="00EE393F" w:rsidRPr="00B741D4">
        <w:t>Australia</w:t>
      </w:r>
      <w:r w:rsidR="00EE393F" w:rsidRPr="002F77F9">
        <w:t xml:space="preserve"> </w:t>
      </w:r>
      <w:r w:rsidR="00EE393F">
        <w:t>where</w:t>
      </w:r>
      <w:r w:rsidR="00F12930" w:rsidRPr="002F77F9">
        <w:t xml:space="preserve"> o</w:t>
      </w:r>
      <w:r w:rsidR="00DB685A" w:rsidRPr="002F77F9">
        <w:t>ver the</w:t>
      </w:r>
      <w:r w:rsidR="00DB685A" w:rsidRPr="00B741D4">
        <w:t xml:space="preserve"> last decade increasing attention has been paid to the performance and public accountability of Commonwealth and State government funds devoted to school education</w:t>
      </w:r>
      <w:r w:rsidR="00EE393F">
        <w:t>.</w:t>
      </w:r>
      <w:r w:rsidR="00DB685A" w:rsidRPr="00B741D4">
        <w:t xml:space="preserve"> </w:t>
      </w:r>
    </w:p>
    <w:p w:rsidR="001628A3" w:rsidRDefault="001628A3" w:rsidP="00B741D4">
      <w:pPr>
        <w:spacing w:line="480" w:lineRule="auto"/>
        <w:jc w:val="both"/>
      </w:pPr>
    </w:p>
    <w:p w:rsidR="00700558" w:rsidRDefault="00B741D4" w:rsidP="00B741D4">
      <w:pPr>
        <w:spacing w:line="480" w:lineRule="auto"/>
        <w:jc w:val="both"/>
      </w:pPr>
      <w:r w:rsidRPr="00B741D4">
        <w:t xml:space="preserve">The implementation of the </w:t>
      </w:r>
      <w:proofErr w:type="spellStart"/>
      <w:r w:rsidRPr="00B741D4">
        <w:t>Karmel</w:t>
      </w:r>
      <w:proofErr w:type="spellEnd"/>
      <w:r w:rsidRPr="00B741D4">
        <w:t xml:space="preserve"> Committee recommendations by the Australian Commonwealth government in 1973 to fund both government and non-government schools on a needs basis was a watershed moment in Australian School Finance policy development. Constitutionally in Australia government school education is a State government responsibility. Initial studies of the budgetary effects of such Commonwealth school education funding initiatives concentrated on the Federal Fiscal dimensions of Australian Intergovernmental Relations (</w:t>
      </w:r>
      <w:r w:rsidR="009E09F2">
        <w:t>Blackburn</w:t>
      </w:r>
      <w:r w:rsidRPr="00B741D4">
        <w:t xml:space="preserve">, 1983; </w:t>
      </w:r>
      <w:proofErr w:type="spellStart"/>
      <w:r w:rsidRPr="00B741D4">
        <w:t>Hinz</w:t>
      </w:r>
      <w:proofErr w:type="spellEnd"/>
      <w:r w:rsidRPr="00B741D4">
        <w:t xml:space="preserve">, 2010). In </w:t>
      </w:r>
      <w:r w:rsidR="00870D78" w:rsidRPr="00B741D4">
        <w:t>2010</w:t>
      </w:r>
      <w:r w:rsidR="00AF4A71">
        <w:t xml:space="preserve">, </w:t>
      </w:r>
      <w:r w:rsidRPr="00B741D4">
        <w:t xml:space="preserve">two-thirds of all children </w:t>
      </w:r>
      <w:r w:rsidR="00870D78">
        <w:t>in Australia</w:t>
      </w:r>
      <w:r w:rsidR="00870D78" w:rsidRPr="00B741D4">
        <w:t xml:space="preserve"> </w:t>
      </w:r>
      <w:r w:rsidRPr="00B741D4">
        <w:t xml:space="preserve">went to </w:t>
      </w:r>
      <w:r w:rsidR="00FB4588">
        <w:t>government</w:t>
      </w:r>
      <w:r w:rsidR="00FB4588" w:rsidRPr="00B741D4">
        <w:t xml:space="preserve"> </w:t>
      </w:r>
      <w:r w:rsidRPr="00B741D4">
        <w:t xml:space="preserve">schools and the combined Commonwealth and State funding for </w:t>
      </w:r>
      <w:r w:rsidR="00FB4588">
        <w:t>government</w:t>
      </w:r>
      <w:r w:rsidR="00FB4588" w:rsidRPr="00B741D4">
        <w:t xml:space="preserve"> </w:t>
      </w:r>
      <w:r w:rsidRPr="00B741D4">
        <w:t xml:space="preserve">schools was $26.3 billion and for </w:t>
      </w:r>
      <w:r w:rsidR="00AC418D" w:rsidRPr="00EB0B86">
        <w:t xml:space="preserve">independent </w:t>
      </w:r>
      <w:r w:rsidRPr="00EB0B86">
        <w:t>schools was $2.1 billion (</w:t>
      </w:r>
      <w:proofErr w:type="spellStart"/>
      <w:r w:rsidRPr="00EB0B86">
        <w:t>Hinz</w:t>
      </w:r>
      <w:proofErr w:type="spellEnd"/>
      <w:r w:rsidRPr="00EB0B86">
        <w:t>, 2010).</w:t>
      </w:r>
      <w:r w:rsidRPr="00B741D4">
        <w:t xml:space="preserve">  </w:t>
      </w:r>
    </w:p>
    <w:p w:rsidR="008220F2" w:rsidRDefault="008220F2" w:rsidP="00B741D4">
      <w:pPr>
        <w:spacing w:line="480" w:lineRule="auto"/>
        <w:jc w:val="both"/>
      </w:pPr>
    </w:p>
    <w:p w:rsidR="00B741D4" w:rsidRPr="00B741D4" w:rsidRDefault="00EE393F" w:rsidP="009E09F2">
      <w:pPr>
        <w:tabs>
          <w:tab w:val="left" w:pos="8222"/>
        </w:tabs>
        <w:spacing w:line="480" w:lineRule="auto"/>
        <w:jc w:val="both"/>
      </w:pPr>
      <w:r>
        <w:t>T</w:t>
      </w:r>
      <w:r w:rsidR="00700558" w:rsidRPr="00B741D4">
        <w:t xml:space="preserve">he need for school efficiency and performance studies </w:t>
      </w:r>
      <w:r>
        <w:t>in Australia</w:t>
      </w:r>
      <w:r w:rsidRPr="00B741D4">
        <w:t xml:space="preserve"> </w:t>
      </w:r>
      <w:r w:rsidR="00700558" w:rsidRPr="00B741D4">
        <w:t xml:space="preserve">as measured by the academic performance of students vis-à-vis the money spent, while considering socio-demographic variables outside the control of the schools, has been recognized since 2008. Indeed, since the introduction by the Commonwealth Government of the “My School” website in 2008, which reports student test scores and financial variables for each school, it has become more important to measure the overall performance of each school and report the cost efficiency index for public school funding policy. The recent </w:t>
      </w:r>
      <w:proofErr w:type="spellStart"/>
      <w:r w:rsidR="00700558" w:rsidRPr="00B741D4">
        <w:t>Gonski</w:t>
      </w:r>
      <w:proofErr w:type="spellEnd"/>
      <w:r w:rsidR="00700558" w:rsidRPr="00B741D4">
        <w:t xml:space="preserve"> Inquiry report</w:t>
      </w:r>
      <w:r w:rsidR="00870D78">
        <w:t xml:space="preserve"> (2011) </w:t>
      </w:r>
      <w:r w:rsidR="00700558" w:rsidRPr="00B741D4">
        <w:t xml:space="preserve">into the funding of Australian Schools has increased the demand for well-constructed school efficiency and performance studies.  However, </w:t>
      </w:r>
      <w:r w:rsidR="004D4706">
        <w:t>there is a lack of studies that examine</w:t>
      </w:r>
      <w:r w:rsidR="00700558" w:rsidRPr="00B741D4">
        <w:t xml:space="preserve"> the effects of school and non-school inputs such as financial resources, teacher characteristics, family socio-economic status, and student composition </w:t>
      </w:r>
      <w:r w:rsidR="00700558" w:rsidRPr="00BF1456">
        <w:t xml:space="preserve">on student outcomes in the context of Australian schools.  </w:t>
      </w:r>
      <w:r w:rsidR="00304CA6" w:rsidRPr="00BF1456">
        <w:t xml:space="preserve">The focus of this paper is on the analysis of </w:t>
      </w:r>
      <w:r w:rsidR="009340C1" w:rsidRPr="00BF1456">
        <w:t xml:space="preserve">the relative performance of </w:t>
      </w:r>
      <w:r w:rsidR="00304CA6" w:rsidRPr="00BF1456">
        <w:t>New South Wales (NSW) secondary school</w:t>
      </w:r>
      <w:r w:rsidR="009340C1" w:rsidRPr="00BF1456">
        <w:t>s</w:t>
      </w:r>
      <w:r w:rsidR="00304CA6" w:rsidRPr="00BF1456">
        <w:t xml:space="preserve">, where performance is measured by schools’ median Year 12 University entrance </w:t>
      </w:r>
      <w:r w:rsidR="00304CA6" w:rsidRPr="00BF1456">
        <w:rPr>
          <w:lang w:eastAsia="zh-CN"/>
        </w:rPr>
        <w:t xml:space="preserve">Australian Tertiary Admission Rank </w:t>
      </w:r>
      <w:r w:rsidR="00304CA6" w:rsidRPr="00BF1456">
        <w:t xml:space="preserve">(ATAR) scores, utilizing dynamic panel econometric methods similar to </w:t>
      </w:r>
      <w:r w:rsidR="00B3503F" w:rsidRPr="00BF1456">
        <w:t xml:space="preserve">a </w:t>
      </w:r>
      <w:r w:rsidR="00304CA6" w:rsidRPr="00BF1456">
        <w:t xml:space="preserve">recent </w:t>
      </w:r>
      <w:r w:rsidR="00B3503F" w:rsidRPr="00BF1456">
        <w:t>study</w:t>
      </w:r>
      <w:r w:rsidR="00304CA6" w:rsidRPr="00BF1456">
        <w:t xml:space="preserve"> on English secondary schools (</w:t>
      </w:r>
      <w:r w:rsidR="009E09F2">
        <w:t xml:space="preserve">Pugh </w:t>
      </w:r>
      <w:r w:rsidR="009E09F2" w:rsidRPr="009E09F2">
        <w:rPr>
          <w:i/>
        </w:rPr>
        <w:t>et al.</w:t>
      </w:r>
      <w:r w:rsidR="009E09F2">
        <w:t xml:space="preserve"> </w:t>
      </w:r>
      <w:r w:rsidR="00304CA6" w:rsidRPr="00811120">
        <w:t>2011).</w:t>
      </w:r>
      <w:r w:rsidR="00227E15" w:rsidRPr="00811120">
        <w:t xml:space="preserve"> This article further contributes to establishing the case for investigating school performance by using panel data and a modelling strategy that allows for the influence of past performance on current performance.</w:t>
      </w:r>
    </w:p>
    <w:p w:rsidR="00B741D4" w:rsidRPr="00B741D4" w:rsidRDefault="00B741D4" w:rsidP="00B741D4">
      <w:pPr>
        <w:spacing w:line="480" w:lineRule="auto"/>
        <w:jc w:val="both"/>
      </w:pPr>
    </w:p>
    <w:p w:rsidR="006814DC" w:rsidRDefault="006814DC" w:rsidP="006814DC">
      <w:pPr>
        <w:spacing w:line="480" w:lineRule="auto"/>
        <w:jc w:val="both"/>
      </w:pPr>
      <w:r w:rsidRPr="00B741D4">
        <w:t xml:space="preserve">This paper seeks to address some of the requirements for the future research directions into school performance assessment outlined in the </w:t>
      </w:r>
      <w:proofErr w:type="spellStart"/>
      <w:r w:rsidRPr="00B741D4">
        <w:t>Gonski</w:t>
      </w:r>
      <w:proofErr w:type="spellEnd"/>
      <w:r w:rsidRPr="00B741D4">
        <w:t xml:space="preserve"> report. </w:t>
      </w:r>
      <w:r w:rsidRPr="00C40FF4">
        <w:t xml:space="preserve">The </w:t>
      </w:r>
      <w:r>
        <w:t>aim</w:t>
      </w:r>
      <w:r w:rsidRPr="00C40FF4">
        <w:t xml:space="preserve"> of our study </w:t>
      </w:r>
      <w:r>
        <w:t>is</w:t>
      </w:r>
      <w:r w:rsidRPr="00C40FF4">
        <w:t xml:space="preserve"> to identify the factors </w:t>
      </w:r>
      <w:r>
        <w:t>that</w:t>
      </w:r>
      <w:r w:rsidRPr="00C40FF4">
        <w:t xml:space="preserve"> account for performance differentials among schools</w:t>
      </w:r>
      <w:r>
        <w:t xml:space="preserve">, in particular the role of expenditure and dynamic effects, which have not been taken account </w:t>
      </w:r>
      <w:r w:rsidRPr="00811120">
        <w:t xml:space="preserve">of fully in previous Australian studies. The policy context of this study is set by reforms currently initiating a movement away from centrally determined school spending towards decentralised, school-level spending decisions. This study is an evaluation of the effectiveness of school spending over the period 2006-10, hence under the outgoing (centralised) system. In turn, this study will provide benchmark estimates for future evaluations of the effectiveness of school spending under the incoming (decentralised) system. Accordingly, the results reported below are more informative for policy makers who determine per pupil spending than for school managers who operate within budgetary constraints set by policy makers. </w:t>
      </w:r>
    </w:p>
    <w:p w:rsidR="002F77F9" w:rsidRPr="002F77F9" w:rsidRDefault="002F77F9" w:rsidP="002F77F9">
      <w:pPr>
        <w:spacing w:line="480" w:lineRule="auto"/>
        <w:jc w:val="both"/>
      </w:pPr>
    </w:p>
    <w:p w:rsidR="00800E3F" w:rsidRDefault="00B741D4" w:rsidP="003750BB">
      <w:pPr>
        <w:spacing w:line="480" w:lineRule="auto"/>
        <w:jc w:val="both"/>
      </w:pPr>
      <w:r w:rsidRPr="00B741D4">
        <w:t xml:space="preserve">In the next section we examine the characteristics of the </w:t>
      </w:r>
      <w:r w:rsidR="00B3503F">
        <w:t>NSW secondary s</w:t>
      </w:r>
      <w:r w:rsidRPr="00B741D4">
        <w:t>chool system</w:t>
      </w:r>
      <w:r w:rsidR="00BA010B">
        <w:t xml:space="preserve"> to provide </w:t>
      </w:r>
      <w:r w:rsidR="00800E3F">
        <w:t>the</w:t>
      </w:r>
      <w:r w:rsidR="00BA010B">
        <w:t xml:space="preserve"> setting </w:t>
      </w:r>
      <w:r w:rsidR="00800E3F">
        <w:t xml:space="preserve">of our study </w:t>
      </w:r>
      <w:r w:rsidR="00BA010B">
        <w:t xml:space="preserve">and as a background to developing </w:t>
      </w:r>
      <w:r w:rsidR="00800E3F">
        <w:t>our</w:t>
      </w:r>
      <w:r w:rsidR="00BA010B">
        <w:t xml:space="preserve"> model</w:t>
      </w:r>
      <w:r w:rsidR="003750BB">
        <w:t>. Section 3</w:t>
      </w:r>
      <w:r w:rsidRPr="00B741D4">
        <w:t xml:space="preserve"> </w:t>
      </w:r>
      <w:r w:rsidR="003750BB" w:rsidRPr="004C50CB">
        <w:t>discuss</w:t>
      </w:r>
      <w:r w:rsidR="003750BB">
        <w:t>es</w:t>
      </w:r>
      <w:r w:rsidR="003750BB" w:rsidRPr="004C50CB">
        <w:t xml:space="preserve"> the existing literature</w:t>
      </w:r>
      <w:r w:rsidR="003750BB">
        <w:t xml:space="preserve"> on school expenditure/resources and performance</w:t>
      </w:r>
      <w:r w:rsidR="00CC5464">
        <w:t xml:space="preserve"> including</w:t>
      </w:r>
      <w:r w:rsidR="00CC5464" w:rsidRPr="00B741D4">
        <w:t xml:space="preserve"> </w:t>
      </w:r>
      <w:r w:rsidRPr="00B741D4">
        <w:t>a brief</w:t>
      </w:r>
      <w:r w:rsidRPr="00B741D4">
        <w:rPr>
          <w:rFonts w:hint="eastAsia"/>
        </w:rPr>
        <w:t xml:space="preserve"> s</w:t>
      </w:r>
      <w:r w:rsidRPr="00B741D4">
        <w:t xml:space="preserve">urvey of previous efficiency and performance studies </w:t>
      </w:r>
      <w:r w:rsidR="009652EB">
        <w:t>using</w:t>
      </w:r>
      <w:r w:rsidRPr="00B741D4">
        <w:t xml:space="preserve"> Australian </w:t>
      </w:r>
      <w:r w:rsidR="009652EB">
        <w:t>data</w:t>
      </w:r>
      <w:r w:rsidRPr="00B741D4">
        <w:t>.</w:t>
      </w:r>
      <w:r w:rsidR="003750BB">
        <w:t xml:space="preserve"> </w:t>
      </w:r>
      <w:r w:rsidR="003750BB" w:rsidRPr="004C50CB">
        <w:t xml:space="preserve">Section </w:t>
      </w:r>
      <w:r w:rsidR="003750BB">
        <w:t>4</w:t>
      </w:r>
      <w:r w:rsidR="003750BB" w:rsidRPr="004C50CB">
        <w:t xml:space="preserve"> </w:t>
      </w:r>
      <w:r w:rsidR="009E60E9">
        <w:t>considers</w:t>
      </w:r>
      <w:r w:rsidR="009E60E9" w:rsidRPr="004C50CB">
        <w:t xml:space="preserve"> </w:t>
      </w:r>
      <w:r w:rsidR="003750BB" w:rsidRPr="004C50CB">
        <w:t>the data, methodology and model</w:t>
      </w:r>
      <w:r w:rsidR="00C102BD">
        <w:t>;</w:t>
      </w:r>
      <w:r w:rsidR="009E60E9">
        <w:t xml:space="preserve"> </w:t>
      </w:r>
      <w:r w:rsidR="0031464C">
        <w:t xml:space="preserve">and </w:t>
      </w:r>
      <w:r w:rsidR="003750BB" w:rsidRPr="004C50CB">
        <w:t xml:space="preserve">Section </w:t>
      </w:r>
      <w:r w:rsidR="003750BB">
        <w:t xml:space="preserve">5 </w:t>
      </w:r>
      <w:r w:rsidR="003750BB" w:rsidRPr="004C50CB">
        <w:t>discuss</w:t>
      </w:r>
      <w:r w:rsidR="00E6419D">
        <w:t>es</w:t>
      </w:r>
      <w:r w:rsidR="003750BB" w:rsidRPr="004C50CB">
        <w:t xml:space="preserve"> </w:t>
      </w:r>
      <w:r w:rsidR="009E60E9">
        <w:t>estimate</w:t>
      </w:r>
      <w:r w:rsidR="009652EB">
        <w:t>s</w:t>
      </w:r>
      <w:r w:rsidR="003750BB" w:rsidRPr="004C50CB">
        <w:t xml:space="preserve"> </w:t>
      </w:r>
      <w:r w:rsidR="009652EB">
        <w:t xml:space="preserve">of the </w:t>
      </w:r>
      <w:r w:rsidR="003750BB" w:rsidRPr="004C50CB">
        <w:t>determinants of school performance</w:t>
      </w:r>
      <w:r w:rsidR="001D1982">
        <w:t>, including expenditure effects for sub-groups of schools</w:t>
      </w:r>
      <w:r w:rsidR="00AF5A94">
        <w:t xml:space="preserve">. Section </w:t>
      </w:r>
      <w:r w:rsidR="0031464C">
        <w:t>6</w:t>
      </w:r>
      <w:r w:rsidR="0031464C" w:rsidRPr="00AF5A94">
        <w:t xml:space="preserve"> </w:t>
      </w:r>
      <w:r w:rsidR="003750BB" w:rsidRPr="004C50CB">
        <w:t>concludes</w:t>
      </w:r>
      <w:r w:rsidR="00CD79BC">
        <w:t xml:space="preserve"> and</w:t>
      </w:r>
      <w:r w:rsidR="002668A8">
        <w:t xml:space="preserve"> considers policy implications</w:t>
      </w:r>
      <w:r w:rsidR="00CD79BC">
        <w:t>.</w:t>
      </w:r>
      <w:r w:rsidR="002668A8">
        <w:t xml:space="preserve"> </w:t>
      </w:r>
    </w:p>
    <w:p w:rsidR="00E4333E" w:rsidRPr="00E4333E" w:rsidRDefault="0005056B" w:rsidP="00E4333E">
      <w:pPr>
        <w:pStyle w:val="Heading1"/>
      </w:pPr>
      <w:r>
        <w:t xml:space="preserve"> </w:t>
      </w:r>
      <w:r w:rsidR="00E4333E" w:rsidRPr="00E4333E">
        <w:t xml:space="preserve">The New South Wales secondary school system </w:t>
      </w:r>
    </w:p>
    <w:p w:rsidR="00E4333E" w:rsidRPr="00E4333E" w:rsidRDefault="00E4333E" w:rsidP="00E4333E">
      <w:pPr>
        <w:spacing w:line="480" w:lineRule="auto"/>
        <w:jc w:val="both"/>
        <w:rPr>
          <w:b/>
        </w:rPr>
      </w:pPr>
    </w:p>
    <w:p w:rsidR="00E4333E" w:rsidRPr="00E4333E" w:rsidRDefault="007A578D" w:rsidP="00E4333E">
      <w:pPr>
        <w:spacing w:line="480" w:lineRule="auto"/>
        <w:jc w:val="both"/>
      </w:pPr>
      <w:r w:rsidRPr="003D5A7A">
        <w:t>NSW</w:t>
      </w:r>
      <w:r w:rsidR="00E4333E" w:rsidRPr="003D5A7A">
        <w:t xml:space="preserve"> operates a centralized system of funding to government schools</w:t>
      </w:r>
      <w:r w:rsidR="00521753" w:rsidRPr="003D5A7A">
        <w:t>, which are the subject of this study</w:t>
      </w:r>
      <w:r w:rsidR="00E4333E" w:rsidRPr="003D5A7A">
        <w:t>. Approximately 82.5% of school recurrent resources are through</w:t>
      </w:r>
      <w:r w:rsidR="00E4333E" w:rsidRPr="00E4333E">
        <w:t xml:space="preserve"> NSW state allocations. Commonwealth government allocations make up 13%, this amount having grown since 2009 through increased Federal funding under the Building the Education Revolution and National Partnership programs (Keating </w:t>
      </w:r>
      <w:r w:rsidR="00E4333E" w:rsidRPr="000D7095">
        <w:rPr>
          <w:i/>
        </w:rPr>
        <w:t>et</w:t>
      </w:r>
      <w:r w:rsidR="009652EB" w:rsidRPr="000D7095">
        <w:rPr>
          <w:i/>
        </w:rPr>
        <w:t xml:space="preserve"> </w:t>
      </w:r>
      <w:r w:rsidR="00E4333E" w:rsidRPr="000D7095">
        <w:rPr>
          <w:i/>
        </w:rPr>
        <w:t>al</w:t>
      </w:r>
      <w:r w:rsidR="00E4333E" w:rsidRPr="00E4333E">
        <w:t xml:space="preserve">., 2011). School derived revenue makes up about 5% of </w:t>
      </w:r>
      <w:r w:rsidR="009E60E9">
        <w:t>s</w:t>
      </w:r>
      <w:r w:rsidR="009E60E9" w:rsidRPr="00E4333E">
        <w:t xml:space="preserve">chool </w:t>
      </w:r>
      <w:r w:rsidR="00E4333E" w:rsidRPr="00E4333E">
        <w:t xml:space="preserve">funding. </w:t>
      </w:r>
      <w:r w:rsidR="00521753" w:rsidRPr="003D5A7A">
        <w:t>Most schools in the government sector in NSW are non-selective, but a small proportion select on performance in an examination at the end of primary school (year 6).</w:t>
      </w:r>
    </w:p>
    <w:p w:rsidR="006D5A33" w:rsidRDefault="006D5A33" w:rsidP="00E4333E">
      <w:pPr>
        <w:spacing w:line="480" w:lineRule="auto"/>
        <w:jc w:val="both"/>
      </w:pPr>
    </w:p>
    <w:p w:rsidR="00E4333E" w:rsidRPr="00E4333E" w:rsidRDefault="00E4333E" w:rsidP="00E4333E">
      <w:pPr>
        <w:spacing w:line="480" w:lineRule="auto"/>
        <w:jc w:val="both"/>
      </w:pPr>
      <w:r w:rsidRPr="00E4333E">
        <w:t xml:space="preserve">The expenditure that is incurred at the school level from these State and Commonwealth allocations is met </w:t>
      </w:r>
      <w:r w:rsidR="006D5A33">
        <w:t xml:space="preserve">at the present time </w:t>
      </w:r>
      <w:r w:rsidRPr="00E4333E">
        <w:t xml:space="preserve">through two basic methods: (1) </w:t>
      </w:r>
      <w:r w:rsidR="00CC5464">
        <w:t>c</w:t>
      </w:r>
      <w:r w:rsidR="00CC5464" w:rsidRPr="00E4333E">
        <w:t xml:space="preserve">entral </w:t>
      </w:r>
      <w:r w:rsidRPr="00E4333E">
        <w:t xml:space="preserve">allocations of resources (including staff) and funds that schools can utilize; and (2) direct central payments of </w:t>
      </w:r>
      <w:r w:rsidR="006D5A33" w:rsidRPr="00E4333E">
        <w:t>school</w:t>
      </w:r>
      <w:r w:rsidR="006D5A33">
        <w:t>-</w:t>
      </w:r>
      <w:r w:rsidRPr="00E4333E">
        <w:t>based costs. This is provided through two core mechanisms, centralized staffing allocations and via grants</w:t>
      </w:r>
      <w:r w:rsidR="00DE5CEA">
        <w:t>,</w:t>
      </w:r>
      <w:r w:rsidRPr="00E4333E">
        <w:t xml:space="preserve"> which are either ‘tied’ or ‘untied’. </w:t>
      </w:r>
      <w:r w:rsidR="006D5A33">
        <w:t xml:space="preserve"> </w:t>
      </w:r>
      <w:r w:rsidRPr="00E4333E">
        <w:t>All staff positions are allocated centrally upon the basis of formulae, with some capacity for variation based on negotiations between the school and Department of Education and Communities personnel. Schools may seek additional staff if they have a budget surplus. Staffing constitutes about 81% of the operational costs of a school</w:t>
      </w:r>
      <w:r w:rsidR="006D5A33" w:rsidRPr="00304CA6">
        <w:t xml:space="preserve">, </w:t>
      </w:r>
      <w:r w:rsidR="00EE7A00" w:rsidRPr="00304CA6">
        <w:t>and the</w:t>
      </w:r>
      <w:r w:rsidR="006D5A33" w:rsidRPr="00304CA6">
        <w:t xml:space="preserve"> </w:t>
      </w:r>
      <w:r w:rsidRPr="00304CA6">
        <w:t xml:space="preserve">effective budget allocations using the same formula across schools will vary due to the different </w:t>
      </w:r>
      <w:r w:rsidRPr="00D9758E">
        <w:t xml:space="preserve">salary </w:t>
      </w:r>
      <w:r w:rsidR="00800E3F" w:rsidRPr="00D9758E">
        <w:t>s</w:t>
      </w:r>
      <w:r w:rsidRPr="00D9758E">
        <w:t xml:space="preserve">teps of teachers. Low </w:t>
      </w:r>
      <w:r w:rsidR="0002528F" w:rsidRPr="00D9758E">
        <w:t>socio-economic status (</w:t>
      </w:r>
      <w:r w:rsidRPr="00D9758E">
        <w:t>SES</w:t>
      </w:r>
      <w:r w:rsidR="0002528F" w:rsidRPr="00D9758E">
        <w:t xml:space="preserve">) </w:t>
      </w:r>
      <w:r w:rsidRPr="00D9758E">
        <w:t>schools also receive</w:t>
      </w:r>
      <w:r w:rsidRPr="00E4333E">
        <w:t xml:space="preserve"> allocations under the Priority School Funding Scheme. Global funding allocations are calculated annually for each school at the beginning of each school year and at the commencement of Semester 2 and are intended to help schools meet operational costs.</w:t>
      </w:r>
    </w:p>
    <w:p w:rsidR="00800E3F" w:rsidRDefault="00800E3F" w:rsidP="00E4333E">
      <w:pPr>
        <w:spacing w:line="480" w:lineRule="auto"/>
        <w:jc w:val="both"/>
      </w:pPr>
    </w:p>
    <w:p w:rsidR="009652EB" w:rsidRDefault="00E4333E" w:rsidP="00D26B0A">
      <w:pPr>
        <w:spacing w:line="480" w:lineRule="auto"/>
        <w:jc w:val="both"/>
      </w:pPr>
      <w:r w:rsidRPr="00E4333E">
        <w:t>Special factor loadings are additional entitlements to compensate schools affected by specific circumstances such as urgent minor maintenance and geographical isolation</w:t>
      </w:r>
      <w:r w:rsidR="006D5A33">
        <w:t>, an important factor in the Australian environment</w:t>
      </w:r>
      <w:r w:rsidRPr="00E4333E">
        <w:t xml:space="preserve">. A Global Funding enhancement element also operates to take account of rural location and socio-economic considerations.  Beyond the above allocations a range of services and grants are delivered by central and regional staff including school cleaning and maintenance and professional development programs. Additional </w:t>
      </w:r>
      <w:r w:rsidR="009E60E9">
        <w:t>e</w:t>
      </w:r>
      <w:r w:rsidR="009E60E9" w:rsidRPr="00E4333E">
        <w:t xml:space="preserve">quity </w:t>
      </w:r>
      <w:r w:rsidRPr="00E4333E">
        <w:t>and needs allocations are also delivered to schools mainly through the staffing formulae.</w:t>
      </w:r>
      <w:r w:rsidRPr="00E4333E">
        <w:rPr>
          <w:vertAlign w:val="superscript"/>
        </w:rPr>
        <w:footnoteReference w:id="1"/>
      </w:r>
      <w:r w:rsidRPr="00E4333E">
        <w:t xml:space="preserve"> </w:t>
      </w:r>
      <w:bookmarkStart w:id="5" w:name="_Toc207111308"/>
      <w:bookmarkStart w:id="6" w:name="_Toc207111633"/>
    </w:p>
    <w:p w:rsidR="00120892" w:rsidRPr="00ED1649" w:rsidRDefault="00E02CFE" w:rsidP="00D26B0A">
      <w:pPr>
        <w:pStyle w:val="Heading1"/>
      </w:pPr>
      <w:r w:rsidRPr="00ED1649">
        <w:t>R</w:t>
      </w:r>
      <w:r w:rsidR="00120892" w:rsidRPr="00ED1649">
        <w:t xml:space="preserve">ecent </w:t>
      </w:r>
      <w:bookmarkEnd w:id="5"/>
      <w:bookmarkEnd w:id="6"/>
      <w:r w:rsidR="00120892" w:rsidRPr="00ED1649">
        <w:t>literature</w:t>
      </w:r>
    </w:p>
    <w:p w:rsidR="00B04230" w:rsidRPr="00B04230" w:rsidRDefault="00B04230" w:rsidP="00B04230"/>
    <w:p w:rsidR="004F6F58" w:rsidRDefault="00BD0737" w:rsidP="007130B7">
      <w:pPr>
        <w:spacing w:line="480" w:lineRule="auto"/>
        <w:jc w:val="both"/>
      </w:pPr>
      <w:r>
        <w:t xml:space="preserve"> </w:t>
      </w:r>
      <w:r w:rsidR="00F54F24">
        <w:t>Considering briefly the international literature, m</w:t>
      </w:r>
      <w:r w:rsidR="006D5A33">
        <w:t xml:space="preserve">uch of the early research </w:t>
      </w:r>
      <w:r w:rsidR="009652EB" w:rsidRPr="00321BAD">
        <w:t>conclude</w:t>
      </w:r>
      <w:r w:rsidR="009652EB">
        <w:t>s</w:t>
      </w:r>
      <w:r w:rsidR="009652EB" w:rsidRPr="00321BAD">
        <w:t xml:space="preserve"> </w:t>
      </w:r>
      <w:r w:rsidR="006D5A33" w:rsidRPr="00321BAD">
        <w:t xml:space="preserve">that </w:t>
      </w:r>
      <w:r w:rsidR="009652EB">
        <w:t>school expenditure</w:t>
      </w:r>
      <w:r w:rsidR="006D5A33" w:rsidRPr="00321BAD">
        <w:t xml:space="preserve"> is not closely related to student performance</w:t>
      </w:r>
      <w:r w:rsidR="006D5A33">
        <w:t xml:space="preserve"> (see for instance </w:t>
      </w:r>
      <w:proofErr w:type="spellStart"/>
      <w:r w:rsidR="00F20F6B" w:rsidRPr="00321BAD">
        <w:t>Han</w:t>
      </w:r>
      <w:r w:rsidR="00F20F6B">
        <w:t>ushek’s</w:t>
      </w:r>
      <w:proofErr w:type="spellEnd"/>
      <w:r w:rsidR="00F20F6B">
        <w:t xml:space="preserve"> </w:t>
      </w:r>
      <w:r w:rsidR="003E4B2F">
        <w:t xml:space="preserve">surveys, </w:t>
      </w:r>
      <w:r w:rsidR="00F20F6B">
        <w:t>2002</w:t>
      </w:r>
      <w:r w:rsidR="003E4B2F">
        <w:t xml:space="preserve"> and</w:t>
      </w:r>
      <w:r w:rsidR="00F20F6B">
        <w:t xml:space="preserve"> 2003)</w:t>
      </w:r>
      <w:r w:rsidR="00DB685A">
        <w:t>.</w:t>
      </w:r>
      <w:r w:rsidR="00F20F6B">
        <w:t xml:space="preserve"> </w:t>
      </w:r>
      <w:r w:rsidR="003E4B2F">
        <w:t>M</w:t>
      </w:r>
      <w:r>
        <w:t xml:space="preserve">ore recent evidence has generally </w:t>
      </w:r>
      <w:r w:rsidR="00704C24">
        <w:t>suggested</w:t>
      </w:r>
      <w:r>
        <w:t xml:space="preserve"> a small, but positive effect (see </w:t>
      </w:r>
      <w:proofErr w:type="spellStart"/>
      <w:r w:rsidR="003B1CAF">
        <w:t>Haegland</w:t>
      </w:r>
      <w:proofErr w:type="spellEnd"/>
      <w:r w:rsidR="003B1CAF">
        <w:t xml:space="preserve"> </w:t>
      </w:r>
      <w:r w:rsidR="003B1CAF" w:rsidRPr="000D7095">
        <w:rPr>
          <w:i/>
        </w:rPr>
        <w:t>et al</w:t>
      </w:r>
      <w:r w:rsidR="003B1CAF">
        <w:t>.</w:t>
      </w:r>
      <w:r w:rsidR="004A0E6C">
        <w:t xml:space="preserve">, </w:t>
      </w:r>
      <w:r w:rsidR="003B1CAF">
        <w:t>2005</w:t>
      </w:r>
      <w:r w:rsidR="004A0E6C">
        <w:t>,</w:t>
      </w:r>
      <w:r w:rsidR="003B1CAF">
        <w:t xml:space="preserve"> and </w:t>
      </w:r>
      <w:proofErr w:type="spellStart"/>
      <w:r w:rsidR="003B1CAF" w:rsidRPr="004C50CB">
        <w:t>Holmlund</w:t>
      </w:r>
      <w:proofErr w:type="spellEnd"/>
      <w:r w:rsidR="003B1CAF" w:rsidRPr="004C50CB">
        <w:t xml:space="preserve"> </w:t>
      </w:r>
      <w:r w:rsidR="003B1CAF" w:rsidRPr="000D7095">
        <w:rPr>
          <w:i/>
        </w:rPr>
        <w:t>et al</w:t>
      </w:r>
      <w:r w:rsidR="003B1CAF" w:rsidRPr="004C50CB">
        <w:t>.</w:t>
      </w:r>
      <w:r w:rsidR="004A0E6C">
        <w:t>,</w:t>
      </w:r>
      <w:r w:rsidR="003B1CAF" w:rsidRPr="004C50CB">
        <w:t xml:space="preserve"> 2008</w:t>
      </w:r>
      <w:r w:rsidR="00F441C8">
        <w:t>,</w:t>
      </w:r>
      <w:r w:rsidR="00F441C8" w:rsidRPr="004C50CB">
        <w:t xml:space="preserve"> </w:t>
      </w:r>
      <w:r w:rsidR="00F441C8">
        <w:t>for</w:t>
      </w:r>
      <w:r w:rsidR="003B1CAF">
        <w:t xml:space="preserve"> England</w:t>
      </w:r>
      <w:r w:rsidR="004A0E6C">
        <w:t>;</w:t>
      </w:r>
      <w:r w:rsidR="00F441C8">
        <w:t xml:space="preserve"> </w:t>
      </w:r>
      <w:proofErr w:type="spellStart"/>
      <w:r w:rsidR="003B1CAF">
        <w:t>Heinesen</w:t>
      </w:r>
      <w:proofErr w:type="spellEnd"/>
      <w:r w:rsidR="00A878AD" w:rsidRPr="00A878AD">
        <w:t xml:space="preserve"> </w:t>
      </w:r>
      <w:r w:rsidR="00A878AD">
        <w:t xml:space="preserve">and </w:t>
      </w:r>
      <w:proofErr w:type="spellStart"/>
      <w:r w:rsidR="00A878AD">
        <w:t>Graversen</w:t>
      </w:r>
      <w:proofErr w:type="spellEnd"/>
      <w:r w:rsidR="004A0E6C">
        <w:t>,</w:t>
      </w:r>
      <w:r w:rsidR="003B1CAF">
        <w:t xml:space="preserve"> 2005</w:t>
      </w:r>
      <w:r w:rsidR="004A0E6C">
        <w:t>,</w:t>
      </w:r>
      <w:r w:rsidR="003B1CAF">
        <w:t xml:space="preserve"> for Denmark</w:t>
      </w:r>
      <w:r w:rsidR="004A0E6C">
        <w:t>)</w:t>
      </w:r>
      <w:r w:rsidR="003B1CAF">
        <w:t xml:space="preserve">.  </w:t>
      </w:r>
      <w:r>
        <w:t>Most</w:t>
      </w:r>
      <w:r w:rsidRPr="004C50CB">
        <w:t xml:space="preserve"> recent studies have been at </w:t>
      </w:r>
      <w:r w:rsidR="001E459C">
        <w:t>student</w:t>
      </w:r>
      <w:r w:rsidRPr="004C50CB">
        <w:t xml:space="preserve"> level, using multilevel modelling with instrumental variables (IV) estimation, reflecting concerns over endogeneity.</w:t>
      </w:r>
      <w:r w:rsidR="00A31F3C">
        <w:rPr>
          <w:rStyle w:val="FootnoteReference"/>
        </w:rPr>
        <w:footnoteReference w:id="2"/>
      </w:r>
      <w:r w:rsidRPr="004C50CB">
        <w:t xml:space="preserve">  </w:t>
      </w:r>
    </w:p>
    <w:p w:rsidR="00120892" w:rsidRPr="004C50CB" w:rsidRDefault="00120892" w:rsidP="004C50CB">
      <w:pPr>
        <w:spacing w:line="480" w:lineRule="auto"/>
        <w:jc w:val="both"/>
      </w:pPr>
    </w:p>
    <w:p w:rsidR="00120892" w:rsidRPr="004C50CB" w:rsidRDefault="00120892" w:rsidP="001A70DE">
      <w:pPr>
        <w:spacing w:line="480" w:lineRule="auto"/>
        <w:jc w:val="both"/>
      </w:pPr>
      <w:r w:rsidRPr="004C50CB">
        <w:t>Most previous studies of education production functions have not incorporated dynamic elements that capture persistence.</w:t>
      </w:r>
      <w:r w:rsidR="00D9758E">
        <w:rPr>
          <w:rStyle w:val="FootnoteReference"/>
        </w:rPr>
        <w:footnoteReference w:id="3"/>
      </w:r>
      <w:r w:rsidRPr="004C50CB">
        <w:t xml:space="preserve">  An exception is </w:t>
      </w:r>
      <w:r w:rsidR="00D26B0A">
        <w:t xml:space="preserve">the </w:t>
      </w:r>
      <w:r w:rsidR="00BE64F5" w:rsidRPr="004C50CB">
        <w:t xml:space="preserve">study </w:t>
      </w:r>
      <w:r w:rsidR="00BE64F5">
        <w:t xml:space="preserve">of </w:t>
      </w:r>
      <w:r w:rsidR="00BE64F5" w:rsidRPr="004C50CB">
        <w:t>Key Stage 2</w:t>
      </w:r>
      <w:r w:rsidR="00BE64F5">
        <w:t xml:space="preserve"> </w:t>
      </w:r>
      <w:r w:rsidR="00BE64F5" w:rsidRPr="004C50CB">
        <w:t xml:space="preserve">performance </w:t>
      </w:r>
      <w:r w:rsidR="00BE64F5">
        <w:t>in</w:t>
      </w:r>
      <w:r w:rsidR="00BE64F5" w:rsidRPr="004C50CB">
        <w:t xml:space="preserve"> </w:t>
      </w:r>
      <w:r w:rsidR="00BE64F5">
        <w:t>England</w:t>
      </w:r>
      <w:r w:rsidR="00BE64F5" w:rsidRPr="004C50CB" w:rsidDel="00BE64F5">
        <w:t xml:space="preserve"> </w:t>
      </w:r>
      <w:r w:rsidR="00D26B0A">
        <w:t>using school-</w:t>
      </w:r>
      <w:r w:rsidRPr="004C50CB">
        <w:t xml:space="preserve">level data </w:t>
      </w:r>
      <w:r w:rsidR="00BE64F5">
        <w:t xml:space="preserve">by </w:t>
      </w:r>
      <w:r w:rsidR="00BE64F5" w:rsidRPr="004C50CB">
        <w:t>Gibbons (2002)</w:t>
      </w:r>
      <w:r w:rsidR="00501997">
        <w:t>, which</w:t>
      </w:r>
      <w:r w:rsidR="00BE64F5">
        <w:t xml:space="preserve"> uses a </w:t>
      </w:r>
      <w:r w:rsidR="00BE64F5" w:rsidRPr="004C50CB">
        <w:t>short</w:t>
      </w:r>
      <w:r w:rsidR="00D26B0A">
        <w:t xml:space="preserve"> </w:t>
      </w:r>
      <w:r w:rsidR="00BE64F5" w:rsidRPr="004C50CB">
        <w:t>time dimension of two years</w:t>
      </w:r>
      <w:r w:rsidR="00BE64F5">
        <w:t xml:space="preserve"> and</w:t>
      </w:r>
      <w:r w:rsidR="00BE64F5" w:rsidRPr="004C50CB">
        <w:t xml:space="preserve"> </w:t>
      </w:r>
      <w:r w:rsidRPr="004C50CB">
        <w:t xml:space="preserve">includes lagged performance as an explanatory variable to estimate the model conditional on previous performance. Since lagged performance is endogenous, </w:t>
      </w:r>
      <w:r w:rsidRPr="00BF1456">
        <w:t>the second lag is used as an instrument. A significant but small positive effect of resources on performance is estimated.</w:t>
      </w:r>
      <w:r w:rsidR="00AE5F04" w:rsidRPr="00BF1456">
        <w:t xml:space="preserve"> A more recent study b</w:t>
      </w:r>
      <w:r w:rsidR="001A70DE" w:rsidRPr="00BF1456">
        <w:t>y</w:t>
      </w:r>
      <w:r w:rsidR="00AE5F04" w:rsidRPr="00BF1456">
        <w:t xml:space="preserve"> </w:t>
      </w:r>
      <w:r w:rsidR="009E09F2">
        <w:t xml:space="preserve">Pugh </w:t>
      </w:r>
      <w:r w:rsidR="009E09F2" w:rsidRPr="009E09F2">
        <w:rPr>
          <w:i/>
        </w:rPr>
        <w:t>et al</w:t>
      </w:r>
      <w:r w:rsidR="009E09F2">
        <w:t xml:space="preserve"> </w:t>
      </w:r>
      <w:r w:rsidR="00D26B0A" w:rsidRPr="00BF1456">
        <w:t>(2011)</w:t>
      </w:r>
      <w:r w:rsidR="00AE5F04" w:rsidRPr="00BF1456">
        <w:t>, using</w:t>
      </w:r>
      <w:r w:rsidR="00AE5F04">
        <w:t xml:space="preserve"> English data</w:t>
      </w:r>
      <w:r w:rsidR="001A70DE">
        <w:t xml:space="preserve"> at Key stage 4</w:t>
      </w:r>
      <w:r w:rsidR="00AE5F04">
        <w:t xml:space="preserve">, uses a dynamic panel model </w:t>
      </w:r>
      <w:r w:rsidR="00D26B0A">
        <w:t>estimated on</w:t>
      </w:r>
      <w:r w:rsidR="00AE5F04">
        <w:t xml:space="preserve"> </w:t>
      </w:r>
      <w:r w:rsidR="001A70DE">
        <w:t>five years of data. It reports a generally significant but small effect of expenditure on school performance in the short run</w:t>
      </w:r>
      <w:r w:rsidR="00501997">
        <w:t>, with larger effects in the long run</w:t>
      </w:r>
      <w:r w:rsidR="001A70DE">
        <w:t xml:space="preserve">, but it also finds that the effect varies between specialist and non-specialist schools, with the effect on the latter being larger. </w:t>
      </w:r>
    </w:p>
    <w:p w:rsidR="00120892" w:rsidRDefault="00120892" w:rsidP="004C50CB">
      <w:pPr>
        <w:spacing w:line="480" w:lineRule="auto"/>
        <w:jc w:val="both"/>
      </w:pPr>
    </w:p>
    <w:p w:rsidR="00F54F24" w:rsidRDefault="00F54F24" w:rsidP="00F54F24">
      <w:pPr>
        <w:spacing w:line="480" w:lineRule="auto"/>
        <w:jc w:val="both"/>
      </w:pPr>
      <w:r>
        <w:t xml:space="preserve">Studies of Australian school efficiency that examine the effect of financial resourcing are limited. </w:t>
      </w:r>
      <w:proofErr w:type="spellStart"/>
      <w:r>
        <w:t>Ma</w:t>
      </w:r>
      <w:r w:rsidRPr="00B741D4">
        <w:t>nte</w:t>
      </w:r>
      <w:proofErr w:type="spellEnd"/>
      <w:r w:rsidRPr="00B741D4">
        <w:t xml:space="preserve"> and O’Brien (2002)</w:t>
      </w:r>
      <w:r>
        <w:t xml:space="preserve"> and Bradley </w:t>
      </w:r>
      <w:r w:rsidRPr="000D7095">
        <w:rPr>
          <w:i/>
        </w:rPr>
        <w:t>et al</w:t>
      </w:r>
      <w:r w:rsidRPr="00B741D4">
        <w:t xml:space="preserve">. (2004) </w:t>
      </w:r>
      <w:r w:rsidR="003F1D22">
        <w:t xml:space="preserve">conduct </w:t>
      </w:r>
      <w:r>
        <w:t xml:space="preserve">Data </w:t>
      </w:r>
      <w:r w:rsidR="00F61E36">
        <w:t xml:space="preserve">Envelopment </w:t>
      </w:r>
      <w:r>
        <w:t xml:space="preserve">Analysis </w:t>
      </w:r>
      <w:r w:rsidR="003F1D22">
        <w:t>(DEA) and include</w:t>
      </w:r>
      <w:r>
        <w:t xml:space="preserve"> measures of teacher inputs in their </w:t>
      </w:r>
      <w:r w:rsidR="003F1D22">
        <w:t>models</w:t>
      </w:r>
      <w:r>
        <w:t>.</w:t>
      </w:r>
      <w:r w:rsidRPr="00700558">
        <w:t xml:space="preserve"> </w:t>
      </w:r>
      <w:r>
        <w:t xml:space="preserve">The former assesses </w:t>
      </w:r>
      <w:r w:rsidRPr="00C40FF4">
        <w:t xml:space="preserve">the technical efficiency of 27 secondary schools </w:t>
      </w:r>
      <w:r>
        <w:t xml:space="preserve">in Victoria </w:t>
      </w:r>
      <w:r w:rsidRPr="00C40FF4">
        <w:t xml:space="preserve">in 1996. They </w:t>
      </w:r>
      <w:r w:rsidR="009652EB" w:rsidRPr="00C40FF4">
        <w:t>f</w:t>
      </w:r>
      <w:r w:rsidR="009652EB">
        <w:t>ind</w:t>
      </w:r>
      <w:r w:rsidR="009652EB" w:rsidRPr="00C40FF4">
        <w:t xml:space="preserve"> </w:t>
      </w:r>
      <w:r w:rsidRPr="00C40FF4">
        <w:t xml:space="preserve">that most of the schools were </w:t>
      </w:r>
      <w:r w:rsidR="000A3015">
        <w:t xml:space="preserve">operating at a fairly high level of efficiency, although most were </w:t>
      </w:r>
      <w:r w:rsidRPr="00C40FF4">
        <w:t>in a position to increase their outputs through a more efficient use of their available resources</w:t>
      </w:r>
      <w:r w:rsidR="000A3015">
        <w:t xml:space="preserve">, and that it was important to take into account the socioeconomic characteristics of students. </w:t>
      </w:r>
      <w:r>
        <w:t>Bradley</w:t>
      </w:r>
      <w:r w:rsidRPr="00C40FF4">
        <w:t xml:space="preserve"> </w:t>
      </w:r>
      <w:r w:rsidRPr="000D7095">
        <w:rPr>
          <w:i/>
        </w:rPr>
        <w:t>et al</w:t>
      </w:r>
      <w:r w:rsidRPr="00C40FF4">
        <w:t>. (2004) discuss the role of league tables in providing signals and incentives in a school education quasi-market framework</w:t>
      </w:r>
      <w:r w:rsidR="000A3015">
        <w:t>, extending their DEA analysis with an investigation into the determinants of the estimated efficiency</w:t>
      </w:r>
      <w:r w:rsidRPr="00C40FF4">
        <w:t>. They compare a range of unadjusted and model-based league tables for primary school performance in Queensland government schools. Their results indicate that model-based tables which account for SES and student intake quality vary significantly from the unadjusted tables</w:t>
      </w:r>
      <w:r w:rsidR="00DB685A">
        <w:t>.</w:t>
      </w:r>
      <w:r>
        <w:t xml:space="preserve">  </w:t>
      </w:r>
    </w:p>
    <w:p w:rsidR="00CC66E7" w:rsidRDefault="00CC66E7" w:rsidP="00625C70">
      <w:pPr>
        <w:spacing w:line="480" w:lineRule="auto"/>
        <w:jc w:val="both"/>
      </w:pPr>
    </w:p>
    <w:p w:rsidR="00625C70" w:rsidRDefault="00625C70" w:rsidP="00625C70">
      <w:pPr>
        <w:spacing w:line="480" w:lineRule="auto"/>
        <w:jc w:val="both"/>
      </w:pPr>
      <w:r w:rsidRPr="00C40FF4">
        <w:t xml:space="preserve">A report for the Victorian Department of Premier and Cabinet (Lamb </w:t>
      </w:r>
      <w:r w:rsidRPr="000D7095">
        <w:rPr>
          <w:i/>
        </w:rPr>
        <w:t>et al</w:t>
      </w:r>
      <w:r w:rsidRPr="00C40FF4">
        <w:t xml:space="preserve">. 2004) </w:t>
      </w:r>
      <w:r w:rsidR="009652EB" w:rsidRPr="00C40FF4">
        <w:t>examine</w:t>
      </w:r>
      <w:r w:rsidR="009652EB">
        <w:t>s</w:t>
      </w:r>
      <w:r w:rsidR="009652EB" w:rsidRPr="00C40FF4">
        <w:t xml:space="preserve"> </w:t>
      </w:r>
      <w:r>
        <w:t>scho</w:t>
      </w:r>
      <w:r w:rsidR="00325A82">
        <w:t>ol performance using school and</w:t>
      </w:r>
      <w:r w:rsidR="001E459C">
        <w:t xml:space="preserve"> student</w:t>
      </w:r>
      <w:r>
        <w:t xml:space="preserve"> level analysis. The school level analysis, </w:t>
      </w:r>
      <w:r w:rsidR="002658F9">
        <w:t xml:space="preserve">which </w:t>
      </w:r>
      <w:r w:rsidR="009652EB">
        <w:t xml:space="preserve">includes </w:t>
      </w:r>
      <w:r w:rsidR="002658F9">
        <w:t>student background characteristics, school size and school location</w:t>
      </w:r>
      <w:r w:rsidR="00D26B0A">
        <w:t>,</w:t>
      </w:r>
      <w:r w:rsidR="002658F9">
        <w:t xml:space="preserve"> </w:t>
      </w:r>
      <w:r w:rsidR="009652EB">
        <w:t xml:space="preserve">suggests </w:t>
      </w:r>
      <w:r>
        <w:t xml:space="preserve">that is important to control for social intake and </w:t>
      </w:r>
      <w:r w:rsidR="003F1D22">
        <w:t xml:space="preserve">that </w:t>
      </w:r>
      <w:r>
        <w:t xml:space="preserve">many government schools </w:t>
      </w:r>
      <w:r w:rsidR="009652EB">
        <w:t xml:space="preserve">are </w:t>
      </w:r>
      <w:r>
        <w:t xml:space="preserve">performing well against non-government schools after taking account of the populations of students they serve. </w:t>
      </w:r>
      <w:r w:rsidR="002658F9">
        <w:t xml:space="preserve">A second step of the investigation </w:t>
      </w:r>
      <w:r w:rsidR="009652EB">
        <w:t xml:space="preserve">considers </w:t>
      </w:r>
      <w:r w:rsidR="00D26B0A">
        <w:t>whether</w:t>
      </w:r>
      <w:r w:rsidR="002658F9">
        <w:t xml:space="preserve"> </w:t>
      </w:r>
      <w:r w:rsidR="00A65E73">
        <w:t xml:space="preserve">the </w:t>
      </w:r>
      <w:r w:rsidR="002658F9">
        <w:t xml:space="preserve">achievement levels ‘unexplained’ by the primary analysis </w:t>
      </w:r>
      <w:r w:rsidR="00A65E73">
        <w:t xml:space="preserve">(i.e. the residuals) </w:t>
      </w:r>
      <w:r w:rsidR="009652EB">
        <w:t xml:space="preserve">are </w:t>
      </w:r>
      <w:r w:rsidR="002658F9" w:rsidRPr="006546B3">
        <w:t>related to various measures of expenditure</w:t>
      </w:r>
      <w:r w:rsidR="00863E77" w:rsidRPr="006546B3">
        <w:t xml:space="preserve">, and </w:t>
      </w:r>
      <w:r w:rsidR="009652EB" w:rsidRPr="006546B3">
        <w:t>find</w:t>
      </w:r>
      <w:r w:rsidR="00F61E36" w:rsidRPr="006546B3">
        <w:t>s</w:t>
      </w:r>
      <w:r w:rsidR="009652EB" w:rsidRPr="006546B3">
        <w:t xml:space="preserve"> </w:t>
      </w:r>
      <w:r w:rsidR="00863E77" w:rsidRPr="006546B3">
        <w:t>that locally raised funds were of</w:t>
      </w:r>
      <w:r w:rsidR="00863E77">
        <w:t xml:space="preserve"> </w:t>
      </w:r>
      <w:r w:rsidR="00A65E73">
        <w:t xml:space="preserve">considerable </w:t>
      </w:r>
      <w:r w:rsidR="00863E77">
        <w:t xml:space="preserve">importance in secondary schools. </w:t>
      </w:r>
      <w:r w:rsidR="00A65E73">
        <w:t>However</w:t>
      </w:r>
      <w:r w:rsidR="00877B77">
        <w:t>,</w:t>
      </w:r>
      <w:r w:rsidR="00A65E73">
        <w:t xml:space="preserve"> this two stage procedure is likely to lead to biased estimates</w:t>
      </w:r>
      <w:r w:rsidR="006546B3">
        <w:t>,</w:t>
      </w:r>
      <w:r w:rsidR="00A65E73">
        <w:t xml:space="preserve"> because of endogeneity in the primary regression arising from omitted variables. </w:t>
      </w:r>
    </w:p>
    <w:p w:rsidR="00625C70" w:rsidRDefault="00625C70" w:rsidP="00C40FF4">
      <w:pPr>
        <w:spacing w:line="480" w:lineRule="auto"/>
        <w:jc w:val="both"/>
      </w:pPr>
    </w:p>
    <w:p w:rsidR="00721EC3" w:rsidRDefault="000A3015" w:rsidP="004F041E">
      <w:pPr>
        <w:spacing w:line="480" w:lineRule="auto"/>
        <w:jc w:val="both"/>
      </w:pPr>
      <w:r>
        <w:t xml:space="preserve">Other </w:t>
      </w:r>
      <w:r w:rsidR="00BE64F5">
        <w:t xml:space="preserve">Australian </w:t>
      </w:r>
      <w:r w:rsidR="00C40FF4" w:rsidRPr="00C40FF4">
        <w:t>studies exploring school performance and effectiveness focus on the relationship between the socio-economic status of students and their academic achievements</w:t>
      </w:r>
      <w:r>
        <w:t xml:space="preserve">, without considering the effects of </w:t>
      </w:r>
      <w:r w:rsidR="00CC66E7">
        <w:t>school</w:t>
      </w:r>
      <w:r>
        <w:t xml:space="preserve"> resourcing</w:t>
      </w:r>
      <w:r w:rsidR="00C40FF4" w:rsidRPr="00C40FF4">
        <w:t xml:space="preserve">.  Perry and </w:t>
      </w:r>
      <w:proofErr w:type="spellStart"/>
      <w:r w:rsidR="00C40FF4" w:rsidRPr="00C40FF4">
        <w:t>McConney</w:t>
      </w:r>
      <w:proofErr w:type="spellEnd"/>
      <w:r w:rsidR="00C40FF4" w:rsidRPr="00C40FF4">
        <w:t xml:space="preserve"> </w:t>
      </w:r>
      <w:r>
        <w:t>(</w:t>
      </w:r>
      <w:r w:rsidR="00C40FF4" w:rsidRPr="00C40FF4">
        <w:t>2010</w:t>
      </w:r>
      <w:r>
        <w:t>)</w:t>
      </w:r>
      <w:r w:rsidR="00C40FF4" w:rsidRPr="00C40FF4">
        <w:t xml:space="preserve"> using </w:t>
      </w:r>
      <w:r w:rsidR="003E4B2F">
        <w:t xml:space="preserve">Australian </w:t>
      </w:r>
      <w:r w:rsidR="00C40FF4" w:rsidRPr="00C40FF4">
        <w:t xml:space="preserve">data from the Program for International Student Assessment found: </w:t>
      </w:r>
      <w:r>
        <w:t>(1</w:t>
      </w:r>
      <w:r w:rsidRPr="00C40FF4">
        <w:t xml:space="preserve">) increases in the mean SES of a school </w:t>
      </w:r>
      <w:r w:rsidR="00721EC3">
        <w:t>are</w:t>
      </w:r>
      <w:r w:rsidRPr="00C40FF4">
        <w:t xml:space="preserve"> associated with consistent increases in student academic achievement</w:t>
      </w:r>
      <w:r>
        <w:t>;</w:t>
      </w:r>
      <w:r w:rsidRPr="00C40FF4">
        <w:t xml:space="preserve"> </w:t>
      </w:r>
      <w:r w:rsidR="00C40FF4" w:rsidRPr="00C40FF4">
        <w:t>(</w:t>
      </w:r>
      <w:r>
        <w:t>2</w:t>
      </w:r>
      <w:r w:rsidR="00C40FF4" w:rsidRPr="00C40FF4">
        <w:t xml:space="preserve">) the relationship between school SES and </w:t>
      </w:r>
      <w:r w:rsidR="00F54F24">
        <w:t>a</w:t>
      </w:r>
      <w:r w:rsidR="00C40FF4" w:rsidRPr="00C40FF4">
        <w:t xml:space="preserve">cademic </w:t>
      </w:r>
      <w:r w:rsidR="00F54F24">
        <w:t>a</w:t>
      </w:r>
      <w:r w:rsidR="00C40FF4" w:rsidRPr="00C40FF4">
        <w:t xml:space="preserve">chievement is similar for all students regardless of their </w:t>
      </w:r>
      <w:r w:rsidR="00F54F24">
        <w:t xml:space="preserve">individual </w:t>
      </w:r>
      <w:r w:rsidR="00C40FF4" w:rsidRPr="00C40FF4">
        <w:t>social background</w:t>
      </w:r>
      <w:r w:rsidR="00F441C8">
        <w:t>;</w:t>
      </w:r>
      <w:r w:rsidR="00C40FF4" w:rsidRPr="00C40FF4">
        <w:t xml:space="preserve"> and (3) the strength of the relationship between school SES and achievement becomes </w:t>
      </w:r>
      <w:r w:rsidR="00C40FF4" w:rsidRPr="00712B5A">
        <w:t xml:space="preserve">stronger as the SES of the school increases.  </w:t>
      </w:r>
      <w:r w:rsidR="00474760" w:rsidRPr="00712B5A">
        <w:t xml:space="preserve">Lamb </w:t>
      </w:r>
      <w:r w:rsidR="0001791B" w:rsidRPr="00712B5A">
        <w:t xml:space="preserve">&amp; </w:t>
      </w:r>
      <w:proofErr w:type="spellStart"/>
      <w:r w:rsidR="0001791B" w:rsidRPr="00712B5A">
        <w:t>Teese</w:t>
      </w:r>
      <w:proofErr w:type="spellEnd"/>
      <w:r w:rsidR="0001791B" w:rsidRPr="00712B5A">
        <w:rPr>
          <w:i/>
        </w:rPr>
        <w:t xml:space="preserve"> </w:t>
      </w:r>
      <w:r w:rsidR="0001791B" w:rsidRPr="00712B5A">
        <w:t>(2005</w:t>
      </w:r>
      <w:r w:rsidR="00474760" w:rsidRPr="00712B5A">
        <w:t xml:space="preserve">) </w:t>
      </w:r>
      <w:r w:rsidR="004F041E" w:rsidRPr="00712B5A">
        <w:t>review programs in</w:t>
      </w:r>
      <w:r w:rsidR="004F041E">
        <w:t xml:space="preserve"> New South Wales designed to reduce </w:t>
      </w:r>
      <w:r w:rsidR="00474760">
        <w:t>social disparities in student performance and outcomes</w:t>
      </w:r>
      <w:r w:rsidR="004F041E">
        <w:t xml:space="preserve"> and conclude </w:t>
      </w:r>
      <w:r w:rsidR="003F1D22">
        <w:t xml:space="preserve">that </w:t>
      </w:r>
      <w:r w:rsidR="004F041E">
        <w:t>these vary in their effectiveness.</w:t>
      </w:r>
      <w:r w:rsidR="004F041E" w:rsidRPr="004F041E">
        <w:t xml:space="preserve"> </w:t>
      </w:r>
      <w:r w:rsidR="004F041E">
        <w:t xml:space="preserve">They argue </w:t>
      </w:r>
      <w:r w:rsidR="003F1D22">
        <w:t xml:space="preserve">that </w:t>
      </w:r>
      <w:r w:rsidR="004F041E">
        <w:t>an important fundamental is the need to promote continuity in teaching staff in disadvantaged schools and the recruitment of quality teachers.</w:t>
      </w:r>
    </w:p>
    <w:p w:rsidR="00721EC3" w:rsidRDefault="009652EB" w:rsidP="00C40FF4">
      <w:pPr>
        <w:spacing w:line="480" w:lineRule="auto"/>
        <w:jc w:val="both"/>
      </w:pPr>
      <w:r>
        <w:t xml:space="preserve"> </w:t>
      </w:r>
    </w:p>
    <w:p w:rsidR="00721EC3" w:rsidRPr="00C40FF4" w:rsidRDefault="00C40FF4" w:rsidP="00C40FF4">
      <w:pPr>
        <w:spacing w:line="480" w:lineRule="auto"/>
        <w:jc w:val="both"/>
      </w:pPr>
      <w:r w:rsidRPr="00C40FF4">
        <w:t xml:space="preserve">Miller </w:t>
      </w:r>
      <w:r w:rsidR="001D1982">
        <w:t>and</w:t>
      </w:r>
      <w:r w:rsidRPr="00C40FF4">
        <w:t xml:space="preserve"> </w:t>
      </w:r>
      <w:proofErr w:type="spellStart"/>
      <w:r w:rsidRPr="00C40FF4">
        <w:t>Voon</w:t>
      </w:r>
      <w:proofErr w:type="spellEnd"/>
      <w:r w:rsidRPr="00C40FF4">
        <w:t xml:space="preserve"> </w:t>
      </w:r>
      <w:r w:rsidR="00995378">
        <w:t>(</w:t>
      </w:r>
      <w:r w:rsidRPr="00C40FF4">
        <w:t>2011</w:t>
      </w:r>
      <w:r w:rsidR="00995378">
        <w:t>)</w:t>
      </w:r>
      <w:r w:rsidRPr="00C40FF4">
        <w:t xml:space="preserve"> examine Australia’s </w:t>
      </w:r>
      <w:r w:rsidR="001D1982">
        <w:t>National Assessment Programme (</w:t>
      </w:r>
      <w:r w:rsidR="009652EB">
        <w:t>Literacy and Numeracy</w:t>
      </w:r>
      <w:r w:rsidR="001D1982">
        <w:t>)</w:t>
      </w:r>
      <w:r w:rsidRPr="00C40FF4">
        <w:t xml:space="preserve"> results for 2008 and 2009 using </w:t>
      </w:r>
      <w:r w:rsidR="00BE64F5">
        <w:t>an</w:t>
      </w:r>
      <w:r w:rsidR="00BE64F5" w:rsidRPr="00C40FF4">
        <w:t xml:space="preserve"> </w:t>
      </w:r>
      <w:r w:rsidRPr="00C40FF4">
        <w:t>education production function</w:t>
      </w:r>
      <w:r w:rsidR="00BE64F5">
        <w:t xml:space="preserve"> approach</w:t>
      </w:r>
      <w:r w:rsidRPr="00C40FF4">
        <w:t>. Test score data for 3</w:t>
      </w:r>
      <w:r w:rsidRPr="00C40FF4">
        <w:rPr>
          <w:vertAlign w:val="superscript"/>
        </w:rPr>
        <w:t>rd</w:t>
      </w:r>
      <w:r w:rsidRPr="00C40FF4">
        <w:t>, 5</w:t>
      </w:r>
      <w:r w:rsidRPr="00C40FF4">
        <w:rPr>
          <w:vertAlign w:val="superscript"/>
        </w:rPr>
        <w:t>th</w:t>
      </w:r>
      <w:r w:rsidRPr="00C40FF4">
        <w:t>, 7</w:t>
      </w:r>
      <w:r w:rsidRPr="00C40FF4">
        <w:rPr>
          <w:vertAlign w:val="superscript"/>
        </w:rPr>
        <w:t>th</w:t>
      </w:r>
      <w:r w:rsidRPr="00C40FF4">
        <w:t>, and 9</w:t>
      </w:r>
      <w:r w:rsidRPr="00C40FF4">
        <w:rPr>
          <w:vertAlign w:val="superscript"/>
        </w:rPr>
        <w:t>th</w:t>
      </w:r>
      <w:r w:rsidRPr="00C40FF4">
        <w:t xml:space="preserve"> graders </w:t>
      </w:r>
      <w:r w:rsidR="00456508">
        <w:t xml:space="preserve">are </w:t>
      </w:r>
      <w:r w:rsidRPr="00C40FF4">
        <w:t xml:space="preserve">regressed against SES characteristics, type of school, percent of female students, student attendance, school size, and state and region. They </w:t>
      </w:r>
      <w:r w:rsidR="00456508">
        <w:t>find</w:t>
      </w:r>
      <w:r w:rsidR="00456508" w:rsidRPr="00C40FF4">
        <w:t xml:space="preserve"> </w:t>
      </w:r>
      <w:r w:rsidRPr="00C40FF4">
        <w:t xml:space="preserve">large differences in educational outcomes by state and school type.  </w:t>
      </w:r>
    </w:p>
    <w:p w:rsidR="00017E1A" w:rsidRDefault="008307B2" w:rsidP="008307B2">
      <w:pPr>
        <w:pStyle w:val="Heading1"/>
      </w:pPr>
      <w:r w:rsidRPr="008307B2">
        <w:t>Data, m</w:t>
      </w:r>
      <w:r w:rsidR="008643C8" w:rsidRPr="008307B2">
        <w:t xml:space="preserve">ethodology </w:t>
      </w:r>
      <w:r w:rsidR="007D36A1" w:rsidRPr="008307B2">
        <w:t xml:space="preserve">and </w:t>
      </w:r>
      <w:r w:rsidR="008643C8" w:rsidRPr="008307B2">
        <w:t>model</w:t>
      </w:r>
    </w:p>
    <w:p w:rsidR="008307B2" w:rsidRDefault="008307B2" w:rsidP="008307B2"/>
    <w:p w:rsidR="00110A05" w:rsidRPr="00712B5A" w:rsidRDefault="00110A05" w:rsidP="00110A05">
      <w:pPr>
        <w:pStyle w:val="Heading2"/>
      </w:pPr>
      <w:r w:rsidRPr="00712B5A">
        <w:rPr>
          <w:rStyle w:val="Heading1Char"/>
          <w:rFonts w:cs="Times New Roman"/>
          <w:i/>
          <w:iCs w:val="0"/>
          <w:sz w:val="24"/>
          <w:szCs w:val="24"/>
        </w:rPr>
        <w:t xml:space="preserve">The Estimation Method </w:t>
      </w:r>
    </w:p>
    <w:p w:rsidR="00110A05" w:rsidRPr="00712B5A" w:rsidRDefault="00110A05" w:rsidP="00110A05">
      <w:pPr>
        <w:spacing w:line="480" w:lineRule="auto"/>
        <w:jc w:val="both"/>
      </w:pPr>
    </w:p>
    <w:p w:rsidR="006A34C4" w:rsidRPr="00712B5A" w:rsidRDefault="00110A05" w:rsidP="006A34C4">
      <w:pPr>
        <w:spacing w:line="480" w:lineRule="auto"/>
        <w:jc w:val="both"/>
      </w:pPr>
      <w:r w:rsidRPr="00712B5A">
        <w:t>As considered above in relation to the literature, it is important in any investigation of the effect of resources on school outputs to consider the possible endogene</w:t>
      </w:r>
      <w:r w:rsidR="000F3A6C" w:rsidRPr="00712B5A">
        <w:t>i</w:t>
      </w:r>
      <w:r w:rsidRPr="00712B5A">
        <w:t xml:space="preserve">ty of resources.  This is particularly the case when school resourcing systems are partly compensatory for </w:t>
      </w:r>
      <w:r w:rsidR="004027F1" w:rsidRPr="00712B5A">
        <w:t xml:space="preserve">a more disadvantaged student intake </w:t>
      </w:r>
      <w:r w:rsidRPr="00712B5A">
        <w:t xml:space="preserve">or other aspects of the school environment that may otherwise give rise to lower results. </w:t>
      </w:r>
      <w:r w:rsidR="006A34C4" w:rsidRPr="00712B5A">
        <w:t xml:space="preserve">For NSW, one aspect of this is illustrated by Table 1, which gives the mean of the median ATAR score and the real per student school expenditure by type of school. The funding per head is lower while results are considerably higher in selective schools; if, however, selective schools’ intakes differ from other schools it is important to account for this in estimation. </w:t>
      </w:r>
    </w:p>
    <w:p w:rsidR="006A34C4" w:rsidRDefault="006A34C4" w:rsidP="006A34C4">
      <w:pPr>
        <w:rPr>
          <w:b/>
          <w:i/>
        </w:rPr>
      </w:pPr>
    </w:p>
    <w:p w:rsidR="00632673" w:rsidRPr="00712B5A" w:rsidRDefault="00632673" w:rsidP="006A34C4">
      <w:pPr>
        <w:rPr>
          <w:b/>
          <w:i/>
        </w:rPr>
      </w:pPr>
    </w:p>
    <w:p w:rsidR="000D3D66" w:rsidRPr="000D3D66" w:rsidRDefault="000D3D66" w:rsidP="000D3D66">
      <w:pPr>
        <w:spacing w:line="480" w:lineRule="auto"/>
        <w:jc w:val="both"/>
        <w:rPr>
          <w:b/>
          <w:i/>
        </w:rPr>
      </w:pPr>
      <w:proofErr w:type="gramStart"/>
      <w:r w:rsidRPr="000D3D66">
        <w:rPr>
          <w:b/>
          <w:i/>
        </w:rPr>
        <w:t>Table 1.</w:t>
      </w:r>
      <w:proofErr w:type="gramEnd"/>
      <w:r w:rsidRPr="000D3D66">
        <w:rPr>
          <w:b/>
          <w:i/>
        </w:rPr>
        <w:t xml:space="preserve">  Mean ATAR Median Scores and Per Student School Expenditure (in </w:t>
      </w:r>
      <w:proofErr w:type="spellStart"/>
      <w:r w:rsidRPr="000D3D66">
        <w:rPr>
          <w:b/>
          <w:i/>
        </w:rPr>
        <w:t>Aus</w:t>
      </w:r>
      <w:proofErr w:type="spellEnd"/>
      <w:r w:rsidRPr="000D3D66">
        <w:rPr>
          <w:b/>
          <w:i/>
        </w:rPr>
        <w:t>$, at 2005 prices), 2006-10*</w:t>
      </w:r>
    </w:p>
    <w:p w:rsidR="000D3D66" w:rsidRPr="000D3D66" w:rsidRDefault="000D3D66" w:rsidP="000D3D66">
      <w:pPr>
        <w:spacing w:line="480" w:lineRule="auto"/>
        <w:jc w:val="both"/>
        <w:rPr>
          <w:i/>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2"/>
        <w:gridCol w:w="2447"/>
        <w:gridCol w:w="2552"/>
      </w:tblGrid>
      <w:tr w:rsidR="000D3D66" w:rsidRPr="000D3D66" w:rsidTr="008D588D">
        <w:tc>
          <w:tcPr>
            <w:tcW w:w="1772" w:type="dxa"/>
            <w:tcBorders>
              <w:left w:val="nil"/>
              <w:bottom w:val="single" w:sz="4" w:space="0" w:color="000000"/>
            </w:tcBorders>
          </w:tcPr>
          <w:p w:rsidR="000D3D66" w:rsidRPr="000D3D66" w:rsidRDefault="000D3D66" w:rsidP="000D3D66">
            <w:pPr>
              <w:spacing w:line="480" w:lineRule="auto"/>
              <w:jc w:val="both"/>
              <w:rPr>
                <w:b/>
              </w:rPr>
            </w:pPr>
            <w:r w:rsidRPr="000D3D66">
              <w:rPr>
                <w:b/>
              </w:rPr>
              <w:t>School type</w:t>
            </w:r>
          </w:p>
        </w:tc>
        <w:tc>
          <w:tcPr>
            <w:tcW w:w="2447" w:type="dxa"/>
            <w:tcBorders>
              <w:bottom w:val="single" w:sz="4" w:space="0" w:color="000000"/>
            </w:tcBorders>
          </w:tcPr>
          <w:p w:rsidR="000D3D66" w:rsidRPr="000D3D66" w:rsidRDefault="000D3D66" w:rsidP="000D3D66">
            <w:pPr>
              <w:spacing w:line="480" w:lineRule="auto"/>
              <w:jc w:val="both"/>
              <w:rPr>
                <w:b/>
              </w:rPr>
            </w:pPr>
            <w:r w:rsidRPr="000D3D66">
              <w:rPr>
                <w:b/>
              </w:rPr>
              <w:t>Median ATAR Score</w:t>
            </w:r>
          </w:p>
        </w:tc>
        <w:tc>
          <w:tcPr>
            <w:tcW w:w="2552" w:type="dxa"/>
            <w:tcBorders>
              <w:bottom w:val="single" w:sz="4" w:space="0" w:color="000000"/>
              <w:right w:val="nil"/>
            </w:tcBorders>
          </w:tcPr>
          <w:p w:rsidR="000D3D66" w:rsidRPr="000D3D66" w:rsidRDefault="000D3D66" w:rsidP="000D3D66">
            <w:pPr>
              <w:spacing w:line="480" w:lineRule="auto"/>
              <w:jc w:val="both"/>
              <w:rPr>
                <w:b/>
              </w:rPr>
            </w:pPr>
            <w:r w:rsidRPr="000D3D66">
              <w:rPr>
                <w:b/>
              </w:rPr>
              <w:t>Expenditure</w:t>
            </w:r>
          </w:p>
        </w:tc>
      </w:tr>
      <w:tr w:rsidR="000D3D66" w:rsidRPr="000D3D66" w:rsidTr="008D588D">
        <w:tc>
          <w:tcPr>
            <w:tcW w:w="1772" w:type="dxa"/>
            <w:tcBorders>
              <w:left w:val="nil"/>
              <w:bottom w:val="nil"/>
            </w:tcBorders>
          </w:tcPr>
          <w:p w:rsidR="000D3D66" w:rsidRPr="000D3D66" w:rsidRDefault="000D3D66" w:rsidP="000D3D66">
            <w:pPr>
              <w:spacing w:line="480" w:lineRule="auto"/>
              <w:jc w:val="both"/>
              <w:rPr>
                <w:b/>
              </w:rPr>
            </w:pPr>
            <w:r w:rsidRPr="000D3D66">
              <w:t>Non-selective</w:t>
            </w:r>
          </w:p>
        </w:tc>
        <w:tc>
          <w:tcPr>
            <w:tcW w:w="2447" w:type="dxa"/>
            <w:tcBorders>
              <w:bottom w:val="nil"/>
            </w:tcBorders>
          </w:tcPr>
          <w:p w:rsidR="000D3D66" w:rsidRPr="000D3D66" w:rsidRDefault="000D3D66" w:rsidP="000D3D66">
            <w:pPr>
              <w:spacing w:line="480" w:lineRule="auto"/>
              <w:jc w:val="both"/>
            </w:pPr>
            <w:r w:rsidRPr="000D3D66">
              <w:t>55.3</w:t>
            </w:r>
          </w:p>
        </w:tc>
        <w:tc>
          <w:tcPr>
            <w:tcW w:w="2552" w:type="dxa"/>
            <w:tcBorders>
              <w:bottom w:val="nil"/>
              <w:right w:val="nil"/>
            </w:tcBorders>
          </w:tcPr>
          <w:p w:rsidR="000D3D66" w:rsidRPr="000D3D66" w:rsidRDefault="000D3D66" w:rsidP="000D3D66">
            <w:pPr>
              <w:spacing w:line="480" w:lineRule="auto"/>
              <w:jc w:val="both"/>
            </w:pPr>
            <w:r w:rsidRPr="000D3D66">
              <w:t>11,147</w:t>
            </w:r>
          </w:p>
        </w:tc>
      </w:tr>
      <w:tr w:rsidR="000D3D66" w:rsidRPr="000D3D66" w:rsidTr="008D588D">
        <w:trPr>
          <w:trHeight w:val="297"/>
        </w:trPr>
        <w:tc>
          <w:tcPr>
            <w:tcW w:w="1772" w:type="dxa"/>
            <w:tcBorders>
              <w:top w:val="nil"/>
              <w:left w:val="nil"/>
              <w:bottom w:val="nil"/>
            </w:tcBorders>
          </w:tcPr>
          <w:p w:rsidR="000D3D66" w:rsidRPr="000D3D66" w:rsidRDefault="000D3D66" w:rsidP="000D3D66">
            <w:pPr>
              <w:spacing w:line="480" w:lineRule="auto"/>
              <w:jc w:val="both"/>
              <w:rPr>
                <w:b/>
              </w:rPr>
            </w:pPr>
            <w:r w:rsidRPr="000D3D66">
              <w:t>Part selective</w:t>
            </w:r>
          </w:p>
        </w:tc>
        <w:tc>
          <w:tcPr>
            <w:tcW w:w="2447" w:type="dxa"/>
            <w:tcBorders>
              <w:top w:val="nil"/>
              <w:bottom w:val="nil"/>
            </w:tcBorders>
          </w:tcPr>
          <w:p w:rsidR="000D3D66" w:rsidRPr="000D3D66" w:rsidRDefault="000D3D66" w:rsidP="000D3D66">
            <w:pPr>
              <w:spacing w:line="480" w:lineRule="auto"/>
              <w:jc w:val="both"/>
            </w:pPr>
            <w:r w:rsidRPr="000D3D66">
              <w:t>58.7</w:t>
            </w:r>
          </w:p>
        </w:tc>
        <w:tc>
          <w:tcPr>
            <w:tcW w:w="2552" w:type="dxa"/>
            <w:tcBorders>
              <w:top w:val="nil"/>
              <w:bottom w:val="nil"/>
              <w:right w:val="nil"/>
            </w:tcBorders>
          </w:tcPr>
          <w:p w:rsidR="000D3D66" w:rsidRPr="000D3D66" w:rsidRDefault="000D3D66" w:rsidP="000D3D66">
            <w:pPr>
              <w:spacing w:line="480" w:lineRule="auto"/>
              <w:jc w:val="both"/>
            </w:pPr>
            <w:r w:rsidRPr="000D3D66">
              <w:t>10,589</w:t>
            </w:r>
          </w:p>
        </w:tc>
      </w:tr>
      <w:tr w:rsidR="000D3D66" w:rsidRPr="000D3D66" w:rsidTr="008D588D">
        <w:tc>
          <w:tcPr>
            <w:tcW w:w="1772" w:type="dxa"/>
            <w:tcBorders>
              <w:top w:val="nil"/>
              <w:left w:val="nil"/>
              <w:bottom w:val="single" w:sz="4" w:space="0" w:color="auto"/>
            </w:tcBorders>
          </w:tcPr>
          <w:p w:rsidR="000D3D66" w:rsidRPr="000D3D66" w:rsidRDefault="000D3D66" w:rsidP="000D3D66">
            <w:pPr>
              <w:spacing w:line="480" w:lineRule="auto"/>
              <w:jc w:val="both"/>
              <w:rPr>
                <w:b/>
              </w:rPr>
            </w:pPr>
            <w:r w:rsidRPr="000D3D66">
              <w:t>Fully selective</w:t>
            </w:r>
          </w:p>
        </w:tc>
        <w:tc>
          <w:tcPr>
            <w:tcW w:w="2447" w:type="dxa"/>
            <w:tcBorders>
              <w:top w:val="nil"/>
              <w:bottom w:val="single" w:sz="4" w:space="0" w:color="auto"/>
            </w:tcBorders>
          </w:tcPr>
          <w:p w:rsidR="000D3D66" w:rsidRPr="000D3D66" w:rsidRDefault="000D3D66" w:rsidP="000D3D66">
            <w:pPr>
              <w:spacing w:line="480" w:lineRule="auto"/>
              <w:jc w:val="both"/>
            </w:pPr>
            <w:r w:rsidRPr="000D3D66">
              <w:t>93.0</w:t>
            </w:r>
          </w:p>
        </w:tc>
        <w:tc>
          <w:tcPr>
            <w:tcW w:w="2552" w:type="dxa"/>
            <w:tcBorders>
              <w:top w:val="nil"/>
              <w:bottom w:val="single" w:sz="4" w:space="0" w:color="auto"/>
              <w:right w:val="nil"/>
            </w:tcBorders>
          </w:tcPr>
          <w:p w:rsidR="000D3D66" w:rsidRPr="000D3D66" w:rsidRDefault="000D3D66" w:rsidP="000D3D66">
            <w:pPr>
              <w:spacing w:line="480" w:lineRule="auto"/>
              <w:jc w:val="both"/>
            </w:pPr>
            <w:r w:rsidRPr="000D3D66">
              <w:t>9,952</w:t>
            </w:r>
          </w:p>
        </w:tc>
      </w:tr>
    </w:tbl>
    <w:p w:rsidR="000D3D66" w:rsidRPr="000D3D66" w:rsidRDefault="000D3D66" w:rsidP="000D3D66">
      <w:pPr>
        <w:spacing w:line="480" w:lineRule="auto"/>
        <w:jc w:val="both"/>
      </w:pPr>
    </w:p>
    <w:p w:rsidR="000D3D66" w:rsidRPr="00805272" w:rsidRDefault="000D3D66" w:rsidP="000D3D66">
      <w:pPr>
        <w:spacing w:line="480" w:lineRule="auto"/>
        <w:jc w:val="both"/>
        <w:rPr>
          <w:sz w:val="20"/>
        </w:rPr>
      </w:pPr>
      <w:r w:rsidRPr="00805272">
        <w:rPr>
          <w:sz w:val="20"/>
        </w:rPr>
        <w:t>* Because we estimate a model including the lagged dependent variable, the data for 2005 is ‘lost’. Hence, this table and the following charts reflect the sample used for estimation.</w:t>
      </w:r>
    </w:p>
    <w:p w:rsidR="006A34C4" w:rsidRPr="00712B5A" w:rsidRDefault="006A34C4" w:rsidP="00110A05">
      <w:pPr>
        <w:spacing w:line="480" w:lineRule="auto"/>
        <w:jc w:val="both"/>
      </w:pPr>
    </w:p>
    <w:p w:rsidR="004B1F66" w:rsidRPr="00712B5A" w:rsidRDefault="00110A05" w:rsidP="00110A05">
      <w:pPr>
        <w:spacing w:line="480" w:lineRule="auto"/>
        <w:jc w:val="both"/>
      </w:pPr>
      <w:r w:rsidRPr="00712B5A">
        <w:t xml:space="preserve">Much of the literature has used a regression approach </w:t>
      </w:r>
      <w:r w:rsidR="00CD79BC" w:rsidRPr="00712B5A">
        <w:t xml:space="preserve">and </w:t>
      </w:r>
      <w:r w:rsidR="007679EE" w:rsidRPr="00712B5A">
        <w:t xml:space="preserve">in order to address potential endogeneity </w:t>
      </w:r>
      <w:r w:rsidR="00CD79BC" w:rsidRPr="00712B5A">
        <w:t xml:space="preserve">with this method </w:t>
      </w:r>
      <w:r w:rsidR="007679EE" w:rsidRPr="00712B5A">
        <w:t xml:space="preserve">best practice is both to include </w:t>
      </w:r>
      <w:r w:rsidRPr="00712B5A">
        <w:t xml:space="preserve">a wide range of control variables to reduce the </w:t>
      </w:r>
      <w:r w:rsidR="002F0416" w:rsidRPr="00712B5A">
        <w:t xml:space="preserve">number of </w:t>
      </w:r>
      <w:r w:rsidR="006A34C4" w:rsidRPr="00712B5A">
        <w:t xml:space="preserve">possible </w:t>
      </w:r>
      <w:r w:rsidRPr="00712B5A">
        <w:t xml:space="preserve">missing variables and </w:t>
      </w:r>
      <w:r w:rsidR="007679EE" w:rsidRPr="00712B5A">
        <w:t xml:space="preserve">to instrument </w:t>
      </w:r>
      <w:r w:rsidRPr="00712B5A">
        <w:t xml:space="preserve">the resource variable(s). However, despite </w:t>
      </w:r>
      <w:r w:rsidR="004B1F66" w:rsidRPr="00712B5A">
        <w:t xml:space="preserve">considerable </w:t>
      </w:r>
      <w:r w:rsidRPr="00712B5A">
        <w:t xml:space="preserve">ingenuity in some studies, a major difficulty </w:t>
      </w:r>
      <w:r w:rsidR="004B1F66" w:rsidRPr="00712B5A">
        <w:t xml:space="preserve">with this approach </w:t>
      </w:r>
      <w:r w:rsidRPr="00712B5A">
        <w:t xml:space="preserve">is finding appropriate instruments and this has sometimes been </w:t>
      </w:r>
      <w:r w:rsidR="00CD79BC" w:rsidRPr="00712B5A">
        <w:t xml:space="preserve">shown to be </w:t>
      </w:r>
      <w:r w:rsidRPr="00712B5A">
        <w:t>problematic</w:t>
      </w:r>
      <w:r w:rsidR="004B1F66" w:rsidRPr="00712B5A">
        <w:t xml:space="preserve"> (see for instance the discussion in Wooldridge, 2002, pp. 104-5).  </w:t>
      </w:r>
    </w:p>
    <w:p w:rsidR="004B1F66" w:rsidRPr="00712B5A" w:rsidRDefault="004B1F66" w:rsidP="00110A05">
      <w:pPr>
        <w:spacing w:line="480" w:lineRule="auto"/>
        <w:jc w:val="both"/>
      </w:pPr>
    </w:p>
    <w:p w:rsidR="00E67484" w:rsidRPr="00712B5A" w:rsidRDefault="004B1F66" w:rsidP="00E67484">
      <w:pPr>
        <w:spacing w:line="480" w:lineRule="auto"/>
        <w:jc w:val="both"/>
      </w:pPr>
      <w:r w:rsidRPr="00712B5A">
        <w:t xml:space="preserve">An alternative approach to using </w:t>
      </w:r>
      <w:r w:rsidR="004027F1" w:rsidRPr="00712B5A">
        <w:t>instrumental variable estimation is to</w:t>
      </w:r>
      <w:r w:rsidRPr="00712B5A">
        <w:t xml:space="preserve"> </w:t>
      </w:r>
      <w:r w:rsidR="004027F1" w:rsidRPr="00712B5A">
        <w:t xml:space="preserve">use matching estimation. Matching is frequently used for the evaluation of public policies, </w:t>
      </w:r>
      <w:r w:rsidR="007A0B83" w:rsidRPr="00712B5A">
        <w:t xml:space="preserve">usually </w:t>
      </w:r>
      <w:r w:rsidR="004027F1" w:rsidRPr="00712B5A">
        <w:t xml:space="preserve">where we can distinguish between those units that received a treatment (a treatment group) and those </w:t>
      </w:r>
      <w:r w:rsidR="00BE6BB4" w:rsidRPr="00712B5A">
        <w:t xml:space="preserve">that </w:t>
      </w:r>
      <w:r w:rsidR="004027F1" w:rsidRPr="00712B5A">
        <w:t>did not receive a treatment (a control group</w:t>
      </w:r>
      <w:r w:rsidR="007A0B83" w:rsidRPr="00712B5A">
        <w:t xml:space="preserve">) and ideally </w:t>
      </w:r>
      <w:r w:rsidR="004027F1" w:rsidRPr="00712B5A">
        <w:t xml:space="preserve">with data from at least two periods (before and after a treatment assignment). </w:t>
      </w:r>
      <w:r w:rsidR="00507E82" w:rsidRPr="00712B5A">
        <w:t xml:space="preserve">Matching estimators are based on the premise that participants </w:t>
      </w:r>
      <w:r w:rsidR="001E5129" w:rsidRPr="00712B5A">
        <w:t xml:space="preserve">(treatment group) </w:t>
      </w:r>
      <w:r w:rsidR="00507E82" w:rsidRPr="00712B5A">
        <w:t>should be matched with non-participants (control group)</w:t>
      </w:r>
      <w:r w:rsidR="006A34C4" w:rsidRPr="00712B5A">
        <w:t>,</w:t>
      </w:r>
      <w:r w:rsidR="00507E82" w:rsidRPr="00712B5A">
        <w:t xml:space="preserve"> conditional on pre-treatment observed characteristics. Outcomes are then compared between matched units and the difference in outcomes is attributed to the treatment.</w:t>
      </w:r>
      <w:r w:rsidR="00CA791C" w:rsidRPr="00712B5A">
        <w:t xml:space="preserve"> </w:t>
      </w:r>
      <w:r w:rsidR="00D152BF" w:rsidRPr="00712B5A">
        <w:t xml:space="preserve">A treatment assignment can be measured as a binary variable (e.g. a school participates in some programme or it does not) as well as </w:t>
      </w:r>
      <w:r w:rsidR="001E5129" w:rsidRPr="00712B5A">
        <w:t xml:space="preserve">a </w:t>
      </w:r>
      <w:r w:rsidR="00D152BF" w:rsidRPr="00712B5A">
        <w:t xml:space="preserve">categorical </w:t>
      </w:r>
      <w:r w:rsidR="001E5129" w:rsidRPr="00712B5A">
        <w:t>or a</w:t>
      </w:r>
      <w:r w:rsidR="00D152BF" w:rsidRPr="00712B5A">
        <w:t xml:space="preserve"> continuous variable (as in our case, where a treatment variable would be school expenditure). Hirano and </w:t>
      </w:r>
      <w:proofErr w:type="spellStart"/>
      <w:r w:rsidR="00D152BF" w:rsidRPr="00712B5A">
        <w:t>Imbens</w:t>
      </w:r>
      <w:proofErr w:type="spellEnd"/>
      <w:r w:rsidR="00D152BF" w:rsidRPr="00712B5A">
        <w:t xml:space="preserve"> (2004) develop an extension to matching estimators based on the propensity score in a setting with a continuous treatment. </w:t>
      </w:r>
    </w:p>
    <w:p w:rsidR="00973E6E" w:rsidRPr="00712B5A" w:rsidRDefault="00973E6E" w:rsidP="00110A05">
      <w:pPr>
        <w:spacing w:line="480" w:lineRule="auto"/>
        <w:jc w:val="both"/>
      </w:pPr>
    </w:p>
    <w:p w:rsidR="00A97BBC" w:rsidRPr="00712B5A" w:rsidRDefault="004027F1" w:rsidP="00110A05">
      <w:pPr>
        <w:spacing w:line="480" w:lineRule="auto"/>
        <w:jc w:val="both"/>
      </w:pPr>
      <w:r w:rsidRPr="00712B5A">
        <w:t>However, the main disadvantage of matching is that it can only control for observed</w:t>
      </w:r>
      <w:r w:rsidR="00A97BBC" w:rsidRPr="00712B5A">
        <w:t xml:space="preserve"> characteristics (</w:t>
      </w:r>
      <w:r w:rsidRPr="00712B5A">
        <w:t xml:space="preserve">in </w:t>
      </w:r>
      <w:r w:rsidR="00A97BBC" w:rsidRPr="00712B5A">
        <w:t>this investigation</w:t>
      </w:r>
      <w:r w:rsidR="00C500E9" w:rsidRPr="00712B5A">
        <w:t>,</w:t>
      </w:r>
      <w:r w:rsidRPr="00712B5A">
        <w:t xml:space="preserve"> </w:t>
      </w:r>
      <w:r w:rsidR="00A97BBC" w:rsidRPr="00712B5A">
        <w:t xml:space="preserve">of </w:t>
      </w:r>
      <w:r w:rsidRPr="00712B5A">
        <w:t>school</w:t>
      </w:r>
      <w:r w:rsidR="00A97BBC" w:rsidRPr="00712B5A">
        <w:t>s</w:t>
      </w:r>
      <w:r w:rsidRPr="00712B5A">
        <w:t xml:space="preserve"> and </w:t>
      </w:r>
      <w:r w:rsidR="00BE6BB4" w:rsidRPr="00712B5A">
        <w:t>pupil</w:t>
      </w:r>
      <w:r w:rsidR="00A97BBC" w:rsidRPr="00712B5A">
        <w:t>s)</w:t>
      </w:r>
      <w:r w:rsidRPr="00712B5A">
        <w:t>. Consequently, matching is inferior to any estimator that can allow for both observed and unobserved heterogeneity</w:t>
      </w:r>
      <w:r w:rsidR="004C1947" w:rsidRPr="00712B5A">
        <w:t xml:space="preserve"> (</w:t>
      </w:r>
      <w:proofErr w:type="spellStart"/>
      <w:r w:rsidR="004C1947" w:rsidRPr="00712B5A">
        <w:t>Imbens</w:t>
      </w:r>
      <w:proofErr w:type="spellEnd"/>
      <w:r w:rsidR="004C1947" w:rsidRPr="00712B5A">
        <w:t xml:space="preserve"> and Wooldridge, 2009;</w:t>
      </w:r>
      <w:r w:rsidR="00A552F6" w:rsidRPr="00712B5A">
        <w:t xml:space="preserve"> </w:t>
      </w:r>
      <w:proofErr w:type="spellStart"/>
      <w:r w:rsidR="00A552F6" w:rsidRPr="00712B5A">
        <w:rPr>
          <w:color w:val="000000" w:themeColor="text1"/>
          <w:lang w:eastAsia="ar-SA"/>
        </w:rPr>
        <w:t>Khandker</w:t>
      </w:r>
      <w:proofErr w:type="spellEnd"/>
      <w:r w:rsidR="00FD6275" w:rsidRPr="00712B5A">
        <w:rPr>
          <w:color w:val="000000" w:themeColor="text1"/>
          <w:lang w:eastAsia="ar-SA"/>
        </w:rPr>
        <w:t xml:space="preserve"> </w:t>
      </w:r>
      <w:r w:rsidR="00A552F6" w:rsidRPr="00712B5A">
        <w:rPr>
          <w:i/>
          <w:color w:val="000000" w:themeColor="text1"/>
          <w:lang w:eastAsia="ar-SA"/>
        </w:rPr>
        <w:t>et al</w:t>
      </w:r>
      <w:r w:rsidR="00A552F6" w:rsidRPr="00712B5A">
        <w:rPr>
          <w:color w:val="000000" w:themeColor="text1"/>
          <w:lang w:eastAsia="ar-SA"/>
        </w:rPr>
        <w:t>., 2009; Morgan and Harding, 2006</w:t>
      </w:r>
      <w:r w:rsidR="0006269C" w:rsidRPr="00712B5A">
        <w:rPr>
          <w:color w:val="000000" w:themeColor="text1"/>
          <w:lang w:eastAsia="ar-SA"/>
        </w:rPr>
        <w:t>)</w:t>
      </w:r>
      <w:r w:rsidRPr="00712B5A">
        <w:t xml:space="preserve">. </w:t>
      </w:r>
      <w:r w:rsidR="00A97BBC" w:rsidRPr="00712B5A">
        <w:t xml:space="preserve">School performance is influenced by factors that are inherently unobservable - such as the ability and effort of pupils, parents, staff and management - and these ‘missing variables’ in a regression give rise to endogeneity if these factors are correlated with expenditure. </w:t>
      </w:r>
      <w:r w:rsidR="00CA791C" w:rsidRPr="00712B5A">
        <w:t xml:space="preserve">This study </w:t>
      </w:r>
      <w:r w:rsidR="00A97BBC" w:rsidRPr="00712B5A">
        <w:t xml:space="preserve">specifies a dynamic panel model and estimates by </w:t>
      </w:r>
      <w:r w:rsidR="00110A05" w:rsidRPr="00712B5A">
        <w:t>the system general</w:t>
      </w:r>
      <w:r w:rsidR="00D46231">
        <w:t>ised</w:t>
      </w:r>
      <w:r w:rsidR="00110A05" w:rsidRPr="00712B5A">
        <w:t xml:space="preserve"> method</w:t>
      </w:r>
      <w:r w:rsidR="00D46231">
        <w:t>-of-</w:t>
      </w:r>
      <w:r w:rsidR="00110A05" w:rsidRPr="00712B5A">
        <w:t>moments estimator (</w:t>
      </w:r>
      <w:r w:rsidR="00110A05" w:rsidRPr="00712B5A">
        <w:rPr>
          <w:color w:val="000000" w:themeColor="text1"/>
          <w:lang w:eastAsia="ar-SA"/>
        </w:rPr>
        <w:t xml:space="preserve">Arellano and </w:t>
      </w:r>
      <w:proofErr w:type="spellStart"/>
      <w:r w:rsidR="00110A05" w:rsidRPr="00712B5A">
        <w:rPr>
          <w:color w:val="000000" w:themeColor="text1"/>
          <w:lang w:eastAsia="ar-SA"/>
        </w:rPr>
        <w:t>Bover</w:t>
      </w:r>
      <w:proofErr w:type="spellEnd"/>
      <w:r w:rsidR="00110A05" w:rsidRPr="00712B5A">
        <w:rPr>
          <w:color w:val="000000" w:themeColor="text1"/>
          <w:lang w:eastAsia="ar-SA"/>
        </w:rPr>
        <w:t>, 1995</w:t>
      </w:r>
      <w:r w:rsidR="00110A05" w:rsidRPr="00712B5A">
        <w:t xml:space="preserve">) </w:t>
      </w:r>
      <w:r w:rsidR="00A97BBC" w:rsidRPr="00712B5A">
        <w:t>that controls for such unobserved heterogeneity.</w:t>
      </w:r>
      <w:r w:rsidR="000B1D53" w:rsidRPr="00712B5A">
        <w:rPr>
          <w:rStyle w:val="FootnoteReference"/>
        </w:rPr>
        <w:footnoteReference w:id="4"/>
      </w:r>
      <w:r w:rsidR="00A97BBC" w:rsidRPr="00712B5A">
        <w:t xml:space="preserve"> </w:t>
      </w:r>
      <w:r w:rsidR="000D3D5F" w:rsidRPr="00712B5A">
        <w:t>I</w:t>
      </w:r>
      <w:r w:rsidR="003004DA" w:rsidRPr="00712B5A">
        <w:t xml:space="preserve">n panel estimation </w:t>
      </w:r>
      <w:r w:rsidR="00DC726F" w:rsidRPr="00712B5A">
        <w:t>the group-specific effects</w:t>
      </w:r>
      <w:r w:rsidR="00A97BBC" w:rsidRPr="00712B5A">
        <w:t xml:space="preserve"> control for </w:t>
      </w:r>
      <w:r w:rsidR="006A34C4" w:rsidRPr="00712B5A">
        <w:t>unobservable factors at school level</w:t>
      </w:r>
      <w:r w:rsidR="003004DA" w:rsidRPr="00712B5A">
        <w:t>,</w:t>
      </w:r>
      <w:r w:rsidR="00DC726F" w:rsidRPr="00712B5A">
        <w:t xml:space="preserve"> on the assumption that these are stable throughout the sample period. </w:t>
      </w:r>
      <w:r w:rsidR="00C56B5D" w:rsidRPr="00712B5A">
        <w:t>S</w:t>
      </w:r>
      <w:r w:rsidR="00A97BBC" w:rsidRPr="00712B5A">
        <w:t>choo</w:t>
      </w:r>
      <w:r w:rsidR="00C56B5D" w:rsidRPr="00712B5A">
        <w:t xml:space="preserve">l level variables that are not measurable (such as effort by pupils and teachers) that are constant (or slowly moving) are factored out (or largely factored out) by the school specific effect in the estimation. </w:t>
      </w:r>
      <w:r w:rsidR="003004DA" w:rsidRPr="00712B5A">
        <w:t>In addition</w:t>
      </w:r>
      <w:r w:rsidR="001D1982" w:rsidRPr="00712B5A">
        <w:t>,</w:t>
      </w:r>
      <w:r w:rsidR="003004DA" w:rsidRPr="00712B5A">
        <w:t xml:space="preserve"> the dynamic panel model provides ‘internal instruments’, </w:t>
      </w:r>
      <w:r w:rsidR="00C56B5D" w:rsidRPr="00712B5A">
        <w:t xml:space="preserve">not available in cross-sectional studies, </w:t>
      </w:r>
      <w:r w:rsidR="003004DA" w:rsidRPr="00712B5A">
        <w:t xml:space="preserve">from lagged and differenced values of the included variables, </w:t>
      </w:r>
      <w:r w:rsidR="00F163C7" w:rsidRPr="00712B5A">
        <w:t>which allows</w:t>
      </w:r>
      <w:r w:rsidR="003004DA" w:rsidRPr="00712B5A">
        <w:t xml:space="preserve"> the resource variable(s) to be treated as endogenous</w:t>
      </w:r>
      <w:r w:rsidR="00F163C7" w:rsidRPr="00712B5A">
        <w:t>, given that some heterogeneity</w:t>
      </w:r>
      <w:r w:rsidR="006A34C4" w:rsidRPr="00712B5A">
        <w:t xml:space="preserve"> still</w:t>
      </w:r>
      <w:r w:rsidR="00F163C7" w:rsidRPr="00712B5A">
        <w:t xml:space="preserve"> may not be fully accounted for by the </w:t>
      </w:r>
      <w:r w:rsidR="005207FB" w:rsidRPr="00712B5A">
        <w:t>other aspects of the modelling</w:t>
      </w:r>
      <w:r w:rsidR="003004DA" w:rsidRPr="00712B5A">
        <w:t xml:space="preserve">. </w:t>
      </w:r>
    </w:p>
    <w:p w:rsidR="00A97BBC" w:rsidRPr="00712B5A" w:rsidRDefault="00A97BBC" w:rsidP="00110A05">
      <w:pPr>
        <w:spacing w:line="480" w:lineRule="auto"/>
        <w:jc w:val="both"/>
      </w:pPr>
    </w:p>
    <w:p w:rsidR="00DC726F" w:rsidRPr="00712B5A" w:rsidRDefault="00C56B5D" w:rsidP="00110A05">
      <w:pPr>
        <w:spacing w:line="480" w:lineRule="auto"/>
        <w:jc w:val="both"/>
      </w:pPr>
      <w:r w:rsidRPr="00712B5A">
        <w:t xml:space="preserve">Our specification as a </w:t>
      </w:r>
      <w:r w:rsidR="004969F0" w:rsidRPr="00712B5A">
        <w:rPr>
          <w:i/>
        </w:rPr>
        <w:t>dynamic</w:t>
      </w:r>
      <w:r w:rsidRPr="00712B5A">
        <w:t xml:space="preserve"> panel model (i.e. the inclusion of the lagged d</w:t>
      </w:r>
      <w:r w:rsidR="001D1982" w:rsidRPr="00712B5A">
        <w:t>ependent variable in the model)</w:t>
      </w:r>
      <w:r w:rsidRPr="00712B5A">
        <w:t xml:space="preserve"> is</w:t>
      </w:r>
      <w:r w:rsidR="001D1982" w:rsidRPr="00712B5A">
        <w:t>,</w:t>
      </w:r>
      <w:r w:rsidRPr="00712B5A">
        <w:t xml:space="preserve"> however</w:t>
      </w:r>
      <w:r w:rsidR="006A34C4" w:rsidRPr="00712B5A">
        <w:t>,</w:t>
      </w:r>
      <w:r w:rsidRPr="00712B5A">
        <w:t xml:space="preserve"> based on theoretical grounds. </w:t>
      </w:r>
      <w:r w:rsidRPr="00712B5A">
        <w:rPr>
          <w:i/>
        </w:rPr>
        <w:t>A</w:t>
      </w:r>
      <w:r w:rsidR="00A97BBC" w:rsidRPr="00712B5A">
        <w:rPr>
          <w:i/>
        </w:rPr>
        <w:t xml:space="preserve"> priori</w:t>
      </w:r>
      <w:r w:rsidR="00A97BBC" w:rsidRPr="00712B5A">
        <w:t xml:space="preserve"> there are strong reasons for expecting lagged responses in schools to spending changes and associated improvement measures in education because</w:t>
      </w:r>
      <w:r w:rsidR="00520E07" w:rsidRPr="00712B5A">
        <w:t>,</w:t>
      </w:r>
      <w:r w:rsidR="00A97BBC" w:rsidRPr="00712B5A">
        <w:t xml:space="preserve"> for instance, changes take time to implement and to take effect. </w:t>
      </w:r>
      <w:r w:rsidRPr="00712B5A">
        <w:t xml:space="preserve">It is also the case that the effect of an expenditure change may be more important if it is there throughout </w:t>
      </w:r>
      <w:r w:rsidR="001D1982" w:rsidRPr="00712B5A">
        <w:t>a</w:t>
      </w:r>
      <w:r w:rsidRPr="00712B5A">
        <w:t xml:space="preserve"> student</w:t>
      </w:r>
      <w:r w:rsidR="00973E6E" w:rsidRPr="00712B5A">
        <w:t>’</w:t>
      </w:r>
      <w:r w:rsidRPr="00712B5A">
        <w:t xml:space="preserve">s time in the school rather than for one year towards the end. </w:t>
      </w:r>
    </w:p>
    <w:p w:rsidR="0039690B" w:rsidRDefault="0039690B" w:rsidP="00110A05">
      <w:pPr>
        <w:spacing w:line="480" w:lineRule="auto"/>
        <w:jc w:val="both"/>
      </w:pPr>
    </w:p>
    <w:p w:rsidR="005425CC" w:rsidRPr="00712B5A" w:rsidRDefault="005425CC" w:rsidP="00110A05">
      <w:pPr>
        <w:spacing w:line="480" w:lineRule="auto"/>
        <w:jc w:val="both"/>
      </w:pPr>
    </w:p>
    <w:p w:rsidR="00110A05" w:rsidRPr="00712B5A" w:rsidRDefault="00CC2AA3" w:rsidP="00110A05">
      <w:pPr>
        <w:pStyle w:val="Heading2"/>
        <w:rPr>
          <w:rStyle w:val="Heading1Char"/>
          <w:rFonts w:cs="Times New Roman"/>
          <w:i/>
          <w:iCs w:val="0"/>
          <w:sz w:val="24"/>
          <w:szCs w:val="24"/>
        </w:rPr>
      </w:pPr>
      <w:bookmarkStart w:id="7" w:name="_Toc207111317"/>
      <w:bookmarkStart w:id="8" w:name="_Toc207111642"/>
      <w:r w:rsidRPr="00712B5A">
        <w:rPr>
          <w:rStyle w:val="Heading1Char"/>
          <w:rFonts w:cs="Times New Roman"/>
          <w:i/>
          <w:iCs w:val="0"/>
          <w:sz w:val="24"/>
          <w:szCs w:val="24"/>
        </w:rPr>
        <w:t>The model</w:t>
      </w:r>
      <w:bookmarkEnd w:id="7"/>
      <w:bookmarkEnd w:id="8"/>
    </w:p>
    <w:p w:rsidR="00110A05" w:rsidRPr="00712B5A" w:rsidRDefault="00110A05" w:rsidP="00110A05">
      <w:pPr>
        <w:spacing w:line="480" w:lineRule="auto"/>
        <w:jc w:val="both"/>
      </w:pPr>
    </w:p>
    <w:p w:rsidR="00CA6D17" w:rsidRPr="00712B5A" w:rsidRDefault="00CC2AA3" w:rsidP="00A14CEF">
      <w:pPr>
        <w:spacing w:line="480" w:lineRule="auto"/>
        <w:jc w:val="both"/>
      </w:pPr>
      <w:r w:rsidRPr="00712B5A">
        <w:t>Equation 1 gives the general formulation, where school performance is hypothesised to depend on – i.e. to be a function (</w:t>
      </w:r>
      <w:r w:rsidRPr="00712B5A">
        <w:rPr>
          <w:i/>
        </w:rPr>
        <w:t>f</w:t>
      </w:r>
      <w:r w:rsidRPr="00712B5A">
        <w:t xml:space="preserve">) of - previous performance, </w:t>
      </w:r>
      <w:r w:rsidR="003806E4" w:rsidRPr="00712B5A">
        <w:t xml:space="preserve">school </w:t>
      </w:r>
      <w:r w:rsidRPr="00712B5A">
        <w:t>expenditure, a set of school level controls (that reflect</w:t>
      </w:r>
      <w:r w:rsidR="001D1982" w:rsidRPr="00712B5A">
        <w:t xml:space="preserve"> characteristics of the school </w:t>
      </w:r>
      <w:r w:rsidRPr="00712B5A">
        <w:t xml:space="preserve">such as size, the average level of experience of the teachers and school location) and of the aggregate characteristics of the students attending the school (such as school-level measures of deprivation) that may be related to performance. Each observation on each variable is uniquely identified as belonging to school </w:t>
      </w:r>
      <w:r w:rsidRPr="00712B5A">
        <w:rPr>
          <w:i/>
        </w:rPr>
        <w:t>i</w:t>
      </w:r>
      <w:r w:rsidRPr="00712B5A">
        <w:t xml:space="preserve">=1…N (where N is the number of schools in the sample) and year </w:t>
      </w:r>
      <w:r w:rsidRPr="00712B5A">
        <w:rPr>
          <w:i/>
        </w:rPr>
        <w:t>t</w:t>
      </w:r>
      <w:r w:rsidRPr="00712B5A">
        <w:t xml:space="preserve">=1…T (where T is the number of years for which we have data on schools). </w:t>
      </w:r>
    </w:p>
    <w:p w:rsidR="007E07C4" w:rsidRPr="00712B5A" w:rsidRDefault="007E07C4" w:rsidP="00A14CEF">
      <w:pPr>
        <w:spacing w:line="480" w:lineRule="auto"/>
        <w:jc w:val="both"/>
      </w:pPr>
    </w:p>
    <w:p w:rsidR="007E07C4" w:rsidRPr="00712B5A" w:rsidRDefault="007E07C4" w:rsidP="007E07C4">
      <w:pPr>
        <w:spacing w:line="480" w:lineRule="auto"/>
        <w:jc w:val="both"/>
      </w:pPr>
      <w:r w:rsidRPr="00712B5A">
        <w:object w:dxaOrig="6900" w:dyaOrig="2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2pt;height:134.2pt" o:ole="">
            <v:imagedata r:id="rId11" o:title=""/>
          </v:shape>
          <o:OLEObject Type="Embed" ProgID="Equation.3" ShapeID="_x0000_i1025" DrawAspect="Content" ObjectID="_1516963468" r:id="rId12"/>
        </w:object>
      </w:r>
    </w:p>
    <w:p w:rsidR="007E07C4" w:rsidRPr="00712B5A" w:rsidRDefault="007E07C4" w:rsidP="007E07C4">
      <w:pPr>
        <w:spacing w:line="480" w:lineRule="auto"/>
        <w:jc w:val="both"/>
      </w:pPr>
    </w:p>
    <w:p w:rsidR="00110A05" w:rsidRDefault="00CC2AA3" w:rsidP="00110A05">
      <w:pPr>
        <w:spacing w:line="480" w:lineRule="auto"/>
        <w:jc w:val="both"/>
      </w:pPr>
      <w:r w:rsidRPr="00712B5A">
        <w:t xml:space="preserve">A wide range of control variables are included in the model to take account of the </w:t>
      </w:r>
      <w:r w:rsidRPr="00712B5A">
        <w:rPr>
          <w:i/>
        </w:rPr>
        <w:t>observed</w:t>
      </w:r>
      <w:r w:rsidRPr="00712B5A">
        <w:t xml:space="preserve"> heterogeneity of schools and of their pupil cohorts. Accordingly, our estimates of the performance effects of school spending take account of the influence of each of t</w:t>
      </w:r>
      <w:r w:rsidR="001D1982" w:rsidRPr="00712B5A">
        <w:t xml:space="preserve">he observed control variables. </w:t>
      </w:r>
      <w:r w:rsidRPr="00712B5A">
        <w:t xml:space="preserve">Similarly, if we are interested in the particular influence of one or more of the control variables, the respective estimates </w:t>
      </w:r>
      <w:r w:rsidR="006A34C4" w:rsidRPr="00712B5A">
        <w:t>factor out</w:t>
      </w:r>
      <w:r w:rsidRPr="00712B5A">
        <w:t xml:space="preserve"> the influence of spending as well as of each </w:t>
      </w:r>
      <w:r w:rsidR="001D1982" w:rsidRPr="00712B5A">
        <w:t>of the other control variables.</w:t>
      </w:r>
      <w:r w:rsidRPr="00712B5A">
        <w:t xml:space="preserve"> The </w:t>
      </w:r>
      <w:r w:rsidRPr="00712B5A">
        <w:rPr>
          <w:i/>
        </w:rPr>
        <w:t>unobserved</w:t>
      </w:r>
      <w:r w:rsidRPr="00712B5A">
        <w:t xml:space="preserve"> heterogeneity at school level is controlled for by </w:t>
      </w:r>
      <w:r w:rsidRPr="00712B5A">
        <w:rPr>
          <w:i/>
        </w:rPr>
        <w:t>v</w:t>
      </w:r>
      <w:r w:rsidRPr="00712B5A">
        <w:rPr>
          <w:i/>
          <w:vertAlign w:val="subscript"/>
        </w:rPr>
        <w:t>i</w:t>
      </w:r>
      <w:r w:rsidR="0002528F" w:rsidRPr="00712B5A">
        <w:t>,</w:t>
      </w:r>
      <w:r w:rsidRPr="00712B5A">
        <w:t xml:space="preserve"> the group-level effects; and the addition of sets of time and regional dummies also controls both for time invariant (or, at least slowly moving) characteristics of the regions that may affect school performance and for developments in some particular period that may affect all schools in the sample in much the same way.  The observation-specific error term is </w:t>
      </w:r>
      <w:proofErr w:type="spellStart"/>
      <w:r w:rsidRPr="00712B5A">
        <w:rPr>
          <w:i/>
        </w:rPr>
        <w:t>ε</w:t>
      </w:r>
      <w:r w:rsidRPr="00712B5A">
        <w:rPr>
          <w:i/>
          <w:vertAlign w:val="subscript"/>
        </w:rPr>
        <w:t>it</w:t>
      </w:r>
      <w:proofErr w:type="spellEnd"/>
      <w:r w:rsidRPr="00712B5A">
        <w:t>.</w:t>
      </w:r>
    </w:p>
    <w:p w:rsidR="007E07C4" w:rsidRPr="007E07C4" w:rsidRDefault="007E07C4" w:rsidP="00110A05">
      <w:pPr>
        <w:spacing w:line="480" w:lineRule="auto"/>
        <w:jc w:val="both"/>
      </w:pPr>
    </w:p>
    <w:p w:rsidR="008307B2" w:rsidRPr="009234D5" w:rsidRDefault="008307B2" w:rsidP="008307B2">
      <w:pPr>
        <w:pStyle w:val="Heading2"/>
        <w:rPr>
          <w:rStyle w:val="Heading1Char"/>
          <w:rFonts w:cs="Times New Roman"/>
          <w:i/>
          <w:iCs w:val="0"/>
          <w:sz w:val="24"/>
          <w:szCs w:val="24"/>
        </w:rPr>
      </w:pPr>
      <w:r w:rsidRPr="009234D5">
        <w:rPr>
          <w:rStyle w:val="Heading1Char"/>
          <w:rFonts w:cs="Times New Roman"/>
          <w:i/>
          <w:iCs w:val="0"/>
          <w:sz w:val="24"/>
          <w:szCs w:val="24"/>
        </w:rPr>
        <w:t xml:space="preserve">Data and Variables </w:t>
      </w:r>
    </w:p>
    <w:p w:rsidR="008307B2" w:rsidRDefault="008307B2" w:rsidP="008307B2">
      <w:pPr>
        <w:spacing w:line="480" w:lineRule="auto"/>
        <w:jc w:val="both"/>
        <w:rPr>
          <w:color w:val="FF0000"/>
          <w:lang w:eastAsia="zh-CN"/>
        </w:rPr>
      </w:pPr>
    </w:p>
    <w:p w:rsidR="00AC418D" w:rsidRDefault="008307B2" w:rsidP="00AC418D">
      <w:pPr>
        <w:spacing w:line="480" w:lineRule="auto"/>
        <w:jc w:val="both"/>
        <w:rPr>
          <w:lang w:eastAsia="zh-CN"/>
        </w:rPr>
      </w:pPr>
      <w:r w:rsidRPr="00FA405D">
        <w:rPr>
          <w:lang w:eastAsia="zh-CN"/>
        </w:rPr>
        <w:t xml:space="preserve">The data for this study came from the Departmental Annual Financial Statements in the state of New South Wales. The dataset </w:t>
      </w:r>
      <w:r w:rsidR="00456508" w:rsidRPr="00FA405D">
        <w:rPr>
          <w:lang w:eastAsia="zh-CN"/>
        </w:rPr>
        <w:t>contain</w:t>
      </w:r>
      <w:r w:rsidR="00456508">
        <w:rPr>
          <w:lang w:eastAsia="zh-CN"/>
        </w:rPr>
        <w:t>s</w:t>
      </w:r>
      <w:r w:rsidR="00456508" w:rsidRPr="00FA405D">
        <w:rPr>
          <w:lang w:eastAsia="zh-CN"/>
        </w:rPr>
        <w:t xml:space="preserve"> </w:t>
      </w:r>
      <w:r w:rsidRPr="00FA405D">
        <w:rPr>
          <w:lang w:eastAsia="zh-CN"/>
        </w:rPr>
        <w:t xml:space="preserve">detailed information on several </w:t>
      </w:r>
      <w:r w:rsidR="00456508">
        <w:rPr>
          <w:lang w:eastAsia="zh-CN"/>
        </w:rPr>
        <w:t xml:space="preserve">financial </w:t>
      </w:r>
      <w:r w:rsidRPr="00540C9E">
        <w:rPr>
          <w:lang w:eastAsia="zh-CN"/>
        </w:rPr>
        <w:t xml:space="preserve">inputs/outputs and other socio-economic variables for all secondary schools in NSW. </w:t>
      </w:r>
      <w:r w:rsidR="00AC418D" w:rsidRPr="00540C9E">
        <w:rPr>
          <w:lang w:eastAsia="zh-CN"/>
        </w:rPr>
        <w:t>In NSW the Higher School Certificate (HSC) is the school certificate awarded to students at the end of 13 years of schooling who have completed a pattern of Preliminary and HSC units. However, students take a range of subjects with different means and standard deviations. For this study an overall student achievement measure is needed and the ATAR score is employed</w:t>
      </w:r>
      <w:r w:rsidR="00154067" w:rsidRPr="00540C9E">
        <w:rPr>
          <w:lang w:eastAsia="zh-CN"/>
        </w:rPr>
        <w:t>,</w:t>
      </w:r>
      <w:r w:rsidR="00AC418D" w:rsidRPr="00540C9E">
        <w:rPr>
          <w:lang w:eastAsia="zh-CN"/>
        </w:rPr>
        <w:t xml:space="preserve"> as this is the single unit of comparison in the Australian context </w:t>
      </w:r>
      <w:r w:rsidR="00154067" w:rsidRPr="00540C9E">
        <w:rPr>
          <w:lang w:eastAsia="zh-CN"/>
        </w:rPr>
        <w:t>that</w:t>
      </w:r>
      <w:r w:rsidR="00AC418D" w:rsidRPr="00540C9E">
        <w:rPr>
          <w:lang w:eastAsia="zh-CN"/>
        </w:rPr>
        <w:t xml:space="preserve"> allows comparison between students who have completed different combinations of HSC courses. The ATAR is a ranking of examination performance for HE selection, but ATARs are calculated for all ATAR-eligible students. To be eligible students need to have completed 10 units of ATAR courses, including </w:t>
      </w:r>
      <w:r w:rsidR="00154067" w:rsidRPr="00540C9E">
        <w:rPr>
          <w:lang w:eastAsia="zh-CN"/>
        </w:rPr>
        <w:t>two</w:t>
      </w:r>
      <w:r w:rsidR="00AC418D" w:rsidRPr="00540C9E">
        <w:rPr>
          <w:lang w:eastAsia="zh-CN"/>
        </w:rPr>
        <w:t xml:space="preserve"> units of English. The scaling to derive the score takes into account differences in the abilities between students taking various courses to enable comparison across </w:t>
      </w:r>
      <w:proofErr w:type="gramStart"/>
      <w:r w:rsidR="00AC418D" w:rsidRPr="00540C9E">
        <w:rPr>
          <w:lang w:eastAsia="zh-CN"/>
        </w:rPr>
        <w:t>students, that is</w:t>
      </w:r>
      <w:proofErr w:type="gramEnd"/>
      <w:r w:rsidR="00AC418D" w:rsidRPr="00540C9E">
        <w:rPr>
          <w:lang w:eastAsia="zh-CN"/>
        </w:rPr>
        <w:t xml:space="preserve"> to give equivalence.  The </w:t>
      </w:r>
      <w:r w:rsidR="00AC418D" w:rsidRPr="00540C9E">
        <w:t xml:space="preserve">ATAR is given as a percentile, and represents how many students </w:t>
      </w:r>
      <w:r w:rsidR="00154067" w:rsidRPr="00540C9E">
        <w:t>obtained</w:t>
      </w:r>
      <w:r w:rsidR="00AC418D" w:rsidRPr="00540C9E">
        <w:t xml:space="preserve"> a lower aggregate than the given student. </w:t>
      </w:r>
      <w:r w:rsidR="00AC418D" w:rsidRPr="00540C9E">
        <w:rPr>
          <w:lang w:eastAsia="zh-CN"/>
        </w:rPr>
        <w:t>In the period of this study close to 80</w:t>
      </w:r>
      <w:r w:rsidR="00154067" w:rsidRPr="00540C9E">
        <w:rPr>
          <w:lang w:eastAsia="zh-CN"/>
        </w:rPr>
        <w:t xml:space="preserve"> per cent</w:t>
      </w:r>
      <w:r w:rsidR="00AC418D" w:rsidRPr="00540C9E">
        <w:rPr>
          <w:lang w:eastAsia="zh-CN"/>
        </w:rPr>
        <w:t xml:space="preserve"> of the HSC candidature received an ATAR score (NSW Vice-Chancellor’s Committee – Technical Committee on Scaling, 2012).</w:t>
      </w:r>
    </w:p>
    <w:p w:rsidR="00AC418D" w:rsidRDefault="00AC418D" w:rsidP="00DB1053">
      <w:pPr>
        <w:spacing w:line="480" w:lineRule="auto"/>
        <w:jc w:val="both"/>
      </w:pPr>
    </w:p>
    <w:p w:rsidR="00DB1053" w:rsidRPr="0060715D" w:rsidRDefault="00CC2AA3" w:rsidP="00DB1053">
      <w:pPr>
        <w:spacing w:line="480" w:lineRule="auto"/>
        <w:jc w:val="both"/>
      </w:pPr>
      <w:r w:rsidRPr="0060715D">
        <w:t>The recent dynamic panel data study (</w:t>
      </w:r>
      <w:r w:rsidR="009E09F2" w:rsidRPr="0060715D">
        <w:t>Pugh</w:t>
      </w:r>
      <w:r w:rsidR="009E09F2" w:rsidRPr="0060715D">
        <w:rPr>
          <w:i/>
        </w:rPr>
        <w:t xml:space="preserve"> et al.</w:t>
      </w:r>
      <w:r w:rsidRPr="0060715D">
        <w:t xml:space="preserve"> 2011) covered a five year period (2003-2007) in England when real (inflation-adjusted) expenditure per student rose by more than 20</w:t>
      </w:r>
      <w:r w:rsidR="00B36CE0" w:rsidRPr="0060715D">
        <w:t xml:space="preserve"> per cent </w:t>
      </w:r>
      <w:r w:rsidRPr="0060715D">
        <w:t xml:space="preserve">and there also was a strong upward trend in the performance measure. The latter cannot be the case </w:t>
      </w:r>
      <w:r w:rsidR="00DB1053" w:rsidRPr="0060715D">
        <w:t>here, given that we have a</w:t>
      </w:r>
      <w:r w:rsidR="001D1982" w:rsidRPr="0060715D">
        <w:t xml:space="preserve"> relative performance measure. </w:t>
      </w:r>
      <w:r w:rsidR="00DB1053" w:rsidRPr="0060715D">
        <w:t>However, compared to England, the increase in expenditure in NSW was considerably smaller over the sample period (2006-2010) at a little less than 7 per</w:t>
      </w:r>
      <w:r w:rsidR="00CA6EB0" w:rsidRPr="0060715D">
        <w:t xml:space="preserve"> </w:t>
      </w:r>
      <w:r w:rsidR="00DB1053" w:rsidRPr="0060715D">
        <w:t xml:space="preserve">cent (from around </w:t>
      </w:r>
      <w:proofErr w:type="gramStart"/>
      <w:r w:rsidR="00DB1053" w:rsidRPr="0060715D">
        <w:t>A$</w:t>
      </w:r>
      <w:proofErr w:type="gramEnd"/>
      <w:r w:rsidR="00DB1053" w:rsidRPr="0060715D">
        <w:t>10,500 to around A$11,200 per student at 2005 prices)</w:t>
      </w:r>
      <w:r w:rsidR="00973E6E" w:rsidRPr="0060715D">
        <w:t>. T</w:t>
      </w:r>
      <w:r w:rsidR="00DB1053" w:rsidRPr="0060715D">
        <w:t>hus analysis of the relative performance of schools</w:t>
      </w:r>
      <w:r w:rsidR="00973E6E" w:rsidRPr="0060715D">
        <w:t>,</w:t>
      </w:r>
      <w:r w:rsidR="00DB1053" w:rsidRPr="0060715D">
        <w:t xml:space="preserve"> rather than the </w:t>
      </w:r>
      <w:r w:rsidR="002B713D" w:rsidRPr="0060715D">
        <w:t>e</w:t>
      </w:r>
      <w:r w:rsidR="00DB1053" w:rsidRPr="0060715D">
        <w:t xml:space="preserve">ffect of </w:t>
      </w:r>
      <w:r w:rsidR="001D1982" w:rsidRPr="0060715D">
        <w:t>overall expenditure increases</w:t>
      </w:r>
      <w:r w:rsidR="00DB1053" w:rsidRPr="0060715D">
        <w:t>, is of more importance here</w:t>
      </w:r>
      <w:r w:rsidR="006A34C4" w:rsidRPr="0060715D">
        <w:t xml:space="preserve"> than in the English study</w:t>
      </w:r>
      <w:r w:rsidR="00DB1053" w:rsidRPr="0060715D">
        <w:t xml:space="preserve">. </w:t>
      </w:r>
    </w:p>
    <w:p w:rsidR="00DB1053" w:rsidRPr="0060715D" w:rsidRDefault="00DB1053" w:rsidP="008307B2">
      <w:pPr>
        <w:spacing w:line="480" w:lineRule="auto"/>
        <w:jc w:val="both"/>
      </w:pPr>
    </w:p>
    <w:p w:rsidR="008307B2" w:rsidRDefault="008307B2" w:rsidP="008307B2">
      <w:pPr>
        <w:spacing w:line="480" w:lineRule="auto"/>
        <w:jc w:val="both"/>
        <w:rPr>
          <w:lang w:eastAsia="zh-CN"/>
        </w:rPr>
      </w:pPr>
      <w:r w:rsidRPr="0060715D">
        <w:rPr>
          <w:lang w:eastAsia="zh-CN"/>
        </w:rPr>
        <w:t xml:space="preserve">Total expenditure per student includes Central Department determined salaries for teachers and support staff, as well as other operating expenses (maintenance, cleaning etc.). </w:t>
      </w:r>
      <w:r w:rsidR="00D24EDD" w:rsidRPr="0060715D">
        <w:rPr>
          <w:lang w:eastAsia="zh-CN"/>
        </w:rPr>
        <w:t>Since the centrally determined payments for staff were a large proportion of total expenditure during this period</w:t>
      </w:r>
      <w:r w:rsidR="00270584" w:rsidRPr="0060715D">
        <w:rPr>
          <w:lang w:eastAsia="zh-CN"/>
        </w:rPr>
        <w:t>,</w:t>
      </w:r>
      <w:r w:rsidR="00CD2B32" w:rsidRPr="0060715D">
        <w:rPr>
          <w:rStyle w:val="FootnoteReference"/>
          <w:lang w:eastAsia="zh-CN"/>
        </w:rPr>
        <w:footnoteReference w:id="5"/>
      </w:r>
      <w:r w:rsidR="00D24EDD" w:rsidRPr="0060715D">
        <w:rPr>
          <w:lang w:eastAsia="zh-CN"/>
        </w:rPr>
        <w:t xml:space="preserve"> we favoured a wider measure of expenditure that allowed more discretion at school level</w:t>
      </w:r>
      <w:r w:rsidR="00DB1053" w:rsidRPr="0060715D">
        <w:rPr>
          <w:lang w:eastAsia="zh-CN"/>
        </w:rPr>
        <w:t>, particularly given the findings of Lamb (2004) for Victoria that found locally raised funds of importance</w:t>
      </w:r>
      <w:r w:rsidR="00D24EDD" w:rsidRPr="0060715D">
        <w:rPr>
          <w:lang w:eastAsia="zh-CN"/>
        </w:rPr>
        <w:t xml:space="preserve">. </w:t>
      </w:r>
      <w:r w:rsidRPr="0060715D">
        <w:rPr>
          <w:lang w:eastAsia="zh-CN"/>
        </w:rPr>
        <w:t xml:space="preserve">School Own Source expenditure was identified as a separate expense item and has been added to </w:t>
      </w:r>
      <w:r w:rsidR="00D24EDD" w:rsidRPr="0060715D">
        <w:rPr>
          <w:lang w:eastAsia="zh-CN"/>
        </w:rPr>
        <w:t>total expenditure</w:t>
      </w:r>
      <w:r w:rsidRPr="0060715D">
        <w:rPr>
          <w:lang w:eastAsia="zh-CN"/>
        </w:rPr>
        <w:t xml:space="preserve"> to derive </w:t>
      </w:r>
      <w:r w:rsidR="00D24EDD" w:rsidRPr="0060715D">
        <w:rPr>
          <w:lang w:eastAsia="zh-CN"/>
        </w:rPr>
        <w:t xml:space="preserve">the </w:t>
      </w:r>
      <w:r w:rsidR="0046243B" w:rsidRPr="0060715D">
        <w:rPr>
          <w:lang w:eastAsia="zh-CN"/>
        </w:rPr>
        <w:t>a</w:t>
      </w:r>
      <w:r w:rsidR="000C1F70" w:rsidRPr="0060715D">
        <w:rPr>
          <w:lang w:eastAsia="zh-CN"/>
        </w:rPr>
        <w:t>ggregate school</w:t>
      </w:r>
      <w:r w:rsidR="000C1F70" w:rsidRPr="0060715D">
        <w:rPr>
          <w:rStyle w:val="CommentReference"/>
        </w:rPr>
        <w:t xml:space="preserve"> </w:t>
      </w:r>
      <w:r w:rsidR="000C1F70" w:rsidRPr="0060715D">
        <w:rPr>
          <w:rStyle w:val="CommentReference"/>
          <w:sz w:val="24"/>
          <w:szCs w:val="24"/>
        </w:rPr>
        <w:t>e</w:t>
      </w:r>
      <w:r w:rsidR="0046243B" w:rsidRPr="0060715D">
        <w:rPr>
          <w:lang w:eastAsia="zh-CN"/>
        </w:rPr>
        <w:t xml:space="preserve">xpenditure </w:t>
      </w:r>
      <w:r w:rsidRPr="0060715D">
        <w:rPr>
          <w:lang w:eastAsia="zh-CN"/>
        </w:rPr>
        <w:t>variable.</w:t>
      </w:r>
      <w:r w:rsidR="00D60DF1" w:rsidRPr="0060715D">
        <w:rPr>
          <w:rStyle w:val="FootnoteReference"/>
          <w:lang w:eastAsia="zh-CN"/>
        </w:rPr>
        <w:footnoteReference w:id="6"/>
      </w:r>
      <w:r w:rsidRPr="0060715D">
        <w:rPr>
          <w:lang w:eastAsia="zh-CN"/>
        </w:rPr>
        <w:t xml:space="preserve"> </w:t>
      </w:r>
      <w:r w:rsidR="009108B9" w:rsidRPr="0060715D">
        <w:rPr>
          <w:lang w:eastAsia="zh-CN"/>
        </w:rPr>
        <w:t>However, the amount of discretion available to schools was limited at this time, a considerati</w:t>
      </w:r>
      <w:r w:rsidR="00263BD1" w:rsidRPr="0060715D">
        <w:rPr>
          <w:lang w:eastAsia="zh-CN"/>
        </w:rPr>
        <w:t>on in our policy discussion in S</w:t>
      </w:r>
      <w:r w:rsidR="009108B9" w:rsidRPr="0060715D">
        <w:rPr>
          <w:lang w:eastAsia="zh-CN"/>
        </w:rPr>
        <w:t>ection 6.</w:t>
      </w:r>
    </w:p>
    <w:p w:rsidR="000356D7" w:rsidRDefault="000356D7" w:rsidP="008307B2">
      <w:pPr>
        <w:spacing w:line="480" w:lineRule="auto"/>
        <w:jc w:val="both"/>
        <w:rPr>
          <w:lang w:eastAsia="zh-CN"/>
        </w:rPr>
      </w:pPr>
    </w:p>
    <w:p w:rsidR="00522031" w:rsidRDefault="00522031" w:rsidP="008C5D44">
      <w:pPr>
        <w:spacing w:line="480" w:lineRule="auto"/>
        <w:jc w:val="both"/>
        <w:rPr>
          <w:bCs/>
          <w:iCs/>
          <w:color w:val="000000"/>
        </w:rPr>
      </w:pPr>
      <w:r>
        <w:rPr>
          <w:bCs/>
          <w:iCs/>
          <w:color w:val="000000"/>
        </w:rPr>
        <w:t xml:space="preserve">Figure </w:t>
      </w:r>
      <w:r w:rsidR="00BF1456">
        <w:rPr>
          <w:bCs/>
          <w:iCs/>
          <w:color w:val="000000"/>
        </w:rPr>
        <w:t>1</w:t>
      </w:r>
      <w:r>
        <w:rPr>
          <w:bCs/>
          <w:iCs/>
          <w:color w:val="000000"/>
        </w:rPr>
        <w:t xml:space="preserve"> gives the distribution of the median ATAR scores in the sample, which is approximately normal, except for a cluster of high scoring schools that are largely selective</w:t>
      </w:r>
      <w:r w:rsidR="003F022C">
        <w:rPr>
          <w:bCs/>
          <w:iCs/>
          <w:color w:val="000000"/>
        </w:rPr>
        <w:t xml:space="preserve"> (all schools with a score of over 90 are selectiv</w:t>
      </w:r>
      <w:r w:rsidR="00685BB0">
        <w:rPr>
          <w:bCs/>
          <w:iCs/>
          <w:color w:val="000000"/>
        </w:rPr>
        <w:t>e and most with scores over 80)</w:t>
      </w:r>
      <w:r>
        <w:rPr>
          <w:bCs/>
          <w:iCs/>
          <w:color w:val="000000"/>
        </w:rPr>
        <w:t>.</w:t>
      </w:r>
    </w:p>
    <w:p w:rsidR="003802A0" w:rsidRDefault="003802A0" w:rsidP="008C5D44">
      <w:pPr>
        <w:spacing w:line="480" w:lineRule="auto"/>
        <w:jc w:val="both"/>
        <w:rPr>
          <w:b/>
          <w:bCs/>
          <w:i/>
          <w:iCs/>
          <w:color w:val="000000"/>
        </w:rPr>
      </w:pPr>
    </w:p>
    <w:p w:rsidR="003802A0" w:rsidRPr="003802A0" w:rsidRDefault="003802A0" w:rsidP="003802A0">
      <w:pPr>
        <w:spacing w:line="480" w:lineRule="auto"/>
        <w:jc w:val="both"/>
        <w:rPr>
          <w:b/>
          <w:bCs/>
          <w:i/>
          <w:iCs/>
          <w:color w:val="000000"/>
        </w:rPr>
      </w:pPr>
      <w:proofErr w:type="gramStart"/>
      <w:r w:rsidRPr="003802A0">
        <w:rPr>
          <w:b/>
          <w:bCs/>
          <w:i/>
          <w:iCs/>
          <w:color w:val="000000"/>
        </w:rPr>
        <w:t>Figure 1.</w:t>
      </w:r>
      <w:proofErr w:type="gramEnd"/>
      <w:r w:rsidRPr="003802A0">
        <w:rPr>
          <w:b/>
          <w:bCs/>
          <w:i/>
          <w:iCs/>
          <w:color w:val="000000"/>
        </w:rPr>
        <w:t xml:space="preserve"> Histogram of Median ATAR Scores, 2006-10 </w:t>
      </w:r>
    </w:p>
    <w:p w:rsidR="003802A0" w:rsidRPr="003802A0" w:rsidRDefault="003802A0" w:rsidP="003802A0">
      <w:pPr>
        <w:spacing w:line="480" w:lineRule="auto"/>
        <w:jc w:val="both"/>
        <w:rPr>
          <w:b/>
          <w:bCs/>
          <w:i/>
          <w:iCs/>
          <w:color w:val="000000"/>
        </w:rPr>
      </w:pPr>
      <w:r w:rsidRPr="003802A0">
        <w:rPr>
          <w:b/>
          <w:bCs/>
          <w:i/>
          <w:iCs/>
          <w:noProof/>
          <w:color w:val="000000"/>
        </w:rPr>
        <w:drawing>
          <wp:inline distT="0" distB="0" distL="0" distR="0">
            <wp:extent cx="5124450" cy="3743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24450" cy="3743325"/>
                    </a:xfrm>
                    <a:prstGeom prst="rect">
                      <a:avLst/>
                    </a:prstGeom>
                    <a:noFill/>
                    <a:ln>
                      <a:noFill/>
                    </a:ln>
                  </pic:spPr>
                </pic:pic>
              </a:graphicData>
            </a:graphic>
          </wp:inline>
        </w:drawing>
      </w:r>
    </w:p>
    <w:p w:rsidR="00F616FF" w:rsidRDefault="00F616FF" w:rsidP="00792336">
      <w:pPr>
        <w:spacing w:line="480" w:lineRule="auto"/>
        <w:jc w:val="both"/>
        <w:rPr>
          <w:bCs/>
          <w:iCs/>
          <w:color w:val="000000"/>
        </w:rPr>
      </w:pPr>
      <w:r w:rsidRPr="004C50CB">
        <w:t>In order to compare expenditure over time it is important to remove the effect of inflation</w:t>
      </w:r>
      <w:r w:rsidR="002B28F7">
        <w:t xml:space="preserve"> on expenditure</w:t>
      </w:r>
      <w:r w:rsidRPr="004C50CB">
        <w:t xml:space="preserve">, </w:t>
      </w:r>
      <w:r>
        <w:t>and the data was deflated using the CPI for Sydney</w:t>
      </w:r>
      <w:r w:rsidR="00456508">
        <w:t xml:space="preserve">, to give real expenditure with a base </w:t>
      </w:r>
      <w:r w:rsidR="00F15A72">
        <w:t xml:space="preserve">year </w:t>
      </w:r>
      <w:r w:rsidR="00456508">
        <w:t>of 2005</w:t>
      </w:r>
      <w:r w:rsidRPr="004C50CB">
        <w:t xml:space="preserve">.  </w:t>
      </w:r>
      <w:r>
        <w:t>The expenditure v</w:t>
      </w:r>
      <w:r w:rsidR="00556F37">
        <w:t>ariables are expressed per full-</w:t>
      </w:r>
      <w:r>
        <w:t>time equivalent student</w:t>
      </w:r>
      <w:r w:rsidR="007B4C82">
        <w:t xml:space="preserve"> (FTE)</w:t>
      </w:r>
      <w:r>
        <w:t>.</w:t>
      </w:r>
      <w:r w:rsidRPr="00F616FF">
        <w:rPr>
          <w:bCs/>
          <w:iCs/>
          <w:color w:val="000000"/>
        </w:rPr>
        <w:t xml:space="preserve"> </w:t>
      </w:r>
      <w:r>
        <w:rPr>
          <w:bCs/>
          <w:iCs/>
          <w:color w:val="000000"/>
        </w:rPr>
        <w:t xml:space="preserve">Figure </w:t>
      </w:r>
      <w:r w:rsidR="00BF1456">
        <w:rPr>
          <w:bCs/>
          <w:iCs/>
          <w:color w:val="000000"/>
        </w:rPr>
        <w:t>2</w:t>
      </w:r>
      <w:r>
        <w:rPr>
          <w:bCs/>
          <w:iCs/>
          <w:color w:val="000000"/>
        </w:rPr>
        <w:t xml:space="preserve"> gives the distribution of the aggregated expenditure </w:t>
      </w:r>
      <w:r w:rsidR="00F91722">
        <w:rPr>
          <w:bCs/>
          <w:iCs/>
          <w:color w:val="000000"/>
        </w:rPr>
        <w:t xml:space="preserve">variable </w:t>
      </w:r>
      <w:r>
        <w:rPr>
          <w:bCs/>
          <w:iCs/>
          <w:color w:val="000000"/>
        </w:rPr>
        <w:t xml:space="preserve">in the sample; given this was strongly right skewed the natural logarithm is used in the estimations. </w:t>
      </w:r>
      <w:r w:rsidR="002B28F7">
        <w:rPr>
          <w:bCs/>
          <w:iCs/>
          <w:color w:val="000000"/>
        </w:rPr>
        <w:t>As well as this statistical reason, there is also a good theoretical reason to transform the expenditure variable into a natural logarithm. The model</w:t>
      </w:r>
      <w:r w:rsidR="00456508">
        <w:rPr>
          <w:bCs/>
          <w:iCs/>
          <w:color w:val="000000"/>
        </w:rPr>
        <w:t>,</w:t>
      </w:r>
      <w:r w:rsidR="002B28F7">
        <w:rPr>
          <w:bCs/>
          <w:iCs/>
          <w:color w:val="000000"/>
        </w:rPr>
        <w:t xml:space="preserve"> set out in Equation 1</w:t>
      </w:r>
      <w:r w:rsidR="00456508">
        <w:rPr>
          <w:bCs/>
          <w:iCs/>
          <w:color w:val="000000"/>
        </w:rPr>
        <w:t>,</w:t>
      </w:r>
      <w:r w:rsidR="002B28F7">
        <w:rPr>
          <w:bCs/>
          <w:iCs/>
          <w:color w:val="000000"/>
        </w:rPr>
        <w:t xml:space="preserve"> is an educational production function: namely, schools transform input</w:t>
      </w:r>
      <w:r w:rsidR="00A85F2A">
        <w:rPr>
          <w:bCs/>
          <w:iCs/>
          <w:color w:val="000000"/>
        </w:rPr>
        <w:t>s</w:t>
      </w:r>
      <w:r w:rsidR="002B28F7">
        <w:rPr>
          <w:bCs/>
          <w:iCs/>
          <w:color w:val="000000"/>
        </w:rPr>
        <w:t xml:space="preserve"> (captured by real per </w:t>
      </w:r>
      <w:r w:rsidR="001E459C">
        <w:rPr>
          <w:bCs/>
          <w:iCs/>
          <w:color w:val="000000"/>
        </w:rPr>
        <w:t>student</w:t>
      </w:r>
      <w:r w:rsidR="002B28F7">
        <w:rPr>
          <w:bCs/>
          <w:iCs/>
          <w:color w:val="000000"/>
        </w:rPr>
        <w:t xml:space="preserve"> expenditure) into some output (attainment measured by test scores). It is to be expected that this transformation is subject to diminishing returns: in other words, an increase in expenditure at some low level of expenditure yields a larger gain in attainment than would a similar size increase at </w:t>
      </w:r>
      <w:r w:rsidR="00A85F2A">
        <w:rPr>
          <w:bCs/>
          <w:iCs/>
          <w:color w:val="000000"/>
        </w:rPr>
        <w:t>some</w:t>
      </w:r>
      <w:r w:rsidR="002B28F7">
        <w:rPr>
          <w:bCs/>
          <w:iCs/>
          <w:color w:val="000000"/>
        </w:rPr>
        <w:t xml:space="preserve"> higher level of expenditure. The corresponding functional form for estimation is defined by regressing the level of attainment on the natural logarithm of expenditure</w:t>
      </w:r>
      <w:r w:rsidR="00C359F9">
        <w:rPr>
          <w:bCs/>
          <w:iCs/>
          <w:color w:val="000000"/>
        </w:rPr>
        <w:t xml:space="preserve"> and</w:t>
      </w:r>
      <w:r w:rsidR="00D72AC0">
        <w:rPr>
          <w:bCs/>
          <w:iCs/>
          <w:color w:val="000000"/>
        </w:rPr>
        <w:t>,</w:t>
      </w:r>
      <w:r w:rsidR="00C359F9">
        <w:rPr>
          <w:bCs/>
          <w:iCs/>
          <w:color w:val="000000"/>
        </w:rPr>
        <w:t xml:space="preserve"> given the discussion above, t</w:t>
      </w:r>
      <w:r w:rsidR="00490F36">
        <w:rPr>
          <w:bCs/>
          <w:iCs/>
          <w:color w:val="000000"/>
        </w:rPr>
        <w:t xml:space="preserve">his variable is treated as endogenous in our </w:t>
      </w:r>
      <w:r w:rsidR="00C359F9">
        <w:rPr>
          <w:bCs/>
          <w:iCs/>
          <w:color w:val="000000"/>
        </w:rPr>
        <w:t xml:space="preserve">estimation. </w:t>
      </w:r>
    </w:p>
    <w:p w:rsidR="004D0484" w:rsidRDefault="004D0484" w:rsidP="004D0484">
      <w:pPr>
        <w:spacing w:line="480" w:lineRule="auto"/>
        <w:rPr>
          <w:b/>
          <w:bCs/>
          <w:i/>
          <w:iCs/>
          <w:color w:val="000000"/>
        </w:rPr>
      </w:pPr>
    </w:p>
    <w:p w:rsidR="009F7077" w:rsidRDefault="009F7077">
      <w:pPr>
        <w:rPr>
          <w:b/>
          <w:bCs/>
          <w:i/>
          <w:iCs/>
          <w:color w:val="000000"/>
        </w:rPr>
      </w:pPr>
      <w:r>
        <w:rPr>
          <w:b/>
          <w:bCs/>
          <w:i/>
          <w:iCs/>
          <w:color w:val="000000"/>
        </w:rPr>
        <w:br w:type="page"/>
      </w:r>
    </w:p>
    <w:p w:rsidR="004D0484" w:rsidRPr="004D0484" w:rsidRDefault="004D0484" w:rsidP="004D0484">
      <w:pPr>
        <w:spacing w:line="480" w:lineRule="auto"/>
        <w:rPr>
          <w:b/>
          <w:bCs/>
          <w:i/>
          <w:iCs/>
          <w:color w:val="000000"/>
        </w:rPr>
      </w:pPr>
      <w:proofErr w:type="gramStart"/>
      <w:r w:rsidRPr="004D0484">
        <w:rPr>
          <w:b/>
          <w:bCs/>
          <w:i/>
          <w:iCs/>
          <w:color w:val="000000"/>
        </w:rPr>
        <w:t>Figure 2.</w:t>
      </w:r>
      <w:proofErr w:type="gramEnd"/>
      <w:r w:rsidRPr="004D0484">
        <w:rPr>
          <w:b/>
          <w:bCs/>
          <w:i/>
          <w:iCs/>
          <w:color w:val="000000"/>
        </w:rPr>
        <w:t xml:space="preserve"> Histogram of Aggregated Expenditure by Schools, per FTE, 2006-10, deflated </w:t>
      </w:r>
    </w:p>
    <w:p w:rsidR="004D0484" w:rsidRPr="004D0484" w:rsidRDefault="004D0484" w:rsidP="004D0484">
      <w:pPr>
        <w:spacing w:line="480" w:lineRule="auto"/>
        <w:rPr>
          <w:bCs/>
          <w:i/>
          <w:iCs/>
          <w:color w:val="000000"/>
        </w:rPr>
      </w:pPr>
      <w:r w:rsidRPr="004D0484">
        <w:rPr>
          <w:bCs/>
          <w:i/>
          <w:iCs/>
          <w:noProof/>
          <w:color w:val="000000"/>
        </w:rPr>
        <w:drawing>
          <wp:inline distT="0" distB="0" distL="0" distR="0">
            <wp:extent cx="5124450" cy="3743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24450" cy="3743325"/>
                    </a:xfrm>
                    <a:prstGeom prst="rect">
                      <a:avLst/>
                    </a:prstGeom>
                    <a:noFill/>
                    <a:ln>
                      <a:noFill/>
                    </a:ln>
                  </pic:spPr>
                </pic:pic>
              </a:graphicData>
            </a:graphic>
          </wp:inline>
        </w:drawing>
      </w:r>
    </w:p>
    <w:p w:rsidR="009F7077" w:rsidRDefault="009F7077" w:rsidP="00EC650A">
      <w:pPr>
        <w:spacing w:line="480" w:lineRule="auto"/>
      </w:pPr>
    </w:p>
    <w:p w:rsidR="007B4C82" w:rsidRDefault="007B4C82" w:rsidP="00EC650A">
      <w:pPr>
        <w:spacing w:line="480" w:lineRule="auto"/>
      </w:pPr>
      <w:r w:rsidRPr="004C50CB">
        <w:t xml:space="preserve">It is important to include in the specification a range of control variables as this </w:t>
      </w:r>
      <w:r>
        <w:t>may also reduce</w:t>
      </w:r>
      <w:r w:rsidRPr="004C50CB">
        <w:t xml:space="preserve"> </w:t>
      </w:r>
      <w:r w:rsidR="009A1C6B">
        <w:t>potential</w:t>
      </w:r>
      <w:r w:rsidRPr="004C50CB">
        <w:t xml:space="preserve"> endogeneity.</w:t>
      </w:r>
      <w:r>
        <w:t xml:space="preserve"> </w:t>
      </w:r>
      <w:r w:rsidR="009D23BD">
        <w:t>A</w:t>
      </w:r>
      <w:r>
        <w:t>ttendance is included as this may in itself affect performance, but it may also be a proxy for student effort and/or parental involvement</w:t>
      </w:r>
      <w:r w:rsidR="00061A86">
        <w:t xml:space="preserve"> (the association of attendance with social class in Australia is illustrated in Lamb</w:t>
      </w:r>
      <w:r w:rsidR="00AD20C8">
        <w:t xml:space="preserve"> et al</w:t>
      </w:r>
      <w:r w:rsidR="00456508">
        <w:t>,</w:t>
      </w:r>
      <w:r w:rsidR="00103A7A">
        <w:t xml:space="preserve"> </w:t>
      </w:r>
      <w:r w:rsidR="00061A86">
        <w:t xml:space="preserve">2004).  </w:t>
      </w:r>
      <w:r w:rsidR="00456508">
        <w:t xml:space="preserve">This variable </w:t>
      </w:r>
      <w:r>
        <w:t xml:space="preserve">is </w:t>
      </w:r>
      <w:r w:rsidR="00C22065">
        <w:t xml:space="preserve">also </w:t>
      </w:r>
      <w:r>
        <w:t xml:space="preserve">treated as endogenous in the estimation </w:t>
      </w:r>
      <w:r w:rsidR="006536F3">
        <w:t>(since there is likely to be two-way causation</w:t>
      </w:r>
      <w:r w:rsidR="004E356D">
        <w:t>;</w:t>
      </w:r>
      <w:r>
        <w:t xml:space="preserve"> attendance affecting performance, but also poor performance may reduce attendance).</w:t>
      </w:r>
      <w:r w:rsidR="006536F3" w:rsidRPr="00F616FF">
        <w:t xml:space="preserve"> </w:t>
      </w:r>
    </w:p>
    <w:p w:rsidR="007B4C82" w:rsidRDefault="007B4C82" w:rsidP="009D29FD">
      <w:pPr>
        <w:spacing w:line="480" w:lineRule="auto"/>
        <w:jc w:val="both"/>
      </w:pPr>
    </w:p>
    <w:p w:rsidR="00FF6173" w:rsidRPr="00387B58" w:rsidRDefault="00C22065" w:rsidP="00E36352">
      <w:pPr>
        <w:spacing w:line="480" w:lineRule="auto"/>
        <w:jc w:val="both"/>
        <w:rPr>
          <w:bCs/>
        </w:rPr>
      </w:pPr>
      <w:r>
        <w:t>The o</w:t>
      </w:r>
      <w:r w:rsidR="00F616FF">
        <w:t xml:space="preserve">ther control variables that may affect performance are considered </w:t>
      </w:r>
      <w:r w:rsidR="00E30762">
        <w:t>to be</w:t>
      </w:r>
      <w:r w:rsidR="00F616FF">
        <w:t xml:space="preserve"> </w:t>
      </w:r>
      <w:r w:rsidR="00F616FF" w:rsidRPr="009D23BD">
        <w:t>exogenous</w:t>
      </w:r>
      <w:r w:rsidR="008772A9">
        <w:t>.</w:t>
      </w:r>
      <w:r w:rsidR="00A31F3C">
        <w:rPr>
          <w:rStyle w:val="FootnoteReference"/>
        </w:rPr>
        <w:footnoteReference w:id="7"/>
      </w:r>
      <w:r w:rsidR="008772A9">
        <w:t xml:space="preserve"> </w:t>
      </w:r>
      <w:r w:rsidR="000F52BD">
        <w:t xml:space="preserve">This </w:t>
      </w:r>
      <w:r w:rsidR="009D23BD">
        <w:t xml:space="preserve">choice </w:t>
      </w:r>
      <w:r w:rsidR="000F52BD">
        <w:t xml:space="preserve">is </w:t>
      </w:r>
      <w:r w:rsidR="009D23BD">
        <w:t>in</w:t>
      </w:r>
      <w:r w:rsidR="000F52BD">
        <w:t xml:space="preserve"> line with most o</w:t>
      </w:r>
      <w:r w:rsidR="000F52BD" w:rsidRPr="004C50CB">
        <w:t xml:space="preserve">ther studies that have used </w:t>
      </w:r>
      <w:r w:rsidR="009D23BD">
        <w:t>instrumental variable</w:t>
      </w:r>
      <w:r w:rsidR="000F52BD" w:rsidRPr="004C50CB">
        <w:t xml:space="preserve"> estimation (for example </w:t>
      </w:r>
      <w:proofErr w:type="spellStart"/>
      <w:r w:rsidR="000F52BD" w:rsidRPr="004C50CB">
        <w:t>Levacic</w:t>
      </w:r>
      <w:proofErr w:type="spellEnd"/>
      <w:r w:rsidR="000F52BD" w:rsidRPr="004C50CB">
        <w:t xml:space="preserve"> </w:t>
      </w:r>
      <w:r w:rsidR="000F52BD" w:rsidRPr="000D7095">
        <w:rPr>
          <w:i/>
        </w:rPr>
        <w:t>et al</w:t>
      </w:r>
      <w:r w:rsidR="009D23BD">
        <w:t>.</w:t>
      </w:r>
      <w:r w:rsidR="000F52BD" w:rsidRPr="004C50CB">
        <w:t>, 2005)</w:t>
      </w:r>
      <w:r w:rsidR="001153F5">
        <w:t>,</w:t>
      </w:r>
      <w:r w:rsidR="000F52BD" w:rsidRPr="004C50CB">
        <w:t xml:space="preserve"> </w:t>
      </w:r>
      <w:r w:rsidR="00CF48D6">
        <w:t xml:space="preserve">and </w:t>
      </w:r>
      <w:r w:rsidR="000F52BD">
        <w:t xml:space="preserve">which </w:t>
      </w:r>
      <w:r w:rsidR="000F52BD" w:rsidRPr="004C50CB">
        <w:t>have only instrumented the expenditure variable.</w:t>
      </w:r>
      <w:r w:rsidR="00F616FF">
        <w:rPr>
          <w:i/>
        </w:rPr>
        <w:t xml:space="preserve"> </w:t>
      </w:r>
      <w:r w:rsidR="009D23BD">
        <w:t xml:space="preserve">In this set of </w:t>
      </w:r>
      <w:r w:rsidR="001153F5">
        <w:t xml:space="preserve">control </w:t>
      </w:r>
      <w:r w:rsidR="009D23BD">
        <w:t>variables</w:t>
      </w:r>
      <w:r w:rsidR="008C5D44">
        <w:t xml:space="preserve"> are measures that relate to the characteristics of the student body.</w:t>
      </w:r>
      <w:r w:rsidR="006D437A">
        <w:t xml:space="preserve"> </w:t>
      </w:r>
      <w:r w:rsidR="00072B20" w:rsidRPr="00072B20">
        <w:t xml:space="preserve">The socio-economic status of the students is measured by </w:t>
      </w:r>
      <w:r w:rsidR="00072B20">
        <w:t>two</w:t>
      </w:r>
      <w:r w:rsidR="00072B20" w:rsidRPr="00072B20">
        <w:t xml:space="preserve"> ind</w:t>
      </w:r>
      <w:r w:rsidR="00072B20">
        <w:t>ices. The</w:t>
      </w:r>
      <w:r w:rsidR="00072B20" w:rsidRPr="00072B20">
        <w:t xml:space="preserve"> Index of Community Socio Educational Advantage (ICSEA) </w:t>
      </w:r>
      <w:r w:rsidR="00072B20">
        <w:t xml:space="preserve">is national, </w:t>
      </w:r>
      <w:r w:rsidR="00072B20" w:rsidRPr="00072B20">
        <w:t xml:space="preserve">computed by the Australian Curriculum Assessment and Reporting Authority (2010). The mean index is 1000: schools above this number are declared to be more </w:t>
      </w:r>
      <w:r w:rsidR="00072B20" w:rsidRPr="001B00B1">
        <w:t xml:space="preserve">advantaged, those below are less advantaged. </w:t>
      </w:r>
      <w:r w:rsidR="007B3C25" w:rsidRPr="001B00B1">
        <w:rPr>
          <w:bCs/>
        </w:rPr>
        <w:t>Although the ICSEA is a long</w:t>
      </w:r>
      <w:r w:rsidR="00E36352" w:rsidRPr="001B00B1">
        <w:rPr>
          <w:bCs/>
        </w:rPr>
        <w:t xml:space="preserve"> standing national measure of disadvantaged background, </w:t>
      </w:r>
      <w:r w:rsidR="008D2464" w:rsidRPr="001B00B1">
        <w:rPr>
          <w:bCs/>
        </w:rPr>
        <w:t xml:space="preserve">the </w:t>
      </w:r>
      <w:r w:rsidR="00E36352" w:rsidRPr="001B00B1">
        <w:t>Family Occupation, Employment and Income</w:t>
      </w:r>
      <w:r w:rsidR="00E36352" w:rsidRPr="001B00B1">
        <w:rPr>
          <w:bCs/>
        </w:rPr>
        <w:t xml:space="preserve"> </w:t>
      </w:r>
      <w:r w:rsidR="007B3C25" w:rsidRPr="001B00B1">
        <w:rPr>
          <w:bCs/>
        </w:rPr>
        <w:t>(</w:t>
      </w:r>
      <w:r w:rsidR="00E36352" w:rsidRPr="001B00B1">
        <w:rPr>
          <w:bCs/>
        </w:rPr>
        <w:t>FOEI</w:t>
      </w:r>
      <w:r w:rsidR="007B3C25" w:rsidRPr="001B00B1">
        <w:rPr>
          <w:bCs/>
        </w:rPr>
        <w:t>)</w:t>
      </w:r>
      <w:r w:rsidR="00E36352" w:rsidRPr="001B00B1">
        <w:rPr>
          <w:bCs/>
        </w:rPr>
        <w:t xml:space="preserve"> </w:t>
      </w:r>
      <w:r w:rsidR="008D2464" w:rsidRPr="001B00B1">
        <w:rPr>
          <w:bCs/>
        </w:rPr>
        <w:t xml:space="preserve">index </w:t>
      </w:r>
      <w:r w:rsidR="00E36352" w:rsidRPr="001B00B1">
        <w:rPr>
          <w:bCs/>
        </w:rPr>
        <w:t xml:space="preserve">is the preferred measure of the NSW authorities, being based only on NSW government school students while the former includes both government and non-government schools (NSW Education and Communities, 2013). Missing data is dealt with differently in the two indexes and FOEI is more robust to outliers. ICSEA also includes </w:t>
      </w:r>
      <w:r w:rsidR="00B36CE0" w:rsidRPr="001B00B1">
        <w:rPr>
          <w:bCs/>
        </w:rPr>
        <w:t>two more</w:t>
      </w:r>
      <w:r w:rsidR="00E36352" w:rsidRPr="001B00B1">
        <w:rPr>
          <w:bCs/>
        </w:rPr>
        <w:t xml:space="preserve"> school characteristics than </w:t>
      </w:r>
      <w:r w:rsidR="00B36CE0" w:rsidRPr="001B00B1">
        <w:rPr>
          <w:bCs/>
        </w:rPr>
        <w:t xml:space="preserve">does </w:t>
      </w:r>
      <w:r w:rsidR="00E36352" w:rsidRPr="001B00B1">
        <w:rPr>
          <w:bCs/>
        </w:rPr>
        <w:t>FOEI: whether a school is in a metropolitan, regional or remote area; and the proportion of indigenous student enrolments</w:t>
      </w:r>
      <w:r w:rsidR="007B3C25" w:rsidRPr="001B00B1">
        <w:rPr>
          <w:bCs/>
        </w:rPr>
        <w:t>, although</w:t>
      </w:r>
      <w:r w:rsidR="00E36352" w:rsidRPr="001B00B1">
        <w:rPr>
          <w:bCs/>
        </w:rPr>
        <w:t xml:space="preserve"> the latter is already controlled for separately in our model. </w:t>
      </w:r>
      <w:r w:rsidR="007B3C25" w:rsidRPr="001B00B1">
        <w:rPr>
          <w:bCs/>
        </w:rPr>
        <w:t>However</w:t>
      </w:r>
      <w:r w:rsidR="005971F9" w:rsidRPr="001B00B1">
        <w:rPr>
          <w:bCs/>
        </w:rPr>
        <w:t xml:space="preserve">, </w:t>
      </w:r>
      <w:r w:rsidR="007B3C25" w:rsidRPr="001B00B1">
        <w:rPr>
          <w:bCs/>
        </w:rPr>
        <w:t>g</w:t>
      </w:r>
      <w:r w:rsidR="00E36352" w:rsidRPr="001B00B1">
        <w:rPr>
          <w:bCs/>
        </w:rPr>
        <w:t xml:space="preserve">iven the importance </w:t>
      </w:r>
      <w:r w:rsidR="00387B58" w:rsidRPr="001B00B1">
        <w:rPr>
          <w:bCs/>
        </w:rPr>
        <w:t>of controlling for disadvantage in school performance estimation and the</w:t>
      </w:r>
      <w:r w:rsidR="007B3C25" w:rsidRPr="001B00B1">
        <w:rPr>
          <w:bCs/>
        </w:rPr>
        <w:t xml:space="preserve"> large size of our sample,</w:t>
      </w:r>
      <w:r w:rsidR="00387B58" w:rsidRPr="001B00B1">
        <w:rPr>
          <w:bCs/>
        </w:rPr>
        <w:t xml:space="preserve"> both indices are included in the model.</w:t>
      </w:r>
      <w:r w:rsidR="00FC2221" w:rsidRPr="001B00B1">
        <w:rPr>
          <w:rStyle w:val="FootnoteReference"/>
          <w:bCs/>
        </w:rPr>
        <w:footnoteReference w:id="8"/>
      </w:r>
      <w:r w:rsidR="00387B58">
        <w:rPr>
          <w:bCs/>
        </w:rPr>
        <w:t xml:space="preserve"> </w:t>
      </w:r>
      <w:r w:rsidR="008C5D44">
        <w:rPr>
          <w:bCs/>
        </w:rPr>
        <w:t xml:space="preserve">These measures were calculated as the </w:t>
      </w:r>
      <w:r w:rsidR="001153F5">
        <w:rPr>
          <w:bCs/>
        </w:rPr>
        <w:t xml:space="preserve">respective </w:t>
      </w:r>
      <w:r w:rsidR="008C5D44">
        <w:rPr>
          <w:bCs/>
        </w:rPr>
        <w:t>average</w:t>
      </w:r>
      <w:r w:rsidR="001153F5">
        <w:rPr>
          <w:bCs/>
        </w:rPr>
        <w:t>s</w:t>
      </w:r>
      <w:r w:rsidR="008C5D44">
        <w:rPr>
          <w:bCs/>
        </w:rPr>
        <w:t xml:space="preserve"> of the 2009 and 2010 values (or just the latter if the </w:t>
      </w:r>
      <w:r w:rsidR="00D23BAE">
        <w:rPr>
          <w:bCs/>
        </w:rPr>
        <w:t>former</w:t>
      </w:r>
      <w:r w:rsidR="008C5D44">
        <w:rPr>
          <w:bCs/>
        </w:rPr>
        <w:t xml:space="preserve"> </w:t>
      </w:r>
      <w:r w:rsidR="00D23BAE">
        <w:rPr>
          <w:bCs/>
        </w:rPr>
        <w:t>was</w:t>
      </w:r>
      <w:r w:rsidR="008C5D44">
        <w:rPr>
          <w:bCs/>
        </w:rPr>
        <w:t xml:space="preserve"> unavailable</w:t>
      </w:r>
      <w:r w:rsidR="00456508">
        <w:rPr>
          <w:bCs/>
        </w:rPr>
        <w:t xml:space="preserve"> for a school</w:t>
      </w:r>
      <w:r w:rsidR="008C5D44">
        <w:rPr>
          <w:bCs/>
        </w:rPr>
        <w:t>)</w:t>
      </w:r>
      <w:r w:rsidR="00F31B6D">
        <w:rPr>
          <w:bCs/>
        </w:rPr>
        <w:t>,</w:t>
      </w:r>
      <w:r w:rsidR="008C5D44">
        <w:rPr>
          <w:bCs/>
        </w:rPr>
        <w:t xml:space="preserve"> since data was not available for earlier years. </w:t>
      </w:r>
      <w:r w:rsidR="00D666D7" w:rsidRPr="00D666D7">
        <w:t xml:space="preserve">The </w:t>
      </w:r>
      <w:r w:rsidR="00D666D7">
        <w:t xml:space="preserve">other </w:t>
      </w:r>
      <w:r w:rsidR="00D666D7" w:rsidRPr="00D666D7">
        <w:t xml:space="preserve">variables used to control for </w:t>
      </w:r>
      <w:r>
        <w:t>the characteristics of the student body</w:t>
      </w:r>
      <w:r w:rsidRPr="00D666D7">
        <w:t xml:space="preserve"> </w:t>
      </w:r>
      <w:r w:rsidR="00D666D7" w:rsidRPr="00D666D7">
        <w:t>are</w:t>
      </w:r>
      <w:r w:rsidR="00D666D7">
        <w:t>:</w:t>
      </w:r>
      <w:r w:rsidR="00D666D7" w:rsidRPr="00D666D7">
        <w:t xml:space="preserve"> </w:t>
      </w:r>
      <w:r w:rsidR="00221B28">
        <w:t xml:space="preserve">the </w:t>
      </w:r>
      <w:r w:rsidR="00D666D7" w:rsidRPr="00D666D7">
        <w:t>percent</w:t>
      </w:r>
      <w:r w:rsidR="00221B28">
        <w:t>age</w:t>
      </w:r>
      <w:r w:rsidR="00D666D7" w:rsidRPr="00D666D7">
        <w:t xml:space="preserve"> of students enrolled in English as a second language (ESL)</w:t>
      </w:r>
      <w:r w:rsidR="00D666D7">
        <w:t>;</w:t>
      </w:r>
      <w:r w:rsidR="00D666D7" w:rsidRPr="00D666D7">
        <w:t xml:space="preserve"> </w:t>
      </w:r>
      <w:r w:rsidR="00D666D7">
        <w:t>the percent</w:t>
      </w:r>
      <w:r w:rsidR="00221B28">
        <w:t>age</w:t>
      </w:r>
      <w:r w:rsidR="00D666D7">
        <w:t xml:space="preserve"> in </w:t>
      </w:r>
      <w:r w:rsidR="00D666D7" w:rsidRPr="00D666D7">
        <w:t>special education</w:t>
      </w:r>
      <w:r w:rsidR="007C3475">
        <w:t>;</w:t>
      </w:r>
      <w:r>
        <w:t xml:space="preserve"> and </w:t>
      </w:r>
      <w:r w:rsidR="00221B28">
        <w:t xml:space="preserve">the </w:t>
      </w:r>
      <w:r w:rsidR="00D666D7" w:rsidRPr="00D666D7">
        <w:t>percent</w:t>
      </w:r>
      <w:r w:rsidR="00221B28">
        <w:t>age</w:t>
      </w:r>
      <w:r w:rsidR="00D666D7" w:rsidRPr="00D666D7">
        <w:t xml:space="preserve"> of </w:t>
      </w:r>
      <w:r w:rsidR="00D23BAE" w:rsidRPr="00D23BAE">
        <w:t>indigenous students</w:t>
      </w:r>
      <w:r>
        <w:t xml:space="preserve">. </w:t>
      </w:r>
    </w:p>
    <w:p w:rsidR="00850B78" w:rsidRDefault="00850B78" w:rsidP="00F31B6D">
      <w:pPr>
        <w:spacing w:line="480" w:lineRule="auto"/>
        <w:jc w:val="both"/>
      </w:pPr>
    </w:p>
    <w:p w:rsidR="00005E71" w:rsidRDefault="006F6F5E" w:rsidP="005F5208">
      <w:pPr>
        <w:spacing w:line="480" w:lineRule="auto"/>
        <w:jc w:val="both"/>
        <w:rPr>
          <w:rFonts w:ascii="Calibri" w:hAnsi="Calibri"/>
          <w:color w:val="000000"/>
        </w:rPr>
      </w:pPr>
      <w:r>
        <w:t xml:space="preserve">School size, measured by </w:t>
      </w:r>
      <w:r w:rsidR="00D8569F" w:rsidRPr="00FA405D">
        <w:rPr>
          <w:lang w:eastAsia="zh-CN"/>
        </w:rPr>
        <w:t>FTE</w:t>
      </w:r>
      <w:r w:rsidR="00C22065">
        <w:rPr>
          <w:lang w:eastAsia="zh-CN"/>
        </w:rPr>
        <w:t xml:space="preserve"> </w:t>
      </w:r>
      <w:r w:rsidR="001E459C">
        <w:t>student</w:t>
      </w:r>
      <w:r>
        <w:t xml:space="preserve"> enrolment may be an important variable in the Australian context</w:t>
      </w:r>
      <w:r w:rsidRPr="006F6F5E">
        <w:t xml:space="preserve"> </w:t>
      </w:r>
      <w:r>
        <w:t xml:space="preserve">(e.g. </w:t>
      </w:r>
      <w:r w:rsidR="00642BC4">
        <w:t xml:space="preserve">reflecting </w:t>
      </w:r>
      <w:r>
        <w:t>the provision of small, rurally based schools</w:t>
      </w:r>
      <w:r w:rsidR="000A01FB">
        <w:t>)</w:t>
      </w:r>
      <w:r>
        <w:t xml:space="preserve">. </w:t>
      </w:r>
      <w:proofErr w:type="spellStart"/>
      <w:r w:rsidRPr="00C40FF4">
        <w:t>Mok</w:t>
      </w:r>
      <w:proofErr w:type="spellEnd"/>
      <w:r w:rsidRPr="00C40FF4">
        <w:t xml:space="preserve"> and Flynn </w:t>
      </w:r>
      <w:r>
        <w:t>(</w:t>
      </w:r>
      <w:r w:rsidRPr="00C40FF4">
        <w:t>1996</w:t>
      </w:r>
      <w:r>
        <w:t>)</w:t>
      </w:r>
      <w:r w:rsidRPr="00C40FF4">
        <w:t xml:space="preserve"> </w:t>
      </w:r>
      <w:r w:rsidR="000A01FB" w:rsidRPr="00C40FF4">
        <w:t>analy</w:t>
      </w:r>
      <w:r w:rsidR="00103A7A">
        <w:t>s</w:t>
      </w:r>
      <w:r w:rsidR="000A01FB">
        <w:t>ing</w:t>
      </w:r>
      <w:r w:rsidR="000A01FB" w:rsidRPr="00C40FF4">
        <w:t xml:space="preserve"> </w:t>
      </w:r>
      <w:r w:rsidRPr="00C40FF4">
        <w:t xml:space="preserve">a sample </w:t>
      </w:r>
      <w:r w:rsidR="000A01FB">
        <w:t xml:space="preserve">of </w:t>
      </w:r>
      <w:r w:rsidRPr="00C40FF4">
        <w:t>4,949 Year-12 students from NSW Catholic high schools suggested that students from larger Catholic High Schools, on average tended to achieve more highly than their peers from smaller schools, even after controlling for students’ background, motivation and school-culture variables.</w:t>
      </w:r>
      <w:r>
        <w:t xml:space="preserve"> Accordingly, our model is specified with t</w:t>
      </w:r>
      <w:r w:rsidR="008C5D44">
        <w:t>he size of the school</w:t>
      </w:r>
      <w:r w:rsidR="00C4160A">
        <w:t xml:space="preserve">, </w:t>
      </w:r>
      <w:r w:rsidR="008C5D44">
        <w:t xml:space="preserve">to reflect the rising costs per </w:t>
      </w:r>
      <w:r w:rsidR="001E459C">
        <w:t>student</w:t>
      </w:r>
      <w:r w:rsidR="008C5D44">
        <w:t xml:space="preserve"> of small schools</w:t>
      </w:r>
      <w:r w:rsidR="00C4160A">
        <w:t xml:space="preserve"> (i.e. scale economies),</w:t>
      </w:r>
      <w:r w:rsidR="008C5D44">
        <w:t xml:space="preserve"> along with </w:t>
      </w:r>
      <w:r w:rsidR="00C4160A">
        <w:t>the</w:t>
      </w:r>
      <w:r w:rsidR="008C5D44">
        <w:t xml:space="preserve"> square</w:t>
      </w:r>
      <w:r w:rsidR="00C4160A">
        <w:t xml:space="preserve"> of school size, to allow for the possibility of a non-</w:t>
      </w:r>
      <w:r w:rsidR="008C5D44">
        <w:t>linear relationship</w:t>
      </w:r>
      <w:r w:rsidR="00C4160A">
        <w:t xml:space="preserve"> (i.e. diseconomies of scale beyond a certain size threshold)</w:t>
      </w:r>
      <w:r w:rsidR="008C5D44">
        <w:t>.</w:t>
      </w:r>
      <w:r w:rsidR="00F31B6D">
        <w:rPr>
          <w:rFonts w:ascii="DIN-Bold" w:hAnsi="DIN-Bold" w:cs="DIN-Bold"/>
          <w:b/>
          <w:bCs/>
          <w:sz w:val="20"/>
          <w:szCs w:val="20"/>
        </w:rPr>
        <w:t xml:space="preserve"> </w:t>
      </w:r>
      <w:r w:rsidR="00CE0B97">
        <w:t>Particularly i</w:t>
      </w:r>
      <w:r>
        <w:t>mportant, given the discussion on endogeneity above, are indicator variables for whether the school is fully</w:t>
      </w:r>
      <w:r w:rsidR="006A34C4">
        <w:t>-</w:t>
      </w:r>
      <w:r>
        <w:t xml:space="preserve"> or part</w:t>
      </w:r>
      <w:r w:rsidR="006A34C4">
        <w:t>-</w:t>
      </w:r>
      <w:r>
        <w:t xml:space="preserve">selective (with non-selective schools as the base). </w:t>
      </w:r>
      <w:r w:rsidR="00765A7D">
        <w:rPr>
          <w:bCs/>
        </w:rPr>
        <w:t>In addition, a</w:t>
      </w:r>
      <w:r w:rsidR="00F31B6D" w:rsidRPr="00F31B6D">
        <w:rPr>
          <w:bCs/>
        </w:rPr>
        <w:t xml:space="preserve"> variable is included to </w:t>
      </w:r>
      <w:r w:rsidR="00CB2BCC">
        <w:rPr>
          <w:bCs/>
        </w:rPr>
        <w:t>indicate</w:t>
      </w:r>
      <w:r w:rsidR="00F31B6D" w:rsidRPr="00F31B6D">
        <w:rPr>
          <w:bCs/>
        </w:rPr>
        <w:t xml:space="preserve"> whether the school was a </w:t>
      </w:r>
      <w:r w:rsidR="00F31B6D" w:rsidRPr="00F31B6D">
        <w:rPr>
          <w:color w:val="000000"/>
        </w:rPr>
        <w:t>Priority and/or Priority Action School in 2012.</w:t>
      </w:r>
      <w:r w:rsidR="00F31B6D">
        <w:rPr>
          <w:rFonts w:ascii="Calibri" w:hAnsi="Calibri"/>
          <w:color w:val="000000"/>
        </w:rPr>
        <w:t xml:space="preserve"> </w:t>
      </w:r>
      <w:r w:rsidR="00F31B6D" w:rsidRPr="00F31B6D">
        <w:rPr>
          <w:color w:val="000000"/>
        </w:rPr>
        <w:t xml:space="preserve">As well as </w:t>
      </w:r>
      <w:r w:rsidR="00CB2BCC">
        <w:rPr>
          <w:color w:val="000000"/>
        </w:rPr>
        <w:t>showing</w:t>
      </w:r>
      <w:r w:rsidR="00F31B6D">
        <w:rPr>
          <w:color w:val="000000"/>
        </w:rPr>
        <w:t xml:space="preserve"> access to particular streams of funding, this variable may also reflect the socio-economic factors that were the criteria for inclusion</w:t>
      </w:r>
      <w:r w:rsidR="00CB2BCC">
        <w:rPr>
          <w:color w:val="000000"/>
        </w:rPr>
        <w:t xml:space="preserve"> in these policies. </w:t>
      </w:r>
      <w:r w:rsidR="00005E71">
        <w:rPr>
          <w:color w:val="000000"/>
        </w:rPr>
        <w:t>The a</w:t>
      </w:r>
      <w:r w:rsidR="00CB2BCC">
        <w:rPr>
          <w:color w:val="000000"/>
        </w:rPr>
        <w:t xml:space="preserve">verage </w:t>
      </w:r>
      <w:r w:rsidR="00005E71">
        <w:rPr>
          <w:color w:val="000000"/>
        </w:rPr>
        <w:t>years of service are</w:t>
      </w:r>
      <w:r w:rsidR="00CB2BCC">
        <w:rPr>
          <w:color w:val="000000"/>
        </w:rPr>
        <w:t xml:space="preserve"> used to proxy for </w:t>
      </w:r>
      <w:r w:rsidR="002D7BE3">
        <w:rPr>
          <w:color w:val="000000"/>
        </w:rPr>
        <w:t xml:space="preserve">the </w:t>
      </w:r>
      <w:r w:rsidR="00CB2BCC">
        <w:rPr>
          <w:color w:val="000000"/>
        </w:rPr>
        <w:t>quality of the teaching staff.</w:t>
      </w:r>
      <w:r w:rsidR="00CB2BCC">
        <w:rPr>
          <w:rFonts w:ascii="Calibri" w:hAnsi="Calibri"/>
          <w:color w:val="000000"/>
        </w:rPr>
        <w:t xml:space="preserve"> </w:t>
      </w:r>
    </w:p>
    <w:p w:rsidR="00005E71" w:rsidRDefault="00005E71" w:rsidP="00F31B6D">
      <w:pPr>
        <w:spacing w:line="480" w:lineRule="auto"/>
        <w:jc w:val="both"/>
        <w:rPr>
          <w:rFonts w:ascii="Calibri" w:hAnsi="Calibri"/>
          <w:color w:val="000000"/>
        </w:rPr>
      </w:pPr>
    </w:p>
    <w:p w:rsidR="00CB2BCC" w:rsidRDefault="00005E71" w:rsidP="00F31B6D">
      <w:pPr>
        <w:spacing w:line="480" w:lineRule="auto"/>
        <w:jc w:val="both"/>
      </w:pPr>
      <w:r>
        <w:t>Finally</w:t>
      </w:r>
      <w:r w:rsidR="00CB2BCC">
        <w:t>, regional dummies are included (with Sydney as the base)</w:t>
      </w:r>
      <w:r w:rsidR="0071081C">
        <w:t>,</w:t>
      </w:r>
      <w:r w:rsidR="00CB2BCC">
        <w:t xml:space="preserve"> along with time dummies for each year </w:t>
      </w:r>
      <w:r w:rsidR="00A47210">
        <w:t xml:space="preserve">(with 2010 as the base) </w:t>
      </w:r>
      <w:r w:rsidR="00CB2BCC">
        <w:t xml:space="preserve">to reduce cross-sectional dependence. The full list of variables is given in Table </w:t>
      </w:r>
      <w:r>
        <w:t xml:space="preserve">2, along with </w:t>
      </w:r>
      <w:r w:rsidR="001153F5">
        <w:t xml:space="preserve">standard </w:t>
      </w:r>
      <w:r>
        <w:t xml:space="preserve">descriptive </w:t>
      </w:r>
      <w:r w:rsidR="00A47210">
        <w:t>statistics</w:t>
      </w:r>
      <w:r w:rsidR="0071081C">
        <w:t xml:space="preserve">. The table also includes the </w:t>
      </w:r>
      <w:r w:rsidR="00103A7A">
        <w:t xml:space="preserve">abbreviations </w:t>
      </w:r>
      <w:r w:rsidR="0071081C">
        <w:t>of the variables used in the detailed results</w:t>
      </w:r>
      <w:r w:rsidR="001153F5">
        <w:t xml:space="preserve"> (included to facilitate replication)</w:t>
      </w:r>
      <w:r w:rsidR="0071081C">
        <w:t xml:space="preserve">.   </w:t>
      </w:r>
    </w:p>
    <w:p w:rsidR="00C73CCC" w:rsidRDefault="00C73CCC">
      <w:pPr>
        <w:rPr>
          <w:b/>
          <w:i/>
        </w:rPr>
      </w:pPr>
      <w:r>
        <w:rPr>
          <w:b/>
          <w:i/>
        </w:rPr>
        <w:br w:type="page"/>
      </w:r>
    </w:p>
    <w:p w:rsidR="00C73CCC" w:rsidRPr="00C73CCC" w:rsidRDefault="00C73CCC" w:rsidP="00C73CCC">
      <w:pPr>
        <w:spacing w:line="480" w:lineRule="auto"/>
        <w:jc w:val="both"/>
        <w:rPr>
          <w:b/>
          <w:i/>
        </w:rPr>
      </w:pPr>
      <w:proofErr w:type="gramStart"/>
      <w:r w:rsidRPr="00C73CCC">
        <w:rPr>
          <w:b/>
          <w:i/>
        </w:rPr>
        <w:t>Table 2.</w:t>
      </w:r>
      <w:proofErr w:type="gramEnd"/>
      <w:r w:rsidRPr="00C73CCC">
        <w:rPr>
          <w:b/>
          <w:i/>
        </w:rPr>
        <w:t xml:space="preserve">  Variable Descriptions and Descriptive Statistics</w:t>
      </w:r>
    </w:p>
    <w:tbl>
      <w:tblPr>
        <w:tblW w:w="9589" w:type="dxa"/>
        <w:tblInd w:w="93" w:type="dxa"/>
        <w:tblLook w:val="04A0" w:firstRow="1" w:lastRow="0" w:firstColumn="1" w:lastColumn="0" w:noHBand="0" w:noVBand="1"/>
      </w:tblPr>
      <w:tblGrid>
        <w:gridCol w:w="3843"/>
        <w:gridCol w:w="2005"/>
        <w:gridCol w:w="941"/>
        <w:gridCol w:w="754"/>
        <w:gridCol w:w="711"/>
        <w:gridCol w:w="1335"/>
      </w:tblGrid>
      <w:tr w:rsidR="00C73CCC" w:rsidRPr="00C73CCC" w:rsidTr="008D588D">
        <w:trPr>
          <w:trHeight w:val="300"/>
        </w:trPr>
        <w:tc>
          <w:tcPr>
            <w:tcW w:w="3843" w:type="dxa"/>
            <w:tcBorders>
              <w:top w:val="single" w:sz="4" w:space="0" w:color="auto"/>
              <w:left w:val="nil"/>
              <w:bottom w:val="single" w:sz="4" w:space="0" w:color="auto"/>
              <w:right w:val="nil"/>
            </w:tcBorders>
            <w:shd w:val="clear" w:color="auto" w:fill="auto"/>
            <w:noWrap/>
            <w:vAlign w:val="bottom"/>
            <w:hideMark/>
          </w:tcPr>
          <w:p w:rsidR="00C73CCC" w:rsidRPr="00C73CCC" w:rsidRDefault="00C73CCC" w:rsidP="00C73CCC">
            <w:pPr>
              <w:rPr>
                <w:b/>
                <w:color w:val="000000"/>
              </w:rPr>
            </w:pPr>
            <w:r w:rsidRPr="00C73CCC">
              <w:rPr>
                <w:b/>
                <w:color w:val="000000"/>
              </w:rPr>
              <w:t>Variable Description</w:t>
            </w:r>
          </w:p>
        </w:tc>
        <w:tc>
          <w:tcPr>
            <w:tcW w:w="2005" w:type="dxa"/>
            <w:tcBorders>
              <w:top w:val="single" w:sz="4" w:space="0" w:color="auto"/>
              <w:left w:val="nil"/>
              <w:bottom w:val="single" w:sz="4" w:space="0" w:color="auto"/>
              <w:right w:val="nil"/>
            </w:tcBorders>
            <w:shd w:val="clear" w:color="auto" w:fill="auto"/>
            <w:noWrap/>
            <w:vAlign w:val="bottom"/>
            <w:hideMark/>
          </w:tcPr>
          <w:p w:rsidR="00C73CCC" w:rsidRPr="00C73CCC" w:rsidRDefault="00C73CCC" w:rsidP="00C73CCC">
            <w:pPr>
              <w:jc w:val="center"/>
              <w:rPr>
                <w:b/>
                <w:color w:val="000000"/>
              </w:rPr>
            </w:pPr>
            <w:r w:rsidRPr="00C73CCC">
              <w:rPr>
                <w:b/>
                <w:color w:val="000000"/>
              </w:rPr>
              <w:t>Abbrev.</w:t>
            </w:r>
          </w:p>
        </w:tc>
        <w:tc>
          <w:tcPr>
            <w:tcW w:w="941" w:type="dxa"/>
            <w:tcBorders>
              <w:top w:val="single" w:sz="4" w:space="0" w:color="auto"/>
              <w:left w:val="nil"/>
              <w:bottom w:val="single" w:sz="4" w:space="0" w:color="auto"/>
              <w:right w:val="nil"/>
            </w:tcBorders>
            <w:shd w:val="clear" w:color="auto" w:fill="auto"/>
            <w:noWrap/>
            <w:vAlign w:val="bottom"/>
            <w:hideMark/>
          </w:tcPr>
          <w:p w:rsidR="00C73CCC" w:rsidRPr="00C73CCC" w:rsidRDefault="00C73CCC" w:rsidP="00C73CCC">
            <w:pPr>
              <w:jc w:val="center"/>
              <w:rPr>
                <w:b/>
                <w:color w:val="000000"/>
              </w:rPr>
            </w:pPr>
            <w:r w:rsidRPr="00C73CCC">
              <w:rPr>
                <w:b/>
                <w:color w:val="000000"/>
              </w:rPr>
              <w:t>Mean</w:t>
            </w:r>
          </w:p>
        </w:tc>
        <w:tc>
          <w:tcPr>
            <w:tcW w:w="754" w:type="dxa"/>
            <w:tcBorders>
              <w:top w:val="single" w:sz="4" w:space="0" w:color="auto"/>
              <w:left w:val="nil"/>
              <w:bottom w:val="single" w:sz="4" w:space="0" w:color="auto"/>
              <w:right w:val="nil"/>
            </w:tcBorders>
            <w:shd w:val="clear" w:color="auto" w:fill="auto"/>
            <w:noWrap/>
            <w:vAlign w:val="bottom"/>
            <w:hideMark/>
          </w:tcPr>
          <w:p w:rsidR="00C73CCC" w:rsidRPr="00C73CCC" w:rsidRDefault="00C73CCC" w:rsidP="00C73CCC">
            <w:pPr>
              <w:jc w:val="center"/>
              <w:rPr>
                <w:b/>
                <w:color w:val="000000"/>
              </w:rPr>
            </w:pPr>
            <w:r w:rsidRPr="00C73CCC">
              <w:rPr>
                <w:b/>
                <w:color w:val="000000"/>
              </w:rPr>
              <w:t>SD</w:t>
            </w:r>
          </w:p>
        </w:tc>
        <w:tc>
          <w:tcPr>
            <w:tcW w:w="711" w:type="dxa"/>
            <w:tcBorders>
              <w:top w:val="single" w:sz="4" w:space="0" w:color="auto"/>
              <w:left w:val="nil"/>
              <w:bottom w:val="single" w:sz="4" w:space="0" w:color="auto"/>
              <w:right w:val="nil"/>
            </w:tcBorders>
            <w:shd w:val="clear" w:color="auto" w:fill="auto"/>
            <w:noWrap/>
            <w:vAlign w:val="bottom"/>
            <w:hideMark/>
          </w:tcPr>
          <w:p w:rsidR="00C73CCC" w:rsidRPr="00C73CCC" w:rsidRDefault="00C73CCC" w:rsidP="00C73CCC">
            <w:pPr>
              <w:jc w:val="center"/>
              <w:rPr>
                <w:b/>
                <w:color w:val="000000"/>
              </w:rPr>
            </w:pPr>
            <w:r w:rsidRPr="00C73CCC">
              <w:rPr>
                <w:b/>
                <w:color w:val="000000"/>
              </w:rPr>
              <w:t>Min</w:t>
            </w:r>
          </w:p>
        </w:tc>
        <w:tc>
          <w:tcPr>
            <w:tcW w:w="1335" w:type="dxa"/>
            <w:tcBorders>
              <w:top w:val="single" w:sz="4" w:space="0" w:color="auto"/>
              <w:left w:val="nil"/>
              <w:bottom w:val="single" w:sz="4" w:space="0" w:color="auto"/>
              <w:right w:val="nil"/>
            </w:tcBorders>
            <w:shd w:val="clear" w:color="auto" w:fill="auto"/>
            <w:noWrap/>
            <w:vAlign w:val="bottom"/>
            <w:hideMark/>
          </w:tcPr>
          <w:p w:rsidR="00C73CCC" w:rsidRPr="00C73CCC" w:rsidRDefault="00C73CCC" w:rsidP="00C73CCC">
            <w:pPr>
              <w:jc w:val="center"/>
              <w:rPr>
                <w:b/>
                <w:color w:val="000000"/>
              </w:rPr>
            </w:pPr>
            <w:r w:rsidRPr="00C73CCC">
              <w:rPr>
                <w:b/>
                <w:color w:val="000000"/>
              </w:rPr>
              <w:t>Max</w:t>
            </w:r>
          </w:p>
        </w:tc>
      </w:tr>
      <w:tr w:rsidR="00C73CCC" w:rsidRPr="00C73CCC" w:rsidTr="008D588D">
        <w:trPr>
          <w:trHeight w:val="300"/>
        </w:trPr>
        <w:tc>
          <w:tcPr>
            <w:tcW w:w="3843" w:type="dxa"/>
            <w:tcBorders>
              <w:top w:val="single" w:sz="4" w:space="0" w:color="auto"/>
              <w:left w:val="nil"/>
              <w:bottom w:val="nil"/>
              <w:right w:val="nil"/>
            </w:tcBorders>
            <w:shd w:val="clear" w:color="auto" w:fill="auto"/>
            <w:noWrap/>
            <w:vAlign w:val="bottom"/>
            <w:hideMark/>
          </w:tcPr>
          <w:p w:rsidR="00C73CCC" w:rsidRPr="00C73CCC" w:rsidRDefault="00C73CCC" w:rsidP="00C73CCC">
            <w:pPr>
              <w:rPr>
                <w:color w:val="000000"/>
                <w:sz w:val="22"/>
                <w:szCs w:val="22"/>
              </w:rPr>
            </w:pPr>
            <w:r w:rsidRPr="00C73CCC">
              <w:rPr>
                <w:color w:val="000000"/>
                <w:sz w:val="22"/>
                <w:szCs w:val="22"/>
              </w:rPr>
              <w:t>Median ATAR score (percentage)</w:t>
            </w:r>
          </w:p>
        </w:tc>
        <w:tc>
          <w:tcPr>
            <w:tcW w:w="2005" w:type="dxa"/>
            <w:tcBorders>
              <w:top w:val="single" w:sz="4" w:space="0" w:color="auto"/>
              <w:left w:val="nil"/>
              <w:bottom w:val="nil"/>
              <w:right w:val="nil"/>
            </w:tcBorders>
            <w:shd w:val="clear" w:color="auto" w:fill="auto"/>
            <w:noWrap/>
            <w:vAlign w:val="bottom"/>
            <w:hideMark/>
          </w:tcPr>
          <w:p w:rsidR="00C73CCC" w:rsidRPr="00C73CCC" w:rsidRDefault="00C73CCC" w:rsidP="00C73CCC">
            <w:pPr>
              <w:rPr>
                <w:color w:val="000000"/>
                <w:sz w:val="20"/>
                <w:szCs w:val="20"/>
              </w:rPr>
            </w:pPr>
            <w:proofErr w:type="spellStart"/>
            <w:r w:rsidRPr="00C73CCC">
              <w:rPr>
                <w:color w:val="000000"/>
                <w:sz w:val="20"/>
                <w:szCs w:val="20"/>
              </w:rPr>
              <w:t>Median_ATAR</w:t>
            </w:r>
            <w:proofErr w:type="spellEnd"/>
          </w:p>
        </w:tc>
        <w:tc>
          <w:tcPr>
            <w:tcW w:w="941" w:type="dxa"/>
            <w:tcBorders>
              <w:top w:val="single" w:sz="4" w:space="0" w:color="auto"/>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57.5</w:t>
            </w:r>
          </w:p>
        </w:tc>
        <w:tc>
          <w:tcPr>
            <w:tcW w:w="754" w:type="dxa"/>
            <w:tcBorders>
              <w:top w:val="single" w:sz="4" w:space="0" w:color="auto"/>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14.6</w:t>
            </w:r>
          </w:p>
        </w:tc>
        <w:tc>
          <w:tcPr>
            <w:tcW w:w="711" w:type="dxa"/>
            <w:tcBorders>
              <w:top w:val="single" w:sz="4" w:space="0" w:color="auto"/>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11.5</w:t>
            </w:r>
          </w:p>
        </w:tc>
        <w:tc>
          <w:tcPr>
            <w:tcW w:w="1335" w:type="dxa"/>
            <w:tcBorders>
              <w:top w:val="single" w:sz="4" w:space="0" w:color="auto"/>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98.3</w:t>
            </w:r>
          </w:p>
        </w:tc>
      </w:tr>
      <w:tr w:rsidR="00C73CCC" w:rsidRPr="00C73CCC" w:rsidTr="008D588D">
        <w:trPr>
          <w:trHeight w:val="300"/>
        </w:trPr>
        <w:tc>
          <w:tcPr>
            <w:tcW w:w="3843" w:type="dxa"/>
            <w:tcBorders>
              <w:top w:val="nil"/>
              <w:left w:val="nil"/>
              <w:bottom w:val="nil"/>
              <w:right w:val="nil"/>
            </w:tcBorders>
            <w:shd w:val="clear" w:color="auto" w:fill="auto"/>
            <w:noWrap/>
            <w:vAlign w:val="bottom"/>
            <w:hideMark/>
          </w:tcPr>
          <w:p w:rsidR="00C73CCC" w:rsidRPr="00C73CCC" w:rsidRDefault="00C73CCC" w:rsidP="00C73CCC">
            <w:pPr>
              <w:rPr>
                <w:b/>
                <w:i/>
                <w:iCs/>
                <w:color w:val="000000"/>
                <w:sz w:val="22"/>
                <w:szCs w:val="22"/>
              </w:rPr>
            </w:pPr>
            <w:r w:rsidRPr="00C73CCC">
              <w:rPr>
                <w:b/>
                <w:i/>
                <w:iCs/>
                <w:color w:val="000000"/>
                <w:sz w:val="22"/>
                <w:szCs w:val="22"/>
              </w:rPr>
              <w:t xml:space="preserve">School Characteristics </w:t>
            </w:r>
          </w:p>
        </w:tc>
        <w:tc>
          <w:tcPr>
            <w:tcW w:w="2005" w:type="dxa"/>
            <w:tcBorders>
              <w:top w:val="nil"/>
              <w:left w:val="nil"/>
              <w:bottom w:val="nil"/>
              <w:right w:val="nil"/>
            </w:tcBorders>
            <w:shd w:val="clear" w:color="auto" w:fill="auto"/>
            <w:noWrap/>
            <w:vAlign w:val="bottom"/>
            <w:hideMark/>
          </w:tcPr>
          <w:p w:rsidR="00C73CCC" w:rsidRPr="00C73CCC" w:rsidRDefault="00C73CCC" w:rsidP="00C73CCC">
            <w:pPr>
              <w:rPr>
                <w:b/>
                <w:color w:val="000000"/>
                <w:sz w:val="20"/>
                <w:szCs w:val="20"/>
              </w:rPr>
            </w:pPr>
          </w:p>
        </w:tc>
        <w:tc>
          <w:tcPr>
            <w:tcW w:w="941" w:type="dxa"/>
            <w:tcBorders>
              <w:top w:val="nil"/>
              <w:left w:val="nil"/>
              <w:bottom w:val="nil"/>
              <w:right w:val="nil"/>
            </w:tcBorders>
            <w:shd w:val="clear" w:color="auto" w:fill="auto"/>
            <w:noWrap/>
            <w:vAlign w:val="bottom"/>
            <w:hideMark/>
          </w:tcPr>
          <w:p w:rsidR="00C73CCC" w:rsidRPr="00C73CCC" w:rsidRDefault="00C73CCC" w:rsidP="00C73CCC">
            <w:pPr>
              <w:jc w:val="right"/>
              <w:rPr>
                <w:b/>
                <w:color w:val="000000"/>
                <w:sz w:val="22"/>
                <w:szCs w:val="22"/>
              </w:rPr>
            </w:pPr>
          </w:p>
        </w:tc>
        <w:tc>
          <w:tcPr>
            <w:tcW w:w="754" w:type="dxa"/>
            <w:tcBorders>
              <w:top w:val="nil"/>
              <w:left w:val="nil"/>
              <w:bottom w:val="nil"/>
              <w:right w:val="nil"/>
            </w:tcBorders>
            <w:shd w:val="clear" w:color="auto" w:fill="auto"/>
            <w:noWrap/>
            <w:vAlign w:val="bottom"/>
            <w:hideMark/>
          </w:tcPr>
          <w:p w:rsidR="00C73CCC" w:rsidRPr="00C73CCC" w:rsidRDefault="00C73CCC" w:rsidP="00C73CCC">
            <w:pPr>
              <w:jc w:val="right"/>
              <w:rPr>
                <w:b/>
                <w:color w:val="000000"/>
                <w:sz w:val="22"/>
                <w:szCs w:val="22"/>
              </w:rPr>
            </w:pPr>
          </w:p>
        </w:tc>
        <w:tc>
          <w:tcPr>
            <w:tcW w:w="711" w:type="dxa"/>
            <w:tcBorders>
              <w:top w:val="nil"/>
              <w:left w:val="nil"/>
              <w:bottom w:val="nil"/>
              <w:right w:val="nil"/>
            </w:tcBorders>
            <w:shd w:val="clear" w:color="auto" w:fill="auto"/>
            <w:noWrap/>
            <w:vAlign w:val="bottom"/>
            <w:hideMark/>
          </w:tcPr>
          <w:p w:rsidR="00C73CCC" w:rsidRPr="00C73CCC" w:rsidRDefault="00C73CCC" w:rsidP="00C73CCC">
            <w:pPr>
              <w:jc w:val="right"/>
              <w:rPr>
                <w:b/>
                <w:color w:val="000000"/>
                <w:sz w:val="22"/>
                <w:szCs w:val="22"/>
              </w:rPr>
            </w:pPr>
          </w:p>
        </w:tc>
        <w:tc>
          <w:tcPr>
            <w:tcW w:w="1335" w:type="dxa"/>
            <w:tcBorders>
              <w:top w:val="nil"/>
              <w:left w:val="nil"/>
              <w:bottom w:val="nil"/>
              <w:right w:val="nil"/>
            </w:tcBorders>
            <w:shd w:val="clear" w:color="auto" w:fill="auto"/>
            <w:noWrap/>
            <w:vAlign w:val="bottom"/>
            <w:hideMark/>
          </w:tcPr>
          <w:p w:rsidR="00C73CCC" w:rsidRPr="00C73CCC" w:rsidRDefault="00C73CCC" w:rsidP="00C73CCC">
            <w:pPr>
              <w:jc w:val="right"/>
              <w:rPr>
                <w:b/>
                <w:color w:val="000000"/>
                <w:sz w:val="22"/>
                <w:szCs w:val="22"/>
              </w:rPr>
            </w:pPr>
          </w:p>
        </w:tc>
      </w:tr>
      <w:tr w:rsidR="00C73CCC" w:rsidRPr="00C73CCC" w:rsidTr="008D588D">
        <w:trPr>
          <w:trHeight w:val="300"/>
        </w:trPr>
        <w:tc>
          <w:tcPr>
            <w:tcW w:w="3843" w:type="dxa"/>
            <w:tcBorders>
              <w:top w:val="nil"/>
              <w:left w:val="nil"/>
              <w:bottom w:val="nil"/>
              <w:right w:val="nil"/>
            </w:tcBorders>
            <w:shd w:val="clear" w:color="auto" w:fill="auto"/>
            <w:noWrap/>
            <w:vAlign w:val="bottom"/>
            <w:hideMark/>
          </w:tcPr>
          <w:p w:rsidR="00C73CCC" w:rsidRPr="00C73CCC" w:rsidRDefault="00C73CCC" w:rsidP="00C73CCC">
            <w:pPr>
              <w:rPr>
                <w:color w:val="000000"/>
                <w:sz w:val="22"/>
                <w:szCs w:val="22"/>
              </w:rPr>
            </w:pPr>
            <w:r w:rsidRPr="00C73CCC">
              <w:rPr>
                <w:color w:val="000000"/>
                <w:sz w:val="22"/>
                <w:szCs w:val="22"/>
              </w:rPr>
              <w:t>Natural log of aggregate expenditure per FTE at 2005 prices *</w:t>
            </w:r>
          </w:p>
        </w:tc>
        <w:tc>
          <w:tcPr>
            <w:tcW w:w="2005" w:type="dxa"/>
            <w:tcBorders>
              <w:top w:val="nil"/>
              <w:left w:val="nil"/>
              <w:bottom w:val="nil"/>
              <w:right w:val="nil"/>
            </w:tcBorders>
            <w:shd w:val="clear" w:color="auto" w:fill="auto"/>
            <w:noWrap/>
            <w:vAlign w:val="bottom"/>
            <w:hideMark/>
          </w:tcPr>
          <w:p w:rsidR="00C73CCC" w:rsidRPr="00C73CCC" w:rsidRDefault="00C73CCC" w:rsidP="00C73CCC">
            <w:pPr>
              <w:rPr>
                <w:color w:val="000000"/>
                <w:sz w:val="20"/>
                <w:szCs w:val="20"/>
              </w:rPr>
            </w:pPr>
            <w:proofErr w:type="spellStart"/>
            <w:r w:rsidRPr="00C73CCC">
              <w:rPr>
                <w:color w:val="000000"/>
                <w:sz w:val="20"/>
                <w:szCs w:val="20"/>
              </w:rPr>
              <w:t>Ln_PPExpenditure</w:t>
            </w:r>
            <w:proofErr w:type="spellEnd"/>
          </w:p>
        </w:tc>
        <w:tc>
          <w:tcPr>
            <w:tcW w:w="941" w:type="dxa"/>
            <w:tcBorders>
              <w:top w:val="nil"/>
              <w:left w:val="nil"/>
              <w:bottom w:val="nil"/>
              <w:right w:val="nil"/>
            </w:tcBorders>
            <w:shd w:val="clear" w:color="auto" w:fill="auto"/>
            <w:noWrap/>
            <w:vAlign w:val="bottom"/>
          </w:tcPr>
          <w:p w:rsidR="00C73CCC" w:rsidRPr="00C73CCC" w:rsidRDefault="00C73CCC" w:rsidP="00C73CCC">
            <w:pPr>
              <w:jc w:val="right"/>
              <w:rPr>
                <w:color w:val="000000"/>
                <w:sz w:val="22"/>
                <w:szCs w:val="22"/>
              </w:rPr>
            </w:pPr>
            <w:r w:rsidRPr="00C73CCC">
              <w:rPr>
                <w:color w:val="000000"/>
                <w:sz w:val="22"/>
                <w:szCs w:val="22"/>
              </w:rPr>
              <w:t xml:space="preserve">9.283     </w:t>
            </w:r>
          </w:p>
        </w:tc>
        <w:tc>
          <w:tcPr>
            <w:tcW w:w="754" w:type="dxa"/>
            <w:tcBorders>
              <w:top w:val="nil"/>
              <w:left w:val="nil"/>
              <w:bottom w:val="nil"/>
              <w:right w:val="nil"/>
            </w:tcBorders>
            <w:shd w:val="clear" w:color="auto" w:fill="auto"/>
            <w:noWrap/>
            <w:vAlign w:val="bottom"/>
          </w:tcPr>
          <w:p w:rsidR="00C73CCC" w:rsidRPr="00C73CCC" w:rsidRDefault="00C73CCC" w:rsidP="00C73CCC">
            <w:pPr>
              <w:jc w:val="right"/>
              <w:rPr>
                <w:color w:val="000000"/>
                <w:sz w:val="22"/>
                <w:szCs w:val="22"/>
              </w:rPr>
            </w:pPr>
            <w:r w:rsidRPr="00C73CCC">
              <w:rPr>
                <w:color w:val="000000"/>
                <w:sz w:val="22"/>
                <w:szCs w:val="22"/>
              </w:rPr>
              <w:t xml:space="preserve">0.184        </w:t>
            </w:r>
          </w:p>
        </w:tc>
        <w:tc>
          <w:tcPr>
            <w:tcW w:w="711" w:type="dxa"/>
            <w:tcBorders>
              <w:top w:val="nil"/>
              <w:left w:val="nil"/>
              <w:bottom w:val="nil"/>
              <w:right w:val="nil"/>
            </w:tcBorders>
            <w:shd w:val="clear" w:color="auto" w:fill="auto"/>
            <w:noWrap/>
            <w:vAlign w:val="bottom"/>
          </w:tcPr>
          <w:p w:rsidR="00C73CCC" w:rsidRPr="00C73CCC" w:rsidRDefault="00C73CCC" w:rsidP="00C73CCC">
            <w:pPr>
              <w:jc w:val="right"/>
              <w:rPr>
                <w:color w:val="000000"/>
                <w:sz w:val="22"/>
                <w:szCs w:val="22"/>
              </w:rPr>
            </w:pPr>
            <w:r w:rsidRPr="00C73CCC">
              <w:rPr>
                <w:color w:val="000000"/>
                <w:sz w:val="22"/>
                <w:szCs w:val="22"/>
              </w:rPr>
              <w:t>8.938</w:t>
            </w:r>
          </w:p>
        </w:tc>
        <w:tc>
          <w:tcPr>
            <w:tcW w:w="1335" w:type="dxa"/>
            <w:tcBorders>
              <w:top w:val="nil"/>
              <w:left w:val="nil"/>
              <w:bottom w:val="nil"/>
              <w:right w:val="nil"/>
            </w:tcBorders>
            <w:shd w:val="clear" w:color="auto" w:fill="auto"/>
            <w:noWrap/>
            <w:vAlign w:val="bottom"/>
          </w:tcPr>
          <w:p w:rsidR="00C73CCC" w:rsidRPr="00C73CCC" w:rsidRDefault="00C73CCC" w:rsidP="00C73CCC">
            <w:pPr>
              <w:jc w:val="right"/>
              <w:rPr>
                <w:color w:val="000000"/>
                <w:sz w:val="22"/>
                <w:szCs w:val="22"/>
              </w:rPr>
            </w:pPr>
            <w:r w:rsidRPr="00C73CCC">
              <w:rPr>
                <w:color w:val="000000"/>
                <w:sz w:val="22"/>
                <w:szCs w:val="22"/>
              </w:rPr>
              <w:t>9.998</w:t>
            </w:r>
          </w:p>
        </w:tc>
      </w:tr>
      <w:tr w:rsidR="00C73CCC" w:rsidRPr="00C73CCC" w:rsidTr="008D588D">
        <w:trPr>
          <w:trHeight w:val="300"/>
        </w:trPr>
        <w:tc>
          <w:tcPr>
            <w:tcW w:w="3843" w:type="dxa"/>
            <w:tcBorders>
              <w:top w:val="nil"/>
              <w:left w:val="nil"/>
              <w:bottom w:val="nil"/>
              <w:right w:val="nil"/>
            </w:tcBorders>
            <w:shd w:val="clear" w:color="auto" w:fill="auto"/>
            <w:noWrap/>
            <w:vAlign w:val="bottom"/>
          </w:tcPr>
          <w:p w:rsidR="00C73CCC" w:rsidRPr="00C73CCC" w:rsidRDefault="00C73CCC" w:rsidP="00C73CCC">
            <w:pPr>
              <w:numPr>
                <w:ilvl w:val="0"/>
                <w:numId w:val="34"/>
              </w:numPr>
              <w:rPr>
                <w:color w:val="000000"/>
                <w:sz w:val="22"/>
                <w:szCs w:val="22"/>
              </w:rPr>
            </w:pPr>
            <w:r w:rsidRPr="00C73CCC">
              <w:rPr>
                <w:color w:val="000000"/>
                <w:sz w:val="22"/>
                <w:szCs w:val="22"/>
              </w:rPr>
              <w:t>Untransformed *</w:t>
            </w:r>
          </w:p>
        </w:tc>
        <w:tc>
          <w:tcPr>
            <w:tcW w:w="2005" w:type="dxa"/>
            <w:tcBorders>
              <w:top w:val="nil"/>
              <w:left w:val="nil"/>
              <w:bottom w:val="nil"/>
              <w:right w:val="nil"/>
            </w:tcBorders>
            <w:shd w:val="clear" w:color="auto" w:fill="auto"/>
            <w:noWrap/>
            <w:vAlign w:val="bottom"/>
          </w:tcPr>
          <w:p w:rsidR="00C73CCC" w:rsidRPr="00C73CCC" w:rsidRDefault="00C73CCC" w:rsidP="00C73CCC">
            <w:pPr>
              <w:rPr>
                <w:color w:val="000000"/>
                <w:sz w:val="20"/>
                <w:szCs w:val="20"/>
              </w:rPr>
            </w:pPr>
            <w:proofErr w:type="spellStart"/>
            <w:r w:rsidRPr="00C73CCC">
              <w:rPr>
                <w:color w:val="000000"/>
                <w:sz w:val="20"/>
                <w:szCs w:val="20"/>
              </w:rPr>
              <w:t>PPExpenditure</w:t>
            </w:r>
            <w:proofErr w:type="spellEnd"/>
          </w:p>
        </w:tc>
        <w:tc>
          <w:tcPr>
            <w:tcW w:w="941" w:type="dxa"/>
            <w:tcBorders>
              <w:top w:val="nil"/>
              <w:left w:val="nil"/>
              <w:bottom w:val="nil"/>
              <w:right w:val="nil"/>
            </w:tcBorders>
            <w:shd w:val="clear" w:color="auto" w:fill="auto"/>
            <w:noWrap/>
            <w:vAlign w:val="bottom"/>
          </w:tcPr>
          <w:p w:rsidR="00C73CCC" w:rsidRPr="00C73CCC" w:rsidRDefault="00C73CCC" w:rsidP="00C73CCC">
            <w:pPr>
              <w:jc w:val="right"/>
              <w:rPr>
                <w:color w:val="000000"/>
                <w:sz w:val="22"/>
                <w:szCs w:val="22"/>
              </w:rPr>
            </w:pPr>
            <w:r w:rsidRPr="00C73CCC">
              <w:rPr>
                <w:color w:val="000000"/>
                <w:sz w:val="22"/>
                <w:szCs w:val="22"/>
              </w:rPr>
              <w:t xml:space="preserve">10953      </w:t>
            </w:r>
          </w:p>
        </w:tc>
        <w:tc>
          <w:tcPr>
            <w:tcW w:w="754" w:type="dxa"/>
            <w:tcBorders>
              <w:top w:val="nil"/>
              <w:left w:val="nil"/>
              <w:bottom w:val="nil"/>
              <w:right w:val="nil"/>
            </w:tcBorders>
            <w:shd w:val="clear" w:color="auto" w:fill="auto"/>
            <w:noWrap/>
            <w:vAlign w:val="bottom"/>
          </w:tcPr>
          <w:p w:rsidR="00C73CCC" w:rsidRPr="00C73CCC" w:rsidRDefault="00C73CCC" w:rsidP="00C73CCC">
            <w:pPr>
              <w:jc w:val="right"/>
              <w:rPr>
                <w:color w:val="000000"/>
                <w:sz w:val="22"/>
                <w:szCs w:val="22"/>
              </w:rPr>
            </w:pPr>
            <w:r w:rsidRPr="00C73CCC">
              <w:rPr>
                <w:color w:val="000000"/>
                <w:sz w:val="22"/>
                <w:szCs w:val="22"/>
              </w:rPr>
              <w:t xml:space="preserve">2203    </w:t>
            </w:r>
          </w:p>
        </w:tc>
        <w:tc>
          <w:tcPr>
            <w:tcW w:w="711" w:type="dxa"/>
            <w:tcBorders>
              <w:top w:val="nil"/>
              <w:left w:val="nil"/>
              <w:bottom w:val="nil"/>
              <w:right w:val="nil"/>
            </w:tcBorders>
            <w:shd w:val="clear" w:color="auto" w:fill="auto"/>
            <w:noWrap/>
            <w:vAlign w:val="bottom"/>
          </w:tcPr>
          <w:p w:rsidR="00C73CCC" w:rsidRPr="00C73CCC" w:rsidRDefault="00C73CCC" w:rsidP="00C73CCC">
            <w:pPr>
              <w:jc w:val="right"/>
              <w:rPr>
                <w:color w:val="000000"/>
                <w:sz w:val="22"/>
                <w:szCs w:val="22"/>
              </w:rPr>
            </w:pPr>
            <w:r w:rsidRPr="00C73CCC">
              <w:rPr>
                <w:color w:val="000000"/>
                <w:sz w:val="22"/>
                <w:szCs w:val="22"/>
              </w:rPr>
              <w:t xml:space="preserve">7615    </w:t>
            </w:r>
          </w:p>
        </w:tc>
        <w:tc>
          <w:tcPr>
            <w:tcW w:w="1335" w:type="dxa"/>
            <w:tcBorders>
              <w:top w:val="nil"/>
              <w:left w:val="nil"/>
              <w:bottom w:val="nil"/>
              <w:right w:val="nil"/>
            </w:tcBorders>
            <w:shd w:val="clear" w:color="auto" w:fill="auto"/>
            <w:noWrap/>
            <w:vAlign w:val="bottom"/>
          </w:tcPr>
          <w:p w:rsidR="00C73CCC" w:rsidRPr="00C73CCC" w:rsidRDefault="00C73CCC" w:rsidP="00C73CCC">
            <w:pPr>
              <w:jc w:val="right"/>
              <w:rPr>
                <w:color w:val="000000"/>
                <w:sz w:val="22"/>
                <w:szCs w:val="22"/>
              </w:rPr>
            </w:pPr>
            <w:r w:rsidRPr="00C73CCC">
              <w:rPr>
                <w:color w:val="000000"/>
                <w:sz w:val="22"/>
                <w:szCs w:val="22"/>
              </w:rPr>
              <w:t>21991</w:t>
            </w:r>
          </w:p>
        </w:tc>
      </w:tr>
      <w:tr w:rsidR="00C73CCC" w:rsidRPr="00C73CCC" w:rsidTr="008D588D">
        <w:trPr>
          <w:trHeight w:val="300"/>
        </w:trPr>
        <w:tc>
          <w:tcPr>
            <w:tcW w:w="3843" w:type="dxa"/>
            <w:tcBorders>
              <w:top w:val="nil"/>
              <w:left w:val="nil"/>
              <w:bottom w:val="nil"/>
              <w:right w:val="nil"/>
            </w:tcBorders>
            <w:shd w:val="clear" w:color="auto" w:fill="auto"/>
            <w:noWrap/>
            <w:vAlign w:val="bottom"/>
          </w:tcPr>
          <w:p w:rsidR="00C73CCC" w:rsidRPr="00C73CCC" w:rsidRDefault="00C73CCC" w:rsidP="00C73CCC">
            <w:pPr>
              <w:rPr>
                <w:color w:val="000000"/>
                <w:sz w:val="22"/>
                <w:szCs w:val="22"/>
              </w:rPr>
            </w:pPr>
            <w:r w:rsidRPr="00C73CCC">
              <w:rPr>
                <w:color w:val="000000"/>
                <w:sz w:val="22"/>
                <w:szCs w:val="22"/>
              </w:rPr>
              <w:t>Natural log of total expenditure per FTE (i.e. net of school discretionary spending) at 2005 prices *</w:t>
            </w:r>
          </w:p>
        </w:tc>
        <w:tc>
          <w:tcPr>
            <w:tcW w:w="2005" w:type="dxa"/>
            <w:tcBorders>
              <w:top w:val="nil"/>
              <w:left w:val="nil"/>
              <w:bottom w:val="nil"/>
              <w:right w:val="nil"/>
            </w:tcBorders>
            <w:shd w:val="clear" w:color="auto" w:fill="auto"/>
            <w:noWrap/>
            <w:vAlign w:val="bottom"/>
          </w:tcPr>
          <w:p w:rsidR="00C73CCC" w:rsidRPr="00C73CCC" w:rsidRDefault="00C73CCC" w:rsidP="00C73CCC">
            <w:pPr>
              <w:rPr>
                <w:color w:val="000000"/>
                <w:sz w:val="20"/>
                <w:szCs w:val="20"/>
              </w:rPr>
            </w:pPr>
            <w:proofErr w:type="spellStart"/>
            <w:r w:rsidRPr="00C73CCC">
              <w:rPr>
                <w:color w:val="000000"/>
                <w:sz w:val="20"/>
                <w:szCs w:val="20"/>
              </w:rPr>
              <w:t>Ln_PPtotexp_deflated</w:t>
            </w:r>
            <w:proofErr w:type="spellEnd"/>
          </w:p>
        </w:tc>
        <w:tc>
          <w:tcPr>
            <w:tcW w:w="941" w:type="dxa"/>
            <w:tcBorders>
              <w:top w:val="nil"/>
              <w:left w:val="nil"/>
              <w:bottom w:val="nil"/>
              <w:right w:val="nil"/>
            </w:tcBorders>
            <w:shd w:val="clear" w:color="auto" w:fill="auto"/>
            <w:noWrap/>
            <w:vAlign w:val="bottom"/>
          </w:tcPr>
          <w:p w:rsidR="00C73CCC" w:rsidRPr="00C73CCC" w:rsidRDefault="00C73CCC" w:rsidP="00C73CCC">
            <w:pPr>
              <w:jc w:val="right"/>
              <w:rPr>
                <w:color w:val="000000"/>
                <w:sz w:val="22"/>
                <w:szCs w:val="22"/>
              </w:rPr>
            </w:pPr>
            <w:r w:rsidRPr="00C73CCC">
              <w:rPr>
                <w:color w:val="000000"/>
                <w:sz w:val="22"/>
                <w:szCs w:val="22"/>
              </w:rPr>
              <w:t xml:space="preserve">9.137     </w:t>
            </w:r>
          </w:p>
        </w:tc>
        <w:tc>
          <w:tcPr>
            <w:tcW w:w="754" w:type="dxa"/>
            <w:tcBorders>
              <w:top w:val="nil"/>
              <w:left w:val="nil"/>
              <w:bottom w:val="nil"/>
              <w:right w:val="nil"/>
            </w:tcBorders>
            <w:shd w:val="clear" w:color="auto" w:fill="auto"/>
            <w:noWrap/>
            <w:vAlign w:val="bottom"/>
          </w:tcPr>
          <w:p w:rsidR="00C73CCC" w:rsidRPr="00C73CCC" w:rsidRDefault="00C73CCC" w:rsidP="00C73CCC">
            <w:pPr>
              <w:jc w:val="right"/>
              <w:rPr>
                <w:color w:val="000000"/>
                <w:sz w:val="22"/>
                <w:szCs w:val="22"/>
              </w:rPr>
            </w:pPr>
            <w:r w:rsidRPr="00C73CCC">
              <w:rPr>
                <w:color w:val="000000"/>
                <w:sz w:val="22"/>
                <w:szCs w:val="22"/>
              </w:rPr>
              <w:t xml:space="preserve">0.196    </w:t>
            </w:r>
          </w:p>
        </w:tc>
        <w:tc>
          <w:tcPr>
            <w:tcW w:w="711" w:type="dxa"/>
            <w:tcBorders>
              <w:top w:val="nil"/>
              <w:left w:val="nil"/>
              <w:bottom w:val="nil"/>
              <w:right w:val="nil"/>
            </w:tcBorders>
            <w:shd w:val="clear" w:color="auto" w:fill="auto"/>
            <w:noWrap/>
            <w:vAlign w:val="bottom"/>
          </w:tcPr>
          <w:p w:rsidR="00C73CCC" w:rsidRPr="00C73CCC" w:rsidRDefault="00C73CCC" w:rsidP="00C73CCC">
            <w:pPr>
              <w:jc w:val="right"/>
              <w:rPr>
                <w:color w:val="000000"/>
                <w:sz w:val="22"/>
                <w:szCs w:val="22"/>
              </w:rPr>
            </w:pPr>
            <w:r w:rsidRPr="00C73CCC">
              <w:rPr>
                <w:color w:val="000000"/>
                <w:sz w:val="22"/>
                <w:szCs w:val="22"/>
              </w:rPr>
              <w:t xml:space="preserve">8.792    </w:t>
            </w:r>
          </w:p>
        </w:tc>
        <w:tc>
          <w:tcPr>
            <w:tcW w:w="1335" w:type="dxa"/>
            <w:tcBorders>
              <w:top w:val="nil"/>
              <w:left w:val="nil"/>
              <w:bottom w:val="nil"/>
              <w:right w:val="nil"/>
            </w:tcBorders>
            <w:shd w:val="clear" w:color="auto" w:fill="auto"/>
            <w:noWrap/>
            <w:vAlign w:val="bottom"/>
          </w:tcPr>
          <w:p w:rsidR="00C73CCC" w:rsidRPr="00C73CCC" w:rsidRDefault="00C73CCC" w:rsidP="00C73CCC">
            <w:pPr>
              <w:jc w:val="right"/>
              <w:rPr>
                <w:color w:val="000000"/>
                <w:sz w:val="22"/>
                <w:szCs w:val="22"/>
              </w:rPr>
            </w:pPr>
            <w:r w:rsidRPr="00C73CCC">
              <w:rPr>
                <w:color w:val="000000"/>
                <w:sz w:val="22"/>
                <w:szCs w:val="22"/>
              </w:rPr>
              <w:t>10.090</w:t>
            </w:r>
          </w:p>
        </w:tc>
      </w:tr>
      <w:tr w:rsidR="00C73CCC" w:rsidRPr="00C73CCC" w:rsidTr="008D588D">
        <w:trPr>
          <w:trHeight w:val="300"/>
        </w:trPr>
        <w:tc>
          <w:tcPr>
            <w:tcW w:w="3843" w:type="dxa"/>
            <w:tcBorders>
              <w:top w:val="nil"/>
              <w:left w:val="nil"/>
              <w:bottom w:val="nil"/>
              <w:right w:val="nil"/>
            </w:tcBorders>
            <w:shd w:val="clear" w:color="auto" w:fill="auto"/>
            <w:noWrap/>
            <w:vAlign w:val="bottom"/>
          </w:tcPr>
          <w:p w:rsidR="00C73CCC" w:rsidRPr="00C73CCC" w:rsidRDefault="00C73CCC" w:rsidP="00C73CCC">
            <w:pPr>
              <w:numPr>
                <w:ilvl w:val="0"/>
                <w:numId w:val="34"/>
              </w:numPr>
              <w:rPr>
                <w:color w:val="000000"/>
                <w:sz w:val="22"/>
                <w:szCs w:val="22"/>
              </w:rPr>
            </w:pPr>
            <w:r w:rsidRPr="00C73CCC">
              <w:rPr>
                <w:color w:val="000000"/>
                <w:sz w:val="22"/>
                <w:szCs w:val="22"/>
              </w:rPr>
              <w:t>Untransformed *</w:t>
            </w:r>
          </w:p>
        </w:tc>
        <w:tc>
          <w:tcPr>
            <w:tcW w:w="2005" w:type="dxa"/>
            <w:tcBorders>
              <w:top w:val="nil"/>
              <w:left w:val="nil"/>
              <w:bottom w:val="nil"/>
              <w:right w:val="nil"/>
            </w:tcBorders>
            <w:shd w:val="clear" w:color="auto" w:fill="auto"/>
            <w:noWrap/>
            <w:vAlign w:val="bottom"/>
          </w:tcPr>
          <w:p w:rsidR="00C73CCC" w:rsidRPr="00C73CCC" w:rsidRDefault="00C73CCC" w:rsidP="00C73CCC">
            <w:pPr>
              <w:rPr>
                <w:color w:val="000000"/>
                <w:sz w:val="20"/>
                <w:szCs w:val="20"/>
              </w:rPr>
            </w:pPr>
            <w:proofErr w:type="spellStart"/>
            <w:r w:rsidRPr="00C73CCC">
              <w:rPr>
                <w:color w:val="000000"/>
                <w:sz w:val="20"/>
                <w:szCs w:val="20"/>
              </w:rPr>
              <w:t>PPtotexp_deflated</w:t>
            </w:r>
            <w:proofErr w:type="spellEnd"/>
          </w:p>
        </w:tc>
        <w:tc>
          <w:tcPr>
            <w:tcW w:w="941" w:type="dxa"/>
            <w:tcBorders>
              <w:top w:val="nil"/>
              <w:left w:val="nil"/>
              <w:bottom w:val="nil"/>
              <w:right w:val="nil"/>
            </w:tcBorders>
            <w:shd w:val="clear" w:color="auto" w:fill="auto"/>
            <w:noWrap/>
            <w:vAlign w:val="bottom"/>
          </w:tcPr>
          <w:p w:rsidR="00C73CCC" w:rsidRPr="00C73CCC" w:rsidRDefault="00C73CCC" w:rsidP="00C73CCC">
            <w:pPr>
              <w:jc w:val="right"/>
              <w:rPr>
                <w:color w:val="000000"/>
                <w:sz w:val="22"/>
                <w:szCs w:val="22"/>
              </w:rPr>
            </w:pPr>
            <w:r w:rsidRPr="00C73CCC">
              <w:rPr>
                <w:color w:val="000000"/>
                <w:sz w:val="22"/>
                <w:szCs w:val="22"/>
              </w:rPr>
              <w:t xml:space="preserve">9480     </w:t>
            </w:r>
          </w:p>
        </w:tc>
        <w:tc>
          <w:tcPr>
            <w:tcW w:w="754" w:type="dxa"/>
            <w:tcBorders>
              <w:top w:val="nil"/>
              <w:left w:val="nil"/>
              <w:bottom w:val="nil"/>
              <w:right w:val="nil"/>
            </w:tcBorders>
            <w:shd w:val="clear" w:color="auto" w:fill="auto"/>
            <w:noWrap/>
            <w:vAlign w:val="bottom"/>
          </w:tcPr>
          <w:p w:rsidR="00C73CCC" w:rsidRPr="00C73CCC" w:rsidRDefault="00C73CCC" w:rsidP="00C73CCC">
            <w:pPr>
              <w:jc w:val="right"/>
              <w:rPr>
                <w:color w:val="000000"/>
                <w:sz w:val="22"/>
                <w:szCs w:val="22"/>
              </w:rPr>
            </w:pPr>
            <w:r w:rsidRPr="00C73CCC">
              <w:rPr>
                <w:color w:val="000000"/>
                <w:sz w:val="22"/>
                <w:szCs w:val="22"/>
              </w:rPr>
              <w:t xml:space="preserve">2064    </w:t>
            </w:r>
          </w:p>
        </w:tc>
        <w:tc>
          <w:tcPr>
            <w:tcW w:w="711" w:type="dxa"/>
            <w:tcBorders>
              <w:top w:val="nil"/>
              <w:left w:val="nil"/>
              <w:bottom w:val="nil"/>
              <w:right w:val="nil"/>
            </w:tcBorders>
            <w:shd w:val="clear" w:color="auto" w:fill="auto"/>
            <w:noWrap/>
            <w:vAlign w:val="bottom"/>
          </w:tcPr>
          <w:p w:rsidR="00C73CCC" w:rsidRPr="00C73CCC" w:rsidRDefault="00C73CCC" w:rsidP="00C73CCC">
            <w:pPr>
              <w:jc w:val="right"/>
              <w:rPr>
                <w:color w:val="000000"/>
                <w:sz w:val="22"/>
                <w:szCs w:val="22"/>
              </w:rPr>
            </w:pPr>
            <w:r w:rsidRPr="00C73CCC">
              <w:rPr>
                <w:color w:val="000000"/>
                <w:sz w:val="22"/>
                <w:szCs w:val="22"/>
              </w:rPr>
              <w:t xml:space="preserve">6580    </w:t>
            </w:r>
          </w:p>
        </w:tc>
        <w:tc>
          <w:tcPr>
            <w:tcW w:w="1335" w:type="dxa"/>
            <w:tcBorders>
              <w:top w:val="nil"/>
              <w:left w:val="nil"/>
              <w:bottom w:val="nil"/>
              <w:right w:val="nil"/>
            </w:tcBorders>
            <w:shd w:val="clear" w:color="auto" w:fill="auto"/>
            <w:noWrap/>
            <w:vAlign w:val="bottom"/>
          </w:tcPr>
          <w:p w:rsidR="00C73CCC" w:rsidRPr="00C73CCC" w:rsidRDefault="00C73CCC" w:rsidP="00C73CCC">
            <w:pPr>
              <w:jc w:val="right"/>
              <w:rPr>
                <w:color w:val="000000"/>
                <w:sz w:val="22"/>
                <w:szCs w:val="22"/>
              </w:rPr>
            </w:pPr>
            <w:r w:rsidRPr="00C73CCC">
              <w:rPr>
                <w:color w:val="000000"/>
                <w:sz w:val="22"/>
                <w:szCs w:val="22"/>
              </w:rPr>
              <w:t>24111</w:t>
            </w:r>
          </w:p>
        </w:tc>
      </w:tr>
      <w:tr w:rsidR="00C73CCC" w:rsidRPr="00C73CCC" w:rsidTr="008D588D">
        <w:trPr>
          <w:trHeight w:val="300"/>
        </w:trPr>
        <w:tc>
          <w:tcPr>
            <w:tcW w:w="3843" w:type="dxa"/>
            <w:tcBorders>
              <w:top w:val="nil"/>
              <w:left w:val="nil"/>
              <w:bottom w:val="nil"/>
              <w:right w:val="nil"/>
            </w:tcBorders>
            <w:shd w:val="clear" w:color="auto" w:fill="auto"/>
            <w:noWrap/>
            <w:vAlign w:val="bottom"/>
            <w:hideMark/>
          </w:tcPr>
          <w:p w:rsidR="00C73CCC" w:rsidRPr="00C73CCC" w:rsidRDefault="00C73CCC" w:rsidP="00C73CCC">
            <w:pPr>
              <w:rPr>
                <w:color w:val="000000"/>
                <w:sz w:val="22"/>
                <w:szCs w:val="22"/>
              </w:rPr>
            </w:pPr>
            <w:r w:rsidRPr="00C73CCC">
              <w:rPr>
                <w:color w:val="000000"/>
                <w:sz w:val="22"/>
                <w:szCs w:val="22"/>
              </w:rPr>
              <w:t>Boys school</w:t>
            </w:r>
          </w:p>
        </w:tc>
        <w:tc>
          <w:tcPr>
            <w:tcW w:w="2005" w:type="dxa"/>
            <w:tcBorders>
              <w:top w:val="nil"/>
              <w:left w:val="nil"/>
              <w:bottom w:val="nil"/>
              <w:right w:val="nil"/>
            </w:tcBorders>
            <w:shd w:val="clear" w:color="auto" w:fill="auto"/>
            <w:noWrap/>
            <w:vAlign w:val="bottom"/>
            <w:hideMark/>
          </w:tcPr>
          <w:p w:rsidR="00C73CCC" w:rsidRPr="00C73CCC" w:rsidRDefault="00C73CCC" w:rsidP="00C73CCC">
            <w:pPr>
              <w:rPr>
                <w:color w:val="000000"/>
                <w:sz w:val="20"/>
                <w:szCs w:val="20"/>
              </w:rPr>
            </w:pPr>
            <w:r w:rsidRPr="00C73CCC">
              <w:rPr>
                <w:color w:val="000000"/>
                <w:sz w:val="20"/>
                <w:szCs w:val="20"/>
              </w:rPr>
              <w:t>Boys</w:t>
            </w:r>
          </w:p>
        </w:tc>
        <w:tc>
          <w:tcPr>
            <w:tcW w:w="941"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0.05</w:t>
            </w:r>
          </w:p>
        </w:tc>
        <w:tc>
          <w:tcPr>
            <w:tcW w:w="754"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p>
        </w:tc>
        <w:tc>
          <w:tcPr>
            <w:tcW w:w="711"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w:t>
            </w:r>
          </w:p>
        </w:tc>
        <w:tc>
          <w:tcPr>
            <w:tcW w:w="1335"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1</w:t>
            </w:r>
          </w:p>
        </w:tc>
      </w:tr>
      <w:tr w:rsidR="00C73CCC" w:rsidRPr="00C73CCC" w:rsidTr="008D588D">
        <w:trPr>
          <w:trHeight w:val="300"/>
        </w:trPr>
        <w:tc>
          <w:tcPr>
            <w:tcW w:w="3843" w:type="dxa"/>
            <w:tcBorders>
              <w:top w:val="nil"/>
              <w:left w:val="nil"/>
              <w:bottom w:val="nil"/>
              <w:right w:val="nil"/>
            </w:tcBorders>
            <w:shd w:val="clear" w:color="auto" w:fill="auto"/>
            <w:noWrap/>
            <w:vAlign w:val="bottom"/>
            <w:hideMark/>
          </w:tcPr>
          <w:p w:rsidR="00C73CCC" w:rsidRPr="00C73CCC" w:rsidRDefault="00C73CCC" w:rsidP="00C73CCC">
            <w:pPr>
              <w:rPr>
                <w:color w:val="000000"/>
                <w:sz w:val="22"/>
                <w:szCs w:val="22"/>
              </w:rPr>
            </w:pPr>
            <w:r w:rsidRPr="00C73CCC">
              <w:rPr>
                <w:color w:val="000000"/>
                <w:sz w:val="22"/>
                <w:szCs w:val="22"/>
              </w:rPr>
              <w:t>Girls school</w:t>
            </w:r>
          </w:p>
        </w:tc>
        <w:tc>
          <w:tcPr>
            <w:tcW w:w="2005" w:type="dxa"/>
            <w:tcBorders>
              <w:top w:val="nil"/>
              <w:left w:val="nil"/>
              <w:bottom w:val="nil"/>
              <w:right w:val="nil"/>
            </w:tcBorders>
            <w:shd w:val="clear" w:color="auto" w:fill="auto"/>
            <w:noWrap/>
            <w:vAlign w:val="bottom"/>
            <w:hideMark/>
          </w:tcPr>
          <w:p w:rsidR="00C73CCC" w:rsidRPr="00C73CCC" w:rsidRDefault="00C73CCC" w:rsidP="00C73CCC">
            <w:pPr>
              <w:rPr>
                <w:color w:val="000000"/>
                <w:sz w:val="20"/>
                <w:szCs w:val="20"/>
              </w:rPr>
            </w:pPr>
            <w:r w:rsidRPr="00C73CCC">
              <w:rPr>
                <w:color w:val="000000"/>
                <w:sz w:val="20"/>
                <w:szCs w:val="20"/>
              </w:rPr>
              <w:t>Girls</w:t>
            </w:r>
          </w:p>
        </w:tc>
        <w:tc>
          <w:tcPr>
            <w:tcW w:w="941"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0.07</w:t>
            </w:r>
          </w:p>
        </w:tc>
        <w:tc>
          <w:tcPr>
            <w:tcW w:w="754"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p>
        </w:tc>
        <w:tc>
          <w:tcPr>
            <w:tcW w:w="711"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w:t>
            </w:r>
          </w:p>
        </w:tc>
        <w:tc>
          <w:tcPr>
            <w:tcW w:w="1335"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1</w:t>
            </w:r>
          </w:p>
        </w:tc>
      </w:tr>
      <w:tr w:rsidR="00C73CCC" w:rsidRPr="00C73CCC" w:rsidTr="008D588D">
        <w:trPr>
          <w:trHeight w:val="300"/>
        </w:trPr>
        <w:tc>
          <w:tcPr>
            <w:tcW w:w="3843" w:type="dxa"/>
            <w:tcBorders>
              <w:top w:val="nil"/>
              <w:left w:val="nil"/>
              <w:bottom w:val="nil"/>
              <w:right w:val="nil"/>
            </w:tcBorders>
            <w:shd w:val="clear" w:color="auto" w:fill="auto"/>
            <w:noWrap/>
            <w:vAlign w:val="bottom"/>
            <w:hideMark/>
          </w:tcPr>
          <w:p w:rsidR="00C73CCC" w:rsidRPr="00C73CCC" w:rsidRDefault="00C73CCC" w:rsidP="00C73CCC">
            <w:pPr>
              <w:rPr>
                <w:color w:val="000000"/>
                <w:sz w:val="22"/>
                <w:szCs w:val="22"/>
              </w:rPr>
            </w:pPr>
            <w:r w:rsidRPr="00C73CCC">
              <w:rPr>
                <w:color w:val="000000"/>
                <w:sz w:val="22"/>
                <w:szCs w:val="22"/>
              </w:rPr>
              <w:t>Attendance, proportion</w:t>
            </w:r>
          </w:p>
        </w:tc>
        <w:tc>
          <w:tcPr>
            <w:tcW w:w="2005" w:type="dxa"/>
            <w:tcBorders>
              <w:top w:val="nil"/>
              <w:left w:val="nil"/>
              <w:bottom w:val="nil"/>
              <w:right w:val="nil"/>
            </w:tcBorders>
            <w:shd w:val="clear" w:color="auto" w:fill="auto"/>
            <w:noWrap/>
            <w:vAlign w:val="bottom"/>
            <w:hideMark/>
          </w:tcPr>
          <w:p w:rsidR="00C73CCC" w:rsidRPr="00C73CCC" w:rsidRDefault="00C73CCC" w:rsidP="00C73CCC">
            <w:pPr>
              <w:rPr>
                <w:color w:val="000000"/>
                <w:sz w:val="20"/>
                <w:szCs w:val="20"/>
              </w:rPr>
            </w:pPr>
            <w:r w:rsidRPr="00C73CCC">
              <w:rPr>
                <w:color w:val="000000"/>
                <w:sz w:val="20"/>
                <w:szCs w:val="20"/>
              </w:rPr>
              <w:t>Attend</w:t>
            </w:r>
          </w:p>
        </w:tc>
        <w:tc>
          <w:tcPr>
            <w:tcW w:w="941"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0.89</w:t>
            </w:r>
          </w:p>
        </w:tc>
        <w:tc>
          <w:tcPr>
            <w:tcW w:w="754"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0.03</w:t>
            </w:r>
          </w:p>
        </w:tc>
        <w:tc>
          <w:tcPr>
            <w:tcW w:w="711"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0.72</w:t>
            </w:r>
          </w:p>
        </w:tc>
        <w:tc>
          <w:tcPr>
            <w:tcW w:w="1335"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0.97</w:t>
            </w:r>
          </w:p>
        </w:tc>
      </w:tr>
      <w:tr w:rsidR="00C73CCC" w:rsidRPr="00C73CCC" w:rsidTr="008D588D">
        <w:trPr>
          <w:trHeight w:val="300"/>
        </w:trPr>
        <w:tc>
          <w:tcPr>
            <w:tcW w:w="3843" w:type="dxa"/>
            <w:tcBorders>
              <w:top w:val="nil"/>
              <w:left w:val="nil"/>
              <w:bottom w:val="nil"/>
              <w:right w:val="nil"/>
            </w:tcBorders>
            <w:shd w:val="clear" w:color="auto" w:fill="auto"/>
            <w:noWrap/>
            <w:vAlign w:val="bottom"/>
            <w:hideMark/>
          </w:tcPr>
          <w:p w:rsidR="00C73CCC" w:rsidRPr="00C73CCC" w:rsidRDefault="00C73CCC" w:rsidP="00C73CCC">
            <w:pPr>
              <w:rPr>
                <w:color w:val="000000"/>
                <w:sz w:val="22"/>
                <w:szCs w:val="22"/>
              </w:rPr>
            </w:pPr>
            <w:r w:rsidRPr="00C73CCC">
              <w:rPr>
                <w:color w:val="000000"/>
                <w:sz w:val="22"/>
                <w:szCs w:val="22"/>
              </w:rPr>
              <w:t>Student enrolment (FTEs)</w:t>
            </w:r>
          </w:p>
        </w:tc>
        <w:tc>
          <w:tcPr>
            <w:tcW w:w="2005" w:type="dxa"/>
            <w:tcBorders>
              <w:top w:val="nil"/>
              <w:left w:val="nil"/>
              <w:bottom w:val="nil"/>
              <w:right w:val="nil"/>
            </w:tcBorders>
            <w:shd w:val="clear" w:color="auto" w:fill="auto"/>
            <w:noWrap/>
            <w:vAlign w:val="bottom"/>
            <w:hideMark/>
          </w:tcPr>
          <w:p w:rsidR="00C73CCC" w:rsidRPr="00C73CCC" w:rsidRDefault="00C73CCC" w:rsidP="00C73CCC">
            <w:pPr>
              <w:rPr>
                <w:color w:val="000000"/>
                <w:sz w:val="20"/>
                <w:szCs w:val="20"/>
              </w:rPr>
            </w:pPr>
            <w:r w:rsidRPr="00C73CCC">
              <w:rPr>
                <w:color w:val="000000"/>
                <w:sz w:val="20"/>
                <w:szCs w:val="20"/>
              </w:rPr>
              <w:t>stud</w:t>
            </w:r>
          </w:p>
        </w:tc>
        <w:tc>
          <w:tcPr>
            <w:tcW w:w="941"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794</w:t>
            </w:r>
          </w:p>
        </w:tc>
        <w:tc>
          <w:tcPr>
            <w:tcW w:w="754"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289</w:t>
            </w:r>
          </w:p>
        </w:tc>
        <w:tc>
          <w:tcPr>
            <w:tcW w:w="711"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152</w:t>
            </w:r>
          </w:p>
        </w:tc>
        <w:tc>
          <w:tcPr>
            <w:tcW w:w="1335"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2029</w:t>
            </w:r>
          </w:p>
        </w:tc>
      </w:tr>
      <w:tr w:rsidR="00C73CCC" w:rsidRPr="00C73CCC" w:rsidTr="008D588D">
        <w:trPr>
          <w:trHeight w:val="300"/>
        </w:trPr>
        <w:tc>
          <w:tcPr>
            <w:tcW w:w="3843" w:type="dxa"/>
            <w:tcBorders>
              <w:top w:val="nil"/>
              <w:left w:val="nil"/>
              <w:bottom w:val="nil"/>
              <w:right w:val="nil"/>
            </w:tcBorders>
            <w:shd w:val="clear" w:color="auto" w:fill="auto"/>
            <w:noWrap/>
            <w:vAlign w:val="bottom"/>
            <w:hideMark/>
          </w:tcPr>
          <w:p w:rsidR="00C73CCC" w:rsidRPr="00C73CCC" w:rsidRDefault="00C73CCC" w:rsidP="00C73CCC">
            <w:pPr>
              <w:rPr>
                <w:color w:val="000000"/>
                <w:sz w:val="22"/>
                <w:szCs w:val="22"/>
              </w:rPr>
            </w:pPr>
            <w:r w:rsidRPr="00C73CCC">
              <w:rPr>
                <w:color w:val="000000"/>
                <w:sz w:val="22"/>
                <w:szCs w:val="22"/>
              </w:rPr>
              <w:t>Specialist school</w:t>
            </w:r>
          </w:p>
        </w:tc>
        <w:tc>
          <w:tcPr>
            <w:tcW w:w="2005" w:type="dxa"/>
            <w:tcBorders>
              <w:top w:val="nil"/>
              <w:left w:val="nil"/>
              <w:bottom w:val="nil"/>
              <w:right w:val="nil"/>
            </w:tcBorders>
            <w:shd w:val="clear" w:color="auto" w:fill="auto"/>
            <w:noWrap/>
            <w:vAlign w:val="bottom"/>
            <w:hideMark/>
          </w:tcPr>
          <w:p w:rsidR="00C73CCC" w:rsidRPr="00C73CCC" w:rsidRDefault="00C73CCC" w:rsidP="00C73CCC">
            <w:pPr>
              <w:rPr>
                <w:color w:val="000000"/>
                <w:sz w:val="20"/>
                <w:szCs w:val="20"/>
              </w:rPr>
            </w:pPr>
            <w:proofErr w:type="spellStart"/>
            <w:r w:rsidRPr="00C73CCC">
              <w:rPr>
                <w:color w:val="000000"/>
                <w:sz w:val="20"/>
                <w:szCs w:val="20"/>
              </w:rPr>
              <w:t>Specialist~V</w:t>
            </w:r>
            <w:proofErr w:type="spellEnd"/>
          </w:p>
        </w:tc>
        <w:tc>
          <w:tcPr>
            <w:tcW w:w="941"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0.08</w:t>
            </w:r>
          </w:p>
        </w:tc>
        <w:tc>
          <w:tcPr>
            <w:tcW w:w="754"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p>
        </w:tc>
        <w:tc>
          <w:tcPr>
            <w:tcW w:w="711"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w:t>
            </w:r>
          </w:p>
        </w:tc>
        <w:tc>
          <w:tcPr>
            <w:tcW w:w="1335"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1</w:t>
            </w:r>
          </w:p>
        </w:tc>
      </w:tr>
      <w:tr w:rsidR="00C73CCC" w:rsidRPr="00C73CCC" w:rsidTr="008D588D">
        <w:trPr>
          <w:trHeight w:val="300"/>
        </w:trPr>
        <w:tc>
          <w:tcPr>
            <w:tcW w:w="3843" w:type="dxa"/>
            <w:tcBorders>
              <w:top w:val="nil"/>
              <w:left w:val="nil"/>
              <w:bottom w:val="nil"/>
              <w:right w:val="nil"/>
            </w:tcBorders>
            <w:shd w:val="clear" w:color="auto" w:fill="auto"/>
            <w:noWrap/>
            <w:vAlign w:val="bottom"/>
            <w:hideMark/>
          </w:tcPr>
          <w:p w:rsidR="00C73CCC" w:rsidRPr="00C73CCC" w:rsidRDefault="00C73CCC" w:rsidP="00C73CCC">
            <w:pPr>
              <w:rPr>
                <w:color w:val="000000"/>
                <w:sz w:val="22"/>
                <w:szCs w:val="22"/>
              </w:rPr>
            </w:pPr>
            <w:r w:rsidRPr="00C73CCC">
              <w:rPr>
                <w:color w:val="000000"/>
                <w:sz w:val="22"/>
                <w:szCs w:val="22"/>
              </w:rPr>
              <w:t xml:space="preserve">Fully selective school </w:t>
            </w:r>
          </w:p>
        </w:tc>
        <w:tc>
          <w:tcPr>
            <w:tcW w:w="2005" w:type="dxa"/>
            <w:tcBorders>
              <w:top w:val="nil"/>
              <w:left w:val="nil"/>
              <w:bottom w:val="nil"/>
              <w:right w:val="nil"/>
            </w:tcBorders>
            <w:shd w:val="clear" w:color="auto" w:fill="auto"/>
            <w:noWrap/>
            <w:vAlign w:val="bottom"/>
            <w:hideMark/>
          </w:tcPr>
          <w:p w:rsidR="00C73CCC" w:rsidRPr="00C73CCC" w:rsidRDefault="00C73CCC" w:rsidP="00C73CCC">
            <w:pPr>
              <w:rPr>
                <w:color w:val="000000"/>
                <w:sz w:val="20"/>
                <w:szCs w:val="20"/>
              </w:rPr>
            </w:pPr>
            <w:proofErr w:type="spellStart"/>
            <w:r w:rsidRPr="00C73CCC">
              <w:rPr>
                <w:color w:val="000000"/>
                <w:sz w:val="20"/>
                <w:szCs w:val="20"/>
              </w:rPr>
              <w:t>Sel_full</w:t>
            </w:r>
            <w:proofErr w:type="spellEnd"/>
          </w:p>
        </w:tc>
        <w:tc>
          <w:tcPr>
            <w:tcW w:w="941"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0.05</w:t>
            </w:r>
          </w:p>
        </w:tc>
        <w:tc>
          <w:tcPr>
            <w:tcW w:w="754"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p>
        </w:tc>
        <w:tc>
          <w:tcPr>
            <w:tcW w:w="711"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w:t>
            </w:r>
          </w:p>
        </w:tc>
        <w:tc>
          <w:tcPr>
            <w:tcW w:w="1335"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1</w:t>
            </w:r>
          </w:p>
        </w:tc>
      </w:tr>
      <w:tr w:rsidR="00C73CCC" w:rsidRPr="00C73CCC" w:rsidTr="008D588D">
        <w:trPr>
          <w:trHeight w:val="300"/>
        </w:trPr>
        <w:tc>
          <w:tcPr>
            <w:tcW w:w="3843" w:type="dxa"/>
            <w:tcBorders>
              <w:top w:val="nil"/>
              <w:left w:val="nil"/>
              <w:bottom w:val="nil"/>
              <w:right w:val="nil"/>
            </w:tcBorders>
            <w:shd w:val="clear" w:color="auto" w:fill="auto"/>
            <w:noWrap/>
            <w:vAlign w:val="bottom"/>
            <w:hideMark/>
          </w:tcPr>
          <w:p w:rsidR="00C73CCC" w:rsidRPr="00C73CCC" w:rsidRDefault="00C73CCC" w:rsidP="00C73CCC">
            <w:pPr>
              <w:rPr>
                <w:color w:val="000000"/>
                <w:sz w:val="22"/>
                <w:szCs w:val="22"/>
              </w:rPr>
            </w:pPr>
            <w:r w:rsidRPr="00C73CCC">
              <w:rPr>
                <w:color w:val="000000"/>
                <w:sz w:val="22"/>
                <w:szCs w:val="22"/>
              </w:rPr>
              <w:t>Partially selective school</w:t>
            </w:r>
          </w:p>
        </w:tc>
        <w:tc>
          <w:tcPr>
            <w:tcW w:w="2005" w:type="dxa"/>
            <w:tcBorders>
              <w:top w:val="nil"/>
              <w:left w:val="nil"/>
              <w:bottom w:val="nil"/>
              <w:right w:val="nil"/>
            </w:tcBorders>
            <w:shd w:val="clear" w:color="auto" w:fill="auto"/>
            <w:noWrap/>
            <w:vAlign w:val="bottom"/>
            <w:hideMark/>
          </w:tcPr>
          <w:p w:rsidR="00C73CCC" w:rsidRPr="00C73CCC" w:rsidRDefault="00C73CCC" w:rsidP="00C73CCC">
            <w:pPr>
              <w:rPr>
                <w:color w:val="000000"/>
                <w:sz w:val="20"/>
                <w:szCs w:val="20"/>
              </w:rPr>
            </w:pPr>
            <w:proofErr w:type="spellStart"/>
            <w:r w:rsidRPr="00C73CCC">
              <w:rPr>
                <w:color w:val="000000"/>
                <w:sz w:val="20"/>
                <w:szCs w:val="20"/>
              </w:rPr>
              <w:t>Sel_part</w:t>
            </w:r>
            <w:proofErr w:type="spellEnd"/>
          </w:p>
        </w:tc>
        <w:tc>
          <w:tcPr>
            <w:tcW w:w="941"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0.06</w:t>
            </w:r>
          </w:p>
        </w:tc>
        <w:tc>
          <w:tcPr>
            <w:tcW w:w="754"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p>
        </w:tc>
        <w:tc>
          <w:tcPr>
            <w:tcW w:w="711"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w:t>
            </w:r>
          </w:p>
        </w:tc>
        <w:tc>
          <w:tcPr>
            <w:tcW w:w="1335"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1</w:t>
            </w:r>
          </w:p>
        </w:tc>
      </w:tr>
      <w:tr w:rsidR="00C73CCC" w:rsidRPr="00C73CCC" w:rsidTr="008D588D">
        <w:trPr>
          <w:trHeight w:val="300"/>
        </w:trPr>
        <w:tc>
          <w:tcPr>
            <w:tcW w:w="3843" w:type="dxa"/>
            <w:tcBorders>
              <w:top w:val="nil"/>
              <w:left w:val="nil"/>
              <w:bottom w:val="nil"/>
              <w:right w:val="nil"/>
            </w:tcBorders>
            <w:shd w:val="clear" w:color="auto" w:fill="auto"/>
            <w:noWrap/>
            <w:vAlign w:val="bottom"/>
            <w:hideMark/>
          </w:tcPr>
          <w:p w:rsidR="00C73CCC" w:rsidRPr="00C73CCC" w:rsidRDefault="00C73CCC" w:rsidP="00C73CCC">
            <w:pPr>
              <w:rPr>
                <w:color w:val="000000"/>
                <w:sz w:val="22"/>
                <w:szCs w:val="22"/>
              </w:rPr>
            </w:pPr>
            <w:r w:rsidRPr="00C73CCC">
              <w:rPr>
                <w:color w:val="000000"/>
                <w:sz w:val="22"/>
                <w:szCs w:val="22"/>
              </w:rPr>
              <w:t>Priority/Priority action school 2012</w:t>
            </w:r>
          </w:p>
        </w:tc>
        <w:tc>
          <w:tcPr>
            <w:tcW w:w="2005" w:type="dxa"/>
            <w:tcBorders>
              <w:top w:val="nil"/>
              <w:left w:val="nil"/>
              <w:bottom w:val="nil"/>
              <w:right w:val="nil"/>
            </w:tcBorders>
            <w:shd w:val="clear" w:color="auto" w:fill="auto"/>
            <w:noWrap/>
            <w:vAlign w:val="bottom"/>
            <w:hideMark/>
          </w:tcPr>
          <w:p w:rsidR="00C73CCC" w:rsidRPr="00C73CCC" w:rsidRDefault="00C73CCC" w:rsidP="00C73CCC">
            <w:pPr>
              <w:rPr>
                <w:color w:val="000000"/>
                <w:sz w:val="20"/>
                <w:szCs w:val="20"/>
              </w:rPr>
            </w:pPr>
            <w:r w:rsidRPr="00C73CCC">
              <w:rPr>
                <w:color w:val="000000"/>
                <w:sz w:val="20"/>
                <w:szCs w:val="20"/>
              </w:rPr>
              <w:t>Priority</w:t>
            </w:r>
          </w:p>
        </w:tc>
        <w:tc>
          <w:tcPr>
            <w:tcW w:w="941"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0.23</w:t>
            </w:r>
          </w:p>
        </w:tc>
        <w:tc>
          <w:tcPr>
            <w:tcW w:w="754"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p>
        </w:tc>
        <w:tc>
          <w:tcPr>
            <w:tcW w:w="711"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w:t>
            </w:r>
          </w:p>
        </w:tc>
        <w:tc>
          <w:tcPr>
            <w:tcW w:w="1335"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1</w:t>
            </w:r>
          </w:p>
        </w:tc>
      </w:tr>
      <w:tr w:rsidR="00C73CCC" w:rsidRPr="00C73CCC" w:rsidTr="008D588D">
        <w:trPr>
          <w:trHeight w:val="300"/>
        </w:trPr>
        <w:tc>
          <w:tcPr>
            <w:tcW w:w="3843" w:type="dxa"/>
            <w:tcBorders>
              <w:top w:val="nil"/>
              <w:left w:val="nil"/>
              <w:bottom w:val="nil"/>
              <w:right w:val="nil"/>
            </w:tcBorders>
            <w:shd w:val="clear" w:color="auto" w:fill="auto"/>
            <w:noWrap/>
            <w:vAlign w:val="bottom"/>
            <w:hideMark/>
          </w:tcPr>
          <w:p w:rsidR="00C73CCC" w:rsidRPr="00C73CCC" w:rsidRDefault="00C73CCC" w:rsidP="00C73CCC">
            <w:pPr>
              <w:rPr>
                <w:color w:val="000000"/>
                <w:sz w:val="22"/>
                <w:szCs w:val="22"/>
              </w:rPr>
            </w:pPr>
            <w:r w:rsidRPr="00C73CCC">
              <w:rPr>
                <w:color w:val="000000"/>
                <w:sz w:val="22"/>
                <w:szCs w:val="22"/>
              </w:rPr>
              <w:t>FOEI,  Average 2009-10</w:t>
            </w:r>
          </w:p>
        </w:tc>
        <w:tc>
          <w:tcPr>
            <w:tcW w:w="2005" w:type="dxa"/>
            <w:tcBorders>
              <w:top w:val="nil"/>
              <w:left w:val="nil"/>
              <w:bottom w:val="nil"/>
              <w:right w:val="nil"/>
            </w:tcBorders>
            <w:shd w:val="clear" w:color="auto" w:fill="auto"/>
            <w:noWrap/>
            <w:vAlign w:val="bottom"/>
            <w:hideMark/>
          </w:tcPr>
          <w:p w:rsidR="00C73CCC" w:rsidRPr="00C73CCC" w:rsidRDefault="00C73CCC" w:rsidP="00C73CCC">
            <w:pPr>
              <w:rPr>
                <w:color w:val="000000"/>
                <w:sz w:val="20"/>
                <w:szCs w:val="20"/>
              </w:rPr>
            </w:pPr>
            <w:proofErr w:type="spellStart"/>
            <w:r w:rsidRPr="00C73CCC">
              <w:rPr>
                <w:color w:val="000000"/>
                <w:sz w:val="20"/>
                <w:szCs w:val="20"/>
              </w:rPr>
              <w:t>foei_ave</w:t>
            </w:r>
            <w:proofErr w:type="spellEnd"/>
          </w:p>
        </w:tc>
        <w:tc>
          <w:tcPr>
            <w:tcW w:w="941"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1006</w:t>
            </w:r>
          </w:p>
        </w:tc>
        <w:tc>
          <w:tcPr>
            <w:tcW w:w="754"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80</w:t>
            </w:r>
          </w:p>
        </w:tc>
        <w:tc>
          <w:tcPr>
            <w:tcW w:w="711"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847</w:t>
            </w:r>
          </w:p>
        </w:tc>
        <w:tc>
          <w:tcPr>
            <w:tcW w:w="1335"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1216</w:t>
            </w:r>
          </w:p>
        </w:tc>
      </w:tr>
      <w:tr w:rsidR="00C73CCC" w:rsidRPr="00C73CCC" w:rsidTr="008D588D">
        <w:trPr>
          <w:trHeight w:val="300"/>
        </w:trPr>
        <w:tc>
          <w:tcPr>
            <w:tcW w:w="3843" w:type="dxa"/>
            <w:tcBorders>
              <w:top w:val="nil"/>
              <w:left w:val="nil"/>
              <w:bottom w:val="nil"/>
              <w:right w:val="nil"/>
            </w:tcBorders>
            <w:shd w:val="clear" w:color="auto" w:fill="auto"/>
            <w:noWrap/>
            <w:vAlign w:val="bottom"/>
            <w:hideMark/>
          </w:tcPr>
          <w:p w:rsidR="00C73CCC" w:rsidRPr="00C73CCC" w:rsidRDefault="00C73CCC" w:rsidP="00C73CCC">
            <w:pPr>
              <w:rPr>
                <w:color w:val="000000"/>
                <w:sz w:val="22"/>
                <w:szCs w:val="22"/>
              </w:rPr>
            </w:pPr>
            <w:r w:rsidRPr="00C73CCC">
              <w:rPr>
                <w:color w:val="000000"/>
                <w:sz w:val="22"/>
                <w:szCs w:val="22"/>
              </w:rPr>
              <w:t xml:space="preserve">ICSEA,  Average 2009-10 </w:t>
            </w:r>
          </w:p>
        </w:tc>
        <w:tc>
          <w:tcPr>
            <w:tcW w:w="2005" w:type="dxa"/>
            <w:tcBorders>
              <w:top w:val="nil"/>
              <w:left w:val="nil"/>
              <w:bottom w:val="nil"/>
              <w:right w:val="nil"/>
            </w:tcBorders>
            <w:shd w:val="clear" w:color="auto" w:fill="auto"/>
            <w:noWrap/>
            <w:vAlign w:val="bottom"/>
            <w:hideMark/>
          </w:tcPr>
          <w:p w:rsidR="00C73CCC" w:rsidRPr="00C73CCC" w:rsidRDefault="00C73CCC" w:rsidP="00C73CCC">
            <w:pPr>
              <w:rPr>
                <w:color w:val="000000"/>
                <w:sz w:val="20"/>
                <w:szCs w:val="20"/>
              </w:rPr>
            </w:pPr>
            <w:proofErr w:type="spellStart"/>
            <w:r w:rsidRPr="00C73CCC">
              <w:rPr>
                <w:color w:val="000000"/>
                <w:sz w:val="20"/>
                <w:szCs w:val="20"/>
              </w:rPr>
              <w:t>icsea_ave</w:t>
            </w:r>
            <w:proofErr w:type="spellEnd"/>
          </w:p>
        </w:tc>
        <w:tc>
          <w:tcPr>
            <w:tcW w:w="941"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986</w:t>
            </w:r>
          </w:p>
        </w:tc>
        <w:tc>
          <w:tcPr>
            <w:tcW w:w="754"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86</w:t>
            </w:r>
          </w:p>
        </w:tc>
        <w:tc>
          <w:tcPr>
            <w:tcW w:w="711"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509</w:t>
            </w:r>
          </w:p>
        </w:tc>
        <w:tc>
          <w:tcPr>
            <w:tcW w:w="1335"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1202</w:t>
            </w:r>
          </w:p>
        </w:tc>
      </w:tr>
      <w:tr w:rsidR="00C73CCC" w:rsidRPr="00C73CCC" w:rsidTr="008D588D">
        <w:trPr>
          <w:trHeight w:val="300"/>
        </w:trPr>
        <w:tc>
          <w:tcPr>
            <w:tcW w:w="3843" w:type="dxa"/>
            <w:tcBorders>
              <w:top w:val="nil"/>
              <w:left w:val="nil"/>
              <w:bottom w:val="nil"/>
              <w:right w:val="nil"/>
            </w:tcBorders>
            <w:shd w:val="clear" w:color="auto" w:fill="auto"/>
            <w:noWrap/>
            <w:vAlign w:val="bottom"/>
            <w:hideMark/>
          </w:tcPr>
          <w:p w:rsidR="00C73CCC" w:rsidRPr="00C73CCC" w:rsidRDefault="00C73CCC" w:rsidP="00C73CCC">
            <w:pPr>
              <w:rPr>
                <w:color w:val="000000"/>
                <w:sz w:val="22"/>
                <w:szCs w:val="22"/>
              </w:rPr>
            </w:pPr>
            <w:r w:rsidRPr="00C73CCC">
              <w:rPr>
                <w:color w:val="000000"/>
                <w:sz w:val="22"/>
                <w:szCs w:val="22"/>
              </w:rPr>
              <w:t>ESL students, proportion</w:t>
            </w:r>
          </w:p>
        </w:tc>
        <w:tc>
          <w:tcPr>
            <w:tcW w:w="2005" w:type="dxa"/>
            <w:tcBorders>
              <w:top w:val="nil"/>
              <w:left w:val="nil"/>
              <w:bottom w:val="nil"/>
              <w:right w:val="nil"/>
            </w:tcBorders>
            <w:shd w:val="clear" w:color="auto" w:fill="auto"/>
            <w:noWrap/>
            <w:vAlign w:val="bottom"/>
            <w:hideMark/>
          </w:tcPr>
          <w:p w:rsidR="00C73CCC" w:rsidRPr="00C73CCC" w:rsidRDefault="00C73CCC" w:rsidP="00C73CCC">
            <w:pPr>
              <w:rPr>
                <w:color w:val="000000"/>
                <w:sz w:val="20"/>
                <w:szCs w:val="20"/>
              </w:rPr>
            </w:pPr>
            <w:proofErr w:type="spellStart"/>
            <w:r w:rsidRPr="00C73CCC">
              <w:rPr>
                <w:color w:val="000000"/>
                <w:sz w:val="20"/>
                <w:szCs w:val="20"/>
              </w:rPr>
              <w:t>ESL_prop</w:t>
            </w:r>
            <w:proofErr w:type="spellEnd"/>
          </w:p>
        </w:tc>
        <w:tc>
          <w:tcPr>
            <w:tcW w:w="941"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0.21</w:t>
            </w:r>
          </w:p>
        </w:tc>
        <w:tc>
          <w:tcPr>
            <w:tcW w:w="754"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0.29</w:t>
            </w:r>
          </w:p>
        </w:tc>
        <w:tc>
          <w:tcPr>
            <w:tcW w:w="711"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w:t>
            </w:r>
          </w:p>
        </w:tc>
        <w:tc>
          <w:tcPr>
            <w:tcW w:w="1335"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1.00</w:t>
            </w:r>
          </w:p>
        </w:tc>
      </w:tr>
      <w:tr w:rsidR="00C73CCC" w:rsidRPr="00C73CCC" w:rsidTr="008D588D">
        <w:trPr>
          <w:trHeight w:val="300"/>
        </w:trPr>
        <w:tc>
          <w:tcPr>
            <w:tcW w:w="3843" w:type="dxa"/>
            <w:tcBorders>
              <w:top w:val="nil"/>
              <w:left w:val="nil"/>
              <w:bottom w:val="nil"/>
              <w:right w:val="nil"/>
            </w:tcBorders>
            <w:shd w:val="clear" w:color="auto" w:fill="auto"/>
            <w:noWrap/>
            <w:vAlign w:val="bottom"/>
            <w:hideMark/>
          </w:tcPr>
          <w:p w:rsidR="00C73CCC" w:rsidRPr="00C73CCC" w:rsidRDefault="00C73CCC" w:rsidP="00C73CCC">
            <w:pPr>
              <w:rPr>
                <w:color w:val="000000"/>
                <w:sz w:val="22"/>
                <w:szCs w:val="22"/>
              </w:rPr>
            </w:pPr>
            <w:r w:rsidRPr="00C73CCC">
              <w:rPr>
                <w:color w:val="000000"/>
                <w:sz w:val="22"/>
                <w:szCs w:val="22"/>
              </w:rPr>
              <w:t>Special educational needs, proportion</w:t>
            </w:r>
          </w:p>
        </w:tc>
        <w:tc>
          <w:tcPr>
            <w:tcW w:w="2005" w:type="dxa"/>
            <w:tcBorders>
              <w:top w:val="nil"/>
              <w:left w:val="nil"/>
              <w:bottom w:val="nil"/>
              <w:right w:val="nil"/>
            </w:tcBorders>
            <w:shd w:val="clear" w:color="auto" w:fill="auto"/>
            <w:noWrap/>
            <w:vAlign w:val="bottom"/>
            <w:hideMark/>
          </w:tcPr>
          <w:p w:rsidR="00C73CCC" w:rsidRPr="00C73CCC" w:rsidRDefault="00C73CCC" w:rsidP="00C73CCC">
            <w:pPr>
              <w:rPr>
                <w:color w:val="000000"/>
                <w:sz w:val="20"/>
                <w:szCs w:val="20"/>
              </w:rPr>
            </w:pPr>
            <w:proofErr w:type="spellStart"/>
            <w:r w:rsidRPr="00C73CCC">
              <w:rPr>
                <w:color w:val="000000"/>
                <w:sz w:val="20"/>
                <w:szCs w:val="20"/>
              </w:rPr>
              <w:t>Spec_Ed_prop</w:t>
            </w:r>
            <w:proofErr w:type="spellEnd"/>
          </w:p>
        </w:tc>
        <w:tc>
          <w:tcPr>
            <w:tcW w:w="941"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0.03</w:t>
            </w:r>
          </w:p>
        </w:tc>
        <w:tc>
          <w:tcPr>
            <w:tcW w:w="754"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0.03</w:t>
            </w:r>
          </w:p>
        </w:tc>
        <w:tc>
          <w:tcPr>
            <w:tcW w:w="711"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w:t>
            </w:r>
          </w:p>
        </w:tc>
        <w:tc>
          <w:tcPr>
            <w:tcW w:w="1335"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0.19</w:t>
            </w:r>
          </w:p>
        </w:tc>
      </w:tr>
      <w:tr w:rsidR="00C73CCC" w:rsidRPr="00C73CCC" w:rsidTr="008D588D">
        <w:trPr>
          <w:trHeight w:val="300"/>
        </w:trPr>
        <w:tc>
          <w:tcPr>
            <w:tcW w:w="3843" w:type="dxa"/>
            <w:tcBorders>
              <w:top w:val="nil"/>
              <w:left w:val="nil"/>
              <w:bottom w:val="nil"/>
              <w:right w:val="nil"/>
            </w:tcBorders>
            <w:shd w:val="clear" w:color="auto" w:fill="auto"/>
            <w:noWrap/>
            <w:vAlign w:val="bottom"/>
            <w:hideMark/>
          </w:tcPr>
          <w:p w:rsidR="00C73CCC" w:rsidRPr="00C73CCC" w:rsidRDefault="00C73CCC" w:rsidP="00C73CCC">
            <w:pPr>
              <w:rPr>
                <w:color w:val="000000"/>
                <w:sz w:val="22"/>
                <w:szCs w:val="22"/>
              </w:rPr>
            </w:pPr>
            <w:r w:rsidRPr="00C73CCC">
              <w:rPr>
                <w:color w:val="000000"/>
                <w:sz w:val="22"/>
                <w:szCs w:val="22"/>
              </w:rPr>
              <w:t>Indigenous students, proportion</w:t>
            </w:r>
          </w:p>
        </w:tc>
        <w:tc>
          <w:tcPr>
            <w:tcW w:w="2005" w:type="dxa"/>
            <w:tcBorders>
              <w:top w:val="nil"/>
              <w:left w:val="nil"/>
              <w:bottom w:val="nil"/>
              <w:right w:val="nil"/>
            </w:tcBorders>
            <w:shd w:val="clear" w:color="auto" w:fill="auto"/>
            <w:noWrap/>
            <w:vAlign w:val="bottom"/>
            <w:hideMark/>
          </w:tcPr>
          <w:p w:rsidR="00C73CCC" w:rsidRPr="00C73CCC" w:rsidRDefault="00C73CCC" w:rsidP="00C73CCC">
            <w:pPr>
              <w:rPr>
                <w:color w:val="000000"/>
                <w:sz w:val="20"/>
                <w:szCs w:val="20"/>
              </w:rPr>
            </w:pPr>
            <w:proofErr w:type="spellStart"/>
            <w:r w:rsidRPr="00C73CCC">
              <w:rPr>
                <w:color w:val="000000"/>
                <w:sz w:val="20"/>
                <w:szCs w:val="20"/>
              </w:rPr>
              <w:t>Abor_prop</w:t>
            </w:r>
            <w:proofErr w:type="spellEnd"/>
          </w:p>
        </w:tc>
        <w:tc>
          <w:tcPr>
            <w:tcW w:w="941"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0.05</w:t>
            </w:r>
          </w:p>
        </w:tc>
        <w:tc>
          <w:tcPr>
            <w:tcW w:w="754"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0.07</w:t>
            </w:r>
          </w:p>
        </w:tc>
        <w:tc>
          <w:tcPr>
            <w:tcW w:w="711"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w:t>
            </w:r>
          </w:p>
        </w:tc>
        <w:tc>
          <w:tcPr>
            <w:tcW w:w="1335"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0.61</w:t>
            </w:r>
          </w:p>
        </w:tc>
      </w:tr>
      <w:tr w:rsidR="00C73CCC" w:rsidRPr="00C73CCC" w:rsidTr="008D588D">
        <w:trPr>
          <w:trHeight w:val="300"/>
        </w:trPr>
        <w:tc>
          <w:tcPr>
            <w:tcW w:w="3843" w:type="dxa"/>
            <w:tcBorders>
              <w:top w:val="nil"/>
              <w:left w:val="nil"/>
              <w:bottom w:val="nil"/>
              <w:right w:val="nil"/>
            </w:tcBorders>
            <w:shd w:val="clear" w:color="auto" w:fill="auto"/>
            <w:noWrap/>
            <w:vAlign w:val="bottom"/>
            <w:hideMark/>
          </w:tcPr>
          <w:p w:rsidR="00C73CCC" w:rsidRPr="00C73CCC" w:rsidRDefault="00C73CCC" w:rsidP="00C73CCC">
            <w:pPr>
              <w:rPr>
                <w:color w:val="000000"/>
                <w:sz w:val="22"/>
                <w:szCs w:val="22"/>
              </w:rPr>
            </w:pPr>
            <w:r w:rsidRPr="00C73CCC">
              <w:rPr>
                <w:color w:val="000000"/>
                <w:sz w:val="22"/>
                <w:szCs w:val="22"/>
              </w:rPr>
              <w:t>Teacher’s years of service, average</w:t>
            </w:r>
          </w:p>
        </w:tc>
        <w:tc>
          <w:tcPr>
            <w:tcW w:w="2005" w:type="dxa"/>
            <w:tcBorders>
              <w:top w:val="nil"/>
              <w:left w:val="nil"/>
              <w:bottom w:val="nil"/>
              <w:right w:val="nil"/>
            </w:tcBorders>
            <w:shd w:val="clear" w:color="auto" w:fill="auto"/>
            <w:noWrap/>
            <w:vAlign w:val="bottom"/>
            <w:hideMark/>
          </w:tcPr>
          <w:p w:rsidR="00C73CCC" w:rsidRPr="00C73CCC" w:rsidRDefault="00C73CCC" w:rsidP="00C73CCC">
            <w:pPr>
              <w:rPr>
                <w:color w:val="000000"/>
                <w:sz w:val="20"/>
                <w:szCs w:val="20"/>
              </w:rPr>
            </w:pPr>
            <w:r w:rsidRPr="00C73CCC">
              <w:rPr>
                <w:color w:val="000000"/>
                <w:sz w:val="20"/>
                <w:szCs w:val="20"/>
              </w:rPr>
              <w:t>Yrs_of_Service2</w:t>
            </w:r>
          </w:p>
        </w:tc>
        <w:tc>
          <w:tcPr>
            <w:tcW w:w="941"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15.7</w:t>
            </w:r>
          </w:p>
        </w:tc>
        <w:tc>
          <w:tcPr>
            <w:tcW w:w="754"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3.6</w:t>
            </w:r>
          </w:p>
        </w:tc>
        <w:tc>
          <w:tcPr>
            <w:tcW w:w="711"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3.7</w:t>
            </w:r>
          </w:p>
        </w:tc>
        <w:tc>
          <w:tcPr>
            <w:tcW w:w="1335"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25</w:t>
            </w:r>
          </w:p>
        </w:tc>
      </w:tr>
      <w:tr w:rsidR="00C73CCC" w:rsidRPr="00C73CCC" w:rsidTr="008D588D">
        <w:trPr>
          <w:trHeight w:val="300"/>
        </w:trPr>
        <w:tc>
          <w:tcPr>
            <w:tcW w:w="3843" w:type="dxa"/>
            <w:tcBorders>
              <w:top w:val="nil"/>
              <w:left w:val="nil"/>
              <w:bottom w:val="nil"/>
              <w:right w:val="nil"/>
            </w:tcBorders>
            <w:shd w:val="clear" w:color="auto" w:fill="auto"/>
            <w:noWrap/>
            <w:vAlign w:val="bottom"/>
            <w:hideMark/>
          </w:tcPr>
          <w:p w:rsidR="00C73CCC" w:rsidRPr="00C73CCC" w:rsidRDefault="00C73CCC" w:rsidP="00C73CCC">
            <w:pPr>
              <w:rPr>
                <w:b/>
                <w:i/>
                <w:iCs/>
                <w:color w:val="000000"/>
                <w:sz w:val="22"/>
                <w:szCs w:val="22"/>
              </w:rPr>
            </w:pPr>
            <w:r w:rsidRPr="00C73CCC">
              <w:rPr>
                <w:b/>
                <w:i/>
                <w:iCs/>
                <w:color w:val="000000"/>
                <w:sz w:val="22"/>
                <w:szCs w:val="22"/>
              </w:rPr>
              <w:t xml:space="preserve">Years </w:t>
            </w:r>
          </w:p>
        </w:tc>
        <w:tc>
          <w:tcPr>
            <w:tcW w:w="2005" w:type="dxa"/>
            <w:tcBorders>
              <w:top w:val="nil"/>
              <w:left w:val="nil"/>
              <w:bottom w:val="nil"/>
              <w:right w:val="nil"/>
            </w:tcBorders>
            <w:shd w:val="clear" w:color="auto" w:fill="auto"/>
            <w:noWrap/>
            <w:vAlign w:val="bottom"/>
            <w:hideMark/>
          </w:tcPr>
          <w:p w:rsidR="00C73CCC" w:rsidRPr="00C73CCC" w:rsidRDefault="00C73CCC" w:rsidP="00C73CCC">
            <w:pPr>
              <w:rPr>
                <w:b/>
                <w:color w:val="000000"/>
                <w:sz w:val="20"/>
                <w:szCs w:val="20"/>
              </w:rPr>
            </w:pPr>
          </w:p>
        </w:tc>
        <w:tc>
          <w:tcPr>
            <w:tcW w:w="941" w:type="dxa"/>
            <w:tcBorders>
              <w:top w:val="nil"/>
              <w:left w:val="nil"/>
              <w:bottom w:val="nil"/>
              <w:right w:val="nil"/>
            </w:tcBorders>
            <w:shd w:val="clear" w:color="auto" w:fill="auto"/>
            <w:noWrap/>
            <w:vAlign w:val="bottom"/>
            <w:hideMark/>
          </w:tcPr>
          <w:p w:rsidR="00C73CCC" w:rsidRPr="00C73CCC" w:rsidRDefault="00C73CCC" w:rsidP="00C73CCC">
            <w:pPr>
              <w:jc w:val="right"/>
              <w:rPr>
                <w:b/>
                <w:color w:val="000000"/>
                <w:sz w:val="22"/>
                <w:szCs w:val="22"/>
              </w:rPr>
            </w:pPr>
          </w:p>
        </w:tc>
        <w:tc>
          <w:tcPr>
            <w:tcW w:w="754" w:type="dxa"/>
            <w:tcBorders>
              <w:top w:val="nil"/>
              <w:left w:val="nil"/>
              <w:bottom w:val="nil"/>
              <w:right w:val="nil"/>
            </w:tcBorders>
            <w:shd w:val="clear" w:color="auto" w:fill="auto"/>
            <w:noWrap/>
            <w:vAlign w:val="bottom"/>
            <w:hideMark/>
          </w:tcPr>
          <w:p w:rsidR="00C73CCC" w:rsidRPr="00C73CCC" w:rsidRDefault="00C73CCC" w:rsidP="00C73CCC">
            <w:pPr>
              <w:jc w:val="right"/>
              <w:rPr>
                <w:b/>
                <w:color w:val="000000"/>
                <w:sz w:val="22"/>
                <w:szCs w:val="22"/>
              </w:rPr>
            </w:pPr>
          </w:p>
        </w:tc>
        <w:tc>
          <w:tcPr>
            <w:tcW w:w="711" w:type="dxa"/>
            <w:tcBorders>
              <w:top w:val="nil"/>
              <w:left w:val="nil"/>
              <w:bottom w:val="nil"/>
              <w:right w:val="nil"/>
            </w:tcBorders>
            <w:shd w:val="clear" w:color="auto" w:fill="auto"/>
            <w:noWrap/>
            <w:vAlign w:val="bottom"/>
            <w:hideMark/>
          </w:tcPr>
          <w:p w:rsidR="00C73CCC" w:rsidRPr="00C73CCC" w:rsidRDefault="00C73CCC" w:rsidP="00C73CCC">
            <w:pPr>
              <w:jc w:val="right"/>
              <w:rPr>
                <w:b/>
                <w:color w:val="000000"/>
                <w:sz w:val="22"/>
                <w:szCs w:val="22"/>
              </w:rPr>
            </w:pPr>
          </w:p>
        </w:tc>
        <w:tc>
          <w:tcPr>
            <w:tcW w:w="1335" w:type="dxa"/>
            <w:tcBorders>
              <w:top w:val="nil"/>
              <w:left w:val="nil"/>
              <w:bottom w:val="nil"/>
              <w:right w:val="nil"/>
            </w:tcBorders>
            <w:shd w:val="clear" w:color="auto" w:fill="auto"/>
            <w:noWrap/>
            <w:vAlign w:val="bottom"/>
            <w:hideMark/>
          </w:tcPr>
          <w:p w:rsidR="00C73CCC" w:rsidRPr="00C73CCC" w:rsidRDefault="00C73CCC" w:rsidP="00C73CCC">
            <w:pPr>
              <w:jc w:val="right"/>
              <w:rPr>
                <w:b/>
                <w:color w:val="000000"/>
                <w:sz w:val="22"/>
                <w:szCs w:val="22"/>
              </w:rPr>
            </w:pPr>
          </w:p>
        </w:tc>
      </w:tr>
      <w:tr w:rsidR="00C73CCC" w:rsidRPr="00C73CCC" w:rsidTr="008D588D">
        <w:trPr>
          <w:trHeight w:val="300"/>
        </w:trPr>
        <w:tc>
          <w:tcPr>
            <w:tcW w:w="3843" w:type="dxa"/>
            <w:tcBorders>
              <w:top w:val="nil"/>
              <w:left w:val="nil"/>
              <w:bottom w:val="nil"/>
              <w:right w:val="nil"/>
            </w:tcBorders>
            <w:shd w:val="clear" w:color="auto" w:fill="auto"/>
            <w:noWrap/>
            <w:vAlign w:val="bottom"/>
            <w:hideMark/>
          </w:tcPr>
          <w:p w:rsidR="00C73CCC" w:rsidRPr="00C73CCC" w:rsidRDefault="00C73CCC" w:rsidP="00C73CCC">
            <w:pPr>
              <w:rPr>
                <w:color w:val="000000"/>
                <w:sz w:val="22"/>
                <w:szCs w:val="22"/>
              </w:rPr>
            </w:pPr>
            <w:r w:rsidRPr="00C73CCC">
              <w:rPr>
                <w:color w:val="000000"/>
                <w:sz w:val="22"/>
                <w:szCs w:val="22"/>
              </w:rPr>
              <w:t>2006</w:t>
            </w:r>
          </w:p>
        </w:tc>
        <w:tc>
          <w:tcPr>
            <w:tcW w:w="2005" w:type="dxa"/>
            <w:tcBorders>
              <w:top w:val="nil"/>
              <w:left w:val="nil"/>
              <w:bottom w:val="nil"/>
              <w:right w:val="nil"/>
            </w:tcBorders>
            <w:shd w:val="clear" w:color="auto" w:fill="auto"/>
            <w:noWrap/>
            <w:vAlign w:val="bottom"/>
            <w:hideMark/>
          </w:tcPr>
          <w:p w:rsidR="00C73CCC" w:rsidRPr="00C73CCC" w:rsidRDefault="00C73CCC" w:rsidP="00C73CCC">
            <w:pPr>
              <w:rPr>
                <w:color w:val="000000"/>
                <w:sz w:val="20"/>
                <w:szCs w:val="20"/>
              </w:rPr>
            </w:pPr>
            <w:r w:rsidRPr="00C73CCC">
              <w:rPr>
                <w:color w:val="000000"/>
                <w:sz w:val="20"/>
                <w:szCs w:val="20"/>
              </w:rPr>
              <w:t>Per_2</w:t>
            </w:r>
          </w:p>
        </w:tc>
        <w:tc>
          <w:tcPr>
            <w:tcW w:w="941"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0.20</w:t>
            </w:r>
          </w:p>
        </w:tc>
        <w:tc>
          <w:tcPr>
            <w:tcW w:w="754"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0.40</w:t>
            </w:r>
          </w:p>
        </w:tc>
        <w:tc>
          <w:tcPr>
            <w:tcW w:w="711"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w:t>
            </w:r>
          </w:p>
        </w:tc>
        <w:tc>
          <w:tcPr>
            <w:tcW w:w="1335"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1</w:t>
            </w:r>
          </w:p>
        </w:tc>
      </w:tr>
      <w:tr w:rsidR="00C73CCC" w:rsidRPr="00C73CCC" w:rsidTr="008D588D">
        <w:trPr>
          <w:trHeight w:val="300"/>
        </w:trPr>
        <w:tc>
          <w:tcPr>
            <w:tcW w:w="3843" w:type="dxa"/>
            <w:tcBorders>
              <w:top w:val="nil"/>
              <w:left w:val="nil"/>
              <w:bottom w:val="nil"/>
              <w:right w:val="nil"/>
            </w:tcBorders>
            <w:shd w:val="clear" w:color="auto" w:fill="auto"/>
            <w:noWrap/>
            <w:vAlign w:val="bottom"/>
            <w:hideMark/>
          </w:tcPr>
          <w:p w:rsidR="00C73CCC" w:rsidRPr="00C73CCC" w:rsidRDefault="00C73CCC" w:rsidP="00C73CCC">
            <w:pPr>
              <w:rPr>
                <w:color w:val="000000"/>
                <w:sz w:val="22"/>
                <w:szCs w:val="22"/>
              </w:rPr>
            </w:pPr>
            <w:r w:rsidRPr="00C73CCC">
              <w:rPr>
                <w:color w:val="000000"/>
                <w:sz w:val="22"/>
                <w:szCs w:val="22"/>
              </w:rPr>
              <w:t>2007</w:t>
            </w:r>
          </w:p>
        </w:tc>
        <w:tc>
          <w:tcPr>
            <w:tcW w:w="2005" w:type="dxa"/>
            <w:tcBorders>
              <w:top w:val="nil"/>
              <w:left w:val="nil"/>
              <w:bottom w:val="nil"/>
              <w:right w:val="nil"/>
            </w:tcBorders>
            <w:shd w:val="clear" w:color="auto" w:fill="auto"/>
            <w:noWrap/>
            <w:vAlign w:val="bottom"/>
            <w:hideMark/>
          </w:tcPr>
          <w:p w:rsidR="00C73CCC" w:rsidRPr="00C73CCC" w:rsidRDefault="00C73CCC" w:rsidP="00C73CCC">
            <w:pPr>
              <w:rPr>
                <w:color w:val="000000"/>
                <w:sz w:val="20"/>
                <w:szCs w:val="20"/>
              </w:rPr>
            </w:pPr>
            <w:r w:rsidRPr="00C73CCC">
              <w:rPr>
                <w:color w:val="000000"/>
                <w:sz w:val="20"/>
                <w:szCs w:val="20"/>
              </w:rPr>
              <w:t>Per_3</w:t>
            </w:r>
          </w:p>
        </w:tc>
        <w:tc>
          <w:tcPr>
            <w:tcW w:w="941"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0.20</w:t>
            </w:r>
          </w:p>
        </w:tc>
        <w:tc>
          <w:tcPr>
            <w:tcW w:w="754"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0.40</w:t>
            </w:r>
          </w:p>
        </w:tc>
        <w:tc>
          <w:tcPr>
            <w:tcW w:w="711"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w:t>
            </w:r>
          </w:p>
        </w:tc>
        <w:tc>
          <w:tcPr>
            <w:tcW w:w="1335"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1</w:t>
            </w:r>
          </w:p>
        </w:tc>
      </w:tr>
      <w:tr w:rsidR="00C73CCC" w:rsidRPr="00C73CCC" w:rsidTr="008D588D">
        <w:trPr>
          <w:trHeight w:val="300"/>
        </w:trPr>
        <w:tc>
          <w:tcPr>
            <w:tcW w:w="3843" w:type="dxa"/>
            <w:tcBorders>
              <w:top w:val="nil"/>
              <w:left w:val="nil"/>
              <w:bottom w:val="nil"/>
              <w:right w:val="nil"/>
            </w:tcBorders>
            <w:shd w:val="clear" w:color="auto" w:fill="auto"/>
            <w:noWrap/>
            <w:vAlign w:val="bottom"/>
            <w:hideMark/>
          </w:tcPr>
          <w:p w:rsidR="00C73CCC" w:rsidRPr="00C73CCC" w:rsidRDefault="00C73CCC" w:rsidP="00C73CCC">
            <w:pPr>
              <w:rPr>
                <w:color w:val="000000"/>
                <w:sz w:val="22"/>
                <w:szCs w:val="22"/>
              </w:rPr>
            </w:pPr>
            <w:r w:rsidRPr="00C73CCC">
              <w:rPr>
                <w:color w:val="000000"/>
                <w:sz w:val="22"/>
                <w:szCs w:val="22"/>
              </w:rPr>
              <w:t>2008</w:t>
            </w:r>
          </w:p>
        </w:tc>
        <w:tc>
          <w:tcPr>
            <w:tcW w:w="2005" w:type="dxa"/>
            <w:tcBorders>
              <w:top w:val="nil"/>
              <w:left w:val="nil"/>
              <w:bottom w:val="nil"/>
              <w:right w:val="nil"/>
            </w:tcBorders>
            <w:shd w:val="clear" w:color="auto" w:fill="auto"/>
            <w:noWrap/>
            <w:vAlign w:val="bottom"/>
            <w:hideMark/>
          </w:tcPr>
          <w:p w:rsidR="00C73CCC" w:rsidRPr="00C73CCC" w:rsidRDefault="00C73CCC" w:rsidP="00C73CCC">
            <w:pPr>
              <w:rPr>
                <w:color w:val="000000"/>
                <w:sz w:val="20"/>
                <w:szCs w:val="20"/>
              </w:rPr>
            </w:pPr>
            <w:r w:rsidRPr="00C73CCC">
              <w:rPr>
                <w:color w:val="000000"/>
                <w:sz w:val="20"/>
                <w:szCs w:val="20"/>
              </w:rPr>
              <w:t>Per_4</w:t>
            </w:r>
          </w:p>
        </w:tc>
        <w:tc>
          <w:tcPr>
            <w:tcW w:w="941"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0.20</w:t>
            </w:r>
          </w:p>
        </w:tc>
        <w:tc>
          <w:tcPr>
            <w:tcW w:w="754"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0.40</w:t>
            </w:r>
          </w:p>
        </w:tc>
        <w:tc>
          <w:tcPr>
            <w:tcW w:w="711"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w:t>
            </w:r>
          </w:p>
        </w:tc>
        <w:tc>
          <w:tcPr>
            <w:tcW w:w="1335"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1</w:t>
            </w:r>
          </w:p>
        </w:tc>
      </w:tr>
      <w:tr w:rsidR="00C73CCC" w:rsidRPr="00C73CCC" w:rsidTr="008D588D">
        <w:trPr>
          <w:trHeight w:val="300"/>
        </w:trPr>
        <w:tc>
          <w:tcPr>
            <w:tcW w:w="3843" w:type="dxa"/>
            <w:tcBorders>
              <w:top w:val="nil"/>
              <w:left w:val="nil"/>
              <w:bottom w:val="nil"/>
              <w:right w:val="nil"/>
            </w:tcBorders>
            <w:shd w:val="clear" w:color="auto" w:fill="auto"/>
            <w:noWrap/>
            <w:vAlign w:val="bottom"/>
            <w:hideMark/>
          </w:tcPr>
          <w:p w:rsidR="00C73CCC" w:rsidRPr="00C73CCC" w:rsidRDefault="00C73CCC" w:rsidP="00C73CCC">
            <w:pPr>
              <w:rPr>
                <w:color w:val="000000"/>
                <w:sz w:val="22"/>
                <w:szCs w:val="22"/>
              </w:rPr>
            </w:pPr>
            <w:r w:rsidRPr="00C73CCC">
              <w:rPr>
                <w:color w:val="000000"/>
                <w:sz w:val="22"/>
                <w:szCs w:val="22"/>
              </w:rPr>
              <w:t>2009</w:t>
            </w:r>
          </w:p>
        </w:tc>
        <w:tc>
          <w:tcPr>
            <w:tcW w:w="2005" w:type="dxa"/>
            <w:tcBorders>
              <w:top w:val="nil"/>
              <w:left w:val="nil"/>
              <w:bottom w:val="nil"/>
              <w:right w:val="nil"/>
            </w:tcBorders>
            <w:shd w:val="clear" w:color="auto" w:fill="auto"/>
            <w:noWrap/>
            <w:vAlign w:val="bottom"/>
            <w:hideMark/>
          </w:tcPr>
          <w:p w:rsidR="00C73CCC" w:rsidRPr="00C73CCC" w:rsidRDefault="00C73CCC" w:rsidP="00C73CCC">
            <w:pPr>
              <w:rPr>
                <w:color w:val="000000"/>
                <w:sz w:val="20"/>
                <w:szCs w:val="20"/>
              </w:rPr>
            </w:pPr>
            <w:r w:rsidRPr="00C73CCC">
              <w:rPr>
                <w:color w:val="000000"/>
                <w:sz w:val="20"/>
                <w:szCs w:val="20"/>
              </w:rPr>
              <w:t>Per_5</w:t>
            </w:r>
          </w:p>
        </w:tc>
        <w:tc>
          <w:tcPr>
            <w:tcW w:w="941"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0.20</w:t>
            </w:r>
          </w:p>
        </w:tc>
        <w:tc>
          <w:tcPr>
            <w:tcW w:w="754"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0.40</w:t>
            </w:r>
          </w:p>
        </w:tc>
        <w:tc>
          <w:tcPr>
            <w:tcW w:w="711"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w:t>
            </w:r>
          </w:p>
        </w:tc>
        <w:tc>
          <w:tcPr>
            <w:tcW w:w="1335"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1</w:t>
            </w:r>
          </w:p>
        </w:tc>
      </w:tr>
      <w:tr w:rsidR="00C73CCC" w:rsidRPr="00C73CCC" w:rsidTr="008D588D">
        <w:trPr>
          <w:trHeight w:val="300"/>
        </w:trPr>
        <w:tc>
          <w:tcPr>
            <w:tcW w:w="3843" w:type="dxa"/>
            <w:tcBorders>
              <w:top w:val="nil"/>
              <w:left w:val="nil"/>
              <w:bottom w:val="nil"/>
              <w:right w:val="nil"/>
            </w:tcBorders>
            <w:shd w:val="clear" w:color="auto" w:fill="auto"/>
            <w:noWrap/>
            <w:vAlign w:val="bottom"/>
            <w:hideMark/>
          </w:tcPr>
          <w:p w:rsidR="00C73CCC" w:rsidRPr="00C73CCC" w:rsidRDefault="00C73CCC" w:rsidP="00C73CCC">
            <w:pPr>
              <w:rPr>
                <w:b/>
                <w:i/>
                <w:iCs/>
                <w:color w:val="000000"/>
                <w:sz w:val="22"/>
                <w:szCs w:val="22"/>
              </w:rPr>
            </w:pPr>
            <w:r w:rsidRPr="00C73CCC">
              <w:rPr>
                <w:b/>
                <w:i/>
                <w:iCs/>
                <w:color w:val="000000"/>
                <w:sz w:val="22"/>
                <w:szCs w:val="22"/>
              </w:rPr>
              <w:t xml:space="preserve">Districts </w:t>
            </w:r>
          </w:p>
        </w:tc>
        <w:tc>
          <w:tcPr>
            <w:tcW w:w="2005" w:type="dxa"/>
            <w:tcBorders>
              <w:top w:val="nil"/>
              <w:left w:val="nil"/>
              <w:bottom w:val="nil"/>
              <w:right w:val="nil"/>
            </w:tcBorders>
            <w:shd w:val="clear" w:color="auto" w:fill="auto"/>
            <w:noWrap/>
            <w:vAlign w:val="bottom"/>
            <w:hideMark/>
          </w:tcPr>
          <w:p w:rsidR="00C73CCC" w:rsidRPr="00C73CCC" w:rsidRDefault="00C73CCC" w:rsidP="00C73CCC">
            <w:pPr>
              <w:rPr>
                <w:b/>
                <w:color w:val="000000"/>
                <w:sz w:val="20"/>
                <w:szCs w:val="20"/>
              </w:rPr>
            </w:pPr>
          </w:p>
        </w:tc>
        <w:tc>
          <w:tcPr>
            <w:tcW w:w="941" w:type="dxa"/>
            <w:tcBorders>
              <w:top w:val="nil"/>
              <w:left w:val="nil"/>
              <w:bottom w:val="nil"/>
              <w:right w:val="nil"/>
            </w:tcBorders>
            <w:shd w:val="clear" w:color="auto" w:fill="auto"/>
            <w:noWrap/>
            <w:vAlign w:val="bottom"/>
            <w:hideMark/>
          </w:tcPr>
          <w:p w:rsidR="00C73CCC" w:rsidRPr="00C73CCC" w:rsidRDefault="00C73CCC" w:rsidP="00C73CCC">
            <w:pPr>
              <w:jc w:val="right"/>
              <w:rPr>
                <w:b/>
                <w:color w:val="000000"/>
                <w:sz w:val="22"/>
                <w:szCs w:val="22"/>
              </w:rPr>
            </w:pPr>
          </w:p>
        </w:tc>
        <w:tc>
          <w:tcPr>
            <w:tcW w:w="754" w:type="dxa"/>
            <w:tcBorders>
              <w:top w:val="nil"/>
              <w:left w:val="nil"/>
              <w:bottom w:val="nil"/>
              <w:right w:val="nil"/>
            </w:tcBorders>
            <w:shd w:val="clear" w:color="auto" w:fill="auto"/>
            <w:noWrap/>
            <w:vAlign w:val="bottom"/>
            <w:hideMark/>
          </w:tcPr>
          <w:p w:rsidR="00C73CCC" w:rsidRPr="00C73CCC" w:rsidRDefault="00C73CCC" w:rsidP="00C73CCC">
            <w:pPr>
              <w:jc w:val="right"/>
              <w:rPr>
                <w:b/>
                <w:color w:val="000000"/>
                <w:sz w:val="22"/>
                <w:szCs w:val="22"/>
              </w:rPr>
            </w:pPr>
          </w:p>
        </w:tc>
        <w:tc>
          <w:tcPr>
            <w:tcW w:w="711" w:type="dxa"/>
            <w:tcBorders>
              <w:top w:val="nil"/>
              <w:left w:val="nil"/>
              <w:bottom w:val="nil"/>
              <w:right w:val="nil"/>
            </w:tcBorders>
            <w:shd w:val="clear" w:color="auto" w:fill="auto"/>
            <w:noWrap/>
            <w:vAlign w:val="bottom"/>
            <w:hideMark/>
          </w:tcPr>
          <w:p w:rsidR="00C73CCC" w:rsidRPr="00C73CCC" w:rsidRDefault="00C73CCC" w:rsidP="00C73CCC">
            <w:pPr>
              <w:jc w:val="right"/>
              <w:rPr>
                <w:b/>
                <w:color w:val="000000"/>
                <w:sz w:val="22"/>
                <w:szCs w:val="22"/>
              </w:rPr>
            </w:pPr>
          </w:p>
        </w:tc>
        <w:tc>
          <w:tcPr>
            <w:tcW w:w="1335" w:type="dxa"/>
            <w:tcBorders>
              <w:top w:val="nil"/>
              <w:left w:val="nil"/>
              <w:bottom w:val="nil"/>
              <w:right w:val="nil"/>
            </w:tcBorders>
            <w:shd w:val="clear" w:color="auto" w:fill="auto"/>
            <w:noWrap/>
            <w:vAlign w:val="bottom"/>
            <w:hideMark/>
          </w:tcPr>
          <w:p w:rsidR="00C73CCC" w:rsidRPr="00C73CCC" w:rsidRDefault="00C73CCC" w:rsidP="00C73CCC">
            <w:pPr>
              <w:jc w:val="right"/>
              <w:rPr>
                <w:b/>
                <w:color w:val="000000"/>
                <w:sz w:val="22"/>
                <w:szCs w:val="22"/>
              </w:rPr>
            </w:pPr>
          </w:p>
        </w:tc>
      </w:tr>
      <w:tr w:rsidR="00C73CCC" w:rsidRPr="00C73CCC" w:rsidTr="008D588D">
        <w:trPr>
          <w:trHeight w:val="300"/>
        </w:trPr>
        <w:tc>
          <w:tcPr>
            <w:tcW w:w="3843" w:type="dxa"/>
            <w:tcBorders>
              <w:top w:val="nil"/>
              <w:left w:val="nil"/>
              <w:bottom w:val="nil"/>
              <w:right w:val="nil"/>
            </w:tcBorders>
            <w:shd w:val="clear" w:color="auto" w:fill="auto"/>
            <w:noWrap/>
            <w:vAlign w:val="bottom"/>
            <w:hideMark/>
          </w:tcPr>
          <w:p w:rsidR="00C73CCC" w:rsidRPr="00C73CCC" w:rsidRDefault="00C73CCC" w:rsidP="00C73CCC">
            <w:pPr>
              <w:rPr>
                <w:color w:val="000000"/>
                <w:sz w:val="22"/>
                <w:szCs w:val="22"/>
              </w:rPr>
            </w:pPr>
            <w:r w:rsidRPr="00C73CCC">
              <w:rPr>
                <w:color w:val="000000"/>
                <w:sz w:val="22"/>
                <w:szCs w:val="22"/>
              </w:rPr>
              <w:t>Hunter/Central Coast</w:t>
            </w:r>
          </w:p>
        </w:tc>
        <w:tc>
          <w:tcPr>
            <w:tcW w:w="2005" w:type="dxa"/>
            <w:tcBorders>
              <w:top w:val="nil"/>
              <w:left w:val="nil"/>
              <w:bottom w:val="nil"/>
              <w:right w:val="nil"/>
            </w:tcBorders>
            <w:shd w:val="clear" w:color="auto" w:fill="auto"/>
            <w:noWrap/>
            <w:vAlign w:val="bottom"/>
            <w:hideMark/>
          </w:tcPr>
          <w:p w:rsidR="00C73CCC" w:rsidRPr="00C73CCC" w:rsidRDefault="00C73CCC" w:rsidP="00C73CCC">
            <w:pPr>
              <w:rPr>
                <w:color w:val="000000"/>
                <w:sz w:val="20"/>
                <w:szCs w:val="20"/>
              </w:rPr>
            </w:pPr>
            <w:r w:rsidRPr="00C73CCC">
              <w:rPr>
                <w:color w:val="000000"/>
                <w:sz w:val="20"/>
                <w:szCs w:val="20"/>
              </w:rPr>
              <w:t>new_1</w:t>
            </w:r>
          </w:p>
        </w:tc>
        <w:tc>
          <w:tcPr>
            <w:tcW w:w="941"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0.12</w:t>
            </w:r>
          </w:p>
        </w:tc>
        <w:tc>
          <w:tcPr>
            <w:tcW w:w="754"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0.32</w:t>
            </w:r>
          </w:p>
        </w:tc>
        <w:tc>
          <w:tcPr>
            <w:tcW w:w="711"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w:t>
            </w:r>
          </w:p>
        </w:tc>
        <w:tc>
          <w:tcPr>
            <w:tcW w:w="1335"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1</w:t>
            </w:r>
          </w:p>
        </w:tc>
      </w:tr>
      <w:tr w:rsidR="00C73CCC" w:rsidRPr="00C73CCC" w:rsidTr="008D588D">
        <w:trPr>
          <w:trHeight w:val="300"/>
        </w:trPr>
        <w:tc>
          <w:tcPr>
            <w:tcW w:w="3843" w:type="dxa"/>
            <w:tcBorders>
              <w:top w:val="nil"/>
              <w:left w:val="nil"/>
              <w:bottom w:val="nil"/>
              <w:right w:val="nil"/>
            </w:tcBorders>
            <w:shd w:val="clear" w:color="auto" w:fill="auto"/>
            <w:noWrap/>
            <w:vAlign w:val="bottom"/>
            <w:hideMark/>
          </w:tcPr>
          <w:p w:rsidR="00C73CCC" w:rsidRPr="00C73CCC" w:rsidRDefault="00C73CCC" w:rsidP="00C73CCC">
            <w:pPr>
              <w:rPr>
                <w:color w:val="000000"/>
                <w:sz w:val="22"/>
                <w:szCs w:val="22"/>
              </w:rPr>
            </w:pPr>
            <w:proofErr w:type="spellStart"/>
            <w:r w:rsidRPr="00C73CCC">
              <w:rPr>
                <w:color w:val="000000"/>
                <w:sz w:val="22"/>
                <w:szCs w:val="22"/>
              </w:rPr>
              <w:t>Illawara</w:t>
            </w:r>
            <w:proofErr w:type="spellEnd"/>
            <w:r w:rsidRPr="00C73CCC">
              <w:rPr>
                <w:color w:val="000000"/>
                <w:sz w:val="22"/>
                <w:szCs w:val="22"/>
              </w:rPr>
              <w:t xml:space="preserve"> and the South East</w:t>
            </w:r>
          </w:p>
        </w:tc>
        <w:tc>
          <w:tcPr>
            <w:tcW w:w="2005" w:type="dxa"/>
            <w:tcBorders>
              <w:top w:val="nil"/>
              <w:left w:val="nil"/>
              <w:bottom w:val="nil"/>
              <w:right w:val="nil"/>
            </w:tcBorders>
            <w:shd w:val="clear" w:color="auto" w:fill="auto"/>
            <w:noWrap/>
            <w:vAlign w:val="bottom"/>
            <w:hideMark/>
          </w:tcPr>
          <w:p w:rsidR="00C73CCC" w:rsidRPr="00C73CCC" w:rsidRDefault="00C73CCC" w:rsidP="00C73CCC">
            <w:pPr>
              <w:rPr>
                <w:color w:val="000000"/>
                <w:sz w:val="20"/>
                <w:szCs w:val="20"/>
              </w:rPr>
            </w:pPr>
            <w:r w:rsidRPr="00C73CCC">
              <w:rPr>
                <w:color w:val="000000"/>
                <w:sz w:val="20"/>
                <w:szCs w:val="20"/>
              </w:rPr>
              <w:t>new_2</w:t>
            </w:r>
          </w:p>
        </w:tc>
        <w:tc>
          <w:tcPr>
            <w:tcW w:w="941"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0.11</w:t>
            </w:r>
          </w:p>
        </w:tc>
        <w:tc>
          <w:tcPr>
            <w:tcW w:w="754"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0.31</w:t>
            </w:r>
          </w:p>
        </w:tc>
        <w:tc>
          <w:tcPr>
            <w:tcW w:w="711"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w:t>
            </w:r>
          </w:p>
        </w:tc>
        <w:tc>
          <w:tcPr>
            <w:tcW w:w="1335"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1</w:t>
            </w:r>
          </w:p>
        </w:tc>
      </w:tr>
      <w:tr w:rsidR="00C73CCC" w:rsidRPr="00C73CCC" w:rsidTr="008D588D">
        <w:trPr>
          <w:trHeight w:val="300"/>
        </w:trPr>
        <w:tc>
          <w:tcPr>
            <w:tcW w:w="3843" w:type="dxa"/>
            <w:tcBorders>
              <w:top w:val="nil"/>
              <w:left w:val="nil"/>
              <w:bottom w:val="nil"/>
              <w:right w:val="nil"/>
            </w:tcBorders>
            <w:shd w:val="clear" w:color="auto" w:fill="auto"/>
            <w:noWrap/>
            <w:vAlign w:val="bottom"/>
            <w:hideMark/>
          </w:tcPr>
          <w:p w:rsidR="00C73CCC" w:rsidRPr="00C73CCC" w:rsidRDefault="00C73CCC" w:rsidP="00C73CCC">
            <w:pPr>
              <w:rPr>
                <w:color w:val="000000"/>
                <w:sz w:val="22"/>
                <w:szCs w:val="22"/>
              </w:rPr>
            </w:pPr>
            <w:r w:rsidRPr="00C73CCC">
              <w:rPr>
                <w:color w:val="000000"/>
                <w:sz w:val="22"/>
                <w:szCs w:val="22"/>
              </w:rPr>
              <w:t>New England</w:t>
            </w:r>
          </w:p>
        </w:tc>
        <w:tc>
          <w:tcPr>
            <w:tcW w:w="2005" w:type="dxa"/>
            <w:tcBorders>
              <w:top w:val="nil"/>
              <w:left w:val="nil"/>
              <w:bottom w:val="nil"/>
              <w:right w:val="nil"/>
            </w:tcBorders>
            <w:shd w:val="clear" w:color="auto" w:fill="auto"/>
            <w:noWrap/>
            <w:vAlign w:val="bottom"/>
            <w:hideMark/>
          </w:tcPr>
          <w:p w:rsidR="00C73CCC" w:rsidRPr="00C73CCC" w:rsidRDefault="00C73CCC" w:rsidP="00C73CCC">
            <w:pPr>
              <w:rPr>
                <w:color w:val="000000"/>
                <w:sz w:val="20"/>
                <w:szCs w:val="20"/>
              </w:rPr>
            </w:pPr>
            <w:r w:rsidRPr="00C73CCC">
              <w:rPr>
                <w:color w:val="000000"/>
                <w:sz w:val="20"/>
                <w:szCs w:val="20"/>
              </w:rPr>
              <w:t>new_3</w:t>
            </w:r>
          </w:p>
        </w:tc>
        <w:tc>
          <w:tcPr>
            <w:tcW w:w="941"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0.04</w:t>
            </w:r>
          </w:p>
        </w:tc>
        <w:tc>
          <w:tcPr>
            <w:tcW w:w="754"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0.20</w:t>
            </w:r>
          </w:p>
        </w:tc>
        <w:tc>
          <w:tcPr>
            <w:tcW w:w="711"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w:t>
            </w:r>
          </w:p>
        </w:tc>
        <w:tc>
          <w:tcPr>
            <w:tcW w:w="1335"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1</w:t>
            </w:r>
          </w:p>
        </w:tc>
      </w:tr>
      <w:tr w:rsidR="00C73CCC" w:rsidRPr="00C73CCC" w:rsidTr="008D588D">
        <w:trPr>
          <w:trHeight w:val="300"/>
        </w:trPr>
        <w:tc>
          <w:tcPr>
            <w:tcW w:w="3843" w:type="dxa"/>
            <w:tcBorders>
              <w:top w:val="nil"/>
              <w:left w:val="nil"/>
              <w:bottom w:val="nil"/>
              <w:right w:val="nil"/>
            </w:tcBorders>
            <w:shd w:val="clear" w:color="auto" w:fill="auto"/>
            <w:noWrap/>
            <w:vAlign w:val="bottom"/>
            <w:hideMark/>
          </w:tcPr>
          <w:p w:rsidR="00C73CCC" w:rsidRPr="00C73CCC" w:rsidRDefault="00C73CCC" w:rsidP="00C73CCC">
            <w:pPr>
              <w:rPr>
                <w:color w:val="000000"/>
                <w:sz w:val="22"/>
                <w:szCs w:val="22"/>
              </w:rPr>
            </w:pPr>
            <w:r w:rsidRPr="00C73CCC">
              <w:rPr>
                <w:color w:val="000000"/>
                <w:sz w:val="22"/>
                <w:szCs w:val="22"/>
              </w:rPr>
              <w:t xml:space="preserve">North Coast  </w:t>
            </w:r>
          </w:p>
        </w:tc>
        <w:tc>
          <w:tcPr>
            <w:tcW w:w="2005" w:type="dxa"/>
            <w:tcBorders>
              <w:top w:val="nil"/>
              <w:left w:val="nil"/>
              <w:bottom w:val="nil"/>
              <w:right w:val="nil"/>
            </w:tcBorders>
            <w:shd w:val="clear" w:color="auto" w:fill="auto"/>
            <w:noWrap/>
            <w:vAlign w:val="bottom"/>
            <w:hideMark/>
          </w:tcPr>
          <w:p w:rsidR="00C73CCC" w:rsidRPr="00C73CCC" w:rsidRDefault="00C73CCC" w:rsidP="00C73CCC">
            <w:pPr>
              <w:rPr>
                <w:color w:val="000000"/>
                <w:sz w:val="20"/>
                <w:szCs w:val="20"/>
              </w:rPr>
            </w:pPr>
            <w:r w:rsidRPr="00C73CCC">
              <w:rPr>
                <w:color w:val="000000"/>
                <w:sz w:val="20"/>
                <w:szCs w:val="20"/>
              </w:rPr>
              <w:t>new_4</w:t>
            </w:r>
          </w:p>
        </w:tc>
        <w:tc>
          <w:tcPr>
            <w:tcW w:w="941"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0.10</w:t>
            </w:r>
          </w:p>
        </w:tc>
        <w:tc>
          <w:tcPr>
            <w:tcW w:w="754"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0.30</w:t>
            </w:r>
          </w:p>
        </w:tc>
        <w:tc>
          <w:tcPr>
            <w:tcW w:w="711"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w:t>
            </w:r>
          </w:p>
        </w:tc>
        <w:tc>
          <w:tcPr>
            <w:tcW w:w="1335"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1</w:t>
            </w:r>
          </w:p>
        </w:tc>
      </w:tr>
      <w:tr w:rsidR="00C73CCC" w:rsidRPr="00C73CCC" w:rsidTr="008D588D">
        <w:trPr>
          <w:trHeight w:val="300"/>
        </w:trPr>
        <w:tc>
          <w:tcPr>
            <w:tcW w:w="3843" w:type="dxa"/>
            <w:tcBorders>
              <w:top w:val="nil"/>
              <w:left w:val="nil"/>
              <w:bottom w:val="nil"/>
              <w:right w:val="nil"/>
            </w:tcBorders>
            <w:shd w:val="clear" w:color="auto" w:fill="auto"/>
            <w:noWrap/>
            <w:vAlign w:val="bottom"/>
            <w:hideMark/>
          </w:tcPr>
          <w:p w:rsidR="00C73CCC" w:rsidRPr="00C73CCC" w:rsidRDefault="00C73CCC" w:rsidP="00C73CCC">
            <w:pPr>
              <w:rPr>
                <w:color w:val="000000"/>
                <w:sz w:val="22"/>
                <w:szCs w:val="22"/>
              </w:rPr>
            </w:pPr>
            <w:r w:rsidRPr="00C73CCC">
              <w:rPr>
                <w:color w:val="000000"/>
                <w:sz w:val="22"/>
                <w:szCs w:val="22"/>
              </w:rPr>
              <w:t>Northern Sydney</w:t>
            </w:r>
          </w:p>
        </w:tc>
        <w:tc>
          <w:tcPr>
            <w:tcW w:w="2005" w:type="dxa"/>
            <w:tcBorders>
              <w:top w:val="nil"/>
              <w:left w:val="nil"/>
              <w:bottom w:val="nil"/>
              <w:right w:val="nil"/>
            </w:tcBorders>
            <w:shd w:val="clear" w:color="auto" w:fill="auto"/>
            <w:noWrap/>
            <w:vAlign w:val="bottom"/>
            <w:hideMark/>
          </w:tcPr>
          <w:p w:rsidR="00C73CCC" w:rsidRPr="00C73CCC" w:rsidRDefault="00C73CCC" w:rsidP="00C73CCC">
            <w:pPr>
              <w:rPr>
                <w:color w:val="000000"/>
                <w:sz w:val="20"/>
                <w:szCs w:val="20"/>
              </w:rPr>
            </w:pPr>
            <w:r w:rsidRPr="00C73CCC">
              <w:rPr>
                <w:color w:val="000000"/>
                <w:sz w:val="20"/>
                <w:szCs w:val="20"/>
              </w:rPr>
              <w:t>new_5</w:t>
            </w:r>
          </w:p>
        </w:tc>
        <w:tc>
          <w:tcPr>
            <w:tcW w:w="941"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0.10</w:t>
            </w:r>
          </w:p>
        </w:tc>
        <w:tc>
          <w:tcPr>
            <w:tcW w:w="754"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0.30</w:t>
            </w:r>
          </w:p>
        </w:tc>
        <w:tc>
          <w:tcPr>
            <w:tcW w:w="711"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w:t>
            </w:r>
          </w:p>
        </w:tc>
        <w:tc>
          <w:tcPr>
            <w:tcW w:w="1335"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1</w:t>
            </w:r>
          </w:p>
        </w:tc>
      </w:tr>
      <w:tr w:rsidR="00C73CCC" w:rsidRPr="00C73CCC" w:rsidTr="008D588D">
        <w:trPr>
          <w:trHeight w:val="300"/>
        </w:trPr>
        <w:tc>
          <w:tcPr>
            <w:tcW w:w="3843" w:type="dxa"/>
            <w:tcBorders>
              <w:top w:val="nil"/>
              <w:left w:val="nil"/>
              <w:bottom w:val="nil"/>
              <w:right w:val="nil"/>
            </w:tcBorders>
            <w:shd w:val="clear" w:color="auto" w:fill="auto"/>
            <w:noWrap/>
            <w:vAlign w:val="bottom"/>
            <w:hideMark/>
          </w:tcPr>
          <w:p w:rsidR="00C73CCC" w:rsidRPr="00C73CCC" w:rsidRDefault="00C73CCC" w:rsidP="00C73CCC">
            <w:pPr>
              <w:rPr>
                <w:color w:val="000000"/>
                <w:sz w:val="22"/>
                <w:szCs w:val="22"/>
              </w:rPr>
            </w:pPr>
            <w:proofErr w:type="spellStart"/>
            <w:r w:rsidRPr="00C73CCC">
              <w:rPr>
                <w:color w:val="000000"/>
                <w:sz w:val="22"/>
                <w:szCs w:val="22"/>
              </w:rPr>
              <w:t>Riverina</w:t>
            </w:r>
            <w:proofErr w:type="spellEnd"/>
          </w:p>
        </w:tc>
        <w:tc>
          <w:tcPr>
            <w:tcW w:w="2005" w:type="dxa"/>
            <w:tcBorders>
              <w:top w:val="nil"/>
              <w:left w:val="nil"/>
              <w:bottom w:val="nil"/>
              <w:right w:val="nil"/>
            </w:tcBorders>
            <w:shd w:val="clear" w:color="auto" w:fill="auto"/>
            <w:noWrap/>
            <w:vAlign w:val="bottom"/>
            <w:hideMark/>
          </w:tcPr>
          <w:p w:rsidR="00C73CCC" w:rsidRPr="00C73CCC" w:rsidRDefault="00C73CCC" w:rsidP="00C73CCC">
            <w:pPr>
              <w:rPr>
                <w:color w:val="000000"/>
                <w:sz w:val="20"/>
                <w:szCs w:val="20"/>
              </w:rPr>
            </w:pPr>
            <w:r w:rsidRPr="00C73CCC">
              <w:rPr>
                <w:color w:val="000000"/>
                <w:sz w:val="20"/>
                <w:szCs w:val="20"/>
              </w:rPr>
              <w:t>new_6</w:t>
            </w:r>
          </w:p>
        </w:tc>
        <w:tc>
          <w:tcPr>
            <w:tcW w:w="941"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0.07</w:t>
            </w:r>
          </w:p>
        </w:tc>
        <w:tc>
          <w:tcPr>
            <w:tcW w:w="754"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0.26</w:t>
            </w:r>
          </w:p>
        </w:tc>
        <w:tc>
          <w:tcPr>
            <w:tcW w:w="711"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w:t>
            </w:r>
          </w:p>
        </w:tc>
        <w:tc>
          <w:tcPr>
            <w:tcW w:w="1335"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1</w:t>
            </w:r>
          </w:p>
        </w:tc>
      </w:tr>
      <w:tr w:rsidR="00C73CCC" w:rsidRPr="00C73CCC" w:rsidTr="008D588D">
        <w:trPr>
          <w:trHeight w:val="300"/>
        </w:trPr>
        <w:tc>
          <w:tcPr>
            <w:tcW w:w="3843" w:type="dxa"/>
            <w:tcBorders>
              <w:top w:val="nil"/>
              <w:left w:val="nil"/>
              <w:bottom w:val="nil"/>
              <w:right w:val="nil"/>
            </w:tcBorders>
            <w:shd w:val="clear" w:color="auto" w:fill="auto"/>
            <w:noWrap/>
            <w:vAlign w:val="bottom"/>
            <w:hideMark/>
          </w:tcPr>
          <w:p w:rsidR="00C73CCC" w:rsidRPr="00C73CCC" w:rsidRDefault="00C73CCC" w:rsidP="00C73CCC">
            <w:pPr>
              <w:rPr>
                <w:color w:val="000000"/>
                <w:sz w:val="22"/>
                <w:szCs w:val="22"/>
              </w:rPr>
            </w:pPr>
            <w:r w:rsidRPr="00C73CCC">
              <w:rPr>
                <w:color w:val="000000"/>
                <w:sz w:val="22"/>
                <w:szCs w:val="22"/>
              </w:rPr>
              <w:t>South Western Sydney</w:t>
            </w:r>
          </w:p>
        </w:tc>
        <w:tc>
          <w:tcPr>
            <w:tcW w:w="2005" w:type="dxa"/>
            <w:tcBorders>
              <w:top w:val="nil"/>
              <w:left w:val="nil"/>
              <w:bottom w:val="nil"/>
              <w:right w:val="nil"/>
            </w:tcBorders>
            <w:shd w:val="clear" w:color="auto" w:fill="auto"/>
            <w:noWrap/>
            <w:vAlign w:val="bottom"/>
            <w:hideMark/>
          </w:tcPr>
          <w:p w:rsidR="00C73CCC" w:rsidRPr="00C73CCC" w:rsidRDefault="00C73CCC" w:rsidP="00C73CCC">
            <w:pPr>
              <w:rPr>
                <w:color w:val="000000"/>
                <w:sz w:val="20"/>
                <w:szCs w:val="20"/>
              </w:rPr>
            </w:pPr>
            <w:r w:rsidRPr="00C73CCC">
              <w:rPr>
                <w:color w:val="000000"/>
                <w:sz w:val="20"/>
                <w:szCs w:val="20"/>
              </w:rPr>
              <w:t>new_7</w:t>
            </w:r>
          </w:p>
        </w:tc>
        <w:tc>
          <w:tcPr>
            <w:tcW w:w="941"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0.17</w:t>
            </w:r>
          </w:p>
        </w:tc>
        <w:tc>
          <w:tcPr>
            <w:tcW w:w="754"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0.38</w:t>
            </w:r>
          </w:p>
        </w:tc>
        <w:tc>
          <w:tcPr>
            <w:tcW w:w="711"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w:t>
            </w:r>
          </w:p>
        </w:tc>
        <w:tc>
          <w:tcPr>
            <w:tcW w:w="1335"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1</w:t>
            </w:r>
          </w:p>
        </w:tc>
      </w:tr>
      <w:tr w:rsidR="00C73CCC" w:rsidRPr="00C73CCC" w:rsidTr="008D588D">
        <w:trPr>
          <w:trHeight w:val="300"/>
        </w:trPr>
        <w:tc>
          <w:tcPr>
            <w:tcW w:w="3843" w:type="dxa"/>
            <w:tcBorders>
              <w:top w:val="nil"/>
              <w:left w:val="nil"/>
              <w:bottom w:val="nil"/>
              <w:right w:val="nil"/>
            </w:tcBorders>
            <w:shd w:val="clear" w:color="auto" w:fill="auto"/>
            <w:noWrap/>
            <w:vAlign w:val="bottom"/>
            <w:hideMark/>
          </w:tcPr>
          <w:p w:rsidR="00C73CCC" w:rsidRPr="00C73CCC" w:rsidRDefault="00C73CCC" w:rsidP="00C73CCC">
            <w:pPr>
              <w:rPr>
                <w:color w:val="000000"/>
                <w:sz w:val="22"/>
                <w:szCs w:val="22"/>
              </w:rPr>
            </w:pPr>
            <w:r w:rsidRPr="00C73CCC">
              <w:rPr>
                <w:color w:val="000000"/>
                <w:sz w:val="22"/>
                <w:szCs w:val="22"/>
              </w:rPr>
              <w:t>Western New South Wales</w:t>
            </w:r>
          </w:p>
        </w:tc>
        <w:tc>
          <w:tcPr>
            <w:tcW w:w="2005" w:type="dxa"/>
            <w:tcBorders>
              <w:top w:val="nil"/>
              <w:left w:val="nil"/>
              <w:bottom w:val="nil"/>
              <w:right w:val="nil"/>
            </w:tcBorders>
            <w:shd w:val="clear" w:color="auto" w:fill="auto"/>
            <w:noWrap/>
            <w:vAlign w:val="bottom"/>
            <w:hideMark/>
          </w:tcPr>
          <w:p w:rsidR="00C73CCC" w:rsidRPr="00C73CCC" w:rsidRDefault="00C73CCC" w:rsidP="00C73CCC">
            <w:pPr>
              <w:rPr>
                <w:color w:val="000000"/>
                <w:sz w:val="20"/>
                <w:szCs w:val="20"/>
              </w:rPr>
            </w:pPr>
            <w:r w:rsidRPr="00C73CCC">
              <w:rPr>
                <w:color w:val="000000"/>
                <w:sz w:val="20"/>
                <w:szCs w:val="20"/>
              </w:rPr>
              <w:t>new_9</w:t>
            </w:r>
          </w:p>
        </w:tc>
        <w:tc>
          <w:tcPr>
            <w:tcW w:w="941"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0.08</w:t>
            </w:r>
          </w:p>
        </w:tc>
        <w:tc>
          <w:tcPr>
            <w:tcW w:w="754"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0.26</w:t>
            </w:r>
          </w:p>
        </w:tc>
        <w:tc>
          <w:tcPr>
            <w:tcW w:w="711"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w:t>
            </w:r>
          </w:p>
        </w:tc>
        <w:tc>
          <w:tcPr>
            <w:tcW w:w="1335" w:type="dxa"/>
            <w:tcBorders>
              <w:top w:val="nil"/>
              <w:left w:val="nil"/>
              <w:bottom w:val="nil"/>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1</w:t>
            </w:r>
          </w:p>
        </w:tc>
      </w:tr>
      <w:tr w:rsidR="00C73CCC" w:rsidRPr="00C73CCC" w:rsidTr="008D588D">
        <w:trPr>
          <w:trHeight w:val="300"/>
        </w:trPr>
        <w:tc>
          <w:tcPr>
            <w:tcW w:w="3843" w:type="dxa"/>
            <w:tcBorders>
              <w:top w:val="nil"/>
              <w:left w:val="nil"/>
              <w:bottom w:val="single" w:sz="4" w:space="0" w:color="auto"/>
              <w:right w:val="nil"/>
            </w:tcBorders>
            <w:shd w:val="clear" w:color="auto" w:fill="auto"/>
            <w:noWrap/>
            <w:vAlign w:val="bottom"/>
            <w:hideMark/>
          </w:tcPr>
          <w:p w:rsidR="00C73CCC" w:rsidRPr="00C73CCC" w:rsidRDefault="00C73CCC" w:rsidP="00C73CCC">
            <w:pPr>
              <w:rPr>
                <w:color w:val="000000"/>
                <w:sz w:val="22"/>
                <w:szCs w:val="22"/>
              </w:rPr>
            </w:pPr>
            <w:r w:rsidRPr="00C73CCC">
              <w:rPr>
                <w:color w:val="000000"/>
                <w:sz w:val="22"/>
                <w:szCs w:val="22"/>
              </w:rPr>
              <w:t>Western Sydney</w:t>
            </w:r>
          </w:p>
        </w:tc>
        <w:tc>
          <w:tcPr>
            <w:tcW w:w="2005" w:type="dxa"/>
            <w:tcBorders>
              <w:top w:val="nil"/>
              <w:left w:val="nil"/>
              <w:bottom w:val="single" w:sz="4" w:space="0" w:color="auto"/>
              <w:right w:val="nil"/>
            </w:tcBorders>
            <w:shd w:val="clear" w:color="auto" w:fill="auto"/>
            <w:noWrap/>
            <w:vAlign w:val="bottom"/>
            <w:hideMark/>
          </w:tcPr>
          <w:p w:rsidR="00C73CCC" w:rsidRPr="00C73CCC" w:rsidRDefault="00C73CCC" w:rsidP="00C73CCC">
            <w:pPr>
              <w:rPr>
                <w:color w:val="000000"/>
                <w:sz w:val="20"/>
                <w:szCs w:val="20"/>
              </w:rPr>
            </w:pPr>
            <w:r w:rsidRPr="00C73CCC">
              <w:rPr>
                <w:color w:val="000000"/>
                <w:sz w:val="20"/>
                <w:szCs w:val="20"/>
              </w:rPr>
              <w:t>new_10</w:t>
            </w:r>
          </w:p>
        </w:tc>
        <w:tc>
          <w:tcPr>
            <w:tcW w:w="941" w:type="dxa"/>
            <w:tcBorders>
              <w:top w:val="nil"/>
              <w:left w:val="nil"/>
              <w:bottom w:val="single" w:sz="4" w:space="0" w:color="auto"/>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0.11</w:t>
            </w:r>
          </w:p>
        </w:tc>
        <w:tc>
          <w:tcPr>
            <w:tcW w:w="754" w:type="dxa"/>
            <w:tcBorders>
              <w:top w:val="nil"/>
              <w:left w:val="nil"/>
              <w:bottom w:val="single" w:sz="4" w:space="0" w:color="auto"/>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0.32</w:t>
            </w:r>
          </w:p>
        </w:tc>
        <w:tc>
          <w:tcPr>
            <w:tcW w:w="711" w:type="dxa"/>
            <w:tcBorders>
              <w:top w:val="nil"/>
              <w:left w:val="nil"/>
              <w:bottom w:val="single" w:sz="4" w:space="0" w:color="auto"/>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0</w:t>
            </w:r>
          </w:p>
        </w:tc>
        <w:tc>
          <w:tcPr>
            <w:tcW w:w="1335" w:type="dxa"/>
            <w:tcBorders>
              <w:top w:val="nil"/>
              <w:left w:val="nil"/>
              <w:bottom w:val="single" w:sz="4" w:space="0" w:color="auto"/>
              <w:right w:val="nil"/>
            </w:tcBorders>
            <w:shd w:val="clear" w:color="auto" w:fill="auto"/>
            <w:noWrap/>
            <w:vAlign w:val="bottom"/>
            <w:hideMark/>
          </w:tcPr>
          <w:p w:rsidR="00C73CCC" w:rsidRPr="00C73CCC" w:rsidRDefault="00C73CCC" w:rsidP="00C73CCC">
            <w:pPr>
              <w:jc w:val="right"/>
              <w:rPr>
                <w:color w:val="000000"/>
                <w:sz w:val="22"/>
                <w:szCs w:val="22"/>
              </w:rPr>
            </w:pPr>
            <w:r w:rsidRPr="00C73CCC">
              <w:rPr>
                <w:color w:val="000000"/>
                <w:sz w:val="22"/>
                <w:szCs w:val="22"/>
              </w:rPr>
              <w:t>1</w:t>
            </w:r>
          </w:p>
        </w:tc>
      </w:tr>
    </w:tbl>
    <w:p w:rsidR="00C73CCC" w:rsidRDefault="00C73CCC" w:rsidP="00C73CCC">
      <w:pPr>
        <w:pBdr>
          <w:bottom w:val="single" w:sz="4" w:space="1" w:color="auto"/>
        </w:pBdr>
        <w:rPr>
          <w:sz w:val="20"/>
          <w:szCs w:val="20"/>
        </w:rPr>
      </w:pPr>
      <w:r w:rsidRPr="00C73CCC">
        <w:rPr>
          <w:sz w:val="20"/>
          <w:szCs w:val="20"/>
        </w:rPr>
        <w:br/>
      </w:r>
    </w:p>
    <w:p w:rsidR="00C73CCC" w:rsidRPr="00C73CCC" w:rsidRDefault="00C73CCC" w:rsidP="00C73CCC">
      <w:pPr>
        <w:pBdr>
          <w:bottom w:val="single" w:sz="4" w:space="1" w:color="auto"/>
        </w:pBdr>
      </w:pPr>
      <w:r w:rsidRPr="00C73CCC">
        <w:rPr>
          <w:sz w:val="20"/>
          <w:szCs w:val="20"/>
        </w:rPr>
        <w:t xml:space="preserve">* Total Expenditure: Teacher salaries; SASS salaries; Depreciation; Maintenance; Insurance; Cleaning; and Other salaries. Aggregate Expenditure: Total Expenditure plus School Own Resource Expenditure. The statistics for the two expenditure variables reflect the samples used to obtain the estimates reported in Columns 1 and 3 respectively of Table 3 below. The statistics on the other variables reflect the Column 1 sample only, as there is little difference. </w:t>
      </w:r>
    </w:p>
    <w:p w:rsidR="00C73CCC" w:rsidRPr="00C73CCC" w:rsidRDefault="00C73CCC" w:rsidP="00C73CCC">
      <w:pPr>
        <w:rPr>
          <w:lang w:eastAsia="zh-CN"/>
        </w:rPr>
      </w:pPr>
    </w:p>
    <w:p w:rsidR="00EC650A" w:rsidRDefault="00EC650A" w:rsidP="00D25FD9">
      <w:pPr>
        <w:spacing w:line="480" w:lineRule="auto"/>
        <w:jc w:val="both"/>
        <w:rPr>
          <w:lang w:eastAsia="zh-CN"/>
        </w:rPr>
      </w:pPr>
    </w:p>
    <w:p w:rsidR="006D620F" w:rsidRPr="002E39BC" w:rsidRDefault="001500DF" w:rsidP="006D620F">
      <w:pPr>
        <w:spacing w:line="480" w:lineRule="auto"/>
        <w:jc w:val="both"/>
        <w:rPr>
          <w:lang w:eastAsia="zh-CN"/>
        </w:rPr>
      </w:pPr>
      <w:r>
        <w:rPr>
          <w:lang w:eastAsia="zh-CN"/>
        </w:rPr>
        <w:t>I</w:t>
      </w:r>
      <w:r w:rsidR="004F0F3E" w:rsidRPr="00A122AC">
        <w:rPr>
          <w:lang w:eastAsia="zh-CN"/>
        </w:rPr>
        <w:t>nformation</w:t>
      </w:r>
      <w:r w:rsidR="004F0F3E">
        <w:rPr>
          <w:lang w:eastAsia="zh-CN"/>
        </w:rPr>
        <w:t xml:space="preserve"> was </w:t>
      </w:r>
      <w:r w:rsidR="004F0F3E" w:rsidRPr="00A122AC">
        <w:rPr>
          <w:lang w:eastAsia="zh-CN"/>
        </w:rPr>
        <w:t xml:space="preserve">collected </w:t>
      </w:r>
      <w:r w:rsidR="00850B78" w:rsidRPr="00A122AC">
        <w:rPr>
          <w:lang w:eastAsia="zh-CN"/>
        </w:rPr>
        <w:t>on all variables for all secondary schools in NSW for the years 2005-2010</w:t>
      </w:r>
      <w:r w:rsidR="00284B4B">
        <w:rPr>
          <w:lang w:eastAsia="zh-CN"/>
        </w:rPr>
        <w:t xml:space="preserve"> and we started with 395 schools in our database</w:t>
      </w:r>
      <w:r w:rsidR="00850B78" w:rsidRPr="00A122AC">
        <w:rPr>
          <w:lang w:eastAsia="zh-CN"/>
        </w:rPr>
        <w:t xml:space="preserve">. </w:t>
      </w:r>
      <w:r w:rsidR="00284B4B">
        <w:rPr>
          <w:lang w:eastAsia="zh-CN"/>
        </w:rPr>
        <w:t>Twenty-seven were</w:t>
      </w:r>
      <w:r w:rsidR="00850B78" w:rsidRPr="00A122AC">
        <w:rPr>
          <w:lang w:eastAsia="zh-CN"/>
        </w:rPr>
        <w:t xml:space="preserve"> </w:t>
      </w:r>
      <w:r w:rsidR="003A624A">
        <w:rPr>
          <w:lang w:eastAsia="zh-CN"/>
        </w:rPr>
        <w:t xml:space="preserve">excluded </w:t>
      </w:r>
      <w:r w:rsidR="00850B78" w:rsidRPr="00A122AC">
        <w:rPr>
          <w:lang w:eastAsia="zh-CN"/>
        </w:rPr>
        <w:t>on the grounds of their atypical characteristics.</w:t>
      </w:r>
      <w:r w:rsidR="008D3A63" w:rsidRPr="008D3A63">
        <w:rPr>
          <w:bCs/>
          <w:iCs/>
        </w:rPr>
        <w:t xml:space="preserve"> </w:t>
      </w:r>
      <w:r w:rsidR="008D3A63">
        <w:rPr>
          <w:bCs/>
          <w:iCs/>
        </w:rPr>
        <w:t xml:space="preserve">Excluded were 24 </w:t>
      </w:r>
      <w:r w:rsidR="008D3A63" w:rsidRPr="004E143B">
        <w:rPr>
          <w:bCs/>
          <w:iCs/>
        </w:rPr>
        <w:t xml:space="preserve">schools designated as agricultural, which are seen as having their own unique characteristics, and one </w:t>
      </w:r>
      <w:r w:rsidR="008D3A63" w:rsidRPr="004E143B">
        <w:rPr>
          <w:lang w:val="en-AU"/>
        </w:rPr>
        <w:t>Community College that had multiple enrolments across several study streams and was not a typical High School</w:t>
      </w:r>
      <w:r w:rsidR="008D3A63" w:rsidRPr="004E143B">
        <w:rPr>
          <w:bCs/>
          <w:iCs/>
        </w:rPr>
        <w:t>. Further inspection of our data indicated two other schools as large outliers</w:t>
      </w:r>
      <w:r w:rsidR="008D3A63">
        <w:rPr>
          <w:bCs/>
          <w:iCs/>
        </w:rPr>
        <w:t xml:space="preserve"> which were also excluded</w:t>
      </w:r>
      <w:r w:rsidR="008D3A63" w:rsidRPr="004E143B">
        <w:rPr>
          <w:bCs/>
          <w:iCs/>
        </w:rPr>
        <w:t xml:space="preserve">: a </w:t>
      </w:r>
      <w:r w:rsidR="008D3A63">
        <w:rPr>
          <w:bCs/>
          <w:iCs/>
        </w:rPr>
        <w:t xml:space="preserve">very small </w:t>
      </w:r>
      <w:r w:rsidR="008D3A63" w:rsidRPr="004E143B">
        <w:rPr>
          <w:bCs/>
          <w:iCs/>
        </w:rPr>
        <w:t xml:space="preserve">Performing Arts School with considerably higher per </w:t>
      </w:r>
      <w:r w:rsidR="001E459C">
        <w:rPr>
          <w:bCs/>
          <w:iCs/>
        </w:rPr>
        <w:t>student</w:t>
      </w:r>
      <w:r w:rsidR="008D3A63" w:rsidRPr="004E143B">
        <w:rPr>
          <w:bCs/>
          <w:iCs/>
        </w:rPr>
        <w:t xml:space="preserve"> aggregate expenditure in any year than any other school</w:t>
      </w:r>
      <w:r w:rsidR="008D3A63">
        <w:rPr>
          <w:bCs/>
          <w:iCs/>
        </w:rPr>
        <w:t>; and a</w:t>
      </w:r>
      <w:r w:rsidR="008D3A63" w:rsidRPr="004E143B">
        <w:rPr>
          <w:bCs/>
          <w:iCs/>
        </w:rPr>
        <w:t xml:space="preserve"> </w:t>
      </w:r>
      <w:r w:rsidR="008D3A63">
        <w:rPr>
          <w:bCs/>
          <w:iCs/>
        </w:rPr>
        <w:t>school that,</w:t>
      </w:r>
      <w:r w:rsidR="008D3A63" w:rsidRPr="004E143B">
        <w:rPr>
          <w:bCs/>
          <w:iCs/>
        </w:rPr>
        <w:t xml:space="preserve"> </w:t>
      </w:r>
      <w:r w:rsidR="008D3A63">
        <w:rPr>
          <w:bCs/>
          <w:iCs/>
        </w:rPr>
        <w:t xml:space="preserve">compared to </w:t>
      </w:r>
      <w:r w:rsidR="008D3A63" w:rsidRPr="004E143B">
        <w:t xml:space="preserve">any </w:t>
      </w:r>
      <w:r w:rsidR="008D3A63">
        <w:t>other</w:t>
      </w:r>
      <w:r w:rsidR="008D3A63" w:rsidRPr="004E143B">
        <w:t xml:space="preserve"> in the sample</w:t>
      </w:r>
      <w:r w:rsidR="008D3A63">
        <w:t>,</w:t>
      </w:r>
      <w:r w:rsidR="008D3A63">
        <w:rPr>
          <w:bCs/>
          <w:iCs/>
        </w:rPr>
        <w:t xml:space="preserve"> </w:t>
      </w:r>
      <w:r w:rsidR="008D3A63" w:rsidRPr="004E143B">
        <w:rPr>
          <w:bCs/>
          <w:iCs/>
        </w:rPr>
        <w:t xml:space="preserve">had considerably higher per </w:t>
      </w:r>
      <w:r w:rsidR="001E459C">
        <w:rPr>
          <w:bCs/>
          <w:iCs/>
        </w:rPr>
        <w:t>student</w:t>
      </w:r>
      <w:r w:rsidR="008D3A63" w:rsidRPr="004E143B">
        <w:rPr>
          <w:bCs/>
          <w:iCs/>
        </w:rPr>
        <w:t xml:space="preserve"> school own source expenditure in </w:t>
      </w:r>
      <w:r w:rsidR="008D3A63">
        <w:rPr>
          <w:bCs/>
          <w:iCs/>
        </w:rPr>
        <w:t>all</w:t>
      </w:r>
      <w:r w:rsidR="008D3A63" w:rsidRPr="004E143B">
        <w:rPr>
          <w:bCs/>
          <w:iCs/>
        </w:rPr>
        <w:t xml:space="preserve"> year</w:t>
      </w:r>
      <w:r w:rsidR="008D3A63">
        <w:rPr>
          <w:bCs/>
          <w:iCs/>
        </w:rPr>
        <w:t>s</w:t>
      </w:r>
      <w:r w:rsidR="001A5B42">
        <w:rPr>
          <w:bCs/>
          <w:iCs/>
        </w:rPr>
        <w:t xml:space="preserve"> as well as</w:t>
      </w:r>
      <w:r w:rsidR="008D3A63">
        <w:rPr>
          <w:bCs/>
          <w:iCs/>
        </w:rPr>
        <w:t xml:space="preserve"> </w:t>
      </w:r>
      <w:r w:rsidR="008D3A63" w:rsidRPr="004E143B">
        <w:rPr>
          <w:bCs/>
          <w:iCs/>
        </w:rPr>
        <w:t xml:space="preserve">the highest </w:t>
      </w:r>
      <w:r w:rsidR="008D3A63" w:rsidRPr="004E143B">
        <w:t xml:space="preserve">percentage of </w:t>
      </w:r>
      <w:r w:rsidR="008D3A63">
        <w:t>Indigenous</w:t>
      </w:r>
      <w:r w:rsidR="008D3A63" w:rsidRPr="004E143B">
        <w:t xml:space="preserve"> and ESL students</w:t>
      </w:r>
      <w:r w:rsidR="008D3A63">
        <w:t>.</w:t>
      </w:r>
      <w:r w:rsidR="008D3A63" w:rsidRPr="004E143B">
        <w:rPr>
          <w:bCs/>
          <w:iCs/>
        </w:rPr>
        <w:t xml:space="preserve"> </w:t>
      </w:r>
      <w:r w:rsidR="00284B4B">
        <w:rPr>
          <w:lang w:eastAsia="zh-CN"/>
        </w:rPr>
        <w:t>N</w:t>
      </w:r>
      <w:r w:rsidR="00850B78" w:rsidRPr="00A122AC">
        <w:rPr>
          <w:lang w:eastAsia="zh-CN"/>
        </w:rPr>
        <w:t>on-availability of exam results data and missing information on some other variables prohibit inclusion of a smaller number</w:t>
      </w:r>
      <w:r w:rsidR="00C22065">
        <w:rPr>
          <w:lang w:eastAsia="zh-CN"/>
        </w:rPr>
        <w:t xml:space="preserve"> of schools</w:t>
      </w:r>
      <w:r w:rsidR="00850B78" w:rsidRPr="00A122AC">
        <w:rPr>
          <w:lang w:eastAsia="zh-CN"/>
        </w:rPr>
        <w:t>. As a result we have full information on all variables for 348 or 350</w:t>
      </w:r>
      <w:r w:rsidR="008D3A63">
        <w:rPr>
          <w:lang w:eastAsia="zh-CN"/>
        </w:rPr>
        <w:t xml:space="preserve"> schools</w:t>
      </w:r>
      <w:r w:rsidR="00850B78" w:rsidRPr="00A122AC">
        <w:rPr>
          <w:lang w:eastAsia="zh-CN"/>
        </w:rPr>
        <w:t>, depending on the model estimated (see Table 3 below). The data is annual for each school year in the period 2005 to 2010.</w:t>
      </w:r>
      <w:r w:rsidR="00CC23DD">
        <w:rPr>
          <w:lang w:eastAsia="zh-CN"/>
        </w:rPr>
        <w:t xml:space="preserve"> </w:t>
      </w:r>
    </w:p>
    <w:p w:rsidR="00F00AC7" w:rsidRDefault="00F00AC7">
      <w:pPr>
        <w:rPr>
          <w:rFonts w:cs="Arial"/>
          <w:b/>
          <w:bCs/>
          <w:kern w:val="32"/>
          <w:sz w:val="32"/>
          <w:szCs w:val="32"/>
        </w:rPr>
      </w:pPr>
      <w:bookmarkStart w:id="9" w:name="_Toc207111319"/>
      <w:bookmarkStart w:id="10" w:name="_Toc207111644"/>
      <w:r>
        <w:br w:type="page"/>
      </w:r>
    </w:p>
    <w:p w:rsidR="009652DA" w:rsidRPr="00E31BD8" w:rsidRDefault="00F051AA" w:rsidP="00E31BD8">
      <w:pPr>
        <w:pStyle w:val="Heading1"/>
      </w:pPr>
      <w:r w:rsidRPr="00E31BD8">
        <w:t>F</w:t>
      </w:r>
      <w:r w:rsidR="009652DA" w:rsidRPr="00E31BD8">
        <w:t>indings</w:t>
      </w:r>
      <w:bookmarkEnd w:id="9"/>
      <w:bookmarkEnd w:id="10"/>
    </w:p>
    <w:p w:rsidR="00005E71" w:rsidRDefault="00005E71" w:rsidP="004C50CB">
      <w:pPr>
        <w:spacing w:line="480" w:lineRule="auto"/>
        <w:jc w:val="both"/>
      </w:pPr>
    </w:p>
    <w:p w:rsidR="00AD567D" w:rsidRDefault="00957E7B" w:rsidP="00BC1363">
      <w:pPr>
        <w:spacing w:line="480" w:lineRule="auto"/>
        <w:jc w:val="both"/>
      </w:pPr>
      <w:r w:rsidRPr="004C50CB">
        <w:t xml:space="preserve">Our estimates are reported in Table </w:t>
      </w:r>
      <w:r w:rsidR="00CE0C3D">
        <w:t>3</w:t>
      </w:r>
      <w:r w:rsidR="00C92DFD" w:rsidRPr="004C50CB">
        <w:t>, below: c</w:t>
      </w:r>
      <w:r w:rsidRPr="004C50CB">
        <w:t xml:space="preserve">olumns </w:t>
      </w:r>
      <w:r w:rsidR="00F4274C">
        <w:t>1</w:t>
      </w:r>
      <w:r w:rsidRPr="004C50CB">
        <w:t xml:space="preserve"> and </w:t>
      </w:r>
      <w:r w:rsidR="00F4274C">
        <w:t>2</w:t>
      </w:r>
      <w:r w:rsidRPr="004C50CB">
        <w:t xml:space="preserve"> report the specification </w:t>
      </w:r>
      <w:r w:rsidRPr="00541444">
        <w:t xml:space="preserve">with </w:t>
      </w:r>
      <w:r w:rsidR="00563317" w:rsidRPr="00541444">
        <w:t xml:space="preserve">the natural logarithm of </w:t>
      </w:r>
      <w:r w:rsidR="00263BD1" w:rsidRPr="00541444">
        <w:t xml:space="preserve">real </w:t>
      </w:r>
      <w:r w:rsidRPr="00541444">
        <w:t>aggregate school expenditure</w:t>
      </w:r>
      <w:r w:rsidR="006A34C4" w:rsidRPr="00541444">
        <w:t xml:space="preserve"> per FTE</w:t>
      </w:r>
      <w:r w:rsidR="00C92DFD" w:rsidRPr="00541444">
        <w:t>; and c</w:t>
      </w:r>
      <w:r w:rsidRPr="00541444">
        <w:t xml:space="preserve">olumns </w:t>
      </w:r>
      <w:r w:rsidR="00F4274C" w:rsidRPr="00541444">
        <w:t>3</w:t>
      </w:r>
      <w:r w:rsidRPr="00541444">
        <w:t xml:space="preserve"> and </w:t>
      </w:r>
      <w:r w:rsidR="00F4274C" w:rsidRPr="00541444">
        <w:t>4</w:t>
      </w:r>
      <w:r w:rsidRPr="00541444">
        <w:t xml:space="preserve"> report the specification with </w:t>
      </w:r>
      <w:r w:rsidR="00CE3051" w:rsidRPr="00541444">
        <w:t>the</w:t>
      </w:r>
      <w:r w:rsidR="00563317" w:rsidRPr="00541444">
        <w:t xml:space="preserve"> natural logarithm of </w:t>
      </w:r>
      <w:r w:rsidR="00263BD1" w:rsidRPr="00541444">
        <w:t xml:space="preserve">real </w:t>
      </w:r>
      <w:r w:rsidR="00CE3051" w:rsidRPr="00541444">
        <w:t>total expenditure</w:t>
      </w:r>
      <w:r w:rsidR="00263BD1" w:rsidRPr="00541444">
        <w:t xml:space="preserve"> per FTE</w:t>
      </w:r>
      <w:r w:rsidRPr="00541444">
        <w:t>.</w:t>
      </w:r>
      <w:r w:rsidRPr="004C50CB">
        <w:t xml:space="preserve"> </w:t>
      </w:r>
      <w:r w:rsidR="00DA5881">
        <w:t xml:space="preserve">Columns </w:t>
      </w:r>
      <w:r w:rsidR="00F4274C">
        <w:t>1</w:t>
      </w:r>
      <w:r w:rsidR="00DA5881">
        <w:t xml:space="preserve"> and </w:t>
      </w:r>
      <w:r w:rsidR="00F4274C">
        <w:t>3</w:t>
      </w:r>
      <w:r w:rsidR="00DA5881">
        <w:t xml:space="preserve"> report the original full model</w:t>
      </w:r>
      <w:r w:rsidR="00E53FD0">
        <w:t>s</w:t>
      </w:r>
      <w:r w:rsidR="00DA5881">
        <w:t xml:space="preserve"> and columns </w:t>
      </w:r>
      <w:r w:rsidR="00F4274C">
        <w:t>2</w:t>
      </w:r>
      <w:r w:rsidR="00DA5881">
        <w:t xml:space="preserve"> and </w:t>
      </w:r>
      <w:r w:rsidR="00F4274C">
        <w:t>4</w:t>
      </w:r>
      <w:r w:rsidR="00DA5881">
        <w:t xml:space="preserve"> </w:t>
      </w:r>
      <w:r w:rsidR="00107286">
        <w:t xml:space="preserve">the </w:t>
      </w:r>
      <w:r w:rsidR="00DA5881">
        <w:t>slightly more parsimonious version</w:t>
      </w:r>
      <w:r w:rsidR="00E53FD0">
        <w:t>s</w:t>
      </w:r>
      <w:r w:rsidR="00DA5881">
        <w:t xml:space="preserve">, </w:t>
      </w:r>
      <w:r w:rsidR="00E132E5">
        <w:t>which omit</w:t>
      </w:r>
      <w:r w:rsidR="00DA5881">
        <w:t xml:space="preserve"> variables that were consistently insignificant across </w:t>
      </w:r>
      <w:r w:rsidR="00DA5881" w:rsidRPr="00C90C3A">
        <w:t>specifications</w:t>
      </w:r>
      <w:r w:rsidR="00E132E5" w:rsidRPr="00C90C3A">
        <w:t xml:space="preserve"> (and thus do not </w:t>
      </w:r>
      <w:r w:rsidR="00A105EC" w:rsidRPr="00C90C3A">
        <w:t xml:space="preserve">appear to </w:t>
      </w:r>
      <w:r w:rsidR="00E132E5" w:rsidRPr="00C90C3A">
        <w:t>contribute to explaining variations in school performance)</w:t>
      </w:r>
      <w:r w:rsidR="00DA5881" w:rsidRPr="00C90C3A">
        <w:t xml:space="preserve">. </w:t>
      </w:r>
      <w:r w:rsidR="00BC1363" w:rsidRPr="00C90C3A">
        <w:t>Across all four models reported in Table 3, the diagnostics are satisfactory</w:t>
      </w:r>
      <w:r w:rsidR="00FA7A3F">
        <w:t xml:space="preserve"> and the following discussion applies to all four estimates</w:t>
      </w:r>
      <w:r w:rsidR="00BC1363">
        <w:t xml:space="preserve">. </w:t>
      </w:r>
      <w:r w:rsidR="00FA7A3F">
        <w:t>T</w:t>
      </w:r>
      <w:r w:rsidR="00BC1363">
        <w:t>he Wald test indicates the joint significance, hence explanatory power, of the variables in the respective models</w:t>
      </w:r>
      <w:r w:rsidR="001500DF">
        <w:t>.</w:t>
      </w:r>
      <w:r w:rsidR="00FA7A3F">
        <w:t xml:space="preserve"> T</w:t>
      </w:r>
      <w:r w:rsidR="00BC1363">
        <w:t xml:space="preserve">he validity of </w:t>
      </w:r>
      <w:r w:rsidR="00263FF2">
        <w:t xml:space="preserve">the </w:t>
      </w:r>
      <w:r w:rsidR="00BC1363">
        <w:t xml:space="preserve">instruments for the lagged dependent variable, the expenditure variable and attendance is </w:t>
      </w:r>
      <w:r w:rsidR="00CD5C8A">
        <w:t>not rejected</w:t>
      </w:r>
      <w:r w:rsidR="00BC1363">
        <w:t xml:space="preserve"> by</w:t>
      </w:r>
      <w:r w:rsidR="00263FF2">
        <w:t>:</w:t>
      </w:r>
      <w:r w:rsidR="00BC1363">
        <w:t xml:space="preserve"> the </w:t>
      </w:r>
      <w:r w:rsidR="00BC1363" w:rsidRPr="00563317">
        <w:rPr>
          <w:i/>
        </w:rPr>
        <w:t>m</w:t>
      </w:r>
      <w:r w:rsidR="00BC1363" w:rsidRPr="00563317">
        <w:rPr>
          <w:i/>
          <w:vertAlign w:val="subscript"/>
        </w:rPr>
        <w:t>1</w:t>
      </w:r>
      <w:r w:rsidR="00BC1363">
        <w:t xml:space="preserve"> and </w:t>
      </w:r>
      <w:r w:rsidR="00BC1363" w:rsidRPr="00563317">
        <w:rPr>
          <w:i/>
        </w:rPr>
        <w:t>m</w:t>
      </w:r>
      <w:r w:rsidR="00BC1363" w:rsidRPr="00563317">
        <w:rPr>
          <w:i/>
          <w:vertAlign w:val="subscript"/>
        </w:rPr>
        <w:t>2</w:t>
      </w:r>
      <w:r w:rsidR="00BC1363">
        <w:t xml:space="preserve"> tests (i.e. the AR tests for, respectively, first- and second- order serial correlation in the first-differenced residuals</w:t>
      </w:r>
      <w:r w:rsidR="00563317">
        <w:t>)</w:t>
      </w:r>
      <w:r w:rsidR="007B48EC">
        <w:t>;</w:t>
      </w:r>
      <w:r w:rsidR="00BC1363">
        <w:t xml:space="preserve"> the </w:t>
      </w:r>
      <w:proofErr w:type="spellStart"/>
      <w:r w:rsidR="00BC1363">
        <w:t>Sargan</w:t>
      </w:r>
      <w:proofErr w:type="spellEnd"/>
      <w:r w:rsidR="00BC1363">
        <w:t xml:space="preserve"> test and the heteroskedasticity-robust Hansen test</w:t>
      </w:r>
      <w:r w:rsidR="00AD567D">
        <w:t>;</w:t>
      </w:r>
      <w:r w:rsidR="00A22F6B">
        <w:t xml:space="preserve"> </w:t>
      </w:r>
      <w:r w:rsidR="009066CD">
        <w:t xml:space="preserve">the </w:t>
      </w:r>
      <w:r w:rsidR="00AD567D">
        <w:t>d</w:t>
      </w:r>
      <w:r w:rsidR="00BC1363">
        <w:t xml:space="preserve">ifference-in-Hansen tests </w:t>
      </w:r>
      <w:r w:rsidR="00B71F44">
        <w:t>(not reported but available on request)</w:t>
      </w:r>
      <w:r w:rsidR="009066CD">
        <w:t>, which</w:t>
      </w:r>
      <w:r w:rsidR="00B71F44">
        <w:t xml:space="preserve"> </w:t>
      </w:r>
      <w:r w:rsidR="00BC1363">
        <w:t>establish the validity of each group of instruments separately</w:t>
      </w:r>
      <w:r w:rsidR="002F395F">
        <w:t>;</w:t>
      </w:r>
      <w:r w:rsidR="00BC1363">
        <w:t xml:space="preserve"> </w:t>
      </w:r>
      <w:r w:rsidR="002F395F">
        <w:t>and</w:t>
      </w:r>
      <w:r w:rsidR="00A22F6B">
        <w:t xml:space="preserve"> </w:t>
      </w:r>
      <w:r w:rsidR="00AD567D">
        <w:t>t</w:t>
      </w:r>
      <w:r w:rsidR="00BC1363">
        <w:t xml:space="preserve">he combination of the </w:t>
      </w:r>
      <w:r w:rsidR="00BC1363" w:rsidRPr="00415C5A">
        <w:rPr>
          <w:i/>
        </w:rPr>
        <w:t>m</w:t>
      </w:r>
      <w:r w:rsidR="00BC1363" w:rsidRPr="00415C5A">
        <w:rPr>
          <w:i/>
          <w:vertAlign w:val="subscript"/>
        </w:rPr>
        <w:t>2</w:t>
      </w:r>
      <w:r w:rsidR="00BC1363">
        <w:t xml:space="preserve"> test and the difference-in-Hansen tests, especially for the IV instruments, </w:t>
      </w:r>
      <w:r w:rsidR="007B48EC">
        <w:t xml:space="preserve">which </w:t>
      </w:r>
      <w:r w:rsidR="00FA7A3F">
        <w:t xml:space="preserve">does not </w:t>
      </w:r>
      <w:r w:rsidR="00BC1363">
        <w:t xml:space="preserve">suggest </w:t>
      </w:r>
      <w:r w:rsidR="00FA7A3F">
        <w:t xml:space="preserve">a </w:t>
      </w:r>
      <w:r w:rsidR="00BC1363">
        <w:t xml:space="preserve">problem with cross-school correlation of the error-terms. </w:t>
      </w:r>
      <w:r w:rsidR="00A22F6B" w:rsidRPr="00A22F6B">
        <w:t xml:space="preserve">Finally, a check on the consistency – hence, the validity - of system GMM estimates is that the point estimate on the lagged dependent variable </w:t>
      </w:r>
      <w:r w:rsidR="003B30B1">
        <w:t>is expected to</w:t>
      </w:r>
      <w:r w:rsidR="00A22F6B" w:rsidRPr="00A22F6B">
        <w:t xml:space="preserve"> lie below the corresponding Ordinary Least Squares (OLS) estimate and above the corresponding Fixed Effects (FE) estimate (Bond, 2002). All four estimates reported in Table 3 </w:t>
      </w:r>
      <w:r w:rsidR="00340F09">
        <w:t xml:space="preserve">comfortably </w:t>
      </w:r>
      <w:r w:rsidR="00A22F6B" w:rsidRPr="00A22F6B">
        <w:t>satisfy this consistency check.</w:t>
      </w:r>
    </w:p>
    <w:p w:rsidR="00B13279" w:rsidRDefault="00B13279" w:rsidP="00BC1363">
      <w:pPr>
        <w:spacing w:line="480" w:lineRule="auto"/>
        <w:jc w:val="both"/>
      </w:pPr>
    </w:p>
    <w:p w:rsidR="00BC1363" w:rsidRDefault="00BC1363" w:rsidP="00BC1363">
      <w:pPr>
        <w:spacing w:line="480" w:lineRule="auto"/>
        <w:jc w:val="both"/>
      </w:pPr>
      <w:r>
        <w:t>The estimates reported in Table 3 are stable across both definitions of expenditure, our variable of interest, and across our fully specified models and parsimonious models</w:t>
      </w:r>
      <w:r w:rsidR="00AD567D">
        <w:t xml:space="preserve">: there are very few differences in the levels of significance, or indeed </w:t>
      </w:r>
      <w:r w:rsidR="00206682">
        <w:t xml:space="preserve">in </w:t>
      </w:r>
      <w:r w:rsidR="00AD567D">
        <w:t xml:space="preserve">the sizes of the estimated coefficients. Thus the detailed interpretation </w:t>
      </w:r>
      <w:r w:rsidR="00206682">
        <w:t xml:space="preserve">in this section </w:t>
      </w:r>
      <w:r w:rsidR="00AD567D">
        <w:t xml:space="preserve">is for the </w:t>
      </w:r>
      <w:r w:rsidR="00AD567D" w:rsidRPr="00405987">
        <w:t xml:space="preserve">parsimonious model </w:t>
      </w:r>
      <w:r w:rsidR="00206682" w:rsidRPr="00405987">
        <w:t>of</w:t>
      </w:r>
      <w:r w:rsidR="00AD567D" w:rsidRPr="00405987">
        <w:t xml:space="preserve"> aggregate school expenditure</w:t>
      </w:r>
      <w:r w:rsidR="006A34C4" w:rsidRPr="00405987">
        <w:t xml:space="preserve"> (column 2)</w:t>
      </w:r>
      <w:r w:rsidR="00D24EDD" w:rsidRPr="00405987">
        <w:t>, our preferred wider measure</w:t>
      </w:r>
      <w:r w:rsidR="00AD567D" w:rsidRPr="00405987">
        <w:t>.</w:t>
      </w:r>
      <w:r w:rsidR="00A26324" w:rsidRPr="00405987">
        <w:t xml:space="preserve"> The quantitative interpretation of each coefficient is to be understood, in each</w:t>
      </w:r>
      <w:r w:rsidR="00A26324">
        <w:t xml:space="preserve"> case, as subject to the condition of “other factors held constant”.</w:t>
      </w:r>
    </w:p>
    <w:p w:rsidR="00AD567D" w:rsidRDefault="00AD567D" w:rsidP="00BC1363">
      <w:pPr>
        <w:spacing w:line="480" w:lineRule="auto"/>
        <w:jc w:val="both"/>
      </w:pPr>
    </w:p>
    <w:p w:rsidR="0095762B" w:rsidRDefault="00BC1363" w:rsidP="0095762B">
      <w:pPr>
        <w:spacing w:line="480" w:lineRule="auto"/>
        <w:jc w:val="both"/>
      </w:pPr>
      <w:r w:rsidRPr="00C90C3A">
        <w:t xml:space="preserve">The estimated coefficient on the lagged dependent variable suggests that </w:t>
      </w:r>
      <w:r w:rsidR="00340F09" w:rsidRPr="00C90C3A">
        <w:t xml:space="preserve">relative </w:t>
      </w:r>
      <w:r w:rsidRPr="00C90C3A">
        <w:t>school performance, as measured by the median ATAR score, is subject to a statistically</w:t>
      </w:r>
      <w:r w:rsidRPr="00EC650A">
        <w:t xml:space="preserve"> significantly positive but small persistence effect. This indicate</w:t>
      </w:r>
      <w:r w:rsidR="001500DF" w:rsidRPr="00EC650A">
        <w:t>s</w:t>
      </w:r>
      <w:r w:rsidRPr="00EC650A">
        <w:t xml:space="preserve"> that change occurs fairly quickly in the secondary schools of NSW</w:t>
      </w:r>
      <w:r w:rsidR="0095762B" w:rsidRPr="00EC650A">
        <w:t xml:space="preserve">. </w:t>
      </w:r>
      <w:r w:rsidR="00F22AF6" w:rsidRPr="00EC650A">
        <w:t>T</w:t>
      </w:r>
      <w:r w:rsidR="0095762B" w:rsidRPr="00EC650A">
        <w:t xml:space="preserve">he greater the persistence the more the </w:t>
      </w:r>
      <w:r w:rsidR="00F22AF6" w:rsidRPr="00EC650A">
        <w:t xml:space="preserve">estimated </w:t>
      </w:r>
      <w:r w:rsidR="0095762B" w:rsidRPr="00EC650A">
        <w:t>effect</w:t>
      </w:r>
      <w:r w:rsidR="00F22AF6" w:rsidRPr="00EC650A">
        <w:t>s of the</w:t>
      </w:r>
      <w:r w:rsidR="0095762B" w:rsidRPr="00EC650A">
        <w:t xml:space="preserve"> </w:t>
      </w:r>
      <w:r w:rsidR="00F22AF6" w:rsidRPr="00EC650A">
        <w:t>explanatory variables accumulate</w:t>
      </w:r>
      <w:r w:rsidR="0095762B" w:rsidRPr="00EC650A">
        <w:t xml:space="preserve"> over time. </w:t>
      </w:r>
      <w:r w:rsidR="00F22AF6" w:rsidRPr="00EC650A">
        <w:t>In this case</w:t>
      </w:r>
      <w:r w:rsidR="0095762B" w:rsidRPr="00EC650A">
        <w:t xml:space="preserve">, although the lagged dependent variable is significant, the estimated difference between the short-run and the long-run effects is relatively small (unlike the estimates for England by </w:t>
      </w:r>
      <w:r w:rsidR="009E09F2">
        <w:t xml:space="preserve">Pugh </w:t>
      </w:r>
      <w:r w:rsidR="009E09F2" w:rsidRPr="009E09F2">
        <w:rPr>
          <w:i/>
        </w:rPr>
        <w:t>et al.</w:t>
      </w:r>
      <w:r w:rsidR="0095762B" w:rsidRPr="00EC650A">
        <w:t xml:space="preserve"> 2011). The multiplier is estimated at 1.2: i.e. the long-run effects are 20 percent</w:t>
      </w:r>
      <w:r w:rsidR="0095762B" w:rsidRPr="00E00818">
        <w:t xml:space="preserve"> </w:t>
      </w:r>
      <w:r w:rsidR="0095762B" w:rsidRPr="00F26E89">
        <w:t xml:space="preserve">higher than the short-run or impact effects. </w:t>
      </w:r>
      <w:r w:rsidR="006A34C4" w:rsidRPr="00F26E89">
        <w:t xml:space="preserve">Thus in what follows the estimated short-run impacts </w:t>
      </w:r>
      <w:proofErr w:type="gramStart"/>
      <w:r w:rsidR="006A34C4" w:rsidRPr="00F26E89">
        <w:t>are</w:t>
      </w:r>
      <w:proofErr w:type="gramEnd"/>
      <w:r w:rsidR="006A34C4" w:rsidRPr="00F26E89">
        <w:t xml:space="preserve"> discussed (that is the immediate effects</w:t>
      </w:r>
      <w:r w:rsidR="00E4705D" w:rsidRPr="00F26E89">
        <w:t xml:space="preserve"> in</w:t>
      </w:r>
      <w:r w:rsidR="006A34C4" w:rsidRPr="00F26E89">
        <w:t xml:space="preserve"> </w:t>
      </w:r>
      <w:r w:rsidR="00E4705D" w:rsidRPr="00F26E89">
        <w:t xml:space="preserve">one </w:t>
      </w:r>
      <w:r w:rsidR="006A34C4" w:rsidRPr="00F26E89">
        <w:t xml:space="preserve">year of </w:t>
      </w:r>
      <w:r w:rsidR="00E4705D" w:rsidRPr="00F26E89">
        <w:t>a change in the variables</w:t>
      </w:r>
      <w:r w:rsidR="006A34C4" w:rsidRPr="00F26E89">
        <w:t>).</w:t>
      </w:r>
    </w:p>
    <w:p w:rsidR="00BC1363" w:rsidRDefault="00BC1363" w:rsidP="00BC1363">
      <w:pPr>
        <w:spacing w:line="480" w:lineRule="auto"/>
        <w:jc w:val="both"/>
      </w:pPr>
    </w:p>
    <w:p w:rsidR="00322FB2" w:rsidRDefault="00BC1363" w:rsidP="00322FB2">
      <w:pPr>
        <w:spacing w:line="480" w:lineRule="auto"/>
        <w:jc w:val="both"/>
      </w:pPr>
      <w:r w:rsidRPr="00C90C3A">
        <w:t xml:space="preserve">Other than the influence of recent performance, the factors determining </w:t>
      </w:r>
      <w:r w:rsidR="00A26324" w:rsidRPr="00C90C3A">
        <w:t xml:space="preserve">higher </w:t>
      </w:r>
      <w:r w:rsidR="00340F09" w:rsidRPr="00C90C3A">
        <w:t xml:space="preserve">relative </w:t>
      </w:r>
      <w:r w:rsidRPr="00F26E89">
        <w:t>school performance and estimated at conventional levels of statistical significance are</w:t>
      </w:r>
      <w:r w:rsidR="009108B9" w:rsidRPr="00F26E89">
        <w:t xml:space="preserve"> in line with the theoretical expectations and the empirical literature</w:t>
      </w:r>
      <w:r w:rsidRPr="00F26E89">
        <w:t>:</w:t>
      </w:r>
      <w:r>
        <w:t xml:space="preserve">  </w:t>
      </w:r>
    </w:p>
    <w:p w:rsidR="00322FB2" w:rsidRDefault="00BC1363" w:rsidP="00322FB2">
      <w:pPr>
        <w:numPr>
          <w:ilvl w:val="0"/>
          <w:numId w:val="35"/>
        </w:numPr>
        <w:spacing w:line="480" w:lineRule="auto"/>
        <w:jc w:val="both"/>
      </w:pPr>
      <w:r>
        <w:t xml:space="preserve">high per </w:t>
      </w:r>
      <w:r w:rsidR="001E459C">
        <w:t>student</w:t>
      </w:r>
      <w:r>
        <w:t xml:space="preserve"> spending, high </w:t>
      </w:r>
      <w:r w:rsidR="001E459C">
        <w:t>student</w:t>
      </w:r>
      <w:r>
        <w:t xml:space="preserve"> attendance, a predominantly girls school, large school size (enrolment), a fully selective admissions policy, a high average socio-economic background of </w:t>
      </w:r>
      <w:r w:rsidR="001E459C">
        <w:t>student</w:t>
      </w:r>
      <w:r>
        <w:t>s; and</w:t>
      </w:r>
    </w:p>
    <w:p w:rsidR="00BC1363" w:rsidRDefault="00BC1363" w:rsidP="00322FB2">
      <w:pPr>
        <w:numPr>
          <w:ilvl w:val="0"/>
          <w:numId w:val="35"/>
        </w:numPr>
        <w:spacing w:line="480" w:lineRule="auto"/>
        <w:jc w:val="both"/>
      </w:pPr>
      <w:proofErr w:type="gramStart"/>
      <w:r>
        <w:t>not</w:t>
      </w:r>
      <w:proofErr w:type="gramEnd"/>
      <w:r>
        <w:t xml:space="preserve"> being a Priority School, and </w:t>
      </w:r>
      <w:r w:rsidR="0095762B">
        <w:t xml:space="preserve">having </w:t>
      </w:r>
      <w:r>
        <w:t xml:space="preserve">a low proportion of </w:t>
      </w:r>
      <w:r w:rsidR="001E459C">
        <w:t>student</w:t>
      </w:r>
      <w:r>
        <w:t>s with special educational needs.</w:t>
      </w:r>
    </w:p>
    <w:p w:rsidR="00EC650A" w:rsidRDefault="00EC650A" w:rsidP="00EC650A">
      <w:pPr>
        <w:spacing w:line="480" w:lineRule="auto"/>
        <w:jc w:val="both"/>
        <w:rPr>
          <w:b/>
          <w:i/>
        </w:rPr>
      </w:pPr>
    </w:p>
    <w:p w:rsidR="00C73CCC" w:rsidRDefault="00C73CCC">
      <w:pPr>
        <w:rPr>
          <w:b/>
          <w:i/>
        </w:rPr>
      </w:pPr>
      <w:r>
        <w:rPr>
          <w:b/>
          <w:i/>
        </w:rPr>
        <w:br w:type="page"/>
      </w:r>
    </w:p>
    <w:p w:rsidR="00C73CCC" w:rsidRPr="00C73CCC" w:rsidRDefault="00C73CCC" w:rsidP="00C73CCC">
      <w:pPr>
        <w:rPr>
          <w:b/>
          <w:i/>
        </w:rPr>
      </w:pPr>
      <w:proofErr w:type="gramStart"/>
      <w:r w:rsidRPr="00C73CCC">
        <w:rPr>
          <w:b/>
          <w:i/>
        </w:rPr>
        <w:t>Table 3.</w:t>
      </w:r>
      <w:proofErr w:type="gramEnd"/>
      <w:r w:rsidRPr="00C73CCC">
        <w:rPr>
          <w:b/>
          <w:i/>
        </w:rPr>
        <w:t xml:space="preserve">  Estimated Effects on the Median ATAR Score (Dynamic Panel Estimation), 2006-10 </w:t>
      </w:r>
    </w:p>
    <w:p w:rsidR="00C73CCC" w:rsidRPr="00C73CCC" w:rsidRDefault="00C73CCC" w:rsidP="00C73CCC">
      <w:pPr>
        <w:rPr>
          <w:b/>
          <w:i/>
        </w:rPr>
      </w:pPr>
    </w:p>
    <w:p w:rsidR="00C73CCC" w:rsidRPr="00C73CCC" w:rsidRDefault="00C73CCC" w:rsidP="00C73CCC">
      <w:pPr>
        <w:widowControl w:val="0"/>
        <w:autoSpaceDE w:val="0"/>
        <w:autoSpaceDN w:val="0"/>
        <w:adjustRightInd w:val="0"/>
      </w:pPr>
      <w:r w:rsidRPr="00C73CCC">
        <w:t xml:space="preserve">Dependent Variable: Median ATAR score </w:t>
      </w:r>
    </w:p>
    <w:tbl>
      <w:tblPr>
        <w:tblW w:w="0" w:type="auto"/>
        <w:jc w:val="center"/>
        <w:tblLayout w:type="fixed"/>
        <w:tblCellMar>
          <w:left w:w="144" w:type="dxa"/>
          <w:right w:w="144" w:type="dxa"/>
        </w:tblCellMar>
        <w:tblLook w:val="04A0" w:firstRow="1" w:lastRow="0" w:firstColumn="1" w:lastColumn="0" w:noHBand="0" w:noVBand="1"/>
      </w:tblPr>
      <w:tblGrid>
        <w:gridCol w:w="4255"/>
        <w:gridCol w:w="1276"/>
        <w:gridCol w:w="1134"/>
        <w:gridCol w:w="1134"/>
        <w:gridCol w:w="1135"/>
      </w:tblGrid>
      <w:tr w:rsidR="00C73CCC" w:rsidRPr="00C73CCC" w:rsidTr="008D588D">
        <w:trPr>
          <w:jc w:val="center"/>
        </w:trPr>
        <w:tc>
          <w:tcPr>
            <w:tcW w:w="4255" w:type="dxa"/>
            <w:tcBorders>
              <w:top w:val="single" w:sz="4" w:space="0" w:color="auto"/>
              <w:bottom w:val="single" w:sz="4" w:space="0" w:color="auto"/>
            </w:tcBorders>
          </w:tcPr>
          <w:p w:rsidR="00C73CCC" w:rsidRPr="00C73CCC" w:rsidRDefault="00C73CCC" w:rsidP="00C73CCC">
            <w:pPr>
              <w:widowControl w:val="0"/>
              <w:autoSpaceDE w:val="0"/>
              <w:autoSpaceDN w:val="0"/>
              <w:adjustRightInd w:val="0"/>
              <w:spacing w:before="79" w:after="79"/>
              <w:jc w:val="center"/>
            </w:pPr>
          </w:p>
        </w:tc>
        <w:tc>
          <w:tcPr>
            <w:tcW w:w="1276" w:type="dxa"/>
            <w:tcBorders>
              <w:top w:val="single" w:sz="4" w:space="0" w:color="auto"/>
              <w:bottom w:val="single" w:sz="4" w:space="0" w:color="auto"/>
            </w:tcBorders>
            <w:hideMark/>
          </w:tcPr>
          <w:p w:rsidR="00C73CCC" w:rsidRPr="00C73CCC" w:rsidRDefault="00C73CCC" w:rsidP="00C73CCC">
            <w:pPr>
              <w:widowControl w:val="0"/>
              <w:autoSpaceDE w:val="0"/>
              <w:autoSpaceDN w:val="0"/>
              <w:adjustRightInd w:val="0"/>
              <w:spacing w:before="79" w:after="79"/>
              <w:jc w:val="center"/>
            </w:pPr>
            <w:r w:rsidRPr="00C73CCC">
              <w:t>1</w:t>
            </w:r>
          </w:p>
        </w:tc>
        <w:tc>
          <w:tcPr>
            <w:tcW w:w="1134" w:type="dxa"/>
            <w:tcBorders>
              <w:top w:val="single" w:sz="4" w:space="0" w:color="auto"/>
              <w:bottom w:val="single" w:sz="4" w:space="0" w:color="auto"/>
            </w:tcBorders>
            <w:hideMark/>
          </w:tcPr>
          <w:p w:rsidR="00C73CCC" w:rsidRPr="00C73CCC" w:rsidRDefault="00C73CCC" w:rsidP="00C73CCC">
            <w:pPr>
              <w:widowControl w:val="0"/>
              <w:autoSpaceDE w:val="0"/>
              <w:autoSpaceDN w:val="0"/>
              <w:adjustRightInd w:val="0"/>
              <w:spacing w:before="79" w:after="79"/>
              <w:jc w:val="center"/>
            </w:pPr>
            <w:r w:rsidRPr="00C73CCC">
              <w:t>2</w:t>
            </w:r>
          </w:p>
        </w:tc>
        <w:tc>
          <w:tcPr>
            <w:tcW w:w="1134" w:type="dxa"/>
            <w:tcBorders>
              <w:top w:val="single" w:sz="4" w:space="0" w:color="auto"/>
              <w:bottom w:val="single" w:sz="4" w:space="0" w:color="auto"/>
            </w:tcBorders>
            <w:hideMark/>
          </w:tcPr>
          <w:p w:rsidR="00C73CCC" w:rsidRPr="00C73CCC" w:rsidRDefault="00C73CCC" w:rsidP="00C73CCC">
            <w:pPr>
              <w:widowControl w:val="0"/>
              <w:autoSpaceDE w:val="0"/>
              <w:autoSpaceDN w:val="0"/>
              <w:adjustRightInd w:val="0"/>
              <w:spacing w:before="79" w:after="79"/>
              <w:jc w:val="center"/>
            </w:pPr>
            <w:r w:rsidRPr="00C73CCC">
              <w:t>3</w:t>
            </w:r>
          </w:p>
        </w:tc>
        <w:tc>
          <w:tcPr>
            <w:tcW w:w="1135" w:type="dxa"/>
            <w:tcBorders>
              <w:top w:val="single" w:sz="4" w:space="0" w:color="auto"/>
              <w:bottom w:val="single" w:sz="4" w:space="0" w:color="auto"/>
            </w:tcBorders>
            <w:hideMark/>
          </w:tcPr>
          <w:p w:rsidR="00C73CCC" w:rsidRPr="00C73CCC" w:rsidRDefault="00C73CCC" w:rsidP="00C73CCC">
            <w:pPr>
              <w:widowControl w:val="0"/>
              <w:autoSpaceDE w:val="0"/>
              <w:autoSpaceDN w:val="0"/>
              <w:adjustRightInd w:val="0"/>
              <w:spacing w:before="79" w:after="79"/>
              <w:jc w:val="center"/>
            </w:pPr>
            <w:r w:rsidRPr="00C73CCC">
              <w:t>4</w:t>
            </w:r>
          </w:p>
        </w:tc>
      </w:tr>
      <w:tr w:rsidR="00C73CCC" w:rsidRPr="00C73CCC" w:rsidTr="008D588D">
        <w:trPr>
          <w:jc w:val="center"/>
        </w:trPr>
        <w:tc>
          <w:tcPr>
            <w:tcW w:w="4255" w:type="dxa"/>
            <w:tcBorders>
              <w:top w:val="single" w:sz="4" w:space="0" w:color="auto"/>
            </w:tcBorders>
            <w:hideMark/>
          </w:tcPr>
          <w:p w:rsidR="00C73CCC" w:rsidRPr="00C73CCC" w:rsidRDefault="00C73CCC" w:rsidP="00C73CCC">
            <w:pPr>
              <w:widowControl w:val="0"/>
              <w:autoSpaceDE w:val="0"/>
              <w:autoSpaceDN w:val="0"/>
              <w:adjustRightInd w:val="0"/>
            </w:pPr>
            <w:r w:rsidRPr="00C73CCC">
              <w:t xml:space="preserve">Lagged median ATAR score </w:t>
            </w:r>
          </w:p>
        </w:tc>
        <w:tc>
          <w:tcPr>
            <w:tcW w:w="1276" w:type="dxa"/>
            <w:tcBorders>
              <w:top w:val="single" w:sz="4" w:space="0" w:color="auto"/>
            </w:tcBorders>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0.163</w:t>
            </w:r>
          </w:p>
        </w:tc>
        <w:tc>
          <w:tcPr>
            <w:tcW w:w="1134" w:type="dxa"/>
            <w:tcBorders>
              <w:top w:val="single" w:sz="4" w:space="0" w:color="auto"/>
            </w:tcBorders>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0.167</w:t>
            </w:r>
          </w:p>
        </w:tc>
        <w:tc>
          <w:tcPr>
            <w:tcW w:w="1134" w:type="dxa"/>
            <w:tcBorders>
              <w:top w:val="single" w:sz="4" w:space="0" w:color="auto"/>
            </w:tcBorders>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0.173</w:t>
            </w:r>
          </w:p>
        </w:tc>
        <w:tc>
          <w:tcPr>
            <w:tcW w:w="1135" w:type="dxa"/>
            <w:tcBorders>
              <w:top w:val="single" w:sz="4" w:space="0" w:color="auto"/>
            </w:tcBorders>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0.176</w:t>
            </w:r>
          </w:p>
        </w:tc>
      </w:tr>
      <w:tr w:rsidR="00C73CCC" w:rsidRPr="00C73CCC" w:rsidTr="008D588D">
        <w:trPr>
          <w:jc w:val="center"/>
        </w:trPr>
        <w:tc>
          <w:tcPr>
            <w:tcW w:w="4255" w:type="dxa"/>
          </w:tcPr>
          <w:p w:rsidR="00C73CCC" w:rsidRPr="00C73CCC" w:rsidRDefault="00C73CCC" w:rsidP="00C73CCC">
            <w:pPr>
              <w:widowControl w:val="0"/>
              <w:autoSpaceDE w:val="0"/>
              <w:autoSpaceDN w:val="0"/>
              <w:adjustRightInd w:val="0"/>
            </w:pPr>
          </w:p>
        </w:tc>
        <w:tc>
          <w:tcPr>
            <w:tcW w:w="1276"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(2.20)**</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(2.47)**</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(2.09)**</w:t>
            </w:r>
          </w:p>
        </w:tc>
        <w:tc>
          <w:tcPr>
            <w:tcW w:w="1135"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(2.22)**</w:t>
            </w:r>
          </w:p>
        </w:tc>
      </w:tr>
      <w:tr w:rsidR="00C73CCC" w:rsidRPr="00C73CCC" w:rsidTr="008D588D">
        <w:trPr>
          <w:jc w:val="center"/>
        </w:trPr>
        <w:tc>
          <w:tcPr>
            <w:tcW w:w="4255" w:type="dxa"/>
            <w:hideMark/>
          </w:tcPr>
          <w:p w:rsidR="00C73CCC" w:rsidRPr="00C73CCC" w:rsidRDefault="00C73CCC" w:rsidP="00C73CCC">
            <w:pPr>
              <w:widowControl w:val="0"/>
              <w:autoSpaceDE w:val="0"/>
              <w:autoSpaceDN w:val="0"/>
              <w:adjustRightInd w:val="0"/>
            </w:pPr>
            <w:r w:rsidRPr="00C73CCC">
              <w:t>Log real aggregate expenditure, per FTE</w:t>
            </w:r>
          </w:p>
        </w:tc>
        <w:tc>
          <w:tcPr>
            <w:tcW w:w="1276"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42.402</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42.120</w:t>
            </w:r>
          </w:p>
        </w:tc>
        <w:tc>
          <w:tcPr>
            <w:tcW w:w="1134" w:type="dxa"/>
          </w:tcPr>
          <w:p w:rsidR="00C73CCC" w:rsidRPr="00C73CCC" w:rsidRDefault="00C73CCC" w:rsidP="00C73CCC">
            <w:pPr>
              <w:widowControl w:val="0"/>
              <w:tabs>
                <w:tab w:val="decimal" w:pos="811"/>
              </w:tabs>
              <w:autoSpaceDE w:val="0"/>
              <w:autoSpaceDN w:val="0"/>
              <w:adjustRightInd w:val="0"/>
              <w:jc w:val="center"/>
              <w:rPr>
                <w:sz w:val="22"/>
                <w:szCs w:val="22"/>
              </w:rPr>
            </w:pPr>
          </w:p>
        </w:tc>
        <w:tc>
          <w:tcPr>
            <w:tcW w:w="1135" w:type="dxa"/>
          </w:tcPr>
          <w:p w:rsidR="00C73CCC" w:rsidRPr="00C73CCC" w:rsidRDefault="00C73CCC" w:rsidP="00C73CCC">
            <w:pPr>
              <w:widowControl w:val="0"/>
              <w:tabs>
                <w:tab w:val="decimal" w:pos="811"/>
              </w:tabs>
              <w:autoSpaceDE w:val="0"/>
              <w:autoSpaceDN w:val="0"/>
              <w:adjustRightInd w:val="0"/>
              <w:jc w:val="center"/>
              <w:rPr>
                <w:sz w:val="22"/>
                <w:szCs w:val="22"/>
              </w:rPr>
            </w:pPr>
          </w:p>
        </w:tc>
      </w:tr>
      <w:tr w:rsidR="00C73CCC" w:rsidRPr="00C73CCC" w:rsidTr="008D588D">
        <w:trPr>
          <w:jc w:val="center"/>
        </w:trPr>
        <w:tc>
          <w:tcPr>
            <w:tcW w:w="4255" w:type="dxa"/>
          </w:tcPr>
          <w:p w:rsidR="00C73CCC" w:rsidRPr="00C73CCC" w:rsidRDefault="00C73CCC" w:rsidP="00C73CCC">
            <w:pPr>
              <w:widowControl w:val="0"/>
              <w:autoSpaceDE w:val="0"/>
              <w:autoSpaceDN w:val="0"/>
              <w:adjustRightInd w:val="0"/>
            </w:pPr>
          </w:p>
        </w:tc>
        <w:tc>
          <w:tcPr>
            <w:tcW w:w="1276"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(2.88)***</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(3.16)***</w:t>
            </w:r>
          </w:p>
        </w:tc>
        <w:tc>
          <w:tcPr>
            <w:tcW w:w="1134" w:type="dxa"/>
          </w:tcPr>
          <w:p w:rsidR="00C73CCC" w:rsidRPr="00C73CCC" w:rsidRDefault="00C73CCC" w:rsidP="00C73CCC">
            <w:pPr>
              <w:widowControl w:val="0"/>
              <w:tabs>
                <w:tab w:val="decimal" w:pos="811"/>
              </w:tabs>
              <w:autoSpaceDE w:val="0"/>
              <w:autoSpaceDN w:val="0"/>
              <w:adjustRightInd w:val="0"/>
              <w:jc w:val="center"/>
              <w:rPr>
                <w:sz w:val="20"/>
                <w:szCs w:val="20"/>
              </w:rPr>
            </w:pPr>
          </w:p>
        </w:tc>
        <w:tc>
          <w:tcPr>
            <w:tcW w:w="1135" w:type="dxa"/>
          </w:tcPr>
          <w:p w:rsidR="00C73CCC" w:rsidRPr="00C73CCC" w:rsidRDefault="00C73CCC" w:rsidP="00C73CCC">
            <w:pPr>
              <w:widowControl w:val="0"/>
              <w:tabs>
                <w:tab w:val="decimal" w:pos="811"/>
              </w:tabs>
              <w:autoSpaceDE w:val="0"/>
              <w:autoSpaceDN w:val="0"/>
              <w:adjustRightInd w:val="0"/>
              <w:jc w:val="center"/>
              <w:rPr>
                <w:sz w:val="20"/>
                <w:szCs w:val="20"/>
              </w:rPr>
            </w:pPr>
          </w:p>
        </w:tc>
      </w:tr>
      <w:tr w:rsidR="00C73CCC" w:rsidRPr="00C73CCC" w:rsidTr="008D588D">
        <w:trPr>
          <w:jc w:val="center"/>
        </w:trPr>
        <w:tc>
          <w:tcPr>
            <w:tcW w:w="4255" w:type="dxa"/>
            <w:hideMark/>
          </w:tcPr>
          <w:p w:rsidR="00C73CCC" w:rsidRPr="00C73CCC" w:rsidRDefault="00C73CCC" w:rsidP="00C73CCC">
            <w:pPr>
              <w:widowControl w:val="0"/>
              <w:autoSpaceDE w:val="0"/>
              <w:autoSpaceDN w:val="0"/>
              <w:adjustRightInd w:val="0"/>
            </w:pPr>
            <w:r w:rsidRPr="00C73CCC">
              <w:t xml:space="preserve">Log real total expenditure, per FTE </w:t>
            </w:r>
          </w:p>
        </w:tc>
        <w:tc>
          <w:tcPr>
            <w:tcW w:w="1276" w:type="dxa"/>
          </w:tcPr>
          <w:p w:rsidR="00C73CCC" w:rsidRPr="00C73CCC" w:rsidRDefault="00C73CCC" w:rsidP="00C73CCC">
            <w:pPr>
              <w:widowControl w:val="0"/>
              <w:tabs>
                <w:tab w:val="decimal" w:pos="811"/>
              </w:tabs>
              <w:autoSpaceDE w:val="0"/>
              <w:autoSpaceDN w:val="0"/>
              <w:adjustRightInd w:val="0"/>
              <w:jc w:val="center"/>
              <w:rPr>
                <w:sz w:val="22"/>
                <w:szCs w:val="22"/>
              </w:rPr>
            </w:pPr>
          </w:p>
        </w:tc>
        <w:tc>
          <w:tcPr>
            <w:tcW w:w="1134" w:type="dxa"/>
          </w:tcPr>
          <w:p w:rsidR="00C73CCC" w:rsidRPr="00C73CCC" w:rsidRDefault="00C73CCC" w:rsidP="00C73CCC">
            <w:pPr>
              <w:widowControl w:val="0"/>
              <w:tabs>
                <w:tab w:val="decimal" w:pos="811"/>
              </w:tabs>
              <w:autoSpaceDE w:val="0"/>
              <w:autoSpaceDN w:val="0"/>
              <w:adjustRightInd w:val="0"/>
              <w:jc w:val="center"/>
              <w:rPr>
                <w:sz w:val="22"/>
                <w:szCs w:val="22"/>
              </w:rPr>
            </w:pP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41.691</w:t>
            </w:r>
          </w:p>
        </w:tc>
        <w:tc>
          <w:tcPr>
            <w:tcW w:w="1135"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40.421</w:t>
            </w:r>
          </w:p>
        </w:tc>
      </w:tr>
      <w:tr w:rsidR="00C73CCC" w:rsidRPr="00C73CCC" w:rsidTr="008D588D">
        <w:trPr>
          <w:jc w:val="center"/>
        </w:trPr>
        <w:tc>
          <w:tcPr>
            <w:tcW w:w="4255" w:type="dxa"/>
          </w:tcPr>
          <w:p w:rsidR="00C73CCC" w:rsidRPr="00C73CCC" w:rsidRDefault="00C73CCC" w:rsidP="00C73CCC">
            <w:pPr>
              <w:widowControl w:val="0"/>
              <w:autoSpaceDE w:val="0"/>
              <w:autoSpaceDN w:val="0"/>
              <w:adjustRightInd w:val="0"/>
            </w:pPr>
          </w:p>
        </w:tc>
        <w:tc>
          <w:tcPr>
            <w:tcW w:w="1276" w:type="dxa"/>
          </w:tcPr>
          <w:p w:rsidR="00C73CCC" w:rsidRPr="00C73CCC" w:rsidRDefault="00C73CCC" w:rsidP="00C73CCC">
            <w:pPr>
              <w:widowControl w:val="0"/>
              <w:tabs>
                <w:tab w:val="decimal" w:pos="811"/>
              </w:tabs>
              <w:autoSpaceDE w:val="0"/>
              <w:autoSpaceDN w:val="0"/>
              <w:adjustRightInd w:val="0"/>
              <w:jc w:val="center"/>
              <w:rPr>
                <w:sz w:val="20"/>
                <w:szCs w:val="20"/>
              </w:rPr>
            </w:pPr>
          </w:p>
        </w:tc>
        <w:tc>
          <w:tcPr>
            <w:tcW w:w="1134" w:type="dxa"/>
          </w:tcPr>
          <w:p w:rsidR="00C73CCC" w:rsidRPr="00C73CCC" w:rsidRDefault="00C73CCC" w:rsidP="00C73CCC">
            <w:pPr>
              <w:widowControl w:val="0"/>
              <w:tabs>
                <w:tab w:val="decimal" w:pos="811"/>
              </w:tabs>
              <w:autoSpaceDE w:val="0"/>
              <w:autoSpaceDN w:val="0"/>
              <w:adjustRightInd w:val="0"/>
              <w:jc w:val="center"/>
              <w:rPr>
                <w:sz w:val="20"/>
                <w:szCs w:val="20"/>
              </w:rPr>
            </w:pP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(2.21)**</w:t>
            </w:r>
          </w:p>
        </w:tc>
        <w:tc>
          <w:tcPr>
            <w:tcW w:w="1135"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(2.31)**</w:t>
            </w:r>
          </w:p>
        </w:tc>
      </w:tr>
      <w:tr w:rsidR="00C73CCC" w:rsidRPr="00C73CCC" w:rsidTr="008D588D">
        <w:trPr>
          <w:jc w:val="center"/>
        </w:trPr>
        <w:tc>
          <w:tcPr>
            <w:tcW w:w="4255" w:type="dxa"/>
            <w:hideMark/>
          </w:tcPr>
          <w:p w:rsidR="00C73CCC" w:rsidRPr="00C73CCC" w:rsidRDefault="00C73CCC" w:rsidP="00C73CCC">
            <w:pPr>
              <w:widowControl w:val="0"/>
              <w:autoSpaceDE w:val="0"/>
              <w:autoSpaceDN w:val="0"/>
              <w:adjustRightInd w:val="0"/>
            </w:pPr>
            <w:r w:rsidRPr="00C73CCC">
              <w:t xml:space="preserve">Boys school </w:t>
            </w:r>
          </w:p>
        </w:tc>
        <w:tc>
          <w:tcPr>
            <w:tcW w:w="1276"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-1.562</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-1.364</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-0.869</w:t>
            </w:r>
          </w:p>
        </w:tc>
        <w:tc>
          <w:tcPr>
            <w:tcW w:w="1135"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-0.771</w:t>
            </w:r>
          </w:p>
        </w:tc>
      </w:tr>
      <w:tr w:rsidR="00C73CCC" w:rsidRPr="00C73CCC" w:rsidTr="008D588D">
        <w:trPr>
          <w:jc w:val="center"/>
        </w:trPr>
        <w:tc>
          <w:tcPr>
            <w:tcW w:w="4255" w:type="dxa"/>
          </w:tcPr>
          <w:p w:rsidR="00C73CCC" w:rsidRPr="00C73CCC" w:rsidRDefault="00C73CCC" w:rsidP="00C73CCC">
            <w:pPr>
              <w:widowControl w:val="0"/>
              <w:autoSpaceDE w:val="0"/>
              <w:autoSpaceDN w:val="0"/>
              <w:adjustRightInd w:val="0"/>
            </w:pPr>
          </w:p>
        </w:tc>
        <w:tc>
          <w:tcPr>
            <w:tcW w:w="1276"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(0.96)</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(0.85)</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(0.50)</w:t>
            </w:r>
          </w:p>
        </w:tc>
        <w:tc>
          <w:tcPr>
            <w:tcW w:w="1135"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(0.46)</w:t>
            </w:r>
          </w:p>
        </w:tc>
      </w:tr>
      <w:tr w:rsidR="00C73CCC" w:rsidRPr="00C73CCC" w:rsidTr="008D588D">
        <w:trPr>
          <w:jc w:val="center"/>
        </w:trPr>
        <w:tc>
          <w:tcPr>
            <w:tcW w:w="4255" w:type="dxa"/>
            <w:hideMark/>
          </w:tcPr>
          <w:p w:rsidR="00C73CCC" w:rsidRPr="00C73CCC" w:rsidRDefault="00C73CCC" w:rsidP="00C73CCC">
            <w:pPr>
              <w:widowControl w:val="0"/>
              <w:autoSpaceDE w:val="0"/>
              <w:autoSpaceDN w:val="0"/>
              <w:adjustRightInd w:val="0"/>
            </w:pPr>
            <w:r w:rsidRPr="00C73CCC">
              <w:t>Girls school</w:t>
            </w:r>
          </w:p>
        </w:tc>
        <w:tc>
          <w:tcPr>
            <w:tcW w:w="1276"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4.610</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5.052</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5.011</w:t>
            </w:r>
          </w:p>
        </w:tc>
        <w:tc>
          <w:tcPr>
            <w:tcW w:w="1135"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5.255</w:t>
            </w:r>
          </w:p>
        </w:tc>
      </w:tr>
      <w:tr w:rsidR="00C73CCC" w:rsidRPr="00C73CCC" w:rsidTr="008D588D">
        <w:trPr>
          <w:jc w:val="center"/>
        </w:trPr>
        <w:tc>
          <w:tcPr>
            <w:tcW w:w="4255" w:type="dxa"/>
          </w:tcPr>
          <w:p w:rsidR="00C73CCC" w:rsidRPr="00C73CCC" w:rsidRDefault="00C73CCC" w:rsidP="00C73CCC">
            <w:pPr>
              <w:widowControl w:val="0"/>
              <w:autoSpaceDE w:val="0"/>
              <w:autoSpaceDN w:val="0"/>
              <w:adjustRightInd w:val="0"/>
            </w:pPr>
          </w:p>
        </w:tc>
        <w:tc>
          <w:tcPr>
            <w:tcW w:w="1276"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(3.94)***</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(4.64)***</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(3.64)***</w:t>
            </w:r>
          </w:p>
        </w:tc>
        <w:tc>
          <w:tcPr>
            <w:tcW w:w="1135"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(4.30)***</w:t>
            </w:r>
          </w:p>
        </w:tc>
      </w:tr>
      <w:tr w:rsidR="00C73CCC" w:rsidRPr="00C73CCC" w:rsidTr="008D588D">
        <w:trPr>
          <w:jc w:val="center"/>
        </w:trPr>
        <w:tc>
          <w:tcPr>
            <w:tcW w:w="4255" w:type="dxa"/>
            <w:hideMark/>
          </w:tcPr>
          <w:p w:rsidR="00C73CCC" w:rsidRPr="00C73CCC" w:rsidRDefault="00C73CCC" w:rsidP="00C73CCC">
            <w:pPr>
              <w:widowControl w:val="0"/>
              <w:autoSpaceDE w:val="0"/>
              <w:autoSpaceDN w:val="0"/>
              <w:adjustRightInd w:val="0"/>
            </w:pPr>
            <w:r w:rsidRPr="00C73CCC">
              <w:t>Attendance</w:t>
            </w:r>
          </w:p>
        </w:tc>
        <w:tc>
          <w:tcPr>
            <w:tcW w:w="1276"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102.164</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93.778</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92.676</w:t>
            </w:r>
          </w:p>
        </w:tc>
        <w:tc>
          <w:tcPr>
            <w:tcW w:w="1135"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85.633</w:t>
            </w:r>
          </w:p>
        </w:tc>
      </w:tr>
      <w:tr w:rsidR="00C73CCC" w:rsidRPr="00C73CCC" w:rsidTr="008D588D">
        <w:trPr>
          <w:jc w:val="center"/>
        </w:trPr>
        <w:tc>
          <w:tcPr>
            <w:tcW w:w="4255" w:type="dxa"/>
          </w:tcPr>
          <w:p w:rsidR="00C73CCC" w:rsidRPr="00C73CCC" w:rsidRDefault="00C73CCC" w:rsidP="00C73CCC">
            <w:pPr>
              <w:widowControl w:val="0"/>
              <w:autoSpaceDE w:val="0"/>
              <w:autoSpaceDN w:val="0"/>
              <w:adjustRightInd w:val="0"/>
            </w:pPr>
          </w:p>
        </w:tc>
        <w:tc>
          <w:tcPr>
            <w:tcW w:w="1276"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(2.35)**</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(2.48)**</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(2.06)**</w:t>
            </w:r>
          </w:p>
        </w:tc>
        <w:tc>
          <w:tcPr>
            <w:tcW w:w="1135"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(2.17)**</w:t>
            </w:r>
          </w:p>
        </w:tc>
      </w:tr>
      <w:tr w:rsidR="00C73CCC" w:rsidRPr="00C73CCC" w:rsidTr="008D588D">
        <w:trPr>
          <w:jc w:val="center"/>
        </w:trPr>
        <w:tc>
          <w:tcPr>
            <w:tcW w:w="4255" w:type="dxa"/>
            <w:hideMark/>
          </w:tcPr>
          <w:p w:rsidR="00C73CCC" w:rsidRPr="00C73CCC" w:rsidRDefault="00C73CCC" w:rsidP="00C73CCC">
            <w:pPr>
              <w:widowControl w:val="0"/>
              <w:autoSpaceDE w:val="0"/>
              <w:autoSpaceDN w:val="0"/>
              <w:adjustRightInd w:val="0"/>
            </w:pPr>
            <w:r w:rsidRPr="00C73CCC">
              <w:t>Student enrolment (FTEs)</w:t>
            </w:r>
          </w:p>
        </w:tc>
        <w:tc>
          <w:tcPr>
            <w:tcW w:w="1276"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0.061</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0.060</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0.059</w:t>
            </w:r>
          </w:p>
        </w:tc>
        <w:tc>
          <w:tcPr>
            <w:tcW w:w="1135"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0.056</w:t>
            </w:r>
          </w:p>
        </w:tc>
      </w:tr>
      <w:tr w:rsidR="00C73CCC" w:rsidRPr="00C73CCC" w:rsidTr="008D588D">
        <w:trPr>
          <w:jc w:val="center"/>
        </w:trPr>
        <w:tc>
          <w:tcPr>
            <w:tcW w:w="4255" w:type="dxa"/>
          </w:tcPr>
          <w:p w:rsidR="00C73CCC" w:rsidRPr="00C73CCC" w:rsidRDefault="00C73CCC" w:rsidP="00C73CCC">
            <w:pPr>
              <w:widowControl w:val="0"/>
              <w:autoSpaceDE w:val="0"/>
              <w:autoSpaceDN w:val="0"/>
              <w:adjustRightInd w:val="0"/>
            </w:pPr>
          </w:p>
        </w:tc>
        <w:tc>
          <w:tcPr>
            <w:tcW w:w="1276"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(3.22)***</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(3.46)***</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(2.59)***</w:t>
            </w:r>
          </w:p>
        </w:tc>
        <w:tc>
          <w:tcPr>
            <w:tcW w:w="1135"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(2.68)***</w:t>
            </w:r>
          </w:p>
        </w:tc>
      </w:tr>
      <w:tr w:rsidR="00C73CCC" w:rsidRPr="00C73CCC" w:rsidTr="008D588D">
        <w:trPr>
          <w:jc w:val="center"/>
        </w:trPr>
        <w:tc>
          <w:tcPr>
            <w:tcW w:w="4255" w:type="dxa"/>
            <w:hideMark/>
          </w:tcPr>
          <w:p w:rsidR="00C73CCC" w:rsidRPr="00C73CCC" w:rsidRDefault="00C73CCC" w:rsidP="00C73CCC">
            <w:pPr>
              <w:widowControl w:val="0"/>
              <w:autoSpaceDE w:val="0"/>
              <w:autoSpaceDN w:val="0"/>
              <w:adjustRightInd w:val="0"/>
            </w:pPr>
            <w:r w:rsidRPr="00C73CCC">
              <w:t>Student enrolment (FTEs) squared</w:t>
            </w:r>
          </w:p>
        </w:tc>
        <w:tc>
          <w:tcPr>
            <w:tcW w:w="1276"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-0.00002</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-0.00002</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-0.00002</w:t>
            </w:r>
          </w:p>
        </w:tc>
        <w:tc>
          <w:tcPr>
            <w:tcW w:w="1135"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-0.00002</w:t>
            </w:r>
          </w:p>
        </w:tc>
      </w:tr>
      <w:tr w:rsidR="00C73CCC" w:rsidRPr="00C73CCC" w:rsidTr="008D588D">
        <w:trPr>
          <w:jc w:val="center"/>
        </w:trPr>
        <w:tc>
          <w:tcPr>
            <w:tcW w:w="4255" w:type="dxa"/>
          </w:tcPr>
          <w:p w:rsidR="00C73CCC" w:rsidRPr="00C73CCC" w:rsidRDefault="00C73CCC" w:rsidP="00C73CCC">
            <w:pPr>
              <w:widowControl w:val="0"/>
              <w:autoSpaceDE w:val="0"/>
              <w:autoSpaceDN w:val="0"/>
              <w:adjustRightInd w:val="0"/>
            </w:pPr>
          </w:p>
        </w:tc>
        <w:tc>
          <w:tcPr>
            <w:tcW w:w="1276"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(2.75)***</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(2.84)***</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(2.30)**</w:t>
            </w:r>
          </w:p>
        </w:tc>
        <w:tc>
          <w:tcPr>
            <w:tcW w:w="1135"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(2.29)**</w:t>
            </w:r>
          </w:p>
        </w:tc>
      </w:tr>
      <w:tr w:rsidR="00C73CCC" w:rsidRPr="00C73CCC" w:rsidTr="008D588D">
        <w:trPr>
          <w:jc w:val="center"/>
        </w:trPr>
        <w:tc>
          <w:tcPr>
            <w:tcW w:w="4255" w:type="dxa"/>
            <w:hideMark/>
          </w:tcPr>
          <w:p w:rsidR="00C73CCC" w:rsidRPr="00C73CCC" w:rsidRDefault="00C73CCC" w:rsidP="00C73CCC">
            <w:pPr>
              <w:widowControl w:val="0"/>
              <w:autoSpaceDE w:val="0"/>
              <w:autoSpaceDN w:val="0"/>
              <w:adjustRightInd w:val="0"/>
            </w:pPr>
            <w:r w:rsidRPr="00C73CCC">
              <w:t xml:space="preserve">Specialist school </w:t>
            </w:r>
          </w:p>
        </w:tc>
        <w:tc>
          <w:tcPr>
            <w:tcW w:w="1276"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0.224</w:t>
            </w:r>
          </w:p>
        </w:tc>
        <w:tc>
          <w:tcPr>
            <w:tcW w:w="1134" w:type="dxa"/>
          </w:tcPr>
          <w:p w:rsidR="00C73CCC" w:rsidRPr="00C73CCC" w:rsidRDefault="00C73CCC" w:rsidP="00C73CCC">
            <w:pPr>
              <w:widowControl w:val="0"/>
              <w:tabs>
                <w:tab w:val="decimal" w:pos="811"/>
              </w:tabs>
              <w:autoSpaceDE w:val="0"/>
              <w:autoSpaceDN w:val="0"/>
              <w:adjustRightInd w:val="0"/>
              <w:jc w:val="center"/>
              <w:rPr>
                <w:sz w:val="22"/>
                <w:szCs w:val="22"/>
              </w:rPr>
            </w:pP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0.478</w:t>
            </w:r>
          </w:p>
        </w:tc>
        <w:tc>
          <w:tcPr>
            <w:tcW w:w="1135" w:type="dxa"/>
          </w:tcPr>
          <w:p w:rsidR="00C73CCC" w:rsidRPr="00C73CCC" w:rsidRDefault="00C73CCC" w:rsidP="00C73CCC">
            <w:pPr>
              <w:widowControl w:val="0"/>
              <w:tabs>
                <w:tab w:val="decimal" w:pos="811"/>
              </w:tabs>
              <w:autoSpaceDE w:val="0"/>
              <w:autoSpaceDN w:val="0"/>
              <w:adjustRightInd w:val="0"/>
              <w:jc w:val="center"/>
              <w:rPr>
                <w:sz w:val="22"/>
                <w:szCs w:val="22"/>
              </w:rPr>
            </w:pPr>
          </w:p>
        </w:tc>
      </w:tr>
      <w:tr w:rsidR="00C73CCC" w:rsidRPr="00C73CCC" w:rsidTr="008D588D">
        <w:trPr>
          <w:jc w:val="center"/>
        </w:trPr>
        <w:tc>
          <w:tcPr>
            <w:tcW w:w="4255" w:type="dxa"/>
          </w:tcPr>
          <w:p w:rsidR="00C73CCC" w:rsidRPr="00C73CCC" w:rsidRDefault="00C73CCC" w:rsidP="00C73CCC">
            <w:pPr>
              <w:widowControl w:val="0"/>
              <w:autoSpaceDE w:val="0"/>
              <w:autoSpaceDN w:val="0"/>
              <w:adjustRightInd w:val="0"/>
            </w:pPr>
          </w:p>
        </w:tc>
        <w:tc>
          <w:tcPr>
            <w:tcW w:w="1276"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(0.16)</w:t>
            </w:r>
          </w:p>
        </w:tc>
        <w:tc>
          <w:tcPr>
            <w:tcW w:w="1134" w:type="dxa"/>
          </w:tcPr>
          <w:p w:rsidR="00C73CCC" w:rsidRPr="00C73CCC" w:rsidRDefault="00C73CCC" w:rsidP="00C73CCC">
            <w:pPr>
              <w:widowControl w:val="0"/>
              <w:tabs>
                <w:tab w:val="decimal" w:pos="811"/>
              </w:tabs>
              <w:autoSpaceDE w:val="0"/>
              <w:autoSpaceDN w:val="0"/>
              <w:adjustRightInd w:val="0"/>
              <w:jc w:val="center"/>
              <w:rPr>
                <w:sz w:val="20"/>
                <w:szCs w:val="20"/>
              </w:rPr>
            </w:pP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(0.33)</w:t>
            </w:r>
          </w:p>
        </w:tc>
        <w:tc>
          <w:tcPr>
            <w:tcW w:w="1135" w:type="dxa"/>
          </w:tcPr>
          <w:p w:rsidR="00C73CCC" w:rsidRPr="00C73CCC" w:rsidRDefault="00C73CCC" w:rsidP="00C73CCC">
            <w:pPr>
              <w:widowControl w:val="0"/>
              <w:tabs>
                <w:tab w:val="decimal" w:pos="811"/>
              </w:tabs>
              <w:autoSpaceDE w:val="0"/>
              <w:autoSpaceDN w:val="0"/>
              <w:adjustRightInd w:val="0"/>
              <w:jc w:val="center"/>
              <w:rPr>
                <w:sz w:val="20"/>
                <w:szCs w:val="20"/>
              </w:rPr>
            </w:pPr>
          </w:p>
        </w:tc>
      </w:tr>
      <w:tr w:rsidR="00C73CCC" w:rsidRPr="00C73CCC" w:rsidTr="008D588D">
        <w:trPr>
          <w:jc w:val="center"/>
        </w:trPr>
        <w:tc>
          <w:tcPr>
            <w:tcW w:w="4255" w:type="dxa"/>
            <w:hideMark/>
          </w:tcPr>
          <w:p w:rsidR="00C73CCC" w:rsidRPr="00C73CCC" w:rsidRDefault="00C73CCC" w:rsidP="00C73CCC">
            <w:pPr>
              <w:widowControl w:val="0"/>
              <w:autoSpaceDE w:val="0"/>
              <w:autoSpaceDN w:val="0"/>
              <w:adjustRightInd w:val="0"/>
            </w:pPr>
            <w:r w:rsidRPr="00C73CCC">
              <w:t xml:space="preserve">Fully selective school </w:t>
            </w:r>
          </w:p>
        </w:tc>
        <w:tc>
          <w:tcPr>
            <w:tcW w:w="1276"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11.432</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12.049</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13.452</w:t>
            </w:r>
          </w:p>
        </w:tc>
        <w:tc>
          <w:tcPr>
            <w:tcW w:w="1135"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13.629</w:t>
            </w:r>
          </w:p>
        </w:tc>
      </w:tr>
      <w:tr w:rsidR="00C73CCC" w:rsidRPr="00C73CCC" w:rsidTr="008D588D">
        <w:trPr>
          <w:jc w:val="center"/>
        </w:trPr>
        <w:tc>
          <w:tcPr>
            <w:tcW w:w="4255" w:type="dxa"/>
          </w:tcPr>
          <w:p w:rsidR="00C73CCC" w:rsidRPr="00C73CCC" w:rsidRDefault="00C73CCC" w:rsidP="00C73CCC">
            <w:pPr>
              <w:widowControl w:val="0"/>
              <w:autoSpaceDE w:val="0"/>
              <w:autoSpaceDN w:val="0"/>
              <w:adjustRightInd w:val="0"/>
            </w:pPr>
          </w:p>
        </w:tc>
        <w:tc>
          <w:tcPr>
            <w:tcW w:w="1276"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(5.12)***</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(5.74)***</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(5.55)***</w:t>
            </w:r>
          </w:p>
        </w:tc>
        <w:tc>
          <w:tcPr>
            <w:tcW w:w="1135"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(6.59)***</w:t>
            </w:r>
          </w:p>
        </w:tc>
      </w:tr>
      <w:tr w:rsidR="00C73CCC" w:rsidRPr="00C73CCC" w:rsidTr="008D588D">
        <w:trPr>
          <w:jc w:val="center"/>
        </w:trPr>
        <w:tc>
          <w:tcPr>
            <w:tcW w:w="4255" w:type="dxa"/>
            <w:hideMark/>
          </w:tcPr>
          <w:p w:rsidR="00C73CCC" w:rsidRPr="00C73CCC" w:rsidRDefault="00C73CCC" w:rsidP="00C73CCC">
            <w:pPr>
              <w:widowControl w:val="0"/>
              <w:autoSpaceDE w:val="0"/>
              <w:autoSpaceDN w:val="0"/>
              <w:adjustRightInd w:val="0"/>
            </w:pPr>
            <w:r w:rsidRPr="00C73CCC">
              <w:t xml:space="preserve">Partially selective school </w:t>
            </w:r>
          </w:p>
        </w:tc>
        <w:tc>
          <w:tcPr>
            <w:tcW w:w="1276"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0.929</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1.228</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0.737</w:t>
            </w:r>
          </w:p>
        </w:tc>
        <w:tc>
          <w:tcPr>
            <w:tcW w:w="1135"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1.109</w:t>
            </w:r>
          </w:p>
        </w:tc>
      </w:tr>
      <w:tr w:rsidR="00C73CCC" w:rsidRPr="00C73CCC" w:rsidTr="008D588D">
        <w:trPr>
          <w:jc w:val="center"/>
        </w:trPr>
        <w:tc>
          <w:tcPr>
            <w:tcW w:w="4255" w:type="dxa"/>
          </w:tcPr>
          <w:p w:rsidR="00C73CCC" w:rsidRPr="00C73CCC" w:rsidRDefault="00C73CCC" w:rsidP="00C73CCC">
            <w:pPr>
              <w:widowControl w:val="0"/>
              <w:autoSpaceDE w:val="0"/>
              <w:autoSpaceDN w:val="0"/>
              <w:adjustRightInd w:val="0"/>
            </w:pPr>
          </w:p>
        </w:tc>
        <w:tc>
          <w:tcPr>
            <w:tcW w:w="1276"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(0.39)</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(0.52)</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(0.28)</w:t>
            </w:r>
          </w:p>
        </w:tc>
        <w:tc>
          <w:tcPr>
            <w:tcW w:w="1135"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(0.44)</w:t>
            </w:r>
          </w:p>
        </w:tc>
      </w:tr>
      <w:tr w:rsidR="00C73CCC" w:rsidRPr="00C73CCC" w:rsidTr="008D588D">
        <w:trPr>
          <w:jc w:val="center"/>
        </w:trPr>
        <w:tc>
          <w:tcPr>
            <w:tcW w:w="4255" w:type="dxa"/>
            <w:hideMark/>
          </w:tcPr>
          <w:p w:rsidR="00C73CCC" w:rsidRPr="00C73CCC" w:rsidRDefault="00C73CCC" w:rsidP="00C73CCC">
            <w:pPr>
              <w:widowControl w:val="0"/>
              <w:autoSpaceDE w:val="0"/>
              <w:autoSpaceDN w:val="0"/>
              <w:adjustRightInd w:val="0"/>
            </w:pPr>
            <w:r w:rsidRPr="00C73CCC">
              <w:t>Priority/Priority action  school</w:t>
            </w:r>
          </w:p>
        </w:tc>
        <w:tc>
          <w:tcPr>
            <w:tcW w:w="1276"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-2.741</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-2.589</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-2.451</w:t>
            </w:r>
          </w:p>
        </w:tc>
        <w:tc>
          <w:tcPr>
            <w:tcW w:w="1135"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-2.279</w:t>
            </w:r>
          </w:p>
        </w:tc>
      </w:tr>
      <w:tr w:rsidR="00C73CCC" w:rsidRPr="00C73CCC" w:rsidTr="008D588D">
        <w:trPr>
          <w:jc w:val="center"/>
        </w:trPr>
        <w:tc>
          <w:tcPr>
            <w:tcW w:w="4255" w:type="dxa"/>
          </w:tcPr>
          <w:p w:rsidR="00C73CCC" w:rsidRPr="00C73CCC" w:rsidRDefault="00C73CCC" w:rsidP="00C73CCC">
            <w:pPr>
              <w:widowControl w:val="0"/>
              <w:autoSpaceDE w:val="0"/>
              <w:autoSpaceDN w:val="0"/>
              <w:adjustRightInd w:val="0"/>
            </w:pPr>
          </w:p>
        </w:tc>
        <w:tc>
          <w:tcPr>
            <w:tcW w:w="1276"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(2.38)**</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(2.31)**</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(1.83)*</w:t>
            </w:r>
          </w:p>
        </w:tc>
        <w:tc>
          <w:tcPr>
            <w:tcW w:w="1135"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(1.72)*</w:t>
            </w:r>
          </w:p>
        </w:tc>
      </w:tr>
      <w:tr w:rsidR="00C73CCC" w:rsidRPr="00C73CCC" w:rsidTr="008D588D">
        <w:trPr>
          <w:jc w:val="center"/>
        </w:trPr>
        <w:tc>
          <w:tcPr>
            <w:tcW w:w="4255" w:type="dxa"/>
            <w:hideMark/>
          </w:tcPr>
          <w:p w:rsidR="00C73CCC" w:rsidRPr="00C73CCC" w:rsidRDefault="00C73CCC" w:rsidP="00C73CCC">
            <w:pPr>
              <w:widowControl w:val="0"/>
              <w:autoSpaceDE w:val="0"/>
              <w:autoSpaceDN w:val="0"/>
              <w:adjustRightInd w:val="0"/>
            </w:pPr>
            <w:r w:rsidRPr="00C73CCC">
              <w:t>Socio-economic status (1) FOEI</w:t>
            </w:r>
          </w:p>
        </w:tc>
        <w:tc>
          <w:tcPr>
            <w:tcW w:w="1276"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0.058</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0.062</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0.062</w:t>
            </w:r>
          </w:p>
        </w:tc>
        <w:tc>
          <w:tcPr>
            <w:tcW w:w="1135"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0.067</w:t>
            </w:r>
          </w:p>
        </w:tc>
      </w:tr>
      <w:tr w:rsidR="00C73CCC" w:rsidRPr="00C73CCC" w:rsidTr="008D588D">
        <w:trPr>
          <w:jc w:val="center"/>
        </w:trPr>
        <w:tc>
          <w:tcPr>
            <w:tcW w:w="4255" w:type="dxa"/>
          </w:tcPr>
          <w:p w:rsidR="00C73CCC" w:rsidRPr="00C73CCC" w:rsidRDefault="00C73CCC" w:rsidP="00C73CCC">
            <w:pPr>
              <w:widowControl w:val="0"/>
              <w:autoSpaceDE w:val="0"/>
              <w:autoSpaceDN w:val="0"/>
              <w:adjustRightInd w:val="0"/>
            </w:pPr>
          </w:p>
        </w:tc>
        <w:tc>
          <w:tcPr>
            <w:tcW w:w="1276"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(6.12)***</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(6.41)***</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(5.62)***</w:t>
            </w:r>
          </w:p>
        </w:tc>
        <w:tc>
          <w:tcPr>
            <w:tcW w:w="1135"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(6.13)***</w:t>
            </w:r>
          </w:p>
        </w:tc>
      </w:tr>
      <w:tr w:rsidR="00C73CCC" w:rsidRPr="00C73CCC" w:rsidTr="008D588D">
        <w:trPr>
          <w:jc w:val="center"/>
        </w:trPr>
        <w:tc>
          <w:tcPr>
            <w:tcW w:w="4255" w:type="dxa"/>
            <w:hideMark/>
          </w:tcPr>
          <w:p w:rsidR="00C73CCC" w:rsidRPr="00C73CCC" w:rsidRDefault="00C73CCC" w:rsidP="00C73CCC">
            <w:pPr>
              <w:widowControl w:val="0"/>
              <w:autoSpaceDE w:val="0"/>
              <w:autoSpaceDN w:val="0"/>
              <w:adjustRightInd w:val="0"/>
            </w:pPr>
            <w:r w:rsidRPr="00C73CCC">
              <w:t>Socio-economic status (2) ICSEA</w:t>
            </w:r>
          </w:p>
        </w:tc>
        <w:tc>
          <w:tcPr>
            <w:tcW w:w="1276"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0.004</w:t>
            </w:r>
          </w:p>
        </w:tc>
        <w:tc>
          <w:tcPr>
            <w:tcW w:w="1134" w:type="dxa"/>
          </w:tcPr>
          <w:p w:rsidR="00C73CCC" w:rsidRPr="00C73CCC" w:rsidRDefault="00C73CCC" w:rsidP="00C73CCC">
            <w:pPr>
              <w:widowControl w:val="0"/>
              <w:tabs>
                <w:tab w:val="decimal" w:pos="811"/>
              </w:tabs>
              <w:autoSpaceDE w:val="0"/>
              <w:autoSpaceDN w:val="0"/>
              <w:adjustRightInd w:val="0"/>
              <w:jc w:val="center"/>
              <w:rPr>
                <w:sz w:val="22"/>
                <w:szCs w:val="22"/>
              </w:rPr>
            </w:pP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0.006</w:t>
            </w:r>
          </w:p>
        </w:tc>
        <w:tc>
          <w:tcPr>
            <w:tcW w:w="1135" w:type="dxa"/>
          </w:tcPr>
          <w:p w:rsidR="00C73CCC" w:rsidRPr="00C73CCC" w:rsidRDefault="00C73CCC" w:rsidP="00C73CCC">
            <w:pPr>
              <w:widowControl w:val="0"/>
              <w:tabs>
                <w:tab w:val="decimal" w:pos="811"/>
              </w:tabs>
              <w:autoSpaceDE w:val="0"/>
              <w:autoSpaceDN w:val="0"/>
              <w:adjustRightInd w:val="0"/>
              <w:jc w:val="center"/>
              <w:rPr>
                <w:sz w:val="22"/>
                <w:szCs w:val="22"/>
              </w:rPr>
            </w:pPr>
          </w:p>
        </w:tc>
      </w:tr>
      <w:tr w:rsidR="00C73CCC" w:rsidRPr="00C73CCC" w:rsidTr="008D588D">
        <w:trPr>
          <w:jc w:val="center"/>
        </w:trPr>
        <w:tc>
          <w:tcPr>
            <w:tcW w:w="4255" w:type="dxa"/>
          </w:tcPr>
          <w:p w:rsidR="00C73CCC" w:rsidRPr="00C73CCC" w:rsidRDefault="00C73CCC" w:rsidP="00C73CCC">
            <w:pPr>
              <w:widowControl w:val="0"/>
              <w:autoSpaceDE w:val="0"/>
              <w:autoSpaceDN w:val="0"/>
              <w:adjustRightInd w:val="0"/>
            </w:pPr>
          </w:p>
        </w:tc>
        <w:tc>
          <w:tcPr>
            <w:tcW w:w="1276"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(1.14)</w:t>
            </w:r>
          </w:p>
        </w:tc>
        <w:tc>
          <w:tcPr>
            <w:tcW w:w="1134" w:type="dxa"/>
          </w:tcPr>
          <w:p w:rsidR="00C73CCC" w:rsidRPr="00C73CCC" w:rsidRDefault="00C73CCC" w:rsidP="00C73CCC">
            <w:pPr>
              <w:widowControl w:val="0"/>
              <w:tabs>
                <w:tab w:val="decimal" w:pos="811"/>
              </w:tabs>
              <w:autoSpaceDE w:val="0"/>
              <w:autoSpaceDN w:val="0"/>
              <w:adjustRightInd w:val="0"/>
              <w:jc w:val="center"/>
              <w:rPr>
                <w:sz w:val="20"/>
                <w:szCs w:val="20"/>
              </w:rPr>
            </w:pP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(1.47)</w:t>
            </w:r>
          </w:p>
        </w:tc>
        <w:tc>
          <w:tcPr>
            <w:tcW w:w="1135" w:type="dxa"/>
          </w:tcPr>
          <w:p w:rsidR="00C73CCC" w:rsidRPr="00C73CCC" w:rsidRDefault="00C73CCC" w:rsidP="00C73CCC">
            <w:pPr>
              <w:widowControl w:val="0"/>
              <w:tabs>
                <w:tab w:val="decimal" w:pos="811"/>
              </w:tabs>
              <w:autoSpaceDE w:val="0"/>
              <w:autoSpaceDN w:val="0"/>
              <w:adjustRightInd w:val="0"/>
              <w:jc w:val="center"/>
              <w:rPr>
                <w:sz w:val="20"/>
                <w:szCs w:val="20"/>
              </w:rPr>
            </w:pPr>
          </w:p>
        </w:tc>
      </w:tr>
      <w:tr w:rsidR="00C73CCC" w:rsidRPr="00C73CCC" w:rsidTr="008D588D">
        <w:trPr>
          <w:jc w:val="center"/>
        </w:trPr>
        <w:tc>
          <w:tcPr>
            <w:tcW w:w="4255" w:type="dxa"/>
            <w:hideMark/>
          </w:tcPr>
          <w:p w:rsidR="00C73CCC" w:rsidRPr="00C73CCC" w:rsidRDefault="00C73CCC" w:rsidP="00C73CCC">
            <w:pPr>
              <w:widowControl w:val="0"/>
              <w:autoSpaceDE w:val="0"/>
              <w:autoSpaceDN w:val="0"/>
              <w:adjustRightInd w:val="0"/>
            </w:pPr>
            <w:r w:rsidRPr="00C73CCC">
              <w:t xml:space="preserve">ESL students,  proportion </w:t>
            </w:r>
          </w:p>
        </w:tc>
        <w:tc>
          <w:tcPr>
            <w:tcW w:w="1276"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1.611</w:t>
            </w:r>
          </w:p>
        </w:tc>
        <w:tc>
          <w:tcPr>
            <w:tcW w:w="1134" w:type="dxa"/>
          </w:tcPr>
          <w:p w:rsidR="00C73CCC" w:rsidRPr="00C73CCC" w:rsidRDefault="00C73CCC" w:rsidP="00C73CCC">
            <w:pPr>
              <w:widowControl w:val="0"/>
              <w:tabs>
                <w:tab w:val="decimal" w:pos="811"/>
              </w:tabs>
              <w:autoSpaceDE w:val="0"/>
              <w:autoSpaceDN w:val="0"/>
              <w:adjustRightInd w:val="0"/>
              <w:jc w:val="center"/>
              <w:rPr>
                <w:sz w:val="22"/>
                <w:szCs w:val="22"/>
              </w:rPr>
            </w:pP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0.884</w:t>
            </w:r>
          </w:p>
        </w:tc>
        <w:tc>
          <w:tcPr>
            <w:tcW w:w="1135" w:type="dxa"/>
          </w:tcPr>
          <w:p w:rsidR="00C73CCC" w:rsidRPr="00C73CCC" w:rsidRDefault="00C73CCC" w:rsidP="00C73CCC">
            <w:pPr>
              <w:widowControl w:val="0"/>
              <w:tabs>
                <w:tab w:val="decimal" w:pos="811"/>
              </w:tabs>
              <w:autoSpaceDE w:val="0"/>
              <w:autoSpaceDN w:val="0"/>
              <w:adjustRightInd w:val="0"/>
              <w:jc w:val="center"/>
              <w:rPr>
                <w:sz w:val="22"/>
                <w:szCs w:val="22"/>
              </w:rPr>
            </w:pPr>
          </w:p>
        </w:tc>
      </w:tr>
      <w:tr w:rsidR="00C73CCC" w:rsidRPr="00C73CCC" w:rsidTr="008D588D">
        <w:trPr>
          <w:jc w:val="center"/>
        </w:trPr>
        <w:tc>
          <w:tcPr>
            <w:tcW w:w="4255" w:type="dxa"/>
          </w:tcPr>
          <w:p w:rsidR="00C73CCC" w:rsidRPr="00C73CCC" w:rsidRDefault="00C73CCC" w:rsidP="00C73CCC">
            <w:pPr>
              <w:widowControl w:val="0"/>
              <w:autoSpaceDE w:val="0"/>
              <w:autoSpaceDN w:val="0"/>
              <w:adjustRightInd w:val="0"/>
            </w:pPr>
          </w:p>
        </w:tc>
        <w:tc>
          <w:tcPr>
            <w:tcW w:w="1276"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(1.23)</w:t>
            </w:r>
          </w:p>
        </w:tc>
        <w:tc>
          <w:tcPr>
            <w:tcW w:w="1134" w:type="dxa"/>
          </w:tcPr>
          <w:p w:rsidR="00C73CCC" w:rsidRPr="00C73CCC" w:rsidRDefault="00C73CCC" w:rsidP="00C73CCC">
            <w:pPr>
              <w:widowControl w:val="0"/>
              <w:tabs>
                <w:tab w:val="decimal" w:pos="811"/>
              </w:tabs>
              <w:autoSpaceDE w:val="0"/>
              <w:autoSpaceDN w:val="0"/>
              <w:adjustRightInd w:val="0"/>
              <w:jc w:val="center"/>
              <w:rPr>
                <w:sz w:val="20"/>
                <w:szCs w:val="20"/>
              </w:rPr>
            </w:pP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(0.62)</w:t>
            </w:r>
          </w:p>
        </w:tc>
        <w:tc>
          <w:tcPr>
            <w:tcW w:w="1135" w:type="dxa"/>
          </w:tcPr>
          <w:p w:rsidR="00C73CCC" w:rsidRPr="00C73CCC" w:rsidRDefault="00C73CCC" w:rsidP="00C73CCC">
            <w:pPr>
              <w:widowControl w:val="0"/>
              <w:tabs>
                <w:tab w:val="decimal" w:pos="811"/>
              </w:tabs>
              <w:autoSpaceDE w:val="0"/>
              <w:autoSpaceDN w:val="0"/>
              <w:adjustRightInd w:val="0"/>
              <w:jc w:val="center"/>
              <w:rPr>
                <w:sz w:val="20"/>
                <w:szCs w:val="20"/>
              </w:rPr>
            </w:pPr>
          </w:p>
        </w:tc>
      </w:tr>
      <w:tr w:rsidR="00C73CCC" w:rsidRPr="00C73CCC" w:rsidTr="008D588D">
        <w:trPr>
          <w:jc w:val="center"/>
        </w:trPr>
        <w:tc>
          <w:tcPr>
            <w:tcW w:w="4255" w:type="dxa"/>
            <w:hideMark/>
          </w:tcPr>
          <w:p w:rsidR="00C73CCC" w:rsidRPr="00C73CCC" w:rsidRDefault="00C73CCC" w:rsidP="00C73CCC">
            <w:pPr>
              <w:widowControl w:val="0"/>
              <w:autoSpaceDE w:val="0"/>
              <w:autoSpaceDN w:val="0"/>
              <w:adjustRightInd w:val="0"/>
            </w:pPr>
            <w:r w:rsidRPr="00C73CCC">
              <w:t xml:space="preserve">Special education students, proportion </w:t>
            </w:r>
          </w:p>
        </w:tc>
        <w:tc>
          <w:tcPr>
            <w:tcW w:w="1276"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-39.557</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-40.346</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-38.283</w:t>
            </w:r>
          </w:p>
        </w:tc>
        <w:tc>
          <w:tcPr>
            <w:tcW w:w="1135"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-37.668</w:t>
            </w:r>
          </w:p>
        </w:tc>
      </w:tr>
      <w:tr w:rsidR="00C73CCC" w:rsidRPr="00C73CCC" w:rsidTr="008D588D">
        <w:trPr>
          <w:jc w:val="center"/>
        </w:trPr>
        <w:tc>
          <w:tcPr>
            <w:tcW w:w="4255" w:type="dxa"/>
          </w:tcPr>
          <w:p w:rsidR="00C73CCC" w:rsidRPr="00C73CCC" w:rsidRDefault="00C73CCC" w:rsidP="00C73CCC">
            <w:pPr>
              <w:widowControl w:val="0"/>
              <w:autoSpaceDE w:val="0"/>
              <w:autoSpaceDN w:val="0"/>
              <w:adjustRightInd w:val="0"/>
            </w:pPr>
          </w:p>
        </w:tc>
        <w:tc>
          <w:tcPr>
            <w:tcW w:w="1276"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(2.53)**</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(2.75)***</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(2.01)**</w:t>
            </w:r>
          </w:p>
        </w:tc>
        <w:tc>
          <w:tcPr>
            <w:tcW w:w="1135"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(2.03)**</w:t>
            </w:r>
          </w:p>
        </w:tc>
      </w:tr>
      <w:tr w:rsidR="00C73CCC" w:rsidRPr="00C73CCC" w:rsidTr="008D588D">
        <w:trPr>
          <w:jc w:val="center"/>
        </w:trPr>
        <w:tc>
          <w:tcPr>
            <w:tcW w:w="4255" w:type="dxa"/>
            <w:hideMark/>
          </w:tcPr>
          <w:p w:rsidR="00C73CCC" w:rsidRPr="00C73CCC" w:rsidRDefault="00C73CCC" w:rsidP="00C73CCC">
            <w:pPr>
              <w:widowControl w:val="0"/>
              <w:autoSpaceDE w:val="0"/>
              <w:autoSpaceDN w:val="0"/>
              <w:adjustRightInd w:val="0"/>
            </w:pPr>
            <w:r w:rsidRPr="00C73CCC">
              <w:t xml:space="preserve">Indigenous students, proportion </w:t>
            </w:r>
          </w:p>
        </w:tc>
        <w:tc>
          <w:tcPr>
            <w:tcW w:w="1276"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5.946</w:t>
            </w:r>
          </w:p>
        </w:tc>
        <w:tc>
          <w:tcPr>
            <w:tcW w:w="1134" w:type="dxa"/>
          </w:tcPr>
          <w:p w:rsidR="00C73CCC" w:rsidRPr="00C73CCC" w:rsidRDefault="00C73CCC" w:rsidP="00C73CCC">
            <w:pPr>
              <w:widowControl w:val="0"/>
              <w:tabs>
                <w:tab w:val="decimal" w:pos="811"/>
              </w:tabs>
              <w:autoSpaceDE w:val="0"/>
              <w:autoSpaceDN w:val="0"/>
              <w:adjustRightInd w:val="0"/>
              <w:jc w:val="center"/>
              <w:rPr>
                <w:sz w:val="22"/>
                <w:szCs w:val="22"/>
              </w:rPr>
            </w:pP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5.036</w:t>
            </w:r>
          </w:p>
        </w:tc>
        <w:tc>
          <w:tcPr>
            <w:tcW w:w="1135" w:type="dxa"/>
          </w:tcPr>
          <w:p w:rsidR="00C73CCC" w:rsidRPr="00C73CCC" w:rsidRDefault="00C73CCC" w:rsidP="00C73CCC">
            <w:pPr>
              <w:widowControl w:val="0"/>
              <w:tabs>
                <w:tab w:val="decimal" w:pos="811"/>
              </w:tabs>
              <w:autoSpaceDE w:val="0"/>
              <w:autoSpaceDN w:val="0"/>
              <w:adjustRightInd w:val="0"/>
              <w:jc w:val="center"/>
              <w:rPr>
                <w:sz w:val="22"/>
                <w:szCs w:val="22"/>
              </w:rPr>
            </w:pPr>
          </w:p>
        </w:tc>
      </w:tr>
      <w:tr w:rsidR="00C73CCC" w:rsidRPr="00C73CCC" w:rsidTr="008D588D">
        <w:trPr>
          <w:jc w:val="center"/>
        </w:trPr>
        <w:tc>
          <w:tcPr>
            <w:tcW w:w="4255" w:type="dxa"/>
          </w:tcPr>
          <w:p w:rsidR="00C73CCC" w:rsidRPr="00C73CCC" w:rsidRDefault="00C73CCC" w:rsidP="00C73CCC">
            <w:pPr>
              <w:widowControl w:val="0"/>
              <w:autoSpaceDE w:val="0"/>
              <w:autoSpaceDN w:val="0"/>
              <w:adjustRightInd w:val="0"/>
            </w:pPr>
          </w:p>
        </w:tc>
        <w:tc>
          <w:tcPr>
            <w:tcW w:w="1276"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(0.54)</w:t>
            </w:r>
          </w:p>
        </w:tc>
        <w:tc>
          <w:tcPr>
            <w:tcW w:w="1134" w:type="dxa"/>
          </w:tcPr>
          <w:p w:rsidR="00C73CCC" w:rsidRPr="00C73CCC" w:rsidRDefault="00C73CCC" w:rsidP="00C73CCC">
            <w:pPr>
              <w:widowControl w:val="0"/>
              <w:tabs>
                <w:tab w:val="decimal" w:pos="811"/>
              </w:tabs>
              <w:autoSpaceDE w:val="0"/>
              <w:autoSpaceDN w:val="0"/>
              <w:adjustRightInd w:val="0"/>
              <w:jc w:val="center"/>
              <w:rPr>
                <w:sz w:val="20"/>
                <w:szCs w:val="20"/>
              </w:rPr>
            </w:pP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(0.40)</w:t>
            </w:r>
          </w:p>
        </w:tc>
        <w:tc>
          <w:tcPr>
            <w:tcW w:w="1135" w:type="dxa"/>
          </w:tcPr>
          <w:p w:rsidR="00C73CCC" w:rsidRPr="00C73CCC" w:rsidRDefault="00C73CCC" w:rsidP="00C73CCC">
            <w:pPr>
              <w:widowControl w:val="0"/>
              <w:tabs>
                <w:tab w:val="decimal" w:pos="811"/>
              </w:tabs>
              <w:autoSpaceDE w:val="0"/>
              <w:autoSpaceDN w:val="0"/>
              <w:adjustRightInd w:val="0"/>
              <w:jc w:val="center"/>
              <w:rPr>
                <w:sz w:val="20"/>
                <w:szCs w:val="20"/>
              </w:rPr>
            </w:pPr>
          </w:p>
        </w:tc>
      </w:tr>
      <w:tr w:rsidR="00C73CCC" w:rsidRPr="00C73CCC" w:rsidTr="008D588D">
        <w:trPr>
          <w:jc w:val="center"/>
        </w:trPr>
        <w:tc>
          <w:tcPr>
            <w:tcW w:w="4255" w:type="dxa"/>
            <w:hideMark/>
          </w:tcPr>
          <w:p w:rsidR="00C73CCC" w:rsidRPr="00C73CCC" w:rsidRDefault="00C73CCC" w:rsidP="00C73CCC">
            <w:pPr>
              <w:widowControl w:val="0"/>
              <w:autoSpaceDE w:val="0"/>
              <w:autoSpaceDN w:val="0"/>
              <w:adjustRightInd w:val="0"/>
            </w:pPr>
            <w:r w:rsidRPr="00C73CCC">
              <w:t>Teachers’ years of service, average</w:t>
            </w:r>
          </w:p>
        </w:tc>
        <w:tc>
          <w:tcPr>
            <w:tcW w:w="1276"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0.101</w:t>
            </w:r>
          </w:p>
        </w:tc>
        <w:tc>
          <w:tcPr>
            <w:tcW w:w="1134" w:type="dxa"/>
          </w:tcPr>
          <w:p w:rsidR="00C73CCC" w:rsidRPr="00C73CCC" w:rsidRDefault="00C73CCC" w:rsidP="00C73CCC">
            <w:pPr>
              <w:widowControl w:val="0"/>
              <w:tabs>
                <w:tab w:val="decimal" w:pos="811"/>
              </w:tabs>
              <w:autoSpaceDE w:val="0"/>
              <w:autoSpaceDN w:val="0"/>
              <w:adjustRightInd w:val="0"/>
              <w:jc w:val="center"/>
              <w:rPr>
                <w:sz w:val="22"/>
                <w:szCs w:val="22"/>
              </w:rPr>
            </w:pP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0.057</w:t>
            </w:r>
          </w:p>
        </w:tc>
        <w:tc>
          <w:tcPr>
            <w:tcW w:w="1135" w:type="dxa"/>
          </w:tcPr>
          <w:p w:rsidR="00C73CCC" w:rsidRPr="00C73CCC" w:rsidRDefault="00C73CCC" w:rsidP="00C73CCC">
            <w:pPr>
              <w:widowControl w:val="0"/>
              <w:tabs>
                <w:tab w:val="decimal" w:pos="811"/>
              </w:tabs>
              <w:autoSpaceDE w:val="0"/>
              <w:autoSpaceDN w:val="0"/>
              <w:adjustRightInd w:val="0"/>
              <w:jc w:val="center"/>
              <w:rPr>
                <w:sz w:val="22"/>
                <w:szCs w:val="22"/>
              </w:rPr>
            </w:pPr>
          </w:p>
        </w:tc>
      </w:tr>
      <w:tr w:rsidR="00C73CCC" w:rsidRPr="00C73CCC" w:rsidTr="008D588D">
        <w:trPr>
          <w:jc w:val="center"/>
        </w:trPr>
        <w:tc>
          <w:tcPr>
            <w:tcW w:w="4255" w:type="dxa"/>
          </w:tcPr>
          <w:p w:rsidR="00C73CCC" w:rsidRPr="00C73CCC" w:rsidRDefault="00C73CCC" w:rsidP="00C73CCC">
            <w:pPr>
              <w:widowControl w:val="0"/>
              <w:autoSpaceDE w:val="0"/>
              <w:autoSpaceDN w:val="0"/>
              <w:adjustRightInd w:val="0"/>
            </w:pPr>
          </w:p>
        </w:tc>
        <w:tc>
          <w:tcPr>
            <w:tcW w:w="1276"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(0.74)</w:t>
            </w:r>
          </w:p>
        </w:tc>
        <w:tc>
          <w:tcPr>
            <w:tcW w:w="1134" w:type="dxa"/>
          </w:tcPr>
          <w:p w:rsidR="00C73CCC" w:rsidRPr="00C73CCC" w:rsidRDefault="00C73CCC" w:rsidP="00C73CCC">
            <w:pPr>
              <w:widowControl w:val="0"/>
              <w:tabs>
                <w:tab w:val="decimal" w:pos="811"/>
              </w:tabs>
              <w:autoSpaceDE w:val="0"/>
              <w:autoSpaceDN w:val="0"/>
              <w:adjustRightInd w:val="0"/>
              <w:jc w:val="center"/>
              <w:rPr>
                <w:sz w:val="20"/>
                <w:szCs w:val="20"/>
              </w:rPr>
            </w:pP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(0.36)</w:t>
            </w:r>
          </w:p>
        </w:tc>
        <w:tc>
          <w:tcPr>
            <w:tcW w:w="1135" w:type="dxa"/>
          </w:tcPr>
          <w:p w:rsidR="00C73CCC" w:rsidRPr="00C73CCC" w:rsidRDefault="00C73CCC" w:rsidP="00C73CCC">
            <w:pPr>
              <w:widowControl w:val="0"/>
              <w:tabs>
                <w:tab w:val="decimal" w:pos="811"/>
              </w:tabs>
              <w:autoSpaceDE w:val="0"/>
              <w:autoSpaceDN w:val="0"/>
              <w:adjustRightInd w:val="0"/>
              <w:jc w:val="center"/>
              <w:rPr>
                <w:sz w:val="20"/>
                <w:szCs w:val="20"/>
              </w:rPr>
            </w:pPr>
          </w:p>
        </w:tc>
      </w:tr>
    </w:tbl>
    <w:p w:rsidR="00C73CCC" w:rsidRPr="00C73CCC" w:rsidRDefault="00C73CCC" w:rsidP="00C73CCC">
      <w:r w:rsidRPr="00C73CCC">
        <w:br w:type="page"/>
      </w:r>
    </w:p>
    <w:tbl>
      <w:tblPr>
        <w:tblW w:w="0" w:type="auto"/>
        <w:jc w:val="center"/>
        <w:tblLayout w:type="fixed"/>
        <w:tblCellMar>
          <w:left w:w="144" w:type="dxa"/>
          <w:right w:w="144" w:type="dxa"/>
        </w:tblCellMar>
        <w:tblLook w:val="04A0" w:firstRow="1" w:lastRow="0" w:firstColumn="1" w:lastColumn="0" w:noHBand="0" w:noVBand="1"/>
      </w:tblPr>
      <w:tblGrid>
        <w:gridCol w:w="4255"/>
        <w:gridCol w:w="1276"/>
        <w:gridCol w:w="1134"/>
        <w:gridCol w:w="1134"/>
        <w:gridCol w:w="992"/>
      </w:tblGrid>
      <w:tr w:rsidR="00C73CCC" w:rsidRPr="00C73CCC" w:rsidTr="008D588D">
        <w:trPr>
          <w:jc w:val="center"/>
        </w:trPr>
        <w:tc>
          <w:tcPr>
            <w:tcW w:w="4255" w:type="dxa"/>
            <w:hideMark/>
          </w:tcPr>
          <w:p w:rsidR="00C73CCC" w:rsidRPr="00C73CCC" w:rsidRDefault="00C73CCC" w:rsidP="00C73CCC">
            <w:pPr>
              <w:widowControl w:val="0"/>
              <w:autoSpaceDE w:val="0"/>
              <w:autoSpaceDN w:val="0"/>
              <w:adjustRightInd w:val="0"/>
            </w:pPr>
            <w:r w:rsidRPr="00C73CCC">
              <w:t xml:space="preserve">2006 </w:t>
            </w:r>
          </w:p>
        </w:tc>
        <w:tc>
          <w:tcPr>
            <w:tcW w:w="1276"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0.244</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-0.290</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0.159</w:t>
            </w:r>
          </w:p>
        </w:tc>
        <w:tc>
          <w:tcPr>
            <w:tcW w:w="992"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-0.162</w:t>
            </w:r>
          </w:p>
        </w:tc>
      </w:tr>
      <w:tr w:rsidR="00C73CCC" w:rsidRPr="00C73CCC" w:rsidTr="008D588D">
        <w:trPr>
          <w:jc w:val="center"/>
        </w:trPr>
        <w:tc>
          <w:tcPr>
            <w:tcW w:w="4255" w:type="dxa"/>
          </w:tcPr>
          <w:p w:rsidR="00C73CCC" w:rsidRPr="00C73CCC" w:rsidRDefault="00C73CCC" w:rsidP="00C73CCC">
            <w:pPr>
              <w:widowControl w:val="0"/>
              <w:autoSpaceDE w:val="0"/>
              <w:autoSpaceDN w:val="0"/>
              <w:adjustRightInd w:val="0"/>
            </w:pPr>
          </w:p>
        </w:tc>
        <w:tc>
          <w:tcPr>
            <w:tcW w:w="1276"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(0.28)</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(0.36)</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(0.18)</w:t>
            </w:r>
          </w:p>
        </w:tc>
        <w:tc>
          <w:tcPr>
            <w:tcW w:w="992"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(0.19)</w:t>
            </w:r>
          </w:p>
        </w:tc>
      </w:tr>
      <w:tr w:rsidR="00C73CCC" w:rsidRPr="00C73CCC" w:rsidTr="008D588D">
        <w:trPr>
          <w:jc w:val="center"/>
        </w:trPr>
        <w:tc>
          <w:tcPr>
            <w:tcW w:w="4255" w:type="dxa"/>
            <w:hideMark/>
          </w:tcPr>
          <w:p w:rsidR="00C73CCC" w:rsidRPr="00C73CCC" w:rsidRDefault="00C73CCC" w:rsidP="00C73CCC">
            <w:pPr>
              <w:widowControl w:val="0"/>
              <w:autoSpaceDE w:val="0"/>
              <w:autoSpaceDN w:val="0"/>
              <w:adjustRightInd w:val="0"/>
            </w:pPr>
            <w:r w:rsidRPr="00C73CCC">
              <w:t xml:space="preserve">2007 </w:t>
            </w:r>
          </w:p>
        </w:tc>
        <w:tc>
          <w:tcPr>
            <w:tcW w:w="1276"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-0.639</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-0.688</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-0.746</w:t>
            </w:r>
          </w:p>
        </w:tc>
        <w:tc>
          <w:tcPr>
            <w:tcW w:w="992"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-0.788</w:t>
            </w:r>
          </w:p>
        </w:tc>
      </w:tr>
      <w:tr w:rsidR="00C73CCC" w:rsidRPr="00C73CCC" w:rsidTr="008D588D">
        <w:trPr>
          <w:jc w:val="center"/>
        </w:trPr>
        <w:tc>
          <w:tcPr>
            <w:tcW w:w="4255" w:type="dxa"/>
          </w:tcPr>
          <w:p w:rsidR="00C73CCC" w:rsidRPr="00C73CCC" w:rsidRDefault="00C73CCC" w:rsidP="00C73CCC">
            <w:pPr>
              <w:widowControl w:val="0"/>
              <w:autoSpaceDE w:val="0"/>
              <w:autoSpaceDN w:val="0"/>
              <w:adjustRightInd w:val="0"/>
            </w:pPr>
          </w:p>
        </w:tc>
        <w:tc>
          <w:tcPr>
            <w:tcW w:w="1276"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(1.26)</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(1.37)</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(1.52)</w:t>
            </w:r>
          </w:p>
        </w:tc>
        <w:tc>
          <w:tcPr>
            <w:tcW w:w="992"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(1.64)</w:t>
            </w:r>
          </w:p>
        </w:tc>
      </w:tr>
      <w:tr w:rsidR="00C73CCC" w:rsidRPr="00C73CCC" w:rsidTr="008D588D">
        <w:trPr>
          <w:jc w:val="center"/>
        </w:trPr>
        <w:tc>
          <w:tcPr>
            <w:tcW w:w="4255" w:type="dxa"/>
            <w:hideMark/>
          </w:tcPr>
          <w:p w:rsidR="00C73CCC" w:rsidRPr="00C73CCC" w:rsidRDefault="00C73CCC" w:rsidP="00C73CCC">
            <w:pPr>
              <w:widowControl w:val="0"/>
              <w:autoSpaceDE w:val="0"/>
              <w:autoSpaceDN w:val="0"/>
              <w:adjustRightInd w:val="0"/>
            </w:pPr>
            <w:r w:rsidRPr="00C73CCC">
              <w:t xml:space="preserve">2008 </w:t>
            </w:r>
          </w:p>
        </w:tc>
        <w:tc>
          <w:tcPr>
            <w:tcW w:w="1276"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-0.875</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-0.910</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-1.518</w:t>
            </w:r>
          </w:p>
        </w:tc>
        <w:tc>
          <w:tcPr>
            <w:tcW w:w="992"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-1.514</w:t>
            </w:r>
          </w:p>
        </w:tc>
      </w:tr>
      <w:tr w:rsidR="00C73CCC" w:rsidRPr="00C73CCC" w:rsidTr="008D588D">
        <w:trPr>
          <w:jc w:val="center"/>
        </w:trPr>
        <w:tc>
          <w:tcPr>
            <w:tcW w:w="4255" w:type="dxa"/>
          </w:tcPr>
          <w:p w:rsidR="00C73CCC" w:rsidRPr="00C73CCC" w:rsidRDefault="00C73CCC" w:rsidP="00C73CCC">
            <w:pPr>
              <w:widowControl w:val="0"/>
              <w:autoSpaceDE w:val="0"/>
              <w:autoSpaceDN w:val="0"/>
              <w:adjustRightInd w:val="0"/>
            </w:pPr>
          </w:p>
        </w:tc>
        <w:tc>
          <w:tcPr>
            <w:tcW w:w="1276"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(2.09)**</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(2.22)**</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(3.04)***</w:t>
            </w:r>
          </w:p>
        </w:tc>
        <w:tc>
          <w:tcPr>
            <w:tcW w:w="992"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(3.30)***</w:t>
            </w:r>
          </w:p>
        </w:tc>
      </w:tr>
      <w:tr w:rsidR="00C73CCC" w:rsidRPr="00C73CCC" w:rsidTr="008D588D">
        <w:trPr>
          <w:jc w:val="center"/>
        </w:trPr>
        <w:tc>
          <w:tcPr>
            <w:tcW w:w="4255" w:type="dxa"/>
            <w:hideMark/>
          </w:tcPr>
          <w:p w:rsidR="00C73CCC" w:rsidRPr="00C73CCC" w:rsidRDefault="00C73CCC" w:rsidP="00C73CCC">
            <w:pPr>
              <w:widowControl w:val="0"/>
              <w:autoSpaceDE w:val="0"/>
              <w:autoSpaceDN w:val="0"/>
              <w:adjustRightInd w:val="0"/>
            </w:pPr>
            <w:r w:rsidRPr="00C73CCC">
              <w:t xml:space="preserve">2009 </w:t>
            </w:r>
          </w:p>
        </w:tc>
        <w:tc>
          <w:tcPr>
            <w:tcW w:w="1276"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0.136</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0.109</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-0.185</w:t>
            </w:r>
          </w:p>
        </w:tc>
        <w:tc>
          <w:tcPr>
            <w:tcW w:w="992"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-0.153</w:t>
            </w:r>
          </w:p>
        </w:tc>
      </w:tr>
      <w:tr w:rsidR="00C73CCC" w:rsidRPr="00C73CCC" w:rsidTr="008D588D">
        <w:trPr>
          <w:jc w:val="center"/>
        </w:trPr>
        <w:tc>
          <w:tcPr>
            <w:tcW w:w="4255" w:type="dxa"/>
          </w:tcPr>
          <w:p w:rsidR="00C73CCC" w:rsidRPr="00C73CCC" w:rsidRDefault="00C73CCC" w:rsidP="00C73CCC">
            <w:pPr>
              <w:widowControl w:val="0"/>
              <w:autoSpaceDE w:val="0"/>
              <w:autoSpaceDN w:val="0"/>
              <w:adjustRightInd w:val="0"/>
            </w:pPr>
          </w:p>
        </w:tc>
        <w:tc>
          <w:tcPr>
            <w:tcW w:w="1276"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(0.22)</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(0.20)</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(0.21)</w:t>
            </w:r>
          </w:p>
        </w:tc>
        <w:tc>
          <w:tcPr>
            <w:tcW w:w="992"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(0.19)</w:t>
            </w:r>
          </w:p>
        </w:tc>
      </w:tr>
      <w:tr w:rsidR="00C73CCC" w:rsidRPr="00C73CCC" w:rsidTr="008D588D">
        <w:trPr>
          <w:jc w:val="center"/>
        </w:trPr>
        <w:tc>
          <w:tcPr>
            <w:tcW w:w="4255" w:type="dxa"/>
          </w:tcPr>
          <w:p w:rsidR="00C73CCC" w:rsidRPr="00C73CCC" w:rsidRDefault="00C73CCC" w:rsidP="00C73CCC">
            <w:pPr>
              <w:widowControl w:val="0"/>
              <w:autoSpaceDE w:val="0"/>
              <w:autoSpaceDN w:val="0"/>
              <w:adjustRightInd w:val="0"/>
            </w:pPr>
            <w:r w:rsidRPr="00C73CCC">
              <w:t>Hunter/Central Coast</w:t>
            </w:r>
          </w:p>
        </w:tc>
        <w:tc>
          <w:tcPr>
            <w:tcW w:w="1276"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3.452</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2.955</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2.448</w:t>
            </w:r>
          </w:p>
        </w:tc>
        <w:tc>
          <w:tcPr>
            <w:tcW w:w="992"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2.103</w:t>
            </w:r>
          </w:p>
        </w:tc>
      </w:tr>
      <w:tr w:rsidR="00C73CCC" w:rsidRPr="00C73CCC" w:rsidTr="008D588D">
        <w:trPr>
          <w:jc w:val="center"/>
        </w:trPr>
        <w:tc>
          <w:tcPr>
            <w:tcW w:w="4255" w:type="dxa"/>
          </w:tcPr>
          <w:p w:rsidR="00C73CCC" w:rsidRPr="00C73CCC" w:rsidRDefault="00C73CCC" w:rsidP="00C73CCC">
            <w:pPr>
              <w:widowControl w:val="0"/>
              <w:autoSpaceDE w:val="0"/>
              <w:autoSpaceDN w:val="0"/>
              <w:adjustRightInd w:val="0"/>
            </w:pPr>
          </w:p>
        </w:tc>
        <w:tc>
          <w:tcPr>
            <w:tcW w:w="1276"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(2.35)**</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(2.07)**</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(1.65)*</w:t>
            </w:r>
          </w:p>
        </w:tc>
        <w:tc>
          <w:tcPr>
            <w:tcW w:w="992"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(1.46)</w:t>
            </w:r>
          </w:p>
        </w:tc>
      </w:tr>
      <w:tr w:rsidR="00C73CCC" w:rsidRPr="00C73CCC" w:rsidTr="008D588D">
        <w:trPr>
          <w:jc w:val="center"/>
        </w:trPr>
        <w:tc>
          <w:tcPr>
            <w:tcW w:w="4255" w:type="dxa"/>
          </w:tcPr>
          <w:p w:rsidR="00C73CCC" w:rsidRPr="00C73CCC" w:rsidRDefault="00C73CCC" w:rsidP="00C73CCC">
            <w:pPr>
              <w:widowControl w:val="0"/>
              <w:autoSpaceDE w:val="0"/>
              <w:autoSpaceDN w:val="0"/>
              <w:adjustRightInd w:val="0"/>
            </w:pPr>
            <w:proofErr w:type="spellStart"/>
            <w:r w:rsidRPr="00C73CCC">
              <w:t>Illawara</w:t>
            </w:r>
            <w:proofErr w:type="spellEnd"/>
            <w:r w:rsidRPr="00C73CCC">
              <w:t xml:space="preserve"> and the South East</w:t>
            </w:r>
          </w:p>
        </w:tc>
        <w:tc>
          <w:tcPr>
            <w:tcW w:w="1276"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3.335</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3.043</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2.377</w:t>
            </w:r>
          </w:p>
        </w:tc>
        <w:tc>
          <w:tcPr>
            <w:tcW w:w="992"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2.169</w:t>
            </w:r>
          </w:p>
        </w:tc>
      </w:tr>
      <w:tr w:rsidR="00C73CCC" w:rsidRPr="00C73CCC" w:rsidTr="008D588D">
        <w:trPr>
          <w:jc w:val="center"/>
        </w:trPr>
        <w:tc>
          <w:tcPr>
            <w:tcW w:w="4255" w:type="dxa"/>
          </w:tcPr>
          <w:p w:rsidR="00C73CCC" w:rsidRPr="00C73CCC" w:rsidRDefault="00C73CCC" w:rsidP="00C73CCC">
            <w:pPr>
              <w:widowControl w:val="0"/>
              <w:autoSpaceDE w:val="0"/>
              <w:autoSpaceDN w:val="0"/>
              <w:adjustRightInd w:val="0"/>
            </w:pPr>
          </w:p>
        </w:tc>
        <w:tc>
          <w:tcPr>
            <w:tcW w:w="1276"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(2.01)**</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(1.92)*</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(1.34)</w:t>
            </w:r>
          </w:p>
        </w:tc>
        <w:tc>
          <w:tcPr>
            <w:tcW w:w="992"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(1.28)</w:t>
            </w:r>
          </w:p>
        </w:tc>
      </w:tr>
      <w:tr w:rsidR="00C73CCC" w:rsidRPr="00C73CCC" w:rsidTr="008D588D">
        <w:trPr>
          <w:jc w:val="center"/>
        </w:trPr>
        <w:tc>
          <w:tcPr>
            <w:tcW w:w="4255" w:type="dxa"/>
          </w:tcPr>
          <w:p w:rsidR="00C73CCC" w:rsidRPr="00C73CCC" w:rsidRDefault="00C73CCC" w:rsidP="00C73CCC">
            <w:pPr>
              <w:widowControl w:val="0"/>
              <w:autoSpaceDE w:val="0"/>
              <w:autoSpaceDN w:val="0"/>
              <w:adjustRightInd w:val="0"/>
            </w:pPr>
            <w:r w:rsidRPr="00C73CCC">
              <w:t>New England</w:t>
            </w:r>
          </w:p>
        </w:tc>
        <w:tc>
          <w:tcPr>
            <w:tcW w:w="1276"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8.772</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8.345</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8.136</w:t>
            </w:r>
          </w:p>
        </w:tc>
        <w:tc>
          <w:tcPr>
            <w:tcW w:w="992"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7.812</w:t>
            </w:r>
          </w:p>
        </w:tc>
      </w:tr>
      <w:tr w:rsidR="00C73CCC" w:rsidRPr="00C73CCC" w:rsidTr="008D588D">
        <w:trPr>
          <w:jc w:val="center"/>
        </w:trPr>
        <w:tc>
          <w:tcPr>
            <w:tcW w:w="4255" w:type="dxa"/>
          </w:tcPr>
          <w:p w:rsidR="00C73CCC" w:rsidRPr="00C73CCC" w:rsidRDefault="00C73CCC" w:rsidP="00C73CCC">
            <w:pPr>
              <w:widowControl w:val="0"/>
              <w:autoSpaceDE w:val="0"/>
              <w:autoSpaceDN w:val="0"/>
              <w:adjustRightInd w:val="0"/>
            </w:pPr>
          </w:p>
        </w:tc>
        <w:tc>
          <w:tcPr>
            <w:tcW w:w="1276"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(3.33)***</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(3.32)***</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(3.00)***</w:t>
            </w:r>
          </w:p>
        </w:tc>
        <w:tc>
          <w:tcPr>
            <w:tcW w:w="992"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(3.02)***</w:t>
            </w:r>
          </w:p>
        </w:tc>
      </w:tr>
      <w:tr w:rsidR="00C73CCC" w:rsidRPr="00C73CCC" w:rsidTr="008D588D">
        <w:trPr>
          <w:jc w:val="center"/>
        </w:trPr>
        <w:tc>
          <w:tcPr>
            <w:tcW w:w="4255" w:type="dxa"/>
          </w:tcPr>
          <w:p w:rsidR="00C73CCC" w:rsidRPr="00C73CCC" w:rsidRDefault="00C73CCC" w:rsidP="00C73CCC">
            <w:pPr>
              <w:widowControl w:val="0"/>
              <w:autoSpaceDE w:val="0"/>
              <w:autoSpaceDN w:val="0"/>
              <w:adjustRightInd w:val="0"/>
            </w:pPr>
            <w:r w:rsidRPr="00C73CCC">
              <w:t>North Coast</w:t>
            </w:r>
          </w:p>
        </w:tc>
        <w:tc>
          <w:tcPr>
            <w:tcW w:w="1276"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5.566</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5.340</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4.874</w:t>
            </w:r>
          </w:p>
        </w:tc>
        <w:tc>
          <w:tcPr>
            <w:tcW w:w="992"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4.672</w:t>
            </w:r>
          </w:p>
        </w:tc>
      </w:tr>
      <w:tr w:rsidR="00C73CCC" w:rsidRPr="00C73CCC" w:rsidTr="008D588D">
        <w:trPr>
          <w:jc w:val="center"/>
        </w:trPr>
        <w:tc>
          <w:tcPr>
            <w:tcW w:w="4255" w:type="dxa"/>
          </w:tcPr>
          <w:p w:rsidR="00C73CCC" w:rsidRPr="00C73CCC" w:rsidRDefault="00C73CCC" w:rsidP="00C73CCC">
            <w:pPr>
              <w:widowControl w:val="0"/>
              <w:autoSpaceDE w:val="0"/>
              <w:autoSpaceDN w:val="0"/>
              <w:adjustRightInd w:val="0"/>
            </w:pPr>
          </w:p>
        </w:tc>
        <w:tc>
          <w:tcPr>
            <w:tcW w:w="1276"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(3.26)***</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(3.27)***</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(2.66)***</w:t>
            </w:r>
          </w:p>
        </w:tc>
        <w:tc>
          <w:tcPr>
            <w:tcW w:w="992"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(2.63)***</w:t>
            </w:r>
          </w:p>
        </w:tc>
      </w:tr>
      <w:tr w:rsidR="00C73CCC" w:rsidRPr="00C73CCC" w:rsidTr="008D588D">
        <w:trPr>
          <w:jc w:val="center"/>
        </w:trPr>
        <w:tc>
          <w:tcPr>
            <w:tcW w:w="4255" w:type="dxa"/>
          </w:tcPr>
          <w:p w:rsidR="00C73CCC" w:rsidRPr="00C73CCC" w:rsidRDefault="00C73CCC" w:rsidP="00C73CCC">
            <w:pPr>
              <w:widowControl w:val="0"/>
              <w:autoSpaceDE w:val="0"/>
              <w:autoSpaceDN w:val="0"/>
              <w:adjustRightInd w:val="0"/>
            </w:pPr>
            <w:r w:rsidRPr="00C73CCC">
              <w:t>Northern Sydney</w:t>
            </w:r>
          </w:p>
        </w:tc>
        <w:tc>
          <w:tcPr>
            <w:tcW w:w="1276"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1.329</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1.008</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2.110</w:t>
            </w:r>
          </w:p>
        </w:tc>
        <w:tc>
          <w:tcPr>
            <w:tcW w:w="992"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1.722</w:t>
            </w:r>
          </w:p>
        </w:tc>
      </w:tr>
      <w:tr w:rsidR="00C73CCC" w:rsidRPr="00C73CCC" w:rsidTr="008D588D">
        <w:trPr>
          <w:jc w:val="center"/>
        </w:trPr>
        <w:tc>
          <w:tcPr>
            <w:tcW w:w="4255" w:type="dxa"/>
          </w:tcPr>
          <w:p w:rsidR="00C73CCC" w:rsidRPr="00C73CCC" w:rsidRDefault="00C73CCC" w:rsidP="00C73CCC">
            <w:pPr>
              <w:widowControl w:val="0"/>
              <w:autoSpaceDE w:val="0"/>
              <w:autoSpaceDN w:val="0"/>
              <w:adjustRightInd w:val="0"/>
            </w:pPr>
          </w:p>
        </w:tc>
        <w:tc>
          <w:tcPr>
            <w:tcW w:w="1276"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(1.01)</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(0.86)</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(1.50)</w:t>
            </w:r>
          </w:p>
        </w:tc>
        <w:tc>
          <w:tcPr>
            <w:tcW w:w="992"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(1.37)</w:t>
            </w:r>
          </w:p>
        </w:tc>
      </w:tr>
      <w:tr w:rsidR="00C73CCC" w:rsidRPr="00C73CCC" w:rsidTr="008D588D">
        <w:trPr>
          <w:jc w:val="center"/>
        </w:trPr>
        <w:tc>
          <w:tcPr>
            <w:tcW w:w="4255" w:type="dxa"/>
          </w:tcPr>
          <w:p w:rsidR="00C73CCC" w:rsidRPr="00C73CCC" w:rsidRDefault="00C73CCC" w:rsidP="00C73CCC">
            <w:pPr>
              <w:widowControl w:val="0"/>
              <w:autoSpaceDE w:val="0"/>
              <w:autoSpaceDN w:val="0"/>
              <w:adjustRightInd w:val="0"/>
            </w:pPr>
            <w:proofErr w:type="spellStart"/>
            <w:r w:rsidRPr="00C73CCC">
              <w:t>Riverina</w:t>
            </w:r>
            <w:proofErr w:type="spellEnd"/>
          </w:p>
        </w:tc>
        <w:tc>
          <w:tcPr>
            <w:tcW w:w="1276"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5.786</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5.079</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5.067</w:t>
            </w:r>
          </w:p>
        </w:tc>
        <w:tc>
          <w:tcPr>
            <w:tcW w:w="992"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4.487</w:t>
            </w:r>
          </w:p>
        </w:tc>
      </w:tr>
      <w:tr w:rsidR="00C73CCC" w:rsidRPr="00C73CCC" w:rsidTr="008D588D">
        <w:trPr>
          <w:jc w:val="center"/>
        </w:trPr>
        <w:tc>
          <w:tcPr>
            <w:tcW w:w="4255" w:type="dxa"/>
          </w:tcPr>
          <w:p w:rsidR="00C73CCC" w:rsidRPr="00C73CCC" w:rsidRDefault="00C73CCC" w:rsidP="00C73CCC">
            <w:pPr>
              <w:widowControl w:val="0"/>
              <w:autoSpaceDE w:val="0"/>
              <w:autoSpaceDN w:val="0"/>
              <w:adjustRightInd w:val="0"/>
            </w:pPr>
          </w:p>
        </w:tc>
        <w:tc>
          <w:tcPr>
            <w:tcW w:w="1276"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(3.13)***</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(2.81)***</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(2.73)***</w:t>
            </w:r>
          </w:p>
        </w:tc>
        <w:tc>
          <w:tcPr>
            <w:tcW w:w="992"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(2.42)**</w:t>
            </w:r>
          </w:p>
        </w:tc>
      </w:tr>
      <w:tr w:rsidR="00C73CCC" w:rsidRPr="00C73CCC" w:rsidTr="008D588D">
        <w:trPr>
          <w:jc w:val="center"/>
        </w:trPr>
        <w:tc>
          <w:tcPr>
            <w:tcW w:w="4255" w:type="dxa"/>
          </w:tcPr>
          <w:p w:rsidR="00C73CCC" w:rsidRPr="00C73CCC" w:rsidRDefault="00C73CCC" w:rsidP="00C73CCC">
            <w:pPr>
              <w:widowControl w:val="0"/>
              <w:autoSpaceDE w:val="0"/>
              <w:autoSpaceDN w:val="0"/>
              <w:adjustRightInd w:val="0"/>
            </w:pPr>
            <w:r w:rsidRPr="00C73CCC">
              <w:t>South Western Sydney</w:t>
            </w:r>
          </w:p>
        </w:tc>
        <w:tc>
          <w:tcPr>
            <w:tcW w:w="1276"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-0.725</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-1.053</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-1.374</w:t>
            </w:r>
          </w:p>
        </w:tc>
        <w:tc>
          <w:tcPr>
            <w:tcW w:w="992"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-1.624</w:t>
            </w:r>
          </w:p>
        </w:tc>
      </w:tr>
      <w:tr w:rsidR="00C73CCC" w:rsidRPr="00C73CCC" w:rsidTr="008D588D">
        <w:trPr>
          <w:jc w:val="center"/>
        </w:trPr>
        <w:tc>
          <w:tcPr>
            <w:tcW w:w="4255" w:type="dxa"/>
          </w:tcPr>
          <w:p w:rsidR="00C73CCC" w:rsidRPr="00C73CCC" w:rsidRDefault="00C73CCC" w:rsidP="00C73CCC">
            <w:pPr>
              <w:widowControl w:val="0"/>
              <w:autoSpaceDE w:val="0"/>
              <w:autoSpaceDN w:val="0"/>
              <w:adjustRightInd w:val="0"/>
            </w:pPr>
          </w:p>
        </w:tc>
        <w:tc>
          <w:tcPr>
            <w:tcW w:w="1276"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(0.52)</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(0.70)</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(0.93)</w:t>
            </w:r>
          </w:p>
        </w:tc>
        <w:tc>
          <w:tcPr>
            <w:tcW w:w="992"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(1.05)</w:t>
            </w:r>
          </w:p>
        </w:tc>
      </w:tr>
      <w:tr w:rsidR="00C73CCC" w:rsidRPr="00C73CCC" w:rsidTr="008D588D">
        <w:trPr>
          <w:jc w:val="center"/>
        </w:trPr>
        <w:tc>
          <w:tcPr>
            <w:tcW w:w="4255" w:type="dxa"/>
          </w:tcPr>
          <w:p w:rsidR="00C73CCC" w:rsidRPr="00C73CCC" w:rsidRDefault="00C73CCC" w:rsidP="00C73CCC">
            <w:pPr>
              <w:widowControl w:val="0"/>
              <w:autoSpaceDE w:val="0"/>
              <w:autoSpaceDN w:val="0"/>
              <w:adjustRightInd w:val="0"/>
            </w:pPr>
            <w:r w:rsidRPr="00C73CCC">
              <w:t>Western New South Wales</w:t>
            </w:r>
          </w:p>
        </w:tc>
        <w:tc>
          <w:tcPr>
            <w:tcW w:w="1276"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4.602</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4.151</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3.749</w:t>
            </w:r>
          </w:p>
        </w:tc>
        <w:tc>
          <w:tcPr>
            <w:tcW w:w="992"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3.533</w:t>
            </w:r>
          </w:p>
        </w:tc>
      </w:tr>
      <w:tr w:rsidR="00C73CCC" w:rsidRPr="00C73CCC" w:rsidTr="008D588D">
        <w:trPr>
          <w:jc w:val="center"/>
        </w:trPr>
        <w:tc>
          <w:tcPr>
            <w:tcW w:w="4255" w:type="dxa"/>
          </w:tcPr>
          <w:p w:rsidR="00C73CCC" w:rsidRPr="00C73CCC" w:rsidRDefault="00C73CCC" w:rsidP="00C73CCC">
            <w:pPr>
              <w:widowControl w:val="0"/>
              <w:autoSpaceDE w:val="0"/>
              <w:autoSpaceDN w:val="0"/>
              <w:adjustRightInd w:val="0"/>
            </w:pPr>
          </w:p>
        </w:tc>
        <w:tc>
          <w:tcPr>
            <w:tcW w:w="1276"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(2.25)**</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(2.18)**</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(1.78)*</w:t>
            </w:r>
          </w:p>
        </w:tc>
        <w:tc>
          <w:tcPr>
            <w:tcW w:w="992"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(1.77)*</w:t>
            </w:r>
          </w:p>
        </w:tc>
      </w:tr>
      <w:tr w:rsidR="00C73CCC" w:rsidRPr="00C73CCC" w:rsidTr="008D588D">
        <w:trPr>
          <w:jc w:val="center"/>
        </w:trPr>
        <w:tc>
          <w:tcPr>
            <w:tcW w:w="4255" w:type="dxa"/>
          </w:tcPr>
          <w:p w:rsidR="00C73CCC" w:rsidRPr="00C73CCC" w:rsidRDefault="00C73CCC" w:rsidP="00C73CCC">
            <w:pPr>
              <w:widowControl w:val="0"/>
              <w:autoSpaceDE w:val="0"/>
              <w:autoSpaceDN w:val="0"/>
              <w:adjustRightInd w:val="0"/>
            </w:pPr>
            <w:r w:rsidRPr="00C73CCC">
              <w:t>Western Sydney</w:t>
            </w:r>
          </w:p>
        </w:tc>
        <w:tc>
          <w:tcPr>
            <w:tcW w:w="1276"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0.569</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0.076</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-0.465</w:t>
            </w:r>
          </w:p>
        </w:tc>
        <w:tc>
          <w:tcPr>
            <w:tcW w:w="992"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-0.855</w:t>
            </w:r>
          </w:p>
        </w:tc>
      </w:tr>
      <w:tr w:rsidR="00C73CCC" w:rsidRPr="00C73CCC" w:rsidTr="008D588D">
        <w:trPr>
          <w:jc w:val="center"/>
        </w:trPr>
        <w:tc>
          <w:tcPr>
            <w:tcW w:w="4255" w:type="dxa"/>
          </w:tcPr>
          <w:p w:rsidR="00C73CCC" w:rsidRPr="00C73CCC" w:rsidRDefault="00C73CCC" w:rsidP="00C73CCC">
            <w:pPr>
              <w:widowControl w:val="0"/>
              <w:autoSpaceDE w:val="0"/>
              <w:autoSpaceDN w:val="0"/>
              <w:adjustRightInd w:val="0"/>
            </w:pPr>
          </w:p>
        </w:tc>
        <w:tc>
          <w:tcPr>
            <w:tcW w:w="1276"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(0.36)</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(0.05)</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(0.31)</w:t>
            </w:r>
          </w:p>
        </w:tc>
        <w:tc>
          <w:tcPr>
            <w:tcW w:w="992" w:type="dxa"/>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(0.55)</w:t>
            </w:r>
          </w:p>
        </w:tc>
      </w:tr>
      <w:tr w:rsidR="00C73CCC" w:rsidRPr="00C73CCC" w:rsidTr="008D588D">
        <w:trPr>
          <w:jc w:val="center"/>
        </w:trPr>
        <w:tc>
          <w:tcPr>
            <w:tcW w:w="4255" w:type="dxa"/>
          </w:tcPr>
          <w:p w:rsidR="00C73CCC" w:rsidRPr="00C73CCC" w:rsidRDefault="00C73CCC" w:rsidP="00C73CCC">
            <w:pPr>
              <w:widowControl w:val="0"/>
              <w:autoSpaceDE w:val="0"/>
              <w:autoSpaceDN w:val="0"/>
              <w:adjustRightInd w:val="0"/>
            </w:pPr>
            <w:r w:rsidRPr="00C73CCC">
              <w:t>Constant</w:t>
            </w:r>
          </w:p>
        </w:tc>
        <w:tc>
          <w:tcPr>
            <w:tcW w:w="1276"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-535.56</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-522.38</w:t>
            </w:r>
          </w:p>
        </w:tc>
        <w:tc>
          <w:tcPr>
            <w:tcW w:w="1134"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-518.47</w:t>
            </w:r>
          </w:p>
        </w:tc>
        <w:tc>
          <w:tcPr>
            <w:tcW w:w="992" w:type="dxa"/>
            <w:hideMark/>
          </w:tcPr>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-497.35</w:t>
            </w:r>
          </w:p>
        </w:tc>
      </w:tr>
      <w:tr w:rsidR="00C73CCC" w:rsidRPr="00C73CCC" w:rsidTr="008D588D">
        <w:trPr>
          <w:jc w:val="center"/>
        </w:trPr>
        <w:tc>
          <w:tcPr>
            <w:tcW w:w="4255" w:type="dxa"/>
            <w:tcBorders>
              <w:bottom w:val="single" w:sz="4" w:space="0" w:color="auto"/>
            </w:tcBorders>
          </w:tcPr>
          <w:p w:rsidR="00C73CCC" w:rsidRPr="00C73CCC" w:rsidRDefault="00C73CCC" w:rsidP="00C73CCC">
            <w:pPr>
              <w:widowControl w:val="0"/>
              <w:autoSpaceDE w:val="0"/>
              <w:autoSpaceDN w:val="0"/>
              <w:adjustRightInd w:val="0"/>
            </w:pPr>
          </w:p>
        </w:tc>
        <w:tc>
          <w:tcPr>
            <w:tcW w:w="1276" w:type="dxa"/>
            <w:tcBorders>
              <w:bottom w:val="single" w:sz="4" w:space="0" w:color="auto"/>
            </w:tcBorders>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(3.39)***</w:t>
            </w:r>
          </w:p>
        </w:tc>
        <w:tc>
          <w:tcPr>
            <w:tcW w:w="1134" w:type="dxa"/>
            <w:tcBorders>
              <w:bottom w:val="single" w:sz="4" w:space="0" w:color="auto"/>
            </w:tcBorders>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(3.59)***</w:t>
            </w:r>
          </w:p>
        </w:tc>
        <w:tc>
          <w:tcPr>
            <w:tcW w:w="1134" w:type="dxa"/>
            <w:tcBorders>
              <w:bottom w:val="single" w:sz="4" w:space="0" w:color="auto"/>
            </w:tcBorders>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(2.68)***</w:t>
            </w:r>
          </w:p>
        </w:tc>
        <w:tc>
          <w:tcPr>
            <w:tcW w:w="992" w:type="dxa"/>
            <w:tcBorders>
              <w:bottom w:val="single" w:sz="4" w:space="0" w:color="auto"/>
            </w:tcBorders>
            <w:hideMark/>
          </w:tcPr>
          <w:p w:rsidR="00C73CCC" w:rsidRPr="00C73CCC" w:rsidRDefault="00C73CCC" w:rsidP="00C73CCC">
            <w:pPr>
              <w:widowControl w:val="0"/>
              <w:tabs>
                <w:tab w:val="decimal" w:pos="811"/>
              </w:tabs>
              <w:autoSpaceDE w:val="0"/>
              <w:autoSpaceDN w:val="0"/>
              <w:adjustRightInd w:val="0"/>
              <w:jc w:val="center"/>
              <w:rPr>
                <w:sz w:val="20"/>
                <w:szCs w:val="20"/>
              </w:rPr>
            </w:pPr>
            <w:r w:rsidRPr="00C73CCC">
              <w:rPr>
                <w:sz w:val="20"/>
                <w:szCs w:val="20"/>
              </w:rPr>
              <w:t>(2.73)***</w:t>
            </w:r>
          </w:p>
        </w:tc>
      </w:tr>
      <w:tr w:rsidR="00C73CCC" w:rsidRPr="00C73CCC" w:rsidTr="008D588D">
        <w:trPr>
          <w:trHeight w:val="2627"/>
          <w:jc w:val="center"/>
        </w:trPr>
        <w:tc>
          <w:tcPr>
            <w:tcW w:w="4255" w:type="dxa"/>
            <w:tcBorders>
              <w:top w:val="single" w:sz="4" w:space="0" w:color="auto"/>
              <w:bottom w:val="single" w:sz="4" w:space="0" w:color="auto"/>
            </w:tcBorders>
          </w:tcPr>
          <w:p w:rsidR="00C73CCC" w:rsidRPr="00C73CCC" w:rsidRDefault="00C73CCC" w:rsidP="00C73CCC">
            <w:pPr>
              <w:widowControl w:val="0"/>
              <w:autoSpaceDE w:val="0"/>
              <w:autoSpaceDN w:val="0"/>
              <w:adjustRightInd w:val="0"/>
              <w:rPr>
                <w:iCs/>
                <w:sz w:val="22"/>
                <w:szCs w:val="22"/>
              </w:rPr>
            </w:pPr>
          </w:p>
          <w:p w:rsidR="00C73CCC" w:rsidRPr="00C73CCC" w:rsidRDefault="00C73CCC" w:rsidP="00C73CCC">
            <w:pPr>
              <w:widowControl w:val="0"/>
              <w:autoSpaceDE w:val="0"/>
              <w:autoSpaceDN w:val="0"/>
              <w:adjustRightInd w:val="0"/>
              <w:rPr>
                <w:iCs/>
                <w:sz w:val="22"/>
                <w:szCs w:val="22"/>
              </w:rPr>
            </w:pPr>
            <w:r w:rsidRPr="00C73CCC">
              <w:rPr>
                <w:iCs/>
                <w:sz w:val="22"/>
                <w:szCs w:val="22"/>
              </w:rPr>
              <w:t>Observations</w:t>
            </w:r>
          </w:p>
          <w:p w:rsidR="00C73CCC" w:rsidRPr="00C73CCC" w:rsidRDefault="00C73CCC" w:rsidP="00C73CCC">
            <w:pPr>
              <w:widowControl w:val="0"/>
              <w:autoSpaceDE w:val="0"/>
              <w:autoSpaceDN w:val="0"/>
              <w:adjustRightInd w:val="0"/>
              <w:rPr>
                <w:iCs/>
                <w:sz w:val="22"/>
                <w:szCs w:val="22"/>
              </w:rPr>
            </w:pPr>
            <w:r w:rsidRPr="00C73CCC">
              <w:rPr>
                <w:iCs/>
                <w:sz w:val="22"/>
                <w:szCs w:val="22"/>
              </w:rPr>
              <w:t>Number of schools</w:t>
            </w:r>
          </w:p>
          <w:p w:rsidR="00C73CCC" w:rsidRPr="00C73CCC" w:rsidRDefault="00C73CCC" w:rsidP="00C73CCC">
            <w:pPr>
              <w:widowControl w:val="0"/>
              <w:autoSpaceDE w:val="0"/>
              <w:autoSpaceDN w:val="0"/>
              <w:adjustRightInd w:val="0"/>
              <w:rPr>
                <w:iCs/>
                <w:sz w:val="22"/>
                <w:szCs w:val="22"/>
              </w:rPr>
            </w:pPr>
            <w:r w:rsidRPr="00C73CCC">
              <w:rPr>
                <w:iCs/>
                <w:sz w:val="22"/>
                <w:szCs w:val="22"/>
              </w:rPr>
              <w:t>Number of instruments</w:t>
            </w:r>
          </w:p>
          <w:p w:rsidR="00C73CCC" w:rsidRPr="00C73CCC" w:rsidRDefault="00C73CCC" w:rsidP="00C73CCC">
            <w:pPr>
              <w:widowControl w:val="0"/>
              <w:autoSpaceDE w:val="0"/>
              <w:autoSpaceDN w:val="0"/>
              <w:adjustRightInd w:val="0"/>
              <w:rPr>
                <w:iCs/>
                <w:sz w:val="22"/>
                <w:szCs w:val="22"/>
              </w:rPr>
            </w:pPr>
            <w:r w:rsidRPr="00C73CCC">
              <w:rPr>
                <w:iCs/>
                <w:sz w:val="22"/>
                <w:szCs w:val="22"/>
              </w:rPr>
              <w:t>Wald</w:t>
            </w:r>
          </w:p>
          <w:p w:rsidR="00C73CCC" w:rsidRPr="00C73CCC" w:rsidRDefault="00C73CCC" w:rsidP="00C73CCC">
            <w:pPr>
              <w:widowControl w:val="0"/>
              <w:autoSpaceDE w:val="0"/>
              <w:autoSpaceDN w:val="0"/>
              <w:adjustRightInd w:val="0"/>
              <w:rPr>
                <w:iCs/>
                <w:sz w:val="22"/>
                <w:szCs w:val="22"/>
              </w:rPr>
            </w:pPr>
            <w:r w:rsidRPr="00C73CCC">
              <w:rPr>
                <w:iCs/>
                <w:sz w:val="22"/>
                <w:szCs w:val="22"/>
              </w:rPr>
              <w:t>AR(1), No serial corr. in 1</w:t>
            </w:r>
            <w:r w:rsidRPr="00C73CCC">
              <w:rPr>
                <w:iCs/>
                <w:sz w:val="22"/>
                <w:szCs w:val="22"/>
                <w:vertAlign w:val="superscript"/>
              </w:rPr>
              <w:t>st</w:t>
            </w:r>
            <w:r w:rsidRPr="00C73CCC">
              <w:rPr>
                <w:iCs/>
                <w:sz w:val="22"/>
                <w:szCs w:val="22"/>
              </w:rPr>
              <w:t xml:space="preserve"> differences</w:t>
            </w:r>
          </w:p>
          <w:p w:rsidR="00C73CCC" w:rsidRPr="00C73CCC" w:rsidRDefault="00C73CCC" w:rsidP="00C73CCC">
            <w:pPr>
              <w:widowControl w:val="0"/>
              <w:autoSpaceDE w:val="0"/>
              <w:autoSpaceDN w:val="0"/>
              <w:adjustRightInd w:val="0"/>
              <w:rPr>
                <w:iCs/>
                <w:sz w:val="22"/>
                <w:szCs w:val="22"/>
              </w:rPr>
            </w:pPr>
            <w:r w:rsidRPr="00C73CCC">
              <w:rPr>
                <w:iCs/>
                <w:sz w:val="22"/>
                <w:szCs w:val="22"/>
              </w:rPr>
              <w:t>AR(2), No serial corr. in 2</w:t>
            </w:r>
            <w:r w:rsidRPr="00C73CCC">
              <w:rPr>
                <w:iCs/>
                <w:sz w:val="22"/>
                <w:szCs w:val="22"/>
                <w:vertAlign w:val="superscript"/>
              </w:rPr>
              <w:t>nd</w:t>
            </w:r>
            <w:r w:rsidRPr="00C73CCC">
              <w:rPr>
                <w:iCs/>
                <w:sz w:val="22"/>
                <w:szCs w:val="22"/>
              </w:rPr>
              <w:t xml:space="preserve"> differences</w:t>
            </w:r>
          </w:p>
          <w:p w:rsidR="00C73CCC" w:rsidRPr="00C73CCC" w:rsidRDefault="00C73CCC" w:rsidP="00C73CCC">
            <w:pPr>
              <w:widowControl w:val="0"/>
              <w:autoSpaceDE w:val="0"/>
              <w:autoSpaceDN w:val="0"/>
              <w:adjustRightInd w:val="0"/>
              <w:rPr>
                <w:iCs/>
                <w:sz w:val="22"/>
                <w:szCs w:val="22"/>
              </w:rPr>
            </w:pPr>
            <w:proofErr w:type="spellStart"/>
            <w:r w:rsidRPr="00C73CCC">
              <w:rPr>
                <w:iCs/>
                <w:sz w:val="22"/>
                <w:szCs w:val="22"/>
              </w:rPr>
              <w:t>Sargan</w:t>
            </w:r>
            <w:proofErr w:type="spellEnd"/>
            <w:r w:rsidRPr="00C73CCC">
              <w:rPr>
                <w:iCs/>
                <w:sz w:val="22"/>
                <w:szCs w:val="22"/>
              </w:rPr>
              <w:t xml:space="preserve"> test for instrument validity</w:t>
            </w:r>
          </w:p>
          <w:p w:rsidR="00C73CCC" w:rsidRPr="00C73CCC" w:rsidRDefault="00C73CCC" w:rsidP="00C73CCC">
            <w:pPr>
              <w:widowControl w:val="0"/>
              <w:autoSpaceDE w:val="0"/>
              <w:autoSpaceDN w:val="0"/>
              <w:adjustRightInd w:val="0"/>
              <w:rPr>
                <w:iCs/>
                <w:sz w:val="22"/>
                <w:szCs w:val="22"/>
              </w:rPr>
            </w:pPr>
            <w:r w:rsidRPr="00C73CCC">
              <w:rPr>
                <w:iCs/>
                <w:sz w:val="22"/>
                <w:szCs w:val="22"/>
              </w:rPr>
              <w:t>Hansen (robust) test for instrument validity</w:t>
            </w:r>
          </w:p>
        </w:tc>
        <w:tc>
          <w:tcPr>
            <w:tcW w:w="1276" w:type="dxa"/>
            <w:tcBorders>
              <w:top w:val="single" w:sz="4" w:space="0" w:color="auto"/>
              <w:bottom w:val="single" w:sz="4" w:space="0" w:color="auto"/>
            </w:tcBorders>
          </w:tcPr>
          <w:p w:rsidR="00C73CCC" w:rsidRPr="00C73CCC" w:rsidRDefault="00C73CCC" w:rsidP="00C73CCC">
            <w:pPr>
              <w:widowControl w:val="0"/>
              <w:tabs>
                <w:tab w:val="decimal" w:pos="811"/>
              </w:tabs>
              <w:autoSpaceDE w:val="0"/>
              <w:autoSpaceDN w:val="0"/>
              <w:adjustRightInd w:val="0"/>
              <w:jc w:val="center"/>
              <w:rPr>
                <w:sz w:val="22"/>
                <w:szCs w:val="22"/>
              </w:rPr>
            </w:pPr>
          </w:p>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1,701</w:t>
            </w:r>
          </w:p>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348</w:t>
            </w:r>
          </w:p>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54</w:t>
            </w:r>
          </w:p>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p=0.000</w:t>
            </w:r>
          </w:p>
          <w:p w:rsidR="00C73CCC" w:rsidRPr="00C73CCC" w:rsidRDefault="00C73CCC" w:rsidP="00C73CCC">
            <w:pPr>
              <w:widowControl w:val="0"/>
              <w:tabs>
                <w:tab w:val="decimal" w:pos="811"/>
              </w:tabs>
              <w:autoSpaceDE w:val="0"/>
              <w:autoSpaceDN w:val="0"/>
              <w:adjustRightInd w:val="0"/>
              <w:rPr>
                <w:sz w:val="22"/>
                <w:szCs w:val="22"/>
              </w:rPr>
            </w:pPr>
            <w:r w:rsidRPr="00C73CCC">
              <w:rPr>
                <w:sz w:val="22"/>
                <w:szCs w:val="22"/>
              </w:rPr>
              <w:t>p=0.000</w:t>
            </w:r>
          </w:p>
          <w:p w:rsidR="00C73CCC" w:rsidRPr="00C73CCC" w:rsidRDefault="00C73CCC" w:rsidP="00C73CCC">
            <w:pPr>
              <w:widowControl w:val="0"/>
              <w:tabs>
                <w:tab w:val="decimal" w:pos="811"/>
              </w:tabs>
              <w:autoSpaceDE w:val="0"/>
              <w:autoSpaceDN w:val="0"/>
              <w:adjustRightInd w:val="0"/>
              <w:rPr>
                <w:sz w:val="22"/>
                <w:szCs w:val="22"/>
              </w:rPr>
            </w:pPr>
            <w:r w:rsidRPr="00C73CCC">
              <w:rPr>
                <w:sz w:val="22"/>
                <w:szCs w:val="22"/>
              </w:rPr>
              <w:t>p=0.839</w:t>
            </w:r>
          </w:p>
          <w:p w:rsidR="00C73CCC" w:rsidRPr="00C73CCC" w:rsidRDefault="00C73CCC" w:rsidP="00C73CCC">
            <w:pPr>
              <w:widowControl w:val="0"/>
              <w:tabs>
                <w:tab w:val="decimal" w:pos="811"/>
              </w:tabs>
              <w:autoSpaceDE w:val="0"/>
              <w:autoSpaceDN w:val="0"/>
              <w:adjustRightInd w:val="0"/>
              <w:rPr>
                <w:sz w:val="22"/>
                <w:szCs w:val="22"/>
              </w:rPr>
            </w:pPr>
            <w:r w:rsidRPr="00C73CCC">
              <w:rPr>
                <w:sz w:val="22"/>
                <w:szCs w:val="22"/>
              </w:rPr>
              <w:t>p=0.156</w:t>
            </w:r>
          </w:p>
          <w:p w:rsidR="00C73CCC" w:rsidRPr="00C73CCC" w:rsidRDefault="00C73CCC" w:rsidP="00C73CCC">
            <w:pPr>
              <w:widowControl w:val="0"/>
              <w:tabs>
                <w:tab w:val="decimal" w:pos="811"/>
              </w:tabs>
              <w:autoSpaceDE w:val="0"/>
              <w:autoSpaceDN w:val="0"/>
              <w:adjustRightInd w:val="0"/>
              <w:rPr>
                <w:sz w:val="22"/>
                <w:szCs w:val="22"/>
              </w:rPr>
            </w:pPr>
            <w:r w:rsidRPr="00C73CCC">
              <w:rPr>
                <w:sz w:val="22"/>
                <w:szCs w:val="22"/>
              </w:rPr>
              <w:t>p=0.747</w:t>
            </w:r>
          </w:p>
        </w:tc>
        <w:tc>
          <w:tcPr>
            <w:tcW w:w="1134" w:type="dxa"/>
            <w:tcBorders>
              <w:top w:val="single" w:sz="4" w:space="0" w:color="auto"/>
              <w:bottom w:val="single" w:sz="4" w:space="0" w:color="auto"/>
            </w:tcBorders>
          </w:tcPr>
          <w:p w:rsidR="00C73CCC" w:rsidRPr="00C73CCC" w:rsidRDefault="00C73CCC" w:rsidP="00C73CCC">
            <w:pPr>
              <w:widowControl w:val="0"/>
              <w:tabs>
                <w:tab w:val="decimal" w:pos="811"/>
              </w:tabs>
              <w:autoSpaceDE w:val="0"/>
              <w:autoSpaceDN w:val="0"/>
              <w:adjustRightInd w:val="0"/>
              <w:jc w:val="center"/>
              <w:rPr>
                <w:sz w:val="22"/>
                <w:szCs w:val="22"/>
              </w:rPr>
            </w:pPr>
          </w:p>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1,701</w:t>
            </w:r>
          </w:p>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348</w:t>
            </w:r>
          </w:p>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49</w:t>
            </w:r>
          </w:p>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p=0.000</w:t>
            </w:r>
          </w:p>
          <w:p w:rsidR="00C73CCC" w:rsidRPr="00C73CCC" w:rsidRDefault="00C73CCC" w:rsidP="00C73CCC">
            <w:pPr>
              <w:widowControl w:val="0"/>
              <w:tabs>
                <w:tab w:val="decimal" w:pos="811"/>
              </w:tabs>
              <w:autoSpaceDE w:val="0"/>
              <w:autoSpaceDN w:val="0"/>
              <w:adjustRightInd w:val="0"/>
              <w:rPr>
                <w:sz w:val="22"/>
                <w:szCs w:val="22"/>
              </w:rPr>
            </w:pPr>
            <w:r w:rsidRPr="00C73CCC">
              <w:rPr>
                <w:sz w:val="22"/>
                <w:szCs w:val="22"/>
              </w:rPr>
              <w:t>p=0.000</w:t>
            </w:r>
          </w:p>
          <w:p w:rsidR="00C73CCC" w:rsidRPr="00C73CCC" w:rsidRDefault="00C73CCC" w:rsidP="00C73CCC">
            <w:pPr>
              <w:widowControl w:val="0"/>
              <w:tabs>
                <w:tab w:val="decimal" w:pos="811"/>
              </w:tabs>
              <w:autoSpaceDE w:val="0"/>
              <w:autoSpaceDN w:val="0"/>
              <w:adjustRightInd w:val="0"/>
              <w:rPr>
                <w:sz w:val="22"/>
                <w:szCs w:val="22"/>
              </w:rPr>
            </w:pPr>
            <w:r w:rsidRPr="00C73CCC">
              <w:rPr>
                <w:sz w:val="22"/>
                <w:szCs w:val="22"/>
              </w:rPr>
              <w:t>p=0.799</w:t>
            </w:r>
          </w:p>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p=0.201</w:t>
            </w:r>
          </w:p>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p=0.822</w:t>
            </w:r>
          </w:p>
          <w:p w:rsidR="00C73CCC" w:rsidRPr="00C73CCC" w:rsidRDefault="00C73CCC" w:rsidP="00C73CCC">
            <w:pPr>
              <w:widowControl w:val="0"/>
              <w:tabs>
                <w:tab w:val="decimal" w:pos="811"/>
              </w:tabs>
              <w:autoSpaceDE w:val="0"/>
              <w:autoSpaceDN w:val="0"/>
              <w:adjustRightInd w:val="0"/>
              <w:rPr>
                <w:sz w:val="22"/>
                <w:szCs w:val="22"/>
              </w:rPr>
            </w:pPr>
          </w:p>
        </w:tc>
        <w:tc>
          <w:tcPr>
            <w:tcW w:w="1134" w:type="dxa"/>
            <w:tcBorders>
              <w:top w:val="single" w:sz="4" w:space="0" w:color="auto"/>
              <w:bottom w:val="single" w:sz="4" w:space="0" w:color="auto"/>
            </w:tcBorders>
          </w:tcPr>
          <w:p w:rsidR="00C73CCC" w:rsidRPr="00C73CCC" w:rsidRDefault="00C73CCC" w:rsidP="00C73CCC">
            <w:pPr>
              <w:widowControl w:val="0"/>
              <w:tabs>
                <w:tab w:val="decimal" w:pos="811"/>
              </w:tabs>
              <w:autoSpaceDE w:val="0"/>
              <w:autoSpaceDN w:val="0"/>
              <w:adjustRightInd w:val="0"/>
              <w:jc w:val="center"/>
              <w:rPr>
                <w:sz w:val="22"/>
                <w:szCs w:val="22"/>
              </w:rPr>
            </w:pPr>
          </w:p>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1,711</w:t>
            </w:r>
          </w:p>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350</w:t>
            </w:r>
          </w:p>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54</w:t>
            </w:r>
          </w:p>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p=0.000</w:t>
            </w:r>
          </w:p>
          <w:p w:rsidR="00C73CCC" w:rsidRPr="00C73CCC" w:rsidRDefault="00C73CCC" w:rsidP="00C73CCC">
            <w:pPr>
              <w:widowControl w:val="0"/>
              <w:tabs>
                <w:tab w:val="decimal" w:pos="811"/>
              </w:tabs>
              <w:autoSpaceDE w:val="0"/>
              <w:autoSpaceDN w:val="0"/>
              <w:adjustRightInd w:val="0"/>
              <w:rPr>
                <w:sz w:val="22"/>
                <w:szCs w:val="22"/>
              </w:rPr>
            </w:pPr>
            <w:r w:rsidRPr="00C73CCC">
              <w:rPr>
                <w:sz w:val="22"/>
                <w:szCs w:val="22"/>
              </w:rPr>
              <w:t>p=0.000</w:t>
            </w:r>
          </w:p>
          <w:p w:rsidR="00C73CCC" w:rsidRPr="00C73CCC" w:rsidRDefault="00C73CCC" w:rsidP="00C73CCC">
            <w:pPr>
              <w:widowControl w:val="0"/>
              <w:tabs>
                <w:tab w:val="decimal" w:pos="811"/>
              </w:tabs>
              <w:autoSpaceDE w:val="0"/>
              <w:autoSpaceDN w:val="0"/>
              <w:adjustRightInd w:val="0"/>
              <w:rPr>
                <w:sz w:val="22"/>
                <w:szCs w:val="22"/>
              </w:rPr>
            </w:pPr>
            <w:r w:rsidRPr="00C73CCC">
              <w:rPr>
                <w:sz w:val="22"/>
                <w:szCs w:val="22"/>
              </w:rPr>
              <w:t>p=0.388</w:t>
            </w:r>
          </w:p>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p=0.084</w:t>
            </w:r>
          </w:p>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p=0.765</w:t>
            </w:r>
          </w:p>
          <w:p w:rsidR="00C73CCC" w:rsidRPr="00C73CCC" w:rsidRDefault="00C73CCC" w:rsidP="00C73CCC">
            <w:pPr>
              <w:widowControl w:val="0"/>
              <w:tabs>
                <w:tab w:val="decimal" w:pos="811"/>
              </w:tabs>
              <w:autoSpaceDE w:val="0"/>
              <w:autoSpaceDN w:val="0"/>
              <w:adjustRightInd w:val="0"/>
              <w:jc w:val="center"/>
              <w:rPr>
                <w:sz w:val="22"/>
                <w:szCs w:val="22"/>
              </w:rPr>
            </w:pPr>
          </w:p>
        </w:tc>
        <w:tc>
          <w:tcPr>
            <w:tcW w:w="992" w:type="dxa"/>
            <w:tcBorders>
              <w:top w:val="single" w:sz="4" w:space="0" w:color="auto"/>
              <w:bottom w:val="single" w:sz="4" w:space="0" w:color="auto"/>
            </w:tcBorders>
          </w:tcPr>
          <w:p w:rsidR="00C73CCC" w:rsidRPr="00C73CCC" w:rsidRDefault="00C73CCC" w:rsidP="00C73CCC">
            <w:pPr>
              <w:widowControl w:val="0"/>
              <w:tabs>
                <w:tab w:val="decimal" w:pos="811"/>
              </w:tabs>
              <w:autoSpaceDE w:val="0"/>
              <w:autoSpaceDN w:val="0"/>
              <w:adjustRightInd w:val="0"/>
              <w:jc w:val="center"/>
              <w:rPr>
                <w:sz w:val="22"/>
                <w:szCs w:val="22"/>
              </w:rPr>
            </w:pPr>
          </w:p>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1,711</w:t>
            </w:r>
          </w:p>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350</w:t>
            </w:r>
          </w:p>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49</w:t>
            </w:r>
          </w:p>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p=0.000</w:t>
            </w:r>
          </w:p>
          <w:p w:rsidR="00C73CCC" w:rsidRPr="00C73CCC" w:rsidRDefault="00C73CCC" w:rsidP="00C73CCC">
            <w:pPr>
              <w:widowControl w:val="0"/>
              <w:tabs>
                <w:tab w:val="decimal" w:pos="811"/>
              </w:tabs>
              <w:autoSpaceDE w:val="0"/>
              <w:autoSpaceDN w:val="0"/>
              <w:adjustRightInd w:val="0"/>
              <w:rPr>
                <w:sz w:val="22"/>
                <w:szCs w:val="22"/>
              </w:rPr>
            </w:pPr>
            <w:r w:rsidRPr="00C73CCC">
              <w:rPr>
                <w:sz w:val="22"/>
                <w:szCs w:val="22"/>
              </w:rPr>
              <w:t>p=0.000</w:t>
            </w:r>
          </w:p>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p=0.364</w:t>
            </w:r>
          </w:p>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p=0.095</w:t>
            </w:r>
          </w:p>
          <w:p w:rsidR="00C73CCC" w:rsidRPr="00C73CCC" w:rsidRDefault="00C73CCC" w:rsidP="00C73CCC">
            <w:pPr>
              <w:widowControl w:val="0"/>
              <w:tabs>
                <w:tab w:val="decimal" w:pos="811"/>
              </w:tabs>
              <w:autoSpaceDE w:val="0"/>
              <w:autoSpaceDN w:val="0"/>
              <w:adjustRightInd w:val="0"/>
              <w:jc w:val="center"/>
              <w:rPr>
                <w:sz w:val="22"/>
                <w:szCs w:val="22"/>
              </w:rPr>
            </w:pPr>
            <w:r w:rsidRPr="00C73CCC">
              <w:rPr>
                <w:sz w:val="22"/>
                <w:szCs w:val="22"/>
              </w:rPr>
              <w:t>p=0.822</w:t>
            </w:r>
          </w:p>
          <w:p w:rsidR="00C73CCC" w:rsidRPr="00C73CCC" w:rsidRDefault="00C73CCC" w:rsidP="00C73CCC">
            <w:pPr>
              <w:widowControl w:val="0"/>
              <w:tabs>
                <w:tab w:val="decimal" w:pos="811"/>
              </w:tabs>
              <w:autoSpaceDE w:val="0"/>
              <w:autoSpaceDN w:val="0"/>
              <w:adjustRightInd w:val="0"/>
              <w:jc w:val="center"/>
              <w:rPr>
                <w:sz w:val="22"/>
                <w:szCs w:val="22"/>
              </w:rPr>
            </w:pPr>
          </w:p>
        </w:tc>
      </w:tr>
    </w:tbl>
    <w:p w:rsidR="00C73CCC" w:rsidRPr="00C73CCC" w:rsidRDefault="00C73CCC" w:rsidP="00C73CCC">
      <w:pPr>
        <w:widowControl w:val="0"/>
        <w:pBdr>
          <w:bottom w:val="single" w:sz="4" w:space="1" w:color="auto"/>
        </w:pBdr>
        <w:autoSpaceDE w:val="0"/>
        <w:autoSpaceDN w:val="0"/>
        <w:adjustRightInd w:val="0"/>
        <w:spacing w:before="79" w:after="79"/>
        <w:rPr>
          <w:sz w:val="19"/>
          <w:szCs w:val="19"/>
        </w:rPr>
      </w:pPr>
      <w:proofErr w:type="gramStart"/>
      <w:r w:rsidRPr="00C73CCC">
        <w:rPr>
          <w:sz w:val="19"/>
          <w:szCs w:val="19"/>
        </w:rPr>
        <w:t>t-statistics</w:t>
      </w:r>
      <w:proofErr w:type="gramEnd"/>
      <w:r w:rsidRPr="00C73CCC">
        <w:rPr>
          <w:sz w:val="19"/>
          <w:szCs w:val="19"/>
        </w:rPr>
        <w:t xml:space="preserve"> from cluster- robust standard errors in parentheses</w:t>
      </w:r>
    </w:p>
    <w:p w:rsidR="00C73CCC" w:rsidRPr="00C73CCC" w:rsidRDefault="00C73CCC" w:rsidP="00C73CCC">
      <w:pPr>
        <w:widowControl w:val="0"/>
        <w:pBdr>
          <w:bottom w:val="single" w:sz="4" w:space="1" w:color="auto"/>
        </w:pBdr>
        <w:autoSpaceDE w:val="0"/>
        <w:autoSpaceDN w:val="0"/>
        <w:adjustRightInd w:val="0"/>
        <w:spacing w:before="79" w:after="79"/>
        <w:rPr>
          <w:sz w:val="19"/>
          <w:szCs w:val="19"/>
        </w:rPr>
      </w:pPr>
      <w:r w:rsidRPr="00C73CCC">
        <w:rPr>
          <w:sz w:val="19"/>
          <w:szCs w:val="19"/>
        </w:rPr>
        <w:t xml:space="preserve">* </w:t>
      </w:r>
      <w:r w:rsidRPr="00C73CCC">
        <w:rPr>
          <w:i/>
          <w:iCs/>
          <w:sz w:val="19"/>
          <w:szCs w:val="19"/>
        </w:rPr>
        <w:t>p</w:t>
      </w:r>
      <w:r w:rsidRPr="00C73CCC">
        <w:rPr>
          <w:sz w:val="19"/>
          <w:szCs w:val="19"/>
        </w:rPr>
        <w:t xml:space="preserve">&lt;0.1; ** </w:t>
      </w:r>
      <w:r w:rsidRPr="00C73CCC">
        <w:rPr>
          <w:i/>
          <w:iCs/>
          <w:sz w:val="19"/>
          <w:szCs w:val="19"/>
        </w:rPr>
        <w:t>p</w:t>
      </w:r>
      <w:r w:rsidRPr="00C73CCC">
        <w:rPr>
          <w:sz w:val="19"/>
          <w:szCs w:val="19"/>
        </w:rPr>
        <w:t xml:space="preserve">&lt;0.05; *** </w:t>
      </w:r>
      <w:r w:rsidRPr="00C73CCC">
        <w:rPr>
          <w:i/>
          <w:iCs/>
          <w:sz w:val="19"/>
          <w:szCs w:val="19"/>
        </w:rPr>
        <w:t>p</w:t>
      </w:r>
      <w:r w:rsidRPr="00C73CCC">
        <w:rPr>
          <w:sz w:val="19"/>
          <w:szCs w:val="19"/>
        </w:rPr>
        <w:t>&lt;0.01</w:t>
      </w:r>
    </w:p>
    <w:p w:rsidR="00C73CCC" w:rsidRPr="00C73CCC" w:rsidRDefault="00C73CCC" w:rsidP="00C73CCC">
      <w:pPr>
        <w:widowControl w:val="0"/>
        <w:autoSpaceDE w:val="0"/>
        <w:autoSpaceDN w:val="0"/>
        <w:adjustRightInd w:val="0"/>
      </w:pPr>
    </w:p>
    <w:p w:rsidR="00EC650A" w:rsidRDefault="00EC650A" w:rsidP="00945E28">
      <w:pPr>
        <w:rPr>
          <w:b/>
          <w:i/>
        </w:rPr>
      </w:pPr>
    </w:p>
    <w:p w:rsidR="00EC650A" w:rsidRDefault="00EC650A" w:rsidP="00945E28">
      <w:pPr>
        <w:rPr>
          <w:b/>
          <w:i/>
        </w:rPr>
      </w:pPr>
    </w:p>
    <w:p w:rsidR="00F343DC" w:rsidRDefault="009066CD" w:rsidP="00E00818">
      <w:pPr>
        <w:spacing w:line="480" w:lineRule="auto"/>
        <w:jc w:val="both"/>
      </w:pPr>
      <w:r>
        <w:t>The effect of</w:t>
      </w:r>
      <w:r w:rsidR="00E00818">
        <w:t xml:space="preserve"> real school expenditure per </w:t>
      </w:r>
      <w:r w:rsidR="001E459C">
        <w:t>student</w:t>
      </w:r>
      <w:r w:rsidR="00E00818">
        <w:t xml:space="preserve"> is estimated to be that a one per</w:t>
      </w:r>
      <w:r w:rsidR="00F30074">
        <w:t xml:space="preserve"> </w:t>
      </w:r>
      <w:r w:rsidR="00E00818">
        <w:t xml:space="preserve">cent change in spending per </w:t>
      </w:r>
      <w:r w:rsidR="001E459C">
        <w:t>student</w:t>
      </w:r>
      <w:r w:rsidR="00E00818">
        <w:t xml:space="preserve"> </w:t>
      </w:r>
      <w:r>
        <w:t xml:space="preserve">(approximately an increase in spending </w:t>
      </w:r>
      <w:r w:rsidR="00992C7A">
        <w:t xml:space="preserve">of </w:t>
      </w:r>
      <w:r>
        <w:t xml:space="preserve">$110 in this </w:t>
      </w:r>
      <w:r w:rsidRPr="00C90C3A">
        <w:t xml:space="preserve">period) </w:t>
      </w:r>
      <w:r w:rsidR="00E00818" w:rsidRPr="00C90C3A">
        <w:t>leads to an increase in the median ATAR score of 0.42 percent</w:t>
      </w:r>
      <w:r w:rsidRPr="00C90C3A">
        <w:t>age points</w:t>
      </w:r>
      <w:r w:rsidR="00E00818" w:rsidRPr="00C90C3A">
        <w:t>.</w:t>
      </w:r>
      <w:r w:rsidR="00E00818">
        <w:t xml:space="preserve"> </w:t>
      </w:r>
    </w:p>
    <w:p w:rsidR="007C4118" w:rsidRDefault="007C4118" w:rsidP="007C4118">
      <w:pPr>
        <w:spacing w:line="480" w:lineRule="auto"/>
        <w:jc w:val="both"/>
        <w:rPr>
          <w:highlight w:val="yellow"/>
        </w:rPr>
      </w:pPr>
    </w:p>
    <w:p w:rsidR="007C4118" w:rsidRPr="000116A4" w:rsidRDefault="007C4118" w:rsidP="007C4118">
      <w:pPr>
        <w:spacing w:line="480" w:lineRule="auto"/>
        <w:jc w:val="both"/>
      </w:pPr>
      <w:r w:rsidRPr="000116A4">
        <w:t xml:space="preserve">This study has argued for the importance of regarding school performance as the outcome of a dynamic process and that ignoring this may lead to biased estimators. </w:t>
      </w:r>
      <w:r w:rsidR="00091DB7" w:rsidRPr="000116A4">
        <w:t>Moreover</w:t>
      </w:r>
      <w:r w:rsidRPr="000116A4">
        <w:t xml:space="preserve">, for dynamic panel modelling the </w:t>
      </w:r>
      <w:r w:rsidR="00091DB7" w:rsidRPr="000116A4">
        <w:t xml:space="preserve">available performance </w:t>
      </w:r>
      <w:r w:rsidRPr="000116A4">
        <w:t>data</w:t>
      </w:r>
      <w:r w:rsidR="00091DB7" w:rsidRPr="000116A4">
        <w:t xml:space="preserve"> can be analysed only at school level. </w:t>
      </w:r>
      <w:r w:rsidR="001A214D" w:rsidRPr="000116A4">
        <w:t>(</w:t>
      </w:r>
      <w:r w:rsidR="00091DB7" w:rsidRPr="000116A4">
        <w:t>For each individual pupil, the ATAR score is recorded once, so – in the absence of annual comparable test scores for each individual pupil - lagged values do not exist and dynamic analysis is precluded.</w:t>
      </w:r>
      <w:r w:rsidR="001A214D" w:rsidRPr="000116A4">
        <w:t>)</w:t>
      </w:r>
      <w:r w:rsidR="00091DB7" w:rsidRPr="000116A4">
        <w:t xml:space="preserve"> However, </w:t>
      </w:r>
      <w:r w:rsidRPr="000116A4">
        <w:t xml:space="preserve">it should be noted that </w:t>
      </w:r>
      <w:r w:rsidR="00FD5765" w:rsidRPr="000116A4">
        <w:t>school-level analysis</w:t>
      </w:r>
      <w:r w:rsidRPr="000116A4">
        <w:t xml:space="preserve"> itself may give rise to problems.</w:t>
      </w:r>
      <w:r w:rsidR="00A06884" w:rsidRPr="000116A4">
        <w:rPr>
          <w:rStyle w:val="FootnoteReference"/>
        </w:rPr>
        <w:footnoteReference w:id="9"/>
      </w:r>
      <w:r w:rsidRPr="000116A4">
        <w:t xml:space="preserve"> The “ecological fallacy” is concerned with  the possibility of spurious inferences when interpreting the results of analysis at some aggregate or group level (“ecological analysis”) ‘in terms of the individuals who gave rise to the data’ (</w:t>
      </w:r>
      <w:proofErr w:type="spellStart"/>
      <w:r w:rsidRPr="000116A4">
        <w:t>Piantadosi</w:t>
      </w:r>
      <w:proofErr w:type="spellEnd"/>
      <w:r w:rsidRPr="000116A4">
        <w:t>, 1988, p.893). When interpreting ecological analyses, ‘</w:t>
      </w:r>
      <w:r w:rsidRPr="000116A4">
        <w:rPr>
          <w:i/>
        </w:rPr>
        <w:t>inferences should be confined to the level of observation</w:t>
      </w:r>
      <w:r w:rsidRPr="000116A4">
        <w:t>’ (</w:t>
      </w:r>
      <w:proofErr w:type="spellStart"/>
      <w:r w:rsidRPr="000116A4">
        <w:t>Piantadosi</w:t>
      </w:r>
      <w:proofErr w:type="spellEnd"/>
      <w:r w:rsidRPr="000116A4">
        <w:t xml:space="preserve">, 1988, p.902; emphasis added), even if ecological analyses ‘may offer valuable clues about individual behaviour’ for further investigation using individual data (Freedman, 1999, p.5; also </w:t>
      </w:r>
      <w:proofErr w:type="spellStart"/>
      <w:r w:rsidRPr="000116A4">
        <w:t>Piantadosi</w:t>
      </w:r>
      <w:proofErr w:type="spellEnd"/>
      <w:r w:rsidRPr="000116A4">
        <w:t xml:space="preserve">, 1988, p.902). Our “level of observation” is the school, not only because we use a dynamic panel model, but also </w:t>
      </w:r>
      <w:r w:rsidR="0096462A" w:rsidRPr="000116A4">
        <w:t xml:space="preserve">because </w:t>
      </w:r>
      <w:r w:rsidRPr="000116A4">
        <w:t xml:space="preserve">this is the level at which data on school expenditure is available. (Indeed, it is difficult to envisage even in principle how actual expenditure at the individual pupil level could be identified.) Thus </w:t>
      </w:r>
      <w:r w:rsidR="001A214D" w:rsidRPr="000116A4">
        <w:t>inference</w:t>
      </w:r>
      <w:r w:rsidRPr="000116A4">
        <w:t xml:space="preserve"> on the subject of our investigation above, the association between school level expenditure and school average performance, is arguably valid. </w:t>
      </w:r>
    </w:p>
    <w:p w:rsidR="007C4118" w:rsidRPr="007C4118" w:rsidRDefault="007C4118" w:rsidP="007C4118">
      <w:pPr>
        <w:spacing w:line="480" w:lineRule="auto"/>
        <w:jc w:val="both"/>
        <w:rPr>
          <w:highlight w:val="yellow"/>
        </w:rPr>
      </w:pPr>
    </w:p>
    <w:p w:rsidR="007C4118" w:rsidRPr="000116A4" w:rsidRDefault="007C4118" w:rsidP="007C4118">
      <w:pPr>
        <w:spacing w:line="480" w:lineRule="auto"/>
        <w:jc w:val="both"/>
      </w:pPr>
      <w:r w:rsidRPr="000116A4">
        <w:t>However, in school performance research, the ecological fallacy may arise when schools are the units of analysis and ‘aggregate results are used to explain differences between individual students’ (May</w:t>
      </w:r>
      <w:r w:rsidR="009513E7" w:rsidRPr="000116A4">
        <w:t xml:space="preserve"> </w:t>
      </w:r>
      <w:r w:rsidRPr="000116A4">
        <w:t xml:space="preserve">et al., 2003). Accordingly, we have acknowledged (Introduction, above) that that our study is directed towards policy makers who determine levels and changes in school funding rather than towards school managers who allocate their funding according to the heterogeneous needs and behaviours of their pupils. In our data, </w:t>
      </w:r>
      <w:r w:rsidR="001A214D" w:rsidRPr="000116A4">
        <w:t xml:space="preserve">control </w:t>
      </w:r>
      <w:r w:rsidRPr="000116A4">
        <w:t xml:space="preserve">variables such as attendance, socio-economic status, special educational needs and gender are derived by aggregating individual pupil </w:t>
      </w:r>
      <w:r w:rsidR="00906A3C" w:rsidRPr="000116A4">
        <w:t>data</w:t>
      </w:r>
      <w:r w:rsidR="001A214D" w:rsidRPr="000116A4">
        <w:t>, so that inference on these variables would best be conducted in the context of pupil-level data</w:t>
      </w:r>
      <w:r w:rsidRPr="000116A4">
        <w:t>. Accordingly, we do not interpret the estimated effects of these variables in detail, but our findings are in line with t</w:t>
      </w:r>
      <w:r w:rsidR="00906A3C" w:rsidRPr="000116A4">
        <w:t>he literature considered above.</w:t>
      </w:r>
    </w:p>
    <w:p w:rsidR="00906A3C" w:rsidRDefault="00906A3C" w:rsidP="00E00818">
      <w:pPr>
        <w:spacing w:line="480" w:lineRule="auto"/>
        <w:jc w:val="both"/>
        <w:rPr>
          <w:strike/>
        </w:rPr>
      </w:pPr>
    </w:p>
    <w:p w:rsidR="00E00818" w:rsidRPr="00906A3C" w:rsidRDefault="00906A3C" w:rsidP="00E00818">
      <w:pPr>
        <w:spacing w:line="480" w:lineRule="auto"/>
        <w:jc w:val="both"/>
        <w:rPr>
          <w:highlight w:val="yellow"/>
        </w:rPr>
      </w:pPr>
      <w:r w:rsidRPr="000116A4">
        <w:t>School size, being a school-level variable, where the effect on average school performance may also be of interest to policy makers</w:t>
      </w:r>
      <w:r w:rsidR="005D2008" w:rsidRPr="000116A4">
        <w:t>,</w:t>
      </w:r>
      <w:r w:rsidRPr="000116A4">
        <w:t xml:space="preserve"> is interpreted. T</w:t>
      </w:r>
      <w:r w:rsidR="00E00818" w:rsidRPr="000116A4">
        <w:t>he effect of the</w:t>
      </w:r>
      <w:r w:rsidR="00E00818">
        <w:t xml:space="preserve"> school size variables is complicated by not being able to </w:t>
      </w:r>
      <w:r w:rsidR="00B310BB">
        <w:t xml:space="preserve">keep </w:t>
      </w:r>
      <w:r w:rsidR="00E00818">
        <w:t>“other factors held constant” (</w:t>
      </w:r>
      <w:r w:rsidR="00612BC3">
        <w:t>as</w:t>
      </w:r>
      <w:r w:rsidR="00E00818">
        <w:t xml:space="preserve"> school size </w:t>
      </w:r>
      <w:r w:rsidR="00612BC3">
        <w:t xml:space="preserve">changes </w:t>
      </w:r>
      <w:r w:rsidR="00E00818">
        <w:t xml:space="preserve">simultaneously </w:t>
      </w:r>
      <w:r w:rsidR="00612BC3">
        <w:t xml:space="preserve">with </w:t>
      </w:r>
      <w:r w:rsidR="00E00818">
        <w:t xml:space="preserve">its squared value). However, the effects of both are estimated at high levels of significance and the pattern of signs is sensible: i.e. if enrolment increases from very low levels the squared term has little </w:t>
      </w:r>
      <w:r w:rsidR="00E00818" w:rsidRPr="00471A21">
        <w:t xml:space="preserve">influence so that the </w:t>
      </w:r>
      <w:r w:rsidR="00632BF9" w:rsidRPr="00471A21">
        <w:t xml:space="preserve">aggregate </w:t>
      </w:r>
      <w:r w:rsidR="00E00818" w:rsidRPr="00471A21">
        <w:t>performance effect is positive; however, at some higher</w:t>
      </w:r>
      <w:r w:rsidR="00E00818">
        <w:t xml:space="preserve"> level of enrolment the squared term </w:t>
      </w:r>
      <w:r w:rsidR="00E00818" w:rsidRPr="00EC650A">
        <w:t xml:space="preserve">must dominate and so further increases in enrolment tend then to reduce school performance. In this case, maximum median ATAR is achieved by a school with around 1,500 </w:t>
      </w:r>
      <w:r w:rsidR="001E459C" w:rsidRPr="00EC650A">
        <w:t>student</w:t>
      </w:r>
      <w:r w:rsidR="00E00818" w:rsidRPr="00EC650A">
        <w:t>s, which is considerably la</w:t>
      </w:r>
      <w:r w:rsidR="00E53783" w:rsidRPr="00EC650A">
        <w:t>rger than the mean enrolment of a little less than</w:t>
      </w:r>
      <w:r w:rsidR="00E00818" w:rsidRPr="00EC650A">
        <w:t xml:space="preserve"> 800</w:t>
      </w:r>
      <w:r w:rsidR="00BD006F" w:rsidRPr="00EC650A">
        <w:t xml:space="preserve"> (only four schools in the sample were larger than </w:t>
      </w:r>
      <w:r w:rsidR="00E53783" w:rsidRPr="00EC650A">
        <w:t>1500</w:t>
      </w:r>
      <w:r w:rsidR="00BD006F" w:rsidRPr="00EC650A">
        <w:t>)</w:t>
      </w:r>
      <w:r w:rsidR="00E00818" w:rsidRPr="00EC650A">
        <w:t>. Th</w:t>
      </w:r>
      <w:r w:rsidR="00BD006F" w:rsidRPr="00EC650A">
        <w:t>e</w:t>
      </w:r>
      <w:r w:rsidR="00E00818" w:rsidRPr="00EC650A">
        <w:t xml:space="preserve"> </w:t>
      </w:r>
      <w:r w:rsidR="00BD006F" w:rsidRPr="00EC650A">
        <w:t>estimates suggest</w:t>
      </w:r>
      <w:r w:rsidR="00E00818" w:rsidRPr="00EC650A">
        <w:t xml:space="preserve"> </w:t>
      </w:r>
      <w:r w:rsidR="00BD006F" w:rsidRPr="00EC650A">
        <w:t xml:space="preserve">a </w:t>
      </w:r>
      <w:r w:rsidR="00B879A0" w:rsidRPr="00EC650A">
        <w:t xml:space="preserve">considerably lower performance </w:t>
      </w:r>
      <w:r w:rsidR="00E00818" w:rsidRPr="00EC650A">
        <w:t>for small schools</w:t>
      </w:r>
      <w:r w:rsidR="0097481D" w:rsidRPr="00EC650A">
        <w:t xml:space="preserve"> (compared to a school with 1200 </w:t>
      </w:r>
      <w:r w:rsidR="001E459C" w:rsidRPr="00EC650A">
        <w:t>student</w:t>
      </w:r>
      <w:r w:rsidR="0097481D" w:rsidRPr="00EC650A">
        <w:t xml:space="preserve">s the estimated effect of this variable for a school with 600 </w:t>
      </w:r>
      <w:r w:rsidR="001E459C" w:rsidRPr="00EC650A">
        <w:t>student</w:t>
      </w:r>
      <w:r w:rsidR="0097481D" w:rsidRPr="00EC650A">
        <w:t xml:space="preserve">s is a reduction in the </w:t>
      </w:r>
      <w:r w:rsidR="008E27AD" w:rsidRPr="00EC650A">
        <w:t xml:space="preserve">median </w:t>
      </w:r>
      <w:r w:rsidR="0097481D" w:rsidRPr="00EC650A">
        <w:t>ATAR score by 1</w:t>
      </w:r>
      <w:r w:rsidR="00BD006F" w:rsidRPr="00EC650A">
        <w:t>4</w:t>
      </w:r>
      <w:r w:rsidR="0097481D" w:rsidRPr="00EC650A">
        <w:t xml:space="preserve"> percentage points)</w:t>
      </w:r>
      <w:r w:rsidR="00E00818" w:rsidRPr="00EC650A">
        <w:t>.</w:t>
      </w:r>
    </w:p>
    <w:p w:rsidR="00E00818" w:rsidRDefault="00E00818" w:rsidP="00E00818">
      <w:pPr>
        <w:spacing w:line="480" w:lineRule="auto"/>
        <w:jc w:val="both"/>
      </w:pPr>
    </w:p>
    <w:p w:rsidR="00F22AF6" w:rsidRDefault="00C332DB" w:rsidP="004C50CB">
      <w:pPr>
        <w:spacing w:line="480" w:lineRule="auto"/>
        <w:jc w:val="both"/>
      </w:pPr>
      <w:r>
        <w:t>S</w:t>
      </w:r>
      <w:r w:rsidR="0073108D">
        <w:t xml:space="preserve">chools in </w:t>
      </w:r>
      <w:r w:rsidR="00E00818" w:rsidRPr="00E00818">
        <w:t xml:space="preserve">several of the regions have significantly higher estimated </w:t>
      </w:r>
      <w:r w:rsidR="0073108D">
        <w:t xml:space="preserve">median </w:t>
      </w:r>
      <w:r w:rsidR="00E00818" w:rsidRPr="00E00818">
        <w:t xml:space="preserve">ATAR </w:t>
      </w:r>
      <w:r w:rsidR="00E00818" w:rsidRPr="0071383F">
        <w:t xml:space="preserve">scores than </w:t>
      </w:r>
      <w:r w:rsidR="00371EC7" w:rsidRPr="0071383F">
        <w:t xml:space="preserve">does </w:t>
      </w:r>
      <w:r w:rsidR="00E00818" w:rsidRPr="0071383F">
        <w:t xml:space="preserve">Sydney. </w:t>
      </w:r>
      <w:r w:rsidR="00F56551" w:rsidRPr="0071383F">
        <w:t xml:space="preserve">There may be differences in </w:t>
      </w:r>
      <w:r w:rsidR="00632BF9" w:rsidRPr="0071383F">
        <w:t xml:space="preserve">aggregate </w:t>
      </w:r>
      <w:r w:rsidR="009513E7" w:rsidRPr="0071383F">
        <w:t xml:space="preserve">school </w:t>
      </w:r>
      <w:r w:rsidR="00F56551" w:rsidRPr="0071383F">
        <w:t>ATAR scores</w:t>
      </w:r>
      <w:r w:rsidR="00F56551" w:rsidRPr="00C332DB">
        <w:t xml:space="preserve"> between regions because of factors taken account of in this estimation</w:t>
      </w:r>
      <w:r w:rsidR="00CD23C5" w:rsidRPr="00C332DB">
        <w:t>,</w:t>
      </w:r>
      <w:r w:rsidR="00F56551" w:rsidRPr="00C332DB">
        <w:t xml:space="preserve"> such as whether schools are selective and size. H</w:t>
      </w:r>
      <w:r w:rsidR="00CD23C5" w:rsidRPr="00C332DB">
        <w:t>o</w:t>
      </w:r>
      <w:r w:rsidR="00F56551" w:rsidRPr="00C332DB">
        <w:t xml:space="preserve">wever, </w:t>
      </w:r>
      <w:r w:rsidR="00CD23C5" w:rsidRPr="00C332DB">
        <w:t xml:space="preserve">these differences are already factored out by the regression. These differences between regions are arising </w:t>
      </w:r>
      <w:r w:rsidR="00B73220" w:rsidRPr="00C332DB">
        <w:t>from factors not, or not fully, accounted for in the model.</w:t>
      </w:r>
      <w:r w:rsidR="00B73220">
        <w:t xml:space="preserve">   </w:t>
      </w:r>
    </w:p>
    <w:p w:rsidR="00B326C9" w:rsidRDefault="00B326C9" w:rsidP="004C50CB">
      <w:pPr>
        <w:spacing w:line="480" w:lineRule="auto"/>
        <w:jc w:val="both"/>
      </w:pPr>
    </w:p>
    <w:p w:rsidR="00E02D25" w:rsidRDefault="00E02D25" w:rsidP="00B326C9">
      <w:pPr>
        <w:ind w:left="720"/>
        <w:rPr>
          <w:rFonts w:cs="Arial"/>
          <w:b/>
          <w:bCs/>
          <w:iCs/>
          <w:sz w:val="28"/>
          <w:szCs w:val="28"/>
          <w:highlight w:val="lightGray"/>
        </w:rPr>
      </w:pPr>
    </w:p>
    <w:p w:rsidR="00E02D25" w:rsidRDefault="00E02D25" w:rsidP="00B326C9">
      <w:pPr>
        <w:ind w:left="720"/>
        <w:rPr>
          <w:rFonts w:cs="Arial"/>
          <w:b/>
          <w:bCs/>
          <w:iCs/>
          <w:sz w:val="28"/>
          <w:szCs w:val="28"/>
          <w:highlight w:val="lightGray"/>
        </w:rPr>
      </w:pPr>
    </w:p>
    <w:p w:rsidR="00274B03" w:rsidRPr="00C332DB" w:rsidRDefault="00B326C9" w:rsidP="00B326C9">
      <w:pPr>
        <w:ind w:left="720"/>
        <w:rPr>
          <w:rFonts w:cs="Arial"/>
          <w:b/>
          <w:bCs/>
          <w:iCs/>
          <w:sz w:val="28"/>
          <w:szCs w:val="28"/>
        </w:rPr>
      </w:pPr>
      <w:r w:rsidRPr="00C332DB">
        <w:rPr>
          <w:rFonts w:cs="Arial"/>
          <w:b/>
          <w:bCs/>
          <w:iCs/>
          <w:sz w:val="28"/>
          <w:szCs w:val="28"/>
        </w:rPr>
        <w:t xml:space="preserve">5.1 </w:t>
      </w:r>
      <w:r w:rsidR="009108B9" w:rsidRPr="00C332DB">
        <w:rPr>
          <w:rFonts w:cs="Arial"/>
          <w:b/>
          <w:bCs/>
          <w:iCs/>
          <w:sz w:val="28"/>
          <w:szCs w:val="28"/>
        </w:rPr>
        <w:t>Expenditure Effects for Sub-Groups of Schools</w:t>
      </w:r>
    </w:p>
    <w:p w:rsidR="00B326C9" w:rsidRPr="00C332DB" w:rsidRDefault="00B326C9" w:rsidP="00A031EA"/>
    <w:p w:rsidR="00B326C9" w:rsidRPr="00C332DB" w:rsidRDefault="00B326C9" w:rsidP="00B96649">
      <w:pPr>
        <w:spacing w:line="480" w:lineRule="auto"/>
        <w:jc w:val="both"/>
      </w:pPr>
    </w:p>
    <w:p w:rsidR="00B96649" w:rsidRPr="00C332DB" w:rsidRDefault="00274B03" w:rsidP="00B96649">
      <w:pPr>
        <w:spacing w:line="480" w:lineRule="auto"/>
        <w:jc w:val="both"/>
      </w:pPr>
      <w:r w:rsidRPr="00C332DB">
        <w:t xml:space="preserve">Results reported in Table 3 show the average </w:t>
      </w:r>
      <w:r w:rsidR="00CF2342" w:rsidRPr="00C332DB">
        <w:t xml:space="preserve">marginal </w:t>
      </w:r>
      <w:r w:rsidR="00835E89" w:rsidRPr="00C332DB">
        <w:t xml:space="preserve">effect of changes in per pupil school </w:t>
      </w:r>
      <w:r w:rsidRPr="00C332DB">
        <w:t xml:space="preserve">expenditure for all schools. </w:t>
      </w:r>
      <w:r w:rsidR="00835E89" w:rsidRPr="00C332DB">
        <w:t>This section checks whether this average effect is sufficiently representative for use in policy decisions on school spending; or</w:t>
      </w:r>
      <w:r w:rsidR="00491493" w:rsidRPr="00C332DB">
        <w:t>,</w:t>
      </w:r>
      <w:r w:rsidR="00835E89" w:rsidRPr="00C332DB">
        <w:t xml:space="preserve"> conversely, whether this average effect disguises </w:t>
      </w:r>
      <w:r w:rsidR="00666373" w:rsidRPr="00C332DB">
        <w:t xml:space="preserve">differences by types of schools </w:t>
      </w:r>
      <w:r w:rsidR="00835E89" w:rsidRPr="00C332DB">
        <w:t>that might have important policy implications and thus render the use of an average result problematic. To this end, w</w:t>
      </w:r>
      <w:r w:rsidRPr="00C332DB">
        <w:t xml:space="preserve">e </w:t>
      </w:r>
      <w:r w:rsidR="00835E89" w:rsidRPr="00C332DB">
        <w:t xml:space="preserve">explore the possibility of significant </w:t>
      </w:r>
      <w:r w:rsidR="00E4705D" w:rsidRPr="00C332DB">
        <w:t>differences</w:t>
      </w:r>
      <w:r w:rsidR="00835E89" w:rsidRPr="00C332DB">
        <w:t xml:space="preserve"> in school </w:t>
      </w:r>
      <w:r w:rsidRPr="00C332DB">
        <w:t>expenditure effect</w:t>
      </w:r>
      <w:r w:rsidR="00835E89" w:rsidRPr="00C332DB">
        <w:t>s</w:t>
      </w:r>
      <w:r w:rsidRPr="00C332DB">
        <w:t xml:space="preserve"> by</w:t>
      </w:r>
      <w:r w:rsidR="00947026" w:rsidRPr="00C332DB">
        <w:t xml:space="preserve"> estimating differences between:</w:t>
      </w:r>
    </w:p>
    <w:p w:rsidR="00666373" w:rsidRPr="00C332DB" w:rsidRDefault="00666373" w:rsidP="00666373">
      <w:pPr>
        <w:pStyle w:val="ListParagraph"/>
        <w:numPr>
          <w:ilvl w:val="0"/>
          <w:numId w:val="41"/>
        </w:numPr>
        <w:spacing w:line="480" w:lineRule="auto"/>
        <w:contextualSpacing/>
        <w:jc w:val="both"/>
      </w:pPr>
      <w:r w:rsidRPr="00C332DB">
        <w:t xml:space="preserve">schools with student bodies with varying levels of socio-economic status measured by FOEI; </w:t>
      </w:r>
    </w:p>
    <w:p w:rsidR="00666373" w:rsidRPr="00C332DB" w:rsidRDefault="00666373" w:rsidP="00666373">
      <w:pPr>
        <w:pStyle w:val="ListParagraph"/>
        <w:numPr>
          <w:ilvl w:val="0"/>
          <w:numId w:val="41"/>
        </w:numPr>
        <w:spacing w:line="480" w:lineRule="auto"/>
        <w:contextualSpacing/>
        <w:jc w:val="both"/>
      </w:pPr>
      <w:r w:rsidRPr="00C332DB">
        <w:t xml:space="preserve"> schools enrolling 90 per</w:t>
      </w:r>
      <w:r w:rsidR="0021503E" w:rsidRPr="00C332DB">
        <w:t xml:space="preserve"> </w:t>
      </w:r>
      <w:r w:rsidRPr="00C332DB">
        <w:t>cent or more of girls and mixed schools;</w:t>
      </w:r>
    </w:p>
    <w:p w:rsidR="00666373" w:rsidRPr="00C332DB" w:rsidRDefault="00666373" w:rsidP="00263BD1">
      <w:pPr>
        <w:pStyle w:val="ListParagraph"/>
        <w:numPr>
          <w:ilvl w:val="0"/>
          <w:numId w:val="41"/>
        </w:numPr>
        <w:spacing w:line="480" w:lineRule="auto"/>
        <w:contextualSpacing/>
        <w:jc w:val="both"/>
      </w:pPr>
      <w:r w:rsidRPr="00C332DB">
        <w:t xml:space="preserve"> schools enrolling 90 per</w:t>
      </w:r>
      <w:r w:rsidR="0021503E" w:rsidRPr="00C332DB">
        <w:t xml:space="preserve"> </w:t>
      </w:r>
      <w:r w:rsidRPr="00C332DB">
        <w:t xml:space="preserve">cent or more of boys and mixed schools; </w:t>
      </w:r>
      <w:r w:rsidR="00263BD1" w:rsidRPr="00C332DB">
        <w:t>and</w:t>
      </w:r>
    </w:p>
    <w:p w:rsidR="00B96649" w:rsidRPr="00C332DB" w:rsidRDefault="00947026" w:rsidP="00666373">
      <w:pPr>
        <w:pStyle w:val="ListParagraph"/>
        <w:numPr>
          <w:ilvl w:val="0"/>
          <w:numId w:val="41"/>
        </w:numPr>
        <w:spacing w:line="480" w:lineRule="auto"/>
        <w:contextualSpacing/>
        <w:jc w:val="both"/>
      </w:pPr>
      <w:r w:rsidRPr="00C332DB">
        <w:t xml:space="preserve">fully </w:t>
      </w:r>
      <w:r w:rsidR="00274B03" w:rsidRPr="00C332DB">
        <w:t xml:space="preserve">selective </w:t>
      </w:r>
      <w:r w:rsidRPr="00C332DB">
        <w:t>and</w:t>
      </w:r>
      <w:r w:rsidR="00274B03" w:rsidRPr="00C332DB">
        <w:t xml:space="preserve"> all other schools; </w:t>
      </w:r>
    </w:p>
    <w:p w:rsidR="00B96649" w:rsidRPr="00C332DB" w:rsidRDefault="00666373" w:rsidP="00666373">
      <w:pPr>
        <w:pStyle w:val="ListParagraph"/>
        <w:spacing w:line="480" w:lineRule="auto"/>
        <w:ind w:left="360"/>
        <w:contextualSpacing/>
        <w:jc w:val="both"/>
      </w:pPr>
      <w:r w:rsidRPr="00C332DB">
        <w:t xml:space="preserve"> </w:t>
      </w:r>
    </w:p>
    <w:p w:rsidR="00E84943" w:rsidRPr="00C332DB" w:rsidRDefault="007C1762" w:rsidP="00B96649">
      <w:pPr>
        <w:spacing w:line="480" w:lineRule="auto"/>
        <w:jc w:val="both"/>
      </w:pPr>
      <w:r w:rsidRPr="00C332DB">
        <w:t xml:space="preserve">The method of investigation proceeds by augmenting the parsimonious regression reported in Table 3, </w:t>
      </w:r>
      <w:r w:rsidR="00263BD1" w:rsidRPr="00C332DB">
        <w:t>c</w:t>
      </w:r>
      <w:r w:rsidRPr="00C332DB">
        <w:t>olumn</w:t>
      </w:r>
      <w:r w:rsidR="00E84943" w:rsidRPr="00C332DB">
        <w:t xml:space="preserve"> 2</w:t>
      </w:r>
      <w:r w:rsidRPr="00C332DB">
        <w:t>, with interaction terms</w:t>
      </w:r>
      <w:r w:rsidR="00666373" w:rsidRPr="00C332DB">
        <w:t>.</w:t>
      </w:r>
      <w:r w:rsidR="00E4705D" w:rsidRPr="00C332DB">
        <w:rPr>
          <w:rStyle w:val="FootnoteReference"/>
        </w:rPr>
        <w:footnoteReference w:id="10"/>
      </w:r>
      <w:r w:rsidR="00666373" w:rsidRPr="00C332DB">
        <w:t xml:space="preserve"> These are</w:t>
      </w:r>
      <w:r w:rsidRPr="00C332DB">
        <w:t xml:space="preserve"> constructed by multiplying the </w:t>
      </w:r>
      <w:r w:rsidR="00E4705D" w:rsidRPr="00C332DB">
        <w:t xml:space="preserve">aggregate </w:t>
      </w:r>
      <w:r w:rsidRPr="00C332DB">
        <w:t>expenditure variable with the respective variables</w:t>
      </w:r>
      <w:r w:rsidR="00B7655C" w:rsidRPr="00C332DB">
        <w:t xml:space="preserve"> for the potential heterogeneities of</w:t>
      </w:r>
      <w:r w:rsidR="00E4705D" w:rsidRPr="00C332DB">
        <w:t xml:space="preserve"> interest specified above</w:t>
      </w:r>
      <w:r w:rsidR="00666373" w:rsidRPr="00C332DB">
        <w:t>.</w:t>
      </w:r>
      <w:r w:rsidRPr="00C332DB">
        <w:t xml:space="preserve"> </w:t>
      </w:r>
      <w:r w:rsidR="00274B03" w:rsidRPr="00C332DB">
        <w:t xml:space="preserve">These interaction terms were </w:t>
      </w:r>
      <w:r w:rsidR="00463D12" w:rsidRPr="00C332DB">
        <w:t>included in separate regressions in order</w:t>
      </w:r>
      <w:r w:rsidR="00B7655C" w:rsidRPr="00C332DB">
        <w:t xml:space="preserve"> </w:t>
      </w:r>
      <w:r w:rsidR="00274B03" w:rsidRPr="00C332DB">
        <w:t xml:space="preserve">to avoid </w:t>
      </w:r>
      <w:r w:rsidR="00E84943" w:rsidRPr="00C332DB">
        <w:t xml:space="preserve">undue </w:t>
      </w:r>
      <w:r w:rsidR="00274B03" w:rsidRPr="00C332DB">
        <w:t xml:space="preserve">multicollinearity. For </w:t>
      </w:r>
      <w:r w:rsidR="00E84943" w:rsidRPr="00C332DB">
        <w:t xml:space="preserve">each of the </w:t>
      </w:r>
      <w:r w:rsidR="00D66EB4" w:rsidRPr="00C332DB">
        <w:t>four</w:t>
      </w:r>
      <w:r w:rsidR="00274B03" w:rsidRPr="00C332DB">
        <w:t xml:space="preserve"> estimated </w:t>
      </w:r>
      <w:r w:rsidR="00B7655C" w:rsidRPr="00C332DB">
        <w:t xml:space="preserve">augmented </w:t>
      </w:r>
      <w:r w:rsidR="00274B03" w:rsidRPr="00C332DB">
        <w:t xml:space="preserve">regressions, </w:t>
      </w:r>
      <w:r w:rsidR="00E84943" w:rsidRPr="00C332DB">
        <w:t xml:space="preserve">all model </w:t>
      </w:r>
      <w:r w:rsidR="00274B03" w:rsidRPr="00C332DB">
        <w:t xml:space="preserve">diagnostics were uniformly satisfactory. </w:t>
      </w:r>
      <w:r w:rsidR="00E84943" w:rsidRPr="00C332DB">
        <w:t>From each regression, we then calculat</w:t>
      </w:r>
      <w:r w:rsidR="00B7655C" w:rsidRPr="00C332DB">
        <w:t>ed</w:t>
      </w:r>
      <w:r w:rsidR="00E84943" w:rsidRPr="00C332DB">
        <w:t xml:space="preserve"> the extent to which, if any, each source of potential heterogeneity moderates the expenditure effect (how this is accomplished in Stata is comprehensively explained by Williams, 2012). </w:t>
      </w:r>
    </w:p>
    <w:p w:rsidR="00E84943" w:rsidRPr="00C332DB" w:rsidRDefault="00E84943" w:rsidP="00B96649">
      <w:pPr>
        <w:spacing w:line="480" w:lineRule="auto"/>
        <w:jc w:val="both"/>
      </w:pPr>
    </w:p>
    <w:p w:rsidR="001D17C2" w:rsidRPr="00C332DB" w:rsidRDefault="00E84943" w:rsidP="001D17C2">
      <w:pPr>
        <w:spacing w:line="480" w:lineRule="auto"/>
        <w:jc w:val="both"/>
      </w:pPr>
      <w:r w:rsidRPr="00C332DB">
        <w:t xml:space="preserve">The results of this </w:t>
      </w:r>
      <w:r w:rsidR="00B7655C" w:rsidRPr="00C332DB">
        <w:t>investigation</w:t>
      </w:r>
      <w:r w:rsidRPr="00C332DB">
        <w:t xml:space="preserve"> are displayed graphically in Figure </w:t>
      </w:r>
      <w:r w:rsidR="00C0422C" w:rsidRPr="00C332DB">
        <w:t>3</w:t>
      </w:r>
      <w:r w:rsidRPr="00C332DB">
        <w:t xml:space="preserve">. For concreteness, we explain </w:t>
      </w:r>
      <w:r w:rsidR="00D56FF5" w:rsidRPr="00C332DB">
        <w:t xml:space="preserve">in detail </w:t>
      </w:r>
      <w:r w:rsidRPr="00C332DB">
        <w:t xml:space="preserve">the </w:t>
      </w:r>
      <w:r w:rsidR="00D56FF5" w:rsidRPr="00C332DB">
        <w:t>graph headed “</w:t>
      </w:r>
      <w:r w:rsidR="00BC5792" w:rsidRPr="00C332DB">
        <w:t>FOEI index</w:t>
      </w:r>
      <w:r w:rsidR="00D56FF5" w:rsidRPr="00C332DB">
        <w:t xml:space="preserve">”. </w:t>
      </w:r>
      <w:r w:rsidR="00BC5792" w:rsidRPr="00C332DB">
        <w:t>In this graph the horizontal axis has representative values of the FOEI index. The vertical axis is labelled “Effects on Fitted values” and refers to the estimated marginal effect on Median ATAR of small changes in aggregate per pupil spending. This</w:t>
      </w:r>
      <w:r w:rsidR="00883B61" w:rsidRPr="00C332DB">
        <w:t xml:space="preserve"> graph shows that the marginal spending effect on performance is </w:t>
      </w:r>
      <w:r w:rsidR="00BC5792" w:rsidRPr="00C332DB">
        <w:t>approximately the same a</w:t>
      </w:r>
      <w:r w:rsidR="00883B61" w:rsidRPr="00C332DB">
        <w:t>cross the</w:t>
      </w:r>
      <w:r w:rsidR="00BC5792" w:rsidRPr="00C332DB">
        <w:t xml:space="preserve"> different values of FOEI, with no significant differences between the estimates (the 95 per cent confidence intervals around these estimates </w:t>
      </w:r>
      <w:r w:rsidR="007C6541" w:rsidRPr="00C332DB">
        <w:t>are</w:t>
      </w:r>
      <w:r w:rsidR="00BC5792" w:rsidRPr="00C332DB">
        <w:t xml:space="preserve"> shown by the vertical lines symmetrically above and below each dot and these </w:t>
      </w:r>
      <w:r w:rsidR="000D4B65" w:rsidRPr="00C332DB">
        <w:t xml:space="preserve">all </w:t>
      </w:r>
      <w:r w:rsidR="00BC5792" w:rsidRPr="00C332DB">
        <w:t>overlap).</w:t>
      </w:r>
      <w:r w:rsidR="005A3D5B" w:rsidRPr="00C332DB">
        <w:rPr>
          <w:rStyle w:val="FootnoteReference"/>
        </w:rPr>
        <w:footnoteReference w:id="11"/>
      </w:r>
      <w:r w:rsidR="005A3D5B" w:rsidRPr="00C332DB">
        <w:t xml:space="preserve"> </w:t>
      </w:r>
      <w:r w:rsidR="00BC5792" w:rsidRPr="00C332DB">
        <w:t xml:space="preserve">In the other graphs the change of the indicator variable </w:t>
      </w:r>
      <w:r w:rsidR="005A3D5B" w:rsidRPr="00C332DB">
        <w:t xml:space="preserve">is from </w:t>
      </w:r>
      <w:r w:rsidR="00BC5792" w:rsidRPr="00C332DB">
        <w:t>1 to 0</w:t>
      </w:r>
      <w:r w:rsidR="00575D2F" w:rsidRPr="00C332DB">
        <w:t>;</w:t>
      </w:r>
      <w:r w:rsidR="00BC5792" w:rsidRPr="00C332DB">
        <w:t xml:space="preserve"> for example</w:t>
      </w:r>
      <w:r w:rsidR="00575D2F" w:rsidRPr="00C332DB">
        <w:t>,</w:t>
      </w:r>
      <w:r w:rsidR="00BC5792" w:rsidRPr="00C332DB">
        <w:t xml:space="preserve"> in the gr</w:t>
      </w:r>
      <w:r w:rsidR="005A3D5B" w:rsidRPr="00C332DB">
        <w:t xml:space="preserve">aph headed “Girls’ schools” 1 is for Girls’ schools and 0 for mixed. In all cases there is overlap in the confidence intervals, thus there is no significant difference in the estimates. </w:t>
      </w:r>
      <w:r w:rsidR="00263BD1" w:rsidRPr="00C332DB">
        <w:t>A</w:t>
      </w:r>
      <w:r w:rsidR="005A3D5B" w:rsidRPr="00C332DB">
        <w:t xml:space="preserve">lthough not a significant difference, the estimate for </w:t>
      </w:r>
      <w:r w:rsidR="00263BD1" w:rsidRPr="00C332DB">
        <w:t xml:space="preserve">fully </w:t>
      </w:r>
      <w:r w:rsidR="005A3D5B" w:rsidRPr="00C332DB">
        <w:t>selective schools of the expenditure effect is considerably lower</w:t>
      </w:r>
      <w:r w:rsidR="00A925C5" w:rsidRPr="00C332DB">
        <w:t xml:space="preserve"> </w:t>
      </w:r>
      <w:r w:rsidR="0085271F" w:rsidRPr="00C332DB">
        <w:t xml:space="preserve">and is not itself statistically significant </w:t>
      </w:r>
      <w:r w:rsidR="00A925C5" w:rsidRPr="00C332DB">
        <w:t>(this may be because many of these schools are operating close to the maximum median ATAR score)</w:t>
      </w:r>
      <w:r w:rsidR="005A3D5B" w:rsidRPr="00C332DB">
        <w:t>. Given this we also estimated our preferred regression (</w:t>
      </w:r>
      <w:r w:rsidR="00A925C5" w:rsidRPr="00C332DB">
        <w:t xml:space="preserve">as given in </w:t>
      </w:r>
      <w:r w:rsidR="005A3D5B" w:rsidRPr="00C332DB">
        <w:t xml:space="preserve">Table 3, column 2) </w:t>
      </w:r>
      <w:r w:rsidR="00A925C5" w:rsidRPr="00C332DB">
        <w:t>excluding</w:t>
      </w:r>
      <w:r w:rsidR="005A3D5B" w:rsidRPr="00C332DB">
        <w:t xml:space="preserve"> </w:t>
      </w:r>
      <w:r w:rsidR="00A925C5" w:rsidRPr="00C332DB">
        <w:t xml:space="preserve">fully selective schools </w:t>
      </w:r>
      <w:r w:rsidR="005A3D5B" w:rsidRPr="00C332DB">
        <w:t>from the sample.</w:t>
      </w:r>
      <w:r w:rsidR="00A925C5" w:rsidRPr="00C332DB">
        <w:rPr>
          <w:rStyle w:val="FootnoteReference"/>
        </w:rPr>
        <w:footnoteReference w:id="12"/>
      </w:r>
      <w:r w:rsidR="005A3D5B" w:rsidRPr="00C332DB">
        <w:t xml:space="preserve"> There was little difference in the estimated effect of aggregate per pupil expenditure, although the significance level increased</w:t>
      </w:r>
      <w:r w:rsidR="00A925C5" w:rsidRPr="00C332DB">
        <w:t xml:space="preserve"> using this restricted sample</w:t>
      </w:r>
      <w:r w:rsidR="005A3D5B" w:rsidRPr="00C332DB">
        <w:t xml:space="preserve">.  </w:t>
      </w:r>
    </w:p>
    <w:p w:rsidR="00B974AE" w:rsidRPr="00C332DB" w:rsidRDefault="00B974AE" w:rsidP="001D17C2">
      <w:pPr>
        <w:spacing w:line="480" w:lineRule="auto"/>
        <w:jc w:val="both"/>
      </w:pPr>
    </w:p>
    <w:p w:rsidR="00F00AC7" w:rsidRDefault="00F00AC7">
      <w:pPr>
        <w:rPr>
          <w:b/>
          <w:i/>
        </w:rPr>
      </w:pPr>
      <w:r>
        <w:rPr>
          <w:b/>
          <w:i/>
        </w:rPr>
        <w:br w:type="page"/>
      </w:r>
    </w:p>
    <w:p w:rsidR="009C5EB0" w:rsidRPr="009C5EB0" w:rsidRDefault="009C5EB0" w:rsidP="009C5EB0">
      <w:pPr>
        <w:pStyle w:val="ListParagraph"/>
        <w:spacing w:line="480" w:lineRule="auto"/>
        <w:jc w:val="both"/>
        <w:rPr>
          <w:b/>
          <w:i/>
        </w:rPr>
      </w:pPr>
      <w:proofErr w:type="gramStart"/>
      <w:r w:rsidRPr="009C5EB0">
        <w:rPr>
          <w:b/>
          <w:i/>
        </w:rPr>
        <w:t>Figure 3.</w:t>
      </w:r>
      <w:proofErr w:type="gramEnd"/>
      <w:r w:rsidRPr="009C5EB0">
        <w:rPr>
          <w:b/>
          <w:i/>
        </w:rPr>
        <w:t xml:space="preserve"> Expenditure Effects for Sub-Groups of Schools (Estimated Marginal Effects with 95% Confidence Intervals)</w:t>
      </w:r>
    </w:p>
    <w:p w:rsidR="009C5EB0" w:rsidRPr="009C5EB0" w:rsidRDefault="009C5EB0" w:rsidP="009C5EB0">
      <w:pPr>
        <w:pStyle w:val="ListParagraph"/>
        <w:spacing w:line="480" w:lineRule="auto"/>
        <w:jc w:val="both"/>
      </w:pPr>
      <w:r w:rsidRPr="009C5EB0">
        <w:rPr>
          <w:noProof/>
        </w:rPr>
        <w:drawing>
          <wp:inline distT="0" distB="0" distL="0" distR="0" wp14:anchorId="57A906ED" wp14:editId="0A7B95E8">
            <wp:extent cx="5731510" cy="4168086"/>
            <wp:effectExtent l="19050" t="0" r="2540" b="0"/>
            <wp:docPr id="3" name="Picture 3" descr="C:\Users\Dragana\Desktop\Graph_combined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agana\Desktop\Graph_combined FINAL.png"/>
                    <pic:cNvPicPr>
                      <a:picLocks noChangeAspect="1" noChangeArrowheads="1"/>
                    </pic:cNvPicPr>
                  </pic:nvPicPr>
                  <pic:blipFill>
                    <a:blip r:embed="rId15" cstate="print"/>
                    <a:srcRect/>
                    <a:stretch>
                      <a:fillRect/>
                    </a:stretch>
                  </pic:blipFill>
                  <pic:spPr bwMode="auto">
                    <a:xfrm>
                      <a:off x="0" y="0"/>
                      <a:ext cx="5731510" cy="4168086"/>
                    </a:xfrm>
                    <a:prstGeom prst="rect">
                      <a:avLst/>
                    </a:prstGeom>
                    <a:noFill/>
                    <a:ln w="9525">
                      <a:noFill/>
                      <a:miter lim="800000"/>
                      <a:headEnd/>
                      <a:tailEnd/>
                    </a:ln>
                  </pic:spPr>
                </pic:pic>
              </a:graphicData>
            </a:graphic>
          </wp:inline>
        </w:drawing>
      </w:r>
    </w:p>
    <w:p w:rsidR="00B96649" w:rsidRPr="00C332DB" w:rsidRDefault="00B96649" w:rsidP="00B96649">
      <w:pPr>
        <w:pStyle w:val="ListParagraph"/>
        <w:spacing w:line="480" w:lineRule="auto"/>
        <w:ind w:left="0"/>
        <w:jc w:val="both"/>
      </w:pPr>
    </w:p>
    <w:p w:rsidR="00B96649" w:rsidRPr="00D625A7" w:rsidRDefault="00274B03" w:rsidP="00B96649">
      <w:pPr>
        <w:pStyle w:val="ListParagraph"/>
        <w:spacing w:line="480" w:lineRule="auto"/>
        <w:ind w:left="0"/>
        <w:jc w:val="both"/>
      </w:pPr>
      <w:r w:rsidRPr="00C332DB">
        <w:t xml:space="preserve">Given </w:t>
      </w:r>
      <w:r w:rsidR="001D17C2" w:rsidRPr="00C332DB">
        <w:t>the</w:t>
      </w:r>
      <w:r w:rsidRPr="00C332DB">
        <w:t xml:space="preserve"> lack of </w:t>
      </w:r>
      <w:r w:rsidR="001D17C2" w:rsidRPr="00C332DB">
        <w:t xml:space="preserve">statistically significant </w:t>
      </w:r>
      <w:r w:rsidR="00F4799E" w:rsidRPr="00C332DB">
        <w:t xml:space="preserve">systematic </w:t>
      </w:r>
      <w:r w:rsidR="00463D12" w:rsidRPr="00C332DB">
        <w:t xml:space="preserve">differences </w:t>
      </w:r>
      <w:r w:rsidR="001D17C2" w:rsidRPr="00C332DB">
        <w:t>in the estimated marginal performance effects of per pupil spending changes across a variety of important</w:t>
      </w:r>
      <w:r w:rsidRPr="00C332DB">
        <w:t xml:space="preserve"> school and pupil characteristics, the overall effect </w:t>
      </w:r>
      <w:r w:rsidR="001D17C2" w:rsidRPr="00C332DB">
        <w:t>reported in</w:t>
      </w:r>
      <w:r w:rsidRPr="00C332DB">
        <w:t xml:space="preserve"> Table 3 can be taken as </w:t>
      </w:r>
      <w:r w:rsidR="00463D12" w:rsidRPr="00C332DB">
        <w:t xml:space="preserve">a </w:t>
      </w:r>
      <w:r w:rsidRPr="00C332DB">
        <w:t xml:space="preserve">representative </w:t>
      </w:r>
      <w:r w:rsidR="00463D12" w:rsidRPr="00C332DB">
        <w:t xml:space="preserve">estimate </w:t>
      </w:r>
      <w:r w:rsidR="001D17C2" w:rsidRPr="00C332DB">
        <w:t>for the population of NSW schools</w:t>
      </w:r>
      <w:r w:rsidR="00F4799E" w:rsidRPr="00C332DB">
        <w:t>. This estimated effect</w:t>
      </w:r>
      <w:r w:rsidRPr="00C332DB">
        <w:t xml:space="preserve"> therefore </w:t>
      </w:r>
      <w:r w:rsidR="001D17C2" w:rsidRPr="00C332DB">
        <w:t>provides</w:t>
      </w:r>
      <w:r w:rsidRPr="00C332DB">
        <w:t xml:space="preserve"> </w:t>
      </w:r>
      <w:r w:rsidR="00C56764" w:rsidRPr="00C332DB">
        <w:t>robust</w:t>
      </w:r>
      <w:r w:rsidRPr="00C332DB">
        <w:t xml:space="preserve"> </w:t>
      </w:r>
      <w:r w:rsidR="001D17C2" w:rsidRPr="00C332DB">
        <w:t>guidance</w:t>
      </w:r>
      <w:r w:rsidRPr="00C332DB">
        <w:t xml:space="preserve"> for policy-makers </w:t>
      </w:r>
      <w:r w:rsidR="001D17C2" w:rsidRPr="00C332DB">
        <w:t xml:space="preserve">in </w:t>
      </w:r>
      <w:r w:rsidRPr="00C332DB">
        <w:t>deciding on overall per pupil spending</w:t>
      </w:r>
      <w:r w:rsidR="00A925C5" w:rsidRPr="00C332DB">
        <w:t>, with the caveat that this may be lower for selective schools</w:t>
      </w:r>
      <w:r w:rsidRPr="00C332DB">
        <w:t>.</w:t>
      </w:r>
      <w:r w:rsidR="00B96649" w:rsidRPr="00D625A7">
        <w:t xml:space="preserve"> </w:t>
      </w:r>
    </w:p>
    <w:p w:rsidR="00F00AC7" w:rsidRDefault="00F00AC7">
      <w:pPr>
        <w:rPr>
          <w:rFonts w:cs="Arial"/>
          <w:b/>
          <w:bCs/>
          <w:kern w:val="32"/>
          <w:sz w:val="32"/>
          <w:szCs w:val="32"/>
        </w:rPr>
      </w:pPr>
      <w:bookmarkStart w:id="11" w:name="_Toc207111329"/>
      <w:bookmarkStart w:id="12" w:name="_Toc207111654"/>
      <w:r>
        <w:br w:type="page"/>
      </w:r>
    </w:p>
    <w:p w:rsidR="009652DA" w:rsidRPr="00E31BD8" w:rsidRDefault="009652DA" w:rsidP="00E31BD8">
      <w:pPr>
        <w:pStyle w:val="Heading1"/>
      </w:pPr>
      <w:r w:rsidRPr="00E31BD8">
        <w:t>Conclusions</w:t>
      </w:r>
      <w:bookmarkEnd w:id="11"/>
      <w:bookmarkEnd w:id="12"/>
      <w:r w:rsidR="007E252C">
        <w:t>, policy implications</w:t>
      </w:r>
      <w:r w:rsidR="00E46110">
        <w:t xml:space="preserve"> and policy context</w:t>
      </w:r>
    </w:p>
    <w:p w:rsidR="00386C92" w:rsidRDefault="00386C92" w:rsidP="004C50CB">
      <w:pPr>
        <w:spacing w:line="480" w:lineRule="auto"/>
        <w:jc w:val="both"/>
      </w:pPr>
    </w:p>
    <w:p w:rsidR="00CE7A64" w:rsidRPr="00EC6C23" w:rsidRDefault="00BE29D8" w:rsidP="00B5594D">
      <w:pPr>
        <w:spacing w:line="480" w:lineRule="auto"/>
        <w:jc w:val="both"/>
      </w:pPr>
      <w:r w:rsidRPr="00EC6C23">
        <w:t xml:space="preserve">We conclude by </w:t>
      </w:r>
      <w:r w:rsidR="003B5720" w:rsidRPr="00EC6C23">
        <w:t>considering the objective set out in the introduction</w:t>
      </w:r>
      <w:r w:rsidR="00AE5F04" w:rsidRPr="00EC6C23">
        <w:t xml:space="preserve"> </w:t>
      </w:r>
      <w:r w:rsidR="00CE7A64" w:rsidRPr="00EC6C23">
        <w:t xml:space="preserve">of </w:t>
      </w:r>
      <w:r w:rsidR="003B5720" w:rsidRPr="00EC6C23">
        <w:t xml:space="preserve">identifying the effect of different factors, in particular expenditure, </w:t>
      </w:r>
      <w:r w:rsidR="00F22AF6" w:rsidRPr="00EC6C23">
        <w:t>that affect</w:t>
      </w:r>
      <w:r w:rsidR="00AE5F04" w:rsidRPr="00EC6C23">
        <w:t xml:space="preserve"> the </w:t>
      </w:r>
      <w:r w:rsidR="003B5720" w:rsidRPr="00EC6C23">
        <w:t xml:space="preserve">performance </w:t>
      </w:r>
      <w:r w:rsidR="003B5720" w:rsidRPr="00773F16">
        <w:t>differentials between schools</w:t>
      </w:r>
      <w:r w:rsidR="00CC2AA3" w:rsidRPr="00773F16">
        <w:t>.</w:t>
      </w:r>
      <w:r w:rsidR="003B5720" w:rsidRPr="00773F16">
        <w:t xml:space="preserve"> </w:t>
      </w:r>
      <w:r w:rsidR="009652DA" w:rsidRPr="00773F16">
        <w:t>Our main conclusion on the effect of expenditure on</w:t>
      </w:r>
      <w:r w:rsidR="009652DA" w:rsidRPr="00EC6C23">
        <w:t xml:space="preserve"> </w:t>
      </w:r>
      <w:r w:rsidR="000049CB" w:rsidRPr="00EC6C23">
        <w:t xml:space="preserve">relative </w:t>
      </w:r>
      <w:r w:rsidR="009652DA" w:rsidRPr="00EC6C23">
        <w:t>school performance</w:t>
      </w:r>
      <w:r w:rsidR="00AC4027" w:rsidRPr="00EC6C23">
        <w:t xml:space="preserve"> in NSW</w:t>
      </w:r>
      <w:r w:rsidR="009652DA" w:rsidRPr="00EC6C23">
        <w:t xml:space="preserve"> </w:t>
      </w:r>
      <w:r w:rsidR="000049CB" w:rsidRPr="00EC6C23">
        <w:t xml:space="preserve">is that increases in resources do translate into </w:t>
      </w:r>
      <w:r w:rsidR="000049CB" w:rsidRPr="00447FEF">
        <w:t xml:space="preserve">improved performance, although only to a rather limited extent. </w:t>
      </w:r>
      <w:r w:rsidR="00FB0C89" w:rsidRPr="00447FEF">
        <w:t xml:space="preserve">This finding of a significant effect of expenditure is despite the system in place </w:t>
      </w:r>
      <w:r w:rsidR="00147D0F" w:rsidRPr="00447FEF">
        <w:t>for the estimation period</w:t>
      </w:r>
      <w:r w:rsidR="003D406B" w:rsidRPr="00447FEF">
        <w:t>,</w:t>
      </w:r>
      <w:r w:rsidR="00FB0C89" w:rsidRPr="00447FEF">
        <w:t xml:space="preserve"> which gave limited discretion to schools. </w:t>
      </w:r>
      <w:r w:rsidR="000049CB" w:rsidRPr="00447FEF">
        <w:t>Generally recent studies i</w:t>
      </w:r>
      <w:r w:rsidR="00AC4027" w:rsidRPr="00447FEF">
        <w:t>n other developed</w:t>
      </w:r>
      <w:r w:rsidR="00AC4027" w:rsidRPr="00EC6C23">
        <w:t xml:space="preserve"> countries</w:t>
      </w:r>
      <w:r w:rsidR="009652DA" w:rsidRPr="00EC6C23">
        <w:t xml:space="preserve"> </w:t>
      </w:r>
      <w:r w:rsidR="000049CB" w:rsidRPr="00EC6C23">
        <w:t xml:space="preserve">are on absolute measures of school performance, yet there is a similar finding of </w:t>
      </w:r>
      <w:r w:rsidR="009652DA" w:rsidRPr="00EC6C23">
        <w:t xml:space="preserve">a </w:t>
      </w:r>
      <w:r w:rsidR="000049CB" w:rsidRPr="00EC6C23">
        <w:t xml:space="preserve">statistically significant, but educationally small effect. </w:t>
      </w:r>
      <w:r w:rsidR="00064C40" w:rsidRPr="00EC6C23">
        <w:t xml:space="preserve"> </w:t>
      </w:r>
    </w:p>
    <w:p w:rsidR="000049CB" w:rsidRPr="00EC6C23" w:rsidRDefault="000049CB" w:rsidP="00B5594D">
      <w:pPr>
        <w:spacing w:line="480" w:lineRule="auto"/>
        <w:jc w:val="both"/>
      </w:pPr>
    </w:p>
    <w:p w:rsidR="005F11A2" w:rsidRPr="00EC6C23" w:rsidRDefault="00B5594D" w:rsidP="004C50CB">
      <w:pPr>
        <w:spacing w:line="480" w:lineRule="auto"/>
        <w:jc w:val="both"/>
      </w:pPr>
      <w:r w:rsidRPr="00EC6C23">
        <w:t xml:space="preserve">The relevance of a dynamic specification for the investigation of school performance is demonstrated </w:t>
      </w:r>
      <w:r w:rsidR="00D953DB" w:rsidRPr="00EC6C23">
        <w:t xml:space="preserve">in this application: the validity of the estimates is supported by the standard statistical tests associated with this approach; and there are </w:t>
      </w:r>
      <w:r w:rsidRPr="00EC6C23">
        <w:t xml:space="preserve">the uniformly significant </w:t>
      </w:r>
      <w:r w:rsidRPr="00447FEF">
        <w:t xml:space="preserve">coefficients estimated on the lagged values of the dependent variables across all our specifications. </w:t>
      </w:r>
      <w:r w:rsidR="00F22AF6" w:rsidRPr="00447FEF">
        <w:t>Taken</w:t>
      </w:r>
      <w:r w:rsidR="005F11A2" w:rsidRPr="00447FEF">
        <w:t xml:space="preserve"> </w:t>
      </w:r>
      <w:r w:rsidR="00F22AF6" w:rsidRPr="00447FEF">
        <w:t>with</w:t>
      </w:r>
      <w:r w:rsidR="005F11A2" w:rsidRPr="00447FEF">
        <w:t xml:space="preserve"> the similar findings in </w:t>
      </w:r>
      <w:r w:rsidR="009E09F2" w:rsidRPr="00447FEF">
        <w:t xml:space="preserve">Pugh </w:t>
      </w:r>
      <w:r w:rsidR="009E09F2" w:rsidRPr="00447FEF">
        <w:rPr>
          <w:i/>
        </w:rPr>
        <w:t>et al</w:t>
      </w:r>
      <w:r w:rsidR="009E09F2" w:rsidRPr="00447FEF">
        <w:t>.</w:t>
      </w:r>
      <w:r w:rsidR="005F11A2" w:rsidRPr="00447FEF">
        <w:t xml:space="preserve"> (2011), </w:t>
      </w:r>
      <w:r w:rsidR="00147D0F" w:rsidRPr="00447FEF">
        <w:t xml:space="preserve">firstly </w:t>
      </w:r>
      <w:r w:rsidR="005F11A2" w:rsidRPr="00447FEF">
        <w:t>t</w:t>
      </w:r>
      <w:r w:rsidR="00D953DB" w:rsidRPr="00447FEF">
        <w:t xml:space="preserve">he </w:t>
      </w:r>
      <w:r w:rsidR="00FB0C89" w:rsidRPr="00447FEF">
        <w:t xml:space="preserve">use of a dynamic </w:t>
      </w:r>
      <w:r w:rsidR="00147D0F" w:rsidRPr="00447FEF">
        <w:t>specification in this area of education research is supported</w:t>
      </w:r>
      <w:r w:rsidR="00C14818" w:rsidRPr="00447FEF">
        <w:t>;</w:t>
      </w:r>
      <w:r w:rsidR="00147D0F" w:rsidRPr="00447FEF">
        <w:t xml:space="preserve"> and</w:t>
      </w:r>
      <w:r w:rsidR="00C14818" w:rsidRPr="00447FEF">
        <w:t>,</w:t>
      </w:r>
      <w:r w:rsidR="00147D0F" w:rsidRPr="00447FEF">
        <w:t xml:space="preserve"> secondly</w:t>
      </w:r>
      <w:r w:rsidR="00C14818" w:rsidRPr="00447FEF">
        <w:t>,</w:t>
      </w:r>
      <w:r w:rsidR="00147D0F" w:rsidRPr="00447FEF">
        <w:t xml:space="preserve"> the</w:t>
      </w:r>
      <w:r w:rsidR="00147D0F">
        <w:t xml:space="preserve"> </w:t>
      </w:r>
      <w:r w:rsidR="00F22AF6" w:rsidRPr="00EC6C23">
        <w:t xml:space="preserve">use of panel data together with </w:t>
      </w:r>
      <w:r w:rsidR="00D953DB" w:rsidRPr="00EC6C23">
        <w:t>GMM method</w:t>
      </w:r>
      <w:r w:rsidR="00F22AF6" w:rsidRPr="00EC6C23">
        <w:t>s may provide</w:t>
      </w:r>
      <w:r w:rsidR="00D953DB" w:rsidRPr="00EC6C23">
        <w:t xml:space="preserve"> an approach to the thorny question of endogeneity that is endemic in this area</w:t>
      </w:r>
      <w:r w:rsidR="00F22AF6" w:rsidRPr="00EC6C23">
        <w:t>. W</w:t>
      </w:r>
      <w:r w:rsidR="009C2C17" w:rsidRPr="00EC6C23">
        <w:t xml:space="preserve">e hope that this study will contribute to a </w:t>
      </w:r>
      <w:r w:rsidR="00E07F83" w:rsidRPr="00EC6C23">
        <w:t xml:space="preserve">continuing </w:t>
      </w:r>
      <w:r w:rsidR="009C2C17" w:rsidRPr="00EC6C23">
        <w:t>research agenda</w:t>
      </w:r>
      <w:r w:rsidR="00AE5F04" w:rsidRPr="00EC6C23">
        <w:t xml:space="preserve"> using panel data </w:t>
      </w:r>
      <w:r w:rsidR="00F76E44">
        <w:t>and</w:t>
      </w:r>
      <w:r w:rsidR="00AE5F04" w:rsidRPr="00EC6C23">
        <w:t xml:space="preserve"> a dynamic model</w:t>
      </w:r>
      <w:r w:rsidR="009C2C17" w:rsidRPr="00EC6C23">
        <w:t xml:space="preserve">. </w:t>
      </w:r>
    </w:p>
    <w:p w:rsidR="005F11A2" w:rsidRPr="00EC6C23" w:rsidRDefault="005F11A2" w:rsidP="004C50CB">
      <w:pPr>
        <w:spacing w:line="480" w:lineRule="auto"/>
        <w:jc w:val="both"/>
      </w:pPr>
    </w:p>
    <w:p w:rsidR="00094994" w:rsidRDefault="00147D0F" w:rsidP="004C50CB">
      <w:pPr>
        <w:spacing w:line="480" w:lineRule="auto"/>
        <w:jc w:val="both"/>
      </w:pPr>
      <w:r w:rsidRPr="003F7A84">
        <w:t xml:space="preserve">The finding on the effect of size on performance is relevant in the Australian context given </w:t>
      </w:r>
      <w:r w:rsidR="00634CD6" w:rsidRPr="003F7A84">
        <w:t xml:space="preserve">the </w:t>
      </w:r>
      <w:r w:rsidRPr="003F7A84">
        <w:t>relatively small size of schools on average</w:t>
      </w:r>
      <w:r w:rsidR="003D406B" w:rsidRPr="003F7A84">
        <w:t xml:space="preserve"> in our sample</w:t>
      </w:r>
      <w:r w:rsidR="00263BD1" w:rsidRPr="003F7A84">
        <w:t>. As illustrated in S</w:t>
      </w:r>
      <w:r w:rsidRPr="003F7A84">
        <w:t xml:space="preserve">ection 5, the estimated effect </w:t>
      </w:r>
      <w:r w:rsidR="00766D47" w:rsidRPr="003F7A84">
        <w:t xml:space="preserve">of size on performance </w:t>
      </w:r>
      <w:r w:rsidRPr="003F7A84">
        <w:t>is large</w:t>
      </w:r>
      <w:r w:rsidR="005F5208" w:rsidRPr="003F7A84">
        <w:t xml:space="preserve">. This supports the findings of </w:t>
      </w:r>
      <w:proofErr w:type="spellStart"/>
      <w:r w:rsidR="005F5208" w:rsidRPr="003F7A84">
        <w:t>Mok</w:t>
      </w:r>
      <w:proofErr w:type="spellEnd"/>
      <w:r w:rsidR="005F5208" w:rsidRPr="003F7A84">
        <w:t xml:space="preserve"> and Flynn (1996) for NSW Catholic high schools</w:t>
      </w:r>
      <w:r w:rsidR="003D406B" w:rsidRPr="003F7A84">
        <w:t>.</w:t>
      </w:r>
      <w:r w:rsidR="00263BD1" w:rsidRPr="003F7A84">
        <w:t xml:space="preserve"> </w:t>
      </w:r>
      <w:r w:rsidR="003D406B" w:rsidRPr="003F7A84">
        <w:t>I</w:t>
      </w:r>
      <w:r w:rsidR="005F5208" w:rsidRPr="003F7A84">
        <w:t>nteresting</w:t>
      </w:r>
      <w:r w:rsidR="003D406B" w:rsidRPr="003F7A84">
        <w:t>ly</w:t>
      </w:r>
      <w:r w:rsidR="005F5208" w:rsidRPr="003F7A84">
        <w:t xml:space="preserve"> the size</w:t>
      </w:r>
      <w:r w:rsidR="00A93C25" w:rsidRPr="003F7A84">
        <w:t xml:space="preserve"> that maximises the ATAR score</w:t>
      </w:r>
      <w:r w:rsidR="005849C4" w:rsidRPr="003F7A84">
        <w:t xml:space="preserve"> in this study</w:t>
      </w:r>
      <w:r w:rsidR="005F5208" w:rsidRPr="003F7A84">
        <w:t>, at</w:t>
      </w:r>
      <w:r w:rsidRPr="003F7A84">
        <w:t xml:space="preserve"> </w:t>
      </w:r>
      <w:r w:rsidR="005F5208" w:rsidRPr="003F7A84">
        <w:t>around 1500 students</w:t>
      </w:r>
      <w:r w:rsidR="00A93C25" w:rsidRPr="003F7A84">
        <w:t>,</w:t>
      </w:r>
      <w:r w:rsidRPr="003F7A84">
        <w:t xml:space="preserve"> is the same </w:t>
      </w:r>
      <w:r w:rsidR="00A93C25" w:rsidRPr="003F7A84">
        <w:t xml:space="preserve">size </w:t>
      </w:r>
      <w:r w:rsidRPr="003F7A84">
        <w:t xml:space="preserve">as </w:t>
      </w:r>
      <w:r w:rsidR="00766D47" w:rsidRPr="003F7A84">
        <w:t>estimated by Bradley and Taylor (1998) for</w:t>
      </w:r>
      <w:r w:rsidR="003D406B" w:rsidRPr="003F7A84">
        <w:t xml:space="preserve"> 11-18 schools</w:t>
      </w:r>
      <w:r w:rsidR="00766D47" w:rsidRPr="003F7A84">
        <w:t xml:space="preserve"> England</w:t>
      </w:r>
      <w:r w:rsidR="00B600CB" w:rsidRPr="003F7A84">
        <w:t xml:space="preserve"> using the examination performance of 15-16 year-old students.</w:t>
      </w:r>
      <w:r w:rsidR="00B600CB" w:rsidRPr="003F7A84">
        <w:rPr>
          <w:rStyle w:val="FootnoteReference"/>
        </w:rPr>
        <w:footnoteReference w:id="13"/>
      </w:r>
      <w:r w:rsidR="00766D47" w:rsidRPr="003F7A84">
        <w:t xml:space="preserve"> </w:t>
      </w:r>
      <w:r w:rsidR="005F5208" w:rsidRPr="003F7A84">
        <w:t>However, t</w:t>
      </w:r>
      <w:r w:rsidR="00766D47" w:rsidRPr="003F7A84">
        <w:t xml:space="preserve">here are sound geographical </w:t>
      </w:r>
      <w:r w:rsidR="00A93C25" w:rsidRPr="003F7A84">
        <w:t xml:space="preserve">and social </w:t>
      </w:r>
      <w:r w:rsidR="00766D47" w:rsidRPr="003F7A84">
        <w:t xml:space="preserve">reasons for </w:t>
      </w:r>
      <w:r w:rsidR="00A93C25" w:rsidRPr="003F7A84">
        <w:t xml:space="preserve">the </w:t>
      </w:r>
      <w:r w:rsidR="00766D47" w:rsidRPr="003F7A84">
        <w:t xml:space="preserve">small size for some of the schools in NSW. Even in districts where this does not apply </w:t>
      </w:r>
      <w:r w:rsidR="005F5208" w:rsidRPr="003F7A84">
        <w:t>the</w:t>
      </w:r>
      <w:r w:rsidR="00766D47" w:rsidRPr="003F7A84">
        <w:t xml:space="preserve"> results do not </w:t>
      </w:r>
      <w:r w:rsidR="005F5208" w:rsidRPr="003F7A84">
        <w:t>imply that every school</w:t>
      </w:r>
      <w:r w:rsidR="00766D47" w:rsidRPr="003F7A84">
        <w:t xml:space="preserve"> should aim for this </w:t>
      </w:r>
      <w:r w:rsidR="0040709B" w:rsidRPr="003F7A84">
        <w:t>“</w:t>
      </w:r>
      <w:r w:rsidR="00766D47" w:rsidRPr="003F7A84">
        <w:t>optimum</w:t>
      </w:r>
      <w:r w:rsidR="0040709B" w:rsidRPr="003F7A84">
        <w:t>”</w:t>
      </w:r>
      <w:r w:rsidR="005F5208" w:rsidRPr="003F7A84">
        <w:t>. For instance,</w:t>
      </w:r>
      <w:r w:rsidR="00766D47" w:rsidRPr="003F7A84">
        <w:t xml:space="preserve"> results may vary with different measures of performance and there may be educational benefits, such as improved development of personal and social skills</w:t>
      </w:r>
      <w:r w:rsidR="005F5208" w:rsidRPr="003F7A84">
        <w:t>,</w:t>
      </w:r>
      <w:r w:rsidR="00766D47" w:rsidRPr="003F7A84">
        <w:t xml:space="preserve"> associated with smaller schools</w:t>
      </w:r>
      <w:r w:rsidR="005F5208" w:rsidRPr="003F7A84">
        <w:t xml:space="preserve">. However, </w:t>
      </w:r>
      <w:r w:rsidR="005849C4" w:rsidRPr="003F7A84">
        <w:t>the results suggest that school</w:t>
      </w:r>
      <w:r w:rsidR="005F5208" w:rsidRPr="003F7A84">
        <w:t xml:space="preserve"> size is a</w:t>
      </w:r>
      <w:r w:rsidR="001161D3" w:rsidRPr="003F7A84">
        <w:t>n important</w:t>
      </w:r>
      <w:r w:rsidR="005F5208" w:rsidRPr="003F7A84">
        <w:t xml:space="preserve"> factor that should be considered, along with others, as part of the school improvement agenda.</w:t>
      </w:r>
    </w:p>
    <w:p w:rsidR="00147D0F" w:rsidRDefault="00147D0F" w:rsidP="004C50CB">
      <w:pPr>
        <w:spacing w:line="480" w:lineRule="auto"/>
        <w:jc w:val="both"/>
      </w:pPr>
    </w:p>
    <w:p w:rsidR="00B5594D" w:rsidRPr="0005048D" w:rsidRDefault="00A56A97" w:rsidP="00B5594D">
      <w:pPr>
        <w:spacing w:line="480" w:lineRule="auto"/>
        <w:jc w:val="both"/>
      </w:pPr>
      <w:r w:rsidRPr="0005048D">
        <w:t xml:space="preserve">Finally, there is a policy context for this study, which is transferable to other authorities undertaking major reforms. </w:t>
      </w:r>
      <w:r w:rsidR="00B5594D" w:rsidRPr="0005048D">
        <w:t>The NSW Government Secondary school system is currently a predominantly homogenous one that is mainly funded from State Government resources across a common curriculum. However</w:t>
      </w:r>
      <w:r w:rsidR="00DD1629" w:rsidRPr="0005048D">
        <w:t>,</w:t>
      </w:r>
      <w:r w:rsidR="00B5594D" w:rsidRPr="0005048D">
        <w:t xml:space="preserve"> </w:t>
      </w:r>
      <w:r w:rsidR="00E07F83">
        <w:t xml:space="preserve">the analysis in this study suggests that </w:t>
      </w:r>
      <w:r w:rsidR="00B5594D" w:rsidRPr="0005048D">
        <w:t xml:space="preserve">schools do vary across a wide range of dimensions that have a profound potential to affect their respective levels of performance. Individual schools now have a very </w:t>
      </w:r>
      <w:r w:rsidR="009234D5">
        <w:t>39</w:t>
      </w:r>
      <w:r w:rsidR="00B5594D" w:rsidRPr="0005048D">
        <w:t xml:space="preserve">limited degree of control over decision making, over teacher hiring and firing and resource allocation processes. Nevertheless, under </w:t>
      </w:r>
      <w:r w:rsidR="009B3A10">
        <w:t>the</w:t>
      </w:r>
      <w:r w:rsidR="00B5594D" w:rsidRPr="0005048D">
        <w:t xml:space="preserve"> </w:t>
      </w:r>
      <w:r w:rsidR="009B3A10" w:rsidRPr="0005048D">
        <w:t>“Local Schools Local Decisions”</w:t>
      </w:r>
      <w:r w:rsidR="00B5594D" w:rsidRPr="0005048D">
        <w:t xml:space="preserve"> </w:t>
      </w:r>
      <w:r w:rsidR="009B3A10">
        <w:t xml:space="preserve">policy </w:t>
      </w:r>
      <w:r w:rsidR="00B5594D" w:rsidRPr="0005048D">
        <w:t>of the newly elected State Government</w:t>
      </w:r>
      <w:r w:rsidR="00D1781A" w:rsidRPr="0005048D">
        <w:t xml:space="preserve"> to devolve decision making</w:t>
      </w:r>
      <w:r w:rsidR="00B5594D" w:rsidRPr="0005048D">
        <w:t>, each school in NSW will have control over some 70</w:t>
      </w:r>
      <w:r w:rsidR="00D66C20">
        <w:t xml:space="preserve"> per cent</w:t>
      </w:r>
      <w:r w:rsidR="00D66C20" w:rsidRPr="0005048D">
        <w:t xml:space="preserve"> </w:t>
      </w:r>
      <w:r w:rsidR="00B5594D" w:rsidRPr="0005048D">
        <w:t xml:space="preserve">of their total school budget </w:t>
      </w:r>
      <w:r w:rsidR="00094994">
        <w:t>as well as</w:t>
      </w:r>
      <w:r w:rsidR="00B5594D" w:rsidRPr="0005048D">
        <w:t xml:space="preserve"> control over hiring and firing teachers and other school personnel. This new policy will commence in the 2013 school year with 229 </w:t>
      </w:r>
      <w:r w:rsidR="009D0B4C">
        <w:t>s</w:t>
      </w:r>
      <w:r w:rsidR="00B5594D" w:rsidRPr="0005048D">
        <w:t xml:space="preserve">chools participating in the program with the balance of the remaining 2,000 </w:t>
      </w:r>
      <w:r w:rsidR="00B5594D" w:rsidRPr="00EC6C23">
        <w:t>schools being integrated into the program of decentralized school decision making by the start of the 2015 school year.</w:t>
      </w:r>
      <w:r w:rsidR="00DD1629" w:rsidRPr="00EC6C23">
        <w:t xml:space="preserve"> </w:t>
      </w:r>
      <w:r w:rsidR="001052C9" w:rsidRPr="00EC6C23">
        <w:t xml:space="preserve">This study </w:t>
      </w:r>
      <w:r w:rsidR="00E07F83" w:rsidRPr="00EC6C23">
        <w:t xml:space="preserve">provides a platform for </w:t>
      </w:r>
      <w:r w:rsidR="001052C9" w:rsidRPr="00EC6C23">
        <w:t xml:space="preserve">“before” and “after” assessment aimed at measuring any significant changes in </w:t>
      </w:r>
      <w:r w:rsidR="009D0B4C" w:rsidRPr="00EC6C23">
        <w:t>relative school p</w:t>
      </w:r>
      <w:r w:rsidR="001052C9" w:rsidRPr="00EC6C23">
        <w:t>erformance arising from such budgetary and staf</w:t>
      </w:r>
      <w:r w:rsidR="0005048D" w:rsidRPr="00EC6C23">
        <w:t>fing devolutionary reforms, to evaluate</w:t>
      </w:r>
      <w:r w:rsidR="00B5594D" w:rsidRPr="00EC6C23">
        <w:t xml:space="preserve"> the implementation and effectiveness</w:t>
      </w:r>
      <w:r w:rsidR="00B5594D" w:rsidRPr="0005048D">
        <w:t xml:space="preserve"> of these </w:t>
      </w:r>
      <w:r w:rsidR="0005048D" w:rsidRPr="0005048D">
        <w:t>school decentralization policies</w:t>
      </w:r>
      <w:r w:rsidR="00B5594D" w:rsidRPr="0005048D">
        <w:t xml:space="preserve">. Similar studies could also be undertaken for the other </w:t>
      </w:r>
      <w:r w:rsidR="00094994">
        <w:t>seven</w:t>
      </w:r>
      <w:r w:rsidR="00B5594D" w:rsidRPr="0005048D">
        <w:t xml:space="preserve"> State and Territory Government School Systems across Australia. Likewise such studies could be undertaken for the Catholic and other </w:t>
      </w:r>
      <w:r w:rsidR="009D0B4C">
        <w:t>i</w:t>
      </w:r>
      <w:r w:rsidR="00B5594D" w:rsidRPr="0005048D">
        <w:t xml:space="preserve">ndependent </w:t>
      </w:r>
      <w:r w:rsidR="009D0B4C">
        <w:t>s</w:t>
      </w:r>
      <w:r w:rsidR="00B5594D" w:rsidRPr="0005048D">
        <w:t xml:space="preserve">chool authorities across each State in Australia.  </w:t>
      </w:r>
    </w:p>
    <w:p w:rsidR="006D4FE4" w:rsidRDefault="006D4FE4" w:rsidP="00F731CB">
      <w:pPr>
        <w:spacing w:line="480" w:lineRule="auto"/>
        <w:rPr>
          <w:b/>
        </w:rPr>
      </w:pPr>
    </w:p>
    <w:p w:rsidR="000622E8" w:rsidRPr="004C50CB" w:rsidRDefault="000622E8" w:rsidP="00F731CB">
      <w:pPr>
        <w:spacing w:line="480" w:lineRule="auto"/>
        <w:rPr>
          <w:b/>
        </w:rPr>
      </w:pPr>
      <w:r w:rsidRPr="004C50CB">
        <w:rPr>
          <w:b/>
        </w:rPr>
        <w:t>References</w:t>
      </w:r>
    </w:p>
    <w:p w:rsidR="00A4690D" w:rsidRDefault="00A4690D" w:rsidP="0090224F">
      <w:pPr>
        <w:rPr>
          <w:lang w:eastAsia="zh-CN"/>
        </w:rPr>
      </w:pPr>
    </w:p>
    <w:p w:rsidR="00B94F5B" w:rsidRPr="00B94F5B" w:rsidRDefault="00A4690D" w:rsidP="00B94F5B">
      <w:pPr>
        <w:suppressAutoHyphens/>
        <w:autoSpaceDE w:val="0"/>
        <w:autoSpaceDN w:val="0"/>
        <w:adjustRightInd w:val="0"/>
        <w:spacing w:line="480" w:lineRule="auto"/>
        <w:ind w:left="720" w:hanging="720"/>
        <w:jc w:val="both"/>
        <w:rPr>
          <w:color w:val="000000" w:themeColor="text1"/>
          <w:lang w:eastAsia="ar-SA"/>
        </w:rPr>
      </w:pPr>
      <w:r w:rsidRPr="009B3A10">
        <w:rPr>
          <w:color w:val="000000" w:themeColor="text1"/>
          <w:lang w:eastAsia="ar-SA"/>
        </w:rPr>
        <w:t xml:space="preserve">Arellano M. &amp; </w:t>
      </w:r>
      <w:proofErr w:type="spellStart"/>
      <w:r w:rsidRPr="009B3A10">
        <w:rPr>
          <w:color w:val="000000" w:themeColor="text1"/>
          <w:lang w:eastAsia="ar-SA"/>
        </w:rPr>
        <w:t>Bover</w:t>
      </w:r>
      <w:proofErr w:type="spellEnd"/>
      <w:r w:rsidRPr="009B3A10">
        <w:rPr>
          <w:color w:val="000000" w:themeColor="text1"/>
          <w:lang w:eastAsia="ar-SA"/>
        </w:rPr>
        <w:t xml:space="preserve"> O. (1995) </w:t>
      </w:r>
      <w:proofErr w:type="gramStart"/>
      <w:r w:rsidRPr="009B3A10">
        <w:rPr>
          <w:color w:val="000000" w:themeColor="text1"/>
          <w:lang w:eastAsia="ar-SA"/>
        </w:rPr>
        <w:t>Another</w:t>
      </w:r>
      <w:proofErr w:type="gramEnd"/>
      <w:r w:rsidRPr="009B3A10">
        <w:rPr>
          <w:color w:val="000000" w:themeColor="text1"/>
          <w:lang w:eastAsia="ar-SA"/>
        </w:rPr>
        <w:t xml:space="preserve"> look at the instrumental variable estimation of error-components models, </w:t>
      </w:r>
      <w:r w:rsidRPr="009B3A10">
        <w:rPr>
          <w:i/>
          <w:color w:val="000000" w:themeColor="text1"/>
          <w:lang w:eastAsia="ar-SA"/>
        </w:rPr>
        <w:t>Journal of Econometrics</w:t>
      </w:r>
      <w:r w:rsidRPr="009B3A10">
        <w:rPr>
          <w:color w:val="000000" w:themeColor="text1"/>
          <w:lang w:eastAsia="ar-SA"/>
        </w:rPr>
        <w:t>, 68(1), 29-51.</w:t>
      </w:r>
    </w:p>
    <w:p w:rsidR="004D50E9" w:rsidRPr="004D50E9" w:rsidRDefault="00A4690D" w:rsidP="00B94F5B">
      <w:pPr>
        <w:suppressAutoHyphens/>
        <w:autoSpaceDE w:val="0"/>
        <w:autoSpaceDN w:val="0"/>
        <w:adjustRightInd w:val="0"/>
        <w:spacing w:line="480" w:lineRule="auto"/>
        <w:ind w:left="720" w:hanging="720"/>
        <w:jc w:val="both"/>
        <w:rPr>
          <w:i/>
          <w:iCs/>
          <w:lang w:val="en-AU"/>
        </w:rPr>
      </w:pPr>
      <w:r w:rsidRPr="000D3CDC">
        <w:rPr>
          <w:color w:val="000000" w:themeColor="text1"/>
          <w:lang w:eastAsia="ar-SA"/>
        </w:rPr>
        <w:t>Australian</w:t>
      </w:r>
      <w:r w:rsidR="00B34ADC" w:rsidRPr="000D3CDC">
        <w:t xml:space="preserve"> Curriculum, </w:t>
      </w:r>
      <w:r w:rsidRPr="000D3CDC">
        <w:t xml:space="preserve">Assessment and Reporting Authority </w:t>
      </w:r>
      <w:r w:rsidR="00B94F5B" w:rsidRPr="000D3CDC">
        <w:t>(2010)</w:t>
      </w:r>
      <w:r w:rsidRPr="000D3CDC">
        <w:t xml:space="preserve"> </w:t>
      </w:r>
      <w:r w:rsidRPr="000D3CDC">
        <w:rPr>
          <w:i/>
        </w:rPr>
        <w:t>NAPLAN Achievement in</w:t>
      </w:r>
      <w:r w:rsidR="000B7CD8" w:rsidRPr="000D3CDC">
        <w:rPr>
          <w:i/>
        </w:rPr>
        <w:t xml:space="preserve"> Reading, Writing, Language Conventions and N</w:t>
      </w:r>
      <w:r w:rsidR="004D50E9" w:rsidRPr="000D3CDC">
        <w:rPr>
          <w:i/>
        </w:rPr>
        <w:t xml:space="preserve">umeracy: </w:t>
      </w:r>
      <w:r w:rsidR="00B94F5B" w:rsidRPr="000D3CDC">
        <w:rPr>
          <w:i/>
        </w:rPr>
        <w:t xml:space="preserve">National </w:t>
      </w:r>
      <w:r w:rsidR="004D50E9" w:rsidRPr="000D3CDC">
        <w:rPr>
          <w:i/>
        </w:rPr>
        <w:t xml:space="preserve">Report for 2010, </w:t>
      </w:r>
      <w:r w:rsidR="004D50E9" w:rsidRPr="000D3CDC">
        <w:t>ACARA, Sydney</w:t>
      </w:r>
      <w:r w:rsidR="004D50E9" w:rsidRPr="000D3CDC">
        <w:rPr>
          <w:i/>
        </w:rPr>
        <w:t>.</w:t>
      </w:r>
      <w:r w:rsidR="004D50E9" w:rsidRPr="004D50E9">
        <w:rPr>
          <w:i/>
          <w:iCs/>
          <w:lang w:val="en-AU"/>
        </w:rPr>
        <w:t xml:space="preserve"> </w:t>
      </w:r>
    </w:p>
    <w:p w:rsidR="009E09F2" w:rsidRDefault="009E09F2" w:rsidP="009E09F2">
      <w:pPr>
        <w:suppressAutoHyphens/>
        <w:autoSpaceDE w:val="0"/>
        <w:autoSpaceDN w:val="0"/>
        <w:adjustRightInd w:val="0"/>
        <w:spacing w:line="480" w:lineRule="auto"/>
        <w:ind w:left="720" w:hanging="720"/>
        <w:jc w:val="both"/>
        <w:rPr>
          <w:color w:val="000000" w:themeColor="text1"/>
          <w:lang w:eastAsia="ar-SA"/>
        </w:rPr>
      </w:pPr>
      <w:r>
        <w:t>Blackburn, V.C.</w:t>
      </w:r>
      <w:r w:rsidRPr="00746F97">
        <w:t xml:space="preserve"> </w:t>
      </w:r>
      <w:r>
        <w:t>(</w:t>
      </w:r>
      <w:r w:rsidRPr="00746F97">
        <w:t>1983</w:t>
      </w:r>
      <w:r>
        <w:t>)</w:t>
      </w:r>
      <w:r w:rsidRPr="00746F97">
        <w:t xml:space="preserve"> An Econometric Model of School Finance in Australia with special emphasis on measuring the Impact of Commonwealth School Grants on Government School Budgets in the States from 1973/74 to 1982/83. Paper presented to the 1983 Annual Conference of the Australian Association for Research in Education, Canberra, November 23, 1983, Canberra.</w:t>
      </w:r>
    </w:p>
    <w:p w:rsidR="0038333A" w:rsidRPr="00B8293F" w:rsidRDefault="0038333A" w:rsidP="009E2668">
      <w:pPr>
        <w:suppressAutoHyphens/>
        <w:autoSpaceDE w:val="0"/>
        <w:autoSpaceDN w:val="0"/>
        <w:adjustRightInd w:val="0"/>
        <w:spacing w:line="480" w:lineRule="auto"/>
        <w:ind w:left="720" w:hanging="720"/>
        <w:jc w:val="both"/>
        <w:rPr>
          <w:color w:val="000000" w:themeColor="text1"/>
          <w:lang w:eastAsia="ar-SA"/>
        </w:rPr>
      </w:pPr>
      <w:r w:rsidRPr="00B8293F">
        <w:rPr>
          <w:color w:val="000000" w:themeColor="text1"/>
          <w:lang w:eastAsia="ar-SA"/>
        </w:rPr>
        <w:t>Bond, S. (2002) Dynamic panel models: A guide to micro data methods and practice</w:t>
      </w:r>
      <w:r w:rsidR="00184F77" w:rsidRPr="00B8293F">
        <w:rPr>
          <w:color w:val="000000" w:themeColor="text1"/>
          <w:lang w:eastAsia="ar-SA"/>
        </w:rPr>
        <w:t>, Working</w:t>
      </w:r>
      <w:r w:rsidRPr="00B8293F">
        <w:rPr>
          <w:color w:val="000000" w:themeColor="text1"/>
          <w:lang w:eastAsia="ar-SA"/>
        </w:rPr>
        <w:t xml:space="preserve"> Paper 09/</w:t>
      </w:r>
      <w:proofErr w:type="gramStart"/>
      <w:r w:rsidRPr="00B8293F">
        <w:rPr>
          <w:color w:val="000000" w:themeColor="text1"/>
          <w:lang w:eastAsia="ar-SA"/>
        </w:rPr>
        <w:t>02</w:t>
      </w:r>
      <w:r w:rsidR="00992404" w:rsidRPr="00B8293F">
        <w:rPr>
          <w:color w:val="000000" w:themeColor="text1"/>
          <w:lang w:eastAsia="ar-SA"/>
        </w:rPr>
        <w:t xml:space="preserve"> </w:t>
      </w:r>
      <w:r w:rsidRPr="00B8293F">
        <w:rPr>
          <w:color w:val="000000" w:themeColor="text1"/>
          <w:lang w:eastAsia="ar-SA"/>
        </w:rPr>
        <w:t xml:space="preserve"> </w:t>
      </w:r>
      <w:r w:rsidR="00992404" w:rsidRPr="00B8293F">
        <w:rPr>
          <w:color w:val="000000" w:themeColor="text1"/>
          <w:lang w:eastAsia="ar-SA"/>
        </w:rPr>
        <w:t>(</w:t>
      </w:r>
      <w:proofErr w:type="gramEnd"/>
      <w:r w:rsidR="00992404" w:rsidRPr="00B8293F">
        <w:rPr>
          <w:color w:val="000000" w:themeColor="text1"/>
          <w:lang w:eastAsia="ar-SA"/>
        </w:rPr>
        <w:t xml:space="preserve">London: </w:t>
      </w:r>
      <w:r w:rsidRPr="00B8293F">
        <w:rPr>
          <w:color w:val="000000" w:themeColor="text1"/>
          <w:lang w:eastAsia="ar-SA"/>
        </w:rPr>
        <w:t>Institute for Fiscal Studies</w:t>
      </w:r>
      <w:r w:rsidR="00992404" w:rsidRPr="00B8293F">
        <w:rPr>
          <w:color w:val="000000" w:themeColor="text1"/>
          <w:lang w:eastAsia="ar-SA"/>
        </w:rPr>
        <w:t>)</w:t>
      </w:r>
      <w:r w:rsidRPr="00B8293F">
        <w:rPr>
          <w:color w:val="000000" w:themeColor="text1"/>
          <w:lang w:eastAsia="ar-SA"/>
        </w:rPr>
        <w:t>.</w:t>
      </w:r>
    </w:p>
    <w:p w:rsidR="00A4690D" w:rsidRPr="00B8293F" w:rsidRDefault="000B1F91" w:rsidP="009E2668">
      <w:pPr>
        <w:suppressAutoHyphens/>
        <w:autoSpaceDE w:val="0"/>
        <w:autoSpaceDN w:val="0"/>
        <w:adjustRightInd w:val="0"/>
        <w:spacing w:line="480" w:lineRule="auto"/>
        <w:ind w:left="720" w:hanging="720"/>
        <w:jc w:val="both"/>
        <w:rPr>
          <w:color w:val="000000" w:themeColor="text1"/>
          <w:lang w:eastAsia="ar-SA"/>
        </w:rPr>
      </w:pPr>
      <w:r w:rsidRPr="00B8293F">
        <w:rPr>
          <w:color w:val="000000" w:themeColor="text1"/>
          <w:lang w:eastAsia="ar-SA"/>
        </w:rPr>
        <w:t xml:space="preserve">Bradley, S., </w:t>
      </w:r>
      <w:proofErr w:type="spellStart"/>
      <w:r w:rsidR="00A4690D" w:rsidRPr="00B8293F">
        <w:rPr>
          <w:color w:val="000000" w:themeColor="text1"/>
          <w:lang w:eastAsia="ar-SA"/>
        </w:rPr>
        <w:t>Dra</w:t>
      </w:r>
      <w:r w:rsidR="00721633" w:rsidRPr="00B8293F">
        <w:rPr>
          <w:color w:val="000000" w:themeColor="text1"/>
          <w:lang w:eastAsia="ar-SA"/>
        </w:rPr>
        <w:t>ca</w:t>
      </w:r>
      <w:proofErr w:type="spellEnd"/>
      <w:r w:rsidR="00721633" w:rsidRPr="00B8293F">
        <w:rPr>
          <w:color w:val="000000" w:themeColor="text1"/>
          <w:lang w:eastAsia="ar-SA"/>
        </w:rPr>
        <w:t>, M.</w:t>
      </w:r>
      <w:r w:rsidR="00231429" w:rsidRPr="00B8293F">
        <w:rPr>
          <w:color w:val="000000" w:themeColor="text1"/>
          <w:lang w:eastAsia="ar-SA"/>
        </w:rPr>
        <w:t xml:space="preserve"> &amp; Green</w:t>
      </w:r>
      <w:r w:rsidR="00A4690D" w:rsidRPr="00B8293F">
        <w:rPr>
          <w:color w:val="000000" w:themeColor="text1"/>
          <w:lang w:eastAsia="ar-SA"/>
        </w:rPr>
        <w:t xml:space="preserve"> </w:t>
      </w:r>
      <w:r w:rsidR="00231429" w:rsidRPr="00B8293F">
        <w:rPr>
          <w:color w:val="000000" w:themeColor="text1"/>
          <w:lang w:eastAsia="ar-SA"/>
        </w:rPr>
        <w:t>C. (</w:t>
      </w:r>
      <w:r w:rsidR="00A4690D" w:rsidRPr="00B8293F">
        <w:rPr>
          <w:color w:val="000000" w:themeColor="text1"/>
          <w:lang w:eastAsia="ar-SA"/>
        </w:rPr>
        <w:t>2004</w:t>
      </w:r>
      <w:r w:rsidR="00231429" w:rsidRPr="00B8293F">
        <w:rPr>
          <w:color w:val="000000" w:themeColor="text1"/>
          <w:lang w:eastAsia="ar-SA"/>
        </w:rPr>
        <w:t>)</w:t>
      </w:r>
      <w:r w:rsidR="00CD5AED" w:rsidRPr="00B8293F">
        <w:rPr>
          <w:color w:val="000000" w:themeColor="text1"/>
          <w:lang w:eastAsia="ar-SA"/>
        </w:rPr>
        <w:t xml:space="preserve"> </w:t>
      </w:r>
      <w:r w:rsidR="00A4690D" w:rsidRPr="00B8293F">
        <w:rPr>
          <w:color w:val="000000" w:themeColor="text1"/>
          <w:lang w:eastAsia="ar-SA"/>
        </w:rPr>
        <w:t xml:space="preserve">School Performance in Australia: Is There a Role for </w:t>
      </w:r>
      <w:r w:rsidR="00344EE3" w:rsidRPr="00B8293F">
        <w:rPr>
          <w:color w:val="000000" w:themeColor="text1"/>
          <w:lang w:eastAsia="ar-SA"/>
        </w:rPr>
        <w:t>Quasi-Markets?</w:t>
      </w:r>
      <w:r w:rsidR="00231429" w:rsidRPr="00B8293F">
        <w:rPr>
          <w:color w:val="000000" w:themeColor="text1"/>
          <w:lang w:eastAsia="ar-SA"/>
        </w:rPr>
        <w:t xml:space="preserve"> </w:t>
      </w:r>
      <w:r w:rsidR="00231429" w:rsidRPr="00B8293F">
        <w:rPr>
          <w:i/>
          <w:color w:val="000000" w:themeColor="text1"/>
          <w:lang w:eastAsia="ar-SA"/>
        </w:rPr>
        <w:t>Australian Economic Review</w:t>
      </w:r>
      <w:r w:rsidR="00231429" w:rsidRPr="00B8293F">
        <w:rPr>
          <w:color w:val="000000" w:themeColor="text1"/>
          <w:lang w:eastAsia="ar-SA"/>
        </w:rPr>
        <w:t xml:space="preserve">, 37(3), 271-286. </w:t>
      </w:r>
    </w:p>
    <w:p w:rsidR="00A93C25" w:rsidRPr="009E2668" w:rsidRDefault="0002528F" w:rsidP="00A93C25">
      <w:pPr>
        <w:suppressAutoHyphens/>
        <w:autoSpaceDE w:val="0"/>
        <w:autoSpaceDN w:val="0"/>
        <w:adjustRightInd w:val="0"/>
        <w:spacing w:line="480" w:lineRule="auto"/>
        <w:ind w:left="720" w:hanging="720"/>
        <w:jc w:val="both"/>
        <w:rPr>
          <w:color w:val="000000" w:themeColor="text1"/>
          <w:lang w:eastAsia="ar-SA"/>
        </w:rPr>
      </w:pPr>
      <w:r w:rsidRPr="00B8293F">
        <w:rPr>
          <w:color w:val="000000" w:themeColor="text1"/>
          <w:lang w:eastAsia="ar-SA"/>
        </w:rPr>
        <w:t>Bradley, S. &amp; Taylor, J.</w:t>
      </w:r>
      <w:r w:rsidR="00A93C25" w:rsidRPr="00B8293F">
        <w:rPr>
          <w:color w:val="000000" w:themeColor="text1"/>
          <w:lang w:eastAsia="ar-SA"/>
        </w:rPr>
        <w:t xml:space="preserve"> (1998) </w:t>
      </w:r>
      <w:proofErr w:type="gramStart"/>
      <w:r w:rsidR="00A93C25" w:rsidRPr="00B8293F">
        <w:rPr>
          <w:color w:val="000000" w:themeColor="text1"/>
          <w:lang w:eastAsia="ar-SA"/>
        </w:rPr>
        <w:t>The</w:t>
      </w:r>
      <w:proofErr w:type="gramEnd"/>
      <w:r w:rsidR="00A93C25" w:rsidRPr="00B8293F">
        <w:rPr>
          <w:color w:val="000000" w:themeColor="text1"/>
          <w:lang w:eastAsia="ar-SA"/>
        </w:rPr>
        <w:t xml:space="preserve"> effect of school size on exam performance in </w:t>
      </w:r>
      <w:r w:rsidR="00CC2AA3" w:rsidRPr="00B8293F">
        <w:rPr>
          <w:color w:val="000000" w:themeColor="text1"/>
          <w:lang w:eastAsia="ar-SA"/>
        </w:rPr>
        <w:t xml:space="preserve">secondary schools, </w:t>
      </w:r>
      <w:r w:rsidR="00CC2AA3" w:rsidRPr="00B8293F">
        <w:rPr>
          <w:i/>
          <w:color w:val="000000" w:themeColor="text1"/>
          <w:lang w:eastAsia="ar-SA"/>
        </w:rPr>
        <w:t>Oxford Bulletin of Economics and Statistics</w:t>
      </w:r>
      <w:r w:rsidR="00CC2AA3" w:rsidRPr="00B8293F">
        <w:rPr>
          <w:color w:val="000000" w:themeColor="text1"/>
          <w:lang w:eastAsia="ar-SA"/>
        </w:rPr>
        <w:t>, 60 (3), 291-324.</w:t>
      </w:r>
    </w:p>
    <w:p w:rsidR="002D0A36" w:rsidRDefault="002D0A36" w:rsidP="00DA17DD">
      <w:pPr>
        <w:suppressAutoHyphens/>
        <w:autoSpaceDE w:val="0"/>
        <w:autoSpaceDN w:val="0"/>
        <w:adjustRightInd w:val="0"/>
        <w:spacing w:line="480" w:lineRule="auto"/>
        <w:ind w:left="720" w:hanging="720"/>
        <w:rPr>
          <w:color w:val="000000" w:themeColor="text1"/>
          <w:lang w:eastAsia="ar-SA"/>
        </w:rPr>
      </w:pPr>
      <w:proofErr w:type="gramStart"/>
      <w:r w:rsidRPr="001A7B2E">
        <w:rPr>
          <w:color w:val="000000" w:themeColor="text1"/>
          <w:lang w:eastAsia="ar-SA"/>
        </w:rPr>
        <w:t xml:space="preserve">Freedman, D. (1999) Ecological Inference and the Ecological Fallacy, Technical Report No.549, International </w:t>
      </w:r>
      <w:proofErr w:type="spellStart"/>
      <w:r w:rsidR="00DA082C" w:rsidRPr="001A7B2E">
        <w:rPr>
          <w:color w:val="000000" w:themeColor="text1"/>
          <w:lang w:eastAsia="ar-SA"/>
        </w:rPr>
        <w:t>Encyclop</w:t>
      </w:r>
      <w:r w:rsidRPr="001A7B2E">
        <w:rPr>
          <w:color w:val="000000" w:themeColor="text1"/>
          <w:lang w:eastAsia="ar-SA"/>
        </w:rPr>
        <w:t>edia</w:t>
      </w:r>
      <w:proofErr w:type="spellEnd"/>
      <w:r w:rsidRPr="001A7B2E">
        <w:rPr>
          <w:color w:val="000000" w:themeColor="text1"/>
          <w:lang w:eastAsia="ar-SA"/>
        </w:rPr>
        <w:t xml:space="preserve"> of the Social and Behavioural Sciences 6, 4027-30.</w:t>
      </w:r>
      <w:proofErr w:type="gramEnd"/>
      <w:r w:rsidRPr="001A7B2E">
        <w:rPr>
          <w:color w:val="000000" w:themeColor="text1"/>
          <w:lang w:eastAsia="ar-SA"/>
        </w:rPr>
        <w:t xml:space="preserve"> Available online at: </w:t>
      </w:r>
      <w:hyperlink r:id="rId16" w:history="1">
        <w:r w:rsidRPr="001A7B2E">
          <w:rPr>
            <w:rStyle w:val="Hyperlink"/>
            <w:lang w:eastAsia="ar-SA"/>
          </w:rPr>
          <w:t>http://www.stanford.edu/class/ed260/freedman549.pdf</w:t>
        </w:r>
      </w:hyperlink>
      <w:r>
        <w:rPr>
          <w:color w:val="000000" w:themeColor="text1"/>
          <w:lang w:eastAsia="ar-SA"/>
        </w:rPr>
        <w:t xml:space="preserve"> </w:t>
      </w:r>
    </w:p>
    <w:p w:rsidR="004D50E9" w:rsidRDefault="00A4690D" w:rsidP="00DA17DD">
      <w:pPr>
        <w:suppressAutoHyphens/>
        <w:autoSpaceDE w:val="0"/>
        <w:autoSpaceDN w:val="0"/>
        <w:adjustRightInd w:val="0"/>
        <w:spacing w:line="480" w:lineRule="auto"/>
        <w:ind w:left="720" w:hanging="720"/>
      </w:pPr>
      <w:r w:rsidRPr="004C0B6B">
        <w:rPr>
          <w:color w:val="000000" w:themeColor="text1"/>
          <w:lang w:eastAsia="ar-SA"/>
        </w:rPr>
        <w:t>Gibbons</w:t>
      </w:r>
      <w:r w:rsidR="004C0B6B">
        <w:rPr>
          <w:color w:val="000000" w:themeColor="text1"/>
          <w:lang w:eastAsia="ar-SA"/>
        </w:rPr>
        <w:t>, E.</w:t>
      </w:r>
      <w:r w:rsidRPr="004C0B6B">
        <w:rPr>
          <w:color w:val="000000" w:themeColor="text1"/>
          <w:lang w:eastAsia="ar-SA"/>
        </w:rPr>
        <w:t xml:space="preserve"> (2002) Geography, Resources and Primary School Performance</w:t>
      </w:r>
      <w:r w:rsidR="004D50E9" w:rsidRPr="004C0B6B">
        <w:rPr>
          <w:color w:val="000000" w:themeColor="text1"/>
          <w:lang w:eastAsia="ar-SA"/>
        </w:rPr>
        <w:t xml:space="preserve">, Centre for the </w:t>
      </w:r>
      <w:r w:rsidRPr="004C0B6B">
        <w:rPr>
          <w:color w:val="000000" w:themeColor="text1"/>
          <w:lang w:eastAsia="ar-SA"/>
        </w:rPr>
        <w:t>Economics of Education. Available online at:</w:t>
      </w:r>
      <w:r w:rsidR="004C0B6B">
        <w:rPr>
          <w:color w:val="000000" w:themeColor="text1"/>
          <w:lang w:eastAsia="ar-SA"/>
        </w:rPr>
        <w:t xml:space="preserve"> </w:t>
      </w:r>
      <w:hyperlink r:id="rId17" w:history="1">
        <w:r w:rsidRPr="004C0B6B">
          <w:rPr>
            <w:lang w:eastAsia="ar-SA"/>
          </w:rPr>
          <w:t>http://cee.lse.ac.uk/cee%20dps/CEEDP25.pdf</w:t>
        </w:r>
      </w:hyperlink>
      <w:r w:rsidR="004C0B6B">
        <w:rPr>
          <w:color w:val="000000" w:themeColor="text1"/>
          <w:lang w:eastAsia="ar-SA"/>
        </w:rPr>
        <w:t xml:space="preserve"> (accessed 8</w:t>
      </w:r>
      <w:r w:rsidRPr="004C0B6B">
        <w:rPr>
          <w:color w:val="000000" w:themeColor="text1"/>
          <w:lang w:eastAsia="ar-SA"/>
        </w:rPr>
        <w:t xml:space="preserve"> </w:t>
      </w:r>
      <w:r w:rsidR="004C0B6B">
        <w:rPr>
          <w:color w:val="000000" w:themeColor="text1"/>
          <w:lang w:eastAsia="ar-SA"/>
        </w:rPr>
        <w:t>March 2013</w:t>
      </w:r>
      <w:r w:rsidRPr="004C0B6B">
        <w:rPr>
          <w:color w:val="000000" w:themeColor="text1"/>
          <w:lang w:eastAsia="ar-SA"/>
        </w:rPr>
        <w:t>).</w:t>
      </w:r>
    </w:p>
    <w:p w:rsidR="004D50E9" w:rsidRPr="00FB1E68" w:rsidRDefault="00AA468E" w:rsidP="00FB1E68">
      <w:pPr>
        <w:suppressAutoHyphens/>
        <w:autoSpaceDE w:val="0"/>
        <w:autoSpaceDN w:val="0"/>
        <w:adjustRightInd w:val="0"/>
        <w:spacing w:line="480" w:lineRule="auto"/>
        <w:ind w:left="720" w:hanging="720"/>
        <w:rPr>
          <w:color w:val="000000" w:themeColor="text1"/>
          <w:lang w:eastAsia="ar-SA"/>
        </w:rPr>
      </w:pPr>
      <w:proofErr w:type="spellStart"/>
      <w:proofErr w:type="gramStart"/>
      <w:r>
        <w:rPr>
          <w:color w:val="000000" w:themeColor="text1"/>
          <w:lang w:eastAsia="ar-SA"/>
        </w:rPr>
        <w:t>Gonski</w:t>
      </w:r>
      <w:proofErr w:type="spellEnd"/>
      <w:r>
        <w:rPr>
          <w:color w:val="000000" w:themeColor="text1"/>
          <w:lang w:eastAsia="ar-SA"/>
        </w:rPr>
        <w:t>, D.</w:t>
      </w:r>
      <w:r w:rsidR="00A4690D" w:rsidRPr="00FB1E68">
        <w:rPr>
          <w:color w:val="000000" w:themeColor="text1"/>
          <w:lang w:eastAsia="ar-SA"/>
        </w:rPr>
        <w:t xml:space="preserve"> </w:t>
      </w:r>
      <w:r>
        <w:rPr>
          <w:color w:val="000000" w:themeColor="text1"/>
          <w:lang w:eastAsia="ar-SA"/>
        </w:rPr>
        <w:t>(</w:t>
      </w:r>
      <w:r w:rsidR="00A4690D" w:rsidRPr="00FB1E68">
        <w:rPr>
          <w:color w:val="000000" w:themeColor="text1"/>
          <w:lang w:eastAsia="ar-SA"/>
        </w:rPr>
        <w:t>2011</w:t>
      </w:r>
      <w:r>
        <w:rPr>
          <w:color w:val="000000" w:themeColor="text1"/>
          <w:lang w:eastAsia="ar-SA"/>
        </w:rPr>
        <w:t>)</w:t>
      </w:r>
      <w:r w:rsidR="00CD5AED">
        <w:rPr>
          <w:color w:val="000000" w:themeColor="text1"/>
          <w:lang w:eastAsia="ar-SA"/>
        </w:rPr>
        <w:t xml:space="preserve"> </w:t>
      </w:r>
      <w:r w:rsidR="00A4690D" w:rsidRPr="00FB1E68">
        <w:rPr>
          <w:color w:val="000000" w:themeColor="text1"/>
          <w:lang w:eastAsia="ar-SA"/>
        </w:rPr>
        <w:t>Review of Funding for Schooling - Final Report</w:t>
      </w:r>
      <w:r w:rsidR="004D50E9" w:rsidRPr="00FB1E68">
        <w:rPr>
          <w:color w:val="000000" w:themeColor="text1"/>
          <w:lang w:eastAsia="ar-SA"/>
        </w:rPr>
        <w:t>,</w:t>
      </w:r>
      <w:r w:rsidR="00CB5A1B">
        <w:rPr>
          <w:color w:val="000000" w:themeColor="text1"/>
          <w:lang w:eastAsia="ar-SA"/>
        </w:rPr>
        <w:t xml:space="preserve"> </w:t>
      </w:r>
      <w:r w:rsidR="00A4690D" w:rsidRPr="00FB1E68">
        <w:rPr>
          <w:color w:val="000000" w:themeColor="text1"/>
          <w:lang w:eastAsia="ar-SA"/>
        </w:rPr>
        <w:t xml:space="preserve">December,   Commonwealth </w:t>
      </w:r>
      <w:r w:rsidR="00F443C1">
        <w:rPr>
          <w:color w:val="000000" w:themeColor="text1"/>
          <w:lang w:eastAsia="ar-SA"/>
        </w:rPr>
        <w:t>Government, Canberra, Australia.</w:t>
      </w:r>
      <w:proofErr w:type="gramEnd"/>
      <w:r w:rsidR="00F443C1">
        <w:rPr>
          <w:color w:val="000000" w:themeColor="text1"/>
          <w:lang w:eastAsia="ar-SA"/>
        </w:rPr>
        <w:t xml:space="preserve"> </w:t>
      </w:r>
      <w:r w:rsidR="00F443C1" w:rsidRPr="004C0B6B">
        <w:rPr>
          <w:color w:val="000000" w:themeColor="text1"/>
          <w:lang w:eastAsia="ar-SA"/>
        </w:rPr>
        <w:t>Available online at:</w:t>
      </w:r>
      <w:r w:rsidR="00F443C1">
        <w:rPr>
          <w:color w:val="000000" w:themeColor="text1"/>
          <w:lang w:eastAsia="ar-SA"/>
        </w:rPr>
        <w:t xml:space="preserve"> </w:t>
      </w:r>
      <w:hyperlink r:id="rId18" w:history="1">
        <w:r w:rsidR="003E53A2" w:rsidRPr="0030539A">
          <w:rPr>
            <w:rStyle w:val="Hyperlink"/>
            <w:lang w:eastAsia="ar-SA"/>
          </w:rPr>
          <w:t>http://foi.deewr.gov.au/system/files/doc/other/review-of-funding-for-schooling-final-report-dec-2011.pdf</w:t>
        </w:r>
      </w:hyperlink>
      <w:r w:rsidR="003E53A2">
        <w:rPr>
          <w:color w:val="000000" w:themeColor="text1"/>
          <w:lang w:eastAsia="ar-SA"/>
        </w:rPr>
        <w:t xml:space="preserve"> </w:t>
      </w:r>
      <w:r w:rsidR="00F443C1">
        <w:rPr>
          <w:color w:val="000000" w:themeColor="text1"/>
          <w:lang w:eastAsia="ar-SA"/>
        </w:rPr>
        <w:t>(accessed 8 March 2013).</w:t>
      </w:r>
    </w:p>
    <w:p w:rsidR="00A4690D" w:rsidRDefault="00A4690D" w:rsidP="007E53A7">
      <w:pPr>
        <w:suppressAutoHyphens/>
        <w:autoSpaceDE w:val="0"/>
        <w:autoSpaceDN w:val="0"/>
        <w:adjustRightInd w:val="0"/>
        <w:spacing w:line="480" w:lineRule="auto"/>
        <w:ind w:left="720" w:hanging="720"/>
      </w:pPr>
      <w:proofErr w:type="spellStart"/>
      <w:r>
        <w:t>Haegland</w:t>
      </w:r>
      <w:proofErr w:type="spellEnd"/>
      <w:r>
        <w:t xml:space="preserve">, T., </w:t>
      </w:r>
      <w:proofErr w:type="spellStart"/>
      <w:r>
        <w:t>Raaum</w:t>
      </w:r>
      <w:proofErr w:type="spellEnd"/>
      <w:r>
        <w:t xml:space="preserve">, O. </w:t>
      </w:r>
      <w:r w:rsidR="00173955">
        <w:t>&amp;</w:t>
      </w:r>
      <w:r>
        <w:t xml:space="preserve"> </w:t>
      </w:r>
      <w:proofErr w:type="spellStart"/>
      <w:r>
        <w:t>Salvanes</w:t>
      </w:r>
      <w:proofErr w:type="spellEnd"/>
      <w:r>
        <w:t>, K. (2005) Pupil achievement, school resources and family background, IZA (</w:t>
      </w:r>
      <w:smartTag w:uri="urn:schemas-microsoft-com:office:smarttags" w:element="place">
        <w:smartTag w:uri="urn:schemas-microsoft-com:office:smarttags" w:element="City">
          <w:r>
            <w:t>Bonn</w:t>
          </w:r>
        </w:smartTag>
      </w:smartTag>
      <w:r>
        <w:t>) Discussion Paper No. 1459.</w:t>
      </w:r>
    </w:p>
    <w:p w:rsidR="00A4690D" w:rsidRPr="00321BAD" w:rsidRDefault="00A4690D" w:rsidP="00205156">
      <w:pPr>
        <w:suppressAutoHyphens/>
        <w:autoSpaceDE w:val="0"/>
        <w:autoSpaceDN w:val="0"/>
        <w:adjustRightInd w:val="0"/>
        <w:spacing w:line="480" w:lineRule="auto"/>
        <w:ind w:left="720" w:hanging="720"/>
      </w:pPr>
      <w:proofErr w:type="spellStart"/>
      <w:r w:rsidRPr="00321BAD">
        <w:t>Hanushek</w:t>
      </w:r>
      <w:proofErr w:type="spellEnd"/>
      <w:r w:rsidRPr="00321BAD">
        <w:t xml:space="preserve">, E. </w:t>
      </w:r>
      <w:smartTag w:uri="isiresearchsoft-com/cwyw" w:element="citation">
        <w:r w:rsidRPr="00321BAD">
          <w:t>(2002)</w:t>
        </w:r>
      </w:smartTag>
      <w:r w:rsidRPr="00321BAD">
        <w:t xml:space="preserve"> Publicly provided education, in</w:t>
      </w:r>
      <w:r w:rsidR="00817F0E">
        <w:t>:</w:t>
      </w:r>
      <w:r w:rsidRPr="00321BAD">
        <w:t xml:space="preserve"> </w:t>
      </w:r>
      <w:r w:rsidR="007E53A7" w:rsidRPr="00321BAD">
        <w:t xml:space="preserve">A. </w:t>
      </w:r>
      <w:proofErr w:type="spellStart"/>
      <w:r w:rsidR="007E53A7" w:rsidRPr="00321BAD">
        <w:t>Auerbach</w:t>
      </w:r>
      <w:proofErr w:type="spellEnd"/>
      <w:r w:rsidR="007E53A7" w:rsidRPr="00321BAD">
        <w:t xml:space="preserve"> </w:t>
      </w:r>
      <w:r w:rsidR="008E4D31">
        <w:t>&amp;</w:t>
      </w:r>
      <w:r w:rsidR="007E53A7" w:rsidRPr="00321BAD">
        <w:t xml:space="preserve"> M. Feldstein</w:t>
      </w:r>
      <w:r w:rsidR="007E53A7" w:rsidRPr="00205156">
        <w:t xml:space="preserve"> </w:t>
      </w:r>
      <w:r w:rsidR="008E4D31">
        <w:t>(</w:t>
      </w:r>
      <w:proofErr w:type="spellStart"/>
      <w:r w:rsidR="008E4D31">
        <w:t>Eds</w:t>
      </w:r>
      <w:proofErr w:type="spellEnd"/>
      <w:r w:rsidR="008E4D31" w:rsidRPr="00321BAD">
        <w:t>)</w:t>
      </w:r>
      <w:r w:rsidR="008E4D31">
        <w:t xml:space="preserve"> </w:t>
      </w:r>
      <w:r w:rsidRPr="008E4D31">
        <w:rPr>
          <w:i/>
        </w:rPr>
        <w:t>Handbook of Public Economics</w:t>
      </w:r>
      <w:r w:rsidRPr="00205156">
        <w:t xml:space="preserve"> </w:t>
      </w:r>
      <w:r w:rsidR="008E4D31">
        <w:t>(v</w:t>
      </w:r>
      <w:r w:rsidRPr="00205156">
        <w:t>ol. 4</w:t>
      </w:r>
      <w:r w:rsidR="008E4D31">
        <w:t>)</w:t>
      </w:r>
      <w:r w:rsidRPr="00321BAD">
        <w:t xml:space="preserve"> </w:t>
      </w:r>
      <w:r w:rsidR="008E4D31">
        <w:t>(</w:t>
      </w:r>
      <w:r w:rsidR="008E4D31" w:rsidRPr="00321BAD">
        <w:t>Amsterdam</w:t>
      </w:r>
      <w:r w:rsidR="008E4D31">
        <w:t xml:space="preserve">, Elsevier), </w:t>
      </w:r>
      <w:r>
        <w:t>2045-</w:t>
      </w:r>
      <w:r w:rsidR="008E4D31">
        <w:t>2</w:t>
      </w:r>
      <w:r>
        <w:t>141.</w:t>
      </w:r>
    </w:p>
    <w:p w:rsidR="006D0B1A" w:rsidRDefault="00A4690D" w:rsidP="006D0B1A">
      <w:pPr>
        <w:suppressAutoHyphens/>
        <w:autoSpaceDE w:val="0"/>
        <w:autoSpaceDN w:val="0"/>
        <w:adjustRightInd w:val="0"/>
        <w:spacing w:line="480" w:lineRule="auto"/>
        <w:ind w:left="720" w:hanging="720"/>
      </w:pPr>
      <w:proofErr w:type="spellStart"/>
      <w:r w:rsidRPr="00321BAD">
        <w:t>Hanushek</w:t>
      </w:r>
      <w:proofErr w:type="spellEnd"/>
      <w:r w:rsidRPr="00321BAD">
        <w:t xml:space="preserve">, E. </w:t>
      </w:r>
      <w:smartTag w:uri="isiresearchsoft-com/cwyw" w:element="citation">
        <w:r w:rsidRPr="00321BAD">
          <w:t>(2003)</w:t>
        </w:r>
      </w:smartTag>
      <w:r w:rsidRPr="00321BAD">
        <w:t xml:space="preserve"> The failure of input-based schooling policies, </w:t>
      </w:r>
      <w:r w:rsidRPr="00E64B84">
        <w:rPr>
          <w:i/>
        </w:rPr>
        <w:t>Economic Journal</w:t>
      </w:r>
      <w:r w:rsidRPr="00321BAD">
        <w:t xml:space="preserve">, </w:t>
      </w:r>
      <w:r w:rsidRPr="00E64B84">
        <w:t xml:space="preserve">113 </w:t>
      </w:r>
      <w:smartTag w:uri="isiresearchsoft-com/cwyw" w:element="citation">
        <w:r w:rsidRPr="00E64B84">
          <w:t>(February)</w:t>
        </w:r>
        <w:r w:rsidR="00E64B84">
          <w:t>,</w:t>
        </w:r>
      </w:smartTag>
      <w:r w:rsidRPr="00321BAD">
        <w:t xml:space="preserve"> F64-F98.</w:t>
      </w:r>
    </w:p>
    <w:p w:rsidR="001D4D25" w:rsidRDefault="00A4690D" w:rsidP="001D4D25">
      <w:pPr>
        <w:suppressAutoHyphens/>
        <w:autoSpaceDE w:val="0"/>
        <w:autoSpaceDN w:val="0"/>
        <w:adjustRightInd w:val="0"/>
        <w:spacing w:line="480" w:lineRule="auto"/>
        <w:ind w:left="720" w:hanging="720"/>
      </w:pPr>
      <w:proofErr w:type="spellStart"/>
      <w:r>
        <w:t>Heinesen</w:t>
      </w:r>
      <w:proofErr w:type="spellEnd"/>
      <w:r>
        <w:t xml:space="preserve">, E. </w:t>
      </w:r>
      <w:r w:rsidR="006D0B1A">
        <w:t>&amp;</w:t>
      </w:r>
      <w:r>
        <w:t xml:space="preserve"> </w:t>
      </w:r>
      <w:proofErr w:type="spellStart"/>
      <w:r>
        <w:t>Graversen</w:t>
      </w:r>
      <w:proofErr w:type="spellEnd"/>
      <w:r>
        <w:t xml:space="preserve">, B. (2005) The effects of school resources on educational attainment: evidence from </w:t>
      </w:r>
      <w:smartTag w:uri="urn:schemas-microsoft-com:office:smarttags" w:element="place">
        <w:smartTag w:uri="urn:schemas-microsoft-com:office:smarttags" w:element="country-region">
          <w:r>
            <w:t>Denmark</w:t>
          </w:r>
        </w:smartTag>
      </w:smartTag>
      <w:r>
        <w:t xml:space="preserve">, </w:t>
      </w:r>
      <w:r w:rsidRPr="00AB06C9">
        <w:rPr>
          <w:i/>
        </w:rPr>
        <w:t>Bulletin of Economic Research</w:t>
      </w:r>
      <w:r>
        <w:t xml:space="preserve">, </w:t>
      </w:r>
      <w:r w:rsidRPr="006D0B1A">
        <w:t>57</w:t>
      </w:r>
      <w:r w:rsidR="006D0B1A">
        <w:t>,</w:t>
      </w:r>
      <w:r>
        <w:t xml:space="preserve"> 109-</w:t>
      </w:r>
      <w:r w:rsidR="007B718A">
        <w:t>1</w:t>
      </w:r>
      <w:r>
        <w:t xml:space="preserve">43. </w:t>
      </w:r>
    </w:p>
    <w:p w:rsidR="00A4690D" w:rsidRDefault="001D4D25" w:rsidP="001D4D25">
      <w:pPr>
        <w:suppressAutoHyphens/>
        <w:autoSpaceDE w:val="0"/>
        <w:autoSpaceDN w:val="0"/>
        <w:adjustRightInd w:val="0"/>
        <w:spacing w:line="480" w:lineRule="auto"/>
        <w:ind w:left="720" w:hanging="720"/>
      </w:pPr>
      <w:proofErr w:type="spellStart"/>
      <w:r>
        <w:t>Hinz</w:t>
      </w:r>
      <w:proofErr w:type="spellEnd"/>
      <w:r>
        <w:t>, B. (2010)</w:t>
      </w:r>
      <w:r w:rsidR="00667C8D">
        <w:t xml:space="preserve"> </w:t>
      </w:r>
      <w:r w:rsidR="00A4690D">
        <w:t>Australian Federalism and School Funding</w:t>
      </w:r>
      <w:r>
        <w:t xml:space="preserve"> Arrangements: An Examination of </w:t>
      </w:r>
      <w:r w:rsidR="00E53E52">
        <w:t>C</w:t>
      </w:r>
      <w:r>
        <w:t xml:space="preserve">ompeting </w:t>
      </w:r>
      <w:r w:rsidR="00E53E52">
        <w:t>M</w:t>
      </w:r>
      <w:r>
        <w:t xml:space="preserve">odels and </w:t>
      </w:r>
      <w:r w:rsidR="00E53E52">
        <w:t>R</w:t>
      </w:r>
      <w:r>
        <w:t xml:space="preserve">ecurrent </w:t>
      </w:r>
      <w:r w:rsidR="00E53E52">
        <w:t>C</w:t>
      </w:r>
      <w:r>
        <w:t xml:space="preserve">ritiques. </w:t>
      </w:r>
      <w:r w:rsidR="0039579A">
        <w:t xml:space="preserve">Canadian Political </w:t>
      </w:r>
      <w:r w:rsidRPr="001D4D25">
        <w:t>Science</w:t>
      </w:r>
      <w:r w:rsidR="0039579A">
        <w:t xml:space="preserve"> </w:t>
      </w:r>
      <w:r w:rsidRPr="001D4D25">
        <w:t>Association</w:t>
      </w:r>
      <w:r w:rsidR="0039579A">
        <w:t xml:space="preserve"> </w:t>
      </w:r>
      <w:r w:rsidRPr="001D4D25">
        <w:t>Annual</w:t>
      </w:r>
      <w:r w:rsidR="0039579A">
        <w:t xml:space="preserve"> </w:t>
      </w:r>
      <w:r w:rsidRPr="001D4D25">
        <w:t>Conference,</w:t>
      </w:r>
      <w:r w:rsidR="0039579A">
        <w:t xml:space="preserve"> </w:t>
      </w:r>
      <w:r w:rsidRPr="001D4D25">
        <w:t>Montreal</w:t>
      </w:r>
      <w:r w:rsidR="0039579A">
        <w:t xml:space="preserve"> </w:t>
      </w:r>
      <w:r w:rsidRPr="001D4D25">
        <w:t xml:space="preserve">1-3 June </w:t>
      </w:r>
      <w:r>
        <w:t>2010</w:t>
      </w:r>
      <w:r w:rsidR="0039579A">
        <w:t>.</w:t>
      </w:r>
    </w:p>
    <w:p w:rsidR="00C21299" w:rsidRPr="00B8293F" w:rsidRDefault="000B1AE6">
      <w:pPr>
        <w:suppressAutoHyphens/>
        <w:autoSpaceDE w:val="0"/>
        <w:autoSpaceDN w:val="0"/>
        <w:adjustRightInd w:val="0"/>
        <w:spacing w:line="480" w:lineRule="auto"/>
        <w:ind w:left="720" w:hanging="720"/>
      </w:pPr>
      <w:r w:rsidRPr="00B8293F">
        <w:t xml:space="preserve">Hirano, K., &amp; </w:t>
      </w:r>
      <w:proofErr w:type="spellStart"/>
      <w:r w:rsidRPr="00B8293F">
        <w:t>Imbens</w:t>
      </w:r>
      <w:proofErr w:type="spellEnd"/>
      <w:r w:rsidRPr="00B8293F">
        <w:t xml:space="preserve">,  G. </w:t>
      </w:r>
      <w:r w:rsidR="00CC2AA3" w:rsidRPr="00B8293F">
        <w:t xml:space="preserve"> (2004) The propensity score with continuous treatments,</w:t>
      </w:r>
    </w:p>
    <w:p w:rsidR="00C21299" w:rsidRPr="00B8293F" w:rsidRDefault="00CC2AA3">
      <w:pPr>
        <w:autoSpaceDE w:val="0"/>
        <w:autoSpaceDN w:val="0"/>
        <w:adjustRightInd w:val="0"/>
        <w:spacing w:line="480" w:lineRule="auto"/>
      </w:pPr>
      <w:r w:rsidRPr="00B8293F">
        <w:tab/>
        <w:t xml:space="preserve">in: A. </w:t>
      </w:r>
      <w:proofErr w:type="spellStart"/>
      <w:r w:rsidRPr="00B8293F">
        <w:t>Gelman</w:t>
      </w:r>
      <w:proofErr w:type="spellEnd"/>
      <w:r w:rsidRPr="00B8293F">
        <w:t xml:space="preserve"> &amp; X.-L. </w:t>
      </w:r>
      <w:proofErr w:type="spellStart"/>
      <w:r w:rsidRPr="00B8293F">
        <w:t>Meng</w:t>
      </w:r>
      <w:proofErr w:type="spellEnd"/>
      <w:r w:rsidRPr="00B8293F">
        <w:t xml:space="preserve"> (</w:t>
      </w:r>
      <w:proofErr w:type="spellStart"/>
      <w:r w:rsidRPr="00B8293F">
        <w:t>Eds</w:t>
      </w:r>
      <w:proofErr w:type="spellEnd"/>
      <w:r w:rsidRPr="00B8293F">
        <w:rPr>
          <w:i/>
        </w:rPr>
        <w:t xml:space="preserve">) Applied Bayesian </w:t>
      </w:r>
      <w:proofErr w:type="spellStart"/>
      <w:r w:rsidRPr="00B8293F">
        <w:rPr>
          <w:i/>
        </w:rPr>
        <w:t>Modeling</w:t>
      </w:r>
      <w:proofErr w:type="spellEnd"/>
      <w:r w:rsidRPr="00B8293F">
        <w:rPr>
          <w:i/>
        </w:rPr>
        <w:t xml:space="preserve"> and Causal </w:t>
      </w:r>
      <w:r w:rsidRPr="00B8293F">
        <w:rPr>
          <w:i/>
        </w:rPr>
        <w:tab/>
        <w:t>Inference from Incomplete-Data Perspectives</w:t>
      </w:r>
      <w:r w:rsidRPr="00B8293F">
        <w:t xml:space="preserve"> (West Sussex, Wiley</w:t>
      </w:r>
    </w:p>
    <w:p w:rsidR="00C21299" w:rsidRDefault="00CC2AA3">
      <w:pPr>
        <w:autoSpaceDE w:val="0"/>
        <w:autoSpaceDN w:val="0"/>
        <w:adjustRightInd w:val="0"/>
        <w:spacing w:line="480" w:lineRule="auto"/>
      </w:pPr>
      <w:r w:rsidRPr="00B8293F">
        <w:tab/>
      </w:r>
      <w:proofErr w:type="spellStart"/>
      <w:r w:rsidRPr="00B8293F">
        <w:t>InterScience</w:t>
      </w:r>
      <w:proofErr w:type="spellEnd"/>
      <w:r w:rsidRPr="00B8293F">
        <w:t>), 73–84.</w:t>
      </w:r>
      <w:r w:rsidR="006E4164">
        <w:t xml:space="preserve"> </w:t>
      </w:r>
    </w:p>
    <w:p w:rsidR="00A4690D" w:rsidRDefault="00A4690D" w:rsidP="008B14F3">
      <w:pPr>
        <w:suppressAutoHyphens/>
        <w:autoSpaceDE w:val="0"/>
        <w:autoSpaceDN w:val="0"/>
        <w:adjustRightInd w:val="0"/>
        <w:spacing w:line="480" w:lineRule="auto"/>
        <w:ind w:left="720" w:hanging="720"/>
      </w:pPr>
      <w:proofErr w:type="spellStart"/>
      <w:r w:rsidRPr="004C50CB">
        <w:t>Holmlund</w:t>
      </w:r>
      <w:proofErr w:type="spellEnd"/>
      <w:r w:rsidRPr="004C50CB">
        <w:t xml:space="preserve">, H., McNally, S. &amp; </w:t>
      </w:r>
      <w:proofErr w:type="spellStart"/>
      <w:r w:rsidRPr="004C50CB">
        <w:t>Viarengo</w:t>
      </w:r>
      <w:proofErr w:type="spellEnd"/>
      <w:r w:rsidRPr="004C50CB">
        <w:t>, M. (2008) Impact of School Resources on Attainment at Key Stage 2, Department for Children, Schools and Families, Research Report DCSF-RR043</w:t>
      </w:r>
      <w:r w:rsidRPr="00020D70">
        <w:t xml:space="preserve">. Available online at: </w:t>
      </w:r>
      <w:r w:rsidRPr="004C50CB">
        <w:t xml:space="preserve"> </w:t>
      </w:r>
      <w:hyperlink r:id="rId19" w:history="1">
        <w:r w:rsidRPr="008B14F3">
          <w:t>http://www.dcsf.gov.uk/rsgateway/DB/RRP/u015147/index.shtml</w:t>
        </w:r>
      </w:hyperlink>
      <w:r w:rsidR="00680F05">
        <w:t xml:space="preserve"> (accessed  8 March </w:t>
      </w:r>
      <w:r w:rsidR="00680F05" w:rsidRPr="004C50CB">
        <w:t xml:space="preserve"> </w:t>
      </w:r>
      <w:r w:rsidR="00680F05">
        <w:t>2013</w:t>
      </w:r>
      <w:r w:rsidRPr="004C50CB">
        <w:t>).</w:t>
      </w:r>
    </w:p>
    <w:p w:rsidR="001C5D77" w:rsidRPr="00B8293F" w:rsidRDefault="00B600CB" w:rsidP="001C5D77">
      <w:pPr>
        <w:suppressAutoHyphens/>
        <w:autoSpaceDE w:val="0"/>
        <w:autoSpaceDN w:val="0"/>
        <w:adjustRightInd w:val="0"/>
        <w:spacing w:line="480" w:lineRule="auto"/>
        <w:ind w:left="720" w:hanging="720"/>
        <w:jc w:val="both"/>
        <w:rPr>
          <w:color w:val="000000" w:themeColor="text1"/>
          <w:lang w:eastAsia="ar-SA"/>
        </w:rPr>
      </w:pPr>
      <w:proofErr w:type="spellStart"/>
      <w:r w:rsidRPr="00B8293F">
        <w:rPr>
          <w:color w:val="000000" w:themeColor="text1"/>
          <w:lang w:eastAsia="ar-SA"/>
        </w:rPr>
        <w:t>Imbens</w:t>
      </w:r>
      <w:proofErr w:type="spellEnd"/>
      <w:r w:rsidRPr="00B8293F">
        <w:rPr>
          <w:color w:val="000000" w:themeColor="text1"/>
          <w:lang w:eastAsia="ar-SA"/>
        </w:rPr>
        <w:t xml:space="preserve">, G. </w:t>
      </w:r>
      <w:r w:rsidR="001C5D77" w:rsidRPr="00B8293F">
        <w:rPr>
          <w:color w:val="000000" w:themeColor="text1"/>
          <w:lang w:eastAsia="ar-SA"/>
        </w:rPr>
        <w:t>&amp;</w:t>
      </w:r>
      <w:r w:rsidRPr="00B8293F">
        <w:rPr>
          <w:color w:val="000000" w:themeColor="text1"/>
          <w:lang w:eastAsia="ar-SA"/>
        </w:rPr>
        <w:t xml:space="preserve"> Wooldridge, J.</w:t>
      </w:r>
      <w:r w:rsidR="001C5D77" w:rsidRPr="00B8293F">
        <w:rPr>
          <w:color w:val="000000" w:themeColor="text1"/>
          <w:lang w:eastAsia="ar-SA"/>
        </w:rPr>
        <w:t xml:space="preserve"> (2009) Recent Developments in the Econometrics of Program Evaluation, </w:t>
      </w:r>
      <w:r w:rsidR="001C5D77" w:rsidRPr="00B8293F">
        <w:rPr>
          <w:i/>
          <w:color w:val="000000" w:themeColor="text1"/>
          <w:lang w:eastAsia="ar-SA"/>
        </w:rPr>
        <w:t>Journal of Economic Literature</w:t>
      </w:r>
      <w:r w:rsidR="001C5D77" w:rsidRPr="00B8293F">
        <w:rPr>
          <w:color w:val="000000" w:themeColor="text1"/>
          <w:lang w:eastAsia="ar-SA"/>
        </w:rPr>
        <w:t>, 47(1), 5-86.</w:t>
      </w:r>
    </w:p>
    <w:p w:rsidR="00B312B6" w:rsidRPr="00B8293F" w:rsidRDefault="00B312B6" w:rsidP="009F1F01">
      <w:pPr>
        <w:suppressAutoHyphens/>
        <w:autoSpaceDE w:val="0"/>
        <w:autoSpaceDN w:val="0"/>
        <w:adjustRightInd w:val="0"/>
        <w:spacing w:line="480" w:lineRule="auto"/>
        <w:ind w:left="720" w:hanging="720"/>
      </w:pPr>
      <w:r w:rsidRPr="00B8293F">
        <w:t>Keating, J., Annett, P., Burke</w:t>
      </w:r>
      <w:r w:rsidR="00E23A89" w:rsidRPr="00B8293F">
        <w:t>,</w:t>
      </w:r>
      <w:r w:rsidRPr="00B8293F">
        <w:t xml:space="preserve"> G. and O’Hanlon, </w:t>
      </w:r>
      <w:r w:rsidR="00E23A89" w:rsidRPr="00B8293F">
        <w:t>C. (</w:t>
      </w:r>
      <w:r w:rsidRPr="00B8293F">
        <w:t>2011</w:t>
      </w:r>
      <w:r w:rsidR="00E23A89" w:rsidRPr="00B8293F">
        <w:t>)</w:t>
      </w:r>
      <w:r w:rsidRPr="00B8293F">
        <w:t xml:space="preserve"> Mapping Funding and Regulatory Arrangements Across the Commonwealth and States and Territories, Melbourne Graduate School of Education, Melbourne.  </w:t>
      </w:r>
    </w:p>
    <w:p w:rsidR="001C5D77" w:rsidRPr="001C5D77" w:rsidRDefault="00B600CB" w:rsidP="001C5D77">
      <w:pPr>
        <w:suppressAutoHyphens/>
        <w:autoSpaceDE w:val="0"/>
        <w:autoSpaceDN w:val="0"/>
        <w:adjustRightInd w:val="0"/>
        <w:spacing w:line="480" w:lineRule="auto"/>
        <w:ind w:left="720" w:hanging="720"/>
        <w:jc w:val="both"/>
        <w:rPr>
          <w:i/>
          <w:color w:val="000000" w:themeColor="text1"/>
          <w:lang w:eastAsia="ar-SA"/>
        </w:rPr>
      </w:pPr>
      <w:proofErr w:type="spellStart"/>
      <w:r w:rsidRPr="00B8293F">
        <w:rPr>
          <w:color w:val="000000" w:themeColor="text1"/>
          <w:lang w:eastAsia="ar-SA"/>
        </w:rPr>
        <w:t>Khandker</w:t>
      </w:r>
      <w:proofErr w:type="spellEnd"/>
      <w:r w:rsidRPr="00B8293F">
        <w:rPr>
          <w:color w:val="000000" w:themeColor="text1"/>
          <w:lang w:eastAsia="ar-SA"/>
        </w:rPr>
        <w:t xml:space="preserve">, S., </w:t>
      </w:r>
      <w:proofErr w:type="spellStart"/>
      <w:r w:rsidRPr="00B8293F">
        <w:rPr>
          <w:color w:val="000000" w:themeColor="text1"/>
          <w:lang w:eastAsia="ar-SA"/>
        </w:rPr>
        <w:t>Koolwal</w:t>
      </w:r>
      <w:proofErr w:type="spellEnd"/>
      <w:r w:rsidRPr="00B8293F">
        <w:rPr>
          <w:color w:val="000000" w:themeColor="text1"/>
          <w:lang w:eastAsia="ar-SA"/>
        </w:rPr>
        <w:t xml:space="preserve"> G. &amp; </w:t>
      </w:r>
      <w:proofErr w:type="spellStart"/>
      <w:r w:rsidRPr="00B8293F">
        <w:rPr>
          <w:color w:val="000000" w:themeColor="text1"/>
          <w:lang w:eastAsia="ar-SA"/>
        </w:rPr>
        <w:t>Samad</w:t>
      </w:r>
      <w:proofErr w:type="spellEnd"/>
      <w:r w:rsidRPr="00B8293F">
        <w:rPr>
          <w:color w:val="000000" w:themeColor="text1"/>
          <w:lang w:eastAsia="ar-SA"/>
        </w:rPr>
        <w:t>, H.</w:t>
      </w:r>
      <w:r w:rsidR="001C5D77" w:rsidRPr="00B8293F">
        <w:rPr>
          <w:color w:val="000000" w:themeColor="text1"/>
          <w:lang w:eastAsia="ar-SA"/>
        </w:rPr>
        <w:t xml:space="preserve"> (2009) </w:t>
      </w:r>
      <w:r w:rsidR="001C5D77" w:rsidRPr="00B8293F">
        <w:rPr>
          <w:i/>
          <w:color w:val="000000" w:themeColor="text1"/>
          <w:lang w:eastAsia="ar-SA"/>
        </w:rPr>
        <w:t>Handbook on Impact Evaluation: Quantitative methods and practices</w:t>
      </w:r>
      <w:r w:rsidR="001C5D77" w:rsidRPr="00B8293F">
        <w:rPr>
          <w:color w:val="000000" w:themeColor="text1"/>
          <w:lang w:eastAsia="ar-SA"/>
        </w:rPr>
        <w:t>, World Bank Training Series, World Bank Publications.</w:t>
      </w:r>
      <w:r w:rsidR="001C5D77">
        <w:rPr>
          <w:color w:val="000000" w:themeColor="text1"/>
          <w:lang w:eastAsia="ar-SA"/>
        </w:rPr>
        <w:t xml:space="preserve"> </w:t>
      </w:r>
    </w:p>
    <w:p w:rsidR="00AD6B85" w:rsidRDefault="00AD6B85" w:rsidP="009F1F01">
      <w:pPr>
        <w:suppressAutoHyphens/>
        <w:autoSpaceDE w:val="0"/>
        <w:autoSpaceDN w:val="0"/>
        <w:adjustRightInd w:val="0"/>
        <w:spacing w:line="480" w:lineRule="auto"/>
        <w:ind w:left="720" w:hanging="720"/>
      </w:pPr>
    </w:p>
    <w:p w:rsidR="00AD6B85" w:rsidRDefault="00AD6B85" w:rsidP="009F1F01">
      <w:pPr>
        <w:suppressAutoHyphens/>
        <w:autoSpaceDE w:val="0"/>
        <w:autoSpaceDN w:val="0"/>
        <w:adjustRightInd w:val="0"/>
        <w:spacing w:line="480" w:lineRule="auto"/>
        <w:ind w:left="720" w:hanging="720"/>
      </w:pPr>
    </w:p>
    <w:p w:rsidR="009F1F01" w:rsidRPr="004C50CB" w:rsidRDefault="00E022DB" w:rsidP="009F1F01">
      <w:pPr>
        <w:suppressAutoHyphens/>
        <w:autoSpaceDE w:val="0"/>
        <w:autoSpaceDN w:val="0"/>
        <w:adjustRightInd w:val="0"/>
        <w:spacing w:line="480" w:lineRule="auto"/>
        <w:ind w:left="720" w:hanging="720"/>
      </w:pPr>
      <w:r w:rsidRPr="00B57186">
        <w:t>Lamb, S.</w:t>
      </w:r>
      <w:r w:rsidR="00A4690D" w:rsidRPr="00B57186">
        <w:t xml:space="preserve"> </w:t>
      </w:r>
      <w:r w:rsidRPr="00B57186">
        <w:t xml:space="preserve">&amp; </w:t>
      </w:r>
      <w:proofErr w:type="spellStart"/>
      <w:r w:rsidR="00A4690D" w:rsidRPr="00B57186">
        <w:t>Teese</w:t>
      </w:r>
      <w:proofErr w:type="spellEnd"/>
      <w:r w:rsidR="00A4690D" w:rsidRPr="00B57186">
        <w:t xml:space="preserve">, </w:t>
      </w:r>
      <w:r w:rsidR="00CD5AED" w:rsidRPr="00B57186">
        <w:t>R.</w:t>
      </w:r>
      <w:r w:rsidRPr="00B57186">
        <w:t xml:space="preserve"> </w:t>
      </w:r>
      <w:r w:rsidR="00CD5AED" w:rsidRPr="00B57186">
        <w:t xml:space="preserve">(2005) </w:t>
      </w:r>
      <w:r w:rsidR="00A4690D" w:rsidRPr="00B57186">
        <w:t>Equity Program for Government Schools in N</w:t>
      </w:r>
      <w:r w:rsidR="009F1F01" w:rsidRPr="00B57186">
        <w:t xml:space="preserve">ew </w:t>
      </w:r>
      <w:r w:rsidR="00A4690D" w:rsidRPr="00B57186">
        <w:t>S</w:t>
      </w:r>
      <w:r w:rsidR="009F1F01" w:rsidRPr="00B57186">
        <w:t xml:space="preserve">outh </w:t>
      </w:r>
      <w:r w:rsidR="00A4690D" w:rsidRPr="00B57186">
        <w:t>W</w:t>
      </w:r>
      <w:r w:rsidR="009F1F01" w:rsidRPr="00B57186">
        <w:t>ales: a r</w:t>
      </w:r>
      <w:r w:rsidRPr="00B57186">
        <w:t>eview.</w:t>
      </w:r>
      <w:r w:rsidR="00A4690D" w:rsidRPr="00B57186">
        <w:t xml:space="preserve"> </w:t>
      </w:r>
      <w:r w:rsidR="009F1F01" w:rsidRPr="00B57186">
        <w:t xml:space="preserve">Centre for Post-compulsory Education and Lifelong Learning University of Melbourne. Available online at:  </w:t>
      </w:r>
      <w:hyperlink r:id="rId20" w:history="1">
        <w:r w:rsidR="00E23A89" w:rsidRPr="00B57186">
          <w:rPr>
            <w:rStyle w:val="Hyperlink"/>
          </w:rPr>
          <w:t>https://www.det.nsw.edu.au/media/downloads/research/completedprojects/nswequityrev.pdf</w:t>
        </w:r>
      </w:hyperlink>
      <w:r w:rsidR="00E23A89" w:rsidRPr="00B57186">
        <w:t xml:space="preserve"> </w:t>
      </w:r>
      <w:r w:rsidR="009F1F01" w:rsidRPr="00B57186">
        <w:t xml:space="preserve"> (accessed 8 March  2013).</w:t>
      </w:r>
    </w:p>
    <w:p w:rsidR="006D452A" w:rsidRPr="004C50CB" w:rsidRDefault="00A4690D" w:rsidP="006D452A">
      <w:pPr>
        <w:suppressAutoHyphens/>
        <w:autoSpaceDE w:val="0"/>
        <w:autoSpaceDN w:val="0"/>
        <w:adjustRightInd w:val="0"/>
        <w:spacing w:line="480" w:lineRule="auto"/>
        <w:ind w:left="720" w:hanging="720"/>
      </w:pPr>
      <w:r w:rsidRPr="006D452A">
        <w:t>Lamb</w:t>
      </w:r>
      <w:r w:rsidR="006D452A" w:rsidRPr="006D452A">
        <w:t xml:space="preserve">, S., </w:t>
      </w:r>
      <w:proofErr w:type="spellStart"/>
      <w:r w:rsidRPr="006D452A">
        <w:t>Rum</w:t>
      </w:r>
      <w:r w:rsidR="006D452A" w:rsidRPr="006D452A">
        <w:t>berger</w:t>
      </w:r>
      <w:proofErr w:type="spellEnd"/>
      <w:r w:rsidR="006D452A" w:rsidRPr="006D452A">
        <w:t xml:space="preserve">, R., </w:t>
      </w:r>
      <w:proofErr w:type="spellStart"/>
      <w:r w:rsidR="006D452A" w:rsidRPr="006D452A">
        <w:t>Jesson</w:t>
      </w:r>
      <w:proofErr w:type="spellEnd"/>
      <w:r w:rsidR="006D452A" w:rsidRPr="006D452A">
        <w:t xml:space="preserve">, D. &amp; </w:t>
      </w:r>
      <w:proofErr w:type="spellStart"/>
      <w:r w:rsidR="006D452A" w:rsidRPr="006D452A">
        <w:t>Teese</w:t>
      </w:r>
      <w:proofErr w:type="spellEnd"/>
      <w:r w:rsidR="006D452A" w:rsidRPr="006D452A">
        <w:t>, R. (2004)</w:t>
      </w:r>
      <w:r w:rsidR="009B7600">
        <w:t xml:space="preserve"> </w:t>
      </w:r>
      <w:r w:rsidRPr="006D452A">
        <w:t xml:space="preserve">School Performance in Australia:  Results from Analyses of School Effectiveness.  </w:t>
      </w:r>
      <w:r w:rsidR="006D452A" w:rsidRPr="006D452A">
        <w:t>Centre for Post-compulsory Education and Lifelong Learning</w:t>
      </w:r>
      <w:r w:rsidR="006D452A">
        <w:t xml:space="preserve">. University of Melbourne. </w:t>
      </w:r>
      <w:r w:rsidR="006D452A" w:rsidRPr="00020D70">
        <w:t>Available o</w:t>
      </w:r>
      <w:r w:rsidR="00746F97">
        <w:t xml:space="preserve">nline at: </w:t>
      </w:r>
      <w:hyperlink r:id="rId21" w:history="1">
        <w:r w:rsidR="00746F97" w:rsidRPr="008B4C24">
          <w:rPr>
            <w:rStyle w:val="Hyperlink"/>
          </w:rPr>
          <w:t>http://www.eduweb.vic.gov.au/edulibrary/public/govrel/reports/schoolperformance-rpt.pdf</w:t>
        </w:r>
      </w:hyperlink>
      <w:r w:rsidR="00746F97">
        <w:t xml:space="preserve"> </w:t>
      </w:r>
      <w:r w:rsidR="006D452A" w:rsidRPr="006D452A">
        <w:t xml:space="preserve"> </w:t>
      </w:r>
      <w:r w:rsidR="00746F97">
        <w:t xml:space="preserve"> </w:t>
      </w:r>
      <w:r w:rsidR="006D452A" w:rsidRPr="004C50CB">
        <w:t xml:space="preserve">(accessed </w:t>
      </w:r>
      <w:r w:rsidR="006D452A">
        <w:t xml:space="preserve">8 March </w:t>
      </w:r>
      <w:r w:rsidR="006D452A" w:rsidRPr="004C50CB">
        <w:t xml:space="preserve"> </w:t>
      </w:r>
      <w:r w:rsidR="006D452A">
        <w:t>2013</w:t>
      </w:r>
      <w:r w:rsidR="006D452A" w:rsidRPr="004C50CB">
        <w:t>).</w:t>
      </w:r>
    </w:p>
    <w:p w:rsidR="00A4690D" w:rsidRPr="004C50CB" w:rsidRDefault="00A4690D" w:rsidP="00E022DB">
      <w:pPr>
        <w:suppressAutoHyphens/>
        <w:autoSpaceDE w:val="0"/>
        <w:autoSpaceDN w:val="0"/>
        <w:adjustRightInd w:val="0"/>
        <w:spacing w:line="480" w:lineRule="auto"/>
        <w:ind w:left="720" w:hanging="720"/>
        <w:rPr>
          <w:bCs/>
        </w:rPr>
      </w:pPr>
      <w:proofErr w:type="spellStart"/>
      <w:r w:rsidRPr="00E022DB">
        <w:t>Levacic</w:t>
      </w:r>
      <w:proofErr w:type="spellEnd"/>
      <w:r w:rsidRPr="004C50CB">
        <w:rPr>
          <w:bCs/>
        </w:rPr>
        <w:t>, R., Jenkin</w:t>
      </w:r>
      <w:r w:rsidR="009B7600">
        <w:rPr>
          <w:bCs/>
        </w:rPr>
        <w:t xml:space="preserve">s, A., </w:t>
      </w:r>
      <w:proofErr w:type="spellStart"/>
      <w:r w:rsidR="009B7600">
        <w:rPr>
          <w:bCs/>
        </w:rPr>
        <w:t>Vignoles</w:t>
      </w:r>
      <w:proofErr w:type="spellEnd"/>
      <w:r w:rsidR="009B7600">
        <w:rPr>
          <w:bCs/>
        </w:rPr>
        <w:t>, A., Steele, F.</w:t>
      </w:r>
      <w:r w:rsidR="00D9047A">
        <w:rPr>
          <w:bCs/>
        </w:rPr>
        <w:t xml:space="preserve"> &amp; Allen, R. (2005) </w:t>
      </w:r>
      <w:r w:rsidRPr="004C50CB">
        <w:rPr>
          <w:bCs/>
        </w:rPr>
        <w:t>The effect of school resources on student attainment in English secondary schools, Institute of Education, University of London, DfES</w:t>
      </w:r>
      <w:r w:rsidRPr="004C50CB">
        <w:t xml:space="preserve"> Research Report RR679. </w:t>
      </w:r>
      <w:r w:rsidRPr="004C50CB">
        <w:rPr>
          <w:bCs/>
        </w:rPr>
        <w:t xml:space="preserve"> </w:t>
      </w:r>
      <w:r w:rsidRPr="00020D70">
        <w:t>Available online at:</w:t>
      </w:r>
      <w:r w:rsidR="00E022DB">
        <w:t xml:space="preserve"> </w:t>
      </w:r>
      <w:r w:rsidRPr="00020D70">
        <w:t xml:space="preserve"> </w:t>
      </w:r>
      <w:r w:rsidR="00E022DB" w:rsidRPr="00E958DA">
        <w:rPr>
          <w:rStyle w:val="Hyperlink"/>
        </w:rPr>
        <w:t xml:space="preserve">http://eprints.ioe.ac.uk/1319/1/Levacic2005estimatingfullreport.pdf </w:t>
      </w:r>
      <w:r w:rsidRPr="004C50CB">
        <w:t xml:space="preserve">(accessed </w:t>
      </w:r>
      <w:r w:rsidR="00E022DB">
        <w:t>8 March 2013</w:t>
      </w:r>
      <w:r w:rsidRPr="004C50CB">
        <w:t>).</w:t>
      </w:r>
    </w:p>
    <w:p w:rsidR="00A4690D" w:rsidRPr="00C34D7F" w:rsidRDefault="00C34D7F" w:rsidP="00C34D7F">
      <w:pPr>
        <w:suppressAutoHyphens/>
        <w:autoSpaceDE w:val="0"/>
        <w:autoSpaceDN w:val="0"/>
        <w:adjustRightInd w:val="0"/>
        <w:spacing w:line="480" w:lineRule="auto"/>
        <w:ind w:left="720" w:hanging="720"/>
        <w:rPr>
          <w:rFonts w:ascii="BerkeleyStd-Book" w:hAnsi="BerkeleyStd-Book" w:cs="BerkeleyStd-Book"/>
        </w:rPr>
      </w:pPr>
      <w:proofErr w:type="spellStart"/>
      <w:r w:rsidRPr="00C34D7F">
        <w:rPr>
          <w:bCs/>
        </w:rPr>
        <w:t>Mante</w:t>
      </w:r>
      <w:proofErr w:type="spellEnd"/>
      <w:r w:rsidR="002D66B2">
        <w:rPr>
          <w:rFonts w:ascii="BerkeleyStd-Book" w:hAnsi="BerkeleyStd-Book" w:cs="BerkeleyStd-Book"/>
        </w:rPr>
        <w:t>, B.</w:t>
      </w:r>
      <w:r w:rsidRPr="00C34D7F">
        <w:rPr>
          <w:rFonts w:ascii="BerkeleyStd-Book" w:hAnsi="BerkeleyStd-Book" w:cs="BerkeleyStd-Book"/>
        </w:rPr>
        <w:t xml:space="preserve"> &amp; O’Brien, G.</w:t>
      </w:r>
      <w:r w:rsidR="002D66B2">
        <w:rPr>
          <w:rFonts w:ascii="BerkeleyStd-Book" w:hAnsi="BerkeleyStd-Book" w:cs="BerkeleyStd-Book"/>
        </w:rPr>
        <w:t xml:space="preserve"> (2002)</w:t>
      </w:r>
      <w:r w:rsidRPr="00C34D7F">
        <w:rPr>
          <w:rFonts w:ascii="BerkeleyStd-Book" w:hAnsi="BerkeleyStd-Book" w:cs="BerkeleyStd-Book"/>
        </w:rPr>
        <w:t xml:space="preserve"> Efficiency measurement of Australian public sector organizations: The case of stat</w:t>
      </w:r>
      <w:r w:rsidR="000246D1">
        <w:rPr>
          <w:rFonts w:ascii="BerkeleyStd-Book" w:hAnsi="BerkeleyStd-Book" w:cs="BerkeleyStd-Book"/>
        </w:rPr>
        <w:t>e secondary schools in Victoria,</w:t>
      </w:r>
      <w:r w:rsidRPr="00C34D7F">
        <w:rPr>
          <w:rFonts w:ascii="BerkeleyStd-Book" w:hAnsi="BerkeleyStd-Book" w:cs="BerkeleyStd-Book"/>
        </w:rPr>
        <w:t xml:space="preserve"> </w:t>
      </w:r>
      <w:r w:rsidRPr="00C34D7F">
        <w:rPr>
          <w:rFonts w:ascii="BerkeleyStd-BookItalic" w:hAnsi="BerkeleyStd-BookItalic" w:cs="BerkeleyStd-BookItalic"/>
          <w:i/>
          <w:iCs/>
        </w:rPr>
        <w:t>Journal</w:t>
      </w:r>
      <w:r w:rsidRPr="00C34D7F">
        <w:rPr>
          <w:rFonts w:ascii="BerkeleyStd-Book" w:hAnsi="BerkeleyStd-Book" w:cs="BerkeleyStd-Book"/>
        </w:rPr>
        <w:t xml:space="preserve"> </w:t>
      </w:r>
      <w:r w:rsidRPr="00C34D7F">
        <w:rPr>
          <w:rFonts w:ascii="BerkeleyStd-BookItalic" w:hAnsi="BerkeleyStd-BookItalic" w:cs="BerkeleyStd-BookItalic"/>
          <w:i/>
          <w:iCs/>
        </w:rPr>
        <w:t>of Educational Administration</w:t>
      </w:r>
      <w:r w:rsidRPr="00C34D7F">
        <w:rPr>
          <w:rFonts w:ascii="BerkeleyStd-Book" w:hAnsi="BerkeleyStd-Book" w:cs="BerkeleyStd-Book"/>
        </w:rPr>
        <w:t>, 40(3), 274–296</w:t>
      </w:r>
      <w:r>
        <w:rPr>
          <w:rFonts w:ascii="BerkeleyStd-Book" w:hAnsi="BerkeleyStd-Book" w:cs="BerkeleyStd-Book"/>
        </w:rPr>
        <w:t>.</w:t>
      </w:r>
    </w:p>
    <w:p w:rsidR="00AD6B85" w:rsidRDefault="00AD6B85" w:rsidP="002D66B2">
      <w:pPr>
        <w:suppressAutoHyphens/>
        <w:autoSpaceDE w:val="0"/>
        <w:autoSpaceDN w:val="0"/>
        <w:adjustRightInd w:val="0"/>
        <w:spacing w:line="480" w:lineRule="auto"/>
        <w:ind w:left="720" w:hanging="720"/>
        <w:rPr>
          <w:highlight w:val="yellow"/>
        </w:rPr>
      </w:pPr>
    </w:p>
    <w:p w:rsidR="00AD6B85" w:rsidRDefault="00AD6B85" w:rsidP="002D66B2">
      <w:pPr>
        <w:suppressAutoHyphens/>
        <w:autoSpaceDE w:val="0"/>
        <w:autoSpaceDN w:val="0"/>
        <w:adjustRightInd w:val="0"/>
        <w:spacing w:line="480" w:lineRule="auto"/>
        <w:ind w:left="720" w:hanging="720"/>
        <w:rPr>
          <w:highlight w:val="yellow"/>
        </w:rPr>
      </w:pPr>
    </w:p>
    <w:p w:rsidR="00AD6B85" w:rsidRDefault="00AD6B85" w:rsidP="002D66B2">
      <w:pPr>
        <w:suppressAutoHyphens/>
        <w:autoSpaceDE w:val="0"/>
        <w:autoSpaceDN w:val="0"/>
        <w:adjustRightInd w:val="0"/>
        <w:spacing w:line="480" w:lineRule="auto"/>
        <w:ind w:left="720" w:hanging="720"/>
        <w:rPr>
          <w:highlight w:val="yellow"/>
        </w:rPr>
      </w:pPr>
    </w:p>
    <w:p w:rsidR="00DA082C" w:rsidRDefault="00DA082C" w:rsidP="002D66B2">
      <w:pPr>
        <w:suppressAutoHyphens/>
        <w:autoSpaceDE w:val="0"/>
        <w:autoSpaceDN w:val="0"/>
        <w:adjustRightInd w:val="0"/>
        <w:spacing w:line="480" w:lineRule="auto"/>
        <w:ind w:left="720" w:hanging="720"/>
      </w:pPr>
      <w:r w:rsidRPr="00AD6B85">
        <w:t xml:space="preserve">May, H., </w:t>
      </w:r>
      <w:proofErr w:type="spellStart"/>
      <w:r w:rsidRPr="00AD6B85">
        <w:t>Boe</w:t>
      </w:r>
      <w:proofErr w:type="spellEnd"/>
      <w:r w:rsidRPr="00AD6B85">
        <w:t xml:space="preserve">, E. and </w:t>
      </w:r>
      <w:proofErr w:type="spellStart"/>
      <w:r w:rsidRPr="00AD6B85">
        <w:t>Boruch</w:t>
      </w:r>
      <w:proofErr w:type="spellEnd"/>
      <w:r w:rsidRPr="00AD6B85">
        <w:t xml:space="preserve"> R. (2003) The Ecological Fallacy in Comparative and International Education Research: Discovering More from TIMSS through Multilevel Modelling, Research Report No.2003-TIMSS1, Centre for Research and Evaluation in Social Policy, Graduate School of Education, University of Pennsylvania. Available online at:  </w:t>
      </w:r>
      <w:hyperlink r:id="rId22" w:history="1">
        <w:r w:rsidR="004B4E84" w:rsidRPr="00AD6B85">
          <w:rPr>
            <w:rStyle w:val="Hyperlink"/>
          </w:rPr>
          <w:t>http://www.gse.upenn.edu/cresp/pdfs/CRESP%20RR%202003-TIMSS1.pdf</w:t>
        </w:r>
      </w:hyperlink>
      <w:r w:rsidR="004B4E84">
        <w:t xml:space="preserve"> </w:t>
      </w:r>
    </w:p>
    <w:p w:rsidR="00A4690D" w:rsidRDefault="00B600CB" w:rsidP="002D66B2">
      <w:pPr>
        <w:suppressAutoHyphens/>
        <w:autoSpaceDE w:val="0"/>
        <w:autoSpaceDN w:val="0"/>
        <w:adjustRightInd w:val="0"/>
        <w:spacing w:line="480" w:lineRule="auto"/>
        <w:ind w:left="720" w:hanging="720"/>
      </w:pPr>
      <w:r>
        <w:t>Miller, P.</w:t>
      </w:r>
      <w:r w:rsidR="00A4690D" w:rsidRPr="002D66B2">
        <w:t xml:space="preserve"> </w:t>
      </w:r>
      <w:r w:rsidR="002D66B2" w:rsidRPr="002D66B2">
        <w:t xml:space="preserve">&amp; </w:t>
      </w:r>
      <w:proofErr w:type="spellStart"/>
      <w:r w:rsidR="002D66B2" w:rsidRPr="002D66B2">
        <w:t>Voon</w:t>
      </w:r>
      <w:proofErr w:type="spellEnd"/>
      <w:r w:rsidR="002D66B2" w:rsidRPr="002D66B2">
        <w:t>, D. (2011)</w:t>
      </w:r>
      <w:r w:rsidR="00A4690D" w:rsidRPr="002D66B2">
        <w:t xml:space="preserve">  Lessons from </w:t>
      </w:r>
      <w:r w:rsidR="00A4690D" w:rsidRPr="00B600CB">
        <w:t>My School</w:t>
      </w:r>
      <w:r w:rsidR="002B3088" w:rsidRPr="00B600CB">
        <w:t>,</w:t>
      </w:r>
      <w:r w:rsidR="00A4690D" w:rsidRPr="002D66B2">
        <w:t xml:space="preserve">  </w:t>
      </w:r>
      <w:r w:rsidR="00A4690D" w:rsidRPr="002D66B2">
        <w:rPr>
          <w:i/>
        </w:rPr>
        <w:t>Australian Economic Review</w:t>
      </w:r>
      <w:r w:rsidR="002B3088">
        <w:rPr>
          <w:i/>
        </w:rPr>
        <w:t>,</w:t>
      </w:r>
      <w:r w:rsidR="00A4690D" w:rsidRPr="002D66B2">
        <w:t xml:space="preserve"> 44</w:t>
      </w:r>
      <w:r w:rsidR="002D66B2" w:rsidRPr="002D66B2">
        <w:t>(4)</w:t>
      </w:r>
      <w:r w:rsidR="00A4690D" w:rsidRPr="002D66B2">
        <w:t>, 366-386.</w:t>
      </w:r>
    </w:p>
    <w:p w:rsidR="008920B4" w:rsidRDefault="00C319B2" w:rsidP="00626F79">
      <w:pPr>
        <w:suppressAutoHyphens/>
        <w:autoSpaceDE w:val="0"/>
        <w:autoSpaceDN w:val="0"/>
        <w:adjustRightInd w:val="0"/>
        <w:spacing w:line="480" w:lineRule="auto"/>
        <w:ind w:left="720" w:hanging="720"/>
      </w:pPr>
      <w:proofErr w:type="spellStart"/>
      <w:r>
        <w:t>Mok</w:t>
      </w:r>
      <w:proofErr w:type="spellEnd"/>
      <w:r>
        <w:t>, M.</w:t>
      </w:r>
      <w:r w:rsidR="00A4690D">
        <w:t xml:space="preserve"> </w:t>
      </w:r>
      <w:r>
        <w:t>&amp; Flynn, M.</w:t>
      </w:r>
      <w:r w:rsidR="00A4690D">
        <w:t xml:space="preserve"> </w:t>
      </w:r>
      <w:r>
        <w:t>(1996)</w:t>
      </w:r>
      <w:r w:rsidR="00A4690D">
        <w:t xml:space="preserve"> </w:t>
      </w:r>
      <w:r w:rsidR="00A4690D" w:rsidRPr="00B85A1F">
        <w:t>School Size and Academic Achievement in the HSC Examination: Is there a relationship</w:t>
      </w:r>
      <w:r>
        <w:t>?</w:t>
      </w:r>
      <w:r w:rsidR="00A4690D">
        <w:t xml:space="preserve">  </w:t>
      </w:r>
      <w:r w:rsidR="00A4690D" w:rsidRPr="00790A85">
        <w:rPr>
          <w:i/>
        </w:rPr>
        <w:t>Issues in Educational Leadership</w:t>
      </w:r>
      <w:r w:rsidR="000246D1">
        <w:rPr>
          <w:i/>
        </w:rPr>
        <w:t>,</w:t>
      </w:r>
      <w:r w:rsidR="00A4690D">
        <w:t xml:space="preserve"> 6</w:t>
      </w:r>
      <w:r>
        <w:t>(1)</w:t>
      </w:r>
      <w:r w:rsidR="00A4690D">
        <w:t xml:space="preserve">, </w:t>
      </w:r>
      <w:r w:rsidR="00A4690D" w:rsidRPr="00B85A1F">
        <w:t>57-78</w:t>
      </w:r>
      <w:r>
        <w:t>.</w:t>
      </w:r>
    </w:p>
    <w:p w:rsidR="00D304AF" w:rsidRPr="00D304AF" w:rsidRDefault="00B600CB" w:rsidP="00D304AF">
      <w:pPr>
        <w:suppressAutoHyphens/>
        <w:autoSpaceDE w:val="0"/>
        <w:autoSpaceDN w:val="0"/>
        <w:adjustRightInd w:val="0"/>
        <w:spacing w:line="480" w:lineRule="auto"/>
        <w:ind w:left="720" w:hanging="720"/>
        <w:jc w:val="both"/>
        <w:rPr>
          <w:color w:val="000000" w:themeColor="text1"/>
          <w:lang w:eastAsia="ar-SA"/>
        </w:rPr>
      </w:pPr>
      <w:r w:rsidRPr="00B8293F">
        <w:rPr>
          <w:color w:val="000000" w:themeColor="text1"/>
          <w:lang w:eastAsia="ar-SA"/>
        </w:rPr>
        <w:t>Morgan, S.</w:t>
      </w:r>
      <w:r w:rsidR="00D304AF" w:rsidRPr="00B8293F">
        <w:rPr>
          <w:color w:val="000000" w:themeColor="text1"/>
          <w:lang w:eastAsia="ar-SA"/>
        </w:rPr>
        <w:t xml:space="preserve"> &amp;</w:t>
      </w:r>
      <w:r w:rsidRPr="00B8293F">
        <w:rPr>
          <w:color w:val="000000" w:themeColor="text1"/>
          <w:lang w:eastAsia="ar-SA"/>
        </w:rPr>
        <w:t xml:space="preserve"> Harding, D.</w:t>
      </w:r>
      <w:r w:rsidR="00D304AF" w:rsidRPr="00B8293F">
        <w:rPr>
          <w:color w:val="000000" w:themeColor="text1"/>
          <w:lang w:eastAsia="ar-SA"/>
        </w:rPr>
        <w:t xml:space="preserve"> (2006) Matching Estimators of Causal Effects: Prospects and Pitfalls in Theory and Practice, </w:t>
      </w:r>
      <w:r w:rsidR="00D304AF" w:rsidRPr="00B8293F">
        <w:rPr>
          <w:i/>
          <w:color w:val="000000" w:themeColor="text1"/>
          <w:lang w:eastAsia="ar-SA"/>
        </w:rPr>
        <w:t>Sociological Methods &amp; Research</w:t>
      </w:r>
      <w:r w:rsidR="00D304AF" w:rsidRPr="00B8293F">
        <w:rPr>
          <w:color w:val="000000" w:themeColor="text1"/>
          <w:lang w:eastAsia="ar-SA"/>
        </w:rPr>
        <w:t>, 35(1), 3-60.</w:t>
      </w:r>
      <w:r w:rsidR="00D304AF" w:rsidRPr="00AD0BD2">
        <w:rPr>
          <w:color w:val="000000" w:themeColor="text1"/>
          <w:lang w:eastAsia="ar-SA"/>
        </w:rPr>
        <w:t xml:space="preserve"> </w:t>
      </w:r>
    </w:p>
    <w:p w:rsidR="00387B58" w:rsidRPr="00CA2F18" w:rsidRDefault="00387B58" w:rsidP="00387B58">
      <w:pPr>
        <w:suppressAutoHyphens/>
        <w:autoSpaceDE w:val="0"/>
        <w:autoSpaceDN w:val="0"/>
        <w:adjustRightInd w:val="0"/>
        <w:spacing w:line="480" w:lineRule="auto"/>
        <w:ind w:left="720" w:hanging="720"/>
      </w:pPr>
      <w:r w:rsidRPr="00CA2F18">
        <w:t>NSW Education and Communities (2013) Getting the funding right: Using Family Occupation and Education Index (FOEI) to identify disadvantage in NSW schools, Learning Issue 5, August. http://www.cese.nsw.gov.au/publications/learning-curve/item/38-learning-curve-5</w:t>
      </w:r>
    </w:p>
    <w:p w:rsidR="00AC418D" w:rsidRPr="00CA2F18" w:rsidRDefault="00AC418D" w:rsidP="00445695">
      <w:pPr>
        <w:suppressAutoHyphens/>
        <w:autoSpaceDE w:val="0"/>
        <w:autoSpaceDN w:val="0"/>
        <w:adjustRightInd w:val="0"/>
        <w:spacing w:line="480" w:lineRule="auto"/>
        <w:ind w:left="720" w:hanging="720"/>
      </w:pPr>
      <w:r w:rsidRPr="00CA2F18">
        <w:rPr>
          <w:lang w:eastAsia="zh-CN"/>
        </w:rPr>
        <w:t>NSW Vice-Chancellor’s Committee (2012) Technical Committee on Scaling Report on the Scaling of the 2011 NSW Higher School Certificate, Universities Admission Centre http://www.uac.edu.au/documents/atar/2011-ScalingReport.pdf</w:t>
      </w:r>
    </w:p>
    <w:p w:rsidR="002D0A36" w:rsidRDefault="002D0A36" w:rsidP="00445695">
      <w:pPr>
        <w:suppressAutoHyphens/>
        <w:autoSpaceDE w:val="0"/>
        <w:autoSpaceDN w:val="0"/>
        <w:adjustRightInd w:val="0"/>
        <w:spacing w:line="480" w:lineRule="auto"/>
        <w:ind w:left="720" w:hanging="720"/>
      </w:pPr>
      <w:proofErr w:type="spellStart"/>
      <w:r w:rsidRPr="00CA2F18">
        <w:t>Piantadosis</w:t>
      </w:r>
      <w:proofErr w:type="spellEnd"/>
      <w:r w:rsidRPr="00CA2F18">
        <w:t xml:space="preserve">, S., </w:t>
      </w:r>
      <w:proofErr w:type="spellStart"/>
      <w:r w:rsidRPr="00CA2F18">
        <w:t>Byar</w:t>
      </w:r>
      <w:proofErr w:type="spellEnd"/>
      <w:r w:rsidRPr="00CA2F18">
        <w:t xml:space="preserve">, D. and Green S. (1988) The Ecological Fallacy, </w:t>
      </w:r>
      <w:r w:rsidRPr="00CA2F18">
        <w:rPr>
          <w:i/>
        </w:rPr>
        <w:t>American Journal of Epidemiology</w:t>
      </w:r>
      <w:r w:rsidRPr="00CA2F18">
        <w:t>, 127(5) 893-904.</w:t>
      </w:r>
    </w:p>
    <w:p w:rsidR="004D50E9" w:rsidRDefault="00626F79" w:rsidP="00445695">
      <w:pPr>
        <w:suppressAutoHyphens/>
        <w:autoSpaceDE w:val="0"/>
        <w:autoSpaceDN w:val="0"/>
        <w:adjustRightInd w:val="0"/>
        <w:spacing w:line="480" w:lineRule="auto"/>
        <w:ind w:left="720" w:hanging="720"/>
      </w:pPr>
      <w:r w:rsidRPr="00B85A1F">
        <w:t>Perry,</w:t>
      </w:r>
      <w:r w:rsidR="00B600CB">
        <w:t xml:space="preserve"> L.</w:t>
      </w:r>
      <w:r>
        <w:t xml:space="preserve"> &amp; </w:t>
      </w:r>
      <w:proofErr w:type="spellStart"/>
      <w:r>
        <w:t>McConney</w:t>
      </w:r>
      <w:proofErr w:type="spellEnd"/>
      <w:r>
        <w:t xml:space="preserve">, A. (2010) </w:t>
      </w:r>
      <w:r w:rsidRPr="00626F79">
        <w:rPr>
          <w:rStyle w:val="Emphasis"/>
          <w:i w:val="0"/>
        </w:rPr>
        <w:t>Does the SES of the school matter? An examination of socioeconomic status and student achievement using PISA 2003</w:t>
      </w:r>
      <w:r w:rsidR="003C48D4">
        <w:rPr>
          <w:rStyle w:val="Emphasis"/>
        </w:rPr>
        <w:t>,</w:t>
      </w:r>
      <w:r>
        <w:t xml:space="preserve"> </w:t>
      </w:r>
      <w:r w:rsidRPr="00AB45CC">
        <w:rPr>
          <w:i/>
        </w:rPr>
        <w:t>Teachers College Record</w:t>
      </w:r>
      <w:r>
        <w:t>, 112 (4), 1137-1162.</w:t>
      </w:r>
    </w:p>
    <w:p w:rsidR="009E09F2" w:rsidRDefault="009E09F2" w:rsidP="009E09F2">
      <w:pPr>
        <w:suppressAutoHyphens/>
        <w:autoSpaceDE w:val="0"/>
        <w:autoSpaceDN w:val="0"/>
        <w:adjustRightInd w:val="0"/>
        <w:spacing w:line="480" w:lineRule="auto"/>
        <w:ind w:left="720" w:hanging="720"/>
      </w:pPr>
      <w:r w:rsidRPr="009B3A10">
        <w:t xml:space="preserve">Pugh, G., </w:t>
      </w:r>
      <w:proofErr w:type="spellStart"/>
      <w:r w:rsidRPr="009B3A10">
        <w:t>Mangan</w:t>
      </w:r>
      <w:proofErr w:type="spellEnd"/>
      <w:r w:rsidRPr="009B3A10">
        <w:t xml:space="preserve">, J. &amp; </w:t>
      </w:r>
      <w:proofErr w:type="spellStart"/>
      <w:r w:rsidRPr="009B3A10">
        <w:t>Gray</w:t>
      </w:r>
      <w:proofErr w:type="spellEnd"/>
      <w:r w:rsidRPr="009B3A10">
        <w:t xml:space="preserve">, J. (2008) </w:t>
      </w:r>
      <w:r w:rsidRPr="009B3A10">
        <w:rPr>
          <w:i/>
        </w:rPr>
        <w:t>Resources and attainment at Key Stage 4: estimates from a dynamic methodology</w:t>
      </w:r>
      <w:r w:rsidRPr="009B3A10">
        <w:t xml:space="preserve">. Publication Code: DCSF-RR056. Available online at: </w:t>
      </w:r>
      <w:hyperlink r:id="rId23" w:history="1">
        <w:r w:rsidRPr="008B4C24">
          <w:rPr>
            <w:rStyle w:val="Hyperlink"/>
          </w:rPr>
          <w:t>https://www.education.gov.uk/publications/eOrderingDownload/DCSF-RR056.pdf</w:t>
        </w:r>
      </w:hyperlink>
      <w:r>
        <w:t xml:space="preserve"> </w:t>
      </w:r>
      <w:r w:rsidRPr="009B3A10">
        <w:t xml:space="preserve"> (accessed 8 March 2013).</w:t>
      </w:r>
    </w:p>
    <w:p w:rsidR="009E09F2" w:rsidRDefault="009E09F2" w:rsidP="00F73111">
      <w:pPr>
        <w:suppressAutoHyphens/>
        <w:autoSpaceDE w:val="0"/>
        <w:autoSpaceDN w:val="0"/>
        <w:adjustRightInd w:val="0"/>
        <w:spacing w:line="480" w:lineRule="auto"/>
        <w:ind w:left="720" w:hanging="720"/>
      </w:pPr>
      <w:r w:rsidRPr="009E09F2">
        <w:t xml:space="preserve">Pugh, G., </w:t>
      </w:r>
      <w:proofErr w:type="spellStart"/>
      <w:r w:rsidRPr="009E09F2">
        <w:t>Mangan</w:t>
      </w:r>
      <w:proofErr w:type="spellEnd"/>
      <w:r w:rsidRPr="009E09F2">
        <w:t xml:space="preserve">, J. &amp; </w:t>
      </w:r>
      <w:proofErr w:type="spellStart"/>
      <w:r w:rsidRPr="009E09F2">
        <w:t>Gray</w:t>
      </w:r>
      <w:proofErr w:type="spellEnd"/>
      <w:r w:rsidRPr="009E09F2">
        <w:t xml:space="preserve">, J. (2011) Do increased resources increase educational attainment during a period of rising expenditure? Evidence from English secondary schools using a dynamic panel analysis, </w:t>
      </w:r>
      <w:r w:rsidRPr="009E09F2">
        <w:rPr>
          <w:i/>
        </w:rPr>
        <w:t>British Educational Research Journal</w:t>
      </w:r>
      <w:r w:rsidRPr="009E09F2">
        <w:t xml:space="preserve">, 37(1), 163-189. </w:t>
      </w:r>
    </w:p>
    <w:p w:rsidR="00F73111" w:rsidRPr="004C50CB" w:rsidRDefault="00F73111" w:rsidP="008F2CEB">
      <w:pPr>
        <w:suppressAutoHyphens/>
        <w:autoSpaceDE w:val="0"/>
        <w:autoSpaceDN w:val="0"/>
        <w:adjustRightInd w:val="0"/>
        <w:spacing w:line="480" w:lineRule="auto"/>
        <w:ind w:left="720" w:hanging="720"/>
      </w:pPr>
      <w:proofErr w:type="spellStart"/>
      <w:r w:rsidRPr="007172A4">
        <w:t>Roodman</w:t>
      </w:r>
      <w:proofErr w:type="spellEnd"/>
      <w:r w:rsidRPr="007172A4">
        <w:t>, D. (200</w:t>
      </w:r>
      <w:r w:rsidR="008F2CEB" w:rsidRPr="007172A4">
        <w:t>9</w:t>
      </w:r>
      <w:r w:rsidRPr="007172A4">
        <w:t xml:space="preserve">) </w:t>
      </w:r>
      <w:r w:rsidR="008F2CEB" w:rsidRPr="007172A4">
        <w:t>How to do xtabond2: An introduction to difference and system GMM in Stata</w:t>
      </w:r>
      <w:r w:rsidRPr="007172A4">
        <w:t xml:space="preserve">. </w:t>
      </w:r>
      <w:r w:rsidR="008F2CEB" w:rsidRPr="007172A4">
        <w:rPr>
          <w:i/>
        </w:rPr>
        <w:t>The</w:t>
      </w:r>
      <w:r w:rsidR="008F2CEB" w:rsidRPr="007172A4">
        <w:t xml:space="preserve"> </w:t>
      </w:r>
      <w:r w:rsidR="008F2CEB" w:rsidRPr="007172A4">
        <w:rPr>
          <w:i/>
        </w:rPr>
        <w:t>Stata Journal</w:t>
      </w:r>
      <w:r w:rsidR="008F2CEB" w:rsidRPr="007172A4">
        <w:t>,  9(1), 86–136</w:t>
      </w:r>
      <w:r w:rsidRPr="007172A4">
        <w:t>.</w:t>
      </w:r>
    </w:p>
    <w:p w:rsidR="000D3D5F" w:rsidRPr="00B8293F" w:rsidRDefault="004969F0">
      <w:pPr>
        <w:suppressAutoHyphens/>
        <w:autoSpaceDE w:val="0"/>
        <w:autoSpaceDN w:val="0"/>
        <w:adjustRightInd w:val="0"/>
        <w:spacing w:line="480" w:lineRule="auto"/>
        <w:ind w:left="720" w:hanging="720"/>
      </w:pPr>
      <w:r w:rsidRPr="00B8293F">
        <w:t>Will</w:t>
      </w:r>
      <w:r w:rsidR="00A93C25" w:rsidRPr="00B8293F">
        <w:t>i</w:t>
      </w:r>
      <w:r w:rsidRPr="00B8293F">
        <w:t xml:space="preserve">ams, R. (2012) Using the margins command to estimate and interpret </w:t>
      </w:r>
      <w:r w:rsidR="00CC2AA3" w:rsidRPr="00B8293F">
        <w:t xml:space="preserve">adjusted </w:t>
      </w:r>
      <w:r w:rsidRPr="00B8293F">
        <w:t xml:space="preserve">predictions and marginal effect, </w:t>
      </w:r>
      <w:r w:rsidR="008F2CEB" w:rsidRPr="00B8293F">
        <w:rPr>
          <w:i/>
        </w:rPr>
        <w:t>The</w:t>
      </w:r>
      <w:r w:rsidR="008F2CEB" w:rsidRPr="00B8293F">
        <w:t xml:space="preserve"> </w:t>
      </w:r>
      <w:r w:rsidRPr="00B8293F">
        <w:rPr>
          <w:i/>
        </w:rPr>
        <w:t>Stata Journal</w:t>
      </w:r>
      <w:r w:rsidRPr="00B8293F">
        <w:t>, 12(2), 308-331.</w:t>
      </w:r>
    </w:p>
    <w:p w:rsidR="0038333A" w:rsidRDefault="0038333A">
      <w:pPr>
        <w:suppressAutoHyphens/>
        <w:autoSpaceDE w:val="0"/>
        <w:autoSpaceDN w:val="0"/>
        <w:adjustRightInd w:val="0"/>
        <w:spacing w:line="480" w:lineRule="auto"/>
        <w:ind w:left="720" w:hanging="720"/>
      </w:pPr>
      <w:r w:rsidRPr="00B8293F">
        <w:t xml:space="preserve">Wooldridge, J. </w:t>
      </w:r>
      <w:r w:rsidRPr="00B8293F">
        <w:rPr>
          <w:i/>
        </w:rPr>
        <w:t>Eco</w:t>
      </w:r>
      <w:r w:rsidR="00992404" w:rsidRPr="00B8293F">
        <w:rPr>
          <w:i/>
        </w:rPr>
        <w:t xml:space="preserve">nometric Analysis of </w:t>
      </w:r>
      <w:r w:rsidR="000E0651" w:rsidRPr="00B8293F">
        <w:rPr>
          <w:i/>
        </w:rPr>
        <w:t xml:space="preserve">Cross Section and </w:t>
      </w:r>
      <w:r w:rsidR="00992404" w:rsidRPr="00B8293F">
        <w:rPr>
          <w:i/>
        </w:rPr>
        <w:t>Panel Data</w:t>
      </w:r>
      <w:r w:rsidR="00992404" w:rsidRPr="00B8293F">
        <w:t xml:space="preserve"> (</w:t>
      </w:r>
      <w:r w:rsidRPr="00B8293F">
        <w:t>Massachusetts</w:t>
      </w:r>
      <w:r w:rsidR="00992404" w:rsidRPr="00B8293F">
        <w:t>: The MIT Press)</w:t>
      </w:r>
      <w:r w:rsidR="000E0651" w:rsidRPr="00B8293F">
        <w:t>.</w:t>
      </w:r>
    </w:p>
    <w:p w:rsidR="00BF1456" w:rsidRDefault="00BF1456"/>
    <w:sectPr w:rsidR="00BF1456" w:rsidSect="00BF3E19">
      <w:footerReference w:type="even" r:id="rId24"/>
      <w:footerReference w:type="default" r:id="rId25"/>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D87" w:rsidRDefault="004B4D87">
      <w:r>
        <w:separator/>
      </w:r>
    </w:p>
  </w:endnote>
  <w:endnote w:type="continuationSeparator" w:id="0">
    <w:p w:rsidR="004B4D87" w:rsidRDefault="004B4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dvPSPL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DIN-Bold">
    <w:panose1 w:val="00000000000000000000"/>
    <w:charset w:val="00"/>
    <w:family w:val="auto"/>
    <w:notTrueType/>
    <w:pitch w:val="default"/>
    <w:sig w:usb0="00000003" w:usb1="00000000" w:usb2="00000000" w:usb3="00000000" w:csb0="00000001" w:csb1="00000000"/>
  </w:font>
  <w:font w:name="BerkeleyStd-Book">
    <w:panose1 w:val="00000000000000000000"/>
    <w:charset w:val="00"/>
    <w:family w:val="roman"/>
    <w:notTrueType/>
    <w:pitch w:val="default"/>
    <w:sig w:usb0="00000003" w:usb1="00000000" w:usb2="00000000" w:usb3="00000000" w:csb0="00000001" w:csb1="00000000"/>
  </w:font>
  <w:font w:name="BerkeleyStd-Book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BD1" w:rsidRDefault="004F5722" w:rsidP="008A3522">
    <w:pPr>
      <w:pStyle w:val="Footer"/>
      <w:framePr w:wrap="around" w:vAnchor="text" w:hAnchor="margin" w:xAlign="right" w:y="1"/>
      <w:rPr>
        <w:rStyle w:val="PageNumber"/>
      </w:rPr>
    </w:pPr>
    <w:r>
      <w:rPr>
        <w:rStyle w:val="PageNumber"/>
      </w:rPr>
      <w:fldChar w:fldCharType="begin"/>
    </w:r>
    <w:r w:rsidR="00263BD1">
      <w:rPr>
        <w:rStyle w:val="PageNumber"/>
      </w:rPr>
      <w:instrText xml:space="preserve">PAGE  </w:instrText>
    </w:r>
    <w:r>
      <w:rPr>
        <w:rStyle w:val="PageNumber"/>
      </w:rPr>
      <w:fldChar w:fldCharType="end"/>
    </w:r>
  </w:p>
  <w:p w:rsidR="00263BD1" w:rsidRDefault="00263BD1" w:rsidP="00C31B4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BD1" w:rsidRDefault="004F5722">
    <w:pPr>
      <w:pStyle w:val="Footer"/>
      <w:jc w:val="center"/>
    </w:pPr>
    <w:r>
      <w:fldChar w:fldCharType="begin"/>
    </w:r>
    <w:r w:rsidR="000B1AE6">
      <w:instrText xml:space="preserve"> PAGE   \* MERGEFORMAT </w:instrText>
    </w:r>
    <w:r>
      <w:fldChar w:fldCharType="separate"/>
    </w:r>
    <w:r w:rsidR="00602E66">
      <w:rPr>
        <w:noProof/>
      </w:rPr>
      <w:t>1</w:t>
    </w:r>
    <w:r>
      <w:rPr>
        <w:noProof/>
      </w:rPr>
      <w:fldChar w:fldCharType="end"/>
    </w:r>
  </w:p>
  <w:p w:rsidR="00263BD1" w:rsidRDefault="00263BD1" w:rsidP="00C31B4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D87" w:rsidRDefault="004B4D87">
      <w:r>
        <w:separator/>
      </w:r>
    </w:p>
  </w:footnote>
  <w:footnote w:type="continuationSeparator" w:id="0">
    <w:p w:rsidR="004B4D87" w:rsidRDefault="004B4D87">
      <w:r>
        <w:continuationSeparator/>
      </w:r>
    </w:p>
  </w:footnote>
  <w:footnote w:id="1">
    <w:p w:rsidR="00263BD1" w:rsidRDefault="00263BD1" w:rsidP="002E391C">
      <w:pPr>
        <w:pStyle w:val="FootnoteText"/>
        <w:spacing w:line="480" w:lineRule="auto"/>
      </w:pPr>
      <w:r>
        <w:rPr>
          <w:rStyle w:val="FootnoteReference"/>
        </w:rPr>
        <w:footnoteRef/>
      </w:r>
      <w:r>
        <w:t xml:space="preserve"> </w:t>
      </w:r>
      <w:r w:rsidRPr="001B5DF5">
        <w:t xml:space="preserve">Student population factors utilised include SES, ESL and New Arrivals, Indigenous, Isolated and Disability characteristics. School circumstances recognized include location, enrolment size (diseconomies of scale) and complexity. </w:t>
      </w:r>
      <w:r>
        <w:t xml:space="preserve">The </w:t>
      </w:r>
      <w:r w:rsidRPr="001B5DF5">
        <w:t>disabilities and SES dimensions</w:t>
      </w:r>
      <w:r>
        <w:t xml:space="preserve"> </w:t>
      </w:r>
      <w:r w:rsidRPr="001B5DF5">
        <w:t>contribute the most.</w:t>
      </w:r>
    </w:p>
  </w:footnote>
  <w:footnote w:id="2">
    <w:p w:rsidR="00A31F3C" w:rsidRDefault="00A31F3C" w:rsidP="004F5EF8">
      <w:pPr>
        <w:pStyle w:val="FootnoteText"/>
        <w:spacing w:line="480" w:lineRule="auto"/>
      </w:pPr>
      <w:r w:rsidRPr="00A9047D">
        <w:rPr>
          <w:rStyle w:val="FootnoteReference"/>
        </w:rPr>
        <w:footnoteRef/>
      </w:r>
      <w:r w:rsidRPr="00A9047D">
        <w:t xml:space="preserve"> Endogeneity arises when an explanatory variable in a regression model is correlated with the error term. This may be caused by a simultaneous relationship with the dependent variable, by measurement error, or by </w:t>
      </w:r>
      <w:r w:rsidR="004F5EF8" w:rsidRPr="00A9047D">
        <w:t xml:space="preserve">the correlation of one or more of the explanatory variables included in the model with </w:t>
      </w:r>
      <w:r w:rsidRPr="00A9047D">
        <w:t xml:space="preserve">an explanatory variable </w:t>
      </w:r>
      <w:r w:rsidR="004F5EF8" w:rsidRPr="00A9047D">
        <w:t xml:space="preserve">that is omitted </w:t>
      </w:r>
      <w:r w:rsidRPr="00A9047D">
        <w:t>from the model</w:t>
      </w:r>
      <w:r w:rsidR="004F5EF8" w:rsidRPr="00A9047D">
        <w:t xml:space="preserve"> (and which thus enters the error term)</w:t>
      </w:r>
      <w:r w:rsidRPr="00A9047D">
        <w:t xml:space="preserve">. Whatever the reason for endogeneity, </w:t>
      </w:r>
      <w:r w:rsidR="00421EE9" w:rsidRPr="00A9047D">
        <w:t xml:space="preserve">estimation by </w:t>
      </w:r>
      <w:r w:rsidRPr="00A9047D">
        <w:t>ordinary least squares (OLS)</w:t>
      </w:r>
      <w:r w:rsidR="00421EE9" w:rsidRPr="00A9047D">
        <w:t xml:space="preserve"> gives biased estimators</w:t>
      </w:r>
      <w:r w:rsidRPr="00A9047D">
        <w:t xml:space="preserve">. </w:t>
      </w:r>
      <w:r w:rsidR="00D56DC4" w:rsidRPr="00A9047D">
        <w:t>Conversely, instrumental variables estimation may provide valid results so long as for each potentially endogenous variable at least one valid “instrument” is available, which is a variable not included in the model, not correlated with the model errors, and highly correlated with the potentially endogenous variable.</w:t>
      </w:r>
      <w:r w:rsidR="00D56DC4">
        <w:t xml:space="preserve"> </w:t>
      </w:r>
    </w:p>
  </w:footnote>
  <w:footnote w:id="3">
    <w:p w:rsidR="00D9758E" w:rsidRDefault="00D9758E">
      <w:pPr>
        <w:pStyle w:val="FootnoteText"/>
      </w:pPr>
      <w:r w:rsidRPr="006B7FEE">
        <w:rPr>
          <w:rStyle w:val="FootnoteReference"/>
        </w:rPr>
        <w:footnoteRef/>
      </w:r>
      <w:r w:rsidRPr="006B7FEE">
        <w:t xml:space="preserve"> The model estimated in this paper – see Equation 1, below – is an education production function, and the concept is explained briefly in Section 4.3.</w:t>
      </w:r>
      <w:r>
        <w:t xml:space="preserve"> </w:t>
      </w:r>
    </w:p>
  </w:footnote>
  <w:footnote w:id="4">
    <w:p w:rsidR="000B1D53" w:rsidRDefault="000B1D53" w:rsidP="008F2CEB">
      <w:pPr>
        <w:pStyle w:val="FootnoteText"/>
        <w:spacing w:line="480" w:lineRule="auto"/>
      </w:pPr>
      <w:r>
        <w:rPr>
          <w:rStyle w:val="FootnoteReference"/>
        </w:rPr>
        <w:footnoteRef/>
      </w:r>
      <w:r>
        <w:t xml:space="preserve"> For further details of the model specification and of the estimation method, see </w:t>
      </w:r>
      <w:r w:rsidR="00FB0612">
        <w:t>Pugh et al.,</w:t>
      </w:r>
      <w:r>
        <w:t xml:space="preserve"> 2008, </w:t>
      </w:r>
      <w:r w:rsidRPr="00115037">
        <w:t xml:space="preserve">Appendix 6. </w:t>
      </w:r>
      <w:proofErr w:type="spellStart"/>
      <w:r w:rsidR="008F2CEB" w:rsidRPr="00115037">
        <w:t>Roodman</w:t>
      </w:r>
      <w:proofErr w:type="spellEnd"/>
      <w:r w:rsidR="008F2CEB" w:rsidRPr="00115037">
        <w:t xml:space="preserve">, 2009, gives a ‘pedagogic’ (p.86) introduction to the </w:t>
      </w:r>
      <w:r w:rsidR="00FC2221" w:rsidRPr="00115037">
        <w:t xml:space="preserve">dynamic panel </w:t>
      </w:r>
      <w:r w:rsidR="008F2CEB" w:rsidRPr="00115037">
        <w:t>system general</w:t>
      </w:r>
      <w:r w:rsidR="00ED5C8B" w:rsidRPr="00115037">
        <w:t>ised method-of-</w:t>
      </w:r>
      <w:r w:rsidR="008F2CEB" w:rsidRPr="00115037">
        <w:t xml:space="preserve">moments estimator and explains how to apply it with </w:t>
      </w:r>
      <w:r w:rsidRPr="00115037">
        <w:rPr>
          <w:i/>
          <w:iCs/>
        </w:rPr>
        <w:t>xtabond2</w:t>
      </w:r>
      <w:r w:rsidRPr="00115037">
        <w:t>, which is a user-written programme for STATA 9.2 or higher.</w:t>
      </w:r>
    </w:p>
  </w:footnote>
  <w:footnote w:id="5">
    <w:p w:rsidR="00263BD1" w:rsidRDefault="00263BD1" w:rsidP="002E391C">
      <w:pPr>
        <w:pStyle w:val="FootnoteText"/>
        <w:spacing w:line="480" w:lineRule="auto"/>
      </w:pPr>
      <w:r>
        <w:rPr>
          <w:rStyle w:val="FootnoteReference"/>
        </w:rPr>
        <w:footnoteRef/>
      </w:r>
      <w:r>
        <w:t xml:space="preserve"> The share of salaries of teachers and support staff in total expenditure is 93.7 per cent (83.3 per cent is the share of teachers’ salaries and 10.4 per cent of supporting staff salaries). </w:t>
      </w:r>
    </w:p>
  </w:footnote>
  <w:footnote w:id="6">
    <w:p w:rsidR="00263BD1" w:rsidRDefault="00263BD1" w:rsidP="002E391C">
      <w:pPr>
        <w:pStyle w:val="FootnoteText"/>
        <w:spacing w:line="480" w:lineRule="auto"/>
      </w:pPr>
      <w:r>
        <w:rPr>
          <w:rStyle w:val="FootnoteReference"/>
        </w:rPr>
        <w:footnoteRef/>
      </w:r>
      <w:r>
        <w:t xml:space="preserve"> The share of salaries of teachers and support staff in the aggregate expenditure is 80.5 per cent (71.6 per cent is the share of teachers’ salaries and 8.9 per cent of supporting staff salaries).</w:t>
      </w:r>
    </w:p>
  </w:footnote>
  <w:footnote w:id="7">
    <w:p w:rsidR="00A31F3C" w:rsidRDefault="00A31F3C">
      <w:pPr>
        <w:pStyle w:val="FootnoteText"/>
      </w:pPr>
      <w:r w:rsidRPr="001B00B1">
        <w:rPr>
          <w:rStyle w:val="FootnoteReference"/>
        </w:rPr>
        <w:footnoteRef/>
      </w:r>
      <w:r w:rsidRPr="001B00B1">
        <w:t xml:space="preserve"> Exogenous variables</w:t>
      </w:r>
      <w:r w:rsidR="004F5EF8" w:rsidRPr="001B00B1">
        <w:t xml:space="preserve"> are explanatory variables that are not correlated with the error term.</w:t>
      </w:r>
    </w:p>
  </w:footnote>
  <w:footnote w:id="8">
    <w:p w:rsidR="00FC2221" w:rsidRDefault="00FC2221">
      <w:pPr>
        <w:pStyle w:val="FootnoteText"/>
      </w:pPr>
      <w:r w:rsidRPr="00C71BC4">
        <w:rPr>
          <w:rStyle w:val="FootnoteReference"/>
        </w:rPr>
        <w:footnoteRef/>
      </w:r>
      <w:r w:rsidRPr="00C71BC4">
        <w:t xml:space="preserve"> The correlation coefficient between the two indices is 0.76 in the sample used to estimate the model reported in Table 3, Columns 3 and 4.</w:t>
      </w:r>
    </w:p>
  </w:footnote>
  <w:footnote w:id="9">
    <w:p w:rsidR="00A06884" w:rsidRDefault="00A06884">
      <w:pPr>
        <w:pStyle w:val="FootnoteText"/>
      </w:pPr>
      <w:r w:rsidRPr="009B0BDC">
        <w:rPr>
          <w:rStyle w:val="FootnoteReference"/>
        </w:rPr>
        <w:footnoteRef/>
      </w:r>
      <w:r w:rsidRPr="009B0BDC">
        <w:t xml:space="preserve"> We thank an anonymous referee for initial discussion of this point.</w:t>
      </w:r>
    </w:p>
  </w:footnote>
  <w:footnote w:id="10">
    <w:p w:rsidR="00E4705D" w:rsidRDefault="00E4705D" w:rsidP="00C16626">
      <w:pPr>
        <w:pStyle w:val="FootnoteText"/>
        <w:spacing w:line="480" w:lineRule="auto"/>
      </w:pPr>
      <w:r w:rsidRPr="0075415C">
        <w:rPr>
          <w:rStyle w:val="FootnoteReference"/>
        </w:rPr>
        <w:footnoteRef/>
      </w:r>
      <w:r w:rsidRPr="0075415C">
        <w:t xml:space="preserve"> The full results for this sub-section are available from the authors on request.  For brevity we summarise the main results only in this section.</w:t>
      </w:r>
      <w:r>
        <w:t xml:space="preserve"> </w:t>
      </w:r>
    </w:p>
  </w:footnote>
  <w:footnote w:id="11">
    <w:p w:rsidR="00263BD1" w:rsidRDefault="00263BD1" w:rsidP="005A3D5B">
      <w:pPr>
        <w:spacing w:line="480" w:lineRule="auto"/>
        <w:jc w:val="both"/>
      </w:pPr>
      <w:r w:rsidRPr="005E0A5E">
        <w:rPr>
          <w:rStyle w:val="FootnoteReference"/>
        </w:rPr>
        <w:footnoteRef/>
      </w:r>
      <w:r w:rsidRPr="005E0A5E">
        <w:t xml:space="preserve"> </w:t>
      </w:r>
      <w:r w:rsidRPr="005E0A5E">
        <w:rPr>
          <w:sz w:val="20"/>
          <w:szCs w:val="20"/>
        </w:rPr>
        <w:t xml:space="preserve">In contrast, </w:t>
      </w:r>
      <w:r w:rsidR="006B7A2F" w:rsidRPr="005E0A5E">
        <w:rPr>
          <w:sz w:val="20"/>
          <w:szCs w:val="20"/>
        </w:rPr>
        <w:t>Pugh et al.</w:t>
      </w:r>
      <w:r w:rsidRPr="005E0A5E">
        <w:rPr>
          <w:sz w:val="20"/>
          <w:szCs w:val="20"/>
        </w:rPr>
        <w:t xml:space="preserve"> (2011) found that the performance effects of expenditure in England were greater in schools with moderate disadvantage (i.e. those in Quartile 3 with respect to disadvantage, where Quartile 1 is the most advantaged). We </w:t>
      </w:r>
      <w:r w:rsidR="0002528F" w:rsidRPr="005E0A5E">
        <w:rPr>
          <w:sz w:val="20"/>
          <w:szCs w:val="20"/>
        </w:rPr>
        <w:t xml:space="preserve">also </w:t>
      </w:r>
      <w:r w:rsidRPr="005E0A5E">
        <w:rPr>
          <w:sz w:val="20"/>
          <w:szCs w:val="20"/>
        </w:rPr>
        <w:t>replicated the methodology in this paper but found no such effect – or any other effect - for New South Wales by quartile of the FOEI index.</w:t>
      </w:r>
      <w:r>
        <w:t xml:space="preserve"> </w:t>
      </w:r>
    </w:p>
    <w:p w:rsidR="00263BD1" w:rsidRDefault="00263BD1" w:rsidP="005A3D5B">
      <w:pPr>
        <w:pStyle w:val="FootnoteText"/>
      </w:pPr>
    </w:p>
  </w:footnote>
  <w:footnote w:id="12">
    <w:p w:rsidR="00A925C5" w:rsidRDefault="00A925C5">
      <w:pPr>
        <w:pStyle w:val="FootnoteText"/>
      </w:pPr>
      <w:r w:rsidRPr="00BC5633">
        <w:rPr>
          <w:rStyle w:val="FootnoteReference"/>
        </w:rPr>
        <w:footnoteRef/>
      </w:r>
      <w:r w:rsidRPr="00BC5633">
        <w:t xml:space="preserve"> The sample was too small to separately estimate the relationship for fully selective schools.</w:t>
      </w:r>
      <w:r>
        <w:t xml:space="preserve"> </w:t>
      </w:r>
    </w:p>
  </w:footnote>
  <w:footnote w:id="13">
    <w:p w:rsidR="00B600CB" w:rsidRDefault="00B600CB">
      <w:pPr>
        <w:pStyle w:val="FootnoteText"/>
      </w:pPr>
      <w:r w:rsidRPr="003F7A84">
        <w:rPr>
          <w:rStyle w:val="FootnoteReference"/>
        </w:rPr>
        <w:footnoteRef/>
      </w:r>
      <w:r w:rsidRPr="003F7A84">
        <w:t xml:space="preserve"> Percentage in the schools achieving 5+ A*-C grades in the General Certificate of Secondary Education.</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1416C"/>
    <w:multiLevelType w:val="hybridMultilevel"/>
    <w:tmpl w:val="25EE8E3E"/>
    <w:lvl w:ilvl="0" w:tplc="804094C8">
      <w:start w:val="1"/>
      <w:numFmt w:val="decimal"/>
      <w:lvlText w:val="%1."/>
      <w:lvlJc w:val="left"/>
      <w:pPr>
        <w:ind w:left="360" w:hanging="360"/>
      </w:pPr>
      <w:rPr>
        <w:rFonts w:ascii="Times New Roman" w:eastAsia="Times New Roman" w:hAnsi="Times New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9A40401"/>
    <w:multiLevelType w:val="hybridMultilevel"/>
    <w:tmpl w:val="9932885A"/>
    <w:lvl w:ilvl="0" w:tplc="1082B200">
      <w:start w:val="1"/>
      <w:numFmt w:val="bullet"/>
      <w:lvlText w:val=""/>
      <w:lvlJc w:val="left"/>
      <w:pPr>
        <w:ind w:left="720" w:hanging="360"/>
      </w:pPr>
      <w:rPr>
        <w:rFonts w:ascii="Symbol" w:hAnsi="Symbol" w:hint="default"/>
      </w:rPr>
    </w:lvl>
    <w:lvl w:ilvl="1" w:tplc="40009CD2" w:tentative="1">
      <w:start w:val="1"/>
      <w:numFmt w:val="bullet"/>
      <w:lvlText w:val="o"/>
      <w:lvlJc w:val="left"/>
      <w:pPr>
        <w:ind w:left="1440" w:hanging="360"/>
      </w:pPr>
      <w:rPr>
        <w:rFonts w:ascii="Courier New" w:hAnsi="Courier New" w:cs="Courier New" w:hint="default"/>
      </w:rPr>
    </w:lvl>
    <w:lvl w:ilvl="2" w:tplc="95CAE8B8" w:tentative="1">
      <w:start w:val="1"/>
      <w:numFmt w:val="bullet"/>
      <w:lvlText w:val=""/>
      <w:lvlJc w:val="left"/>
      <w:pPr>
        <w:ind w:left="2160" w:hanging="360"/>
      </w:pPr>
      <w:rPr>
        <w:rFonts w:ascii="Wingdings" w:hAnsi="Wingdings" w:hint="default"/>
      </w:rPr>
    </w:lvl>
    <w:lvl w:ilvl="3" w:tplc="865ABD92" w:tentative="1">
      <w:start w:val="1"/>
      <w:numFmt w:val="bullet"/>
      <w:lvlText w:val=""/>
      <w:lvlJc w:val="left"/>
      <w:pPr>
        <w:ind w:left="2880" w:hanging="360"/>
      </w:pPr>
      <w:rPr>
        <w:rFonts w:ascii="Symbol" w:hAnsi="Symbol" w:hint="default"/>
      </w:rPr>
    </w:lvl>
    <w:lvl w:ilvl="4" w:tplc="2B1088A2" w:tentative="1">
      <w:start w:val="1"/>
      <w:numFmt w:val="bullet"/>
      <w:lvlText w:val="o"/>
      <w:lvlJc w:val="left"/>
      <w:pPr>
        <w:ind w:left="3600" w:hanging="360"/>
      </w:pPr>
      <w:rPr>
        <w:rFonts w:ascii="Courier New" w:hAnsi="Courier New" w:cs="Courier New" w:hint="default"/>
      </w:rPr>
    </w:lvl>
    <w:lvl w:ilvl="5" w:tplc="59601798" w:tentative="1">
      <w:start w:val="1"/>
      <w:numFmt w:val="bullet"/>
      <w:lvlText w:val=""/>
      <w:lvlJc w:val="left"/>
      <w:pPr>
        <w:ind w:left="4320" w:hanging="360"/>
      </w:pPr>
      <w:rPr>
        <w:rFonts w:ascii="Wingdings" w:hAnsi="Wingdings" w:hint="default"/>
      </w:rPr>
    </w:lvl>
    <w:lvl w:ilvl="6" w:tplc="6CFC9724" w:tentative="1">
      <w:start w:val="1"/>
      <w:numFmt w:val="bullet"/>
      <w:lvlText w:val=""/>
      <w:lvlJc w:val="left"/>
      <w:pPr>
        <w:ind w:left="5040" w:hanging="360"/>
      </w:pPr>
      <w:rPr>
        <w:rFonts w:ascii="Symbol" w:hAnsi="Symbol" w:hint="default"/>
      </w:rPr>
    </w:lvl>
    <w:lvl w:ilvl="7" w:tplc="D8EA07B2" w:tentative="1">
      <w:start w:val="1"/>
      <w:numFmt w:val="bullet"/>
      <w:lvlText w:val="o"/>
      <w:lvlJc w:val="left"/>
      <w:pPr>
        <w:ind w:left="5760" w:hanging="360"/>
      </w:pPr>
      <w:rPr>
        <w:rFonts w:ascii="Courier New" w:hAnsi="Courier New" w:cs="Courier New" w:hint="default"/>
      </w:rPr>
    </w:lvl>
    <w:lvl w:ilvl="8" w:tplc="A57879F6" w:tentative="1">
      <w:start w:val="1"/>
      <w:numFmt w:val="bullet"/>
      <w:lvlText w:val=""/>
      <w:lvlJc w:val="left"/>
      <w:pPr>
        <w:ind w:left="6480" w:hanging="360"/>
      </w:pPr>
      <w:rPr>
        <w:rFonts w:ascii="Wingdings" w:hAnsi="Wingdings" w:hint="default"/>
      </w:rPr>
    </w:lvl>
  </w:abstractNum>
  <w:abstractNum w:abstractNumId="2">
    <w:nsid w:val="11F75C71"/>
    <w:multiLevelType w:val="hybridMultilevel"/>
    <w:tmpl w:val="2C18EBD8"/>
    <w:lvl w:ilvl="0" w:tplc="08090001">
      <w:start w:val="1"/>
      <w:numFmt w:val="decimal"/>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
    <w:nsid w:val="126E3749"/>
    <w:multiLevelType w:val="hybridMultilevel"/>
    <w:tmpl w:val="38BCF474"/>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
    <w:nsid w:val="15771DBC"/>
    <w:multiLevelType w:val="hybridMultilevel"/>
    <w:tmpl w:val="BE22B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nsid w:val="1E9F6ADC"/>
    <w:multiLevelType w:val="hybridMultilevel"/>
    <w:tmpl w:val="765E63DE"/>
    <w:lvl w:ilvl="0" w:tplc="8A347C8E">
      <w:start w:val="1"/>
      <w:numFmt w:val="decimal"/>
      <w:lvlText w:val="%1."/>
      <w:lvlJc w:val="left"/>
      <w:pPr>
        <w:tabs>
          <w:tab w:val="num" w:pos="720"/>
        </w:tabs>
        <w:ind w:left="720" w:hanging="360"/>
      </w:pPr>
    </w:lvl>
    <w:lvl w:ilvl="1" w:tplc="CAD003EA" w:tentative="1">
      <w:start w:val="1"/>
      <w:numFmt w:val="lowerLetter"/>
      <w:lvlText w:val="%2."/>
      <w:lvlJc w:val="left"/>
      <w:pPr>
        <w:tabs>
          <w:tab w:val="num" w:pos="1440"/>
        </w:tabs>
        <w:ind w:left="1440" w:hanging="360"/>
      </w:pPr>
    </w:lvl>
    <w:lvl w:ilvl="2" w:tplc="7C74D1DC" w:tentative="1">
      <w:start w:val="1"/>
      <w:numFmt w:val="lowerRoman"/>
      <w:lvlText w:val="%3."/>
      <w:lvlJc w:val="right"/>
      <w:pPr>
        <w:tabs>
          <w:tab w:val="num" w:pos="2160"/>
        </w:tabs>
        <w:ind w:left="2160" w:hanging="180"/>
      </w:pPr>
    </w:lvl>
    <w:lvl w:ilvl="3" w:tplc="9D1EF2E4" w:tentative="1">
      <w:start w:val="1"/>
      <w:numFmt w:val="decimal"/>
      <w:lvlText w:val="%4."/>
      <w:lvlJc w:val="left"/>
      <w:pPr>
        <w:tabs>
          <w:tab w:val="num" w:pos="2880"/>
        </w:tabs>
        <w:ind w:left="2880" w:hanging="360"/>
      </w:pPr>
    </w:lvl>
    <w:lvl w:ilvl="4" w:tplc="B6403E9C" w:tentative="1">
      <w:start w:val="1"/>
      <w:numFmt w:val="lowerLetter"/>
      <w:lvlText w:val="%5."/>
      <w:lvlJc w:val="left"/>
      <w:pPr>
        <w:tabs>
          <w:tab w:val="num" w:pos="3600"/>
        </w:tabs>
        <w:ind w:left="3600" w:hanging="360"/>
      </w:pPr>
    </w:lvl>
    <w:lvl w:ilvl="5" w:tplc="55BC8864" w:tentative="1">
      <w:start w:val="1"/>
      <w:numFmt w:val="lowerRoman"/>
      <w:lvlText w:val="%6."/>
      <w:lvlJc w:val="right"/>
      <w:pPr>
        <w:tabs>
          <w:tab w:val="num" w:pos="4320"/>
        </w:tabs>
        <w:ind w:left="4320" w:hanging="180"/>
      </w:pPr>
    </w:lvl>
    <w:lvl w:ilvl="6" w:tplc="E39C56CE" w:tentative="1">
      <w:start w:val="1"/>
      <w:numFmt w:val="decimal"/>
      <w:lvlText w:val="%7."/>
      <w:lvlJc w:val="left"/>
      <w:pPr>
        <w:tabs>
          <w:tab w:val="num" w:pos="5040"/>
        </w:tabs>
        <w:ind w:left="5040" w:hanging="360"/>
      </w:pPr>
    </w:lvl>
    <w:lvl w:ilvl="7" w:tplc="75362DAE" w:tentative="1">
      <w:start w:val="1"/>
      <w:numFmt w:val="lowerLetter"/>
      <w:lvlText w:val="%8."/>
      <w:lvlJc w:val="left"/>
      <w:pPr>
        <w:tabs>
          <w:tab w:val="num" w:pos="5760"/>
        </w:tabs>
        <w:ind w:left="5760" w:hanging="360"/>
      </w:pPr>
    </w:lvl>
    <w:lvl w:ilvl="8" w:tplc="F1B8C75C" w:tentative="1">
      <w:start w:val="1"/>
      <w:numFmt w:val="lowerRoman"/>
      <w:lvlText w:val="%9."/>
      <w:lvlJc w:val="right"/>
      <w:pPr>
        <w:tabs>
          <w:tab w:val="num" w:pos="6480"/>
        </w:tabs>
        <w:ind w:left="6480" w:hanging="180"/>
      </w:pPr>
    </w:lvl>
  </w:abstractNum>
  <w:abstractNum w:abstractNumId="7">
    <w:nsid w:val="1F0703B2"/>
    <w:multiLevelType w:val="hybridMultilevel"/>
    <w:tmpl w:val="E7089B6E"/>
    <w:lvl w:ilvl="0" w:tplc="0809000F">
      <w:start w:val="1"/>
      <w:numFmt w:val="bullet"/>
      <w:lvlText w:val=""/>
      <w:lvlJc w:val="left"/>
      <w:pPr>
        <w:ind w:left="360" w:hanging="360"/>
      </w:pPr>
      <w:rPr>
        <w:rFonts w:ascii="Symbol" w:hAnsi="Symbol" w:hint="default"/>
      </w:rPr>
    </w:lvl>
    <w:lvl w:ilvl="1" w:tplc="08090019" w:tentative="1">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8">
    <w:nsid w:val="25CB2113"/>
    <w:multiLevelType w:val="hybridMultilevel"/>
    <w:tmpl w:val="09100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D376454"/>
    <w:multiLevelType w:val="hybridMultilevel"/>
    <w:tmpl w:val="229C1F5E"/>
    <w:lvl w:ilvl="0" w:tplc="08090001">
      <w:start w:val="1"/>
      <w:numFmt w:val="decimal"/>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0">
    <w:nsid w:val="30A56147"/>
    <w:multiLevelType w:val="hybridMultilevel"/>
    <w:tmpl w:val="41829C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31123B42"/>
    <w:multiLevelType w:val="hybridMultilevel"/>
    <w:tmpl w:val="1384278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3DDA18C4"/>
    <w:multiLevelType w:val="hybridMultilevel"/>
    <w:tmpl w:val="9A960F4E"/>
    <w:lvl w:ilvl="0" w:tplc="0809000F">
      <w:start w:val="1"/>
      <w:numFmt w:val="bullet"/>
      <w:lvlText w:val=""/>
      <w:lvlJc w:val="left"/>
      <w:pPr>
        <w:tabs>
          <w:tab w:val="num" w:pos="360"/>
        </w:tabs>
        <w:ind w:left="360" w:hanging="360"/>
      </w:pPr>
      <w:rPr>
        <w:rFonts w:ascii="Symbol" w:hAnsi="Symbol" w:hint="default"/>
      </w:rPr>
    </w:lvl>
    <w:lvl w:ilvl="1" w:tplc="08090019" w:tentative="1">
      <w:start w:val="1"/>
      <w:numFmt w:val="bullet"/>
      <w:lvlText w:val="o"/>
      <w:lvlJc w:val="left"/>
      <w:pPr>
        <w:tabs>
          <w:tab w:val="num" w:pos="1080"/>
        </w:tabs>
        <w:ind w:left="1080" w:hanging="360"/>
      </w:pPr>
      <w:rPr>
        <w:rFonts w:ascii="Courier New" w:hAnsi="Courier New" w:cs="Courier New" w:hint="default"/>
      </w:rPr>
    </w:lvl>
    <w:lvl w:ilvl="2" w:tplc="0809001B"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cs="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cs="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13">
    <w:nsid w:val="3E895F11"/>
    <w:multiLevelType w:val="hybridMultilevel"/>
    <w:tmpl w:val="9E7C78D4"/>
    <w:lvl w:ilvl="0" w:tplc="08090001">
      <w:start w:val="1"/>
      <w:numFmt w:val="decimal"/>
      <w:lvlText w:val="%1."/>
      <w:lvlJc w:val="left"/>
      <w:pPr>
        <w:tabs>
          <w:tab w:val="num" w:pos="720"/>
        </w:tabs>
        <w:ind w:left="720" w:hanging="360"/>
      </w:pPr>
    </w:lvl>
    <w:lvl w:ilvl="1" w:tplc="08090003">
      <w:numFmt w:val="bullet"/>
      <w:lvlText w:val="•"/>
      <w:lvlJc w:val="left"/>
      <w:pPr>
        <w:ind w:left="1440" w:hanging="360"/>
      </w:pPr>
      <w:rPr>
        <w:rFonts w:ascii="Times New Roman" w:eastAsia="Times New Roman" w:hAnsi="Times New Roman" w:cs="Times New Roman" w:hint="default"/>
      </w:r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4">
    <w:nsid w:val="43F97476"/>
    <w:multiLevelType w:val="multilevel"/>
    <w:tmpl w:val="08090025"/>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836"/>
        </w:tabs>
        <w:ind w:left="1836" w:hanging="576"/>
      </w:pPr>
    </w:lvl>
    <w:lvl w:ilvl="2">
      <w:start w:val="1"/>
      <w:numFmt w:val="decimal"/>
      <w:pStyle w:val="Heading3"/>
      <w:lvlText w:val="%1.%2.%3"/>
      <w:lvlJc w:val="left"/>
      <w:pPr>
        <w:tabs>
          <w:tab w:val="num" w:pos="1620"/>
        </w:tabs>
        <w:ind w:left="16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5">
    <w:nsid w:val="44052629"/>
    <w:multiLevelType w:val="hybridMultilevel"/>
    <w:tmpl w:val="52227140"/>
    <w:lvl w:ilvl="0" w:tplc="14A0865C">
      <w:start w:val="1"/>
      <w:numFmt w:val="decimal"/>
      <w:lvlText w:val="%1."/>
      <w:lvlJc w:val="left"/>
      <w:pPr>
        <w:ind w:left="720" w:hanging="360"/>
      </w:pPr>
    </w:lvl>
    <w:lvl w:ilvl="1" w:tplc="F356D3F6" w:tentative="1">
      <w:start w:val="1"/>
      <w:numFmt w:val="lowerLetter"/>
      <w:lvlText w:val="%2."/>
      <w:lvlJc w:val="left"/>
      <w:pPr>
        <w:ind w:left="1440" w:hanging="360"/>
      </w:pPr>
    </w:lvl>
    <w:lvl w:ilvl="2" w:tplc="387EBE62" w:tentative="1">
      <w:start w:val="1"/>
      <w:numFmt w:val="lowerRoman"/>
      <w:lvlText w:val="%3."/>
      <w:lvlJc w:val="right"/>
      <w:pPr>
        <w:ind w:left="2160" w:hanging="180"/>
      </w:pPr>
    </w:lvl>
    <w:lvl w:ilvl="3" w:tplc="63DC5F2A" w:tentative="1">
      <w:start w:val="1"/>
      <w:numFmt w:val="decimal"/>
      <w:lvlText w:val="%4."/>
      <w:lvlJc w:val="left"/>
      <w:pPr>
        <w:ind w:left="2880" w:hanging="360"/>
      </w:pPr>
    </w:lvl>
    <w:lvl w:ilvl="4" w:tplc="50D6B0DA" w:tentative="1">
      <w:start w:val="1"/>
      <w:numFmt w:val="lowerLetter"/>
      <w:lvlText w:val="%5."/>
      <w:lvlJc w:val="left"/>
      <w:pPr>
        <w:ind w:left="3600" w:hanging="360"/>
      </w:pPr>
    </w:lvl>
    <w:lvl w:ilvl="5" w:tplc="251AA678" w:tentative="1">
      <w:start w:val="1"/>
      <w:numFmt w:val="lowerRoman"/>
      <w:lvlText w:val="%6."/>
      <w:lvlJc w:val="right"/>
      <w:pPr>
        <w:ind w:left="4320" w:hanging="180"/>
      </w:pPr>
    </w:lvl>
    <w:lvl w:ilvl="6" w:tplc="E1BA2D34" w:tentative="1">
      <w:start w:val="1"/>
      <w:numFmt w:val="decimal"/>
      <w:lvlText w:val="%7."/>
      <w:lvlJc w:val="left"/>
      <w:pPr>
        <w:ind w:left="5040" w:hanging="360"/>
      </w:pPr>
    </w:lvl>
    <w:lvl w:ilvl="7" w:tplc="83305CB2" w:tentative="1">
      <w:start w:val="1"/>
      <w:numFmt w:val="lowerLetter"/>
      <w:lvlText w:val="%8."/>
      <w:lvlJc w:val="left"/>
      <w:pPr>
        <w:ind w:left="5760" w:hanging="360"/>
      </w:pPr>
    </w:lvl>
    <w:lvl w:ilvl="8" w:tplc="8DC897AE" w:tentative="1">
      <w:start w:val="1"/>
      <w:numFmt w:val="lowerRoman"/>
      <w:lvlText w:val="%9."/>
      <w:lvlJc w:val="right"/>
      <w:pPr>
        <w:ind w:left="6480" w:hanging="180"/>
      </w:pPr>
    </w:lvl>
  </w:abstractNum>
  <w:abstractNum w:abstractNumId="16">
    <w:nsid w:val="45E101A2"/>
    <w:multiLevelType w:val="hybridMultilevel"/>
    <w:tmpl w:val="D8F6EFE2"/>
    <w:lvl w:ilvl="0" w:tplc="0809000F">
      <w:start w:val="2"/>
      <w:numFmt w:val="bullet"/>
      <w:lvlText w:val=""/>
      <w:lvlJc w:val="left"/>
      <w:pPr>
        <w:ind w:left="720" w:hanging="360"/>
      </w:pPr>
      <w:rPr>
        <w:rFonts w:ascii="Symbol" w:eastAsia="Times New Roman" w:hAnsi="Symbol" w:cs="Times New Roman"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7">
    <w:nsid w:val="46BA1D2D"/>
    <w:multiLevelType w:val="hybridMultilevel"/>
    <w:tmpl w:val="07E2DD8C"/>
    <w:lvl w:ilvl="0" w:tplc="08090001">
      <w:start w:val="1"/>
      <w:numFmt w:val="decimal"/>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8">
    <w:nsid w:val="47B529C0"/>
    <w:multiLevelType w:val="hybridMultilevel"/>
    <w:tmpl w:val="8C145B54"/>
    <w:lvl w:ilvl="0" w:tplc="0809000F">
      <w:start w:val="1"/>
      <w:numFmt w:val="bullet"/>
      <w:lvlRestart w:val="0"/>
      <w:pStyle w:val="DeptBullets"/>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rPr>
        <w:rFonts w:ascii="Times New Roman" w:eastAsia="Times New Roman" w:hAnsi="Times New Roman" w:cs="Times New Roman"/>
      </w:rPr>
    </w:lvl>
    <w:lvl w:ilvl="2" w:tplc="0809001B" w:tentative="1">
      <w:start w:val="1"/>
      <w:numFmt w:val="bullet"/>
      <w:lvlText w:val=""/>
      <w:lvlJc w:val="left"/>
      <w:pPr>
        <w:tabs>
          <w:tab w:val="num" w:pos="2160"/>
        </w:tabs>
        <w:ind w:left="2160" w:hanging="360"/>
      </w:pPr>
      <w:rPr>
        <w:rFonts w:ascii="Marlett" w:hAnsi="Marlett"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Marlett" w:hAnsi="Marlett"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Marlett" w:hAnsi="Marlett" w:hint="default"/>
      </w:rPr>
    </w:lvl>
  </w:abstractNum>
  <w:abstractNum w:abstractNumId="19">
    <w:nsid w:val="499C26CE"/>
    <w:multiLevelType w:val="hybridMultilevel"/>
    <w:tmpl w:val="E0ACCB06"/>
    <w:lvl w:ilvl="0" w:tplc="BBBED8EC">
      <w:start w:val="1"/>
      <w:numFmt w:val="decimal"/>
      <w:lvlText w:val="%1."/>
      <w:lvlJc w:val="left"/>
      <w:pPr>
        <w:tabs>
          <w:tab w:val="num" w:pos="720"/>
        </w:tabs>
        <w:ind w:left="720" w:hanging="360"/>
      </w:pPr>
    </w:lvl>
    <w:lvl w:ilvl="1" w:tplc="20C239E2"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nsid w:val="53B46817"/>
    <w:multiLevelType w:val="hybridMultilevel"/>
    <w:tmpl w:val="F40C2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6B93B62"/>
    <w:multiLevelType w:val="hybridMultilevel"/>
    <w:tmpl w:val="8CE80696"/>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2">
    <w:nsid w:val="593B6409"/>
    <w:multiLevelType w:val="hybridMultilevel"/>
    <w:tmpl w:val="84C606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nsid w:val="5A326EDA"/>
    <w:multiLevelType w:val="hybridMultilevel"/>
    <w:tmpl w:val="65D4DACE"/>
    <w:lvl w:ilvl="0" w:tplc="A35A624C">
      <w:start w:val="7"/>
      <w:numFmt w:val="bullet"/>
      <w:lvlText w:val=""/>
      <w:lvlJc w:val="left"/>
      <w:pPr>
        <w:ind w:left="720" w:hanging="360"/>
      </w:pPr>
      <w:rPr>
        <w:rFonts w:ascii="Symbol" w:eastAsia="Times New Roman" w:hAnsi="Symbol" w:cs="AdvPSPL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DB54185"/>
    <w:multiLevelType w:val="hybridMultilevel"/>
    <w:tmpl w:val="917010D8"/>
    <w:lvl w:ilvl="0" w:tplc="08090001">
      <w:start w:val="1"/>
      <w:numFmt w:val="bullet"/>
      <w:lvlText w:val=""/>
      <w:lvlJc w:val="left"/>
      <w:pPr>
        <w:tabs>
          <w:tab w:val="num" w:pos="360"/>
        </w:tabs>
        <w:ind w:left="340" w:hanging="34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60793B12"/>
    <w:multiLevelType w:val="hybridMultilevel"/>
    <w:tmpl w:val="E8B894CC"/>
    <w:lvl w:ilvl="0" w:tplc="8DD0D894">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6">
    <w:nsid w:val="63160E68"/>
    <w:multiLevelType w:val="hybridMultilevel"/>
    <w:tmpl w:val="CF78D4A8"/>
    <w:lvl w:ilvl="0" w:tplc="0809000F">
      <w:start w:val="1"/>
      <w:numFmt w:val="bullet"/>
      <w:lvlText w:val=""/>
      <w:lvlJc w:val="left"/>
      <w:pPr>
        <w:ind w:left="360" w:hanging="360"/>
      </w:pPr>
      <w:rPr>
        <w:rFonts w:ascii="Symbol" w:hAnsi="Symbol" w:hint="default"/>
      </w:rPr>
    </w:lvl>
    <w:lvl w:ilvl="1" w:tplc="08090019" w:tentative="1">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27">
    <w:nsid w:val="67CF3D5F"/>
    <w:multiLevelType w:val="hybridMultilevel"/>
    <w:tmpl w:val="80B296B2"/>
    <w:lvl w:ilvl="0" w:tplc="08090001">
      <w:start w:val="1"/>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8">
    <w:nsid w:val="6B710EC9"/>
    <w:multiLevelType w:val="hybridMultilevel"/>
    <w:tmpl w:val="9E7C78D4"/>
    <w:lvl w:ilvl="0" w:tplc="0809000F">
      <w:start w:val="1"/>
      <w:numFmt w:val="decimal"/>
      <w:lvlText w:val="%1."/>
      <w:lvlJc w:val="left"/>
      <w:pPr>
        <w:tabs>
          <w:tab w:val="num" w:pos="720"/>
        </w:tabs>
        <w:ind w:left="720" w:hanging="360"/>
      </w:pPr>
    </w:lvl>
    <w:lvl w:ilvl="1" w:tplc="08090019">
      <w:numFmt w:val="bullet"/>
      <w:lvlText w:val="•"/>
      <w:lvlJc w:val="left"/>
      <w:pPr>
        <w:ind w:left="1440" w:hanging="360"/>
      </w:pPr>
      <w:rPr>
        <w:rFonts w:ascii="Times New Roman" w:eastAsia="Times New Roma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6BDD3956"/>
    <w:multiLevelType w:val="hybridMultilevel"/>
    <w:tmpl w:val="B9AA5110"/>
    <w:lvl w:ilvl="0" w:tplc="0809000F">
      <w:start w:val="1"/>
      <w:numFmt w:val="decimal"/>
      <w:lvlText w:val="%1."/>
      <w:lvlJc w:val="left"/>
      <w:pPr>
        <w:tabs>
          <w:tab w:val="num" w:pos="720"/>
        </w:tabs>
        <w:ind w:left="720" w:hanging="360"/>
      </w:pPr>
    </w:lvl>
    <w:lvl w:ilvl="1" w:tplc="CE064AF0"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71773B59"/>
    <w:multiLevelType w:val="hybridMultilevel"/>
    <w:tmpl w:val="91305130"/>
    <w:lvl w:ilvl="0" w:tplc="0809000F">
      <w:start w:val="1"/>
      <w:numFmt w:val="bullet"/>
      <w:lvlText w:val=""/>
      <w:lvlJc w:val="left"/>
      <w:pPr>
        <w:ind w:left="360" w:hanging="360"/>
      </w:pPr>
      <w:rPr>
        <w:rFonts w:ascii="Symbol" w:hAnsi="Symbol" w:hint="default"/>
      </w:rPr>
    </w:lvl>
    <w:lvl w:ilvl="1" w:tplc="08090019" w:tentative="1">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num w:numId="1">
    <w:abstractNumId w:val="18"/>
  </w:num>
  <w:num w:numId="2">
    <w:abstractNumId w:val="14"/>
  </w:num>
  <w:num w:numId="3">
    <w:abstractNumId w:val="24"/>
  </w:num>
  <w:num w:numId="4">
    <w:abstractNumId w:val="12"/>
  </w:num>
  <w:num w:numId="5">
    <w:abstractNumId w:val="6"/>
  </w:num>
  <w:num w:numId="6">
    <w:abstractNumId w:val="22"/>
  </w:num>
  <w:num w:numId="7">
    <w:abstractNumId w:val="29"/>
  </w:num>
  <w:num w:numId="8">
    <w:abstractNumId w:val="15"/>
  </w:num>
  <w:num w:numId="9">
    <w:abstractNumId w:val="5"/>
  </w:num>
  <w:num w:numId="10">
    <w:abstractNumId w:val="9"/>
  </w:num>
  <w:num w:numId="11">
    <w:abstractNumId w:val="25"/>
  </w:num>
  <w:num w:numId="12">
    <w:abstractNumId w:val="14"/>
  </w:num>
  <w:num w:numId="13">
    <w:abstractNumId w:val="14"/>
  </w:num>
  <w:num w:numId="14">
    <w:abstractNumId w:val="19"/>
  </w:num>
  <w:num w:numId="15">
    <w:abstractNumId w:val="2"/>
  </w:num>
  <w:num w:numId="16">
    <w:abstractNumId w:val="10"/>
  </w:num>
  <w:num w:numId="17">
    <w:abstractNumId w:val="17"/>
  </w:num>
  <w:num w:numId="18">
    <w:abstractNumId w:val="11"/>
  </w:num>
  <w:num w:numId="19">
    <w:abstractNumId w:val="14"/>
  </w:num>
  <w:num w:numId="20">
    <w:abstractNumId w:val="14"/>
  </w:num>
  <w:num w:numId="21">
    <w:abstractNumId w:val="13"/>
  </w:num>
  <w:num w:numId="22">
    <w:abstractNumId w:val="14"/>
  </w:num>
  <w:num w:numId="23">
    <w:abstractNumId w:val="14"/>
  </w:num>
  <w:num w:numId="24">
    <w:abstractNumId w:val="14"/>
  </w:num>
  <w:num w:numId="25">
    <w:abstractNumId w:val="14"/>
  </w:num>
  <w:num w:numId="26">
    <w:abstractNumId w:val="14"/>
  </w:num>
  <w:num w:numId="27">
    <w:abstractNumId w:val="21"/>
  </w:num>
  <w:num w:numId="28">
    <w:abstractNumId w:val="1"/>
  </w:num>
  <w:num w:numId="29">
    <w:abstractNumId w:val="8"/>
  </w:num>
  <w:num w:numId="30">
    <w:abstractNumId w:val="3"/>
  </w:num>
  <w:num w:numId="31">
    <w:abstractNumId w:val="7"/>
  </w:num>
  <w:num w:numId="32">
    <w:abstractNumId w:val="26"/>
  </w:num>
  <w:num w:numId="33">
    <w:abstractNumId w:val="16"/>
  </w:num>
  <w:num w:numId="34">
    <w:abstractNumId w:val="4"/>
  </w:num>
  <w:num w:numId="35">
    <w:abstractNumId w:val="30"/>
  </w:num>
  <w:num w:numId="36">
    <w:abstractNumId w:val="28"/>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0"/>
  </w:num>
  <w:num w:numId="40">
    <w:abstractNumId w:val="14"/>
  </w:num>
  <w:num w:numId="41">
    <w:abstractNumId w:val="0"/>
  </w:num>
  <w:num w:numId="42">
    <w:abstractNumId w:val="14"/>
  </w:num>
  <w:num w:numId="43">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AFF"/>
    <w:rsid w:val="000049CB"/>
    <w:rsid w:val="00005273"/>
    <w:rsid w:val="0000537B"/>
    <w:rsid w:val="00005825"/>
    <w:rsid w:val="00005E71"/>
    <w:rsid w:val="00005FD6"/>
    <w:rsid w:val="000068C2"/>
    <w:rsid w:val="00011492"/>
    <w:rsid w:val="000116A4"/>
    <w:rsid w:val="00012B9F"/>
    <w:rsid w:val="0001357F"/>
    <w:rsid w:val="00014CDF"/>
    <w:rsid w:val="00015A67"/>
    <w:rsid w:val="00015C25"/>
    <w:rsid w:val="0001791B"/>
    <w:rsid w:val="00017E1A"/>
    <w:rsid w:val="0002026A"/>
    <w:rsid w:val="00020D70"/>
    <w:rsid w:val="00021EBD"/>
    <w:rsid w:val="0002279E"/>
    <w:rsid w:val="000244AB"/>
    <w:rsid w:val="000246D1"/>
    <w:rsid w:val="0002528F"/>
    <w:rsid w:val="000267BD"/>
    <w:rsid w:val="00027A0F"/>
    <w:rsid w:val="0003034D"/>
    <w:rsid w:val="00030B19"/>
    <w:rsid w:val="000310B4"/>
    <w:rsid w:val="00031EDE"/>
    <w:rsid w:val="00034DE1"/>
    <w:rsid w:val="000356D7"/>
    <w:rsid w:val="00036336"/>
    <w:rsid w:val="00036370"/>
    <w:rsid w:val="00040FE0"/>
    <w:rsid w:val="000465D1"/>
    <w:rsid w:val="0004675F"/>
    <w:rsid w:val="000469B0"/>
    <w:rsid w:val="0005048D"/>
    <w:rsid w:val="0005056B"/>
    <w:rsid w:val="000526D9"/>
    <w:rsid w:val="00053288"/>
    <w:rsid w:val="000550B8"/>
    <w:rsid w:val="000569A2"/>
    <w:rsid w:val="0005735F"/>
    <w:rsid w:val="00060BF5"/>
    <w:rsid w:val="00061221"/>
    <w:rsid w:val="0006151A"/>
    <w:rsid w:val="00061A86"/>
    <w:rsid w:val="000622E8"/>
    <w:rsid w:val="0006269C"/>
    <w:rsid w:val="000628C7"/>
    <w:rsid w:val="00062DD5"/>
    <w:rsid w:val="00064C40"/>
    <w:rsid w:val="00064E2C"/>
    <w:rsid w:val="00066A61"/>
    <w:rsid w:val="00066E87"/>
    <w:rsid w:val="00067DE1"/>
    <w:rsid w:val="00072B20"/>
    <w:rsid w:val="00074499"/>
    <w:rsid w:val="0007472D"/>
    <w:rsid w:val="000762E1"/>
    <w:rsid w:val="00076E1F"/>
    <w:rsid w:val="00077887"/>
    <w:rsid w:val="0008152B"/>
    <w:rsid w:val="00083BBA"/>
    <w:rsid w:val="00086827"/>
    <w:rsid w:val="00090AB6"/>
    <w:rsid w:val="00090CF7"/>
    <w:rsid w:val="00091DB7"/>
    <w:rsid w:val="00091F12"/>
    <w:rsid w:val="00094994"/>
    <w:rsid w:val="00095843"/>
    <w:rsid w:val="000959F7"/>
    <w:rsid w:val="00096698"/>
    <w:rsid w:val="000966B8"/>
    <w:rsid w:val="000A01FB"/>
    <w:rsid w:val="000A3015"/>
    <w:rsid w:val="000A39A9"/>
    <w:rsid w:val="000A5648"/>
    <w:rsid w:val="000A5815"/>
    <w:rsid w:val="000A7B36"/>
    <w:rsid w:val="000B00A4"/>
    <w:rsid w:val="000B1AE6"/>
    <w:rsid w:val="000B1D53"/>
    <w:rsid w:val="000B1F91"/>
    <w:rsid w:val="000B20E6"/>
    <w:rsid w:val="000B3028"/>
    <w:rsid w:val="000B5E77"/>
    <w:rsid w:val="000B7CD8"/>
    <w:rsid w:val="000C0DDB"/>
    <w:rsid w:val="000C1F70"/>
    <w:rsid w:val="000C2FF7"/>
    <w:rsid w:val="000C3138"/>
    <w:rsid w:val="000C33DB"/>
    <w:rsid w:val="000C34BA"/>
    <w:rsid w:val="000C7B21"/>
    <w:rsid w:val="000D21E8"/>
    <w:rsid w:val="000D2C90"/>
    <w:rsid w:val="000D3CDC"/>
    <w:rsid w:val="000D3D5F"/>
    <w:rsid w:val="000D3D66"/>
    <w:rsid w:val="000D4B65"/>
    <w:rsid w:val="000D509F"/>
    <w:rsid w:val="000D6D35"/>
    <w:rsid w:val="000D7095"/>
    <w:rsid w:val="000E0651"/>
    <w:rsid w:val="000E2C29"/>
    <w:rsid w:val="000E71CD"/>
    <w:rsid w:val="000F07C8"/>
    <w:rsid w:val="000F31D2"/>
    <w:rsid w:val="000F3A6C"/>
    <w:rsid w:val="000F52BD"/>
    <w:rsid w:val="000F5637"/>
    <w:rsid w:val="000F64FE"/>
    <w:rsid w:val="000F6A11"/>
    <w:rsid w:val="000F6BE8"/>
    <w:rsid w:val="000F7200"/>
    <w:rsid w:val="000F7F03"/>
    <w:rsid w:val="001001B3"/>
    <w:rsid w:val="001008F6"/>
    <w:rsid w:val="00103A7A"/>
    <w:rsid w:val="00104613"/>
    <w:rsid w:val="00104652"/>
    <w:rsid w:val="001052C9"/>
    <w:rsid w:val="00105B35"/>
    <w:rsid w:val="00106B47"/>
    <w:rsid w:val="00107286"/>
    <w:rsid w:val="00110A05"/>
    <w:rsid w:val="0011146C"/>
    <w:rsid w:val="00111D1F"/>
    <w:rsid w:val="00113539"/>
    <w:rsid w:val="00114896"/>
    <w:rsid w:val="00115037"/>
    <w:rsid w:val="001153F5"/>
    <w:rsid w:val="00115CF7"/>
    <w:rsid w:val="001161D3"/>
    <w:rsid w:val="00120892"/>
    <w:rsid w:val="001223CA"/>
    <w:rsid w:val="001234FE"/>
    <w:rsid w:val="00124362"/>
    <w:rsid w:val="00124744"/>
    <w:rsid w:val="0012555F"/>
    <w:rsid w:val="00125DC1"/>
    <w:rsid w:val="00130A5F"/>
    <w:rsid w:val="00132528"/>
    <w:rsid w:val="0013342D"/>
    <w:rsid w:val="00135C6F"/>
    <w:rsid w:val="00135E4C"/>
    <w:rsid w:val="00137342"/>
    <w:rsid w:val="001407B3"/>
    <w:rsid w:val="00142C21"/>
    <w:rsid w:val="001444C1"/>
    <w:rsid w:val="00144E0B"/>
    <w:rsid w:val="001462ED"/>
    <w:rsid w:val="00147632"/>
    <w:rsid w:val="00147D0F"/>
    <w:rsid w:val="001500DF"/>
    <w:rsid w:val="001515E2"/>
    <w:rsid w:val="00152122"/>
    <w:rsid w:val="00152B71"/>
    <w:rsid w:val="00153CF3"/>
    <w:rsid w:val="00154067"/>
    <w:rsid w:val="00156AF3"/>
    <w:rsid w:val="00160AD3"/>
    <w:rsid w:val="00160C2F"/>
    <w:rsid w:val="001619B4"/>
    <w:rsid w:val="00161B50"/>
    <w:rsid w:val="001628A3"/>
    <w:rsid w:val="001638E7"/>
    <w:rsid w:val="00164352"/>
    <w:rsid w:val="00170CBD"/>
    <w:rsid w:val="00170F02"/>
    <w:rsid w:val="00170FC5"/>
    <w:rsid w:val="00173955"/>
    <w:rsid w:val="00180C9F"/>
    <w:rsid w:val="00184325"/>
    <w:rsid w:val="0018458B"/>
    <w:rsid w:val="00184F77"/>
    <w:rsid w:val="001879D4"/>
    <w:rsid w:val="0019061A"/>
    <w:rsid w:val="001915AB"/>
    <w:rsid w:val="00192642"/>
    <w:rsid w:val="00194419"/>
    <w:rsid w:val="00194A62"/>
    <w:rsid w:val="001959AE"/>
    <w:rsid w:val="00195C94"/>
    <w:rsid w:val="0019683F"/>
    <w:rsid w:val="001A054A"/>
    <w:rsid w:val="001A1429"/>
    <w:rsid w:val="001A214D"/>
    <w:rsid w:val="001A27E8"/>
    <w:rsid w:val="001A2F0B"/>
    <w:rsid w:val="001A43B2"/>
    <w:rsid w:val="001A5B42"/>
    <w:rsid w:val="001A6FED"/>
    <w:rsid w:val="001A70DE"/>
    <w:rsid w:val="001A7B2E"/>
    <w:rsid w:val="001A7FF9"/>
    <w:rsid w:val="001B00B1"/>
    <w:rsid w:val="001B1B4F"/>
    <w:rsid w:val="001B3E21"/>
    <w:rsid w:val="001B4B26"/>
    <w:rsid w:val="001B6066"/>
    <w:rsid w:val="001B6581"/>
    <w:rsid w:val="001B6E15"/>
    <w:rsid w:val="001C285A"/>
    <w:rsid w:val="001C5D77"/>
    <w:rsid w:val="001D02D1"/>
    <w:rsid w:val="001D1140"/>
    <w:rsid w:val="001D17C2"/>
    <w:rsid w:val="001D189D"/>
    <w:rsid w:val="001D1982"/>
    <w:rsid w:val="001D1B02"/>
    <w:rsid w:val="001D4D25"/>
    <w:rsid w:val="001D656F"/>
    <w:rsid w:val="001E2DB9"/>
    <w:rsid w:val="001E318C"/>
    <w:rsid w:val="001E459C"/>
    <w:rsid w:val="001E4790"/>
    <w:rsid w:val="001E4F52"/>
    <w:rsid w:val="001E5000"/>
    <w:rsid w:val="001E5129"/>
    <w:rsid w:val="001E56D7"/>
    <w:rsid w:val="001E6075"/>
    <w:rsid w:val="001E7050"/>
    <w:rsid w:val="001F0B05"/>
    <w:rsid w:val="001F2986"/>
    <w:rsid w:val="001F2E5E"/>
    <w:rsid w:val="001F2F36"/>
    <w:rsid w:val="001F334D"/>
    <w:rsid w:val="001F336E"/>
    <w:rsid w:val="002009AB"/>
    <w:rsid w:val="002039A3"/>
    <w:rsid w:val="00204F21"/>
    <w:rsid w:val="00205156"/>
    <w:rsid w:val="00206682"/>
    <w:rsid w:val="00207031"/>
    <w:rsid w:val="002107E5"/>
    <w:rsid w:val="00210EC3"/>
    <w:rsid w:val="00210FCF"/>
    <w:rsid w:val="0021195B"/>
    <w:rsid w:val="00214B6D"/>
    <w:rsid w:val="0021503E"/>
    <w:rsid w:val="00215E19"/>
    <w:rsid w:val="0021699F"/>
    <w:rsid w:val="00221B28"/>
    <w:rsid w:val="00221E15"/>
    <w:rsid w:val="00225173"/>
    <w:rsid w:val="00225CC0"/>
    <w:rsid w:val="0022714E"/>
    <w:rsid w:val="00227E15"/>
    <w:rsid w:val="00231429"/>
    <w:rsid w:val="00232656"/>
    <w:rsid w:val="0023391D"/>
    <w:rsid w:val="00236914"/>
    <w:rsid w:val="0024143B"/>
    <w:rsid w:val="00241D8E"/>
    <w:rsid w:val="0024239D"/>
    <w:rsid w:val="0024256D"/>
    <w:rsid w:val="00243202"/>
    <w:rsid w:val="00246DCD"/>
    <w:rsid w:val="0025056A"/>
    <w:rsid w:val="00251243"/>
    <w:rsid w:val="00252080"/>
    <w:rsid w:val="00254DF2"/>
    <w:rsid w:val="00255249"/>
    <w:rsid w:val="00255B0A"/>
    <w:rsid w:val="00256B1C"/>
    <w:rsid w:val="00256EFC"/>
    <w:rsid w:val="0025705D"/>
    <w:rsid w:val="00262A75"/>
    <w:rsid w:val="00262C07"/>
    <w:rsid w:val="00263BD1"/>
    <w:rsid w:val="00263DA1"/>
    <w:rsid w:val="00263FF2"/>
    <w:rsid w:val="00264487"/>
    <w:rsid w:val="00264AE2"/>
    <w:rsid w:val="00265378"/>
    <w:rsid w:val="002658F9"/>
    <w:rsid w:val="00265C52"/>
    <w:rsid w:val="002668A8"/>
    <w:rsid w:val="002678C8"/>
    <w:rsid w:val="00270584"/>
    <w:rsid w:val="00270BE6"/>
    <w:rsid w:val="00271077"/>
    <w:rsid w:val="002718CC"/>
    <w:rsid w:val="00272F16"/>
    <w:rsid w:val="00274173"/>
    <w:rsid w:val="00274B03"/>
    <w:rsid w:val="002755E2"/>
    <w:rsid w:val="0027575A"/>
    <w:rsid w:val="00275BC1"/>
    <w:rsid w:val="00275F34"/>
    <w:rsid w:val="00277F06"/>
    <w:rsid w:val="00280B07"/>
    <w:rsid w:val="00283F0A"/>
    <w:rsid w:val="00284B4B"/>
    <w:rsid w:val="00285044"/>
    <w:rsid w:val="00286358"/>
    <w:rsid w:val="00286DAA"/>
    <w:rsid w:val="002870F8"/>
    <w:rsid w:val="00287DC0"/>
    <w:rsid w:val="002901DA"/>
    <w:rsid w:val="0029113F"/>
    <w:rsid w:val="002920F1"/>
    <w:rsid w:val="002934EC"/>
    <w:rsid w:val="0029449B"/>
    <w:rsid w:val="00294EF6"/>
    <w:rsid w:val="002960A2"/>
    <w:rsid w:val="002A1721"/>
    <w:rsid w:val="002A17DE"/>
    <w:rsid w:val="002A18F5"/>
    <w:rsid w:val="002A2EE9"/>
    <w:rsid w:val="002A5785"/>
    <w:rsid w:val="002A5D6A"/>
    <w:rsid w:val="002A68C9"/>
    <w:rsid w:val="002A6AF8"/>
    <w:rsid w:val="002A6CA6"/>
    <w:rsid w:val="002A7F20"/>
    <w:rsid w:val="002B0D7D"/>
    <w:rsid w:val="002B146A"/>
    <w:rsid w:val="002B28F7"/>
    <w:rsid w:val="002B3088"/>
    <w:rsid w:val="002B713D"/>
    <w:rsid w:val="002C0D40"/>
    <w:rsid w:val="002C10E1"/>
    <w:rsid w:val="002C1F71"/>
    <w:rsid w:val="002C259B"/>
    <w:rsid w:val="002C28CA"/>
    <w:rsid w:val="002C79F5"/>
    <w:rsid w:val="002C7CCB"/>
    <w:rsid w:val="002D0A36"/>
    <w:rsid w:val="002D2480"/>
    <w:rsid w:val="002D26C8"/>
    <w:rsid w:val="002D2709"/>
    <w:rsid w:val="002D494D"/>
    <w:rsid w:val="002D5483"/>
    <w:rsid w:val="002D66B2"/>
    <w:rsid w:val="002D70BE"/>
    <w:rsid w:val="002D7BE3"/>
    <w:rsid w:val="002E111C"/>
    <w:rsid w:val="002E176F"/>
    <w:rsid w:val="002E1C50"/>
    <w:rsid w:val="002E391C"/>
    <w:rsid w:val="002E39BC"/>
    <w:rsid w:val="002E49E1"/>
    <w:rsid w:val="002E5439"/>
    <w:rsid w:val="002E5CE6"/>
    <w:rsid w:val="002E6CBC"/>
    <w:rsid w:val="002F0416"/>
    <w:rsid w:val="002F395F"/>
    <w:rsid w:val="002F3F80"/>
    <w:rsid w:val="002F47CA"/>
    <w:rsid w:val="002F5C83"/>
    <w:rsid w:val="002F6169"/>
    <w:rsid w:val="002F618B"/>
    <w:rsid w:val="002F77F9"/>
    <w:rsid w:val="003004DA"/>
    <w:rsid w:val="00300FEF"/>
    <w:rsid w:val="00301710"/>
    <w:rsid w:val="00301B41"/>
    <w:rsid w:val="00304409"/>
    <w:rsid w:val="00304CA6"/>
    <w:rsid w:val="003051FB"/>
    <w:rsid w:val="00310278"/>
    <w:rsid w:val="00311C8B"/>
    <w:rsid w:val="003124F7"/>
    <w:rsid w:val="003134E7"/>
    <w:rsid w:val="0031464C"/>
    <w:rsid w:val="00314DAB"/>
    <w:rsid w:val="0031544A"/>
    <w:rsid w:val="00315DD9"/>
    <w:rsid w:val="003165C5"/>
    <w:rsid w:val="00320EE4"/>
    <w:rsid w:val="003214ED"/>
    <w:rsid w:val="00322FB2"/>
    <w:rsid w:val="003245F2"/>
    <w:rsid w:val="0032496F"/>
    <w:rsid w:val="00325A82"/>
    <w:rsid w:val="00325C87"/>
    <w:rsid w:val="00325CA3"/>
    <w:rsid w:val="0032676F"/>
    <w:rsid w:val="00327B02"/>
    <w:rsid w:val="00327B8A"/>
    <w:rsid w:val="0033210E"/>
    <w:rsid w:val="00335A3C"/>
    <w:rsid w:val="00335D44"/>
    <w:rsid w:val="00335F97"/>
    <w:rsid w:val="00340F09"/>
    <w:rsid w:val="00340F3F"/>
    <w:rsid w:val="00343D7F"/>
    <w:rsid w:val="003445E0"/>
    <w:rsid w:val="00344EE3"/>
    <w:rsid w:val="00346C96"/>
    <w:rsid w:val="003472B1"/>
    <w:rsid w:val="00347578"/>
    <w:rsid w:val="00347EA4"/>
    <w:rsid w:val="00352341"/>
    <w:rsid w:val="003533FA"/>
    <w:rsid w:val="00354FD8"/>
    <w:rsid w:val="003568E0"/>
    <w:rsid w:val="003578E3"/>
    <w:rsid w:val="00357F4F"/>
    <w:rsid w:val="00360ABC"/>
    <w:rsid w:val="00362BB7"/>
    <w:rsid w:val="00362DB2"/>
    <w:rsid w:val="00363E1E"/>
    <w:rsid w:val="00364E65"/>
    <w:rsid w:val="00366A4C"/>
    <w:rsid w:val="0037020B"/>
    <w:rsid w:val="003718C8"/>
    <w:rsid w:val="00371EC7"/>
    <w:rsid w:val="00372E0A"/>
    <w:rsid w:val="00373532"/>
    <w:rsid w:val="00373877"/>
    <w:rsid w:val="00373A39"/>
    <w:rsid w:val="003750BB"/>
    <w:rsid w:val="0037662E"/>
    <w:rsid w:val="00377142"/>
    <w:rsid w:val="0037748E"/>
    <w:rsid w:val="003802A0"/>
    <w:rsid w:val="003806E4"/>
    <w:rsid w:val="0038111D"/>
    <w:rsid w:val="00382BF5"/>
    <w:rsid w:val="0038333A"/>
    <w:rsid w:val="00383777"/>
    <w:rsid w:val="00384F5F"/>
    <w:rsid w:val="003853CC"/>
    <w:rsid w:val="00386C92"/>
    <w:rsid w:val="00387B58"/>
    <w:rsid w:val="00387E11"/>
    <w:rsid w:val="00393F74"/>
    <w:rsid w:val="003941E1"/>
    <w:rsid w:val="0039579A"/>
    <w:rsid w:val="00396851"/>
    <w:rsid w:val="0039690B"/>
    <w:rsid w:val="00396AB7"/>
    <w:rsid w:val="00397127"/>
    <w:rsid w:val="0039783B"/>
    <w:rsid w:val="00397ACD"/>
    <w:rsid w:val="003A005B"/>
    <w:rsid w:val="003A5312"/>
    <w:rsid w:val="003A5F8D"/>
    <w:rsid w:val="003A624A"/>
    <w:rsid w:val="003A6330"/>
    <w:rsid w:val="003B1CAF"/>
    <w:rsid w:val="003B25A1"/>
    <w:rsid w:val="003B2EB0"/>
    <w:rsid w:val="003B30B1"/>
    <w:rsid w:val="003B42A2"/>
    <w:rsid w:val="003B4849"/>
    <w:rsid w:val="003B5720"/>
    <w:rsid w:val="003B5D48"/>
    <w:rsid w:val="003C0438"/>
    <w:rsid w:val="003C1A63"/>
    <w:rsid w:val="003C20F1"/>
    <w:rsid w:val="003C46D8"/>
    <w:rsid w:val="003C48D4"/>
    <w:rsid w:val="003C537E"/>
    <w:rsid w:val="003D0801"/>
    <w:rsid w:val="003D2792"/>
    <w:rsid w:val="003D35E2"/>
    <w:rsid w:val="003D388C"/>
    <w:rsid w:val="003D406B"/>
    <w:rsid w:val="003D4CD9"/>
    <w:rsid w:val="003D4F49"/>
    <w:rsid w:val="003D5A7A"/>
    <w:rsid w:val="003D7253"/>
    <w:rsid w:val="003E13FD"/>
    <w:rsid w:val="003E2547"/>
    <w:rsid w:val="003E3B8C"/>
    <w:rsid w:val="003E42F4"/>
    <w:rsid w:val="003E4B2F"/>
    <w:rsid w:val="003E53A2"/>
    <w:rsid w:val="003E623B"/>
    <w:rsid w:val="003F01BE"/>
    <w:rsid w:val="003F022C"/>
    <w:rsid w:val="003F0998"/>
    <w:rsid w:val="003F0DE5"/>
    <w:rsid w:val="003F163F"/>
    <w:rsid w:val="003F1D22"/>
    <w:rsid w:val="003F1E0C"/>
    <w:rsid w:val="003F2653"/>
    <w:rsid w:val="003F286D"/>
    <w:rsid w:val="003F3288"/>
    <w:rsid w:val="003F3729"/>
    <w:rsid w:val="003F7461"/>
    <w:rsid w:val="003F7A84"/>
    <w:rsid w:val="0040077F"/>
    <w:rsid w:val="004017C0"/>
    <w:rsid w:val="0040211F"/>
    <w:rsid w:val="00402262"/>
    <w:rsid w:val="004027F1"/>
    <w:rsid w:val="0040298F"/>
    <w:rsid w:val="00402EE7"/>
    <w:rsid w:val="00405987"/>
    <w:rsid w:val="0040709B"/>
    <w:rsid w:val="0041036C"/>
    <w:rsid w:val="00410F31"/>
    <w:rsid w:val="00412ABF"/>
    <w:rsid w:val="00412F9D"/>
    <w:rsid w:val="00414469"/>
    <w:rsid w:val="00414DAA"/>
    <w:rsid w:val="00415C5A"/>
    <w:rsid w:val="00416B72"/>
    <w:rsid w:val="00417489"/>
    <w:rsid w:val="00417E52"/>
    <w:rsid w:val="00420C09"/>
    <w:rsid w:val="00421EE9"/>
    <w:rsid w:val="00423CD9"/>
    <w:rsid w:val="004241B4"/>
    <w:rsid w:val="00425956"/>
    <w:rsid w:val="004272CC"/>
    <w:rsid w:val="00432CC4"/>
    <w:rsid w:val="00433286"/>
    <w:rsid w:val="004342AC"/>
    <w:rsid w:val="0043464F"/>
    <w:rsid w:val="004352A5"/>
    <w:rsid w:val="00437D00"/>
    <w:rsid w:val="00440FBF"/>
    <w:rsid w:val="00441184"/>
    <w:rsid w:val="00442301"/>
    <w:rsid w:val="004423D0"/>
    <w:rsid w:val="00442444"/>
    <w:rsid w:val="00444660"/>
    <w:rsid w:val="00444A28"/>
    <w:rsid w:val="00445695"/>
    <w:rsid w:val="0044589C"/>
    <w:rsid w:val="00447462"/>
    <w:rsid w:val="00447B0E"/>
    <w:rsid w:val="00447FEF"/>
    <w:rsid w:val="00452197"/>
    <w:rsid w:val="004542EB"/>
    <w:rsid w:val="00454911"/>
    <w:rsid w:val="00455257"/>
    <w:rsid w:val="00456508"/>
    <w:rsid w:val="00457445"/>
    <w:rsid w:val="004577FB"/>
    <w:rsid w:val="004578F2"/>
    <w:rsid w:val="00460EDA"/>
    <w:rsid w:val="0046243B"/>
    <w:rsid w:val="0046342D"/>
    <w:rsid w:val="00463D12"/>
    <w:rsid w:val="00465EBA"/>
    <w:rsid w:val="00467DAA"/>
    <w:rsid w:val="00470448"/>
    <w:rsid w:val="00470EFD"/>
    <w:rsid w:val="004716B4"/>
    <w:rsid w:val="00471A21"/>
    <w:rsid w:val="00474571"/>
    <w:rsid w:val="00474760"/>
    <w:rsid w:val="00476EBC"/>
    <w:rsid w:val="00477C18"/>
    <w:rsid w:val="0048262C"/>
    <w:rsid w:val="00485EE3"/>
    <w:rsid w:val="004868C0"/>
    <w:rsid w:val="00487CA7"/>
    <w:rsid w:val="00490A16"/>
    <w:rsid w:val="00490F36"/>
    <w:rsid w:val="00491493"/>
    <w:rsid w:val="004918C0"/>
    <w:rsid w:val="00491D17"/>
    <w:rsid w:val="004930AC"/>
    <w:rsid w:val="00493A99"/>
    <w:rsid w:val="004949FD"/>
    <w:rsid w:val="004956FC"/>
    <w:rsid w:val="004968F6"/>
    <w:rsid w:val="004969EE"/>
    <w:rsid w:val="004969F0"/>
    <w:rsid w:val="00496D83"/>
    <w:rsid w:val="004A06D8"/>
    <w:rsid w:val="004A0E26"/>
    <w:rsid w:val="004A0E6C"/>
    <w:rsid w:val="004A1714"/>
    <w:rsid w:val="004A2255"/>
    <w:rsid w:val="004A2C39"/>
    <w:rsid w:val="004A338E"/>
    <w:rsid w:val="004A3E21"/>
    <w:rsid w:val="004A4635"/>
    <w:rsid w:val="004A4B06"/>
    <w:rsid w:val="004A4CC4"/>
    <w:rsid w:val="004A66EF"/>
    <w:rsid w:val="004A6A0E"/>
    <w:rsid w:val="004A77B7"/>
    <w:rsid w:val="004A7E42"/>
    <w:rsid w:val="004B069F"/>
    <w:rsid w:val="004B06FF"/>
    <w:rsid w:val="004B1F66"/>
    <w:rsid w:val="004B479D"/>
    <w:rsid w:val="004B4D87"/>
    <w:rsid w:val="004B4E84"/>
    <w:rsid w:val="004B637D"/>
    <w:rsid w:val="004B68BE"/>
    <w:rsid w:val="004B6C83"/>
    <w:rsid w:val="004B7F0D"/>
    <w:rsid w:val="004C0512"/>
    <w:rsid w:val="004C0B6B"/>
    <w:rsid w:val="004C1947"/>
    <w:rsid w:val="004C22DC"/>
    <w:rsid w:val="004C241B"/>
    <w:rsid w:val="004C2DCB"/>
    <w:rsid w:val="004C3404"/>
    <w:rsid w:val="004C3F33"/>
    <w:rsid w:val="004C3F4A"/>
    <w:rsid w:val="004C50CB"/>
    <w:rsid w:val="004C69F5"/>
    <w:rsid w:val="004C7426"/>
    <w:rsid w:val="004C78F2"/>
    <w:rsid w:val="004D0484"/>
    <w:rsid w:val="004D2CEF"/>
    <w:rsid w:val="004D31C5"/>
    <w:rsid w:val="004D34D9"/>
    <w:rsid w:val="004D4706"/>
    <w:rsid w:val="004D50E9"/>
    <w:rsid w:val="004D60D7"/>
    <w:rsid w:val="004D7017"/>
    <w:rsid w:val="004E1155"/>
    <w:rsid w:val="004E13FE"/>
    <w:rsid w:val="004E143B"/>
    <w:rsid w:val="004E1D07"/>
    <w:rsid w:val="004E356D"/>
    <w:rsid w:val="004E3610"/>
    <w:rsid w:val="004E5E9F"/>
    <w:rsid w:val="004F041E"/>
    <w:rsid w:val="004F0F3E"/>
    <w:rsid w:val="004F2CD6"/>
    <w:rsid w:val="004F5722"/>
    <w:rsid w:val="004F5EF8"/>
    <w:rsid w:val="004F6F58"/>
    <w:rsid w:val="00500DEE"/>
    <w:rsid w:val="00501997"/>
    <w:rsid w:val="0050210A"/>
    <w:rsid w:val="0050232B"/>
    <w:rsid w:val="005029B9"/>
    <w:rsid w:val="00502A0F"/>
    <w:rsid w:val="00502B05"/>
    <w:rsid w:val="00502BB8"/>
    <w:rsid w:val="00503793"/>
    <w:rsid w:val="00504AFB"/>
    <w:rsid w:val="00504B66"/>
    <w:rsid w:val="00504C58"/>
    <w:rsid w:val="00504CDA"/>
    <w:rsid w:val="00507E82"/>
    <w:rsid w:val="00510D26"/>
    <w:rsid w:val="00513878"/>
    <w:rsid w:val="00513E72"/>
    <w:rsid w:val="00513F95"/>
    <w:rsid w:val="00514088"/>
    <w:rsid w:val="00520562"/>
    <w:rsid w:val="0052069F"/>
    <w:rsid w:val="005207FB"/>
    <w:rsid w:val="00520AE8"/>
    <w:rsid w:val="00520E07"/>
    <w:rsid w:val="00521753"/>
    <w:rsid w:val="00521ED5"/>
    <w:rsid w:val="00522031"/>
    <w:rsid w:val="005220DD"/>
    <w:rsid w:val="005221A1"/>
    <w:rsid w:val="005227FC"/>
    <w:rsid w:val="0052311B"/>
    <w:rsid w:val="00523B86"/>
    <w:rsid w:val="005247B2"/>
    <w:rsid w:val="00525F24"/>
    <w:rsid w:val="00532176"/>
    <w:rsid w:val="0053245D"/>
    <w:rsid w:val="0053528A"/>
    <w:rsid w:val="005403F1"/>
    <w:rsid w:val="00540957"/>
    <w:rsid w:val="00540C9E"/>
    <w:rsid w:val="00541444"/>
    <w:rsid w:val="005425CC"/>
    <w:rsid w:val="005440C2"/>
    <w:rsid w:val="00544324"/>
    <w:rsid w:val="00545273"/>
    <w:rsid w:val="005455C3"/>
    <w:rsid w:val="00545894"/>
    <w:rsid w:val="00550093"/>
    <w:rsid w:val="005506F2"/>
    <w:rsid w:val="00553EF5"/>
    <w:rsid w:val="005547A2"/>
    <w:rsid w:val="005553AF"/>
    <w:rsid w:val="00555996"/>
    <w:rsid w:val="00556F37"/>
    <w:rsid w:val="00561203"/>
    <w:rsid w:val="00563317"/>
    <w:rsid w:val="00563480"/>
    <w:rsid w:val="0056478E"/>
    <w:rsid w:val="00567E8B"/>
    <w:rsid w:val="00570ED0"/>
    <w:rsid w:val="00571BF8"/>
    <w:rsid w:val="005729D5"/>
    <w:rsid w:val="00572A13"/>
    <w:rsid w:val="005734A2"/>
    <w:rsid w:val="0057383D"/>
    <w:rsid w:val="005741CE"/>
    <w:rsid w:val="00575D2F"/>
    <w:rsid w:val="00577830"/>
    <w:rsid w:val="005778A4"/>
    <w:rsid w:val="0058154A"/>
    <w:rsid w:val="005838F7"/>
    <w:rsid w:val="00583BC0"/>
    <w:rsid w:val="005849C4"/>
    <w:rsid w:val="00586B5B"/>
    <w:rsid w:val="00592642"/>
    <w:rsid w:val="0059432F"/>
    <w:rsid w:val="00594E81"/>
    <w:rsid w:val="005971F9"/>
    <w:rsid w:val="005A09AA"/>
    <w:rsid w:val="005A116F"/>
    <w:rsid w:val="005A1A42"/>
    <w:rsid w:val="005A205A"/>
    <w:rsid w:val="005A24CE"/>
    <w:rsid w:val="005A31EB"/>
    <w:rsid w:val="005A36B6"/>
    <w:rsid w:val="005A3D5B"/>
    <w:rsid w:val="005A4213"/>
    <w:rsid w:val="005B23D3"/>
    <w:rsid w:val="005B2FFE"/>
    <w:rsid w:val="005B642D"/>
    <w:rsid w:val="005B6BA3"/>
    <w:rsid w:val="005B7269"/>
    <w:rsid w:val="005C07BE"/>
    <w:rsid w:val="005C3C32"/>
    <w:rsid w:val="005C44E0"/>
    <w:rsid w:val="005C532C"/>
    <w:rsid w:val="005C533F"/>
    <w:rsid w:val="005C56E4"/>
    <w:rsid w:val="005C6237"/>
    <w:rsid w:val="005C6ACB"/>
    <w:rsid w:val="005D1F45"/>
    <w:rsid w:val="005D2008"/>
    <w:rsid w:val="005D2014"/>
    <w:rsid w:val="005D25EB"/>
    <w:rsid w:val="005D2ECB"/>
    <w:rsid w:val="005D3A6A"/>
    <w:rsid w:val="005D41FF"/>
    <w:rsid w:val="005D42DF"/>
    <w:rsid w:val="005D4B00"/>
    <w:rsid w:val="005D4DB2"/>
    <w:rsid w:val="005D6333"/>
    <w:rsid w:val="005D6DB3"/>
    <w:rsid w:val="005D7C12"/>
    <w:rsid w:val="005E028A"/>
    <w:rsid w:val="005E03E7"/>
    <w:rsid w:val="005E0A5E"/>
    <w:rsid w:val="005E26B0"/>
    <w:rsid w:val="005E44DF"/>
    <w:rsid w:val="005E463B"/>
    <w:rsid w:val="005E5DEC"/>
    <w:rsid w:val="005E7642"/>
    <w:rsid w:val="005F11A2"/>
    <w:rsid w:val="005F3AB3"/>
    <w:rsid w:val="005F5208"/>
    <w:rsid w:val="005F58F3"/>
    <w:rsid w:val="005F60EC"/>
    <w:rsid w:val="005F657A"/>
    <w:rsid w:val="005F749D"/>
    <w:rsid w:val="005F7A8E"/>
    <w:rsid w:val="00601C6C"/>
    <w:rsid w:val="00601EE5"/>
    <w:rsid w:val="00602E66"/>
    <w:rsid w:val="00603226"/>
    <w:rsid w:val="0060372C"/>
    <w:rsid w:val="00603B21"/>
    <w:rsid w:val="0060495E"/>
    <w:rsid w:val="00604AF7"/>
    <w:rsid w:val="006069B1"/>
    <w:rsid w:val="00607035"/>
    <w:rsid w:val="0060715D"/>
    <w:rsid w:val="006072CE"/>
    <w:rsid w:val="0060779E"/>
    <w:rsid w:val="00607CEB"/>
    <w:rsid w:val="00610652"/>
    <w:rsid w:val="00612BC3"/>
    <w:rsid w:val="00615073"/>
    <w:rsid w:val="00616DE5"/>
    <w:rsid w:val="00617767"/>
    <w:rsid w:val="00617CC2"/>
    <w:rsid w:val="0062117B"/>
    <w:rsid w:val="00621EFF"/>
    <w:rsid w:val="006232F2"/>
    <w:rsid w:val="00623C9B"/>
    <w:rsid w:val="00624BA2"/>
    <w:rsid w:val="006254FE"/>
    <w:rsid w:val="006256F4"/>
    <w:rsid w:val="00625C70"/>
    <w:rsid w:val="00626F79"/>
    <w:rsid w:val="00627138"/>
    <w:rsid w:val="00630CEB"/>
    <w:rsid w:val="006319A2"/>
    <w:rsid w:val="00632673"/>
    <w:rsid w:val="00632BF9"/>
    <w:rsid w:val="00633D55"/>
    <w:rsid w:val="006341D0"/>
    <w:rsid w:val="00634CD6"/>
    <w:rsid w:val="00634CDA"/>
    <w:rsid w:val="00635093"/>
    <w:rsid w:val="00636F40"/>
    <w:rsid w:val="006427C5"/>
    <w:rsid w:val="00642BC4"/>
    <w:rsid w:val="006443C9"/>
    <w:rsid w:val="006448E9"/>
    <w:rsid w:val="00647B0E"/>
    <w:rsid w:val="00653129"/>
    <w:rsid w:val="006536F3"/>
    <w:rsid w:val="00653950"/>
    <w:rsid w:val="006546B3"/>
    <w:rsid w:val="00655300"/>
    <w:rsid w:val="00656746"/>
    <w:rsid w:val="00656AA1"/>
    <w:rsid w:val="00656FF9"/>
    <w:rsid w:val="00657DFB"/>
    <w:rsid w:val="00661DBF"/>
    <w:rsid w:val="00662D8F"/>
    <w:rsid w:val="00663F24"/>
    <w:rsid w:val="006656DC"/>
    <w:rsid w:val="006662C3"/>
    <w:rsid w:val="00666373"/>
    <w:rsid w:val="006679B5"/>
    <w:rsid w:val="00667C8D"/>
    <w:rsid w:val="006716AD"/>
    <w:rsid w:val="00672709"/>
    <w:rsid w:val="006734A1"/>
    <w:rsid w:val="00674398"/>
    <w:rsid w:val="00674C06"/>
    <w:rsid w:val="00680698"/>
    <w:rsid w:val="00680F05"/>
    <w:rsid w:val="006814DC"/>
    <w:rsid w:val="00682229"/>
    <w:rsid w:val="00685BB0"/>
    <w:rsid w:val="0068748E"/>
    <w:rsid w:val="006879EC"/>
    <w:rsid w:val="00687F2C"/>
    <w:rsid w:val="0069182F"/>
    <w:rsid w:val="006940E3"/>
    <w:rsid w:val="006944DF"/>
    <w:rsid w:val="0069673D"/>
    <w:rsid w:val="00697A5B"/>
    <w:rsid w:val="006A17C2"/>
    <w:rsid w:val="006A34C4"/>
    <w:rsid w:val="006A530A"/>
    <w:rsid w:val="006A7F19"/>
    <w:rsid w:val="006B32C5"/>
    <w:rsid w:val="006B5183"/>
    <w:rsid w:val="006B560E"/>
    <w:rsid w:val="006B5769"/>
    <w:rsid w:val="006B5EE5"/>
    <w:rsid w:val="006B7A2F"/>
    <w:rsid w:val="006B7FEE"/>
    <w:rsid w:val="006C0831"/>
    <w:rsid w:val="006C1D44"/>
    <w:rsid w:val="006C356F"/>
    <w:rsid w:val="006C3B9C"/>
    <w:rsid w:val="006C4465"/>
    <w:rsid w:val="006C641D"/>
    <w:rsid w:val="006D0B1A"/>
    <w:rsid w:val="006D0EC0"/>
    <w:rsid w:val="006D157D"/>
    <w:rsid w:val="006D255C"/>
    <w:rsid w:val="006D267C"/>
    <w:rsid w:val="006D281E"/>
    <w:rsid w:val="006D2E91"/>
    <w:rsid w:val="006D3C81"/>
    <w:rsid w:val="006D3F9B"/>
    <w:rsid w:val="006D437A"/>
    <w:rsid w:val="006D452A"/>
    <w:rsid w:val="006D4FE4"/>
    <w:rsid w:val="006D588A"/>
    <w:rsid w:val="006D5A33"/>
    <w:rsid w:val="006D620F"/>
    <w:rsid w:val="006D661E"/>
    <w:rsid w:val="006D70B5"/>
    <w:rsid w:val="006D78F8"/>
    <w:rsid w:val="006D7AA1"/>
    <w:rsid w:val="006E1224"/>
    <w:rsid w:val="006E14D9"/>
    <w:rsid w:val="006E4164"/>
    <w:rsid w:val="006F2603"/>
    <w:rsid w:val="006F2983"/>
    <w:rsid w:val="006F3566"/>
    <w:rsid w:val="006F5453"/>
    <w:rsid w:val="006F6E83"/>
    <w:rsid w:val="006F6F5E"/>
    <w:rsid w:val="006F6F89"/>
    <w:rsid w:val="006F7736"/>
    <w:rsid w:val="00700558"/>
    <w:rsid w:val="00701ED3"/>
    <w:rsid w:val="00702511"/>
    <w:rsid w:val="007049D6"/>
    <w:rsid w:val="00704C24"/>
    <w:rsid w:val="007050DE"/>
    <w:rsid w:val="0070574F"/>
    <w:rsid w:val="00705787"/>
    <w:rsid w:val="00706348"/>
    <w:rsid w:val="00706488"/>
    <w:rsid w:val="0071081C"/>
    <w:rsid w:val="007115B1"/>
    <w:rsid w:val="00711F1B"/>
    <w:rsid w:val="0071292A"/>
    <w:rsid w:val="00712B5A"/>
    <w:rsid w:val="007130B7"/>
    <w:rsid w:val="0071383F"/>
    <w:rsid w:val="00717172"/>
    <w:rsid w:val="007172A4"/>
    <w:rsid w:val="00717DB0"/>
    <w:rsid w:val="007202C1"/>
    <w:rsid w:val="00721633"/>
    <w:rsid w:val="00721EC3"/>
    <w:rsid w:val="007233FE"/>
    <w:rsid w:val="00724387"/>
    <w:rsid w:val="0072749A"/>
    <w:rsid w:val="00730AF1"/>
    <w:rsid w:val="0073108D"/>
    <w:rsid w:val="00732241"/>
    <w:rsid w:val="00732E89"/>
    <w:rsid w:val="007330B3"/>
    <w:rsid w:val="00733329"/>
    <w:rsid w:val="007341C2"/>
    <w:rsid w:val="0073584E"/>
    <w:rsid w:val="0073667A"/>
    <w:rsid w:val="00744593"/>
    <w:rsid w:val="0074513E"/>
    <w:rsid w:val="007453CC"/>
    <w:rsid w:val="00746F97"/>
    <w:rsid w:val="00747360"/>
    <w:rsid w:val="00750746"/>
    <w:rsid w:val="007511A2"/>
    <w:rsid w:val="00751B1B"/>
    <w:rsid w:val="00751D21"/>
    <w:rsid w:val="00753A55"/>
    <w:rsid w:val="00753C31"/>
    <w:rsid w:val="00753FF6"/>
    <w:rsid w:val="0075415C"/>
    <w:rsid w:val="00755BCB"/>
    <w:rsid w:val="00756112"/>
    <w:rsid w:val="007564AF"/>
    <w:rsid w:val="0075791B"/>
    <w:rsid w:val="007646CE"/>
    <w:rsid w:val="00765A7D"/>
    <w:rsid w:val="00766D47"/>
    <w:rsid w:val="007679EE"/>
    <w:rsid w:val="00767B80"/>
    <w:rsid w:val="0077048D"/>
    <w:rsid w:val="00773F16"/>
    <w:rsid w:val="007740A2"/>
    <w:rsid w:val="0077418D"/>
    <w:rsid w:val="00774DFB"/>
    <w:rsid w:val="0077665E"/>
    <w:rsid w:val="00777A30"/>
    <w:rsid w:val="00780552"/>
    <w:rsid w:val="00780AA8"/>
    <w:rsid w:val="00780ACD"/>
    <w:rsid w:val="00782B34"/>
    <w:rsid w:val="00783A5D"/>
    <w:rsid w:val="00784611"/>
    <w:rsid w:val="007849FB"/>
    <w:rsid w:val="007850A0"/>
    <w:rsid w:val="00786608"/>
    <w:rsid w:val="00787525"/>
    <w:rsid w:val="00787CD1"/>
    <w:rsid w:val="00787D60"/>
    <w:rsid w:val="00790F65"/>
    <w:rsid w:val="0079188E"/>
    <w:rsid w:val="00792336"/>
    <w:rsid w:val="00794C22"/>
    <w:rsid w:val="00794EAE"/>
    <w:rsid w:val="00794FF1"/>
    <w:rsid w:val="00796207"/>
    <w:rsid w:val="0079620A"/>
    <w:rsid w:val="007966CD"/>
    <w:rsid w:val="007A045A"/>
    <w:rsid w:val="007A0B83"/>
    <w:rsid w:val="007A0CB3"/>
    <w:rsid w:val="007A0EC0"/>
    <w:rsid w:val="007A387A"/>
    <w:rsid w:val="007A4BF7"/>
    <w:rsid w:val="007A578D"/>
    <w:rsid w:val="007A651C"/>
    <w:rsid w:val="007A6F4E"/>
    <w:rsid w:val="007B0C12"/>
    <w:rsid w:val="007B349C"/>
    <w:rsid w:val="007B3ABD"/>
    <w:rsid w:val="007B3C25"/>
    <w:rsid w:val="007B48EC"/>
    <w:rsid w:val="007B4C82"/>
    <w:rsid w:val="007B5910"/>
    <w:rsid w:val="007B5BA0"/>
    <w:rsid w:val="007B5E37"/>
    <w:rsid w:val="007B65C2"/>
    <w:rsid w:val="007B667F"/>
    <w:rsid w:val="007B718A"/>
    <w:rsid w:val="007C1337"/>
    <w:rsid w:val="007C1762"/>
    <w:rsid w:val="007C19D2"/>
    <w:rsid w:val="007C1DFA"/>
    <w:rsid w:val="007C23BF"/>
    <w:rsid w:val="007C3475"/>
    <w:rsid w:val="007C38D0"/>
    <w:rsid w:val="007C4118"/>
    <w:rsid w:val="007C64A5"/>
    <w:rsid w:val="007C6541"/>
    <w:rsid w:val="007C6AD1"/>
    <w:rsid w:val="007C7EE6"/>
    <w:rsid w:val="007C7FC4"/>
    <w:rsid w:val="007D1521"/>
    <w:rsid w:val="007D2FAF"/>
    <w:rsid w:val="007D36A1"/>
    <w:rsid w:val="007D3AE9"/>
    <w:rsid w:val="007D46C6"/>
    <w:rsid w:val="007D596A"/>
    <w:rsid w:val="007D682A"/>
    <w:rsid w:val="007D730D"/>
    <w:rsid w:val="007E07C4"/>
    <w:rsid w:val="007E17B1"/>
    <w:rsid w:val="007E1A7C"/>
    <w:rsid w:val="007E252C"/>
    <w:rsid w:val="007E3C96"/>
    <w:rsid w:val="007E4791"/>
    <w:rsid w:val="007E53A7"/>
    <w:rsid w:val="007E5C19"/>
    <w:rsid w:val="007F0DAF"/>
    <w:rsid w:val="007F1342"/>
    <w:rsid w:val="007F1DFD"/>
    <w:rsid w:val="007F707D"/>
    <w:rsid w:val="00800BE3"/>
    <w:rsid w:val="00800E3F"/>
    <w:rsid w:val="00804149"/>
    <w:rsid w:val="00805272"/>
    <w:rsid w:val="00806173"/>
    <w:rsid w:val="00806F8A"/>
    <w:rsid w:val="00806F9D"/>
    <w:rsid w:val="008074A2"/>
    <w:rsid w:val="00807680"/>
    <w:rsid w:val="00811120"/>
    <w:rsid w:val="00811C4A"/>
    <w:rsid w:val="00814A62"/>
    <w:rsid w:val="00814E2C"/>
    <w:rsid w:val="008158E6"/>
    <w:rsid w:val="00816D80"/>
    <w:rsid w:val="00817F0E"/>
    <w:rsid w:val="0082160E"/>
    <w:rsid w:val="008220F2"/>
    <w:rsid w:val="00822BAF"/>
    <w:rsid w:val="0082310F"/>
    <w:rsid w:val="008252C4"/>
    <w:rsid w:val="008307B2"/>
    <w:rsid w:val="00832340"/>
    <w:rsid w:val="0083403A"/>
    <w:rsid w:val="00835E89"/>
    <w:rsid w:val="0083721E"/>
    <w:rsid w:val="00841DA8"/>
    <w:rsid w:val="008428E0"/>
    <w:rsid w:val="00842D27"/>
    <w:rsid w:val="00842EAF"/>
    <w:rsid w:val="00843024"/>
    <w:rsid w:val="008431EB"/>
    <w:rsid w:val="00843604"/>
    <w:rsid w:val="00843D3C"/>
    <w:rsid w:val="00844EAD"/>
    <w:rsid w:val="008450E6"/>
    <w:rsid w:val="00846668"/>
    <w:rsid w:val="00847172"/>
    <w:rsid w:val="008509D2"/>
    <w:rsid w:val="00850B78"/>
    <w:rsid w:val="0085159B"/>
    <w:rsid w:val="00851760"/>
    <w:rsid w:val="00851C4F"/>
    <w:rsid w:val="0085271F"/>
    <w:rsid w:val="00854941"/>
    <w:rsid w:val="0085525A"/>
    <w:rsid w:val="00855EBF"/>
    <w:rsid w:val="00856ECE"/>
    <w:rsid w:val="0086305E"/>
    <w:rsid w:val="00863481"/>
    <w:rsid w:val="00863E77"/>
    <w:rsid w:val="00863F2F"/>
    <w:rsid w:val="008643C8"/>
    <w:rsid w:val="0086482E"/>
    <w:rsid w:val="008658AF"/>
    <w:rsid w:val="008660C4"/>
    <w:rsid w:val="00866FAD"/>
    <w:rsid w:val="00870D78"/>
    <w:rsid w:val="00870FDF"/>
    <w:rsid w:val="00871215"/>
    <w:rsid w:val="0087296E"/>
    <w:rsid w:val="00873826"/>
    <w:rsid w:val="00873F0F"/>
    <w:rsid w:val="0087494D"/>
    <w:rsid w:val="00876726"/>
    <w:rsid w:val="0087718B"/>
    <w:rsid w:val="008772A9"/>
    <w:rsid w:val="00877B77"/>
    <w:rsid w:val="00877C0F"/>
    <w:rsid w:val="00883B61"/>
    <w:rsid w:val="00884718"/>
    <w:rsid w:val="008862CF"/>
    <w:rsid w:val="008868E1"/>
    <w:rsid w:val="00886EEA"/>
    <w:rsid w:val="0088799B"/>
    <w:rsid w:val="00891369"/>
    <w:rsid w:val="008920B4"/>
    <w:rsid w:val="0089299C"/>
    <w:rsid w:val="0089300E"/>
    <w:rsid w:val="00894A5B"/>
    <w:rsid w:val="0089757B"/>
    <w:rsid w:val="008A1F9E"/>
    <w:rsid w:val="008A30A1"/>
    <w:rsid w:val="008A3522"/>
    <w:rsid w:val="008A5284"/>
    <w:rsid w:val="008A6243"/>
    <w:rsid w:val="008B14F3"/>
    <w:rsid w:val="008B35C1"/>
    <w:rsid w:val="008C296D"/>
    <w:rsid w:val="008C370C"/>
    <w:rsid w:val="008C4AA1"/>
    <w:rsid w:val="008C5D44"/>
    <w:rsid w:val="008C6344"/>
    <w:rsid w:val="008C6A1E"/>
    <w:rsid w:val="008C6A3D"/>
    <w:rsid w:val="008C771F"/>
    <w:rsid w:val="008D0ABB"/>
    <w:rsid w:val="008D2464"/>
    <w:rsid w:val="008D2616"/>
    <w:rsid w:val="008D3123"/>
    <w:rsid w:val="008D3364"/>
    <w:rsid w:val="008D3A63"/>
    <w:rsid w:val="008D5986"/>
    <w:rsid w:val="008D71F3"/>
    <w:rsid w:val="008D75CA"/>
    <w:rsid w:val="008E13BC"/>
    <w:rsid w:val="008E1A11"/>
    <w:rsid w:val="008E2520"/>
    <w:rsid w:val="008E27AD"/>
    <w:rsid w:val="008E4598"/>
    <w:rsid w:val="008E4B06"/>
    <w:rsid w:val="008E4D31"/>
    <w:rsid w:val="008F1C61"/>
    <w:rsid w:val="008F2041"/>
    <w:rsid w:val="008F21DE"/>
    <w:rsid w:val="008F2CEB"/>
    <w:rsid w:val="008F3F7D"/>
    <w:rsid w:val="008F5EB0"/>
    <w:rsid w:val="008F7FD1"/>
    <w:rsid w:val="0090224F"/>
    <w:rsid w:val="00902A69"/>
    <w:rsid w:val="009058E6"/>
    <w:rsid w:val="009066CD"/>
    <w:rsid w:val="00906A3C"/>
    <w:rsid w:val="0091089D"/>
    <w:rsid w:val="009108B9"/>
    <w:rsid w:val="00910AE4"/>
    <w:rsid w:val="00911992"/>
    <w:rsid w:val="00911DEC"/>
    <w:rsid w:val="00912CD4"/>
    <w:rsid w:val="0091547D"/>
    <w:rsid w:val="00916266"/>
    <w:rsid w:val="0091735F"/>
    <w:rsid w:val="00920C2A"/>
    <w:rsid w:val="00921D27"/>
    <w:rsid w:val="009234D5"/>
    <w:rsid w:val="009247D1"/>
    <w:rsid w:val="0092521F"/>
    <w:rsid w:val="00925E73"/>
    <w:rsid w:val="00926CBA"/>
    <w:rsid w:val="00932943"/>
    <w:rsid w:val="00933762"/>
    <w:rsid w:val="009340C1"/>
    <w:rsid w:val="00936D73"/>
    <w:rsid w:val="00940E70"/>
    <w:rsid w:val="00940FF6"/>
    <w:rsid w:val="00944A7E"/>
    <w:rsid w:val="00944C5D"/>
    <w:rsid w:val="00945E28"/>
    <w:rsid w:val="00946124"/>
    <w:rsid w:val="00947026"/>
    <w:rsid w:val="009513E7"/>
    <w:rsid w:val="00952802"/>
    <w:rsid w:val="00952E24"/>
    <w:rsid w:val="00953783"/>
    <w:rsid w:val="00953967"/>
    <w:rsid w:val="00953CAE"/>
    <w:rsid w:val="00955BF5"/>
    <w:rsid w:val="00955CF1"/>
    <w:rsid w:val="00956084"/>
    <w:rsid w:val="0095713B"/>
    <w:rsid w:val="0095762B"/>
    <w:rsid w:val="00957E7B"/>
    <w:rsid w:val="00960066"/>
    <w:rsid w:val="00962817"/>
    <w:rsid w:val="00963343"/>
    <w:rsid w:val="0096462A"/>
    <w:rsid w:val="009646CF"/>
    <w:rsid w:val="009652DA"/>
    <w:rsid w:val="009652EB"/>
    <w:rsid w:val="00973935"/>
    <w:rsid w:val="00973DCD"/>
    <w:rsid w:val="00973E6E"/>
    <w:rsid w:val="0097481D"/>
    <w:rsid w:val="00977069"/>
    <w:rsid w:val="00977A8C"/>
    <w:rsid w:val="00980DE9"/>
    <w:rsid w:val="00984EB0"/>
    <w:rsid w:val="00984FC1"/>
    <w:rsid w:val="00984FE0"/>
    <w:rsid w:val="009855F9"/>
    <w:rsid w:val="009857A5"/>
    <w:rsid w:val="0098585E"/>
    <w:rsid w:val="00985984"/>
    <w:rsid w:val="00986A68"/>
    <w:rsid w:val="0099026B"/>
    <w:rsid w:val="0099149F"/>
    <w:rsid w:val="00992404"/>
    <w:rsid w:val="00992C7A"/>
    <w:rsid w:val="00994C82"/>
    <w:rsid w:val="00994D4F"/>
    <w:rsid w:val="00995378"/>
    <w:rsid w:val="009A01CA"/>
    <w:rsid w:val="009A1C6B"/>
    <w:rsid w:val="009A28D5"/>
    <w:rsid w:val="009A2DF0"/>
    <w:rsid w:val="009A2EF1"/>
    <w:rsid w:val="009A3E3D"/>
    <w:rsid w:val="009A4876"/>
    <w:rsid w:val="009A5689"/>
    <w:rsid w:val="009A5A85"/>
    <w:rsid w:val="009B06FC"/>
    <w:rsid w:val="009B0BDC"/>
    <w:rsid w:val="009B1B5C"/>
    <w:rsid w:val="009B2FEA"/>
    <w:rsid w:val="009B3A10"/>
    <w:rsid w:val="009B4E28"/>
    <w:rsid w:val="009B5FFD"/>
    <w:rsid w:val="009B7600"/>
    <w:rsid w:val="009B794F"/>
    <w:rsid w:val="009C0524"/>
    <w:rsid w:val="009C095A"/>
    <w:rsid w:val="009C0C3C"/>
    <w:rsid w:val="009C2C17"/>
    <w:rsid w:val="009C4354"/>
    <w:rsid w:val="009C5EB0"/>
    <w:rsid w:val="009D0851"/>
    <w:rsid w:val="009D0B4C"/>
    <w:rsid w:val="009D23BD"/>
    <w:rsid w:val="009D29FD"/>
    <w:rsid w:val="009D3DCD"/>
    <w:rsid w:val="009D45C1"/>
    <w:rsid w:val="009D4988"/>
    <w:rsid w:val="009D6E3D"/>
    <w:rsid w:val="009D74E8"/>
    <w:rsid w:val="009E09F2"/>
    <w:rsid w:val="009E1B8A"/>
    <w:rsid w:val="009E2668"/>
    <w:rsid w:val="009E31BC"/>
    <w:rsid w:val="009E60E9"/>
    <w:rsid w:val="009F069E"/>
    <w:rsid w:val="009F1F01"/>
    <w:rsid w:val="009F2361"/>
    <w:rsid w:val="009F247E"/>
    <w:rsid w:val="009F2C1C"/>
    <w:rsid w:val="009F7077"/>
    <w:rsid w:val="00A0041B"/>
    <w:rsid w:val="00A02378"/>
    <w:rsid w:val="00A031EA"/>
    <w:rsid w:val="00A05A1D"/>
    <w:rsid w:val="00A0604A"/>
    <w:rsid w:val="00A06884"/>
    <w:rsid w:val="00A105EC"/>
    <w:rsid w:val="00A1216A"/>
    <w:rsid w:val="00A122AC"/>
    <w:rsid w:val="00A136BB"/>
    <w:rsid w:val="00A1401C"/>
    <w:rsid w:val="00A14CEF"/>
    <w:rsid w:val="00A20534"/>
    <w:rsid w:val="00A22947"/>
    <w:rsid w:val="00A22F6B"/>
    <w:rsid w:val="00A259D7"/>
    <w:rsid w:val="00A25B2F"/>
    <w:rsid w:val="00A26324"/>
    <w:rsid w:val="00A31F3C"/>
    <w:rsid w:val="00A321A1"/>
    <w:rsid w:val="00A32980"/>
    <w:rsid w:val="00A33E2F"/>
    <w:rsid w:val="00A341D3"/>
    <w:rsid w:val="00A34D80"/>
    <w:rsid w:val="00A36557"/>
    <w:rsid w:val="00A36AD3"/>
    <w:rsid w:val="00A37B4C"/>
    <w:rsid w:val="00A40B1C"/>
    <w:rsid w:val="00A41597"/>
    <w:rsid w:val="00A43176"/>
    <w:rsid w:val="00A437F3"/>
    <w:rsid w:val="00A441E2"/>
    <w:rsid w:val="00A4690D"/>
    <w:rsid w:val="00A47210"/>
    <w:rsid w:val="00A47945"/>
    <w:rsid w:val="00A47ADB"/>
    <w:rsid w:val="00A50B64"/>
    <w:rsid w:val="00A52AA1"/>
    <w:rsid w:val="00A52AFA"/>
    <w:rsid w:val="00A52EBB"/>
    <w:rsid w:val="00A5337E"/>
    <w:rsid w:val="00A54CFD"/>
    <w:rsid w:val="00A54E32"/>
    <w:rsid w:val="00A552F6"/>
    <w:rsid w:val="00A56430"/>
    <w:rsid w:val="00A56A97"/>
    <w:rsid w:val="00A577C7"/>
    <w:rsid w:val="00A62AD2"/>
    <w:rsid w:val="00A63D5C"/>
    <w:rsid w:val="00A64D85"/>
    <w:rsid w:val="00A65DAC"/>
    <w:rsid w:val="00A65E73"/>
    <w:rsid w:val="00A66B3E"/>
    <w:rsid w:val="00A706D0"/>
    <w:rsid w:val="00A7282D"/>
    <w:rsid w:val="00A73838"/>
    <w:rsid w:val="00A75AC1"/>
    <w:rsid w:val="00A814F5"/>
    <w:rsid w:val="00A83D30"/>
    <w:rsid w:val="00A84859"/>
    <w:rsid w:val="00A84C1D"/>
    <w:rsid w:val="00A85F2A"/>
    <w:rsid w:val="00A878AD"/>
    <w:rsid w:val="00A9047D"/>
    <w:rsid w:val="00A915BF"/>
    <w:rsid w:val="00A922C1"/>
    <w:rsid w:val="00A925C5"/>
    <w:rsid w:val="00A93C25"/>
    <w:rsid w:val="00A94C9A"/>
    <w:rsid w:val="00A967FA"/>
    <w:rsid w:val="00A97BBC"/>
    <w:rsid w:val="00AA04A0"/>
    <w:rsid w:val="00AA0C16"/>
    <w:rsid w:val="00AA3D3A"/>
    <w:rsid w:val="00AA405A"/>
    <w:rsid w:val="00AA4513"/>
    <w:rsid w:val="00AA468E"/>
    <w:rsid w:val="00AA4DC8"/>
    <w:rsid w:val="00AA51E3"/>
    <w:rsid w:val="00AA545D"/>
    <w:rsid w:val="00AB074D"/>
    <w:rsid w:val="00AB108F"/>
    <w:rsid w:val="00AB1B2D"/>
    <w:rsid w:val="00AB260A"/>
    <w:rsid w:val="00AB3023"/>
    <w:rsid w:val="00AB3909"/>
    <w:rsid w:val="00AB3E9A"/>
    <w:rsid w:val="00AB45CC"/>
    <w:rsid w:val="00AB67E2"/>
    <w:rsid w:val="00AC23D9"/>
    <w:rsid w:val="00AC4027"/>
    <w:rsid w:val="00AC418D"/>
    <w:rsid w:val="00AC5D16"/>
    <w:rsid w:val="00AD20C8"/>
    <w:rsid w:val="00AD269E"/>
    <w:rsid w:val="00AD403F"/>
    <w:rsid w:val="00AD4768"/>
    <w:rsid w:val="00AD567D"/>
    <w:rsid w:val="00AD6B85"/>
    <w:rsid w:val="00AD6D30"/>
    <w:rsid w:val="00AD73AA"/>
    <w:rsid w:val="00AE1404"/>
    <w:rsid w:val="00AE1CB0"/>
    <w:rsid w:val="00AE1F9D"/>
    <w:rsid w:val="00AE45AC"/>
    <w:rsid w:val="00AE50A7"/>
    <w:rsid w:val="00AE56D3"/>
    <w:rsid w:val="00AE5F04"/>
    <w:rsid w:val="00AF0FFF"/>
    <w:rsid w:val="00AF4A71"/>
    <w:rsid w:val="00AF4BD7"/>
    <w:rsid w:val="00AF4FA9"/>
    <w:rsid w:val="00AF5192"/>
    <w:rsid w:val="00AF5A94"/>
    <w:rsid w:val="00AF5E5C"/>
    <w:rsid w:val="00AF73C5"/>
    <w:rsid w:val="00B0070F"/>
    <w:rsid w:val="00B011BC"/>
    <w:rsid w:val="00B0139E"/>
    <w:rsid w:val="00B027CF"/>
    <w:rsid w:val="00B03792"/>
    <w:rsid w:val="00B04230"/>
    <w:rsid w:val="00B04BB0"/>
    <w:rsid w:val="00B07858"/>
    <w:rsid w:val="00B13279"/>
    <w:rsid w:val="00B14B1A"/>
    <w:rsid w:val="00B14B97"/>
    <w:rsid w:val="00B15443"/>
    <w:rsid w:val="00B20424"/>
    <w:rsid w:val="00B20C04"/>
    <w:rsid w:val="00B20E71"/>
    <w:rsid w:val="00B20E90"/>
    <w:rsid w:val="00B21155"/>
    <w:rsid w:val="00B24837"/>
    <w:rsid w:val="00B26067"/>
    <w:rsid w:val="00B26335"/>
    <w:rsid w:val="00B2735C"/>
    <w:rsid w:val="00B309FB"/>
    <w:rsid w:val="00B310BB"/>
    <w:rsid w:val="00B312B6"/>
    <w:rsid w:val="00B326C9"/>
    <w:rsid w:val="00B3317B"/>
    <w:rsid w:val="00B34ADC"/>
    <w:rsid w:val="00B34EA3"/>
    <w:rsid w:val="00B3503F"/>
    <w:rsid w:val="00B35F70"/>
    <w:rsid w:val="00B36CE0"/>
    <w:rsid w:val="00B3728C"/>
    <w:rsid w:val="00B379B2"/>
    <w:rsid w:val="00B4070E"/>
    <w:rsid w:val="00B42DBB"/>
    <w:rsid w:val="00B4351D"/>
    <w:rsid w:val="00B43F6B"/>
    <w:rsid w:val="00B44996"/>
    <w:rsid w:val="00B465B8"/>
    <w:rsid w:val="00B51143"/>
    <w:rsid w:val="00B51B6F"/>
    <w:rsid w:val="00B51C85"/>
    <w:rsid w:val="00B533C6"/>
    <w:rsid w:val="00B5349F"/>
    <w:rsid w:val="00B5594D"/>
    <w:rsid w:val="00B559B8"/>
    <w:rsid w:val="00B55F26"/>
    <w:rsid w:val="00B57186"/>
    <w:rsid w:val="00B57A1F"/>
    <w:rsid w:val="00B600CB"/>
    <w:rsid w:val="00B621EB"/>
    <w:rsid w:val="00B62849"/>
    <w:rsid w:val="00B63E72"/>
    <w:rsid w:val="00B64429"/>
    <w:rsid w:val="00B65186"/>
    <w:rsid w:val="00B655C9"/>
    <w:rsid w:val="00B71A85"/>
    <w:rsid w:val="00B71B62"/>
    <w:rsid w:val="00B71BF9"/>
    <w:rsid w:val="00B71F44"/>
    <w:rsid w:val="00B72510"/>
    <w:rsid w:val="00B72621"/>
    <w:rsid w:val="00B73220"/>
    <w:rsid w:val="00B73A10"/>
    <w:rsid w:val="00B73FE7"/>
    <w:rsid w:val="00B741D4"/>
    <w:rsid w:val="00B74C26"/>
    <w:rsid w:val="00B7655C"/>
    <w:rsid w:val="00B8053A"/>
    <w:rsid w:val="00B814AE"/>
    <w:rsid w:val="00B814EC"/>
    <w:rsid w:val="00B828A5"/>
    <w:rsid w:val="00B8293F"/>
    <w:rsid w:val="00B82C07"/>
    <w:rsid w:val="00B8359B"/>
    <w:rsid w:val="00B861E0"/>
    <w:rsid w:val="00B879A0"/>
    <w:rsid w:val="00B902C6"/>
    <w:rsid w:val="00B917F5"/>
    <w:rsid w:val="00B923B1"/>
    <w:rsid w:val="00B93CB4"/>
    <w:rsid w:val="00B94F5B"/>
    <w:rsid w:val="00B9654F"/>
    <w:rsid w:val="00B96649"/>
    <w:rsid w:val="00B974AE"/>
    <w:rsid w:val="00B974D4"/>
    <w:rsid w:val="00BA010B"/>
    <w:rsid w:val="00BA37E4"/>
    <w:rsid w:val="00BA38BB"/>
    <w:rsid w:val="00BA462F"/>
    <w:rsid w:val="00BB0301"/>
    <w:rsid w:val="00BB045D"/>
    <w:rsid w:val="00BB2E6E"/>
    <w:rsid w:val="00BB6C04"/>
    <w:rsid w:val="00BC0C98"/>
    <w:rsid w:val="00BC1363"/>
    <w:rsid w:val="00BC231F"/>
    <w:rsid w:val="00BC2F22"/>
    <w:rsid w:val="00BC3CD3"/>
    <w:rsid w:val="00BC4F5E"/>
    <w:rsid w:val="00BC5633"/>
    <w:rsid w:val="00BC5646"/>
    <w:rsid w:val="00BC5792"/>
    <w:rsid w:val="00BC738F"/>
    <w:rsid w:val="00BD006F"/>
    <w:rsid w:val="00BD057B"/>
    <w:rsid w:val="00BD0737"/>
    <w:rsid w:val="00BD4130"/>
    <w:rsid w:val="00BD657A"/>
    <w:rsid w:val="00BD77A7"/>
    <w:rsid w:val="00BD784A"/>
    <w:rsid w:val="00BE29D8"/>
    <w:rsid w:val="00BE2D21"/>
    <w:rsid w:val="00BE5F0A"/>
    <w:rsid w:val="00BE64F5"/>
    <w:rsid w:val="00BE6BB4"/>
    <w:rsid w:val="00BE7C7B"/>
    <w:rsid w:val="00BF060C"/>
    <w:rsid w:val="00BF10EE"/>
    <w:rsid w:val="00BF1456"/>
    <w:rsid w:val="00BF1BC5"/>
    <w:rsid w:val="00BF3017"/>
    <w:rsid w:val="00BF3E19"/>
    <w:rsid w:val="00BF3EC5"/>
    <w:rsid w:val="00BF51AC"/>
    <w:rsid w:val="00BF7B71"/>
    <w:rsid w:val="00BF7B81"/>
    <w:rsid w:val="00C01C87"/>
    <w:rsid w:val="00C0398B"/>
    <w:rsid w:val="00C0422C"/>
    <w:rsid w:val="00C04597"/>
    <w:rsid w:val="00C06FB6"/>
    <w:rsid w:val="00C073DE"/>
    <w:rsid w:val="00C102BD"/>
    <w:rsid w:val="00C11E03"/>
    <w:rsid w:val="00C13C44"/>
    <w:rsid w:val="00C14818"/>
    <w:rsid w:val="00C14FD2"/>
    <w:rsid w:val="00C151BD"/>
    <w:rsid w:val="00C158CC"/>
    <w:rsid w:val="00C16626"/>
    <w:rsid w:val="00C17474"/>
    <w:rsid w:val="00C20928"/>
    <w:rsid w:val="00C21299"/>
    <w:rsid w:val="00C212CC"/>
    <w:rsid w:val="00C22065"/>
    <w:rsid w:val="00C22B14"/>
    <w:rsid w:val="00C22DB0"/>
    <w:rsid w:val="00C22DF1"/>
    <w:rsid w:val="00C232E2"/>
    <w:rsid w:val="00C23AD3"/>
    <w:rsid w:val="00C24D16"/>
    <w:rsid w:val="00C24FE5"/>
    <w:rsid w:val="00C26220"/>
    <w:rsid w:val="00C26383"/>
    <w:rsid w:val="00C27131"/>
    <w:rsid w:val="00C272FC"/>
    <w:rsid w:val="00C3048E"/>
    <w:rsid w:val="00C319B2"/>
    <w:rsid w:val="00C319F8"/>
    <w:rsid w:val="00C31B4B"/>
    <w:rsid w:val="00C32DDB"/>
    <w:rsid w:val="00C332DB"/>
    <w:rsid w:val="00C34244"/>
    <w:rsid w:val="00C34D7F"/>
    <w:rsid w:val="00C359F9"/>
    <w:rsid w:val="00C35C27"/>
    <w:rsid w:val="00C35D22"/>
    <w:rsid w:val="00C40704"/>
    <w:rsid w:val="00C40FF4"/>
    <w:rsid w:val="00C414C2"/>
    <w:rsid w:val="00C4160A"/>
    <w:rsid w:val="00C41A5E"/>
    <w:rsid w:val="00C46933"/>
    <w:rsid w:val="00C46A46"/>
    <w:rsid w:val="00C46AFF"/>
    <w:rsid w:val="00C46B46"/>
    <w:rsid w:val="00C47E32"/>
    <w:rsid w:val="00C500E9"/>
    <w:rsid w:val="00C50AEA"/>
    <w:rsid w:val="00C54CB4"/>
    <w:rsid w:val="00C55678"/>
    <w:rsid w:val="00C561B1"/>
    <w:rsid w:val="00C56764"/>
    <w:rsid w:val="00C56B5D"/>
    <w:rsid w:val="00C630FA"/>
    <w:rsid w:val="00C65817"/>
    <w:rsid w:val="00C6751E"/>
    <w:rsid w:val="00C67867"/>
    <w:rsid w:val="00C71BC4"/>
    <w:rsid w:val="00C7245A"/>
    <w:rsid w:val="00C724EA"/>
    <w:rsid w:val="00C72CAD"/>
    <w:rsid w:val="00C73CCC"/>
    <w:rsid w:val="00C74209"/>
    <w:rsid w:val="00C76A68"/>
    <w:rsid w:val="00C85351"/>
    <w:rsid w:val="00C85946"/>
    <w:rsid w:val="00C85EE0"/>
    <w:rsid w:val="00C87347"/>
    <w:rsid w:val="00C87E63"/>
    <w:rsid w:val="00C905FE"/>
    <w:rsid w:val="00C90C3A"/>
    <w:rsid w:val="00C92DFD"/>
    <w:rsid w:val="00C93857"/>
    <w:rsid w:val="00C93AFC"/>
    <w:rsid w:val="00C96912"/>
    <w:rsid w:val="00CA07ED"/>
    <w:rsid w:val="00CA2E58"/>
    <w:rsid w:val="00CA2F18"/>
    <w:rsid w:val="00CA3637"/>
    <w:rsid w:val="00CA475A"/>
    <w:rsid w:val="00CA6D17"/>
    <w:rsid w:val="00CA6EB0"/>
    <w:rsid w:val="00CA6F47"/>
    <w:rsid w:val="00CA791C"/>
    <w:rsid w:val="00CA7DCF"/>
    <w:rsid w:val="00CB12E7"/>
    <w:rsid w:val="00CB1F75"/>
    <w:rsid w:val="00CB2744"/>
    <w:rsid w:val="00CB2BCC"/>
    <w:rsid w:val="00CB2D19"/>
    <w:rsid w:val="00CB3EFE"/>
    <w:rsid w:val="00CB5A1B"/>
    <w:rsid w:val="00CB717A"/>
    <w:rsid w:val="00CB7193"/>
    <w:rsid w:val="00CC14C9"/>
    <w:rsid w:val="00CC1D32"/>
    <w:rsid w:val="00CC23DD"/>
    <w:rsid w:val="00CC2AA3"/>
    <w:rsid w:val="00CC3B49"/>
    <w:rsid w:val="00CC5464"/>
    <w:rsid w:val="00CC5DD9"/>
    <w:rsid w:val="00CC66E7"/>
    <w:rsid w:val="00CC6CAB"/>
    <w:rsid w:val="00CC760A"/>
    <w:rsid w:val="00CD02B2"/>
    <w:rsid w:val="00CD071A"/>
    <w:rsid w:val="00CD23C5"/>
    <w:rsid w:val="00CD251F"/>
    <w:rsid w:val="00CD2B32"/>
    <w:rsid w:val="00CD301C"/>
    <w:rsid w:val="00CD3B33"/>
    <w:rsid w:val="00CD4633"/>
    <w:rsid w:val="00CD47B5"/>
    <w:rsid w:val="00CD5AED"/>
    <w:rsid w:val="00CD5C8A"/>
    <w:rsid w:val="00CD79BC"/>
    <w:rsid w:val="00CD7E63"/>
    <w:rsid w:val="00CE0B97"/>
    <w:rsid w:val="00CE0C3D"/>
    <w:rsid w:val="00CE0E25"/>
    <w:rsid w:val="00CE1075"/>
    <w:rsid w:val="00CE17D0"/>
    <w:rsid w:val="00CE2128"/>
    <w:rsid w:val="00CE2299"/>
    <w:rsid w:val="00CE3051"/>
    <w:rsid w:val="00CE38AE"/>
    <w:rsid w:val="00CE5433"/>
    <w:rsid w:val="00CE7A64"/>
    <w:rsid w:val="00CE7C09"/>
    <w:rsid w:val="00CF09C4"/>
    <w:rsid w:val="00CF19BA"/>
    <w:rsid w:val="00CF2342"/>
    <w:rsid w:val="00CF339C"/>
    <w:rsid w:val="00CF3A03"/>
    <w:rsid w:val="00CF48D6"/>
    <w:rsid w:val="00CF689E"/>
    <w:rsid w:val="00D0507C"/>
    <w:rsid w:val="00D1058E"/>
    <w:rsid w:val="00D12A7A"/>
    <w:rsid w:val="00D141B6"/>
    <w:rsid w:val="00D152BF"/>
    <w:rsid w:val="00D15782"/>
    <w:rsid w:val="00D1781A"/>
    <w:rsid w:val="00D200F7"/>
    <w:rsid w:val="00D2234E"/>
    <w:rsid w:val="00D223E8"/>
    <w:rsid w:val="00D2382C"/>
    <w:rsid w:val="00D23BAE"/>
    <w:rsid w:val="00D24EDD"/>
    <w:rsid w:val="00D253A4"/>
    <w:rsid w:val="00D25FD9"/>
    <w:rsid w:val="00D2630F"/>
    <w:rsid w:val="00D26B0A"/>
    <w:rsid w:val="00D273F8"/>
    <w:rsid w:val="00D304AF"/>
    <w:rsid w:val="00D31605"/>
    <w:rsid w:val="00D325F2"/>
    <w:rsid w:val="00D334A4"/>
    <w:rsid w:val="00D34795"/>
    <w:rsid w:val="00D349D2"/>
    <w:rsid w:val="00D35537"/>
    <w:rsid w:val="00D35DFC"/>
    <w:rsid w:val="00D36781"/>
    <w:rsid w:val="00D40693"/>
    <w:rsid w:val="00D44914"/>
    <w:rsid w:val="00D44991"/>
    <w:rsid w:val="00D44B67"/>
    <w:rsid w:val="00D45845"/>
    <w:rsid w:val="00D46231"/>
    <w:rsid w:val="00D50671"/>
    <w:rsid w:val="00D509AB"/>
    <w:rsid w:val="00D520B7"/>
    <w:rsid w:val="00D5213F"/>
    <w:rsid w:val="00D55EE3"/>
    <w:rsid w:val="00D56BC6"/>
    <w:rsid w:val="00D56DC4"/>
    <w:rsid w:val="00D56FF5"/>
    <w:rsid w:val="00D60DF1"/>
    <w:rsid w:val="00D61754"/>
    <w:rsid w:val="00D624F1"/>
    <w:rsid w:val="00D6466B"/>
    <w:rsid w:val="00D65A2C"/>
    <w:rsid w:val="00D66662"/>
    <w:rsid w:val="00D666D7"/>
    <w:rsid w:val="00D66C20"/>
    <w:rsid w:val="00D66EB4"/>
    <w:rsid w:val="00D6781A"/>
    <w:rsid w:val="00D67EDE"/>
    <w:rsid w:val="00D716A6"/>
    <w:rsid w:val="00D718BB"/>
    <w:rsid w:val="00D72AC0"/>
    <w:rsid w:val="00D73432"/>
    <w:rsid w:val="00D73613"/>
    <w:rsid w:val="00D73F9B"/>
    <w:rsid w:val="00D81A7F"/>
    <w:rsid w:val="00D831AC"/>
    <w:rsid w:val="00D8339B"/>
    <w:rsid w:val="00D83FC1"/>
    <w:rsid w:val="00D8569F"/>
    <w:rsid w:val="00D860E2"/>
    <w:rsid w:val="00D9009E"/>
    <w:rsid w:val="00D90253"/>
    <w:rsid w:val="00D9047A"/>
    <w:rsid w:val="00D93D81"/>
    <w:rsid w:val="00D94B14"/>
    <w:rsid w:val="00D953DB"/>
    <w:rsid w:val="00D97297"/>
    <w:rsid w:val="00D9758E"/>
    <w:rsid w:val="00DA082C"/>
    <w:rsid w:val="00DA17DD"/>
    <w:rsid w:val="00DA1B06"/>
    <w:rsid w:val="00DA2502"/>
    <w:rsid w:val="00DA4AC7"/>
    <w:rsid w:val="00DA538F"/>
    <w:rsid w:val="00DA55C8"/>
    <w:rsid w:val="00DA5881"/>
    <w:rsid w:val="00DA676D"/>
    <w:rsid w:val="00DA7AAA"/>
    <w:rsid w:val="00DB0073"/>
    <w:rsid w:val="00DB068A"/>
    <w:rsid w:val="00DB1053"/>
    <w:rsid w:val="00DB5AE9"/>
    <w:rsid w:val="00DB5F59"/>
    <w:rsid w:val="00DB685A"/>
    <w:rsid w:val="00DC06A4"/>
    <w:rsid w:val="00DC28AD"/>
    <w:rsid w:val="00DC297D"/>
    <w:rsid w:val="00DC2A51"/>
    <w:rsid w:val="00DC3069"/>
    <w:rsid w:val="00DC6645"/>
    <w:rsid w:val="00DC726F"/>
    <w:rsid w:val="00DC72BB"/>
    <w:rsid w:val="00DD0CD5"/>
    <w:rsid w:val="00DD1131"/>
    <w:rsid w:val="00DD116A"/>
    <w:rsid w:val="00DD1309"/>
    <w:rsid w:val="00DD1629"/>
    <w:rsid w:val="00DD1E57"/>
    <w:rsid w:val="00DD2D46"/>
    <w:rsid w:val="00DD593C"/>
    <w:rsid w:val="00DD6F31"/>
    <w:rsid w:val="00DE0EA1"/>
    <w:rsid w:val="00DE30FE"/>
    <w:rsid w:val="00DE3228"/>
    <w:rsid w:val="00DE4B29"/>
    <w:rsid w:val="00DE5CEA"/>
    <w:rsid w:val="00DE7B27"/>
    <w:rsid w:val="00DF03C2"/>
    <w:rsid w:val="00DF0C33"/>
    <w:rsid w:val="00DF17D6"/>
    <w:rsid w:val="00DF3068"/>
    <w:rsid w:val="00DF4661"/>
    <w:rsid w:val="00DF4B40"/>
    <w:rsid w:val="00DF6B85"/>
    <w:rsid w:val="00E0078A"/>
    <w:rsid w:val="00E00818"/>
    <w:rsid w:val="00E0096A"/>
    <w:rsid w:val="00E00C5D"/>
    <w:rsid w:val="00E01A92"/>
    <w:rsid w:val="00E01BB1"/>
    <w:rsid w:val="00E022DB"/>
    <w:rsid w:val="00E02B6C"/>
    <w:rsid w:val="00E02CFE"/>
    <w:rsid w:val="00E02D25"/>
    <w:rsid w:val="00E02D8A"/>
    <w:rsid w:val="00E07F18"/>
    <w:rsid w:val="00E07F83"/>
    <w:rsid w:val="00E10869"/>
    <w:rsid w:val="00E116D7"/>
    <w:rsid w:val="00E12587"/>
    <w:rsid w:val="00E12D0E"/>
    <w:rsid w:val="00E132E5"/>
    <w:rsid w:val="00E212F2"/>
    <w:rsid w:val="00E2158E"/>
    <w:rsid w:val="00E21A52"/>
    <w:rsid w:val="00E22A99"/>
    <w:rsid w:val="00E23110"/>
    <w:rsid w:val="00E23A89"/>
    <w:rsid w:val="00E246F1"/>
    <w:rsid w:val="00E2533C"/>
    <w:rsid w:val="00E2597D"/>
    <w:rsid w:val="00E266BC"/>
    <w:rsid w:val="00E26C97"/>
    <w:rsid w:val="00E26F79"/>
    <w:rsid w:val="00E274EB"/>
    <w:rsid w:val="00E30762"/>
    <w:rsid w:val="00E319C7"/>
    <w:rsid w:val="00E31BD8"/>
    <w:rsid w:val="00E32EE3"/>
    <w:rsid w:val="00E33413"/>
    <w:rsid w:val="00E346C8"/>
    <w:rsid w:val="00E347EC"/>
    <w:rsid w:val="00E361C7"/>
    <w:rsid w:val="00E36352"/>
    <w:rsid w:val="00E372F2"/>
    <w:rsid w:val="00E4333E"/>
    <w:rsid w:val="00E44621"/>
    <w:rsid w:val="00E44936"/>
    <w:rsid w:val="00E46110"/>
    <w:rsid w:val="00E4705D"/>
    <w:rsid w:val="00E47E39"/>
    <w:rsid w:val="00E50BBD"/>
    <w:rsid w:val="00E52372"/>
    <w:rsid w:val="00E53783"/>
    <w:rsid w:val="00E53E52"/>
    <w:rsid w:val="00E53FD0"/>
    <w:rsid w:val="00E5684D"/>
    <w:rsid w:val="00E57C12"/>
    <w:rsid w:val="00E61EA0"/>
    <w:rsid w:val="00E638D0"/>
    <w:rsid w:val="00E6419D"/>
    <w:rsid w:val="00E64342"/>
    <w:rsid w:val="00E64B84"/>
    <w:rsid w:val="00E650D5"/>
    <w:rsid w:val="00E651D3"/>
    <w:rsid w:val="00E67484"/>
    <w:rsid w:val="00E676D2"/>
    <w:rsid w:val="00E67DFC"/>
    <w:rsid w:val="00E70EB0"/>
    <w:rsid w:val="00E735AE"/>
    <w:rsid w:val="00E73B39"/>
    <w:rsid w:val="00E7405E"/>
    <w:rsid w:val="00E74D3E"/>
    <w:rsid w:val="00E7561E"/>
    <w:rsid w:val="00E76B51"/>
    <w:rsid w:val="00E76D2E"/>
    <w:rsid w:val="00E80DDC"/>
    <w:rsid w:val="00E8341C"/>
    <w:rsid w:val="00E84444"/>
    <w:rsid w:val="00E84730"/>
    <w:rsid w:val="00E84943"/>
    <w:rsid w:val="00E8680E"/>
    <w:rsid w:val="00E872AE"/>
    <w:rsid w:val="00E91FD3"/>
    <w:rsid w:val="00E928C7"/>
    <w:rsid w:val="00E92FCE"/>
    <w:rsid w:val="00E93210"/>
    <w:rsid w:val="00E93419"/>
    <w:rsid w:val="00E9396D"/>
    <w:rsid w:val="00E93A6F"/>
    <w:rsid w:val="00E958DA"/>
    <w:rsid w:val="00EA1443"/>
    <w:rsid w:val="00EA1ECA"/>
    <w:rsid w:val="00EA2BD7"/>
    <w:rsid w:val="00EA3D36"/>
    <w:rsid w:val="00EA3FCF"/>
    <w:rsid w:val="00EA722B"/>
    <w:rsid w:val="00EB0B86"/>
    <w:rsid w:val="00EB137F"/>
    <w:rsid w:val="00EB3501"/>
    <w:rsid w:val="00EB6055"/>
    <w:rsid w:val="00EC0332"/>
    <w:rsid w:val="00EC0F7E"/>
    <w:rsid w:val="00EC1087"/>
    <w:rsid w:val="00EC35BD"/>
    <w:rsid w:val="00EC5F20"/>
    <w:rsid w:val="00EC650A"/>
    <w:rsid w:val="00EC6C23"/>
    <w:rsid w:val="00EC6ED7"/>
    <w:rsid w:val="00EC7524"/>
    <w:rsid w:val="00ED1145"/>
    <w:rsid w:val="00ED1517"/>
    <w:rsid w:val="00ED1649"/>
    <w:rsid w:val="00ED34CD"/>
    <w:rsid w:val="00ED5AE2"/>
    <w:rsid w:val="00ED5C8B"/>
    <w:rsid w:val="00ED6645"/>
    <w:rsid w:val="00EE03E3"/>
    <w:rsid w:val="00EE097C"/>
    <w:rsid w:val="00EE17A5"/>
    <w:rsid w:val="00EE2666"/>
    <w:rsid w:val="00EE28B5"/>
    <w:rsid w:val="00EE339E"/>
    <w:rsid w:val="00EE34BB"/>
    <w:rsid w:val="00EE393F"/>
    <w:rsid w:val="00EE40E0"/>
    <w:rsid w:val="00EE42C3"/>
    <w:rsid w:val="00EE4517"/>
    <w:rsid w:val="00EE72A8"/>
    <w:rsid w:val="00EE7A00"/>
    <w:rsid w:val="00EE7F5F"/>
    <w:rsid w:val="00EF0461"/>
    <w:rsid w:val="00EF0736"/>
    <w:rsid w:val="00EF1D7E"/>
    <w:rsid w:val="00EF264B"/>
    <w:rsid w:val="00EF3002"/>
    <w:rsid w:val="00EF39B5"/>
    <w:rsid w:val="00EF6323"/>
    <w:rsid w:val="00F00AC7"/>
    <w:rsid w:val="00F025A0"/>
    <w:rsid w:val="00F03EC3"/>
    <w:rsid w:val="00F04547"/>
    <w:rsid w:val="00F051AA"/>
    <w:rsid w:val="00F06C33"/>
    <w:rsid w:val="00F0773B"/>
    <w:rsid w:val="00F07ECF"/>
    <w:rsid w:val="00F107F8"/>
    <w:rsid w:val="00F12930"/>
    <w:rsid w:val="00F132E7"/>
    <w:rsid w:val="00F15A72"/>
    <w:rsid w:val="00F163C7"/>
    <w:rsid w:val="00F201B1"/>
    <w:rsid w:val="00F20C83"/>
    <w:rsid w:val="00F20F6B"/>
    <w:rsid w:val="00F215E7"/>
    <w:rsid w:val="00F21E3F"/>
    <w:rsid w:val="00F22AF6"/>
    <w:rsid w:val="00F231D5"/>
    <w:rsid w:val="00F237CB"/>
    <w:rsid w:val="00F264A5"/>
    <w:rsid w:val="00F26630"/>
    <w:rsid w:val="00F26E89"/>
    <w:rsid w:val="00F30074"/>
    <w:rsid w:val="00F3101F"/>
    <w:rsid w:val="00F31B6D"/>
    <w:rsid w:val="00F320D3"/>
    <w:rsid w:val="00F32FC8"/>
    <w:rsid w:val="00F343DC"/>
    <w:rsid w:val="00F34402"/>
    <w:rsid w:val="00F37797"/>
    <w:rsid w:val="00F41208"/>
    <w:rsid w:val="00F4274C"/>
    <w:rsid w:val="00F439E9"/>
    <w:rsid w:val="00F43D20"/>
    <w:rsid w:val="00F441C8"/>
    <w:rsid w:val="00F443C1"/>
    <w:rsid w:val="00F449D9"/>
    <w:rsid w:val="00F45B37"/>
    <w:rsid w:val="00F462DF"/>
    <w:rsid w:val="00F4799E"/>
    <w:rsid w:val="00F517D4"/>
    <w:rsid w:val="00F51CA3"/>
    <w:rsid w:val="00F51FBE"/>
    <w:rsid w:val="00F53707"/>
    <w:rsid w:val="00F53FF1"/>
    <w:rsid w:val="00F54357"/>
    <w:rsid w:val="00F54F24"/>
    <w:rsid w:val="00F56551"/>
    <w:rsid w:val="00F5675E"/>
    <w:rsid w:val="00F56A9C"/>
    <w:rsid w:val="00F616FF"/>
    <w:rsid w:val="00F61A28"/>
    <w:rsid w:val="00F61C86"/>
    <w:rsid w:val="00F61E36"/>
    <w:rsid w:val="00F6638F"/>
    <w:rsid w:val="00F66768"/>
    <w:rsid w:val="00F6694B"/>
    <w:rsid w:val="00F676A2"/>
    <w:rsid w:val="00F7159F"/>
    <w:rsid w:val="00F72E69"/>
    <w:rsid w:val="00F73111"/>
    <w:rsid w:val="00F731CB"/>
    <w:rsid w:val="00F73760"/>
    <w:rsid w:val="00F76E44"/>
    <w:rsid w:val="00F77FE6"/>
    <w:rsid w:val="00F8020D"/>
    <w:rsid w:val="00F807CF"/>
    <w:rsid w:val="00F82204"/>
    <w:rsid w:val="00F854B5"/>
    <w:rsid w:val="00F91722"/>
    <w:rsid w:val="00F91818"/>
    <w:rsid w:val="00F91E30"/>
    <w:rsid w:val="00F93655"/>
    <w:rsid w:val="00F95943"/>
    <w:rsid w:val="00F95CC1"/>
    <w:rsid w:val="00F960C5"/>
    <w:rsid w:val="00F9712D"/>
    <w:rsid w:val="00FA01FA"/>
    <w:rsid w:val="00FA28C0"/>
    <w:rsid w:val="00FA28C2"/>
    <w:rsid w:val="00FA37E1"/>
    <w:rsid w:val="00FA39A4"/>
    <w:rsid w:val="00FA405D"/>
    <w:rsid w:val="00FA71BF"/>
    <w:rsid w:val="00FA7A3F"/>
    <w:rsid w:val="00FB0612"/>
    <w:rsid w:val="00FB0C89"/>
    <w:rsid w:val="00FB1E68"/>
    <w:rsid w:val="00FB245F"/>
    <w:rsid w:val="00FB2955"/>
    <w:rsid w:val="00FB298B"/>
    <w:rsid w:val="00FB2EDF"/>
    <w:rsid w:val="00FB4588"/>
    <w:rsid w:val="00FB703F"/>
    <w:rsid w:val="00FC0E30"/>
    <w:rsid w:val="00FC2221"/>
    <w:rsid w:val="00FC29D9"/>
    <w:rsid w:val="00FC3018"/>
    <w:rsid w:val="00FC3933"/>
    <w:rsid w:val="00FC6465"/>
    <w:rsid w:val="00FC6A33"/>
    <w:rsid w:val="00FC6E15"/>
    <w:rsid w:val="00FD05CC"/>
    <w:rsid w:val="00FD42C8"/>
    <w:rsid w:val="00FD548E"/>
    <w:rsid w:val="00FD5765"/>
    <w:rsid w:val="00FD5D9A"/>
    <w:rsid w:val="00FD6275"/>
    <w:rsid w:val="00FD62DC"/>
    <w:rsid w:val="00FE3141"/>
    <w:rsid w:val="00FE451A"/>
    <w:rsid w:val="00FE5230"/>
    <w:rsid w:val="00FE6F95"/>
    <w:rsid w:val="00FE7B06"/>
    <w:rsid w:val="00FE7DB2"/>
    <w:rsid w:val="00FF0B81"/>
    <w:rsid w:val="00FF10A4"/>
    <w:rsid w:val="00FF2527"/>
    <w:rsid w:val="00FF3942"/>
    <w:rsid w:val="00FF4142"/>
    <w:rsid w:val="00FF4DA3"/>
    <w:rsid w:val="00FF6173"/>
    <w:rsid w:val="00FF7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isiresearchsoft-com/cwyw" w:name="citation"/>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652DA"/>
    <w:rPr>
      <w:sz w:val="24"/>
      <w:szCs w:val="24"/>
    </w:rPr>
  </w:style>
  <w:style w:type="paragraph" w:styleId="Heading1">
    <w:name w:val="heading 1"/>
    <w:basedOn w:val="Normal"/>
    <w:next w:val="Normal"/>
    <w:link w:val="Heading1Char"/>
    <w:qFormat/>
    <w:rsid w:val="009652DA"/>
    <w:pPr>
      <w:keepNext/>
      <w:numPr>
        <w:numId w:val="2"/>
      </w:numPr>
      <w:spacing w:before="240" w:after="60"/>
      <w:outlineLvl w:val="0"/>
    </w:pPr>
    <w:rPr>
      <w:rFonts w:cs="Arial"/>
      <w:b/>
      <w:bCs/>
      <w:kern w:val="32"/>
      <w:sz w:val="32"/>
      <w:szCs w:val="32"/>
    </w:rPr>
  </w:style>
  <w:style w:type="paragraph" w:styleId="Heading2">
    <w:name w:val="heading 2"/>
    <w:basedOn w:val="Normal"/>
    <w:next w:val="Normal"/>
    <w:qFormat/>
    <w:rsid w:val="009652DA"/>
    <w:pPr>
      <w:keepNext/>
      <w:numPr>
        <w:ilvl w:val="1"/>
        <w:numId w:val="2"/>
      </w:numPr>
      <w:spacing w:before="240" w:after="60"/>
      <w:outlineLvl w:val="1"/>
    </w:pPr>
    <w:rPr>
      <w:rFonts w:cs="Arial"/>
      <w:b/>
      <w:bCs/>
      <w:iCs/>
      <w:sz w:val="28"/>
      <w:szCs w:val="28"/>
    </w:rPr>
  </w:style>
  <w:style w:type="paragraph" w:styleId="Heading3">
    <w:name w:val="heading 3"/>
    <w:basedOn w:val="Normal"/>
    <w:next w:val="Normal"/>
    <w:qFormat/>
    <w:rsid w:val="009652DA"/>
    <w:pPr>
      <w:keepNext/>
      <w:numPr>
        <w:ilvl w:val="2"/>
        <w:numId w:val="2"/>
      </w:numPr>
      <w:spacing w:before="240" w:after="60"/>
      <w:outlineLvl w:val="2"/>
    </w:pPr>
    <w:rPr>
      <w:rFonts w:cs="Arial"/>
      <w:b/>
      <w:bCs/>
      <w:i/>
      <w:szCs w:val="26"/>
    </w:rPr>
  </w:style>
  <w:style w:type="paragraph" w:styleId="Heading4">
    <w:name w:val="heading 4"/>
    <w:basedOn w:val="Normal"/>
    <w:next w:val="Normal"/>
    <w:qFormat/>
    <w:rsid w:val="008A3522"/>
    <w:pPr>
      <w:keepNext/>
      <w:numPr>
        <w:ilvl w:val="3"/>
        <w:numId w:val="2"/>
      </w:numPr>
      <w:spacing w:before="240" w:after="60"/>
      <w:outlineLvl w:val="3"/>
    </w:pPr>
    <w:rPr>
      <w:b/>
      <w:bCs/>
      <w:sz w:val="28"/>
      <w:szCs w:val="28"/>
    </w:rPr>
  </w:style>
  <w:style w:type="paragraph" w:styleId="Heading5">
    <w:name w:val="heading 5"/>
    <w:basedOn w:val="Normal"/>
    <w:next w:val="Normal"/>
    <w:qFormat/>
    <w:rsid w:val="008A3522"/>
    <w:pPr>
      <w:numPr>
        <w:ilvl w:val="4"/>
        <w:numId w:val="2"/>
      </w:numPr>
      <w:spacing w:before="240" w:after="60"/>
      <w:outlineLvl w:val="4"/>
    </w:pPr>
    <w:rPr>
      <w:b/>
      <w:bCs/>
      <w:i/>
      <w:iCs/>
      <w:sz w:val="26"/>
      <w:szCs w:val="26"/>
    </w:rPr>
  </w:style>
  <w:style w:type="paragraph" w:styleId="Heading6">
    <w:name w:val="heading 6"/>
    <w:basedOn w:val="Normal"/>
    <w:next w:val="Normal"/>
    <w:qFormat/>
    <w:rsid w:val="008A3522"/>
    <w:pPr>
      <w:numPr>
        <w:ilvl w:val="5"/>
        <w:numId w:val="2"/>
      </w:numPr>
      <w:spacing w:before="240" w:after="60"/>
      <w:outlineLvl w:val="5"/>
    </w:pPr>
    <w:rPr>
      <w:b/>
      <w:bCs/>
      <w:sz w:val="22"/>
      <w:szCs w:val="22"/>
    </w:rPr>
  </w:style>
  <w:style w:type="paragraph" w:styleId="Heading7">
    <w:name w:val="heading 7"/>
    <w:basedOn w:val="Normal"/>
    <w:next w:val="Normal"/>
    <w:qFormat/>
    <w:rsid w:val="008A3522"/>
    <w:pPr>
      <w:numPr>
        <w:ilvl w:val="6"/>
        <w:numId w:val="2"/>
      </w:numPr>
      <w:spacing w:before="240" w:after="60"/>
      <w:outlineLvl w:val="6"/>
    </w:pPr>
  </w:style>
  <w:style w:type="paragraph" w:styleId="Heading8">
    <w:name w:val="heading 8"/>
    <w:basedOn w:val="Normal"/>
    <w:next w:val="Normal"/>
    <w:qFormat/>
    <w:rsid w:val="008A3522"/>
    <w:pPr>
      <w:numPr>
        <w:ilvl w:val="7"/>
        <w:numId w:val="2"/>
      </w:numPr>
      <w:spacing w:before="240" w:after="60"/>
      <w:outlineLvl w:val="7"/>
    </w:pPr>
    <w:rPr>
      <w:i/>
      <w:iCs/>
    </w:rPr>
  </w:style>
  <w:style w:type="paragraph" w:styleId="Heading9">
    <w:name w:val="heading 9"/>
    <w:basedOn w:val="Normal"/>
    <w:next w:val="Normal"/>
    <w:qFormat/>
    <w:rsid w:val="008A3522"/>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1">
    <w:name w:val="Heading 41"/>
    <w:basedOn w:val="Normal"/>
    <w:rsid w:val="009652DA"/>
    <w:rPr>
      <w:i/>
    </w:rPr>
  </w:style>
  <w:style w:type="paragraph" w:customStyle="1" w:styleId="DeptBullets">
    <w:name w:val="DeptBullets"/>
    <w:basedOn w:val="Normal"/>
    <w:rsid w:val="009652DA"/>
    <w:pPr>
      <w:widowControl w:val="0"/>
      <w:numPr>
        <w:numId w:val="1"/>
      </w:numPr>
      <w:overflowPunct w:val="0"/>
      <w:autoSpaceDE w:val="0"/>
      <w:autoSpaceDN w:val="0"/>
      <w:adjustRightInd w:val="0"/>
      <w:spacing w:after="240"/>
      <w:textAlignment w:val="baseline"/>
    </w:pPr>
    <w:rPr>
      <w:rFonts w:ascii="Arial" w:hAnsi="Arial"/>
      <w:szCs w:val="20"/>
      <w:lang w:eastAsia="en-US"/>
    </w:rPr>
  </w:style>
  <w:style w:type="paragraph" w:customStyle="1" w:styleId="Numbered">
    <w:name w:val="Numbered"/>
    <w:basedOn w:val="Normal"/>
    <w:rsid w:val="009652DA"/>
    <w:pPr>
      <w:widowControl w:val="0"/>
      <w:overflowPunct w:val="0"/>
      <w:autoSpaceDE w:val="0"/>
      <w:autoSpaceDN w:val="0"/>
      <w:adjustRightInd w:val="0"/>
      <w:spacing w:after="240"/>
      <w:textAlignment w:val="baseline"/>
    </w:pPr>
    <w:rPr>
      <w:rFonts w:ascii="Arial" w:hAnsi="Arial"/>
      <w:szCs w:val="20"/>
      <w:lang w:eastAsia="en-US"/>
    </w:rPr>
  </w:style>
  <w:style w:type="paragraph" w:customStyle="1" w:styleId="DfESBullets">
    <w:name w:val="DfESBullets"/>
    <w:basedOn w:val="Normal"/>
    <w:rsid w:val="009652DA"/>
    <w:pPr>
      <w:widowControl w:val="0"/>
      <w:overflowPunct w:val="0"/>
      <w:autoSpaceDE w:val="0"/>
      <w:autoSpaceDN w:val="0"/>
      <w:adjustRightInd w:val="0"/>
      <w:spacing w:after="240"/>
      <w:textAlignment w:val="baseline"/>
    </w:pPr>
    <w:rPr>
      <w:rFonts w:ascii="Arial" w:hAnsi="Arial"/>
      <w:szCs w:val="20"/>
      <w:lang w:eastAsia="en-US"/>
    </w:rPr>
  </w:style>
  <w:style w:type="paragraph" w:styleId="FootnoteText">
    <w:name w:val="footnote text"/>
    <w:basedOn w:val="Normal"/>
    <w:link w:val="FootnoteTextChar"/>
    <w:uiPriority w:val="99"/>
    <w:semiHidden/>
    <w:rsid w:val="009652DA"/>
    <w:rPr>
      <w:sz w:val="20"/>
      <w:szCs w:val="20"/>
    </w:rPr>
  </w:style>
  <w:style w:type="character" w:styleId="FootnoteReference">
    <w:name w:val="footnote reference"/>
    <w:uiPriority w:val="99"/>
    <w:semiHidden/>
    <w:rsid w:val="009652DA"/>
    <w:rPr>
      <w:vertAlign w:val="superscript"/>
    </w:rPr>
  </w:style>
  <w:style w:type="character" w:styleId="Hyperlink">
    <w:name w:val="Hyperlink"/>
    <w:uiPriority w:val="99"/>
    <w:rsid w:val="009652DA"/>
    <w:rPr>
      <w:color w:val="0000FF"/>
      <w:u w:val="single"/>
    </w:rPr>
  </w:style>
  <w:style w:type="paragraph" w:styleId="Header">
    <w:name w:val="header"/>
    <w:basedOn w:val="Normal"/>
    <w:link w:val="HeaderChar"/>
    <w:rsid w:val="009652DA"/>
    <w:pPr>
      <w:tabs>
        <w:tab w:val="center" w:pos="4513"/>
        <w:tab w:val="right" w:pos="9026"/>
      </w:tabs>
    </w:pPr>
  </w:style>
  <w:style w:type="character" w:customStyle="1" w:styleId="HeaderChar">
    <w:name w:val="Header Char"/>
    <w:link w:val="Header"/>
    <w:rsid w:val="009652DA"/>
    <w:rPr>
      <w:sz w:val="24"/>
      <w:szCs w:val="24"/>
      <w:lang w:val="en-GB" w:eastAsia="en-GB" w:bidi="ar-SA"/>
    </w:rPr>
  </w:style>
  <w:style w:type="paragraph" w:styleId="Footer">
    <w:name w:val="footer"/>
    <w:basedOn w:val="Normal"/>
    <w:link w:val="FooterChar"/>
    <w:rsid w:val="009652DA"/>
    <w:pPr>
      <w:tabs>
        <w:tab w:val="center" w:pos="4513"/>
        <w:tab w:val="right" w:pos="9026"/>
      </w:tabs>
    </w:pPr>
  </w:style>
  <w:style w:type="character" w:customStyle="1" w:styleId="FooterChar">
    <w:name w:val="Footer Char"/>
    <w:link w:val="Footer"/>
    <w:rsid w:val="009652DA"/>
    <w:rPr>
      <w:sz w:val="24"/>
      <w:szCs w:val="24"/>
      <w:lang w:val="en-GB" w:eastAsia="en-GB" w:bidi="ar-SA"/>
    </w:rPr>
  </w:style>
  <w:style w:type="character" w:styleId="CommentReference">
    <w:name w:val="annotation reference"/>
    <w:uiPriority w:val="99"/>
    <w:rsid w:val="009652DA"/>
    <w:rPr>
      <w:sz w:val="16"/>
      <w:szCs w:val="16"/>
    </w:rPr>
  </w:style>
  <w:style w:type="paragraph" w:styleId="CommentText">
    <w:name w:val="annotation text"/>
    <w:basedOn w:val="Normal"/>
    <w:link w:val="CommentTextChar"/>
    <w:uiPriority w:val="99"/>
    <w:rsid w:val="009652DA"/>
    <w:rPr>
      <w:sz w:val="20"/>
      <w:szCs w:val="20"/>
    </w:rPr>
  </w:style>
  <w:style w:type="character" w:customStyle="1" w:styleId="CommentTextChar">
    <w:name w:val="Comment Text Char"/>
    <w:link w:val="CommentText"/>
    <w:uiPriority w:val="99"/>
    <w:rsid w:val="009652DA"/>
    <w:rPr>
      <w:lang w:val="en-GB" w:eastAsia="en-GB" w:bidi="ar-SA"/>
    </w:rPr>
  </w:style>
  <w:style w:type="paragraph" w:styleId="CommentSubject">
    <w:name w:val="annotation subject"/>
    <w:basedOn w:val="CommentText"/>
    <w:next w:val="CommentText"/>
    <w:link w:val="CommentSubjectChar"/>
    <w:rsid w:val="009652DA"/>
    <w:rPr>
      <w:b/>
      <w:bCs/>
    </w:rPr>
  </w:style>
  <w:style w:type="character" w:customStyle="1" w:styleId="CommentSubjectChar">
    <w:name w:val="Comment Subject Char"/>
    <w:link w:val="CommentSubject"/>
    <w:rsid w:val="009652DA"/>
    <w:rPr>
      <w:b/>
      <w:bCs/>
      <w:lang w:val="en-GB" w:eastAsia="en-GB" w:bidi="ar-SA"/>
    </w:rPr>
  </w:style>
  <w:style w:type="paragraph" w:styleId="BalloonText">
    <w:name w:val="Balloon Text"/>
    <w:basedOn w:val="Normal"/>
    <w:link w:val="BalloonTextChar"/>
    <w:rsid w:val="009652DA"/>
    <w:rPr>
      <w:rFonts w:ascii="Tahoma" w:hAnsi="Tahoma" w:cs="Tahoma"/>
      <w:sz w:val="16"/>
      <w:szCs w:val="16"/>
    </w:rPr>
  </w:style>
  <w:style w:type="character" w:customStyle="1" w:styleId="BalloonTextChar">
    <w:name w:val="Balloon Text Char"/>
    <w:link w:val="BalloonText"/>
    <w:rsid w:val="009652DA"/>
    <w:rPr>
      <w:rFonts w:ascii="Tahoma" w:hAnsi="Tahoma" w:cs="Tahoma"/>
      <w:sz w:val="16"/>
      <w:szCs w:val="16"/>
      <w:lang w:val="en-GB" w:eastAsia="en-GB" w:bidi="ar-SA"/>
    </w:rPr>
  </w:style>
  <w:style w:type="paragraph" w:styleId="DocumentMap">
    <w:name w:val="Document Map"/>
    <w:basedOn w:val="Normal"/>
    <w:semiHidden/>
    <w:rsid w:val="009652DA"/>
    <w:pPr>
      <w:shd w:val="clear" w:color="auto" w:fill="000080"/>
    </w:pPr>
    <w:rPr>
      <w:rFonts w:ascii="Tahoma" w:hAnsi="Tahoma" w:cs="Tahoma"/>
      <w:sz w:val="20"/>
      <w:szCs w:val="20"/>
    </w:rPr>
  </w:style>
  <w:style w:type="character" w:styleId="PageNumber">
    <w:name w:val="page number"/>
    <w:basedOn w:val="DefaultParagraphFont"/>
    <w:rsid w:val="00C31B4B"/>
  </w:style>
  <w:style w:type="table" w:styleId="TableGrid">
    <w:name w:val="Table Grid"/>
    <w:basedOn w:val="TableNormal"/>
    <w:rsid w:val="00B621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rsid w:val="000622E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F61C86"/>
    <w:pPr>
      <w:ind w:left="720"/>
    </w:pPr>
  </w:style>
  <w:style w:type="paragraph" w:styleId="TOCHeading">
    <w:name w:val="TOC Heading"/>
    <w:basedOn w:val="Heading1"/>
    <w:next w:val="Normal"/>
    <w:uiPriority w:val="39"/>
    <w:qFormat/>
    <w:rsid w:val="006944DF"/>
    <w:pPr>
      <w:keepLines/>
      <w:numPr>
        <w:numId w:val="0"/>
      </w:numPr>
      <w:spacing w:before="480" w:after="0" w:line="276" w:lineRule="auto"/>
      <w:outlineLvl w:val="9"/>
    </w:pPr>
    <w:rPr>
      <w:rFonts w:ascii="Cambria" w:hAnsi="Cambria" w:cs="Times New Roman"/>
      <w:color w:val="365F91"/>
      <w:kern w:val="0"/>
      <w:sz w:val="28"/>
      <w:szCs w:val="28"/>
      <w:lang w:val="en-US" w:eastAsia="en-US"/>
    </w:rPr>
  </w:style>
  <w:style w:type="paragraph" w:styleId="TOC1">
    <w:name w:val="toc 1"/>
    <w:basedOn w:val="Normal"/>
    <w:next w:val="Normal"/>
    <w:autoRedefine/>
    <w:uiPriority w:val="39"/>
    <w:unhideWhenUsed/>
    <w:qFormat/>
    <w:rsid w:val="006944DF"/>
  </w:style>
  <w:style w:type="paragraph" w:styleId="TOC2">
    <w:name w:val="toc 2"/>
    <w:basedOn w:val="Normal"/>
    <w:next w:val="Normal"/>
    <w:autoRedefine/>
    <w:uiPriority w:val="39"/>
    <w:unhideWhenUsed/>
    <w:qFormat/>
    <w:rsid w:val="006944DF"/>
    <w:pPr>
      <w:tabs>
        <w:tab w:val="left" w:pos="880"/>
        <w:tab w:val="right" w:leader="dot" w:pos="8630"/>
      </w:tabs>
      <w:ind w:left="240"/>
    </w:pPr>
    <w:rPr>
      <w:rFonts w:ascii="Arial" w:hAnsi="Arial" w:cs="Arial"/>
      <w:noProof/>
      <w:sz w:val="20"/>
      <w:szCs w:val="20"/>
    </w:rPr>
  </w:style>
  <w:style w:type="paragraph" w:styleId="TOC3">
    <w:name w:val="toc 3"/>
    <w:basedOn w:val="Normal"/>
    <w:next w:val="Normal"/>
    <w:autoRedefine/>
    <w:uiPriority w:val="39"/>
    <w:unhideWhenUsed/>
    <w:qFormat/>
    <w:rsid w:val="006944DF"/>
    <w:pPr>
      <w:ind w:left="480"/>
    </w:pPr>
  </w:style>
  <w:style w:type="paragraph" w:customStyle="1" w:styleId="DfESOutNumbered">
    <w:name w:val="DfESOutNumbered"/>
    <w:basedOn w:val="Normal"/>
    <w:rsid w:val="00D73432"/>
    <w:pPr>
      <w:widowControl w:val="0"/>
      <w:numPr>
        <w:numId w:val="9"/>
      </w:numPr>
      <w:overflowPunct w:val="0"/>
      <w:autoSpaceDE w:val="0"/>
      <w:autoSpaceDN w:val="0"/>
      <w:adjustRightInd w:val="0"/>
      <w:spacing w:after="240"/>
      <w:textAlignment w:val="baseline"/>
    </w:pPr>
    <w:rPr>
      <w:rFonts w:ascii="Arial" w:hAnsi="Arial" w:cs="Arial"/>
      <w:sz w:val="22"/>
      <w:szCs w:val="20"/>
      <w:lang w:eastAsia="en-US"/>
    </w:rPr>
  </w:style>
  <w:style w:type="character" w:styleId="FollowedHyperlink">
    <w:name w:val="FollowedHyperlink"/>
    <w:rsid w:val="00F45B37"/>
    <w:rPr>
      <w:color w:val="800080"/>
      <w:u w:val="single"/>
    </w:rPr>
  </w:style>
  <w:style w:type="character" w:customStyle="1" w:styleId="Heading1Char">
    <w:name w:val="Heading 1 Char"/>
    <w:link w:val="Heading1"/>
    <w:rsid w:val="00B533C6"/>
    <w:rPr>
      <w:rFonts w:cs="Arial"/>
      <w:b/>
      <w:bCs/>
      <w:kern w:val="32"/>
      <w:sz w:val="32"/>
      <w:szCs w:val="32"/>
      <w:lang w:val="en-GB" w:eastAsia="en-GB" w:bidi="ar-SA"/>
    </w:rPr>
  </w:style>
  <w:style w:type="character" w:styleId="Emphasis">
    <w:name w:val="Emphasis"/>
    <w:uiPriority w:val="20"/>
    <w:qFormat/>
    <w:rsid w:val="006232F2"/>
    <w:rPr>
      <w:i/>
      <w:iCs/>
    </w:rPr>
  </w:style>
  <w:style w:type="character" w:customStyle="1" w:styleId="FootnoteTextChar">
    <w:name w:val="Footnote Text Char"/>
    <w:link w:val="FootnoteText"/>
    <w:uiPriority w:val="99"/>
    <w:semiHidden/>
    <w:rsid w:val="008307B2"/>
  </w:style>
  <w:style w:type="paragraph" w:styleId="NormalWeb">
    <w:name w:val="Normal (Web)"/>
    <w:basedOn w:val="Normal"/>
    <w:uiPriority w:val="99"/>
    <w:semiHidden/>
    <w:unhideWhenUsed/>
    <w:rsid w:val="00626F79"/>
    <w:pPr>
      <w:spacing w:before="100" w:beforeAutospacing="1" w:after="100" w:afterAutospacing="1"/>
    </w:pPr>
  </w:style>
  <w:style w:type="character" w:customStyle="1" w:styleId="personname">
    <w:name w:val="person_name"/>
    <w:basedOn w:val="DefaultParagraphFont"/>
    <w:rsid w:val="00626F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652DA"/>
    <w:rPr>
      <w:sz w:val="24"/>
      <w:szCs w:val="24"/>
    </w:rPr>
  </w:style>
  <w:style w:type="paragraph" w:styleId="Heading1">
    <w:name w:val="heading 1"/>
    <w:basedOn w:val="Normal"/>
    <w:next w:val="Normal"/>
    <w:link w:val="Heading1Char"/>
    <w:qFormat/>
    <w:rsid w:val="009652DA"/>
    <w:pPr>
      <w:keepNext/>
      <w:numPr>
        <w:numId w:val="2"/>
      </w:numPr>
      <w:spacing w:before="240" w:after="60"/>
      <w:outlineLvl w:val="0"/>
    </w:pPr>
    <w:rPr>
      <w:rFonts w:cs="Arial"/>
      <w:b/>
      <w:bCs/>
      <w:kern w:val="32"/>
      <w:sz w:val="32"/>
      <w:szCs w:val="32"/>
    </w:rPr>
  </w:style>
  <w:style w:type="paragraph" w:styleId="Heading2">
    <w:name w:val="heading 2"/>
    <w:basedOn w:val="Normal"/>
    <w:next w:val="Normal"/>
    <w:qFormat/>
    <w:rsid w:val="009652DA"/>
    <w:pPr>
      <w:keepNext/>
      <w:numPr>
        <w:ilvl w:val="1"/>
        <w:numId w:val="2"/>
      </w:numPr>
      <w:spacing w:before="240" w:after="60"/>
      <w:outlineLvl w:val="1"/>
    </w:pPr>
    <w:rPr>
      <w:rFonts w:cs="Arial"/>
      <w:b/>
      <w:bCs/>
      <w:iCs/>
      <w:sz w:val="28"/>
      <w:szCs w:val="28"/>
    </w:rPr>
  </w:style>
  <w:style w:type="paragraph" w:styleId="Heading3">
    <w:name w:val="heading 3"/>
    <w:basedOn w:val="Normal"/>
    <w:next w:val="Normal"/>
    <w:qFormat/>
    <w:rsid w:val="009652DA"/>
    <w:pPr>
      <w:keepNext/>
      <w:numPr>
        <w:ilvl w:val="2"/>
        <w:numId w:val="2"/>
      </w:numPr>
      <w:spacing w:before="240" w:after="60"/>
      <w:outlineLvl w:val="2"/>
    </w:pPr>
    <w:rPr>
      <w:rFonts w:cs="Arial"/>
      <w:b/>
      <w:bCs/>
      <w:i/>
      <w:szCs w:val="26"/>
    </w:rPr>
  </w:style>
  <w:style w:type="paragraph" w:styleId="Heading4">
    <w:name w:val="heading 4"/>
    <w:basedOn w:val="Normal"/>
    <w:next w:val="Normal"/>
    <w:qFormat/>
    <w:rsid w:val="008A3522"/>
    <w:pPr>
      <w:keepNext/>
      <w:numPr>
        <w:ilvl w:val="3"/>
        <w:numId w:val="2"/>
      </w:numPr>
      <w:spacing w:before="240" w:after="60"/>
      <w:outlineLvl w:val="3"/>
    </w:pPr>
    <w:rPr>
      <w:b/>
      <w:bCs/>
      <w:sz w:val="28"/>
      <w:szCs w:val="28"/>
    </w:rPr>
  </w:style>
  <w:style w:type="paragraph" w:styleId="Heading5">
    <w:name w:val="heading 5"/>
    <w:basedOn w:val="Normal"/>
    <w:next w:val="Normal"/>
    <w:qFormat/>
    <w:rsid w:val="008A3522"/>
    <w:pPr>
      <w:numPr>
        <w:ilvl w:val="4"/>
        <w:numId w:val="2"/>
      </w:numPr>
      <w:spacing w:before="240" w:after="60"/>
      <w:outlineLvl w:val="4"/>
    </w:pPr>
    <w:rPr>
      <w:b/>
      <w:bCs/>
      <w:i/>
      <w:iCs/>
      <w:sz w:val="26"/>
      <w:szCs w:val="26"/>
    </w:rPr>
  </w:style>
  <w:style w:type="paragraph" w:styleId="Heading6">
    <w:name w:val="heading 6"/>
    <w:basedOn w:val="Normal"/>
    <w:next w:val="Normal"/>
    <w:qFormat/>
    <w:rsid w:val="008A3522"/>
    <w:pPr>
      <w:numPr>
        <w:ilvl w:val="5"/>
        <w:numId w:val="2"/>
      </w:numPr>
      <w:spacing w:before="240" w:after="60"/>
      <w:outlineLvl w:val="5"/>
    </w:pPr>
    <w:rPr>
      <w:b/>
      <w:bCs/>
      <w:sz w:val="22"/>
      <w:szCs w:val="22"/>
    </w:rPr>
  </w:style>
  <w:style w:type="paragraph" w:styleId="Heading7">
    <w:name w:val="heading 7"/>
    <w:basedOn w:val="Normal"/>
    <w:next w:val="Normal"/>
    <w:qFormat/>
    <w:rsid w:val="008A3522"/>
    <w:pPr>
      <w:numPr>
        <w:ilvl w:val="6"/>
        <w:numId w:val="2"/>
      </w:numPr>
      <w:spacing w:before="240" w:after="60"/>
      <w:outlineLvl w:val="6"/>
    </w:pPr>
  </w:style>
  <w:style w:type="paragraph" w:styleId="Heading8">
    <w:name w:val="heading 8"/>
    <w:basedOn w:val="Normal"/>
    <w:next w:val="Normal"/>
    <w:qFormat/>
    <w:rsid w:val="008A3522"/>
    <w:pPr>
      <w:numPr>
        <w:ilvl w:val="7"/>
        <w:numId w:val="2"/>
      </w:numPr>
      <w:spacing w:before="240" w:after="60"/>
      <w:outlineLvl w:val="7"/>
    </w:pPr>
    <w:rPr>
      <w:i/>
      <w:iCs/>
    </w:rPr>
  </w:style>
  <w:style w:type="paragraph" w:styleId="Heading9">
    <w:name w:val="heading 9"/>
    <w:basedOn w:val="Normal"/>
    <w:next w:val="Normal"/>
    <w:qFormat/>
    <w:rsid w:val="008A3522"/>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1">
    <w:name w:val="Heading 41"/>
    <w:basedOn w:val="Normal"/>
    <w:rsid w:val="009652DA"/>
    <w:rPr>
      <w:i/>
    </w:rPr>
  </w:style>
  <w:style w:type="paragraph" w:customStyle="1" w:styleId="DeptBullets">
    <w:name w:val="DeptBullets"/>
    <w:basedOn w:val="Normal"/>
    <w:rsid w:val="009652DA"/>
    <w:pPr>
      <w:widowControl w:val="0"/>
      <w:numPr>
        <w:numId w:val="1"/>
      </w:numPr>
      <w:overflowPunct w:val="0"/>
      <w:autoSpaceDE w:val="0"/>
      <w:autoSpaceDN w:val="0"/>
      <w:adjustRightInd w:val="0"/>
      <w:spacing w:after="240"/>
      <w:textAlignment w:val="baseline"/>
    </w:pPr>
    <w:rPr>
      <w:rFonts w:ascii="Arial" w:hAnsi="Arial"/>
      <w:szCs w:val="20"/>
      <w:lang w:eastAsia="en-US"/>
    </w:rPr>
  </w:style>
  <w:style w:type="paragraph" w:customStyle="1" w:styleId="Numbered">
    <w:name w:val="Numbered"/>
    <w:basedOn w:val="Normal"/>
    <w:rsid w:val="009652DA"/>
    <w:pPr>
      <w:widowControl w:val="0"/>
      <w:overflowPunct w:val="0"/>
      <w:autoSpaceDE w:val="0"/>
      <w:autoSpaceDN w:val="0"/>
      <w:adjustRightInd w:val="0"/>
      <w:spacing w:after="240"/>
      <w:textAlignment w:val="baseline"/>
    </w:pPr>
    <w:rPr>
      <w:rFonts w:ascii="Arial" w:hAnsi="Arial"/>
      <w:szCs w:val="20"/>
      <w:lang w:eastAsia="en-US"/>
    </w:rPr>
  </w:style>
  <w:style w:type="paragraph" w:customStyle="1" w:styleId="DfESBullets">
    <w:name w:val="DfESBullets"/>
    <w:basedOn w:val="Normal"/>
    <w:rsid w:val="009652DA"/>
    <w:pPr>
      <w:widowControl w:val="0"/>
      <w:overflowPunct w:val="0"/>
      <w:autoSpaceDE w:val="0"/>
      <w:autoSpaceDN w:val="0"/>
      <w:adjustRightInd w:val="0"/>
      <w:spacing w:after="240"/>
      <w:textAlignment w:val="baseline"/>
    </w:pPr>
    <w:rPr>
      <w:rFonts w:ascii="Arial" w:hAnsi="Arial"/>
      <w:szCs w:val="20"/>
      <w:lang w:eastAsia="en-US"/>
    </w:rPr>
  </w:style>
  <w:style w:type="paragraph" w:styleId="FootnoteText">
    <w:name w:val="footnote text"/>
    <w:basedOn w:val="Normal"/>
    <w:link w:val="FootnoteTextChar"/>
    <w:uiPriority w:val="99"/>
    <w:semiHidden/>
    <w:rsid w:val="009652DA"/>
    <w:rPr>
      <w:sz w:val="20"/>
      <w:szCs w:val="20"/>
    </w:rPr>
  </w:style>
  <w:style w:type="character" w:styleId="FootnoteReference">
    <w:name w:val="footnote reference"/>
    <w:uiPriority w:val="99"/>
    <w:semiHidden/>
    <w:rsid w:val="009652DA"/>
    <w:rPr>
      <w:vertAlign w:val="superscript"/>
    </w:rPr>
  </w:style>
  <w:style w:type="character" w:styleId="Hyperlink">
    <w:name w:val="Hyperlink"/>
    <w:uiPriority w:val="99"/>
    <w:rsid w:val="009652DA"/>
    <w:rPr>
      <w:color w:val="0000FF"/>
      <w:u w:val="single"/>
    </w:rPr>
  </w:style>
  <w:style w:type="paragraph" w:styleId="Header">
    <w:name w:val="header"/>
    <w:basedOn w:val="Normal"/>
    <w:link w:val="HeaderChar"/>
    <w:rsid w:val="009652DA"/>
    <w:pPr>
      <w:tabs>
        <w:tab w:val="center" w:pos="4513"/>
        <w:tab w:val="right" w:pos="9026"/>
      </w:tabs>
    </w:pPr>
  </w:style>
  <w:style w:type="character" w:customStyle="1" w:styleId="HeaderChar">
    <w:name w:val="Header Char"/>
    <w:link w:val="Header"/>
    <w:rsid w:val="009652DA"/>
    <w:rPr>
      <w:sz w:val="24"/>
      <w:szCs w:val="24"/>
      <w:lang w:val="en-GB" w:eastAsia="en-GB" w:bidi="ar-SA"/>
    </w:rPr>
  </w:style>
  <w:style w:type="paragraph" w:styleId="Footer">
    <w:name w:val="footer"/>
    <w:basedOn w:val="Normal"/>
    <w:link w:val="FooterChar"/>
    <w:rsid w:val="009652DA"/>
    <w:pPr>
      <w:tabs>
        <w:tab w:val="center" w:pos="4513"/>
        <w:tab w:val="right" w:pos="9026"/>
      </w:tabs>
    </w:pPr>
  </w:style>
  <w:style w:type="character" w:customStyle="1" w:styleId="FooterChar">
    <w:name w:val="Footer Char"/>
    <w:link w:val="Footer"/>
    <w:rsid w:val="009652DA"/>
    <w:rPr>
      <w:sz w:val="24"/>
      <w:szCs w:val="24"/>
      <w:lang w:val="en-GB" w:eastAsia="en-GB" w:bidi="ar-SA"/>
    </w:rPr>
  </w:style>
  <w:style w:type="character" w:styleId="CommentReference">
    <w:name w:val="annotation reference"/>
    <w:uiPriority w:val="99"/>
    <w:rsid w:val="009652DA"/>
    <w:rPr>
      <w:sz w:val="16"/>
      <w:szCs w:val="16"/>
    </w:rPr>
  </w:style>
  <w:style w:type="paragraph" w:styleId="CommentText">
    <w:name w:val="annotation text"/>
    <w:basedOn w:val="Normal"/>
    <w:link w:val="CommentTextChar"/>
    <w:uiPriority w:val="99"/>
    <w:rsid w:val="009652DA"/>
    <w:rPr>
      <w:sz w:val="20"/>
      <w:szCs w:val="20"/>
    </w:rPr>
  </w:style>
  <w:style w:type="character" w:customStyle="1" w:styleId="CommentTextChar">
    <w:name w:val="Comment Text Char"/>
    <w:link w:val="CommentText"/>
    <w:uiPriority w:val="99"/>
    <w:rsid w:val="009652DA"/>
    <w:rPr>
      <w:lang w:val="en-GB" w:eastAsia="en-GB" w:bidi="ar-SA"/>
    </w:rPr>
  </w:style>
  <w:style w:type="paragraph" w:styleId="CommentSubject">
    <w:name w:val="annotation subject"/>
    <w:basedOn w:val="CommentText"/>
    <w:next w:val="CommentText"/>
    <w:link w:val="CommentSubjectChar"/>
    <w:rsid w:val="009652DA"/>
    <w:rPr>
      <w:b/>
      <w:bCs/>
    </w:rPr>
  </w:style>
  <w:style w:type="character" w:customStyle="1" w:styleId="CommentSubjectChar">
    <w:name w:val="Comment Subject Char"/>
    <w:link w:val="CommentSubject"/>
    <w:rsid w:val="009652DA"/>
    <w:rPr>
      <w:b/>
      <w:bCs/>
      <w:lang w:val="en-GB" w:eastAsia="en-GB" w:bidi="ar-SA"/>
    </w:rPr>
  </w:style>
  <w:style w:type="paragraph" w:styleId="BalloonText">
    <w:name w:val="Balloon Text"/>
    <w:basedOn w:val="Normal"/>
    <w:link w:val="BalloonTextChar"/>
    <w:rsid w:val="009652DA"/>
    <w:rPr>
      <w:rFonts w:ascii="Tahoma" w:hAnsi="Tahoma" w:cs="Tahoma"/>
      <w:sz w:val="16"/>
      <w:szCs w:val="16"/>
    </w:rPr>
  </w:style>
  <w:style w:type="character" w:customStyle="1" w:styleId="BalloonTextChar">
    <w:name w:val="Balloon Text Char"/>
    <w:link w:val="BalloonText"/>
    <w:rsid w:val="009652DA"/>
    <w:rPr>
      <w:rFonts w:ascii="Tahoma" w:hAnsi="Tahoma" w:cs="Tahoma"/>
      <w:sz w:val="16"/>
      <w:szCs w:val="16"/>
      <w:lang w:val="en-GB" w:eastAsia="en-GB" w:bidi="ar-SA"/>
    </w:rPr>
  </w:style>
  <w:style w:type="paragraph" w:styleId="DocumentMap">
    <w:name w:val="Document Map"/>
    <w:basedOn w:val="Normal"/>
    <w:semiHidden/>
    <w:rsid w:val="009652DA"/>
    <w:pPr>
      <w:shd w:val="clear" w:color="auto" w:fill="000080"/>
    </w:pPr>
    <w:rPr>
      <w:rFonts w:ascii="Tahoma" w:hAnsi="Tahoma" w:cs="Tahoma"/>
      <w:sz w:val="20"/>
      <w:szCs w:val="20"/>
    </w:rPr>
  </w:style>
  <w:style w:type="character" w:styleId="PageNumber">
    <w:name w:val="page number"/>
    <w:basedOn w:val="DefaultParagraphFont"/>
    <w:rsid w:val="00C31B4B"/>
  </w:style>
  <w:style w:type="table" w:styleId="TableGrid">
    <w:name w:val="Table Grid"/>
    <w:basedOn w:val="TableNormal"/>
    <w:rsid w:val="00B621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rsid w:val="000622E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F61C86"/>
    <w:pPr>
      <w:ind w:left="720"/>
    </w:pPr>
  </w:style>
  <w:style w:type="paragraph" w:styleId="TOCHeading">
    <w:name w:val="TOC Heading"/>
    <w:basedOn w:val="Heading1"/>
    <w:next w:val="Normal"/>
    <w:uiPriority w:val="39"/>
    <w:qFormat/>
    <w:rsid w:val="006944DF"/>
    <w:pPr>
      <w:keepLines/>
      <w:numPr>
        <w:numId w:val="0"/>
      </w:numPr>
      <w:spacing w:before="480" w:after="0" w:line="276" w:lineRule="auto"/>
      <w:outlineLvl w:val="9"/>
    </w:pPr>
    <w:rPr>
      <w:rFonts w:ascii="Cambria" w:hAnsi="Cambria" w:cs="Times New Roman"/>
      <w:color w:val="365F91"/>
      <w:kern w:val="0"/>
      <w:sz w:val="28"/>
      <w:szCs w:val="28"/>
      <w:lang w:val="en-US" w:eastAsia="en-US"/>
    </w:rPr>
  </w:style>
  <w:style w:type="paragraph" w:styleId="TOC1">
    <w:name w:val="toc 1"/>
    <w:basedOn w:val="Normal"/>
    <w:next w:val="Normal"/>
    <w:autoRedefine/>
    <w:uiPriority w:val="39"/>
    <w:unhideWhenUsed/>
    <w:qFormat/>
    <w:rsid w:val="006944DF"/>
  </w:style>
  <w:style w:type="paragraph" w:styleId="TOC2">
    <w:name w:val="toc 2"/>
    <w:basedOn w:val="Normal"/>
    <w:next w:val="Normal"/>
    <w:autoRedefine/>
    <w:uiPriority w:val="39"/>
    <w:unhideWhenUsed/>
    <w:qFormat/>
    <w:rsid w:val="006944DF"/>
    <w:pPr>
      <w:tabs>
        <w:tab w:val="left" w:pos="880"/>
        <w:tab w:val="right" w:leader="dot" w:pos="8630"/>
      </w:tabs>
      <w:ind w:left="240"/>
    </w:pPr>
    <w:rPr>
      <w:rFonts w:ascii="Arial" w:hAnsi="Arial" w:cs="Arial"/>
      <w:noProof/>
      <w:sz w:val="20"/>
      <w:szCs w:val="20"/>
    </w:rPr>
  </w:style>
  <w:style w:type="paragraph" w:styleId="TOC3">
    <w:name w:val="toc 3"/>
    <w:basedOn w:val="Normal"/>
    <w:next w:val="Normal"/>
    <w:autoRedefine/>
    <w:uiPriority w:val="39"/>
    <w:unhideWhenUsed/>
    <w:qFormat/>
    <w:rsid w:val="006944DF"/>
    <w:pPr>
      <w:ind w:left="480"/>
    </w:pPr>
  </w:style>
  <w:style w:type="paragraph" w:customStyle="1" w:styleId="DfESOutNumbered">
    <w:name w:val="DfESOutNumbered"/>
    <w:basedOn w:val="Normal"/>
    <w:rsid w:val="00D73432"/>
    <w:pPr>
      <w:widowControl w:val="0"/>
      <w:numPr>
        <w:numId w:val="9"/>
      </w:numPr>
      <w:overflowPunct w:val="0"/>
      <w:autoSpaceDE w:val="0"/>
      <w:autoSpaceDN w:val="0"/>
      <w:adjustRightInd w:val="0"/>
      <w:spacing w:after="240"/>
      <w:textAlignment w:val="baseline"/>
    </w:pPr>
    <w:rPr>
      <w:rFonts w:ascii="Arial" w:hAnsi="Arial" w:cs="Arial"/>
      <w:sz w:val="22"/>
      <w:szCs w:val="20"/>
      <w:lang w:eastAsia="en-US"/>
    </w:rPr>
  </w:style>
  <w:style w:type="character" w:styleId="FollowedHyperlink">
    <w:name w:val="FollowedHyperlink"/>
    <w:rsid w:val="00F45B37"/>
    <w:rPr>
      <w:color w:val="800080"/>
      <w:u w:val="single"/>
    </w:rPr>
  </w:style>
  <w:style w:type="character" w:customStyle="1" w:styleId="Heading1Char">
    <w:name w:val="Heading 1 Char"/>
    <w:link w:val="Heading1"/>
    <w:rsid w:val="00B533C6"/>
    <w:rPr>
      <w:rFonts w:cs="Arial"/>
      <w:b/>
      <w:bCs/>
      <w:kern w:val="32"/>
      <w:sz w:val="32"/>
      <w:szCs w:val="32"/>
      <w:lang w:val="en-GB" w:eastAsia="en-GB" w:bidi="ar-SA"/>
    </w:rPr>
  </w:style>
  <w:style w:type="character" w:styleId="Emphasis">
    <w:name w:val="Emphasis"/>
    <w:uiPriority w:val="20"/>
    <w:qFormat/>
    <w:rsid w:val="006232F2"/>
    <w:rPr>
      <w:i/>
      <w:iCs/>
    </w:rPr>
  </w:style>
  <w:style w:type="character" w:customStyle="1" w:styleId="FootnoteTextChar">
    <w:name w:val="Footnote Text Char"/>
    <w:link w:val="FootnoteText"/>
    <w:uiPriority w:val="99"/>
    <w:semiHidden/>
    <w:rsid w:val="008307B2"/>
  </w:style>
  <w:style w:type="paragraph" w:styleId="NormalWeb">
    <w:name w:val="Normal (Web)"/>
    <w:basedOn w:val="Normal"/>
    <w:uiPriority w:val="99"/>
    <w:semiHidden/>
    <w:unhideWhenUsed/>
    <w:rsid w:val="00626F79"/>
    <w:pPr>
      <w:spacing w:before="100" w:beforeAutospacing="1" w:after="100" w:afterAutospacing="1"/>
    </w:pPr>
  </w:style>
  <w:style w:type="character" w:customStyle="1" w:styleId="personname">
    <w:name w:val="person_name"/>
    <w:basedOn w:val="DefaultParagraphFont"/>
    <w:rsid w:val="00626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980391">
      <w:bodyDiv w:val="1"/>
      <w:marLeft w:val="0"/>
      <w:marRight w:val="0"/>
      <w:marTop w:val="0"/>
      <w:marBottom w:val="0"/>
      <w:divBdr>
        <w:top w:val="none" w:sz="0" w:space="0" w:color="auto"/>
        <w:left w:val="none" w:sz="0" w:space="0" w:color="auto"/>
        <w:bottom w:val="none" w:sz="0" w:space="0" w:color="auto"/>
        <w:right w:val="none" w:sz="0" w:space="0" w:color="auto"/>
      </w:divBdr>
    </w:div>
    <w:div w:id="398359748">
      <w:bodyDiv w:val="1"/>
      <w:marLeft w:val="0"/>
      <w:marRight w:val="0"/>
      <w:marTop w:val="0"/>
      <w:marBottom w:val="0"/>
      <w:divBdr>
        <w:top w:val="none" w:sz="0" w:space="0" w:color="auto"/>
        <w:left w:val="none" w:sz="0" w:space="0" w:color="auto"/>
        <w:bottom w:val="none" w:sz="0" w:space="0" w:color="auto"/>
        <w:right w:val="none" w:sz="0" w:space="0" w:color="auto"/>
      </w:divBdr>
    </w:div>
    <w:div w:id="429662588">
      <w:bodyDiv w:val="1"/>
      <w:marLeft w:val="0"/>
      <w:marRight w:val="0"/>
      <w:marTop w:val="0"/>
      <w:marBottom w:val="0"/>
      <w:divBdr>
        <w:top w:val="none" w:sz="0" w:space="0" w:color="auto"/>
        <w:left w:val="none" w:sz="0" w:space="0" w:color="auto"/>
        <w:bottom w:val="none" w:sz="0" w:space="0" w:color="auto"/>
        <w:right w:val="none" w:sz="0" w:space="0" w:color="auto"/>
      </w:divBdr>
      <w:divsChild>
        <w:div w:id="1421636713">
          <w:marLeft w:val="0"/>
          <w:marRight w:val="0"/>
          <w:marTop w:val="0"/>
          <w:marBottom w:val="0"/>
          <w:divBdr>
            <w:top w:val="none" w:sz="0" w:space="0" w:color="auto"/>
            <w:left w:val="none" w:sz="0" w:space="0" w:color="auto"/>
            <w:bottom w:val="none" w:sz="0" w:space="0" w:color="auto"/>
            <w:right w:val="none" w:sz="0" w:space="0" w:color="auto"/>
          </w:divBdr>
        </w:div>
        <w:div w:id="2103522538">
          <w:marLeft w:val="0"/>
          <w:marRight w:val="0"/>
          <w:marTop w:val="0"/>
          <w:marBottom w:val="0"/>
          <w:divBdr>
            <w:top w:val="none" w:sz="0" w:space="0" w:color="auto"/>
            <w:left w:val="none" w:sz="0" w:space="0" w:color="auto"/>
            <w:bottom w:val="none" w:sz="0" w:space="0" w:color="auto"/>
            <w:right w:val="none" w:sz="0" w:space="0" w:color="auto"/>
          </w:divBdr>
        </w:div>
      </w:divsChild>
    </w:div>
    <w:div w:id="503668622">
      <w:bodyDiv w:val="1"/>
      <w:marLeft w:val="0"/>
      <w:marRight w:val="0"/>
      <w:marTop w:val="0"/>
      <w:marBottom w:val="0"/>
      <w:divBdr>
        <w:top w:val="none" w:sz="0" w:space="0" w:color="auto"/>
        <w:left w:val="none" w:sz="0" w:space="0" w:color="auto"/>
        <w:bottom w:val="none" w:sz="0" w:space="0" w:color="auto"/>
        <w:right w:val="none" w:sz="0" w:space="0" w:color="auto"/>
      </w:divBdr>
    </w:div>
    <w:div w:id="508563641">
      <w:bodyDiv w:val="1"/>
      <w:marLeft w:val="0"/>
      <w:marRight w:val="0"/>
      <w:marTop w:val="0"/>
      <w:marBottom w:val="0"/>
      <w:divBdr>
        <w:top w:val="none" w:sz="0" w:space="0" w:color="auto"/>
        <w:left w:val="none" w:sz="0" w:space="0" w:color="auto"/>
        <w:bottom w:val="none" w:sz="0" w:space="0" w:color="auto"/>
        <w:right w:val="none" w:sz="0" w:space="0" w:color="auto"/>
      </w:divBdr>
    </w:div>
    <w:div w:id="521355948">
      <w:bodyDiv w:val="1"/>
      <w:marLeft w:val="0"/>
      <w:marRight w:val="0"/>
      <w:marTop w:val="0"/>
      <w:marBottom w:val="0"/>
      <w:divBdr>
        <w:top w:val="none" w:sz="0" w:space="0" w:color="auto"/>
        <w:left w:val="none" w:sz="0" w:space="0" w:color="auto"/>
        <w:bottom w:val="none" w:sz="0" w:space="0" w:color="auto"/>
        <w:right w:val="none" w:sz="0" w:space="0" w:color="auto"/>
      </w:divBdr>
    </w:div>
    <w:div w:id="640770860">
      <w:bodyDiv w:val="1"/>
      <w:marLeft w:val="0"/>
      <w:marRight w:val="0"/>
      <w:marTop w:val="0"/>
      <w:marBottom w:val="0"/>
      <w:divBdr>
        <w:top w:val="none" w:sz="0" w:space="0" w:color="auto"/>
        <w:left w:val="none" w:sz="0" w:space="0" w:color="auto"/>
        <w:bottom w:val="none" w:sz="0" w:space="0" w:color="auto"/>
        <w:right w:val="none" w:sz="0" w:space="0" w:color="auto"/>
      </w:divBdr>
    </w:div>
    <w:div w:id="651714797">
      <w:bodyDiv w:val="1"/>
      <w:marLeft w:val="0"/>
      <w:marRight w:val="0"/>
      <w:marTop w:val="0"/>
      <w:marBottom w:val="0"/>
      <w:divBdr>
        <w:top w:val="none" w:sz="0" w:space="0" w:color="auto"/>
        <w:left w:val="none" w:sz="0" w:space="0" w:color="auto"/>
        <w:bottom w:val="none" w:sz="0" w:space="0" w:color="auto"/>
        <w:right w:val="none" w:sz="0" w:space="0" w:color="auto"/>
      </w:divBdr>
    </w:div>
    <w:div w:id="709570453">
      <w:bodyDiv w:val="1"/>
      <w:marLeft w:val="0"/>
      <w:marRight w:val="0"/>
      <w:marTop w:val="0"/>
      <w:marBottom w:val="0"/>
      <w:divBdr>
        <w:top w:val="none" w:sz="0" w:space="0" w:color="auto"/>
        <w:left w:val="none" w:sz="0" w:space="0" w:color="auto"/>
        <w:bottom w:val="none" w:sz="0" w:space="0" w:color="auto"/>
        <w:right w:val="none" w:sz="0" w:space="0" w:color="auto"/>
      </w:divBdr>
      <w:divsChild>
        <w:div w:id="531845827">
          <w:marLeft w:val="0"/>
          <w:marRight w:val="0"/>
          <w:marTop w:val="0"/>
          <w:marBottom w:val="0"/>
          <w:divBdr>
            <w:top w:val="none" w:sz="0" w:space="0" w:color="auto"/>
            <w:left w:val="none" w:sz="0" w:space="0" w:color="auto"/>
            <w:bottom w:val="none" w:sz="0" w:space="0" w:color="auto"/>
            <w:right w:val="none" w:sz="0" w:space="0" w:color="auto"/>
          </w:divBdr>
        </w:div>
        <w:div w:id="550963732">
          <w:marLeft w:val="0"/>
          <w:marRight w:val="0"/>
          <w:marTop w:val="0"/>
          <w:marBottom w:val="0"/>
          <w:divBdr>
            <w:top w:val="none" w:sz="0" w:space="0" w:color="auto"/>
            <w:left w:val="none" w:sz="0" w:space="0" w:color="auto"/>
            <w:bottom w:val="none" w:sz="0" w:space="0" w:color="auto"/>
            <w:right w:val="none" w:sz="0" w:space="0" w:color="auto"/>
          </w:divBdr>
        </w:div>
        <w:div w:id="983043624">
          <w:marLeft w:val="0"/>
          <w:marRight w:val="0"/>
          <w:marTop w:val="0"/>
          <w:marBottom w:val="0"/>
          <w:divBdr>
            <w:top w:val="none" w:sz="0" w:space="0" w:color="auto"/>
            <w:left w:val="none" w:sz="0" w:space="0" w:color="auto"/>
            <w:bottom w:val="none" w:sz="0" w:space="0" w:color="auto"/>
            <w:right w:val="none" w:sz="0" w:space="0" w:color="auto"/>
          </w:divBdr>
        </w:div>
      </w:divsChild>
    </w:div>
    <w:div w:id="714743188">
      <w:bodyDiv w:val="1"/>
      <w:marLeft w:val="0"/>
      <w:marRight w:val="0"/>
      <w:marTop w:val="0"/>
      <w:marBottom w:val="0"/>
      <w:divBdr>
        <w:top w:val="none" w:sz="0" w:space="0" w:color="auto"/>
        <w:left w:val="none" w:sz="0" w:space="0" w:color="auto"/>
        <w:bottom w:val="none" w:sz="0" w:space="0" w:color="auto"/>
        <w:right w:val="none" w:sz="0" w:space="0" w:color="auto"/>
      </w:divBdr>
    </w:div>
    <w:div w:id="816410752">
      <w:bodyDiv w:val="1"/>
      <w:marLeft w:val="0"/>
      <w:marRight w:val="0"/>
      <w:marTop w:val="0"/>
      <w:marBottom w:val="0"/>
      <w:divBdr>
        <w:top w:val="none" w:sz="0" w:space="0" w:color="auto"/>
        <w:left w:val="none" w:sz="0" w:space="0" w:color="auto"/>
        <w:bottom w:val="none" w:sz="0" w:space="0" w:color="auto"/>
        <w:right w:val="none" w:sz="0" w:space="0" w:color="auto"/>
      </w:divBdr>
    </w:div>
    <w:div w:id="855925358">
      <w:bodyDiv w:val="1"/>
      <w:marLeft w:val="0"/>
      <w:marRight w:val="0"/>
      <w:marTop w:val="0"/>
      <w:marBottom w:val="0"/>
      <w:divBdr>
        <w:top w:val="none" w:sz="0" w:space="0" w:color="auto"/>
        <w:left w:val="none" w:sz="0" w:space="0" w:color="auto"/>
        <w:bottom w:val="none" w:sz="0" w:space="0" w:color="auto"/>
        <w:right w:val="none" w:sz="0" w:space="0" w:color="auto"/>
      </w:divBdr>
      <w:divsChild>
        <w:div w:id="2086998600">
          <w:marLeft w:val="0"/>
          <w:marRight w:val="0"/>
          <w:marTop w:val="0"/>
          <w:marBottom w:val="0"/>
          <w:divBdr>
            <w:top w:val="none" w:sz="0" w:space="0" w:color="auto"/>
            <w:left w:val="none" w:sz="0" w:space="0" w:color="auto"/>
            <w:bottom w:val="none" w:sz="0" w:space="0" w:color="auto"/>
            <w:right w:val="none" w:sz="0" w:space="0" w:color="auto"/>
          </w:divBdr>
        </w:div>
        <w:div w:id="1380663610">
          <w:marLeft w:val="0"/>
          <w:marRight w:val="0"/>
          <w:marTop w:val="0"/>
          <w:marBottom w:val="0"/>
          <w:divBdr>
            <w:top w:val="none" w:sz="0" w:space="0" w:color="auto"/>
            <w:left w:val="none" w:sz="0" w:space="0" w:color="auto"/>
            <w:bottom w:val="none" w:sz="0" w:space="0" w:color="auto"/>
            <w:right w:val="none" w:sz="0" w:space="0" w:color="auto"/>
          </w:divBdr>
        </w:div>
        <w:div w:id="1466699675">
          <w:marLeft w:val="0"/>
          <w:marRight w:val="0"/>
          <w:marTop w:val="0"/>
          <w:marBottom w:val="0"/>
          <w:divBdr>
            <w:top w:val="none" w:sz="0" w:space="0" w:color="auto"/>
            <w:left w:val="none" w:sz="0" w:space="0" w:color="auto"/>
            <w:bottom w:val="none" w:sz="0" w:space="0" w:color="auto"/>
            <w:right w:val="none" w:sz="0" w:space="0" w:color="auto"/>
          </w:divBdr>
        </w:div>
      </w:divsChild>
    </w:div>
    <w:div w:id="981694761">
      <w:bodyDiv w:val="1"/>
      <w:marLeft w:val="0"/>
      <w:marRight w:val="0"/>
      <w:marTop w:val="0"/>
      <w:marBottom w:val="0"/>
      <w:divBdr>
        <w:top w:val="none" w:sz="0" w:space="0" w:color="auto"/>
        <w:left w:val="none" w:sz="0" w:space="0" w:color="auto"/>
        <w:bottom w:val="none" w:sz="0" w:space="0" w:color="auto"/>
        <w:right w:val="none" w:sz="0" w:space="0" w:color="auto"/>
      </w:divBdr>
    </w:div>
    <w:div w:id="1148206791">
      <w:bodyDiv w:val="1"/>
      <w:marLeft w:val="0"/>
      <w:marRight w:val="0"/>
      <w:marTop w:val="0"/>
      <w:marBottom w:val="0"/>
      <w:divBdr>
        <w:top w:val="none" w:sz="0" w:space="0" w:color="auto"/>
        <w:left w:val="none" w:sz="0" w:space="0" w:color="auto"/>
        <w:bottom w:val="none" w:sz="0" w:space="0" w:color="auto"/>
        <w:right w:val="none" w:sz="0" w:space="0" w:color="auto"/>
      </w:divBdr>
      <w:divsChild>
        <w:div w:id="1375622447">
          <w:marLeft w:val="0"/>
          <w:marRight w:val="0"/>
          <w:marTop w:val="0"/>
          <w:marBottom w:val="0"/>
          <w:divBdr>
            <w:top w:val="none" w:sz="0" w:space="0" w:color="auto"/>
            <w:left w:val="none" w:sz="0" w:space="0" w:color="auto"/>
            <w:bottom w:val="none" w:sz="0" w:space="0" w:color="auto"/>
            <w:right w:val="none" w:sz="0" w:space="0" w:color="auto"/>
          </w:divBdr>
        </w:div>
        <w:div w:id="268969428">
          <w:marLeft w:val="0"/>
          <w:marRight w:val="0"/>
          <w:marTop w:val="0"/>
          <w:marBottom w:val="0"/>
          <w:divBdr>
            <w:top w:val="none" w:sz="0" w:space="0" w:color="auto"/>
            <w:left w:val="none" w:sz="0" w:space="0" w:color="auto"/>
            <w:bottom w:val="none" w:sz="0" w:space="0" w:color="auto"/>
            <w:right w:val="none" w:sz="0" w:space="0" w:color="auto"/>
          </w:divBdr>
        </w:div>
        <w:div w:id="1111899778">
          <w:marLeft w:val="0"/>
          <w:marRight w:val="0"/>
          <w:marTop w:val="0"/>
          <w:marBottom w:val="0"/>
          <w:divBdr>
            <w:top w:val="none" w:sz="0" w:space="0" w:color="auto"/>
            <w:left w:val="none" w:sz="0" w:space="0" w:color="auto"/>
            <w:bottom w:val="none" w:sz="0" w:space="0" w:color="auto"/>
            <w:right w:val="none" w:sz="0" w:space="0" w:color="auto"/>
          </w:divBdr>
        </w:div>
        <w:div w:id="700474625">
          <w:marLeft w:val="0"/>
          <w:marRight w:val="0"/>
          <w:marTop w:val="0"/>
          <w:marBottom w:val="0"/>
          <w:divBdr>
            <w:top w:val="none" w:sz="0" w:space="0" w:color="auto"/>
            <w:left w:val="none" w:sz="0" w:space="0" w:color="auto"/>
            <w:bottom w:val="none" w:sz="0" w:space="0" w:color="auto"/>
            <w:right w:val="none" w:sz="0" w:space="0" w:color="auto"/>
          </w:divBdr>
        </w:div>
        <w:div w:id="14120986">
          <w:marLeft w:val="0"/>
          <w:marRight w:val="0"/>
          <w:marTop w:val="0"/>
          <w:marBottom w:val="0"/>
          <w:divBdr>
            <w:top w:val="none" w:sz="0" w:space="0" w:color="auto"/>
            <w:left w:val="none" w:sz="0" w:space="0" w:color="auto"/>
            <w:bottom w:val="none" w:sz="0" w:space="0" w:color="auto"/>
            <w:right w:val="none" w:sz="0" w:space="0" w:color="auto"/>
          </w:divBdr>
        </w:div>
        <w:div w:id="877472634">
          <w:marLeft w:val="0"/>
          <w:marRight w:val="0"/>
          <w:marTop w:val="0"/>
          <w:marBottom w:val="0"/>
          <w:divBdr>
            <w:top w:val="none" w:sz="0" w:space="0" w:color="auto"/>
            <w:left w:val="none" w:sz="0" w:space="0" w:color="auto"/>
            <w:bottom w:val="none" w:sz="0" w:space="0" w:color="auto"/>
            <w:right w:val="none" w:sz="0" w:space="0" w:color="auto"/>
          </w:divBdr>
        </w:div>
        <w:div w:id="102965572">
          <w:marLeft w:val="0"/>
          <w:marRight w:val="0"/>
          <w:marTop w:val="0"/>
          <w:marBottom w:val="0"/>
          <w:divBdr>
            <w:top w:val="none" w:sz="0" w:space="0" w:color="auto"/>
            <w:left w:val="none" w:sz="0" w:space="0" w:color="auto"/>
            <w:bottom w:val="none" w:sz="0" w:space="0" w:color="auto"/>
            <w:right w:val="none" w:sz="0" w:space="0" w:color="auto"/>
          </w:divBdr>
        </w:div>
        <w:div w:id="1047531835">
          <w:marLeft w:val="0"/>
          <w:marRight w:val="0"/>
          <w:marTop w:val="0"/>
          <w:marBottom w:val="0"/>
          <w:divBdr>
            <w:top w:val="none" w:sz="0" w:space="0" w:color="auto"/>
            <w:left w:val="none" w:sz="0" w:space="0" w:color="auto"/>
            <w:bottom w:val="none" w:sz="0" w:space="0" w:color="auto"/>
            <w:right w:val="none" w:sz="0" w:space="0" w:color="auto"/>
          </w:divBdr>
        </w:div>
        <w:div w:id="569849394">
          <w:marLeft w:val="0"/>
          <w:marRight w:val="0"/>
          <w:marTop w:val="0"/>
          <w:marBottom w:val="0"/>
          <w:divBdr>
            <w:top w:val="none" w:sz="0" w:space="0" w:color="auto"/>
            <w:left w:val="none" w:sz="0" w:space="0" w:color="auto"/>
            <w:bottom w:val="none" w:sz="0" w:space="0" w:color="auto"/>
            <w:right w:val="none" w:sz="0" w:space="0" w:color="auto"/>
          </w:divBdr>
        </w:div>
        <w:div w:id="953636278">
          <w:marLeft w:val="0"/>
          <w:marRight w:val="0"/>
          <w:marTop w:val="0"/>
          <w:marBottom w:val="0"/>
          <w:divBdr>
            <w:top w:val="none" w:sz="0" w:space="0" w:color="auto"/>
            <w:left w:val="none" w:sz="0" w:space="0" w:color="auto"/>
            <w:bottom w:val="none" w:sz="0" w:space="0" w:color="auto"/>
            <w:right w:val="none" w:sz="0" w:space="0" w:color="auto"/>
          </w:divBdr>
        </w:div>
      </w:divsChild>
    </w:div>
    <w:div w:id="1149981066">
      <w:bodyDiv w:val="1"/>
      <w:marLeft w:val="0"/>
      <w:marRight w:val="0"/>
      <w:marTop w:val="0"/>
      <w:marBottom w:val="0"/>
      <w:divBdr>
        <w:top w:val="none" w:sz="0" w:space="0" w:color="auto"/>
        <w:left w:val="none" w:sz="0" w:space="0" w:color="auto"/>
        <w:bottom w:val="none" w:sz="0" w:space="0" w:color="auto"/>
        <w:right w:val="none" w:sz="0" w:space="0" w:color="auto"/>
      </w:divBdr>
    </w:div>
    <w:div w:id="1163282977">
      <w:bodyDiv w:val="1"/>
      <w:marLeft w:val="0"/>
      <w:marRight w:val="0"/>
      <w:marTop w:val="0"/>
      <w:marBottom w:val="0"/>
      <w:divBdr>
        <w:top w:val="none" w:sz="0" w:space="0" w:color="auto"/>
        <w:left w:val="none" w:sz="0" w:space="0" w:color="auto"/>
        <w:bottom w:val="none" w:sz="0" w:space="0" w:color="auto"/>
        <w:right w:val="none" w:sz="0" w:space="0" w:color="auto"/>
      </w:divBdr>
    </w:div>
    <w:div w:id="1251231213">
      <w:bodyDiv w:val="1"/>
      <w:marLeft w:val="0"/>
      <w:marRight w:val="0"/>
      <w:marTop w:val="0"/>
      <w:marBottom w:val="0"/>
      <w:divBdr>
        <w:top w:val="none" w:sz="0" w:space="0" w:color="auto"/>
        <w:left w:val="none" w:sz="0" w:space="0" w:color="auto"/>
        <w:bottom w:val="none" w:sz="0" w:space="0" w:color="auto"/>
        <w:right w:val="none" w:sz="0" w:space="0" w:color="auto"/>
      </w:divBdr>
      <w:divsChild>
        <w:div w:id="509492066">
          <w:marLeft w:val="0"/>
          <w:marRight w:val="0"/>
          <w:marTop w:val="0"/>
          <w:marBottom w:val="0"/>
          <w:divBdr>
            <w:top w:val="none" w:sz="0" w:space="0" w:color="auto"/>
            <w:left w:val="none" w:sz="0" w:space="0" w:color="auto"/>
            <w:bottom w:val="none" w:sz="0" w:space="0" w:color="auto"/>
            <w:right w:val="none" w:sz="0" w:space="0" w:color="auto"/>
          </w:divBdr>
          <w:divsChild>
            <w:div w:id="1620525010">
              <w:marLeft w:val="0"/>
              <w:marRight w:val="0"/>
              <w:marTop w:val="0"/>
              <w:marBottom w:val="0"/>
              <w:divBdr>
                <w:top w:val="none" w:sz="0" w:space="0" w:color="auto"/>
                <w:left w:val="none" w:sz="0" w:space="0" w:color="auto"/>
                <w:bottom w:val="none" w:sz="0" w:space="0" w:color="auto"/>
                <w:right w:val="none" w:sz="0" w:space="0" w:color="auto"/>
              </w:divBdr>
              <w:divsChild>
                <w:div w:id="2033992861">
                  <w:marLeft w:val="0"/>
                  <w:marRight w:val="0"/>
                  <w:marTop w:val="0"/>
                  <w:marBottom w:val="0"/>
                  <w:divBdr>
                    <w:top w:val="none" w:sz="0" w:space="0" w:color="auto"/>
                    <w:left w:val="none" w:sz="0" w:space="0" w:color="auto"/>
                    <w:bottom w:val="none" w:sz="0" w:space="0" w:color="auto"/>
                    <w:right w:val="none" w:sz="0" w:space="0" w:color="auto"/>
                  </w:divBdr>
                  <w:divsChild>
                    <w:div w:id="1713117736">
                      <w:marLeft w:val="0"/>
                      <w:marRight w:val="0"/>
                      <w:marTop w:val="0"/>
                      <w:marBottom w:val="0"/>
                      <w:divBdr>
                        <w:top w:val="none" w:sz="0" w:space="0" w:color="auto"/>
                        <w:left w:val="none" w:sz="0" w:space="0" w:color="auto"/>
                        <w:bottom w:val="none" w:sz="0" w:space="0" w:color="auto"/>
                        <w:right w:val="none" w:sz="0" w:space="0" w:color="auto"/>
                      </w:divBdr>
                      <w:divsChild>
                        <w:div w:id="44777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4283">
      <w:bodyDiv w:val="1"/>
      <w:marLeft w:val="0"/>
      <w:marRight w:val="0"/>
      <w:marTop w:val="0"/>
      <w:marBottom w:val="0"/>
      <w:divBdr>
        <w:top w:val="none" w:sz="0" w:space="0" w:color="auto"/>
        <w:left w:val="none" w:sz="0" w:space="0" w:color="auto"/>
        <w:bottom w:val="none" w:sz="0" w:space="0" w:color="auto"/>
        <w:right w:val="none" w:sz="0" w:space="0" w:color="auto"/>
      </w:divBdr>
    </w:div>
    <w:div w:id="1685397055">
      <w:bodyDiv w:val="1"/>
      <w:marLeft w:val="0"/>
      <w:marRight w:val="0"/>
      <w:marTop w:val="0"/>
      <w:marBottom w:val="0"/>
      <w:divBdr>
        <w:top w:val="none" w:sz="0" w:space="0" w:color="auto"/>
        <w:left w:val="none" w:sz="0" w:space="0" w:color="auto"/>
        <w:bottom w:val="none" w:sz="0" w:space="0" w:color="auto"/>
        <w:right w:val="none" w:sz="0" w:space="0" w:color="auto"/>
      </w:divBdr>
    </w:div>
    <w:div w:id="2008247193">
      <w:bodyDiv w:val="1"/>
      <w:marLeft w:val="0"/>
      <w:marRight w:val="0"/>
      <w:marTop w:val="0"/>
      <w:marBottom w:val="0"/>
      <w:divBdr>
        <w:top w:val="none" w:sz="0" w:space="0" w:color="auto"/>
        <w:left w:val="none" w:sz="0" w:space="0" w:color="auto"/>
        <w:bottom w:val="none" w:sz="0" w:space="0" w:color="auto"/>
        <w:right w:val="none" w:sz="0" w:space="0" w:color="auto"/>
      </w:divBdr>
    </w:div>
    <w:div w:id="2127582160">
      <w:bodyDiv w:val="1"/>
      <w:marLeft w:val="0"/>
      <w:marRight w:val="0"/>
      <w:marTop w:val="0"/>
      <w:marBottom w:val="0"/>
      <w:divBdr>
        <w:top w:val="none" w:sz="0" w:space="0" w:color="auto"/>
        <w:left w:val="none" w:sz="0" w:space="0" w:color="auto"/>
        <w:bottom w:val="none" w:sz="0" w:space="0" w:color="auto"/>
        <w:right w:val="none" w:sz="0" w:space="0" w:color="auto"/>
      </w:divBdr>
      <w:divsChild>
        <w:div w:id="405802882">
          <w:marLeft w:val="0"/>
          <w:marRight w:val="0"/>
          <w:marTop w:val="0"/>
          <w:marBottom w:val="0"/>
          <w:divBdr>
            <w:top w:val="none" w:sz="0" w:space="0" w:color="auto"/>
            <w:left w:val="none" w:sz="0" w:space="0" w:color="auto"/>
            <w:bottom w:val="none" w:sz="0" w:space="0" w:color="auto"/>
            <w:right w:val="none" w:sz="0" w:space="0" w:color="auto"/>
          </w:divBdr>
        </w:div>
        <w:div w:id="164706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hyperlink" Target="http://foi.deewr.gov.au/system/files/doc/other/review-of-funding-for-schooling-final-report-dec-2011.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eduweb.vic.gov.au/edulibrary/public/govrel/reports/schoolperformance-rpt.pdf" TargetMode="Externa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http://cee.lse.ac.uk/cee%20dps/CEEDP25.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stanford.edu/class/ed260/freedman549.pdf" TargetMode="External"/><Relationship Id="rId20" Type="http://schemas.openxmlformats.org/officeDocument/2006/relationships/hyperlink" Target="https://www.det.nsw.edu.au/media/downloads/research/completedprojects/nswequityrev.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www.education.gov.uk/publications/eOrderingDownload/DCSF-RR056.pdf" TargetMode="External"/><Relationship Id="rId10" Type="http://schemas.openxmlformats.org/officeDocument/2006/relationships/hyperlink" Target="http://onlinelibrary.wiley.com/doi/10.1002/berj.3146/abstract" TargetMode="External"/><Relationship Id="rId19" Type="http://schemas.openxmlformats.org/officeDocument/2006/relationships/hyperlink" Target="http://www.dcsf.gov.uk/rsgateway/DB/RRP/u015147/index.shtml" TargetMode="External"/><Relationship Id="rId4" Type="http://schemas.microsoft.com/office/2007/relationships/stylesWithEffects" Target="stylesWithEffects.xml"/><Relationship Id="rId9" Type="http://schemas.openxmlformats.org/officeDocument/2006/relationships/hyperlink" Target="mailto:g.t.pugh@staffs.ac.uk" TargetMode="External"/><Relationship Id="rId14" Type="http://schemas.openxmlformats.org/officeDocument/2006/relationships/image" Target="media/image3.emf"/><Relationship Id="rId22" Type="http://schemas.openxmlformats.org/officeDocument/2006/relationships/hyperlink" Target="http://www.gse.upenn.edu/cresp/pdfs/CRESP%20RR%202003-TIMSS1.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529C245-44E0-41C3-89B9-2CD322ED1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43</Pages>
  <Words>9180</Words>
  <Characters>52332</Characters>
  <Application>Microsoft Office Word</Application>
  <DocSecurity>0</DocSecurity>
  <Lines>436</Lines>
  <Paragraphs>122</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RESOURCES AND ATTAINMENT:</vt:lpstr>
      <vt:lpstr>School Expenditure and School Performance: Evidence from New South Wales schools</vt:lpstr>
      <vt:lpstr/>
      <vt:lpstr/>
      <vt:lpstr>Introduction</vt:lpstr>
      <vt:lpstr>The New South Wales secondary school system </vt:lpstr>
      <vt:lpstr>Recent literature</vt:lpstr>
      <vt:lpstr>Data, methodology and model</vt:lpstr>
      <vt:lpstr>    The Estimation Method </vt:lpstr>
      <vt:lpstr>    The model</vt:lpstr>
      <vt:lpstr>    Data and Variables </vt:lpstr>
      <vt:lpstr>Findings</vt:lpstr>
      <vt:lpstr>Conclusions, policy implications and policy context</vt:lpstr>
    </vt:vector>
  </TitlesOfParts>
  <Company>University of Cambridge, Faculty of Education</Company>
  <LinksUpToDate>false</LinksUpToDate>
  <CharactersWithSpaces>61390</CharactersWithSpaces>
  <SharedDoc>false</SharedDoc>
  <HLinks>
    <vt:vector size="72" baseType="variant">
      <vt:variant>
        <vt:i4>3211297</vt:i4>
      </vt:variant>
      <vt:variant>
        <vt:i4>39</vt:i4>
      </vt:variant>
      <vt:variant>
        <vt:i4>0</vt:i4>
      </vt:variant>
      <vt:variant>
        <vt:i4>5</vt:i4>
      </vt:variant>
      <vt:variant>
        <vt:lpwstr>http://www.dcsf.gov.uk/valueformoney/docs/VFM_Document_36.pdf</vt:lpwstr>
      </vt:variant>
      <vt:variant>
        <vt:lpwstr/>
      </vt:variant>
      <vt:variant>
        <vt:i4>3473527</vt:i4>
      </vt:variant>
      <vt:variant>
        <vt:i4>36</vt:i4>
      </vt:variant>
      <vt:variant>
        <vt:i4>0</vt:i4>
      </vt:variant>
      <vt:variant>
        <vt:i4>5</vt:i4>
      </vt:variant>
      <vt:variant>
        <vt:lpwstr>http://www.econ.cam.ac.uk/faculty/robertson/HCSDtest14Feb06.pdf</vt:lpwstr>
      </vt:variant>
      <vt:variant>
        <vt:lpwstr/>
      </vt:variant>
      <vt:variant>
        <vt:i4>2162727</vt:i4>
      </vt:variant>
      <vt:variant>
        <vt:i4>33</vt:i4>
      </vt:variant>
      <vt:variant>
        <vt:i4>0</vt:i4>
      </vt:variant>
      <vt:variant>
        <vt:i4>5</vt:i4>
      </vt:variant>
      <vt:variant>
        <vt:lpwstr>http://www.nao.org.uk/publications/0405/improving_school_attendance.aspx</vt:lpwstr>
      </vt:variant>
      <vt:variant>
        <vt:lpwstr/>
      </vt:variant>
      <vt:variant>
        <vt:i4>4784196</vt:i4>
      </vt:variant>
      <vt:variant>
        <vt:i4>30</vt:i4>
      </vt:variant>
      <vt:variant>
        <vt:i4>0</vt:i4>
      </vt:variant>
      <vt:variant>
        <vt:i4>5</vt:i4>
      </vt:variant>
      <vt:variant>
        <vt:lpwstr>http://cee.lse.ac.uk/cee dps/ceedp38.pdf</vt:lpwstr>
      </vt:variant>
      <vt:variant>
        <vt:lpwstr/>
      </vt:variant>
      <vt:variant>
        <vt:i4>6815868</vt:i4>
      </vt:variant>
      <vt:variant>
        <vt:i4>27</vt:i4>
      </vt:variant>
      <vt:variant>
        <vt:i4>0</vt:i4>
      </vt:variant>
      <vt:variant>
        <vt:i4>5</vt:i4>
      </vt:variant>
      <vt:variant>
        <vt:lpwstr>http://www.dfes.gov.uk/research/data/uploadfiles/RR679.pdf</vt:lpwstr>
      </vt:variant>
      <vt:variant>
        <vt:lpwstr/>
      </vt:variant>
      <vt:variant>
        <vt:i4>7405673</vt:i4>
      </vt:variant>
      <vt:variant>
        <vt:i4>24</vt:i4>
      </vt:variant>
      <vt:variant>
        <vt:i4>0</vt:i4>
      </vt:variant>
      <vt:variant>
        <vt:i4>5</vt:i4>
      </vt:variant>
      <vt:variant>
        <vt:lpwstr>http://www.dcsf.gov.uk/research/data/uploadfiles/RR727.pdf</vt:lpwstr>
      </vt:variant>
      <vt:variant>
        <vt:lpwstr/>
      </vt:variant>
      <vt:variant>
        <vt:i4>2752575</vt:i4>
      </vt:variant>
      <vt:variant>
        <vt:i4>21</vt:i4>
      </vt:variant>
      <vt:variant>
        <vt:i4>0</vt:i4>
      </vt:variant>
      <vt:variant>
        <vt:i4>5</vt:i4>
      </vt:variant>
      <vt:variant>
        <vt:lpwstr>http://www.cgdev.org/content/publications/detail/11619</vt:lpwstr>
      </vt:variant>
      <vt:variant>
        <vt:lpwstr/>
      </vt:variant>
      <vt:variant>
        <vt:i4>1179692</vt:i4>
      </vt:variant>
      <vt:variant>
        <vt:i4>18</vt:i4>
      </vt:variant>
      <vt:variant>
        <vt:i4>0</vt:i4>
      </vt:variant>
      <vt:variant>
        <vt:i4>5</vt:i4>
      </vt:variant>
      <vt:variant>
        <vt:lpwstr>http://papers.ssrn.com/sol3/papers.cfm?abstract_id=1101731</vt:lpwstr>
      </vt:variant>
      <vt:variant>
        <vt:lpwstr/>
      </vt:variant>
      <vt:variant>
        <vt:i4>3670123</vt:i4>
      </vt:variant>
      <vt:variant>
        <vt:i4>15</vt:i4>
      </vt:variant>
      <vt:variant>
        <vt:i4>0</vt:i4>
      </vt:variant>
      <vt:variant>
        <vt:i4>5</vt:i4>
      </vt:variant>
      <vt:variant>
        <vt:lpwstr>http://econpapers.repec.org/software/bocbocode/s435901.htm</vt:lpwstr>
      </vt:variant>
      <vt:variant>
        <vt:lpwstr/>
      </vt:variant>
      <vt:variant>
        <vt:i4>8323191</vt:i4>
      </vt:variant>
      <vt:variant>
        <vt:i4>12</vt:i4>
      </vt:variant>
      <vt:variant>
        <vt:i4>0</vt:i4>
      </vt:variant>
      <vt:variant>
        <vt:i4>5</vt:i4>
      </vt:variant>
      <vt:variant>
        <vt:lpwstr>http://www.dcsf.gov.uk/rsgateway/DB/RRP/u015147/index.shtml</vt:lpwstr>
      </vt:variant>
      <vt:variant>
        <vt:lpwstr/>
      </vt:variant>
      <vt:variant>
        <vt:i4>4522063</vt:i4>
      </vt:variant>
      <vt:variant>
        <vt:i4>9</vt:i4>
      </vt:variant>
      <vt:variant>
        <vt:i4>0</vt:i4>
      </vt:variant>
      <vt:variant>
        <vt:i4>5</vt:i4>
      </vt:variant>
      <vt:variant>
        <vt:lpwstr>http://cee.lse.ac.uk/cee dps/ceedp84.pdf</vt:lpwstr>
      </vt:variant>
      <vt:variant>
        <vt:lpwstr/>
      </vt:variant>
      <vt:variant>
        <vt:i4>4456517</vt:i4>
      </vt:variant>
      <vt:variant>
        <vt:i4>6</vt:i4>
      </vt:variant>
      <vt:variant>
        <vt:i4>0</vt:i4>
      </vt:variant>
      <vt:variant>
        <vt:i4>5</vt:i4>
      </vt:variant>
      <vt:variant>
        <vt:lpwstr>http://cee.lse.ac.uk/cee dps/CEEDP25.pdf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RESOURCES AND ATTAINMENT:</dc:title>
  <dc:creator>jmg1004</dc:creator>
  <cp:lastModifiedBy>Geoff Pugh</cp:lastModifiedBy>
  <cp:revision>51</cp:revision>
  <cp:lastPrinted>2013-08-08T16:02:00Z</cp:lastPrinted>
  <dcterms:created xsi:type="dcterms:W3CDTF">2016-02-11T23:05:00Z</dcterms:created>
  <dcterms:modified xsi:type="dcterms:W3CDTF">2016-02-14T13:57:00Z</dcterms:modified>
</cp:coreProperties>
</file>