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B7" w:rsidRDefault="002114B7" w:rsidP="0054071F">
      <w:pPr>
        <w:spacing w:after="0" w:line="240" w:lineRule="auto"/>
        <w:rPr>
          <w:rFonts w:ascii="Arial" w:hAnsi="Arial" w:cs="Arial"/>
          <w:b/>
          <w:sz w:val="24"/>
          <w:szCs w:val="24"/>
        </w:rPr>
      </w:pPr>
    </w:p>
    <w:p w:rsidR="002114B7" w:rsidRDefault="002114B7" w:rsidP="0054071F">
      <w:pPr>
        <w:spacing w:after="0" w:line="240" w:lineRule="auto"/>
        <w:rPr>
          <w:rFonts w:ascii="Arial" w:hAnsi="Arial" w:cs="Arial"/>
          <w:b/>
          <w:sz w:val="24"/>
          <w:szCs w:val="24"/>
        </w:rPr>
      </w:pPr>
    </w:p>
    <w:p w:rsidR="002114B7" w:rsidRDefault="002114B7" w:rsidP="0054071F">
      <w:pPr>
        <w:spacing w:after="0" w:line="240" w:lineRule="auto"/>
        <w:rPr>
          <w:rFonts w:ascii="Arial" w:hAnsi="Arial" w:cs="Arial"/>
          <w:b/>
          <w:sz w:val="24"/>
          <w:szCs w:val="24"/>
        </w:rPr>
      </w:pPr>
    </w:p>
    <w:p w:rsidR="002114B7" w:rsidRDefault="002114B7" w:rsidP="0054071F">
      <w:pPr>
        <w:spacing w:after="0" w:line="240" w:lineRule="auto"/>
        <w:rPr>
          <w:rFonts w:ascii="Arial" w:hAnsi="Arial" w:cs="Arial"/>
          <w:b/>
          <w:sz w:val="24"/>
          <w:szCs w:val="24"/>
        </w:rPr>
      </w:pPr>
    </w:p>
    <w:p w:rsidR="002114B7" w:rsidRDefault="002114B7" w:rsidP="0054071F">
      <w:pPr>
        <w:spacing w:after="0" w:line="240" w:lineRule="auto"/>
        <w:rPr>
          <w:rFonts w:ascii="Arial" w:hAnsi="Arial" w:cs="Arial"/>
          <w:b/>
          <w:sz w:val="24"/>
          <w:szCs w:val="24"/>
        </w:rPr>
      </w:pPr>
    </w:p>
    <w:p w:rsidR="002114B7" w:rsidRDefault="002114B7" w:rsidP="0054071F">
      <w:pPr>
        <w:spacing w:after="0" w:line="240" w:lineRule="auto"/>
        <w:rPr>
          <w:rFonts w:ascii="Arial" w:hAnsi="Arial" w:cs="Arial"/>
          <w:b/>
          <w:sz w:val="24"/>
          <w:szCs w:val="24"/>
        </w:rPr>
      </w:pPr>
    </w:p>
    <w:p w:rsidR="002114B7" w:rsidRDefault="002114B7" w:rsidP="0054071F">
      <w:pPr>
        <w:spacing w:after="0" w:line="240" w:lineRule="auto"/>
        <w:rPr>
          <w:rFonts w:ascii="Arial" w:hAnsi="Arial" w:cs="Arial"/>
          <w:b/>
          <w:sz w:val="24"/>
          <w:szCs w:val="24"/>
        </w:rPr>
      </w:pPr>
    </w:p>
    <w:p w:rsidR="0054071F" w:rsidRPr="00897902" w:rsidRDefault="0054071F" w:rsidP="0054071F">
      <w:pPr>
        <w:spacing w:after="0" w:line="240" w:lineRule="auto"/>
        <w:rPr>
          <w:rFonts w:ascii="Arial" w:hAnsi="Arial" w:cs="Arial"/>
          <w:b/>
          <w:sz w:val="24"/>
          <w:szCs w:val="24"/>
        </w:rPr>
      </w:pPr>
      <w:r w:rsidRPr="00897902">
        <w:rPr>
          <w:rFonts w:ascii="Arial" w:hAnsi="Arial" w:cs="Arial"/>
          <w:b/>
          <w:sz w:val="24"/>
          <w:szCs w:val="24"/>
        </w:rPr>
        <w:t>The Economic and Social Benefits of Widening Participation: Rhetoric or Reality?</w:t>
      </w:r>
    </w:p>
    <w:p w:rsidR="000323BD" w:rsidRPr="00897902" w:rsidRDefault="000323BD" w:rsidP="0054071F">
      <w:pPr>
        <w:spacing w:after="0" w:line="240" w:lineRule="auto"/>
        <w:rPr>
          <w:rFonts w:ascii="Arial" w:hAnsi="Arial" w:cs="Arial"/>
          <w:b/>
          <w:i/>
          <w:sz w:val="28"/>
          <w:szCs w:val="28"/>
        </w:rPr>
      </w:pPr>
    </w:p>
    <w:p w:rsidR="000323BD" w:rsidRPr="00897902" w:rsidRDefault="000323BD" w:rsidP="0054071F">
      <w:pPr>
        <w:spacing w:after="0" w:line="240" w:lineRule="auto"/>
        <w:rPr>
          <w:rFonts w:ascii="Arial" w:hAnsi="Arial" w:cs="Arial"/>
        </w:rPr>
      </w:pPr>
      <w:r w:rsidRPr="00897902">
        <w:rPr>
          <w:rFonts w:ascii="Arial" w:hAnsi="Arial" w:cs="Arial"/>
        </w:rPr>
        <w:t xml:space="preserve">Nick Adnett, </w:t>
      </w:r>
    </w:p>
    <w:p w:rsidR="000323BD" w:rsidRDefault="000323BD" w:rsidP="0054071F">
      <w:pPr>
        <w:spacing w:after="0" w:line="240" w:lineRule="auto"/>
        <w:rPr>
          <w:rFonts w:ascii="Arial" w:hAnsi="Arial" w:cs="Arial"/>
        </w:rPr>
      </w:pPr>
      <w:r w:rsidRPr="00897902">
        <w:rPr>
          <w:rFonts w:ascii="Arial" w:hAnsi="Arial" w:cs="Arial"/>
        </w:rPr>
        <w:t>Institute for Education Policy Research, Staffordshire University, UK.</w:t>
      </w:r>
    </w:p>
    <w:p w:rsidR="00897902" w:rsidRDefault="00897902" w:rsidP="0054071F">
      <w:pPr>
        <w:spacing w:after="0" w:line="240" w:lineRule="auto"/>
        <w:rPr>
          <w:rFonts w:ascii="Arial" w:hAnsi="Arial" w:cs="Arial"/>
        </w:rPr>
      </w:pPr>
      <w:r>
        <w:rPr>
          <w:rFonts w:ascii="Arial" w:hAnsi="Arial" w:cs="Arial"/>
        </w:rPr>
        <w:t xml:space="preserve">E-Mail:- </w:t>
      </w:r>
      <w:hyperlink r:id="rId9" w:history="1">
        <w:r w:rsidRPr="002C20C9">
          <w:rPr>
            <w:rStyle w:val="Hyperlink"/>
            <w:rFonts w:ascii="Arial" w:hAnsi="Arial" w:cs="Arial"/>
          </w:rPr>
          <w:t>n.j.adnett@staffs.ac.uk</w:t>
        </w:r>
      </w:hyperlink>
    </w:p>
    <w:p w:rsidR="00897902" w:rsidRDefault="00897902" w:rsidP="0054071F">
      <w:pPr>
        <w:spacing w:after="0" w:line="240" w:lineRule="auto"/>
        <w:rPr>
          <w:rFonts w:ascii="Arial" w:hAnsi="Arial" w:cs="Arial"/>
        </w:rPr>
      </w:pPr>
    </w:p>
    <w:p w:rsidR="002114B7" w:rsidRDefault="002114B7" w:rsidP="0054071F">
      <w:pPr>
        <w:spacing w:after="0" w:line="240" w:lineRule="auto"/>
        <w:rPr>
          <w:rFonts w:ascii="Arial" w:hAnsi="Arial" w:cs="Arial"/>
          <w:b/>
        </w:rPr>
      </w:pPr>
    </w:p>
    <w:p w:rsidR="002114B7" w:rsidRDefault="002114B7" w:rsidP="0054071F">
      <w:pPr>
        <w:spacing w:after="0" w:line="240" w:lineRule="auto"/>
        <w:rPr>
          <w:rFonts w:ascii="Arial" w:hAnsi="Arial" w:cs="Arial"/>
          <w:b/>
        </w:rPr>
      </w:pPr>
    </w:p>
    <w:p w:rsidR="002114B7" w:rsidRDefault="002114B7" w:rsidP="0054071F">
      <w:pPr>
        <w:spacing w:after="0" w:line="240" w:lineRule="auto"/>
        <w:rPr>
          <w:rFonts w:ascii="Arial" w:hAnsi="Arial" w:cs="Arial"/>
          <w:b/>
        </w:rPr>
      </w:pPr>
    </w:p>
    <w:p w:rsidR="00897902" w:rsidRDefault="00897902" w:rsidP="0054071F">
      <w:pPr>
        <w:spacing w:after="0" w:line="240" w:lineRule="auto"/>
        <w:rPr>
          <w:rFonts w:ascii="Arial" w:hAnsi="Arial" w:cs="Arial"/>
          <w:b/>
        </w:rPr>
      </w:pPr>
      <w:r w:rsidRPr="00897902">
        <w:rPr>
          <w:rFonts w:ascii="Arial" w:hAnsi="Arial" w:cs="Arial"/>
          <w:b/>
        </w:rPr>
        <w:t>Abstract</w:t>
      </w:r>
    </w:p>
    <w:p w:rsidR="00897902" w:rsidRDefault="00897902" w:rsidP="0054071F">
      <w:pPr>
        <w:spacing w:after="0" w:line="240" w:lineRule="auto"/>
        <w:rPr>
          <w:rFonts w:ascii="Arial" w:hAnsi="Arial" w:cs="Arial"/>
          <w:b/>
        </w:rPr>
      </w:pPr>
    </w:p>
    <w:p w:rsidR="0082389F" w:rsidRPr="0082389F" w:rsidRDefault="00897902" w:rsidP="0082389F">
      <w:pPr>
        <w:spacing w:after="0" w:line="360" w:lineRule="auto"/>
        <w:rPr>
          <w:rFonts w:ascii="Arial" w:hAnsi="Arial" w:cs="Arial"/>
        </w:rPr>
      </w:pPr>
      <w:r w:rsidRPr="0082389F">
        <w:rPr>
          <w:rFonts w:ascii="Arial" w:hAnsi="Arial" w:cs="Arial"/>
        </w:rPr>
        <w:t xml:space="preserve">This Chapter critically reviews the evidence concerning the economic and social benefits to individuals and the nation from widening participation to higher education in developed economies. The focus is on UK, though it is argued that much of the evidence from that country is transferable to similar countries. The initial analysis reveals the diversity of the groups </w:t>
      </w:r>
      <w:r w:rsidR="00DF0609" w:rsidRPr="0082389F">
        <w:rPr>
          <w:rFonts w:ascii="Arial" w:hAnsi="Arial" w:cs="Arial"/>
        </w:rPr>
        <w:t xml:space="preserve">constituting non-traditional entrants to higher education and </w:t>
      </w:r>
      <w:r w:rsidR="0082389F" w:rsidRPr="0082389F">
        <w:rPr>
          <w:rFonts w:ascii="Arial" w:hAnsi="Arial" w:cs="Arial"/>
        </w:rPr>
        <w:t>the highly-stratified nature of the UK higher education market. The methodological problems in identifying and measuring the benefits of wide</w:t>
      </w:r>
      <w:r w:rsidR="00FD2227">
        <w:rPr>
          <w:rFonts w:ascii="Arial" w:hAnsi="Arial" w:cs="Arial"/>
        </w:rPr>
        <w:t>ning participation are examined. F</w:t>
      </w:r>
      <w:r w:rsidR="0082389F" w:rsidRPr="0082389F">
        <w:rPr>
          <w:rFonts w:ascii="Arial" w:hAnsi="Arial" w:cs="Arial"/>
        </w:rPr>
        <w:t>rom the limited curren</w:t>
      </w:r>
      <w:r w:rsidR="0082389F">
        <w:rPr>
          <w:rFonts w:ascii="Arial" w:hAnsi="Arial" w:cs="Arial"/>
        </w:rPr>
        <w:t xml:space="preserve">t evidence </w:t>
      </w:r>
      <w:r w:rsidR="00A30E53">
        <w:rPr>
          <w:rFonts w:ascii="Arial" w:hAnsi="Arial" w:cs="Arial"/>
        </w:rPr>
        <w:t xml:space="preserve">available </w:t>
      </w:r>
      <w:r w:rsidR="0082389F">
        <w:rPr>
          <w:rFonts w:ascii="Arial" w:hAnsi="Arial" w:cs="Arial"/>
        </w:rPr>
        <w:t>it appears that the</w:t>
      </w:r>
      <w:r w:rsidR="0082389F" w:rsidRPr="0082389F">
        <w:rPr>
          <w:rFonts w:ascii="Arial" w:hAnsi="Arial" w:cs="Arial"/>
        </w:rPr>
        <w:t xml:space="preserve"> experiences and outcomes </w:t>
      </w:r>
      <w:r w:rsidR="0082389F">
        <w:rPr>
          <w:rFonts w:ascii="Arial" w:hAnsi="Arial" w:cs="Arial"/>
        </w:rPr>
        <w:t xml:space="preserve">of non-traditional entrants </w:t>
      </w:r>
      <w:r w:rsidR="0082389F" w:rsidRPr="0082389F">
        <w:rPr>
          <w:rFonts w:ascii="Arial" w:hAnsi="Arial" w:cs="Arial"/>
        </w:rPr>
        <w:t xml:space="preserve">differ markedly from those of most traditional entrant groups. In particular, the economic and social benefits received by non-traditional HE entrants seem to be </w:t>
      </w:r>
      <w:r w:rsidR="00A30E53">
        <w:rPr>
          <w:rFonts w:ascii="Arial" w:hAnsi="Arial" w:cs="Arial"/>
        </w:rPr>
        <w:t xml:space="preserve">lower and crucially dependent on </w:t>
      </w:r>
      <w:r w:rsidR="0082389F" w:rsidRPr="0082389F">
        <w:rPr>
          <w:rFonts w:ascii="Arial" w:hAnsi="Arial" w:cs="Arial"/>
        </w:rPr>
        <w:t xml:space="preserve">the </w:t>
      </w:r>
      <w:r w:rsidR="00A30E53">
        <w:rPr>
          <w:rFonts w:ascii="Arial" w:hAnsi="Arial" w:cs="Arial"/>
        </w:rPr>
        <w:t xml:space="preserve">status of the </w:t>
      </w:r>
      <w:r w:rsidR="0082389F" w:rsidRPr="0082389F">
        <w:rPr>
          <w:rFonts w:ascii="Arial" w:hAnsi="Arial" w:cs="Arial"/>
        </w:rPr>
        <w:t>particular higher education institution attended. Hence the</w:t>
      </w:r>
      <w:r w:rsidR="002114B7">
        <w:rPr>
          <w:rFonts w:ascii="Arial" w:hAnsi="Arial" w:cs="Arial"/>
        </w:rPr>
        <w:t>re is justification for the</w:t>
      </w:r>
      <w:r w:rsidR="0082389F" w:rsidRPr="0082389F">
        <w:rPr>
          <w:rFonts w:ascii="Arial" w:hAnsi="Arial" w:cs="Arial"/>
        </w:rPr>
        <w:t xml:space="preserve"> recent focus on </w:t>
      </w:r>
      <w:r w:rsidR="00FD2227">
        <w:rPr>
          <w:rFonts w:ascii="Arial" w:hAnsi="Arial" w:cs="Arial"/>
        </w:rPr>
        <w:t xml:space="preserve">achieving </w:t>
      </w:r>
      <w:r w:rsidR="0082389F" w:rsidRPr="0082389F">
        <w:rPr>
          <w:rFonts w:ascii="Arial" w:hAnsi="Arial" w:cs="Arial"/>
        </w:rPr>
        <w:t>fair access to the most prestigious HE providers</w:t>
      </w:r>
      <w:r w:rsidR="002114B7">
        <w:rPr>
          <w:rFonts w:ascii="Arial" w:hAnsi="Arial" w:cs="Arial"/>
        </w:rPr>
        <w:t>.</w:t>
      </w:r>
    </w:p>
    <w:p w:rsidR="002114B7" w:rsidRDefault="00897902" w:rsidP="002114B7">
      <w:pPr>
        <w:spacing w:after="0" w:line="240" w:lineRule="auto"/>
        <w:rPr>
          <w:rFonts w:ascii="Arial" w:hAnsi="Arial" w:cs="Arial"/>
        </w:rPr>
      </w:pPr>
      <w:r w:rsidRPr="0082389F">
        <w:rPr>
          <w:rFonts w:ascii="Arial" w:hAnsi="Arial" w:cs="Arial"/>
        </w:rPr>
        <w:t xml:space="preserve"> </w:t>
      </w:r>
    </w:p>
    <w:p w:rsidR="002114B7" w:rsidRDefault="002114B7" w:rsidP="002114B7">
      <w:pPr>
        <w:spacing w:after="0" w:line="240" w:lineRule="auto"/>
        <w:rPr>
          <w:rFonts w:ascii="Arial" w:hAnsi="Arial" w:cs="Arial"/>
        </w:rPr>
      </w:pPr>
    </w:p>
    <w:p w:rsidR="002114B7" w:rsidRDefault="002114B7" w:rsidP="002114B7">
      <w:pPr>
        <w:spacing w:after="0" w:line="240" w:lineRule="auto"/>
        <w:rPr>
          <w:rFonts w:ascii="Arial" w:hAnsi="Arial" w:cs="Arial"/>
        </w:rPr>
      </w:pPr>
    </w:p>
    <w:p w:rsidR="002114B7" w:rsidRDefault="002114B7" w:rsidP="002114B7">
      <w:pPr>
        <w:spacing w:after="0" w:line="240" w:lineRule="auto"/>
        <w:rPr>
          <w:rFonts w:ascii="Arial" w:hAnsi="Arial" w:cs="Arial"/>
        </w:rPr>
      </w:pPr>
      <w:r w:rsidRPr="002114B7">
        <w:rPr>
          <w:rFonts w:ascii="Arial" w:hAnsi="Arial" w:cs="Arial"/>
          <w:b/>
        </w:rPr>
        <w:t>Keywords</w:t>
      </w:r>
      <w:r>
        <w:rPr>
          <w:rFonts w:ascii="Arial" w:hAnsi="Arial" w:cs="Arial"/>
        </w:rPr>
        <w:t>: widening participation; fair access; economic and social benefits.</w:t>
      </w:r>
    </w:p>
    <w:p w:rsidR="002114B7" w:rsidRDefault="002114B7" w:rsidP="002114B7">
      <w:pPr>
        <w:spacing w:after="0" w:line="240" w:lineRule="auto"/>
        <w:rPr>
          <w:rFonts w:ascii="Arial" w:hAnsi="Arial" w:cs="Arial"/>
        </w:rPr>
      </w:pPr>
    </w:p>
    <w:p w:rsidR="002114B7" w:rsidRDefault="002114B7" w:rsidP="002114B7">
      <w:pPr>
        <w:spacing w:after="0" w:line="240" w:lineRule="auto"/>
        <w:rPr>
          <w:rFonts w:ascii="Arial" w:hAnsi="Arial" w:cs="Arial"/>
        </w:rPr>
      </w:pPr>
    </w:p>
    <w:p w:rsidR="002114B7" w:rsidRDefault="002114B7" w:rsidP="002114B7">
      <w:pPr>
        <w:spacing w:after="0" w:line="240" w:lineRule="auto"/>
        <w:rPr>
          <w:rFonts w:ascii="Arial" w:hAnsi="Arial" w:cs="Arial"/>
        </w:rPr>
      </w:pPr>
    </w:p>
    <w:p w:rsidR="002114B7" w:rsidRDefault="002114B7" w:rsidP="002114B7">
      <w:pPr>
        <w:spacing w:after="0" w:line="240" w:lineRule="auto"/>
        <w:rPr>
          <w:rFonts w:ascii="Arial" w:hAnsi="Arial" w:cs="Arial"/>
        </w:rPr>
      </w:pPr>
    </w:p>
    <w:p w:rsidR="002114B7" w:rsidRDefault="002114B7">
      <w:pPr>
        <w:rPr>
          <w:rFonts w:ascii="Arial" w:hAnsi="Arial" w:cs="Arial"/>
        </w:rPr>
      </w:pPr>
      <w:r>
        <w:rPr>
          <w:rFonts w:ascii="Arial" w:hAnsi="Arial" w:cs="Arial"/>
        </w:rPr>
        <w:br w:type="page"/>
      </w:r>
    </w:p>
    <w:p w:rsidR="000323BD" w:rsidRPr="00897902" w:rsidRDefault="000323BD" w:rsidP="0054071F">
      <w:pPr>
        <w:spacing w:after="0" w:line="240" w:lineRule="auto"/>
        <w:rPr>
          <w:rFonts w:ascii="Arial" w:hAnsi="Arial" w:cs="Arial"/>
          <w:b/>
          <w:sz w:val="24"/>
          <w:szCs w:val="24"/>
        </w:rPr>
      </w:pPr>
    </w:p>
    <w:p w:rsidR="00AF2CEF" w:rsidRPr="002114B7" w:rsidRDefault="00AF2CEF" w:rsidP="0054071F">
      <w:pPr>
        <w:spacing w:after="0" w:line="240" w:lineRule="auto"/>
        <w:rPr>
          <w:rFonts w:ascii="Arial" w:hAnsi="Arial" w:cs="Arial"/>
          <w:i/>
        </w:rPr>
      </w:pPr>
      <w:r w:rsidRPr="002114B7">
        <w:rPr>
          <w:rFonts w:ascii="Arial" w:hAnsi="Arial" w:cs="Arial"/>
          <w:i/>
        </w:rPr>
        <w:t>“</w:t>
      </w:r>
      <w:r w:rsidR="005E7A6B" w:rsidRPr="002114B7">
        <w:rPr>
          <w:rFonts w:ascii="Arial" w:hAnsi="Arial" w:cs="Arial"/>
          <w:i/>
        </w:rPr>
        <w:t>If we want to see social progress and economic prosperity in an i</w:t>
      </w:r>
      <w:r w:rsidRPr="002114B7">
        <w:rPr>
          <w:rFonts w:ascii="Arial" w:hAnsi="Arial" w:cs="Arial"/>
          <w:i/>
        </w:rPr>
        <w:t>ncreasingly competitive global market, the principle we should, as a country, aim for is all those that have the ability, aptitude and potential to benefit from a university education have a fair chance to do so</w:t>
      </w:r>
      <w:r w:rsidR="00746647" w:rsidRPr="002114B7">
        <w:rPr>
          <w:rFonts w:ascii="Arial" w:hAnsi="Arial" w:cs="Arial"/>
          <w:i/>
        </w:rPr>
        <w:t>.</w:t>
      </w:r>
      <w:r w:rsidRPr="002114B7">
        <w:rPr>
          <w:rFonts w:ascii="Arial" w:hAnsi="Arial" w:cs="Arial"/>
          <w:i/>
        </w:rPr>
        <w:t xml:space="preserve">” </w:t>
      </w:r>
    </w:p>
    <w:p w:rsidR="005E7A6B" w:rsidRPr="002114B7" w:rsidRDefault="00AF2CEF" w:rsidP="0054071F">
      <w:pPr>
        <w:spacing w:after="0" w:line="240" w:lineRule="auto"/>
        <w:rPr>
          <w:rFonts w:ascii="Arial" w:hAnsi="Arial" w:cs="Arial"/>
          <w:i/>
        </w:rPr>
      </w:pPr>
      <w:r w:rsidRPr="002114B7">
        <w:rPr>
          <w:rFonts w:ascii="Arial" w:hAnsi="Arial" w:cs="Arial"/>
          <w:i/>
        </w:rPr>
        <w:t>(Social Mobility and Child Poverty Commission, 2013</w:t>
      </w:r>
      <w:r w:rsidR="00EE74FB" w:rsidRPr="002114B7">
        <w:rPr>
          <w:rFonts w:ascii="Arial" w:hAnsi="Arial" w:cs="Arial"/>
          <w:i/>
        </w:rPr>
        <w:t>a</w:t>
      </w:r>
      <w:r w:rsidRPr="002114B7">
        <w:rPr>
          <w:rFonts w:ascii="Arial" w:hAnsi="Arial" w:cs="Arial"/>
          <w:i/>
        </w:rPr>
        <w:t>, p.2)</w:t>
      </w:r>
    </w:p>
    <w:p w:rsidR="005E7A6B" w:rsidRPr="002114B7" w:rsidRDefault="005E7A6B" w:rsidP="0054071F">
      <w:pPr>
        <w:spacing w:after="0" w:line="240" w:lineRule="auto"/>
        <w:rPr>
          <w:rFonts w:ascii="Arial" w:hAnsi="Arial" w:cs="Arial"/>
          <w:b/>
        </w:rPr>
      </w:pPr>
    </w:p>
    <w:p w:rsidR="0054071F" w:rsidRPr="002114B7" w:rsidRDefault="0054071F" w:rsidP="0054071F">
      <w:pPr>
        <w:spacing w:after="0" w:line="240" w:lineRule="auto"/>
        <w:rPr>
          <w:rFonts w:ascii="Arial" w:hAnsi="Arial" w:cs="Arial"/>
          <w:b/>
        </w:rPr>
      </w:pPr>
      <w:r w:rsidRPr="002114B7">
        <w:rPr>
          <w:rFonts w:ascii="Arial" w:hAnsi="Arial" w:cs="Arial"/>
          <w:b/>
        </w:rPr>
        <w:t>Introduction</w:t>
      </w:r>
    </w:p>
    <w:p w:rsidR="0054071F" w:rsidRPr="002114B7" w:rsidRDefault="0054071F" w:rsidP="0054071F">
      <w:pPr>
        <w:spacing w:after="0" w:line="240" w:lineRule="auto"/>
        <w:rPr>
          <w:rFonts w:ascii="Arial" w:hAnsi="Arial" w:cs="Arial"/>
          <w:b/>
        </w:rPr>
      </w:pPr>
    </w:p>
    <w:p w:rsidR="0085198E" w:rsidRPr="002114B7" w:rsidRDefault="000323BD" w:rsidP="002867AE">
      <w:pPr>
        <w:spacing w:after="0" w:line="360" w:lineRule="auto"/>
        <w:rPr>
          <w:rFonts w:ascii="Arial" w:hAnsi="Arial" w:cs="Arial"/>
        </w:rPr>
      </w:pPr>
      <w:r w:rsidRPr="002114B7">
        <w:rPr>
          <w:rFonts w:ascii="Arial" w:hAnsi="Arial" w:cs="Arial"/>
        </w:rPr>
        <w:t xml:space="preserve">In recent decades governments in </w:t>
      </w:r>
      <w:r w:rsidR="00642B31" w:rsidRPr="002114B7">
        <w:rPr>
          <w:rFonts w:ascii="Arial" w:hAnsi="Arial" w:cs="Arial"/>
        </w:rPr>
        <w:t xml:space="preserve">most </w:t>
      </w:r>
      <w:r w:rsidRPr="002114B7">
        <w:rPr>
          <w:rFonts w:ascii="Arial" w:hAnsi="Arial" w:cs="Arial"/>
        </w:rPr>
        <w:t xml:space="preserve">developed economies have favoured the expansion of higher education and the associated widening participation agenda. It has become common for governments to assert that maintaining competitiveness in the modern global knowledge-based economy requires </w:t>
      </w:r>
      <w:r w:rsidR="00642B31" w:rsidRPr="002114B7">
        <w:rPr>
          <w:rFonts w:ascii="Arial" w:hAnsi="Arial" w:cs="Arial"/>
        </w:rPr>
        <w:t>a higher proportion of those entering the labour market to have completed higher education. Given that the participation rate of those from groups who have traditionally entered higher education ha</w:t>
      </w:r>
      <w:r w:rsidR="002867AE" w:rsidRPr="002114B7">
        <w:rPr>
          <w:rFonts w:ascii="Arial" w:hAnsi="Arial" w:cs="Arial"/>
        </w:rPr>
        <w:t>s</w:t>
      </w:r>
      <w:r w:rsidR="00642B31" w:rsidRPr="002114B7">
        <w:rPr>
          <w:rFonts w:ascii="Arial" w:hAnsi="Arial" w:cs="Arial"/>
        </w:rPr>
        <w:t xml:space="preserve"> approached saturation point</w:t>
      </w:r>
      <w:r w:rsidR="002867AE" w:rsidRPr="002114B7">
        <w:rPr>
          <w:rFonts w:ascii="Arial" w:hAnsi="Arial" w:cs="Arial"/>
        </w:rPr>
        <w:t xml:space="preserve"> in many of these countries</w:t>
      </w:r>
      <w:r w:rsidR="00642B31" w:rsidRPr="002114B7">
        <w:rPr>
          <w:rFonts w:ascii="Arial" w:hAnsi="Arial" w:cs="Arial"/>
        </w:rPr>
        <w:t xml:space="preserve">, then the achievement of the goal of increasing that rate relies on extending participation </w:t>
      </w:r>
      <w:r w:rsidR="002867AE" w:rsidRPr="002114B7">
        <w:rPr>
          <w:rFonts w:ascii="Arial" w:hAnsi="Arial" w:cs="Arial"/>
        </w:rPr>
        <w:t>amongst</w:t>
      </w:r>
      <w:r w:rsidR="00642B31" w:rsidRPr="002114B7">
        <w:rPr>
          <w:rFonts w:ascii="Arial" w:hAnsi="Arial" w:cs="Arial"/>
        </w:rPr>
        <w:t xml:space="preserve"> those from non-traditional groups. More recently</w:t>
      </w:r>
      <w:r w:rsidR="002867AE" w:rsidRPr="002114B7">
        <w:rPr>
          <w:rFonts w:ascii="Arial" w:hAnsi="Arial" w:cs="Arial"/>
        </w:rPr>
        <w:t>, the rhetoric accompanying the continued drive for the expansion of higher education has also contained a</w:t>
      </w:r>
      <w:r w:rsidR="0085198E" w:rsidRPr="002114B7">
        <w:rPr>
          <w:rFonts w:ascii="Arial" w:hAnsi="Arial" w:cs="Arial"/>
        </w:rPr>
        <w:t>n enhanced</w:t>
      </w:r>
      <w:r w:rsidR="002867AE" w:rsidRPr="002114B7">
        <w:rPr>
          <w:rFonts w:ascii="Arial" w:hAnsi="Arial" w:cs="Arial"/>
        </w:rPr>
        <w:t xml:space="preserve"> social mobility dimension. </w:t>
      </w:r>
      <w:r w:rsidR="00AF2CEF" w:rsidRPr="002114B7">
        <w:rPr>
          <w:rFonts w:ascii="Arial" w:hAnsi="Arial" w:cs="Arial"/>
        </w:rPr>
        <w:t xml:space="preserve">A recent US Treasury </w:t>
      </w:r>
      <w:r w:rsidR="00DC44CE" w:rsidRPr="002114B7">
        <w:rPr>
          <w:rFonts w:ascii="Arial" w:hAnsi="Arial" w:cs="Arial"/>
        </w:rPr>
        <w:t xml:space="preserve">and Education </w:t>
      </w:r>
      <w:r w:rsidR="005C4EE0" w:rsidRPr="002114B7">
        <w:rPr>
          <w:rFonts w:ascii="Arial" w:hAnsi="Arial" w:cs="Arial"/>
        </w:rPr>
        <w:t>D</w:t>
      </w:r>
      <w:r w:rsidR="00AF2CEF" w:rsidRPr="002114B7">
        <w:rPr>
          <w:rFonts w:ascii="Arial" w:hAnsi="Arial" w:cs="Arial"/>
        </w:rPr>
        <w:t>epartment</w:t>
      </w:r>
      <w:r w:rsidR="00DC44CE" w:rsidRPr="002114B7">
        <w:rPr>
          <w:rFonts w:ascii="Arial" w:hAnsi="Arial" w:cs="Arial"/>
        </w:rPr>
        <w:t>s’ joint</w:t>
      </w:r>
      <w:r w:rsidR="00AF2CEF" w:rsidRPr="002114B7">
        <w:rPr>
          <w:rFonts w:ascii="Arial" w:hAnsi="Arial" w:cs="Arial"/>
        </w:rPr>
        <w:t xml:space="preserve"> report asserted that “</w:t>
      </w:r>
      <w:r w:rsidR="00AF2CEF" w:rsidRPr="002114B7">
        <w:rPr>
          <w:rFonts w:ascii="Arial" w:hAnsi="Arial" w:cs="Arial"/>
          <w:i/>
        </w:rPr>
        <w:t xml:space="preserve">Higher Education is a critical mechanism for individual socioeconomic advancement and </w:t>
      </w:r>
      <w:r w:rsidR="00DC44CE" w:rsidRPr="002114B7">
        <w:rPr>
          <w:rFonts w:ascii="Arial" w:hAnsi="Arial" w:cs="Arial"/>
          <w:i/>
        </w:rPr>
        <w:t>an important driver of economic mobility. Moreover, a well-educated workforce is vital to our nation’s economic growth</w:t>
      </w:r>
      <w:r w:rsidR="00DC44CE" w:rsidRPr="002114B7">
        <w:rPr>
          <w:rFonts w:ascii="Arial" w:hAnsi="Arial" w:cs="Arial"/>
        </w:rPr>
        <w:t>”</w:t>
      </w:r>
      <w:r w:rsidR="009E092C" w:rsidRPr="002114B7">
        <w:rPr>
          <w:rFonts w:ascii="Arial" w:hAnsi="Arial" w:cs="Arial"/>
        </w:rPr>
        <w:t xml:space="preserve"> </w:t>
      </w:r>
      <w:r w:rsidR="00DC44CE" w:rsidRPr="002114B7">
        <w:rPr>
          <w:rFonts w:ascii="Arial" w:hAnsi="Arial" w:cs="Arial"/>
        </w:rPr>
        <w:t xml:space="preserve">(Department of the Treasury, 2012, p.5). </w:t>
      </w:r>
      <w:r w:rsidR="002867AE" w:rsidRPr="002114B7">
        <w:rPr>
          <w:rFonts w:ascii="Arial" w:hAnsi="Arial" w:cs="Arial"/>
        </w:rPr>
        <w:t xml:space="preserve">In the UK, the Social Mobility and Child Poverty Commission (SMCPC) has voiced the concern that </w:t>
      </w:r>
      <w:r w:rsidR="00C65B69" w:rsidRPr="002114B7">
        <w:rPr>
          <w:rFonts w:ascii="Arial" w:hAnsi="Arial" w:cs="Arial"/>
        </w:rPr>
        <w:t xml:space="preserve">British </w:t>
      </w:r>
      <w:r w:rsidR="002867AE" w:rsidRPr="002114B7">
        <w:rPr>
          <w:rFonts w:ascii="Arial" w:hAnsi="Arial" w:cs="Arial"/>
        </w:rPr>
        <w:t>society</w:t>
      </w:r>
      <w:r w:rsidR="00642B31" w:rsidRPr="002114B7">
        <w:rPr>
          <w:rFonts w:ascii="Arial" w:hAnsi="Arial" w:cs="Arial"/>
        </w:rPr>
        <w:t xml:space="preserve"> </w:t>
      </w:r>
      <w:r w:rsidR="002867AE" w:rsidRPr="002114B7">
        <w:rPr>
          <w:rFonts w:ascii="Arial" w:hAnsi="Arial" w:cs="Arial"/>
        </w:rPr>
        <w:t>is becoming wealthier but not fairer</w:t>
      </w:r>
      <w:r w:rsidR="009E092C" w:rsidRPr="002114B7">
        <w:rPr>
          <w:rFonts w:ascii="Arial" w:hAnsi="Arial" w:cs="Arial"/>
        </w:rPr>
        <w:t>,</w:t>
      </w:r>
      <w:r w:rsidR="002867AE" w:rsidRPr="002114B7">
        <w:rPr>
          <w:rFonts w:ascii="Arial" w:hAnsi="Arial" w:cs="Arial"/>
        </w:rPr>
        <w:t xml:space="preserve"> </w:t>
      </w:r>
      <w:r w:rsidR="00DC44CE" w:rsidRPr="002114B7">
        <w:rPr>
          <w:rFonts w:ascii="Arial" w:hAnsi="Arial" w:cs="Arial"/>
        </w:rPr>
        <w:t>with relatively high</w:t>
      </w:r>
      <w:r w:rsidR="00E47D53" w:rsidRPr="002114B7">
        <w:rPr>
          <w:rFonts w:ascii="Arial" w:hAnsi="Arial" w:cs="Arial"/>
        </w:rPr>
        <w:t>, by international standards,</w:t>
      </w:r>
      <w:r w:rsidR="00DC44CE" w:rsidRPr="002114B7">
        <w:rPr>
          <w:rFonts w:ascii="Arial" w:hAnsi="Arial" w:cs="Arial"/>
        </w:rPr>
        <w:t xml:space="preserve"> levels of child poverty and low social mobility</w:t>
      </w:r>
      <w:r w:rsidR="009E092C" w:rsidRPr="002114B7">
        <w:rPr>
          <w:rFonts w:ascii="Arial" w:hAnsi="Arial" w:cs="Arial"/>
        </w:rPr>
        <w:t xml:space="preserve"> </w:t>
      </w:r>
      <w:r w:rsidR="002867AE" w:rsidRPr="002114B7">
        <w:rPr>
          <w:rFonts w:ascii="Arial" w:hAnsi="Arial" w:cs="Arial"/>
        </w:rPr>
        <w:t>(</w:t>
      </w:r>
      <w:r w:rsidR="00EE74FB" w:rsidRPr="002114B7">
        <w:rPr>
          <w:rFonts w:ascii="Arial" w:hAnsi="Arial" w:cs="Arial"/>
        </w:rPr>
        <w:t>SMCPC, 2013a</w:t>
      </w:r>
      <w:r w:rsidR="002867AE" w:rsidRPr="002114B7">
        <w:rPr>
          <w:rFonts w:ascii="Arial" w:hAnsi="Arial" w:cs="Arial"/>
        </w:rPr>
        <w:t>)</w:t>
      </w:r>
      <w:r w:rsidR="009E092C" w:rsidRPr="002114B7">
        <w:rPr>
          <w:rFonts w:ascii="Arial" w:hAnsi="Arial" w:cs="Arial"/>
        </w:rPr>
        <w:t xml:space="preserve">. Moreover, it fears </w:t>
      </w:r>
      <w:r w:rsidR="002867AE" w:rsidRPr="002114B7">
        <w:rPr>
          <w:rFonts w:ascii="Arial" w:hAnsi="Arial" w:cs="Arial"/>
        </w:rPr>
        <w:t xml:space="preserve">that the slow recovery from the Global Financial Crisis has </w:t>
      </w:r>
      <w:r w:rsidR="009E092C" w:rsidRPr="002114B7">
        <w:rPr>
          <w:rFonts w:ascii="Arial" w:hAnsi="Arial" w:cs="Arial"/>
        </w:rPr>
        <w:t xml:space="preserve">once again </w:t>
      </w:r>
      <w:r w:rsidR="002867AE" w:rsidRPr="002114B7">
        <w:rPr>
          <w:rFonts w:ascii="Arial" w:hAnsi="Arial" w:cs="Arial"/>
        </w:rPr>
        <w:t>f</w:t>
      </w:r>
      <w:r w:rsidR="00EE74FB" w:rsidRPr="002114B7">
        <w:rPr>
          <w:rFonts w:ascii="Arial" w:hAnsi="Arial" w:cs="Arial"/>
        </w:rPr>
        <w:t>avoured the top part of society</w:t>
      </w:r>
      <w:r w:rsidR="002867AE" w:rsidRPr="002114B7">
        <w:rPr>
          <w:rFonts w:ascii="Arial" w:hAnsi="Arial" w:cs="Arial"/>
        </w:rPr>
        <w:t xml:space="preserve">. Widening participation in higher education </w:t>
      </w:r>
      <w:r w:rsidR="00746647" w:rsidRPr="002114B7">
        <w:rPr>
          <w:rFonts w:ascii="Arial" w:hAnsi="Arial" w:cs="Arial"/>
        </w:rPr>
        <w:t xml:space="preserve">(HE) </w:t>
      </w:r>
      <w:r w:rsidR="002867AE" w:rsidRPr="002114B7">
        <w:rPr>
          <w:rFonts w:ascii="Arial" w:hAnsi="Arial" w:cs="Arial"/>
        </w:rPr>
        <w:t>has been promoted as a key element in achieving a fairer socie</w:t>
      </w:r>
      <w:r w:rsidR="0085198E" w:rsidRPr="002114B7">
        <w:rPr>
          <w:rFonts w:ascii="Arial" w:hAnsi="Arial" w:cs="Arial"/>
        </w:rPr>
        <w:t>ty</w:t>
      </w:r>
      <w:r w:rsidR="007B60D7" w:rsidRPr="002114B7">
        <w:rPr>
          <w:rFonts w:ascii="Arial" w:hAnsi="Arial" w:cs="Arial"/>
        </w:rPr>
        <w:t xml:space="preserve"> and a more socially balanced and extended recovery</w:t>
      </w:r>
      <w:r w:rsidR="0085198E" w:rsidRPr="002114B7">
        <w:rPr>
          <w:rFonts w:ascii="Arial" w:hAnsi="Arial" w:cs="Arial"/>
        </w:rPr>
        <w:t>.</w:t>
      </w:r>
      <w:r w:rsidR="00746647" w:rsidRPr="002114B7">
        <w:rPr>
          <w:rFonts w:ascii="Arial" w:hAnsi="Arial" w:cs="Arial"/>
        </w:rPr>
        <w:t xml:space="preserve"> In this paper we explore the evidence base for </w:t>
      </w:r>
      <w:r w:rsidR="007A0032" w:rsidRPr="002114B7">
        <w:rPr>
          <w:rFonts w:ascii="Arial" w:hAnsi="Arial" w:cs="Arial"/>
        </w:rPr>
        <w:t xml:space="preserve">all of </w:t>
      </w:r>
      <w:r w:rsidR="00746647" w:rsidRPr="002114B7">
        <w:rPr>
          <w:rFonts w:ascii="Arial" w:hAnsi="Arial" w:cs="Arial"/>
        </w:rPr>
        <w:t>these claims.</w:t>
      </w:r>
    </w:p>
    <w:p w:rsidR="0085198E" w:rsidRPr="002114B7" w:rsidRDefault="0085198E" w:rsidP="002867AE">
      <w:pPr>
        <w:spacing w:after="0" w:line="360" w:lineRule="auto"/>
        <w:rPr>
          <w:rFonts w:ascii="Arial" w:hAnsi="Arial" w:cs="Arial"/>
        </w:rPr>
      </w:pPr>
    </w:p>
    <w:p w:rsidR="004B5DAE" w:rsidRPr="002114B7" w:rsidRDefault="0085198E" w:rsidP="004B5DAE">
      <w:pPr>
        <w:spacing w:after="0" w:line="360" w:lineRule="auto"/>
        <w:rPr>
          <w:rFonts w:ascii="Arial" w:hAnsi="Arial" w:cs="Arial"/>
        </w:rPr>
      </w:pPr>
      <w:r w:rsidRPr="002114B7">
        <w:rPr>
          <w:rFonts w:ascii="Arial" w:hAnsi="Arial" w:cs="Arial"/>
        </w:rPr>
        <w:t xml:space="preserve">In </w:t>
      </w:r>
      <w:r w:rsidR="00746647" w:rsidRPr="002114B7">
        <w:rPr>
          <w:rFonts w:ascii="Arial" w:hAnsi="Arial" w:cs="Arial"/>
        </w:rPr>
        <w:t>investigating</w:t>
      </w:r>
      <w:r w:rsidRPr="002114B7">
        <w:rPr>
          <w:rFonts w:ascii="Arial" w:hAnsi="Arial" w:cs="Arial"/>
        </w:rPr>
        <w:t xml:space="preserve"> the</w:t>
      </w:r>
      <w:r w:rsidR="00746647" w:rsidRPr="002114B7">
        <w:rPr>
          <w:rFonts w:ascii="Arial" w:hAnsi="Arial" w:cs="Arial"/>
        </w:rPr>
        <w:t>se claimed benefits</w:t>
      </w:r>
      <w:r w:rsidRPr="002114B7">
        <w:rPr>
          <w:rFonts w:ascii="Arial" w:hAnsi="Arial" w:cs="Arial"/>
        </w:rPr>
        <w:t xml:space="preserve"> of widening participation, w</w:t>
      </w:r>
      <w:r w:rsidR="00746647" w:rsidRPr="002114B7">
        <w:rPr>
          <w:rFonts w:ascii="Arial" w:hAnsi="Arial" w:cs="Arial"/>
        </w:rPr>
        <w:t>e</w:t>
      </w:r>
      <w:r w:rsidRPr="002114B7">
        <w:rPr>
          <w:rFonts w:ascii="Arial" w:hAnsi="Arial" w:cs="Arial"/>
        </w:rPr>
        <w:t xml:space="preserve"> focus on the UK Higher Education system. </w:t>
      </w:r>
      <w:r w:rsidR="009E092C" w:rsidRPr="002114B7">
        <w:rPr>
          <w:rFonts w:ascii="Arial" w:hAnsi="Arial" w:cs="Arial"/>
        </w:rPr>
        <w:t>In doing so w</w:t>
      </w:r>
      <w:r w:rsidRPr="002114B7">
        <w:rPr>
          <w:rFonts w:ascii="Arial" w:hAnsi="Arial" w:cs="Arial"/>
        </w:rPr>
        <w:t xml:space="preserve">e build off two recent </w:t>
      </w:r>
      <w:r w:rsidR="007B60D7" w:rsidRPr="002114B7">
        <w:rPr>
          <w:rFonts w:ascii="Arial" w:hAnsi="Arial" w:cs="Arial"/>
        </w:rPr>
        <w:t xml:space="preserve">wide-ranging </w:t>
      </w:r>
      <w:r w:rsidRPr="002114B7">
        <w:rPr>
          <w:rFonts w:ascii="Arial" w:hAnsi="Arial" w:cs="Arial"/>
        </w:rPr>
        <w:t xml:space="preserve">literature surveys of </w:t>
      </w:r>
      <w:r w:rsidR="00703791" w:rsidRPr="002114B7">
        <w:rPr>
          <w:rFonts w:ascii="Arial" w:hAnsi="Arial" w:cs="Arial"/>
        </w:rPr>
        <w:t xml:space="preserve">research on </w:t>
      </w:r>
      <w:r w:rsidRPr="002114B7">
        <w:rPr>
          <w:rFonts w:ascii="Arial" w:hAnsi="Arial" w:cs="Arial"/>
        </w:rPr>
        <w:t>widening participation in the UK</w:t>
      </w:r>
      <w:r w:rsidR="00703791" w:rsidRPr="002114B7">
        <w:rPr>
          <w:rFonts w:ascii="Arial" w:hAnsi="Arial" w:cs="Arial"/>
        </w:rPr>
        <w:t xml:space="preserve"> commissioned by the Higher Education Funding Council for England (HEFCE)</w:t>
      </w:r>
      <w:r w:rsidRPr="002114B7">
        <w:rPr>
          <w:rFonts w:ascii="Arial" w:hAnsi="Arial" w:cs="Arial"/>
        </w:rPr>
        <w:t xml:space="preserve">: </w:t>
      </w:r>
      <w:proofErr w:type="spellStart"/>
      <w:r w:rsidRPr="002114B7">
        <w:rPr>
          <w:rFonts w:ascii="Arial" w:hAnsi="Arial" w:cs="Arial"/>
        </w:rPr>
        <w:t>Gorard</w:t>
      </w:r>
      <w:proofErr w:type="spellEnd"/>
      <w:r w:rsidRPr="002114B7">
        <w:rPr>
          <w:rFonts w:ascii="Arial" w:hAnsi="Arial" w:cs="Arial"/>
        </w:rPr>
        <w:t xml:space="preserve"> et al. (200</w:t>
      </w:r>
      <w:r w:rsidR="00487509" w:rsidRPr="002114B7">
        <w:rPr>
          <w:rFonts w:ascii="Arial" w:hAnsi="Arial" w:cs="Arial"/>
        </w:rPr>
        <w:t>7</w:t>
      </w:r>
      <w:r w:rsidRPr="002114B7">
        <w:rPr>
          <w:rFonts w:ascii="Arial" w:hAnsi="Arial" w:cs="Arial"/>
        </w:rPr>
        <w:t xml:space="preserve">) and </w:t>
      </w:r>
      <w:r w:rsidR="00703791" w:rsidRPr="002114B7">
        <w:rPr>
          <w:rFonts w:ascii="Arial" w:hAnsi="Arial" w:cs="Arial"/>
        </w:rPr>
        <w:t xml:space="preserve">Moore et al. (2013). </w:t>
      </w:r>
      <w:r w:rsidR="005C4EE0" w:rsidRPr="002114B7">
        <w:rPr>
          <w:rFonts w:ascii="Arial" w:hAnsi="Arial" w:cs="Arial"/>
        </w:rPr>
        <w:t>However, i</w:t>
      </w:r>
      <w:r w:rsidR="00746647" w:rsidRPr="002114B7">
        <w:rPr>
          <w:rFonts w:ascii="Arial" w:hAnsi="Arial" w:cs="Arial"/>
        </w:rPr>
        <w:t xml:space="preserve">n contrast to these surveys we focus not on barriers to non-traditional students’ entry to HE but on whether there </w:t>
      </w:r>
      <w:r w:rsidR="00C65B69" w:rsidRPr="002114B7">
        <w:rPr>
          <w:rFonts w:ascii="Arial" w:hAnsi="Arial" w:cs="Arial"/>
        </w:rPr>
        <w:t xml:space="preserve">are </w:t>
      </w:r>
      <w:r w:rsidR="00746647" w:rsidRPr="002114B7">
        <w:rPr>
          <w:rFonts w:ascii="Arial" w:hAnsi="Arial" w:cs="Arial"/>
        </w:rPr>
        <w:t>suffici</w:t>
      </w:r>
      <w:r w:rsidR="00C65B69" w:rsidRPr="002114B7">
        <w:rPr>
          <w:rFonts w:ascii="Arial" w:hAnsi="Arial" w:cs="Arial"/>
        </w:rPr>
        <w:t>ent incentives for them to participate in HE</w:t>
      </w:r>
      <w:r w:rsidR="00746647" w:rsidRPr="002114B7">
        <w:rPr>
          <w:rFonts w:ascii="Arial" w:hAnsi="Arial" w:cs="Arial"/>
        </w:rPr>
        <w:t xml:space="preserve">. </w:t>
      </w:r>
      <w:r w:rsidR="00241B15" w:rsidRPr="002114B7">
        <w:rPr>
          <w:rFonts w:ascii="Arial" w:hAnsi="Arial" w:cs="Arial"/>
        </w:rPr>
        <w:t>England and Wales are particularly interesting cases</w:t>
      </w:r>
      <w:r w:rsidR="007A0032" w:rsidRPr="002114B7">
        <w:rPr>
          <w:rFonts w:ascii="Arial" w:hAnsi="Arial" w:cs="Arial"/>
        </w:rPr>
        <w:t xml:space="preserve"> for researchers, </w:t>
      </w:r>
      <w:r w:rsidR="00241B15" w:rsidRPr="002114B7">
        <w:rPr>
          <w:rFonts w:ascii="Arial" w:hAnsi="Arial" w:cs="Arial"/>
        </w:rPr>
        <w:t xml:space="preserve">since </w:t>
      </w:r>
      <w:r w:rsidR="005C4EE0" w:rsidRPr="002114B7">
        <w:rPr>
          <w:rFonts w:ascii="Arial" w:hAnsi="Arial" w:cs="Arial"/>
        </w:rPr>
        <w:t>during</w:t>
      </w:r>
      <w:r w:rsidR="00241B15" w:rsidRPr="002114B7">
        <w:rPr>
          <w:rFonts w:ascii="Arial" w:hAnsi="Arial" w:cs="Arial"/>
        </w:rPr>
        <w:t xml:space="preserve"> the last two decades</w:t>
      </w:r>
      <w:r w:rsidR="00C65B69" w:rsidRPr="002114B7">
        <w:rPr>
          <w:rFonts w:ascii="Arial" w:hAnsi="Arial" w:cs="Arial"/>
        </w:rPr>
        <w:t xml:space="preserve"> </w:t>
      </w:r>
      <w:r w:rsidR="000705FF" w:rsidRPr="002114B7">
        <w:rPr>
          <w:rFonts w:ascii="Arial" w:hAnsi="Arial" w:cs="Arial"/>
        </w:rPr>
        <w:t xml:space="preserve">successive </w:t>
      </w:r>
      <w:r w:rsidR="00C65B69" w:rsidRPr="002114B7">
        <w:rPr>
          <w:rFonts w:ascii="Arial" w:hAnsi="Arial" w:cs="Arial"/>
        </w:rPr>
        <w:t>governments have followed</w:t>
      </w:r>
      <w:r w:rsidR="00241B15" w:rsidRPr="002114B7">
        <w:rPr>
          <w:rFonts w:ascii="Arial" w:hAnsi="Arial" w:cs="Arial"/>
        </w:rPr>
        <w:t xml:space="preserve"> a widening participation agenda</w:t>
      </w:r>
      <w:r w:rsidR="007A0032" w:rsidRPr="002114B7">
        <w:rPr>
          <w:rFonts w:ascii="Arial" w:hAnsi="Arial" w:cs="Arial"/>
        </w:rPr>
        <w:t>,</w:t>
      </w:r>
      <w:r w:rsidR="00C65B69" w:rsidRPr="002114B7">
        <w:rPr>
          <w:rFonts w:ascii="Arial" w:hAnsi="Arial" w:cs="Arial"/>
        </w:rPr>
        <w:t xml:space="preserve"> whilst </w:t>
      </w:r>
      <w:r w:rsidR="00241B15" w:rsidRPr="002114B7">
        <w:rPr>
          <w:rFonts w:ascii="Arial" w:hAnsi="Arial" w:cs="Arial"/>
        </w:rPr>
        <w:t xml:space="preserve">at the same time </w:t>
      </w:r>
      <w:r w:rsidR="00C65B69" w:rsidRPr="002114B7">
        <w:rPr>
          <w:rFonts w:ascii="Arial" w:hAnsi="Arial" w:cs="Arial"/>
        </w:rPr>
        <w:t>transferring</w:t>
      </w:r>
      <w:r w:rsidR="00241B15" w:rsidRPr="002114B7">
        <w:rPr>
          <w:rFonts w:ascii="Arial" w:hAnsi="Arial" w:cs="Arial"/>
        </w:rPr>
        <w:t xml:space="preserve"> much of the costs of higher education from taxpayers to students and their families.</w:t>
      </w:r>
      <w:r w:rsidR="004B5DAE" w:rsidRPr="002114B7">
        <w:rPr>
          <w:rFonts w:ascii="Arial" w:hAnsi="Arial" w:cs="Arial"/>
        </w:rPr>
        <w:t xml:space="preserve"> </w:t>
      </w:r>
      <w:r w:rsidR="00A30E53">
        <w:rPr>
          <w:rFonts w:ascii="Arial" w:hAnsi="Arial" w:cs="Arial"/>
        </w:rPr>
        <w:t>However,</w:t>
      </w:r>
      <w:r w:rsidR="004B5DAE" w:rsidRPr="002114B7">
        <w:rPr>
          <w:rFonts w:ascii="Arial" w:hAnsi="Arial" w:cs="Arial"/>
        </w:rPr>
        <w:t xml:space="preserve"> as developed countries adopt similar strategies to </w:t>
      </w:r>
      <w:r w:rsidR="004B5DAE" w:rsidRPr="002114B7">
        <w:rPr>
          <w:rFonts w:ascii="Arial" w:hAnsi="Arial" w:cs="Arial"/>
        </w:rPr>
        <w:lastRenderedPageBreak/>
        <w:t>compete in the globalised knowledge economy their HE systems and policies have begun to converge. Indeed, Bowles et al.’</w:t>
      </w:r>
      <w:r w:rsidR="007A0032" w:rsidRPr="002114B7">
        <w:rPr>
          <w:rFonts w:ascii="Arial" w:hAnsi="Arial" w:cs="Arial"/>
        </w:rPr>
        <w:t>s</w:t>
      </w:r>
      <w:r w:rsidR="004B5DAE" w:rsidRPr="002114B7">
        <w:rPr>
          <w:rFonts w:ascii="Arial" w:hAnsi="Arial" w:cs="Arial"/>
        </w:rPr>
        <w:t xml:space="preserve"> (2013</w:t>
      </w:r>
      <w:r w:rsidR="00A30E53">
        <w:rPr>
          <w:rFonts w:ascii="Arial" w:hAnsi="Arial" w:cs="Arial"/>
        </w:rPr>
        <w:t xml:space="preserve"> para. 1.4</w:t>
      </w:r>
      <w:r w:rsidR="004B5DAE" w:rsidRPr="002114B7">
        <w:rPr>
          <w:rFonts w:ascii="Arial" w:hAnsi="Arial" w:cs="Arial"/>
        </w:rPr>
        <w:t>) review of research on widening participation in Australia, Ireland, the Netherlands, No</w:t>
      </w:r>
      <w:r w:rsidR="00A30E53">
        <w:rPr>
          <w:rFonts w:ascii="Arial" w:hAnsi="Arial" w:cs="Arial"/>
        </w:rPr>
        <w:t xml:space="preserve">rway, South Africa and the US </w:t>
      </w:r>
      <w:r w:rsidR="004B5DAE" w:rsidRPr="002114B7">
        <w:rPr>
          <w:rFonts w:ascii="Arial" w:hAnsi="Arial" w:cs="Arial"/>
        </w:rPr>
        <w:t>conclude</w:t>
      </w:r>
      <w:r w:rsidR="00A30E53">
        <w:rPr>
          <w:rFonts w:ascii="Arial" w:hAnsi="Arial" w:cs="Arial"/>
        </w:rPr>
        <w:t>s</w:t>
      </w:r>
      <w:r w:rsidR="004B5DAE" w:rsidRPr="002114B7">
        <w:rPr>
          <w:rFonts w:ascii="Arial" w:hAnsi="Arial" w:cs="Arial"/>
        </w:rPr>
        <w:t>: “</w:t>
      </w:r>
      <w:r w:rsidR="004B5DAE" w:rsidRPr="002114B7">
        <w:rPr>
          <w:rFonts w:ascii="Arial" w:hAnsi="Arial" w:cs="Arial"/>
          <w:i/>
        </w:rPr>
        <w:t>Despite structural, socio-cultural and economic differences between the case study nations and England, there are clear similarities in the way in which the education systems are organised and the factors which have been identified as inhibiting or facilitating educational attainment and progression to HE. Many of the systemic factors linked to participation in HE are, therefore, also shared</w:t>
      </w:r>
      <w:r w:rsidR="004B5DAE" w:rsidRPr="002114B7">
        <w:rPr>
          <w:rFonts w:ascii="Arial" w:hAnsi="Arial" w:cs="Arial"/>
        </w:rPr>
        <w:t xml:space="preserve">.”    </w:t>
      </w:r>
    </w:p>
    <w:p w:rsidR="00241B15" w:rsidRPr="002114B7" w:rsidRDefault="00241B15" w:rsidP="002867AE">
      <w:pPr>
        <w:spacing w:after="0" w:line="360" w:lineRule="auto"/>
        <w:rPr>
          <w:rFonts w:ascii="Arial" w:hAnsi="Arial" w:cs="Arial"/>
        </w:rPr>
      </w:pPr>
      <w:r w:rsidRPr="002114B7">
        <w:rPr>
          <w:rFonts w:ascii="Arial" w:hAnsi="Arial" w:cs="Arial"/>
        </w:rPr>
        <w:t xml:space="preserve"> </w:t>
      </w:r>
    </w:p>
    <w:p w:rsidR="004A1124" w:rsidRPr="002114B7" w:rsidRDefault="00E47D53" w:rsidP="002867AE">
      <w:pPr>
        <w:spacing w:after="0" w:line="360" w:lineRule="auto"/>
        <w:rPr>
          <w:rFonts w:ascii="Arial" w:hAnsi="Arial" w:cs="Arial"/>
        </w:rPr>
      </w:pPr>
      <w:r w:rsidRPr="002114B7">
        <w:rPr>
          <w:rFonts w:ascii="Arial" w:hAnsi="Arial" w:cs="Arial"/>
        </w:rPr>
        <w:t>This chapter makes four</w:t>
      </w:r>
      <w:r w:rsidR="00703791" w:rsidRPr="002114B7">
        <w:rPr>
          <w:rFonts w:ascii="Arial" w:hAnsi="Arial" w:cs="Arial"/>
        </w:rPr>
        <w:t xml:space="preserve"> main contributions to the theory, evidence and policy related to widening participation. Firstly, it points out the current weakness of the evidence base concerning the extent of </w:t>
      </w:r>
      <w:r w:rsidR="000705FF" w:rsidRPr="002114B7">
        <w:rPr>
          <w:rFonts w:ascii="Arial" w:hAnsi="Arial" w:cs="Arial"/>
        </w:rPr>
        <w:t>the</w:t>
      </w:r>
      <w:r w:rsidR="00703791" w:rsidRPr="002114B7">
        <w:rPr>
          <w:rFonts w:ascii="Arial" w:hAnsi="Arial" w:cs="Arial"/>
        </w:rPr>
        <w:t xml:space="preserve"> economic and social benefits to the individual and society from widening participation. Secondly, </w:t>
      </w:r>
      <w:r w:rsidRPr="002114B7">
        <w:rPr>
          <w:rFonts w:ascii="Arial" w:hAnsi="Arial" w:cs="Arial"/>
        </w:rPr>
        <w:t>it emphasis the diversity of individual non-traditional student groups and</w:t>
      </w:r>
      <w:r w:rsidR="007A0032" w:rsidRPr="002114B7">
        <w:rPr>
          <w:rFonts w:ascii="Arial" w:hAnsi="Arial" w:cs="Arial"/>
        </w:rPr>
        <w:t>,</w:t>
      </w:r>
      <w:r w:rsidRPr="002114B7">
        <w:rPr>
          <w:rFonts w:ascii="Arial" w:hAnsi="Arial" w:cs="Arial"/>
        </w:rPr>
        <w:t xml:space="preserve"> given their different backgrounds, attainments and post-graduation experiences</w:t>
      </w:r>
      <w:r w:rsidR="007A0032" w:rsidRPr="002114B7">
        <w:rPr>
          <w:rFonts w:ascii="Arial" w:hAnsi="Arial" w:cs="Arial"/>
        </w:rPr>
        <w:t>,</w:t>
      </w:r>
      <w:r w:rsidRPr="002114B7">
        <w:rPr>
          <w:rFonts w:ascii="Arial" w:hAnsi="Arial" w:cs="Arial"/>
        </w:rPr>
        <w:t xml:space="preserve"> stresses the danger of treating them as a homogenous group. Thirdly, </w:t>
      </w:r>
      <w:r w:rsidR="00703791" w:rsidRPr="002114B7">
        <w:rPr>
          <w:rFonts w:ascii="Arial" w:hAnsi="Arial" w:cs="Arial"/>
        </w:rPr>
        <w:t xml:space="preserve">given those weaknesses </w:t>
      </w:r>
      <w:r w:rsidR="00573EA7" w:rsidRPr="002114B7">
        <w:rPr>
          <w:rFonts w:ascii="Arial" w:hAnsi="Arial" w:cs="Arial"/>
        </w:rPr>
        <w:t xml:space="preserve">and diversity </w:t>
      </w:r>
      <w:r w:rsidR="005C4EE0" w:rsidRPr="002114B7">
        <w:rPr>
          <w:rFonts w:ascii="Arial" w:hAnsi="Arial" w:cs="Arial"/>
        </w:rPr>
        <w:t xml:space="preserve">we argue that </w:t>
      </w:r>
      <w:r w:rsidR="00703791" w:rsidRPr="002114B7">
        <w:rPr>
          <w:rFonts w:ascii="Arial" w:hAnsi="Arial" w:cs="Arial"/>
        </w:rPr>
        <w:t xml:space="preserve">the efficiency </w:t>
      </w:r>
      <w:r w:rsidR="000705FF" w:rsidRPr="002114B7">
        <w:rPr>
          <w:rFonts w:ascii="Arial" w:hAnsi="Arial" w:cs="Arial"/>
        </w:rPr>
        <w:t xml:space="preserve">and effectiveness </w:t>
      </w:r>
      <w:r w:rsidR="00703791" w:rsidRPr="002114B7">
        <w:rPr>
          <w:rFonts w:ascii="Arial" w:hAnsi="Arial" w:cs="Arial"/>
        </w:rPr>
        <w:t xml:space="preserve">of current widening participation policies, still predominantly aimed at </w:t>
      </w:r>
      <w:r w:rsidR="00DF0609" w:rsidRPr="002114B7">
        <w:rPr>
          <w:rFonts w:ascii="Arial" w:hAnsi="Arial" w:cs="Arial"/>
        </w:rPr>
        <w:t xml:space="preserve">senior </w:t>
      </w:r>
      <w:r w:rsidR="00703791" w:rsidRPr="002114B7">
        <w:rPr>
          <w:rFonts w:ascii="Arial" w:hAnsi="Arial" w:cs="Arial"/>
        </w:rPr>
        <w:t xml:space="preserve">secondary school </w:t>
      </w:r>
      <w:r w:rsidR="00DF0609" w:rsidRPr="002114B7">
        <w:rPr>
          <w:rFonts w:ascii="Arial" w:hAnsi="Arial" w:cs="Arial"/>
        </w:rPr>
        <w:t>students</w:t>
      </w:r>
      <w:r w:rsidR="00703791" w:rsidRPr="002114B7">
        <w:rPr>
          <w:rFonts w:ascii="Arial" w:hAnsi="Arial" w:cs="Arial"/>
        </w:rPr>
        <w:t xml:space="preserve">, needs to be re-evaluated. </w:t>
      </w:r>
      <w:r w:rsidR="007A0032" w:rsidRPr="002114B7">
        <w:rPr>
          <w:rFonts w:ascii="Arial" w:hAnsi="Arial" w:cs="Arial"/>
        </w:rPr>
        <w:t>Finally,</w:t>
      </w:r>
      <w:r w:rsidR="00703791" w:rsidRPr="002114B7">
        <w:rPr>
          <w:rFonts w:ascii="Arial" w:hAnsi="Arial" w:cs="Arial"/>
        </w:rPr>
        <w:t xml:space="preserve"> given the apparent importance of the choice of which course</w:t>
      </w:r>
      <w:r w:rsidR="005C4EE0" w:rsidRPr="002114B7">
        <w:rPr>
          <w:rFonts w:ascii="Arial" w:hAnsi="Arial" w:cs="Arial"/>
        </w:rPr>
        <w:t>(s)</w:t>
      </w:r>
      <w:r w:rsidR="00703791" w:rsidRPr="002114B7">
        <w:rPr>
          <w:rFonts w:ascii="Arial" w:hAnsi="Arial" w:cs="Arial"/>
        </w:rPr>
        <w:t xml:space="preserve"> and higher education institution to attend, it is argued that the promotion of fair access to ‘high dividend’ courses and institutions needs to be</w:t>
      </w:r>
      <w:r w:rsidR="00A30E53">
        <w:rPr>
          <w:rFonts w:ascii="Arial" w:hAnsi="Arial" w:cs="Arial"/>
        </w:rPr>
        <w:t>come</w:t>
      </w:r>
      <w:r w:rsidR="00703791" w:rsidRPr="002114B7">
        <w:rPr>
          <w:rFonts w:ascii="Arial" w:hAnsi="Arial" w:cs="Arial"/>
        </w:rPr>
        <w:t xml:space="preserve"> </w:t>
      </w:r>
      <w:r w:rsidR="00A30E53">
        <w:rPr>
          <w:rFonts w:ascii="Arial" w:hAnsi="Arial" w:cs="Arial"/>
        </w:rPr>
        <w:t>even</w:t>
      </w:r>
      <w:r w:rsidR="00703791" w:rsidRPr="002114B7">
        <w:rPr>
          <w:rFonts w:ascii="Arial" w:hAnsi="Arial" w:cs="Arial"/>
        </w:rPr>
        <w:t xml:space="preserve"> more prominent in debates about widening participation.</w:t>
      </w:r>
    </w:p>
    <w:p w:rsidR="007B60D7" w:rsidRPr="002114B7" w:rsidRDefault="007B60D7" w:rsidP="002867AE">
      <w:pPr>
        <w:spacing w:after="0" w:line="360" w:lineRule="auto"/>
        <w:rPr>
          <w:rFonts w:ascii="Arial" w:hAnsi="Arial" w:cs="Arial"/>
        </w:rPr>
      </w:pPr>
    </w:p>
    <w:p w:rsidR="007B60D7" w:rsidRPr="002114B7" w:rsidRDefault="007B60D7" w:rsidP="002867AE">
      <w:pPr>
        <w:spacing w:after="0" w:line="360" w:lineRule="auto"/>
        <w:rPr>
          <w:rFonts w:ascii="Arial" w:hAnsi="Arial" w:cs="Arial"/>
        </w:rPr>
      </w:pPr>
      <w:r w:rsidRPr="002114B7">
        <w:rPr>
          <w:rFonts w:ascii="Arial" w:hAnsi="Arial" w:cs="Arial"/>
        </w:rPr>
        <w:t>The arguments presented in this chapter are organised as follows. In the next section the term ‘non-traditional participants in higher education’ is unpicked and the heterogeneity of this group established. In the same section the diversity of higher education providers is noted and the highly-stratified nature of the UK higher education market established. This is followed by an examination of the potential economic and social benefits accruing from widening participation in higher education.</w:t>
      </w:r>
      <w:r w:rsidR="00C65B69" w:rsidRPr="002114B7">
        <w:rPr>
          <w:rFonts w:ascii="Arial" w:hAnsi="Arial" w:cs="Arial"/>
        </w:rPr>
        <w:t xml:space="preserve"> The methodological problems in</w:t>
      </w:r>
      <w:r w:rsidR="00A624A1" w:rsidRPr="002114B7">
        <w:rPr>
          <w:rFonts w:ascii="Arial" w:hAnsi="Arial" w:cs="Arial"/>
        </w:rPr>
        <w:t xml:space="preserve"> identifying and measuring the benefits of widening participation are then addressed. In particular, the difficulties in identifying ‘marginal’ entrants and evaluating their post-entry </w:t>
      </w:r>
      <w:r w:rsidR="00A30E53">
        <w:rPr>
          <w:rFonts w:ascii="Arial" w:hAnsi="Arial" w:cs="Arial"/>
        </w:rPr>
        <w:t>benefits</w:t>
      </w:r>
      <w:r w:rsidR="00A624A1" w:rsidRPr="002114B7">
        <w:rPr>
          <w:rFonts w:ascii="Arial" w:hAnsi="Arial" w:cs="Arial"/>
        </w:rPr>
        <w:t xml:space="preserve"> are investigated. The </w:t>
      </w:r>
      <w:r w:rsidR="00855185">
        <w:rPr>
          <w:rFonts w:ascii="Arial" w:hAnsi="Arial" w:cs="Arial"/>
        </w:rPr>
        <w:t>next two sections review</w:t>
      </w:r>
      <w:r w:rsidR="00A624A1" w:rsidRPr="002114B7">
        <w:rPr>
          <w:rFonts w:ascii="Arial" w:hAnsi="Arial" w:cs="Arial"/>
        </w:rPr>
        <w:t xml:space="preserve"> the available evidence on the economic and social benefits to the individual participant and country as a whole, again focusing on UK studies. </w:t>
      </w:r>
      <w:r w:rsidR="00F46C72" w:rsidRPr="002114B7">
        <w:rPr>
          <w:rFonts w:ascii="Arial" w:hAnsi="Arial" w:cs="Arial"/>
        </w:rPr>
        <w:t xml:space="preserve">In reviewing evidence on the economic incentives for under-represented student groups to enter UK HE, this section builds off an earlier review by Adnett and Slack (2007). </w:t>
      </w:r>
      <w:r w:rsidR="00FD2E16" w:rsidRPr="002114B7">
        <w:rPr>
          <w:rFonts w:ascii="Arial" w:hAnsi="Arial" w:cs="Arial"/>
        </w:rPr>
        <w:t>In the concluding section the main findin</w:t>
      </w:r>
      <w:r w:rsidR="00F46C72" w:rsidRPr="002114B7">
        <w:rPr>
          <w:rFonts w:ascii="Arial" w:hAnsi="Arial" w:cs="Arial"/>
        </w:rPr>
        <w:t>gs of the chapter are brought to</w:t>
      </w:r>
      <w:r w:rsidR="00FD2E16" w:rsidRPr="002114B7">
        <w:rPr>
          <w:rFonts w:ascii="Arial" w:hAnsi="Arial" w:cs="Arial"/>
        </w:rPr>
        <w:t>gether and their implications for policy and future research examined.</w:t>
      </w:r>
    </w:p>
    <w:p w:rsidR="00FD2E16" w:rsidRPr="002114B7" w:rsidRDefault="00FD2E16" w:rsidP="002867AE">
      <w:pPr>
        <w:spacing w:after="0" w:line="360" w:lineRule="auto"/>
        <w:rPr>
          <w:rFonts w:ascii="Arial" w:hAnsi="Arial" w:cs="Arial"/>
        </w:rPr>
      </w:pPr>
    </w:p>
    <w:p w:rsidR="00FD2E16" w:rsidRPr="002114B7" w:rsidRDefault="00FD2E16" w:rsidP="002867AE">
      <w:pPr>
        <w:spacing w:after="0" w:line="360" w:lineRule="auto"/>
        <w:rPr>
          <w:rFonts w:ascii="Arial" w:hAnsi="Arial" w:cs="Arial"/>
          <w:b/>
        </w:rPr>
      </w:pPr>
      <w:r w:rsidRPr="002114B7">
        <w:rPr>
          <w:rFonts w:ascii="Arial" w:hAnsi="Arial" w:cs="Arial"/>
          <w:b/>
        </w:rPr>
        <w:lastRenderedPageBreak/>
        <w:t>Defining Widening Participation and Understanding the HE ‘Market’</w:t>
      </w:r>
    </w:p>
    <w:p w:rsidR="00746647" w:rsidRPr="002114B7" w:rsidRDefault="00746647" w:rsidP="002867AE">
      <w:pPr>
        <w:spacing w:after="0" w:line="360" w:lineRule="auto"/>
        <w:rPr>
          <w:rFonts w:ascii="Arial" w:hAnsi="Arial" w:cs="Arial"/>
        </w:rPr>
      </w:pPr>
    </w:p>
    <w:p w:rsidR="00746647" w:rsidRPr="002114B7" w:rsidRDefault="00746647" w:rsidP="00746647">
      <w:pPr>
        <w:spacing w:after="0" w:line="360" w:lineRule="auto"/>
        <w:rPr>
          <w:rFonts w:ascii="Arial" w:hAnsi="Arial" w:cs="Arial"/>
        </w:rPr>
      </w:pPr>
      <w:r w:rsidRPr="002114B7">
        <w:rPr>
          <w:rFonts w:ascii="Arial" w:hAnsi="Arial" w:cs="Arial"/>
        </w:rPr>
        <w:t xml:space="preserve">Our starting point is that the groups which have traditionally low participation rates in HE are diverse and it is unlikely that they would each receive </w:t>
      </w:r>
      <w:r w:rsidR="00C65B69" w:rsidRPr="002114B7">
        <w:rPr>
          <w:rFonts w:ascii="Arial" w:hAnsi="Arial" w:cs="Arial"/>
        </w:rPr>
        <w:t>similar</w:t>
      </w:r>
      <w:r w:rsidRPr="002114B7">
        <w:rPr>
          <w:rFonts w:ascii="Arial" w:hAnsi="Arial" w:cs="Arial"/>
        </w:rPr>
        <w:t xml:space="preserve"> economic and social benefits from entering and completing HE. </w:t>
      </w:r>
      <w:r w:rsidR="007F7089" w:rsidRPr="002114B7">
        <w:rPr>
          <w:rFonts w:ascii="Arial" w:hAnsi="Arial" w:cs="Arial"/>
        </w:rPr>
        <w:t xml:space="preserve">Similarly the providers of HE are also diverse and the </w:t>
      </w:r>
      <w:r w:rsidR="00C65B69" w:rsidRPr="002114B7">
        <w:rPr>
          <w:rFonts w:ascii="Arial" w:hAnsi="Arial" w:cs="Arial"/>
        </w:rPr>
        <w:t>UK</w:t>
      </w:r>
      <w:r w:rsidR="000705FF" w:rsidRPr="002114B7">
        <w:rPr>
          <w:rFonts w:ascii="Arial" w:hAnsi="Arial" w:cs="Arial"/>
        </w:rPr>
        <w:t>’s</w:t>
      </w:r>
      <w:r w:rsidR="00C65B69" w:rsidRPr="002114B7">
        <w:rPr>
          <w:rFonts w:ascii="Arial" w:hAnsi="Arial" w:cs="Arial"/>
        </w:rPr>
        <w:t xml:space="preserve"> </w:t>
      </w:r>
      <w:r w:rsidR="007F7089" w:rsidRPr="002114B7">
        <w:rPr>
          <w:rFonts w:ascii="Arial" w:hAnsi="Arial" w:cs="Arial"/>
        </w:rPr>
        <w:t xml:space="preserve">HE market is a segmented one with an established and stable hierarchy. Hence </w:t>
      </w:r>
      <w:r w:rsidR="00C65B69" w:rsidRPr="002114B7">
        <w:rPr>
          <w:rFonts w:ascii="Arial" w:hAnsi="Arial" w:cs="Arial"/>
        </w:rPr>
        <w:t xml:space="preserve">it is likely that </w:t>
      </w:r>
      <w:r w:rsidR="007F7089" w:rsidRPr="002114B7">
        <w:rPr>
          <w:rFonts w:ascii="Arial" w:hAnsi="Arial" w:cs="Arial"/>
        </w:rPr>
        <w:t xml:space="preserve">the economic and social benefits accessible to students will in part be determined by where their </w:t>
      </w:r>
      <w:r w:rsidR="000D041D" w:rsidRPr="002114B7">
        <w:rPr>
          <w:rFonts w:ascii="Arial" w:hAnsi="Arial" w:cs="Arial"/>
        </w:rPr>
        <w:t>higher education institution (HEI) sits in that hierarchy.</w:t>
      </w:r>
    </w:p>
    <w:p w:rsidR="00FD2E16" w:rsidRPr="002114B7" w:rsidRDefault="00746647" w:rsidP="002867AE">
      <w:pPr>
        <w:spacing w:after="0" w:line="360" w:lineRule="auto"/>
        <w:rPr>
          <w:rFonts w:ascii="Arial" w:hAnsi="Arial" w:cs="Arial"/>
        </w:rPr>
      </w:pPr>
      <w:r w:rsidRPr="002114B7">
        <w:rPr>
          <w:rFonts w:ascii="Arial" w:hAnsi="Arial" w:cs="Arial"/>
        </w:rPr>
        <w:t xml:space="preserve"> </w:t>
      </w:r>
    </w:p>
    <w:p w:rsidR="000D041D" w:rsidRPr="002114B7" w:rsidRDefault="000D041D" w:rsidP="002867AE">
      <w:pPr>
        <w:spacing w:after="0" w:line="360" w:lineRule="auto"/>
        <w:rPr>
          <w:rFonts w:ascii="Arial" w:hAnsi="Arial" w:cs="Arial"/>
        </w:rPr>
      </w:pPr>
      <w:r w:rsidRPr="002114B7">
        <w:rPr>
          <w:rFonts w:ascii="Arial" w:hAnsi="Arial" w:cs="Arial"/>
        </w:rPr>
        <w:t xml:space="preserve">Widening participation is a widely used but ill-defined concept and has been used </w:t>
      </w:r>
      <w:r w:rsidR="00C65B69" w:rsidRPr="002114B7">
        <w:rPr>
          <w:rFonts w:ascii="Arial" w:hAnsi="Arial" w:cs="Arial"/>
        </w:rPr>
        <w:t>to encompass</w:t>
      </w:r>
      <w:r w:rsidRPr="002114B7">
        <w:rPr>
          <w:rFonts w:ascii="Arial" w:hAnsi="Arial" w:cs="Arial"/>
        </w:rPr>
        <w:t xml:space="preserve"> a</w:t>
      </w:r>
      <w:r w:rsidR="00C65B69" w:rsidRPr="002114B7">
        <w:rPr>
          <w:rFonts w:ascii="Arial" w:hAnsi="Arial" w:cs="Arial"/>
        </w:rPr>
        <w:t xml:space="preserve"> </w:t>
      </w:r>
      <w:r w:rsidR="00A30E53">
        <w:rPr>
          <w:rFonts w:ascii="Arial" w:hAnsi="Arial" w:cs="Arial"/>
        </w:rPr>
        <w:t>diverse</w:t>
      </w:r>
      <w:r w:rsidR="00C65B69" w:rsidRPr="002114B7">
        <w:rPr>
          <w:rFonts w:ascii="Arial" w:hAnsi="Arial" w:cs="Arial"/>
        </w:rPr>
        <w:t xml:space="preserve"> range</w:t>
      </w:r>
      <w:r w:rsidRPr="002114B7">
        <w:rPr>
          <w:rFonts w:ascii="Arial" w:hAnsi="Arial" w:cs="Arial"/>
        </w:rPr>
        <w:t xml:space="preserve"> of target groups. The UK’s Department for Business, Innovation and Skills provides the following definition:</w:t>
      </w:r>
    </w:p>
    <w:p w:rsidR="00241B15" w:rsidRPr="002114B7" w:rsidRDefault="00241B15" w:rsidP="002867AE">
      <w:pPr>
        <w:spacing w:after="0" w:line="360" w:lineRule="auto"/>
        <w:rPr>
          <w:rFonts w:ascii="Arial" w:hAnsi="Arial" w:cs="Arial"/>
        </w:rPr>
      </w:pPr>
    </w:p>
    <w:p w:rsidR="000D041D" w:rsidRPr="002114B7" w:rsidRDefault="000D041D" w:rsidP="002867AE">
      <w:pPr>
        <w:spacing w:after="0" w:line="360" w:lineRule="auto"/>
        <w:rPr>
          <w:rFonts w:ascii="Arial" w:hAnsi="Arial" w:cs="Arial"/>
        </w:rPr>
      </w:pPr>
      <w:r w:rsidRPr="002114B7">
        <w:rPr>
          <w:rFonts w:ascii="Arial" w:hAnsi="Arial" w:cs="Arial"/>
        </w:rPr>
        <w:t>“</w:t>
      </w:r>
      <w:r w:rsidRPr="002114B7">
        <w:rPr>
          <w:rFonts w:ascii="Arial" w:hAnsi="Arial" w:cs="Arial"/>
          <w:i/>
        </w:rPr>
        <w:t>Under-represented groups across higher education include students from less advantaged backgrounds, students with disabilities, students from some minority ethnic groups, and care leavers. The government also wants to support those who which to study part-time in higher education, and mature students</w:t>
      </w:r>
      <w:r w:rsidR="00253000" w:rsidRPr="002114B7">
        <w:rPr>
          <w:rFonts w:ascii="Arial" w:hAnsi="Arial" w:cs="Arial"/>
        </w:rPr>
        <w:t>.” (Department for Business, Innovation and Skills, 2011</w:t>
      </w:r>
      <w:r w:rsidRPr="002114B7">
        <w:rPr>
          <w:rFonts w:ascii="Arial" w:hAnsi="Arial" w:cs="Arial"/>
        </w:rPr>
        <w:t xml:space="preserve"> p</w:t>
      </w:r>
      <w:r w:rsidR="00253000" w:rsidRPr="002114B7">
        <w:rPr>
          <w:rFonts w:ascii="Arial" w:hAnsi="Arial" w:cs="Arial"/>
        </w:rPr>
        <w:t>ara</w:t>
      </w:r>
      <w:r w:rsidRPr="002114B7">
        <w:rPr>
          <w:rFonts w:ascii="Arial" w:hAnsi="Arial" w:cs="Arial"/>
        </w:rPr>
        <w:t>.1</w:t>
      </w:r>
      <w:r w:rsidR="00253000" w:rsidRPr="002114B7">
        <w:rPr>
          <w:rFonts w:ascii="Arial" w:hAnsi="Arial" w:cs="Arial"/>
        </w:rPr>
        <w:t>.5</w:t>
      </w:r>
      <w:r w:rsidRPr="002114B7">
        <w:rPr>
          <w:rFonts w:ascii="Arial" w:hAnsi="Arial" w:cs="Arial"/>
        </w:rPr>
        <w:t>)</w:t>
      </w:r>
    </w:p>
    <w:p w:rsidR="000D041D" w:rsidRPr="002114B7" w:rsidRDefault="000D041D" w:rsidP="002867AE">
      <w:pPr>
        <w:spacing w:after="0" w:line="360" w:lineRule="auto"/>
        <w:rPr>
          <w:rFonts w:ascii="Arial" w:hAnsi="Arial" w:cs="Arial"/>
        </w:rPr>
      </w:pPr>
    </w:p>
    <w:p w:rsidR="00241B15" w:rsidRPr="002114B7" w:rsidRDefault="00241B15" w:rsidP="002867AE">
      <w:pPr>
        <w:spacing w:after="0" w:line="360" w:lineRule="auto"/>
        <w:rPr>
          <w:rFonts w:ascii="Arial" w:hAnsi="Arial" w:cs="Arial"/>
        </w:rPr>
      </w:pPr>
      <w:r w:rsidRPr="002114B7">
        <w:rPr>
          <w:rFonts w:ascii="Arial" w:hAnsi="Arial" w:cs="Arial"/>
        </w:rPr>
        <w:t xml:space="preserve">We can further illustrate </w:t>
      </w:r>
      <w:r w:rsidR="00A30E53">
        <w:rPr>
          <w:rFonts w:ascii="Arial" w:hAnsi="Arial" w:cs="Arial"/>
        </w:rPr>
        <w:t xml:space="preserve">this </w:t>
      </w:r>
      <w:r w:rsidRPr="002114B7">
        <w:rPr>
          <w:rFonts w:ascii="Arial" w:hAnsi="Arial" w:cs="Arial"/>
        </w:rPr>
        <w:t xml:space="preserve">heterogeneity if we take the first of these target groups as an example. ‘Less advantaged backgrounds’ has at times been interpreted by </w:t>
      </w:r>
      <w:r w:rsidR="00321EAE" w:rsidRPr="002114B7">
        <w:rPr>
          <w:rFonts w:ascii="Arial" w:hAnsi="Arial" w:cs="Arial"/>
        </w:rPr>
        <w:t xml:space="preserve">UK </w:t>
      </w:r>
      <w:r w:rsidRPr="002114B7">
        <w:rPr>
          <w:rFonts w:ascii="Arial" w:hAnsi="Arial" w:cs="Arial"/>
        </w:rPr>
        <w:t>government</w:t>
      </w:r>
      <w:r w:rsidR="00321EAE" w:rsidRPr="002114B7">
        <w:rPr>
          <w:rFonts w:ascii="Arial" w:hAnsi="Arial" w:cs="Arial"/>
        </w:rPr>
        <w:t>s</w:t>
      </w:r>
      <w:r w:rsidRPr="002114B7">
        <w:rPr>
          <w:rFonts w:ascii="Arial" w:hAnsi="Arial" w:cs="Arial"/>
        </w:rPr>
        <w:t xml:space="preserve"> and HEIs as </w:t>
      </w:r>
      <w:r w:rsidR="00062D23" w:rsidRPr="002114B7">
        <w:rPr>
          <w:rFonts w:ascii="Arial" w:hAnsi="Arial" w:cs="Arial"/>
        </w:rPr>
        <w:t xml:space="preserve">encompassing potential students </w:t>
      </w:r>
      <w:r w:rsidRPr="002114B7">
        <w:rPr>
          <w:rFonts w:ascii="Arial" w:hAnsi="Arial" w:cs="Arial"/>
        </w:rPr>
        <w:t>from</w:t>
      </w:r>
      <w:r w:rsidR="00C65B69" w:rsidRPr="002114B7">
        <w:rPr>
          <w:rFonts w:ascii="Arial" w:hAnsi="Arial" w:cs="Arial"/>
        </w:rPr>
        <w:t>:</w:t>
      </w:r>
      <w:r w:rsidRPr="002114B7">
        <w:rPr>
          <w:rFonts w:ascii="Arial" w:hAnsi="Arial" w:cs="Arial"/>
        </w:rPr>
        <w:t xml:space="preserve"> lower socio-economic group</w:t>
      </w:r>
      <w:r w:rsidR="00062D23" w:rsidRPr="002114B7">
        <w:rPr>
          <w:rFonts w:ascii="Arial" w:hAnsi="Arial" w:cs="Arial"/>
        </w:rPr>
        <w:t>s</w:t>
      </w:r>
      <w:r w:rsidR="00C65B69" w:rsidRPr="002114B7">
        <w:rPr>
          <w:rFonts w:ascii="Arial" w:hAnsi="Arial" w:cs="Arial"/>
        </w:rPr>
        <w:t>;</w:t>
      </w:r>
      <w:r w:rsidRPr="002114B7">
        <w:rPr>
          <w:rFonts w:ascii="Arial" w:hAnsi="Arial" w:cs="Arial"/>
        </w:rPr>
        <w:t xml:space="preserve"> low income </w:t>
      </w:r>
      <w:r w:rsidR="00C65B69" w:rsidRPr="002114B7">
        <w:rPr>
          <w:rFonts w:ascii="Arial" w:hAnsi="Arial" w:cs="Arial"/>
        </w:rPr>
        <w:t>households;</w:t>
      </w:r>
      <w:r w:rsidR="00062D23" w:rsidRPr="002114B7">
        <w:rPr>
          <w:rFonts w:ascii="Arial" w:hAnsi="Arial" w:cs="Arial"/>
        </w:rPr>
        <w:t xml:space="preserve"> low participation neighbourhoods</w:t>
      </w:r>
      <w:r w:rsidR="00C65B69" w:rsidRPr="002114B7">
        <w:rPr>
          <w:rFonts w:ascii="Arial" w:hAnsi="Arial" w:cs="Arial"/>
        </w:rPr>
        <w:t>;</w:t>
      </w:r>
      <w:r w:rsidR="00062D23" w:rsidRPr="002114B7">
        <w:rPr>
          <w:rFonts w:ascii="Arial" w:hAnsi="Arial" w:cs="Arial"/>
        </w:rPr>
        <w:t xml:space="preserve"> first generation entrants</w:t>
      </w:r>
      <w:r w:rsidR="00C65B69" w:rsidRPr="002114B7">
        <w:rPr>
          <w:rFonts w:ascii="Arial" w:hAnsi="Arial" w:cs="Arial"/>
        </w:rPr>
        <w:t xml:space="preserve"> and</w:t>
      </w:r>
      <w:r w:rsidR="00062D23" w:rsidRPr="002114B7">
        <w:rPr>
          <w:rFonts w:ascii="Arial" w:hAnsi="Arial" w:cs="Arial"/>
        </w:rPr>
        <w:t xml:space="preserve"> more widely </w:t>
      </w:r>
      <w:r w:rsidR="00C65B69" w:rsidRPr="002114B7">
        <w:rPr>
          <w:rFonts w:ascii="Arial" w:hAnsi="Arial" w:cs="Arial"/>
        </w:rPr>
        <w:t xml:space="preserve">all </w:t>
      </w:r>
      <w:r w:rsidR="00062D23" w:rsidRPr="002114B7">
        <w:rPr>
          <w:rFonts w:ascii="Arial" w:hAnsi="Arial" w:cs="Arial"/>
        </w:rPr>
        <w:t>those from state schools</w:t>
      </w:r>
      <w:r w:rsidR="000673E4" w:rsidRPr="002114B7">
        <w:rPr>
          <w:rFonts w:ascii="Arial" w:hAnsi="Arial" w:cs="Arial"/>
        </w:rPr>
        <w:t xml:space="preserve"> (the latter comprising 93% of the total UK population!)</w:t>
      </w:r>
      <w:r w:rsidR="00062D23" w:rsidRPr="002114B7">
        <w:rPr>
          <w:rFonts w:ascii="Arial" w:hAnsi="Arial" w:cs="Arial"/>
        </w:rPr>
        <w:t>.</w:t>
      </w:r>
      <w:r w:rsidRPr="002114B7">
        <w:rPr>
          <w:rFonts w:ascii="Arial" w:hAnsi="Arial" w:cs="Arial"/>
        </w:rPr>
        <w:t xml:space="preserve"> </w:t>
      </w:r>
      <w:r w:rsidR="00062D23" w:rsidRPr="002114B7">
        <w:rPr>
          <w:rFonts w:ascii="Arial" w:hAnsi="Arial" w:cs="Arial"/>
        </w:rPr>
        <w:t>Th</w:t>
      </w:r>
      <w:r w:rsidR="00321EAE" w:rsidRPr="002114B7">
        <w:rPr>
          <w:rFonts w:ascii="Arial" w:hAnsi="Arial" w:cs="Arial"/>
        </w:rPr>
        <w:t>u</w:t>
      </w:r>
      <w:r w:rsidR="00062D23" w:rsidRPr="002114B7">
        <w:rPr>
          <w:rFonts w:ascii="Arial" w:hAnsi="Arial" w:cs="Arial"/>
        </w:rPr>
        <w:t xml:space="preserve">s even within a single target group, individuals </w:t>
      </w:r>
      <w:r w:rsidR="000673E4" w:rsidRPr="002114B7">
        <w:rPr>
          <w:rFonts w:ascii="Arial" w:hAnsi="Arial" w:cs="Arial"/>
        </w:rPr>
        <w:t>are likely to</w:t>
      </w:r>
      <w:r w:rsidR="00062D23" w:rsidRPr="002114B7">
        <w:rPr>
          <w:rFonts w:ascii="Arial" w:hAnsi="Arial" w:cs="Arial"/>
        </w:rPr>
        <w:t xml:space="preserve"> have diverse economic and social characteristics, </w:t>
      </w:r>
      <w:r w:rsidR="005C4EE0" w:rsidRPr="002114B7">
        <w:rPr>
          <w:rFonts w:ascii="Arial" w:hAnsi="Arial" w:cs="Arial"/>
        </w:rPr>
        <w:t xml:space="preserve">and </w:t>
      </w:r>
      <w:r w:rsidR="00062D23" w:rsidRPr="002114B7">
        <w:rPr>
          <w:rFonts w:ascii="Arial" w:hAnsi="Arial" w:cs="Arial"/>
        </w:rPr>
        <w:t xml:space="preserve">a </w:t>
      </w:r>
      <w:r w:rsidR="005C4EE0" w:rsidRPr="002114B7">
        <w:rPr>
          <w:rFonts w:ascii="Arial" w:hAnsi="Arial" w:cs="Arial"/>
        </w:rPr>
        <w:t xml:space="preserve">wide </w:t>
      </w:r>
      <w:r w:rsidR="00062D23" w:rsidRPr="002114B7">
        <w:rPr>
          <w:rFonts w:ascii="Arial" w:hAnsi="Arial" w:cs="Arial"/>
        </w:rPr>
        <w:t>range of identities</w:t>
      </w:r>
      <w:r w:rsidR="005C4EE0" w:rsidRPr="002114B7">
        <w:rPr>
          <w:rFonts w:ascii="Arial" w:hAnsi="Arial" w:cs="Arial"/>
        </w:rPr>
        <w:t>,</w:t>
      </w:r>
      <w:r w:rsidR="00062D23" w:rsidRPr="002114B7">
        <w:rPr>
          <w:rFonts w:ascii="Arial" w:hAnsi="Arial" w:cs="Arial"/>
        </w:rPr>
        <w:t xml:space="preserve"> experiences and backgrounds</w:t>
      </w:r>
      <w:r w:rsidR="00321EAE" w:rsidRPr="002114B7">
        <w:rPr>
          <w:rFonts w:ascii="Arial" w:hAnsi="Arial" w:cs="Arial"/>
        </w:rPr>
        <w:t xml:space="preserve"> (Moore et al., 2013)</w:t>
      </w:r>
      <w:r w:rsidR="00062D23" w:rsidRPr="002114B7">
        <w:rPr>
          <w:rFonts w:ascii="Arial" w:hAnsi="Arial" w:cs="Arial"/>
        </w:rPr>
        <w:t xml:space="preserve">.  </w:t>
      </w:r>
    </w:p>
    <w:p w:rsidR="00321EAE" w:rsidRPr="002114B7" w:rsidRDefault="00321EAE" w:rsidP="002867AE">
      <w:pPr>
        <w:spacing w:after="0" w:line="360" w:lineRule="auto"/>
        <w:rPr>
          <w:rFonts w:ascii="Arial" w:hAnsi="Arial" w:cs="Arial"/>
        </w:rPr>
      </w:pPr>
    </w:p>
    <w:p w:rsidR="009202D8" w:rsidRPr="002114B7" w:rsidRDefault="005C204F" w:rsidP="002867AE">
      <w:pPr>
        <w:spacing w:after="0" w:line="360" w:lineRule="auto"/>
        <w:rPr>
          <w:rFonts w:ascii="Arial" w:hAnsi="Arial" w:cs="Arial"/>
        </w:rPr>
      </w:pPr>
      <w:r w:rsidRPr="002114B7">
        <w:rPr>
          <w:rFonts w:ascii="Arial" w:hAnsi="Arial" w:cs="Arial"/>
        </w:rPr>
        <w:t xml:space="preserve">We now turn to consider the diversity of </w:t>
      </w:r>
      <w:proofErr w:type="gramStart"/>
      <w:r w:rsidRPr="002114B7">
        <w:rPr>
          <w:rFonts w:ascii="Arial" w:hAnsi="Arial" w:cs="Arial"/>
        </w:rPr>
        <w:t>HE</w:t>
      </w:r>
      <w:proofErr w:type="gramEnd"/>
      <w:r w:rsidRPr="002114B7">
        <w:rPr>
          <w:rFonts w:ascii="Arial" w:hAnsi="Arial" w:cs="Arial"/>
        </w:rPr>
        <w:t xml:space="preserve"> providers in the UK. As the </w:t>
      </w:r>
      <w:r w:rsidR="00B06504" w:rsidRPr="002114B7">
        <w:rPr>
          <w:rFonts w:ascii="Arial" w:hAnsi="Arial" w:cs="Arial"/>
        </w:rPr>
        <w:t xml:space="preserve">Office for Fair Access (OFFA) (2010) and the </w:t>
      </w:r>
      <w:r w:rsidR="00B60125" w:rsidRPr="002114B7">
        <w:rPr>
          <w:rFonts w:ascii="Arial" w:hAnsi="Arial" w:cs="Arial"/>
        </w:rPr>
        <w:t>Independent Reviewer of Social Mobility and Child Poverty</w:t>
      </w:r>
      <w:r w:rsidRPr="002114B7">
        <w:rPr>
          <w:rFonts w:ascii="Arial" w:hAnsi="Arial" w:cs="Arial"/>
        </w:rPr>
        <w:t xml:space="preserve"> (</w:t>
      </w:r>
      <w:r w:rsidR="00B06504" w:rsidRPr="002114B7">
        <w:rPr>
          <w:rFonts w:ascii="Arial" w:hAnsi="Arial" w:cs="Arial"/>
        </w:rPr>
        <w:t>2012</w:t>
      </w:r>
      <w:r w:rsidRPr="002114B7">
        <w:rPr>
          <w:rFonts w:ascii="Arial" w:hAnsi="Arial" w:cs="Arial"/>
        </w:rPr>
        <w:t>)</w:t>
      </w:r>
      <w:r w:rsidR="00C65B69" w:rsidRPr="002114B7">
        <w:rPr>
          <w:rFonts w:ascii="Arial" w:hAnsi="Arial" w:cs="Arial"/>
        </w:rPr>
        <w:t xml:space="preserve"> have</w:t>
      </w:r>
      <w:r w:rsidR="00B06504" w:rsidRPr="002114B7">
        <w:rPr>
          <w:rFonts w:ascii="Arial" w:hAnsi="Arial" w:cs="Arial"/>
        </w:rPr>
        <w:t xml:space="preserve"> reported, the intake to the most academically selective UK HEIs, members of the Russell Group of universities, is typically more socially advantaged than would be expected given the social profile of those achieving the required entry grades. Indeed</w:t>
      </w:r>
      <w:r w:rsidR="00C65B69" w:rsidRPr="002114B7">
        <w:rPr>
          <w:rFonts w:ascii="Arial" w:hAnsi="Arial" w:cs="Arial"/>
        </w:rPr>
        <w:t>,</w:t>
      </w:r>
      <w:r w:rsidR="00B06504" w:rsidRPr="002114B7">
        <w:rPr>
          <w:rFonts w:ascii="Arial" w:hAnsi="Arial" w:cs="Arial"/>
        </w:rPr>
        <w:t xml:space="preserve"> the SMCPC’s (2013</w:t>
      </w:r>
      <w:r w:rsidR="00EE74FB" w:rsidRPr="002114B7">
        <w:rPr>
          <w:rFonts w:ascii="Arial" w:hAnsi="Arial" w:cs="Arial"/>
        </w:rPr>
        <w:t>a</w:t>
      </w:r>
      <w:r w:rsidR="00B06504" w:rsidRPr="002114B7">
        <w:rPr>
          <w:rFonts w:ascii="Arial" w:hAnsi="Arial" w:cs="Arial"/>
        </w:rPr>
        <w:t>) analysis suggests that the intake into most academically selective universities in the UK became less socially representative in the decade from 2002.</w:t>
      </w:r>
      <w:r w:rsidR="00CB65AA" w:rsidRPr="002114B7">
        <w:rPr>
          <w:rFonts w:ascii="Arial" w:hAnsi="Arial" w:cs="Arial"/>
        </w:rPr>
        <w:t xml:space="preserve"> The </w:t>
      </w:r>
      <w:r w:rsidR="00C65B69" w:rsidRPr="002114B7">
        <w:rPr>
          <w:rFonts w:ascii="Arial" w:hAnsi="Arial" w:cs="Arial"/>
        </w:rPr>
        <w:t xml:space="preserve">possible </w:t>
      </w:r>
      <w:r w:rsidR="00CB65AA" w:rsidRPr="002114B7">
        <w:rPr>
          <w:rFonts w:ascii="Arial" w:hAnsi="Arial" w:cs="Arial"/>
        </w:rPr>
        <w:t xml:space="preserve">causes of these persisting inequalities have been much debated (summarised in </w:t>
      </w:r>
      <w:proofErr w:type="spellStart"/>
      <w:r w:rsidR="00CB65AA" w:rsidRPr="002114B7">
        <w:rPr>
          <w:rFonts w:ascii="Arial" w:hAnsi="Arial" w:cs="Arial"/>
        </w:rPr>
        <w:t>Boliver</w:t>
      </w:r>
      <w:proofErr w:type="spellEnd"/>
      <w:r w:rsidR="00CB65AA" w:rsidRPr="002114B7">
        <w:rPr>
          <w:rFonts w:ascii="Arial" w:hAnsi="Arial" w:cs="Arial"/>
        </w:rPr>
        <w:t xml:space="preserve">, 2013), but our concern in this chapter is with the consequences rather than the </w:t>
      </w:r>
      <w:r w:rsidR="00CB65AA" w:rsidRPr="002114B7">
        <w:rPr>
          <w:rFonts w:ascii="Arial" w:hAnsi="Arial" w:cs="Arial"/>
        </w:rPr>
        <w:lastRenderedPageBreak/>
        <w:t>cause</w:t>
      </w:r>
      <w:r w:rsidR="000705FF" w:rsidRPr="002114B7">
        <w:rPr>
          <w:rFonts w:ascii="Arial" w:hAnsi="Arial" w:cs="Arial"/>
        </w:rPr>
        <w:t>s</w:t>
      </w:r>
      <w:r w:rsidR="00CB65AA" w:rsidRPr="002114B7">
        <w:rPr>
          <w:rFonts w:ascii="Arial" w:hAnsi="Arial" w:cs="Arial"/>
        </w:rPr>
        <w:t>.</w:t>
      </w:r>
      <w:r w:rsidR="00B06504" w:rsidRPr="002114B7">
        <w:rPr>
          <w:rFonts w:ascii="Arial" w:hAnsi="Arial" w:cs="Arial"/>
        </w:rPr>
        <w:t xml:space="preserve"> </w:t>
      </w:r>
      <w:r w:rsidR="000705FF" w:rsidRPr="002114B7">
        <w:rPr>
          <w:rFonts w:ascii="Arial" w:hAnsi="Arial" w:cs="Arial"/>
        </w:rPr>
        <w:t>A</w:t>
      </w:r>
      <w:r w:rsidR="009202D8" w:rsidRPr="002114B7">
        <w:rPr>
          <w:rFonts w:ascii="Arial" w:hAnsi="Arial" w:cs="Arial"/>
        </w:rPr>
        <w:t>s Brown (2014) cogently argues, the widening participation debate and government policy in the UK has too often focused on student recruitment, to the neglect of a consideration of student outcomes. It is to those outcomes that our analysis now turns.</w:t>
      </w:r>
    </w:p>
    <w:p w:rsidR="009202D8" w:rsidRPr="002114B7" w:rsidRDefault="009202D8" w:rsidP="002867AE">
      <w:pPr>
        <w:spacing w:after="0" w:line="360" w:lineRule="auto"/>
        <w:rPr>
          <w:rFonts w:ascii="Arial" w:hAnsi="Arial" w:cs="Arial"/>
        </w:rPr>
      </w:pPr>
    </w:p>
    <w:p w:rsidR="009202D8" w:rsidRPr="002114B7" w:rsidRDefault="009202D8" w:rsidP="002867AE">
      <w:pPr>
        <w:spacing w:after="0" w:line="360" w:lineRule="auto"/>
        <w:rPr>
          <w:rFonts w:ascii="Arial" w:hAnsi="Arial" w:cs="Arial"/>
          <w:b/>
        </w:rPr>
      </w:pPr>
      <w:r w:rsidRPr="002114B7">
        <w:rPr>
          <w:rFonts w:ascii="Arial" w:hAnsi="Arial" w:cs="Arial"/>
          <w:b/>
        </w:rPr>
        <w:t>The Potential Economic and Social Benefits of Widening Participation</w:t>
      </w:r>
    </w:p>
    <w:p w:rsidR="009202D8" w:rsidRPr="002114B7" w:rsidRDefault="009202D8" w:rsidP="002867AE">
      <w:pPr>
        <w:spacing w:after="0" w:line="360" w:lineRule="auto"/>
        <w:rPr>
          <w:rFonts w:ascii="Arial" w:hAnsi="Arial" w:cs="Arial"/>
        </w:rPr>
      </w:pPr>
    </w:p>
    <w:p w:rsidR="00157496" w:rsidRPr="002114B7" w:rsidRDefault="005C4EE0" w:rsidP="002867AE">
      <w:pPr>
        <w:spacing w:after="0" w:line="360" w:lineRule="auto"/>
        <w:rPr>
          <w:rFonts w:ascii="Arial" w:hAnsi="Arial" w:cs="Arial"/>
        </w:rPr>
      </w:pPr>
      <w:r w:rsidRPr="002114B7">
        <w:rPr>
          <w:rFonts w:ascii="Arial" w:hAnsi="Arial" w:cs="Arial"/>
        </w:rPr>
        <w:t>Governments, providers and researchers have claimed that there is a wide range of potential economic and social benefits accruing from attending an HEI and completing tertiary level qualifications. These potential benefits can be analysed at the national, exchequer or individual level</w:t>
      </w:r>
      <w:r w:rsidR="00157496" w:rsidRPr="002114B7">
        <w:rPr>
          <w:rFonts w:ascii="Arial" w:hAnsi="Arial" w:cs="Arial"/>
        </w:rPr>
        <w:t xml:space="preserve"> and here we concentrate upon the first and last of these levels</w:t>
      </w:r>
      <w:r w:rsidR="001C55D3" w:rsidRPr="002114B7">
        <w:rPr>
          <w:rFonts w:ascii="Arial" w:hAnsi="Arial" w:cs="Arial"/>
        </w:rPr>
        <w:t xml:space="preserve"> (see Million Plus, 2013 for an analysis at the exchequer level)</w:t>
      </w:r>
      <w:r w:rsidR="00157496" w:rsidRPr="002114B7">
        <w:rPr>
          <w:rFonts w:ascii="Arial" w:hAnsi="Arial" w:cs="Arial"/>
        </w:rPr>
        <w:t>.</w:t>
      </w:r>
    </w:p>
    <w:p w:rsidR="00157496" w:rsidRPr="002114B7" w:rsidRDefault="00157496" w:rsidP="002867AE">
      <w:pPr>
        <w:spacing w:after="0" w:line="360" w:lineRule="auto"/>
        <w:rPr>
          <w:rFonts w:ascii="Arial" w:hAnsi="Arial" w:cs="Arial"/>
        </w:rPr>
      </w:pPr>
    </w:p>
    <w:p w:rsidR="003676C5" w:rsidRPr="002114B7" w:rsidRDefault="00157496" w:rsidP="00DB3BE4">
      <w:pPr>
        <w:spacing w:after="0" w:line="360" w:lineRule="auto"/>
        <w:rPr>
          <w:rFonts w:ascii="Arial" w:hAnsi="Arial" w:cs="Arial"/>
        </w:rPr>
      </w:pPr>
      <w:r w:rsidRPr="002114B7">
        <w:rPr>
          <w:rFonts w:ascii="Arial" w:hAnsi="Arial" w:cs="Arial"/>
        </w:rPr>
        <w:t>Economists have argued that an increasing proportion of graduates in the national labour force results in faster productivity growth</w:t>
      </w:r>
      <w:r w:rsidR="005C4EE0" w:rsidRPr="002114B7">
        <w:rPr>
          <w:rFonts w:ascii="Arial" w:hAnsi="Arial" w:cs="Arial"/>
        </w:rPr>
        <w:t xml:space="preserve"> </w:t>
      </w:r>
      <w:r w:rsidRPr="002114B7">
        <w:rPr>
          <w:rFonts w:ascii="Arial" w:hAnsi="Arial" w:cs="Arial"/>
        </w:rPr>
        <w:t>and hence faster economic growth. The former results not only from the benefits of a more knowledgeable workforce, the effect of augmen</w:t>
      </w:r>
      <w:r w:rsidR="00DB3BE4" w:rsidRPr="002114B7">
        <w:rPr>
          <w:rFonts w:ascii="Arial" w:hAnsi="Arial" w:cs="Arial"/>
        </w:rPr>
        <w:t>ted human capital</w:t>
      </w:r>
      <w:r w:rsidRPr="002114B7">
        <w:rPr>
          <w:rFonts w:ascii="Arial" w:hAnsi="Arial" w:cs="Arial"/>
        </w:rPr>
        <w:t xml:space="preserve"> but </w:t>
      </w:r>
      <w:r w:rsidR="003676C5" w:rsidRPr="002114B7">
        <w:rPr>
          <w:rFonts w:ascii="Arial" w:hAnsi="Arial" w:cs="Arial"/>
        </w:rPr>
        <w:t>also</w:t>
      </w:r>
      <w:r w:rsidR="000673E4" w:rsidRPr="002114B7">
        <w:rPr>
          <w:rFonts w:ascii="Arial" w:hAnsi="Arial" w:cs="Arial"/>
        </w:rPr>
        <w:t xml:space="preserve"> from,</w:t>
      </w:r>
      <w:r w:rsidR="003676C5" w:rsidRPr="002114B7">
        <w:rPr>
          <w:rFonts w:ascii="Arial" w:hAnsi="Arial" w:cs="Arial"/>
        </w:rPr>
        <w:t xml:space="preserve"> as </w:t>
      </w:r>
      <w:r w:rsidRPr="002114B7">
        <w:rPr>
          <w:rFonts w:ascii="Arial" w:hAnsi="Arial" w:cs="Arial"/>
        </w:rPr>
        <w:t>New Growth Theory emphasises</w:t>
      </w:r>
      <w:r w:rsidR="000673E4" w:rsidRPr="002114B7">
        <w:rPr>
          <w:rFonts w:ascii="Arial" w:hAnsi="Arial" w:cs="Arial"/>
        </w:rPr>
        <w:t>,</w:t>
      </w:r>
      <w:r w:rsidRPr="002114B7">
        <w:rPr>
          <w:rFonts w:ascii="Arial" w:hAnsi="Arial" w:cs="Arial"/>
        </w:rPr>
        <w:t xml:space="preserve"> the crucial role of the faster innovation and technology transfer resulting from a more educated workforce. </w:t>
      </w:r>
      <w:r w:rsidR="003676C5" w:rsidRPr="002114B7">
        <w:rPr>
          <w:rFonts w:ascii="Arial" w:hAnsi="Arial" w:cs="Arial"/>
        </w:rPr>
        <w:t xml:space="preserve">In addition, it has been claimed that a more educated workforce leads to a higher </w:t>
      </w:r>
      <w:r w:rsidR="00D104E9" w:rsidRPr="002114B7">
        <w:rPr>
          <w:rFonts w:ascii="Arial" w:hAnsi="Arial" w:cs="Arial"/>
        </w:rPr>
        <w:t xml:space="preserve">labour force </w:t>
      </w:r>
      <w:r w:rsidR="003676C5" w:rsidRPr="002114B7">
        <w:rPr>
          <w:rFonts w:ascii="Arial" w:hAnsi="Arial" w:cs="Arial"/>
        </w:rPr>
        <w:t xml:space="preserve">participation </w:t>
      </w:r>
      <w:r w:rsidR="00DB3BE4" w:rsidRPr="002114B7">
        <w:rPr>
          <w:rFonts w:ascii="Arial" w:hAnsi="Arial" w:cs="Arial"/>
        </w:rPr>
        <w:t>rate and lower unemployment</w:t>
      </w:r>
      <w:r w:rsidR="000673E4" w:rsidRPr="002114B7">
        <w:rPr>
          <w:rFonts w:ascii="Arial" w:hAnsi="Arial" w:cs="Arial"/>
        </w:rPr>
        <w:t>,</w:t>
      </w:r>
      <w:r w:rsidR="00DB3BE4" w:rsidRPr="002114B7">
        <w:rPr>
          <w:rFonts w:ascii="Arial" w:hAnsi="Arial" w:cs="Arial"/>
        </w:rPr>
        <w:t xml:space="preserve"> which</w:t>
      </w:r>
      <w:r w:rsidR="003676C5" w:rsidRPr="002114B7">
        <w:rPr>
          <w:rFonts w:ascii="Arial" w:hAnsi="Arial" w:cs="Arial"/>
        </w:rPr>
        <w:t xml:space="preserve"> again directly </w:t>
      </w:r>
      <w:r w:rsidR="00DB3BE4" w:rsidRPr="002114B7">
        <w:rPr>
          <w:rFonts w:ascii="Arial" w:hAnsi="Arial" w:cs="Arial"/>
        </w:rPr>
        <w:t>raises economic growth</w:t>
      </w:r>
      <w:r w:rsidR="00AD0F70" w:rsidRPr="002114B7">
        <w:rPr>
          <w:rFonts w:ascii="Arial" w:hAnsi="Arial" w:cs="Arial"/>
        </w:rPr>
        <w:t xml:space="preserve"> (Machin and </w:t>
      </w:r>
      <w:proofErr w:type="spellStart"/>
      <w:r w:rsidR="00AD0F70" w:rsidRPr="002114B7">
        <w:rPr>
          <w:rFonts w:ascii="Arial" w:hAnsi="Arial" w:cs="Arial"/>
        </w:rPr>
        <w:t>Vignoles</w:t>
      </w:r>
      <w:proofErr w:type="spellEnd"/>
      <w:r w:rsidR="00AD0F70" w:rsidRPr="002114B7">
        <w:rPr>
          <w:rFonts w:ascii="Arial" w:hAnsi="Arial" w:cs="Arial"/>
        </w:rPr>
        <w:t>, 2005)</w:t>
      </w:r>
      <w:r w:rsidR="00DB3BE4" w:rsidRPr="002114B7">
        <w:rPr>
          <w:rFonts w:ascii="Arial" w:hAnsi="Arial" w:cs="Arial"/>
        </w:rPr>
        <w:t>. Moreover, a more educated workforce is likely to be more occupationally and geographically mobile and reduces labour market mismatch resulting from the decline in low-skilled employment opportunities.</w:t>
      </w:r>
      <w:r w:rsidR="000E1186" w:rsidRPr="002114B7">
        <w:rPr>
          <w:rFonts w:ascii="Arial" w:hAnsi="Arial" w:cs="Arial"/>
        </w:rPr>
        <w:t xml:space="preserve"> Moreover, it has </w:t>
      </w:r>
      <w:r w:rsidR="000673E4" w:rsidRPr="002114B7">
        <w:rPr>
          <w:rFonts w:ascii="Arial" w:hAnsi="Arial" w:cs="Arial"/>
        </w:rPr>
        <w:t xml:space="preserve">been </w:t>
      </w:r>
      <w:r w:rsidR="000E1186" w:rsidRPr="002114B7">
        <w:rPr>
          <w:rFonts w:ascii="Arial" w:hAnsi="Arial" w:cs="Arial"/>
        </w:rPr>
        <w:t xml:space="preserve">claimed that graduates are not only more likely to receive further training, they also create </w:t>
      </w:r>
      <w:proofErr w:type="spellStart"/>
      <w:r w:rsidR="000E1186" w:rsidRPr="002114B7">
        <w:rPr>
          <w:rFonts w:ascii="Arial" w:hAnsi="Arial" w:cs="Arial"/>
        </w:rPr>
        <w:t>spillover</w:t>
      </w:r>
      <w:proofErr w:type="spellEnd"/>
      <w:r w:rsidR="000E1186" w:rsidRPr="002114B7">
        <w:rPr>
          <w:rFonts w:ascii="Arial" w:hAnsi="Arial" w:cs="Arial"/>
        </w:rPr>
        <w:t xml:space="preserve"> effects</w:t>
      </w:r>
      <w:r w:rsidR="004A3896" w:rsidRPr="002114B7">
        <w:rPr>
          <w:rFonts w:ascii="Arial" w:hAnsi="Arial" w:cs="Arial"/>
        </w:rPr>
        <w:t xml:space="preserve"> whereby the productivity of their fellow workers is enhanced by imitation and leading by example (Million Plus, 2013). </w:t>
      </w:r>
      <w:r w:rsidR="000E1186" w:rsidRPr="002114B7">
        <w:rPr>
          <w:rFonts w:ascii="Arial" w:hAnsi="Arial" w:cs="Arial"/>
        </w:rPr>
        <w:t xml:space="preserve">  </w:t>
      </w:r>
      <w:r w:rsidR="00DB3BE4" w:rsidRPr="002114B7">
        <w:rPr>
          <w:rFonts w:ascii="Arial" w:hAnsi="Arial" w:cs="Arial"/>
        </w:rPr>
        <w:t xml:space="preserve"> </w:t>
      </w:r>
    </w:p>
    <w:p w:rsidR="003676C5" w:rsidRPr="002114B7" w:rsidRDefault="003676C5" w:rsidP="00D104E9">
      <w:pPr>
        <w:spacing w:line="360" w:lineRule="auto"/>
        <w:rPr>
          <w:rFonts w:ascii="Arial" w:hAnsi="Arial" w:cs="Arial"/>
        </w:rPr>
      </w:pPr>
    </w:p>
    <w:p w:rsidR="00D104E9" w:rsidRPr="002114B7" w:rsidRDefault="00D104E9" w:rsidP="00D104E9">
      <w:pPr>
        <w:spacing w:line="360" w:lineRule="auto"/>
        <w:rPr>
          <w:rFonts w:ascii="Arial" w:hAnsi="Arial" w:cs="Arial"/>
        </w:rPr>
      </w:pPr>
      <w:r w:rsidRPr="002114B7">
        <w:rPr>
          <w:rFonts w:ascii="Arial" w:hAnsi="Arial" w:cs="Arial"/>
        </w:rPr>
        <w:t>At the individual level from the viewpoint of human capital theory (Becker, 197</w:t>
      </w:r>
      <w:r w:rsidR="007122C0" w:rsidRPr="002114B7">
        <w:rPr>
          <w:rFonts w:ascii="Arial" w:hAnsi="Arial" w:cs="Arial"/>
        </w:rPr>
        <w:t>5</w:t>
      </w:r>
      <w:r w:rsidRPr="002114B7">
        <w:rPr>
          <w:rFonts w:ascii="Arial" w:hAnsi="Arial" w:cs="Arial"/>
        </w:rPr>
        <w:t xml:space="preserve">), these </w:t>
      </w:r>
      <w:r w:rsidR="00B02838">
        <w:rPr>
          <w:rFonts w:ascii="Arial" w:hAnsi="Arial" w:cs="Arial"/>
        </w:rPr>
        <w:t xml:space="preserve">anticipated </w:t>
      </w:r>
      <w:r w:rsidRPr="002114B7">
        <w:rPr>
          <w:rFonts w:ascii="Arial" w:hAnsi="Arial" w:cs="Arial"/>
        </w:rPr>
        <w:t>economic benefits take the form of augmented lifetime earnings of graduates</w:t>
      </w:r>
      <w:r w:rsidR="00175294" w:rsidRPr="002114B7">
        <w:rPr>
          <w:rFonts w:ascii="Arial" w:hAnsi="Arial" w:cs="Arial"/>
        </w:rPr>
        <w:t xml:space="preserve"> (the ‘graduate premium’)</w:t>
      </w:r>
      <w:r w:rsidRPr="002114B7">
        <w:rPr>
          <w:rFonts w:ascii="Arial" w:hAnsi="Arial" w:cs="Arial"/>
        </w:rPr>
        <w:t xml:space="preserve">. This earning premium </w:t>
      </w:r>
      <w:r w:rsidR="00B02838">
        <w:rPr>
          <w:rFonts w:ascii="Arial" w:hAnsi="Arial" w:cs="Arial"/>
        </w:rPr>
        <w:t xml:space="preserve">comprises </w:t>
      </w:r>
      <w:r w:rsidRPr="002114B7">
        <w:rPr>
          <w:rFonts w:ascii="Arial" w:hAnsi="Arial" w:cs="Arial"/>
        </w:rPr>
        <w:t xml:space="preserve">of higher wages, reduced spells of unemployment and increased participation in the labour market.  </w:t>
      </w:r>
      <w:r w:rsidR="001C55D3" w:rsidRPr="002114B7">
        <w:rPr>
          <w:rFonts w:ascii="Arial" w:hAnsi="Arial" w:cs="Arial"/>
        </w:rPr>
        <w:t xml:space="preserve">In part these benefits reflect the perceived role of </w:t>
      </w:r>
      <w:proofErr w:type="gramStart"/>
      <w:r w:rsidR="001C55D3" w:rsidRPr="002114B7">
        <w:rPr>
          <w:rFonts w:ascii="Arial" w:hAnsi="Arial" w:cs="Arial"/>
        </w:rPr>
        <w:t>HE</w:t>
      </w:r>
      <w:proofErr w:type="gramEnd"/>
      <w:r w:rsidR="001C55D3" w:rsidRPr="002114B7">
        <w:rPr>
          <w:rFonts w:ascii="Arial" w:hAnsi="Arial" w:cs="Arial"/>
        </w:rPr>
        <w:t xml:space="preserve"> in fostering productivity-related characteristics such as greater self-confidence and self-esteem</w:t>
      </w:r>
      <w:r w:rsidR="000673E4" w:rsidRPr="002114B7">
        <w:rPr>
          <w:rFonts w:ascii="Arial" w:hAnsi="Arial" w:cs="Arial"/>
        </w:rPr>
        <w:t>,</w:t>
      </w:r>
      <w:r w:rsidR="001C55D3" w:rsidRPr="002114B7">
        <w:rPr>
          <w:rFonts w:ascii="Arial" w:hAnsi="Arial" w:cs="Arial"/>
        </w:rPr>
        <w:t xml:space="preserve"> rather than the direct returns to greater knowledge. </w:t>
      </w:r>
      <w:r w:rsidR="000673E4" w:rsidRPr="002114B7">
        <w:rPr>
          <w:rFonts w:ascii="Arial" w:hAnsi="Arial" w:cs="Arial"/>
        </w:rPr>
        <w:t>An alternative interpretation provided by the signalling approach is that HE merely acts a</w:t>
      </w:r>
      <w:r w:rsidR="00B02838">
        <w:rPr>
          <w:rFonts w:ascii="Arial" w:hAnsi="Arial" w:cs="Arial"/>
        </w:rPr>
        <w:t>s a</w:t>
      </w:r>
      <w:r w:rsidR="000673E4" w:rsidRPr="002114B7">
        <w:rPr>
          <w:rFonts w:ascii="Arial" w:hAnsi="Arial" w:cs="Arial"/>
        </w:rPr>
        <w:t xml:space="preserve"> s</w:t>
      </w:r>
      <w:r w:rsidR="00B02838">
        <w:rPr>
          <w:rFonts w:ascii="Arial" w:hAnsi="Arial" w:cs="Arial"/>
        </w:rPr>
        <w:t>creening</w:t>
      </w:r>
      <w:r w:rsidR="000673E4" w:rsidRPr="002114B7">
        <w:rPr>
          <w:rFonts w:ascii="Arial" w:hAnsi="Arial" w:cs="Arial"/>
        </w:rPr>
        <w:t xml:space="preserve"> device </w:t>
      </w:r>
      <w:r w:rsidR="00B02838">
        <w:rPr>
          <w:rFonts w:ascii="Arial" w:hAnsi="Arial" w:cs="Arial"/>
        </w:rPr>
        <w:t>for</w:t>
      </w:r>
      <w:r w:rsidR="001C51B7" w:rsidRPr="002114B7">
        <w:rPr>
          <w:rFonts w:ascii="Arial" w:hAnsi="Arial" w:cs="Arial"/>
        </w:rPr>
        <w:t xml:space="preserve"> employers </w:t>
      </w:r>
      <w:r w:rsidR="00B02838">
        <w:rPr>
          <w:rFonts w:ascii="Arial" w:hAnsi="Arial" w:cs="Arial"/>
        </w:rPr>
        <w:t>to identify</w:t>
      </w:r>
      <w:r w:rsidR="000673E4" w:rsidRPr="002114B7">
        <w:rPr>
          <w:rFonts w:ascii="Arial" w:hAnsi="Arial" w:cs="Arial"/>
        </w:rPr>
        <w:t xml:space="preserve"> the more able</w:t>
      </w:r>
      <w:r w:rsidR="001C51B7" w:rsidRPr="002114B7">
        <w:rPr>
          <w:rFonts w:ascii="Arial" w:hAnsi="Arial" w:cs="Arial"/>
        </w:rPr>
        <w:t xml:space="preserve"> applicants, since the less able find it too expensive in time, effort and money to gain the entry qualifications required by HEIs</w:t>
      </w:r>
      <w:r w:rsidR="000673E4" w:rsidRPr="002114B7">
        <w:rPr>
          <w:rFonts w:ascii="Arial" w:hAnsi="Arial" w:cs="Arial"/>
        </w:rPr>
        <w:t xml:space="preserve">. </w:t>
      </w:r>
      <w:r w:rsidR="00B02838">
        <w:rPr>
          <w:rFonts w:ascii="Arial" w:hAnsi="Arial" w:cs="Arial"/>
        </w:rPr>
        <w:t>Indeed</w:t>
      </w:r>
      <w:r w:rsidR="001C55D3" w:rsidRPr="002114B7">
        <w:rPr>
          <w:rFonts w:ascii="Arial" w:hAnsi="Arial" w:cs="Arial"/>
        </w:rPr>
        <w:t xml:space="preserve"> Ireland et al. (2009)</w:t>
      </w:r>
      <w:r w:rsidR="00B02838">
        <w:rPr>
          <w:rFonts w:ascii="Arial" w:hAnsi="Arial" w:cs="Arial"/>
        </w:rPr>
        <w:t>,</w:t>
      </w:r>
      <w:r w:rsidR="001C55D3" w:rsidRPr="002114B7">
        <w:rPr>
          <w:rFonts w:ascii="Arial" w:hAnsi="Arial" w:cs="Arial"/>
        </w:rPr>
        <w:t xml:space="preserve"> incorporating a signalling dimension in their analysis</w:t>
      </w:r>
      <w:r w:rsidR="00175294" w:rsidRPr="002114B7">
        <w:rPr>
          <w:rFonts w:ascii="Arial" w:hAnsi="Arial" w:cs="Arial"/>
        </w:rPr>
        <w:t xml:space="preserve">, take this </w:t>
      </w:r>
      <w:r w:rsidR="00175294" w:rsidRPr="002114B7">
        <w:rPr>
          <w:rFonts w:ascii="Arial" w:hAnsi="Arial" w:cs="Arial"/>
        </w:rPr>
        <w:lastRenderedPageBreak/>
        <w:t>argument a stage further to</w:t>
      </w:r>
      <w:r w:rsidR="001C55D3" w:rsidRPr="002114B7">
        <w:rPr>
          <w:rFonts w:ascii="Arial" w:hAnsi="Arial" w:cs="Arial"/>
        </w:rPr>
        <w:t xml:space="preserve"> suggest that an increase in the </w:t>
      </w:r>
      <w:r w:rsidR="00B02838">
        <w:rPr>
          <w:rFonts w:ascii="Arial" w:hAnsi="Arial" w:cs="Arial"/>
        </w:rPr>
        <w:t xml:space="preserve">relative </w:t>
      </w:r>
      <w:r w:rsidR="001C55D3" w:rsidRPr="002114B7">
        <w:rPr>
          <w:rFonts w:ascii="Arial" w:hAnsi="Arial" w:cs="Arial"/>
        </w:rPr>
        <w:t>size of the co</w:t>
      </w:r>
      <w:r w:rsidR="00175294" w:rsidRPr="002114B7">
        <w:rPr>
          <w:rFonts w:ascii="Arial" w:hAnsi="Arial" w:cs="Arial"/>
        </w:rPr>
        <w:t>llege cohort is likely to reduc</w:t>
      </w:r>
      <w:r w:rsidR="001C55D3" w:rsidRPr="002114B7">
        <w:rPr>
          <w:rFonts w:ascii="Arial" w:hAnsi="Arial" w:cs="Arial"/>
        </w:rPr>
        <w:t xml:space="preserve">e the ability differential between graduates and non-graduates </w:t>
      </w:r>
      <w:r w:rsidR="00175294" w:rsidRPr="002114B7">
        <w:rPr>
          <w:rFonts w:ascii="Arial" w:hAnsi="Arial" w:cs="Arial"/>
        </w:rPr>
        <w:t xml:space="preserve">and hence reduce </w:t>
      </w:r>
      <w:r w:rsidR="00B02838">
        <w:rPr>
          <w:rFonts w:ascii="Arial" w:hAnsi="Arial" w:cs="Arial"/>
        </w:rPr>
        <w:t>and/</w:t>
      </w:r>
      <w:r w:rsidR="00175294" w:rsidRPr="002114B7">
        <w:rPr>
          <w:rFonts w:ascii="Arial" w:hAnsi="Arial" w:cs="Arial"/>
        </w:rPr>
        <w:t>or reallocate the graduate premium</w:t>
      </w:r>
      <w:r w:rsidR="000E1186" w:rsidRPr="002114B7">
        <w:rPr>
          <w:rFonts w:ascii="Arial" w:hAnsi="Arial" w:cs="Arial"/>
        </w:rPr>
        <w:t>.</w:t>
      </w:r>
    </w:p>
    <w:p w:rsidR="00F73467" w:rsidRPr="002114B7" w:rsidRDefault="0086598D" w:rsidP="00D104E9">
      <w:pPr>
        <w:spacing w:line="360" w:lineRule="auto"/>
        <w:rPr>
          <w:rFonts w:ascii="Arial" w:hAnsi="Arial" w:cs="Arial"/>
        </w:rPr>
      </w:pPr>
      <w:r w:rsidRPr="002114B7">
        <w:rPr>
          <w:rFonts w:ascii="Arial" w:hAnsi="Arial" w:cs="Arial"/>
        </w:rPr>
        <w:t xml:space="preserve">These claimed economic benefits from widening participation in </w:t>
      </w:r>
      <w:proofErr w:type="gramStart"/>
      <w:r w:rsidRPr="002114B7">
        <w:rPr>
          <w:rFonts w:ascii="Arial" w:hAnsi="Arial" w:cs="Arial"/>
        </w:rPr>
        <w:t>HE</w:t>
      </w:r>
      <w:proofErr w:type="gramEnd"/>
      <w:r w:rsidRPr="002114B7">
        <w:rPr>
          <w:rFonts w:ascii="Arial" w:hAnsi="Arial" w:cs="Arial"/>
        </w:rPr>
        <w:t xml:space="preserve"> have been associated with perceived social benefits. In the UK social mobility appears to have fallen in recent decades (</w:t>
      </w:r>
      <w:proofErr w:type="spellStart"/>
      <w:r w:rsidR="007122C0" w:rsidRPr="002114B7">
        <w:rPr>
          <w:rFonts w:ascii="Arial" w:hAnsi="Arial" w:cs="Arial"/>
        </w:rPr>
        <w:t>Blanden</w:t>
      </w:r>
      <w:proofErr w:type="spellEnd"/>
      <w:r w:rsidR="007122C0" w:rsidRPr="002114B7">
        <w:rPr>
          <w:rFonts w:ascii="Arial" w:hAnsi="Arial" w:cs="Arial"/>
        </w:rPr>
        <w:t xml:space="preserve"> et al. 2005</w:t>
      </w:r>
      <w:r w:rsidRPr="002114B7">
        <w:rPr>
          <w:rFonts w:ascii="Arial" w:hAnsi="Arial" w:cs="Arial"/>
        </w:rPr>
        <w:t>) and it has been claimed that countries with higher social mobility grow faster given the evolution of the knowledge-based economies (</w:t>
      </w:r>
      <w:proofErr w:type="spellStart"/>
      <w:r w:rsidR="007122C0" w:rsidRPr="002114B7">
        <w:rPr>
          <w:rFonts w:ascii="Arial" w:hAnsi="Arial" w:cs="Arial"/>
        </w:rPr>
        <w:t>Hassler</w:t>
      </w:r>
      <w:proofErr w:type="spellEnd"/>
      <w:r w:rsidR="007122C0" w:rsidRPr="002114B7">
        <w:rPr>
          <w:rFonts w:ascii="Arial" w:hAnsi="Arial" w:cs="Arial"/>
        </w:rPr>
        <w:t xml:space="preserve"> and Vicente </w:t>
      </w:r>
      <w:proofErr w:type="spellStart"/>
      <w:r w:rsidR="007122C0" w:rsidRPr="002114B7">
        <w:rPr>
          <w:rFonts w:ascii="Arial" w:hAnsi="Arial" w:cs="Arial"/>
        </w:rPr>
        <w:t>Roriguez-Mora</w:t>
      </w:r>
      <w:proofErr w:type="spellEnd"/>
      <w:r w:rsidR="007122C0" w:rsidRPr="002114B7">
        <w:rPr>
          <w:rFonts w:ascii="Arial" w:hAnsi="Arial" w:cs="Arial"/>
        </w:rPr>
        <w:t>, 1998</w:t>
      </w:r>
      <w:r w:rsidRPr="002114B7">
        <w:rPr>
          <w:rFonts w:ascii="Arial" w:hAnsi="Arial" w:cs="Arial"/>
        </w:rPr>
        <w:t>,</w:t>
      </w:r>
      <w:r w:rsidR="00135498" w:rsidRPr="002114B7">
        <w:rPr>
          <w:rFonts w:ascii="Arial" w:hAnsi="Arial" w:cs="Arial"/>
        </w:rPr>
        <w:t xml:space="preserve"> Sutton Trust, 2010</w:t>
      </w:r>
      <w:r w:rsidRPr="002114B7">
        <w:rPr>
          <w:rFonts w:ascii="Arial" w:hAnsi="Arial" w:cs="Arial"/>
        </w:rPr>
        <w:t>).</w:t>
      </w:r>
      <w:r w:rsidR="000E1186" w:rsidRPr="002114B7">
        <w:rPr>
          <w:rFonts w:ascii="Arial" w:hAnsi="Arial" w:cs="Arial"/>
        </w:rPr>
        <w:t xml:space="preserve"> Wider participation in HE has been claimed to disrupt cycles of deprivation and promote </w:t>
      </w:r>
      <w:r w:rsidR="00B02838">
        <w:rPr>
          <w:rFonts w:ascii="Arial" w:hAnsi="Arial" w:cs="Arial"/>
        </w:rPr>
        <w:t xml:space="preserve">increased </w:t>
      </w:r>
      <w:r w:rsidR="000E1186" w:rsidRPr="002114B7">
        <w:rPr>
          <w:rFonts w:ascii="Arial" w:hAnsi="Arial" w:cs="Arial"/>
        </w:rPr>
        <w:t>social cohesion</w:t>
      </w:r>
      <w:r w:rsidR="00F73467" w:rsidRPr="002114B7">
        <w:rPr>
          <w:rFonts w:ascii="Arial" w:hAnsi="Arial" w:cs="Arial"/>
        </w:rPr>
        <w:t>, promote better health, reduce crime and increase community engagement</w:t>
      </w:r>
      <w:r w:rsidR="000E1186" w:rsidRPr="002114B7">
        <w:rPr>
          <w:rFonts w:ascii="Arial" w:hAnsi="Arial" w:cs="Arial"/>
        </w:rPr>
        <w:t xml:space="preserve"> (Million Plus, 2013).</w:t>
      </w:r>
    </w:p>
    <w:p w:rsidR="00F73467" w:rsidRPr="002114B7" w:rsidRDefault="00F73467" w:rsidP="00D104E9">
      <w:pPr>
        <w:spacing w:line="360" w:lineRule="auto"/>
        <w:rPr>
          <w:rFonts w:ascii="Arial" w:hAnsi="Arial" w:cs="Arial"/>
        </w:rPr>
      </w:pPr>
    </w:p>
    <w:p w:rsidR="00F73467" w:rsidRPr="002114B7" w:rsidRDefault="00F73467" w:rsidP="00D104E9">
      <w:pPr>
        <w:spacing w:line="360" w:lineRule="auto"/>
        <w:rPr>
          <w:rFonts w:ascii="Arial" w:hAnsi="Arial" w:cs="Arial"/>
          <w:b/>
        </w:rPr>
      </w:pPr>
      <w:r w:rsidRPr="002114B7">
        <w:rPr>
          <w:rFonts w:ascii="Arial" w:hAnsi="Arial" w:cs="Arial"/>
          <w:b/>
        </w:rPr>
        <w:t>Methodological Problems in Identifying the Benefits of Widening Participation</w:t>
      </w:r>
    </w:p>
    <w:p w:rsidR="0056138D" w:rsidRPr="002114B7" w:rsidRDefault="00510BD2" w:rsidP="00D104E9">
      <w:pPr>
        <w:spacing w:line="360" w:lineRule="auto"/>
        <w:rPr>
          <w:rFonts w:ascii="Arial" w:hAnsi="Arial" w:cs="Arial"/>
        </w:rPr>
      </w:pPr>
      <w:r w:rsidRPr="002114B7">
        <w:rPr>
          <w:rFonts w:ascii="Arial" w:hAnsi="Arial" w:cs="Arial"/>
        </w:rPr>
        <w:t>Much of the earliest</w:t>
      </w:r>
      <w:r w:rsidR="00B02838">
        <w:rPr>
          <w:rFonts w:ascii="Arial" w:hAnsi="Arial" w:cs="Arial"/>
        </w:rPr>
        <w:t xml:space="preserve"> ‘evidence’</w:t>
      </w:r>
      <w:r w:rsidR="00E00F7E" w:rsidRPr="002114B7">
        <w:rPr>
          <w:rFonts w:ascii="Arial" w:hAnsi="Arial" w:cs="Arial"/>
        </w:rPr>
        <w:t>, and even some of the recent,</w:t>
      </w:r>
      <w:r w:rsidR="00B02838">
        <w:rPr>
          <w:rFonts w:ascii="Arial" w:hAnsi="Arial" w:cs="Arial"/>
        </w:rPr>
        <w:t xml:space="preserve"> used to</w:t>
      </w:r>
      <w:r w:rsidRPr="002114B7">
        <w:rPr>
          <w:rFonts w:ascii="Arial" w:hAnsi="Arial" w:cs="Arial"/>
        </w:rPr>
        <w:t xml:space="preserve"> support widening participation in HE merely assumed that the average benefits received by past participants would apply to additional marginal participants. This is </w:t>
      </w:r>
      <w:r w:rsidR="00E00F7E" w:rsidRPr="002114B7">
        <w:rPr>
          <w:rFonts w:ascii="Arial" w:hAnsi="Arial" w:cs="Arial"/>
        </w:rPr>
        <w:t xml:space="preserve">likely to be </w:t>
      </w:r>
      <w:r w:rsidRPr="002114B7">
        <w:rPr>
          <w:rFonts w:ascii="Arial" w:hAnsi="Arial" w:cs="Arial"/>
        </w:rPr>
        <w:t xml:space="preserve">an erroneous assumption for three main reasons. Firstly, </w:t>
      </w:r>
      <w:r w:rsidR="001C2DD8" w:rsidRPr="002114B7">
        <w:rPr>
          <w:rFonts w:ascii="Arial" w:hAnsi="Arial" w:cs="Arial"/>
        </w:rPr>
        <w:t xml:space="preserve">the </w:t>
      </w:r>
      <w:r w:rsidRPr="002114B7">
        <w:rPr>
          <w:rFonts w:ascii="Arial" w:hAnsi="Arial" w:cs="Arial"/>
        </w:rPr>
        <w:t xml:space="preserve">size of the graduate premium declines if the supply of graduates increases without a corresponding increase in the </w:t>
      </w:r>
      <w:r w:rsidR="001C2DD8" w:rsidRPr="002114B7">
        <w:rPr>
          <w:rFonts w:ascii="Arial" w:hAnsi="Arial" w:cs="Arial"/>
        </w:rPr>
        <w:t xml:space="preserve">labour market’s </w:t>
      </w:r>
      <w:r w:rsidRPr="002114B7">
        <w:rPr>
          <w:rFonts w:ascii="Arial" w:hAnsi="Arial" w:cs="Arial"/>
        </w:rPr>
        <w:t>demand</w:t>
      </w:r>
      <w:r w:rsidR="001C2DD8" w:rsidRPr="002114B7">
        <w:rPr>
          <w:rFonts w:ascii="Arial" w:hAnsi="Arial" w:cs="Arial"/>
        </w:rPr>
        <w:t xml:space="preserve"> for these students</w:t>
      </w:r>
      <w:r w:rsidRPr="002114B7">
        <w:rPr>
          <w:rFonts w:ascii="Arial" w:hAnsi="Arial" w:cs="Arial"/>
        </w:rPr>
        <w:t>. Secondly, as noted above</w:t>
      </w:r>
      <w:r w:rsidR="001C2DD8" w:rsidRPr="002114B7">
        <w:rPr>
          <w:rFonts w:ascii="Arial" w:hAnsi="Arial" w:cs="Arial"/>
        </w:rPr>
        <w:t>,</w:t>
      </w:r>
      <w:r w:rsidRPr="002114B7">
        <w:rPr>
          <w:rFonts w:ascii="Arial" w:hAnsi="Arial" w:cs="Arial"/>
        </w:rPr>
        <w:t xml:space="preserve"> the social, educational and economic characteristics of students from non-traditional HE participating groups differ from those of traditional</w:t>
      </w:r>
      <w:r w:rsidR="002A26FC" w:rsidRPr="002114B7">
        <w:rPr>
          <w:rFonts w:ascii="Arial" w:hAnsi="Arial" w:cs="Arial"/>
        </w:rPr>
        <w:t xml:space="preserve"> </w:t>
      </w:r>
      <w:r w:rsidRPr="002114B7">
        <w:rPr>
          <w:rFonts w:ascii="Arial" w:hAnsi="Arial" w:cs="Arial"/>
        </w:rPr>
        <w:t>participating groups.</w:t>
      </w:r>
      <w:r w:rsidR="001C2DD8" w:rsidRPr="002114B7">
        <w:rPr>
          <w:rFonts w:ascii="Arial" w:hAnsi="Arial" w:cs="Arial"/>
        </w:rPr>
        <w:t xml:space="preserve"> It is likely that these characteristics will </w:t>
      </w:r>
      <w:r w:rsidR="00101E0D" w:rsidRPr="002114B7">
        <w:rPr>
          <w:rFonts w:ascii="Arial" w:hAnsi="Arial" w:cs="Arial"/>
        </w:rPr>
        <w:t xml:space="preserve">not only affect their probabilities of completing HE and obtaining a ‘good’ degree but also </w:t>
      </w:r>
      <w:r w:rsidR="001C2DD8" w:rsidRPr="002114B7">
        <w:rPr>
          <w:rFonts w:ascii="Arial" w:hAnsi="Arial" w:cs="Arial"/>
        </w:rPr>
        <w:t xml:space="preserve">disadvantage graduates from these backgrounds in the labour market relative to traditional students groups. Thirdly, as Ireland et al. (2009) argue, as the participation rate increases the </w:t>
      </w:r>
      <w:r w:rsidR="009D6E4B" w:rsidRPr="002114B7">
        <w:rPr>
          <w:rFonts w:ascii="Arial" w:hAnsi="Arial" w:cs="Arial"/>
        </w:rPr>
        <w:t xml:space="preserve">actual and perceived </w:t>
      </w:r>
      <w:r w:rsidR="001C2DD8" w:rsidRPr="002114B7">
        <w:rPr>
          <w:rFonts w:ascii="Arial" w:hAnsi="Arial" w:cs="Arial"/>
        </w:rPr>
        <w:t xml:space="preserve">ability gap between graduates and non-graduates is likely to fall and this </w:t>
      </w:r>
      <w:r w:rsidR="009D6E4B" w:rsidRPr="002114B7">
        <w:rPr>
          <w:rFonts w:ascii="Arial" w:hAnsi="Arial" w:cs="Arial"/>
        </w:rPr>
        <w:t>would</w:t>
      </w:r>
      <w:r w:rsidR="001C2DD8" w:rsidRPr="002114B7">
        <w:rPr>
          <w:rFonts w:ascii="Arial" w:hAnsi="Arial" w:cs="Arial"/>
        </w:rPr>
        <w:t xml:space="preserve"> reduce </w:t>
      </w:r>
      <w:r w:rsidR="001C51B7" w:rsidRPr="002114B7">
        <w:rPr>
          <w:rFonts w:ascii="Arial" w:hAnsi="Arial" w:cs="Arial"/>
        </w:rPr>
        <w:t xml:space="preserve">the overall </w:t>
      </w:r>
      <w:r w:rsidR="001C2DD8" w:rsidRPr="002114B7">
        <w:rPr>
          <w:rFonts w:ascii="Arial" w:hAnsi="Arial" w:cs="Arial"/>
        </w:rPr>
        <w:t>graduate premium</w:t>
      </w:r>
      <w:r w:rsidR="00E67EC2" w:rsidRPr="002114B7">
        <w:rPr>
          <w:rFonts w:ascii="Arial" w:hAnsi="Arial" w:cs="Arial"/>
        </w:rPr>
        <w:t>. However,</w:t>
      </w:r>
      <w:r w:rsidR="001C2DD8" w:rsidRPr="002114B7">
        <w:rPr>
          <w:rFonts w:ascii="Arial" w:hAnsi="Arial" w:cs="Arial"/>
        </w:rPr>
        <w:t xml:space="preserve"> as employers adjust their hiring practices</w:t>
      </w:r>
      <w:r w:rsidR="00BB60C8" w:rsidRPr="002114B7">
        <w:rPr>
          <w:rFonts w:ascii="Arial" w:hAnsi="Arial" w:cs="Arial"/>
        </w:rPr>
        <w:t xml:space="preserve"> to favour those with ‘good’ degrees and/or from higher ranking universities</w:t>
      </w:r>
      <w:r w:rsidR="001C51B7" w:rsidRPr="002114B7">
        <w:rPr>
          <w:rFonts w:ascii="Arial" w:hAnsi="Arial" w:cs="Arial"/>
        </w:rPr>
        <w:t>, the</w:t>
      </w:r>
      <w:r w:rsidR="00E67EC2" w:rsidRPr="002114B7">
        <w:rPr>
          <w:rFonts w:ascii="Arial" w:hAnsi="Arial" w:cs="Arial"/>
        </w:rPr>
        <w:t xml:space="preserve"> </w:t>
      </w:r>
      <w:r w:rsidR="007511C3" w:rsidRPr="002114B7">
        <w:rPr>
          <w:rFonts w:ascii="Arial" w:hAnsi="Arial" w:cs="Arial"/>
        </w:rPr>
        <w:t>degree of dispersion of</w:t>
      </w:r>
      <w:r w:rsidR="00E67EC2" w:rsidRPr="002114B7">
        <w:rPr>
          <w:rFonts w:ascii="Arial" w:hAnsi="Arial" w:cs="Arial"/>
        </w:rPr>
        <w:t xml:space="preserve"> that</w:t>
      </w:r>
      <w:r w:rsidR="001C51B7" w:rsidRPr="002114B7">
        <w:rPr>
          <w:rFonts w:ascii="Arial" w:hAnsi="Arial" w:cs="Arial"/>
        </w:rPr>
        <w:t xml:space="preserve"> graduate premium will become </w:t>
      </w:r>
      <w:r w:rsidR="007511C3" w:rsidRPr="002114B7">
        <w:rPr>
          <w:rFonts w:ascii="Arial" w:hAnsi="Arial" w:cs="Arial"/>
        </w:rPr>
        <w:t>greater</w:t>
      </w:r>
      <w:r w:rsidR="00E67EC2" w:rsidRPr="002114B7">
        <w:rPr>
          <w:rFonts w:ascii="Arial" w:hAnsi="Arial" w:cs="Arial"/>
        </w:rPr>
        <w:t>.</w:t>
      </w:r>
      <w:r w:rsidR="0056138D" w:rsidRPr="002114B7">
        <w:rPr>
          <w:rFonts w:ascii="Arial" w:hAnsi="Arial" w:cs="Arial"/>
        </w:rPr>
        <w:t xml:space="preserve"> </w:t>
      </w:r>
    </w:p>
    <w:p w:rsidR="00F73467" w:rsidRPr="002114B7" w:rsidRDefault="0056138D" w:rsidP="00D104E9">
      <w:pPr>
        <w:spacing w:line="360" w:lineRule="auto"/>
        <w:rPr>
          <w:rFonts w:ascii="Arial" w:hAnsi="Arial" w:cs="Arial"/>
        </w:rPr>
      </w:pPr>
      <w:r w:rsidRPr="002114B7">
        <w:rPr>
          <w:rFonts w:ascii="Arial" w:hAnsi="Arial" w:cs="Arial"/>
        </w:rPr>
        <w:t>Given the diversity of non-traditional entrant groups into higher education equating the marginal returns from widening participation to the average returns to current or previous students is unlikely to be appropriate. Similarly, attempts to measure the marginal returns to graduate level qualifications (</w:t>
      </w:r>
      <w:r w:rsidR="00E67EC2" w:rsidRPr="002114B7">
        <w:rPr>
          <w:rFonts w:ascii="Arial" w:hAnsi="Arial" w:cs="Arial"/>
        </w:rPr>
        <w:t xml:space="preserve">as in </w:t>
      </w:r>
      <w:r w:rsidRPr="002114B7">
        <w:rPr>
          <w:rFonts w:ascii="Arial" w:hAnsi="Arial" w:cs="Arial"/>
        </w:rPr>
        <w:t>London Economics, 2011</w:t>
      </w:r>
      <w:r w:rsidR="00065DC8" w:rsidRPr="002114B7">
        <w:rPr>
          <w:rFonts w:ascii="Arial" w:hAnsi="Arial" w:cs="Arial"/>
        </w:rPr>
        <w:t xml:space="preserve">) are unlikely to provide relevant estimates to the returns available to those from non-traditional student groups. Moreover, estimation of those returns becomes more difficult when it is recognised that the distribution of the latter students across institutions and courses differs from those of traditional entrants </w:t>
      </w:r>
      <w:r w:rsidR="00065DC8" w:rsidRPr="002114B7">
        <w:rPr>
          <w:rFonts w:ascii="Arial" w:hAnsi="Arial" w:cs="Arial"/>
        </w:rPr>
        <w:lastRenderedPageBreak/>
        <w:t xml:space="preserve">groups. Further complications arise because of likely differences between traditional and non-traditional students in: </w:t>
      </w:r>
      <w:r w:rsidR="00101E0D" w:rsidRPr="002114B7">
        <w:rPr>
          <w:rFonts w:ascii="Arial" w:hAnsi="Arial" w:cs="Arial"/>
        </w:rPr>
        <w:t>completion</w:t>
      </w:r>
      <w:r w:rsidR="00065DC8" w:rsidRPr="002114B7">
        <w:rPr>
          <w:rFonts w:ascii="Arial" w:hAnsi="Arial" w:cs="Arial"/>
        </w:rPr>
        <w:t xml:space="preserve"> rates, the classification of the degrees obtained, probabilities of entering post-graduate study and post-graduation labour market participation rates. Taken together these problems make econometric studies, and quantitative studies in general, problematic without exceptionally detailed individual level data</w:t>
      </w:r>
      <w:r w:rsidR="009D6E4B" w:rsidRPr="002114B7">
        <w:rPr>
          <w:rFonts w:ascii="Arial" w:hAnsi="Arial" w:cs="Arial"/>
        </w:rPr>
        <w:t xml:space="preserve"> and a corresponding narrowing of the research question to be addressed</w:t>
      </w:r>
      <w:r w:rsidR="00065DC8" w:rsidRPr="002114B7">
        <w:rPr>
          <w:rFonts w:ascii="Arial" w:hAnsi="Arial" w:cs="Arial"/>
        </w:rPr>
        <w:t>. Whilst at the same time these issues mean that qualita</w:t>
      </w:r>
      <w:r w:rsidR="009D6E4B" w:rsidRPr="002114B7">
        <w:rPr>
          <w:rFonts w:ascii="Arial" w:hAnsi="Arial" w:cs="Arial"/>
        </w:rPr>
        <w:t>t</w:t>
      </w:r>
      <w:r w:rsidR="00065DC8" w:rsidRPr="002114B7">
        <w:rPr>
          <w:rFonts w:ascii="Arial" w:hAnsi="Arial" w:cs="Arial"/>
        </w:rPr>
        <w:t xml:space="preserve">ive studies are unlikely to produce generalizable findings about the extent of the benefits of HE participation </w:t>
      </w:r>
      <w:r w:rsidR="009D6E4B" w:rsidRPr="002114B7">
        <w:rPr>
          <w:rFonts w:ascii="Arial" w:hAnsi="Arial" w:cs="Arial"/>
        </w:rPr>
        <w:t>for non-traditional student groups.</w:t>
      </w:r>
      <w:r w:rsidR="00065DC8" w:rsidRPr="002114B7">
        <w:rPr>
          <w:rFonts w:ascii="Arial" w:hAnsi="Arial" w:cs="Arial"/>
        </w:rPr>
        <w:t xml:space="preserve"> </w:t>
      </w:r>
    </w:p>
    <w:p w:rsidR="009D6E4B" w:rsidRPr="002114B7" w:rsidRDefault="009D6E4B" w:rsidP="00D104E9">
      <w:pPr>
        <w:spacing w:line="360" w:lineRule="auto"/>
        <w:rPr>
          <w:rFonts w:ascii="Arial" w:hAnsi="Arial" w:cs="Arial"/>
        </w:rPr>
      </w:pPr>
      <w:r w:rsidRPr="002114B7">
        <w:rPr>
          <w:rFonts w:ascii="Arial" w:hAnsi="Arial" w:cs="Arial"/>
        </w:rPr>
        <w:t xml:space="preserve">A final concern relates to the neglect of costs in any analysis of the benefits of widening </w:t>
      </w:r>
      <w:proofErr w:type="gramStart"/>
      <w:r w:rsidRPr="002114B7">
        <w:rPr>
          <w:rFonts w:ascii="Arial" w:hAnsi="Arial" w:cs="Arial"/>
        </w:rPr>
        <w:t>HE</w:t>
      </w:r>
      <w:proofErr w:type="gramEnd"/>
      <w:r w:rsidRPr="002114B7">
        <w:rPr>
          <w:rFonts w:ascii="Arial" w:hAnsi="Arial" w:cs="Arial"/>
        </w:rPr>
        <w:t xml:space="preserve"> participation. Clearly there are costs to the individual and the exchequer resulting from increased p</w:t>
      </w:r>
      <w:r w:rsidR="00942595" w:rsidRPr="002114B7">
        <w:rPr>
          <w:rFonts w:ascii="Arial" w:hAnsi="Arial" w:cs="Arial"/>
        </w:rPr>
        <w:t xml:space="preserve">articipation: lost earnings, </w:t>
      </w:r>
      <w:r w:rsidRPr="002114B7">
        <w:rPr>
          <w:rFonts w:ascii="Arial" w:hAnsi="Arial" w:cs="Arial"/>
        </w:rPr>
        <w:t>leisure time</w:t>
      </w:r>
      <w:r w:rsidR="00942595" w:rsidRPr="002114B7">
        <w:rPr>
          <w:rFonts w:ascii="Arial" w:hAnsi="Arial" w:cs="Arial"/>
        </w:rPr>
        <w:t xml:space="preserve"> and</w:t>
      </w:r>
      <w:r w:rsidRPr="002114B7">
        <w:rPr>
          <w:rFonts w:ascii="Arial" w:hAnsi="Arial" w:cs="Arial"/>
        </w:rPr>
        <w:t xml:space="preserve"> tax revenue</w:t>
      </w:r>
      <w:r w:rsidR="00942595" w:rsidRPr="002114B7">
        <w:rPr>
          <w:rFonts w:ascii="Arial" w:hAnsi="Arial" w:cs="Arial"/>
        </w:rPr>
        <w:t>s; reduced labour market participation in the short-term and increased government expenditure. These need to be set against any benefits in any assessment of the net benefits.</w:t>
      </w:r>
      <w:r w:rsidRPr="002114B7">
        <w:rPr>
          <w:rFonts w:ascii="Arial" w:hAnsi="Arial" w:cs="Arial"/>
        </w:rPr>
        <w:t xml:space="preserve">  </w:t>
      </w:r>
    </w:p>
    <w:p w:rsidR="00F73467" w:rsidRPr="002114B7" w:rsidRDefault="009D6E4B" w:rsidP="00D104E9">
      <w:pPr>
        <w:spacing w:line="360" w:lineRule="auto"/>
        <w:rPr>
          <w:rFonts w:ascii="Arial" w:hAnsi="Arial" w:cs="Arial"/>
        </w:rPr>
      </w:pPr>
      <w:r w:rsidRPr="002114B7">
        <w:rPr>
          <w:rFonts w:ascii="Arial" w:hAnsi="Arial" w:cs="Arial"/>
        </w:rPr>
        <w:t xml:space="preserve">Having raised these methodological concerns, we now critically appraise recent UK evidence on the extent of the economic and social benefits from widening participation in </w:t>
      </w:r>
      <w:proofErr w:type="gramStart"/>
      <w:r w:rsidRPr="002114B7">
        <w:rPr>
          <w:rFonts w:ascii="Arial" w:hAnsi="Arial" w:cs="Arial"/>
        </w:rPr>
        <w:t>HE</w:t>
      </w:r>
      <w:proofErr w:type="gramEnd"/>
      <w:r w:rsidRPr="002114B7">
        <w:rPr>
          <w:rFonts w:ascii="Arial" w:hAnsi="Arial" w:cs="Arial"/>
        </w:rPr>
        <w:t xml:space="preserve">.  </w:t>
      </w:r>
    </w:p>
    <w:p w:rsidR="003676C5" w:rsidRPr="002114B7" w:rsidRDefault="003676C5">
      <w:pPr>
        <w:rPr>
          <w:rFonts w:ascii="Arial" w:hAnsi="Arial" w:cs="Arial"/>
        </w:rPr>
      </w:pPr>
    </w:p>
    <w:p w:rsidR="003676C5" w:rsidRPr="002114B7" w:rsidRDefault="00942595">
      <w:pPr>
        <w:rPr>
          <w:rFonts w:ascii="Arial" w:hAnsi="Arial" w:cs="Arial"/>
          <w:b/>
        </w:rPr>
      </w:pPr>
      <w:r w:rsidRPr="002114B7">
        <w:rPr>
          <w:rFonts w:ascii="Arial" w:hAnsi="Arial" w:cs="Arial"/>
          <w:b/>
        </w:rPr>
        <w:t xml:space="preserve">Recent Evidence on the Economic Benefits of Widening Participation in the UK </w:t>
      </w:r>
    </w:p>
    <w:p w:rsidR="006F4ADF" w:rsidRPr="002114B7" w:rsidRDefault="006F4ADF" w:rsidP="006F4ADF">
      <w:pPr>
        <w:spacing w:line="360" w:lineRule="auto"/>
        <w:rPr>
          <w:rFonts w:ascii="Arial" w:hAnsi="Arial" w:cs="Arial"/>
        </w:rPr>
      </w:pPr>
      <w:r w:rsidRPr="002114B7">
        <w:rPr>
          <w:rFonts w:ascii="Arial" w:hAnsi="Arial" w:cs="Arial"/>
        </w:rPr>
        <w:t>The development of the global knowledge-based economy has been associated with persistent high private and public economic returns to investments in higher education, notwithstanding the rapid expansion of the latter</w:t>
      </w:r>
      <w:r w:rsidR="00E67EC2" w:rsidRPr="002114B7">
        <w:rPr>
          <w:rFonts w:ascii="Arial" w:hAnsi="Arial" w:cs="Arial"/>
        </w:rPr>
        <w:t xml:space="preserve"> (Jones and </w:t>
      </w:r>
      <w:proofErr w:type="spellStart"/>
      <w:r w:rsidR="00E67EC2" w:rsidRPr="002114B7">
        <w:rPr>
          <w:rFonts w:ascii="Arial" w:hAnsi="Arial" w:cs="Arial"/>
        </w:rPr>
        <w:t>Romer</w:t>
      </w:r>
      <w:proofErr w:type="spellEnd"/>
      <w:r w:rsidR="00E67EC2" w:rsidRPr="002114B7">
        <w:rPr>
          <w:rFonts w:ascii="Arial" w:hAnsi="Arial" w:cs="Arial"/>
        </w:rPr>
        <w:t>, 2009)</w:t>
      </w:r>
      <w:r w:rsidRPr="002114B7">
        <w:rPr>
          <w:rFonts w:ascii="Arial" w:hAnsi="Arial" w:cs="Arial"/>
        </w:rPr>
        <w:t>. Recent technological progress appears to be education and skill-biased and this change in t</w:t>
      </w:r>
      <w:r w:rsidR="00E67EC2" w:rsidRPr="002114B7">
        <w:rPr>
          <w:rFonts w:ascii="Arial" w:hAnsi="Arial" w:cs="Arial"/>
        </w:rPr>
        <w:t>h</w:t>
      </w:r>
      <w:r w:rsidRPr="002114B7">
        <w:rPr>
          <w:rFonts w:ascii="Arial" w:hAnsi="Arial" w:cs="Arial"/>
        </w:rPr>
        <w:t>e relative demand for educated labour has seen large and persisting pr</w:t>
      </w:r>
      <w:r w:rsidR="00BB20D8" w:rsidRPr="002114B7">
        <w:rPr>
          <w:rFonts w:ascii="Arial" w:hAnsi="Arial" w:cs="Arial"/>
        </w:rPr>
        <w:t>emiums for graduates</w:t>
      </w:r>
      <w:r w:rsidRPr="002114B7">
        <w:rPr>
          <w:rFonts w:ascii="Arial" w:hAnsi="Arial" w:cs="Arial"/>
        </w:rPr>
        <w:t xml:space="preserve"> (Machin, 2004</w:t>
      </w:r>
      <w:r w:rsidR="00E67EC2" w:rsidRPr="002114B7">
        <w:rPr>
          <w:rFonts w:ascii="Arial" w:hAnsi="Arial" w:cs="Arial"/>
        </w:rPr>
        <w:t>)</w:t>
      </w:r>
      <w:r w:rsidR="00FD2227">
        <w:rPr>
          <w:rFonts w:ascii="Arial" w:hAnsi="Arial" w:cs="Arial"/>
        </w:rPr>
        <w:t xml:space="preserve">, indeed evidence from many countries indicates that </w:t>
      </w:r>
      <w:r w:rsidR="00855185">
        <w:rPr>
          <w:rFonts w:ascii="Arial" w:hAnsi="Arial" w:cs="Arial"/>
        </w:rPr>
        <w:t xml:space="preserve">the economic </w:t>
      </w:r>
      <w:r w:rsidR="00FD2227">
        <w:rPr>
          <w:rFonts w:ascii="Arial" w:hAnsi="Arial" w:cs="Arial"/>
        </w:rPr>
        <w:t xml:space="preserve">returns to tertiary education are higher than those for other levels of schooling (Montenegro and </w:t>
      </w:r>
      <w:proofErr w:type="spellStart"/>
      <w:r w:rsidR="00FD2227">
        <w:rPr>
          <w:rFonts w:ascii="Arial" w:hAnsi="Arial" w:cs="Arial"/>
        </w:rPr>
        <w:t>Patrinos</w:t>
      </w:r>
      <w:proofErr w:type="spellEnd"/>
      <w:r w:rsidR="00FD2227">
        <w:rPr>
          <w:rFonts w:ascii="Arial" w:hAnsi="Arial" w:cs="Arial"/>
        </w:rPr>
        <w:t>, 2014)</w:t>
      </w:r>
      <w:r w:rsidRPr="002114B7">
        <w:rPr>
          <w:rFonts w:ascii="Arial" w:hAnsi="Arial" w:cs="Arial"/>
        </w:rPr>
        <w:t>.</w:t>
      </w:r>
      <w:r w:rsidR="00BB20D8" w:rsidRPr="002114B7">
        <w:rPr>
          <w:rFonts w:ascii="Arial" w:hAnsi="Arial" w:cs="Arial"/>
        </w:rPr>
        <w:t xml:space="preserve"> However, n</w:t>
      </w:r>
      <w:r w:rsidRPr="002114B7">
        <w:rPr>
          <w:rFonts w:ascii="Arial" w:hAnsi="Arial" w:cs="Arial"/>
        </w:rPr>
        <w:t xml:space="preserve">otwithstanding the popularity of the championing of higher education </w:t>
      </w:r>
      <w:r w:rsidR="00FD2227">
        <w:rPr>
          <w:rFonts w:ascii="Arial" w:hAnsi="Arial" w:cs="Arial"/>
        </w:rPr>
        <w:t>as crucial to the</w:t>
      </w:r>
      <w:r w:rsidRPr="002114B7">
        <w:rPr>
          <w:rFonts w:ascii="Arial" w:hAnsi="Arial" w:cs="Arial"/>
        </w:rPr>
        <w:t xml:space="preserve"> nurturing and sustaining </w:t>
      </w:r>
      <w:r w:rsidR="00FD2227">
        <w:rPr>
          <w:rFonts w:ascii="Arial" w:hAnsi="Arial" w:cs="Arial"/>
        </w:rPr>
        <w:t xml:space="preserve">of </w:t>
      </w:r>
      <w:r w:rsidRPr="002114B7">
        <w:rPr>
          <w:rFonts w:ascii="Arial" w:hAnsi="Arial" w:cs="Arial"/>
        </w:rPr>
        <w:t>the modern knowledge-based economy, the empirical evidence in support remains rather fragile</w:t>
      </w:r>
      <w:r w:rsidR="00BB20D8" w:rsidRPr="002114B7">
        <w:rPr>
          <w:rFonts w:ascii="Arial" w:hAnsi="Arial" w:cs="Arial"/>
        </w:rPr>
        <w:t xml:space="preserve"> at the country level</w:t>
      </w:r>
      <w:r w:rsidRPr="002114B7">
        <w:rPr>
          <w:rFonts w:ascii="Arial" w:hAnsi="Arial" w:cs="Arial"/>
        </w:rPr>
        <w:t xml:space="preserve">. Economists have </w:t>
      </w:r>
      <w:r w:rsidR="00BB20D8" w:rsidRPr="002114B7">
        <w:rPr>
          <w:rFonts w:ascii="Arial" w:hAnsi="Arial" w:cs="Arial"/>
        </w:rPr>
        <w:t xml:space="preserve">frequently </w:t>
      </w:r>
      <w:r w:rsidRPr="002114B7">
        <w:rPr>
          <w:rFonts w:ascii="Arial" w:hAnsi="Arial" w:cs="Arial"/>
        </w:rPr>
        <w:t xml:space="preserve">found it difficult to uncover robust evidence that measures of a country’s human capital stock or flows, including those for higher education, make a significant contribution to the explanation of cross-country differences in growth (Stevens and </w:t>
      </w:r>
      <w:proofErr w:type="spellStart"/>
      <w:r w:rsidRPr="002114B7">
        <w:rPr>
          <w:rFonts w:ascii="Arial" w:hAnsi="Arial" w:cs="Arial"/>
        </w:rPr>
        <w:t>Weale</w:t>
      </w:r>
      <w:proofErr w:type="spellEnd"/>
      <w:r w:rsidRPr="002114B7">
        <w:rPr>
          <w:rFonts w:ascii="Arial" w:hAnsi="Arial" w:cs="Arial"/>
        </w:rPr>
        <w:t>, 2004, Pritchett, 2006).</w:t>
      </w:r>
      <w:r w:rsidR="00BB20D8" w:rsidRPr="002114B7">
        <w:rPr>
          <w:rFonts w:ascii="Arial" w:hAnsi="Arial" w:cs="Arial"/>
        </w:rPr>
        <w:t xml:space="preserve"> Hence the focus of this section is on evidence related to individual benefits. </w:t>
      </w:r>
    </w:p>
    <w:p w:rsidR="00A66D6E" w:rsidRPr="002114B7" w:rsidRDefault="00942595" w:rsidP="0019677C">
      <w:pPr>
        <w:spacing w:line="360" w:lineRule="auto"/>
        <w:rPr>
          <w:rFonts w:ascii="Arial" w:hAnsi="Arial" w:cs="Arial"/>
        </w:rPr>
      </w:pPr>
      <w:r w:rsidRPr="002114B7">
        <w:rPr>
          <w:rFonts w:ascii="Arial" w:hAnsi="Arial" w:cs="Arial"/>
        </w:rPr>
        <w:lastRenderedPageBreak/>
        <w:t xml:space="preserve">We initially concentrate </w:t>
      </w:r>
      <w:r w:rsidR="006F4ADF" w:rsidRPr="002114B7">
        <w:rPr>
          <w:rFonts w:ascii="Arial" w:hAnsi="Arial" w:cs="Arial"/>
        </w:rPr>
        <w:t>our analysis of the benefits to individual HE participants by reviewing</w:t>
      </w:r>
      <w:r w:rsidRPr="002114B7">
        <w:rPr>
          <w:rFonts w:ascii="Arial" w:hAnsi="Arial" w:cs="Arial"/>
        </w:rPr>
        <w:t xml:space="preserve"> recent evidence on HE outcomes</w:t>
      </w:r>
      <w:r w:rsidR="007C1DB1" w:rsidRPr="002114B7">
        <w:rPr>
          <w:rFonts w:ascii="Arial" w:hAnsi="Arial" w:cs="Arial"/>
        </w:rPr>
        <w:t>, in particular the relative performance on non-traditional student groups in terms of retention and attainment</w:t>
      </w:r>
      <w:r w:rsidRPr="002114B7">
        <w:rPr>
          <w:rFonts w:ascii="Arial" w:hAnsi="Arial" w:cs="Arial"/>
        </w:rPr>
        <w:t>.</w:t>
      </w:r>
      <w:r w:rsidR="00D9666B" w:rsidRPr="002114B7">
        <w:rPr>
          <w:rFonts w:ascii="Arial" w:hAnsi="Arial" w:cs="Arial"/>
        </w:rPr>
        <w:t xml:space="preserve"> The recent funding changes </w:t>
      </w:r>
      <w:r w:rsidR="00E67EC2" w:rsidRPr="002114B7">
        <w:rPr>
          <w:rFonts w:ascii="Arial" w:hAnsi="Arial" w:cs="Arial"/>
        </w:rPr>
        <w:t xml:space="preserve">in England and Wales </w:t>
      </w:r>
      <w:r w:rsidR="00D9666B" w:rsidRPr="002114B7">
        <w:rPr>
          <w:rFonts w:ascii="Arial" w:hAnsi="Arial" w:cs="Arial"/>
        </w:rPr>
        <w:t xml:space="preserve">have led to an increasing number of students </w:t>
      </w:r>
      <w:r w:rsidR="00035EB7" w:rsidRPr="002114B7">
        <w:rPr>
          <w:rFonts w:ascii="Arial" w:hAnsi="Arial" w:cs="Arial"/>
        </w:rPr>
        <w:t>living at home</w:t>
      </w:r>
      <w:r w:rsidR="00892153" w:rsidRPr="002114B7">
        <w:rPr>
          <w:rFonts w:ascii="Arial" w:hAnsi="Arial" w:cs="Arial"/>
        </w:rPr>
        <w:t xml:space="preserve">, now </w:t>
      </w:r>
      <w:r w:rsidR="0034280E" w:rsidRPr="002114B7">
        <w:rPr>
          <w:rFonts w:ascii="Arial" w:hAnsi="Arial" w:cs="Arial"/>
        </w:rPr>
        <w:t>a</w:t>
      </w:r>
      <w:r w:rsidR="00892153" w:rsidRPr="002114B7">
        <w:rPr>
          <w:rFonts w:ascii="Arial" w:hAnsi="Arial" w:cs="Arial"/>
        </w:rPr>
        <w:t>round a quarter</w:t>
      </w:r>
      <w:r w:rsidR="0034280E" w:rsidRPr="002114B7">
        <w:rPr>
          <w:rFonts w:ascii="Arial" w:hAnsi="Arial" w:cs="Arial"/>
        </w:rPr>
        <w:t xml:space="preserve"> </w:t>
      </w:r>
      <w:r w:rsidR="00892153" w:rsidRPr="002114B7">
        <w:rPr>
          <w:rFonts w:ascii="Arial" w:hAnsi="Arial" w:cs="Arial"/>
        </w:rPr>
        <w:t>(</w:t>
      </w:r>
      <w:r w:rsidR="0034280E" w:rsidRPr="002114B7">
        <w:rPr>
          <w:rFonts w:ascii="Arial" w:hAnsi="Arial" w:cs="Arial"/>
        </w:rPr>
        <w:t>HE</w:t>
      </w:r>
      <w:r w:rsidR="00892153" w:rsidRPr="002114B7">
        <w:rPr>
          <w:rFonts w:ascii="Arial" w:hAnsi="Arial" w:cs="Arial"/>
        </w:rPr>
        <w:t>FCE, 2009</w:t>
      </w:r>
      <w:r w:rsidR="001D0B33" w:rsidRPr="002114B7">
        <w:rPr>
          <w:rFonts w:ascii="Arial" w:hAnsi="Arial" w:cs="Arial"/>
        </w:rPr>
        <w:t>a</w:t>
      </w:r>
      <w:r w:rsidR="00035EB7" w:rsidRPr="002114B7">
        <w:rPr>
          <w:rFonts w:ascii="Arial" w:hAnsi="Arial" w:cs="Arial"/>
        </w:rPr>
        <w:t>)</w:t>
      </w:r>
      <w:r w:rsidR="00892153" w:rsidRPr="002114B7">
        <w:rPr>
          <w:rFonts w:ascii="Arial" w:hAnsi="Arial" w:cs="Arial"/>
        </w:rPr>
        <w:t>,</w:t>
      </w:r>
      <w:r w:rsidR="00035EB7" w:rsidRPr="002114B7">
        <w:rPr>
          <w:rFonts w:ascii="Arial" w:hAnsi="Arial" w:cs="Arial"/>
        </w:rPr>
        <w:t xml:space="preserve"> and combining</w:t>
      </w:r>
      <w:r w:rsidR="00855185">
        <w:rPr>
          <w:rFonts w:ascii="Arial" w:hAnsi="Arial" w:cs="Arial"/>
        </w:rPr>
        <w:t xml:space="preserve"> ‘full-time’</w:t>
      </w:r>
      <w:r w:rsidR="00035EB7" w:rsidRPr="002114B7">
        <w:rPr>
          <w:rFonts w:ascii="Arial" w:hAnsi="Arial" w:cs="Arial"/>
        </w:rPr>
        <w:t xml:space="preserve"> study with part-time working (</w:t>
      </w:r>
      <w:r w:rsidR="00070526" w:rsidRPr="002114B7">
        <w:rPr>
          <w:rFonts w:ascii="Arial" w:hAnsi="Arial" w:cs="Arial"/>
        </w:rPr>
        <w:t>up to</w:t>
      </w:r>
      <w:r w:rsidR="00035EB7" w:rsidRPr="002114B7">
        <w:rPr>
          <w:rFonts w:ascii="Arial" w:hAnsi="Arial" w:cs="Arial"/>
        </w:rPr>
        <w:t xml:space="preserve"> 70% </w:t>
      </w:r>
      <w:r w:rsidR="0020533E" w:rsidRPr="002114B7">
        <w:rPr>
          <w:rFonts w:ascii="Arial" w:hAnsi="Arial" w:cs="Arial"/>
        </w:rPr>
        <w:t xml:space="preserve">in </w:t>
      </w:r>
      <w:r w:rsidR="00E67EC2" w:rsidRPr="002114B7">
        <w:rPr>
          <w:rFonts w:ascii="Arial" w:hAnsi="Arial" w:cs="Arial"/>
        </w:rPr>
        <w:t xml:space="preserve">a survey reported in </w:t>
      </w:r>
      <w:proofErr w:type="spellStart"/>
      <w:r w:rsidR="00892153" w:rsidRPr="002114B7">
        <w:rPr>
          <w:rFonts w:ascii="Arial" w:hAnsi="Arial" w:cs="Arial"/>
        </w:rPr>
        <w:t>Leese</w:t>
      </w:r>
      <w:proofErr w:type="spellEnd"/>
      <w:r w:rsidR="00892153" w:rsidRPr="002114B7">
        <w:rPr>
          <w:rFonts w:ascii="Arial" w:hAnsi="Arial" w:cs="Arial"/>
        </w:rPr>
        <w:t>, 2010</w:t>
      </w:r>
      <w:r w:rsidR="00035EB7" w:rsidRPr="002114B7">
        <w:rPr>
          <w:rFonts w:ascii="Arial" w:hAnsi="Arial" w:cs="Arial"/>
        </w:rPr>
        <w:t>). Students from low socio-economic groups are more likely to be working part-time and living at home (</w:t>
      </w:r>
      <w:r w:rsidR="00892153" w:rsidRPr="002114B7">
        <w:rPr>
          <w:rFonts w:ascii="Arial" w:hAnsi="Arial" w:cs="Arial"/>
        </w:rPr>
        <w:t>HEFCE, 2009</w:t>
      </w:r>
      <w:r w:rsidR="001D0B33" w:rsidRPr="002114B7">
        <w:rPr>
          <w:rFonts w:ascii="Arial" w:hAnsi="Arial" w:cs="Arial"/>
        </w:rPr>
        <w:t>a</w:t>
      </w:r>
      <w:r w:rsidR="00892153" w:rsidRPr="002114B7">
        <w:rPr>
          <w:rFonts w:ascii="Arial" w:hAnsi="Arial" w:cs="Arial"/>
        </w:rPr>
        <w:t xml:space="preserve">, </w:t>
      </w:r>
      <w:r w:rsidR="00035EB7" w:rsidRPr="002114B7">
        <w:rPr>
          <w:rFonts w:ascii="Arial" w:hAnsi="Arial" w:cs="Arial"/>
        </w:rPr>
        <w:t>Moore et al., 2013) and have higher drop-out rates</w:t>
      </w:r>
      <w:r w:rsidR="00880887" w:rsidRPr="002114B7">
        <w:rPr>
          <w:rFonts w:ascii="Arial" w:hAnsi="Arial" w:cs="Arial"/>
        </w:rPr>
        <w:t>, whether</w:t>
      </w:r>
      <w:r w:rsidR="00057321" w:rsidRPr="002114B7">
        <w:rPr>
          <w:rFonts w:ascii="Arial" w:hAnsi="Arial" w:cs="Arial"/>
        </w:rPr>
        <w:t xml:space="preserve"> this group</w:t>
      </w:r>
      <w:r w:rsidR="00880887" w:rsidRPr="002114B7">
        <w:rPr>
          <w:rFonts w:ascii="Arial" w:hAnsi="Arial" w:cs="Arial"/>
        </w:rPr>
        <w:t xml:space="preserve"> is defined in terms of income or location-based measures (OFFA, 2014)</w:t>
      </w:r>
      <w:r w:rsidR="00035EB7" w:rsidRPr="002114B7">
        <w:rPr>
          <w:rFonts w:ascii="Arial" w:hAnsi="Arial" w:cs="Arial"/>
        </w:rPr>
        <w:t xml:space="preserve">. Similarly, </w:t>
      </w:r>
      <w:r w:rsidR="004A67AA" w:rsidRPr="002114B7">
        <w:rPr>
          <w:rFonts w:ascii="Arial" w:hAnsi="Arial" w:cs="Arial"/>
        </w:rPr>
        <w:t xml:space="preserve">both disabled and mature students have significantly higher non-continuation rates (HEFCE, </w:t>
      </w:r>
      <w:r w:rsidR="00AD00CA" w:rsidRPr="002114B7">
        <w:rPr>
          <w:rFonts w:ascii="Arial" w:hAnsi="Arial" w:cs="Arial"/>
        </w:rPr>
        <w:t>2013), as do B</w:t>
      </w:r>
      <w:r w:rsidR="004A67AA" w:rsidRPr="002114B7">
        <w:rPr>
          <w:rFonts w:ascii="Arial" w:hAnsi="Arial" w:cs="Arial"/>
        </w:rPr>
        <w:t xml:space="preserve">lack entrants to HE in the UK </w:t>
      </w:r>
      <w:r w:rsidR="001D0B33" w:rsidRPr="002114B7">
        <w:rPr>
          <w:rFonts w:ascii="Arial" w:hAnsi="Arial" w:cs="Arial"/>
        </w:rPr>
        <w:t>(ECU, 2011</w:t>
      </w:r>
      <w:r w:rsidR="00AC2928" w:rsidRPr="002114B7">
        <w:rPr>
          <w:rFonts w:ascii="Arial" w:hAnsi="Arial" w:cs="Arial"/>
        </w:rPr>
        <w:t xml:space="preserve">). Interestingly, </w:t>
      </w:r>
      <w:r w:rsidR="00D23DCF" w:rsidRPr="002114B7">
        <w:rPr>
          <w:rFonts w:ascii="Arial" w:hAnsi="Arial" w:cs="Arial"/>
        </w:rPr>
        <w:t>B</w:t>
      </w:r>
      <w:r w:rsidR="00AC2928" w:rsidRPr="002114B7">
        <w:rPr>
          <w:rFonts w:ascii="Arial" w:hAnsi="Arial" w:cs="Arial"/>
        </w:rPr>
        <w:t>lack</w:t>
      </w:r>
      <w:r w:rsidR="00D23DCF" w:rsidRPr="002114B7">
        <w:rPr>
          <w:rFonts w:ascii="Arial" w:hAnsi="Arial" w:cs="Arial"/>
        </w:rPr>
        <w:t xml:space="preserve"> Caribbean (but not Black African)</w:t>
      </w:r>
      <w:r w:rsidR="00AC2928" w:rsidRPr="002114B7">
        <w:rPr>
          <w:rFonts w:ascii="Arial" w:hAnsi="Arial" w:cs="Arial"/>
        </w:rPr>
        <w:t xml:space="preserve"> </w:t>
      </w:r>
      <w:r w:rsidR="00D23DCF" w:rsidRPr="002114B7">
        <w:rPr>
          <w:rFonts w:ascii="Arial" w:hAnsi="Arial" w:cs="Arial"/>
        </w:rPr>
        <w:t xml:space="preserve">and </w:t>
      </w:r>
      <w:r w:rsidR="00AC2928" w:rsidRPr="002114B7">
        <w:rPr>
          <w:rFonts w:ascii="Arial" w:hAnsi="Arial" w:cs="Arial"/>
        </w:rPr>
        <w:t>disabled</w:t>
      </w:r>
      <w:r w:rsidR="00D23DCF" w:rsidRPr="002114B7">
        <w:rPr>
          <w:rFonts w:ascii="Arial" w:hAnsi="Arial" w:cs="Arial"/>
        </w:rPr>
        <w:t xml:space="preserve"> students both</w:t>
      </w:r>
      <w:r w:rsidR="00AC2928" w:rsidRPr="002114B7">
        <w:rPr>
          <w:rFonts w:ascii="Arial" w:hAnsi="Arial" w:cs="Arial"/>
        </w:rPr>
        <w:t xml:space="preserve"> report lower levels of satisfaction with their HE study in the annual National Student Survey than do students as a whole </w:t>
      </w:r>
      <w:r w:rsidR="00855185">
        <w:rPr>
          <w:rFonts w:ascii="Arial" w:hAnsi="Arial" w:cs="Arial"/>
        </w:rPr>
        <w:t>(</w:t>
      </w:r>
      <w:r w:rsidR="00AC2928" w:rsidRPr="002114B7">
        <w:rPr>
          <w:rFonts w:ascii="Arial" w:hAnsi="Arial" w:cs="Arial"/>
        </w:rPr>
        <w:t>HEFCE, 1014a). Part-time students, whose numbe</w:t>
      </w:r>
      <w:r w:rsidR="00D23DCF" w:rsidRPr="002114B7">
        <w:rPr>
          <w:rFonts w:ascii="Arial" w:hAnsi="Arial" w:cs="Arial"/>
        </w:rPr>
        <w:t>r halved</w:t>
      </w:r>
      <w:r w:rsidR="00057321" w:rsidRPr="002114B7">
        <w:rPr>
          <w:rFonts w:ascii="Arial" w:hAnsi="Arial" w:cs="Arial"/>
        </w:rPr>
        <w:t xml:space="preserve"> in England</w:t>
      </w:r>
      <w:r w:rsidR="00D23DCF" w:rsidRPr="002114B7">
        <w:rPr>
          <w:rFonts w:ascii="Arial" w:hAnsi="Arial" w:cs="Arial"/>
        </w:rPr>
        <w:t xml:space="preserve"> between 2010-1 and 2013-4</w:t>
      </w:r>
      <w:r w:rsidR="00AC2928" w:rsidRPr="002114B7">
        <w:rPr>
          <w:rFonts w:ascii="Arial" w:hAnsi="Arial" w:cs="Arial"/>
        </w:rPr>
        <w:t xml:space="preserve"> (HEFCE, 2014b), </w:t>
      </w:r>
      <w:r w:rsidR="004A67AA" w:rsidRPr="002114B7">
        <w:rPr>
          <w:rFonts w:ascii="Arial" w:hAnsi="Arial" w:cs="Arial"/>
        </w:rPr>
        <w:t>have much lower completion rates</w:t>
      </w:r>
      <w:r w:rsidR="00057321" w:rsidRPr="002114B7">
        <w:rPr>
          <w:rFonts w:ascii="Arial" w:hAnsi="Arial" w:cs="Arial"/>
        </w:rPr>
        <w:t>. For part-time students</w:t>
      </w:r>
      <w:r w:rsidR="004A67AA" w:rsidRPr="002114B7">
        <w:rPr>
          <w:rFonts w:ascii="Arial" w:hAnsi="Arial" w:cs="Arial"/>
        </w:rPr>
        <w:t xml:space="preserve"> on low intensity study awards the </w:t>
      </w:r>
      <w:r w:rsidR="00057321" w:rsidRPr="002114B7">
        <w:rPr>
          <w:rFonts w:ascii="Arial" w:hAnsi="Arial" w:cs="Arial"/>
        </w:rPr>
        <w:t xml:space="preserve">completion </w:t>
      </w:r>
      <w:r w:rsidR="004A67AA" w:rsidRPr="002114B7">
        <w:rPr>
          <w:rFonts w:ascii="Arial" w:hAnsi="Arial" w:cs="Arial"/>
        </w:rPr>
        <w:t>rates were one-sixth of those on full-time courses (HEFCE, 2009</w:t>
      </w:r>
      <w:r w:rsidR="001D0B33" w:rsidRPr="002114B7">
        <w:rPr>
          <w:rFonts w:ascii="Arial" w:hAnsi="Arial" w:cs="Arial"/>
        </w:rPr>
        <w:t>b</w:t>
      </w:r>
      <w:r w:rsidR="004A67AA" w:rsidRPr="002114B7">
        <w:rPr>
          <w:rFonts w:ascii="Arial" w:hAnsi="Arial" w:cs="Arial"/>
        </w:rPr>
        <w:t>).</w:t>
      </w:r>
      <w:r w:rsidR="00A66D6E" w:rsidRPr="002114B7">
        <w:rPr>
          <w:rFonts w:ascii="Arial" w:hAnsi="Arial" w:cs="Arial"/>
        </w:rPr>
        <w:t xml:space="preserve"> Moore et al. (2013, p. 47) conclude that the reasons why individuals leave HE early are “multiple and complex”. UK research suggests that ‘personal/financial reasons’ predominate, though around a third of early leavers cite course or institution re</w:t>
      </w:r>
      <w:r w:rsidR="001D0B33" w:rsidRPr="002114B7">
        <w:rPr>
          <w:rFonts w:ascii="Arial" w:hAnsi="Arial" w:cs="Arial"/>
        </w:rPr>
        <w:t>asons (Rose-Adams, 2012</w:t>
      </w:r>
      <w:r w:rsidR="00A66D6E" w:rsidRPr="002114B7">
        <w:rPr>
          <w:rFonts w:ascii="Arial" w:hAnsi="Arial" w:cs="Arial"/>
        </w:rPr>
        <w:t>)</w:t>
      </w:r>
      <w:r w:rsidR="00855185">
        <w:rPr>
          <w:rFonts w:ascii="Arial" w:hAnsi="Arial" w:cs="Arial"/>
        </w:rPr>
        <w:t>, though</w:t>
      </w:r>
      <w:r w:rsidR="00A66D6E" w:rsidRPr="002114B7">
        <w:rPr>
          <w:rFonts w:ascii="Arial" w:hAnsi="Arial" w:cs="Arial"/>
        </w:rPr>
        <w:t xml:space="preserve"> both of these factors appear to more severely impact on non-traditional entrants.</w:t>
      </w:r>
    </w:p>
    <w:p w:rsidR="008553EC" w:rsidRPr="002114B7" w:rsidRDefault="001C0BE9" w:rsidP="0019677C">
      <w:pPr>
        <w:spacing w:line="360" w:lineRule="auto"/>
        <w:rPr>
          <w:rFonts w:ascii="Arial" w:hAnsi="Arial" w:cs="Arial"/>
        </w:rPr>
      </w:pPr>
      <w:r w:rsidRPr="002114B7">
        <w:rPr>
          <w:rFonts w:ascii="Arial" w:hAnsi="Arial" w:cs="Arial"/>
        </w:rPr>
        <w:t>For those non-traditional entrants who</w:t>
      </w:r>
      <w:r w:rsidR="00057321" w:rsidRPr="002114B7">
        <w:rPr>
          <w:rFonts w:ascii="Arial" w:hAnsi="Arial" w:cs="Arial"/>
        </w:rPr>
        <w:t xml:space="preserve"> do</w:t>
      </w:r>
      <w:r w:rsidRPr="002114B7">
        <w:rPr>
          <w:rFonts w:ascii="Arial" w:hAnsi="Arial" w:cs="Arial"/>
        </w:rPr>
        <w:t xml:space="preserve"> complete </w:t>
      </w:r>
      <w:r w:rsidR="00057321" w:rsidRPr="002114B7">
        <w:rPr>
          <w:rFonts w:ascii="Arial" w:hAnsi="Arial" w:cs="Arial"/>
        </w:rPr>
        <w:t>their undergraduate studies</w:t>
      </w:r>
      <w:r w:rsidRPr="002114B7">
        <w:rPr>
          <w:rFonts w:ascii="Arial" w:hAnsi="Arial" w:cs="Arial"/>
        </w:rPr>
        <w:t xml:space="preserve"> there remains a significant attainment gap. </w:t>
      </w:r>
      <w:r w:rsidR="00196F2A" w:rsidRPr="002114B7">
        <w:rPr>
          <w:rFonts w:ascii="Arial" w:hAnsi="Arial" w:cs="Arial"/>
        </w:rPr>
        <w:t>Most groups of</w:t>
      </w:r>
      <w:r w:rsidR="00101E0D" w:rsidRPr="002114B7">
        <w:rPr>
          <w:rFonts w:ascii="Arial" w:hAnsi="Arial" w:cs="Arial"/>
        </w:rPr>
        <w:t xml:space="preserve"> non-traditional participants are significantly less likely to obtain </w:t>
      </w:r>
      <w:r w:rsidR="00BB20D8" w:rsidRPr="002114B7">
        <w:rPr>
          <w:rFonts w:ascii="Arial" w:hAnsi="Arial" w:cs="Arial"/>
        </w:rPr>
        <w:t xml:space="preserve">a ‘good’ degree, </w:t>
      </w:r>
      <w:r w:rsidR="00057321" w:rsidRPr="002114B7">
        <w:rPr>
          <w:rFonts w:ascii="Arial" w:hAnsi="Arial" w:cs="Arial"/>
        </w:rPr>
        <w:t xml:space="preserve">defined as achieving a </w:t>
      </w:r>
      <w:r w:rsidR="00101E0D" w:rsidRPr="002114B7">
        <w:rPr>
          <w:rFonts w:ascii="Arial" w:hAnsi="Arial" w:cs="Arial"/>
        </w:rPr>
        <w:t>first or upper second class degree</w:t>
      </w:r>
      <w:r w:rsidR="00057321" w:rsidRPr="002114B7">
        <w:rPr>
          <w:rFonts w:ascii="Arial" w:hAnsi="Arial" w:cs="Arial"/>
        </w:rPr>
        <w:t>. F</w:t>
      </w:r>
      <w:r w:rsidR="00101E0D" w:rsidRPr="002114B7">
        <w:rPr>
          <w:rFonts w:ascii="Arial" w:hAnsi="Arial" w:cs="Arial"/>
        </w:rPr>
        <w:t>or example</w:t>
      </w:r>
      <w:r w:rsidR="00057321" w:rsidRPr="002114B7">
        <w:rPr>
          <w:rFonts w:ascii="Arial" w:hAnsi="Arial" w:cs="Arial"/>
        </w:rPr>
        <w:t>, B</w:t>
      </w:r>
      <w:r w:rsidR="00101E0D" w:rsidRPr="002114B7">
        <w:rPr>
          <w:rFonts w:ascii="Arial" w:hAnsi="Arial" w:cs="Arial"/>
        </w:rPr>
        <w:t>lack students</w:t>
      </w:r>
      <w:r w:rsidR="00057321" w:rsidRPr="002114B7">
        <w:rPr>
          <w:rFonts w:ascii="Arial" w:hAnsi="Arial" w:cs="Arial"/>
        </w:rPr>
        <w:t xml:space="preserve"> are only a third as likely as W</w:t>
      </w:r>
      <w:r w:rsidR="00101E0D" w:rsidRPr="002114B7">
        <w:rPr>
          <w:rFonts w:ascii="Arial" w:hAnsi="Arial" w:cs="Arial"/>
        </w:rPr>
        <w:t>hite ones to obtain such a degree (</w:t>
      </w:r>
      <w:r w:rsidR="00196F2A" w:rsidRPr="002114B7">
        <w:rPr>
          <w:rFonts w:ascii="Arial" w:hAnsi="Arial" w:cs="Arial"/>
        </w:rPr>
        <w:t>Richardson, 20</w:t>
      </w:r>
      <w:r w:rsidR="00101E0D" w:rsidRPr="002114B7">
        <w:rPr>
          <w:rFonts w:ascii="Arial" w:hAnsi="Arial" w:cs="Arial"/>
        </w:rPr>
        <w:t>0</w:t>
      </w:r>
      <w:r w:rsidR="00196F2A" w:rsidRPr="002114B7">
        <w:rPr>
          <w:rFonts w:ascii="Arial" w:hAnsi="Arial" w:cs="Arial"/>
        </w:rPr>
        <w:t>8</w:t>
      </w:r>
      <w:r w:rsidR="00101E0D" w:rsidRPr="002114B7">
        <w:rPr>
          <w:rFonts w:ascii="Arial" w:hAnsi="Arial" w:cs="Arial"/>
        </w:rPr>
        <w:t xml:space="preserve">).  </w:t>
      </w:r>
      <w:r w:rsidR="00D23DCF" w:rsidRPr="002114B7">
        <w:rPr>
          <w:rFonts w:ascii="Arial" w:hAnsi="Arial" w:cs="Arial"/>
        </w:rPr>
        <w:t>Further analysis by HEFCE (2014c) found that 72% of White students who entered with grades BBB achieved a ‘good’ degree comp</w:t>
      </w:r>
      <w:r w:rsidR="00855185">
        <w:rPr>
          <w:rFonts w:ascii="Arial" w:hAnsi="Arial" w:cs="Arial"/>
        </w:rPr>
        <w:t xml:space="preserve">ared to 56% of Asian </w:t>
      </w:r>
      <w:r w:rsidR="00D23DCF" w:rsidRPr="002114B7">
        <w:rPr>
          <w:rFonts w:ascii="Arial" w:hAnsi="Arial" w:cs="Arial"/>
        </w:rPr>
        <w:t xml:space="preserve">and 52% of Black students. </w:t>
      </w:r>
      <w:r w:rsidR="00AD00CA" w:rsidRPr="002114B7">
        <w:rPr>
          <w:rFonts w:ascii="Arial" w:hAnsi="Arial" w:cs="Arial"/>
        </w:rPr>
        <w:t>Similarly, students from low participation (’disadvantaged</w:t>
      </w:r>
      <w:r w:rsidR="00855185">
        <w:rPr>
          <w:rFonts w:ascii="Arial" w:hAnsi="Arial" w:cs="Arial"/>
        </w:rPr>
        <w:t>’</w:t>
      </w:r>
      <w:r w:rsidR="00AD00CA" w:rsidRPr="002114B7">
        <w:rPr>
          <w:rFonts w:ascii="Arial" w:hAnsi="Arial" w:cs="Arial"/>
        </w:rPr>
        <w:t xml:space="preserve">) locations </w:t>
      </w:r>
      <w:r w:rsidR="00855185">
        <w:rPr>
          <w:rFonts w:ascii="Arial" w:hAnsi="Arial" w:cs="Arial"/>
        </w:rPr>
        <w:t xml:space="preserve">who do complete their studies </w:t>
      </w:r>
      <w:r w:rsidR="00AD00CA" w:rsidRPr="002114B7">
        <w:rPr>
          <w:rFonts w:ascii="Arial" w:hAnsi="Arial" w:cs="Arial"/>
        </w:rPr>
        <w:t xml:space="preserve">do less well at university than similarly qualified entrants from high participation neighbourhoods (HEFCE, 2014c). </w:t>
      </w:r>
      <w:r w:rsidRPr="002114B7">
        <w:rPr>
          <w:rFonts w:ascii="Arial" w:hAnsi="Arial" w:cs="Arial"/>
        </w:rPr>
        <w:t>The ‘kn</w:t>
      </w:r>
      <w:r w:rsidR="00101E0D" w:rsidRPr="002114B7">
        <w:rPr>
          <w:rFonts w:ascii="Arial" w:hAnsi="Arial" w:cs="Arial"/>
        </w:rPr>
        <w:t>ock-on’ effects of these</w:t>
      </w:r>
      <w:r w:rsidRPr="002114B7">
        <w:rPr>
          <w:rFonts w:ascii="Arial" w:hAnsi="Arial" w:cs="Arial"/>
        </w:rPr>
        <w:t xml:space="preserve"> </w:t>
      </w:r>
      <w:r w:rsidR="00101E0D" w:rsidRPr="002114B7">
        <w:rPr>
          <w:rFonts w:ascii="Arial" w:hAnsi="Arial" w:cs="Arial"/>
        </w:rPr>
        <w:t xml:space="preserve">attainment </w:t>
      </w:r>
      <w:r w:rsidRPr="002114B7">
        <w:rPr>
          <w:rFonts w:ascii="Arial" w:hAnsi="Arial" w:cs="Arial"/>
        </w:rPr>
        <w:t>gap</w:t>
      </w:r>
      <w:r w:rsidR="00101E0D" w:rsidRPr="002114B7">
        <w:rPr>
          <w:rFonts w:ascii="Arial" w:hAnsi="Arial" w:cs="Arial"/>
        </w:rPr>
        <w:t>s</w:t>
      </w:r>
      <w:r w:rsidRPr="002114B7">
        <w:rPr>
          <w:rFonts w:ascii="Arial" w:hAnsi="Arial" w:cs="Arial"/>
        </w:rPr>
        <w:t xml:space="preserve"> on the probability of undertaking post-graduate study and obtaining graduate-level employment are large (Machin et al</w:t>
      </w:r>
      <w:r w:rsidR="00101E0D" w:rsidRPr="002114B7">
        <w:rPr>
          <w:rFonts w:ascii="Arial" w:hAnsi="Arial" w:cs="Arial"/>
        </w:rPr>
        <w:t>.</w:t>
      </w:r>
      <w:r w:rsidRPr="002114B7">
        <w:rPr>
          <w:rFonts w:ascii="Arial" w:hAnsi="Arial" w:cs="Arial"/>
        </w:rPr>
        <w:t>, 2009)</w:t>
      </w:r>
      <w:r w:rsidR="00101E0D" w:rsidRPr="002114B7">
        <w:rPr>
          <w:rFonts w:ascii="Arial" w:hAnsi="Arial" w:cs="Arial"/>
        </w:rPr>
        <w:t xml:space="preserve">. The latter effects are important given the evidence of large and increasing returns to both a </w:t>
      </w:r>
      <w:r w:rsidR="00BB20D8" w:rsidRPr="002114B7">
        <w:rPr>
          <w:rFonts w:ascii="Arial" w:hAnsi="Arial" w:cs="Arial"/>
        </w:rPr>
        <w:t>‘</w:t>
      </w:r>
      <w:r w:rsidR="00101E0D" w:rsidRPr="002114B7">
        <w:rPr>
          <w:rFonts w:ascii="Arial" w:hAnsi="Arial" w:cs="Arial"/>
        </w:rPr>
        <w:t>good</w:t>
      </w:r>
      <w:r w:rsidR="00BB20D8" w:rsidRPr="002114B7">
        <w:rPr>
          <w:rFonts w:ascii="Arial" w:hAnsi="Arial" w:cs="Arial"/>
        </w:rPr>
        <w:t>’</w:t>
      </w:r>
      <w:r w:rsidR="00101E0D" w:rsidRPr="002114B7">
        <w:rPr>
          <w:rFonts w:ascii="Arial" w:hAnsi="Arial" w:cs="Arial"/>
        </w:rPr>
        <w:t xml:space="preserve"> undergraduate degree </w:t>
      </w:r>
      <w:r w:rsidR="00804AA4" w:rsidRPr="002114B7">
        <w:rPr>
          <w:rFonts w:ascii="Arial" w:hAnsi="Arial" w:cs="Arial"/>
        </w:rPr>
        <w:t>(</w:t>
      </w:r>
      <w:r w:rsidR="00BD521A" w:rsidRPr="002114B7">
        <w:rPr>
          <w:rFonts w:ascii="Arial" w:hAnsi="Arial" w:cs="Arial"/>
        </w:rPr>
        <w:t xml:space="preserve">Ireland et al., 2009 and </w:t>
      </w:r>
      <w:r w:rsidR="00804AA4" w:rsidRPr="002114B7">
        <w:rPr>
          <w:rFonts w:ascii="Arial" w:hAnsi="Arial" w:cs="Arial"/>
        </w:rPr>
        <w:t xml:space="preserve">Feng and </w:t>
      </w:r>
      <w:proofErr w:type="spellStart"/>
      <w:r w:rsidR="00804AA4" w:rsidRPr="002114B7">
        <w:rPr>
          <w:rFonts w:ascii="Arial" w:hAnsi="Arial" w:cs="Arial"/>
        </w:rPr>
        <w:t>Graetz</w:t>
      </w:r>
      <w:proofErr w:type="spellEnd"/>
      <w:r w:rsidR="00804AA4" w:rsidRPr="002114B7">
        <w:rPr>
          <w:rFonts w:ascii="Arial" w:hAnsi="Arial" w:cs="Arial"/>
        </w:rPr>
        <w:t xml:space="preserve">, 2013) </w:t>
      </w:r>
      <w:r w:rsidR="00101E0D" w:rsidRPr="002114B7">
        <w:rPr>
          <w:rFonts w:ascii="Arial" w:hAnsi="Arial" w:cs="Arial"/>
        </w:rPr>
        <w:t>and post-graduate study (London Economics, 2011)</w:t>
      </w:r>
      <w:r w:rsidR="00804AA4" w:rsidRPr="002114B7">
        <w:rPr>
          <w:rFonts w:ascii="Arial" w:hAnsi="Arial" w:cs="Arial"/>
        </w:rPr>
        <w:t>.</w:t>
      </w:r>
      <w:r w:rsidR="002A1145" w:rsidRPr="002114B7">
        <w:rPr>
          <w:rFonts w:ascii="Arial" w:hAnsi="Arial" w:cs="Arial"/>
        </w:rPr>
        <w:t xml:space="preserve"> In addition, students from under-represented groups are less likely to participate in extra-curricular activitie</w:t>
      </w:r>
      <w:r w:rsidR="00063B20" w:rsidRPr="002114B7">
        <w:rPr>
          <w:rFonts w:ascii="Arial" w:hAnsi="Arial" w:cs="Arial"/>
        </w:rPr>
        <w:t>s (Purcell et al., 2012</w:t>
      </w:r>
      <w:r w:rsidR="002A1145" w:rsidRPr="002114B7">
        <w:rPr>
          <w:rFonts w:ascii="Arial" w:hAnsi="Arial" w:cs="Arial"/>
        </w:rPr>
        <w:t xml:space="preserve">). This failure to invest in cultural </w:t>
      </w:r>
      <w:r w:rsidR="002A1145" w:rsidRPr="002114B7">
        <w:rPr>
          <w:rFonts w:ascii="Arial" w:hAnsi="Arial" w:cs="Arial"/>
        </w:rPr>
        <w:lastRenderedPageBreak/>
        <w:t>c</w:t>
      </w:r>
      <w:r w:rsidR="00084147" w:rsidRPr="002114B7">
        <w:rPr>
          <w:rFonts w:ascii="Arial" w:hAnsi="Arial" w:cs="Arial"/>
        </w:rPr>
        <w:t>apital appears to be punished by</w:t>
      </w:r>
      <w:r w:rsidR="002A1145" w:rsidRPr="002114B7">
        <w:rPr>
          <w:rFonts w:ascii="Arial" w:hAnsi="Arial" w:cs="Arial"/>
        </w:rPr>
        <w:t xml:space="preserve"> employers of graduates who value</w:t>
      </w:r>
      <w:r w:rsidR="00084147" w:rsidRPr="002114B7">
        <w:rPr>
          <w:rFonts w:ascii="Arial" w:hAnsi="Arial" w:cs="Arial"/>
        </w:rPr>
        <w:t xml:space="preserve"> ‘well-rounded’ HE experience when recruiting (</w:t>
      </w:r>
      <w:proofErr w:type="spellStart"/>
      <w:r w:rsidR="00084147" w:rsidRPr="002114B7">
        <w:rPr>
          <w:rFonts w:ascii="Arial" w:hAnsi="Arial" w:cs="Arial"/>
        </w:rPr>
        <w:t>Hinch</w:t>
      </w:r>
      <w:r w:rsidR="00063B20" w:rsidRPr="002114B7">
        <w:rPr>
          <w:rFonts w:ascii="Arial" w:hAnsi="Arial" w:cs="Arial"/>
        </w:rPr>
        <w:t>cliffe</w:t>
      </w:r>
      <w:proofErr w:type="spellEnd"/>
      <w:r w:rsidR="00063B20" w:rsidRPr="002114B7">
        <w:rPr>
          <w:rFonts w:ascii="Arial" w:hAnsi="Arial" w:cs="Arial"/>
        </w:rPr>
        <w:t xml:space="preserve"> and Jolly, 2011</w:t>
      </w:r>
      <w:r w:rsidR="00084147" w:rsidRPr="002114B7">
        <w:rPr>
          <w:rFonts w:ascii="Arial" w:hAnsi="Arial" w:cs="Arial"/>
        </w:rPr>
        <w:t>).</w:t>
      </w:r>
      <w:r w:rsidR="008553EC" w:rsidRPr="002114B7">
        <w:rPr>
          <w:rFonts w:ascii="Arial" w:hAnsi="Arial" w:cs="Arial"/>
        </w:rPr>
        <w:t xml:space="preserve"> </w:t>
      </w:r>
    </w:p>
    <w:p w:rsidR="003D0F6D" w:rsidRPr="002114B7" w:rsidRDefault="008553EC" w:rsidP="0019677C">
      <w:pPr>
        <w:spacing w:line="360" w:lineRule="auto"/>
        <w:rPr>
          <w:rFonts w:ascii="Arial" w:hAnsi="Arial" w:cs="Arial"/>
        </w:rPr>
      </w:pPr>
      <w:r w:rsidRPr="002114B7">
        <w:rPr>
          <w:rFonts w:ascii="Arial" w:hAnsi="Arial" w:cs="Arial"/>
        </w:rPr>
        <w:t>Students from under-represented groups disproportionately attend the less prestigious HEI’s</w:t>
      </w:r>
      <w:r w:rsidR="00AD15D6" w:rsidRPr="002114B7">
        <w:rPr>
          <w:rFonts w:ascii="Arial" w:hAnsi="Arial" w:cs="Arial"/>
        </w:rPr>
        <w:t xml:space="preserve"> (SMCPC, 2013</w:t>
      </w:r>
      <w:r w:rsidR="00BB60C8" w:rsidRPr="002114B7">
        <w:rPr>
          <w:rFonts w:ascii="Arial" w:hAnsi="Arial" w:cs="Arial"/>
        </w:rPr>
        <w:t>b</w:t>
      </w:r>
      <w:r w:rsidR="00AD15D6" w:rsidRPr="002114B7">
        <w:rPr>
          <w:rFonts w:ascii="Arial" w:hAnsi="Arial" w:cs="Arial"/>
        </w:rPr>
        <w:t>)</w:t>
      </w:r>
      <w:r w:rsidR="009F2970" w:rsidRPr="002114B7">
        <w:rPr>
          <w:rFonts w:ascii="Arial" w:hAnsi="Arial" w:cs="Arial"/>
        </w:rPr>
        <w:t>, for students from low income households this is partly due to their greater tendency to study at a local university (Gibbon</w:t>
      </w:r>
      <w:r w:rsidR="00057321" w:rsidRPr="002114B7">
        <w:rPr>
          <w:rFonts w:ascii="Arial" w:hAnsi="Arial" w:cs="Arial"/>
        </w:rPr>
        <w:t>s</w:t>
      </w:r>
      <w:r w:rsidR="009F2970" w:rsidRPr="002114B7">
        <w:rPr>
          <w:rFonts w:ascii="Arial" w:hAnsi="Arial" w:cs="Arial"/>
        </w:rPr>
        <w:t xml:space="preserve"> and </w:t>
      </w:r>
      <w:proofErr w:type="spellStart"/>
      <w:r w:rsidR="009F2970" w:rsidRPr="002114B7">
        <w:rPr>
          <w:rFonts w:ascii="Arial" w:hAnsi="Arial" w:cs="Arial"/>
        </w:rPr>
        <w:t>Vignole</w:t>
      </w:r>
      <w:r w:rsidR="00057321" w:rsidRPr="002114B7">
        <w:rPr>
          <w:rFonts w:ascii="Arial" w:hAnsi="Arial" w:cs="Arial"/>
        </w:rPr>
        <w:t>s</w:t>
      </w:r>
      <w:proofErr w:type="spellEnd"/>
      <w:r w:rsidR="009F2970" w:rsidRPr="002114B7">
        <w:rPr>
          <w:rFonts w:ascii="Arial" w:hAnsi="Arial" w:cs="Arial"/>
        </w:rPr>
        <w:t>, 2009)</w:t>
      </w:r>
      <w:r w:rsidRPr="002114B7">
        <w:rPr>
          <w:rFonts w:ascii="Arial" w:hAnsi="Arial" w:cs="Arial"/>
        </w:rPr>
        <w:t xml:space="preserve">. Even those who obtain ‘good’ degrees in </w:t>
      </w:r>
      <w:r w:rsidR="009F2970" w:rsidRPr="002114B7">
        <w:rPr>
          <w:rFonts w:ascii="Arial" w:hAnsi="Arial" w:cs="Arial"/>
        </w:rPr>
        <w:t>high prestige</w:t>
      </w:r>
      <w:r w:rsidRPr="002114B7">
        <w:rPr>
          <w:rFonts w:ascii="Arial" w:hAnsi="Arial" w:cs="Arial"/>
        </w:rPr>
        <w:t xml:space="preserve"> institutions face extra difficulties in entering the most favoured graduate employments. They are less likely to </w:t>
      </w:r>
      <w:r w:rsidR="00BD521A" w:rsidRPr="002114B7">
        <w:rPr>
          <w:rFonts w:ascii="Arial" w:hAnsi="Arial" w:cs="Arial"/>
        </w:rPr>
        <w:t xml:space="preserve">have the </w:t>
      </w:r>
      <w:r w:rsidR="001E684A">
        <w:rPr>
          <w:rFonts w:ascii="Arial" w:hAnsi="Arial" w:cs="Arial"/>
        </w:rPr>
        <w:t>‘</w:t>
      </w:r>
      <w:r w:rsidR="00BD521A" w:rsidRPr="002114B7">
        <w:rPr>
          <w:rFonts w:ascii="Arial" w:hAnsi="Arial" w:cs="Arial"/>
        </w:rPr>
        <w:t>right</w:t>
      </w:r>
      <w:r w:rsidR="001E684A">
        <w:rPr>
          <w:rFonts w:ascii="Arial" w:hAnsi="Arial" w:cs="Arial"/>
        </w:rPr>
        <w:t>’</w:t>
      </w:r>
      <w:r w:rsidR="00BD521A" w:rsidRPr="002114B7">
        <w:rPr>
          <w:rFonts w:ascii="Arial" w:hAnsi="Arial" w:cs="Arial"/>
        </w:rPr>
        <w:t xml:space="preserve"> </w:t>
      </w:r>
      <w:r w:rsidR="001E684A">
        <w:rPr>
          <w:rFonts w:ascii="Arial" w:hAnsi="Arial" w:cs="Arial"/>
        </w:rPr>
        <w:t>economic and social networks</w:t>
      </w:r>
      <w:r w:rsidR="00BD521A" w:rsidRPr="002114B7">
        <w:rPr>
          <w:rFonts w:ascii="Arial" w:hAnsi="Arial" w:cs="Arial"/>
        </w:rPr>
        <w:t xml:space="preserve"> or </w:t>
      </w:r>
      <w:r w:rsidRPr="002114B7">
        <w:rPr>
          <w:rFonts w:ascii="Arial" w:hAnsi="Arial" w:cs="Arial"/>
        </w:rPr>
        <w:t xml:space="preserve">be able to gain experience </w:t>
      </w:r>
      <w:r w:rsidR="00BD521A" w:rsidRPr="002114B7">
        <w:rPr>
          <w:rFonts w:ascii="Arial" w:hAnsi="Arial" w:cs="Arial"/>
        </w:rPr>
        <w:t>by working unpaid, whilst the leading graduate employers actively market their vacancies at only 20 universities, predominantly those who are members of the Russell Group (SMCPC, 2013</w:t>
      </w:r>
      <w:r w:rsidR="00BB60C8" w:rsidRPr="002114B7">
        <w:rPr>
          <w:rFonts w:ascii="Arial" w:hAnsi="Arial" w:cs="Arial"/>
        </w:rPr>
        <w:t>b</w:t>
      </w:r>
      <w:r w:rsidR="00BD521A" w:rsidRPr="002114B7">
        <w:rPr>
          <w:rFonts w:ascii="Arial" w:hAnsi="Arial" w:cs="Arial"/>
        </w:rPr>
        <w:t xml:space="preserve">). </w:t>
      </w:r>
      <w:r w:rsidR="0001108D" w:rsidRPr="002114B7">
        <w:rPr>
          <w:rFonts w:ascii="Arial" w:hAnsi="Arial" w:cs="Arial"/>
        </w:rPr>
        <w:t xml:space="preserve">Hence, students from less advantaged groups are less likely to obtain graduate level jobs than those from more advantaged groups (ODPM, 2013). </w:t>
      </w:r>
      <w:r w:rsidR="00BD521A" w:rsidRPr="002114B7">
        <w:rPr>
          <w:rFonts w:ascii="Arial" w:hAnsi="Arial" w:cs="Arial"/>
        </w:rPr>
        <w:t xml:space="preserve">One consequence of such </w:t>
      </w:r>
      <w:r w:rsidR="0001108D" w:rsidRPr="002114B7">
        <w:rPr>
          <w:rFonts w:ascii="Arial" w:hAnsi="Arial" w:cs="Arial"/>
        </w:rPr>
        <w:t xml:space="preserve">employer </w:t>
      </w:r>
      <w:r w:rsidR="00BD521A" w:rsidRPr="002114B7">
        <w:rPr>
          <w:rFonts w:ascii="Arial" w:hAnsi="Arial" w:cs="Arial"/>
        </w:rPr>
        <w:t>be</w:t>
      </w:r>
      <w:r w:rsidR="00AD15D6" w:rsidRPr="002114B7">
        <w:rPr>
          <w:rFonts w:ascii="Arial" w:hAnsi="Arial" w:cs="Arial"/>
        </w:rPr>
        <w:t>haviour</w:t>
      </w:r>
      <w:r w:rsidR="00BD521A" w:rsidRPr="002114B7">
        <w:rPr>
          <w:rFonts w:ascii="Arial" w:hAnsi="Arial" w:cs="Arial"/>
        </w:rPr>
        <w:t xml:space="preserve"> is that </w:t>
      </w:r>
      <w:r w:rsidR="00AD15D6" w:rsidRPr="002114B7">
        <w:rPr>
          <w:rFonts w:ascii="Arial" w:hAnsi="Arial" w:cs="Arial"/>
        </w:rPr>
        <w:t>there appears to be a large and rising premium from attending a Russell Group Institution. Hussain et al. (2009) estimate that other things being equal, a graduate from an HEI in the top quartile of research ranking will earn between 10 and 16 per cent higher wages than one who attended an HEI in the lowest quartile.</w:t>
      </w:r>
      <w:r w:rsidR="00BD521A" w:rsidRPr="002114B7">
        <w:rPr>
          <w:rFonts w:ascii="Arial" w:hAnsi="Arial" w:cs="Arial"/>
        </w:rPr>
        <w:t xml:space="preserve"> </w:t>
      </w:r>
      <w:r w:rsidRPr="002114B7">
        <w:rPr>
          <w:rFonts w:ascii="Arial" w:hAnsi="Arial" w:cs="Arial"/>
        </w:rPr>
        <w:t xml:space="preserve">   </w:t>
      </w:r>
      <w:r w:rsidR="003D0F6D" w:rsidRPr="002114B7">
        <w:rPr>
          <w:rFonts w:ascii="Arial" w:hAnsi="Arial" w:cs="Arial"/>
        </w:rPr>
        <w:t xml:space="preserve"> </w:t>
      </w:r>
    </w:p>
    <w:p w:rsidR="00AD3EC1" w:rsidRPr="002114B7" w:rsidRDefault="00BD521A" w:rsidP="0019677C">
      <w:pPr>
        <w:spacing w:line="360" w:lineRule="auto"/>
        <w:rPr>
          <w:rFonts w:ascii="Arial" w:hAnsi="Arial" w:cs="Arial"/>
        </w:rPr>
      </w:pPr>
      <w:r w:rsidRPr="002114B7">
        <w:rPr>
          <w:rFonts w:ascii="Arial" w:hAnsi="Arial" w:cs="Arial"/>
        </w:rPr>
        <w:t xml:space="preserve">The result of the interaction of these factors is that </w:t>
      </w:r>
      <w:r w:rsidR="003D0F6D" w:rsidRPr="002114B7">
        <w:rPr>
          <w:rFonts w:ascii="Arial" w:hAnsi="Arial" w:cs="Arial"/>
        </w:rPr>
        <w:t>the different groups of non-traditional graduates tend to earn less than those graduates from over-re</w:t>
      </w:r>
      <w:r w:rsidR="00057321" w:rsidRPr="002114B7">
        <w:rPr>
          <w:rFonts w:ascii="Arial" w:hAnsi="Arial" w:cs="Arial"/>
        </w:rPr>
        <w:t>presented groups. For example, B</w:t>
      </w:r>
      <w:r w:rsidR="003D0F6D" w:rsidRPr="002114B7">
        <w:rPr>
          <w:rFonts w:ascii="Arial" w:hAnsi="Arial" w:cs="Arial"/>
        </w:rPr>
        <w:t>lack graduates earn</w:t>
      </w:r>
      <w:r w:rsidR="00057321" w:rsidRPr="002114B7">
        <w:rPr>
          <w:rFonts w:ascii="Arial" w:hAnsi="Arial" w:cs="Arial"/>
        </w:rPr>
        <w:t>ed on average 5.3% less than W</w:t>
      </w:r>
      <w:r w:rsidR="003D0F6D" w:rsidRPr="002114B7">
        <w:rPr>
          <w:rFonts w:ascii="Arial" w:hAnsi="Arial" w:cs="Arial"/>
        </w:rPr>
        <w:t>hite graduates 6 months after completing their studies and the largest income gap was between graduates from state and independent school backgrounds (Machin et al., 2009).</w:t>
      </w:r>
      <w:r w:rsidR="00BB60C8" w:rsidRPr="002114B7">
        <w:rPr>
          <w:rFonts w:ascii="Arial" w:hAnsi="Arial" w:cs="Arial"/>
        </w:rPr>
        <w:t xml:space="preserve"> Overall, it appears that the rising employers’ demand for university</w:t>
      </w:r>
      <w:r w:rsidRPr="002114B7">
        <w:rPr>
          <w:rFonts w:ascii="Arial" w:hAnsi="Arial" w:cs="Arial"/>
        </w:rPr>
        <w:t xml:space="preserve"> </w:t>
      </w:r>
      <w:r w:rsidR="00BB60C8" w:rsidRPr="002114B7">
        <w:rPr>
          <w:rFonts w:ascii="Arial" w:hAnsi="Arial" w:cs="Arial"/>
        </w:rPr>
        <w:t xml:space="preserve">graduates </w:t>
      </w:r>
      <w:r w:rsidR="006F4ADF" w:rsidRPr="002114B7">
        <w:rPr>
          <w:rFonts w:ascii="Arial" w:hAnsi="Arial" w:cs="Arial"/>
        </w:rPr>
        <w:t xml:space="preserve">in the UK </w:t>
      </w:r>
      <w:r w:rsidR="00BB60C8" w:rsidRPr="002114B7">
        <w:rPr>
          <w:rFonts w:ascii="Arial" w:hAnsi="Arial" w:cs="Arial"/>
        </w:rPr>
        <w:t>has at least matched the increasing supply and that overall the graduate pr</w:t>
      </w:r>
      <w:r w:rsidR="002A33DD" w:rsidRPr="002114B7">
        <w:rPr>
          <w:rFonts w:ascii="Arial" w:hAnsi="Arial" w:cs="Arial"/>
        </w:rPr>
        <w:t>emium</w:t>
      </w:r>
      <w:r w:rsidR="00BB60C8" w:rsidRPr="002114B7">
        <w:rPr>
          <w:rFonts w:ascii="Arial" w:hAnsi="Arial" w:cs="Arial"/>
        </w:rPr>
        <w:t xml:space="preserve"> remains high</w:t>
      </w:r>
      <w:r w:rsidR="00F63084" w:rsidRPr="002114B7">
        <w:rPr>
          <w:rFonts w:ascii="Arial" w:hAnsi="Arial" w:cs="Arial"/>
        </w:rPr>
        <w:t xml:space="preserve"> (Walker and Zhu, 2011)</w:t>
      </w:r>
      <w:r w:rsidR="00BB60C8" w:rsidRPr="002114B7">
        <w:rPr>
          <w:rFonts w:ascii="Arial" w:hAnsi="Arial" w:cs="Arial"/>
        </w:rPr>
        <w:t xml:space="preserve">, though </w:t>
      </w:r>
      <w:proofErr w:type="spellStart"/>
      <w:r w:rsidR="00BB60C8" w:rsidRPr="002114B7">
        <w:rPr>
          <w:rFonts w:ascii="Arial" w:hAnsi="Arial" w:cs="Arial"/>
        </w:rPr>
        <w:t>Bratti</w:t>
      </w:r>
      <w:proofErr w:type="spellEnd"/>
      <w:r w:rsidR="00BB60C8" w:rsidRPr="002114B7">
        <w:rPr>
          <w:rFonts w:ascii="Arial" w:hAnsi="Arial" w:cs="Arial"/>
        </w:rPr>
        <w:t xml:space="preserve"> et al. (2008) found that it had fallen for women</w:t>
      </w:r>
      <w:r w:rsidR="002A33DD" w:rsidRPr="002114B7">
        <w:rPr>
          <w:rFonts w:ascii="Arial" w:hAnsi="Arial" w:cs="Arial"/>
        </w:rPr>
        <w:t>, reducing their previously much higher rate of return.</w:t>
      </w:r>
      <w:r w:rsidR="006F4ADF" w:rsidRPr="002114B7">
        <w:rPr>
          <w:rFonts w:ascii="Arial" w:hAnsi="Arial" w:cs="Arial"/>
        </w:rPr>
        <w:t xml:space="preserve"> However,</w:t>
      </w:r>
      <w:r w:rsidR="00ED1280" w:rsidRPr="002114B7">
        <w:rPr>
          <w:rFonts w:ascii="Arial" w:hAnsi="Arial" w:cs="Arial"/>
        </w:rPr>
        <w:t xml:space="preserve"> </w:t>
      </w:r>
      <w:proofErr w:type="spellStart"/>
      <w:r w:rsidR="00ED1280" w:rsidRPr="002114B7">
        <w:rPr>
          <w:rFonts w:ascii="Arial" w:hAnsi="Arial" w:cs="Arial"/>
        </w:rPr>
        <w:t>Dearden</w:t>
      </w:r>
      <w:proofErr w:type="spellEnd"/>
      <w:r w:rsidR="00ED1280" w:rsidRPr="002114B7">
        <w:rPr>
          <w:rFonts w:ascii="Arial" w:hAnsi="Arial" w:cs="Arial"/>
        </w:rPr>
        <w:t xml:space="preserve"> et al. (2008) found that male lifetime</w:t>
      </w:r>
      <w:r w:rsidR="00BB60C8" w:rsidRPr="002114B7">
        <w:rPr>
          <w:rFonts w:ascii="Arial" w:hAnsi="Arial" w:cs="Arial"/>
        </w:rPr>
        <w:t xml:space="preserve"> </w:t>
      </w:r>
      <w:r w:rsidR="00ED1280" w:rsidRPr="002114B7">
        <w:rPr>
          <w:rFonts w:ascii="Arial" w:hAnsi="Arial" w:cs="Arial"/>
        </w:rPr>
        <w:t>earning</w:t>
      </w:r>
      <w:r w:rsidR="006F4ADF" w:rsidRPr="002114B7">
        <w:rPr>
          <w:rFonts w:ascii="Arial" w:hAnsi="Arial" w:cs="Arial"/>
        </w:rPr>
        <w:t>s</w:t>
      </w:r>
      <w:r w:rsidR="00ED1280" w:rsidRPr="002114B7">
        <w:rPr>
          <w:rFonts w:ascii="Arial" w:hAnsi="Arial" w:cs="Arial"/>
        </w:rPr>
        <w:t xml:space="preserve"> were more dispersed for</w:t>
      </w:r>
      <w:r w:rsidR="006F4ADF" w:rsidRPr="002114B7">
        <w:rPr>
          <w:rFonts w:ascii="Arial" w:hAnsi="Arial" w:cs="Arial"/>
        </w:rPr>
        <w:t xml:space="preserve"> graduates than non-graduates suggesting that those returns </w:t>
      </w:r>
      <w:r w:rsidR="00057321" w:rsidRPr="002114B7">
        <w:rPr>
          <w:rFonts w:ascii="Arial" w:hAnsi="Arial" w:cs="Arial"/>
        </w:rPr>
        <w:t xml:space="preserve">to university study </w:t>
      </w:r>
      <w:r w:rsidR="006F4ADF" w:rsidRPr="002114B7">
        <w:rPr>
          <w:rFonts w:ascii="Arial" w:hAnsi="Arial" w:cs="Arial"/>
        </w:rPr>
        <w:t>had become more uncertain.</w:t>
      </w:r>
      <w:r w:rsidR="00E807B3" w:rsidRPr="002114B7">
        <w:rPr>
          <w:rFonts w:ascii="Arial" w:hAnsi="Arial" w:cs="Arial"/>
        </w:rPr>
        <w:t xml:space="preserve"> </w:t>
      </w:r>
      <w:r w:rsidR="00057321" w:rsidRPr="002114B7">
        <w:rPr>
          <w:rFonts w:ascii="Arial" w:hAnsi="Arial" w:cs="Arial"/>
        </w:rPr>
        <w:t>However, a</w:t>
      </w:r>
      <w:r w:rsidR="00D061BA" w:rsidRPr="002114B7">
        <w:rPr>
          <w:rFonts w:ascii="Arial" w:hAnsi="Arial" w:cs="Arial"/>
        </w:rPr>
        <w:t xml:space="preserve">n undergraduate degree increases the likelihood of an individual being employed over their working life by 3 percentage points compared possession of ‘A’ Levels.  Though there is no authoritative evidence on the effect of graduation on either the incidence of unemployment or labour market participation of those graduating from non-traditional student groups. </w:t>
      </w:r>
    </w:p>
    <w:p w:rsidR="003676C5" w:rsidRPr="002114B7" w:rsidRDefault="006F4ADF" w:rsidP="0019677C">
      <w:pPr>
        <w:spacing w:line="360" w:lineRule="auto"/>
        <w:rPr>
          <w:rFonts w:ascii="Arial" w:hAnsi="Arial" w:cs="Arial"/>
        </w:rPr>
      </w:pPr>
      <w:r w:rsidRPr="002114B7">
        <w:rPr>
          <w:rFonts w:ascii="Arial" w:hAnsi="Arial" w:cs="Arial"/>
        </w:rPr>
        <w:t xml:space="preserve">Taking these findings </w:t>
      </w:r>
      <w:r w:rsidR="009E7F8A" w:rsidRPr="002114B7">
        <w:rPr>
          <w:rFonts w:ascii="Arial" w:hAnsi="Arial" w:cs="Arial"/>
        </w:rPr>
        <w:t xml:space="preserve">on individual economic returns </w:t>
      </w:r>
      <w:r w:rsidRPr="002114B7">
        <w:rPr>
          <w:rFonts w:ascii="Arial" w:hAnsi="Arial" w:cs="Arial"/>
        </w:rPr>
        <w:t xml:space="preserve">together suggests that marginal entrants to </w:t>
      </w:r>
      <w:proofErr w:type="gramStart"/>
      <w:r w:rsidRPr="002114B7">
        <w:rPr>
          <w:rFonts w:ascii="Arial" w:hAnsi="Arial" w:cs="Arial"/>
        </w:rPr>
        <w:t>HE</w:t>
      </w:r>
      <w:proofErr w:type="gramEnd"/>
      <w:r w:rsidRPr="002114B7">
        <w:rPr>
          <w:rFonts w:ascii="Arial" w:hAnsi="Arial" w:cs="Arial"/>
        </w:rPr>
        <w:t xml:space="preserve"> from under-represented groups are on average likely to receive higher lifetime earnings if they graduate. However, these returns are uncertain and are likely to be</w:t>
      </w:r>
      <w:r w:rsidR="009E7F8A" w:rsidRPr="002114B7">
        <w:rPr>
          <w:rFonts w:ascii="Arial" w:hAnsi="Arial" w:cs="Arial"/>
        </w:rPr>
        <w:t>, on average,</w:t>
      </w:r>
      <w:r w:rsidRPr="002114B7">
        <w:rPr>
          <w:rFonts w:ascii="Arial" w:hAnsi="Arial" w:cs="Arial"/>
        </w:rPr>
        <w:t xml:space="preserve"> significantly lower than those received by over-represented </w:t>
      </w:r>
      <w:r w:rsidR="009E7F8A" w:rsidRPr="002114B7">
        <w:rPr>
          <w:rFonts w:ascii="Arial" w:hAnsi="Arial" w:cs="Arial"/>
        </w:rPr>
        <w:t xml:space="preserve">student </w:t>
      </w:r>
      <w:r w:rsidRPr="002114B7">
        <w:rPr>
          <w:rFonts w:ascii="Arial" w:hAnsi="Arial" w:cs="Arial"/>
        </w:rPr>
        <w:t xml:space="preserve">groups.  </w:t>
      </w:r>
      <w:r w:rsidR="00ED1280" w:rsidRPr="002114B7">
        <w:rPr>
          <w:rFonts w:ascii="Arial" w:hAnsi="Arial" w:cs="Arial"/>
        </w:rPr>
        <w:t xml:space="preserve"> </w:t>
      </w:r>
      <w:r w:rsidR="003D0F6D" w:rsidRPr="002114B7">
        <w:rPr>
          <w:rFonts w:ascii="Arial" w:hAnsi="Arial" w:cs="Arial"/>
        </w:rPr>
        <w:t xml:space="preserve"> </w:t>
      </w:r>
      <w:r w:rsidR="002A1145" w:rsidRPr="002114B7">
        <w:rPr>
          <w:rFonts w:ascii="Arial" w:hAnsi="Arial" w:cs="Arial"/>
        </w:rPr>
        <w:t xml:space="preserve"> </w:t>
      </w:r>
      <w:r w:rsidR="00101E0D" w:rsidRPr="002114B7">
        <w:rPr>
          <w:rFonts w:ascii="Arial" w:hAnsi="Arial" w:cs="Arial"/>
        </w:rPr>
        <w:t xml:space="preserve"> </w:t>
      </w:r>
      <w:r w:rsidR="001C0BE9" w:rsidRPr="002114B7">
        <w:rPr>
          <w:rFonts w:ascii="Arial" w:hAnsi="Arial" w:cs="Arial"/>
        </w:rPr>
        <w:t xml:space="preserve"> </w:t>
      </w:r>
      <w:r w:rsidR="00AD3EC1" w:rsidRPr="002114B7">
        <w:rPr>
          <w:rFonts w:ascii="Arial" w:hAnsi="Arial" w:cs="Arial"/>
        </w:rPr>
        <w:lastRenderedPageBreak/>
        <w:t>We now turn to consider the evidence on social benefits, which given their nature, have been much more difficult to quantify.</w:t>
      </w:r>
      <w:r w:rsidR="00A66D6E" w:rsidRPr="002114B7">
        <w:rPr>
          <w:rFonts w:ascii="Arial" w:hAnsi="Arial" w:cs="Arial"/>
        </w:rPr>
        <w:t xml:space="preserve">  </w:t>
      </w:r>
    </w:p>
    <w:p w:rsidR="00AD3EC1" w:rsidRPr="002114B7" w:rsidRDefault="00AD3EC1">
      <w:pPr>
        <w:rPr>
          <w:rFonts w:ascii="Arial" w:hAnsi="Arial" w:cs="Arial"/>
          <w:b/>
        </w:rPr>
      </w:pPr>
      <w:r w:rsidRPr="002114B7">
        <w:rPr>
          <w:rFonts w:ascii="Arial" w:hAnsi="Arial" w:cs="Arial"/>
          <w:b/>
        </w:rPr>
        <w:t>Recent evidence on the social benefits of widening participation</w:t>
      </w:r>
    </w:p>
    <w:p w:rsidR="00480FA3" w:rsidRPr="002114B7" w:rsidRDefault="00AF14F4" w:rsidP="00A46E9B">
      <w:pPr>
        <w:spacing w:line="360" w:lineRule="auto"/>
        <w:rPr>
          <w:rFonts w:ascii="Arial" w:hAnsi="Arial" w:cs="Arial"/>
        </w:rPr>
      </w:pPr>
      <w:r w:rsidRPr="002114B7">
        <w:rPr>
          <w:rFonts w:ascii="Arial" w:hAnsi="Arial" w:cs="Arial"/>
        </w:rPr>
        <w:t>The</w:t>
      </w:r>
      <w:r w:rsidR="002A2F29" w:rsidRPr="002114B7">
        <w:rPr>
          <w:rFonts w:ascii="Arial" w:hAnsi="Arial" w:cs="Arial"/>
        </w:rPr>
        <w:t xml:space="preserve"> UK’s Government’s</w:t>
      </w:r>
      <w:r w:rsidRPr="002114B7">
        <w:rPr>
          <w:rFonts w:ascii="Arial" w:hAnsi="Arial" w:cs="Arial"/>
        </w:rPr>
        <w:t xml:space="preserve"> 2011 White Paper </w:t>
      </w:r>
      <w:r w:rsidRPr="002114B7">
        <w:rPr>
          <w:rFonts w:ascii="Arial" w:hAnsi="Arial" w:cs="Arial"/>
          <w:i/>
        </w:rPr>
        <w:t xml:space="preserve">Opening Doors, Breaking Barriers: A </w:t>
      </w:r>
      <w:r w:rsidR="002A2F29" w:rsidRPr="002114B7">
        <w:rPr>
          <w:rFonts w:ascii="Arial" w:hAnsi="Arial" w:cs="Arial"/>
          <w:i/>
        </w:rPr>
        <w:t>S</w:t>
      </w:r>
      <w:r w:rsidRPr="002114B7">
        <w:rPr>
          <w:rFonts w:ascii="Arial" w:hAnsi="Arial" w:cs="Arial"/>
          <w:i/>
        </w:rPr>
        <w:t>trategy for Social Mobility</w:t>
      </w:r>
      <w:r w:rsidRPr="002114B7">
        <w:rPr>
          <w:rFonts w:ascii="Arial" w:hAnsi="Arial" w:cs="Arial"/>
        </w:rPr>
        <w:t xml:space="preserve"> heralded </w:t>
      </w:r>
      <w:r w:rsidR="00A46E9B" w:rsidRPr="002114B7">
        <w:rPr>
          <w:rFonts w:ascii="Arial" w:hAnsi="Arial" w:cs="Arial"/>
        </w:rPr>
        <w:t xml:space="preserve">a renewed concern about the </w:t>
      </w:r>
      <w:r w:rsidR="002A2F29" w:rsidRPr="002114B7">
        <w:rPr>
          <w:rFonts w:ascii="Arial" w:hAnsi="Arial" w:cs="Arial"/>
        </w:rPr>
        <w:t xml:space="preserve">country’s </w:t>
      </w:r>
      <w:r w:rsidR="00A46E9B" w:rsidRPr="002114B7">
        <w:rPr>
          <w:rFonts w:ascii="Arial" w:hAnsi="Arial" w:cs="Arial"/>
        </w:rPr>
        <w:t>relatively low le</w:t>
      </w:r>
      <w:r w:rsidR="002A2F29" w:rsidRPr="002114B7">
        <w:rPr>
          <w:rFonts w:ascii="Arial" w:hAnsi="Arial" w:cs="Arial"/>
        </w:rPr>
        <w:t>vel of social mobility</w:t>
      </w:r>
      <w:r w:rsidR="00A46E9B" w:rsidRPr="002114B7">
        <w:rPr>
          <w:rFonts w:ascii="Arial" w:hAnsi="Arial" w:cs="Arial"/>
        </w:rPr>
        <w:t xml:space="preserve">. </w:t>
      </w:r>
      <w:r w:rsidR="000D1DBD" w:rsidRPr="002114B7">
        <w:rPr>
          <w:rFonts w:ascii="Arial" w:hAnsi="Arial" w:cs="Arial"/>
        </w:rPr>
        <w:t xml:space="preserve">Indeed </w:t>
      </w:r>
      <w:proofErr w:type="spellStart"/>
      <w:r w:rsidR="000D1DBD" w:rsidRPr="002114B7">
        <w:rPr>
          <w:rFonts w:ascii="Arial" w:hAnsi="Arial" w:cs="Arial"/>
        </w:rPr>
        <w:t>Blanden</w:t>
      </w:r>
      <w:proofErr w:type="spellEnd"/>
      <w:r w:rsidR="000D1DBD" w:rsidRPr="002114B7">
        <w:rPr>
          <w:rFonts w:ascii="Arial" w:hAnsi="Arial" w:cs="Arial"/>
        </w:rPr>
        <w:t xml:space="preserve"> et al. (2005) suggest that social mobility had been falling in the UK finding that </w:t>
      </w:r>
      <w:r w:rsidR="00101A6F" w:rsidRPr="002114B7">
        <w:rPr>
          <w:rFonts w:ascii="Arial" w:hAnsi="Arial" w:cs="Arial"/>
        </w:rPr>
        <w:t xml:space="preserve">adult earning were being more strongly related to parental income over time. Through </w:t>
      </w:r>
      <w:r w:rsidR="007511C3" w:rsidRPr="002114B7">
        <w:rPr>
          <w:rFonts w:ascii="Arial" w:hAnsi="Arial" w:cs="Arial"/>
        </w:rPr>
        <w:t xml:space="preserve">the adoption of </w:t>
      </w:r>
      <w:r w:rsidR="00101A6F" w:rsidRPr="002114B7">
        <w:rPr>
          <w:rFonts w:ascii="Arial" w:hAnsi="Arial" w:cs="Arial"/>
        </w:rPr>
        <w:t>some heroic assumptions</w:t>
      </w:r>
      <w:r w:rsidR="007511C3" w:rsidRPr="002114B7">
        <w:rPr>
          <w:rFonts w:ascii="Arial" w:hAnsi="Arial" w:cs="Arial"/>
        </w:rPr>
        <w:t>,</w:t>
      </w:r>
      <w:r w:rsidR="00101A6F" w:rsidRPr="002114B7">
        <w:rPr>
          <w:rFonts w:ascii="Arial" w:hAnsi="Arial" w:cs="Arial"/>
        </w:rPr>
        <w:t xml:space="preserve"> the Sutton Trust (2010) estimated that increasing UK’s social mobility level to that of best European practice (Finland) </w:t>
      </w:r>
      <w:r w:rsidR="00480FA3" w:rsidRPr="002114B7">
        <w:rPr>
          <w:rFonts w:ascii="Arial" w:hAnsi="Arial" w:cs="Arial"/>
        </w:rPr>
        <w:t xml:space="preserve">and raising educational attainment of the lowest achievers to the current average level </w:t>
      </w:r>
      <w:r w:rsidR="00101A6F" w:rsidRPr="002114B7">
        <w:rPr>
          <w:rFonts w:ascii="Arial" w:hAnsi="Arial" w:cs="Arial"/>
        </w:rPr>
        <w:t xml:space="preserve">would boost its economy by </w:t>
      </w:r>
      <w:r w:rsidR="00480FA3" w:rsidRPr="002114B7">
        <w:rPr>
          <w:rFonts w:ascii="Arial" w:hAnsi="Arial" w:cs="Arial"/>
        </w:rPr>
        <w:t xml:space="preserve">up to </w:t>
      </w:r>
      <w:r w:rsidR="00101A6F" w:rsidRPr="002114B7">
        <w:rPr>
          <w:rFonts w:ascii="Arial" w:hAnsi="Arial" w:cs="Arial"/>
        </w:rPr>
        <w:t>£140 billion a year by 2050</w:t>
      </w:r>
      <w:r w:rsidR="00480FA3" w:rsidRPr="002114B7">
        <w:rPr>
          <w:rFonts w:ascii="Arial" w:hAnsi="Arial" w:cs="Arial"/>
        </w:rPr>
        <w:t xml:space="preserve"> (equivalent to 4 per cent of GDP</w:t>
      </w:r>
      <w:r w:rsidR="007511C3" w:rsidRPr="002114B7">
        <w:rPr>
          <w:rFonts w:ascii="Arial" w:hAnsi="Arial" w:cs="Arial"/>
        </w:rPr>
        <w:t>)</w:t>
      </w:r>
      <w:r w:rsidR="00101A6F" w:rsidRPr="002114B7">
        <w:rPr>
          <w:rFonts w:ascii="Arial" w:hAnsi="Arial" w:cs="Arial"/>
        </w:rPr>
        <w:t>. The 2011 White Paper</w:t>
      </w:r>
      <w:r w:rsidR="00A46E9B" w:rsidRPr="002114B7">
        <w:rPr>
          <w:rFonts w:ascii="Arial" w:hAnsi="Arial" w:cs="Arial"/>
        </w:rPr>
        <w:t xml:space="preserve"> also </w:t>
      </w:r>
      <w:r w:rsidR="00101A6F" w:rsidRPr="002114B7">
        <w:rPr>
          <w:rFonts w:ascii="Arial" w:hAnsi="Arial" w:cs="Arial"/>
        </w:rPr>
        <w:t>heralded increased</w:t>
      </w:r>
      <w:r w:rsidR="00A46E9B" w:rsidRPr="002114B7">
        <w:rPr>
          <w:rFonts w:ascii="Arial" w:hAnsi="Arial" w:cs="Arial"/>
        </w:rPr>
        <w:t xml:space="preserve"> research into the determinants of th</w:t>
      </w:r>
      <w:r w:rsidR="002A2F29" w:rsidRPr="002114B7">
        <w:rPr>
          <w:rFonts w:ascii="Arial" w:hAnsi="Arial" w:cs="Arial"/>
        </w:rPr>
        <w:t>e degree of social mobility, muc</w:t>
      </w:r>
      <w:r w:rsidR="00A46E9B" w:rsidRPr="002114B7">
        <w:rPr>
          <w:rFonts w:ascii="Arial" w:hAnsi="Arial" w:cs="Arial"/>
        </w:rPr>
        <w:t>h of it commissioned by the Social Mobility and Child Poverty Commission.</w:t>
      </w:r>
      <w:r w:rsidR="002A2F29" w:rsidRPr="002114B7">
        <w:rPr>
          <w:rFonts w:ascii="Arial" w:hAnsi="Arial" w:cs="Arial"/>
        </w:rPr>
        <w:t xml:space="preserve"> </w:t>
      </w:r>
    </w:p>
    <w:p w:rsidR="00532519" w:rsidRPr="002114B7" w:rsidRDefault="002A2F29" w:rsidP="00A46E9B">
      <w:pPr>
        <w:spacing w:line="360" w:lineRule="auto"/>
        <w:rPr>
          <w:rFonts w:ascii="Arial" w:hAnsi="Arial" w:cs="Arial"/>
        </w:rPr>
      </w:pPr>
      <w:r w:rsidRPr="002114B7">
        <w:rPr>
          <w:rFonts w:ascii="Arial" w:hAnsi="Arial" w:cs="Arial"/>
        </w:rPr>
        <w:t xml:space="preserve">Macmillan and </w:t>
      </w:r>
      <w:proofErr w:type="spellStart"/>
      <w:r w:rsidRPr="002114B7">
        <w:rPr>
          <w:rFonts w:ascii="Arial" w:hAnsi="Arial" w:cs="Arial"/>
        </w:rPr>
        <w:t>Vignoles</w:t>
      </w:r>
      <w:proofErr w:type="spellEnd"/>
      <w:r w:rsidRPr="002114B7">
        <w:rPr>
          <w:rFonts w:ascii="Arial" w:hAnsi="Arial" w:cs="Arial"/>
        </w:rPr>
        <w:t xml:space="preserve"> (2013) examined entry into the higher status and higher paid professions</w:t>
      </w:r>
      <w:r w:rsidR="00424031" w:rsidRPr="002114B7">
        <w:rPr>
          <w:rFonts w:ascii="Arial" w:hAnsi="Arial" w:cs="Arial"/>
        </w:rPr>
        <w:t xml:space="preserve"> in the UK</w:t>
      </w:r>
      <w:r w:rsidRPr="002114B7">
        <w:rPr>
          <w:rFonts w:ascii="Arial" w:hAnsi="Arial" w:cs="Arial"/>
        </w:rPr>
        <w:t xml:space="preserve">. </w:t>
      </w:r>
      <w:r w:rsidR="00424031" w:rsidRPr="002114B7">
        <w:rPr>
          <w:rFonts w:ascii="Arial" w:hAnsi="Arial" w:cs="Arial"/>
        </w:rPr>
        <w:t xml:space="preserve"> Specifically they </w:t>
      </w:r>
      <w:r w:rsidRPr="002114B7">
        <w:rPr>
          <w:rFonts w:ascii="Arial" w:hAnsi="Arial" w:cs="Arial"/>
        </w:rPr>
        <w:t>investigated the pr</w:t>
      </w:r>
      <w:r w:rsidR="00424031" w:rsidRPr="002114B7">
        <w:rPr>
          <w:rFonts w:ascii="Arial" w:hAnsi="Arial" w:cs="Arial"/>
        </w:rPr>
        <w:t xml:space="preserve">obabilities </w:t>
      </w:r>
      <w:r w:rsidRPr="002114B7">
        <w:rPr>
          <w:rFonts w:ascii="Arial" w:hAnsi="Arial" w:cs="Arial"/>
        </w:rPr>
        <w:t>of graduates</w:t>
      </w:r>
      <w:r w:rsidR="00424031" w:rsidRPr="002114B7">
        <w:rPr>
          <w:rFonts w:ascii="Arial" w:hAnsi="Arial" w:cs="Arial"/>
        </w:rPr>
        <w:t xml:space="preserve"> from different socio-economic backgrounds entering these professions. They found that immediately after graduation, socio-economic background did not appear to significantly affect the probability of a graduate entering the highest status occupations, apart from its indirect effect on the person’s academic attainment, degree subject, degree classification and university choice. An exception was that those who attended private schools were more likely to enter those occupations than those who had attended state schools with similar characteristics and levels of academic attainment. However, 3 years after graduation Macmill</w:t>
      </w:r>
      <w:r w:rsidR="005D053D" w:rsidRPr="002114B7">
        <w:rPr>
          <w:rFonts w:ascii="Arial" w:hAnsi="Arial" w:cs="Arial"/>
        </w:rPr>
        <w:t>an</w:t>
      </w:r>
      <w:r w:rsidR="00424031" w:rsidRPr="002114B7">
        <w:rPr>
          <w:rFonts w:ascii="Arial" w:hAnsi="Arial" w:cs="Arial"/>
        </w:rPr>
        <w:t xml:space="preserve"> and </w:t>
      </w:r>
      <w:proofErr w:type="spellStart"/>
      <w:r w:rsidR="00424031" w:rsidRPr="002114B7">
        <w:rPr>
          <w:rFonts w:ascii="Arial" w:hAnsi="Arial" w:cs="Arial"/>
        </w:rPr>
        <w:t>Vignoles</w:t>
      </w:r>
      <w:proofErr w:type="spellEnd"/>
      <w:r w:rsidR="00424031" w:rsidRPr="002114B7">
        <w:rPr>
          <w:rFonts w:ascii="Arial" w:hAnsi="Arial" w:cs="Arial"/>
        </w:rPr>
        <w:t xml:space="preserve"> found that</w:t>
      </w:r>
      <w:r w:rsidR="005D053D" w:rsidRPr="002114B7">
        <w:rPr>
          <w:rFonts w:ascii="Arial" w:hAnsi="Arial" w:cs="Arial"/>
        </w:rPr>
        <w:t xml:space="preserve"> in addition to the previous finding related to the</w:t>
      </w:r>
      <w:r w:rsidR="001516A9">
        <w:rPr>
          <w:rFonts w:ascii="Arial" w:hAnsi="Arial" w:cs="Arial"/>
        </w:rPr>
        <w:t xml:space="preserve"> type of </w:t>
      </w:r>
      <w:r w:rsidR="005D053D" w:rsidRPr="002114B7">
        <w:rPr>
          <w:rFonts w:ascii="Arial" w:hAnsi="Arial" w:cs="Arial"/>
        </w:rPr>
        <w:t xml:space="preserve">school attended, those whose parents had higher status occupations and those who had lived in areas with high levels of HE participation were more likely to be in the highest status occupations. This effect was stronger for male graduates. </w:t>
      </w:r>
    </w:p>
    <w:p w:rsidR="00874EF5" w:rsidRPr="002114B7" w:rsidRDefault="00532519" w:rsidP="00A46E9B">
      <w:pPr>
        <w:spacing w:line="360" w:lineRule="auto"/>
        <w:rPr>
          <w:rFonts w:ascii="Arial" w:hAnsi="Arial" w:cs="Arial"/>
        </w:rPr>
      </w:pPr>
      <w:r w:rsidRPr="002114B7">
        <w:rPr>
          <w:rFonts w:ascii="Arial" w:hAnsi="Arial" w:cs="Arial"/>
        </w:rPr>
        <w:t>T</w:t>
      </w:r>
      <w:r w:rsidR="005D053D" w:rsidRPr="002114B7">
        <w:rPr>
          <w:rFonts w:ascii="Arial" w:hAnsi="Arial" w:cs="Arial"/>
        </w:rPr>
        <w:t xml:space="preserve">he </w:t>
      </w:r>
      <w:r w:rsidRPr="002114B7">
        <w:rPr>
          <w:rFonts w:ascii="Arial" w:hAnsi="Arial" w:cs="Arial"/>
        </w:rPr>
        <w:t xml:space="preserve">current evidence suggests that the </w:t>
      </w:r>
      <w:r w:rsidR="005D053D" w:rsidRPr="002114B7">
        <w:rPr>
          <w:rFonts w:ascii="Arial" w:hAnsi="Arial" w:cs="Arial"/>
        </w:rPr>
        <w:t>large socio-economic gap in the likelihood of entering the highest status gap</w:t>
      </w:r>
      <w:r w:rsidR="004C60A6" w:rsidRPr="002114B7">
        <w:rPr>
          <w:rFonts w:ascii="Arial" w:hAnsi="Arial" w:cs="Arial"/>
        </w:rPr>
        <w:t xml:space="preserve"> appear</w:t>
      </w:r>
      <w:r w:rsidR="005D053D" w:rsidRPr="002114B7">
        <w:rPr>
          <w:rFonts w:ascii="Arial" w:hAnsi="Arial" w:cs="Arial"/>
        </w:rPr>
        <w:t>s</w:t>
      </w:r>
      <w:r w:rsidR="004C60A6" w:rsidRPr="002114B7">
        <w:rPr>
          <w:rFonts w:ascii="Arial" w:hAnsi="Arial" w:cs="Arial"/>
        </w:rPr>
        <w:t xml:space="preserve"> to be</w:t>
      </w:r>
      <w:r w:rsidR="005D053D" w:rsidRPr="002114B7">
        <w:rPr>
          <w:rFonts w:ascii="Arial" w:hAnsi="Arial" w:cs="Arial"/>
        </w:rPr>
        <w:t xml:space="preserve"> the product of both an education experience and attainment effect</w:t>
      </w:r>
      <w:r w:rsidR="001516A9">
        <w:rPr>
          <w:rFonts w:ascii="Arial" w:hAnsi="Arial" w:cs="Arial"/>
        </w:rPr>
        <w:t>,</w:t>
      </w:r>
      <w:r w:rsidR="005D053D" w:rsidRPr="002114B7">
        <w:rPr>
          <w:rFonts w:ascii="Arial" w:hAnsi="Arial" w:cs="Arial"/>
        </w:rPr>
        <w:t xml:space="preserve"> and a direct effect</w:t>
      </w:r>
      <w:r w:rsidR="00F63084" w:rsidRPr="002114B7">
        <w:rPr>
          <w:rFonts w:ascii="Arial" w:hAnsi="Arial" w:cs="Arial"/>
        </w:rPr>
        <w:t>. The latter</w:t>
      </w:r>
      <w:r w:rsidR="005D053D" w:rsidRPr="002114B7">
        <w:rPr>
          <w:rFonts w:ascii="Arial" w:hAnsi="Arial" w:cs="Arial"/>
        </w:rPr>
        <w:t xml:space="preserve"> </w:t>
      </w:r>
      <w:r w:rsidR="004C60A6" w:rsidRPr="002114B7">
        <w:rPr>
          <w:rFonts w:ascii="Arial" w:hAnsi="Arial" w:cs="Arial"/>
        </w:rPr>
        <w:t xml:space="preserve">may </w:t>
      </w:r>
      <w:r w:rsidR="00F63084" w:rsidRPr="002114B7">
        <w:rPr>
          <w:rFonts w:ascii="Arial" w:hAnsi="Arial" w:cs="Arial"/>
        </w:rPr>
        <w:t xml:space="preserve">reflect </w:t>
      </w:r>
      <w:r w:rsidR="004C60A6" w:rsidRPr="002114B7">
        <w:rPr>
          <w:rFonts w:ascii="Arial" w:hAnsi="Arial" w:cs="Arial"/>
        </w:rPr>
        <w:t>one or a combination of the following factors</w:t>
      </w:r>
      <w:r w:rsidR="007511C3" w:rsidRPr="002114B7">
        <w:rPr>
          <w:rFonts w:ascii="Arial" w:hAnsi="Arial" w:cs="Arial"/>
        </w:rPr>
        <w:t xml:space="preserve"> favouring high socio-economic groups</w:t>
      </w:r>
      <w:r w:rsidR="004C60A6" w:rsidRPr="002114B7">
        <w:rPr>
          <w:rFonts w:ascii="Arial" w:hAnsi="Arial" w:cs="Arial"/>
        </w:rPr>
        <w:t xml:space="preserve">: better </w:t>
      </w:r>
      <w:r w:rsidR="00F63084" w:rsidRPr="002114B7">
        <w:rPr>
          <w:rFonts w:ascii="Arial" w:hAnsi="Arial" w:cs="Arial"/>
        </w:rPr>
        <w:t xml:space="preserve">preparation for entry into these occupations, better </w:t>
      </w:r>
      <w:r w:rsidR="00FD2227">
        <w:rPr>
          <w:rFonts w:ascii="Arial" w:hAnsi="Arial" w:cs="Arial"/>
        </w:rPr>
        <w:t xml:space="preserve">economic and social </w:t>
      </w:r>
      <w:r w:rsidR="00F63084" w:rsidRPr="002114B7">
        <w:rPr>
          <w:rFonts w:ascii="Arial" w:hAnsi="Arial" w:cs="Arial"/>
        </w:rPr>
        <w:t>networks, discriminatory recruit</w:t>
      </w:r>
      <w:r w:rsidRPr="002114B7">
        <w:rPr>
          <w:rFonts w:ascii="Arial" w:hAnsi="Arial" w:cs="Arial"/>
        </w:rPr>
        <w:t>m</w:t>
      </w:r>
      <w:r w:rsidR="00F63084" w:rsidRPr="002114B7">
        <w:rPr>
          <w:rFonts w:ascii="Arial" w:hAnsi="Arial" w:cs="Arial"/>
        </w:rPr>
        <w:t>ent practices</w:t>
      </w:r>
      <w:r w:rsidRPr="002114B7">
        <w:rPr>
          <w:rFonts w:ascii="Arial" w:hAnsi="Arial" w:cs="Arial"/>
        </w:rPr>
        <w:t xml:space="preserve"> (such as word of mouth recruitment and unpaid internships)</w:t>
      </w:r>
      <w:r w:rsidR="00F63084" w:rsidRPr="002114B7">
        <w:rPr>
          <w:rFonts w:ascii="Arial" w:hAnsi="Arial" w:cs="Arial"/>
        </w:rPr>
        <w:t>, nepotism</w:t>
      </w:r>
      <w:r w:rsidR="004C60A6" w:rsidRPr="002114B7">
        <w:rPr>
          <w:rFonts w:ascii="Arial" w:hAnsi="Arial" w:cs="Arial"/>
        </w:rPr>
        <w:t>,</w:t>
      </w:r>
      <w:r w:rsidR="00F63084" w:rsidRPr="002114B7">
        <w:rPr>
          <w:rFonts w:ascii="Arial" w:hAnsi="Arial" w:cs="Arial"/>
        </w:rPr>
        <w:t xml:space="preserve"> different occupational choices</w:t>
      </w:r>
      <w:r w:rsidR="004C60A6" w:rsidRPr="002114B7">
        <w:rPr>
          <w:rFonts w:ascii="Arial" w:hAnsi="Arial" w:cs="Arial"/>
        </w:rPr>
        <w:t>/aspirations or unobserved differences in ability (i.e. separate from those observed through differences in attainment)</w:t>
      </w:r>
      <w:r w:rsidR="00F63084" w:rsidRPr="002114B7">
        <w:rPr>
          <w:rFonts w:ascii="Arial" w:hAnsi="Arial" w:cs="Arial"/>
        </w:rPr>
        <w:t>.</w:t>
      </w:r>
      <w:r w:rsidRPr="002114B7">
        <w:rPr>
          <w:rFonts w:ascii="Arial" w:hAnsi="Arial" w:cs="Arial"/>
        </w:rPr>
        <w:t xml:space="preserve"> The SMCPC’s Stat</w:t>
      </w:r>
      <w:r w:rsidR="00E807B3" w:rsidRPr="002114B7">
        <w:rPr>
          <w:rFonts w:ascii="Arial" w:hAnsi="Arial" w:cs="Arial"/>
        </w:rPr>
        <w:t>e of the Nation 2013 Report (SM</w:t>
      </w:r>
      <w:r w:rsidRPr="002114B7">
        <w:rPr>
          <w:rFonts w:ascii="Arial" w:hAnsi="Arial" w:cs="Arial"/>
        </w:rPr>
        <w:t>CPC: 2013</w:t>
      </w:r>
      <w:r w:rsidR="00E807B3" w:rsidRPr="002114B7">
        <w:rPr>
          <w:rFonts w:ascii="Arial" w:hAnsi="Arial" w:cs="Arial"/>
        </w:rPr>
        <w:t>b</w:t>
      </w:r>
      <w:r w:rsidRPr="002114B7">
        <w:rPr>
          <w:rFonts w:ascii="Arial" w:hAnsi="Arial" w:cs="Arial"/>
        </w:rPr>
        <w:t xml:space="preserve">) reviews evidence that suggests that most of these may </w:t>
      </w:r>
      <w:r w:rsidR="00874EF5" w:rsidRPr="002114B7">
        <w:rPr>
          <w:rFonts w:ascii="Arial" w:hAnsi="Arial" w:cs="Arial"/>
        </w:rPr>
        <w:t xml:space="preserve">be </w:t>
      </w:r>
      <w:r w:rsidRPr="002114B7">
        <w:rPr>
          <w:rFonts w:ascii="Arial" w:hAnsi="Arial" w:cs="Arial"/>
        </w:rPr>
        <w:lastRenderedPageBreak/>
        <w:t>contributory factors</w:t>
      </w:r>
      <w:r w:rsidR="00CA4E8E" w:rsidRPr="002114B7">
        <w:rPr>
          <w:rFonts w:ascii="Arial" w:hAnsi="Arial" w:cs="Arial"/>
        </w:rPr>
        <w:t xml:space="preserve"> and its</w:t>
      </w:r>
      <w:r w:rsidR="003C7F5C" w:rsidRPr="002114B7">
        <w:rPr>
          <w:rFonts w:ascii="Arial" w:hAnsi="Arial" w:cs="Arial"/>
        </w:rPr>
        <w:t xml:space="preserve"> report </w:t>
      </w:r>
      <w:r w:rsidR="003C7F5C" w:rsidRPr="002114B7">
        <w:rPr>
          <w:rFonts w:ascii="Arial" w:hAnsi="Arial" w:cs="Arial"/>
          <w:i/>
        </w:rPr>
        <w:t>Elitist Britain</w:t>
      </w:r>
      <w:r w:rsidR="00CA4E8E" w:rsidRPr="002114B7">
        <w:rPr>
          <w:rFonts w:ascii="Arial" w:hAnsi="Arial" w:cs="Arial"/>
        </w:rPr>
        <w:t xml:space="preserve"> (2014</w:t>
      </w:r>
      <w:r w:rsidR="003C7F5C" w:rsidRPr="002114B7">
        <w:rPr>
          <w:rFonts w:ascii="Arial" w:hAnsi="Arial" w:cs="Arial"/>
        </w:rPr>
        <w:t>)</w:t>
      </w:r>
      <w:r w:rsidR="00CA4E8E" w:rsidRPr="002114B7">
        <w:rPr>
          <w:rFonts w:ascii="Arial" w:hAnsi="Arial" w:cs="Arial"/>
        </w:rPr>
        <w:t xml:space="preserve"> points out that 60% of management and professional vacancies are not advertised and are filled through networks</w:t>
      </w:r>
      <w:r w:rsidRPr="002114B7">
        <w:rPr>
          <w:rFonts w:ascii="Arial" w:hAnsi="Arial" w:cs="Arial"/>
        </w:rPr>
        <w:t>.</w:t>
      </w:r>
    </w:p>
    <w:p w:rsidR="00874EF5" w:rsidRPr="002114B7" w:rsidRDefault="00874EF5" w:rsidP="00A46E9B">
      <w:pPr>
        <w:spacing w:line="360" w:lineRule="auto"/>
        <w:rPr>
          <w:rFonts w:ascii="Arial" w:hAnsi="Arial" w:cs="Arial"/>
          <w:b/>
        </w:rPr>
      </w:pPr>
      <w:r w:rsidRPr="002114B7">
        <w:rPr>
          <w:rFonts w:ascii="Arial" w:hAnsi="Arial" w:cs="Arial"/>
          <w:b/>
        </w:rPr>
        <w:t>Conclusions</w:t>
      </w:r>
    </w:p>
    <w:p w:rsidR="009F2970" w:rsidRPr="002114B7" w:rsidRDefault="00874EF5" w:rsidP="00874EF5">
      <w:pPr>
        <w:spacing w:after="0" w:line="360" w:lineRule="auto"/>
        <w:rPr>
          <w:rFonts w:ascii="Arial" w:hAnsi="Arial" w:cs="Arial"/>
        </w:rPr>
      </w:pPr>
      <w:r w:rsidRPr="002114B7">
        <w:rPr>
          <w:rFonts w:ascii="Arial" w:hAnsi="Arial" w:cs="Arial"/>
        </w:rPr>
        <w:t xml:space="preserve">Most of the vast quantitative evidence on the benefits of higher education participation to the individual and society is unable to isolate the economic and social benefits from widening participation. Similarly, most of the qualitative studies were not designed to make a comparison between the post-participation experiences of ‘traditional’ HE students and non-traditional marginal entrants.  </w:t>
      </w:r>
      <w:r w:rsidR="00935351" w:rsidRPr="002114B7">
        <w:rPr>
          <w:rFonts w:ascii="Arial" w:hAnsi="Arial" w:cs="Arial"/>
        </w:rPr>
        <w:t xml:space="preserve">Hence the urgent need for well-designed research into the HE experiences and outcomes of the various groups constituting non-traditional participants in </w:t>
      </w:r>
      <w:proofErr w:type="gramStart"/>
      <w:r w:rsidR="00935351" w:rsidRPr="002114B7">
        <w:rPr>
          <w:rFonts w:ascii="Arial" w:hAnsi="Arial" w:cs="Arial"/>
        </w:rPr>
        <w:t>HE</w:t>
      </w:r>
      <w:proofErr w:type="gramEnd"/>
      <w:r w:rsidR="00935351" w:rsidRPr="002114B7">
        <w:rPr>
          <w:rFonts w:ascii="Arial" w:hAnsi="Arial" w:cs="Arial"/>
        </w:rPr>
        <w:t>. From the limited current evidence it appears that these</w:t>
      </w:r>
      <w:r w:rsidR="001516A9">
        <w:rPr>
          <w:rFonts w:ascii="Arial" w:hAnsi="Arial" w:cs="Arial"/>
        </w:rPr>
        <w:t xml:space="preserve"> participants’</w:t>
      </w:r>
      <w:r w:rsidR="00935351" w:rsidRPr="002114B7">
        <w:rPr>
          <w:rFonts w:ascii="Arial" w:hAnsi="Arial" w:cs="Arial"/>
        </w:rPr>
        <w:t xml:space="preserve"> experiences and outcomes differ markedly from those of most traditional entrant groups. </w:t>
      </w:r>
      <w:r w:rsidRPr="002114B7">
        <w:rPr>
          <w:rFonts w:ascii="Arial" w:hAnsi="Arial" w:cs="Arial"/>
        </w:rPr>
        <w:t xml:space="preserve">In particular, the economic and social benefits received by non-traditional HE entrants seem to be </w:t>
      </w:r>
      <w:r w:rsidR="001516A9">
        <w:rPr>
          <w:rFonts w:ascii="Arial" w:hAnsi="Arial" w:cs="Arial"/>
        </w:rPr>
        <w:t xml:space="preserve">smaller and are </w:t>
      </w:r>
      <w:r w:rsidRPr="002114B7">
        <w:rPr>
          <w:rFonts w:ascii="Arial" w:hAnsi="Arial" w:cs="Arial"/>
        </w:rPr>
        <w:t>crucially dependent on the particular higher education institution attended</w:t>
      </w:r>
      <w:r w:rsidR="008D434E" w:rsidRPr="002114B7">
        <w:rPr>
          <w:rFonts w:ascii="Arial" w:hAnsi="Arial" w:cs="Arial"/>
        </w:rPr>
        <w:t xml:space="preserve">. Hence the most recent focus on </w:t>
      </w:r>
      <w:r w:rsidR="001516A9">
        <w:rPr>
          <w:rFonts w:ascii="Arial" w:hAnsi="Arial" w:cs="Arial"/>
        </w:rPr>
        <w:t xml:space="preserve">achieving </w:t>
      </w:r>
      <w:r w:rsidR="008D434E" w:rsidRPr="002114B7">
        <w:rPr>
          <w:rFonts w:ascii="Arial" w:hAnsi="Arial" w:cs="Arial"/>
        </w:rPr>
        <w:t xml:space="preserve">fair access </w:t>
      </w:r>
      <w:r w:rsidR="003F4362" w:rsidRPr="002114B7">
        <w:rPr>
          <w:rFonts w:ascii="Arial" w:hAnsi="Arial" w:cs="Arial"/>
        </w:rPr>
        <w:t xml:space="preserve">to the most prestigious HE providers </w:t>
      </w:r>
      <w:r w:rsidR="001516A9">
        <w:rPr>
          <w:rFonts w:ascii="Arial" w:hAnsi="Arial" w:cs="Arial"/>
        </w:rPr>
        <w:t xml:space="preserve">in the UK, </w:t>
      </w:r>
      <w:r w:rsidR="008D434E" w:rsidRPr="002114B7">
        <w:rPr>
          <w:rFonts w:ascii="Arial" w:hAnsi="Arial" w:cs="Arial"/>
        </w:rPr>
        <w:t>ra</w:t>
      </w:r>
      <w:r w:rsidR="003F4362" w:rsidRPr="002114B7">
        <w:rPr>
          <w:rFonts w:ascii="Arial" w:hAnsi="Arial" w:cs="Arial"/>
        </w:rPr>
        <w:t>ther than incre</w:t>
      </w:r>
      <w:r w:rsidR="004C1CC6">
        <w:rPr>
          <w:rFonts w:ascii="Arial" w:hAnsi="Arial" w:cs="Arial"/>
        </w:rPr>
        <w:t>asing</w:t>
      </w:r>
      <w:r w:rsidR="003F4362" w:rsidRPr="002114B7">
        <w:rPr>
          <w:rFonts w:ascii="Arial" w:hAnsi="Arial" w:cs="Arial"/>
        </w:rPr>
        <w:t xml:space="preserve"> access</w:t>
      </w:r>
      <w:r w:rsidR="004C1CC6">
        <w:rPr>
          <w:rFonts w:ascii="Arial" w:hAnsi="Arial" w:cs="Arial"/>
        </w:rPr>
        <w:t xml:space="preserve"> to </w:t>
      </w:r>
      <w:proofErr w:type="gramStart"/>
      <w:r w:rsidR="004C1CC6">
        <w:rPr>
          <w:rFonts w:ascii="Arial" w:hAnsi="Arial" w:cs="Arial"/>
        </w:rPr>
        <w:t>HE</w:t>
      </w:r>
      <w:proofErr w:type="gramEnd"/>
      <w:r w:rsidR="004C1CC6">
        <w:rPr>
          <w:rFonts w:ascii="Arial" w:hAnsi="Arial" w:cs="Arial"/>
        </w:rPr>
        <w:t xml:space="preserve"> in general</w:t>
      </w:r>
      <w:r w:rsidR="008D434E" w:rsidRPr="002114B7">
        <w:rPr>
          <w:rFonts w:ascii="Arial" w:hAnsi="Arial" w:cs="Arial"/>
        </w:rPr>
        <w:t>.</w:t>
      </w:r>
    </w:p>
    <w:p w:rsidR="00935351" w:rsidRPr="002114B7" w:rsidRDefault="00935351" w:rsidP="00874EF5">
      <w:pPr>
        <w:spacing w:after="0" w:line="360" w:lineRule="auto"/>
        <w:rPr>
          <w:rFonts w:ascii="Arial" w:hAnsi="Arial" w:cs="Arial"/>
        </w:rPr>
      </w:pPr>
    </w:p>
    <w:p w:rsidR="00E429FE" w:rsidRPr="002114B7" w:rsidRDefault="00874EF5" w:rsidP="00874EF5">
      <w:pPr>
        <w:spacing w:after="0" w:line="360" w:lineRule="auto"/>
        <w:rPr>
          <w:rFonts w:ascii="Arial" w:hAnsi="Arial" w:cs="Arial"/>
        </w:rPr>
      </w:pPr>
      <w:r w:rsidRPr="002114B7">
        <w:rPr>
          <w:rFonts w:ascii="Arial" w:hAnsi="Arial" w:cs="Arial"/>
        </w:rPr>
        <w:t>Whilst there is limited evidence about the size and nature of the economic and social benefits from widening participation, these benefits still have to be compared to the costs of such provision</w:t>
      </w:r>
      <w:r w:rsidR="001516A9">
        <w:rPr>
          <w:rFonts w:ascii="Arial" w:hAnsi="Arial" w:cs="Arial"/>
        </w:rPr>
        <w:t xml:space="preserve"> in any evaluation ex</w:t>
      </w:r>
      <w:r w:rsidR="001E684A">
        <w:rPr>
          <w:rFonts w:ascii="Arial" w:hAnsi="Arial" w:cs="Arial"/>
        </w:rPr>
        <w:t>ercise</w:t>
      </w:r>
      <w:r w:rsidRPr="002114B7">
        <w:rPr>
          <w:rFonts w:ascii="Arial" w:hAnsi="Arial" w:cs="Arial"/>
        </w:rPr>
        <w:t xml:space="preserve">. Moreover, the effectiveness of current widening participation initiatives have to be compared to the effectiveness of alternative uses of these resources. There is evidence emerging that </w:t>
      </w:r>
      <w:r w:rsidR="008D434E" w:rsidRPr="002114B7">
        <w:rPr>
          <w:rFonts w:ascii="Arial" w:hAnsi="Arial" w:cs="Arial"/>
        </w:rPr>
        <w:t xml:space="preserve">both </w:t>
      </w:r>
      <w:r w:rsidRPr="002114B7">
        <w:rPr>
          <w:rFonts w:ascii="Arial" w:hAnsi="Arial" w:cs="Arial"/>
        </w:rPr>
        <w:t>early age interventions</w:t>
      </w:r>
      <w:r w:rsidR="00A41601" w:rsidRPr="002114B7">
        <w:rPr>
          <w:rFonts w:ascii="Arial" w:hAnsi="Arial" w:cs="Arial"/>
        </w:rPr>
        <w:t xml:space="preserve"> (Heckman, 2013)</w:t>
      </w:r>
      <w:r w:rsidRPr="002114B7">
        <w:rPr>
          <w:rFonts w:ascii="Arial" w:hAnsi="Arial" w:cs="Arial"/>
        </w:rPr>
        <w:t xml:space="preserve"> </w:t>
      </w:r>
      <w:r w:rsidR="008D434E" w:rsidRPr="002114B7">
        <w:rPr>
          <w:rFonts w:ascii="Arial" w:hAnsi="Arial" w:cs="Arial"/>
        </w:rPr>
        <w:t xml:space="preserve">and those aimed at the graduate transmission into the labour market </w:t>
      </w:r>
      <w:r w:rsidRPr="002114B7">
        <w:rPr>
          <w:rFonts w:ascii="Arial" w:hAnsi="Arial" w:cs="Arial"/>
        </w:rPr>
        <w:t xml:space="preserve">may be relatively more efficient in promoting </w:t>
      </w:r>
      <w:r w:rsidR="008D434E" w:rsidRPr="002114B7">
        <w:rPr>
          <w:rFonts w:ascii="Arial" w:hAnsi="Arial" w:cs="Arial"/>
        </w:rPr>
        <w:t xml:space="preserve">social mobility than policies aimed at producing </w:t>
      </w:r>
      <w:r w:rsidRPr="002114B7">
        <w:rPr>
          <w:rFonts w:ascii="Arial" w:hAnsi="Arial" w:cs="Arial"/>
        </w:rPr>
        <w:t>a more equitable distribution of Higher Educa</w:t>
      </w:r>
      <w:r w:rsidR="008D434E" w:rsidRPr="002114B7">
        <w:rPr>
          <w:rFonts w:ascii="Arial" w:hAnsi="Arial" w:cs="Arial"/>
        </w:rPr>
        <w:t>tion learning opportunities through</w:t>
      </w:r>
      <w:r w:rsidRPr="002114B7">
        <w:rPr>
          <w:rFonts w:ascii="Arial" w:hAnsi="Arial" w:cs="Arial"/>
        </w:rPr>
        <w:t xml:space="preserve"> initiatives aimed at school-leavers. </w:t>
      </w:r>
      <w:r w:rsidR="00E429FE" w:rsidRPr="002114B7">
        <w:rPr>
          <w:rFonts w:ascii="Arial" w:hAnsi="Arial" w:cs="Arial"/>
        </w:rPr>
        <w:t xml:space="preserve">In the UK there is </w:t>
      </w:r>
      <w:r w:rsidR="003F4362" w:rsidRPr="002114B7">
        <w:rPr>
          <w:rFonts w:ascii="Arial" w:hAnsi="Arial" w:cs="Arial"/>
        </w:rPr>
        <w:t xml:space="preserve">also </w:t>
      </w:r>
      <w:r w:rsidR="00E429FE" w:rsidRPr="002114B7">
        <w:rPr>
          <w:rFonts w:ascii="Arial" w:hAnsi="Arial" w:cs="Arial"/>
        </w:rPr>
        <w:t xml:space="preserve">evidence that the period between Key Stage 2 and Key Stage 4 is crucial in determining whether high-achieving children from disadvantaged backgrounds remain on a high-achieving trajectory (Crawford et al., 2014). This suggests the importance of policy interventions in </w:t>
      </w:r>
      <w:r w:rsidR="00DF0609" w:rsidRPr="002114B7">
        <w:rPr>
          <w:rFonts w:ascii="Arial" w:hAnsi="Arial" w:cs="Arial"/>
        </w:rPr>
        <w:t xml:space="preserve">primary and early </w:t>
      </w:r>
      <w:r w:rsidR="00E429FE" w:rsidRPr="002114B7">
        <w:rPr>
          <w:rFonts w:ascii="Arial" w:hAnsi="Arial" w:cs="Arial"/>
        </w:rPr>
        <w:t>secondary schooling</w:t>
      </w:r>
      <w:r w:rsidR="003C7F5C" w:rsidRPr="002114B7">
        <w:rPr>
          <w:rFonts w:ascii="Arial" w:hAnsi="Arial" w:cs="Arial"/>
        </w:rPr>
        <w:t xml:space="preserve"> to support widening participation objectives</w:t>
      </w:r>
      <w:r w:rsidR="00E429FE" w:rsidRPr="002114B7">
        <w:rPr>
          <w:rFonts w:ascii="Arial" w:hAnsi="Arial" w:cs="Arial"/>
        </w:rPr>
        <w:t xml:space="preserve">. </w:t>
      </w:r>
    </w:p>
    <w:p w:rsidR="00E429FE" w:rsidRPr="002114B7" w:rsidRDefault="00E429FE" w:rsidP="00874EF5">
      <w:pPr>
        <w:spacing w:after="0" w:line="360" w:lineRule="auto"/>
        <w:rPr>
          <w:rFonts w:ascii="Arial" w:hAnsi="Arial" w:cs="Arial"/>
        </w:rPr>
      </w:pPr>
    </w:p>
    <w:p w:rsidR="00874EF5" w:rsidRPr="002114B7" w:rsidRDefault="003F4362" w:rsidP="00874EF5">
      <w:pPr>
        <w:spacing w:after="0" w:line="360" w:lineRule="auto"/>
        <w:rPr>
          <w:rFonts w:ascii="Arial" w:hAnsi="Arial" w:cs="Arial"/>
        </w:rPr>
      </w:pPr>
      <w:r w:rsidRPr="002114B7">
        <w:rPr>
          <w:rFonts w:ascii="Arial" w:hAnsi="Arial" w:cs="Arial"/>
        </w:rPr>
        <w:t>Throughout thi</w:t>
      </w:r>
      <w:r w:rsidR="00DF0609" w:rsidRPr="002114B7">
        <w:rPr>
          <w:rFonts w:ascii="Arial" w:hAnsi="Arial" w:cs="Arial"/>
        </w:rPr>
        <w:t xml:space="preserve">s chapter we have focused on HE </w:t>
      </w:r>
      <w:r w:rsidRPr="002114B7">
        <w:rPr>
          <w:rFonts w:ascii="Arial" w:hAnsi="Arial" w:cs="Arial"/>
        </w:rPr>
        <w:t>and on prestigious universities in particular, reflecting th</w:t>
      </w:r>
      <w:r w:rsidR="00DF0609" w:rsidRPr="002114B7">
        <w:rPr>
          <w:rFonts w:ascii="Arial" w:hAnsi="Arial" w:cs="Arial"/>
        </w:rPr>
        <w:t xml:space="preserve">e </w:t>
      </w:r>
      <w:r w:rsidR="004C1CC6">
        <w:rPr>
          <w:rFonts w:ascii="Arial" w:hAnsi="Arial" w:cs="Arial"/>
        </w:rPr>
        <w:t>bias</w:t>
      </w:r>
      <w:r w:rsidRPr="002114B7">
        <w:rPr>
          <w:rFonts w:ascii="Arial" w:hAnsi="Arial" w:cs="Arial"/>
        </w:rPr>
        <w:t xml:space="preserve"> of successive British governments. The latter may not be too surprising given that 59% of the Cabinet, 57% of the Permanent Secretaries (the top civil servants in the UK) and 24% of the Members of Parliament went to Cambridge or Oxford universities compared to less than 1% of the population as a whole (SMCPC, 2014)</w:t>
      </w:r>
      <w:r w:rsidR="00C5781C" w:rsidRPr="002114B7">
        <w:rPr>
          <w:rFonts w:ascii="Arial" w:hAnsi="Arial" w:cs="Arial"/>
        </w:rPr>
        <w:t>.</w:t>
      </w:r>
      <w:r w:rsidRPr="002114B7">
        <w:rPr>
          <w:rFonts w:ascii="Arial" w:hAnsi="Arial" w:cs="Arial"/>
        </w:rPr>
        <w:t xml:space="preserve"> </w:t>
      </w:r>
      <w:r w:rsidR="00C5781C" w:rsidRPr="002114B7">
        <w:rPr>
          <w:rFonts w:ascii="Arial" w:hAnsi="Arial" w:cs="Arial"/>
        </w:rPr>
        <w:t xml:space="preserve"> </w:t>
      </w:r>
      <w:r w:rsidR="004C1CC6">
        <w:rPr>
          <w:rFonts w:ascii="Arial" w:hAnsi="Arial" w:cs="Arial"/>
        </w:rPr>
        <w:t xml:space="preserve">However, there is a further danger that policy debates about the means of promoting social mobility become </w:t>
      </w:r>
      <w:r w:rsidR="004C1CC6">
        <w:rPr>
          <w:rFonts w:ascii="Arial" w:hAnsi="Arial" w:cs="Arial"/>
        </w:rPr>
        <w:lastRenderedPageBreak/>
        <w:t xml:space="preserve">too preoccupied with </w:t>
      </w:r>
      <w:proofErr w:type="gramStart"/>
      <w:r w:rsidR="004C1CC6">
        <w:rPr>
          <w:rFonts w:ascii="Arial" w:hAnsi="Arial" w:cs="Arial"/>
        </w:rPr>
        <w:t>HE</w:t>
      </w:r>
      <w:proofErr w:type="gramEnd"/>
      <w:r w:rsidR="004C1CC6">
        <w:rPr>
          <w:rFonts w:ascii="Arial" w:hAnsi="Arial" w:cs="Arial"/>
        </w:rPr>
        <w:t xml:space="preserve"> in general. </w:t>
      </w:r>
      <w:r w:rsidR="00C5781C" w:rsidRPr="002114B7">
        <w:rPr>
          <w:rFonts w:ascii="Arial" w:hAnsi="Arial" w:cs="Arial"/>
        </w:rPr>
        <w:t>We end therefore with a note of caution:</w:t>
      </w:r>
      <w:r w:rsidRPr="002114B7">
        <w:rPr>
          <w:rFonts w:ascii="Arial" w:hAnsi="Arial" w:cs="Arial"/>
        </w:rPr>
        <w:t xml:space="preserve"> </w:t>
      </w:r>
      <w:r w:rsidR="008D434E" w:rsidRPr="002114B7">
        <w:rPr>
          <w:rFonts w:ascii="Arial" w:hAnsi="Arial" w:cs="Arial"/>
        </w:rPr>
        <w:t>“</w:t>
      </w:r>
      <w:r w:rsidR="008D434E" w:rsidRPr="002114B7">
        <w:rPr>
          <w:rFonts w:ascii="Arial" w:hAnsi="Arial" w:cs="Arial"/>
          <w:i/>
        </w:rPr>
        <w:t>For decades, public policy has been obsessed with higher education to the detriment of ‘the other 50 per cent’ more likely to go into vocational education</w:t>
      </w:r>
      <w:r w:rsidR="008D434E" w:rsidRPr="002114B7">
        <w:rPr>
          <w:rFonts w:ascii="Arial" w:hAnsi="Arial" w:cs="Arial"/>
        </w:rPr>
        <w:t>”</w:t>
      </w:r>
      <w:r w:rsidR="00C5781C" w:rsidRPr="002114B7">
        <w:rPr>
          <w:rFonts w:ascii="Arial" w:hAnsi="Arial" w:cs="Arial"/>
        </w:rPr>
        <w:t xml:space="preserve"> (SMCPC, 2013b, p.3.)</w:t>
      </w:r>
    </w:p>
    <w:p w:rsidR="006F4ADF" w:rsidRPr="002114B7" w:rsidRDefault="006F4ADF" w:rsidP="00A46E9B">
      <w:pPr>
        <w:spacing w:line="360" w:lineRule="auto"/>
        <w:rPr>
          <w:rFonts w:ascii="Arial" w:hAnsi="Arial" w:cs="Arial"/>
        </w:rPr>
      </w:pPr>
      <w:r w:rsidRPr="002114B7">
        <w:rPr>
          <w:rFonts w:ascii="Arial" w:hAnsi="Arial" w:cs="Arial"/>
        </w:rPr>
        <w:br w:type="page"/>
      </w:r>
    </w:p>
    <w:p w:rsidR="002114B7" w:rsidRPr="002114B7" w:rsidRDefault="002114B7" w:rsidP="002114B7">
      <w:pPr>
        <w:spacing w:after="0" w:line="360" w:lineRule="auto"/>
        <w:rPr>
          <w:rFonts w:ascii="Arial" w:hAnsi="Arial" w:cs="Arial"/>
          <w:b/>
        </w:rPr>
      </w:pPr>
      <w:r w:rsidRPr="002114B7">
        <w:rPr>
          <w:rFonts w:ascii="Arial" w:hAnsi="Arial" w:cs="Arial"/>
          <w:b/>
        </w:rPr>
        <w:lastRenderedPageBreak/>
        <w:t>Author Bio</w:t>
      </w:r>
    </w:p>
    <w:p w:rsidR="002114B7" w:rsidRPr="002114B7" w:rsidRDefault="002114B7" w:rsidP="002114B7">
      <w:pPr>
        <w:spacing w:after="0" w:line="360" w:lineRule="auto"/>
        <w:rPr>
          <w:rFonts w:ascii="Arial" w:hAnsi="Arial" w:cs="Arial"/>
        </w:rPr>
      </w:pPr>
    </w:p>
    <w:p w:rsidR="002114B7" w:rsidRPr="002114B7" w:rsidRDefault="002114B7" w:rsidP="002114B7">
      <w:pPr>
        <w:spacing w:after="0" w:line="360" w:lineRule="auto"/>
        <w:rPr>
          <w:rFonts w:ascii="Arial" w:hAnsi="Arial" w:cs="Arial"/>
        </w:rPr>
      </w:pPr>
      <w:r w:rsidRPr="002114B7">
        <w:rPr>
          <w:rFonts w:ascii="Arial" w:hAnsi="Arial" w:cs="Arial"/>
        </w:rPr>
        <w:t>Nick Adnett is Professor of Economics and a member of the Institute for Education Policy Research at Staffordshire University in the UK. He is the author of several books and over 50 journal articles on</w:t>
      </w:r>
      <w:r>
        <w:rPr>
          <w:rFonts w:ascii="Arial" w:hAnsi="Arial" w:cs="Arial"/>
        </w:rPr>
        <w:t xml:space="preserve"> aspects of </w:t>
      </w:r>
      <w:r w:rsidRPr="002114B7">
        <w:rPr>
          <w:rFonts w:ascii="Arial" w:hAnsi="Arial" w:cs="Arial"/>
        </w:rPr>
        <w:t xml:space="preserve">labour market and education policy. He was a member of the </w:t>
      </w:r>
      <w:r>
        <w:rPr>
          <w:rFonts w:ascii="Arial" w:hAnsi="Arial" w:cs="Arial"/>
        </w:rPr>
        <w:t>team</w:t>
      </w:r>
      <w:r w:rsidRPr="002114B7">
        <w:rPr>
          <w:rFonts w:ascii="Arial" w:hAnsi="Arial" w:cs="Arial"/>
        </w:rPr>
        <w:t xml:space="preserve"> which produced the first comprehensive review of research on widening participation in the UK for the Hi</w:t>
      </w:r>
      <w:r>
        <w:rPr>
          <w:rFonts w:ascii="Arial" w:hAnsi="Arial" w:cs="Arial"/>
        </w:rPr>
        <w:t xml:space="preserve">gher Education Funding Council </w:t>
      </w:r>
      <w:r w:rsidRPr="002114B7">
        <w:rPr>
          <w:rFonts w:ascii="Arial" w:hAnsi="Arial" w:cs="Arial"/>
        </w:rPr>
        <w:t>f</w:t>
      </w:r>
      <w:r>
        <w:rPr>
          <w:rFonts w:ascii="Arial" w:hAnsi="Arial" w:cs="Arial"/>
        </w:rPr>
        <w:t>or</w:t>
      </w:r>
      <w:r w:rsidRPr="002114B7">
        <w:rPr>
          <w:rFonts w:ascii="Arial" w:hAnsi="Arial" w:cs="Arial"/>
        </w:rPr>
        <w:t xml:space="preserve"> England in 2006.</w:t>
      </w:r>
    </w:p>
    <w:p w:rsidR="003676C5" w:rsidRDefault="003676C5">
      <w:pPr>
        <w:rPr>
          <w:rFonts w:ascii="Arial" w:hAnsi="Arial" w:cs="Arial"/>
        </w:rPr>
      </w:pPr>
    </w:p>
    <w:p w:rsidR="004C1CC6" w:rsidRPr="002114B7" w:rsidRDefault="004C1CC6">
      <w:pPr>
        <w:rPr>
          <w:rFonts w:ascii="Arial" w:hAnsi="Arial" w:cs="Arial"/>
        </w:rPr>
      </w:pPr>
    </w:p>
    <w:p w:rsidR="00253136" w:rsidRPr="002114B7" w:rsidRDefault="00253136" w:rsidP="002867AE">
      <w:pPr>
        <w:spacing w:after="0" w:line="360" w:lineRule="auto"/>
        <w:rPr>
          <w:rFonts w:ascii="Arial" w:hAnsi="Arial" w:cs="Arial"/>
          <w:b/>
        </w:rPr>
      </w:pPr>
      <w:r w:rsidRPr="002114B7">
        <w:rPr>
          <w:rFonts w:ascii="Arial" w:hAnsi="Arial" w:cs="Arial"/>
          <w:b/>
        </w:rPr>
        <w:t>References</w:t>
      </w:r>
    </w:p>
    <w:p w:rsidR="00253136" w:rsidRPr="002114B7" w:rsidRDefault="00F46C72" w:rsidP="002867AE">
      <w:pPr>
        <w:spacing w:after="0" w:line="360" w:lineRule="auto"/>
        <w:rPr>
          <w:rFonts w:ascii="Arial" w:hAnsi="Arial" w:cs="Arial"/>
        </w:rPr>
      </w:pPr>
      <w:r w:rsidRPr="002114B7">
        <w:rPr>
          <w:rFonts w:ascii="Arial" w:hAnsi="Arial" w:cs="Arial"/>
        </w:rPr>
        <w:t>Adnett, N. and Slack, K. (2007)</w:t>
      </w:r>
      <w:r w:rsidR="00253000" w:rsidRPr="002114B7">
        <w:rPr>
          <w:rFonts w:ascii="Arial" w:hAnsi="Arial" w:cs="Arial"/>
        </w:rPr>
        <w:t xml:space="preserve"> </w:t>
      </w:r>
      <w:proofErr w:type="gramStart"/>
      <w:r w:rsidRPr="002114B7">
        <w:rPr>
          <w:rFonts w:ascii="Arial" w:hAnsi="Arial" w:cs="Arial"/>
        </w:rPr>
        <w:t>Are</w:t>
      </w:r>
      <w:proofErr w:type="gramEnd"/>
      <w:r w:rsidRPr="002114B7">
        <w:rPr>
          <w:rFonts w:ascii="Arial" w:hAnsi="Arial" w:cs="Arial"/>
        </w:rPr>
        <w:t xml:space="preserve"> there Economic Incentives for Non-Traditional Students to Enter HE? </w:t>
      </w:r>
      <w:r w:rsidRPr="002114B7">
        <w:rPr>
          <w:rFonts w:ascii="Arial" w:hAnsi="Arial" w:cs="Arial"/>
          <w:i/>
        </w:rPr>
        <w:t>Higher Education Quarterly</w:t>
      </w:r>
      <w:r w:rsidRPr="002114B7">
        <w:rPr>
          <w:rFonts w:ascii="Arial" w:hAnsi="Arial" w:cs="Arial"/>
        </w:rPr>
        <w:t xml:space="preserve">, 61(1): 23-36. </w:t>
      </w:r>
    </w:p>
    <w:p w:rsidR="007122C0" w:rsidRPr="002114B7" w:rsidRDefault="007122C0" w:rsidP="002867AE">
      <w:pPr>
        <w:spacing w:after="0" w:line="360" w:lineRule="auto"/>
        <w:rPr>
          <w:rFonts w:ascii="Arial" w:hAnsi="Arial" w:cs="Arial"/>
        </w:rPr>
      </w:pPr>
      <w:r w:rsidRPr="002114B7">
        <w:rPr>
          <w:rFonts w:ascii="Arial" w:hAnsi="Arial" w:cs="Arial"/>
        </w:rPr>
        <w:t xml:space="preserve">Becker, G. (1975) </w:t>
      </w:r>
      <w:r w:rsidRPr="002114B7">
        <w:rPr>
          <w:rFonts w:ascii="Arial" w:hAnsi="Arial" w:cs="Arial"/>
          <w:i/>
        </w:rPr>
        <w:t>Human Capital: A theoretical and empirical analysis with special reference to education</w:t>
      </w:r>
      <w:r w:rsidRPr="002114B7">
        <w:rPr>
          <w:rFonts w:ascii="Arial" w:hAnsi="Arial" w:cs="Arial"/>
        </w:rPr>
        <w:t>, 2</w:t>
      </w:r>
      <w:r w:rsidRPr="002114B7">
        <w:rPr>
          <w:rFonts w:ascii="Arial" w:hAnsi="Arial" w:cs="Arial"/>
          <w:vertAlign w:val="superscript"/>
        </w:rPr>
        <w:t>nd</w:t>
      </w:r>
      <w:r w:rsidRPr="002114B7">
        <w:rPr>
          <w:rFonts w:ascii="Arial" w:hAnsi="Arial" w:cs="Arial"/>
        </w:rPr>
        <w:t xml:space="preserve"> Edition, New York: NBER</w:t>
      </w:r>
    </w:p>
    <w:p w:rsidR="000D1DBD" w:rsidRPr="002114B7" w:rsidRDefault="000D1DBD" w:rsidP="000A4D25">
      <w:pPr>
        <w:spacing w:after="0" w:line="360" w:lineRule="auto"/>
        <w:rPr>
          <w:rFonts w:ascii="Arial" w:hAnsi="Arial" w:cs="Arial"/>
        </w:rPr>
      </w:pPr>
      <w:proofErr w:type="spellStart"/>
      <w:r w:rsidRPr="002114B7">
        <w:rPr>
          <w:rFonts w:ascii="Arial" w:hAnsi="Arial" w:cs="Arial"/>
        </w:rPr>
        <w:t>Blanden</w:t>
      </w:r>
      <w:proofErr w:type="spellEnd"/>
      <w:r w:rsidRPr="002114B7">
        <w:rPr>
          <w:rFonts w:ascii="Arial" w:hAnsi="Arial" w:cs="Arial"/>
        </w:rPr>
        <w:t xml:space="preserve">, J., Gregg, P. and Machin, S. (2005) Educational Inequality and Intergenerational Mobility, in Machin, S. and </w:t>
      </w:r>
      <w:proofErr w:type="spellStart"/>
      <w:r w:rsidRPr="002114B7">
        <w:rPr>
          <w:rFonts w:ascii="Arial" w:hAnsi="Arial" w:cs="Arial"/>
        </w:rPr>
        <w:t>Vignoles</w:t>
      </w:r>
      <w:proofErr w:type="spellEnd"/>
      <w:r w:rsidRPr="002114B7">
        <w:rPr>
          <w:rFonts w:ascii="Arial" w:hAnsi="Arial" w:cs="Arial"/>
        </w:rPr>
        <w:t>, A. (</w:t>
      </w:r>
      <w:proofErr w:type="spellStart"/>
      <w:proofErr w:type="gramStart"/>
      <w:r w:rsidRPr="002114B7">
        <w:rPr>
          <w:rFonts w:ascii="Arial" w:hAnsi="Arial" w:cs="Arial"/>
        </w:rPr>
        <w:t>eds</w:t>
      </w:r>
      <w:proofErr w:type="spellEnd"/>
      <w:proofErr w:type="gramEnd"/>
      <w:r w:rsidRPr="002114B7">
        <w:rPr>
          <w:rFonts w:ascii="Arial" w:hAnsi="Arial" w:cs="Arial"/>
        </w:rPr>
        <w:t xml:space="preserve">) </w:t>
      </w:r>
      <w:r w:rsidRPr="002114B7">
        <w:rPr>
          <w:rFonts w:ascii="Arial" w:hAnsi="Arial" w:cs="Arial"/>
          <w:i/>
        </w:rPr>
        <w:t>What’s the Good of Education? The Economics of Education in the UK</w:t>
      </w:r>
      <w:r w:rsidRPr="002114B7">
        <w:rPr>
          <w:rFonts w:ascii="Arial" w:hAnsi="Arial" w:cs="Arial"/>
        </w:rPr>
        <w:t xml:space="preserve">, Princeton and Oxford: Princeton University Press. </w:t>
      </w:r>
    </w:p>
    <w:p w:rsidR="00253136" w:rsidRPr="002114B7" w:rsidRDefault="00253136" w:rsidP="000A4D25">
      <w:pPr>
        <w:spacing w:after="0" w:line="360" w:lineRule="auto"/>
        <w:rPr>
          <w:rFonts w:ascii="Arial" w:hAnsi="Arial" w:cs="Arial"/>
        </w:rPr>
      </w:pPr>
      <w:proofErr w:type="spellStart"/>
      <w:r w:rsidRPr="002114B7">
        <w:rPr>
          <w:rFonts w:ascii="Arial" w:hAnsi="Arial" w:cs="Arial"/>
        </w:rPr>
        <w:t>Boliver</w:t>
      </w:r>
      <w:proofErr w:type="spellEnd"/>
      <w:r w:rsidRPr="002114B7">
        <w:rPr>
          <w:rFonts w:ascii="Arial" w:hAnsi="Arial" w:cs="Arial"/>
        </w:rPr>
        <w:t xml:space="preserve">, V. (2013) How Fair is Access to More Prestigious UK Universities? </w:t>
      </w:r>
      <w:r w:rsidRPr="002114B7">
        <w:rPr>
          <w:rFonts w:ascii="Arial" w:hAnsi="Arial" w:cs="Arial"/>
          <w:i/>
        </w:rPr>
        <w:t>British Journal of Sociology</w:t>
      </w:r>
      <w:r w:rsidRPr="002114B7">
        <w:rPr>
          <w:rFonts w:ascii="Arial" w:hAnsi="Arial" w:cs="Arial"/>
        </w:rPr>
        <w:t>, 64(2): 344-64.</w:t>
      </w:r>
    </w:p>
    <w:p w:rsidR="00F110AA" w:rsidRPr="002114B7" w:rsidRDefault="00F110AA" w:rsidP="000A4D25">
      <w:pPr>
        <w:pStyle w:val="ListBullet"/>
        <w:numPr>
          <w:ilvl w:val="0"/>
          <w:numId w:val="0"/>
        </w:numPr>
        <w:spacing w:line="360" w:lineRule="auto"/>
        <w:ind w:left="360" w:hanging="360"/>
        <w:jc w:val="both"/>
        <w:rPr>
          <w:rFonts w:ascii="Arial" w:hAnsi="Arial" w:cs="Arial"/>
          <w:i/>
        </w:rPr>
      </w:pPr>
      <w:r w:rsidRPr="002114B7">
        <w:rPr>
          <w:rFonts w:ascii="Arial" w:hAnsi="Arial" w:cs="Arial"/>
        </w:rPr>
        <w:t xml:space="preserve">Bowes, L., Thomas, L., Peck, L. and </w:t>
      </w:r>
      <w:proofErr w:type="spellStart"/>
      <w:r w:rsidRPr="002114B7">
        <w:rPr>
          <w:rFonts w:ascii="Arial" w:hAnsi="Arial" w:cs="Arial"/>
        </w:rPr>
        <w:t>Nathwani</w:t>
      </w:r>
      <w:proofErr w:type="spellEnd"/>
      <w:r w:rsidRPr="002114B7">
        <w:rPr>
          <w:rFonts w:ascii="Arial" w:hAnsi="Arial" w:cs="Arial"/>
        </w:rPr>
        <w:t xml:space="preserve">, T. (2013) </w:t>
      </w:r>
      <w:r w:rsidRPr="002114B7">
        <w:rPr>
          <w:rFonts w:ascii="Arial" w:hAnsi="Arial" w:cs="Arial"/>
          <w:i/>
        </w:rPr>
        <w:t xml:space="preserve">International Research on the </w:t>
      </w:r>
    </w:p>
    <w:p w:rsidR="002A33DD" w:rsidRPr="002114B7" w:rsidRDefault="00F110AA" w:rsidP="000A4D25">
      <w:pPr>
        <w:pStyle w:val="ListBullet"/>
        <w:numPr>
          <w:ilvl w:val="0"/>
          <w:numId w:val="0"/>
        </w:numPr>
        <w:spacing w:line="360" w:lineRule="auto"/>
        <w:ind w:left="360" w:hanging="360"/>
        <w:jc w:val="both"/>
        <w:rPr>
          <w:rFonts w:ascii="Arial" w:hAnsi="Arial" w:cs="Arial"/>
        </w:rPr>
      </w:pPr>
      <w:r w:rsidRPr="002114B7">
        <w:rPr>
          <w:rFonts w:ascii="Arial" w:hAnsi="Arial" w:cs="Arial"/>
          <w:i/>
        </w:rPr>
        <w:t>Effectiveness of Widening Participation</w:t>
      </w:r>
      <w:r w:rsidRPr="002114B7">
        <w:rPr>
          <w:rFonts w:ascii="Arial" w:hAnsi="Arial" w:cs="Arial"/>
        </w:rPr>
        <w:t xml:space="preserve">, </w:t>
      </w:r>
      <w:r w:rsidR="000A4D25" w:rsidRPr="002114B7">
        <w:rPr>
          <w:rFonts w:ascii="Arial" w:hAnsi="Arial" w:cs="Arial"/>
        </w:rPr>
        <w:t>Bristol: HEFCE.</w:t>
      </w:r>
    </w:p>
    <w:p w:rsidR="00F110AA" w:rsidRPr="002114B7" w:rsidRDefault="002A33DD" w:rsidP="002A33DD">
      <w:pPr>
        <w:pStyle w:val="ListBullet"/>
        <w:numPr>
          <w:ilvl w:val="0"/>
          <w:numId w:val="0"/>
        </w:numPr>
        <w:spacing w:line="360" w:lineRule="auto"/>
        <w:jc w:val="both"/>
        <w:rPr>
          <w:rFonts w:ascii="Arial" w:hAnsi="Arial" w:cs="Arial"/>
        </w:rPr>
      </w:pPr>
      <w:proofErr w:type="spellStart"/>
      <w:r w:rsidRPr="002114B7">
        <w:rPr>
          <w:rFonts w:ascii="Arial" w:hAnsi="Arial" w:cs="Arial"/>
        </w:rPr>
        <w:t>Bratti</w:t>
      </w:r>
      <w:proofErr w:type="spellEnd"/>
      <w:r w:rsidRPr="002114B7">
        <w:rPr>
          <w:rFonts w:ascii="Arial" w:hAnsi="Arial" w:cs="Arial"/>
        </w:rPr>
        <w:t>, M., Naylor, R. and Smith, J. (2008) Heterogeneities in the Returns to Degrees: Evidence from the British Cohort Study 1970, mimeo, University of Warwick</w:t>
      </w:r>
      <w:r w:rsidR="00F110AA" w:rsidRPr="002114B7">
        <w:rPr>
          <w:rFonts w:ascii="Arial" w:hAnsi="Arial" w:cs="Arial"/>
        </w:rPr>
        <w:t xml:space="preserve">   </w:t>
      </w:r>
    </w:p>
    <w:p w:rsidR="00F110AA" w:rsidRPr="002114B7" w:rsidRDefault="006110BB" w:rsidP="000A4D25">
      <w:pPr>
        <w:pStyle w:val="ListBullet"/>
        <w:numPr>
          <w:ilvl w:val="0"/>
          <w:numId w:val="0"/>
        </w:numPr>
        <w:spacing w:line="360" w:lineRule="auto"/>
        <w:ind w:left="360" w:hanging="360"/>
        <w:jc w:val="both"/>
        <w:rPr>
          <w:rFonts w:ascii="Arial" w:hAnsi="Arial" w:cs="Arial"/>
          <w:i/>
        </w:rPr>
      </w:pPr>
      <w:r w:rsidRPr="002114B7">
        <w:rPr>
          <w:rFonts w:ascii="Arial" w:hAnsi="Arial" w:cs="Arial"/>
        </w:rPr>
        <w:t xml:space="preserve">Brown, M. (2014) </w:t>
      </w:r>
      <w:r w:rsidRPr="002114B7">
        <w:rPr>
          <w:rFonts w:ascii="Arial" w:hAnsi="Arial" w:cs="Arial"/>
          <w:i/>
        </w:rPr>
        <w:t>Higher Education as a Tool of Social Mobility: r</w:t>
      </w:r>
      <w:r w:rsidR="00F110AA" w:rsidRPr="002114B7">
        <w:rPr>
          <w:rFonts w:ascii="Arial" w:hAnsi="Arial" w:cs="Arial"/>
          <w:i/>
        </w:rPr>
        <w:t xml:space="preserve">eforming the delivery of H E </w:t>
      </w:r>
    </w:p>
    <w:p w:rsidR="000A4D25" w:rsidRPr="002114B7" w:rsidRDefault="00F110AA" w:rsidP="000A4D25">
      <w:pPr>
        <w:pStyle w:val="ListBullet"/>
        <w:numPr>
          <w:ilvl w:val="0"/>
          <w:numId w:val="0"/>
        </w:numPr>
        <w:spacing w:line="360" w:lineRule="auto"/>
        <w:ind w:left="360" w:hanging="360"/>
        <w:jc w:val="both"/>
        <w:rPr>
          <w:rFonts w:ascii="Arial" w:hAnsi="Arial" w:cs="Arial"/>
        </w:rPr>
      </w:pPr>
      <w:proofErr w:type="gramStart"/>
      <w:r w:rsidRPr="002114B7">
        <w:rPr>
          <w:rFonts w:ascii="Arial" w:hAnsi="Arial" w:cs="Arial"/>
          <w:i/>
        </w:rPr>
        <w:t>and</w:t>
      </w:r>
      <w:proofErr w:type="gramEnd"/>
      <w:r w:rsidRPr="002114B7">
        <w:rPr>
          <w:rFonts w:ascii="Arial" w:hAnsi="Arial" w:cs="Arial"/>
          <w:i/>
        </w:rPr>
        <w:t xml:space="preserve"> </w:t>
      </w:r>
      <w:r w:rsidR="006110BB" w:rsidRPr="002114B7">
        <w:rPr>
          <w:rFonts w:ascii="Arial" w:hAnsi="Arial" w:cs="Arial"/>
          <w:i/>
        </w:rPr>
        <w:t>measuring professional graduate output success</w:t>
      </w:r>
      <w:r w:rsidR="006110BB" w:rsidRPr="002114B7">
        <w:rPr>
          <w:rFonts w:ascii="Arial" w:hAnsi="Arial" w:cs="Arial"/>
        </w:rPr>
        <w:t xml:space="preserve">, London: </w:t>
      </w:r>
      <w:proofErr w:type="spellStart"/>
      <w:r w:rsidR="006110BB" w:rsidRPr="002114B7">
        <w:rPr>
          <w:rFonts w:ascii="Arial" w:hAnsi="Arial" w:cs="Arial"/>
        </w:rPr>
        <w:t>CentreForum</w:t>
      </w:r>
      <w:proofErr w:type="spellEnd"/>
      <w:r w:rsidR="006110BB" w:rsidRPr="002114B7">
        <w:rPr>
          <w:rFonts w:ascii="Arial" w:hAnsi="Arial" w:cs="Arial"/>
        </w:rPr>
        <w:t>.</w:t>
      </w:r>
    </w:p>
    <w:p w:rsidR="00E429FE" w:rsidRPr="002114B7" w:rsidRDefault="00E429FE" w:rsidP="00E429FE">
      <w:pPr>
        <w:pStyle w:val="ListBullet"/>
        <w:numPr>
          <w:ilvl w:val="0"/>
          <w:numId w:val="0"/>
        </w:numPr>
        <w:spacing w:line="360" w:lineRule="auto"/>
        <w:jc w:val="both"/>
        <w:rPr>
          <w:rFonts w:ascii="Arial" w:hAnsi="Arial" w:cs="Arial"/>
        </w:rPr>
      </w:pPr>
      <w:r w:rsidRPr="002114B7">
        <w:rPr>
          <w:rFonts w:ascii="Arial" w:hAnsi="Arial" w:cs="Arial"/>
        </w:rPr>
        <w:t xml:space="preserve">Crawford, C. Macmillan, L. and </w:t>
      </w:r>
      <w:proofErr w:type="spellStart"/>
      <w:r w:rsidRPr="002114B7">
        <w:rPr>
          <w:rFonts w:ascii="Arial" w:hAnsi="Arial" w:cs="Arial"/>
        </w:rPr>
        <w:t>Vignoles</w:t>
      </w:r>
      <w:proofErr w:type="spellEnd"/>
      <w:r w:rsidRPr="002114B7">
        <w:rPr>
          <w:rFonts w:ascii="Arial" w:hAnsi="Arial" w:cs="Arial"/>
        </w:rPr>
        <w:t xml:space="preserve">, A. (2014) </w:t>
      </w:r>
      <w:r w:rsidRPr="002114B7">
        <w:rPr>
          <w:rFonts w:ascii="Arial" w:hAnsi="Arial" w:cs="Arial"/>
          <w:i/>
        </w:rPr>
        <w:t>Progress Made by High-attaining Children from Disadvantaged Backgrounds</w:t>
      </w:r>
      <w:r w:rsidRPr="002114B7">
        <w:rPr>
          <w:rFonts w:ascii="Arial" w:hAnsi="Arial" w:cs="Arial"/>
        </w:rPr>
        <w:t>, London: SMCPC.</w:t>
      </w:r>
    </w:p>
    <w:p w:rsidR="000A4D25" w:rsidRPr="002114B7" w:rsidRDefault="00487509" w:rsidP="000A4D25">
      <w:pPr>
        <w:pStyle w:val="ListBullet"/>
        <w:numPr>
          <w:ilvl w:val="0"/>
          <w:numId w:val="0"/>
        </w:numPr>
        <w:spacing w:line="360" w:lineRule="auto"/>
        <w:ind w:left="360" w:hanging="360"/>
        <w:jc w:val="both"/>
        <w:rPr>
          <w:rFonts w:ascii="Arial" w:hAnsi="Arial" w:cs="Arial"/>
        </w:rPr>
      </w:pPr>
      <w:proofErr w:type="spellStart"/>
      <w:r w:rsidRPr="002114B7">
        <w:rPr>
          <w:rFonts w:ascii="Arial" w:hAnsi="Arial" w:cs="Arial"/>
        </w:rPr>
        <w:t>Dearden</w:t>
      </w:r>
      <w:proofErr w:type="spellEnd"/>
      <w:r w:rsidRPr="002114B7">
        <w:rPr>
          <w:rFonts w:ascii="Arial" w:hAnsi="Arial" w:cs="Arial"/>
        </w:rPr>
        <w:t xml:space="preserve">, L., Fitzsimons, E., Goodman, A. and Kaplan, G. (2008) The effects of Higher </w:t>
      </w:r>
    </w:p>
    <w:p w:rsidR="000A4D25" w:rsidRPr="002114B7" w:rsidRDefault="00487509" w:rsidP="004C1CC6">
      <w:pPr>
        <w:pStyle w:val="ListBullet"/>
        <w:numPr>
          <w:ilvl w:val="0"/>
          <w:numId w:val="0"/>
        </w:numPr>
        <w:spacing w:line="360" w:lineRule="auto"/>
        <w:jc w:val="both"/>
        <w:rPr>
          <w:rFonts w:ascii="Arial" w:hAnsi="Arial" w:cs="Arial"/>
        </w:rPr>
      </w:pPr>
      <w:r w:rsidRPr="002114B7">
        <w:rPr>
          <w:rFonts w:ascii="Arial" w:hAnsi="Arial" w:cs="Arial"/>
        </w:rPr>
        <w:t xml:space="preserve">Education Funding Reforms on the Lifetime Earnings of </w:t>
      </w:r>
      <w:proofErr w:type="gramStart"/>
      <w:r w:rsidRPr="002114B7">
        <w:rPr>
          <w:rFonts w:ascii="Arial" w:hAnsi="Arial" w:cs="Arial"/>
        </w:rPr>
        <w:t>Graduates,</w:t>
      </w:r>
      <w:proofErr w:type="gramEnd"/>
      <w:r w:rsidRPr="002114B7">
        <w:rPr>
          <w:rFonts w:ascii="Arial" w:hAnsi="Arial" w:cs="Arial"/>
        </w:rPr>
        <w:t xml:space="preserve"> </w:t>
      </w:r>
      <w:r w:rsidRPr="002114B7">
        <w:rPr>
          <w:rFonts w:ascii="Arial" w:hAnsi="Arial" w:cs="Arial"/>
          <w:i/>
        </w:rPr>
        <w:t xml:space="preserve">Centre for </w:t>
      </w:r>
      <w:r w:rsidR="004C1CC6">
        <w:rPr>
          <w:rFonts w:ascii="Arial" w:hAnsi="Arial" w:cs="Arial"/>
          <w:i/>
        </w:rPr>
        <w:t xml:space="preserve">the </w:t>
      </w:r>
      <w:r w:rsidRPr="002114B7">
        <w:rPr>
          <w:rFonts w:ascii="Arial" w:hAnsi="Arial" w:cs="Arial"/>
          <w:i/>
        </w:rPr>
        <w:t>Economics of Education Discussion Paper</w:t>
      </w:r>
      <w:r w:rsidRPr="002114B7">
        <w:rPr>
          <w:rFonts w:ascii="Arial" w:hAnsi="Arial" w:cs="Arial"/>
        </w:rPr>
        <w:t xml:space="preserve"> No. 78.</w:t>
      </w:r>
    </w:p>
    <w:p w:rsidR="00253000" w:rsidRPr="002114B7" w:rsidRDefault="00253000" w:rsidP="00253000">
      <w:pPr>
        <w:pStyle w:val="ListBullet"/>
        <w:numPr>
          <w:ilvl w:val="0"/>
          <w:numId w:val="0"/>
        </w:numPr>
        <w:spacing w:line="360" w:lineRule="auto"/>
        <w:jc w:val="both"/>
        <w:rPr>
          <w:rFonts w:ascii="Arial" w:hAnsi="Arial" w:cs="Arial"/>
        </w:rPr>
      </w:pPr>
      <w:r w:rsidRPr="002114B7">
        <w:rPr>
          <w:rFonts w:ascii="Arial" w:hAnsi="Arial" w:cs="Arial"/>
        </w:rPr>
        <w:t>Department for Business, Innovation and Skills (BIS) (2011)</w:t>
      </w:r>
      <w:r w:rsidRPr="002114B7">
        <w:rPr>
          <w:rFonts w:ascii="Arial" w:hAnsi="Arial" w:cs="Arial"/>
          <w:i/>
        </w:rPr>
        <w:t xml:space="preserve"> Guidance to the Director of Fair Access</w:t>
      </w:r>
      <w:r w:rsidRPr="002114B7">
        <w:rPr>
          <w:rFonts w:ascii="Arial" w:hAnsi="Arial" w:cs="Arial"/>
        </w:rPr>
        <w:t>, London: BIS.</w:t>
      </w:r>
    </w:p>
    <w:p w:rsidR="001D0B33" w:rsidRPr="002114B7" w:rsidRDefault="001D0B33" w:rsidP="00253000">
      <w:pPr>
        <w:pStyle w:val="ListBullet"/>
        <w:numPr>
          <w:ilvl w:val="0"/>
          <w:numId w:val="0"/>
        </w:numPr>
        <w:spacing w:line="360" w:lineRule="auto"/>
        <w:jc w:val="both"/>
        <w:rPr>
          <w:rFonts w:ascii="Arial" w:hAnsi="Arial" w:cs="Arial"/>
        </w:rPr>
      </w:pPr>
      <w:r w:rsidRPr="002114B7">
        <w:rPr>
          <w:rFonts w:ascii="Arial" w:hAnsi="Arial" w:cs="Arial"/>
        </w:rPr>
        <w:t xml:space="preserve">Equality Challenge Unit (ECU) (2011) </w:t>
      </w:r>
      <w:r w:rsidRPr="004C1CC6">
        <w:rPr>
          <w:rFonts w:ascii="Arial" w:hAnsi="Arial" w:cs="Arial"/>
          <w:i/>
        </w:rPr>
        <w:t>Equality in Higher Education: Statistical Report 2012 Part 2 Students</w:t>
      </w:r>
      <w:r w:rsidRPr="002114B7">
        <w:rPr>
          <w:rFonts w:ascii="Arial" w:hAnsi="Arial" w:cs="Arial"/>
        </w:rPr>
        <w:t>, London: ECU.</w:t>
      </w:r>
    </w:p>
    <w:p w:rsidR="00804AA4" w:rsidRPr="002114B7" w:rsidRDefault="00804AA4" w:rsidP="00880887">
      <w:pPr>
        <w:pStyle w:val="ListBullet"/>
        <w:numPr>
          <w:ilvl w:val="0"/>
          <w:numId w:val="0"/>
        </w:numPr>
        <w:spacing w:line="360" w:lineRule="auto"/>
        <w:jc w:val="both"/>
        <w:rPr>
          <w:rFonts w:ascii="Arial" w:hAnsi="Arial" w:cs="Arial"/>
        </w:rPr>
      </w:pPr>
      <w:r w:rsidRPr="002114B7">
        <w:rPr>
          <w:rFonts w:ascii="Arial" w:hAnsi="Arial" w:cs="Arial"/>
        </w:rPr>
        <w:t xml:space="preserve">Feng, A. and </w:t>
      </w:r>
      <w:proofErr w:type="spellStart"/>
      <w:r w:rsidRPr="002114B7">
        <w:rPr>
          <w:rFonts w:ascii="Arial" w:hAnsi="Arial" w:cs="Arial"/>
        </w:rPr>
        <w:t>Graetz</w:t>
      </w:r>
      <w:proofErr w:type="spellEnd"/>
      <w:r w:rsidRPr="002114B7">
        <w:rPr>
          <w:rFonts w:ascii="Arial" w:hAnsi="Arial" w:cs="Arial"/>
        </w:rPr>
        <w:t>, G.</w:t>
      </w:r>
      <w:r w:rsidR="00F46C72" w:rsidRPr="002114B7">
        <w:rPr>
          <w:rFonts w:ascii="Arial" w:hAnsi="Arial" w:cs="Arial"/>
        </w:rPr>
        <w:t xml:space="preserve"> </w:t>
      </w:r>
      <w:r w:rsidRPr="002114B7">
        <w:rPr>
          <w:rFonts w:ascii="Arial" w:hAnsi="Arial" w:cs="Arial"/>
        </w:rPr>
        <w:t xml:space="preserve">(2013) </w:t>
      </w:r>
      <w:r w:rsidR="004C1CC6">
        <w:rPr>
          <w:rFonts w:ascii="Arial" w:hAnsi="Arial" w:cs="Arial"/>
        </w:rPr>
        <w:t>The E</w:t>
      </w:r>
      <w:r w:rsidR="00880887" w:rsidRPr="002114B7">
        <w:rPr>
          <w:rFonts w:ascii="Arial" w:hAnsi="Arial" w:cs="Arial"/>
        </w:rPr>
        <w:t xml:space="preserve">ffects of Degree Class on Labour Market Outcomes, </w:t>
      </w:r>
      <w:r w:rsidR="00880887" w:rsidRPr="002114B7">
        <w:rPr>
          <w:rFonts w:ascii="Arial" w:hAnsi="Arial" w:cs="Arial"/>
          <w:i/>
        </w:rPr>
        <w:t>Centre for Economic Policy Discussion Paper</w:t>
      </w:r>
      <w:r w:rsidR="00880887" w:rsidRPr="002114B7">
        <w:rPr>
          <w:rFonts w:ascii="Arial" w:hAnsi="Arial" w:cs="Arial"/>
        </w:rPr>
        <w:t xml:space="preserve"> No.1221.</w:t>
      </w:r>
    </w:p>
    <w:p w:rsidR="000A4D25" w:rsidRPr="002114B7" w:rsidRDefault="00A22A94" w:rsidP="000A4D25">
      <w:pPr>
        <w:pStyle w:val="ListBullet"/>
        <w:numPr>
          <w:ilvl w:val="0"/>
          <w:numId w:val="0"/>
        </w:numPr>
        <w:spacing w:line="360" w:lineRule="auto"/>
        <w:ind w:left="360" w:hanging="360"/>
        <w:jc w:val="both"/>
        <w:rPr>
          <w:rFonts w:ascii="Arial" w:hAnsi="Arial" w:cs="Arial"/>
        </w:rPr>
      </w:pPr>
      <w:r w:rsidRPr="002114B7">
        <w:rPr>
          <w:rFonts w:ascii="Arial" w:hAnsi="Arial" w:cs="Arial"/>
        </w:rPr>
        <w:lastRenderedPageBreak/>
        <w:t xml:space="preserve">Gibbons, S. and </w:t>
      </w:r>
      <w:proofErr w:type="spellStart"/>
      <w:r w:rsidRPr="002114B7">
        <w:rPr>
          <w:rFonts w:ascii="Arial" w:hAnsi="Arial" w:cs="Arial"/>
        </w:rPr>
        <w:t>Vignoles</w:t>
      </w:r>
      <w:proofErr w:type="spellEnd"/>
      <w:r w:rsidRPr="002114B7">
        <w:rPr>
          <w:rFonts w:ascii="Arial" w:hAnsi="Arial" w:cs="Arial"/>
        </w:rPr>
        <w:t>, A. (2009) Access, Choice and Par</w:t>
      </w:r>
      <w:r w:rsidR="000A4D25" w:rsidRPr="002114B7">
        <w:rPr>
          <w:rFonts w:ascii="Arial" w:hAnsi="Arial" w:cs="Arial"/>
        </w:rPr>
        <w:t>ticipation in Higher Education,</w:t>
      </w:r>
    </w:p>
    <w:p w:rsidR="004C1CC6" w:rsidRDefault="00A22A94" w:rsidP="004C1CC6">
      <w:pPr>
        <w:pStyle w:val="ListBullet"/>
        <w:numPr>
          <w:ilvl w:val="0"/>
          <w:numId w:val="0"/>
        </w:numPr>
        <w:spacing w:line="360" w:lineRule="auto"/>
        <w:jc w:val="both"/>
        <w:rPr>
          <w:rFonts w:ascii="Arial" w:hAnsi="Arial" w:cs="Arial"/>
        </w:rPr>
      </w:pPr>
      <w:r w:rsidRPr="002114B7">
        <w:rPr>
          <w:rFonts w:ascii="Arial" w:hAnsi="Arial" w:cs="Arial"/>
          <w:i/>
        </w:rPr>
        <w:t>Centre for the Economics of Education Discussion Paper</w:t>
      </w:r>
      <w:r w:rsidRPr="002114B7">
        <w:rPr>
          <w:rFonts w:ascii="Arial" w:hAnsi="Arial" w:cs="Arial"/>
        </w:rPr>
        <w:t xml:space="preserve"> No. 101. </w:t>
      </w:r>
      <w:r w:rsidR="004C1CC6">
        <w:rPr>
          <w:rFonts w:ascii="Arial" w:hAnsi="Arial" w:cs="Arial"/>
        </w:rPr>
        <w:t xml:space="preserve">                               </w:t>
      </w:r>
      <w:proofErr w:type="spellStart"/>
      <w:r w:rsidR="00AF2DB3" w:rsidRPr="002114B7">
        <w:rPr>
          <w:rFonts w:ascii="Arial" w:hAnsi="Arial" w:cs="Arial"/>
        </w:rPr>
        <w:t>Gorard</w:t>
      </w:r>
      <w:proofErr w:type="spellEnd"/>
      <w:r w:rsidR="00AF2DB3" w:rsidRPr="002114B7">
        <w:rPr>
          <w:rFonts w:ascii="Arial" w:hAnsi="Arial" w:cs="Arial"/>
        </w:rPr>
        <w:t xml:space="preserve">, S., May, H., Slack, K., Smith, E. and Adnett, N. (2007) </w:t>
      </w:r>
      <w:proofErr w:type="gramStart"/>
      <w:r w:rsidR="00AF2DB3" w:rsidRPr="002114B7">
        <w:rPr>
          <w:rFonts w:ascii="Arial" w:hAnsi="Arial" w:cs="Arial"/>
          <w:i/>
        </w:rPr>
        <w:t>Overcoming</w:t>
      </w:r>
      <w:proofErr w:type="gramEnd"/>
      <w:r w:rsidR="00AF2DB3" w:rsidRPr="002114B7">
        <w:rPr>
          <w:rFonts w:ascii="Arial" w:hAnsi="Arial" w:cs="Arial"/>
          <w:i/>
        </w:rPr>
        <w:t xml:space="preserve"> the Barriers to Higher Education</w:t>
      </w:r>
      <w:r w:rsidR="00AF2DB3" w:rsidRPr="002114B7">
        <w:rPr>
          <w:rFonts w:ascii="Arial" w:hAnsi="Arial" w:cs="Arial"/>
        </w:rPr>
        <w:t xml:space="preserve">, </w:t>
      </w:r>
      <w:r w:rsidR="00487509" w:rsidRPr="002114B7">
        <w:rPr>
          <w:rFonts w:ascii="Arial" w:hAnsi="Arial" w:cs="Arial"/>
        </w:rPr>
        <w:t>Stoke-on-T</w:t>
      </w:r>
      <w:r w:rsidR="00AF2DB3" w:rsidRPr="002114B7">
        <w:rPr>
          <w:rFonts w:ascii="Arial" w:hAnsi="Arial" w:cs="Arial"/>
        </w:rPr>
        <w:t>rent: Trentham Books.</w:t>
      </w:r>
    </w:p>
    <w:p w:rsidR="004C1CC6" w:rsidRDefault="007122C0" w:rsidP="004C1CC6">
      <w:pPr>
        <w:pStyle w:val="ListBullet"/>
        <w:numPr>
          <w:ilvl w:val="0"/>
          <w:numId w:val="0"/>
        </w:numPr>
        <w:spacing w:line="360" w:lineRule="auto"/>
        <w:jc w:val="both"/>
        <w:rPr>
          <w:rFonts w:ascii="Arial" w:hAnsi="Arial" w:cs="Arial"/>
        </w:rPr>
      </w:pPr>
      <w:proofErr w:type="spellStart"/>
      <w:r w:rsidRPr="002114B7">
        <w:rPr>
          <w:rFonts w:ascii="Arial" w:hAnsi="Arial" w:cs="Arial"/>
        </w:rPr>
        <w:t>Hassler</w:t>
      </w:r>
      <w:proofErr w:type="spellEnd"/>
      <w:r w:rsidRPr="002114B7">
        <w:rPr>
          <w:rFonts w:ascii="Arial" w:hAnsi="Arial" w:cs="Arial"/>
        </w:rPr>
        <w:t xml:space="preserve">, J. and Vicente </w:t>
      </w:r>
      <w:proofErr w:type="spellStart"/>
      <w:r w:rsidRPr="002114B7">
        <w:rPr>
          <w:rFonts w:ascii="Arial" w:hAnsi="Arial" w:cs="Arial"/>
        </w:rPr>
        <w:t>Rogriguez-Mora</w:t>
      </w:r>
      <w:proofErr w:type="spellEnd"/>
      <w:r w:rsidRPr="002114B7">
        <w:rPr>
          <w:rFonts w:ascii="Arial" w:hAnsi="Arial" w:cs="Arial"/>
        </w:rPr>
        <w:t xml:space="preserve"> J. (1998) IQ, Social Mobility and Growth, </w:t>
      </w:r>
      <w:r w:rsidRPr="002114B7">
        <w:rPr>
          <w:rFonts w:ascii="Arial" w:hAnsi="Arial" w:cs="Arial"/>
          <w:i/>
        </w:rPr>
        <w:t>Centr</w:t>
      </w:r>
      <w:r w:rsidR="00135498" w:rsidRPr="002114B7">
        <w:rPr>
          <w:rFonts w:ascii="Arial" w:hAnsi="Arial" w:cs="Arial"/>
          <w:i/>
        </w:rPr>
        <w:t>e for Economic Policy Research (CEPR) Discussion Paper</w:t>
      </w:r>
      <w:r w:rsidR="00135498" w:rsidRPr="002114B7">
        <w:rPr>
          <w:rFonts w:ascii="Arial" w:hAnsi="Arial" w:cs="Arial"/>
        </w:rPr>
        <w:t xml:space="preserve"> No. 1827.</w:t>
      </w:r>
    </w:p>
    <w:p w:rsidR="004C1CC6" w:rsidRDefault="00A41601" w:rsidP="004C1CC6">
      <w:pPr>
        <w:pStyle w:val="ListBullet"/>
        <w:numPr>
          <w:ilvl w:val="0"/>
          <w:numId w:val="0"/>
        </w:numPr>
        <w:spacing w:line="360" w:lineRule="auto"/>
        <w:jc w:val="both"/>
        <w:rPr>
          <w:rFonts w:ascii="Arial" w:hAnsi="Arial" w:cs="Arial"/>
        </w:rPr>
      </w:pPr>
      <w:r w:rsidRPr="002114B7">
        <w:rPr>
          <w:rFonts w:ascii="Arial" w:hAnsi="Arial" w:cs="Arial"/>
        </w:rPr>
        <w:t>Heckman, J. (2</w:t>
      </w:r>
      <w:r w:rsidR="00422FF7">
        <w:rPr>
          <w:rFonts w:ascii="Arial" w:hAnsi="Arial" w:cs="Arial"/>
        </w:rPr>
        <w:t>0</w:t>
      </w:r>
      <w:bookmarkStart w:id="0" w:name="_GoBack"/>
      <w:bookmarkEnd w:id="0"/>
      <w:r w:rsidRPr="002114B7">
        <w:rPr>
          <w:rFonts w:ascii="Arial" w:hAnsi="Arial" w:cs="Arial"/>
        </w:rPr>
        <w:t>13)</w:t>
      </w:r>
      <w:r w:rsidRPr="002114B7">
        <w:rPr>
          <w:rFonts w:ascii="Arial" w:hAnsi="Arial" w:cs="Arial"/>
          <w:i/>
        </w:rPr>
        <w:t xml:space="preserve"> Giving Kid’s a Fair Chance: A strategy that works</w:t>
      </w:r>
      <w:r w:rsidRPr="002114B7">
        <w:rPr>
          <w:rFonts w:ascii="Arial" w:hAnsi="Arial" w:cs="Arial"/>
        </w:rPr>
        <w:t>, Cambridge MA: MIT Press.</w:t>
      </w:r>
    </w:p>
    <w:p w:rsidR="004C1CC6" w:rsidRDefault="0034280E" w:rsidP="004C1CC6">
      <w:pPr>
        <w:pStyle w:val="ListBullet"/>
        <w:numPr>
          <w:ilvl w:val="0"/>
          <w:numId w:val="0"/>
        </w:numPr>
        <w:spacing w:line="360" w:lineRule="auto"/>
        <w:jc w:val="both"/>
        <w:rPr>
          <w:rFonts w:ascii="Arial" w:hAnsi="Arial" w:cs="Arial"/>
        </w:rPr>
      </w:pPr>
      <w:r w:rsidRPr="002114B7">
        <w:rPr>
          <w:rFonts w:ascii="Arial" w:hAnsi="Arial" w:cs="Arial"/>
        </w:rPr>
        <w:t xml:space="preserve">Higher Education </w:t>
      </w:r>
      <w:r w:rsidR="00892153" w:rsidRPr="002114B7">
        <w:rPr>
          <w:rFonts w:ascii="Arial" w:hAnsi="Arial" w:cs="Arial"/>
        </w:rPr>
        <w:t xml:space="preserve">Funding Council for England </w:t>
      </w:r>
      <w:r w:rsidR="001D0B33" w:rsidRPr="002114B7">
        <w:rPr>
          <w:rFonts w:ascii="Arial" w:hAnsi="Arial" w:cs="Arial"/>
        </w:rPr>
        <w:t>(HEF</w:t>
      </w:r>
      <w:r w:rsidR="0020533E" w:rsidRPr="002114B7">
        <w:rPr>
          <w:rFonts w:ascii="Arial" w:hAnsi="Arial" w:cs="Arial"/>
        </w:rPr>
        <w:t xml:space="preserve">CE) </w:t>
      </w:r>
      <w:r w:rsidR="00892153" w:rsidRPr="002114B7">
        <w:rPr>
          <w:rFonts w:ascii="Arial" w:hAnsi="Arial" w:cs="Arial"/>
        </w:rPr>
        <w:t>(2009</w:t>
      </w:r>
      <w:r w:rsidR="001D0B33" w:rsidRPr="002114B7">
        <w:rPr>
          <w:rFonts w:ascii="Arial" w:hAnsi="Arial" w:cs="Arial"/>
        </w:rPr>
        <w:t>a</w:t>
      </w:r>
      <w:r w:rsidR="00892153" w:rsidRPr="002114B7">
        <w:rPr>
          <w:rFonts w:ascii="Arial" w:hAnsi="Arial" w:cs="Arial"/>
        </w:rPr>
        <w:t xml:space="preserve">) </w:t>
      </w:r>
      <w:r w:rsidR="00892153" w:rsidRPr="002114B7">
        <w:rPr>
          <w:rFonts w:ascii="Arial" w:hAnsi="Arial" w:cs="Arial"/>
          <w:i/>
        </w:rPr>
        <w:t>Patterns in Higher Education: Living at Home</w:t>
      </w:r>
      <w:r w:rsidR="00196F2A" w:rsidRPr="002114B7">
        <w:rPr>
          <w:rFonts w:ascii="Arial" w:hAnsi="Arial" w:cs="Arial"/>
          <w:i/>
        </w:rPr>
        <w:t>, 2009/20</w:t>
      </w:r>
      <w:r w:rsidR="00892153" w:rsidRPr="002114B7">
        <w:rPr>
          <w:rFonts w:ascii="Arial" w:hAnsi="Arial" w:cs="Arial"/>
        </w:rPr>
        <w:t>, Bristol: HEFCE</w:t>
      </w:r>
      <w:r w:rsidR="001D0B33" w:rsidRPr="002114B7">
        <w:rPr>
          <w:rFonts w:ascii="Arial" w:hAnsi="Arial" w:cs="Arial"/>
        </w:rPr>
        <w:t>.</w:t>
      </w:r>
    </w:p>
    <w:p w:rsidR="004C1CC6" w:rsidRDefault="001D0B33" w:rsidP="004C1CC6">
      <w:pPr>
        <w:pStyle w:val="ListBullet"/>
        <w:numPr>
          <w:ilvl w:val="0"/>
          <w:numId w:val="0"/>
        </w:numPr>
        <w:spacing w:line="360" w:lineRule="auto"/>
        <w:jc w:val="both"/>
        <w:rPr>
          <w:rFonts w:ascii="Arial" w:hAnsi="Arial" w:cs="Arial"/>
        </w:rPr>
      </w:pPr>
      <w:r w:rsidRPr="002114B7">
        <w:rPr>
          <w:rFonts w:ascii="Arial" w:hAnsi="Arial" w:cs="Arial"/>
        </w:rPr>
        <w:t xml:space="preserve">Higher Education Funding Council for England (HEFCE) (2009b) </w:t>
      </w:r>
      <w:r w:rsidRPr="002114B7">
        <w:rPr>
          <w:rFonts w:ascii="Arial" w:hAnsi="Arial" w:cs="Arial"/>
          <w:i/>
        </w:rPr>
        <w:t>Part-time First Degree Study: Entry and Comple</w:t>
      </w:r>
      <w:r w:rsidR="00196F2A" w:rsidRPr="002114B7">
        <w:rPr>
          <w:rFonts w:ascii="Arial" w:hAnsi="Arial" w:cs="Arial"/>
          <w:i/>
        </w:rPr>
        <w:t>t</w:t>
      </w:r>
      <w:r w:rsidRPr="002114B7">
        <w:rPr>
          <w:rFonts w:ascii="Arial" w:hAnsi="Arial" w:cs="Arial"/>
          <w:i/>
        </w:rPr>
        <w:t>ion</w:t>
      </w:r>
      <w:r w:rsidRPr="002114B7">
        <w:rPr>
          <w:rFonts w:ascii="Arial" w:hAnsi="Arial" w:cs="Arial"/>
        </w:rPr>
        <w:t xml:space="preserve">, </w:t>
      </w:r>
      <w:r w:rsidR="00196F2A" w:rsidRPr="002114B7">
        <w:rPr>
          <w:rFonts w:ascii="Arial" w:hAnsi="Arial" w:cs="Arial"/>
          <w:i/>
        </w:rPr>
        <w:t>2009/18,</w:t>
      </w:r>
      <w:r w:rsidR="00196F2A" w:rsidRPr="002114B7">
        <w:rPr>
          <w:rFonts w:ascii="Arial" w:hAnsi="Arial" w:cs="Arial"/>
        </w:rPr>
        <w:t xml:space="preserve"> </w:t>
      </w:r>
      <w:r w:rsidRPr="002114B7">
        <w:rPr>
          <w:rFonts w:ascii="Arial" w:hAnsi="Arial" w:cs="Arial"/>
        </w:rPr>
        <w:t>Bristol: HEFCE</w:t>
      </w:r>
    </w:p>
    <w:p w:rsidR="004C1CC6" w:rsidRDefault="001D0B33" w:rsidP="004C1CC6">
      <w:pPr>
        <w:pStyle w:val="ListBullet"/>
        <w:numPr>
          <w:ilvl w:val="0"/>
          <w:numId w:val="0"/>
        </w:numPr>
        <w:spacing w:line="360" w:lineRule="auto"/>
        <w:jc w:val="both"/>
        <w:rPr>
          <w:rFonts w:ascii="Arial" w:hAnsi="Arial" w:cs="Arial"/>
        </w:rPr>
      </w:pPr>
      <w:r w:rsidRPr="002114B7">
        <w:rPr>
          <w:rFonts w:ascii="Arial" w:hAnsi="Arial" w:cs="Arial"/>
        </w:rPr>
        <w:t xml:space="preserve">Higher Education Funding Council for England (HEFCE) (2013) </w:t>
      </w:r>
      <w:r w:rsidRPr="002114B7">
        <w:rPr>
          <w:rFonts w:ascii="Arial" w:hAnsi="Arial" w:cs="Arial"/>
          <w:i/>
        </w:rPr>
        <w:t>Non-Continuation Rates at English HEIs: Trends for entrant 2005-06 to 2010-11</w:t>
      </w:r>
      <w:r w:rsidRPr="002114B7">
        <w:rPr>
          <w:rFonts w:ascii="Arial" w:hAnsi="Arial" w:cs="Arial"/>
        </w:rPr>
        <w:t>,</w:t>
      </w:r>
      <w:r w:rsidR="00196F2A" w:rsidRPr="002114B7">
        <w:rPr>
          <w:rFonts w:ascii="Arial" w:hAnsi="Arial" w:cs="Arial"/>
          <w:i/>
        </w:rPr>
        <w:t xml:space="preserve"> 2013/07,</w:t>
      </w:r>
      <w:r w:rsidRPr="002114B7">
        <w:rPr>
          <w:rFonts w:ascii="Arial" w:hAnsi="Arial" w:cs="Arial"/>
        </w:rPr>
        <w:t xml:space="preserve"> Bristol: HEFCE</w:t>
      </w:r>
      <w:r w:rsidR="00063B20" w:rsidRPr="002114B7">
        <w:rPr>
          <w:rFonts w:ascii="Arial" w:hAnsi="Arial" w:cs="Arial"/>
        </w:rPr>
        <w:t>.</w:t>
      </w:r>
    </w:p>
    <w:p w:rsidR="004C1CC6" w:rsidRDefault="00AC2928" w:rsidP="004C1CC6">
      <w:pPr>
        <w:pStyle w:val="ListBullet"/>
        <w:numPr>
          <w:ilvl w:val="0"/>
          <w:numId w:val="0"/>
        </w:numPr>
        <w:spacing w:line="360" w:lineRule="auto"/>
        <w:jc w:val="both"/>
        <w:rPr>
          <w:rFonts w:ascii="Arial" w:hAnsi="Arial" w:cs="Arial"/>
        </w:rPr>
      </w:pPr>
      <w:r w:rsidRPr="002114B7">
        <w:rPr>
          <w:rFonts w:ascii="Arial" w:hAnsi="Arial" w:cs="Arial"/>
        </w:rPr>
        <w:t xml:space="preserve">Higher Education Funding Council for England (HEFCE) (2014a) </w:t>
      </w:r>
      <w:r w:rsidRPr="002114B7">
        <w:rPr>
          <w:rFonts w:ascii="Arial" w:hAnsi="Arial" w:cs="Arial"/>
          <w:i/>
        </w:rPr>
        <w:t xml:space="preserve">UK Review of the Provision of Information about </w:t>
      </w:r>
      <w:proofErr w:type="gramStart"/>
      <w:r w:rsidRPr="002114B7">
        <w:rPr>
          <w:rFonts w:ascii="Arial" w:hAnsi="Arial" w:cs="Arial"/>
          <w:i/>
        </w:rPr>
        <w:t>HE</w:t>
      </w:r>
      <w:proofErr w:type="gramEnd"/>
      <w:r w:rsidRPr="002114B7">
        <w:rPr>
          <w:rFonts w:ascii="Arial" w:hAnsi="Arial" w:cs="Arial"/>
          <w:i/>
        </w:rPr>
        <w:t>: National Student Survey results and trends 2005-13, 2014/13</w:t>
      </w:r>
      <w:r w:rsidRPr="002114B7">
        <w:rPr>
          <w:rFonts w:ascii="Arial" w:hAnsi="Arial" w:cs="Arial"/>
        </w:rPr>
        <w:t xml:space="preserve"> Bristol: HEFCE.</w:t>
      </w:r>
    </w:p>
    <w:p w:rsidR="004C1CC6" w:rsidRDefault="00AC2928" w:rsidP="004C1CC6">
      <w:pPr>
        <w:pStyle w:val="ListBullet"/>
        <w:numPr>
          <w:ilvl w:val="0"/>
          <w:numId w:val="0"/>
        </w:numPr>
        <w:spacing w:line="360" w:lineRule="auto"/>
        <w:jc w:val="both"/>
        <w:rPr>
          <w:rFonts w:ascii="Arial" w:hAnsi="Arial" w:cs="Arial"/>
        </w:rPr>
      </w:pPr>
      <w:r w:rsidRPr="002114B7">
        <w:rPr>
          <w:rFonts w:ascii="Arial" w:hAnsi="Arial" w:cs="Arial"/>
        </w:rPr>
        <w:t xml:space="preserve">Higher Education Funding Council for England (HEFCE) (2014b) </w:t>
      </w:r>
      <w:r w:rsidRPr="002114B7">
        <w:rPr>
          <w:rFonts w:ascii="Arial" w:hAnsi="Arial" w:cs="Arial"/>
          <w:i/>
        </w:rPr>
        <w:t>Higher Education in England: Analysis of latest shifts and trends, 2014/08.</w:t>
      </w:r>
      <w:r w:rsidRPr="002114B7">
        <w:rPr>
          <w:rFonts w:ascii="Arial" w:hAnsi="Arial" w:cs="Arial"/>
        </w:rPr>
        <w:t xml:space="preserve"> Bristol: HEFCE.</w:t>
      </w:r>
    </w:p>
    <w:p w:rsidR="004C1CC6" w:rsidRDefault="00AD00CA" w:rsidP="004C1CC6">
      <w:pPr>
        <w:pStyle w:val="ListBullet"/>
        <w:numPr>
          <w:ilvl w:val="0"/>
          <w:numId w:val="0"/>
        </w:numPr>
        <w:spacing w:line="360" w:lineRule="auto"/>
        <w:jc w:val="both"/>
        <w:rPr>
          <w:rFonts w:ascii="Arial" w:hAnsi="Arial" w:cs="Arial"/>
        </w:rPr>
      </w:pPr>
      <w:r w:rsidRPr="002114B7">
        <w:rPr>
          <w:rFonts w:ascii="Arial" w:hAnsi="Arial" w:cs="Arial"/>
        </w:rPr>
        <w:t xml:space="preserve">Higher Education Funding Council for England (HEFCE) (2014c) </w:t>
      </w:r>
      <w:r w:rsidRPr="002114B7">
        <w:rPr>
          <w:rFonts w:ascii="Arial" w:hAnsi="Arial" w:cs="Arial"/>
          <w:i/>
        </w:rPr>
        <w:t>Differences in Degree Outcomes: Key findings, 2014/03.</w:t>
      </w:r>
      <w:r w:rsidRPr="002114B7">
        <w:rPr>
          <w:rFonts w:ascii="Arial" w:hAnsi="Arial" w:cs="Arial"/>
        </w:rPr>
        <w:t xml:space="preserve"> Bristol: HEFCE.</w:t>
      </w:r>
    </w:p>
    <w:p w:rsidR="004C1CC6" w:rsidRDefault="00063B20" w:rsidP="004C1CC6">
      <w:pPr>
        <w:pStyle w:val="ListBullet"/>
        <w:numPr>
          <w:ilvl w:val="0"/>
          <w:numId w:val="0"/>
        </w:numPr>
        <w:spacing w:line="360" w:lineRule="auto"/>
        <w:jc w:val="both"/>
        <w:rPr>
          <w:rFonts w:ascii="Arial" w:hAnsi="Arial" w:cs="Arial"/>
        </w:rPr>
      </w:pPr>
      <w:proofErr w:type="spellStart"/>
      <w:r w:rsidRPr="002114B7">
        <w:rPr>
          <w:rFonts w:ascii="Arial" w:hAnsi="Arial" w:cs="Arial"/>
        </w:rPr>
        <w:t>Hinchcliffe</w:t>
      </w:r>
      <w:proofErr w:type="spellEnd"/>
      <w:r w:rsidRPr="002114B7">
        <w:rPr>
          <w:rFonts w:ascii="Arial" w:hAnsi="Arial" w:cs="Arial"/>
        </w:rPr>
        <w:t xml:space="preserve">, G. and Jolley, A. (2011) Graduate Identity and Employability, </w:t>
      </w:r>
      <w:r w:rsidRPr="002114B7">
        <w:rPr>
          <w:rFonts w:ascii="Arial" w:hAnsi="Arial" w:cs="Arial"/>
          <w:i/>
        </w:rPr>
        <w:t>British Educational Research Journal</w:t>
      </w:r>
      <w:r w:rsidRPr="002114B7">
        <w:rPr>
          <w:rFonts w:ascii="Arial" w:hAnsi="Arial" w:cs="Arial"/>
        </w:rPr>
        <w:t xml:space="preserve">, 37(4): 563-84. </w:t>
      </w:r>
    </w:p>
    <w:p w:rsidR="004C1CC6" w:rsidRDefault="00E807B3" w:rsidP="004C1CC6">
      <w:pPr>
        <w:pStyle w:val="ListBullet"/>
        <w:numPr>
          <w:ilvl w:val="0"/>
          <w:numId w:val="0"/>
        </w:numPr>
        <w:spacing w:line="360" w:lineRule="auto"/>
        <w:jc w:val="both"/>
        <w:rPr>
          <w:rFonts w:ascii="Arial" w:hAnsi="Arial" w:cs="Arial"/>
          <w:i/>
        </w:rPr>
      </w:pPr>
      <w:r w:rsidRPr="002114B7">
        <w:rPr>
          <w:rFonts w:ascii="Arial" w:hAnsi="Arial" w:cs="Arial"/>
        </w:rPr>
        <w:t xml:space="preserve">HM Government (2011) </w:t>
      </w:r>
      <w:r w:rsidRPr="002114B7">
        <w:rPr>
          <w:rFonts w:ascii="Arial" w:hAnsi="Arial" w:cs="Arial"/>
          <w:i/>
        </w:rPr>
        <w:t>Opening Doors, Breaking Barriers: A Strategy for Social Mobility,</w:t>
      </w:r>
      <w:r w:rsidRPr="002114B7">
        <w:rPr>
          <w:rFonts w:ascii="Arial" w:hAnsi="Arial" w:cs="Arial"/>
        </w:rPr>
        <w:t xml:space="preserve"> London: Cabinet Office</w:t>
      </w:r>
      <w:r w:rsidRPr="002114B7">
        <w:rPr>
          <w:rFonts w:ascii="Arial" w:hAnsi="Arial" w:cs="Arial"/>
          <w:i/>
        </w:rPr>
        <w:t>.</w:t>
      </w:r>
    </w:p>
    <w:p w:rsidR="004C1CC6" w:rsidRDefault="00487509" w:rsidP="004C1CC6">
      <w:pPr>
        <w:pStyle w:val="ListBullet"/>
        <w:numPr>
          <w:ilvl w:val="0"/>
          <w:numId w:val="0"/>
        </w:numPr>
        <w:spacing w:line="360" w:lineRule="auto"/>
        <w:jc w:val="both"/>
        <w:rPr>
          <w:rFonts w:ascii="Arial" w:hAnsi="Arial" w:cs="Arial"/>
        </w:rPr>
      </w:pPr>
      <w:r w:rsidRPr="002114B7">
        <w:rPr>
          <w:rFonts w:ascii="Arial" w:hAnsi="Arial" w:cs="Arial"/>
        </w:rPr>
        <w:t>Hussain, I.,</w:t>
      </w:r>
      <w:r w:rsidR="00A22A94" w:rsidRPr="002114B7">
        <w:rPr>
          <w:rFonts w:ascii="Arial" w:hAnsi="Arial" w:cs="Arial"/>
        </w:rPr>
        <w:t xml:space="preserve"> McNally, S. and </w:t>
      </w:r>
      <w:proofErr w:type="spellStart"/>
      <w:r w:rsidR="00A22A94" w:rsidRPr="002114B7">
        <w:rPr>
          <w:rFonts w:ascii="Arial" w:hAnsi="Arial" w:cs="Arial"/>
        </w:rPr>
        <w:t>Telhaj</w:t>
      </w:r>
      <w:proofErr w:type="spellEnd"/>
      <w:r w:rsidR="00A22A94" w:rsidRPr="002114B7">
        <w:rPr>
          <w:rFonts w:ascii="Arial" w:hAnsi="Arial" w:cs="Arial"/>
        </w:rPr>
        <w:t>, S. (20</w:t>
      </w:r>
      <w:r w:rsidRPr="002114B7">
        <w:rPr>
          <w:rFonts w:ascii="Arial" w:hAnsi="Arial" w:cs="Arial"/>
        </w:rPr>
        <w:t>0</w:t>
      </w:r>
      <w:r w:rsidR="00A22A94" w:rsidRPr="002114B7">
        <w:rPr>
          <w:rFonts w:ascii="Arial" w:hAnsi="Arial" w:cs="Arial"/>
        </w:rPr>
        <w:t>9</w:t>
      </w:r>
      <w:r w:rsidRPr="002114B7">
        <w:rPr>
          <w:rFonts w:ascii="Arial" w:hAnsi="Arial" w:cs="Arial"/>
        </w:rPr>
        <w:t xml:space="preserve">) </w:t>
      </w:r>
      <w:r w:rsidR="00A22A94" w:rsidRPr="002114B7">
        <w:rPr>
          <w:rFonts w:ascii="Arial" w:hAnsi="Arial" w:cs="Arial"/>
        </w:rPr>
        <w:t>University Quality and</w:t>
      </w:r>
      <w:r w:rsidRPr="002114B7">
        <w:rPr>
          <w:rFonts w:ascii="Arial" w:hAnsi="Arial" w:cs="Arial"/>
        </w:rPr>
        <w:t xml:space="preserve"> Graduate</w:t>
      </w:r>
      <w:r w:rsidR="00A22A94" w:rsidRPr="002114B7">
        <w:rPr>
          <w:rFonts w:ascii="Arial" w:hAnsi="Arial" w:cs="Arial"/>
        </w:rPr>
        <w:t xml:space="preserve"> Wage</w:t>
      </w:r>
      <w:r w:rsidRPr="002114B7">
        <w:rPr>
          <w:rFonts w:ascii="Arial" w:hAnsi="Arial" w:cs="Arial"/>
        </w:rPr>
        <w:t xml:space="preserve">s in the UK. </w:t>
      </w:r>
      <w:r w:rsidR="00A22A94" w:rsidRPr="002114B7">
        <w:rPr>
          <w:rFonts w:ascii="Arial" w:hAnsi="Arial" w:cs="Arial"/>
          <w:i/>
        </w:rPr>
        <w:t>Centre for the Economics of Education Discussion Paper</w:t>
      </w:r>
      <w:r w:rsidR="00A22A94" w:rsidRPr="002114B7">
        <w:rPr>
          <w:rFonts w:ascii="Arial" w:hAnsi="Arial" w:cs="Arial"/>
        </w:rPr>
        <w:t xml:space="preserve"> No. 99.</w:t>
      </w:r>
    </w:p>
    <w:p w:rsidR="004C1CC6" w:rsidRDefault="00B60125" w:rsidP="004C1CC6">
      <w:pPr>
        <w:pStyle w:val="ListBullet"/>
        <w:numPr>
          <w:ilvl w:val="0"/>
          <w:numId w:val="0"/>
        </w:numPr>
        <w:spacing w:line="360" w:lineRule="auto"/>
        <w:jc w:val="both"/>
        <w:rPr>
          <w:rFonts w:ascii="Arial" w:hAnsi="Arial" w:cs="Arial"/>
        </w:rPr>
      </w:pPr>
      <w:r w:rsidRPr="002114B7">
        <w:rPr>
          <w:rFonts w:ascii="Arial" w:hAnsi="Arial" w:cs="Arial"/>
        </w:rPr>
        <w:t xml:space="preserve">Independent Reviewer of Social Mobility and Child Poverty (2012) </w:t>
      </w:r>
      <w:r w:rsidRPr="002114B7">
        <w:rPr>
          <w:rFonts w:ascii="Arial" w:hAnsi="Arial" w:cs="Arial"/>
          <w:i/>
        </w:rPr>
        <w:t>University Challenge: How Higher Education Can Advance Social Mobility</w:t>
      </w:r>
      <w:r w:rsidRPr="002114B7">
        <w:rPr>
          <w:rFonts w:ascii="Arial" w:hAnsi="Arial" w:cs="Arial"/>
        </w:rPr>
        <w:t>, London: Cabinet Office</w:t>
      </w:r>
    </w:p>
    <w:p w:rsidR="004C1CC6" w:rsidRDefault="00253136" w:rsidP="004C1CC6">
      <w:pPr>
        <w:pStyle w:val="ListBullet"/>
        <w:numPr>
          <w:ilvl w:val="0"/>
          <w:numId w:val="0"/>
        </w:numPr>
        <w:spacing w:line="360" w:lineRule="auto"/>
        <w:jc w:val="both"/>
        <w:rPr>
          <w:rFonts w:ascii="Arial" w:hAnsi="Arial" w:cs="Arial"/>
        </w:rPr>
      </w:pPr>
      <w:r w:rsidRPr="002114B7">
        <w:rPr>
          <w:rFonts w:ascii="Arial" w:hAnsi="Arial" w:cs="Arial"/>
        </w:rPr>
        <w:t xml:space="preserve">Ireland, N., Naylor, R., Smith, J. and </w:t>
      </w:r>
      <w:proofErr w:type="spellStart"/>
      <w:r w:rsidRPr="002114B7">
        <w:rPr>
          <w:rFonts w:ascii="Arial" w:hAnsi="Arial" w:cs="Arial"/>
        </w:rPr>
        <w:t>Telhaj</w:t>
      </w:r>
      <w:proofErr w:type="spellEnd"/>
      <w:r w:rsidRPr="002114B7">
        <w:rPr>
          <w:rFonts w:ascii="Arial" w:hAnsi="Arial" w:cs="Arial"/>
        </w:rPr>
        <w:t>, S. (2009) Educational Returns, Ability Composition and Cohort Effects</w:t>
      </w:r>
      <w:r w:rsidR="006110BB" w:rsidRPr="002114B7">
        <w:rPr>
          <w:rFonts w:ascii="Arial" w:hAnsi="Arial" w:cs="Arial"/>
        </w:rPr>
        <w:t>: Theory and evidence for c</w:t>
      </w:r>
      <w:r w:rsidRPr="002114B7">
        <w:rPr>
          <w:rFonts w:ascii="Arial" w:hAnsi="Arial" w:cs="Arial"/>
        </w:rPr>
        <w:t xml:space="preserve">ohorts of early-career UK graduates, </w:t>
      </w:r>
      <w:r w:rsidRPr="002114B7">
        <w:rPr>
          <w:rFonts w:ascii="Arial" w:hAnsi="Arial" w:cs="Arial"/>
          <w:i/>
        </w:rPr>
        <w:t>Centre for Economic Performance Discussion Paper</w:t>
      </w:r>
      <w:r w:rsidRPr="002114B7">
        <w:rPr>
          <w:rFonts w:ascii="Arial" w:hAnsi="Arial" w:cs="Arial"/>
        </w:rPr>
        <w:t xml:space="preserve"> No. 939.</w:t>
      </w:r>
    </w:p>
    <w:p w:rsidR="004C1CC6" w:rsidRDefault="003676C5" w:rsidP="004C1CC6">
      <w:pPr>
        <w:pStyle w:val="ListBullet"/>
        <w:numPr>
          <w:ilvl w:val="0"/>
          <w:numId w:val="0"/>
        </w:numPr>
        <w:spacing w:line="360" w:lineRule="auto"/>
        <w:jc w:val="both"/>
        <w:rPr>
          <w:rFonts w:ascii="Arial" w:hAnsi="Arial" w:cs="Arial"/>
        </w:rPr>
      </w:pPr>
      <w:r w:rsidRPr="002114B7">
        <w:rPr>
          <w:rFonts w:ascii="Arial" w:hAnsi="Arial" w:cs="Arial"/>
        </w:rPr>
        <w:t xml:space="preserve">Jones, I and </w:t>
      </w:r>
      <w:proofErr w:type="spellStart"/>
      <w:r w:rsidRPr="002114B7">
        <w:rPr>
          <w:rFonts w:ascii="Arial" w:hAnsi="Arial" w:cs="Arial"/>
        </w:rPr>
        <w:t>Romer</w:t>
      </w:r>
      <w:proofErr w:type="spellEnd"/>
      <w:r w:rsidRPr="002114B7">
        <w:rPr>
          <w:rFonts w:ascii="Arial" w:hAnsi="Arial" w:cs="Arial"/>
        </w:rPr>
        <w:t xml:space="preserve">, P. (2009) </w:t>
      </w:r>
      <w:proofErr w:type="gramStart"/>
      <w:r w:rsidRPr="002114B7">
        <w:rPr>
          <w:rFonts w:ascii="Arial" w:hAnsi="Arial" w:cs="Arial"/>
        </w:rPr>
        <w:t>The</w:t>
      </w:r>
      <w:proofErr w:type="gramEnd"/>
      <w:r w:rsidRPr="002114B7">
        <w:rPr>
          <w:rFonts w:ascii="Arial" w:hAnsi="Arial" w:cs="Arial"/>
        </w:rPr>
        <w:t xml:space="preserve"> New </w:t>
      </w:r>
      <w:proofErr w:type="spellStart"/>
      <w:r w:rsidRPr="002114B7">
        <w:rPr>
          <w:rFonts w:ascii="Arial" w:hAnsi="Arial" w:cs="Arial"/>
        </w:rPr>
        <w:t>Kaldor</w:t>
      </w:r>
      <w:proofErr w:type="spellEnd"/>
      <w:r w:rsidRPr="002114B7">
        <w:rPr>
          <w:rFonts w:ascii="Arial" w:hAnsi="Arial" w:cs="Arial"/>
        </w:rPr>
        <w:t xml:space="preserve"> Facts: Ideas, Institutions, Population, and Human Capital, </w:t>
      </w:r>
      <w:r w:rsidRPr="002114B7">
        <w:rPr>
          <w:rFonts w:ascii="Arial" w:hAnsi="Arial" w:cs="Arial"/>
          <w:i/>
        </w:rPr>
        <w:t>National Bureau of Economic Research Working Paper</w:t>
      </w:r>
      <w:r w:rsidRPr="002114B7">
        <w:rPr>
          <w:rFonts w:ascii="Arial" w:hAnsi="Arial" w:cs="Arial"/>
        </w:rPr>
        <w:t xml:space="preserve"> No. 15094.</w:t>
      </w:r>
    </w:p>
    <w:p w:rsidR="004C1CC6" w:rsidRDefault="00070526" w:rsidP="004C1CC6">
      <w:pPr>
        <w:pStyle w:val="ListBullet"/>
        <w:numPr>
          <w:ilvl w:val="0"/>
          <w:numId w:val="0"/>
        </w:numPr>
        <w:spacing w:line="360" w:lineRule="auto"/>
        <w:jc w:val="both"/>
        <w:rPr>
          <w:rFonts w:ascii="Arial" w:hAnsi="Arial" w:cs="Arial"/>
        </w:rPr>
      </w:pPr>
      <w:proofErr w:type="spellStart"/>
      <w:r w:rsidRPr="002114B7">
        <w:rPr>
          <w:rFonts w:ascii="Arial" w:hAnsi="Arial" w:cs="Arial"/>
        </w:rPr>
        <w:t>Leese</w:t>
      </w:r>
      <w:proofErr w:type="spellEnd"/>
      <w:r w:rsidRPr="002114B7">
        <w:rPr>
          <w:rFonts w:ascii="Arial" w:hAnsi="Arial" w:cs="Arial"/>
        </w:rPr>
        <w:t>, M</w:t>
      </w:r>
      <w:r w:rsidR="00892153" w:rsidRPr="002114B7">
        <w:rPr>
          <w:rFonts w:ascii="Arial" w:hAnsi="Arial" w:cs="Arial"/>
        </w:rPr>
        <w:t xml:space="preserve">. (2010) Bridging the Gap: Supporting student transitions into higher education, </w:t>
      </w:r>
      <w:r w:rsidR="00892153" w:rsidRPr="002114B7">
        <w:rPr>
          <w:rFonts w:ascii="Arial" w:hAnsi="Arial" w:cs="Arial"/>
          <w:i/>
        </w:rPr>
        <w:t>Journal of Further and Higher Education</w:t>
      </w:r>
      <w:r w:rsidR="00892153" w:rsidRPr="002114B7">
        <w:rPr>
          <w:rFonts w:ascii="Arial" w:hAnsi="Arial" w:cs="Arial"/>
        </w:rPr>
        <w:t>, 34(2: 239-51.</w:t>
      </w:r>
    </w:p>
    <w:p w:rsidR="004C1CC6" w:rsidRDefault="00AF2DB3" w:rsidP="004C1CC6">
      <w:pPr>
        <w:pStyle w:val="ListBullet"/>
        <w:numPr>
          <w:ilvl w:val="0"/>
          <w:numId w:val="0"/>
        </w:numPr>
        <w:spacing w:line="360" w:lineRule="auto"/>
        <w:jc w:val="both"/>
        <w:rPr>
          <w:rFonts w:ascii="Arial" w:hAnsi="Arial" w:cs="Arial"/>
        </w:rPr>
      </w:pPr>
      <w:r w:rsidRPr="002114B7">
        <w:rPr>
          <w:rFonts w:ascii="Arial" w:hAnsi="Arial" w:cs="Arial"/>
        </w:rPr>
        <w:lastRenderedPageBreak/>
        <w:t xml:space="preserve">London Economics (2011) The Returns to Higher Education Qualifications, </w:t>
      </w:r>
      <w:r w:rsidRPr="002114B7">
        <w:rPr>
          <w:rFonts w:ascii="Arial" w:hAnsi="Arial" w:cs="Arial"/>
          <w:i/>
        </w:rPr>
        <w:t>Department for Business, Innovation and Skills</w:t>
      </w:r>
      <w:r w:rsidRPr="002114B7">
        <w:rPr>
          <w:rFonts w:ascii="Arial" w:hAnsi="Arial" w:cs="Arial"/>
        </w:rPr>
        <w:t>, Research Paper No. 435.</w:t>
      </w:r>
    </w:p>
    <w:p w:rsidR="004C1CC6" w:rsidRDefault="003676C5" w:rsidP="004C1CC6">
      <w:pPr>
        <w:pStyle w:val="ListBullet"/>
        <w:numPr>
          <w:ilvl w:val="0"/>
          <w:numId w:val="0"/>
        </w:numPr>
        <w:spacing w:line="360" w:lineRule="auto"/>
        <w:jc w:val="both"/>
        <w:rPr>
          <w:rFonts w:ascii="Arial" w:hAnsi="Arial" w:cs="Arial"/>
        </w:rPr>
      </w:pPr>
      <w:r w:rsidRPr="002114B7">
        <w:rPr>
          <w:rFonts w:ascii="Arial" w:hAnsi="Arial" w:cs="Arial"/>
        </w:rPr>
        <w:t xml:space="preserve">Machin, S. (2004) Skill-biased Technical Change and Educational Outcomes, Chapter 5 of G. </w:t>
      </w:r>
      <w:proofErr w:type="spellStart"/>
      <w:r w:rsidRPr="002114B7">
        <w:rPr>
          <w:rFonts w:ascii="Arial" w:hAnsi="Arial" w:cs="Arial"/>
        </w:rPr>
        <w:t>Johnes</w:t>
      </w:r>
      <w:proofErr w:type="spellEnd"/>
      <w:r w:rsidRPr="002114B7">
        <w:rPr>
          <w:rFonts w:ascii="Arial" w:hAnsi="Arial" w:cs="Arial"/>
        </w:rPr>
        <w:t xml:space="preserve"> and J. </w:t>
      </w:r>
      <w:proofErr w:type="spellStart"/>
      <w:r w:rsidRPr="002114B7">
        <w:rPr>
          <w:rFonts w:ascii="Arial" w:hAnsi="Arial" w:cs="Arial"/>
        </w:rPr>
        <w:t>Johnes</w:t>
      </w:r>
      <w:proofErr w:type="spellEnd"/>
      <w:r w:rsidRPr="002114B7">
        <w:rPr>
          <w:rFonts w:ascii="Arial" w:hAnsi="Arial" w:cs="Arial"/>
        </w:rPr>
        <w:t xml:space="preserve"> (</w:t>
      </w:r>
      <w:proofErr w:type="spellStart"/>
      <w:r w:rsidRPr="002114B7">
        <w:rPr>
          <w:rFonts w:ascii="Arial" w:hAnsi="Arial" w:cs="Arial"/>
        </w:rPr>
        <w:t>eds</w:t>
      </w:r>
      <w:proofErr w:type="spellEnd"/>
      <w:r w:rsidRPr="002114B7">
        <w:rPr>
          <w:rFonts w:ascii="Arial" w:hAnsi="Arial" w:cs="Arial"/>
        </w:rPr>
        <w:t xml:space="preserve">) </w:t>
      </w:r>
      <w:r w:rsidRPr="002114B7">
        <w:rPr>
          <w:rFonts w:ascii="Arial" w:hAnsi="Arial" w:cs="Arial"/>
          <w:i/>
        </w:rPr>
        <w:t>International Handbook of the Economics of Education,</w:t>
      </w:r>
      <w:r w:rsidRPr="002114B7">
        <w:rPr>
          <w:rFonts w:ascii="Arial" w:hAnsi="Arial" w:cs="Arial"/>
        </w:rPr>
        <w:t xml:space="preserve"> Cheltenham: Edward Elgar.</w:t>
      </w:r>
    </w:p>
    <w:p w:rsidR="004C1CC6" w:rsidRDefault="001C0BE9" w:rsidP="004C1CC6">
      <w:pPr>
        <w:pStyle w:val="ListBullet"/>
        <w:numPr>
          <w:ilvl w:val="0"/>
          <w:numId w:val="0"/>
        </w:numPr>
        <w:spacing w:line="360" w:lineRule="auto"/>
        <w:jc w:val="both"/>
        <w:rPr>
          <w:rFonts w:ascii="Arial" w:hAnsi="Arial" w:cs="Arial"/>
        </w:rPr>
      </w:pPr>
      <w:r w:rsidRPr="002114B7">
        <w:rPr>
          <w:rFonts w:ascii="Arial" w:hAnsi="Arial" w:cs="Arial"/>
        </w:rPr>
        <w:t xml:space="preserve">Machin, S., Murphy, S. and </w:t>
      </w:r>
      <w:proofErr w:type="spellStart"/>
      <w:r w:rsidRPr="002114B7">
        <w:rPr>
          <w:rFonts w:ascii="Arial" w:hAnsi="Arial" w:cs="Arial"/>
        </w:rPr>
        <w:t>Soobedar</w:t>
      </w:r>
      <w:proofErr w:type="spellEnd"/>
      <w:r w:rsidRPr="002114B7">
        <w:rPr>
          <w:rFonts w:ascii="Arial" w:hAnsi="Arial" w:cs="Arial"/>
        </w:rPr>
        <w:t xml:space="preserve">, Z. (2009) </w:t>
      </w:r>
      <w:r w:rsidRPr="002114B7">
        <w:rPr>
          <w:rFonts w:ascii="Arial" w:hAnsi="Arial" w:cs="Arial"/>
          <w:i/>
        </w:rPr>
        <w:t>Differences in Labour Market Gains from Higher Education Participation</w:t>
      </w:r>
      <w:r w:rsidRPr="002114B7">
        <w:rPr>
          <w:rFonts w:ascii="Arial" w:hAnsi="Arial" w:cs="Arial"/>
        </w:rPr>
        <w:t>, London: National Equality Panel.</w:t>
      </w:r>
    </w:p>
    <w:p w:rsidR="004C1CC6" w:rsidRDefault="00AD0F70" w:rsidP="004C1CC6">
      <w:pPr>
        <w:pStyle w:val="ListBullet"/>
        <w:numPr>
          <w:ilvl w:val="0"/>
          <w:numId w:val="0"/>
        </w:numPr>
        <w:spacing w:line="360" w:lineRule="auto"/>
        <w:jc w:val="both"/>
        <w:rPr>
          <w:rFonts w:ascii="Arial" w:hAnsi="Arial" w:cs="Arial"/>
        </w:rPr>
      </w:pPr>
      <w:r w:rsidRPr="002114B7">
        <w:rPr>
          <w:rFonts w:ascii="Arial" w:hAnsi="Arial" w:cs="Arial"/>
        </w:rPr>
        <w:t xml:space="preserve">Machin, S. and </w:t>
      </w:r>
      <w:proofErr w:type="spellStart"/>
      <w:r w:rsidRPr="002114B7">
        <w:rPr>
          <w:rFonts w:ascii="Arial" w:hAnsi="Arial" w:cs="Arial"/>
        </w:rPr>
        <w:t>Vignoles</w:t>
      </w:r>
      <w:proofErr w:type="spellEnd"/>
      <w:r w:rsidRPr="002114B7">
        <w:rPr>
          <w:rFonts w:ascii="Arial" w:hAnsi="Arial" w:cs="Arial"/>
        </w:rPr>
        <w:t xml:space="preserve">, A. (2005) </w:t>
      </w:r>
      <w:proofErr w:type="gramStart"/>
      <w:r w:rsidRPr="002114B7">
        <w:rPr>
          <w:rFonts w:ascii="Arial" w:hAnsi="Arial" w:cs="Arial"/>
          <w:i/>
        </w:rPr>
        <w:t>What’s</w:t>
      </w:r>
      <w:proofErr w:type="gramEnd"/>
      <w:r w:rsidRPr="002114B7">
        <w:rPr>
          <w:rFonts w:ascii="Arial" w:hAnsi="Arial" w:cs="Arial"/>
          <w:i/>
        </w:rPr>
        <w:t xml:space="preserve"> the Good of Education? The Economics of Education in the UK</w:t>
      </w:r>
      <w:r w:rsidRPr="002114B7">
        <w:rPr>
          <w:rFonts w:ascii="Arial" w:hAnsi="Arial" w:cs="Arial"/>
        </w:rPr>
        <w:t>, Princeton and Oxford: Princeton University Press.</w:t>
      </w:r>
    </w:p>
    <w:p w:rsidR="004C1CC6" w:rsidRDefault="00AF14F4" w:rsidP="004C1CC6">
      <w:pPr>
        <w:pStyle w:val="ListBullet"/>
        <w:numPr>
          <w:ilvl w:val="0"/>
          <w:numId w:val="0"/>
        </w:numPr>
        <w:spacing w:line="360" w:lineRule="auto"/>
        <w:jc w:val="both"/>
        <w:rPr>
          <w:rFonts w:ascii="Arial" w:hAnsi="Arial" w:cs="Arial"/>
        </w:rPr>
      </w:pPr>
      <w:r w:rsidRPr="002114B7">
        <w:rPr>
          <w:rFonts w:ascii="Arial" w:hAnsi="Arial" w:cs="Arial"/>
        </w:rPr>
        <w:t xml:space="preserve">Macmillan, L. and </w:t>
      </w:r>
      <w:proofErr w:type="spellStart"/>
      <w:r w:rsidRPr="002114B7">
        <w:rPr>
          <w:rFonts w:ascii="Arial" w:hAnsi="Arial" w:cs="Arial"/>
        </w:rPr>
        <w:t>Vignoles</w:t>
      </w:r>
      <w:proofErr w:type="spellEnd"/>
      <w:r w:rsidRPr="002114B7">
        <w:rPr>
          <w:rFonts w:ascii="Arial" w:hAnsi="Arial" w:cs="Arial"/>
        </w:rPr>
        <w:t xml:space="preserve">, A. (2013) </w:t>
      </w:r>
      <w:r w:rsidRPr="002114B7">
        <w:rPr>
          <w:rFonts w:ascii="Arial" w:hAnsi="Arial" w:cs="Arial"/>
          <w:i/>
        </w:rPr>
        <w:t>Mapping the Occupational Destinations of New Graduates,</w:t>
      </w:r>
      <w:r w:rsidRPr="002114B7">
        <w:rPr>
          <w:rFonts w:ascii="Arial" w:hAnsi="Arial" w:cs="Arial"/>
        </w:rPr>
        <w:t xml:space="preserve"> London: Social Mobility and Child Poverty Commission.</w:t>
      </w:r>
    </w:p>
    <w:p w:rsidR="004C1CC6" w:rsidRDefault="00AF2DB3" w:rsidP="004C1CC6">
      <w:pPr>
        <w:pStyle w:val="ListBullet"/>
        <w:numPr>
          <w:ilvl w:val="0"/>
          <w:numId w:val="0"/>
        </w:numPr>
        <w:spacing w:line="360" w:lineRule="auto"/>
        <w:jc w:val="both"/>
        <w:rPr>
          <w:rFonts w:ascii="Arial" w:hAnsi="Arial" w:cs="Arial"/>
        </w:rPr>
      </w:pPr>
      <w:r w:rsidRPr="002114B7">
        <w:rPr>
          <w:rFonts w:ascii="Arial" w:hAnsi="Arial" w:cs="Arial"/>
        </w:rPr>
        <w:t xml:space="preserve">Million Plus (2013) </w:t>
      </w:r>
      <w:proofErr w:type="gramStart"/>
      <w:r w:rsidRPr="002114B7">
        <w:rPr>
          <w:rFonts w:ascii="Arial" w:hAnsi="Arial" w:cs="Arial"/>
          <w:i/>
        </w:rPr>
        <w:t>What’s</w:t>
      </w:r>
      <w:proofErr w:type="gramEnd"/>
      <w:r w:rsidRPr="002114B7">
        <w:rPr>
          <w:rFonts w:ascii="Arial" w:hAnsi="Arial" w:cs="Arial"/>
          <w:i/>
        </w:rPr>
        <w:t xml:space="preserve"> the Value of a UK Degree?</w:t>
      </w:r>
      <w:r w:rsidRPr="002114B7">
        <w:rPr>
          <w:rFonts w:ascii="Arial" w:hAnsi="Arial" w:cs="Arial"/>
        </w:rPr>
        <w:t xml:space="preserve"> London: Million Plus/London Economics.</w:t>
      </w:r>
    </w:p>
    <w:p w:rsidR="00FD2227" w:rsidRDefault="00FD2227" w:rsidP="004C1CC6">
      <w:pPr>
        <w:pStyle w:val="ListBullet"/>
        <w:numPr>
          <w:ilvl w:val="0"/>
          <w:numId w:val="0"/>
        </w:numPr>
        <w:spacing w:line="360" w:lineRule="auto"/>
        <w:jc w:val="both"/>
        <w:rPr>
          <w:rFonts w:ascii="Arial" w:hAnsi="Arial" w:cs="Arial"/>
        </w:rPr>
      </w:pPr>
      <w:r>
        <w:rPr>
          <w:rFonts w:ascii="Arial" w:hAnsi="Arial" w:cs="Arial"/>
        </w:rPr>
        <w:t xml:space="preserve">Montenegro, C, and </w:t>
      </w:r>
      <w:proofErr w:type="spellStart"/>
      <w:r>
        <w:rPr>
          <w:rFonts w:ascii="Arial" w:hAnsi="Arial" w:cs="Arial"/>
        </w:rPr>
        <w:t>Patrinos</w:t>
      </w:r>
      <w:proofErr w:type="spellEnd"/>
      <w:r>
        <w:rPr>
          <w:rFonts w:ascii="Arial" w:hAnsi="Arial" w:cs="Arial"/>
        </w:rPr>
        <w:t xml:space="preserve">, H. (2014) Comparable Estimates of Returns to Schooling </w:t>
      </w:r>
      <w:proofErr w:type="gramStart"/>
      <w:r>
        <w:rPr>
          <w:rFonts w:ascii="Arial" w:hAnsi="Arial" w:cs="Arial"/>
        </w:rPr>
        <w:t>Around</w:t>
      </w:r>
      <w:proofErr w:type="gramEnd"/>
      <w:r>
        <w:rPr>
          <w:rFonts w:ascii="Arial" w:hAnsi="Arial" w:cs="Arial"/>
        </w:rPr>
        <w:t xml:space="preserve"> the World, </w:t>
      </w:r>
      <w:r w:rsidRPr="00FD2227">
        <w:rPr>
          <w:rFonts w:ascii="Arial" w:hAnsi="Arial" w:cs="Arial"/>
          <w:i/>
        </w:rPr>
        <w:t>World Bank Policy Research Working Paper</w:t>
      </w:r>
      <w:r>
        <w:rPr>
          <w:rFonts w:ascii="Arial" w:hAnsi="Arial" w:cs="Arial"/>
        </w:rPr>
        <w:t xml:space="preserve"> No. 7020.</w:t>
      </w:r>
    </w:p>
    <w:p w:rsidR="004C1CC6" w:rsidRDefault="00487509" w:rsidP="004C1CC6">
      <w:pPr>
        <w:pStyle w:val="ListBullet"/>
        <w:numPr>
          <w:ilvl w:val="0"/>
          <w:numId w:val="0"/>
        </w:numPr>
        <w:spacing w:line="360" w:lineRule="auto"/>
        <w:jc w:val="both"/>
        <w:rPr>
          <w:rFonts w:ascii="Arial" w:hAnsi="Arial" w:cs="Arial"/>
        </w:rPr>
      </w:pPr>
      <w:r w:rsidRPr="002114B7">
        <w:rPr>
          <w:rFonts w:ascii="Arial" w:hAnsi="Arial" w:cs="Arial"/>
        </w:rPr>
        <w:t xml:space="preserve">Moore, J., Sanders, J. and </w:t>
      </w:r>
      <w:proofErr w:type="spellStart"/>
      <w:r w:rsidRPr="002114B7">
        <w:rPr>
          <w:rFonts w:ascii="Arial" w:hAnsi="Arial" w:cs="Arial"/>
        </w:rPr>
        <w:t>Higham</w:t>
      </w:r>
      <w:proofErr w:type="spellEnd"/>
      <w:r w:rsidRPr="002114B7">
        <w:rPr>
          <w:rFonts w:ascii="Arial" w:hAnsi="Arial" w:cs="Arial"/>
        </w:rPr>
        <w:t xml:space="preserve">, L. (2013) </w:t>
      </w:r>
      <w:r w:rsidRPr="002114B7">
        <w:rPr>
          <w:rFonts w:ascii="Arial" w:hAnsi="Arial" w:cs="Arial"/>
          <w:i/>
        </w:rPr>
        <w:t>Literature Review on Research into Widening Participation to Higher Education</w:t>
      </w:r>
      <w:r w:rsidRPr="002114B7">
        <w:rPr>
          <w:rFonts w:ascii="Arial" w:hAnsi="Arial" w:cs="Arial"/>
        </w:rPr>
        <w:t xml:space="preserve">, Bristol: HEFCE. </w:t>
      </w:r>
    </w:p>
    <w:p w:rsidR="004C1CC6" w:rsidRDefault="0001108D" w:rsidP="004C1CC6">
      <w:pPr>
        <w:pStyle w:val="ListBullet"/>
        <w:numPr>
          <w:ilvl w:val="0"/>
          <w:numId w:val="0"/>
        </w:numPr>
        <w:spacing w:line="360" w:lineRule="auto"/>
        <w:jc w:val="both"/>
        <w:rPr>
          <w:rFonts w:ascii="Arial" w:hAnsi="Arial" w:cs="Arial"/>
        </w:rPr>
      </w:pPr>
      <w:r w:rsidRPr="002114B7">
        <w:rPr>
          <w:rFonts w:ascii="Arial" w:hAnsi="Arial" w:cs="Arial"/>
        </w:rPr>
        <w:t>ODPM (Office of the Deputy Prime-Minister) (2013) Social Mobility Indicators, 1</w:t>
      </w:r>
      <w:r w:rsidRPr="002114B7">
        <w:rPr>
          <w:rFonts w:ascii="Arial" w:hAnsi="Arial" w:cs="Arial"/>
          <w:vertAlign w:val="superscript"/>
        </w:rPr>
        <w:t>st</w:t>
      </w:r>
      <w:r w:rsidRPr="002114B7">
        <w:rPr>
          <w:rFonts w:ascii="Arial" w:hAnsi="Arial" w:cs="Arial"/>
        </w:rPr>
        <w:t xml:space="preserve"> July 2014. Available: www.gov.uk/government/publications/social-mobility-indicators/social-mobility-indicators, Last accessed: 20/08/2014</w:t>
      </w:r>
    </w:p>
    <w:p w:rsidR="004C1CC6" w:rsidRDefault="00B60125" w:rsidP="004C1CC6">
      <w:pPr>
        <w:pStyle w:val="ListBullet"/>
        <w:numPr>
          <w:ilvl w:val="0"/>
          <w:numId w:val="0"/>
        </w:numPr>
        <w:spacing w:line="360" w:lineRule="auto"/>
        <w:jc w:val="both"/>
        <w:rPr>
          <w:rFonts w:ascii="Arial" w:hAnsi="Arial" w:cs="Arial"/>
        </w:rPr>
      </w:pPr>
      <w:r w:rsidRPr="002114B7">
        <w:rPr>
          <w:rFonts w:ascii="Arial" w:hAnsi="Arial" w:cs="Arial"/>
        </w:rPr>
        <w:t>Office for Fair Access (OFFA) (2010)</w:t>
      </w:r>
      <w:r w:rsidRPr="002114B7">
        <w:rPr>
          <w:rFonts w:ascii="Arial" w:hAnsi="Arial" w:cs="Arial"/>
          <w:i/>
        </w:rPr>
        <w:t xml:space="preserve"> What More Can </w:t>
      </w:r>
      <w:proofErr w:type="gramStart"/>
      <w:r w:rsidRPr="002114B7">
        <w:rPr>
          <w:rFonts w:ascii="Arial" w:hAnsi="Arial" w:cs="Arial"/>
          <w:i/>
        </w:rPr>
        <w:t>be</w:t>
      </w:r>
      <w:proofErr w:type="gramEnd"/>
      <w:r w:rsidRPr="002114B7">
        <w:rPr>
          <w:rFonts w:ascii="Arial" w:hAnsi="Arial" w:cs="Arial"/>
          <w:i/>
        </w:rPr>
        <w:t xml:space="preserve"> Done to Widen Access to Highly Selective Universities?</w:t>
      </w:r>
      <w:r w:rsidRPr="002114B7">
        <w:rPr>
          <w:rFonts w:ascii="Arial" w:hAnsi="Arial" w:cs="Arial"/>
        </w:rPr>
        <w:t xml:space="preserve"> Bristol: OFFA.</w:t>
      </w:r>
    </w:p>
    <w:p w:rsidR="004C1CC6" w:rsidRDefault="00F110AA" w:rsidP="004C1CC6">
      <w:pPr>
        <w:pStyle w:val="ListBullet"/>
        <w:numPr>
          <w:ilvl w:val="0"/>
          <w:numId w:val="0"/>
        </w:numPr>
        <w:spacing w:line="360" w:lineRule="auto"/>
        <w:jc w:val="both"/>
        <w:rPr>
          <w:rFonts w:ascii="Arial" w:hAnsi="Arial" w:cs="Arial"/>
        </w:rPr>
      </w:pPr>
      <w:r w:rsidRPr="002114B7">
        <w:rPr>
          <w:rFonts w:ascii="Arial" w:hAnsi="Arial" w:cs="Arial"/>
        </w:rPr>
        <w:t>Office for Fair Access (OFFA) (2014)</w:t>
      </w:r>
      <w:r w:rsidRPr="002114B7">
        <w:rPr>
          <w:rFonts w:ascii="Arial" w:hAnsi="Arial" w:cs="Arial"/>
          <w:i/>
        </w:rPr>
        <w:t xml:space="preserve"> Interim Report: Do Bursaries have an effect on Retention Rates?</w:t>
      </w:r>
      <w:r w:rsidRPr="002114B7">
        <w:rPr>
          <w:rFonts w:ascii="Arial" w:hAnsi="Arial" w:cs="Arial"/>
        </w:rPr>
        <w:t xml:space="preserve"> Bristol: OFFA.</w:t>
      </w:r>
    </w:p>
    <w:p w:rsidR="004C1CC6" w:rsidRDefault="003676C5" w:rsidP="004C1CC6">
      <w:pPr>
        <w:pStyle w:val="ListBullet"/>
        <w:numPr>
          <w:ilvl w:val="0"/>
          <w:numId w:val="0"/>
        </w:numPr>
        <w:spacing w:line="360" w:lineRule="auto"/>
        <w:jc w:val="both"/>
        <w:rPr>
          <w:rFonts w:ascii="Arial" w:hAnsi="Arial" w:cs="Arial"/>
        </w:rPr>
      </w:pPr>
      <w:r w:rsidRPr="002114B7">
        <w:rPr>
          <w:rFonts w:ascii="Arial" w:hAnsi="Arial" w:cs="Arial"/>
        </w:rPr>
        <w:t>Pritchett, L. (2006) Does Learning to Add Up Add Up? The returns to schooling in aggregate data</w:t>
      </w:r>
      <w:r w:rsidR="00E00F7E" w:rsidRPr="002114B7">
        <w:rPr>
          <w:rFonts w:ascii="Arial" w:hAnsi="Arial" w:cs="Arial"/>
        </w:rPr>
        <w:t>,</w:t>
      </w:r>
      <w:r w:rsidRPr="002114B7">
        <w:rPr>
          <w:rFonts w:ascii="Arial" w:hAnsi="Arial" w:cs="Arial"/>
        </w:rPr>
        <w:t xml:space="preserve"> in E. </w:t>
      </w:r>
      <w:proofErr w:type="spellStart"/>
      <w:r w:rsidRPr="002114B7">
        <w:rPr>
          <w:rFonts w:ascii="Arial" w:hAnsi="Arial" w:cs="Arial"/>
        </w:rPr>
        <w:t>Hanushek</w:t>
      </w:r>
      <w:proofErr w:type="spellEnd"/>
      <w:r w:rsidRPr="002114B7">
        <w:rPr>
          <w:rFonts w:ascii="Arial" w:hAnsi="Arial" w:cs="Arial"/>
        </w:rPr>
        <w:t xml:space="preserve"> and F. Welch (eds.) </w:t>
      </w:r>
      <w:r w:rsidRPr="002114B7">
        <w:rPr>
          <w:rFonts w:ascii="Arial" w:hAnsi="Arial" w:cs="Arial"/>
          <w:i/>
        </w:rPr>
        <w:t>Handbook of the Economics of Education Volume 1</w:t>
      </w:r>
      <w:r w:rsidRPr="002114B7">
        <w:rPr>
          <w:rFonts w:ascii="Arial" w:hAnsi="Arial" w:cs="Arial"/>
        </w:rPr>
        <w:t>, Amsterdam: Elsevier.</w:t>
      </w:r>
    </w:p>
    <w:p w:rsidR="004C1CC6" w:rsidRDefault="00063B20" w:rsidP="004C1CC6">
      <w:pPr>
        <w:pStyle w:val="ListBullet"/>
        <w:numPr>
          <w:ilvl w:val="0"/>
          <w:numId w:val="0"/>
        </w:numPr>
        <w:spacing w:line="360" w:lineRule="auto"/>
        <w:jc w:val="both"/>
        <w:rPr>
          <w:rFonts w:ascii="Arial" w:hAnsi="Arial" w:cs="Arial"/>
        </w:rPr>
      </w:pPr>
      <w:r w:rsidRPr="002114B7">
        <w:rPr>
          <w:rFonts w:ascii="Arial" w:hAnsi="Arial" w:cs="Arial"/>
        </w:rPr>
        <w:t xml:space="preserve">Purcell, K., Elias, P., </w:t>
      </w:r>
      <w:proofErr w:type="spellStart"/>
      <w:r w:rsidRPr="002114B7">
        <w:rPr>
          <w:rFonts w:ascii="Arial" w:hAnsi="Arial" w:cs="Arial"/>
        </w:rPr>
        <w:t>Atfield</w:t>
      </w:r>
      <w:proofErr w:type="spellEnd"/>
      <w:r w:rsidRPr="002114B7">
        <w:rPr>
          <w:rFonts w:ascii="Arial" w:hAnsi="Arial" w:cs="Arial"/>
        </w:rPr>
        <w:t xml:space="preserve">, G., </w:t>
      </w:r>
      <w:proofErr w:type="spellStart"/>
      <w:r w:rsidRPr="002114B7">
        <w:rPr>
          <w:rFonts w:ascii="Arial" w:hAnsi="Arial" w:cs="Arial"/>
        </w:rPr>
        <w:t>Behle</w:t>
      </w:r>
      <w:proofErr w:type="spellEnd"/>
      <w:r w:rsidRPr="002114B7">
        <w:rPr>
          <w:rFonts w:ascii="Arial" w:hAnsi="Arial" w:cs="Arial"/>
        </w:rPr>
        <w:t xml:space="preserve">, H., </w:t>
      </w:r>
      <w:proofErr w:type="spellStart"/>
      <w:r w:rsidRPr="002114B7">
        <w:rPr>
          <w:rFonts w:ascii="Arial" w:hAnsi="Arial" w:cs="Arial"/>
        </w:rPr>
        <w:t>Elison</w:t>
      </w:r>
      <w:proofErr w:type="spellEnd"/>
      <w:r w:rsidRPr="002114B7">
        <w:rPr>
          <w:rFonts w:ascii="Arial" w:hAnsi="Arial" w:cs="Arial"/>
        </w:rPr>
        <w:t xml:space="preserve">, R. and </w:t>
      </w:r>
      <w:proofErr w:type="spellStart"/>
      <w:r w:rsidRPr="002114B7">
        <w:rPr>
          <w:rFonts w:ascii="Arial" w:hAnsi="Arial" w:cs="Arial"/>
        </w:rPr>
        <w:t>Luchinskaya</w:t>
      </w:r>
      <w:proofErr w:type="spellEnd"/>
      <w:r w:rsidRPr="002114B7">
        <w:rPr>
          <w:rFonts w:ascii="Arial" w:hAnsi="Arial" w:cs="Arial"/>
        </w:rPr>
        <w:t xml:space="preserve">, D. (2012) </w:t>
      </w:r>
      <w:proofErr w:type="spellStart"/>
      <w:r w:rsidRPr="002114B7">
        <w:rPr>
          <w:rFonts w:ascii="Arial" w:hAnsi="Arial" w:cs="Arial"/>
          <w:i/>
        </w:rPr>
        <w:t>Futuretrack</w:t>
      </w:r>
      <w:proofErr w:type="spellEnd"/>
      <w:r w:rsidRPr="002114B7">
        <w:rPr>
          <w:rFonts w:ascii="Arial" w:hAnsi="Arial" w:cs="Arial"/>
          <w:i/>
        </w:rPr>
        <w:t xml:space="preserve"> Stage 4: Transitions into employment, further study and other outcomes</w:t>
      </w:r>
      <w:r w:rsidRPr="002114B7">
        <w:rPr>
          <w:rFonts w:ascii="Arial" w:hAnsi="Arial" w:cs="Arial"/>
        </w:rPr>
        <w:t xml:space="preserve">, Manchester: HECSU. </w:t>
      </w:r>
    </w:p>
    <w:p w:rsidR="004C1CC6" w:rsidRDefault="00196F2A" w:rsidP="004C1CC6">
      <w:pPr>
        <w:pStyle w:val="ListBullet"/>
        <w:numPr>
          <w:ilvl w:val="0"/>
          <w:numId w:val="0"/>
        </w:numPr>
        <w:spacing w:line="360" w:lineRule="auto"/>
        <w:jc w:val="both"/>
        <w:rPr>
          <w:rFonts w:ascii="Arial" w:hAnsi="Arial" w:cs="Arial"/>
        </w:rPr>
      </w:pPr>
      <w:r w:rsidRPr="002114B7">
        <w:rPr>
          <w:rFonts w:ascii="Arial" w:hAnsi="Arial" w:cs="Arial"/>
        </w:rPr>
        <w:t>Richardson J.</w:t>
      </w:r>
      <w:r w:rsidR="00063B20" w:rsidRPr="002114B7">
        <w:rPr>
          <w:rFonts w:ascii="Arial" w:hAnsi="Arial" w:cs="Arial"/>
        </w:rPr>
        <w:t xml:space="preserve"> (2008) </w:t>
      </w:r>
      <w:r w:rsidR="00063B20" w:rsidRPr="002114B7">
        <w:rPr>
          <w:rFonts w:ascii="Arial" w:hAnsi="Arial" w:cs="Arial"/>
          <w:i/>
        </w:rPr>
        <w:t>Degree Attainment, Ethni</w:t>
      </w:r>
      <w:r w:rsidRPr="002114B7">
        <w:rPr>
          <w:rFonts w:ascii="Arial" w:hAnsi="Arial" w:cs="Arial"/>
          <w:i/>
        </w:rPr>
        <w:t>city and Gender: A literature review</w:t>
      </w:r>
      <w:r w:rsidRPr="002114B7">
        <w:rPr>
          <w:rFonts w:ascii="Arial" w:hAnsi="Arial" w:cs="Arial"/>
        </w:rPr>
        <w:t xml:space="preserve">, </w:t>
      </w:r>
      <w:r w:rsidR="00063B20" w:rsidRPr="002114B7">
        <w:rPr>
          <w:rFonts w:ascii="Arial" w:hAnsi="Arial" w:cs="Arial"/>
        </w:rPr>
        <w:t>York: ECU/Higher Education Academy.</w:t>
      </w:r>
    </w:p>
    <w:p w:rsidR="004C1CC6" w:rsidRDefault="00196F2A" w:rsidP="004C1CC6">
      <w:pPr>
        <w:pStyle w:val="ListBullet"/>
        <w:numPr>
          <w:ilvl w:val="0"/>
          <w:numId w:val="0"/>
        </w:numPr>
        <w:spacing w:line="360" w:lineRule="auto"/>
        <w:jc w:val="both"/>
        <w:rPr>
          <w:rFonts w:ascii="Arial" w:hAnsi="Arial" w:cs="Arial"/>
        </w:rPr>
      </w:pPr>
      <w:r w:rsidRPr="002114B7">
        <w:rPr>
          <w:rFonts w:ascii="Arial" w:hAnsi="Arial" w:cs="Arial"/>
        </w:rPr>
        <w:t xml:space="preserve">Rose-Adams, J. (2012) </w:t>
      </w:r>
      <w:r w:rsidRPr="002114B7">
        <w:rPr>
          <w:rFonts w:ascii="Arial" w:hAnsi="Arial" w:cs="Arial"/>
          <w:i/>
        </w:rPr>
        <w:t>Leaving University Early: A research report from the Back on Course project</w:t>
      </w:r>
      <w:r w:rsidRPr="002114B7">
        <w:rPr>
          <w:rFonts w:ascii="Arial" w:hAnsi="Arial" w:cs="Arial"/>
        </w:rPr>
        <w:t>, Milton Keynes: Back on Course/the Open University.</w:t>
      </w:r>
    </w:p>
    <w:p w:rsidR="004C1CC6" w:rsidRDefault="00BB60C8" w:rsidP="004C1CC6">
      <w:pPr>
        <w:pStyle w:val="ListBullet"/>
        <w:numPr>
          <w:ilvl w:val="0"/>
          <w:numId w:val="0"/>
        </w:numPr>
        <w:spacing w:line="360" w:lineRule="auto"/>
        <w:jc w:val="both"/>
        <w:rPr>
          <w:rFonts w:ascii="Arial" w:hAnsi="Arial" w:cs="Arial"/>
        </w:rPr>
      </w:pPr>
      <w:r w:rsidRPr="002114B7">
        <w:rPr>
          <w:rFonts w:ascii="Arial" w:hAnsi="Arial" w:cs="Arial"/>
        </w:rPr>
        <w:t xml:space="preserve">Social Mobility and Child Poverty Commission (2013a) </w:t>
      </w:r>
      <w:r w:rsidRPr="002114B7">
        <w:rPr>
          <w:rFonts w:ascii="Arial" w:hAnsi="Arial" w:cs="Arial"/>
          <w:i/>
        </w:rPr>
        <w:t>Higher Education: the Fair Access Challenge</w:t>
      </w:r>
      <w:r w:rsidRPr="002114B7">
        <w:rPr>
          <w:rFonts w:ascii="Arial" w:hAnsi="Arial" w:cs="Arial"/>
        </w:rPr>
        <w:t>, London: SMCPC.</w:t>
      </w:r>
    </w:p>
    <w:p w:rsidR="004C1CC6" w:rsidRDefault="006110BB" w:rsidP="004C1CC6">
      <w:pPr>
        <w:pStyle w:val="ListBullet"/>
        <w:numPr>
          <w:ilvl w:val="0"/>
          <w:numId w:val="0"/>
        </w:numPr>
        <w:spacing w:line="360" w:lineRule="auto"/>
        <w:jc w:val="both"/>
        <w:rPr>
          <w:rFonts w:ascii="Arial" w:hAnsi="Arial" w:cs="Arial"/>
        </w:rPr>
      </w:pPr>
      <w:r w:rsidRPr="002114B7">
        <w:rPr>
          <w:rFonts w:ascii="Arial" w:hAnsi="Arial" w:cs="Arial"/>
        </w:rPr>
        <w:lastRenderedPageBreak/>
        <w:t>Social Mobility and Child Poverty Commission (2013</w:t>
      </w:r>
      <w:r w:rsidR="00BB60C8" w:rsidRPr="002114B7">
        <w:rPr>
          <w:rFonts w:ascii="Arial" w:hAnsi="Arial" w:cs="Arial"/>
        </w:rPr>
        <w:t>b</w:t>
      </w:r>
      <w:r w:rsidRPr="002114B7">
        <w:rPr>
          <w:rFonts w:ascii="Arial" w:hAnsi="Arial" w:cs="Arial"/>
        </w:rPr>
        <w:t xml:space="preserve">) </w:t>
      </w:r>
      <w:r w:rsidRPr="002114B7">
        <w:rPr>
          <w:rFonts w:ascii="Arial" w:hAnsi="Arial" w:cs="Arial"/>
          <w:i/>
        </w:rPr>
        <w:t>State of the Nation 2013: Social mobility and child poverty in Great Britain</w:t>
      </w:r>
      <w:r w:rsidRPr="002114B7">
        <w:rPr>
          <w:rFonts w:ascii="Arial" w:hAnsi="Arial" w:cs="Arial"/>
        </w:rPr>
        <w:t xml:space="preserve">, </w:t>
      </w:r>
      <w:r w:rsidR="00AF2DB3" w:rsidRPr="002114B7">
        <w:rPr>
          <w:rFonts w:ascii="Arial" w:hAnsi="Arial" w:cs="Arial"/>
        </w:rPr>
        <w:t>Norwich</w:t>
      </w:r>
      <w:r w:rsidRPr="002114B7">
        <w:rPr>
          <w:rFonts w:ascii="Arial" w:hAnsi="Arial" w:cs="Arial"/>
        </w:rPr>
        <w:t>: Her Majesty’s Stationary Office.</w:t>
      </w:r>
    </w:p>
    <w:p w:rsidR="004C1CC6" w:rsidRDefault="00CA4E8E" w:rsidP="004C1CC6">
      <w:pPr>
        <w:pStyle w:val="ListBullet"/>
        <w:numPr>
          <w:ilvl w:val="0"/>
          <w:numId w:val="0"/>
        </w:numPr>
        <w:spacing w:line="360" w:lineRule="auto"/>
        <w:jc w:val="both"/>
        <w:rPr>
          <w:rFonts w:ascii="Arial" w:hAnsi="Arial" w:cs="Arial"/>
        </w:rPr>
      </w:pPr>
      <w:r w:rsidRPr="002114B7">
        <w:rPr>
          <w:rFonts w:ascii="Arial" w:hAnsi="Arial" w:cs="Arial"/>
        </w:rPr>
        <w:t xml:space="preserve">Social Mobility and Child Poverty Commission (2014) </w:t>
      </w:r>
      <w:r w:rsidRPr="002114B7">
        <w:rPr>
          <w:rFonts w:ascii="Arial" w:hAnsi="Arial" w:cs="Arial"/>
          <w:i/>
        </w:rPr>
        <w:t>Elitist Britain</w:t>
      </w:r>
      <w:r w:rsidRPr="002114B7">
        <w:rPr>
          <w:rFonts w:ascii="Arial" w:hAnsi="Arial" w:cs="Arial"/>
        </w:rPr>
        <w:t>, Norwich: Her Majesty’s Stationary Office.</w:t>
      </w:r>
    </w:p>
    <w:p w:rsidR="004C1CC6" w:rsidRDefault="00E00F7E" w:rsidP="004C1CC6">
      <w:pPr>
        <w:pStyle w:val="ListBullet"/>
        <w:numPr>
          <w:ilvl w:val="0"/>
          <w:numId w:val="0"/>
        </w:numPr>
        <w:spacing w:line="360" w:lineRule="auto"/>
        <w:jc w:val="both"/>
        <w:rPr>
          <w:rFonts w:ascii="Arial" w:hAnsi="Arial" w:cs="Arial"/>
        </w:rPr>
      </w:pPr>
      <w:r w:rsidRPr="002114B7">
        <w:rPr>
          <w:rFonts w:ascii="Arial" w:hAnsi="Arial" w:cs="Arial"/>
        </w:rPr>
        <w:t xml:space="preserve">Stevens, P. and </w:t>
      </w:r>
      <w:proofErr w:type="spellStart"/>
      <w:r w:rsidRPr="002114B7">
        <w:rPr>
          <w:rFonts w:ascii="Arial" w:hAnsi="Arial" w:cs="Arial"/>
        </w:rPr>
        <w:t>Weale</w:t>
      </w:r>
      <w:proofErr w:type="spellEnd"/>
      <w:r w:rsidRPr="002114B7">
        <w:rPr>
          <w:rFonts w:ascii="Arial" w:hAnsi="Arial" w:cs="Arial"/>
        </w:rPr>
        <w:t xml:space="preserve">, M. (2004) Education and Economic Growth, Chapter 5 of G. </w:t>
      </w:r>
      <w:proofErr w:type="spellStart"/>
      <w:r w:rsidRPr="002114B7">
        <w:rPr>
          <w:rFonts w:ascii="Arial" w:hAnsi="Arial" w:cs="Arial"/>
        </w:rPr>
        <w:t>Johnes</w:t>
      </w:r>
      <w:proofErr w:type="spellEnd"/>
      <w:r w:rsidRPr="002114B7">
        <w:rPr>
          <w:rFonts w:ascii="Arial" w:hAnsi="Arial" w:cs="Arial"/>
        </w:rPr>
        <w:t xml:space="preserve"> and J. </w:t>
      </w:r>
      <w:proofErr w:type="spellStart"/>
      <w:r w:rsidRPr="002114B7">
        <w:rPr>
          <w:rFonts w:ascii="Arial" w:hAnsi="Arial" w:cs="Arial"/>
        </w:rPr>
        <w:t>Johnes</w:t>
      </w:r>
      <w:proofErr w:type="spellEnd"/>
      <w:r w:rsidRPr="002114B7">
        <w:rPr>
          <w:rFonts w:ascii="Arial" w:hAnsi="Arial" w:cs="Arial"/>
        </w:rPr>
        <w:t xml:space="preserve"> (eds.) </w:t>
      </w:r>
      <w:r w:rsidRPr="002114B7">
        <w:rPr>
          <w:rFonts w:ascii="Arial" w:hAnsi="Arial" w:cs="Arial"/>
          <w:i/>
        </w:rPr>
        <w:t>International Handbook of the Economics of Education,</w:t>
      </w:r>
      <w:r w:rsidRPr="002114B7">
        <w:rPr>
          <w:rFonts w:ascii="Arial" w:hAnsi="Arial" w:cs="Arial"/>
        </w:rPr>
        <w:t xml:space="preserve"> Cheltenham: Edward Elgar.</w:t>
      </w:r>
    </w:p>
    <w:p w:rsidR="004C1CC6" w:rsidRDefault="00AF2DB3" w:rsidP="004C1CC6">
      <w:pPr>
        <w:pStyle w:val="ListBullet"/>
        <w:numPr>
          <w:ilvl w:val="0"/>
          <w:numId w:val="0"/>
        </w:numPr>
        <w:spacing w:line="360" w:lineRule="auto"/>
        <w:jc w:val="both"/>
        <w:rPr>
          <w:rFonts w:ascii="Arial" w:hAnsi="Arial" w:cs="Arial"/>
        </w:rPr>
      </w:pPr>
      <w:r w:rsidRPr="002114B7">
        <w:rPr>
          <w:rFonts w:ascii="Arial" w:hAnsi="Arial" w:cs="Arial"/>
        </w:rPr>
        <w:t xml:space="preserve">Sutton Trust (2010) </w:t>
      </w:r>
      <w:proofErr w:type="gramStart"/>
      <w:r w:rsidRPr="002114B7">
        <w:rPr>
          <w:rFonts w:ascii="Arial" w:hAnsi="Arial" w:cs="Arial"/>
          <w:i/>
        </w:rPr>
        <w:t>The</w:t>
      </w:r>
      <w:proofErr w:type="gramEnd"/>
      <w:r w:rsidRPr="002114B7">
        <w:rPr>
          <w:rFonts w:ascii="Arial" w:hAnsi="Arial" w:cs="Arial"/>
          <w:i/>
        </w:rPr>
        <w:t xml:space="preserve"> Mobility Manifesto</w:t>
      </w:r>
      <w:r w:rsidRPr="002114B7">
        <w:rPr>
          <w:rFonts w:ascii="Arial" w:hAnsi="Arial" w:cs="Arial"/>
        </w:rPr>
        <w:t xml:space="preserve">, London: </w:t>
      </w:r>
      <w:r w:rsidR="000A4D25" w:rsidRPr="002114B7">
        <w:rPr>
          <w:rFonts w:ascii="Arial" w:hAnsi="Arial" w:cs="Arial"/>
        </w:rPr>
        <w:t xml:space="preserve">The </w:t>
      </w:r>
      <w:r w:rsidRPr="002114B7">
        <w:rPr>
          <w:rFonts w:ascii="Arial" w:hAnsi="Arial" w:cs="Arial"/>
        </w:rPr>
        <w:t xml:space="preserve">Sutton Trust. </w:t>
      </w:r>
    </w:p>
    <w:p w:rsidR="004C1CC6" w:rsidRDefault="00253136" w:rsidP="004C1CC6">
      <w:pPr>
        <w:pStyle w:val="ListBullet"/>
        <w:numPr>
          <w:ilvl w:val="0"/>
          <w:numId w:val="0"/>
        </w:numPr>
        <w:spacing w:line="360" w:lineRule="auto"/>
        <w:jc w:val="both"/>
        <w:rPr>
          <w:rFonts w:ascii="Arial" w:hAnsi="Arial" w:cs="Arial"/>
        </w:rPr>
      </w:pPr>
      <w:r w:rsidRPr="002114B7">
        <w:rPr>
          <w:rFonts w:ascii="Arial" w:hAnsi="Arial" w:cs="Arial"/>
        </w:rPr>
        <w:t xml:space="preserve">US Department of the Treasury with </w:t>
      </w:r>
      <w:r w:rsidR="00A50D6F" w:rsidRPr="002114B7">
        <w:rPr>
          <w:rFonts w:ascii="Arial" w:hAnsi="Arial" w:cs="Arial"/>
        </w:rPr>
        <w:t xml:space="preserve">the </w:t>
      </w:r>
      <w:r w:rsidRPr="002114B7">
        <w:rPr>
          <w:rFonts w:ascii="Arial" w:hAnsi="Arial" w:cs="Arial"/>
        </w:rPr>
        <w:t xml:space="preserve">Department of Education (2012) </w:t>
      </w:r>
      <w:proofErr w:type="gramStart"/>
      <w:r w:rsidRPr="002114B7">
        <w:rPr>
          <w:rFonts w:ascii="Arial" w:hAnsi="Arial" w:cs="Arial"/>
          <w:i/>
        </w:rPr>
        <w:t>The</w:t>
      </w:r>
      <w:proofErr w:type="gramEnd"/>
      <w:r w:rsidRPr="002114B7">
        <w:rPr>
          <w:rFonts w:ascii="Arial" w:hAnsi="Arial" w:cs="Arial"/>
          <w:i/>
        </w:rPr>
        <w:t xml:space="preserve"> Economics of Higher Education</w:t>
      </w:r>
      <w:r w:rsidRPr="002114B7">
        <w:rPr>
          <w:rFonts w:ascii="Arial" w:hAnsi="Arial" w:cs="Arial"/>
        </w:rPr>
        <w:t>, Washington D.C.: US Department of the Treasury.</w:t>
      </w:r>
    </w:p>
    <w:p w:rsidR="00F63084" w:rsidRPr="002114B7" w:rsidRDefault="00F63084" w:rsidP="004C1CC6">
      <w:pPr>
        <w:pStyle w:val="ListBullet"/>
        <w:numPr>
          <w:ilvl w:val="0"/>
          <w:numId w:val="0"/>
        </w:numPr>
        <w:spacing w:line="360" w:lineRule="auto"/>
        <w:jc w:val="both"/>
        <w:rPr>
          <w:rFonts w:ascii="Arial" w:hAnsi="Arial" w:cs="Arial"/>
        </w:rPr>
      </w:pPr>
      <w:r w:rsidRPr="002114B7">
        <w:rPr>
          <w:rFonts w:ascii="Arial" w:hAnsi="Arial" w:cs="Arial"/>
        </w:rPr>
        <w:t>Walker, I. and Zhu, Y (2011) Differences by Degree: Evid</w:t>
      </w:r>
      <w:r w:rsidR="007C5F0F" w:rsidRPr="002114B7">
        <w:rPr>
          <w:rFonts w:ascii="Arial" w:hAnsi="Arial" w:cs="Arial"/>
        </w:rPr>
        <w:t xml:space="preserve">ence of the net financial rates </w:t>
      </w:r>
      <w:r w:rsidRPr="002114B7">
        <w:rPr>
          <w:rFonts w:ascii="Arial" w:hAnsi="Arial" w:cs="Arial"/>
        </w:rPr>
        <w:t xml:space="preserve">of return to undergraduate studies for England and Wales, </w:t>
      </w:r>
      <w:r w:rsidRPr="002114B7">
        <w:rPr>
          <w:rFonts w:ascii="Arial" w:hAnsi="Arial" w:cs="Arial"/>
          <w:i/>
        </w:rPr>
        <w:t>Economics of Education Review,</w:t>
      </w:r>
      <w:r w:rsidRPr="002114B7">
        <w:rPr>
          <w:rFonts w:ascii="Arial" w:hAnsi="Arial" w:cs="Arial"/>
        </w:rPr>
        <w:t xml:space="preserve"> 30: 1177-86.</w:t>
      </w:r>
    </w:p>
    <w:p w:rsidR="00253136" w:rsidRPr="002114B7" w:rsidRDefault="00253136" w:rsidP="000A4D25">
      <w:pPr>
        <w:spacing w:after="0" w:line="360" w:lineRule="auto"/>
        <w:rPr>
          <w:rFonts w:ascii="Arial" w:hAnsi="Arial" w:cs="Arial"/>
        </w:rPr>
      </w:pPr>
    </w:p>
    <w:p w:rsidR="00A46E9B" w:rsidRPr="002114B7" w:rsidRDefault="00A46E9B" w:rsidP="000A4D25">
      <w:pPr>
        <w:spacing w:after="0" w:line="360" w:lineRule="auto"/>
        <w:rPr>
          <w:rFonts w:ascii="Arial" w:hAnsi="Arial" w:cs="Arial"/>
        </w:rPr>
      </w:pPr>
    </w:p>
    <w:sectPr w:rsidR="00A46E9B" w:rsidRPr="002114B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3C" w:rsidRDefault="00177A3C" w:rsidP="0085198E">
      <w:pPr>
        <w:spacing w:after="0" w:line="240" w:lineRule="auto"/>
      </w:pPr>
      <w:r>
        <w:separator/>
      </w:r>
    </w:p>
  </w:endnote>
  <w:endnote w:type="continuationSeparator" w:id="0">
    <w:p w:rsidR="00177A3C" w:rsidRDefault="00177A3C" w:rsidP="00851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211830"/>
      <w:docPartObj>
        <w:docPartGallery w:val="Page Numbers (Bottom of Page)"/>
        <w:docPartUnique/>
      </w:docPartObj>
    </w:sdtPr>
    <w:sdtEndPr>
      <w:rPr>
        <w:noProof/>
      </w:rPr>
    </w:sdtEndPr>
    <w:sdtContent>
      <w:p w:rsidR="00510BD2" w:rsidRDefault="00510BD2">
        <w:pPr>
          <w:pStyle w:val="Footer"/>
          <w:jc w:val="right"/>
        </w:pPr>
        <w:r>
          <w:fldChar w:fldCharType="begin"/>
        </w:r>
        <w:r>
          <w:instrText xml:space="preserve"> PAGE   \* MERGEFORMAT </w:instrText>
        </w:r>
        <w:r>
          <w:fldChar w:fldCharType="separate"/>
        </w:r>
        <w:r w:rsidR="00422FF7">
          <w:rPr>
            <w:noProof/>
          </w:rPr>
          <w:t>13</w:t>
        </w:r>
        <w:r>
          <w:rPr>
            <w:noProof/>
          </w:rPr>
          <w:fldChar w:fldCharType="end"/>
        </w:r>
      </w:p>
    </w:sdtContent>
  </w:sdt>
  <w:p w:rsidR="00510BD2" w:rsidRDefault="00510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3C" w:rsidRDefault="00177A3C" w:rsidP="0085198E">
      <w:pPr>
        <w:spacing w:after="0" w:line="240" w:lineRule="auto"/>
      </w:pPr>
      <w:r>
        <w:separator/>
      </w:r>
    </w:p>
  </w:footnote>
  <w:footnote w:type="continuationSeparator" w:id="0">
    <w:p w:rsidR="00177A3C" w:rsidRDefault="00177A3C" w:rsidP="00851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E6D99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1F"/>
    <w:rsid w:val="00006E8F"/>
    <w:rsid w:val="0001108D"/>
    <w:rsid w:val="000323BD"/>
    <w:rsid w:val="00035EB7"/>
    <w:rsid w:val="00057321"/>
    <w:rsid w:val="00062D23"/>
    <w:rsid w:val="00063B20"/>
    <w:rsid w:val="00064CF9"/>
    <w:rsid w:val="00065DC8"/>
    <w:rsid w:val="000673E4"/>
    <w:rsid w:val="00070526"/>
    <w:rsid w:val="000705FF"/>
    <w:rsid w:val="00084147"/>
    <w:rsid w:val="0009579C"/>
    <w:rsid w:val="000A4D25"/>
    <w:rsid w:val="000D041D"/>
    <w:rsid w:val="000D1DBD"/>
    <w:rsid w:val="000E1186"/>
    <w:rsid w:val="00101A6F"/>
    <w:rsid w:val="00101E0D"/>
    <w:rsid w:val="00122D3B"/>
    <w:rsid w:val="00131C03"/>
    <w:rsid w:val="00132597"/>
    <w:rsid w:val="00135498"/>
    <w:rsid w:val="00140044"/>
    <w:rsid w:val="001516A9"/>
    <w:rsid w:val="00157496"/>
    <w:rsid w:val="00175294"/>
    <w:rsid w:val="00177A3C"/>
    <w:rsid w:val="00187EC6"/>
    <w:rsid w:val="0019677C"/>
    <w:rsid w:val="00196F2A"/>
    <w:rsid w:val="001B29F8"/>
    <w:rsid w:val="001C0BE9"/>
    <w:rsid w:val="001C2DD8"/>
    <w:rsid w:val="001C51B7"/>
    <w:rsid w:val="001C55D3"/>
    <w:rsid w:val="001D0B33"/>
    <w:rsid w:val="001D7C4A"/>
    <w:rsid w:val="001E684A"/>
    <w:rsid w:val="0020533E"/>
    <w:rsid w:val="00206708"/>
    <w:rsid w:val="002114B7"/>
    <w:rsid w:val="00241B15"/>
    <w:rsid w:val="002455A2"/>
    <w:rsid w:val="00253000"/>
    <w:rsid w:val="00253136"/>
    <w:rsid w:val="00273C6E"/>
    <w:rsid w:val="002867AE"/>
    <w:rsid w:val="00290E0F"/>
    <w:rsid w:val="002A1145"/>
    <w:rsid w:val="002A1531"/>
    <w:rsid w:val="002A26FC"/>
    <w:rsid w:val="002A2F29"/>
    <w:rsid w:val="002A33DD"/>
    <w:rsid w:val="002C1057"/>
    <w:rsid w:val="002F6550"/>
    <w:rsid w:val="0030556C"/>
    <w:rsid w:val="00321EAE"/>
    <w:rsid w:val="0034280E"/>
    <w:rsid w:val="003676C5"/>
    <w:rsid w:val="00383934"/>
    <w:rsid w:val="003C7F5C"/>
    <w:rsid w:val="003D0F6D"/>
    <w:rsid w:val="003D4A6C"/>
    <w:rsid w:val="003F4362"/>
    <w:rsid w:val="00412A94"/>
    <w:rsid w:val="00422FF7"/>
    <w:rsid w:val="00424031"/>
    <w:rsid w:val="00427238"/>
    <w:rsid w:val="00460169"/>
    <w:rsid w:val="00467BDA"/>
    <w:rsid w:val="00480FA3"/>
    <w:rsid w:val="00487509"/>
    <w:rsid w:val="00487DA7"/>
    <w:rsid w:val="004A1124"/>
    <w:rsid w:val="004A3896"/>
    <w:rsid w:val="004A67AA"/>
    <w:rsid w:val="004B5DAE"/>
    <w:rsid w:val="004C02CE"/>
    <w:rsid w:val="004C1CC6"/>
    <w:rsid w:val="004C60A6"/>
    <w:rsid w:val="00510BD2"/>
    <w:rsid w:val="00521ED4"/>
    <w:rsid w:val="00532519"/>
    <w:rsid w:val="0054071F"/>
    <w:rsid w:val="00544E72"/>
    <w:rsid w:val="00550301"/>
    <w:rsid w:val="0056138D"/>
    <w:rsid w:val="00571797"/>
    <w:rsid w:val="00573EA7"/>
    <w:rsid w:val="005C204F"/>
    <w:rsid w:val="005C4EE0"/>
    <w:rsid w:val="005D053D"/>
    <w:rsid w:val="005E6575"/>
    <w:rsid w:val="005E7A6B"/>
    <w:rsid w:val="006110BB"/>
    <w:rsid w:val="00642B31"/>
    <w:rsid w:val="006A1911"/>
    <w:rsid w:val="006C3B50"/>
    <w:rsid w:val="006F4ADF"/>
    <w:rsid w:val="00703791"/>
    <w:rsid w:val="007122C0"/>
    <w:rsid w:val="00746647"/>
    <w:rsid w:val="007470E7"/>
    <w:rsid w:val="007511C3"/>
    <w:rsid w:val="00795470"/>
    <w:rsid w:val="007A0032"/>
    <w:rsid w:val="007B60D7"/>
    <w:rsid w:val="007C1DB1"/>
    <w:rsid w:val="007C5F0F"/>
    <w:rsid w:val="007E6C5A"/>
    <w:rsid w:val="007F7089"/>
    <w:rsid w:val="0080363F"/>
    <w:rsid w:val="00804AA4"/>
    <w:rsid w:val="0081276A"/>
    <w:rsid w:val="00813463"/>
    <w:rsid w:val="0082389F"/>
    <w:rsid w:val="0085198E"/>
    <w:rsid w:val="00852C96"/>
    <w:rsid w:val="00855185"/>
    <w:rsid w:val="008553EC"/>
    <w:rsid w:val="0086598D"/>
    <w:rsid w:val="00874EF5"/>
    <w:rsid w:val="00880887"/>
    <w:rsid w:val="00892153"/>
    <w:rsid w:val="00897902"/>
    <w:rsid w:val="008D434E"/>
    <w:rsid w:val="008E529B"/>
    <w:rsid w:val="008E7DB6"/>
    <w:rsid w:val="0090129F"/>
    <w:rsid w:val="00916061"/>
    <w:rsid w:val="00920211"/>
    <w:rsid w:val="009202D8"/>
    <w:rsid w:val="009302DA"/>
    <w:rsid w:val="00935351"/>
    <w:rsid w:val="00942595"/>
    <w:rsid w:val="00991FDE"/>
    <w:rsid w:val="009D6E4B"/>
    <w:rsid w:val="009E092C"/>
    <w:rsid w:val="009E7F8A"/>
    <w:rsid w:val="009F232C"/>
    <w:rsid w:val="009F2970"/>
    <w:rsid w:val="00A22A94"/>
    <w:rsid w:val="00A22CB7"/>
    <w:rsid w:val="00A30E53"/>
    <w:rsid w:val="00A35C32"/>
    <w:rsid w:val="00A41601"/>
    <w:rsid w:val="00A46E9B"/>
    <w:rsid w:val="00A50D6F"/>
    <w:rsid w:val="00A53F62"/>
    <w:rsid w:val="00A624A1"/>
    <w:rsid w:val="00A66D6E"/>
    <w:rsid w:val="00A73596"/>
    <w:rsid w:val="00A91946"/>
    <w:rsid w:val="00AC2928"/>
    <w:rsid w:val="00AD00CA"/>
    <w:rsid w:val="00AD0F70"/>
    <w:rsid w:val="00AD15D6"/>
    <w:rsid w:val="00AD3EC1"/>
    <w:rsid w:val="00AD4850"/>
    <w:rsid w:val="00AE7314"/>
    <w:rsid w:val="00AF14F4"/>
    <w:rsid w:val="00AF2CEF"/>
    <w:rsid w:val="00AF2DB3"/>
    <w:rsid w:val="00B00031"/>
    <w:rsid w:val="00B02838"/>
    <w:rsid w:val="00B06504"/>
    <w:rsid w:val="00B30F4C"/>
    <w:rsid w:val="00B60125"/>
    <w:rsid w:val="00B9464E"/>
    <w:rsid w:val="00BB20D8"/>
    <w:rsid w:val="00BB60C8"/>
    <w:rsid w:val="00BC2F80"/>
    <w:rsid w:val="00BD521A"/>
    <w:rsid w:val="00BE6B99"/>
    <w:rsid w:val="00C50D6F"/>
    <w:rsid w:val="00C5781C"/>
    <w:rsid w:val="00C65B69"/>
    <w:rsid w:val="00C66C36"/>
    <w:rsid w:val="00C66C4E"/>
    <w:rsid w:val="00CA3287"/>
    <w:rsid w:val="00CA4E8E"/>
    <w:rsid w:val="00CB54AD"/>
    <w:rsid w:val="00CB65AA"/>
    <w:rsid w:val="00D061BA"/>
    <w:rsid w:val="00D104E9"/>
    <w:rsid w:val="00D155A5"/>
    <w:rsid w:val="00D23DCF"/>
    <w:rsid w:val="00D43B77"/>
    <w:rsid w:val="00D57F13"/>
    <w:rsid w:val="00D93A43"/>
    <w:rsid w:val="00D9666B"/>
    <w:rsid w:val="00DA3502"/>
    <w:rsid w:val="00DB3BE4"/>
    <w:rsid w:val="00DC44CE"/>
    <w:rsid w:val="00DF0609"/>
    <w:rsid w:val="00E00F7E"/>
    <w:rsid w:val="00E0661E"/>
    <w:rsid w:val="00E429FE"/>
    <w:rsid w:val="00E47D53"/>
    <w:rsid w:val="00E67EC2"/>
    <w:rsid w:val="00E721CB"/>
    <w:rsid w:val="00E807B3"/>
    <w:rsid w:val="00E870CE"/>
    <w:rsid w:val="00EB3D24"/>
    <w:rsid w:val="00ED1280"/>
    <w:rsid w:val="00EE74FB"/>
    <w:rsid w:val="00F110AA"/>
    <w:rsid w:val="00F15A18"/>
    <w:rsid w:val="00F46C72"/>
    <w:rsid w:val="00F63084"/>
    <w:rsid w:val="00F73467"/>
    <w:rsid w:val="00F7357D"/>
    <w:rsid w:val="00F852E2"/>
    <w:rsid w:val="00FD2227"/>
    <w:rsid w:val="00FD2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1F"/>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98E"/>
    <w:rPr>
      <w:rFonts w:ascii="Calibri" w:eastAsia="Calibri" w:hAnsi="Calibri" w:cs="Times New Roman"/>
      <w:lang w:val="en-AU"/>
    </w:rPr>
  </w:style>
  <w:style w:type="paragraph" w:styleId="Footer">
    <w:name w:val="footer"/>
    <w:basedOn w:val="Normal"/>
    <w:link w:val="FooterChar"/>
    <w:uiPriority w:val="99"/>
    <w:unhideWhenUsed/>
    <w:rsid w:val="00851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98E"/>
    <w:rPr>
      <w:rFonts w:ascii="Calibri" w:eastAsia="Calibri" w:hAnsi="Calibri" w:cs="Times New Roman"/>
      <w:lang w:val="en-AU"/>
    </w:rPr>
  </w:style>
  <w:style w:type="paragraph" w:styleId="ListBullet">
    <w:name w:val="List Bullet"/>
    <w:basedOn w:val="Normal"/>
    <w:uiPriority w:val="99"/>
    <w:unhideWhenUsed/>
    <w:rsid w:val="00F110AA"/>
    <w:pPr>
      <w:numPr>
        <w:numId w:val="1"/>
      </w:numPr>
      <w:contextualSpacing/>
    </w:pPr>
  </w:style>
  <w:style w:type="character" w:styleId="Hyperlink">
    <w:name w:val="Hyperlink"/>
    <w:basedOn w:val="DefaultParagraphFont"/>
    <w:uiPriority w:val="99"/>
    <w:unhideWhenUsed/>
    <w:rsid w:val="008979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1F"/>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98E"/>
    <w:rPr>
      <w:rFonts w:ascii="Calibri" w:eastAsia="Calibri" w:hAnsi="Calibri" w:cs="Times New Roman"/>
      <w:lang w:val="en-AU"/>
    </w:rPr>
  </w:style>
  <w:style w:type="paragraph" w:styleId="Footer">
    <w:name w:val="footer"/>
    <w:basedOn w:val="Normal"/>
    <w:link w:val="FooterChar"/>
    <w:uiPriority w:val="99"/>
    <w:unhideWhenUsed/>
    <w:rsid w:val="00851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98E"/>
    <w:rPr>
      <w:rFonts w:ascii="Calibri" w:eastAsia="Calibri" w:hAnsi="Calibri" w:cs="Times New Roman"/>
      <w:lang w:val="en-AU"/>
    </w:rPr>
  </w:style>
  <w:style w:type="paragraph" w:styleId="ListBullet">
    <w:name w:val="List Bullet"/>
    <w:basedOn w:val="Normal"/>
    <w:uiPriority w:val="99"/>
    <w:unhideWhenUsed/>
    <w:rsid w:val="00F110AA"/>
    <w:pPr>
      <w:numPr>
        <w:numId w:val="1"/>
      </w:numPr>
      <w:contextualSpacing/>
    </w:pPr>
  </w:style>
  <w:style w:type="character" w:styleId="Hyperlink">
    <w:name w:val="Hyperlink"/>
    <w:basedOn w:val="DefaultParagraphFont"/>
    <w:uiPriority w:val="99"/>
    <w:unhideWhenUsed/>
    <w:rsid w:val="008979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j.adnett@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1BC0-84DC-4DD7-8399-3E648261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5799</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ADNETT Nick</dc:creator>
  <cp:lastModifiedBy>ADNETT Nick</cp:lastModifiedBy>
  <cp:revision>6</cp:revision>
  <dcterms:created xsi:type="dcterms:W3CDTF">2014-08-29T02:16:00Z</dcterms:created>
  <dcterms:modified xsi:type="dcterms:W3CDTF">2014-11-18T09:04:00Z</dcterms:modified>
</cp:coreProperties>
</file>