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0827" w:rsidRPr="00396A4A" w:rsidRDefault="00CC0827" w:rsidP="00CA571D">
      <w:pPr>
        <w:spacing w:line="240" w:lineRule="auto"/>
        <w:rPr>
          <w:rFonts w:cs="Arial"/>
          <w:b/>
          <w:sz w:val="24"/>
          <w:szCs w:val="24"/>
        </w:rPr>
      </w:pPr>
      <w:bookmarkStart w:id="0" w:name="_GoBack"/>
      <w:bookmarkEnd w:id="0"/>
      <w:r w:rsidRPr="00396A4A">
        <w:rPr>
          <w:rFonts w:cs="Arial"/>
          <w:b/>
          <w:sz w:val="24"/>
          <w:szCs w:val="24"/>
        </w:rPr>
        <w:t xml:space="preserve">Title: </w:t>
      </w:r>
      <w:r w:rsidR="00826FE0">
        <w:rPr>
          <w:rFonts w:cs="Arial"/>
          <w:b/>
          <w:sz w:val="24"/>
          <w:szCs w:val="24"/>
        </w:rPr>
        <w:t>Men</w:t>
      </w:r>
      <w:r w:rsidRPr="00396A4A">
        <w:rPr>
          <w:rFonts w:cs="Arial"/>
          <w:b/>
          <w:sz w:val="24"/>
          <w:szCs w:val="24"/>
        </w:rPr>
        <w:t xml:space="preserve">, rheumatoid arthritis, </w:t>
      </w:r>
      <w:r w:rsidR="00B41AB8">
        <w:rPr>
          <w:rFonts w:cs="Arial"/>
          <w:b/>
          <w:sz w:val="24"/>
          <w:szCs w:val="24"/>
        </w:rPr>
        <w:t xml:space="preserve">psychosocial </w:t>
      </w:r>
      <w:r w:rsidRPr="00396A4A">
        <w:rPr>
          <w:rFonts w:cs="Arial"/>
          <w:b/>
          <w:sz w:val="24"/>
          <w:szCs w:val="24"/>
        </w:rPr>
        <w:t>impact and self-management</w:t>
      </w:r>
      <w:r w:rsidR="00826FE0">
        <w:rPr>
          <w:rFonts w:cs="Arial"/>
          <w:b/>
          <w:sz w:val="24"/>
          <w:szCs w:val="24"/>
        </w:rPr>
        <w:t xml:space="preserve">: A </w:t>
      </w:r>
      <w:r w:rsidR="001402F5">
        <w:rPr>
          <w:rFonts w:cs="Arial"/>
          <w:b/>
          <w:sz w:val="24"/>
          <w:szCs w:val="24"/>
        </w:rPr>
        <w:t xml:space="preserve">narrative </w:t>
      </w:r>
      <w:r w:rsidR="00826FE0">
        <w:rPr>
          <w:rFonts w:cs="Arial"/>
          <w:b/>
          <w:sz w:val="24"/>
          <w:szCs w:val="24"/>
        </w:rPr>
        <w:t>review</w:t>
      </w:r>
    </w:p>
    <w:p w:rsidR="00CC0827" w:rsidRDefault="00CC0827" w:rsidP="00567662">
      <w:pPr>
        <w:rPr>
          <w:rFonts w:cs="Arial"/>
          <w:b/>
          <w:sz w:val="24"/>
          <w:szCs w:val="24"/>
        </w:rPr>
      </w:pPr>
    </w:p>
    <w:p w:rsidR="007C6FCC" w:rsidRPr="007C6FCC" w:rsidRDefault="00CC0827" w:rsidP="007C6FCC">
      <w:pPr>
        <w:spacing w:line="240" w:lineRule="auto"/>
        <w:contextualSpacing/>
        <w:rPr>
          <w:rFonts w:cs="Arial"/>
          <w:vertAlign w:val="superscript"/>
        </w:rPr>
      </w:pPr>
      <w:r>
        <w:rPr>
          <w:rFonts w:cs="Arial"/>
          <w:b/>
          <w:sz w:val="24"/>
          <w:szCs w:val="24"/>
        </w:rPr>
        <w:t xml:space="preserve">Authors: </w:t>
      </w:r>
      <w:r w:rsidR="007C6FCC">
        <w:t>Caroline A Flurey</w:t>
      </w:r>
      <w:r w:rsidR="007C6FCC">
        <w:rPr>
          <w:rFonts w:cs="Arial"/>
        </w:rPr>
        <w:t>¹</w:t>
      </w:r>
      <w:r w:rsidR="007C6FCC">
        <w:t>, Sarah Hewlett</w:t>
      </w:r>
      <w:r w:rsidR="007C6FCC">
        <w:rPr>
          <w:rFonts w:cs="Arial"/>
        </w:rPr>
        <w:t xml:space="preserve"> ¹, </w:t>
      </w:r>
      <w:r w:rsidR="007C6FCC">
        <w:t>Karen Rodham</w:t>
      </w:r>
      <w:r w:rsidR="007C6FCC">
        <w:rPr>
          <w:rFonts w:cs="Arial"/>
        </w:rPr>
        <w:t>²</w:t>
      </w:r>
      <w:r w:rsidR="007C6FCC">
        <w:t>, Alan White</w:t>
      </w:r>
      <w:r w:rsidR="007C6FCC">
        <w:rPr>
          <w:rFonts w:cs="Arial"/>
        </w:rPr>
        <w:t>³</w:t>
      </w:r>
      <w:r w:rsidR="007C6FCC">
        <w:t>, Robert Noddings</w:t>
      </w:r>
      <w:r w:rsidR="007C6FCC" w:rsidRPr="007C6FCC">
        <w:rPr>
          <w:vertAlign w:val="superscript"/>
        </w:rPr>
        <w:t>4</w:t>
      </w:r>
      <w:r w:rsidR="007C6FCC">
        <w:rPr>
          <w:rFonts w:cs="Arial"/>
        </w:rPr>
        <w:t>, John Kirwan</w:t>
      </w:r>
      <w:r w:rsidR="00F845D9">
        <w:rPr>
          <w:rFonts w:cs="Arial"/>
          <w:vertAlign w:val="superscript"/>
        </w:rPr>
        <w:t>5</w:t>
      </w:r>
    </w:p>
    <w:p w:rsidR="007C6FCC" w:rsidRDefault="007C6FCC" w:rsidP="007C6FCC">
      <w:pPr>
        <w:spacing w:line="240" w:lineRule="auto"/>
        <w:contextualSpacing/>
      </w:pPr>
    </w:p>
    <w:p w:rsidR="007C6FCC" w:rsidRPr="000875F9" w:rsidRDefault="007C6FCC" w:rsidP="007C6FCC">
      <w:pPr>
        <w:spacing w:line="240" w:lineRule="auto"/>
        <w:contextualSpacing/>
        <w:rPr>
          <w:b/>
        </w:rPr>
      </w:pPr>
      <w:r w:rsidRPr="000875F9">
        <w:rPr>
          <w:b/>
        </w:rPr>
        <w:t>Author affiliations:</w:t>
      </w:r>
    </w:p>
    <w:p w:rsidR="007C6FCC" w:rsidRDefault="007C6FCC" w:rsidP="007C6FCC">
      <w:pPr>
        <w:spacing w:line="240" w:lineRule="auto"/>
        <w:contextualSpacing/>
        <w:rPr>
          <w:rFonts w:cs="Arial"/>
        </w:rPr>
      </w:pPr>
      <w:r>
        <w:rPr>
          <w:rFonts w:cs="Arial"/>
        </w:rPr>
        <w:t>¹University of the West of England, Bristol</w:t>
      </w:r>
      <w:r w:rsidR="00F845D9">
        <w:rPr>
          <w:rFonts w:cs="Arial"/>
        </w:rPr>
        <w:t>, UK</w:t>
      </w:r>
    </w:p>
    <w:p w:rsidR="007C6FCC" w:rsidRDefault="007C6FCC" w:rsidP="007C6FCC">
      <w:pPr>
        <w:spacing w:line="240" w:lineRule="auto"/>
        <w:contextualSpacing/>
        <w:rPr>
          <w:rFonts w:cs="Arial"/>
        </w:rPr>
      </w:pPr>
      <w:r>
        <w:rPr>
          <w:rFonts w:cs="Arial"/>
        </w:rPr>
        <w:t>²</w:t>
      </w:r>
      <w:r w:rsidR="001D0224">
        <w:rPr>
          <w:rFonts w:cs="Arial"/>
        </w:rPr>
        <w:t>Staffordshire University</w:t>
      </w:r>
      <w:r w:rsidR="00F845D9">
        <w:rPr>
          <w:rFonts w:cs="Arial"/>
        </w:rPr>
        <w:t>, UK</w:t>
      </w:r>
    </w:p>
    <w:p w:rsidR="007C6FCC" w:rsidRDefault="007C6FCC" w:rsidP="007C6FCC">
      <w:pPr>
        <w:spacing w:line="240" w:lineRule="auto"/>
        <w:contextualSpacing/>
        <w:rPr>
          <w:rFonts w:cs="Arial"/>
        </w:rPr>
      </w:pPr>
      <w:r>
        <w:rPr>
          <w:rFonts w:cs="Arial"/>
        </w:rPr>
        <w:t xml:space="preserve">³Leeds </w:t>
      </w:r>
      <w:r w:rsidR="000477E2">
        <w:rPr>
          <w:rFonts w:cs="Arial"/>
        </w:rPr>
        <w:t>Beckett</w:t>
      </w:r>
      <w:r>
        <w:rPr>
          <w:rFonts w:cs="Arial"/>
        </w:rPr>
        <w:t xml:space="preserve"> University</w:t>
      </w:r>
      <w:r w:rsidR="00F845D9">
        <w:rPr>
          <w:rFonts w:cs="Arial"/>
        </w:rPr>
        <w:t>, UK</w:t>
      </w:r>
    </w:p>
    <w:p w:rsidR="00F845D9" w:rsidRPr="00F845D9" w:rsidRDefault="007C6FCC" w:rsidP="008B2735">
      <w:pPr>
        <w:spacing w:line="240" w:lineRule="auto"/>
        <w:contextualSpacing/>
        <w:rPr>
          <w:rFonts w:cs="Arial"/>
        </w:rPr>
      </w:pPr>
      <w:r w:rsidRPr="007C6FCC">
        <w:rPr>
          <w:rFonts w:cs="Arial"/>
          <w:vertAlign w:val="superscript"/>
        </w:rPr>
        <w:t>4</w:t>
      </w:r>
      <w:r w:rsidR="00F845D9">
        <w:rPr>
          <w:rFonts w:cs="Arial"/>
        </w:rPr>
        <w:t>Bristol Royal Infirmary, Bristol, UK</w:t>
      </w:r>
    </w:p>
    <w:p w:rsidR="008B2735" w:rsidRDefault="00F845D9" w:rsidP="008B2735">
      <w:pPr>
        <w:spacing w:line="240" w:lineRule="auto"/>
        <w:contextualSpacing/>
        <w:rPr>
          <w:rFonts w:cs="Arial"/>
        </w:rPr>
      </w:pPr>
      <w:r>
        <w:rPr>
          <w:rFonts w:cs="Arial"/>
          <w:vertAlign w:val="superscript"/>
        </w:rPr>
        <w:t>5</w:t>
      </w:r>
      <w:r w:rsidR="007C6FCC">
        <w:rPr>
          <w:rFonts w:cs="Arial"/>
        </w:rPr>
        <w:t>University of Bristol</w:t>
      </w:r>
      <w:r>
        <w:rPr>
          <w:rFonts w:cs="Arial"/>
        </w:rPr>
        <w:t>, UK</w:t>
      </w:r>
    </w:p>
    <w:p w:rsidR="00F845D9" w:rsidRDefault="00F845D9" w:rsidP="008B2735">
      <w:pPr>
        <w:spacing w:line="240" w:lineRule="auto"/>
        <w:contextualSpacing/>
        <w:rPr>
          <w:rFonts w:cs="Arial"/>
          <w:b/>
        </w:rPr>
      </w:pPr>
    </w:p>
    <w:p w:rsidR="008B2735" w:rsidRDefault="008B2735" w:rsidP="008B2735">
      <w:pPr>
        <w:spacing w:line="240" w:lineRule="auto"/>
        <w:contextualSpacing/>
        <w:rPr>
          <w:rFonts w:cs="Arial"/>
          <w:b/>
        </w:rPr>
      </w:pPr>
    </w:p>
    <w:p w:rsidR="00CC0827" w:rsidRPr="008B2735" w:rsidRDefault="00CC0827" w:rsidP="008B2735">
      <w:pPr>
        <w:spacing w:line="240" w:lineRule="auto"/>
        <w:contextualSpacing/>
        <w:rPr>
          <w:rFonts w:cs="Arial"/>
          <w:b/>
        </w:rPr>
      </w:pPr>
      <w:r w:rsidRPr="00396A4A">
        <w:rPr>
          <w:rFonts w:cs="Arial"/>
          <w:b/>
          <w:sz w:val="24"/>
          <w:szCs w:val="24"/>
        </w:rPr>
        <w:t>Corresponding author:</w:t>
      </w:r>
    </w:p>
    <w:p w:rsidR="00CC0827" w:rsidRPr="00396A4A" w:rsidRDefault="00CC0827" w:rsidP="00396A4A">
      <w:pPr>
        <w:spacing w:line="240" w:lineRule="auto"/>
        <w:contextualSpacing/>
        <w:rPr>
          <w:rFonts w:cs="Arial"/>
          <w:sz w:val="24"/>
          <w:szCs w:val="24"/>
        </w:rPr>
      </w:pPr>
      <w:r w:rsidRPr="00396A4A">
        <w:rPr>
          <w:rFonts w:cs="Arial"/>
          <w:sz w:val="24"/>
          <w:szCs w:val="24"/>
        </w:rPr>
        <w:t>Caroline Flurey</w:t>
      </w:r>
    </w:p>
    <w:p w:rsidR="00CC0827" w:rsidRPr="00396A4A" w:rsidRDefault="00CC0827" w:rsidP="00396A4A">
      <w:pPr>
        <w:spacing w:line="240" w:lineRule="auto"/>
        <w:contextualSpacing/>
        <w:rPr>
          <w:rFonts w:cs="Arial"/>
          <w:sz w:val="24"/>
          <w:szCs w:val="24"/>
        </w:rPr>
      </w:pPr>
      <w:r w:rsidRPr="00396A4A">
        <w:rPr>
          <w:rFonts w:cs="Arial"/>
          <w:sz w:val="24"/>
          <w:szCs w:val="24"/>
        </w:rPr>
        <w:t>Academic Rheumatology</w:t>
      </w:r>
    </w:p>
    <w:p w:rsidR="00CC0827" w:rsidRPr="00396A4A" w:rsidRDefault="00CC0827" w:rsidP="00396A4A">
      <w:pPr>
        <w:spacing w:line="240" w:lineRule="auto"/>
        <w:contextualSpacing/>
        <w:rPr>
          <w:rFonts w:cs="Arial"/>
          <w:sz w:val="24"/>
          <w:szCs w:val="24"/>
        </w:rPr>
      </w:pPr>
      <w:smartTag w:uri="urn:schemas-microsoft-com:office:smarttags" w:element="place">
        <w:smartTag w:uri="urn:schemas-microsoft-com:office:smarttags" w:element="City">
          <w:r w:rsidRPr="00396A4A">
            <w:rPr>
              <w:rFonts w:cs="Arial"/>
              <w:sz w:val="24"/>
              <w:szCs w:val="24"/>
            </w:rPr>
            <w:t>Bristol</w:t>
          </w:r>
        </w:smartTag>
      </w:smartTag>
      <w:r w:rsidRPr="00396A4A">
        <w:rPr>
          <w:rFonts w:cs="Arial"/>
          <w:sz w:val="24"/>
          <w:szCs w:val="24"/>
        </w:rPr>
        <w:t xml:space="preserve"> Royal Infirmary</w:t>
      </w:r>
    </w:p>
    <w:p w:rsidR="00CC0827" w:rsidRPr="00396A4A" w:rsidRDefault="00CC0827" w:rsidP="00396A4A">
      <w:pPr>
        <w:spacing w:line="240" w:lineRule="auto"/>
        <w:contextualSpacing/>
        <w:rPr>
          <w:rFonts w:cs="Arial"/>
          <w:sz w:val="24"/>
          <w:szCs w:val="24"/>
        </w:rPr>
      </w:pPr>
      <w:smartTag w:uri="urn:schemas-microsoft-com:office:smarttags" w:element="place">
        <w:smartTag w:uri="urn:schemas-microsoft-com:office:smarttags" w:element="City">
          <w:r w:rsidRPr="00396A4A">
            <w:rPr>
              <w:rFonts w:cs="Arial"/>
              <w:sz w:val="24"/>
              <w:szCs w:val="24"/>
            </w:rPr>
            <w:t>Bristol</w:t>
          </w:r>
        </w:smartTag>
      </w:smartTag>
    </w:p>
    <w:p w:rsidR="00CC0827" w:rsidRPr="00396A4A" w:rsidRDefault="00CC0827" w:rsidP="00396A4A">
      <w:pPr>
        <w:spacing w:line="240" w:lineRule="auto"/>
        <w:contextualSpacing/>
        <w:rPr>
          <w:rFonts w:cs="Arial"/>
          <w:sz w:val="24"/>
          <w:szCs w:val="24"/>
        </w:rPr>
      </w:pPr>
      <w:r w:rsidRPr="00396A4A">
        <w:rPr>
          <w:rFonts w:cs="Arial"/>
          <w:sz w:val="24"/>
          <w:szCs w:val="24"/>
        </w:rPr>
        <w:t>BS2 8HW</w:t>
      </w:r>
    </w:p>
    <w:p w:rsidR="00CC0827" w:rsidRPr="00396A4A" w:rsidRDefault="007F4BD4" w:rsidP="00396A4A">
      <w:pPr>
        <w:spacing w:line="240" w:lineRule="auto"/>
        <w:contextualSpacing/>
        <w:rPr>
          <w:rFonts w:cs="Arial"/>
          <w:sz w:val="24"/>
          <w:szCs w:val="24"/>
        </w:rPr>
      </w:pPr>
      <w:hyperlink r:id="rId8" w:history="1">
        <w:r w:rsidR="00CC0827" w:rsidRPr="00396A4A">
          <w:rPr>
            <w:rStyle w:val="Hyperlink"/>
            <w:rFonts w:cs="Arial"/>
            <w:sz w:val="24"/>
            <w:szCs w:val="24"/>
          </w:rPr>
          <w:t>Caroline2.Flurey@uwe.ac.uk</w:t>
        </w:r>
      </w:hyperlink>
    </w:p>
    <w:p w:rsidR="00CC0827" w:rsidRPr="00396A4A" w:rsidRDefault="00CC0827" w:rsidP="00396A4A">
      <w:pPr>
        <w:spacing w:line="240" w:lineRule="auto"/>
        <w:contextualSpacing/>
        <w:rPr>
          <w:rFonts w:cs="Arial"/>
          <w:sz w:val="24"/>
          <w:szCs w:val="24"/>
        </w:rPr>
      </w:pPr>
      <w:r w:rsidRPr="00396A4A">
        <w:rPr>
          <w:rFonts w:cs="Arial"/>
          <w:sz w:val="24"/>
          <w:szCs w:val="24"/>
        </w:rPr>
        <w:t>0117 3422739</w:t>
      </w:r>
    </w:p>
    <w:p w:rsidR="00CC0827" w:rsidRPr="00BB6923" w:rsidRDefault="00CC0827" w:rsidP="00BB6923">
      <w:pPr>
        <w:spacing w:line="240" w:lineRule="auto"/>
        <w:rPr>
          <w:rFonts w:cs="Arial"/>
        </w:rPr>
      </w:pPr>
      <w:r w:rsidRPr="00BB6923">
        <w:rPr>
          <w:rFonts w:cs="Arial"/>
        </w:rPr>
        <w:br w:type="page"/>
      </w:r>
    </w:p>
    <w:p w:rsidR="005A6C34" w:rsidRDefault="005A6C34" w:rsidP="005A6C34">
      <w:pPr>
        <w:rPr>
          <w:rFonts w:cs="Arial"/>
          <w:b/>
          <w:sz w:val="24"/>
          <w:szCs w:val="24"/>
        </w:rPr>
      </w:pPr>
      <w:r>
        <w:rPr>
          <w:rFonts w:cs="Arial"/>
          <w:b/>
          <w:sz w:val="24"/>
          <w:szCs w:val="24"/>
        </w:rPr>
        <w:lastRenderedPageBreak/>
        <w:t>Abstract</w:t>
      </w:r>
    </w:p>
    <w:p w:rsidR="004A7577" w:rsidRDefault="005A6C34" w:rsidP="006C5389">
      <w:pPr>
        <w:spacing w:line="360" w:lineRule="auto"/>
        <w:rPr>
          <w:rFonts w:cs="Arial"/>
        </w:rPr>
      </w:pPr>
      <w:r>
        <w:rPr>
          <w:rFonts w:cs="Arial"/>
        </w:rPr>
        <w:t>Rheumatoid arthritis</w:t>
      </w:r>
      <w:r w:rsidR="00425846">
        <w:rPr>
          <w:rFonts w:cs="Arial"/>
        </w:rPr>
        <w:t xml:space="preserve"> (RA)</w:t>
      </w:r>
      <w:r>
        <w:rPr>
          <w:rFonts w:cs="Arial"/>
        </w:rPr>
        <w:t xml:space="preserve"> is a chronic disease</w:t>
      </w:r>
      <w:r w:rsidR="004A7577">
        <w:rPr>
          <w:rFonts w:cs="Arial"/>
        </w:rPr>
        <w:t xml:space="preserve"> affecting fewer men than women.  We systematically reviewed the literature on </w:t>
      </w:r>
      <w:r>
        <w:rPr>
          <w:rFonts w:cs="Arial"/>
        </w:rPr>
        <w:t xml:space="preserve">impact and self-management of </w:t>
      </w:r>
      <w:r w:rsidR="004A7577">
        <w:rPr>
          <w:rFonts w:cs="Arial"/>
        </w:rPr>
        <w:t xml:space="preserve">RA </w:t>
      </w:r>
      <w:r>
        <w:rPr>
          <w:rFonts w:cs="Arial"/>
        </w:rPr>
        <w:t xml:space="preserve">men. </w:t>
      </w:r>
      <w:r w:rsidR="004A7577">
        <w:rPr>
          <w:rFonts w:cs="Arial"/>
        </w:rPr>
        <w:t xml:space="preserve">Twenty eight papers were included, and grouped into two categories: </w:t>
      </w:r>
      <w:r w:rsidR="007C4FB6">
        <w:rPr>
          <w:rFonts w:cs="Arial"/>
        </w:rPr>
        <w:t>Psychosocial impact of RA</w:t>
      </w:r>
      <w:r w:rsidR="004A7577">
        <w:rPr>
          <w:rFonts w:cs="Arial"/>
        </w:rPr>
        <w:t>; and Coping and self-management. This review finds gender differences relating to quality of life; work; distress; self-management; coping; and support. We conclude there is a dearth of literature focussing on RA men only, and mixed gender studies include insufficient men to draw strong conclusions about men.  Thus, further research is needed to understand the support needs of men with RA in depth.</w:t>
      </w:r>
    </w:p>
    <w:p w:rsidR="00397046" w:rsidRDefault="00397046" w:rsidP="00567662">
      <w:pPr>
        <w:rPr>
          <w:rFonts w:cs="Arial"/>
          <w:b/>
          <w:sz w:val="24"/>
          <w:szCs w:val="24"/>
        </w:rPr>
      </w:pPr>
      <w:r>
        <w:rPr>
          <w:rFonts w:cs="Arial"/>
          <w:b/>
          <w:sz w:val="24"/>
          <w:szCs w:val="24"/>
        </w:rPr>
        <w:br w:type="page"/>
      </w:r>
    </w:p>
    <w:p w:rsidR="00CC0827" w:rsidRPr="006A1323" w:rsidRDefault="00CC0827" w:rsidP="00567662">
      <w:pPr>
        <w:rPr>
          <w:rFonts w:cs="Arial"/>
          <w:b/>
          <w:sz w:val="24"/>
          <w:szCs w:val="24"/>
        </w:rPr>
      </w:pPr>
      <w:r w:rsidRPr="006A1323">
        <w:rPr>
          <w:rFonts w:cs="Arial"/>
          <w:b/>
          <w:sz w:val="24"/>
          <w:szCs w:val="24"/>
        </w:rPr>
        <w:lastRenderedPageBreak/>
        <w:t>Introduction</w:t>
      </w:r>
    </w:p>
    <w:p w:rsidR="00CC0827" w:rsidRDefault="00CC0827" w:rsidP="008677F8">
      <w:pPr>
        <w:rPr>
          <w:rFonts w:cs="Arial"/>
        </w:rPr>
      </w:pPr>
      <w:r w:rsidRPr="00480266">
        <w:rPr>
          <w:rFonts w:cs="Arial"/>
        </w:rPr>
        <w:t>Rheumatoid arthritis</w:t>
      </w:r>
      <w:r>
        <w:rPr>
          <w:rFonts w:cs="Arial"/>
        </w:rPr>
        <w:t xml:space="preserve"> (RA)</w:t>
      </w:r>
      <w:r w:rsidRPr="00480266">
        <w:rPr>
          <w:rFonts w:cs="Arial"/>
        </w:rPr>
        <w:t xml:space="preserve"> is a chronic, systemic autoimmune dise</w:t>
      </w:r>
      <w:r>
        <w:rPr>
          <w:rFonts w:cs="Arial"/>
        </w:rPr>
        <w:t xml:space="preserve">ase causing synovitis and pain in multiple joints </w:t>
      </w:r>
      <w:r w:rsidRPr="00480266">
        <w:rPr>
          <w:rFonts w:cs="Arial"/>
        </w:rPr>
        <w:t>with associated emotional, social</w:t>
      </w:r>
      <w:r w:rsidR="00D46608">
        <w:rPr>
          <w:rFonts w:cs="Arial"/>
        </w:rPr>
        <w:t>,</w:t>
      </w:r>
      <w:r w:rsidRPr="00480266">
        <w:rPr>
          <w:rFonts w:cs="Arial"/>
        </w:rPr>
        <w:t xml:space="preserve"> </w:t>
      </w:r>
      <w:r>
        <w:rPr>
          <w:rFonts w:cs="Arial"/>
        </w:rPr>
        <w:t xml:space="preserve">financial </w:t>
      </w:r>
      <w:r w:rsidRPr="00480266">
        <w:rPr>
          <w:rFonts w:cs="Arial"/>
        </w:rPr>
        <w:t xml:space="preserve">and societal burden </w:t>
      </w:r>
      <w:r w:rsidR="005D2762">
        <w:rPr>
          <w:rFonts w:cs="Arial"/>
        </w:rPr>
        <w:t>(Hill, 2006)</w:t>
      </w:r>
      <w:r w:rsidRPr="00480266">
        <w:rPr>
          <w:rFonts w:cs="Arial"/>
        </w:rPr>
        <w:t xml:space="preserve">. RA affects </w:t>
      </w:r>
      <w:r w:rsidR="0029655A">
        <w:rPr>
          <w:rFonts w:cs="Arial"/>
        </w:rPr>
        <w:t xml:space="preserve">more women than men, with </w:t>
      </w:r>
      <w:r w:rsidRPr="00480266">
        <w:rPr>
          <w:rFonts w:cs="Arial"/>
        </w:rPr>
        <w:t xml:space="preserve">approximately </w:t>
      </w:r>
      <w:r w:rsidR="0029655A">
        <w:rPr>
          <w:rFonts w:cs="Arial"/>
        </w:rPr>
        <w:t>30% of the RA population being male</w:t>
      </w:r>
      <w:r w:rsidRPr="00480266">
        <w:rPr>
          <w:rFonts w:cs="Arial"/>
        </w:rPr>
        <w:t xml:space="preserve"> </w:t>
      </w:r>
      <w:r w:rsidR="005D2762">
        <w:rPr>
          <w:rFonts w:cs="Arial"/>
        </w:rPr>
        <w:t>(Humphreys et al., 2013; Symmons et al., 1994)</w:t>
      </w:r>
      <w:r w:rsidR="0029655A">
        <w:rPr>
          <w:rFonts w:cs="Arial"/>
        </w:rPr>
        <w:t xml:space="preserve"> </w:t>
      </w:r>
      <w:r>
        <w:rPr>
          <w:rFonts w:cs="Arial"/>
        </w:rPr>
        <w:t xml:space="preserve">and is thought to take a different course in men </w:t>
      </w:r>
      <w:r w:rsidR="00132672">
        <w:rPr>
          <w:rFonts w:cs="Arial"/>
        </w:rPr>
        <w:t>compared to</w:t>
      </w:r>
      <w:r>
        <w:rPr>
          <w:rFonts w:cs="Arial"/>
        </w:rPr>
        <w:t xml:space="preserve"> women </w:t>
      </w:r>
      <w:r w:rsidR="005D2762">
        <w:rPr>
          <w:rFonts w:cs="Arial"/>
        </w:rPr>
        <w:t>(Crowson et al., 2011; Forslind et al., 2007)</w:t>
      </w:r>
      <w:r w:rsidRPr="00480266">
        <w:rPr>
          <w:rFonts w:cs="Arial"/>
        </w:rPr>
        <w:t xml:space="preserve">. </w:t>
      </w:r>
      <w:r w:rsidR="00D46608">
        <w:rPr>
          <w:rFonts w:cs="Arial"/>
        </w:rPr>
        <w:t xml:space="preserve"> </w:t>
      </w:r>
      <w:r w:rsidR="00397046">
        <w:rPr>
          <w:rFonts w:cs="Arial"/>
        </w:rPr>
        <w:t>A</w:t>
      </w:r>
      <w:r>
        <w:rPr>
          <w:rFonts w:cs="Arial"/>
        </w:rPr>
        <w:t xml:space="preserve">lthough RA-related severe clinical disease activity, structural damage and deformities have been reported equally </w:t>
      </w:r>
      <w:r w:rsidR="00120809">
        <w:rPr>
          <w:rFonts w:cs="Arial"/>
        </w:rPr>
        <w:t xml:space="preserve">in both genders </w:t>
      </w:r>
      <w:r>
        <w:rPr>
          <w:rFonts w:cs="Arial"/>
        </w:rPr>
        <w:t xml:space="preserve">(using both subjective and objective measures </w:t>
      </w:r>
      <w:r w:rsidR="005D2762">
        <w:rPr>
          <w:rFonts w:cs="Arial"/>
        </w:rPr>
        <w:t>(Scott et al., 2005; Yelin, 1996)</w:t>
      </w:r>
      <w:r w:rsidR="00120809">
        <w:rPr>
          <w:rFonts w:cs="Arial"/>
        </w:rPr>
        <w:t>)</w:t>
      </w:r>
      <w:r>
        <w:rPr>
          <w:rFonts w:cs="Arial"/>
        </w:rPr>
        <w:t xml:space="preserve">, women report more disability </w:t>
      </w:r>
      <w:r w:rsidR="005D2762">
        <w:rPr>
          <w:rFonts w:cs="Arial"/>
        </w:rPr>
        <w:t>(Sherrer et al., 1987)</w:t>
      </w:r>
      <w:r>
        <w:rPr>
          <w:rFonts w:cs="Arial"/>
        </w:rPr>
        <w:t xml:space="preserve">. </w:t>
      </w:r>
      <w:r w:rsidR="0029655A">
        <w:rPr>
          <w:rFonts w:cs="Arial"/>
        </w:rPr>
        <w:t>T</w:t>
      </w:r>
      <w:r>
        <w:rPr>
          <w:rFonts w:cs="Arial"/>
        </w:rPr>
        <w:t>his could be due to physiological difference</w:t>
      </w:r>
      <w:r w:rsidR="009654EF">
        <w:rPr>
          <w:rFonts w:cs="Arial"/>
        </w:rPr>
        <w:t>s</w:t>
      </w:r>
      <w:r>
        <w:rPr>
          <w:rFonts w:cs="Arial"/>
        </w:rPr>
        <w:t xml:space="preserve"> </w:t>
      </w:r>
      <w:r w:rsidR="005741E2">
        <w:rPr>
          <w:rFonts w:eastAsia="Times New Roman" w:cs="Arial"/>
        </w:rPr>
        <w:t>(Østensen et al., 2011)</w:t>
      </w:r>
      <w:r>
        <w:rPr>
          <w:rFonts w:cs="Arial"/>
        </w:rPr>
        <w:t xml:space="preserve">, scale psychometric bias </w:t>
      </w:r>
      <w:r w:rsidR="005D2762">
        <w:rPr>
          <w:rFonts w:cs="Arial"/>
        </w:rPr>
        <w:t>(Leeb et al., 2007)</w:t>
      </w:r>
      <w:r>
        <w:rPr>
          <w:rFonts w:cs="Arial"/>
        </w:rPr>
        <w:t xml:space="preserve"> or differences in symptom perception </w:t>
      </w:r>
      <w:r w:rsidR="005D2762">
        <w:rPr>
          <w:rFonts w:cs="Arial"/>
        </w:rPr>
        <w:t>(Fearon et al., 1996)</w:t>
      </w:r>
      <w:r>
        <w:rPr>
          <w:rFonts w:cs="Arial"/>
        </w:rPr>
        <w:t>,</w:t>
      </w:r>
      <w:r w:rsidR="0029655A">
        <w:rPr>
          <w:rFonts w:cs="Arial"/>
        </w:rPr>
        <w:t xml:space="preserve"> but</w:t>
      </w:r>
      <w:r>
        <w:rPr>
          <w:rFonts w:cs="Arial"/>
        </w:rPr>
        <w:t xml:space="preserve"> it is unlikely that disease seve</w:t>
      </w:r>
      <w:r w:rsidR="00397046">
        <w:rPr>
          <w:rFonts w:cs="Arial"/>
        </w:rPr>
        <w:t>rity alone contributes to this</w:t>
      </w:r>
      <w:r>
        <w:rPr>
          <w:rFonts w:cs="Arial"/>
        </w:rPr>
        <w:t xml:space="preserve"> difference in </w:t>
      </w:r>
      <w:r w:rsidR="00397046">
        <w:rPr>
          <w:rFonts w:cs="Arial"/>
        </w:rPr>
        <w:t>reporting</w:t>
      </w:r>
      <w:r>
        <w:rPr>
          <w:rFonts w:cs="Arial"/>
        </w:rPr>
        <w:t xml:space="preserve"> of RA between men and women.</w:t>
      </w:r>
    </w:p>
    <w:p w:rsidR="0036667A" w:rsidRDefault="00397046" w:rsidP="0029655A">
      <w:pPr>
        <w:divId w:val="2109039869"/>
        <w:rPr>
          <w:rFonts w:cs="Arial"/>
        </w:rPr>
      </w:pPr>
      <w:r>
        <w:rPr>
          <w:rFonts w:cs="Arial"/>
        </w:rPr>
        <w:t>There is evidence</w:t>
      </w:r>
      <w:r w:rsidR="00BE6396">
        <w:rPr>
          <w:rFonts w:cs="Arial"/>
        </w:rPr>
        <w:t xml:space="preserve"> from</w:t>
      </w:r>
      <w:r>
        <w:rPr>
          <w:rFonts w:cs="Arial"/>
        </w:rPr>
        <w:t xml:space="preserve"> several long term conditions that disease </w:t>
      </w:r>
      <w:r w:rsidR="00BE6396">
        <w:rPr>
          <w:rFonts w:cs="Arial"/>
        </w:rPr>
        <w:t xml:space="preserve">impacts differently </w:t>
      </w:r>
      <w:r>
        <w:rPr>
          <w:rFonts w:cs="Arial"/>
        </w:rPr>
        <w:t xml:space="preserve">on men compared to women </w:t>
      </w:r>
      <w:r w:rsidR="005741E2">
        <w:rPr>
          <w:rFonts w:eastAsia="Times New Roman"/>
        </w:rPr>
        <w:t>(del Mar García</w:t>
      </w:r>
      <w:r w:rsidR="005741E2">
        <w:rPr>
          <w:rFonts w:ascii="Cambria Math" w:eastAsia="Times New Roman" w:hAnsi="Cambria Math" w:cs="Cambria Math"/>
        </w:rPr>
        <w:t>‐</w:t>
      </w:r>
      <w:r w:rsidR="005741E2">
        <w:rPr>
          <w:rFonts w:eastAsia="Times New Roman"/>
        </w:rPr>
        <w:t>Calvente et al., 2012; McCaughan et al., 2011)</w:t>
      </w:r>
      <w:r w:rsidR="003D7A71">
        <w:rPr>
          <w:rFonts w:cs="Arial"/>
        </w:rPr>
        <w:t>,</w:t>
      </w:r>
      <w:r>
        <w:rPr>
          <w:rFonts w:cs="Arial"/>
        </w:rPr>
        <w:t xml:space="preserve"> </w:t>
      </w:r>
      <w:r w:rsidR="00400B8A">
        <w:rPr>
          <w:rFonts w:cs="Arial"/>
        </w:rPr>
        <w:t xml:space="preserve">which </w:t>
      </w:r>
      <w:r>
        <w:rPr>
          <w:rFonts w:cs="Arial"/>
        </w:rPr>
        <w:t xml:space="preserve">suggests that men need their own health strategy </w:t>
      </w:r>
      <w:r w:rsidR="005D2762">
        <w:rPr>
          <w:rFonts w:cs="Arial"/>
        </w:rPr>
        <w:t>(White et al., 2011)</w:t>
      </w:r>
      <w:r>
        <w:rPr>
          <w:rFonts w:cs="Arial"/>
        </w:rPr>
        <w:t xml:space="preserve">. </w:t>
      </w:r>
      <w:r w:rsidR="0029655A">
        <w:rPr>
          <w:rFonts w:cs="Arial"/>
        </w:rPr>
        <w:t>With the passing of the Equality Act in 2010</w:t>
      </w:r>
      <w:r w:rsidR="00F35B91">
        <w:rPr>
          <w:rFonts w:cs="Arial"/>
        </w:rPr>
        <w:t xml:space="preserve"> </w:t>
      </w:r>
      <w:r w:rsidR="005D2762">
        <w:rPr>
          <w:rFonts w:cs="Arial"/>
        </w:rPr>
        <w:t>(Great Britain. Parliament., 2010)</w:t>
      </w:r>
      <w:r w:rsidR="0029655A">
        <w:rPr>
          <w:rFonts w:cs="Arial"/>
        </w:rPr>
        <w:t xml:space="preserve">, there is now a legal requirement for care to reflect the differing needs of men and women, which is prompting closer examination of men’s experience of service provision.  </w:t>
      </w:r>
      <w:r w:rsidR="0036667A">
        <w:rPr>
          <w:rFonts w:cs="Arial"/>
        </w:rPr>
        <w:t xml:space="preserve">If men experience the </w:t>
      </w:r>
      <w:r w:rsidR="00B41AB8">
        <w:rPr>
          <w:rFonts w:cs="Arial"/>
        </w:rPr>
        <w:t xml:space="preserve">psychosocial </w:t>
      </w:r>
      <w:r w:rsidR="0036667A">
        <w:rPr>
          <w:rFonts w:cs="Arial"/>
        </w:rPr>
        <w:t xml:space="preserve">impact of RA differently to women </w:t>
      </w:r>
      <w:r w:rsidR="00985769">
        <w:rPr>
          <w:rFonts w:cs="Arial"/>
        </w:rPr>
        <w:t xml:space="preserve">then it is likely that their coping and self-management styles would </w:t>
      </w:r>
      <w:r w:rsidR="00D46608">
        <w:rPr>
          <w:rFonts w:cs="Arial"/>
        </w:rPr>
        <w:t>also be different</w:t>
      </w:r>
      <w:r w:rsidR="00A67295">
        <w:rPr>
          <w:rFonts w:cs="Arial"/>
        </w:rPr>
        <w:t xml:space="preserve">.  </w:t>
      </w:r>
      <w:r w:rsidR="00952DA4">
        <w:rPr>
          <w:rFonts w:cs="Arial"/>
        </w:rPr>
        <w:t>Further, if men cope and manage differently, then the support required to aid coping would need to reflect the</w:t>
      </w:r>
      <w:r w:rsidR="00400B8A">
        <w:rPr>
          <w:rFonts w:cs="Arial"/>
        </w:rPr>
        <w:t>se</w:t>
      </w:r>
      <w:r w:rsidR="00952DA4">
        <w:rPr>
          <w:rFonts w:cs="Arial"/>
        </w:rPr>
        <w:t xml:space="preserve"> different coping strategies and needs. It is therefore of note that c</w:t>
      </w:r>
      <w:r w:rsidR="0036667A">
        <w:rPr>
          <w:rFonts w:cs="Arial"/>
        </w:rPr>
        <w:t>urrent self-management interventions in RA have been tested mainly in women</w:t>
      </w:r>
      <w:r w:rsidR="00F35B91">
        <w:rPr>
          <w:rFonts w:cs="Arial"/>
        </w:rPr>
        <w:t>. R</w:t>
      </w:r>
      <w:r w:rsidR="00DB60BD">
        <w:rPr>
          <w:rFonts w:cs="Arial"/>
        </w:rPr>
        <w:t xml:space="preserve">andomised controlled trials of interventions </w:t>
      </w:r>
      <w:r w:rsidR="00F35B91">
        <w:rPr>
          <w:rFonts w:cs="Arial"/>
        </w:rPr>
        <w:t>reflect</w:t>
      </w:r>
      <w:r w:rsidR="00DB60BD">
        <w:rPr>
          <w:rFonts w:cs="Arial"/>
        </w:rPr>
        <w:t xml:space="preserve"> the preponderance of women with RA</w:t>
      </w:r>
      <w:r w:rsidR="00F35B91">
        <w:rPr>
          <w:rFonts w:cs="Arial"/>
        </w:rPr>
        <w:t xml:space="preserve">, including these relevant studies: </w:t>
      </w:r>
      <w:r w:rsidR="001663CF">
        <w:rPr>
          <w:rFonts w:cs="Arial"/>
        </w:rPr>
        <w:t>84%</w:t>
      </w:r>
      <w:r w:rsidR="00DB60BD">
        <w:rPr>
          <w:rFonts w:cs="Arial"/>
        </w:rPr>
        <w:t xml:space="preserve"> female</w:t>
      </w:r>
      <w:r w:rsidR="001663CF">
        <w:rPr>
          <w:rFonts w:cs="Arial"/>
        </w:rPr>
        <w:t xml:space="preserve"> </w:t>
      </w:r>
      <w:r w:rsidR="005D2762">
        <w:rPr>
          <w:rFonts w:cs="Arial"/>
        </w:rPr>
        <w:t>(Barlow et al., 2002)</w:t>
      </w:r>
      <w:r w:rsidR="00F35B91">
        <w:rPr>
          <w:rFonts w:cs="Arial"/>
        </w:rPr>
        <w:t>; 90</w:t>
      </w:r>
      <w:r w:rsidR="001663CF">
        <w:rPr>
          <w:rFonts w:cs="Arial"/>
        </w:rPr>
        <w:t xml:space="preserve">% female </w:t>
      </w:r>
      <w:r w:rsidR="005D2762">
        <w:rPr>
          <w:rFonts w:cs="Arial"/>
        </w:rPr>
        <w:t>(Lorig et al., 2008)</w:t>
      </w:r>
      <w:r w:rsidR="001663CF">
        <w:rPr>
          <w:rFonts w:cs="Arial"/>
        </w:rPr>
        <w:t>;</w:t>
      </w:r>
      <w:r w:rsidR="00DB60BD">
        <w:rPr>
          <w:rFonts w:cs="Arial"/>
        </w:rPr>
        <w:t xml:space="preserve"> </w:t>
      </w:r>
      <w:r w:rsidR="001663CF">
        <w:rPr>
          <w:rFonts w:cs="Arial"/>
        </w:rPr>
        <w:t xml:space="preserve">87% female </w:t>
      </w:r>
      <w:r w:rsidR="005D2762">
        <w:rPr>
          <w:rFonts w:cs="Arial"/>
        </w:rPr>
        <w:t>(Barlow et al., 2009)</w:t>
      </w:r>
      <w:r w:rsidR="00DB60BD">
        <w:rPr>
          <w:rFonts w:cs="Arial"/>
        </w:rPr>
        <w:t>;</w:t>
      </w:r>
      <w:r w:rsidR="001663CF">
        <w:rPr>
          <w:rFonts w:cs="Arial"/>
        </w:rPr>
        <w:t xml:space="preserve"> </w:t>
      </w:r>
      <w:r w:rsidR="00F35B91">
        <w:rPr>
          <w:rFonts w:cs="Arial"/>
        </w:rPr>
        <w:t>and 85</w:t>
      </w:r>
      <w:r w:rsidR="00DB60BD">
        <w:rPr>
          <w:rFonts w:cs="Arial"/>
        </w:rPr>
        <w:t xml:space="preserve">% female </w:t>
      </w:r>
      <w:r w:rsidR="005D2762">
        <w:rPr>
          <w:rFonts w:cs="Arial"/>
        </w:rPr>
        <w:t>(Hewlett et al., 2011)</w:t>
      </w:r>
      <w:r w:rsidR="00DB60BD">
        <w:rPr>
          <w:rFonts w:cs="Arial"/>
        </w:rPr>
        <w:t xml:space="preserve">.  Thus, </w:t>
      </w:r>
      <w:r w:rsidR="00F35B91">
        <w:rPr>
          <w:rFonts w:cs="Arial"/>
        </w:rPr>
        <w:t xml:space="preserve">the benefits shown in </w:t>
      </w:r>
      <w:r w:rsidR="00DB60BD">
        <w:rPr>
          <w:rFonts w:cs="Arial"/>
        </w:rPr>
        <w:t xml:space="preserve">these interventions </w:t>
      </w:r>
      <w:r w:rsidR="0036667A">
        <w:rPr>
          <w:rFonts w:cs="Arial"/>
        </w:rPr>
        <w:t xml:space="preserve">may not address the </w:t>
      </w:r>
      <w:r w:rsidR="00F35B91">
        <w:rPr>
          <w:rFonts w:cs="Arial"/>
        </w:rPr>
        <w:t xml:space="preserve">potentially </w:t>
      </w:r>
      <w:r w:rsidR="0036667A">
        <w:rPr>
          <w:rFonts w:cs="Arial"/>
        </w:rPr>
        <w:t>different needs of men.</w:t>
      </w:r>
    </w:p>
    <w:p w:rsidR="00CC0827" w:rsidRDefault="00952DA4" w:rsidP="00FC1058">
      <w:pPr>
        <w:rPr>
          <w:rFonts w:cs="Arial"/>
        </w:rPr>
      </w:pPr>
      <w:r>
        <w:rPr>
          <w:rFonts w:cs="Arial"/>
        </w:rPr>
        <w:lastRenderedPageBreak/>
        <w:t xml:space="preserve">The existing literature in RA regarding the </w:t>
      </w:r>
      <w:r w:rsidR="00B41AB8">
        <w:rPr>
          <w:rFonts w:cs="Arial"/>
        </w:rPr>
        <w:t xml:space="preserve">psychosocial </w:t>
      </w:r>
      <w:r>
        <w:rPr>
          <w:rFonts w:cs="Arial"/>
        </w:rPr>
        <w:t xml:space="preserve">impact </w:t>
      </w:r>
      <w:r w:rsidR="00B41AB8">
        <w:rPr>
          <w:rFonts w:cs="Arial"/>
        </w:rPr>
        <w:t>of RA on men</w:t>
      </w:r>
      <w:r w:rsidR="003D7A71">
        <w:rPr>
          <w:rFonts w:cs="Arial"/>
        </w:rPr>
        <w:t xml:space="preserve"> and how they cope </w:t>
      </w:r>
      <w:r>
        <w:rPr>
          <w:rFonts w:cs="Arial"/>
        </w:rPr>
        <w:t>has not yet been consolidated. Thus the aim</w:t>
      </w:r>
      <w:r w:rsidR="006C638F">
        <w:rPr>
          <w:rFonts w:cs="Arial"/>
        </w:rPr>
        <w:t>s</w:t>
      </w:r>
      <w:r>
        <w:rPr>
          <w:rFonts w:cs="Arial"/>
        </w:rPr>
        <w:t xml:space="preserve"> of this literature review </w:t>
      </w:r>
      <w:r w:rsidR="006C638F">
        <w:rPr>
          <w:rFonts w:cs="Arial"/>
        </w:rPr>
        <w:t>are</w:t>
      </w:r>
      <w:r>
        <w:rPr>
          <w:rFonts w:cs="Arial"/>
        </w:rPr>
        <w:t xml:space="preserve"> twofold: to assess what is known about the</w:t>
      </w:r>
      <w:r w:rsidR="00B41AB8">
        <w:rPr>
          <w:rFonts w:cs="Arial"/>
        </w:rPr>
        <w:t xml:space="preserve"> psychosocial</w:t>
      </w:r>
      <w:r>
        <w:rPr>
          <w:rFonts w:cs="Arial"/>
        </w:rPr>
        <w:t xml:space="preserve"> impact of RA on men; and to assess what is known about the coping and self-management styles of men with RA.</w:t>
      </w:r>
      <w:r w:rsidR="00DB60BD">
        <w:rPr>
          <w:rFonts w:cs="Arial"/>
        </w:rPr>
        <w:t xml:space="preserve">  Further, where </w:t>
      </w:r>
      <w:r w:rsidR="006C638F">
        <w:rPr>
          <w:rFonts w:cs="Arial"/>
        </w:rPr>
        <w:t>articles have not focussed exclusively</w:t>
      </w:r>
      <w:r w:rsidR="00DB60BD">
        <w:rPr>
          <w:rFonts w:cs="Arial"/>
        </w:rPr>
        <w:t xml:space="preserve"> on men, this review will aim to assess whether or not gender differences exist in </w:t>
      </w:r>
      <w:r w:rsidR="006C638F">
        <w:rPr>
          <w:rFonts w:cs="Arial"/>
        </w:rPr>
        <w:t xml:space="preserve">other reports in </w:t>
      </w:r>
      <w:r w:rsidR="00DB60BD">
        <w:rPr>
          <w:rFonts w:cs="Arial"/>
        </w:rPr>
        <w:t>these areas.</w:t>
      </w:r>
    </w:p>
    <w:p w:rsidR="00CC0827" w:rsidRDefault="00CC0827" w:rsidP="00567662">
      <w:pPr>
        <w:rPr>
          <w:rFonts w:cs="Arial"/>
          <w:b/>
          <w:sz w:val="24"/>
          <w:szCs w:val="24"/>
        </w:rPr>
      </w:pPr>
      <w:r w:rsidRPr="006A1323">
        <w:rPr>
          <w:rFonts w:cs="Arial"/>
          <w:b/>
          <w:sz w:val="24"/>
          <w:szCs w:val="24"/>
        </w:rPr>
        <w:t>Methods</w:t>
      </w:r>
    </w:p>
    <w:p w:rsidR="001402F5" w:rsidRPr="007115FE" w:rsidRDefault="006C638F" w:rsidP="00567662">
      <w:pPr>
        <w:rPr>
          <w:rFonts w:cs="Arial"/>
        </w:rPr>
      </w:pPr>
      <w:r w:rsidRPr="007115FE">
        <w:rPr>
          <w:rFonts w:cs="Arial"/>
        </w:rPr>
        <w:t xml:space="preserve">This paper reports a </w:t>
      </w:r>
      <w:r w:rsidR="001402F5" w:rsidRPr="007115FE">
        <w:rPr>
          <w:rFonts w:cs="Arial"/>
        </w:rPr>
        <w:t>systematic search of the literature</w:t>
      </w:r>
      <w:r w:rsidRPr="007115FE">
        <w:rPr>
          <w:rFonts w:cs="Arial"/>
        </w:rPr>
        <w:t xml:space="preserve">, followed by </w:t>
      </w:r>
      <w:r w:rsidR="001402F5" w:rsidRPr="007115FE">
        <w:rPr>
          <w:rFonts w:cs="Arial"/>
        </w:rPr>
        <w:t xml:space="preserve">a narrative review. </w:t>
      </w:r>
      <w:r w:rsidR="00A46313">
        <w:rPr>
          <w:rFonts w:cs="Arial"/>
        </w:rPr>
        <w:t xml:space="preserve"> </w:t>
      </w:r>
      <w:r w:rsidR="00977824">
        <w:rPr>
          <w:rFonts w:cs="Arial"/>
        </w:rPr>
        <w:t xml:space="preserve">Due to the dearth of literature in the areas of men, rheumatoid arthritis and psychosocial impact </w:t>
      </w:r>
      <w:r w:rsidR="00972390">
        <w:rPr>
          <w:rFonts w:cs="Arial"/>
        </w:rPr>
        <w:t>the included studies cover</w:t>
      </w:r>
      <w:r w:rsidR="00977824">
        <w:rPr>
          <w:rFonts w:cs="Arial"/>
        </w:rPr>
        <w:t xml:space="preserve"> a range of methodologies, </w:t>
      </w:r>
      <w:r w:rsidR="008458F6">
        <w:rPr>
          <w:rFonts w:cs="Arial"/>
        </w:rPr>
        <w:t xml:space="preserve">measures and </w:t>
      </w:r>
      <w:r w:rsidR="00977824">
        <w:rPr>
          <w:rFonts w:cs="Arial"/>
        </w:rPr>
        <w:t>aspects of psychosocial impact.  It was therefore not appropriate to undertake a meta-analysis of the results and thus a narrative synthesis was thought to be the most appropriate way to present the</w:t>
      </w:r>
      <w:r w:rsidR="00972390">
        <w:rPr>
          <w:rFonts w:cs="Arial"/>
        </w:rPr>
        <w:t>se</w:t>
      </w:r>
      <w:r w:rsidR="00977824">
        <w:rPr>
          <w:rFonts w:cs="Arial"/>
        </w:rPr>
        <w:t xml:space="preserve"> data.</w:t>
      </w:r>
    </w:p>
    <w:p w:rsidR="00D122D8" w:rsidRPr="00D122D8" w:rsidRDefault="00D122D8" w:rsidP="00567662">
      <w:pPr>
        <w:rPr>
          <w:rFonts w:cs="Arial"/>
          <w:i/>
          <w:sz w:val="24"/>
          <w:szCs w:val="24"/>
        </w:rPr>
      </w:pPr>
      <w:r>
        <w:rPr>
          <w:rFonts w:cs="Arial"/>
          <w:i/>
          <w:sz w:val="24"/>
          <w:szCs w:val="24"/>
        </w:rPr>
        <w:t>Search strategy</w:t>
      </w:r>
    </w:p>
    <w:p w:rsidR="00CC0827" w:rsidRDefault="00CC0827" w:rsidP="007C2670">
      <w:pPr>
        <w:rPr>
          <w:rFonts w:cs="Arial"/>
        </w:rPr>
      </w:pPr>
      <w:r>
        <w:rPr>
          <w:rFonts w:cs="Arial"/>
        </w:rPr>
        <w:t>In February 2</w:t>
      </w:r>
      <w:r w:rsidRPr="007C2670">
        <w:rPr>
          <w:rFonts w:cs="Arial"/>
        </w:rPr>
        <w:t>0</w:t>
      </w:r>
      <w:r>
        <w:rPr>
          <w:rFonts w:cs="Arial"/>
        </w:rPr>
        <w:t>14</w:t>
      </w:r>
      <w:r w:rsidRPr="007C2670">
        <w:rPr>
          <w:rFonts w:cs="Arial"/>
        </w:rPr>
        <w:t xml:space="preserve"> a comprehensive literature search was conducted using the following databases:</w:t>
      </w:r>
      <w:r w:rsidR="00BF68DD">
        <w:rPr>
          <w:rFonts w:cs="Arial"/>
        </w:rPr>
        <w:t xml:space="preserve"> </w:t>
      </w:r>
      <w:r w:rsidRPr="007C2670">
        <w:rPr>
          <w:rFonts w:cs="Arial"/>
        </w:rPr>
        <w:t>AMED, CINAHL Plus,</w:t>
      </w:r>
      <w:r w:rsidR="00BF68DD">
        <w:rPr>
          <w:rFonts w:cs="Arial"/>
        </w:rPr>
        <w:t xml:space="preserve"> </w:t>
      </w:r>
      <w:r w:rsidRPr="007C2670">
        <w:rPr>
          <w:rFonts w:cs="Arial"/>
        </w:rPr>
        <w:t xml:space="preserve">Embase, </w:t>
      </w:r>
      <w:r>
        <w:rPr>
          <w:rFonts w:cs="Arial"/>
        </w:rPr>
        <w:t>Medline</w:t>
      </w:r>
      <w:r w:rsidR="00BB6923">
        <w:rPr>
          <w:rFonts w:cs="Arial"/>
        </w:rPr>
        <w:t>,</w:t>
      </w:r>
      <w:r>
        <w:rPr>
          <w:rFonts w:cs="Arial"/>
        </w:rPr>
        <w:t xml:space="preserve"> PsychARTICLES, </w:t>
      </w:r>
      <w:r w:rsidRPr="007C2670">
        <w:rPr>
          <w:rFonts w:cs="Arial"/>
        </w:rPr>
        <w:t>PsychINFO</w:t>
      </w:r>
      <w:r>
        <w:rPr>
          <w:rFonts w:cs="Arial"/>
        </w:rPr>
        <w:t xml:space="preserve"> and SocINDEX</w:t>
      </w:r>
      <w:r w:rsidRPr="007C2670">
        <w:rPr>
          <w:rFonts w:cs="Arial"/>
        </w:rPr>
        <w:t>. The search was conducted from the earliest year available for each database to the present day.</w:t>
      </w:r>
      <w:r w:rsidR="00BF68DD">
        <w:rPr>
          <w:rFonts w:cs="Arial"/>
        </w:rPr>
        <w:t xml:space="preserve"> </w:t>
      </w:r>
      <w:r>
        <w:rPr>
          <w:rFonts w:cs="Arial"/>
        </w:rPr>
        <w:t xml:space="preserve"> </w:t>
      </w:r>
      <w:r w:rsidRPr="007C2670">
        <w:rPr>
          <w:rFonts w:cs="Arial"/>
        </w:rPr>
        <w:t xml:space="preserve">Each search term was searched for independently and then combined. The search terms </w:t>
      </w:r>
      <w:r w:rsidR="00BF68DD">
        <w:rPr>
          <w:rFonts w:cs="Arial"/>
        </w:rPr>
        <w:t xml:space="preserve">were </w:t>
      </w:r>
      <w:r w:rsidRPr="007C2670">
        <w:rPr>
          <w:rFonts w:cs="Arial"/>
        </w:rPr>
        <w:t>under three broad categories: Disease (</w:t>
      </w:r>
      <w:r>
        <w:rPr>
          <w:rFonts w:cs="Arial"/>
        </w:rPr>
        <w:t>RA</w:t>
      </w:r>
      <w:r w:rsidRPr="007C2670">
        <w:rPr>
          <w:rFonts w:cs="Arial"/>
        </w:rPr>
        <w:t xml:space="preserve">); </w:t>
      </w:r>
      <w:r>
        <w:rPr>
          <w:rFonts w:cs="Arial"/>
        </w:rPr>
        <w:t>impact and self-management</w:t>
      </w:r>
      <w:r w:rsidR="00BF68DD">
        <w:rPr>
          <w:rFonts w:cs="Arial"/>
        </w:rPr>
        <w:t>; and masculinity or gender (</w:t>
      </w:r>
      <w:r w:rsidRPr="007C2670">
        <w:rPr>
          <w:rFonts w:cs="Arial"/>
        </w:rPr>
        <w:t xml:space="preserve">See Table 1 for the full list of search terms used </w:t>
      </w:r>
      <w:r w:rsidR="00D46608">
        <w:rPr>
          <w:rFonts w:cs="Arial"/>
        </w:rPr>
        <w:t>within</w:t>
      </w:r>
      <w:r w:rsidRPr="007C2670">
        <w:rPr>
          <w:rFonts w:cs="Arial"/>
        </w:rPr>
        <w:t xml:space="preserve"> each category</w:t>
      </w:r>
      <w:r w:rsidR="00BF68DD">
        <w:rPr>
          <w:rFonts w:cs="Arial"/>
        </w:rPr>
        <w:t>)</w:t>
      </w:r>
      <w:r w:rsidRPr="007C2670">
        <w:rPr>
          <w:rFonts w:cs="Arial"/>
        </w:rPr>
        <w:t xml:space="preserve">.  Terms under the category of </w:t>
      </w:r>
      <w:r>
        <w:rPr>
          <w:rFonts w:cs="Arial"/>
        </w:rPr>
        <w:t xml:space="preserve">impact and self-management and the majority of terms under masculinity </w:t>
      </w:r>
      <w:r w:rsidRPr="007C2670">
        <w:rPr>
          <w:rFonts w:cs="Arial"/>
        </w:rPr>
        <w:t>were searched for in the field title</w:t>
      </w:r>
      <w:r>
        <w:rPr>
          <w:rFonts w:cs="Arial"/>
        </w:rPr>
        <w:t>s</w:t>
      </w:r>
      <w:r w:rsidRPr="007C2670">
        <w:rPr>
          <w:rFonts w:cs="Arial"/>
        </w:rPr>
        <w:t xml:space="preserve"> ‘all text’</w:t>
      </w:r>
      <w:r>
        <w:rPr>
          <w:rFonts w:cs="Arial"/>
        </w:rPr>
        <w:t xml:space="preserve"> ‘all fields’ and ‘full text’. The term gender and the terms under the ‘disease’ category were searched for in the field titles ‘abstract’, ‘keyword heading’, ‘keyword heading word’, ‘title’ ‘subject heading’ and ‘heading words’.</w:t>
      </w:r>
    </w:p>
    <w:p w:rsidR="00FD3D9E" w:rsidRDefault="00FD3D9E" w:rsidP="00FD3D9E">
      <w:pPr>
        <w:jc w:val="center"/>
        <w:rPr>
          <w:rFonts w:cs="Arial"/>
        </w:rPr>
      </w:pPr>
      <w:r>
        <w:rPr>
          <w:rFonts w:cs="Arial"/>
        </w:rPr>
        <w:t>TABLE 1 ABOUT HERE</w:t>
      </w:r>
    </w:p>
    <w:p w:rsidR="00D122D8" w:rsidRPr="00D122D8" w:rsidRDefault="00D122D8" w:rsidP="00D122D8">
      <w:pPr>
        <w:rPr>
          <w:rFonts w:cs="Arial"/>
          <w:i/>
          <w:sz w:val="24"/>
          <w:szCs w:val="24"/>
        </w:rPr>
      </w:pPr>
      <w:r>
        <w:rPr>
          <w:rFonts w:cs="Arial"/>
          <w:i/>
          <w:sz w:val="24"/>
          <w:szCs w:val="24"/>
        </w:rPr>
        <w:t>Eligibility criteria</w:t>
      </w:r>
    </w:p>
    <w:p w:rsidR="00CC0827" w:rsidRDefault="001402F5" w:rsidP="007C2670">
      <w:pPr>
        <w:rPr>
          <w:rFonts w:cs="Arial"/>
        </w:rPr>
      </w:pPr>
      <w:r>
        <w:rPr>
          <w:rFonts w:cs="Arial"/>
        </w:rPr>
        <w:lastRenderedPageBreak/>
        <w:t xml:space="preserve">Inclusion criteria for this review were that the research </w:t>
      </w:r>
      <w:r w:rsidR="006F6DCB">
        <w:rPr>
          <w:rFonts w:cs="Arial"/>
        </w:rPr>
        <w:t xml:space="preserve">(qualitative or quantitative) </w:t>
      </w:r>
      <w:r>
        <w:rPr>
          <w:rFonts w:cs="Arial"/>
        </w:rPr>
        <w:t xml:space="preserve">was relevant to the main topic areas. Articles were included if they reported differences between male and female patients, </w:t>
      </w:r>
      <w:r w:rsidR="006F6DCB">
        <w:rPr>
          <w:rFonts w:cs="Arial"/>
        </w:rPr>
        <w:t xml:space="preserve">even if they </w:t>
      </w:r>
      <w:r>
        <w:rPr>
          <w:rFonts w:cs="Arial"/>
        </w:rPr>
        <w:t>did not include gender differences as one of their study aims. Articles were also included if they reported data on more than one condition</w:t>
      </w:r>
      <w:r w:rsidR="007115FE">
        <w:rPr>
          <w:rFonts w:cs="Arial"/>
        </w:rPr>
        <w:t xml:space="preserve"> </w:t>
      </w:r>
      <w:r>
        <w:rPr>
          <w:rFonts w:cs="Arial"/>
        </w:rPr>
        <w:t xml:space="preserve">as long as the results were </w:t>
      </w:r>
      <w:r w:rsidR="006F6DCB">
        <w:rPr>
          <w:rFonts w:cs="Arial"/>
        </w:rPr>
        <w:t xml:space="preserve">separated </w:t>
      </w:r>
      <w:r>
        <w:rPr>
          <w:rFonts w:cs="Arial"/>
        </w:rPr>
        <w:t xml:space="preserve">by gender and by condition. </w:t>
      </w:r>
      <w:r w:rsidR="006F6DCB">
        <w:rPr>
          <w:rFonts w:cs="Arial"/>
        </w:rPr>
        <w:t xml:space="preserve">When this was the case, </w:t>
      </w:r>
      <w:r>
        <w:rPr>
          <w:rFonts w:cs="Arial"/>
        </w:rPr>
        <w:t xml:space="preserve">only the RA-related data were included in the review.  </w:t>
      </w:r>
      <w:r w:rsidR="00D122D8">
        <w:rPr>
          <w:rFonts w:cs="Arial"/>
        </w:rPr>
        <w:t>A</w:t>
      </w:r>
      <w:r w:rsidR="00CC0827">
        <w:rPr>
          <w:rFonts w:cs="Arial"/>
        </w:rPr>
        <w:t xml:space="preserve">rticles were excluded </w:t>
      </w:r>
      <w:r w:rsidR="00BF68DD">
        <w:rPr>
          <w:rFonts w:cs="Arial"/>
        </w:rPr>
        <w:t xml:space="preserve">if they </w:t>
      </w:r>
      <w:r w:rsidR="00CC0827">
        <w:rPr>
          <w:rFonts w:cs="Arial"/>
        </w:rPr>
        <w:t>did not relate to impact and self-management of RA</w:t>
      </w:r>
      <w:r w:rsidR="00D122D8">
        <w:rPr>
          <w:rFonts w:cs="Arial"/>
        </w:rPr>
        <w:t xml:space="preserve">, </w:t>
      </w:r>
      <w:r w:rsidR="00CC0827">
        <w:rPr>
          <w:rFonts w:cs="Arial"/>
        </w:rPr>
        <w:t>if they did not include male patients in their sample</w:t>
      </w:r>
      <w:r w:rsidR="00D122D8">
        <w:rPr>
          <w:rFonts w:cs="Arial"/>
        </w:rPr>
        <w:t>, or if they did not report male and female data separately</w:t>
      </w:r>
      <w:r w:rsidR="00CC0827">
        <w:rPr>
          <w:rFonts w:cs="Arial"/>
        </w:rPr>
        <w:t>. Articles were also excluded if they contained only part</w:t>
      </w:r>
      <w:r w:rsidR="002349AE">
        <w:rPr>
          <w:rFonts w:cs="Arial"/>
        </w:rPr>
        <w:t xml:space="preserve">icipants less than 18 years: </w:t>
      </w:r>
      <w:r w:rsidR="00CC0827">
        <w:rPr>
          <w:rFonts w:cs="Arial"/>
        </w:rPr>
        <w:t xml:space="preserve">children and teenagers may have very different psychosocial issues to adults and would require a separate review.  Articles that included more than one medical condition (e.g. both osteoarthritis and rheumatoid arthritis) but did not separate the results relating to gender </w:t>
      </w:r>
      <w:r w:rsidR="00DE4F67">
        <w:rPr>
          <w:rFonts w:cs="Arial"/>
        </w:rPr>
        <w:t xml:space="preserve">or condition </w:t>
      </w:r>
      <w:r w:rsidR="00CC0827">
        <w:rPr>
          <w:rFonts w:cs="Arial"/>
        </w:rPr>
        <w:t xml:space="preserve">were also excluded.  </w:t>
      </w:r>
      <w:r w:rsidR="00E15857">
        <w:rPr>
          <w:rFonts w:cs="Arial"/>
        </w:rPr>
        <w:t xml:space="preserve">Articles related to help-seeking behaviours were also excluded as this area would comprise a separate full literature review.  </w:t>
      </w:r>
      <w:r w:rsidR="00CC0827">
        <w:rPr>
          <w:rFonts w:cs="Arial"/>
        </w:rPr>
        <w:t xml:space="preserve">Further, articles not available in English or not retrievable through e-journals, paper journals or the British Library were also excluded.  </w:t>
      </w:r>
    </w:p>
    <w:p w:rsidR="00F34190" w:rsidRPr="00F34190" w:rsidRDefault="00F34190" w:rsidP="007C2670">
      <w:pPr>
        <w:rPr>
          <w:rFonts w:cs="Arial"/>
          <w:i/>
        </w:rPr>
      </w:pPr>
      <w:r>
        <w:rPr>
          <w:rFonts w:cs="Arial"/>
          <w:i/>
        </w:rPr>
        <w:t>Process</w:t>
      </w:r>
    </w:p>
    <w:p w:rsidR="00CC0827" w:rsidRDefault="00CC0827" w:rsidP="007C2670">
      <w:pPr>
        <w:rPr>
          <w:rFonts w:cs="Arial"/>
        </w:rPr>
      </w:pPr>
      <w:r>
        <w:rPr>
          <w:rFonts w:cs="Arial"/>
        </w:rPr>
        <w:t>To ascertain which papers were appropriate for this literature review, first the titles of all the papers produced by the literature searches were reviewed according to the inclusion and exclusion criteria</w:t>
      </w:r>
      <w:r w:rsidR="006F6DCB">
        <w:rPr>
          <w:rFonts w:cs="Arial"/>
        </w:rPr>
        <w:t xml:space="preserve"> and eliminated when obviously excluded. </w:t>
      </w:r>
      <w:r>
        <w:rPr>
          <w:rFonts w:cs="Arial"/>
        </w:rPr>
        <w:t xml:space="preserve"> </w:t>
      </w:r>
      <w:r w:rsidR="006F6DCB">
        <w:rPr>
          <w:rFonts w:cs="Arial"/>
        </w:rPr>
        <w:t>T</w:t>
      </w:r>
      <w:r>
        <w:rPr>
          <w:rFonts w:cs="Arial"/>
        </w:rPr>
        <w:t xml:space="preserve">he abstracts of the remaining papers were reviewed and </w:t>
      </w:r>
      <w:r w:rsidR="006F6DCB">
        <w:rPr>
          <w:rFonts w:cs="Arial"/>
        </w:rPr>
        <w:t xml:space="preserve">eliminated when obviously excluded and </w:t>
      </w:r>
      <w:r>
        <w:rPr>
          <w:rFonts w:cs="Arial"/>
        </w:rPr>
        <w:t>finally the remaining full papers were reviewed to determine their</w:t>
      </w:r>
      <w:r w:rsidR="00F766E7">
        <w:rPr>
          <w:rFonts w:cs="Arial"/>
        </w:rPr>
        <w:t xml:space="preserve"> inclusion</w:t>
      </w:r>
      <w:r>
        <w:rPr>
          <w:rFonts w:cs="Arial"/>
        </w:rPr>
        <w:t xml:space="preserve">. </w:t>
      </w:r>
      <w:r w:rsidR="006F6DCB">
        <w:rPr>
          <w:rFonts w:cs="Arial"/>
        </w:rPr>
        <w:t xml:space="preserve"> T</w:t>
      </w:r>
      <w:r>
        <w:rPr>
          <w:rFonts w:cs="Arial"/>
        </w:rPr>
        <w:t>he reference lists from all included manuscripts were checked to ensure that the literature review had not missed any crucial papers in this area.</w:t>
      </w:r>
      <w:r w:rsidR="00F766E7">
        <w:rPr>
          <w:rFonts w:cs="Arial"/>
        </w:rPr>
        <w:t xml:space="preserve"> All titles were reviewed by the first author (CF) and 10% (randomly selected) of the titles returned by the search and 10% (randomly selected) of the papers reviewed in full were independently reviewed (JK) to ensure consistency in agreement.</w:t>
      </w:r>
      <w:r w:rsidR="003D7A71">
        <w:rPr>
          <w:rFonts w:cs="Arial"/>
        </w:rPr>
        <w:t xml:space="preserve">  The findings were reviewed and interpreted by the research team, which included a patient research partner (RN) </w:t>
      </w:r>
      <w:r w:rsidR="005D2762">
        <w:rPr>
          <w:rFonts w:cs="Arial"/>
        </w:rPr>
        <w:t>(Hewlett et al., 2006)</w:t>
      </w:r>
      <w:r w:rsidR="003D7A71">
        <w:rPr>
          <w:rFonts w:cs="Arial"/>
        </w:rPr>
        <w:t>.</w:t>
      </w:r>
    </w:p>
    <w:p w:rsidR="00B012EC" w:rsidRDefault="00F34190" w:rsidP="007C2670">
      <w:pPr>
        <w:rPr>
          <w:rFonts w:cs="Arial"/>
        </w:rPr>
      </w:pPr>
      <w:r>
        <w:rPr>
          <w:rFonts w:cs="Arial"/>
        </w:rPr>
        <w:lastRenderedPageBreak/>
        <w:t xml:space="preserve">The analysis of the included studies focussed on the primary data presented in the papers rather than relying on the </w:t>
      </w:r>
      <w:r w:rsidR="0025193D">
        <w:rPr>
          <w:rFonts w:cs="Arial"/>
        </w:rPr>
        <w:t>original</w:t>
      </w:r>
      <w:r w:rsidR="00607EC2">
        <w:rPr>
          <w:rFonts w:cs="Arial"/>
        </w:rPr>
        <w:t xml:space="preserve"> </w:t>
      </w:r>
      <w:r>
        <w:rPr>
          <w:rFonts w:cs="Arial"/>
        </w:rPr>
        <w:t xml:space="preserve">authors’ interpretations.  Thus, in the presentation of results in this paper any interpretation of the results comes from the </w:t>
      </w:r>
      <w:r w:rsidR="0025193D">
        <w:rPr>
          <w:rFonts w:cs="Arial"/>
        </w:rPr>
        <w:t xml:space="preserve">present </w:t>
      </w:r>
      <w:r>
        <w:rPr>
          <w:rFonts w:cs="Arial"/>
        </w:rPr>
        <w:t xml:space="preserve">authors rather than the authors of the original articles, unless expressly stated.  </w:t>
      </w:r>
      <w:r w:rsidR="0025193D">
        <w:rPr>
          <w:rFonts w:cs="Arial"/>
        </w:rPr>
        <w:t>O</w:t>
      </w:r>
      <w:r>
        <w:rPr>
          <w:rFonts w:cs="Arial"/>
        </w:rPr>
        <w:t>riginal data</w:t>
      </w:r>
      <w:r w:rsidR="0025193D">
        <w:rPr>
          <w:rFonts w:cs="Arial"/>
        </w:rPr>
        <w:t xml:space="preserve"> w</w:t>
      </w:r>
      <w:r w:rsidR="00D46608">
        <w:rPr>
          <w:rFonts w:cs="Arial"/>
        </w:rPr>
        <w:t>ere</w:t>
      </w:r>
      <w:r w:rsidR="0025193D">
        <w:rPr>
          <w:rFonts w:cs="Arial"/>
        </w:rPr>
        <w:t xml:space="preserve"> not requested</w:t>
      </w:r>
      <w:r>
        <w:rPr>
          <w:rFonts w:cs="Arial"/>
        </w:rPr>
        <w:t xml:space="preserve"> and so </w:t>
      </w:r>
      <w:r w:rsidR="0025193D">
        <w:rPr>
          <w:rFonts w:cs="Arial"/>
        </w:rPr>
        <w:t>interpretation is based on</w:t>
      </w:r>
      <w:r>
        <w:rPr>
          <w:rFonts w:cs="Arial"/>
        </w:rPr>
        <w:t xml:space="preserve"> the data that the authors presented in their paper</w:t>
      </w:r>
      <w:r w:rsidR="0025193D">
        <w:rPr>
          <w:rFonts w:cs="Arial"/>
        </w:rPr>
        <w:t>s</w:t>
      </w:r>
      <w:r>
        <w:rPr>
          <w:rFonts w:cs="Arial"/>
        </w:rPr>
        <w:t>.</w:t>
      </w:r>
    </w:p>
    <w:p w:rsidR="00B0110B" w:rsidRDefault="00B0110B" w:rsidP="007C2670">
      <w:pPr>
        <w:rPr>
          <w:rFonts w:cs="Arial"/>
        </w:rPr>
      </w:pPr>
      <w:r>
        <w:rPr>
          <w:rFonts w:cs="Arial"/>
        </w:rPr>
        <w:t>For each included paper, the following data were extracted: methodological approach; participant information including number and proportion of male patients in the study sample; study location; and summary of main study findings.  The main overarching categories and related subcategories occurring across these data were identified.  Finally, the findings of the papers within each category were compared for similarities and differences.</w:t>
      </w:r>
    </w:p>
    <w:p w:rsidR="00CC0827" w:rsidRDefault="00CC0827" w:rsidP="00567662">
      <w:pPr>
        <w:rPr>
          <w:rFonts w:cs="Arial"/>
          <w:b/>
          <w:sz w:val="24"/>
          <w:szCs w:val="24"/>
        </w:rPr>
      </w:pPr>
      <w:r w:rsidRPr="006A1323">
        <w:rPr>
          <w:rFonts w:cs="Arial"/>
          <w:b/>
          <w:sz w:val="24"/>
          <w:szCs w:val="24"/>
        </w:rPr>
        <w:t>Results</w:t>
      </w:r>
    </w:p>
    <w:p w:rsidR="00CC0827" w:rsidRDefault="00CC0827" w:rsidP="00231576">
      <w:pPr>
        <w:rPr>
          <w:rFonts w:cs="Arial"/>
        </w:rPr>
      </w:pPr>
      <w:r>
        <w:rPr>
          <w:rFonts w:cs="Arial"/>
        </w:rPr>
        <w:t xml:space="preserve">The literature search </w:t>
      </w:r>
      <w:r w:rsidR="00615F92">
        <w:rPr>
          <w:rFonts w:cs="Arial"/>
        </w:rPr>
        <w:t xml:space="preserve">for papers about the </w:t>
      </w:r>
      <w:r>
        <w:rPr>
          <w:rFonts w:cs="Arial"/>
        </w:rPr>
        <w:t>impact</w:t>
      </w:r>
      <w:r w:rsidR="002349AE">
        <w:rPr>
          <w:rFonts w:cs="Arial"/>
        </w:rPr>
        <w:t xml:space="preserve"> on</w:t>
      </w:r>
      <w:r>
        <w:rPr>
          <w:rFonts w:cs="Arial"/>
        </w:rPr>
        <w:t xml:space="preserve"> and self-management of men with RA returned 896 results. </w:t>
      </w:r>
      <w:r w:rsidR="00615F92">
        <w:rPr>
          <w:rFonts w:cs="Arial"/>
        </w:rPr>
        <w:t>Application of the selection</w:t>
      </w:r>
      <w:r w:rsidR="00DE226F">
        <w:rPr>
          <w:rFonts w:cs="Arial"/>
        </w:rPr>
        <w:t xml:space="preserve"> criteria and removal of duplicates</w:t>
      </w:r>
      <w:r w:rsidR="00615F92">
        <w:rPr>
          <w:rFonts w:cs="Arial"/>
        </w:rPr>
        <w:t xml:space="preserve"> left</w:t>
      </w:r>
      <w:r>
        <w:rPr>
          <w:rFonts w:cs="Arial"/>
        </w:rPr>
        <w:t xml:space="preserve"> 27 papers and </w:t>
      </w:r>
      <w:r w:rsidR="00615F92">
        <w:rPr>
          <w:rFonts w:cs="Arial"/>
        </w:rPr>
        <w:t>one</w:t>
      </w:r>
      <w:r>
        <w:rPr>
          <w:rFonts w:cs="Arial"/>
        </w:rPr>
        <w:t xml:space="preserve"> further paper </w:t>
      </w:r>
      <w:r w:rsidR="005D2762">
        <w:rPr>
          <w:rFonts w:cs="Arial"/>
        </w:rPr>
        <w:t>(Uhlig et al., 2007)</w:t>
      </w:r>
      <w:r>
        <w:rPr>
          <w:rFonts w:cs="Arial"/>
        </w:rPr>
        <w:t xml:space="preserve"> was </w:t>
      </w:r>
      <w:r w:rsidR="00DE226F">
        <w:rPr>
          <w:rFonts w:cs="Arial"/>
        </w:rPr>
        <w:t xml:space="preserve">added </w:t>
      </w:r>
      <w:r>
        <w:rPr>
          <w:rFonts w:cs="Arial"/>
        </w:rPr>
        <w:t>following a review of the included manuscript reference lists</w:t>
      </w:r>
      <w:r w:rsidR="00DE226F">
        <w:rPr>
          <w:rFonts w:cs="Arial"/>
        </w:rPr>
        <w:t>,</w:t>
      </w:r>
      <w:r>
        <w:rPr>
          <w:rFonts w:cs="Arial"/>
        </w:rPr>
        <w:t xml:space="preserve"> </w:t>
      </w:r>
      <w:r w:rsidR="00615F92">
        <w:rPr>
          <w:rFonts w:cs="Arial"/>
        </w:rPr>
        <w:t xml:space="preserve">providing </w:t>
      </w:r>
      <w:r>
        <w:rPr>
          <w:rFonts w:cs="Arial"/>
        </w:rPr>
        <w:t>28 papers for review. Of these, 25</w:t>
      </w:r>
      <w:r w:rsidR="00DE226F">
        <w:rPr>
          <w:rFonts w:cs="Arial"/>
        </w:rPr>
        <w:t xml:space="preserve"> </w:t>
      </w:r>
      <w:r>
        <w:rPr>
          <w:rFonts w:cs="Arial"/>
        </w:rPr>
        <w:t xml:space="preserve">(89%) were quantitative and the remaining </w:t>
      </w:r>
      <w:r w:rsidR="00615F92">
        <w:rPr>
          <w:rFonts w:cs="Arial"/>
        </w:rPr>
        <w:t>three</w:t>
      </w:r>
      <w:r>
        <w:rPr>
          <w:rFonts w:cs="Arial"/>
        </w:rPr>
        <w:t xml:space="preserve"> were qualitative. No manuscripts containing mixed methods or literature reviews were returned by the search.</w:t>
      </w:r>
    </w:p>
    <w:p w:rsidR="00CC0827" w:rsidRDefault="00CC0827" w:rsidP="008F2408">
      <w:pPr>
        <w:rPr>
          <w:rFonts w:cs="Arial"/>
        </w:rPr>
      </w:pPr>
      <w:r>
        <w:rPr>
          <w:rFonts w:cs="Arial"/>
        </w:rPr>
        <w:t xml:space="preserve">The manuscripts returned by the search could be described within </w:t>
      </w:r>
      <w:r w:rsidR="005816CF">
        <w:rPr>
          <w:rFonts w:cs="Arial"/>
        </w:rPr>
        <w:t>two</w:t>
      </w:r>
      <w:r>
        <w:rPr>
          <w:rFonts w:cs="Arial"/>
        </w:rPr>
        <w:t xml:space="preserve"> broad categories</w:t>
      </w:r>
      <w:r w:rsidR="00CC0A71">
        <w:rPr>
          <w:rFonts w:cs="Arial"/>
        </w:rPr>
        <w:t>, (with</w:t>
      </w:r>
      <w:r w:rsidR="00D30089">
        <w:rPr>
          <w:rFonts w:cs="Arial"/>
        </w:rPr>
        <w:t xml:space="preserve"> one manuscript</w:t>
      </w:r>
      <w:r w:rsidR="00CC0A71">
        <w:rPr>
          <w:rFonts w:cs="Arial"/>
        </w:rPr>
        <w:t xml:space="preserve"> appearing in </w:t>
      </w:r>
      <w:r w:rsidR="005816CF">
        <w:rPr>
          <w:rFonts w:cs="Arial"/>
        </w:rPr>
        <w:t>both categories</w:t>
      </w:r>
      <w:r w:rsidR="00D30089">
        <w:rPr>
          <w:rFonts w:cs="Arial"/>
        </w:rPr>
        <w:t xml:space="preserve"> </w:t>
      </w:r>
      <w:r w:rsidR="005D2762">
        <w:rPr>
          <w:rFonts w:cs="Arial"/>
        </w:rPr>
        <w:t>(Affleck et al., 1999)</w:t>
      </w:r>
      <w:r w:rsidR="00CC0A71">
        <w:rPr>
          <w:rFonts w:cs="Arial"/>
        </w:rPr>
        <w:t>):</w:t>
      </w:r>
      <w:r>
        <w:rPr>
          <w:rFonts w:cs="Arial"/>
        </w:rPr>
        <w:t xml:space="preserve"> </w:t>
      </w:r>
      <w:r w:rsidR="00B41AB8">
        <w:rPr>
          <w:rFonts w:cs="Arial"/>
        </w:rPr>
        <w:t>Psychosocial i</w:t>
      </w:r>
      <w:r w:rsidR="00D30089">
        <w:rPr>
          <w:rFonts w:cs="Arial"/>
        </w:rPr>
        <w:t>mpact of RA (n=20</w:t>
      </w:r>
      <w:r w:rsidR="005816CF">
        <w:rPr>
          <w:rFonts w:cs="Arial"/>
        </w:rPr>
        <w:t xml:space="preserve">); and Coping and self-management (n=9).  </w:t>
      </w:r>
      <w:r w:rsidR="00DE226F">
        <w:rPr>
          <w:rFonts w:cs="Arial"/>
        </w:rPr>
        <w:t xml:space="preserve">These </w:t>
      </w:r>
      <w:r>
        <w:rPr>
          <w:rFonts w:cs="Arial"/>
        </w:rPr>
        <w:t>will be presented</w:t>
      </w:r>
      <w:r w:rsidR="00DE226F">
        <w:rPr>
          <w:rFonts w:cs="Arial"/>
        </w:rPr>
        <w:t xml:space="preserve"> as a narrative report</w:t>
      </w:r>
      <w:r w:rsidR="005816CF">
        <w:rPr>
          <w:rFonts w:cs="Arial"/>
        </w:rPr>
        <w:t>.</w:t>
      </w:r>
    </w:p>
    <w:p w:rsidR="00CC0827" w:rsidRPr="005816CF" w:rsidRDefault="00B41AB8" w:rsidP="007708A3">
      <w:pPr>
        <w:rPr>
          <w:rFonts w:cs="Arial"/>
          <w:i/>
          <w:sz w:val="24"/>
          <w:szCs w:val="24"/>
        </w:rPr>
      </w:pPr>
      <w:r>
        <w:rPr>
          <w:rFonts w:cs="Arial"/>
          <w:i/>
          <w:sz w:val="24"/>
          <w:szCs w:val="24"/>
        </w:rPr>
        <w:t>Psychosocial i</w:t>
      </w:r>
      <w:r w:rsidR="005816CF" w:rsidRPr="005816CF">
        <w:rPr>
          <w:rFonts w:cs="Arial"/>
          <w:i/>
          <w:sz w:val="24"/>
          <w:szCs w:val="24"/>
        </w:rPr>
        <w:t>mpact of RA</w:t>
      </w:r>
    </w:p>
    <w:p w:rsidR="005816CF" w:rsidRPr="002E0144" w:rsidRDefault="00090DEB" w:rsidP="007708A3">
      <w:pPr>
        <w:rPr>
          <w:rFonts w:cs="Arial"/>
          <w:i/>
        </w:rPr>
      </w:pPr>
      <w:r>
        <w:rPr>
          <w:rFonts w:cs="Arial"/>
        </w:rPr>
        <w:t xml:space="preserve">Table 2 provides a summary of the studies included in this section.  </w:t>
      </w:r>
      <w:r w:rsidR="00F34190">
        <w:rPr>
          <w:rFonts w:cs="Arial"/>
        </w:rPr>
        <w:t>A</w:t>
      </w:r>
      <w:r>
        <w:rPr>
          <w:rFonts w:cs="Arial"/>
        </w:rPr>
        <w:t>n initial broad</w:t>
      </w:r>
      <w:r w:rsidR="00F34190">
        <w:rPr>
          <w:rFonts w:cs="Arial"/>
        </w:rPr>
        <w:t xml:space="preserve"> qualitative assessment of the included papers </w:t>
      </w:r>
      <w:r>
        <w:rPr>
          <w:rFonts w:cs="Arial"/>
        </w:rPr>
        <w:t>indicated that they covered</w:t>
      </w:r>
      <w:r w:rsidR="005816CF">
        <w:rPr>
          <w:rFonts w:cs="Arial"/>
        </w:rPr>
        <w:t xml:space="preserve"> f</w:t>
      </w:r>
      <w:r w:rsidR="007C4FB6">
        <w:rPr>
          <w:rFonts w:cs="Arial"/>
        </w:rPr>
        <w:t>our</w:t>
      </w:r>
      <w:r w:rsidR="005816CF">
        <w:rPr>
          <w:rFonts w:cs="Arial"/>
        </w:rPr>
        <w:t xml:space="preserve"> sub-categories (with some manuscripts appearing in more than one sub-category): Quality of life </w:t>
      </w:r>
      <w:r w:rsidR="005816CF">
        <w:rPr>
          <w:rFonts w:cs="Arial"/>
        </w:rPr>
        <w:lastRenderedPageBreak/>
        <w:t>(n=</w:t>
      </w:r>
      <w:r w:rsidR="00D30089">
        <w:rPr>
          <w:rFonts w:cs="Arial"/>
        </w:rPr>
        <w:t>7</w:t>
      </w:r>
      <w:r w:rsidR="005816CF">
        <w:rPr>
          <w:rFonts w:cs="Arial"/>
        </w:rPr>
        <w:t>); Work disability (n=4); Sexuality (n</w:t>
      </w:r>
      <w:r w:rsidR="00D30089">
        <w:rPr>
          <w:rFonts w:cs="Arial"/>
        </w:rPr>
        <w:t>=3); and Emotional distress (n=7</w:t>
      </w:r>
      <w:r w:rsidR="005816CF">
        <w:rPr>
          <w:rFonts w:cs="Arial"/>
        </w:rPr>
        <w:t>).</w:t>
      </w:r>
      <w:r w:rsidR="00F34190">
        <w:rPr>
          <w:rFonts w:cs="Arial"/>
        </w:rPr>
        <w:t xml:space="preserve"> </w:t>
      </w:r>
      <w:r>
        <w:rPr>
          <w:rFonts w:cs="Arial"/>
        </w:rPr>
        <w:t xml:space="preserve"> These are considered in turn and then consolidated.</w:t>
      </w:r>
    </w:p>
    <w:p w:rsidR="00605EDE" w:rsidRPr="00615F92" w:rsidRDefault="00615F92" w:rsidP="00615F92">
      <w:pPr>
        <w:jc w:val="center"/>
        <w:rPr>
          <w:rFonts w:cs="Arial"/>
          <w:color w:val="000000"/>
          <w:lang w:eastAsia="en-GB"/>
        </w:rPr>
      </w:pPr>
      <w:r>
        <w:rPr>
          <w:rFonts w:cs="Arial"/>
          <w:color w:val="000000"/>
          <w:lang w:eastAsia="en-GB"/>
        </w:rPr>
        <w:t>TABLE 2 ABOUT HERE</w:t>
      </w:r>
    </w:p>
    <w:p w:rsidR="00CC0827" w:rsidRDefault="005816CF" w:rsidP="007708A3">
      <w:pPr>
        <w:rPr>
          <w:rFonts w:cs="Arial"/>
          <w:color w:val="000000"/>
          <w:lang w:eastAsia="en-GB"/>
        </w:rPr>
      </w:pPr>
      <w:r>
        <w:rPr>
          <w:rFonts w:cs="Arial"/>
          <w:i/>
          <w:color w:val="000000"/>
          <w:lang w:eastAsia="en-GB"/>
        </w:rPr>
        <w:t>Quality of life.</w:t>
      </w:r>
      <w:r>
        <w:rPr>
          <w:rFonts w:cs="Arial"/>
          <w:color w:val="000000"/>
          <w:lang w:eastAsia="en-GB"/>
        </w:rPr>
        <w:t xml:space="preserve">  M</w:t>
      </w:r>
      <w:r w:rsidR="00CC0827">
        <w:rPr>
          <w:rFonts w:cs="Arial"/>
          <w:color w:val="000000"/>
          <w:lang w:eastAsia="en-GB"/>
        </w:rPr>
        <w:t xml:space="preserve">en and women with RA experience different types of impact on their quality of life and over different time periods. One study using the </w:t>
      </w:r>
      <w:r w:rsidR="00E85A2E">
        <w:rPr>
          <w:rFonts w:cs="Arial"/>
          <w:color w:val="000000"/>
          <w:lang w:eastAsia="en-GB"/>
        </w:rPr>
        <w:t xml:space="preserve">generic </w:t>
      </w:r>
      <w:r w:rsidR="00CC0827">
        <w:rPr>
          <w:rFonts w:cs="Arial"/>
          <w:color w:val="000000"/>
          <w:lang w:eastAsia="en-GB"/>
        </w:rPr>
        <w:t xml:space="preserve">World Health Organisation quality of life instrument </w:t>
      </w:r>
      <w:r w:rsidR="005D2762">
        <w:rPr>
          <w:rFonts w:cs="Arial"/>
          <w:color w:val="000000"/>
          <w:lang w:eastAsia="en-GB"/>
        </w:rPr>
        <w:t>(WHOQOL group, 1995)</w:t>
      </w:r>
      <w:r w:rsidR="00CC0827">
        <w:rPr>
          <w:rFonts w:cs="Arial"/>
          <w:color w:val="000000"/>
          <w:lang w:eastAsia="en-GB"/>
        </w:rPr>
        <w:t xml:space="preserve"> reported that gender did not </w:t>
      </w:r>
      <w:r w:rsidR="00107EF8">
        <w:rPr>
          <w:rFonts w:cs="Arial"/>
          <w:color w:val="000000"/>
          <w:lang w:eastAsia="en-GB"/>
        </w:rPr>
        <w:t xml:space="preserve">differentially </w:t>
      </w:r>
      <w:r w:rsidR="00CC0827">
        <w:rPr>
          <w:rFonts w:cs="Arial"/>
          <w:color w:val="000000"/>
          <w:lang w:eastAsia="en-GB"/>
        </w:rPr>
        <w:t xml:space="preserve">affect the quality of life of RA patients </w:t>
      </w:r>
      <w:r w:rsidR="005D2762">
        <w:rPr>
          <w:rFonts w:cs="Arial"/>
          <w:color w:val="000000"/>
          <w:lang w:eastAsia="en-GB"/>
        </w:rPr>
        <w:t>(Bedi et al., 2005)</w:t>
      </w:r>
      <w:r w:rsidR="00CC0827">
        <w:rPr>
          <w:rFonts w:cs="Arial"/>
          <w:color w:val="000000"/>
          <w:lang w:eastAsia="en-GB"/>
        </w:rPr>
        <w:t>.  However, a study using the Arth</w:t>
      </w:r>
      <w:r w:rsidR="00E85A2E">
        <w:rPr>
          <w:rFonts w:cs="Arial"/>
          <w:color w:val="000000"/>
          <w:lang w:eastAsia="en-GB"/>
        </w:rPr>
        <w:t>ritis Impact Measurement Scale</w:t>
      </w:r>
      <w:r w:rsidR="00CC0827">
        <w:rPr>
          <w:rFonts w:cs="Arial"/>
          <w:color w:val="000000"/>
          <w:lang w:eastAsia="en-GB"/>
        </w:rPr>
        <w:t xml:space="preserve"> (AIMS2) </w:t>
      </w:r>
      <w:r w:rsidR="005D2762">
        <w:rPr>
          <w:rFonts w:cs="Arial"/>
          <w:color w:val="000000"/>
          <w:lang w:eastAsia="en-GB"/>
        </w:rPr>
        <w:t>(Meenan et al., 1982; Meenan et al., 1992)</w:t>
      </w:r>
      <w:r w:rsidR="00CC0827">
        <w:rPr>
          <w:rFonts w:cs="Arial"/>
          <w:color w:val="000000"/>
          <w:lang w:eastAsia="en-GB"/>
        </w:rPr>
        <w:t xml:space="preserve"> found that gender differences do exist within the different domains relating to quality of life </w:t>
      </w:r>
      <w:r w:rsidR="005D2762">
        <w:rPr>
          <w:rFonts w:cs="Arial"/>
          <w:color w:val="000000"/>
          <w:lang w:eastAsia="en-GB"/>
        </w:rPr>
        <w:t>(Baczyk, 2005)</w:t>
      </w:r>
      <w:r w:rsidR="00CC0827">
        <w:rPr>
          <w:rFonts w:cs="Arial"/>
          <w:color w:val="000000"/>
          <w:lang w:eastAsia="en-GB"/>
        </w:rPr>
        <w:t xml:space="preserve">.  </w:t>
      </w:r>
      <w:r w:rsidR="00E5570F">
        <w:rPr>
          <w:rFonts w:cs="Arial"/>
          <w:color w:val="000000"/>
          <w:lang w:eastAsia="en-GB"/>
        </w:rPr>
        <w:t>Specifically,</w:t>
      </w:r>
      <w:r w:rsidR="00CC0827">
        <w:rPr>
          <w:rFonts w:cs="Arial"/>
          <w:color w:val="000000"/>
          <w:lang w:eastAsia="en-GB"/>
        </w:rPr>
        <w:t xml:space="preserve"> women reported lower quality of life in the area of emotional state than men, whereas men reported lower quality of life in the area of social activity than women </w:t>
      </w:r>
      <w:r w:rsidR="005D2762">
        <w:rPr>
          <w:rFonts w:cs="Arial"/>
          <w:color w:val="000000"/>
          <w:lang w:eastAsia="en-GB"/>
        </w:rPr>
        <w:t>(Baczyk, 2005)</w:t>
      </w:r>
      <w:r w:rsidR="00CC0827">
        <w:rPr>
          <w:rFonts w:cs="Arial"/>
          <w:color w:val="000000"/>
          <w:lang w:eastAsia="en-GB"/>
        </w:rPr>
        <w:t xml:space="preserve">. </w:t>
      </w:r>
    </w:p>
    <w:p w:rsidR="00CC0827" w:rsidRPr="0073402F" w:rsidRDefault="00CC0827" w:rsidP="0073402F">
      <w:pPr>
        <w:divId w:val="1415085994"/>
        <w:rPr>
          <w:rFonts w:eastAsia="Times New Roman" w:cs="Arial"/>
        </w:rPr>
      </w:pPr>
      <w:r>
        <w:rPr>
          <w:lang w:eastAsia="en-GB"/>
        </w:rPr>
        <w:t>A longitu</w:t>
      </w:r>
      <w:r w:rsidR="00107EF8">
        <w:rPr>
          <w:lang w:eastAsia="en-GB"/>
        </w:rPr>
        <w:t>dinal study from Sweden suggested</w:t>
      </w:r>
      <w:r>
        <w:rPr>
          <w:lang w:eastAsia="en-GB"/>
        </w:rPr>
        <w:t xml:space="preserve"> that </w:t>
      </w:r>
      <w:r w:rsidR="00107EF8">
        <w:rPr>
          <w:lang w:eastAsia="en-GB"/>
        </w:rPr>
        <w:t xml:space="preserve">reporting of quality of life has changed over time </w:t>
      </w:r>
      <w:r w:rsidR="005741E2">
        <w:rPr>
          <w:rFonts w:eastAsia="Times New Roman" w:cs="Arial"/>
        </w:rPr>
        <w:t>(West and Wållberg-Jonsson, 2009; West and Jonsson, 2005)</w:t>
      </w:r>
      <w:r w:rsidR="00090DEB">
        <w:rPr>
          <w:rFonts w:eastAsia="Times New Roman" w:cs="Arial"/>
        </w:rPr>
        <w:t xml:space="preserve">.  </w:t>
      </w:r>
      <w:r>
        <w:rPr>
          <w:lang w:eastAsia="en-GB"/>
        </w:rPr>
        <w:t xml:space="preserve">This study </w:t>
      </w:r>
      <w:r w:rsidR="00107EF8">
        <w:rPr>
          <w:lang w:eastAsia="en-GB"/>
        </w:rPr>
        <w:t xml:space="preserve">showed </w:t>
      </w:r>
      <w:r>
        <w:rPr>
          <w:lang w:eastAsia="en-GB"/>
        </w:rPr>
        <w:t xml:space="preserve">that in newly diagnosed patients, women reported significantly </w:t>
      </w:r>
      <w:r w:rsidR="00E85A2E">
        <w:rPr>
          <w:lang w:eastAsia="en-GB"/>
        </w:rPr>
        <w:t>less</w:t>
      </w:r>
      <w:r>
        <w:rPr>
          <w:lang w:eastAsia="en-GB"/>
        </w:rPr>
        <w:t xml:space="preserve"> role limitation due to physical problems, bodily pain and social functioning compared to men. At follow up (2 years after disease onset) women reported better physical functioning and </w:t>
      </w:r>
      <w:r w:rsidR="00E85A2E">
        <w:rPr>
          <w:lang w:eastAsia="en-GB"/>
        </w:rPr>
        <w:t xml:space="preserve">less </w:t>
      </w:r>
      <w:r>
        <w:rPr>
          <w:lang w:eastAsia="en-GB"/>
        </w:rPr>
        <w:t xml:space="preserve">role limitation due to emotional problems than men </w:t>
      </w:r>
      <w:r w:rsidR="005D2762">
        <w:rPr>
          <w:lang w:eastAsia="en-GB"/>
        </w:rPr>
        <w:t>(West and Jonsson, 2005)</w:t>
      </w:r>
      <w:r>
        <w:rPr>
          <w:lang w:eastAsia="en-GB"/>
        </w:rPr>
        <w:t xml:space="preserve">. When followed up </w:t>
      </w:r>
      <w:r w:rsidR="00D46608">
        <w:rPr>
          <w:lang w:eastAsia="en-GB"/>
        </w:rPr>
        <w:t>six</w:t>
      </w:r>
      <w:r>
        <w:rPr>
          <w:lang w:eastAsia="en-GB"/>
        </w:rPr>
        <w:t xml:space="preserve"> years after disease onset both men and women had improved overall scores. However, the improvement over time was significantly higher for m</w:t>
      </w:r>
      <w:r w:rsidR="00D46608">
        <w:rPr>
          <w:lang w:eastAsia="en-GB"/>
        </w:rPr>
        <w:t>en than women, so much so that six</w:t>
      </w:r>
      <w:r>
        <w:rPr>
          <w:lang w:eastAsia="en-GB"/>
        </w:rPr>
        <w:t xml:space="preserve"> years after disease onset there were no significant gender differences relating to quality of life </w:t>
      </w:r>
      <w:r w:rsidR="005741E2">
        <w:rPr>
          <w:rFonts w:eastAsia="Times New Roman" w:cs="Arial"/>
        </w:rPr>
        <w:t>(West and Wållberg-Jonsson, 2009)</w:t>
      </w:r>
      <w:r w:rsidR="00242668">
        <w:rPr>
          <w:lang w:eastAsia="en-GB"/>
        </w:rPr>
        <w:t>.  F</w:t>
      </w:r>
      <w:r>
        <w:rPr>
          <w:lang w:eastAsia="en-GB"/>
        </w:rPr>
        <w:t xml:space="preserve">urther, there were no significant gender differences found in the group of RA patients with long-standing RA (20-25 years) </w:t>
      </w:r>
      <w:r w:rsidR="005D2762">
        <w:rPr>
          <w:lang w:eastAsia="en-GB"/>
        </w:rPr>
        <w:t>(West and Jonsson, 2005)</w:t>
      </w:r>
      <w:r>
        <w:rPr>
          <w:lang w:eastAsia="en-GB"/>
        </w:rPr>
        <w:t xml:space="preserve">. </w:t>
      </w:r>
      <w:r w:rsidR="00E85A2E">
        <w:rPr>
          <w:lang w:eastAsia="en-GB"/>
        </w:rPr>
        <w:t xml:space="preserve"> </w:t>
      </w:r>
      <w:r>
        <w:rPr>
          <w:lang w:eastAsia="en-GB"/>
        </w:rPr>
        <w:t>These findings are supported in terms of RA patients’ reports of life satisfaction</w:t>
      </w:r>
      <w:r w:rsidR="00E5570F">
        <w:rPr>
          <w:lang w:eastAsia="en-GB"/>
        </w:rPr>
        <w:t xml:space="preserve">. </w:t>
      </w:r>
      <w:r w:rsidR="00D46608">
        <w:rPr>
          <w:lang w:eastAsia="en-GB"/>
        </w:rPr>
        <w:t>Karlsson et al (</w:t>
      </w:r>
      <w:r w:rsidR="005D2762">
        <w:rPr>
          <w:lang w:eastAsia="en-GB"/>
        </w:rPr>
        <w:t>2006)</w:t>
      </w:r>
      <w:r w:rsidR="00E5570F">
        <w:rPr>
          <w:lang w:eastAsia="en-GB"/>
        </w:rPr>
        <w:t xml:space="preserve"> </w:t>
      </w:r>
      <w:r>
        <w:rPr>
          <w:lang w:eastAsia="en-GB"/>
        </w:rPr>
        <w:t xml:space="preserve">found that newly diagnosed men reported lower levels of satisfaction with life as a whole and with 6/8 domains relating to life satisfaction </w:t>
      </w:r>
      <w:r>
        <w:t xml:space="preserve">(self-care activities; leisure; friends; sexual life; partnership relation; family life) compared with women. </w:t>
      </w:r>
      <w:r>
        <w:lastRenderedPageBreak/>
        <w:t>However, men were slightly (not significantly) more satisfied than women regarding their vocational and financial situation. Two years post-diagnosis men with RA were only more satisfied with</w:t>
      </w:r>
      <w:r w:rsidR="00107EF8">
        <w:t xml:space="preserve"> their</w:t>
      </w:r>
      <w:r>
        <w:t xml:space="preserve"> financial situation than women with RA, and scored worse on all other domains.  However, of the </w:t>
      </w:r>
      <w:r w:rsidR="008458F6">
        <w:t>patients</w:t>
      </w:r>
      <w:r>
        <w:t xml:space="preserve"> with long-standing disease, men were more satisfied than women on 5/8 domains (friends; sexual life; partnership relation; family life; vocational situation), although were still less satisfied with life as a whole.</w:t>
      </w:r>
      <w:r w:rsidR="008458F6">
        <w:t xml:space="preserve"> </w:t>
      </w:r>
      <w:r>
        <w:t xml:space="preserve"> In summary, t</w:t>
      </w:r>
      <w:r>
        <w:rPr>
          <w:lang w:eastAsia="en-GB"/>
        </w:rPr>
        <w:t xml:space="preserve">he findings from these studies </w:t>
      </w:r>
      <w:r w:rsidR="005741E2">
        <w:rPr>
          <w:rFonts w:eastAsia="Times New Roman" w:cs="Arial"/>
        </w:rPr>
        <w:t>(Karlsson et al., 2006; West and Wållberg-Jonsson, 2009; West and Jonsson, 2005)</w:t>
      </w:r>
      <w:r w:rsidR="0073402F">
        <w:rPr>
          <w:rFonts w:eastAsia="Times New Roman" w:cs="Arial"/>
        </w:rPr>
        <w:t xml:space="preserve"> </w:t>
      </w:r>
      <w:r>
        <w:rPr>
          <w:lang w:eastAsia="en-GB"/>
        </w:rPr>
        <w:t xml:space="preserve">indicate that men take longer to adjust and adapt to their RA than women do. </w:t>
      </w:r>
      <w:r w:rsidR="00E85A2E">
        <w:rPr>
          <w:lang w:eastAsia="en-GB"/>
        </w:rPr>
        <w:t xml:space="preserve">Given this difference in adjustment and adaptation, it is therefore surprising to find that studies comparing </w:t>
      </w:r>
      <w:r>
        <w:rPr>
          <w:rFonts w:cs="Arial"/>
          <w:color w:val="000000"/>
          <w:lang w:eastAsia="en-GB"/>
        </w:rPr>
        <w:t xml:space="preserve">quality of life scores of RA patients to either osteoarthritis </w:t>
      </w:r>
      <w:r w:rsidR="00FD4D0B">
        <w:rPr>
          <w:rFonts w:cs="Arial"/>
          <w:color w:val="000000"/>
          <w:lang w:eastAsia="en-GB"/>
        </w:rPr>
        <w:t xml:space="preserve">(OA) </w:t>
      </w:r>
      <w:r>
        <w:rPr>
          <w:rFonts w:cs="Arial"/>
          <w:color w:val="000000"/>
          <w:lang w:eastAsia="en-GB"/>
        </w:rPr>
        <w:t xml:space="preserve">patients </w:t>
      </w:r>
      <w:r w:rsidR="005D2762">
        <w:rPr>
          <w:rFonts w:cs="Arial"/>
          <w:color w:val="000000"/>
          <w:lang w:eastAsia="en-GB"/>
        </w:rPr>
        <w:t>(Baczyk et al., 2007)</w:t>
      </w:r>
      <w:r>
        <w:rPr>
          <w:rFonts w:cs="Arial"/>
          <w:color w:val="000000"/>
          <w:lang w:eastAsia="en-GB"/>
        </w:rPr>
        <w:t xml:space="preserve"> or the general population </w:t>
      </w:r>
      <w:r w:rsidR="005D2762">
        <w:rPr>
          <w:rFonts w:cs="Arial"/>
          <w:color w:val="000000"/>
          <w:lang w:eastAsia="en-GB"/>
        </w:rPr>
        <w:t>(Uhlig et al., 2007)</w:t>
      </w:r>
      <w:r>
        <w:rPr>
          <w:rFonts w:cs="Arial"/>
          <w:color w:val="000000"/>
          <w:lang w:eastAsia="en-GB"/>
        </w:rPr>
        <w:t xml:space="preserve"> have found that women consistently scored worse on quality of life measures than men regardless of their diagnosis</w:t>
      </w:r>
      <w:r w:rsidR="00E85A2E">
        <w:rPr>
          <w:rFonts w:cs="Arial"/>
          <w:color w:val="000000"/>
          <w:lang w:eastAsia="en-GB"/>
        </w:rPr>
        <w:t xml:space="preserve">. </w:t>
      </w:r>
    </w:p>
    <w:p w:rsidR="00CC0827" w:rsidRPr="005816CF" w:rsidRDefault="005816CF" w:rsidP="00122925">
      <w:pPr>
        <w:rPr>
          <w:i/>
        </w:rPr>
      </w:pPr>
      <w:r>
        <w:rPr>
          <w:i/>
        </w:rPr>
        <w:t xml:space="preserve">Work disability.  </w:t>
      </w:r>
      <w:r w:rsidR="00F71F6E">
        <w:t>Work disability refers to patients stopping work due to their RA</w:t>
      </w:r>
      <w:r>
        <w:t xml:space="preserve"> (abstenteeism)</w:t>
      </w:r>
      <w:r w:rsidR="00F71F6E">
        <w:t>, and t</w:t>
      </w:r>
      <w:r w:rsidR="00CC0827">
        <w:t xml:space="preserve">here is contradictory evidence regarding gender differences with reference to </w:t>
      </w:r>
      <w:r w:rsidR="00F71F6E">
        <w:t>this</w:t>
      </w:r>
      <w:r w:rsidR="00CC0827">
        <w:t>.</w:t>
      </w:r>
      <w:r w:rsidR="00F71F6E">
        <w:t xml:space="preserve"> Further, none of the studies address gender differences in reduced performance whilst at work (presenteeism). </w:t>
      </w:r>
      <w:r w:rsidR="00CC0827">
        <w:t xml:space="preserve"> One study conducted in Norway </w:t>
      </w:r>
      <w:r w:rsidR="005D2762">
        <w:t>(Wallenius et al., 2009)</w:t>
      </w:r>
      <w:r w:rsidR="00CC0827">
        <w:t xml:space="preserve"> reported that women experience more work disability than men (24.7% women compared to 8.1% men). However, this study assessed whether patients were receiving work disability benefits as a measure of work disability and did not include patients on long-term sick leave. It is possible that the small number of men receiving work disability benefits in comparison to women could be because it is socially less acceptable for men to stop work. However, the difference could also be explained by the study sample, as the women in this study had worse disease activity, reported more fatigue and bodily pain, and had longer disease duration than the men in the study. </w:t>
      </w:r>
    </w:p>
    <w:p w:rsidR="00CC0827" w:rsidRDefault="00CC0827" w:rsidP="00F02A3B">
      <w:r>
        <w:t xml:space="preserve">In contrast, a study conducted in Morocco </w:t>
      </w:r>
      <w:r w:rsidR="005D2762">
        <w:t>(Rkain et al., 2006)</w:t>
      </w:r>
      <w:r>
        <w:t xml:space="preserve"> found that stopping work was significantly more common in men (91%) than among women (52%) in a random sample of 100 RA patients. This may be due to men having more physically strenuous jobs than </w:t>
      </w:r>
      <w:r>
        <w:lastRenderedPageBreak/>
        <w:t>women, as 100% of patients in this study with physically strenuous jobs had stopped working. This study is limited in terms of the sample as patients were recruited from one hospital and only 12% (12/100) were male.</w:t>
      </w:r>
    </w:p>
    <w:p w:rsidR="00CC0827" w:rsidRDefault="00CC0827" w:rsidP="00122925">
      <w:r>
        <w:t xml:space="preserve">A longitudinal study, which evaluated the effect of paid work on emotional distress </w:t>
      </w:r>
      <w:r w:rsidR="005D2762">
        <w:t>(Fifield et al., 1996)</w:t>
      </w:r>
      <w:r>
        <w:t xml:space="preserve"> found that for patients in paid work men reported significantly </w:t>
      </w:r>
      <w:r w:rsidR="004562A8">
        <w:t>lower levels of negative affect</w:t>
      </w:r>
      <w:r>
        <w:t xml:space="preserve"> and somatic complaints than women. However, men who had stopped working reported significantly higher distress scores than women who had stopped working.  One third of the variance in depressive symptoms could be accounted for by social economic status, disease status, work demands and work autonomy. This difference in distress may also be due to remaining in paid work being more important to men to retain their masculine identity. </w:t>
      </w:r>
      <w:r w:rsidR="00107EF8">
        <w:t>A</w:t>
      </w:r>
      <w:r>
        <w:t xml:space="preserve"> qualitative interview study exploring the life stories of both men </w:t>
      </w:r>
      <w:r w:rsidR="00107EF8">
        <w:t xml:space="preserve">(n=4) </w:t>
      </w:r>
      <w:r>
        <w:t>and women</w:t>
      </w:r>
      <w:r w:rsidR="00160FC7">
        <w:t xml:space="preserve"> (n=11)</w:t>
      </w:r>
      <w:r>
        <w:t xml:space="preserve"> with RA </w:t>
      </w:r>
      <w:r w:rsidR="005D2762">
        <w:t>(Stamm et al., 2010)</w:t>
      </w:r>
      <w:r>
        <w:t xml:space="preserve"> reported that men talked more than women about the meaning and purpose of paid work and were less likely to reflect positively on the impact of RA. The men in this study focused on the difficulty of relinquishing their role as the ‘bread-winner’ and explained that the loss of paid work affected their social and economic status. However, this study was conducted in </w:t>
      </w:r>
      <w:r w:rsidR="00107EF8">
        <w:t xml:space="preserve">Austria, and the </w:t>
      </w:r>
      <w:r w:rsidR="008837C0">
        <w:t xml:space="preserve">original </w:t>
      </w:r>
      <w:r w:rsidR="00107EF8">
        <w:t xml:space="preserve">authors note that in the </w:t>
      </w:r>
      <w:r>
        <w:t>Austrian culture men are exp</w:t>
      </w:r>
      <w:r w:rsidR="00107EF8">
        <w:t xml:space="preserve">ected to be the ‘bread-winners’, further the men in this study </w:t>
      </w:r>
      <w:r>
        <w:t>had all retired early from work and thus loss of work may be particularly salient to this sample.</w:t>
      </w:r>
    </w:p>
    <w:p w:rsidR="00CC0827" w:rsidRDefault="00CC0827" w:rsidP="000B18EB">
      <w:r w:rsidRPr="00FB7784">
        <w:rPr>
          <w:i/>
        </w:rPr>
        <w:t>Sex</w:t>
      </w:r>
      <w:r w:rsidR="00FB7784" w:rsidRPr="00FB7784">
        <w:rPr>
          <w:i/>
        </w:rPr>
        <w:t>ual activity</w:t>
      </w:r>
      <w:r w:rsidR="005816CF">
        <w:rPr>
          <w:i/>
        </w:rPr>
        <w:t xml:space="preserve">.  </w:t>
      </w:r>
      <w:r>
        <w:t>The literature regarding gender differences and sexual</w:t>
      </w:r>
      <w:r w:rsidR="00FB7784">
        <w:t xml:space="preserve"> activity</w:t>
      </w:r>
      <w:r>
        <w:t xml:space="preserve"> is inconclusive.  One study conducted in Morocco </w:t>
      </w:r>
      <w:r w:rsidR="005D2762">
        <w:t>(Rkain et al., 2006)</w:t>
      </w:r>
      <w:r>
        <w:t xml:space="preserve"> reported that women with RA </w:t>
      </w:r>
      <w:r w:rsidR="00160FC7">
        <w:t>we</w:t>
      </w:r>
      <w:r>
        <w:t xml:space="preserve">re more likely to report </w:t>
      </w:r>
      <w:r w:rsidR="00FB7784">
        <w:t>‘</w:t>
      </w:r>
      <w:r>
        <w:t>sexual problems</w:t>
      </w:r>
      <w:r w:rsidR="00FB7784">
        <w:t>’</w:t>
      </w:r>
      <w:r>
        <w:t xml:space="preserve"> than men (77% and 33%, respectively). </w:t>
      </w:r>
      <w:r w:rsidR="00FB7784">
        <w:t>In this study the term sexual problems related to fatigue</w:t>
      </w:r>
      <w:r w:rsidR="00FD4D0B">
        <w:t>,</w:t>
      </w:r>
      <w:r w:rsidR="00FB7784">
        <w:t xml:space="preserve"> pain, decreased satisfaction or body image disturbances and difficulty with specific positions </w:t>
      </w:r>
      <w:r w:rsidR="005D2762">
        <w:t>(Rkain et al., 2006)</w:t>
      </w:r>
      <w:r w:rsidR="00FB7784">
        <w:t xml:space="preserve">. </w:t>
      </w:r>
      <w:r>
        <w:t xml:space="preserve">Another study conducted in Norway </w:t>
      </w:r>
      <w:r w:rsidR="005D2762">
        <w:t>(Helland et al., 2008)</w:t>
      </w:r>
      <w:r>
        <w:t xml:space="preserve"> reported than men with RA </w:t>
      </w:r>
      <w:r w:rsidR="00160FC7">
        <w:t>we</w:t>
      </w:r>
      <w:r>
        <w:t xml:space="preserve">re more likely to report a large impact </w:t>
      </w:r>
      <w:r w:rsidR="00FB7784">
        <w:t xml:space="preserve">of health status </w:t>
      </w:r>
      <w:r>
        <w:t xml:space="preserve">on their sexual activity than women (40% and 27.8%, respectively). </w:t>
      </w:r>
      <w:r w:rsidR="00FB7784">
        <w:t xml:space="preserve"> </w:t>
      </w:r>
      <w:r>
        <w:t xml:space="preserve">Finally, a study conducted in the Netherlands </w:t>
      </w:r>
      <w:r w:rsidR="005D2762">
        <w:t>(Kraaimaat et al., 1996)</w:t>
      </w:r>
      <w:r>
        <w:t xml:space="preserve"> </w:t>
      </w:r>
      <w:r>
        <w:lastRenderedPageBreak/>
        <w:t xml:space="preserve">found the level of </w:t>
      </w:r>
      <w:r w:rsidR="00FB7784">
        <w:t>‘</w:t>
      </w:r>
      <w:r>
        <w:t>intrusiveness of RA on sexuality</w:t>
      </w:r>
      <w:r w:rsidR="00FB7784">
        <w:t xml:space="preserve">’ </w:t>
      </w:r>
      <w:r>
        <w:t xml:space="preserve">did not significantly differ between men and women (30% and 36%, respectively).  </w:t>
      </w:r>
      <w:r w:rsidR="00FB7784">
        <w:t xml:space="preserve">However, this was measured using one item from the AIMS </w:t>
      </w:r>
      <w:r w:rsidR="005D2762">
        <w:t>(Meenan et al., 1982; Meenan et al., 1992)</w:t>
      </w:r>
      <w:r w:rsidR="00FB7784">
        <w:t xml:space="preserve"> (“In general, the rheumatic disease interferes with my sexuality” scored from 1 = ‘almost never’ to 4 = ‘almost always’) and the term sexuality was not specifically defined as sexual activity.  </w:t>
      </w:r>
      <w:r>
        <w:t xml:space="preserve">These results may be influenced by the acceptability of reporting sexual problems in different cultures. </w:t>
      </w:r>
    </w:p>
    <w:p w:rsidR="00CC0827" w:rsidRDefault="005816CF" w:rsidP="006737E1">
      <w:pPr>
        <w:rPr>
          <w:rFonts w:cs="Arial"/>
        </w:rPr>
      </w:pPr>
      <w:r>
        <w:rPr>
          <w:rFonts w:cs="Arial"/>
          <w:i/>
        </w:rPr>
        <w:t xml:space="preserve">Emotional distress.  </w:t>
      </w:r>
      <w:r w:rsidR="00CC0827">
        <w:rPr>
          <w:rFonts w:cs="Arial"/>
        </w:rPr>
        <w:t xml:space="preserve">One study conducted in Iran reported a correlation between the onset of depression </w:t>
      </w:r>
      <w:r w:rsidR="00160FC7">
        <w:rPr>
          <w:rFonts w:cs="Arial"/>
        </w:rPr>
        <w:t>(</w:t>
      </w:r>
      <w:r w:rsidR="00CC0827">
        <w:rPr>
          <w:rFonts w:cs="Arial"/>
        </w:rPr>
        <w:t xml:space="preserve">according to the Beck </w:t>
      </w:r>
      <w:r w:rsidR="00160FC7">
        <w:rPr>
          <w:rFonts w:cs="Arial"/>
        </w:rPr>
        <w:t>D</w:t>
      </w:r>
      <w:r w:rsidR="00CC0827">
        <w:rPr>
          <w:rFonts w:cs="Arial"/>
        </w:rPr>
        <w:t xml:space="preserve">epression </w:t>
      </w:r>
      <w:r w:rsidR="00160FC7">
        <w:rPr>
          <w:rFonts w:cs="Arial"/>
        </w:rPr>
        <w:t>I</w:t>
      </w:r>
      <w:r w:rsidR="00CC0827">
        <w:rPr>
          <w:rFonts w:cs="Arial"/>
        </w:rPr>
        <w:t>nventory</w:t>
      </w:r>
      <w:r w:rsidR="00160FC7">
        <w:rPr>
          <w:rFonts w:cs="Arial"/>
        </w:rPr>
        <w:t>,</w:t>
      </w:r>
      <w:r w:rsidR="000B3516">
        <w:rPr>
          <w:rFonts w:cs="Arial"/>
        </w:rPr>
        <w:t xml:space="preserve"> </w:t>
      </w:r>
      <w:r w:rsidR="005D2762">
        <w:rPr>
          <w:rFonts w:cs="Arial"/>
        </w:rPr>
        <w:t>(Beck and Steer, 1987)</w:t>
      </w:r>
      <w:r w:rsidR="00BC258F">
        <w:rPr>
          <w:rFonts w:cs="Arial"/>
        </w:rPr>
        <w:t>)</w:t>
      </w:r>
      <w:r w:rsidR="00CC0827">
        <w:rPr>
          <w:rFonts w:cs="Arial"/>
        </w:rPr>
        <w:t xml:space="preserve"> in RA and female gender </w:t>
      </w:r>
      <w:r w:rsidR="005D2762">
        <w:rPr>
          <w:rFonts w:cs="Arial"/>
        </w:rPr>
        <w:t>(Behnam et al., 2013)</w:t>
      </w:r>
      <w:r w:rsidR="00CC0827">
        <w:rPr>
          <w:rFonts w:cs="Arial"/>
        </w:rPr>
        <w:t xml:space="preserve">. However, </w:t>
      </w:r>
      <w:r w:rsidR="00530B5B">
        <w:rPr>
          <w:rFonts w:cs="Arial"/>
        </w:rPr>
        <w:t>1</w:t>
      </w:r>
      <w:r w:rsidR="00CC0827">
        <w:rPr>
          <w:rFonts w:cs="Arial"/>
        </w:rPr>
        <w:t xml:space="preserve">9/28 </w:t>
      </w:r>
      <w:r w:rsidR="00530B5B">
        <w:rPr>
          <w:rFonts w:cs="Arial"/>
        </w:rPr>
        <w:t xml:space="preserve">(68%) </w:t>
      </w:r>
      <w:r w:rsidR="00CC0827">
        <w:rPr>
          <w:rFonts w:cs="Arial"/>
        </w:rPr>
        <w:t xml:space="preserve">male patients </w:t>
      </w:r>
      <w:r w:rsidR="00530B5B">
        <w:rPr>
          <w:rFonts w:cs="Arial"/>
        </w:rPr>
        <w:t xml:space="preserve">were in remission according to the </w:t>
      </w:r>
      <w:r w:rsidR="00BC258F">
        <w:rPr>
          <w:rFonts w:cs="Arial"/>
        </w:rPr>
        <w:t>American College of Rheumatology (</w:t>
      </w:r>
      <w:r w:rsidR="00530B5B">
        <w:rPr>
          <w:rFonts w:cs="Arial"/>
        </w:rPr>
        <w:t>ACR</w:t>
      </w:r>
      <w:r w:rsidR="00BC258F">
        <w:rPr>
          <w:rFonts w:cs="Arial"/>
        </w:rPr>
        <w:t>)</w:t>
      </w:r>
      <w:r w:rsidR="00530B5B">
        <w:rPr>
          <w:rFonts w:cs="Arial"/>
        </w:rPr>
        <w:t xml:space="preserve"> criteria </w:t>
      </w:r>
      <w:r w:rsidR="005D2762">
        <w:rPr>
          <w:rFonts w:cs="Arial"/>
        </w:rPr>
        <w:t>(Pinals et al., 1981)</w:t>
      </w:r>
      <w:r w:rsidR="00530B5B">
        <w:rPr>
          <w:rFonts w:cs="Arial"/>
        </w:rPr>
        <w:t xml:space="preserve"> and therefore may not have experienced the same impact as those with active RA. </w:t>
      </w:r>
      <w:r w:rsidR="00CC0827">
        <w:rPr>
          <w:rFonts w:cs="Arial"/>
        </w:rPr>
        <w:t xml:space="preserve">Further, severe depression (a score of </w:t>
      </w:r>
      <w:r w:rsidR="00EA7AF6">
        <w:rPr>
          <w:rFonts w:cs="Arial"/>
        </w:rPr>
        <w:t>≥</w:t>
      </w:r>
      <w:r w:rsidR="00CC0827">
        <w:rPr>
          <w:rFonts w:cs="Arial"/>
        </w:rPr>
        <w:t>19 and classified as clinical depression) was only observed in two patients. Thus it is possible that female gender is correlated with the onset of low mood in RA and the same gender differences may not be observed for clinical depression. The finding that women with RA experience more anxiety than men, but that there is no gender difference for depression scores would support this</w:t>
      </w:r>
      <w:r w:rsidR="009D415E">
        <w:rPr>
          <w:rFonts w:cs="Arial"/>
        </w:rPr>
        <w:t xml:space="preserve"> </w:t>
      </w:r>
      <w:r w:rsidR="005D2762">
        <w:rPr>
          <w:rFonts w:cs="Arial"/>
        </w:rPr>
        <w:t>(Dirik and Karanci, 2010)</w:t>
      </w:r>
      <w:r w:rsidR="00CC0827">
        <w:rPr>
          <w:rFonts w:cs="Arial"/>
        </w:rPr>
        <w:t xml:space="preserve">. It is also of note that men with RA have been found to be more likely to report an increase in their negative mood the day after a more painful day than women with RA </w:t>
      </w:r>
      <w:r w:rsidR="005D2762">
        <w:rPr>
          <w:rFonts w:cs="Arial"/>
        </w:rPr>
        <w:t>(Affleck et al., 1999)</w:t>
      </w:r>
      <w:r w:rsidR="00CC0827">
        <w:rPr>
          <w:rFonts w:cs="Arial"/>
        </w:rPr>
        <w:t>.  However, the reasons for this have not been explored.</w:t>
      </w:r>
    </w:p>
    <w:p w:rsidR="00CC0827" w:rsidRDefault="00CC0827" w:rsidP="006737E1">
      <w:pPr>
        <w:rPr>
          <w:rFonts w:cs="Arial"/>
        </w:rPr>
      </w:pPr>
      <w:r>
        <w:rPr>
          <w:rFonts w:cs="Arial"/>
        </w:rPr>
        <w:t xml:space="preserve">Women have been shown to report higher levels of distress and more negative feelings than men with RA </w:t>
      </w:r>
      <w:r w:rsidR="005D2762">
        <w:rPr>
          <w:rFonts w:cs="Arial"/>
        </w:rPr>
        <w:t>(Dowdy et al., 1996; Persson et al., 2005)</w:t>
      </w:r>
      <w:r>
        <w:rPr>
          <w:rFonts w:cs="Arial"/>
        </w:rPr>
        <w:t xml:space="preserve">. However, when factors associated with gender such as physical impairment, quality of emotional support and passive pain coping were controlled for, gender was no longer significantly related to negative psychological well-being </w:t>
      </w:r>
      <w:r w:rsidR="005D2762">
        <w:rPr>
          <w:rFonts w:cs="Arial"/>
        </w:rPr>
        <w:t>(Dowdy et al., 1996)</w:t>
      </w:r>
      <w:r>
        <w:rPr>
          <w:rFonts w:cs="Arial"/>
        </w:rPr>
        <w:t xml:space="preserve">. This indicates that it </w:t>
      </w:r>
      <w:r w:rsidR="00530B5B">
        <w:rPr>
          <w:rFonts w:cs="Arial"/>
        </w:rPr>
        <w:t>may be</w:t>
      </w:r>
      <w:r>
        <w:rPr>
          <w:rFonts w:cs="Arial"/>
        </w:rPr>
        <w:t xml:space="preserve"> the coping strategies and support structures specific to men and women that moderate the psychological impact of RA. In fact male gender has been identified as a predictor in feelings of social isolation in RA patients </w:t>
      </w:r>
      <w:r w:rsidR="005D2762">
        <w:rPr>
          <w:rFonts w:cs="Arial"/>
        </w:rPr>
        <w:t>(Bugajska et al., 2010)</w:t>
      </w:r>
      <w:r>
        <w:rPr>
          <w:rFonts w:cs="Arial"/>
        </w:rPr>
        <w:t xml:space="preserve">.  The differences in reports of </w:t>
      </w:r>
      <w:r>
        <w:rPr>
          <w:rFonts w:cs="Arial"/>
        </w:rPr>
        <w:lastRenderedPageBreak/>
        <w:t xml:space="preserve">negative feelings could also be due to gender differences in reporting. One study </w:t>
      </w:r>
      <w:r w:rsidR="005D2762">
        <w:rPr>
          <w:rFonts w:cs="Arial"/>
        </w:rPr>
        <w:t>(van Middendorp et al., 2005)</w:t>
      </w:r>
      <w:r>
        <w:rPr>
          <w:rFonts w:cs="Arial"/>
        </w:rPr>
        <w:t xml:space="preserve"> reported that women with RA valued emotions in daily life more than men with RA and reported the experience of emotions more intensely.  </w:t>
      </w:r>
    </w:p>
    <w:p w:rsidR="00B41AB8" w:rsidRDefault="0073402F" w:rsidP="006737E1">
      <w:pPr>
        <w:rPr>
          <w:rFonts w:cs="Arial"/>
        </w:rPr>
      </w:pPr>
      <w:r>
        <w:rPr>
          <w:rFonts w:cs="Arial"/>
          <w:i/>
        </w:rPr>
        <w:t>Consolidated overview of psychosocial impact of RA</w:t>
      </w:r>
      <w:r w:rsidR="005816CF">
        <w:rPr>
          <w:rFonts w:cs="Arial"/>
          <w:i/>
        </w:rPr>
        <w:t xml:space="preserve">. </w:t>
      </w:r>
      <w:r w:rsidR="00F34190">
        <w:rPr>
          <w:rFonts w:cs="Arial"/>
        </w:rPr>
        <w:t xml:space="preserve">There is a general trend in the </w:t>
      </w:r>
      <w:r>
        <w:rPr>
          <w:rFonts w:cs="Arial"/>
        </w:rPr>
        <w:t xml:space="preserve">reviewed </w:t>
      </w:r>
      <w:r w:rsidR="00F34190">
        <w:rPr>
          <w:rFonts w:cs="Arial"/>
        </w:rPr>
        <w:t>literature</w:t>
      </w:r>
      <w:r w:rsidR="0016219A">
        <w:rPr>
          <w:rFonts w:cs="Arial"/>
        </w:rPr>
        <w:t xml:space="preserve"> </w:t>
      </w:r>
      <w:r>
        <w:rPr>
          <w:rFonts w:cs="Arial"/>
        </w:rPr>
        <w:t xml:space="preserve">to suggest that </w:t>
      </w:r>
      <w:r w:rsidR="00F34190">
        <w:rPr>
          <w:rFonts w:cs="Arial"/>
        </w:rPr>
        <w:t>m</w:t>
      </w:r>
      <w:r w:rsidR="00375FB6">
        <w:rPr>
          <w:rFonts w:cs="Arial"/>
        </w:rPr>
        <w:t>en and women report RA as impacting on different areas of their quality of life</w:t>
      </w:r>
      <w:r w:rsidR="00F34190">
        <w:rPr>
          <w:rFonts w:cs="Arial"/>
        </w:rPr>
        <w:t>, and that</w:t>
      </w:r>
      <w:r w:rsidR="00375FB6">
        <w:rPr>
          <w:rFonts w:cs="Arial"/>
        </w:rPr>
        <w:t xml:space="preserve"> men’s quality of life takes longer to improve than women’s. </w:t>
      </w:r>
      <w:r w:rsidR="00B41AB8">
        <w:rPr>
          <w:rFonts w:cs="Arial"/>
        </w:rPr>
        <w:t xml:space="preserve">The finding that women consistently score worse on quality of life measures </w:t>
      </w:r>
      <w:r w:rsidR="00B41AB8" w:rsidRPr="00B41AB8">
        <w:rPr>
          <w:rFonts w:cs="Arial"/>
          <w:color w:val="000000"/>
          <w:lang w:eastAsia="en-GB"/>
        </w:rPr>
        <w:t xml:space="preserve">suggests a propensity for women to be more sensitive to quality of life measures than men, whilst men may respond better to measures of satisfaction. This highlights the need to </w:t>
      </w:r>
      <w:r w:rsidR="00F34190">
        <w:rPr>
          <w:rFonts w:cs="Arial"/>
          <w:color w:val="000000"/>
          <w:lang w:eastAsia="en-GB"/>
        </w:rPr>
        <w:t>consider</w:t>
      </w:r>
      <w:r w:rsidR="00F34190" w:rsidRPr="00B41AB8">
        <w:rPr>
          <w:rFonts w:cs="Arial"/>
          <w:color w:val="000000"/>
          <w:lang w:eastAsia="en-GB"/>
        </w:rPr>
        <w:t xml:space="preserve"> </w:t>
      </w:r>
      <w:r w:rsidR="00B41AB8" w:rsidRPr="00B41AB8">
        <w:rPr>
          <w:rFonts w:cs="Arial"/>
          <w:color w:val="000000"/>
          <w:lang w:eastAsia="en-GB"/>
        </w:rPr>
        <w:t>gender appropriate measures to understand the psychological impact of disease.</w:t>
      </w:r>
    </w:p>
    <w:p w:rsidR="005816CF" w:rsidRDefault="00375FB6" w:rsidP="006737E1">
      <w:pPr>
        <w:rPr>
          <w:rFonts w:cs="Arial"/>
        </w:rPr>
      </w:pPr>
      <w:r>
        <w:rPr>
          <w:rFonts w:cs="Arial"/>
        </w:rPr>
        <w:t>Whilst some studies report that men are more work disabled than women, findings are not consistent. Nonetheless, the evidence suggests that maintaining paid work is more important to men than women and the loss of this causes men more distress. In general, women with RA seem to report more negative mood and distress than men with RA, but gender differences in clinical depression have not been explored. There is inconclusive evidence regarding gender difference on the impact of RA on sexuality.</w:t>
      </w:r>
      <w:r w:rsidR="00B41AB8">
        <w:rPr>
          <w:rFonts w:cs="Arial"/>
        </w:rPr>
        <w:t xml:space="preserve">  </w:t>
      </w:r>
    </w:p>
    <w:p w:rsidR="00B41AB8" w:rsidRPr="005816CF" w:rsidRDefault="00985769" w:rsidP="006737E1">
      <w:pPr>
        <w:rPr>
          <w:rFonts w:cs="Arial"/>
          <w:i/>
        </w:rPr>
      </w:pPr>
      <w:r>
        <w:rPr>
          <w:rFonts w:cs="Arial"/>
        </w:rPr>
        <w:t>Although th</w:t>
      </w:r>
      <w:r w:rsidR="00BB6923">
        <w:rPr>
          <w:rFonts w:cs="Arial"/>
        </w:rPr>
        <w:t xml:space="preserve">e evidence is </w:t>
      </w:r>
      <w:r w:rsidR="00BC258F">
        <w:rPr>
          <w:rFonts w:cs="Arial"/>
        </w:rPr>
        <w:t>limited by the small number of studies and the small number of male patients in many of the studies</w:t>
      </w:r>
      <w:r w:rsidR="00BB6923">
        <w:rPr>
          <w:rFonts w:cs="Arial"/>
        </w:rPr>
        <w:t>, there does appear</w:t>
      </w:r>
      <w:r>
        <w:rPr>
          <w:rFonts w:cs="Arial"/>
        </w:rPr>
        <w:t xml:space="preserve"> to be a difference between men and women in their experience of the psychosocial impact of RA. This difference would have consequences </w:t>
      </w:r>
      <w:r w:rsidR="00BA2C54">
        <w:rPr>
          <w:rFonts w:cs="Arial"/>
        </w:rPr>
        <w:t xml:space="preserve">in terms of the types of </w:t>
      </w:r>
      <w:r>
        <w:rPr>
          <w:rFonts w:cs="Arial"/>
        </w:rPr>
        <w:t xml:space="preserve">coping and self-management styles </w:t>
      </w:r>
      <w:r w:rsidR="00BA2C54">
        <w:rPr>
          <w:rFonts w:cs="Arial"/>
        </w:rPr>
        <w:t xml:space="preserve">employed by </w:t>
      </w:r>
      <w:r>
        <w:rPr>
          <w:rFonts w:cs="Arial"/>
        </w:rPr>
        <w:t>men</w:t>
      </w:r>
      <w:r w:rsidR="00BC258F">
        <w:rPr>
          <w:rFonts w:cs="Arial"/>
        </w:rPr>
        <w:t xml:space="preserve"> </w:t>
      </w:r>
      <w:r>
        <w:rPr>
          <w:rFonts w:cs="Arial"/>
        </w:rPr>
        <w:t xml:space="preserve">to </w:t>
      </w:r>
      <w:r w:rsidR="00A67295">
        <w:rPr>
          <w:rFonts w:cs="Arial"/>
        </w:rPr>
        <w:t>accommodate the different impact of disease.</w:t>
      </w:r>
    </w:p>
    <w:p w:rsidR="00CC0827" w:rsidRPr="005816CF" w:rsidRDefault="00CC0827" w:rsidP="00567662">
      <w:pPr>
        <w:rPr>
          <w:rFonts w:cs="Arial"/>
          <w:i/>
          <w:sz w:val="24"/>
          <w:szCs w:val="24"/>
        </w:rPr>
      </w:pPr>
      <w:r w:rsidRPr="005816CF">
        <w:rPr>
          <w:rFonts w:cs="Arial"/>
          <w:i/>
          <w:sz w:val="24"/>
          <w:szCs w:val="24"/>
        </w:rPr>
        <w:t>Coping and self-management</w:t>
      </w:r>
    </w:p>
    <w:p w:rsidR="00605EDE" w:rsidRDefault="004713E5" w:rsidP="00565C16">
      <w:pPr>
        <w:rPr>
          <w:rFonts w:cs="Arial"/>
        </w:rPr>
      </w:pPr>
      <w:r>
        <w:rPr>
          <w:rFonts w:cs="Arial"/>
        </w:rPr>
        <w:t xml:space="preserve">Table </w:t>
      </w:r>
      <w:r w:rsidR="00F34190">
        <w:rPr>
          <w:rFonts w:cs="Arial"/>
        </w:rPr>
        <w:t>3</w:t>
      </w:r>
      <w:r>
        <w:rPr>
          <w:rFonts w:cs="Arial"/>
        </w:rPr>
        <w:t xml:space="preserve"> provides a summary of the </w:t>
      </w:r>
      <w:r w:rsidR="0073402F">
        <w:rPr>
          <w:rFonts w:cs="Arial"/>
        </w:rPr>
        <w:t xml:space="preserve">9 </w:t>
      </w:r>
      <w:r>
        <w:rPr>
          <w:rFonts w:cs="Arial"/>
        </w:rPr>
        <w:t xml:space="preserve">studies </w:t>
      </w:r>
      <w:r w:rsidR="00BB6923">
        <w:rPr>
          <w:rFonts w:cs="Arial"/>
        </w:rPr>
        <w:t xml:space="preserve">included </w:t>
      </w:r>
      <w:r>
        <w:rPr>
          <w:rFonts w:cs="Arial"/>
        </w:rPr>
        <w:t xml:space="preserve">in this section. In </w:t>
      </w:r>
      <w:r w:rsidR="00CC0827">
        <w:rPr>
          <w:rFonts w:cs="Arial"/>
        </w:rPr>
        <w:t xml:space="preserve">comparison to women with RA, men with RA report employing fewer strategies to manage their condition.  </w:t>
      </w:r>
      <w:r w:rsidR="00F34190">
        <w:rPr>
          <w:rFonts w:cs="Arial"/>
        </w:rPr>
        <w:t>M</w:t>
      </w:r>
      <w:r w:rsidR="00CC0827">
        <w:rPr>
          <w:rFonts w:cs="Arial"/>
        </w:rPr>
        <w:t xml:space="preserve">en have reported being less likely to use strategies such as cognitive reframing, active problem solving and emotional expression than women </w:t>
      </w:r>
      <w:r w:rsidR="005D2762">
        <w:rPr>
          <w:rFonts w:cs="Arial"/>
        </w:rPr>
        <w:t>(Englbrecht et al., 2012)</w:t>
      </w:r>
      <w:r w:rsidR="00CC0827">
        <w:rPr>
          <w:rFonts w:cs="Arial"/>
        </w:rPr>
        <w:t xml:space="preserve">. </w:t>
      </w:r>
      <w:r w:rsidR="00FD4D0B">
        <w:rPr>
          <w:rFonts w:cs="Arial"/>
        </w:rPr>
        <w:t xml:space="preserve">Even when </w:t>
      </w:r>
      <w:r w:rsidR="00FD4D0B">
        <w:rPr>
          <w:rFonts w:cs="Arial"/>
        </w:rPr>
        <w:lastRenderedPageBreak/>
        <w:t>disease category (OA or RA) and daily pain were controlled for, m</w:t>
      </w:r>
      <w:r w:rsidR="00CC0827">
        <w:rPr>
          <w:rFonts w:cs="Arial"/>
        </w:rPr>
        <w:t xml:space="preserve">en </w:t>
      </w:r>
      <w:r w:rsidR="00F34190">
        <w:rPr>
          <w:rFonts w:cs="Arial"/>
        </w:rPr>
        <w:t>were</w:t>
      </w:r>
      <w:r w:rsidR="00FD4D0B">
        <w:rPr>
          <w:rFonts w:cs="Arial"/>
        </w:rPr>
        <w:t xml:space="preserve"> still</w:t>
      </w:r>
      <w:r w:rsidR="00CC0827">
        <w:rPr>
          <w:rFonts w:cs="Arial"/>
        </w:rPr>
        <w:t xml:space="preserve"> less likely than women to use relaxation or distraction techniques or to seek spiritual comfort </w:t>
      </w:r>
      <w:r w:rsidR="005D2762">
        <w:rPr>
          <w:rFonts w:cs="Arial"/>
        </w:rPr>
        <w:t>(Affleck et al., 1999)</w:t>
      </w:r>
      <w:r w:rsidR="00CC0827">
        <w:rPr>
          <w:rFonts w:cs="Arial"/>
        </w:rPr>
        <w:t>.  Further, a study found that men reported less intention than women to take part in a hypothetical exercise programme to improve their RA</w:t>
      </w:r>
      <w:r w:rsidR="009D415E">
        <w:rPr>
          <w:rFonts w:cs="Arial"/>
        </w:rPr>
        <w:t xml:space="preserve"> </w:t>
      </w:r>
      <w:r w:rsidR="005D2762">
        <w:rPr>
          <w:rFonts w:cs="Arial"/>
        </w:rPr>
        <w:t>(Vervloesem et al., 2012)</w:t>
      </w:r>
      <w:r w:rsidR="00CC0827">
        <w:rPr>
          <w:rFonts w:cs="Arial"/>
        </w:rPr>
        <w:t xml:space="preserve">.  </w:t>
      </w:r>
    </w:p>
    <w:p w:rsidR="00605EDE" w:rsidRDefault="0073402F" w:rsidP="0073402F">
      <w:pPr>
        <w:jc w:val="center"/>
        <w:rPr>
          <w:rFonts w:cs="Arial"/>
        </w:rPr>
      </w:pPr>
      <w:r>
        <w:rPr>
          <w:rFonts w:cs="Arial"/>
        </w:rPr>
        <w:t>TABLE 3 ABOUT HERE</w:t>
      </w:r>
    </w:p>
    <w:p w:rsidR="00CC0827" w:rsidRDefault="00CC0827" w:rsidP="00565C16">
      <w:pPr>
        <w:rPr>
          <w:rFonts w:cs="Arial"/>
        </w:rPr>
      </w:pPr>
      <w:r>
        <w:rPr>
          <w:rFonts w:cs="Arial"/>
        </w:rPr>
        <w:t xml:space="preserve">Although the quantitative literature would suggest that men do not use self-management strategies as extensively as women, a qualitative study exploring how male </w:t>
      </w:r>
      <w:r w:rsidR="00530B5B">
        <w:rPr>
          <w:rFonts w:cs="Arial"/>
        </w:rPr>
        <w:t xml:space="preserve">war </w:t>
      </w:r>
      <w:r>
        <w:rPr>
          <w:rFonts w:cs="Arial"/>
        </w:rPr>
        <w:t xml:space="preserve">veterans </w:t>
      </w:r>
      <w:r w:rsidR="00530B5B">
        <w:rPr>
          <w:rFonts w:cs="Arial"/>
        </w:rPr>
        <w:t xml:space="preserve">from the Veteran Administration </w:t>
      </w:r>
      <w:r>
        <w:rPr>
          <w:rFonts w:cs="Arial"/>
        </w:rPr>
        <w:t xml:space="preserve">cope with RA pain </w:t>
      </w:r>
      <w:r w:rsidR="005D2762">
        <w:rPr>
          <w:rFonts w:cs="Arial"/>
        </w:rPr>
        <w:t>(Beaton et al., 2012)</w:t>
      </w:r>
      <w:r>
        <w:rPr>
          <w:rFonts w:cs="Arial"/>
        </w:rPr>
        <w:t xml:space="preserve"> reported that men </w:t>
      </w:r>
      <w:r w:rsidR="008D6F16">
        <w:rPr>
          <w:rFonts w:cs="Arial"/>
        </w:rPr>
        <w:t>we</w:t>
      </w:r>
      <w:r>
        <w:rPr>
          <w:rFonts w:cs="Arial"/>
        </w:rPr>
        <w:t>re aware of the need to keep moving and of remaining physically active to reduce their pain. They also value</w:t>
      </w:r>
      <w:r w:rsidR="008D6F16">
        <w:rPr>
          <w:rFonts w:cs="Arial"/>
        </w:rPr>
        <w:t>d</w:t>
      </w:r>
      <w:r>
        <w:rPr>
          <w:rFonts w:cs="Arial"/>
        </w:rPr>
        <w:t xml:space="preserve"> work and retaining their male identity to reduce the psychological impact of pain.  However, this was an interview study with</w:t>
      </w:r>
      <w:r w:rsidR="00530B5B">
        <w:rPr>
          <w:rFonts w:cs="Arial"/>
        </w:rPr>
        <w:t xml:space="preserve"> war</w:t>
      </w:r>
      <w:r>
        <w:rPr>
          <w:rFonts w:cs="Arial"/>
        </w:rPr>
        <w:t xml:space="preserve"> veterans, who may have very different experiences of life and therefore have developed different coping strategies to the general population. Further, this study focused on coping with pain rather than exploring how participants coped with RA symptoms or the overall impact of RA.</w:t>
      </w:r>
    </w:p>
    <w:p w:rsidR="00CC0827" w:rsidRPr="00DF7FEE" w:rsidRDefault="00CC0827" w:rsidP="00DF7FEE">
      <w:pPr>
        <w:divId w:val="1661037499"/>
        <w:rPr>
          <w:rFonts w:eastAsia="Times New Roman" w:cs="Arial"/>
        </w:rPr>
      </w:pPr>
      <w:r>
        <w:rPr>
          <w:rFonts w:cs="Arial"/>
        </w:rPr>
        <w:t xml:space="preserve">Women have been reported as more likely than men to use assistive devices or to make home-adjustments </w:t>
      </w:r>
      <w:r w:rsidR="005741E2">
        <w:rPr>
          <w:rFonts w:eastAsia="Times New Roman" w:cs="Arial"/>
        </w:rPr>
        <w:t>(Lapsley et al., 2002; Põlluste et al., 2012)</w:t>
      </w:r>
      <w:r>
        <w:rPr>
          <w:rFonts w:cs="Arial"/>
        </w:rPr>
        <w:t xml:space="preserve">. </w:t>
      </w:r>
      <w:r w:rsidR="00DF7FEE">
        <w:rPr>
          <w:rFonts w:cs="Arial"/>
        </w:rPr>
        <w:t xml:space="preserve"> </w:t>
      </w:r>
      <w:r>
        <w:rPr>
          <w:rFonts w:cs="Arial"/>
        </w:rPr>
        <w:t xml:space="preserve">However, this has been measured using patients’ expenditure and it may be that men are more likely to make their own assistive devices rather than buy them.  </w:t>
      </w:r>
      <w:r w:rsidR="00C1530F">
        <w:rPr>
          <w:rFonts w:cs="Arial"/>
        </w:rPr>
        <w:t>Further,</w:t>
      </w:r>
      <w:r>
        <w:rPr>
          <w:rFonts w:cs="Arial"/>
        </w:rPr>
        <w:t xml:space="preserve"> women receive more </w:t>
      </w:r>
      <w:r w:rsidR="007505AA">
        <w:rPr>
          <w:rFonts w:cs="Arial"/>
        </w:rPr>
        <w:t xml:space="preserve">practical </w:t>
      </w:r>
      <w:r>
        <w:rPr>
          <w:rFonts w:cs="Arial"/>
        </w:rPr>
        <w:t xml:space="preserve">assistance from family and friends than men (65% and 25%, respectively) </w:t>
      </w:r>
      <w:r w:rsidR="005D2762">
        <w:rPr>
          <w:rFonts w:cs="Arial"/>
        </w:rPr>
        <w:t>(Lapsley et al., 2002)</w:t>
      </w:r>
      <w:r>
        <w:rPr>
          <w:rFonts w:cs="Arial"/>
        </w:rPr>
        <w:t xml:space="preserve"> and more positive social support than men </w:t>
      </w:r>
      <w:r w:rsidR="005D2762">
        <w:rPr>
          <w:rFonts w:cs="Arial"/>
        </w:rPr>
        <w:t>(Walsh et al., 1999)</w:t>
      </w:r>
      <w:r>
        <w:rPr>
          <w:rFonts w:cs="Arial"/>
        </w:rPr>
        <w:t xml:space="preserve">.  </w:t>
      </w:r>
    </w:p>
    <w:p w:rsidR="00C1530F" w:rsidRDefault="00C1530F" w:rsidP="00D317A3">
      <w:pPr>
        <w:rPr>
          <w:rFonts w:cs="Arial"/>
        </w:rPr>
      </w:pPr>
      <w:r>
        <w:rPr>
          <w:rFonts w:cs="Arial"/>
        </w:rPr>
        <w:t>The literature also suggests that women with RA are better able to adapt their coping styles to their needs, with women using more problem-</w:t>
      </w:r>
      <w:r w:rsidR="008D6F16">
        <w:rPr>
          <w:rFonts w:cs="Arial"/>
        </w:rPr>
        <w:t xml:space="preserve"> and emotion-</w:t>
      </w:r>
      <w:r>
        <w:rPr>
          <w:rFonts w:cs="Arial"/>
        </w:rPr>
        <w:t xml:space="preserve">focussed strategies every day than men </w:t>
      </w:r>
      <w:r w:rsidR="005D2762">
        <w:rPr>
          <w:rFonts w:cs="Arial"/>
        </w:rPr>
        <w:t>(Affleck et al., 1999)</w:t>
      </w:r>
      <w:r>
        <w:rPr>
          <w:rFonts w:cs="Arial"/>
        </w:rPr>
        <w:t xml:space="preserve">. Further, in a study that measured patients’ stress and coping at two time points, 12 months apart, women were found to have adapted their coping strategies over time, whilst men remained consistent in the coping strategies and styles they used </w:t>
      </w:r>
      <w:r w:rsidR="005D2762">
        <w:rPr>
          <w:rFonts w:cs="Arial"/>
        </w:rPr>
        <w:t>(Downe-Wamboldt and Melanson, 1998)</w:t>
      </w:r>
      <w:r>
        <w:rPr>
          <w:rFonts w:cs="Arial"/>
        </w:rPr>
        <w:t xml:space="preserve">. </w:t>
      </w:r>
    </w:p>
    <w:p w:rsidR="00CC0827" w:rsidRPr="006E2CCB" w:rsidRDefault="00CC0827" w:rsidP="00D317A3">
      <w:r>
        <w:rPr>
          <w:rFonts w:cs="Arial"/>
        </w:rPr>
        <w:lastRenderedPageBreak/>
        <w:t xml:space="preserve">A qualitative interview study </w:t>
      </w:r>
      <w:r w:rsidR="005D2762">
        <w:t>(Lack et al., 2011)</w:t>
      </w:r>
      <w:r>
        <w:t xml:space="preserve"> explored the effect of masculinity on the experience of RA and found that men</w:t>
      </w:r>
      <w:r w:rsidR="00BC258F">
        <w:t xml:space="preserve"> incorporated their RA into their identity to be able to adjust to their condition, but they would not ask for support as this signifies weakness. </w:t>
      </w:r>
      <w:r>
        <w:t>However, this qualitative study did not explore the method or style of delivery of support that men would find acceptable nor how men currently self-manage and cope with their RA despite rejecting current support.</w:t>
      </w:r>
    </w:p>
    <w:p w:rsidR="00CC0827" w:rsidRPr="004713E5" w:rsidRDefault="00DF7FEE" w:rsidP="00565C16">
      <w:pPr>
        <w:rPr>
          <w:rFonts w:cs="Arial"/>
          <w:i/>
        </w:rPr>
      </w:pPr>
      <w:r>
        <w:rPr>
          <w:rFonts w:cs="Arial"/>
          <w:i/>
        </w:rPr>
        <w:t>Overview of coping and self-management</w:t>
      </w:r>
      <w:r w:rsidR="004713E5">
        <w:rPr>
          <w:rFonts w:cs="Arial"/>
          <w:i/>
        </w:rPr>
        <w:t xml:space="preserve">.  </w:t>
      </w:r>
      <w:r w:rsidR="008837C0">
        <w:rPr>
          <w:rFonts w:cs="Arial"/>
        </w:rPr>
        <w:t>Fewer studies</w:t>
      </w:r>
      <w:r>
        <w:rPr>
          <w:rFonts w:cs="Arial"/>
        </w:rPr>
        <w:t xml:space="preserve"> included in this review focussed on coping and self-management strategies.  However, there was a general trend to</w:t>
      </w:r>
      <w:r w:rsidR="00F34190">
        <w:rPr>
          <w:rFonts w:cs="Arial"/>
        </w:rPr>
        <w:t xml:space="preserve"> indicate that men report using fewer and less </w:t>
      </w:r>
      <w:r w:rsidR="00CC0827">
        <w:rPr>
          <w:rFonts w:cs="Arial"/>
        </w:rPr>
        <w:t xml:space="preserve">diverse coping strategies and self-management techniques than </w:t>
      </w:r>
      <w:r w:rsidR="00F34190">
        <w:rPr>
          <w:rFonts w:cs="Arial"/>
        </w:rPr>
        <w:t>wo</w:t>
      </w:r>
      <w:r w:rsidR="00CC0827">
        <w:rPr>
          <w:rFonts w:cs="Arial"/>
        </w:rPr>
        <w:t xml:space="preserve">men, and have </w:t>
      </w:r>
      <w:r w:rsidR="00F34190">
        <w:rPr>
          <w:rFonts w:cs="Arial"/>
        </w:rPr>
        <w:t xml:space="preserve">less </w:t>
      </w:r>
      <w:r w:rsidR="00CC0827">
        <w:rPr>
          <w:rFonts w:cs="Arial"/>
        </w:rPr>
        <w:t xml:space="preserve">positive support networks than </w:t>
      </w:r>
      <w:r w:rsidR="00F34190">
        <w:rPr>
          <w:rFonts w:cs="Arial"/>
        </w:rPr>
        <w:t>wo</w:t>
      </w:r>
      <w:r w:rsidR="00CC0827">
        <w:rPr>
          <w:rFonts w:cs="Arial"/>
        </w:rPr>
        <w:t xml:space="preserve">men. </w:t>
      </w:r>
      <w:r w:rsidR="00F34190">
        <w:rPr>
          <w:rFonts w:cs="Arial"/>
        </w:rPr>
        <w:t>The qualitative literature suggests that i</w:t>
      </w:r>
      <w:r w:rsidR="00CC0827">
        <w:rPr>
          <w:rFonts w:cs="Arial"/>
        </w:rPr>
        <w:t xml:space="preserve">t is important to men to retain their masculine identity </w:t>
      </w:r>
      <w:r w:rsidR="00530B5B">
        <w:rPr>
          <w:rFonts w:cs="Arial"/>
        </w:rPr>
        <w:t>but they may have</w:t>
      </w:r>
      <w:r w:rsidR="00915B29">
        <w:rPr>
          <w:rFonts w:cs="Arial"/>
        </w:rPr>
        <w:t xml:space="preserve"> to</w:t>
      </w:r>
      <w:r w:rsidR="00530B5B">
        <w:rPr>
          <w:rFonts w:cs="Arial"/>
        </w:rPr>
        <w:t xml:space="preserve"> </w:t>
      </w:r>
      <w:r w:rsidR="00BC258F">
        <w:rPr>
          <w:rFonts w:cs="Arial"/>
        </w:rPr>
        <w:t>incorporate RA into their identity t</w:t>
      </w:r>
      <w:r w:rsidR="00CC0827">
        <w:rPr>
          <w:rFonts w:cs="Arial"/>
        </w:rPr>
        <w:t>o be able to adapt and adjust to RA.</w:t>
      </w:r>
    </w:p>
    <w:p w:rsidR="00CC0827" w:rsidRPr="006A1323" w:rsidRDefault="00CC0827" w:rsidP="00567662">
      <w:pPr>
        <w:rPr>
          <w:rFonts w:cs="Arial"/>
          <w:b/>
          <w:sz w:val="24"/>
          <w:szCs w:val="24"/>
        </w:rPr>
      </w:pPr>
      <w:r w:rsidRPr="006A1323">
        <w:rPr>
          <w:rFonts w:cs="Arial"/>
          <w:b/>
          <w:sz w:val="24"/>
          <w:szCs w:val="24"/>
        </w:rPr>
        <w:t>Discussion</w:t>
      </w:r>
    </w:p>
    <w:p w:rsidR="00CC0827" w:rsidRDefault="00133605" w:rsidP="00C13F93">
      <w:r>
        <w:t>T</w:t>
      </w:r>
      <w:r w:rsidR="004228CB">
        <w:t xml:space="preserve">he published </w:t>
      </w:r>
      <w:r w:rsidR="00CC0827">
        <w:t xml:space="preserve">literature </w:t>
      </w:r>
      <w:r>
        <w:t xml:space="preserve">suggests </w:t>
      </w:r>
      <w:r w:rsidR="00CC0827">
        <w:t xml:space="preserve">that </w:t>
      </w:r>
      <w:r w:rsidR="004228CB">
        <w:t>al</w:t>
      </w:r>
      <w:r w:rsidR="00215ACA">
        <w:t xml:space="preserve">though men take longer to adjust and adapt to their RA, it is women who are more likely to report </w:t>
      </w:r>
      <w:r w:rsidR="004228CB">
        <w:t xml:space="preserve">RA-related </w:t>
      </w:r>
      <w:r w:rsidR="00215ACA">
        <w:t xml:space="preserve">negative mood or distress; </w:t>
      </w:r>
      <w:r w:rsidR="00CC0827">
        <w:t xml:space="preserve">men and women report differences in the way in which RA impacts on their quality of life; men </w:t>
      </w:r>
      <w:r>
        <w:t xml:space="preserve">seem to </w:t>
      </w:r>
      <w:r w:rsidR="00CC0827">
        <w:t xml:space="preserve">value paid work more than women; </w:t>
      </w:r>
      <w:r w:rsidR="00215ACA">
        <w:t xml:space="preserve">and </w:t>
      </w:r>
      <w:r w:rsidR="00CC0827">
        <w:t xml:space="preserve">women </w:t>
      </w:r>
      <w:r>
        <w:t xml:space="preserve">report </w:t>
      </w:r>
      <w:r w:rsidR="00CC0827">
        <w:t>us</w:t>
      </w:r>
      <w:r>
        <w:t>ing</w:t>
      </w:r>
      <w:r w:rsidR="00CC0827">
        <w:t xml:space="preserve"> </w:t>
      </w:r>
      <w:r w:rsidR="008F5425">
        <w:t xml:space="preserve">a larger number and </w:t>
      </w:r>
      <w:r w:rsidR="00CC0827">
        <w:t xml:space="preserve">more </w:t>
      </w:r>
      <w:r w:rsidR="008F5425">
        <w:t xml:space="preserve">diverse </w:t>
      </w:r>
      <w:r w:rsidR="00CC0827">
        <w:t>self-management strategies than men and hav</w:t>
      </w:r>
      <w:r w:rsidR="00215ACA">
        <w:t>e more positive social support.</w:t>
      </w:r>
    </w:p>
    <w:p w:rsidR="00CC0827" w:rsidRDefault="00215ACA" w:rsidP="00A42855">
      <w:r>
        <w:t xml:space="preserve">Although the literature indicates that women are experiencing worse psychological health </w:t>
      </w:r>
      <w:r w:rsidR="004228CB">
        <w:t xml:space="preserve">than men </w:t>
      </w:r>
      <w:r>
        <w:t>due to RA, men</w:t>
      </w:r>
      <w:r w:rsidR="004228CB">
        <w:t xml:space="preserve"> could be</w:t>
      </w:r>
      <w:r>
        <w:t xml:space="preserve"> expressing their distress in ways that differ from women such as anger directed towards self or others</w:t>
      </w:r>
      <w:r w:rsidR="008F1FBC">
        <w:t xml:space="preserve"> </w:t>
      </w:r>
      <w:r w:rsidR="005D2762">
        <w:t>(Branney and White, 2008; Brownhill et al., 2005)</w:t>
      </w:r>
      <w:r>
        <w:t xml:space="preserve">, which may not be identified by the </w:t>
      </w:r>
      <w:r w:rsidR="008F5425">
        <w:t xml:space="preserve">distress </w:t>
      </w:r>
      <w:r>
        <w:t xml:space="preserve">measures used. </w:t>
      </w:r>
      <w:r w:rsidR="00CC0827">
        <w:t xml:space="preserve">Despite more </w:t>
      </w:r>
      <w:r>
        <w:t xml:space="preserve">negative mood and </w:t>
      </w:r>
      <w:r w:rsidR="00CC0827">
        <w:t xml:space="preserve">RA disability reported in women </w:t>
      </w:r>
      <w:r w:rsidR="005D2762">
        <w:t>(Sherrer et al., 1987)</w:t>
      </w:r>
      <w:r w:rsidR="00CC0827">
        <w:t xml:space="preserve">, men are reporting poorer quality of life due to RA. This is supported by similar findings in multiple sclerosis </w:t>
      </w:r>
      <w:r w:rsidR="005D2762">
        <w:t>(Casetta et al., 2009)</w:t>
      </w:r>
      <w:r w:rsidR="00CC0827">
        <w:t xml:space="preserve"> and could potentially be explained by the Impact Triad </w:t>
      </w:r>
      <w:r w:rsidR="005D2762">
        <w:t>(Sanderson et al., 2011)</w:t>
      </w:r>
      <w:r w:rsidR="00CC0827">
        <w:t xml:space="preserve">, which claims that the impact of RA is moderated by severity, importance and self-management. Thus, </w:t>
      </w:r>
      <w:r w:rsidR="004228CB">
        <w:t xml:space="preserve">one interpretation is </w:t>
      </w:r>
      <w:r w:rsidR="00CC0827">
        <w:t xml:space="preserve">that although men have less severe RA they </w:t>
      </w:r>
      <w:r w:rsidR="008F5425">
        <w:t xml:space="preserve">place </w:t>
      </w:r>
      <w:r w:rsidR="008F5425">
        <w:lastRenderedPageBreak/>
        <w:t xml:space="preserve">more importance on </w:t>
      </w:r>
      <w:r w:rsidR="00CC0827">
        <w:t xml:space="preserve">the impact </w:t>
      </w:r>
      <w:r w:rsidR="008F5425">
        <w:t xml:space="preserve">it has </w:t>
      </w:r>
      <w:r w:rsidR="00CC0827">
        <w:t>on their lives and are less able to use effective self-manage</w:t>
      </w:r>
      <w:r w:rsidR="008F5425">
        <w:t>ment</w:t>
      </w:r>
      <w:r w:rsidR="00CC0827">
        <w:t xml:space="preserve"> techniques, thus increasing the impact on their quality of life. </w:t>
      </w:r>
    </w:p>
    <w:p w:rsidR="00CC0827" w:rsidRDefault="004228CB" w:rsidP="00A42855">
      <w:r>
        <w:t xml:space="preserve">Although </w:t>
      </w:r>
      <w:r w:rsidR="008F5425">
        <w:t xml:space="preserve">the literature </w:t>
      </w:r>
      <w:r>
        <w:t>does not provide conclusive evidence, it does suggest an overall pattern that</w:t>
      </w:r>
      <w:r w:rsidR="00CC0827">
        <w:t xml:space="preserve"> men with RA </w:t>
      </w:r>
      <w:r w:rsidR="008F5425">
        <w:t xml:space="preserve">seem to </w:t>
      </w:r>
      <w:r w:rsidR="00CC0827">
        <w:t>value paid work more than women and that maintaining their masculine identity is important to them</w:t>
      </w:r>
      <w:r w:rsidR="008F5425">
        <w:t>, especially when faced with illness that threatens their sense of control and self-reliance</w:t>
      </w:r>
      <w:r w:rsidR="00CC0827">
        <w:t xml:space="preserve"> </w:t>
      </w:r>
      <w:r w:rsidR="005D2762">
        <w:t>(Calasanti et al., 2013; Canham, 2009; Tannenbaum and Frank, 2011)</w:t>
      </w:r>
      <w:r w:rsidR="008F5425">
        <w:t xml:space="preserve">. </w:t>
      </w:r>
      <w:r w:rsidR="00133605">
        <w:t xml:space="preserve">One potential explanation for these quantitative differences observed between men and women is </w:t>
      </w:r>
      <w:r w:rsidR="00CC0827">
        <w:t xml:space="preserve">that men accommodate non-masculine behaviours within </w:t>
      </w:r>
      <w:r w:rsidR="00215ACA">
        <w:t xml:space="preserve">their </w:t>
      </w:r>
      <w:r w:rsidR="00CC0827">
        <w:t xml:space="preserve">overall </w:t>
      </w:r>
      <w:r w:rsidR="008F5425">
        <w:t xml:space="preserve">sense of self through building up </w:t>
      </w:r>
      <w:r w:rsidR="004C54F4">
        <w:t>‘</w:t>
      </w:r>
      <w:r w:rsidR="00CC0827">
        <w:t>credit</w:t>
      </w:r>
      <w:r w:rsidR="004C54F4">
        <w:t>’</w:t>
      </w:r>
      <w:r w:rsidR="00CC0827">
        <w:t xml:space="preserve"> </w:t>
      </w:r>
      <w:r w:rsidR="008F5425">
        <w:t xml:space="preserve">or ‘man-points’ </w:t>
      </w:r>
      <w:r w:rsidR="005D2762">
        <w:t>(de Visser et al., 2009; de Visser and McDonnell, 2013)</w:t>
      </w:r>
      <w:r w:rsidR="008F5425">
        <w:t xml:space="preserve"> </w:t>
      </w:r>
      <w:r w:rsidR="004C54F4">
        <w:t xml:space="preserve">by engaging </w:t>
      </w:r>
      <w:r w:rsidR="00CC0827">
        <w:t xml:space="preserve">in behaviour </w:t>
      </w:r>
      <w:r w:rsidR="008F5425">
        <w:t>(such as paid work),</w:t>
      </w:r>
      <w:r w:rsidR="004C54F4">
        <w:t xml:space="preserve"> to compensate</w:t>
      </w:r>
      <w:r w:rsidR="00CC0827">
        <w:t xml:space="preserve"> for</w:t>
      </w:r>
      <w:r w:rsidR="00215ACA">
        <w:t xml:space="preserve"> the</w:t>
      </w:r>
      <w:r w:rsidR="00CC0827">
        <w:t xml:space="preserve"> threats to</w:t>
      </w:r>
      <w:r w:rsidR="00215ACA">
        <w:t xml:space="preserve"> their</w:t>
      </w:r>
      <w:r w:rsidR="00CC0827">
        <w:t xml:space="preserve"> masculine identity</w:t>
      </w:r>
      <w:r w:rsidR="00215ACA">
        <w:t xml:space="preserve">. </w:t>
      </w:r>
      <w:r w:rsidR="00CC0827">
        <w:t xml:space="preserve"> </w:t>
      </w:r>
      <w:r w:rsidR="004C54F4">
        <w:t>It could also</w:t>
      </w:r>
      <w:r w:rsidR="00CC0827">
        <w:t xml:space="preserve"> be that financial considerations, such as being the main or sole income earner result in men </w:t>
      </w:r>
      <w:r w:rsidR="008F5425">
        <w:t xml:space="preserve">persisting in paid employment </w:t>
      </w:r>
      <w:r w:rsidR="00CC0827">
        <w:t xml:space="preserve">despite </w:t>
      </w:r>
      <w:r w:rsidR="00215ACA">
        <w:t xml:space="preserve">work related difficulties </w:t>
      </w:r>
      <w:r w:rsidR="005D2762">
        <w:t>(Gignac et al., 2008)</w:t>
      </w:r>
      <w:r w:rsidR="00CC0827">
        <w:t>.</w:t>
      </w:r>
      <w:r w:rsidR="00133605">
        <w:t xml:space="preserve">  This is an area that needs further exploration in future research.</w:t>
      </w:r>
    </w:p>
    <w:p w:rsidR="00CC0827" w:rsidRDefault="00CC0827" w:rsidP="00A42855">
      <w:r>
        <w:t xml:space="preserve">Women with RA were more likely to use self-management techniques than men, which has also been found in asthma </w:t>
      </w:r>
      <w:r w:rsidR="005D2762">
        <w:t>(Naleway et al., 2006)</w:t>
      </w:r>
      <w:r>
        <w:t xml:space="preserve">.  This could be due to men using coping strategies that embody traditional assumptions of how a man should behave such as taking risks </w:t>
      </w:r>
      <w:r w:rsidR="005D2762">
        <w:t>(Charmaz, 1994)</w:t>
      </w:r>
      <w:r>
        <w:t xml:space="preserve">, which could involve drinking alcohol or increasing their medication. It could also be less socially acceptable for men to acknowledge the need to use self-management strategies </w:t>
      </w:r>
      <w:r w:rsidR="005D2762">
        <w:t>(Mechanic, 1972)</w:t>
      </w:r>
      <w:r>
        <w:t xml:space="preserve">. </w:t>
      </w:r>
      <w:r w:rsidR="00616090">
        <w:t>Further, women seem to be more flexible in their approac</w:t>
      </w:r>
      <w:r w:rsidR="008F5425">
        <w:t xml:space="preserve">h to coping and self-management, which </w:t>
      </w:r>
      <w:r w:rsidR="00133605">
        <w:t>could be explained in terms of</w:t>
      </w:r>
      <w:r w:rsidR="008F5425">
        <w:t xml:space="preserve"> men view</w:t>
      </w:r>
      <w:r w:rsidR="00133605">
        <w:t>ing</w:t>
      </w:r>
      <w:r w:rsidR="008F5425">
        <w:t xml:space="preserve"> chronic conditions as a normal aspect of ageing and therefore </w:t>
      </w:r>
      <w:r w:rsidR="00133605">
        <w:t xml:space="preserve">being </w:t>
      </w:r>
      <w:r w:rsidR="008F5425">
        <w:t xml:space="preserve">more resigned to dealing with their condition through stoicism rather than active self-management </w:t>
      </w:r>
      <w:r w:rsidR="005D2762">
        <w:t>(Clarke and Bennett, 2013)</w:t>
      </w:r>
      <w:r w:rsidR="008F5425">
        <w:t>.</w:t>
      </w:r>
      <w:r w:rsidR="00616090">
        <w:t xml:space="preserve"> </w:t>
      </w:r>
      <w:r w:rsidR="00133605">
        <w:t xml:space="preserve">This is an area that </w:t>
      </w:r>
      <w:r w:rsidR="00915B29">
        <w:t xml:space="preserve">also </w:t>
      </w:r>
      <w:r w:rsidR="00133605">
        <w:t xml:space="preserve">requires further exploration to improve understanding of gender differences in RA self-management.  </w:t>
      </w:r>
      <w:r>
        <w:t xml:space="preserve">The finding that women have more positive social support networks than men </w:t>
      </w:r>
      <w:r w:rsidR="005D2762">
        <w:t>(Walsh et al., 1999)</w:t>
      </w:r>
      <w:r>
        <w:t xml:space="preserve"> supports the theory that men have poorer social capital in comparison to women </w:t>
      </w:r>
      <w:r w:rsidR="005D2762">
        <w:t>(Charmaz, 1994; Conrad, 2010)</w:t>
      </w:r>
      <w:r>
        <w:t xml:space="preserve">. </w:t>
      </w:r>
      <w:r w:rsidR="008F5425">
        <w:lastRenderedPageBreak/>
        <w:t xml:space="preserve">Emotional intimacy for men often comes from sharing ‘gendered activities’ together rather than sitting and talking, and may therefore not be recognised as social support by the measures used in RA </w:t>
      </w:r>
      <w:r w:rsidR="005D2762">
        <w:t>(Thompson and Whearty, 2004)</w:t>
      </w:r>
      <w:r w:rsidR="008F5425">
        <w:t>.  However, it is also important to note that the opportunity to share ‘gendered activities’ may be reduced for men with RA due to reduced abilities to take part in certain activities, which may also explain this lack of social support.</w:t>
      </w:r>
      <w:r w:rsidR="00133605">
        <w:t xml:space="preserve">  The type of social support desired by men with RA is an area for investigation in future research. </w:t>
      </w:r>
    </w:p>
    <w:p w:rsidR="004228CB" w:rsidRPr="004228CB" w:rsidRDefault="004228CB" w:rsidP="00A42855">
      <w:pPr>
        <w:rPr>
          <w:i/>
          <w:sz w:val="24"/>
          <w:szCs w:val="24"/>
        </w:rPr>
      </w:pPr>
      <w:r w:rsidRPr="004228CB">
        <w:rPr>
          <w:i/>
          <w:sz w:val="24"/>
          <w:szCs w:val="24"/>
        </w:rPr>
        <w:t>Conclusion</w:t>
      </w:r>
    </w:p>
    <w:p w:rsidR="00CC0827" w:rsidRDefault="00CC0827" w:rsidP="00EB76F3">
      <w:r>
        <w:t>This review has highlighted the dearth of literature relating to the impact and self-management of RA,</w:t>
      </w:r>
      <w:r w:rsidR="00215ACA">
        <w:t xml:space="preserve"> </w:t>
      </w:r>
      <w:r>
        <w:t xml:space="preserve">on men; </w:t>
      </w:r>
      <w:r w:rsidR="004228CB">
        <w:t xml:space="preserve">of the 28 studies included in this review </w:t>
      </w:r>
      <w:r>
        <w:t xml:space="preserve">only two </w:t>
      </w:r>
      <w:r w:rsidR="004228CB">
        <w:t xml:space="preserve">(both </w:t>
      </w:r>
      <w:r>
        <w:t>qualitative</w:t>
      </w:r>
      <w:r w:rsidR="004228CB">
        <w:t xml:space="preserve">) </w:t>
      </w:r>
      <w:r>
        <w:t>solely focussed</w:t>
      </w:r>
      <w:r w:rsidR="002458C4">
        <w:t xml:space="preserve"> on men</w:t>
      </w:r>
      <w:r>
        <w:t xml:space="preserve">, and neither of these explored the support needs or coping styles of men in depth. In short, the findings across the studies addressing gender differences are inconsistent; not least because they rarely contained sufficient male participants to allow for gender differences to be assessed; neither </w:t>
      </w:r>
      <w:r w:rsidR="00431ED6">
        <w:t>were they able to</w:t>
      </w:r>
      <w:r>
        <w:t xml:space="preserve"> use measures that were sensitive to the different needs and coping styles of men.  Although the</w:t>
      </w:r>
      <w:r w:rsidR="004228CB">
        <w:t xml:space="preserve">re is no consensus </w:t>
      </w:r>
      <w:r>
        <w:t xml:space="preserve">as to whether gender impacts on a person’s ability to cope with or self-manage their RA, it is clear that a gender difference in coping styles exists. </w:t>
      </w:r>
      <w:r w:rsidR="004228CB">
        <w:t xml:space="preserve">It is therefore likely that men would have different support needs to suit their different coping styles.  </w:t>
      </w:r>
      <w:r>
        <w:t xml:space="preserve">As a consequence, </w:t>
      </w:r>
      <w:r w:rsidR="00915B29">
        <w:t xml:space="preserve">to ensure that services are complying with the Equality Act requirements </w:t>
      </w:r>
      <w:r w:rsidR="005D2762">
        <w:t>(Great Britain. Parliament., 2010)</w:t>
      </w:r>
      <w:r w:rsidR="00915B29">
        <w:t xml:space="preserve"> there is a need to explore if </w:t>
      </w:r>
      <w:r>
        <w:t>provid</w:t>
      </w:r>
      <w:r w:rsidR="00915B29">
        <w:t>ing</w:t>
      </w:r>
      <w:r>
        <w:t xml:space="preserve"> the same support for men and women with RA </w:t>
      </w:r>
      <w:r w:rsidR="008F5425">
        <w:t>(e.g. group self-management</w:t>
      </w:r>
      <w:r w:rsidR="00915B29">
        <w:t xml:space="preserve"> </w:t>
      </w:r>
      <w:r w:rsidR="008F5425">
        <w:t xml:space="preserve">interventions) </w:t>
      </w:r>
      <w:r w:rsidR="00915B29">
        <w:t xml:space="preserve">is fully </w:t>
      </w:r>
      <w:r>
        <w:t>effective</w:t>
      </w:r>
      <w:r w:rsidR="00915B29">
        <w:t>, which seems unlikely</w:t>
      </w:r>
      <w:r>
        <w:t xml:space="preserve">.  </w:t>
      </w:r>
      <w:r w:rsidR="00915B29">
        <w:t>This needs to be augmented by f</w:t>
      </w:r>
      <w:r>
        <w:t>urther research explor</w:t>
      </w:r>
      <w:r w:rsidR="00915B29">
        <w:t>ing</w:t>
      </w:r>
      <w:r>
        <w:t xml:space="preserve"> in greater depth the impact of RA on</w:t>
      </w:r>
      <w:r w:rsidR="008F5425">
        <w:t xml:space="preserve"> men</w:t>
      </w:r>
      <w:r>
        <w:t xml:space="preserve">, </w:t>
      </w:r>
      <w:r w:rsidR="008F5425">
        <w:t xml:space="preserve">their specific </w:t>
      </w:r>
      <w:r>
        <w:t>RA-related needs</w:t>
      </w:r>
      <w:r w:rsidR="008F5425">
        <w:t xml:space="preserve">, and the </w:t>
      </w:r>
      <w:r>
        <w:t xml:space="preserve">specific coping strategies employed by men when managing their RA. Such </w:t>
      </w:r>
      <w:r w:rsidR="008F5425">
        <w:t>novel research would</w:t>
      </w:r>
      <w:r>
        <w:t xml:space="preserve"> identify whether men need tailo</w:t>
      </w:r>
      <w:r w:rsidR="008F5425">
        <w:t>red support for RA; and if so</w:t>
      </w:r>
      <w:r>
        <w:t xml:space="preserve"> identify the most appropriate and effective method and style of delivery for this support.</w:t>
      </w:r>
    </w:p>
    <w:p w:rsidR="00215ACA" w:rsidRPr="00F04790" w:rsidRDefault="00215ACA" w:rsidP="00C13D9B">
      <w:pPr>
        <w:spacing w:line="240" w:lineRule="auto"/>
        <w:rPr>
          <w:rFonts w:cs="Arial"/>
          <w:b/>
          <w:sz w:val="24"/>
          <w:szCs w:val="24"/>
        </w:rPr>
      </w:pPr>
      <w:r w:rsidRPr="00F04790">
        <w:rPr>
          <w:rFonts w:cs="Arial"/>
          <w:b/>
          <w:sz w:val="24"/>
          <w:szCs w:val="24"/>
        </w:rPr>
        <w:t>Acknowledgements</w:t>
      </w:r>
    </w:p>
    <w:p w:rsidR="00215ACA" w:rsidRDefault="00215ACA" w:rsidP="00C13D9B">
      <w:pPr>
        <w:spacing w:line="240" w:lineRule="auto"/>
        <w:rPr>
          <w:rFonts w:cs="Arial"/>
        </w:rPr>
      </w:pPr>
      <w:r>
        <w:rPr>
          <w:rFonts w:cs="Arial"/>
        </w:rPr>
        <w:lastRenderedPageBreak/>
        <w:t>Arthritis research UK for funding this post-doctoral fellowship</w:t>
      </w:r>
    </w:p>
    <w:p w:rsidR="00F04790" w:rsidRDefault="00F04790" w:rsidP="00C13D9B">
      <w:pPr>
        <w:spacing w:line="240" w:lineRule="auto"/>
        <w:rPr>
          <w:rFonts w:cs="Arial"/>
        </w:rPr>
      </w:pPr>
    </w:p>
    <w:p w:rsidR="00F04790" w:rsidRPr="00F04790" w:rsidRDefault="00F04790" w:rsidP="00F04790">
      <w:pPr>
        <w:spacing w:line="240" w:lineRule="auto"/>
        <w:rPr>
          <w:rFonts w:cs="Arial"/>
          <w:b/>
        </w:rPr>
      </w:pPr>
      <w:r>
        <w:rPr>
          <w:rFonts w:cs="Arial"/>
          <w:i/>
        </w:rPr>
        <w:t>Funding:</w:t>
      </w:r>
      <w:r>
        <w:rPr>
          <w:rFonts w:cs="Arial"/>
        </w:rPr>
        <w:t xml:space="preserve"> This work was supported by Arthritis Research UK (grant number 20210).</w:t>
      </w:r>
    </w:p>
    <w:p w:rsidR="00F04790" w:rsidRPr="00F04790" w:rsidRDefault="00F04790" w:rsidP="00F04790">
      <w:pPr>
        <w:spacing w:line="240" w:lineRule="auto"/>
        <w:rPr>
          <w:rFonts w:cs="Arial"/>
          <w:i/>
        </w:rPr>
      </w:pPr>
      <w:r>
        <w:rPr>
          <w:rFonts w:cs="Arial"/>
          <w:i/>
        </w:rPr>
        <w:t xml:space="preserve">Disclosure statement: </w:t>
      </w:r>
      <w:r>
        <w:rPr>
          <w:rFonts w:cs="Arial"/>
        </w:rPr>
        <w:t>The authors have declared no conflicts of interest.</w:t>
      </w:r>
    </w:p>
    <w:p w:rsidR="00215ACA" w:rsidRPr="00215ACA" w:rsidRDefault="00215ACA" w:rsidP="00C13D9B">
      <w:pPr>
        <w:spacing w:line="240" w:lineRule="auto"/>
        <w:rPr>
          <w:rFonts w:cs="Arial"/>
        </w:rPr>
      </w:pPr>
    </w:p>
    <w:p w:rsidR="006E31E4" w:rsidRDefault="006E31E4">
      <w:pPr>
        <w:spacing w:after="0" w:line="240" w:lineRule="auto"/>
        <w:rPr>
          <w:rFonts w:cs="Arial"/>
          <w:b/>
          <w:sz w:val="24"/>
          <w:szCs w:val="24"/>
        </w:rPr>
      </w:pPr>
      <w:r>
        <w:rPr>
          <w:rFonts w:cs="Arial"/>
          <w:b/>
          <w:sz w:val="24"/>
          <w:szCs w:val="24"/>
        </w:rPr>
        <w:br w:type="page"/>
      </w:r>
    </w:p>
    <w:p w:rsidR="00CC0827" w:rsidRDefault="006E31E4" w:rsidP="00C13D9B">
      <w:pPr>
        <w:spacing w:line="240" w:lineRule="auto"/>
        <w:rPr>
          <w:rFonts w:cs="Arial"/>
          <w:sz w:val="20"/>
          <w:szCs w:val="20"/>
        </w:rPr>
      </w:pPr>
      <w:r>
        <w:rPr>
          <w:rFonts w:cs="Arial"/>
          <w:b/>
          <w:sz w:val="24"/>
          <w:szCs w:val="24"/>
        </w:rPr>
        <w:lastRenderedPageBreak/>
        <w:t>References</w:t>
      </w:r>
    </w:p>
    <w:p w:rsidR="005D2762" w:rsidRPr="005D2762" w:rsidRDefault="005D2762" w:rsidP="005D2762">
      <w:pPr>
        <w:pStyle w:val="NormalWeb"/>
        <w:rPr>
          <w:rFonts w:ascii="Arial" w:hAnsi="Arial" w:cs="Arial"/>
          <w:sz w:val="22"/>
          <w:szCs w:val="22"/>
        </w:rPr>
      </w:pPr>
      <w:r w:rsidRPr="005D2762">
        <w:rPr>
          <w:rFonts w:ascii="Arial" w:hAnsi="Arial" w:cs="Arial"/>
          <w:sz w:val="22"/>
          <w:szCs w:val="22"/>
        </w:rPr>
        <w:t xml:space="preserve">Affleck G, Tennen H, Keefe FJ, Lefebvre JC, Kashikar-Zuck S, Wright K, et al. (1999) Everyday life with osteoarthritis or rheumatoid arthritis: independent effects of disease and gender on daily pain, mood, and coping. </w:t>
      </w:r>
      <w:r w:rsidRPr="005D2762">
        <w:rPr>
          <w:rFonts w:ascii="Arial" w:hAnsi="Arial" w:cs="Arial"/>
          <w:i/>
          <w:iCs/>
          <w:sz w:val="22"/>
          <w:szCs w:val="22"/>
        </w:rPr>
        <w:t>Pain</w:t>
      </w:r>
      <w:r w:rsidRPr="005D2762">
        <w:rPr>
          <w:rFonts w:ascii="Arial" w:hAnsi="Arial" w:cs="Arial"/>
          <w:sz w:val="22"/>
          <w:szCs w:val="22"/>
        </w:rPr>
        <w:t xml:space="preserve"> 83(3): 601-609. </w:t>
      </w:r>
    </w:p>
    <w:p w:rsidR="005D2762" w:rsidRPr="005D2762" w:rsidRDefault="005D2762" w:rsidP="005D2762">
      <w:pPr>
        <w:pStyle w:val="NormalWeb"/>
        <w:rPr>
          <w:rFonts w:ascii="Arial" w:hAnsi="Arial" w:cs="Arial"/>
          <w:sz w:val="22"/>
          <w:szCs w:val="22"/>
        </w:rPr>
      </w:pPr>
      <w:r w:rsidRPr="005D2762">
        <w:rPr>
          <w:rFonts w:ascii="Arial" w:hAnsi="Arial" w:cs="Arial"/>
          <w:sz w:val="22"/>
          <w:szCs w:val="22"/>
        </w:rPr>
        <w:t xml:space="preserve">Baczyk G (2005) The evaluation of the functioning and of the quality of life of patients with rheumatoid arthritis. </w:t>
      </w:r>
      <w:r w:rsidRPr="005D2762">
        <w:rPr>
          <w:rFonts w:ascii="Arial" w:hAnsi="Arial" w:cs="Arial"/>
          <w:i/>
          <w:iCs/>
          <w:sz w:val="22"/>
          <w:szCs w:val="22"/>
        </w:rPr>
        <w:t>Roczniki Akademii Medycznej W Białymstoku (1995)</w:t>
      </w:r>
      <w:r w:rsidRPr="005D2762">
        <w:rPr>
          <w:rFonts w:ascii="Arial" w:hAnsi="Arial" w:cs="Arial"/>
          <w:sz w:val="22"/>
          <w:szCs w:val="22"/>
        </w:rPr>
        <w:t xml:space="preserve"> 50 Suppl 1: 170-173. </w:t>
      </w:r>
    </w:p>
    <w:p w:rsidR="005D2762" w:rsidRPr="005D2762" w:rsidRDefault="005D2762" w:rsidP="005D2762">
      <w:pPr>
        <w:pStyle w:val="NormalWeb"/>
        <w:rPr>
          <w:rFonts w:ascii="Arial" w:hAnsi="Arial" w:cs="Arial"/>
          <w:sz w:val="22"/>
          <w:szCs w:val="22"/>
        </w:rPr>
      </w:pPr>
      <w:r w:rsidRPr="005D2762">
        <w:rPr>
          <w:rFonts w:ascii="Arial" w:hAnsi="Arial" w:cs="Arial"/>
          <w:sz w:val="22"/>
          <w:szCs w:val="22"/>
        </w:rPr>
        <w:t xml:space="preserve">Baczyk G, Samborski P, Pieścikowska J, Kmieciak M and Walkowiak I (2007) Comparison functioning and quality of life of patients with osteoarthritis and rheumatoid arthritis. </w:t>
      </w:r>
      <w:r w:rsidRPr="005D2762">
        <w:rPr>
          <w:rFonts w:ascii="Arial" w:hAnsi="Arial" w:cs="Arial"/>
          <w:i/>
          <w:iCs/>
          <w:sz w:val="22"/>
          <w:szCs w:val="22"/>
        </w:rPr>
        <w:t>Advances in Medical Sciences</w:t>
      </w:r>
      <w:r w:rsidRPr="005D2762">
        <w:rPr>
          <w:rFonts w:ascii="Arial" w:hAnsi="Arial" w:cs="Arial"/>
          <w:sz w:val="22"/>
          <w:szCs w:val="22"/>
        </w:rPr>
        <w:t xml:space="preserve"> 52 Suppl 1: 55-59. </w:t>
      </w:r>
    </w:p>
    <w:p w:rsidR="005D2762" w:rsidRPr="005D2762" w:rsidRDefault="005D2762" w:rsidP="005D2762">
      <w:pPr>
        <w:pStyle w:val="NormalWeb"/>
        <w:rPr>
          <w:rFonts w:ascii="Arial" w:hAnsi="Arial" w:cs="Arial"/>
          <w:sz w:val="22"/>
          <w:szCs w:val="22"/>
        </w:rPr>
      </w:pPr>
      <w:r w:rsidRPr="005D2762">
        <w:rPr>
          <w:rFonts w:ascii="Arial" w:hAnsi="Arial" w:cs="Arial"/>
          <w:sz w:val="22"/>
          <w:szCs w:val="22"/>
        </w:rPr>
        <w:t xml:space="preserve">Barlow J, Wright C, Sheasby J, Turner A and Hainsworth J (2002) Self-management approaches for people with chronic conditions: a review. </w:t>
      </w:r>
      <w:r w:rsidRPr="005D2762">
        <w:rPr>
          <w:rFonts w:ascii="Arial" w:hAnsi="Arial" w:cs="Arial"/>
          <w:i/>
          <w:iCs/>
          <w:sz w:val="22"/>
          <w:szCs w:val="22"/>
        </w:rPr>
        <w:t>Patient Education and Counseling</w:t>
      </w:r>
      <w:r w:rsidRPr="005D2762">
        <w:rPr>
          <w:rFonts w:ascii="Arial" w:hAnsi="Arial" w:cs="Arial"/>
          <w:sz w:val="22"/>
          <w:szCs w:val="22"/>
        </w:rPr>
        <w:t xml:space="preserve"> 48(2): 177-187. </w:t>
      </w:r>
    </w:p>
    <w:p w:rsidR="005D2762" w:rsidRPr="005D2762" w:rsidRDefault="005D2762" w:rsidP="005D2762">
      <w:pPr>
        <w:pStyle w:val="NormalWeb"/>
        <w:rPr>
          <w:rFonts w:ascii="Arial" w:hAnsi="Arial" w:cs="Arial"/>
          <w:sz w:val="22"/>
          <w:szCs w:val="22"/>
        </w:rPr>
      </w:pPr>
      <w:r w:rsidRPr="005D2762">
        <w:rPr>
          <w:rFonts w:ascii="Arial" w:hAnsi="Arial" w:cs="Arial"/>
          <w:sz w:val="22"/>
          <w:szCs w:val="22"/>
        </w:rPr>
        <w:t xml:space="preserve">Barlow J, Turner A, Swaby L, Gilchrist M, Wright C and Doherty M (2009) An 8-yr follow-up of arthritis self-management programme participants. </w:t>
      </w:r>
      <w:r w:rsidRPr="005D2762">
        <w:rPr>
          <w:rFonts w:ascii="Arial" w:hAnsi="Arial" w:cs="Arial"/>
          <w:i/>
          <w:iCs/>
          <w:sz w:val="22"/>
          <w:szCs w:val="22"/>
        </w:rPr>
        <w:t>Rheumatology</w:t>
      </w:r>
      <w:r w:rsidRPr="005D2762">
        <w:rPr>
          <w:rFonts w:ascii="Arial" w:hAnsi="Arial" w:cs="Arial"/>
          <w:sz w:val="22"/>
          <w:szCs w:val="22"/>
        </w:rPr>
        <w:t xml:space="preserve"> 48(2): 128-133. </w:t>
      </w:r>
    </w:p>
    <w:p w:rsidR="005D2762" w:rsidRPr="005D2762" w:rsidRDefault="005D2762" w:rsidP="005D2762">
      <w:pPr>
        <w:pStyle w:val="NormalWeb"/>
        <w:rPr>
          <w:rFonts w:ascii="Arial" w:hAnsi="Arial" w:cs="Arial"/>
          <w:sz w:val="22"/>
          <w:szCs w:val="22"/>
        </w:rPr>
      </w:pPr>
      <w:r w:rsidRPr="005D2762">
        <w:rPr>
          <w:rFonts w:ascii="Arial" w:hAnsi="Arial" w:cs="Arial"/>
          <w:sz w:val="22"/>
          <w:szCs w:val="22"/>
        </w:rPr>
        <w:t xml:space="preserve">Beaton C, Hodge F, Nyamathi A, Weinreb A, Mays V and Maliski S (2012) Male Veterans Coping With the Pendulum Swing of Rheumatiod Arthritis Pain: A Qualitative Study. </w:t>
      </w:r>
      <w:r w:rsidRPr="005D2762">
        <w:rPr>
          <w:rFonts w:ascii="Arial" w:hAnsi="Arial" w:cs="Arial"/>
          <w:i/>
          <w:iCs/>
          <w:sz w:val="22"/>
          <w:szCs w:val="22"/>
        </w:rPr>
        <w:t>Californian Journal of Health Promotion</w:t>
      </w:r>
      <w:r w:rsidRPr="005D2762">
        <w:rPr>
          <w:rFonts w:ascii="Arial" w:hAnsi="Arial" w:cs="Arial"/>
          <w:sz w:val="22"/>
          <w:szCs w:val="22"/>
        </w:rPr>
        <w:t xml:space="preserve"> 10(1): 44-55. </w:t>
      </w:r>
    </w:p>
    <w:p w:rsidR="005D2762" w:rsidRPr="005D2762" w:rsidRDefault="005D2762" w:rsidP="005D2762">
      <w:pPr>
        <w:pStyle w:val="NormalWeb"/>
        <w:rPr>
          <w:rFonts w:ascii="Arial" w:hAnsi="Arial" w:cs="Arial"/>
          <w:sz w:val="22"/>
          <w:szCs w:val="22"/>
        </w:rPr>
      </w:pPr>
      <w:r w:rsidRPr="005D2762">
        <w:rPr>
          <w:rFonts w:ascii="Arial" w:hAnsi="Arial" w:cs="Arial"/>
          <w:sz w:val="22"/>
          <w:szCs w:val="22"/>
        </w:rPr>
        <w:t xml:space="preserve">Beck AT and Steer RA (1987) </w:t>
      </w:r>
      <w:r w:rsidRPr="005D2762">
        <w:rPr>
          <w:rFonts w:ascii="Arial" w:hAnsi="Arial" w:cs="Arial"/>
          <w:i/>
          <w:iCs/>
          <w:sz w:val="22"/>
          <w:szCs w:val="22"/>
        </w:rPr>
        <w:t xml:space="preserve">BDI, Beck Depression Inventory: Manual. </w:t>
      </w:r>
      <w:r w:rsidRPr="005D2762">
        <w:rPr>
          <w:rFonts w:ascii="Arial" w:hAnsi="Arial" w:cs="Arial"/>
          <w:sz w:val="22"/>
          <w:szCs w:val="22"/>
        </w:rPr>
        <w:t xml:space="preserve">: Psychological Corporation New York. </w:t>
      </w:r>
    </w:p>
    <w:p w:rsidR="005D2762" w:rsidRPr="005D2762" w:rsidRDefault="005D2762" w:rsidP="005D2762">
      <w:pPr>
        <w:pStyle w:val="NormalWeb"/>
        <w:rPr>
          <w:rFonts w:ascii="Arial" w:hAnsi="Arial" w:cs="Arial"/>
          <w:sz w:val="22"/>
          <w:szCs w:val="22"/>
        </w:rPr>
      </w:pPr>
      <w:r w:rsidRPr="005D2762">
        <w:rPr>
          <w:rFonts w:ascii="Arial" w:hAnsi="Arial" w:cs="Arial"/>
          <w:sz w:val="22"/>
          <w:szCs w:val="22"/>
        </w:rPr>
        <w:t xml:space="preserve">Bedi GS, Gupta N, Handa R, Pal H and Pandey RM (2005) Quality of life in Indian patients with rheumatoid arthritis. </w:t>
      </w:r>
      <w:r w:rsidRPr="005D2762">
        <w:rPr>
          <w:rFonts w:ascii="Arial" w:hAnsi="Arial" w:cs="Arial"/>
          <w:i/>
          <w:iCs/>
          <w:sz w:val="22"/>
          <w:szCs w:val="22"/>
        </w:rPr>
        <w:t>Quality of Life Research: An International Journal of Quality of Life Aspects of Treatment, Care and Rehabilitation</w:t>
      </w:r>
      <w:r w:rsidRPr="005D2762">
        <w:rPr>
          <w:rFonts w:ascii="Arial" w:hAnsi="Arial" w:cs="Arial"/>
          <w:sz w:val="22"/>
          <w:szCs w:val="22"/>
        </w:rPr>
        <w:t xml:space="preserve"> 14(8): 1953-1958. </w:t>
      </w:r>
    </w:p>
    <w:p w:rsidR="005D2762" w:rsidRPr="005D2762" w:rsidRDefault="005D2762" w:rsidP="005D2762">
      <w:pPr>
        <w:pStyle w:val="NormalWeb"/>
        <w:rPr>
          <w:rFonts w:ascii="Arial" w:hAnsi="Arial" w:cs="Arial"/>
          <w:sz w:val="22"/>
          <w:szCs w:val="22"/>
        </w:rPr>
      </w:pPr>
      <w:r w:rsidRPr="005D2762">
        <w:rPr>
          <w:rFonts w:ascii="Arial" w:hAnsi="Arial" w:cs="Arial"/>
          <w:sz w:val="22"/>
          <w:szCs w:val="22"/>
        </w:rPr>
        <w:t xml:space="preserve">Behnam B, Moghimi J, Ghorbani R and Ghahremanfard F (2013) The Frequency and Major Determinants of Depression in Patients with Rheumatoid Arthritis. </w:t>
      </w:r>
      <w:r w:rsidRPr="005D2762">
        <w:rPr>
          <w:rFonts w:ascii="Arial" w:hAnsi="Arial" w:cs="Arial"/>
          <w:i/>
          <w:iCs/>
          <w:sz w:val="22"/>
          <w:szCs w:val="22"/>
        </w:rPr>
        <w:t>Turkish Journal of Rheumatology (Turkish League Against Rheumatism/Turkiye Romatizma Arastirma Ve Savas Dernegi)</w:t>
      </w:r>
      <w:r w:rsidRPr="005D2762">
        <w:rPr>
          <w:rFonts w:ascii="Arial" w:hAnsi="Arial" w:cs="Arial"/>
          <w:sz w:val="22"/>
          <w:szCs w:val="22"/>
        </w:rPr>
        <w:t xml:space="preserve"> 28(1): 32-37. </w:t>
      </w:r>
    </w:p>
    <w:p w:rsidR="005D2762" w:rsidRPr="005D2762" w:rsidRDefault="005D2762" w:rsidP="005D2762">
      <w:pPr>
        <w:pStyle w:val="NormalWeb"/>
        <w:rPr>
          <w:rFonts w:ascii="Arial" w:hAnsi="Arial" w:cs="Arial"/>
          <w:sz w:val="22"/>
          <w:szCs w:val="22"/>
        </w:rPr>
      </w:pPr>
      <w:r w:rsidRPr="005D2762">
        <w:rPr>
          <w:rFonts w:ascii="Arial" w:hAnsi="Arial" w:cs="Arial"/>
          <w:sz w:val="22"/>
          <w:szCs w:val="22"/>
        </w:rPr>
        <w:t xml:space="preserve">Branney P and White A (2008) Big boys don’t cry: depression and men. </w:t>
      </w:r>
      <w:r w:rsidRPr="005D2762">
        <w:rPr>
          <w:rFonts w:ascii="Arial" w:hAnsi="Arial" w:cs="Arial"/>
          <w:i/>
          <w:iCs/>
          <w:sz w:val="22"/>
          <w:szCs w:val="22"/>
        </w:rPr>
        <w:t>Advances in Psychiatric Treatment</w:t>
      </w:r>
      <w:r w:rsidRPr="005D2762">
        <w:rPr>
          <w:rFonts w:ascii="Arial" w:hAnsi="Arial" w:cs="Arial"/>
          <w:sz w:val="22"/>
          <w:szCs w:val="22"/>
        </w:rPr>
        <w:t xml:space="preserve"> 14(4): 256-262. </w:t>
      </w:r>
    </w:p>
    <w:p w:rsidR="005D2762" w:rsidRPr="005D2762" w:rsidRDefault="005D2762" w:rsidP="005D2762">
      <w:pPr>
        <w:pStyle w:val="NormalWeb"/>
        <w:rPr>
          <w:rFonts w:ascii="Arial" w:hAnsi="Arial" w:cs="Arial"/>
          <w:sz w:val="22"/>
          <w:szCs w:val="22"/>
        </w:rPr>
      </w:pPr>
      <w:r w:rsidRPr="005D2762">
        <w:rPr>
          <w:rFonts w:ascii="Arial" w:hAnsi="Arial" w:cs="Arial"/>
          <w:sz w:val="22"/>
          <w:szCs w:val="22"/>
        </w:rPr>
        <w:t xml:space="preserve">Brownhill S, Wilhelm K, Barclay L and Schmied V (2005) ‘Big build’: hidden depression in men. </w:t>
      </w:r>
      <w:r w:rsidRPr="005D2762">
        <w:rPr>
          <w:rFonts w:ascii="Arial" w:hAnsi="Arial" w:cs="Arial"/>
          <w:i/>
          <w:iCs/>
          <w:sz w:val="22"/>
          <w:szCs w:val="22"/>
        </w:rPr>
        <w:t>Australian and New Zealand Journal of Psychiatry</w:t>
      </w:r>
      <w:r w:rsidRPr="005D2762">
        <w:rPr>
          <w:rFonts w:ascii="Arial" w:hAnsi="Arial" w:cs="Arial"/>
          <w:sz w:val="22"/>
          <w:szCs w:val="22"/>
        </w:rPr>
        <w:t xml:space="preserve"> 39(10): 921-931. </w:t>
      </w:r>
    </w:p>
    <w:p w:rsidR="005D2762" w:rsidRPr="005D2762" w:rsidRDefault="005D2762" w:rsidP="005D2762">
      <w:pPr>
        <w:pStyle w:val="NormalWeb"/>
        <w:rPr>
          <w:rFonts w:ascii="Arial" w:hAnsi="Arial" w:cs="Arial"/>
          <w:sz w:val="22"/>
          <w:szCs w:val="22"/>
        </w:rPr>
      </w:pPr>
      <w:r w:rsidRPr="005D2762">
        <w:rPr>
          <w:rFonts w:ascii="Arial" w:hAnsi="Arial" w:cs="Arial"/>
          <w:sz w:val="22"/>
          <w:szCs w:val="22"/>
        </w:rPr>
        <w:t xml:space="preserve">Bugajska J, Brzosko M, Jedryka-Góral A, Głuszko P, Zołnierczyk-Zreda D, Sagan A, et al. (2010) Psychological stress in rheumatoid arthritis patients: a comparative Polish-German study: summary of the current conceptualization of the role of stress in rheumatoid arthritis. </w:t>
      </w:r>
      <w:r w:rsidRPr="005D2762">
        <w:rPr>
          <w:rFonts w:ascii="Arial" w:hAnsi="Arial" w:cs="Arial"/>
          <w:i/>
          <w:iCs/>
          <w:sz w:val="22"/>
          <w:szCs w:val="22"/>
        </w:rPr>
        <w:t>Autoimmunity Reviews</w:t>
      </w:r>
      <w:r w:rsidRPr="005D2762">
        <w:rPr>
          <w:rFonts w:ascii="Arial" w:hAnsi="Arial" w:cs="Arial"/>
          <w:sz w:val="22"/>
          <w:szCs w:val="22"/>
        </w:rPr>
        <w:t xml:space="preserve"> 9(4): 211-215. </w:t>
      </w:r>
    </w:p>
    <w:p w:rsidR="005D2762" w:rsidRPr="005D2762" w:rsidRDefault="005D2762" w:rsidP="005D2762">
      <w:pPr>
        <w:pStyle w:val="NormalWeb"/>
        <w:rPr>
          <w:rFonts w:ascii="Arial" w:hAnsi="Arial" w:cs="Arial"/>
          <w:sz w:val="22"/>
          <w:szCs w:val="22"/>
        </w:rPr>
      </w:pPr>
      <w:r w:rsidRPr="005D2762">
        <w:rPr>
          <w:rFonts w:ascii="Arial" w:hAnsi="Arial" w:cs="Arial"/>
          <w:sz w:val="22"/>
          <w:szCs w:val="22"/>
        </w:rPr>
        <w:t xml:space="preserve">Calasanti T, Pietilä I, Ojala H and King N (2013) Men, bodily control, and health behaviors: the importance of age. </w:t>
      </w:r>
      <w:r w:rsidRPr="005D2762">
        <w:rPr>
          <w:rFonts w:ascii="Arial" w:hAnsi="Arial" w:cs="Arial"/>
          <w:i/>
          <w:iCs/>
          <w:sz w:val="22"/>
          <w:szCs w:val="22"/>
        </w:rPr>
        <w:t>Health Psychology</w:t>
      </w:r>
      <w:r w:rsidRPr="005D2762">
        <w:rPr>
          <w:rFonts w:ascii="Arial" w:hAnsi="Arial" w:cs="Arial"/>
          <w:sz w:val="22"/>
          <w:szCs w:val="22"/>
        </w:rPr>
        <w:t xml:space="preserve"> 32(1): 15. </w:t>
      </w:r>
    </w:p>
    <w:p w:rsidR="005D2762" w:rsidRPr="005D2762" w:rsidRDefault="005D2762" w:rsidP="005D2762">
      <w:pPr>
        <w:pStyle w:val="NormalWeb"/>
        <w:rPr>
          <w:rFonts w:ascii="Arial" w:hAnsi="Arial" w:cs="Arial"/>
          <w:sz w:val="22"/>
          <w:szCs w:val="22"/>
        </w:rPr>
      </w:pPr>
      <w:r w:rsidRPr="005D2762">
        <w:rPr>
          <w:rFonts w:ascii="Arial" w:hAnsi="Arial" w:cs="Arial"/>
          <w:sz w:val="22"/>
          <w:szCs w:val="22"/>
        </w:rPr>
        <w:t xml:space="preserve">Canham SL (2009) The interaction of masculinity and control and its impact on the experience of suffering for an older man. </w:t>
      </w:r>
      <w:r w:rsidRPr="005D2762">
        <w:rPr>
          <w:rFonts w:ascii="Arial" w:hAnsi="Arial" w:cs="Arial"/>
          <w:i/>
          <w:iCs/>
          <w:sz w:val="22"/>
          <w:szCs w:val="22"/>
        </w:rPr>
        <w:t>Journal of Aging Studies</w:t>
      </w:r>
      <w:r w:rsidRPr="005D2762">
        <w:rPr>
          <w:rFonts w:ascii="Arial" w:hAnsi="Arial" w:cs="Arial"/>
          <w:sz w:val="22"/>
          <w:szCs w:val="22"/>
        </w:rPr>
        <w:t xml:space="preserve"> 23(2): 90-96. </w:t>
      </w:r>
    </w:p>
    <w:p w:rsidR="005D2762" w:rsidRPr="005D2762" w:rsidRDefault="005D2762" w:rsidP="005D2762">
      <w:pPr>
        <w:pStyle w:val="NormalWeb"/>
        <w:rPr>
          <w:rFonts w:ascii="Arial" w:hAnsi="Arial" w:cs="Arial"/>
          <w:sz w:val="22"/>
          <w:szCs w:val="22"/>
        </w:rPr>
      </w:pPr>
      <w:r w:rsidRPr="005D2762">
        <w:rPr>
          <w:rFonts w:ascii="Arial" w:hAnsi="Arial" w:cs="Arial"/>
          <w:sz w:val="22"/>
          <w:szCs w:val="22"/>
        </w:rPr>
        <w:lastRenderedPageBreak/>
        <w:t xml:space="preserve">Casetta I, Riise T, Wamme Nortvedt M, Economou NT, De Gennaro R, Fazio P, et al. (2009) Gender differences in health-related quality of life in multiple sclerosis. </w:t>
      </w:r>
      <w:r w:rsidRPr="005D2762">
        <w:rPr>
          <w:rFonts w:ascii="Arial" w:hAnsi="Arial" w:cs="Arial"/>
          <w:i/>
          <w:iCs/>
          <w:sz w:val="22"/>
          <w:szCs w:val="22"/>
        </w:rPr>
        <w:t>Multiple Sclerosis (Houndmills, Basingstoke, England)</w:t>
      </w:r>
      <w:r w:rsidRPr="005D2762">
        <w:rPr>
          <w:rFonts w:ascii="Arial" w:hAnsi="Arial" w:cs="Arial"/>
          <w:sz w:val="22"/>
          <w:szCs w:val="22"/>
        </w:rPr>
        <w:t xml:space="preserve"> 15(11): 1339-1346. </w:t>
      </w:r>
    </w:p>
    <w:p w:rsidR="005D2762" w:rsidRPr="005D2762" w:rsidRDefault="005D2762" w:rsidP="005D2762">
      <w:pPr>
        <w:pStyle w:val="NormalWeb"/>
        <w:rPr>
          <w:rFonts w:ascii="Arial" w:hAnsi="Arial" w:cs="Arial"/>
          <w:sz w:val="22"/>
          <w:szCs w:val="22"/>
        </w:rPr>
      </w:pPr>
      <w:r w:rsidRPr="005D2762">
        <w:rPr>
          <w:rFonts w:ascii="Arial" w:hAnsi="Arial" w:cs="Arial"/>
          <w:sz w:val="22"/>
          <w:szCs w:val="22"/>
        </w:rPr>
        <w:t xml:space="preserve">Charmaz K (1994) Identity dilemmas of chronically ill men. </w:t>
      </w:r>
      <w:r w:rsidRPr="005D2762">
        <w:rPr>
          <w:rFonts w:ascii="Arial" w:hAnsi="Arial" w:cs="Arial"/>
          <w:i/>
          <w:iCs/>
          <w:sz w:val="22"/>
          <w:szCs w:val="22"/>
        </w:rPr>
        <w:t>The Sociological Quarterly</w:t>
      </w:r>
      <w:r w:rsidRPr="005D2762">
        <w:rPr>
          <w:rFonts w:ascii="Arial" w:hAnsi="Arial" w:cs="Arial"/>
          <w:sz w:val="22"/>
          <w:szCs w:val="22"/>
        </w:rPr>
        <w:t xml:space="preserve"> 35(2): 269-288. </w:t>
      </w:r>
    </w:p>
    <w:p w:rsidR="005D2762" w:rsidRPr="005D2762" w:rsidRDefault="005D2762" w:rsidP="005D2762">
      <w:pPr>
        <w:pStyle w:val="NormalWeb"/>
        <w:rPr>
          <w:rFonts w:ascii="Arial" w:hAnsi="Arial" w:cs="Arial"/>
          <w:sz w:val="22"/>
          <w:szCs w:val="22"/>
        </w:rPr>
      </w:pPr>
      <w:r w:rsidRPr="005D2762">
        <w:rPr>
          <w:rFonts w:ascii="Arial" w:hAnsi="Arial" w:cs="Arial"/>
          <w:sz w:val="22"/>
          <w:szCs w:val="22"/>
        </w:rPr>
        <w:t xml:space="preserve">Clarke LH and Bennett E (2013) ‘You learn to live with all the things that are wrong with you’: gender and the experience of multiple chronic conditions in later life. </w:t>
      </w:r>
      <w:r w:rsidRPr="005D2762">
        <w:rPr>
          <w:rFonts w:ascii="Arial" w:hAnsi="Arial" w:cs="Arial"/>
          <w:i/>
          <w:iCs/>
          <w:sz w:val="22"/>
          <w:szCs w:val="22"/>
        </w:rPr>
        <w:t>Ageing and Society</w:t>
      </w:r>
      <w:r w:rsidRPr="005D2762">
        <w:rPr>
          <w:rFonts w:ascii="Arial" w:hAnsi="Arial" w:cs="Arial"/>
          <w:sz w:val="22"/>
          <w:szCs w:val="22"/>
        </w:rPr>
        <w:t xml:space="preserve"> 33(02): 342-360. </w:t>
      </w:r>
    </w:p>
    <w:p w:rsidR="005D2762" w:rsidRPr="005D2762" w:rsidRDefault="005D2762" w:rsidP="005D2762">
      <w:pPr>
        <w:pStyle w:val="NormalWeb"/>
        <w:rPr>
          <w:rFonts w:ascii="Arial" w:hAnsi="Arial" w:cs="Arial"/>
          <w:sz w:val="22"/>
          <w:szCs w:val="22"/>
        </w:rPr>
      </w:pPr>
      <w:r w:rsidRPr="005D2762">
        <w:rPr>
          <w:rFonts w:ascii="Arial" w:hAnsi="Arial" w:cs="Arial"/>
          <w:sz w:val="22"/>
          <w:szCs w:val="22"/>
        </w:rPr>
        <w:t xml:space="preserve">Conrad D (2010) Social capital and men’s mental health. In: Conrad D and White A (eds) </w:t>
      </w:r>
      <w:r w:rsidRPr="005D2762">
        <w:rPr>
          <w:rFonts w:ascii="Arial" w:hAnsi="Arial" w:cs="Arial"/>
          <w:i/>
          <w:iCs/>
          <w:sz w:val="22"/>
          <w:szCs w:val="22"/>
        </w:rPr>
        <w:t xml:space="preserve">Promoting Men's Mental Health. </w:t>
      </w:r>
      <w:r w:rsidRPr="005D2762">
        <w:rPr>
          <w:rFonts w:ascii="Arial" w:hAnsi="Arial" w:cs="Arial"/>
          <w:sz w:val="22"/>
          <w:szCs w:val="22"/>
        </w:rPr>
        <w:t xml:space="preserve">Oxon: Radford Publishing, 26-38. </w:t>
      </w:r>
    </w:p>
    <w:p w:rsidR="005D2762" w:rsidRPr="005D2762" w:rsidRDefault="005D2762" w:rsidP="005D2762">
      <w:pPr>
        <w:pStyle w:val="NormalWeb"/>
        <w:rPr>
          <w:rFonts w:ascii="Arial" w:hAnsi="Arial" w:cs="Arial"/>
          <w:sz w:val="22"/>
          <w:szCs w:val="22"/>
        </w:rPr>
      </w:pPr>
      <w:r w:rsidRPr="005D2762">
        <w:rPr>
          <w:rFonts w:ascii="Arial" w:hAnsi="Arial" w:cs="Arial"/>
          <w:sz w:val="22"/>
          <w:szCs w:val="22"/>
        </w:rPr>
        <w:t>Crowson CS, Matteson EL, Myasoedova E, Michet CJ, Ernste FC, Warrington KJ, et al. (2011) The lifetime risk of adult</w:t>
      </w:r>
      <w:r w:rsidRPr="005D2762">
        <w:rPr>
          <w:rFonts w:ascii="Cambria Math" w:hAnsi="Cambria Math" w:cs="Cambria Math"/>
          <w:sz w:val="22"/>
          <w:szCs w:val="22"/>
        </w:rPr>
        <w:t>‐</w:t>
      </w:r>
      <w:r w:rsidRPr="005D2762">
        <w:rPr>
          <w:rFonts w:ascii="Arial" w:hAnsi="Arial" w:cs="Arial"/>
          <w:sz w:val="22"/>
          <w:szCs w:val="22"/>
        </w:rPr>
        <w:t xml:space="preserve">onset rheumatoid arthritis and other inflammatory autoimmune rheumatic diseases. </w:t>
      </w:r>
      <w:r w:rsidRPr="005D2762">
        <w:rPr>
          <w:rFonts w:ascii="Arial" w:hAnsi="Arial" w:cs="Arial"/>
          <w:i/>
          <w:iCs/>
          <w:sz w:val="22"/>
          <w:szCs w:val="22"/>
        </w:rPr>
        <w:t>Arthritis &amp; Rheumatism</w:t>
      </w:r>
      <w:r w:rsidRPr="005D2762">
        <w:rPr>
          <w:rFonts w:ascii="Arial" w:hAnsi="Arial" w:cs="Arial"/>
          <w:sz w:val="22"/>
          <w:szCs w:val="22"/>
        </w:rPr>
        <w:t xml:space="preserve"> 63(3): 633-639. </w:t>
      </w:r>
    </w:p>
    <w:p w:rsidR="005D2762" w:rsidRPr="005D2762" w:rsidRDefault="005D2762" w:rsidP="005D2762">
      <w:pPr>
        <w:pStyle w:val="NormalWeb"/>
        <w:rPr>
          <w:rFonts w:ascii="Arial" w:hAnsi="Arial" w:cs="Arial"/>
          <w:sz w:val="22"/>
          <w:szCs w:val="22"/>
        </w:rPr>
      </w:pPr>
      <w:r w:rsidRPr="005D2762">
        <w:rPr>
          <w:rFonts w:ascii="Arial" w:hAnsi="Arial" w:cs="Arial"/>
          <w:sz w:val="22"/>
          <w:szCs w:val="22"/>
        </w:rPr>
        <w:t xml:space="preserve">de Visser RO, Smith JA and McDonnell EJ (2009) That’s not masculine. </w:t>
      </w:r>
      <w:r w:rsidRPr="005D2762">
        <w:rPr>
          <w:rFonts w:ascii="Arial" w:hAnsi="Arial" w:cs="Arial"/>
          <w:i/>
          <w:iCs/>
          <w:sz w:val="22"/>
          <w:szCs w:val="22"/>
        </w:rPr>
        <w:t>Journal of Health Psychology</w:t>
      </w:r>
      <w:r w:rsidRPr="005D2762">
        <w:rPr>
          <w:rFonts w:ascii="Arial" w:hAnsi="Arial" w:cs="Arial"/>
          <w:sz w:val="22"/>
          <w:szCs w:val="22"/>
        </w:rPr>
        <w:t xml:space="preserve"> 14(7): 1047-1058. </w:t>
      </w:r>
    </w:p>
    <w:p w:rsidR="005D2762" w:rsidRPr="005D2762" w:rsidRDefault="005D2762" w:rsidP="005D2762">
      <w:pPr>
        <w:pStyle w:val="NormalWeb"/>
        <w:rPr>
          <w:rFonts w:ascii="Arial" w:hAnsi="Arial" w:cs="Arial"/>
          <w:sz w:val="22"/>
          <w:szCs w:val="22"/>
        </w:rPr>
      </w:pPr>
      <w:r w:rsidRPr="005D2762">
        <w:rPr>
          <w:rFonts w:ascii="Arial" w:hAnsi="Arial" w:cs="Arial"/>
          <w:sz w:val="22"/>
          <w:szCs w:val="22"/>
        </w:rPr>
        <w:t xml:space="preserve">de Visser RO and McDonnell EJ (2013) “Man points”: Masculine capital and young men's health. </w:t>
      </w:r>
      <w:r w:rsidRPr="005D2762">
        <w:rPr>
          <w:rFonts w:ascii="Arial" w:hAnsi="Arial" w:cs="Arial"/>
          <w:i/>
          <w:iCs/>
          <w:sz w:val="22"/>
          <w:szCs w:val="22"/>
        </w:rPr>
        <w:t>Health Psychology</w:t>
      </w:r>
      <w:r w:rsidRPr="005D2762">
        <w:rPr>
          <w:rFonts w:ascii="Arial" w:hAnsi="Arial" w:cs="Arial"/>
          <w:sz w:val="22"/>
          <w:szCs w:val="22"/>
        </w:rPr>
        <w:t xml:space="preserve"> 32(1): 5-14. </w:t>
      </w:r>
    </w:p>
    <w:p w:rsidR="005D2762" w:rsidRPr="005D2762" w:rsidRDefault="005D2762" w:rsidP="005D2762">
      <w:pPr>
        <w:pStyle w:val="NormalWeb"/>
        <w:rPr>
          <w:rFonts w:ascii="Arial" w:hAnsi="Arial" w:cs="Arial"/>
          <w:sz w:val="22"/>
          <w:szCs w:val="22"/>
        </w:rPr>
      </w:pPr>
      <w:r w:rsidRPr="005D2762">
        <w:rPr>
          <w:rFonts w:ascii="Arial" w:hAnsi="Arial" w:cs="Arial"/>
          <w:sz w:val="22"/>
          <w:szCs w:val="22"/>
        </w:rPr>
        <w:t>del Mar García</w:t>
      </w:r>
      <w:r w:rsidRPr="005D2762">
        <w:rPr>
          <w:rFonts w:ascii="Cambria Math" w:hAnsi="Cambria Math" w:cs="Cambria Math"/>
          <w:sz w:val="22"/>
          <w:szCs w:val="22"/>
        </w:rPr>
        <w:t>‐</w:t>
      </w:r>
      <w:r w:rsidRPr="005D2762">
        <w:rPr>
          <w:rFonts w:ascii="Arial" w:hAnsi="Arial" w:cs="Arial"/>
          <w:sz w:val="22"/>
          <w:szCs w:val="22"/>
        </w:rPr>
        <w:t>Calvente M, Hidalgo</w:t>
      </w:r>
      <w:r w:rsidRPr="005D2762">
        <w:rPr>
          <w:rFonts w:ascii="Cambria Math" w:hAnsi="Cambria Math" w:cs="Cambria Math"/>
          <w:sz w:val="22"/>
          <w:szCs w:val="22"/>
        </w:rPr>
        <w:t>‐</w:t>
      </w:r>
      <w:r w:rsidRPr="005D2762">
        <w:rPr>
          <w:rFonts w:ascii="Arial" w:hAnsi="Arial" w:cs="Arial"/>
          <w:sz w:val="22"/>
          <w:szCs w:val="22"/>
        </w:rPr>
        <w:t>Ruzzante N, del Río</w:t>
      </w:r>
      <w:r w:rsidRPr="005D2762">
        <w:rPr>
          <w:rFonts w:ascii="Cambria Math" w:hAnsi="Cambria Math" w:cs="Cambria Math"/>
          <w:sz w:val="22"/>
          <w:szCs w:val="22"/>
        </w:rPr>
        <w:t>‐</w:t>
      </w:r>
      <w:r w:rsidRPr="005D2762">
        <w:rPr>
          <w:rFonts w:ascii="Arial" w:hAnsi="Arial" w:cs="Arial"/>
          <w:sz w:val="22"/>
          <w:szCs w:val="22"/>
        </w:rPr>
        <w:t>Lozano M, Marcos</w:t>
      </w:r>
      <w:r w:rsidRPr="005D2762">
        <w:rPr>
          <w:rFonts w:ascii="Cambria Math" w:hAnsi="Cambria Math" w:cs="Cambria Math"/>
          <w:sz w:val="22"/>
          <w:szCs w:val="22"/>
        </w:rPr>
        <w:t>‐</w:t>
      </w:r>
      <w:r w:rsidRPr="005D2762">
        <w:rPr>
          <w:rFonts w:ascii="Arial" w:hAnsi="Arial" w:cs="Arial"/>
          <w:sz w:val="22"/>
          <w:szCs w:val="22"/>
        </w:rPr>
        <w:t>Marcos J, Martínez</w:t>
      </w:r>
      <w:r w:rsidRPr="005D2762">
        <w:rPr>
          <w:rFonts w:ascii="Cambria Math" w:hAnsi="Cambria Math" w:cs="Cambria Math"/>
          <w:sz w:val="22"/>
          <w:szCs w:val="22"/>
        </w:rPr>
        <w:t>‐</w:t>
      </w:r>
      <w:r w:rsidRPr="005D2762">
        <w:rPr>
          <w:rFonts w:ascii="Arial" w:hAnsi="Arial" w:cs="Arial"/>
          <w:sz w:val="22"/>
          <w:szCs w:val="22"/>
        </w:rPr>
        <w:t>Morante E, Maroto</w:t>
      </w:r>
      <w:r w:rsidRPr="005D2762">
        <w:rPr>
          <w:rFonts w:ascii="Cambria Math" w:hAnsi="Cambria Math" w:cs="Cambria Math"/>
          <w:sz w:val="22"/>
          <w:szCs w:val="22"/>
        </w:rPr>
        <w:t>‐</w:t>
      </w:r>
      <w:r w:rsidRPr="005D2762">
        <w:rPr>
          <w:rFonts w:ascii="Arial" w:hAnsi="Arial" w:cs="Arial"/>
          <w:sz w:val="22"/>
          <w:szCs w:val="22"/>
        </w:rPr>
        <w:t xml:space="preserve">Navarro G, et al. (2012) Exhausted women, tough men: a qualitative study on gender differences in health, vulnerability and coping with illness in Spain. </w:t>
      </w:r>
      <w:r w:rsidRPr="005D2762">
        <w:rPr>
          <w:rFonts w:ascii="Arial" w:hAnsi="Arial" w:cs="Arial"/>
          <w:i/>
          <w:iCs/>
          <w:sz w:val="22"/>
          <w:szCs w:val="22"/>
        </w:rPr>
        <w:t>Sociology of Health &amp; Illness</w:t>
      </w:r>
      <w:r w:rsidRPr="005D2762">
        <w:rPr>
          <w:rFonts w:ascii="Arial" w:hAnsi="Arial" w:cs="Arial"/>
          <w:sz w:val="22"/>
          <w:szCs w:val="22"/>
        </w:rPr>
        <w:t xml:space="preserve">: 16. </w:t>
      </w:r>
    </w:p>
    <w:p w:rsidR="005D2762" w:rsidRPr="005D2762" w:rsidRDefault="005D2762" w:rsidP="005D2762">
      <w:pPr>
        <w:pStyle w:val="NormalWeb"/>
        <w:rPr>
          <w:rFonts w:ascii="Arial" w:hAnsi="Arial" w:cs="Arial"/>
          <w:sz w:val="22"/>
          <w:szCs w:val="22"/>
        </w:rPr>
      </w:pPr>
      <w:r w:rsidRPr="005D2762">
        <w:rPr>
          <w:rFonts w:ascii="Arial" w:hAnsi="Arial" w:cs="Arial"/>
          <w:sz w:val="22"/>
          <w:szCs w:val="22"/>
        </w:rPr>
        <w:t xml:space="preserve">Dirik G and Karanci AN (2010) Psychological distress in rheumatoid arthritis patients: an evaluation within the conservation of resources theory. </w:t>
      </w:r>
      <w:r w:rsidRPr="005D2762">
        <w:rPr>
          <w:rFonts w:ascii="Arial" w:hAnsi="Arial" w:cs="Arial"/>
          <w:i/>
          <w:iCs/>
          <w:sz w:val="22"/>
          <w:szCs w:val="22"/>
        </w:rPr>
        <w:t>Psychology &amp; Health</w:t>
      </w:r>
      <w:r w:rsidRPr="005D2762">
        <w:rPr>
          <w:rFonts w:ascii="Arial" w:hAnsi="Arial" w:cs="Arial"/>
          <w:sz w:val="22"/>
          <w:szCs w:val="22"/>
        </w:rPr>
        <w:t xml:space="preserve"> 25(5): 617-632. </w:t>
      </w:r>
    </w:p>
    <w:p w:rsidR="005D2762" w:rsidRPr="005D2762" w:rsidRDefault="005D2762" w:rsidP="005D2762">
      <w:pPr>
        <w:pStyle w:val="NormalWeb"/>
        <w:rPr>
          <w:rFonts w:ascii="Arial" w:hAnsi="Arial" w:cs="Arial"/>
          <w:sz w:val="22"/>
          <w:szCs w:val="22"/>
        </w:rPr>
      </w:pPr>
      <w:r w:rsidRPr="005D2762">
        <w:rPr>
          <w:rFonts w:ascii="Arial" w:hAnsi="Arial" w:cs="Arial"/>
          <w:sz w:val="22"/>
          <w:szCs w:val="22"/>
        </w:rPr>
        <w:t xml:space="preserve">Dowdy SW, Dwyer KA, Smith CA and Wallston KA (1996) Gender and psychological well-being of persons with rheumatoid arthritis. </w:t>
      </w:r>
      <w:r w:rsidRPr="005D2762">
        <w:rPr>
          <w:rFonts w:ascii="Arial" w:hAnsi="Arial" w:cs="Arial"/>
          <w:i/>
          <w:iCs/>
          <w:sz w:val="22"/>
          <w:szCs w:val="22"/>
        </w:rPr>
        <w:t>Arthritis Care and Research: The Official Journal of the Arthritis Health Professions Association</w:t>
      </w:r>
      <w:r w:rsidRPr="005D2762">
        <w:rPr>
          <w:rFonts w:ascii="Arial" w:hAnsi="Arial" w:cs="Arial"/>
          <w:sz w:val="22"/>
          <w:szCs w:val="22"/>
        </w:rPr>
        <w:t xml:space="preserve"> 9(6): 449-456. </w:t>
      </w:r>
    </w:p>
    <w:p w:rsidR="005D2762" w:rsidRPr="005D2762" w:rsidRDefault="005D2762" w:rsidP="005D2762">
      <w:pPr>
        <w:pStyle w:val="NormalWeb"/>
        <w:rPr>
          <w:rFonts w:ascii="Arial" w:hAnsi="Arial" w:cs="Arial"/>
          <w:sz w:val="22"/>
          <w:szCs w:val="22"/>
        </w:rPr>
      </w:pPr>
      <w:r w:rsidRPr="005D2762">
        <w:rPr>
          <w:rFonts w:ascii="Arial" w:hAnsi="Arial" w:cs="Arial"/>
          <w:sz w:val="22"/>
          <w:szCs w:val="22"/>
        </w:rPr>
        <w:t xml:space="preserve">Downe-Wamboldt B and Melanson PM (1998) A causal model of coping and well-being in elderly people with arthritis. </w:t>
      </w:r>
      <w:r w:rsidRPr="005D2762">
        <w:rPr>
          <w:rFonts w:ascii="Arial" w:hAnsi="Arial" w:cs="Arial"/>
          <w:i/>
          <w:iCs/>
          <w:sz w:val="22"/>
          <w:szCs w:val="22"/>
        </w:rPr>
        <w:t>Journal of Advanced Nursing</w:t>
      </w:r>
      <w:r w:rsidRPr="005D2762">
        <w:rPr>
          <w:rFonts w:ascii="Arial" w:hAnsi="Arial" w:cs="Arial"/>
          <w:sz w:val="22"/>
          <w:szCs w:val="22"/>
        </w:rPr>
        <w:t xml:space="preserve"> 27(6): 1109-1116. </w:t>
      </w:r>
    </w:p>
    <w:p w:rsidR="005D2762" w:rsidRPr="005D2762" w:rsidRDefault="005D2762" w:rsidP="005D2762">
      <w:pPr>
        <w:pStyle w:val="NormalWeb"/>
        <w:rPr>
          <w:rFonts w:ascii="Arial" w:hAnsi="Arial" w:cs="Arial"/>
          <w:sz w:val="22"/>
          <w:szCs w:val="22"/>
        </w:rPr>
      </w:pPr>
      <w:r w:rsidRPr="005D2762">
        <w:rPr>
          <w:rFonts w:ascii="Arial" w:hAnsi="Arial" w:cs="Arial"/>
          <w:sz w:val="22"/>
          <w:szCs w:val="22"/>
        </w:rPr>
        <w:t xml:space="preserve">Englbrecht M, Gossec L, DeLongis A, Scholte-Voshaar M, Sokka T, Kvien TK, et al. (2012) The impact of coping strategies on mental and physical well-being in patients with rheumatoid arthritis. </w:t>
      </w:r>
      <w:r w:rsidRPr="005D2762">
        <w:rPr>
          <w:rFonts w:ascii="Arial" w:hAnsi="Arial" w:cs="Arial"/>
          <w:i/>
          <w:iCs/>
          <w:sz w:val="22"/>
          <w:szCs w:val="22"/>
        </w:rPr>
        <w:t>Seminars in Arthritis &amp; Rheumatism</w:t>
      </w:r>
      <w:r w:rsidRPr="005D2762">
        <w:rPr>
          <w:rFonts w:ascii="Arial" w:hAnsi="Arial" w:cs="Arial"/>
          <w:sz w:val="22"/>
          <w:szCs w:val="22"/>
        </w:rPr>
        <w:t xml:space="preserve"> 41(4): 545-555. </w:t>
      </w:r>
    </w:p>
    <w:p w:rsidR="005D2762" w:rsidRPr="005D2762" w:rsidRDefault="005D2762" w:rsidP="005D2762">
      <w:pPr>
        <w:pStyle w:val="NormalWeb"/>
        <w:rPr>
          <w:rFonts w:ascii="Arial" w:hAnsi="Arial" w:cs="Arial"/>
          <w:sz w:val="22"/>
          <w:szCs w:val="22"/>
        </w:rPr>
      </w:pPr>
      <w:r w:rsidRPr="005D2762">
        <w:rPr>
          <w:rFonts w:ascii="Arial" w:hAnsi="Arial" w:cs="Arial"/>
          <w:sz w:val="22"/>
          <w:szCs w:val="22"/>
        </w:rPr>
        <w:t xml:space="preserve">Fearon I, McGrath P and Achat H (1996) ‘Booboos’: the study of everyday pain among young children. </w:t>
      </w:r>
      <w:r w:rsidRPr="005D2762">
        <w:rPr>
          <w:rFonts w:ascii="Arial" w:hAnsi="Arial" w:cs="Arial"/>
          <w:i/>
          <w:iCs/>
          <w:sz w:val="22"/>
          <w:szCs w:val="22"/>
        </w:rPr>
        <w:t>Pain</w:t>
      </w:r>
      <w:r w:rsidRPr="005D2762">
        <w:rPr>
          <w:rFonts w:ascii="Arial" w:hAnsi="Arial" w:cs="Arial"/>
          <w:sz w:val="22"/>
          <w:szCs w:val="22"/>
        </w:rPr>
        <w:t xml:space="preserve"> 68(1): 55-62. </w:t>
      </w:r>
    </w:p>
    <w:p w:rsidR="005D2762" w:rsidRPr="005D2762" w:rsidRDefault="005D2762" w:rsidP="005D2762">
      <w:pPr>
        <w:pStyle w:val="NormalWeb"/>
        <w:rPr>
          <w:rFonts w:ascii="Arial" w:hAnsi="Arial" w:cs="Arial"/>
          <w:sz w:val="22"/>
          <w:szCs w:val="22"/>
        </w:rPr>
      </w:pPr>
      <w:r w:rsidRPr="005D2762">
        <w:rPr>
          <w:rFonts w:ascii="Arial" w:hAnsi="Arial" w:cs="Arial"/>
          <w:sz w:val="22"/>
          <w:szCs w:val="22"/>
        </w:rPr>
        <w:t xml:space="preserve">Fifield J, Reisine S, Sheehan TJ and McQuillan J (1996) Gender, paid work, and symptoms of emotional distress in rheumatoid arthritis patients. </w:t>
      </w:r>
      <w:r w:rsidRPr="005D2762">
        <w:rPr>
          <w:rFonts w:ascii="Arial" w:hAnsi="Arial" w:cs="Arial"/>
          <w:i/>
          <w:iCs/>
          <w:sz w:val="22"/>
          <w:szCs w:val="22"/>
        </w:rPr>
        <w:t>Arthritis and Rheumatism</w:t>
      </w:r>
      <w:r w:rsidRPr="005D2762">
        <w:rPr>
          <w:rFonts w:ascii="Arial" w:hAnsi="Arial" w:cs="Arial"/>
          <w:sz w:val="22"/>
          <w:szCs w:val="22"/>
        </w:rPr>
        <w:t xml:space="preserve"> 39(3): 427-435. </w:t>
      </w:r>
    </w:p>
    <w:p w:rsidR="005D2762" w:rsidRPr="005D2762" w:rsidRDefault="005D2762" w:rsidP="005D2762">
      <w:pPr>
        <w:pStyle w:val="NormalWeb"/>
        <w:rPr>
          <w:rFonts w:ascii="Arial" w:hAnsi="Arial" w:cs="Arial"/>
          <w:sz w:val="22"/>
          <w:szCs w:val="22"/>
        </w:rPr>
      </w:pPr>
      <w:r w:rsidRPr="005D2762">
        <w:rPr>
          <w:rFonts w:ascii="Arial" w:hAnsi="Arial" w:cs="Arial"/>
          <w:sz w:val="22"/>
          <w:szCs w:val="22"/>
        </w:rPr>
        <w:t xml:space="preserve">Forslind K, Hafstrom I, Ahlmen M, Svensson B and BARFOT Study Group (2007) Sex: a major predictor of remission in early rheumatoid arthritis? </w:t>
      </w:r>
      <w:r w:rsidRPr="005D2762">
        <w:rPr>
          <w:rFonts w:ascii="Arial" w:hAnsi="Arial" w:cs="Arial"/>
          <w:i/>
          <w:iCs/>
          <w:sz w:val="22"/>
          <w:szCs w:val="22"/>
        </w:rPr>
        <w:t>Annals of the Rheumatic Diseases</w:t>
      </w:r>
      <w:r w:rsidRPr="005D2762">
        <w:rPr>
          <w:rFonts w:ascii="Arial" w:hAnsi="Arial" w:cs="Arial"/>
          <w:sz w:val="22"/>
          <w:szCs w:val="22"/>
        </w:rPr>
        <w:t xml:space="preserve"> 66(1): 46-52. </w:t>
      </w:r>
    </w:p>
    <w:p w:rsidR="005D2762" w:rsidRPr="005D2762" w:rsidRDefault="005D2762" w:rsidP="005D2762">
      <w:pPr>
        <w:pStyle w:val="NormalWeb"/>
        <w:rPr>
          <w:rFonts w:ascii="Arial" w:hAnsi="Arial" w:cs="Arial"/>
          <w:sz w:val="22"/>
          <w:szCs w:val="22"/>
        </w:rPr>
      </w:pPr>
      <w:r w:rsidRPr="005D2762">
        <w:rPr>
          <w:rFonts w:ascii="Arial" w:hAnsi="Arial" w:cs="Arial"/>
          <w:sz w:val="22"/>
          <w:szCs w:val="22"/>
        </w:rPr>
        <w:lastRenderedPageBreak/>
        <w:t xml:space="preserve">Gignac MA, Backman CL, Davis AM, Lacaille D, Mattison CA, Montie P, et al. (2008) Understanding social role participation: what matters to people with arthritis? </w:t>
      </w:r>
      <w:r w:rsidRPr="005D2762">
        <w:rPr>
          <w:rFonts w:ascii="Arial" w:hAnsi="Arial" w:cs="Arial"/>
          <w:i/>
          <w:iCs/>
          <w:sz w:val="22"/>
          <w:szCs w:val="22"/>
        </w:rPr>
        <w:t>The Journal of Rheumatology</w:t>
      </w:r>
      <w:r w:rsidRPr="005D2762">
        <w:rPr>
          <w:rFonts w:ascii="Arial" w:hAnsi="Arial" w:cs="Arial"/>
          <w:sz w:val="22"/>
          <w:szCs w:val="22"/>
        </w:rPr>
        <w:t xml:space="preserve"> 35(8): 1655-1663. </w:t>
      </w:r>
    </w:p>
    <w:p w:rsidR="005D2762" w:rsidRPr="005D2762" w:rsidRDefault="005D2762" w:rsidP="005D2762">
      <w:pPr>
        <w:pStyle w:val="NormalWeb"/>
        <w:rPr>
          <w:rFonts w:ascii="Arial" w:hAnsi="Arial" w:cs="Arial"/>
          <w:sz w:val="22"/>
          <w:szCs w:val="22"/>
        </w:rPr>
      </w:pPr>
      <w:r w:rsidRPr="005D2762">
        <w:rPr>
          <w:rFonts w:ascii="Arial" w:hAnsi="Arial" w:cs="Arial"/>
          <w:sz w:val="22"/>
          <w:szCs w:val="22"/>
        </w:rPr>
        <w:t xml:space="preserve">Great Britain. Parliament. (2010) </w:t>
      </w:r>
      <w:r w:rsidRPr="005D2762">
        <w:rPr>
          <w:rFonts w:ascii="Arial" w:hAnsi="Arial" w:cs="Arial"/>
          <w:i/>
          <w:iCs/>
          <w:sz w:val="22"/>
          <w:szCs w:val="22"/>
        </w:rPr>
        <w:t>Equality Act 2010: Queen Elizab</w:t>
      </w:r>
      <w:r>
        <w:rPr>
          <w:rFonts w:ascii="Arial" w:hAnsi="Arial" w:cs="Arial"/>
          <w:i/>
          <w:iCs/>
          <w:sz w:val="22"/>
          <w:szCs w:val="22"/>
        </w:rPr>
        <w:t>e</w:t>
      </w:r>
      <w:r w:rsidRPr="005D2762">
        <w:rPr>
          <w:rFonts w:ascii="Arial" w:hAnsi="Arial" w:cs="Arial"/>
          <w:i/>
          <w:iCs/>
          <w:sz w:val="22"/>
          <w:szCs w:val="22"/>
        </w:rPr>
        <w:t xml:space="preserve">th II. Chapter 15. </w:t>
      </w:r>
      <w:r w:rsidRPr="005D2762">
        <w:rPr>
          <w:rFonts w:ascii="Arial" w:hAnsi="Arial" w:cs="Arial"/>
          <w:sz w:val="22"/>
          <w:szCs w:val="22"/>
        </w:rPr>
        <w:t xml:space="preserve">London: Stationary Office. </w:t>
      </w:r>
    </w:p>
    <w:p w:rsidR="005D2762" w:rsidRPr="005D2762" w:rsidRDefault="005D2762" w:rsidP="005D2762">
      <w:pPr>
        <w:pStyle w:val="NormalWeb"/>
        <w:rPr>
          <w:rFonts w:ascii="Arial" w:hAnsi="Arial" w:cs="Arial"/>
          <w:sz w:val="22"/>
          <w:szCs w:val="22"/>
        </w:rPr>
      </w:pPr>
      <w:r w:rsidRPr="005D2762">
        <w:rPr>
          <w:rFonts w:ascii="Arial" w:hAnsi="Arial" w:cs="Arial"/>
          <w:sz w:val="22"/>
          <w:szCs w:val="22"/>
        </w:rPr>
        <w:t xml:space="preserve">Helland Y, Dagfinrud H and Kvien TK (2008) Perceived influence of health status on sexual activity in RA patients: associations with demographic and disease-related variables. </w:t>
      </w:r>
      <w:r w:rsidRPr="005D2762">
        <w:rPr>
          <w:rFonts w:ascii="Arial" w:hAnsi="Arial" w:cs="Arial"/>
          <w:i/>
          <w:iCs/>
          <w:sz w:val="22"/>
          <w:szCs w:val="22"/>
        </w:rPr>
        <w:t>Scandinavian Journal of Rheumatology</w:t>
      </w:r>
      <w:r w:rsidRPr="005D2762">
        <w:rPr>
          <w:rFonts w:ascii="Arial" w:hAnsi="Arial" w:cs="Arial"/>
          <w:sz w:val="22"/>
          <w:szCs w:val="22"/>
        </w:rPr>
        <w:t xml:space="preserve"> 37(3): 194-199. </w:t>
      </w:r>
    </w:p>
    <w:p w:rsidR="005D2762" w:rsidRPr="005D2762" w:rsidRDefault="005D2762" w:rsidP="005D2762">
      <w:pPr>
        <w:pStyle w:val="NormalWeb"/>
        <w:rPr>
          <w:rFonts w:ascii="Arial" w:hAnsi="Arial" w:cs="Arial"/>
          <w:sz w:val="22"/>
          <w:szCs w:val="22"/>
        </w:rPr>
      </w:pPr>
      <w:r w:rsidRPr="005D2762">
        <w:rPr>
          <w:rFonts w:ascii="Arial" w:hAnsi="Arial" w:cs="Arial"/>
          <w:sz w:val="22"/>
          <w:szCs w:val="22"/>
        </w:rPr>
        <w:t xml:space="preserve">Hewlett S, Ambler N, Almeida C, Cliss A, Hammond A, Kitchen K, et al. (2011) Self-management of fatigue in rheumatoid arthritis: a randomised controlled trial of group cognitive-behavioural therapy. </w:t>
      </w:r>
      <w:r w:rsidRPr="005D2762">
        <w:rPr>
          <w:rFonts w:ascii="Arial" w:hAnsi="Arial" w:cs="Arial"/>
          <w:i/>
          <w:iCs/>
          <w:sz w:val="22"/>
          <w:szCs w:val="22"/>
        </w:rPr>
        <w:t>Annals of the Rheumatic Diseases</w:t>
      </w:r>
      <w:r w:rsidRPr="005D2762">
        <w:rPr>
          <w:rFonts w:ascii="Arial" w:hAnsi="Arial" w:cs="Arial"/>
          <w:sz w:val="22"/>
          <w:szCs w:val="22"/>
        </w:rPr>
        <w:t xml:space="preserve"> 70(6): 1060-1067. </w:t>
      </w:r>
    </w:p>
    <w:p w:rsidR="005D2762" w:rsidRPr="005D2762" w:rsidRDefault="005D2762" w:rsidP="005D2762">
      <w:pPr>
        <w:pStyle w:val="NormalWeb"/>
        <w:rPr>
          <w:rFonts w:ascii="Arial" w:hAnsi="Arial" w:cs="Arial"/>
          <w:sz w:val="22"/>
          <w:szCs w:val="22"/>
        </w:rPr>
      </w:pPr>
      <w:r w:rsidRPr="005D2762">
        <w:rPr>
          <w:rFonts w:ascii="Arial" w:hAnsi="Arial" w:cs="Arial"/>
          <w:sz w:val="22"/>
          <w:szCs w:val="22"/>
        </w:rPr>
        <w:t xml:space="preserve">Hewlett S, Wit Md, Richards P, Quest E, Hughes R, Heiberg T, et al. (2006) Patients and professionals as research partners: Challenges, practicalities, and benefits. </w:t>
      </w:r>
      <w:r w:rsidRPr="005D2762">
        <w:rPr>
          <w:rFonts w:ascii="Arial" w:hAnsi="Arial" w:cs="Arial"/>
          <w:i/>
          <w:iCs/>
          <w:sz w:val="22"/>
          <w:szCs w:val="22"/>
        </w:rPr>
        <w:t>Arthritis Care &amp; Research</w:t>
      </w:r>
      <w:r w:rsidRPr="005D2762">
        <w:rPr>
          <w:rFonts w:ascii="Arial" w:hAnsi="Arial" w:cs="Arial"/>
          <w:sz w:val="22"/>
          <w:szCs w:val="22"/>
        </w:rPr>
        <w:t xml:space="preserve"> 55(4): 676-680. </w:t>
      </w:r>
    </w:p>
    <w:p w:rsidR="005D2762" w:rsidRPr="005D2762" w:rsidRDefault="005D2762" w:rsidP="005D2762">
      <w:pPr>
        <w:pStyle w:val="NormalWeb"/>
        <w:rPr>
          <w:rFonts w:ascii="Arial" w:hAnsi="Arial" w:cs="Arial"/>
          <w:sz w:val="22"/>
          <w:szCs w:val="22"/>
        </w:rPr>
      </w:pPr>
      <w:r w:rsidRPr="005D2762">
        <w:rPr>
          <w:rFonts w:ascii="Arial" w:hAnsi="Arial" w:cs="Arial"/>
          <w:sz w:val="22"/>
          <w:szCs w:val="22"/>
        </w:rPr>
        <w:t xml:space="preserve">Hill J (2006) </w:t>
      </w:r>
      <w:r w:rsidRPr="005D2762">
        <w:rPr>
          <w:rFonts w:ascii="Arial" w:hAnsi="Arial" w:cs="Arial"/>
          <w:i/>
          <w:iCs/>
          <w:sz w:val="22"/>
          <w:szCs w:val="22"/>
        </w:rPr>
        <w:t xml:space="preserve">Rheumatology Nursing: A Creative Approach. </w:t>
      </w:r>
      <w:r w:rsidRPr="005D2762">
        <w:rPr>
          <w:rFonts w:ascii="Arial" w:hAnsi="Arial" w:cs="Arial"/>
          <w:sz w:val="22"/>
          <w:szCs w:val="22"/>
        </w:rPr>
        <w:t xml:space="preserve">Edinburgh: Wiley. </w:t>
      </w:r>
    </w:p>
    <w:p w:rsidR="005D2762" w:rsidRPr="005D2762" w:rsidRDefault="005D2762" w:rsidP="005D2762">
      <w:pPr>
        <w:pStyle w:val="NormalWeb"/>
        <w:rPr>
          <w:rFonts w:ascii="Arial" w:hAnsi="Arial" w:cs="Arial"/>
          <w:sz w:val="22"/>
          <w:szCs w:val="22"/>
        </w:rPr>
      </w:pPr>
      <w:r w:rsidRPr="005D2762">
        <w:rPr>
          <w:rFonts w:ascii="Arial" w:hAnsi="Arial" w:cs="Arial"/>
          <w:sz w:val="22"/>
          <w:szCs w:val="22"/>
        </w:rPr>
        <w:t xml:space="preserve">Humphreys JH, Verstappen SM, Hyrich KL, Chipping JR, Marshall T and Symmons DP (2013) The incidence of rheumatoid arthritis in the UK: comparisons using the 2010 ACR/EULAR classification criteria and the 1987 ACR classification criteria. Results from the Norfolk Arthritis Register. </w:t>
      </w:r>
      <w:r w:rsidRPr="005D2762">
        <w:rPr>
          <w:rFonts w:ascii="Arial" w:hAnsi="Arial" w:cs="Arial"/>
          <w:i/>
          <w:iCs/>
          <w:sz w:val="22"/>
          <w:szCs w:val="22"/>
        </w:rPr>
        <w:t>Annals of the Rheumatic Diseases</w:t>
      </w:r>
      <w:r w:rsidRPr="005D2762">
        <w:rPr>
          <w:rFonts w:ascii="Arial" w:hAnsi="Arial" w:cs="Arial"/>
          <w:sz w:val="22"/>
          <w:szCs w:val="22"/>
        </w:rPr>
        <w:t xml:space="preserve"> 72(8): 1315-1320. </w:t>
      </w:r>
    </w:p>
    <w:p w:rsidR="005D2762" w:rsidRPr="005D2762" w:rsidRDefault="005D2762" w:rsidP="005D2762">
      <w:pPr>
        <w:pStyle w:val="NormalWeb"/>
        <w:rPr>
          <w:rFonts w:ascii="Arial" w:hAnsi="Arial" w:cs="Arial"/>
          <w:sz w:val="22"/>
          <w:szCs w:val="22"/>
        </w:rPr>
      </w:pPr>
      <w:r w:rsidRPr="005D2762">
        <w:rPr>
          <w:rFonts w:ascii="Arial" w:hAnsi="Arial" w:cs="Arial"/>
          <w:sz w:val="22"/>
          <w:szCs w:val="22"/>
        </w:rPr>
        <w:t xml:space="preserve">Karlsson B, Berglin E and Wållberg-Jonsson S (2006) Life satisfaction in early rheumatoid arthritis: a prospective study. </w:t>
      </w:r>
      <w:r w:rsidRPr="005D2762">
        <w:rPr>
          <w:rFonts w:ascii="Arial" w:hAnsi="Arial" w:cs="Arial"/>
          <w:i/>
          <w:iCs/>
          <w:sz w:val="22"/>
          <w:szCs w:val="22"/>
        </w:rPr>
        <w:t>Scandinavian Journal of Occupational Therapy</w:t>
      </w:r>
      <w:r w:rsidRPr="005D2762">
        <w:rPr>
          <w:rFonts w:ascii="Arial" w:hAnsi="Arial" w:cs="Arial"/>
          <w:sz w:val="22"/>
          <w:szCs w:val="22"/>
        </w:rPr>
        <w:t xml:space="preserve"> 13(3): 193-199. </w:t>
      </w:r>
    </w:p>
    <w:p w:rsidR="005D2762" w:rsidRPr="005D2762" w:rsidRDefault="005D2762" w:rsidP="005D2762">
      <w:pPr>
        <w:pStyle w:val="NormalWeb"/>
        <w:rPr>
          <w:rFonts w:ascii="Arial" w:hAnsi="Arial" w:cs="Arial"/>
          <w:sz w:val="22"/>
          <w:szCs w:val="22"/>
        </w:rPr>
      </w:pPr>
      <w:r w:rsidRPr="005D2762">
        <w:rPr>
          <w:rFonts w:ascii="Arial" w:hAnsi="Arial" w:cs="Arial"/>
          <w:sz w:val="22"/>
          <w:szCs w:val="22"/>
        </w:rPr>
        <w:t xml:space="preserve">Kraaimaat FW, Bakker AH, Janssen E and Bijlsma JW (1996) Intrusiveness of rheumatoid arthritis on sexuality in male and female patients living with a spouse. </w:t>
      </w:r>
      <w:r w:rsidRPr="005D2762">
        <w:rPr>
          <w:rFonts w:ascii="Arial" w:hAnsi="Arial" w:cs="Arial"/>
          <w:i/>
          <w:iCs/>
          <w:sz w:val="22"/>
          <w:szCs w:val="22"/>
        </w:rPr>
        <w:t>Arthritis Care and Research: The Official Journal of the Arthritis Health Professions Association</w:t>
      </w:r>
      <w:r w:rsidRPr="005D2762">
        <w:rPr>
          <w:rFonts w:ascii="Arial" w:hAnsi="Arial" w:cs="Arial"/>
          <w:sz w:val="22"/>
          <w:szCs w:val="22"/>
        </w:rPr>
        <w:t xml:space="preserve"> 9(2): 120-125. </w:t>
      </w:r>
    </w:p>
    <w:p w:rsidR="005D2762" w:rsidRPr="005D2762" w:rsidRDefault="005D2762" w:rsidP="005D2762">
      <w:pPr>
        <w:pStyle w:val="NormalWeb"/>
        <w:rPr>
          <w:rFonts w:ascii="Arial" w:hAnsi="Arial" w:cs="Arial"/>
          <w:sz w:val="22"/>
          <w:szCs w:val="22"/>
        </w:rPr>
      </w:pPr>
      <w:r w:rsidRPr="005D2762">
        <w:rPr>
          <w:rFonts w:ascii="Arial" w:hAnsi="Arial" w:cs="Arial"/>
          <w:sz w:val="22"/>
          <w:szCs w:val="22"/>
        </w:rPr>
        <w:t xml:space="preserve">Lack S, Noddings R and Hewlett S (2011) Men's experiences of rheumatoid arthritis: An Inductive Thematic Analysis. </w:t>
      </w:r>
      <w:r w:rsidRPr="005D2762">
        <w:rPr>
          <w:rFonts w:ascii="Arial" w:hAnsi="Arial" w:cs="Arial"/>
          <w:i/>
          <w:iCs/>
          <w:sz w:val="22"/>
          <w:szCs w:val="22"/>
        </w:rPr>
        <w:t>Musculoskeletal Care</w:t>
      </w:r>
      <w:r w:rsidRPr="005D2762">
        <w:rPr>
          <w:rFonts w:ascii="Arial" w:hAnsi="Arial" w:cs="Arial"/>
          <w:sz w:val="22"/>
          <w:szCs w:val="22"/>
        </w:rPr>
        <w:t xml:space="preserve"> 9(2): 102-112. </w:t>
      </w:r>
    </w:p>
    <w:p w:rsidR="005D2762" w:rsidRPr="005D2762" w:rsidRDefault="005D2762" w:rsidP="005D2762">
      <w:pPr>
        <w:pStyle w:val="NormalWeb"/>
        <w:rPr>
          <w:rFonts w:ascii="Arial" w:hAnsi="Arial" w:cs="Arial"/>
          <w:sz w:val="22"/>
          <w:szCs w:val="22"/>
        </w:rPr>
      </w:pPr>
      <w:r w:rsidRPr="005D2762">
        <w:rPr>
          <w:rFonts w:ascii="Arial" w:hAnsi="Arial" w:cs="Arial"/>
          <w:sz w:val="22"/>
          <w:szCs w:val="22"/>
        </w:rPr>
        <w:t xml:space="preserve">Lapsley HM, March LM, Tribe KL, Cross MJ, Courtenay BG and Brooks PM (2002) Living with rheumatoid arthritis: expenditures, health status, and social impact on patients. </w:t>
      </w:r>
      <w:r w:rsidRPr="005D2762">
        <w:rPr>
          <w:rFonts w:ascii="Arial" w:hAnsi="Arial" w:cs="Arial"/>
          <w:i/>
          <w:iCs/>
          <w:sz w:val="22"/>
          <w:szCs w:val="22"/>
        </w:rPr>
        <w:t>Annals of the Rheumatic Diseases</w:t>
      </w:r>
      <w:r w:rsidRPr="005D2762">
        <w:rPr>
          <w:rFonts w:ascii="Arial" w:hAnsi="Arial" w:cs="Arial"/>
          <w:sz w:val="22"/>
          <w:szCs w:val="22"/>
        </w:rPr>
        <w:t xml:space="preserve"> 61(9): 818. </w:t>
      </w:r>
    </w:p>
    <w:p w:rsidR="005D2762" w:rsidRPr="005D2762" w:rsidRDefault="005D2762" w:rsidP="005D2762">
      <w:pPr>
        <w:pStyle w:val="NormalWeb"/>
        <w:rPr>
          <w:rFonts w:ascii="Arial" w:hAnsi="Arial" w:cs="Arial"/>
          <w:sz w:val="22"/>
          <w:szCs w:val="22"/>
        </w:rPr>
      </w:pPr>
      <w:r w:rsidRPr="005D2762">
        <w:rPr>
          <w:rFonts w:ascii="Arial" w:hAnsi="Arial" w:cs="Arial"/>
          <w:sz w:val="22"/>
          <w:szCs w:val="22"/>
        </w:rPr>
        <w:t xml:space="preserve">Leeb BF, Haindl PM, Maktari A, Nothnagl T and Rintelen B (2007) Disease activity score-28 values differ considerably depending on patient's pain perception and sex. </w:t>
      </w:r>
      <w:r w:rsidRPr="005D2762">
        <w:rPr>
          <w:rFonts w:ascii="Arial" w:hAnsi="Arial" w:cs="Arial"/>
          <w:i/>
          <w:iCs/>
          <w:sz w:val="22"/>
          <w:szCs w:val="22"/>
        </w:rPr>
        <w:t>The Journal of Rheumatology</w:t>
      </w:r>
      <w:r w:rsidRPr="005D2762">
        <w:rPr>
          <w:rFonts w:ascii="Arial" w:hAnsi="Arial" w:cs="Arial"/>
          <w:sz w:val="22"/>
          <w:szCs w:val="22"/>
        </w:rPr>
        <w:t xml:space="preserve"> 34(12): 2382-2387. </w:t>
      </w:r>
    </w:p>
    <w:p w:rsidR="005D2762" w:rsidRPr="005D2762" w:rsidRDefault="005D2762" w:rsidP="005D2762">
      <w:pPr>
        <w:pStyle w:val="NormalWeb"/>
        <w:rPr>
          <w:rFonts w:ascii="Arial" w:hAnsi="Arial" w:cs="Arial"/>
          <w:sz w:val="22"/>
          <w:szCs w:val="22"/>
        </w:rPr>
      </w:pPr>
      <w:r w:rsidRPr="005D2762">
        <w:rPr>
          <w:rFonts w:ascii="Arial" w:hAnsi="Arial" w:cs="Arial"/>
          <w:sz w:val="22"/>
          <w:szCs w:val="22"/>
        </w:rPr>
        <w:t>Lorig KR, Ritter PL, Laurent DD and Plant K (2008) The internet</w:t>
      </w:r>
      <w:r w:rsidRPr="005D2762">
        <w:rPr>
          <w:rFonts w:ascii="Cambria Math" w:hAnsi="Cambria Math" w:cs="Cambria Math"/>
          <w:sz w:val="22"/>
          <w:szCs w:val="22"/>
        </w:rPr>
        <w:t>‐</w:t>
      </w:r>
      <w:r w:rsidRPr="005D2762">
        <w:rPr>
          <w:rFonts w:ascii="Arial" w:hAnsi="Arial" w:cs="Arial"/>
          <w:sz w:val="22"/>
          <w:szCs w:val="22"/>
        </w:rPr>
        <w:t>based arthritis self</w:t>
      </w:r>
      <w:r w:rsidRPr="005D2762">
        <w:rPr>
          <w:rFonts w:ascii="Cambria Math" w:hAnsi="Cambria Math" w:cs="Cambria Math"/>
          <w:sz w:val="22"/>
          <w:szCs w:val="22"/>
        </w:rPr>
        <w:t>‐</w:t>
      </w:r>
      <w:r w:rsidRPr="005D2762">
        <w:rPr>
          <w:rFonts w:ascii="Arial" w:hAnsi="Arial" w:cs="Arial"/>
          <w:sz w:val="22"/>
          <w:szCs w:val="22"/>
        </w:rPr>
        <w:t>management program: A one</w:t>
      </w:r>
      <w:r w:rsidRPr="005D2762">
        <w:rPr>
          <w:rFonts w:ascii="Cambria Math" w:hAnsi="Cambria Math" w:cs="Cambria Math"/>
          <w:sz w:val="22"/>
          <w:szCs w:val="22"/>
        </w:rPr>
        <w:t>‐</w:t>
      </w:r>
      <w:r w:rsidRPr="005D2762">
        <w:rPr>
          <w:rFonts w:ascii="Arial" w:hAnsi="Arial" w:cs="Arial"/>
          <w:sz w:val="22"/>
          <w:szCs w:val="22"/>
        </w:rPr>
        <w:t xml:space="preserve">year randomized trial for patients with arthritis or fibromyalgia. </w:t>
      </w:r>
      <w:r w:rsidRPr="005D2762">
        <w:rPr>
          <w:rFonts w:ascii="Arial" w:hAnsi="Arial" w:cs="Arial"/>
          <w:i/>
          <w:iCs/>
          <w:sz w:val="22"/>
          <w:szCs w:val="22"/>
        </w:rPr>
        <w:t>Arthritis Care &amp; Research</w:t>
      </w:r>
      <w:r w:rsidRPr="005D2762">
        <w:rPr>
          <w:rFonts w:ascii="Arial" w:hAnsi="Arial" w:cs="Arial"/>
          <w:sz w:val="22"/>
          <w:szCs w:val="22"/>
        </w:rPr>
        <w:t xml:space="preserve"> 59(7): 1009-1017. </w:t>
      </w:r>
    </w:p>
    <w:p w:rsidR="005D2762" w:rsidRPr="005D2762" w:rsidRDefault="005D2762" w:rsidP="005D2762">
      <w:pPr>
        <w:pStyle w:val="NormalWeb"/>
        <w:rPr>
          <w:rFonts w:ascii="Arial" w:hAnsi="Arial" w:cs="Arial"/>
          <w:sz w:val="22"/>
          <w:szCs w:val="22"/>
        </w:rPr>
      </w:pPr>
      <w:r w:rsidRPr="005D2762">
        <w:rPr>
          <w:rFonts w:ascii="Arial" w:hAnsi="Arial" w:cs="Arial"/>
          <w:sz w:val="22"/>
          <w:szCs w:val="22"/>
        </w:rPr>
        <w:t xml:space="preserve">McCaughan E, Prue G, Parahoo K, McIlfatrick S and McKenna H (2011) Exploring and comparing the experience and coping behaviour of men and women with colorectal cancer at diagnosis and during surgery. </w:t>
      </w:r>
      <w:r w:rsidRPr="005D2762">
        <w:rPr>
          <w:rFonts w:ascii="Arial" w:hAnsi="Arial" w:cs="Arial"/>
          <w:i/>
          <w:iCs/>
          <w:sz w:val="22"/>
          <w:szCs w:val="22"/>
        </w:rPr>
        <w:t>Journal of Advanced Nursing</w:t>
      </w:r>
      <w:r w:rsidRPr="005D2762">
        <w:rPr>
          <w:rFonts w:ascii="Arial" w:hAnsi="Arial" w:cs="Arial"/>
          <w:sz w:val="22"/>
          <w:szCs w:val="22"/>
        </w:rPr>
        <w:t xml:space="preserve"> 67(7): 1591-1600. </w:t>
      </w:r>
    </w:p>
    <w:p w:rsidR="005D2762" w:rsidRPr="005D2762" w:rsidRDefault="005D2762" w:rsidP="005D2762">
      <w:pPr>
        <w:pStyle w:val="NormalWeb"/>
        <w:rPr>
          <w:rFonts w:ascii="Arial" w:hAnsi="Arial" w:cs="Arial"/>
          <w:sz w:val="22"/>
          <w:szCs w:val="22"/>
        </w:rPr>
      </w:pPr>
      <w:r w:rsidRPr="005D2762">
        <w:rPr>
          <w:rFonts w:ascii="Arial" w:hAnsi="Arial" w:cs="Arial"/>
          <w:sz w:val="22"/>
          <w:szCs w:val="22"/>
        </w:rPr>
        <w:lastRenderedPageBreak/>
        <w:t xml:space="preserve">Mechanic D (1972) Social psychologic factors affecting the presentation of bodily complaints. </w:t>
      </w:r>
      <w:r w:rsidRPr="005D2762">
        <w:rPr>
          <w:rFonts w:ascii="Arial" w:hAnsi="Arial" w:cs="Arial"/>
          <w:i/>
          <w:iCs/>
          <w:sz w:val="22"/>
          <w:szCs w:val="22"/>
        </w:rPr>
        <w:t>The New England Journal of Medicine</w:t>
      </w:r>
      <w:r w:rsidRPr="005D2762">
        <w:rPr>
          <w:rFonts w:ascii="Arial" w:hAnsi="Arial" w:cs="Arial"/>
          <w:sz w:val="22"/>
          <w:szCs w:val="22"/>
        </w:rPr>
        <w:t xml:space="preserve"> 286(21): 1132-1139. </w:t>
      </w:r>
    </w:p>
    <w:p w:rsidR="005D2762" w:rsidRPr="005D2762" w:rsidRDefault="005D2762" w:rsidP="005D2762">
      <w:pPr>
        <w:pStyle w:val="NormalWeb"/>
        <w:rPr>
          <w:rFonts w:ascii="Arial" w:hAnsi="Arial" w:cs="Arial"/>
          <w:sz w:val="22"/>
          <w:szCs w:val="22"/>
        </w:rPr>
      </w:pPr>
      <w:r w:rsidRPr="005D2762">
        <w:rPr>
          <w:rFonts w:ascii="Arial" w:hAnsi="Arial" w:cs="Arial"/>
          <w:sz w:val="22"/>
          <w:szCs w:val="22"/>
        </w:rPr>
        <w:t xml:space="preserve">Meenan RF, Gertman PM, Mason JH and Dunaif R (1982) The arthritis impact measurement scales. Further investigations of a health status measure. </w:t>
      </w:r>
      <w:r w:rsidRPr="005D2762">
        <w:rPr>
          <w:rFonts w:ascii="Arial" w:hAnsi="Arial" w:cs="Arial"/>
          <w:i/>
          <w:iCs/>
          <w:sz w:val="22"/>
          <w:szCs w:val="22"/>
        </w:rPr>
        <w:t>Arthritis &amp; Rheumatism</w:t>
      </w:r>
      <w:r w:rsidRPr="005D2762">
        <w:rPr>
          <w:rFonts w:ascii="Arial" w:hAnsi="Arial" w:cs="Arial"/>
          <w:sz w:val="22"/>
          <w:szCs w:val="22"/>
        </w:rPr>
        <w:t xml:space="preserve"> 25(9): 1048-1053. </w:t>
      </w:r>
    </w:p>
    <w:p w:rsidR="005D2762" w:rsidRPr="005D2762" w:rsidRDefault="005D2762" w:rsidP="005D2762">
      <w:pPr>
        <w:pStyle w:val="NormalWeb"/>
        <w:rPr>
          <w:rFonts w:ascii="Arial" w:hAnsi="Arial" w:cs="Arial"/>
          <w:sz w:val="22"/>
          <w:szCs w:val="22"/>
        </w:rPr>
      </w:pPr>
      <w:r w:rsidRPr="005D2762">
        <w:rPr>
          <w:rFonts w:ascii="Arial" w:hAnsi="Arial" w:cs="Arial"/>
          <w:sz w:val="22"/>
          <w:szCs w:val="22"/>
        </w:rPr>
        <w:t xml:space="preserve">Meenan RF, Mason JH, Anderson JJ, Guccione AA and Kazis LE (1992) AIMS2. The content and properties of a revised and expanded Arthritis Impact Measurement Scales Health Status Questionnaire. </w:t>
      </w:r>
      <w:r w:rsidRPr="005D2762">
        <w:rPr>
          <w:rFonts w:ascii="Arial" w:hAnsi="Arial" w:cs="Arial"/>
          <w:i/>
          <w:iCs/>
          <w:sz w:val="22"/>
          <w:szCs w:val="22"/>
        </w:rPr>
        <w:t>Arthritis &amp; Rheumatism</w:t>
      </w:r>
      <w:r w:rsidRPr="005D2762">
        <w:rPr>
          <w:rFonts w:ascii="Arial" w:hAnsi="Arial" w:cs="Arial"/>
          <w:sz w:val="22"/>
          <w:szCs w:val="22"/>
        </w:rPr>
        <w:t xml:space="preserve"> 35(1): 1-10. </w:t>
      </w:r>
    </w:p>
    <w:p w:rsidR="005D2762" w:rsidRPr="005D2762" w:rsidRDefault="005D2762" w:rsidP="005D2762">
      <w:pPr>
        <w:pStyle w:val="NormalWeb"/>
        <w:rPr>
          <w:rFonts w:ascii="Arial" w:hAnsi="Arial" w:cs="Arial"/>
          <w:sz w:val="22"/>
          <w:szCs w:val="22"/>
        </w:rPr>
      </w:pPr>
      <w:r w:rsidRPr="005D2762">
        <w:rPr>
          <w:rFonts w:ascii="Arial" w:hAnsi="Arial" w:cs="Arial"/>
          <w:sz w:val="22"/>
          <w:szCs w:val="22"/>
        </w:rPr>
        <w:t xml:space="preserve">Naleway AL, Vollmer WM, Frazier EA, O'Connor E and Magid DJ (2006) Gender differences in asthma management and quality of life. </w:t>
      </w:r>
      <w:r w:rsidRPr="005D2762">
        <w:rPr>
          <w:rFonts w:ascii="Arial" w:hAnsi="Arial" w:cs="Arial"/>
          <w:i/>
          <w:iCs/>
          <w:sz w:val="22"/>
          <w:szCs w:val="22"/>
        </w:rPr>
        <w:t>Journal of Asthma</w:t>
      </w:r>
      <w:r w:rsidRPr="005D2762">
        <w:rPr>
          <w:rFonts w:ascii="Arial" w:hAnsi="Arial" w:cs="Arial"/>
          <w:sz w:val="22"/>
          <w:szCs w:val="22"/>
        </w:rPr>
        <w:t xml:space="preserve"> 43(7): 549-552. </w:t>
      </w:r>
    </w:p>
    <w:p w:rsidR="005D2762" w:rsidRPr="005D2762" w:rsidRDefault="005D2762" w:rsidP="005D2762">
      <w:pPr>
        <w:pStyle w:val="NormalWeb"/>
        <w:rPr>
          <w:rFonts w:ascii="Arial" w:hAnsi="Arial" w:cs="Arial"/>
          <w:sz w:val="22"/>
          <w:szCs w:val="22"/>
        </w:rPr>
      </w:pPr>
      <w:r w:rsidRPr="005D2762">
        <w:rPr>
          <w:rFonts w:ascii="Arial" w:hAnsi="Arial" w:cs="Arial"/>
          <w:sz w:val="22"/>
          <w:szCs w:val="22"/>
        </w:rPr>
        <w:t xml:space="preserve">Østensen M, Villiger PM and Förger F (2011) Interaction of pregnancy and autoimmune rheumatic disease. </w:t>
      </w:r>
      <w:r w:rsidRPr="005D2762">
        <w:rPr>
          <w:rFonts w:ascii="Arial" w:hAnsi="Arial" w:cs="Arial"/>
          <w:i/>
          <w:iCs/>
          <w:sz w:val="22"/>
          <w:szCs w:val="22"/>
        </w:rPr>
        <w:t>Autoimmunity Reviews</w:t>
      </w:r>
      <w:r w:rsidRPr="005D2762">
        <w:rPr>
          <w:rFonts w:ascii="Arial" w:hAnsi="Arial" w:cs="Arial"/>
          <w:sz w:val="22"/>
          <w:szCs w:val="22"/>
        </w:rPr>
        <w:t xml:space="preserve">: A437-A446. </w:t>
      </w:r>
    </w:p>
    <w:p w:rsidR="005D2762" w:rsidRPr="005D2762" w:rsidRDefault="005D2762" w:rsidP="005D2762">
      <w:pPr>
        <w:pStyle w:val="NormalWeb"/>
        <w:rPr>
          <w:rFonts w:ascii="Arial" w:hAnsi="Arial" w:cs="Arial"/>
          <w:sz w:val="22"/>
          <w:szCs w:val="22"/>
        </w:rPr>
      </w:pPr>
      <w:r w:rsidRPr="005D2762">
        <w:rPr>
          <w:rFonts w:ascii="Arial" w:hAnsi="Arial" w:cs="Arial"/>
          <w:sz w:val="22"/>
          <w:szCs w:val="22"/>
        </w:rPr>
        <w:t xml:space="preserve">Persson LO, Larsson BM, Nived K and Eberhardt K (2005) The development of emotional distress in 158 patients with recently diagnosed rheumatoid arthritis: a prospective 5-year follow-up study. </w:t>
      </w:r>
      <w:r w:rsidRPr="005D2762">
        <w:rPr>
          <w:rFonts w:ascii="Arial" w:hAnsi="Arial" w:cs="Arial"/>
          <w:i/>
          <w:iCs/>
          <w:sz w:val="22"/>
          <w:szCs w:val="22"/>
        </w:rPr>
        <w:t>Scandinavian Journal of Rheumatology</w:t>
      </w:r>
      <w:r w:rsidRPr="005D2762">
        <w:rPr>
          <w:rFonts w:ascii="Arial" w:hAnsi="Arial" w:cs="Arial"/>
          <w:sz w:val="22"/>
          <w:szCs w:val="22"/>
        </w:rPr>
        <w:t xml:space="preserve"> 34(3): 191-197. </w:t>
      </w:r>
    </w:p>
    <w:p w:rsidR="005D2762" w:rsidRPr="005D2762" w:rsidRDefault="005D2762" w:rsidP="005D2762">
      <w:pPr>
        <w:pStyle w:val="NormalWeb"/>
        <w:rPr>
          <w:rFonts w:ascii="Arial" w:hAnsi="Arial" w:cs="Arial"/>
          <w:sz w:val="22"/>
          <w:szCs w:val="22"/>
        </w:rPr>
      </w:pPr>
      <w:r w:rsidRPr="005D2762">
        <w:rPr>
          <w:rFonts w:ascii="Arial" w:hAnsi="Arial" w:cs="Arial"/>
          <w:sz w:val="22"/>
          <w:szCs w:val="22"/>
        </w:rPr>
        <w:t xml:space="preserve">Pinals RS, Masi AT and Larsen RA (1981) Preliminary criteria for clinical remission in rheumatoid arthritis. </w:t>
      </w:r>
      <w:r w:rsidRPr="005D2762">
        <w:rPr>
          <w:rFonts w:ascii="Arial" w:hAnsi="Arial" w:cs="Arial"/>
          <w:i/>
          <w:iCs/>
          <w:sz w:val="22"/>
          <w:szCs w:val="22"/>
        </w:rPr>
        <w:t>Arthritis &amp; Rheumatism</w:t>
      </w:r>
      <w:r w:rsidRPr="005D2762">
        <w:rPr>
          <w:rFonts w:ascii="Arial" w:hAnsi="Arial" w:cs="Arial"/>
          <w:sz w:val="22"/>
          <w:szCs w:val="22"/>
        </w:rPr>
        <w:t xml:space="preserve"> 24(10): 1308-1315. </w:t>
      </w:r>
    </w:p>
    <w:p w:rsidR="005D2762" w:rsidRPr="005D2762" w:rsidRDefault="005D2762" w:rsidP="005D2762">
      <w:pPr>
        <w:pStyle w:val="NormalWeb"/>
        <w:rPr>
          <w:rFonts w:ascii="Arial" w:hAnsi="Arial" w:cs="Arial"/>
          <w:sz w:val="22"/>
          <w:szCs w:val="22"/>
        </w:rPr>
      </w:pPr>
      <w:r w:rsidRPr="005D2762">
        <w:rPr>
          <w:rFonts w:ascii="Arial" w:hAnsi="Arial" w:cs="Arial"/>
          <w:sz w:val="22"/>
          <w:szCs w:val="22"/>
        </w:rPr>
        <w:t xml:space="preserve">Rkain H, Allali F, Jroundi I and Hajjaj-Hassouni N (2006) Socioeconomic impact of rheumatoid arthritis in Morocco. </w:t>
      </w:r>
      <w:r w:rsidRPr="005D2762">
        <w:rPr>
          <w:rFonts w:ascii="Arial" w:hAnsi="Arial" w:cs="Arial"/>
          <w:i/>
          <w:iCs/>
          <w:sz w:val="22"/>
          <w:szCs w:val="22"/>
        </w:rPr>
        <w:t>Joint, Bone, Spine: Revue Du Rhumatisme</w:t>
      </w:r>
      <w:r w:rsidRPr="005D2762">
        <w:rPr>
          <w:rFonts w:ascii="Arial" w:hAnsi="Arial" w:cs="Arial"/>
          <w:sz w:val="22"/>
          <w:szCs w:val="22"/>
        </w:rPr>
        <w:t xml:space="preserve"> 73(3): 278-283. </w:t>
      </w:r>
    </w:p>
    <w:p w:rsidR="005D2762" w:rsidRPr="005D2762" w:rsidRDefault="005D2762" w:rsidP="005D2762">
      <w:pPr>
        <w:pStyle w:val="NormalWeb"/>
        <w:rPr>
          <w:rFonts w:ascii="Arial" w:hAnsi="Arial" w:cs="Arial"/>
          <w:sz w:val="22"/>
          <w:szCs w:val="22"/>
        </w:rPr>
      </w:pPr>
      <w:r w:rsidRPr="005D2762">
        <w:rPr>
          <w:rFonts w:ascii="Arial" w:hAnsi="Arial" w:cs="Arial"/>
          <w:sz w:val="22"/>
          <w:szCs w:val="22"/>
        </w:rPr>
        <w:t xml:space="preserve">Sanderson TC, Hewlett SE, Flurey C, Dures E, Richards P and Kirwan JR (2011) The impact triad (severity, importance, self-management) as a method of enhancing measurement of personal life impact of rheumatic diseases. </w:t>
      </w:r>
      <w:r w:rsidRPr="005D2762">
        <w:rPr>
          <w:rFonts w:ascii="Arial" w:hAnsi="Arial" w:cs="Arial"/>
          <w:i/>
          <w:iCs/>
          <w:sz w:val="22"/>
          <w:szCs w:val="22"/>
        </w:rPr>
        <w:t>The Journal of Rheumatology</w:t>
      </w:r>
      <w:r w:rsidRPr="005D2762">
        <w:rPr>
          <w:rFonts w:ascii="Arial" w:hAnsi="Arial" w:cs="Arial"/>
          <w:sz w:val="22"/>
          <w:szCs w:val="22"/>
        </w:rPr>
        <w:t xml:space="preserve"> 38(2): 191-194. </w:t>
      </w:r>
    </w:p>
    <w:p w:rsidR="005D2762" w:rsidRPr="005D2762" w:rsidRDefault="005D2762" w:rsidP="005D2762">
      <w:pPr>
        <w:pStyle w:val="NormalWeb"/>
        <w:rPr>
          <w:rFonts w:ascii="Arial" w:hAnsi="Arial" w:cs="Arial"/>
          <w:sz w:val="22"/>
          <w:szCs w:val="22"/>
        </w:rPr>
      </w:pPr>
      <w:r w:rsidRPr="005D2762">
        <w:rPr>
          <w:rFonts w:ascii="Arial" w:hAnsi="Arial" w:cs="Arial"/>
          <w:sz w:val="22"/>
          <w:szCs w:val="22"/>
        </w:rPr>
        <w:t xml:space="preserve">Scott DL, Smith C and Kingsley G (2005) What are the consequences of early rheumatoid arthritis for the individual? </w:t>
      </w:r>
      <w:r w:rsidRPr="005D2762">
        <w:rPr>
          <w:rFonts w:ascii="Arial" w:hAnsi="Arial" w:cs="Arial"/>
          <w:i/>
          <w:iCs/>
          <w:sz w:val="22"/>
          <w:szCs w:val="22"/>
        </w:rPr>
        <w:t>Best Practice &amp; Research Clinical Rheumatology</w:t>
      </w:r>
      <w:r w:rsidRPr="005D2762">
        <w:rPr>
          <w:rFonts w:ascii="Arial" w:hAnsi="Arial" w:cs="Arial"/>
          <w:sz w:val="22"/>
          <w:szCs w:val="22"/>
        </w:rPr>
        <w:t xml:space="preserve"> 19(1): 117-136. </w:t>
      </w:r>
    </w:p>
    <w:p w:rsidR="005D2762" w:rsidRPr="005D2762" w:rsidRDefault="005D2762" w:rsidP="005D2762">
      <w:pPr>
        <w:pStyle w:val="NormalWeb"/>
        <w:rPr>
          <w:rFonts w:ascii="Arial" w:hAnsi="Arial" w:cs="Arial"/>
          <w:sz w:val="22"/>
          <w:szCs w:val="22"/>
        </w:rPr>
      </w:pPr>
      <w:r w:rsidRPr="005D2762">
        <w:rPr>
          <w:rFonts w:ascii="Arial" w:hAnsi="Arial" w:cs="Arial"/>
          <w:sz w:val="22"/>
          <w:szCs w:val="22"/>
        </w:rPr>
        <w:t xml:space="preserve">Sherrer Y, Bloch D, Mitchell D, Roth S, Wolfe F and Fries J (1987) Disability in rheumatoid arthritis: comparison of prognostic factors across three populations. </w:t>
      </w:r>
      <w:r w:rsidRPr="005D2762">
        <w:rPr>
          <w:rFonts w:ascii="Arial" w:hAnsi="Arial" w:cs="Arial"/>
          <w:i/>
          <w:iCs/>
          <w:sz w:val="22"/>
          <w:szCs w:val="22"/>
        </w:rPr>
        <w:t>The Journal of Rheumatology</w:t>
      </w:r>
      <w:r w:rsidRPr="005D2762">
        <w:rPr>
          <w:rFonts w:ascii="Arial" w:hAnsi="Arial" w:cs="Arial"/>
          <w:sz w:val="22"/>
          <w:szCs w:val="22"/>
        </w:rPr>
        <w:t xml:space="preserve"> 14(4): 705-709. </w:t>
      </w:r>
    </w:p>
    <w:p w:rsidR="005D2762" w:rsidRPr="005D2762" w:rsidRDefault="005D2762" w:rsidP="005D2762">
      <w:pPr>
        <w:pStyle w:val="NormalWeb"/>
        <w:rPr>
          <w:rFonts w:ascii="Arial" w:hAnsi="Arial" w:cs="Arial"/>
          <w:sz w:val="22"/>
          <w:szCs w:val="22"/>
        </w:rPr>
      </w:pPr>
      <w:r w:rsidRPr="005D2762">
        <w:rPr>
          <w:rFonts w:ascii="Arial" w:hAnsi="Arial" w:cs="Arial"/>
          <w:sz w:val="22"/>
          <w:szCs w:val="22"/>
        </w:rPr>
        <w:t xml:space="preserve">Stamm TA, Machold KP, Smolen J and Prodinger B (2010) Life stories of people with rheumatoid arthritis who retired early: how gender and other contextual factors shaped their everyday activities, including paid work. </w:t>
      </w:r>
      <w:r w:rsidRPr="005D2762">
        <w:rPr>
          <w:rFonts w:ascii="Arial" w:hAnsi="Arial" w:cs="Arial"/>
          <w:i/>
          <w:iCs/>
          <w:sz w:val="22"/>
          <w:szCs w:val="22"/>
        </w:rPr>
        <w:t>Musculoskeletal Care</w:t>
      </w:r>
      <w:r w:rsidRPr="005D2762">
        <w:rPr>
          <w:rFonts w:ascii="Arial" w:hAnsi="Arial" w:cs="Arial"/>
          <w:sz w:val="22"/>
          <w:szCs w:val="22"/>
        </w:rPr>
        <w:t xml:space="preserve"> 8(2): 78-86. </w:t>
      </w:r>
    </w:p>
    <w:p w:rsidR="005D2762" w:rsidRPr="005D2762" w:rsidRDefault="005D2762" w:rsidP="005D2762">
      <w:pPr>
        <w:pStyle w:val="NormalWeb"/>
        <w:rPr>
          <w:rFonts w:ascii="Arial" w:hAnsi="Arial" w:cs="Arial"/>
          <w:sz w:val="22"/>
          <w:szCs w:val="22"/>
        </w:rPr>
      </w:pPr>
      <w:r w:rsidRPr="005D2762">
        <w:rPr>
          <w:rFonts w:ascii="Arial" w:hAnsi="Arial" w:cs="Arial"/>
          <w:sz w:val="22"/>
          <w:szCs w:val="22"/>
        </w:rPr>
        <w:t xml:space="preserve">Symmons DP, Barrett EM, Bankhead CR, Scott DG and Silman AJ (1994) The incidence of rheumatoid arthritis in the United Kingdom: results from the Norfolk Arthritis Register. </w:t>
      </w:r>
      <w:r w:rsidRPr="005D2762">
        <w:rPr>
          <w:rFonts w:ascii="Arial" w:hAnsi="Arial" w:cs="Arial"/>
          <w:i/>
          <w:iCs/>
          <w:sz w:val="22"/>
          <w:szCs w:val="22"/>
        </w:rPr>
        <w:t>British Journal of Rheumatology</w:t>
      </w:r>
      <w:r w:rsidRPr="005D2762">
        <w:rPr>
          <w:rFonts w:ascii="Arial" w:hAnsi="Arial" w:cs="Arial"/>
          <w:sz w:val="22"/>
          <w:szCs w:val="22"/>
        </w:rPr>
        <w:t xml:space="preserve"> 33(8): 735-739. </w:t>
      </w:r>
    </w:p>
    <w:p w:rsidR="005D2762" w:rsidRPr="005D2762" w:rsidRDefault="005D2762" w:rsidP="005D2762">
      <w:pPr>
        <w:pStyle w:val="NormalWeb"/>
        <w:rPr>
          <w:rFonts w:ascii="Arial" w:hAnsi="Arial" w:cs="Arial"/>
          <w:sz w:val="22"/>
          <w:szCs w:val="22"/>
        </w:rPr>
      </w:pPr>
      <w:r w:rsidRPr="005D2762">
        <w:rPr>
          <w:rFonts w:ascii="Arial" w:hAnsi="Arial" w:cs="Arial"/>
          <w:sz w:val="22"/>
          <w:szCs w:val="22"/>
        </w:rPr>
        <w:t xml:space="preserve">Tannenbaum C and Frank B (2011) Masculinity and health in late life men. </w:t>
      </w:r>
      <w:r w:rsidRPr="005D2762">
        <w:rPr>
          <w:rFonts w:ascii="Arial" w:hAnsi="Arial" w:cs="Arial"/>
          <w:i/>
          <w:iCs/>
          <w:sz w:val="22"/>
          <w:szCs w:val="22"/>
        </w:rPr>
        <w:t>American Journal of Men's Health</w:t>
      </w:r>
      <w:r w:rsidRPr="005D2762">
        <w:rPr>
          <w:rFonts w:ascii="Arial" w:hAnsi="Arial" w:cs="Arial"/>
          <w:sz w:val="22"/>
          <w:szCs w:val="22"/>
        </w:rPr>
        <w:t xml:space="preserve"> 5(3): 243-254. </w:t>
      </w:r>
    </w:p>
    <w:p w:rsidR="005D2762" w:rsidRPr="005D2762" w:rsidRDefault="005D2762" w:rsidP="005D2762">
      <w:pPr>
        <w:pStyle w:val="NormalWeb"/>
        <w:rPr>
          <w:rFonts w:ascii="Arial" w:hAnsi="Arial" w:cs="Arial"/>
          <w:sz w:val="22"/>
          <w:szCs w:val="22"/>
        </w:rPr>
      </w:pPr>
      <w:r w:rsidRPr="005D2762">
        <w:rPr>
          <w:rFonts w:ascii="Arial" w:hAnsi="Arial" w:cs="Arial"/>
          <w:sz w:val="22"/>
          <w:szCs w:val="22"/>
        </w:rPr>
        <w:t xml:space="preserve">Thompson EH and Whearty PM (2004) Older men's social participation: The importance of masculinity ideology. </w:t>
      </w:r>
      <w:r w:rsidRPr="005D2762">
        <w:rPr>
          <w:rFonts w:ascii="Arial" w:hAnsi="Arial" w:cs="Arial"/>
          <w:i/>
          <w:iCs/>
          <w:sz w:val="22"/>
          <w:szCs w:val="22"/>
        </w:rPr>
        <w:t>The Journal of Men's Studies</w:t>
      </w:r>
      <w:r w:rsidRPr="005D2762">
        <w:rPr>
          <w:rFonts w:ascii="Arial" w:hAnsi="Arial" w:cs="Arial"/>
          <w:sz w:val="22"/>
          <w:szCs w:val="22"/>
        </w:rPr>
        <w:t xml:space="preserve"> 13(1): 5-24. </w:t>
      </w:r>
    </w:p>
    <w:p w:rsidR="005D2762" w:rsidRPr="005D2762" w:rsidRDefault="005D2762" w:rsidP="005D2762">
      <w:pPr>
        <w:pStyle w:val="NormalWeb"/>
        <w:rPr>
          <w:rFonts w:ascii="Arial" w:hAnsi="Arial" w:cs="Arial"/>
          <w:sz w:val="22"/>
          <w:szCs w:val="22"/>
        </w:rPr>
      </w:pPr>
      <w:r w:rsidRPr="005D2762">
        <w:rPr>
          <w:rFonts w:ascii="Arial" w:hAnsi="Arial" w:cs="Arial"/>
          <w:sz w:val="22"/>
          <w:szCs w:val="22"/>
        </w:rPr>
        <w:lastRenderedPageBreak/>
        <w:t xml:space="preserve">Uhlig T, Loge JH, Kristiansen IS and Kvien TK (2007) Quantification of reduced health-related quality of life in patients with rheumatoid arthritis compared to the general population. </w:t>
      </w:r>
      <w:r w:rsidRPr="005D2762">
        <w:rPr>
          <w:rFonts w:ascii="Arial" w:hAnsi="Arial" w:cs="Arial"/>
          <w:i/>
          <w:iCs/>
          <w:sz w:val="22"/>
          <w:szCs w:val="22"/>
        </w:rPr>
        <w:t>The Journal of Rheumatology</w:t>
      </w:r>
      <w:r w:rsidRPr="005D2762">
        <w:rPr>
          <w:rFonts w:ascii="Arial" w:hAnsi="Arial" w:cs="Arial"/>
          <w:sz w:val="22"/>
          <w:szCs w:val="22"/>
        </w:rPr>
        <w:t xml:space="preserve"> 34(6): 1241-1247. </w:t>
      </w:r>
    </w:p>
    <w:p w:rsidR="005D2762" w:rsidRPr="005D2762" w:rsidRDefault="005D2762" w:rsidP="005D2762">
      <w:pPr>
        <w:pStyle w:val="NormalWeb"/>
        <w:rPr>
          <w:rFonts w:ascii="Arial" w:hAnsi="Arial" w:cs="Arial"/>
          <w:sz w:val="22"/>
          <w:szCs w:val="22"/>
        </w:rPr>
      </w:pPr>
      <w:r w:rsidRPr="005D2762">
        <w:rPr>
          <w:rFonts w:ascii="Arial" w:hAnsi="Arial" w:cs="Arial"/>
          <w:sz w:val="22"/>
          <w:szCs w:val="22"/>
        </w:rPr>
        <w:t xml:space="preserve">van Middendorp H, Geenen R, Sorbi MJ, Hox JJ, Vingerhoets A, van Doornen L, et al. (2005) Gender differences in emotion regulation and relationships with perceived health in patients with rheumatoid arthritis. </w:t>
      </w:r>
      <w:r w:rsidRPr="005D2762">
        <w:rPr>
          <w:rFonts w:ascii="Arial" w:hAnsi="Arial" w:cs="Arial"/>
          <w:i/>
          <w:iCs/>
          <w:sz w:val="22"/>
          <w:szCs w:val="22"/>
        </w:rPr>
        <w:t>Women &amp; Health</w:t>
      </w:r>
      <w:r w:rsidRPr="005D2762">
        <w:rPr>
          <w:rFonts w:ascii="Arial" w:hAnsi="Arial" w:cs="Arial"/>
          <w:sz w:val="22"/>
          <w:szCs w:val="22"/>
        </w:rPr>
        <w:t xml:space="preserve"> 42(1): 75-97. </w:t>
      </w:r>
    </w:p>
    <w:p w:rsidR="005D2762" w:rsidRPr="005D2762" w:rsidRDefault="005D2762" w:rsidP="005D2762">
      <w:pPr>
        <w:pStyle w:val="NormalWeb"/>
        <w:rPr>
          <w:rFonts w:ascii="Arial" w:hAnsi="Arial" w:cs="Arial"/>
          <w:sz w:val="22"/>
          <w:szCs w:val="22"/>
        </w:rPr>
      </w:pPr>
      <w:r w:rsidRPr="005D2762">
        <w:rPr>
          <w:rFonts w:ascii="Arial" w:hAnsi="Arial" w:cs="Arial"/>
          <w:sz w:val="22"/>
          <w:szCs w:val="22"/>
        </w:rPr>
        <w:t xml:space="preserve">Vervloesem N, Van Gils N, Ovaere L, Westhovens R and Van Assche D (2012) Are personal characteristics associated with exercise participation in patients with rheumatoid arthritis? A cross-sectional explorative survey. </w:t>
      </w:r>
      <w:r w:rsidRPr="005D2762">
        <w:rPr>
          <w:rFonts w:ascii="Arial" w:hAnsi="Arial" w:cs="Arial"/>
          <w:i/>
          <w:iCs/>
          <w:sz w:val="22"/>
          <w:szCs w:val="22"/>
        </w:rPr>
        <w:t>Musculoskeletal Care</w:t>
      </w:r>
      <w:r w:rsidRPr="005D2762">
        <w:rPr>
          <w:rFonts w:ascii="Arial" w:hAnsi="Arial" w:cs="Arial"/>
          <w:sz w:val="22"/>
          <w:szCs w:val="22"/>
        </w:rPr>
        <w:t xml:space="preserve"> 10(2): 90-100. </w:t>
      </w:r>
    </w:p>
    <w:p w:rsidR="005D2762" w:rsidRPr="005D2762" w:rsidRDefault="005D2762" w:rsidP="005D2762">
      <w:pPr>
        <w:pStyle w:val="NormalWeb"/>
        <w:rPr>
          <w:rFonts w:ascii="Arial" w:hAnsi="Arial" w:cs="Arial"/>
          <w:sz w:val="22"/>
          <w:szCs w:val="22"/>
        </w:rPr>
      </w:pPr>
      <w:r w:rsidRPr="005D2762">
        <w:rPr>
          <w:rFonts w:ascii="Arial" w:hAnsi="Arial" w:cs="Arial"/>
          <w:sz w:val="22"/>
          <w:szCs w:val="22"/>
        </w:rPr>
        <w:t xml:space="preserve">Wallenius M, Skomsvoll JF, Koldingsnes W, Rodevend E, Mikkelsen K, Kaufmann C, et al. (2009) Comparison of work disability and health-related quality of life between males and females with rheumatoid arthritis below the age of 45 years. </w:t>
      </w:r>
      <w:r w:rsidRPr="005D2762">
        <w:rPr>
          <w:rFonts w:ascii="Arial" w:hAnsi="Arial" w:cs="Arial"/>
          <w:i/>
          <w:iCs/>
          <w:sz w:val="22"/>
          <w:szCs w:val="22"/>
        </w:rPr>
        <w:t>SCAND J RHEUMATOL</w:t>
      </w:r>
      <w:r w:rsidRPr="005D2762">
        <w:rPr>
          <w:rFonts w:ascii="Arial" w:hAnsi="Arial" w:cs="Arial"/>
          <w:sz w:val="22"/>
          <w:szCs w:val="22"/>
        </w:rPr>
        <w:t xml:space="preserve"> 38(3): 178-183. </w:t>
      </w:r>
    </w:p>
    <w:p w:rsidR="005D2762" w:rsidRPr="005D2762" w:rsidRDefault="005D2762" w:rsidP="005D2762">
      <w:pPr>
        <w:pStyle w:val="NormalWeb"/>
        <w:rPr>
          <w:rFonts w:ascii="Arial" w:hAnsi="Arial" w:cs="Arial"/>
          <w:sz w:val="22"/>
          <w:szCs w:val="22"/>
        </w:rPr>
      </w:pPr>
      <w:r w:rsidRPr="005D2762">
        <w:rPr>
          <w:rFonts w:ascii="Arial" w:hAnsi="Arial" w:cs="Arial"/>
          <w:sz w:val="22"/>
          <w:szCs w:val="22"/>
        </w:rPr>
        <w:t xml:space="preserve">Walsh JD, Blanchard EB, Kremer JM and Blanchard CG (1999) The psychosocial effects of rheumatoid arthritis on the patient and the well partner. </w:t>
      </w:r>
      <w:r w:rsidRPr="005D2762">
        <w:rPr>
          <w:rFonts w:ascii="Arial" w:hAnsi="Arial" w:cs="Arial"/>
          <w:i/>
          <w:iCs/>
          <w:sz w:val="22"/>
          <w:szCs w:val="22"/>
        </w:rPr>
        <w:t>Behaviour Research and Therapy</w:t>
      </w:r>
      <w:r w:rsidRPr="005D2762">
        <w:rPr>
          <w:rFonts w:ascii="Arial" w:hAnsi="Arial" w:cs="Arial"/>
          <w:sz w:val="22"/>
          <w:szCs w:val="22"/>
        </w:rPr>
        <w:t xml:space="preserve"> 37(3): 259-271. </w:t>
      </w:r>
    </w:p>
    <w:p w:rsidR="005D2762" w:rsidRPr="005D2762" w:rsidRDefault="005D2762" w:rsidP="005D2762">
      <w:pPr>
        <w:pStyle w:val="NormalWeb"/>
        <w:rPr>
          <w:rFonts w:ascii="Arial" w:hAnsi="Arial" w:cs="Arial"/>
          <w:sz w:val="22"/>
          <w:szCs w:val="22"/>
        </w:rPr>
      </w:pPr>
      <w:r w:rsidRPr="005D2762">
        <w:rPr>
          <w:rFonts w:ascii="Arial" w:hAnsi="Arial" w:cs="Arial"/>
          <w:sz w:val="22"/>
          <w:szCs w:val="22"/>
        </w:rPr>
        <w:t xml:space="preserve">West B and Wållberg-Jonsson S (2009) Health-related quality of life in Swedish men and women with early rheumatoid arthritis. </w:t>
      </w:r>
      <w:r w:rsidRPr="005D2762">
        <w:rPr>
          <w:rFonts w:ascii="Arial" w:hAnsi="Arial" w:cs="Arial"/>
          <w:i/>
          <w:iCs/>
          <w:sz w:val="22"/>
          <w:szCs w:val="22"/>
        </w:rPr>
        <w:t>Gender Medicine</w:t>
      </w:r>
      <w:r w:rsidRPr="005D2762">
        <w:rPr>
          <w:rFonts w:ascii="Arial" w:hAnsi="Arial" w:cs="Arial"/>
          <w:sz w:val="22"/>
          <w:szCs w:val="22"/>
        </w:rPr>
        <w:t xml:space="preserve"> 6(4): 544-554. </w:t>
      </w:r>
    </w:p>
    <w:p w:rsidR="005D2762" w:rsidRPr="005D2762" w:rsidRDefault="005D2762" w:rsidP="005D2762">
      <w:pPr>
        <w:pStyle w:val="NormalWeb"/>
        <w:rPr>
          <w:rFonts w:ascii="Arial" w:hAnsi="Arial" w:cs="Arial"/>
          <w:sz w:val="22"/>
          <w:szCs w:val="22"/>
        </w:rPr>
      </w:pPr>
      <w:r w:rsidRPr="005D2762">
        <w:rPr>
          <w:rFonts w:ascii="Arial" w:hAnsi="Arial" w:cs="Arial"/>
          <w:sz w:val="22"/>
          <w:szCs w:val="22"/>
        </w:rPr>
        <w:t xml:space="preserve">West E and Jonsson SW (2005) Health-related quality of life in rheumatoid arthritis in Northern Sweden: a comparison between patients with early RA, patients with medium-term disease and controls, using SF-36. </w:t>
      </w:r>
      <w:r w:rsidRPr="005D2762">
        <w:rPr>
          <w:rFonts w:ascii="Arial" w:hAnsi="Arial" w:cs="Arial"/>
          <w:i/>
          <w:iCs/>
          <w:sz w:val="22"/>
          <w:szCs w:val="22"/>
        </w:rPr>
        <w:t>Clinical Rheumatology</w:t>
      </w:r>
      <w:r w:rsidRPr="005D2762">
        <w:rPr>
          <w:rFonts w:ascii="Arial" w:hAnsi="Arial" w:cs="Arial"/>
          <w:sz w:val="22"/>
          <w:szCs w:val="22"/>
        </w:rPr>
        <w:t xml:space="preserve"> 24(2): 117. </w:t>
      </w:r>
    </w:p>
    <w:p w:rsidR="005D2762" w:rsidRPr="005D2762" w:rsidRDefault="005D2762" w:rsidP="005D2762">
      <w:pPr>
        <w:pStyle w:val="NormalWeb"/>
        <w:rPr>
          <w:rFonts w:ascii="Arial" w:hAnsi="Arial" w:cs="Arial"/>
          <w:sz w:val="22"/>
          <w:szCs w:val="22"/>
        </w:rPr>
      </w:pPr>
      <w:r w:rsidRPr="005D2762">
        <w:rPr>
          <w:rFonts w:ascii="Arial" w:hAnsi="Arial" w:cs="Arial"/>
          <w:sz w:val="22"/>
          <w:szCs w:val="22"/>
        </w:rPr>
        <w:t xml:space="preserve">White A, De Sousa B, De Visser R, Hogston R, Madsen SA, Makara P, et al. (2011) Men's health in Europe. </w:t>
      </w:r>
      <w:r w:rsidRPr="005D2762">
        <w:rPr>
          <w:rFonts w:ascii="Arial" w:hAnsi="Arial" w:cs="Arial"/>
          <w:i/>
          <w:iCs/>
          <w:sz w:val="22"/>
          <w:szCs w:val="22"/>
        </w:rPr>
        <w:t>Journal of Men's Health</w:t>
      </w:r>
      <w:r w:rsidRPr="005D2762">
        <w:rPr>
          <w:rFonts w:ascii="Arial" w:hAnsi="Arial" w:cs="Arial"/>
          <w:sz w:val="22"/>
          <w:szCs w:val="22"/>
        </w:rPr>
        <w:t xml:space="preserve"> 8(3): 192-201. </w:t>
      </w:r>
    </w:p>
    <w:p w:rsidR="005D2762" w:rsidRPr="005D2762" w:rsidRDefault="005D2762" w:rsidP="005D2762">
      <w:pPr>
        <w:pStyle w:val="NormalWeb"/>
        <w:rPr>
          <w:rFonts w:ascii="Arial" w:hAnsi="Arial" w:cs="Arial"/>
          <w:sz w:val="22"/>
          <w:szCs w:val="22"/>
        </w:rPr>
      </w:pPr>
      <w:r w:rsidRPr="005D2762">
        <w:rPr>
          <w:rFonts w:ascii="Arial" w:hAnsi="Arial" w:cs="Arial"/>
          <w:sz w:val="22"/>
          <w:szCs w:val="22"/>
        </w:rPr>
        <w:t xml:space="preserve">WHOQOL group (1995) The World Health Organization quality of life assessment (WHOQOL): position paper from the World Health Organization. </w:t>
      </w:r>
      <w:r w:rsidRPr="005D2762">
        <w:rPr>
          <w:rFonts w:ascii="Arial" w:hAnsi="Arial" w:cs="Arial"/>
          <w:i/>
          <w:iCs/>
          <w:sz w:val="22"/>
          <w:szCs w:val="22"/>
        </w:rPr>
        <w:t>Social Science and Medicine</w:t>
      </w:r>
      <w:r w:rsidRPr="005D2762">
        <w:rPr>
          <w:rFonts w:ascii="Arial" w:hAnsi="Arial" w:cs="Arial"/>
          <w:sz w:val="22"/>
          <w:szCs w:val="22"/>
        </w:rPr>
        <w:t xml:space="preserve"> 41(10): 1403-1409. </w:t>
      </w:r>
    </w:p>
    <w:p w:rsidR="005D2762" w:rsidRPr="005D2762" w:rsidRDefault="005D2762" w:rsidP="005D2762">
      <w:pPr>
        <w:pStyle w:val="NormalWeb"/>
        <w:rPr>
          <w:rFonts w:ascii="Arial" w:hAnsi="Arial" w:cs="Arial"/>
          <w:sz w:val="22"/>
          <w:szCs w:val="22"/>
        </w:rPr>
      </w:pPr>
      <w:r w:rsidRPr="005D2762">
        <w:rPr>
          <w:rFonts w:ascii="Arial" w:hAnsi="Arial" w:cs="Arial"/>
          <w:sz w:val="22"/>
          <w:szCs w:val="22"/>
        </w:rPr>
        <w:t xml:space="preserve">Yelin E (1996) The costs of rheumatoid arthritis: absolute, incremental, and marginal estimates. </w:t>
      </w:r>
      <w:r w:rsidRPr="005D2762">
        <w:rPr>
          <w:rFonts w:ascii="Arial" w:hAnsi="Arial" w:cs="Arial"/>
          <w:i/>
          <w:iCs/>
          <w:sz w:val="22"/>
          <w:szCs w:val="22"/>
        </w:rPr>
        <w:t>The Journal of Rheumatology.Supplement</w:t>
      </w:r>
      <w:r w:rsidRPr="005D2762">
        <w:rPr>
          <w:rFonts w:ascii="Arial" w:hAnsi="Arial" w:cs="Arial"/>
          <w:sz w:val="22"/>
          <w:szCs w:val="22"/>
        </w:rPr>
        <w:t xml:space="preserve"> 44: 47-51. </w:t>
      </w:r>
    </w:p>
    <w:p w:rsidR="00CC0827" w:rsidRDefault="00CC0827" w:rsidP="006A51E2">
      <w:pPr>
        <w:spacing w:after="200" w:line="276" w:lineRule="auto"/>
        <w:rPr>
          <w:rFonts w:cs="Arial"/>
          <w:sz w:val="20"/>
          <w:szCs w:val="20"/>
        </w:rPr>
      </w:pPr>
      <w:r>
        <w:rPr>
          <w:rFonts w:cs="Arial"/>
          <w:sz w:val="20"/>
          <w:szCs w:val="20"/>
        </w:rPr>
        <w:br w:type="page"/>
      </w:r>
    </w:p>
    <w:p w:rsidR="00CC0827" w:rsidRPr="006A1323" w:rsidRDefault="00CC0827" w:rsidP="00C13D9B">
      <w:pPr>
        <w:rPr>
          <w:rFonts w:cs="Arial"/>
          <w:b/>
          <w:sz w:val="24"/>
          <w:szCs w:val="24"/>
        </w:rPr>
      </w:pPr>
      <w:r w:rsidRPr="006A1323">
        <w:rPr>
          <w:rFonts w:cs="Arial"/>
          <w:b/>
          <w:sz w:val="24"/>
          <w:szCs w:val="24"/>
        </w:rPr>
        <w:lastRenderedPageBreak/>
        <w:t>Tables</w:t>
      </w:r>
    </w:p>
    <w:p w:rsidR="00CC0827" w:rsidRDefault="00CC0827" w:rsidP="00C13D9B">
      <w:pPr>
        <w:rPr>
          <w:rFonts w:cs="Arial"/>
          <w:b/>
        </w:rPr>
      </w:pPr>
      <w:r>
        <w:rPr>
          <w:rFonts w:cs="Arial"/>
          <w:b/>
        </w:rPr>
        <w:t>Table 1: Search strategy for narrative literature review</w:t>
      </w:r>
    </w:p>
    <w:tbl>
      <w:tblPr>
        <w:tblpPr w:leftFromText="180" w:rightFromText="180" w:vertAnchor="text" w:horzAnchor="margin" w:tblpY="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87"/>
        <w:gridCol w:w="2958"/>
        <w:gridCol w:w="3081"/>
      </w:tblGrid>
      <w:tr w:rsidR="00CC0827" w:rsidRPr="00D964A4" w:rsidTr="00024C57">
        <w:trPr>
          <w:trHeight w:val="254"/>
        </w:trPr>
        <w:tc>
          <w:tcPr>
            <w:tcW w:w="3050" w:type="dxa"/>
            <w:tcBorders>
              <w:top w:val="nil"/>
              <w:left w:val="nil"/>
              <w:bottom w:val="single" w:sz="4" w:space="0" w:color="auto"/>
              <w:right w:val="nil"/>
            </w:tcBorders>
            <w:vAlign w:val="center"/>
          </w:tcPr>
          <w:p w:rsidR="00CC0827" w:rsidRPr="00D964A4" w:rsidRDefault="00CC0827" w:rsidP="00024C57">
            <w:pPr>
              <w:spacing w:line="240" w:lineRule="auto"/>
              <w:rPr>
                <w:rFonts w:cs="Arial"/>
              </w:rPr>
            </w:pPr>
            <w:r w:rsidRPr="00D964A4">
              <w:rPr>
                <w:rFonts w:cs="Arial"/>
              </w:rPr>
              <w:t>Search term 1</w:t>
            </w:r>
          </w:p>
        </w:tc>
        <w:tc>
          <w:tcPr>
            <w:tcW w:w="3026" w:type="dxa"/>
            <w:tcBorders>
              <w:top w:val="nil"/>
              <w:left w:val="nil"/>
              <w:bottom w:val="single" w:sz="4" w:space="0" w:color="auto"/>
              <w:right w:val="nil"/>
            </w:tcBorders>
            <w:vAlign w:val="center"/>
          </w:tcPr>
          <w:p w:rsidR="00CC0827" w:rsidRPr="00D964A4" w:rsidRDefault="00CC0827" w:rsidP="00024C57">
            <w:pPr>
              <w:spacing w:line="240" w:lineRule="auto"/>
              <w:rPr>
                <w:rFonts w:cs="Arial"/>
              </w:rPr>
            </w:pPr>
            <w:r w:rsidRPr="00D964A4">
              <w:rPr>
                <w:rFonts w:cs="Arial"/>
              </w:rPr>
              <w:t>Search term 2</w:t>
            </w:r>
          </w:p>
        </w:tc>
        <w:tc>
          <w:tcPr>
            <w:tcW w:w="3147" w:type="dxa"/>
            <w:tcBorders>
              <w:top w:val="nil"/>
              <w:left w:val="nil"/>
              <w:bottom w:val="single" w:sz="4" w:space="0" w:color="auto"/>
              <w:right w:val="nil"/>
            </w:tcBorders>
            <w:vAlign w:val="center"/>
          </w:tcPr>
          <w:p w:rsidR="00CC0827" w:rsidRPr="00D964A4" w:rsidRDefault="00CC0827" w:rsidP="00024C57">
            <w:pPr>
              <w:spacing w:line="240" w:lineRule="auto"/>
              <w:rPr>
                <w:rFonts w:cs="Arial"/>
              </w:rPr>
            </w:pPr>
            <w:r w:rsidRPr="00D964A4">
              <w:rPr>
                <w:rFonts w:cs="Arial"/>
              </w:rPr>
              <w:t>Search term 3</w:t>
            </w:r>
          </w:p>
        </w:tc>
      </w:tr>
      <w:tr w:rsidR="00CC0827" w:rsidRPr="00D964A4" w:rsidTr="00024C57">
        <w:trPr>
          <w:trHeight w:val="493"/>
        </w:trPr>
        <w:tc>
          <w:tcPr>
            <w:tcW w:w="3050" w:type="dxa"/>
            <w:tcBorders>
              <w:top w:val="single" w:sz="4" w:space="0" w:color="auto"/>
              <w:left w:val="nil"/>
              <w:bottom w:val="single" w:sz="4" w:space="0" w:color="auto"/>
              <w:right w:val="nil"/>
            </w:tcBorders>
            <w:vAlign w:val="center"/>
          </w:tcPr>
          <w:p w:rsidR="00CC0827" w:rsidRPr="00D964A4" w:rsidRDefault="00CC0827" w:rsidP="00024C57">
            <w:pPr>
              <w:spacing w:line="240" w:lineRule="auto"/>
              <w:rPr>
                <w:rFonts w:cs="Arial"/>
              </w:rPr>
            </w:pPr>
            <w:r w:rsidRPr="00D964A4">
              <w:rPr>
                <w:rFonts w:cs="Arial"/>
              </w:rPr>
              <w:t>Men or gender</w:t>
            </w:r>
          </w:p>
        </w:tc>
        <w:tc>
          <w:tcPr>
            <w:tcW w:w="3026" w:type="dxa"/>
            <w:tcBorders>
              <w:top w:val="single" w:sz="4" w:space="0" w:color="auto"/>
              <w:left w:val="nil"/>
              <w:bottom w:val="single" w:sz="4" w:space="0" w:color="auto"/>
              <w:right w:val="nil"/>
            </w:tcBorders>
            <w:vAlign w:val="center"/>
          </w:tcPr>
          <w:p w:rsidR="00CC0827" w:rsidRPr="00D964A4" w:rsidRDefault="00CC0827" w:rsidP="00024C57">
            <w:pPr>
              <w:spacing w:line="240" w:lineRule="auto"/>
              <w:rPr>
                <w:rFonts w:cs="Arial"/>
              </w:rPr>
            </w:pPr>
            <w:r w:rsidRPr="00D964A4">
              <w:rPr>
                <w:rFonts w:cs="Arial"/>
              </w:rPr>
              <w:t>Disease</w:t>
            </w:r>
          </w:p>
        </w:tc>
        <w:tc>
          <w:tcPr>
            <w:tcW w:w="3147" w:type="dxa"/>
            <w:tcBorders>
              <w:top w:val="single" w:sz="4" w:space="0" w:color="auto"/>
              <w:left w:val="nil"/>
              <w:bottom w:val="single" w:sz="4" w:space="0" w:color="auto"/>
              <w:right w:val="nil"/>
            </w:tcBorders>
            <w:vAlign w:val="center"/>
          </w:tcPr>
          <w:p w:rsidR="00CC0827" w:rsidRPr="00D964A4" w:rsidRDefault="00CC0827" w:rsidP="00024C57">
            <w:pPr>
              <w:spacing w:line="240" w:lineRule="auto"/>
              <w:rPr>
                <w:rFonts w:cs="Arial"/>
              </w:rPr>
            </w:pPr>
            <w:r w:rsidRPr="00D964A4">
              <w:rPr>
                <w:rFonts w:cs="Arial"/>
              </w:rPr>
              <w:t>Psychosocial aspects</w:t>
            </w:r>
          </w:p>
        </w:tc>
      </w:tr>
      <w:tr w:rsidR="00CC0827" w:rsidRPr="00D964A4" w:rsidTr="00024C57">
        <w:trPr>
          <w:trHeight w:val="1125"/>
        </w:trPr>
        <w:tc>
          <w:tcPr>
            <w:tcW w:w="3050" w:type="dxa"/>
            <w:tcBorders>
              <w:top w:val="single" w:sz="4" w:space="0" w:color="auto"/>
              <w:left w:val="nil"/>
              <w:bottom w:val="single" w:sz="4" w:space="0" w:color="auto"/>
              <w:right w:val="nil"/>
            </w:tcBorders>
          </w:tcPr>
          <w:p w:rsidR="00CC0827" w:rsidRPr="00D964A4" w:rsidRDefault="00CC0827" w:rsidP="004029A1">
            <w:pPr>
              <w:spacing w:line="240" w:lineRule="auto"/>
              <w:rPr>
                <w:rFonts w:cs="Arial"/>
              </w:rPr>
            </w:pPr>
            <w:r w:rsidRPr="00D964A4">
              <w:rPr>
                <w:rFonts w:cs="Arial"/>
              </w:rPr>
              <w:t>Masculinity OR masculine OR masculinities OR masc*; men’s health OR hegemonic OR gender</w:t>
            </w:r>
          </w:p>
          <w:p w:rsidR="00CC0827" w:rsidRPr="00D964A4" w:rsidRDefault="00CC0827" w:rsidP="004029A1">
            <w:pPr>
              <w:spacing w:line="240" w:lineRule="auto"/>
              <w:rPr>
                <w:rFonts w:cs="Arial"/>
              </w:rPr>
            </w:pPr>
          </w:p>
          <w:p w:rsidR="00CC0827" w:rsidRPr="00D964A4" w:rsidRDefault="00CC0827" w:rsidP="004029A1">
            <w:pPr>
              <w:spacing w:line="240" w:lineRule="auto"/>
              <w:rPr>
                <w:rFonts w:cs="Arial"/>
              </w:rPr>
            </w:pPr>
          </w:p>
          <w:p w:rsidR="00CC0827" w:rsidRPr="00D964A4" w:rsidRDefault="00CC0827" w:rsidP="004029A1">
            <w:pPr>
              <w:spacing w:line="240" w:lineRule="auto"/>
              <w:rPr>
                <w:rFonts w:cs="Arial"/>
              </w:rPr>
            </w:pPr>
          </w:p>
          <w:p w:rsidR="00CC0827" w:rsidRPr="00D964A4" w:rsidRDefault="00CC0827" w:rsidP="004029A1">
            <w:pPr>
              <w:spacing w:line="240" w:lineRule="auto"/>
              <w:rPr>
                <w:rFonts w:cs="Arial"/>
              </w:rPr>
            </w:pPr>
          </w:p>
          <w:p w:rsidR="00CC0827" w:rsidRPr="00D964A4" w:rsidRDefault="00CC0827" w:rsidP="004029A1">
            <w:pPr>
              <w:spacing w:line="240" w:lineRule="auto"/>
              <w:rPr>
                <w:rFonts w:cs="Arial"/>
              </w:rPr>
            </w:pPr>
          </w:p>
          <w:p w:rsidR="00CC0827" w:rsidRPr="00D964A4" w:rsidRDefault="00CC0827" w:rsidP="004029A1">
            <w:pPr>
              <w:spacing w:line="240" w:lineRule="auto"/>
              <w:rPr>
                <w:rFonts w:cs="Arial"/>
              </w:rPr>
            </w:pPr>
          </w:p>
        </w:tc>
        <w:tc>
          <w:tcPr>
            <w:tcW w:w="3026" w:type="dxa"/>
            <w:tcBorders>
              <w:top w:val="single" w:sz="4" w:space="0" w:color="auto"/>
              <w:left w:val="nil"/>
              <w:bottom w:val="single" w:sz="4" w:space="0" w:color="auto"/>
              <w:right w:val="nil"/>
            </w:tcBorders>
          </w:tcPr>
          <w:p w:rsidR="00CC0827" w:rsidRPr="00D964A4" w:rsidRDefault="00CC0827" w:rsidP="004029A1">
            <w:pPr>
              <w:spacing w:line="240" w:lineRule="auto"/>
              <w:rPr>
                <w:rFonts w:cs="Arial"/>
              </w:rPr>
            </w:pPr>
            <w:r w:rsidRPr="00D964A4">
              <w:rPr>
                <w:rFonts w:cs="Arial"/>
              </w:rPr>
              <w:t>rheumatoid arthritis OR RA</w:t>
            </w:r>
          </w:p>
        </w:tc>
        <w:tc>
          <w:tcPr>
            <w:tcW w:w="3147" w:type="dxa"/>
            <w:tcBorders>
              <w:top w:val="single" w:sz="4" w:space="0" w:color="auto"/>
              <w:left w:val="nil"/>
              <w:bottom w:val="single" w:sz="4" w:space="0" w:color="auto"/>
              <w:right w:val="nil"/>
            </w:tcBorders>
          </w:tcPr>
          <w:p w:rsidR="00CC0827" w:rsidRPr="00D964A4" w:rsidRDefault="00CC0827" w:rsidP="004029A1">
            <w:pPr>
              <w:spacing w:line="240" w:lineRule="auto"/>
              <w:rPr>
                <w:rFonts w:cs="Arial"/>
              </w:rPr>
            </w:pPr>
            <w:r w:rsidRPr="00D964A4">
              <w:rPr>
                <w:rFonts w:cs="Arial"/>
              </w:rPr>
              <w:t>Coping OR cope OR self-manage OR self-management OR self manage OR self management OR impact OR depressed OR depression OR low mood OR emotion OR quality of life OR QOL OR helplessness OR well-being OR adjustment OR adaptation OR identity OR self care OR self-care OR self belief OR self-belief OR self efficacy OR self-efficacy OR support OR psych*</w:t>
            </w:r>
          </w:p>
        </w:tc>
      </w:tr>
    </w:tbl>
    <w:p w:rsidR="00CC0827" w:rsidRDefault="00CC0827" w:rsidP="004029A1">
      <w:pPr>
        <w:spacing w:line="240" w:lineRule="auto"/>
        <w:rPr>
          <w:rFonts w:cs="Arial"/>
          <w:sz w:val="20"/>
          <w:szCs w:val="20"/>
        </w:rPr>
      </w:pPr>
      <w:r>
        <w:rPr>
          <w:rFonts w:cs="Arial"/>
          <w:sz w:val="20"/>
          <w:szCs w:val="20"/>
        </w:rPr>
        <w:t>*D</w:t>
      </w:r>
      <w:r w:rsidRPr="006A1323">
        <w:rPr>
          <w:rFonts w:cs="Arial"/>
          <w:sz w:val="20"/>
          <w:szCs w:val="20"/>
        </w:rPr>
        <w:t>enotes stem word, ensuring that any words beginning with the stem are also picked up in the search</w:t>
      </w:r>
    </w:p>
    <w:p w:rsidR="00CC0827" w:rsidRDefault="00CC0827" w:rsidP="00567662">
      <w:pPr>
        <w:rPr>
          <w:rFonts w:cs="Arial"/>
          <w:sz w:val="20"/>
          <w:szCs w:val="20"/>
        </w:rPr>
      </w:pPr>
    </w:p>
    <w:p w:rsidR="00024C57" w:rsidRDefault="00024C57" w:rsidP="004029A1">
      <w:pPr>
        <w:rPr>
          <w:rFonts w:cs="Arial"/>
          <w:b/>
        </w:rPr>
      </w:pPr>
      <w:r>
        <w:rPr>
          <w:rFonts w:cs="Arial"/>
          <w:b/>
        </w:rPr>
        <w:br w:type="page"/>
      </w:r>
    </w:p>
    <w:p w:rsidR="0004397F" w:rsidRDefault="0004397F" w:rsidP="004029A1">
      <w:pPr>
        <w:rPr>
          <w:rFonts w:cs="Arial"/>
          <w:b/>
        </w:rPr>
        <w:sectPr w:rsidR="0004397F" w:rsidSect="007C0870">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pPr>
    </w:p>
    <w:tbl>
      <w:tblPr>
        <w:tblStyle w:val="PlainTable21"/>
        <w:tblpPr w:leftFromText="180" w:rightFromText="180" w:vertAnchor="text" w:horzAnchor="page" w:tblpX="508" w:tblpY="421"/>
        <w:tblW w:w="15753" w:type="dxa"/>
        <w:tblLayout w:type="fixed"/>
        <w:tblLook w:val="06A0" w:firstRow="1" w:lastRow="0" w:firstColumn="1" w:lastColumn="0" w:noHBand="1" w:noVBand="1"/>
      </w:tblPr>
      <w:tblGrid>
        <w:gridCol w:w="1101"/>
        <w:gridCol w:w="2409"/>
        <w:gridCol w:w="1418"/>
        <w:gridCol w:w="2977"/>
        <w:gridCol w:w="1842"/>
        <w:gridCol w:w="2268"/>
        <w:gridCol w:w="2410"/>
        <w:gridCol w:w="1328"/>
      </w:tblGrid>
      <w:tr w:rsidR="005741E2" w:rsidRPr="005741E2" w:rsidTr="005D2762">
        <w:trPr>
          <w:cnfStyle w:val="100000000000" w:firstRow="1" w:lastRow="0" w:firstColumn="0" w:lastColumn="0" w:oddVBand="0" w:evenVBand="0" w:oddHBand="0" w:evenHBand="0"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1101" w:type="dxa"/>
          </w:tcPr>
          <w:p w:rsidR="005741E2" w:rsidRPr="005D2762" w:rsidRDefault="005741E2" w:rsidP="005D2762">
            <w:pPr>
              <w:spacing w:line="240" w:lineRule="auto"/>
              <w:contextualSpacing/>
              <w:rPr>
                <w:rFonts w:cs="Arial"/>
                <w:sz w:val="18"/>
                <w:szCs w:val="18"/>
              </w:rPr>
            </w:pPr>
            <w:r w:rsidRPr="005D2762">
              <w:rPr>
                <w:rFonts w:cs="Arial"/>
                <w:sz w:val="18"/>
                <w:szCs w:val="18"/>
              </w:rPr>
              <w:lastRenderedPageBreak/>
              <w:t>Sub-category</w:t>
            </w:r>
          </w:p>
        </w:tc>
        <w:tc>
          <w:tcPr>
            <w:tcW w:w="2409" w:type="dxa"/>
          </w:tcPr>
          <w:p w:rsidR="005741E2" w:rsidRPr="005D2762" w:rsidRDefault="005741E2" w:rsidP="005D2762">
            <w:pPr>
              <w:spacing w:line="240" w:lineRule="auto"/>
              <w:contextualSpacing/>
              <w:cnfStyle w:val="100000000000" w:firstRow="1" w:lastRow="0" w:firstColumn="0" w:lastColumn="0" w:oddVBand="0" w:evenVBand="0" w:oddHBand="0" w:evenHBand="0" w:firstRowFirstColumn="0" w:firstRowLastColumn="0" w:lastRowFirstColumn="0" w:lastRowLastColumn="0"/>
              <w:rPr>
                <w:rFonts w:cs="Arial"/>
                <w:sz w:val="18"/>
                <w:szCs w:val="18"/>
              </w:rPr>
            </w:pPr>
            <w:r w:rsidRPr="005D2762">
              <w:rPr>
                <w:rFonts w:cs="Arial"/>
                <w:sz w:val="18"/>
                <w:szCs w:val="18"/>
              </w:rPr>
              <w:t>Paper</w:t>
            </w:r>
          </w:p>
        </w:tc>
        <w:tc>
          <w:tcPr>
            <w:tcW w:w="1418" w:type="dxa"/>
          </w:tcPr>
          <w:p w:rsidR="005741E2" w:rsidRPr="005D2762" w:rsidRDefault="005741E2" w:rsidP="005D2762">
            <w:pPr>
              <w:spacing w:line="240" w:lineRule="auto"/>
              <w:contextualSpacing/>
              <w:cnfStyle w:val="100000000000" w:firstRow="1" w:lastRow="0" w:firstColumn="0" w:lastColumn="0" w:oddVBand="0" w:evenVBand="0" w:oddHBand="0" w:evenHBand="0" w:firstRowFirstColumn="0" w:firstRowLastColumn="0" w:lastRowFirstColumn="0" w:lastRowLastColumn="0"/>
              <w:rPr>
                <w:rFonts w:cs="Arial"/>
                <w:sz w:val="18"/>
                <w:szCs w:val="18"/>
              </w:rPr>
            </w:pPr>
            <w:r w:rsidRPr="005D2762">
              <w:rPr>
                <w:rFonts w:cs="Arial"/>
                <w:sz w:val="18"/>
                <w:szCs w:val="18"/>
              </w:rPr>
              <w:t>Study design</w:t>
            </w:r>
          </w:p>
        </w:tc>
        <w:tc>
          <w:tcPr>
            <w:tcW w:w="2977" w:type="dxa"/>
          </w:tcPr>
          <w:p w:rsidR="005741E2" w:rsidRPr="005D2762" w:rsidRDefault="005741E2" w:rsidP="005D2762">
            <w:pPr>
              <w:spacing w:line="240" w:lineRule="auto"/>
              <w:contextualSpacing/>
              <w:cnfStyle w:val="100000000000" w:firstRow="1" w:lastRow="0" w:firstColumn="0" w:lastColumn="0" w:oddVBand="0" w:evenVBand="0" w:oddHBand="0" w:evenHBand="0" w:firstRowFirstColumn="0" w:firstRowLastColumn="0" w:lastRowFirstColumn="0" w:lastRowLastColumn="0"/>
              <w:rPr>
                <w:rFonts w:cs="Arial"/>
                <w:sz w:val="18"/>
                <w:szCs w:val="18"/>
              </w:rPr>
            </w:pPr>
            <w:r w:rsidRPr="005D2762">
              <w:rPr>
                <w:rFonts w:cs="Arial"/>
                <w:sz w:val="18"/>
                <w:szCs w:val="18"/>
              </w:rPr>
              <w:t>Number of male participants / study sample</w:t>
            </w:r>
          </w:p>
        </w:tc>
        <w:tc>
          <w:tcPr>
            <w:tcW w:w="1842" w:type="dxa"/>
          </w:tcPr>
          <w:p w:rsidR="005741E2" w:rsidRPr="005D2762" w:rsidRDefault="005741E2" w:rsidP="005D2762">
            <w:pPr>
              <w:spacing w:line="240" w:lineRule="auto"/>
              <w:contextualSpacing/>
              <w:cnfStyle w:val="100000000000" w:firstRow="1" w:lastRow="0" w:firstColumn="0" w:lastColumn="0" w:oddVBand="0" w:evenVBand="0" w:oddHBand="0" w:evenHBand="0" w:firstRowFirstColumn="0" w:firstRowLastColumn="0" w:lastRowFirstColumn="0" w:lastRowLastColumn="0"/>
              <w:rPr>
                <w:rFonts w:cs="Arial"/>
                <w:sz w:val="18"/>
                <w:szCs w:val="18"/>
              </w:rPr>
            </w:pPr>
            <w:r w:rsidRPr="005D2762">
              <w:rPr>
                <w:rFonts w:cs="Arial"/>
                <w:sz w:val="18"/>
                <w:szCs w:val="18"/>
              </w:rPr>
              <w:t>Proportion (%) of male participants</w:t>
            </w:r>
          </w:p>
        </w:tc>
        <w:tc>
          <w:tcPr>
            <w:tcW w:w="2268" w:type="dxa"/>
          </w:tcPr>
          <w:p w:rsidR="005741E2" w:rsidRPr="005D2762" w:rsidRDefault="005741E2" w:rsidP="005D2762">
            <w:pPr>
              <w:spacing w:line="240" w:lineRule="auto"/>
              <w:contextualSpacing/>
              <w:cnfStyle w:val="100000000000" w:firstRow="1" w:lastRow="0" w:firstColumn="0" w:lastColumn="0" w:oddVBand="0" w:evenVBand="0" w:oddHBand="0" w:evenHBand="0" w:firstRowFirstColumn="0" w:firstRowLastColumn="0" w:lastRowFirstColumn="0" w:lastRowLastColumn="0"/>
              <w:rPr>
                <w:rFonts w:cs="Arial"/>
                <w:sz w:val="18"/>
                <w:szCs w:val="18"/>
              </w:rPr>
            </w:pPr>
            <w:r w:rsidRPr="005D2762">
              <w:rPr>
                <w:rFonts w:cs="Arial"/>
                <w:sz w:val="18"/>
                <w:szCs w:val="18"/>
              </w:rPr>
              <w:t>Mean age (Yrs)</w:t>
            </w:r>
            <w:r w:rsidR="005D2762" w:rsidRPr="005D2762">
              <w:rPr>
                <w:rFonts w:cs="Arial"/>
                <w:sz w:val="18"/>
                <w:szCs w:val="18"/>
              </w:rPr>
              <w:t>†</w:t>
            </w:r>
          </w:p>
          <w:p w:rsidR="005741E2" w:rsidRPr="005D2762" w:rsidRDefault="005741E2" w:rsidP="005D2762">
            <w:pPr>
              <w:spacing w:line="240" w:lineRule="auto"/>
              <w:contextualSpacing/>
              <w:cnfStyle w:val="100000000000" w:firstRow="1" w:lastRow="0" w:firstColumn="0" w:lastColumn="0" w:oddVBand="0" w:evenVBand="0" w:oddHBand="0" w:evenHBand="0" w:firstRowFirstColumn="0" w:firstRowLastColumn="0" w:lastRowFirstColumn="0" w:lastRowLastColumn="0"/>
              <w:rPr>
                <w:rFonts w:cs="Arial"/>
                <w:sz w:val="18"/>
                <w:szCs w:val="18"/>
              </w:rPr>
            </w:pPr>
          </w:p>
        </w:tc>
        <w:tc>
          <w:tcPr>
            <w:tcW w:w="2410" w:type="dxa"/>
          </w:tcPr>
          <w:p w:rsidR="005741E2" w:rsidRPr="005D2762" w:rsidRDefault="005741E2" w:rsidP="005D2762">
            <w:pPr>
              <w:spacing w:line="240" w:lineRule="auto"/>
              <w:contextualSpacing/>
              <w:cnfStyle w:val="100000000000" w:firstRow="1" w:lastRow="0" w:firstColumn="0" w:lastColumn="0" w:oddVBand="0" w:evenVBand="0" w:oddHBand="0" w:evenHBand="0" w:firstRowFirstColumn="0" w:firstRowLastColumn="0" w:lastRowFirstColumn="0" w:lastRowLastColumn="0"/>
              <w:rPr>
                <w:rFonts w:cs="Arial"/>
                <w:sz w:val="18"/>
                <w:szCs w:val="18"/>
              </w:rPr>
            </w:pPr>
            <w:r w:rsidRPr="005D2762">
              <w:rPr>
                <w:rFonts w:cs="Arial"/>
                <w:sz w:val="18"/>
                <w:szCs w:val="18"/>
              </w:rPr>
              <w:t>Mean disease duration (Yrs)</w:t>
            </w:r>
            <w:r w:rsidR="005D2762" w:rsidRPr="005D2762">
              <w:rPr>
                <w:rFonts w:cs="Arial"/>
                <w:sz w:val="18"/>
                <w:szCs w:val="18"/>
              </w:rPr>
              <w:t>†</w:t>
            </w:r>
          </w:p>
        </w:tc>
        <w:tc>
          <w:tcPr>
            <w:tcW w:w="1328" w:type="dxa"/>
          </w:tcPr>
          <w:p w:rsidR="005741E2" w:rsidRPr="005D2762" w:rsidRDefault="005741E2" w:rsidP="005D2762">
            <w:pPr>
              <w:spacing w:line="240" w:lineRule="auto"/>
              <w:contextualSpacing/>
              <w:cnfStyle w:val="100000000000" w:firstRow="1" w:lastRow="0" w:firstColumn="0" w:lastColumn="0" w:oddVBand="0" w:evenVBand="0" w:oddHBand="0" w:evenHBand="0" w:firstRowFirstColumn="0" w:firstRowLastColumn="0" w:lastRowFirstColumn="0" w:lastRowLastColumn="0"/>
              <w:rPr>
                <w:rFonts w:cs="Arial"/>
                <w:sz w:val="18"/>
                <w:szCs w:val="18"/>
              </w:rPr>
            </w:pPr>
            <w:r w:rsidRPr="005D2762">
              <w:rPr>
                <w:rFonts w:cs="Arial"/>
                <w:sz w:val="18"/>
                <w:szCs w:val="18"/>
              </w:rPr>
              <w:t>Country of study</w:t>
            </w:r>
          </w:p>
        </w:tc>
      </w:tr>
      <w:tr w:rsidR="005741E2" w:rsidRPr="005741E2" w:rsidTr="005D2762">
        <w:trPr>
          <w:trHeight w:val="421"/>
        </w:trPr>
        <w:tc>
          <w:tcPr>
            <w:cnfStyle w:val="001000000000" w:firstRow="0" w:lastRow="0" w:firstColumn="1" w:lastColumn="0" w:oddVBand="0" w:evenVBand="0" w:oddHBand="0" w:evenHBand="0" w:firstRowFirstColumn="0" w:firstRowLastColumn="0" w:lastRowFirstColumn="0" w:lastRowLastColumn="0"/>
            <w:tcW w:w="1101" w:type="dxa"/>
          </w:tcPr>
          <w:p w:rsidR="005741E2" w:rsidRPr="005741E2" w:rsidRDefault="005741E2" w:rsidP="005D2762">
            <w:pPr>
              <w:spacing w:line="240" w:lineRule="auto"/>
              <w:contextualSpacing/>
              <w:jc w:val="center"/>
              <w:rPr>
                <w:rFonts w:cs="Arial"/>
                <w:sz w:val="18"/>
                <w:szCs w:val="18"/>
              </w:rPr>
            </w:pPr>
            <w:r w:rsidRPr="005741E2">
              <w:rPr>
                <w:rFonts w:cs="Arial"/>
                <w:sz w:val="18"/>
                <w:szCs w:val="18"/>
              </w:rPr>
              <w:t>Quality of life</w:t>
            </w:r>
          </w:p>
        </w:tc>
        <w:tc>
          <w:tcPr>
            <w:tcW w:w="2409" w:type="dxa"/>
          </w:tcPr>
          <w:p w:rsidR="005741E2" w:rsidRPr="005741E2" w:rsidRDefault="005D2762" w:rsidP="005D2762">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cs="Arial"/>
                <w:sz w:val="16"/>
                <w:szCs w:val="16"/>
              </w:rPr>
            </w:pPr>
            <w:r>
              <w:rPr>
                <w:rFonts w:cs="Arial"/>
                <w:sz w:val="16"/>
                <w:szCs w:val="16"/>
              </w:rPr>
              <w:t>(Baczyk, 2005)</w:t>
            </w:r>
          </w:p>
        </w:tc>
        <w:tc>
          <w:tcPr>
            <w:tcW w:w="1418" w:type="dxa"/>
          </w:tcPr>
          <w:p w:rsidR="005741E2" w:rsidRPr="005741E2" w:rsidRDefault="005741E2" w:rsidP="005D2762">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cs="Arial"/>
                <w:sz w:val="16"/>
                <w:szCs w:val="16"/>
              </w:rPr>
            </w:pPr>
            <w:r w:rsidRPr="005741E2">
              <w:rPr>
                <w:rFonts w:cs="Arial"/>
                <w:sz w:val="16"/>
                <w:szCs w:val="16"/>
              </w:rPr>
              <w:t>Cross-sectional</w:t>
            </w:r>
          </w:p>
        </w:tc>
        <w:tc>
          <w:tcPr>
            <w:tcW w:w="2977" w:type="dxa"/>
          </w:tcPr>
          <w:p w:rsidR="005741E2" w:rsidRPr="005741E2" w:rsidRDefault="005741E2" w:rsidP="005D2762">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cs="Arial"/>
                <w:sz w:val="16"/>
                <w:szCs w:val="16"/>
              </w:rPr>
            </w:pPr>
            <w:r w:rsidRPr="005741E2">
              <w:rPr>
                <w:rFonts w:cs="Arial"/>
                <w:sz w:val="16"/>
                <w:szCs w:val="16"/>
              </w:rPr>
              <w:t>45/168</w:t>
            </w:r>
          </w:p>
        </w:tc>
        <w:tc>
          <w:tcPr>
            <w:tcW w:w="1842" w:type="dxa"/>
          </w:tcPr>
          <w:p w:rsidR="005741E2" w:rsidRPr="005741E2" w:rsidRDefault="005741E2" w:rsidP="005D2762">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cs="Arial"/>
                <w:sz w:val="16"/>
                <w:szCs w:val="16"/>
              </w:rPr>
            </w:pPr>
            <w:r w:rsidRPr="005741E2">
              <w:rPr>
                <w:rFonts w:cs="Arial"/>
                <w:sz w:val="16"/>
                <w:szCs w:val="16"/>
              </w:rPr>
              <w:t>27%</w:t>
            </w:r>
          </w:p>
        </w:tc>
        <w:tc>
          <w:tcPr>
            <w:tcW w:w="2268" w:type="dxa"/>
          </w:tcPr>
          <w:p w:rsidR="005741E2" w:rsidRPr="005741E2" w:rsidRDefault="005741E2" w:rsidP="005D2762">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cs="Arial"/>
                <w:sz w:val="16"/>
                <w:szCs w:val="16"/>
              </w:rPr>
            </w:pPr>
            <w:r w:rsidRPr="005741E2">
              <w:rPr>
                <w:rFonts w:cs="Arial"/>
                <w:sz w:val="16"/>
                <w:szCs w:val="16"/>
              </w:rPr>
              <w:t>55.84 Male</w:t>
            </w:r>
            <w:r w:rsidRPr="005741E2">
              <w:rPr>
                <w:rFonts w:cs="Arial"/>
                <w:sz w:val="16"/>
                <w:szCs w:val="16"/>
              </w:rPr>
              <w:br/>
              <w:t xml:space="preserve"> 51.34 Female</w:t>
            </w:r>
          </w:p>
        </w:tc>
        <w:tc>
          <w:tcPr>
            <w:tcW w:w="2410" w:type="dxa"/>
          </w:tcPr>
          <w:p w:rsidR="005741E2" w:rsidRPr="005741E2" w:rsidRDefault="005741E2" w:rsidP="005D2762">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cs="Arial"/>
                <w:sz w:val="16"/>
                <w:szCs w:val="16"/>
              </w:rPr>
            </w:pPr>
            <w:r w:rsidRPr="005741E2">
              <w:rPr>
                <w:rFonts w:cs="Arial"/>
                <w:sz w:val="16"/>
                <w:szCs w:val="16"/>
              </w:rPr>
              <w:t xml:space="preserve"> 11.33 Male</w:t>
            </w:r>
          </w:p>
          <w:p w:rsidR="005741E2" w:rsidRPr="005741E2" w:rsidRDefault="005741E2" w:rsidP="005D2762">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cs="Arial"/>
                <w:sz w:val="16"/>
                <w:szCs w:val="16"/>
              </w:rPr>
            </w:pPr>
            <w:r w:rsidRPr="005741E2">
              <w:rPr>
                <w:rFonts w:cs="Arial"/>
                <w:sz w:val="16"/>
                <w:szCs w:val="16"/>
              </w:rPr>
              <w:t>12.88 Female</w:t>
            </w:r>
          </w:p>
        </w:tc>
        <w:tc>
          <w:tcPr>
            <w:tcW w:w="1328" w:type="dxa"/>
          </w:tcPr>
          <w:p w:rsidR="005741E2" w:rsidRPr="005741E2" w:rsidRDefault="005741E2" w:rsidP="005D2762">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cs="Arial"/>
                <w:sz w:val="16"/>
                <w:szCs w:val="16"/>
              </w:rPr>
            </w:pPr>
            <w:r w:rsidRPr="005741E2">
              <w:rPr>
                <w:rFonts w:cs="Arial"/>
                <w:sz w:val="16"/>
                <w:szCs w:val="16"/>
              </w:rPr>
              <w:t>Poland</w:t>
            </w:r>
          </w:p>
        </w:tc>
      </w:tr>
      <w:tr w:rsidR="005741E2" w:rsidRPr="005741E2" w:rsidTr="005D2762">
        <w:trPr>
          <w:trHeight w:val="423"/>
        </w:trPr>
        <w:tc>
          <w:tcPr>
            <w:cnfStyle w:val="001000000000" w:firstRow="0" w:lastRow="0" w:firstColumn="1" w:lastColumn="0" w:oddVBand="0" w:evenVBand="0" w:oddHBand="0" w:evenHBand="0" w:firstRowFirstColumn="0" w:firstRowLastColumn="0" w:lastRowFirstColumn="0" w:lastRowLastColumn="0"/>
            <w:tcW w:w="1101" w:type="dxa"/>
          </w:tcPr>
          <w:p w:rsidR="005741E2" w:rsidRPr="005741E2" w:rsidRDefault="005741E2" w:rsidP="005D2762">
            <w:pPr>
              <w:spacing w:line="240" w:lineRule="auto"/>
              <w:contextualSpacing/>
              <w:jc w:val="center"/>
              <w:rPr>
                <w:rFonts w:cs="Arial"/>
                <w:sz w:val="18"/>
                <w:szCs w:val="18"/>
              </w:rPr>
            </w:pPr>
          </w:p>
        </w:tc>
        <w:tc>
          <w:tcPr>
            <w:tcW w:w="2409" w:type="dxa"/>
          </w:tcPr>
          <w:p w:rsidR="005741E2" w:rsidRPr="005741E2" w:rsidRDefault="005D2762" w:rsidP="005D2762">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cs="Arial"/>
                <w:sz w:val="16"/>
                <w:szCs w:val="16"/>
              </w:rPr>
            </w:pPr>
            <w:r>
              <w:rPr>
                <w:rFonts w:cs="Arial"/>
                <w:sz w:val="16"/>
                <w:szCs w:val="16"/>
              </w:rPr>
              <w:t>(Baczyk et al., 2007)</w:t>
            </w:r>
          </w:p>
        </w:tc>
        <w:tc>
          <w:tcPr>
            <w:tcW w:w="1418" w:type="dxa"/>
          </w:tcPr>
          <w:p w:rsidR="005741E2" w:rsidRPr="005741E2" w:rsidRDefault="005741E2" w:rsidP="005D2762">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cs="Arial"/>
                <w:sz w:val="16"/>
                <w:szCs w:val="16"/>
              </w:rPr>
            </w:pPr>
            <w:r w:rsidRPr="005741E2">
              <w:rPr>
                <w:rFonts w:cs="Arial"/>
                <w:sz w:val="16"/>
                <w:szCs w:val="16"/>
              </w:rPr>
              <w:t>Cross-sectional</w:t>
            </w:r>
          </w:p>
        </w:tc>
        <w:tc>
          <w:tcPr>
            <w:tcW w:w="2977" w:type="dxa"/>
          </w:tcPr>
          <w:p w:rsidR="005741E2" w:rsidRPr="005741E2" w:rsidRDefault="005741E2" w:rsidP="005D2762">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cs="Arial"/>
                <w:sz w:val="16"/>
                <w:szCs w:val="16"/>
              </w:rPr>
            </w:pPr>
            <w:r w:rsidRPr="005741E2">
              <w:rPr>
                <w:rFonts w:cs="Arial"/>
                <w:sz w:val="16"/>
                <w:szCs w:val="16"/>
              </w:rPr>
              <w:t>OA: 11/97</w:t>
            </w:r>
          </w:p>
          <w:p w:rsidR="005741E2" w:rsidRPr="005741E2" w:rsidRDefault="005741E2" w:rsidP="005D2762">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cs="Arial"/>
                <w:sz w:val="16"/>
                <w:szCs w:val="16"/>
              </w:rPr>
            </w:pPr>
            <w:r w:rsidRPr="005741E2">
              <w:rPr>
                <w:rFonts w:cs="Arial"/>
                <w:sz w:val="16"/>
                <w:szCs w:val="16"/>
              </w:rPr>
              <w:t>RA: 21/123</w:t>
            </w:r>
          </w:p>
        </w:tc>
        <w:tc>
          <w:tcPr>
            <w:tcW w:w="1842" w:type="dxa"/>
          </w:tcPr>
          <w:p w:rsidR="005741E2" w:rsidRPr="005741E2" w:rsidRDefault="005741E2" w:rsidP="005D2762">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cs="Arial"/>
                <w:sz w:val="16"/>
                <w:szCs w:val="16"/>
              </w:rPr>
            </w:pPr>
            <w:r w:rsidRPr="005741E2">
              <w:rPr>
                <w:rFonts w:cs="Arial"/>
                <w:sz w:val="16"/>
                <w:szCs w:val="16"/>
              </w:rPr>
              <w:t>OA: 11%</w:t>
            </w:r>
          </w:p>
          <w:p w:rsidR="005741E2" w:rsidRPr="005741E2" w:rsidRDefault="005741E2" w:rsidP="005D2762">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cs="Arial"/>
                <w:sz w:val="16"/>
                <w:szCs w:val="16"/>
              </w:rPr>
            </w:pPr>
            <w:r w:rsidRPr="005741E2">
              <w:rPr>
                <w:rFonts w:cs="Arial"/>
                <w:sz w:val="16"/>
                <w:szCs w:val="16"/>
              </w:rPr>
              <w:t>RA: 17%</w:t>
            </w:r>
          </w:p>
        </w:tc>
        <w:tc>
          <w:tcPr>
            <w:tcW w:w="2268" w:type="dxa"/>
          </w:tcPr>
          <w:p w:rsidR="005741E2" w:rsidRPr="005741E2" w:rsidRDefault="005741E2" w:rsidP="005D2762">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cs="Arial"/>
                <w:sz w:val="16"/>
                <w:szCs w:val="16"/>
              </w:rPr>
            </w:pPr>
            <w:r w:rsidRPr="005741E2">
              <w:rPr>
                <w:rFonts w:cs="Arial"/>
                <w:sz w:val="16"/>
                <w:szCs w:val="16"/>
              </w:rPr>
              <w:t>OA:11.50</w:t>
            </w:r>
          </w:p>
          <w:p w:rsidR="005741E2" w:rsidRPr="005741E2" w:rsidRDefault="005741E2" w:rsidP="005D2762">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cs="Arial"/>
                <w:sz w:val="16"/>
                <w:szCs w:val="16"/>
              </w:rPr>
            </w:pPr>
            <w:r w:rsidRPr="005741E2">
              <w:rPr>
                <w:rFonts w:cs="Arial"/>
                <w:sz w:val="16"/>
                <w:szCs w:val="16"/>
              </w:rPr>
              <w:t>RA:11.10</w:t>
            </w:r>
          </w:p>
        </w:tc>
        <w:tc>
          <w:tcPr>
            <w:tcW w:w="2410" w:type="dxa"/>
          </w:tcPr>
          <w:p w:rsidR="005741E2" w:rsidRPr="005741E2" w:rsidRDefault="005741E2" w:rsidP="005D2762">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cs="Arial"/>
                <w:sz w:val="16"/>
                <w:szCs w:val="16"/>
              </w:rPr>
            </w:pPr>
            <w:r w:rsidRPr="005741E2">
              <w:rPr>
                <w:rFonts w:cs="Arial"/>
                <w:sz w:val="16"/>
                <w:szCs w:val="16"/>
              </w:rPr>
              <w:t>OA: 11.5</w:t>
            </w:r>
          </w:p>
          <w:p w:rsidR="005741E2" w:rsidRPr="005741E2" w:rsidRDefault="005741E2" w:rsidP="005D2762">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cs="Arial"/>
                <w:sz w:val="16"/>
                <w:szCs w:val="16"/>
              </w:rPr>
            </w:pPr>
            <w:r w:rsidRPr="005741E2">
              <w:rPr>
                <w:rFonts w:cs="Arial"/>
                <w:sz w:val="16"/>
                <w:szCs w:val="16"/>
              </w:rPr>
              <w:t>RA: 11.1</w:t>
            </w:r>
          </w:p>
        </w:tc>
        <w:tc>
          <w:tcPr>
            <w:tcW w:w="1328" w:type="dxa"/>
          </w:tcPr>
          <w:p w:rsidR="005741E2" w:rsidRPr="005741E2" w:rsidRDefault="005741E2" w:rsidP="005D2762">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cs="Arial"/>
                <w:sz w:val="16"/>
                <w:szCs w:val="16"/>
              </w:rPr>
            </w:pPr>
            <w:r w:rsidRPr="005741E2">
              <w:rPr>
                <w:rFonts w:cs="Arial"/>
                <w:sz w:val="16"/>
                <w:szCs w:val="16"/>
              </w:rPr>
              <w:t>Poland</w:t>
            </w:r>
          </w:p>
        </w:tc>
      </w:tr>
      <w:tr w:rsidR="005741E2" w:rsidRPr="005741E2" w:rsidTr="005D2762">
        <w:trPr>
          <w:trHeight w:val="145"/>
        </w:trPr>
        <w:tc>
          <w:tcPr>
            <w:cnfStyle w:val="001000000000" w:firstRow="0" w:lastRow="0" w:firstColumn="1" w:lastColumn="0" w:oddVBand="0" w:evenVBand="0" w:oddHBand="0" w:evenHBand="0" w:firstRowFirstColumn="0" w:firstRowLastColumn="0" w:lastRowFirstColumn="0" w:lastRowLastColumn="0"/>
            <w:tcW w:w="1101" w:type="dxa"/>
          </w:tcPr>
          <w:p w:rsidR="005741E2" w:rsidRPr="005741E2" w:rsidRDefault="005741E2" w:rsidP="005D2762">
            <w:pPr>
              <w:spacing w:line="240" w:lineRule="auto"/>
              <w:contextualSpacing/>
              <w:jc w:val="center"/>
              <w:rPr>
                <w:rFonts w:cs="Arial"/>
                <w:sz w:val="18"/>
                <w:szCs w:val="18"/>
              </w:rPr>
            </w:pPr>
          </w:p>
        </w:tc>
        <w:tc>
          <w:tcPr>
            <w:tcW w:w="2409" w:type="dxa"/>
          </w:tcPr>
          <w:p w:rsidR="005741E2" w:rsidRPr="005741E2" w:rsidRDefault="005D2762" w:rsidP="005D2762">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cs="Arial"/>
                <w:sz w:val="16"/>
                <w:szCs w:val="16"/>
              </w:rPr>
            </w:pPr>
            <w:r>
              <w:rPr>
                <w:rFonts w:cs="Arial"/>
                <w:sz w:val="16"/>
                <w:szCs w:val="16"/>
              </w:rPr>
              <w:t>(Bedi et al., 2005)</w:t>
            </w:r>
          </w:p>
        </w:tc>
        <w:tc>
          <w:tcPr>
            <w:tcW w:w="1418" w:type="dxa"/>
          </w:tcPr>
          <w:p w:rsidR="005741E2" w:rsidRPr="005741E2" w:rsidRDefault="005741E2" w:rsidP="005D2762">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cs="Arial"/>
                <w:sz w:val="16"/>
                <w:szCs w:val="16"/>
              </w:rPr>
            </w:pPr>
            <w:r w:rsidRPr="005741E2">
              <w:rPr>
                <w:rFonts w:cs="Arial"/>
                <w:sz w:val="16"/>
                <w:szCs w:val="16"/>
              </w:rPr>
              <w:t>Cross-sectional</w:t>
            </w:r>
          </w:p>
        </w:tc>
        <w:tc>
          <w:tcPr>
            <w:tcW w:w="2977" w:type="dxa"/>
          </w:tcPr>
          <w:p w:rsidR="005741E2" w:rsidRPr="005741E2" w:rsidRDefault="005741E2" w:rsidP="005D2762">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cs="Arial"/>
                <w:sz w:val="16"/>
                <w:szCs w:val="16"/>
              </w:rPr>
            </w:pPr>
            <w:r w:rsidRPr="005741E2">
              <w:rPr>
                <w:rFonts w:cs="Arial"/>
                <w:sz w:val="16"/>
                <w:szCs w:val="16"/>
              </w:rPr>
              <w:t>26/81</w:t>
            </w:r>
          </w:p>
        </w:tc>
        <w:tc>
          <w:tcPr>
            <w:tcW w:w="1842" w:type="dxa"/>
          </w:tcPr>
          <w:p w:rsidR="005741E2" w:rsidRPr="005741E2" w:rsidRDefault="005741E2" w:rsidP="005D2762">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cs="Arial"/>
                <w:sz w:val="16"/>
                <w:szCs w:val="16"/>
              </w:rPr>
            </w:pPr>
            <w:r w:rsidRPr="005741E2">
              <w:rPr>
                <w:rFonts w:cs="Arial"/>
                <w:sz w:val="16"/>
                <w:szCs w:val="16"/>
              </w:rPr>
              <w:t>32%</w:t>
            </w:r>
          </w:p>
        </w:tc>
        <w:tc>
          <w:tcPr>
            <w:tcW w:w="2268" w:type="dxa"/>
          </w:tcPr>
          <w:p w:rsidR="005741E2" w:rsidRPr="005741E2" w:rsidRDefault="005741E2" w:rsidP="005D2762">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cs="Arial"/>
                <w:sz w:val="16"/>
                <w:szCs w:val="16"/>
              </w:rPr>
            </w:pPr>
            <w:r w:rsidRPr="005741E2">
              <w:rPr>
                <w:rFonts w:cs="Arial"/>
                <w:sz w:val="16"/>
                <w:szCs w:val="16"/>
              </w:rPr>
              <w:t>42</w:t>
            </w:r>
          </w:p>
        </w:tc>
        <w:tc>
          <w:tcPr>
            <w:tcW w:w="2410" w:type="dxa"/>
          </w:tcPr>
          <w:p w:rsidR="005741E2" w:rsidRPr="005741E2" w:rsidRDefault="005741E2" w:rsidP="005D2762">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cs="Arial"/>
                <w:sz w:val="16"/>
                <w:szCs w:val="16"/>
              </w:rPr>
            </w:pPr>
            <w:r w:rsidRPr="005741E2">
              <w:rPr>
                <w:rFonts w:cs="Arial"/>
                <w:sz w:val="16"/>
                <w:szCs w:val="16"/>
              </w:rPr>
              <w:t>5</w:t>
            </w:r>
          </w:p>
        </w:tc>
        <w:tc>
          <w:tcPr>
            <w:tcW w:w="1328" w:type="dxa"/>
          </w:tcPr>
          <w:p w:rsidR="005741E2" w:rsidRPr="005741E2" w:rsidRDefault="005741E2" w:rsidP="005D2762">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cs="Arial"/>
                <w:sz w:val="16"/>
                <w:szCs w:val="16"/>
              </w:rPr>
            </w:pPr>
            <w:r w:rsidRPr="005741E2">
              <w:rPr>
                <w:rFonts w:cs="Arial"/>
                <w:sz w:val="16"/>
                <w:szCs w:val="16"/>
              </w:rPr>
              <w:t>India</w:t>
            </w:r>
          </w:p>
        </w:tc>
      </w:tr>
      <w:tr w:rsidR="005741E2" w:rsidRPr="005741E2" w:rsidTr="005D2762">
        <w:trPr>
          <w:trHeight w:val="276"/>
        </w:trPr>
        <w:tc>
          <w:tcPr>
            <w:cnfStyle w:val="001000000000" w:firstRow="0" w:lastRow="0" w:firstColumn="1" w:lastColumn="0" w:oddVBand="0" w:evenVBand="0" w:oddHBand="0" w:evenHBand="0" w:firstRowFirstColumn="0" w:firstRowLastColumn="0" w:lastRowFirstColumn="0" w:lastRowLastColumn="0"/>
            <w:tcW w:w="1101" w:type="dxa"/>
          </w:tcPr>
          <w:p w:rsidR="005741E2" w:rsidRPr="005741E2" w:rsidRDefault="005741E2" w:rsidP="005D2762">
            <w:pPr>
              <w:spacing w:line="240" w:lineRule="auto"/>
              <w:contextualSpacing/>
              <w:jc w:val="center"/>
              <w:rPr>
                <w:rFonts w:cs="Arial"/>
                <w:sz w:val="18"/>
                <w:szCs w:val="18"/>
              </w:rPr>
            </w:pPr>
          </w:p>
        </w:tc>
        <w:tc>
          <w:tcPr>
            <w:tcW w:w="2409" w:type="dxa"/>
          </w:tcPr>
          <w:p w:rsidR="005741E2" w:rsidRPr="005741E2" w:rsidRDefault="005D2762" w:rsidP="005D2762">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cs="Arial"/>
                <w:sz w:val="16"/>
                <w:szCs w:val="16"/>
              </w:rPr>
            </w:pPr>
            <w:r>
              <w:rPr>
                <w:rFonts w:cs="Arial"/>
                <w:sz w:val="16"/>
                <w:szCs w:val="16"/>
              </w:rPr>
              <w:t>(Karlsson et al., 2006)</w:t>
            </w:r>
          </w:p>
        </w:tc>
        <w:tc>
          <w:tcPr>
            <w:tcW w:w="1418" w:type="dxa"/>
          </w:tcPr>
          <w:p w:rsidR="005741E2" w:rsidRPr="005741E2" w:rsidRDefault="005741E2" w:rsidP="005D2762">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cs="Arial"/>
                <w:sz w:val="16"/>
                <w:szCs w:val="16"/>
              </w:rPr>
            </w:pPr>
            <w:r w:rsidRPr="005741E2">
              <w:rPr>
                <w:rFonts w:cs="Arial"/>
                <w:sz w:val="16"/>
                <w:szCs w:val="16"/>
              </w:rPr>
              <w:t>Longitudinal</w:t>
            </w:r>
          </w:p>
        </w:tc>
        <w:tc>
          <w:tcPr>
            <w:tcW w:w="2977" w:type="dxa"/>
          </w:tcPr>
          <w:p w:rsidR="005741E2" w:rsidRPr="005741E2" w:rsidRDefault="005741E2" w:rsidP="005D2762">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cs="Arial"/>
                <w:sz w:val="16"/>
                <w:szCs w:val="16"/>
              </w:rPr>
            </w:pPr>
            <w:r w:rsidRPr="005741E2">
              <w:rPr>
                <w:rFonts w:cs="Arial"/>
                <w:sz w:val="16"/>
                <w:szCs w:val="16"/>
              </w:rPr>
              <w:t>12/38</w:t>
            </w:r>
          </w:p>
        </w:tc>
        <w:tc>
          <w:tcPr>
            <w:tcW w:w="1842" w:type="dxa"/>
          </w:tcPr>
          <w:p w:rsidR="005741E2" w:rsidRPr="005741E2" w:rsidRDefault="005741E2" w:rsidP="005D2762">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cs="Arial"/>
                <w:sz w:val="16"/>
                <w:szCs w:val="16"/>
              </w:rPr>
            </w:pPr>
            <w:r w:rsidRPr="005741E2">
              <w:rPr>
                <w:rFonts w:cs="Arial"/>
                <w:sz w:val="16"/>
                <w:szCs w:val="16"/>
              </w:rPr>
              <w:t>32%</w:t>
            </w:r>
          </w:p>
        </w:tc>
        <w:tc>
          <w:tcPr>
            <w:tcW w:w="2268" w:type="dxa"/>
          </w:tcPr>
          <w:p w:rsidR="005741E2" w:rsidRPr="005741E2" w:rsidRDefault="005741E2" w:rsidP="005D2762">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cs="Arial"/>
                <w:sz w:val="16"/>
                <w:szCs w:val="16"/>
              </w:rPr>
            </w:pPr>
            <w:r w:rsidRPr="005741E2">
              <w:rPr>
                <w:rFonts w:cs="Arial"/>
                <w:sz w:val="16"/>
                <w:szCs w:val="16"/>
              </w:rPr>
              <w:t>51.1</w:t>
            </w:r>
          </w:p>
        </w:tc>
        <w:tc>
          <w:tcPr>
            <w:tcW w:w="2410" w:type="dxa"/>
          </w:tcPr>
          <w:p w:rsidR="005741E2" w:rsidRPr="005741E2" w:rsidRDefault="005741E2" w:rsidP="005D2762">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cs="Arial"/>
                <w:sz w:val="16"/>
                <w:szCs w:val="16"/>
              </w:rPr>
            </w:pPr>
            <w:r w:rsidRPr="005741E2">
              <w:rPr>
                <w:rFonts w:cs="Arial"/>
                <w:sz w:val="16"/>
                <w:szCs w:val="16"/>
              </w:rPr>
              <w:t>Recruited at diagnosis</w:t>
            </w:r>
          </w:p>
        </w:tc>
        <w:tc>
          <w:tcPr>
            <w:tcW w:w="1328" w:type="dxa"/>
          </w:tcPr>
          <w:p w:rsidR="005741E2" w:rsidRPr="005741E2" w:rsidRDefault="005741E2" w:rsidP="005D2762">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cs="Arial"/>
                <w:sz w:val="16"/>
                <w:szCs w:val="16"/>
              </w:rPr>
            </w:pPr>
            <w:r w:rsidRPr="005741E2">
              <w:rPr>
                <w:rFonts w:cs="Arial"/>
                <w:sz w:val="16"/>
                <w:szCs w:val="16"/>
              </w:rPr>
              <w:t>Sweden</w:t>
            </w:r>
          </w:p>
        </w:tc>
      </w:tr>
      <w:tr w:rsidR="005741E2" w:rsidRPr="005741E2" w:rsidTr="005D2762">
        <w:trPr>
          <w:trHeight w:val="422"/>
        </w:trPr>
        <w:tc>
          <w:tcPr>
            <w:cnfStyle w:val="001000000000" w:firstRow="0" w:lastRow="0" w:firstColumn="1" w:lastColumn="0" w:oddVBand="0" w:evenVBand="0" w:oddHBand="0" w:evenHBand="0" w:firstRowFirstColumn="0" w:firstRowLastColumn="0" w:lastRowFirstColumn="0" w:lastRowLastColumn="0"/>
            <w:tcW w:w="1101" w:type="dxa"/>
          </w:tcPr>
          <w:p w:rsidR="005741E2" w:rsidRPr="005741E2" w:rsidRDefault="005741E2" w:rsidP="005D2762">
            <w:pPr>
              <w:spacing w:line="240" w:lineRule="auto"/>
              <w:contextualSpacing/>
              <w:jc w:val="center"/>
              <w:rPr>
                <w:rFonts w:cs="Arial"/>
                <w:sz w:val="18"/>
                <w:szCs w:val="18"/>
              </w:rPr>
            </w:pPr>
          </w:p>
        </w:tc>
        <w:tc>
          <w:tcPr>
            <w:tcW w:w="2409" w:type="dxa"/>
          </w:tcPr>
          <w:p w:rsidR="005741E2" w:rsidRPr="005741E2" w:rsidRDefault="005D2762" w:rsidP="005D2762">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cs="Arial"/>
                <w:sz w:val="16"/>
                <w:szCs w:val="16"/>
              </w:rPr>
            </w:pPr>
            <w:r>
              <w:rPr>
                <w:rFonts w:cs="Arial"/>
                <w:sz w:val="16"/>
                <w:szCs w:val="16"/>
              </w:rPr>
              <w:t>(Uhlig et al., 2007)</w:t>
            </w:r>
          </w:p>
        </w:tc>
        <w:tc>
          <w:tcPr>
            <w:tcW w:w="1418" w:type="dxa"/>
          </w:tcPr>
          <w:p w:rsidR="005741E2" w:rsidRPr="005741E2" w:rsidRDefault="005741E2" w:rsidP="005D2762">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cs="Arial"/>
                <w:sz w:val="16"/>
                <w:szCs w:val="16"/>
              </w:rPr>
            </w:pPr>
            <w:r w:rsidRPr="005741E2">
              <w:rPr>
                <w:rFonts w:cs="Arial"/>
                <w:sz w:val="16"/>
                <w:szCs w:val="16"/>
              </w:rPr>
              <w:t>Cross-sectional</w:t>
            </w:r>
          </w:p>
        </w:tc>
        <w:tc>
          <w:tcPr>
            <w:tcW w:w="2977" w:type="dxa"/>
          </w:tcPr>
          <w:p w:rsidR="005741E2" w:rsidRPr="005741E2" w:rsidRDefault="005741E2" w:rsidP="005D2762">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cs="Arial"/>
                <w:sz w:val="16"/>
                <w:szCs w:val="16"/>
              </w:rPr>
            </w:pPr>
            <w:r w:rsidRPr="005741E2">
              <w:rPr>
                <w:rFonts w:cs="Arial"/>
                <w:sz w:val="16"/>
                <w:szCs w:val="16"/>
              </w:rPr>
              <w:t>RA: 221/1052</w:t>
            </w:r>
            <w:r w:rsidRPr="005741E2">
              <w:rPr>
                <w:rFonts w:cs="Arial"/>
                <w:sz w:val="16"/>
                <w:szCs w:val="16"/>
              </w:rPr>
              <w:br/>
              <w:t>General population (popn): 1138/2323</w:t>
            </w:r>
          </w:p>
        </w:tc>
        <w:tc>
          <w:tcPr>
            <w:tcW w:w="1842" w:type="dxa"/>
          </w:tcPr>
          <w:p w:rsidR="005741E2" w:rsidRPr="005741E2" w:rsidRDefault="005741E2" w:rsidP="005D2762">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cs="Arial"/>
                <w:sz w:val="16"/>
                <w:szCs w:val="16"/>
              </w:rPr>
            </w:pPr>
            <w:r w:rsidRPr="005741E2">
              <w:rPr>
                <w:rFonts w:cs="Arial"/>
                <w:sz w:val="16"/>
                <w:szCs w:val="16"/>
              </w:rPr>
              <w:t>RA: 21%</w:t>
            </w:r>
            <w:r w:rsidRPr="005741E2">
              <w:rPr>
                <w:rFonts w:cs="Arial"/>
                <w:sz w:val="16"/>
                <w:szCs w:val="16"/>
              </w:rPr>
              <w:br/>
              <w:t>General popn: 49%</w:t>
            </w:r>
          </w:p>
        </w:tc>
        <w:tc>
          <w:tcPr>
            <w:tcW w:w="2268" w:type="dxa"/>
          </w:tcPr>
          <w:p w:rsidR="005741E2" w:rsidRPr="005741E2" w:rsidRDefault="005741E2" w:rsidP="005D2762">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cs="Arial"/>
                <w:sz w:val="16"/>
                <w:szCs w:val="16"/>
              </w:rPr>
            </w:pPr>
            <w:r w:rsidRPr="005741E2">
              <w:rPr>
                <w:rFonts w:cs="Arial"/>
                <w:sz w:val="16"/>
                <w:szCs w:val="16"/>
              </w:rPr>
              <w:t>RA:61.3</w:t>
            </w:r>
          </w:p>
          <w:p w:rsidR="005741E2" w:rsidRPr="005741E2" w:rsidRDefault="005741E2" w:rsidP="005D2762">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cs="Arial"/>
                <w:sz w:val="16"/>
                <w:szCs w:val="16"/>
              </w:rPr>
            </w:pPr>
            <w:r w:rsidRPr="005741E2">
              <w:rPr>
                <w:rFonts w:cs="Arial"/>
                <w:sz w:val="16"/>
                <w:szCs w:val="16"/>
              </w:rPr>
              <w:t>Popn: 44.9</w:t>
            </w:r>
          </w:p>
        </w:tc>
        <w:tc>
          <w:tcPr>
            <w:tcW w:w="2410" w:type="dxa"/>
          </w:tcPr>
          <w:p w:rsidR="005741E2" w:rsidRPr="005741E2" w:rsidRDefault="005741E2" w:rsidP="005D2762">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cs="Arial"/>
                <w:sz w:val="16"/>
                <w:szCs w:val="16"/>
              </w:rPr>
            </w:pPr>
            <w:r w:rsidRPr="005741E2">
              <w:rPr>
                <w:rFonts w:cs="Arial"/>
                <w:sz w:val="16"/>
                <w:szCs w:val="16"/>
              </w:rPr>
              <w:t>RA:13.8</w:t>
            </w:r>
          </w:p>
          <w:p w:rsidR="005741E2" w:rsidRPr="005741E2" w:rsidRDefault="005741E2" w:rsidP="005D2762">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cs="Arial"/>
                <w:sz w:val="16"/>
                <w:szCs w:val="16"/>
              </w:rPr>
            </w:pPr>
            <w:r w:rsidRPr="005741E2">
              <w:rPr>
                <w:rFonts w:cs="Arial"/>
                <w:sz w:val="16"/>
                <w:szCs w:val="16"/>
              </w:rPr>
              <w:t>Popn: N/A</w:t>
            </w:r>
          </w:p>
        </w:tc>
        <w:tc>
          <w:tcPr>
            <w:tcW w:w="1328" w:type="dxa"/>
          </w:tcPr>
          <w:p w:rsidR="005741E2" w:rsidRPr="005741E2" w:rsidRDefault="005741E2" w:rsidP="005D2762">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cs="Arial"/>
                <w:sz w:val="16"/>
                <w:szCs w:val="16"/>
              </w:rPr>
            </w:pPr>
            <w:r w:rsidRPr="005741E2">
              <w:rPr>
                <w:rFonts w:cs="Arial"/>
                <w:sz w:val="16"/>
                <w:szCs w:val="16"/>
              </w:rPr>
              <w:t>Norway</w:t>
            </w:r>
          </w:p>
        </w:tc>
      </w:tr>
      <w:tr w:rsidR="005741E2" w:rsidRPr="005741E2" w:rsidTr="005D2762">
        <w:trPr>
          <w:trHeight w:val="640"/>
        </w:trPr>
        <w:tc>
          <w:tcPr>
            <w:cnfStyle w:val="001000000000" w:firstRow="0" w:lastRow="0" w:firstColumn="1" w:lastColumn="0" w:oddVBand="0" w:evenVBand="0" w:oddHBand="0" w:evenHBand="0" w:firstRowFirstColumn="0" w:firstRowLastColumn="0" w:lastRowFirstColumn="0" w:lastRowLastColumn="0"/>
            <w:tcW w:w="1101" w:type="dxa"/>
          </w:tcPr>
          <w:p w:rsidR="005741E2" w:rsidRPr="005741E2" w:rsidRDefault="005741E2" w:rsidP="005D2762">
            <w:pPr>
              <w:spacing w:line="240" w:lineRule="auto"/>
              <w:contextualSpacing/>
              <w:jc w:val="center"/>
              <w:rPr>
                <w:rFonts w:cs="Arial"/>
                <w:sz w:val="18"/>
                <w:szCs w:val="18"/>
              </w:rPr>
            </w:pPr>
          </w:p>
        </w:tc>
        <w:tc>
          <w:tcPr>
            <w:tcW w:w="2409" w:type="dxa"/>
          </w:tcPr>
          <w:p w:rsidR="005741E2" w:rsidRPr="005741E2" w:rsidRDefault="005D2762" w:rsidP="005D2762">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cs="Arial"/>
                <w:sz w:val="16"/>
                <w:szCs w:val="16"/>
              </w:rPr>
            </w:pPr>
            <w:r>
              <w:rPr>
                <w:rFonts w:cs="Arial"/>
                <w:sz w:val="16"/>
                <w:szCs w:val="16"/>
              </w:rPr>
              <w:t>(West and Jonsson, 2005)</w:t>
            </w:r>
          </w:p>
        </w:tc>
        <w:tc>
          <w:tcPr>
            <w:tcW w:w="1418" w:type="dxa"/>
          </w:tcPr>
          <w:p w:rsidR="005741E2" w:rsidRPr="005741E2" w:rsidRDefault="005741E2" w:rsidP="005D2762">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cs="Arial"/>
                <w:sz w:val="16"/>
                <w:szCs w:val="16"/>
              </w:rPr>
            </w:pPr>
            <w:r w:rsidRPr="005741E2">
              <w:rPr>
                <w:rFonts w:cs="Arial"/>
                <w:sz w:val="16"/>
                <w:szCs w:val="16"/>
              </w:rPr>
              <w:t>Cross-sectional</w:t>
            </w:r>
          </w:p>
        </w:tc>
        <w:tc>
          <w:tcPr>
            <w:tcW w:w="2977" w:type="dxa"/>
          </w:tcPr>
          <w:p w:rsidR="005741E2" w:rsidRPr="005741E2" w:rsidRDefault="005741E2" w:rsidP="005D2762">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cs="Arial"/>
                <w:sz w:val="16"/>
                <w:szCs w:val="16"/>
              </w:rPr>
            </w:pPr>
            <w:r w:rsidRPr="005741E2">
              <w:rPr>
                <w:rFonts w:cs="Arial"/>
                <w:sz w:val="16"/>
                <w:szCs w:val="16"/>
              </w:rPr>
              <w:t>RA &lt;12 months: 12/46</w:t>
            </w:r>
          </w:p>
          <w:p w:rsidR="005741E2" w:rsidRPr="005741E2" w:rsidRDefault="005741E2" w:rsidP="005D2762">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cs="Arial"/>
                <w:sz w:val="16"/>
                <w:szCs w:val="16"/>
              </w:rPr>
            </w:pPr>
            <w:r w:rsidRPr="005741E2">
              <w:rPr>
                <w:rFonts w:cs="Arial"/>
                <w:sz w:val="16"/>
                <w:szCs w:val="16"/>
              </w:rPr>
              <w:t>RA 21-25yrs: 10/39</w:t>
            </w:r>
          </w:p>
          <w:p w:rsidR="005741E2" w:rsidRPr="005741E2" w:rsidRDefault="005741E2" w:rsidP="005D2762">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cs="Arial"/>
                <w:sz w:val="16"/>
                <w:szCs w:val="16"/>
              </w:rPr>
            </w:pPr>
            <w:r w:rsidRPr="005741E2">
              <w:rPr>
                <w:rFonts w:cs="Arial"/>
                <w:sz w:val="16"/>
                <w:szCs w:val="16"/>
              </w:rPr>
              <w:t>Healthy controls: 7/36</w:t>
            </w:r>
          </w:p>
        </w:tc>
        <w:tc>
          <w:tcPr>
            <w:tcW w:w="1842" w:type="dxa"/>
          </w:tcPr>
          <w:p w:rsidR="005741E2" w:rsidRPr="005741E2" w:rsidRDefault="005741E2" w:rsidP="005D2762">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cs="Arial"/>
                <w:sz w:val="16"/>
                <w:szCs w:val="16"/>
              </w:rPr>
            </w:pPr>
            <w:r w:rsidRPr="005741E2">
              <w:rPr>
                <w:rFonts w:cs="Arial"/>
                <w:sz w:val="16"/>
                <w:szCs w:val="16"/>
              </w:rPr>
              <w:t>RA &lt;12 months: 26%</w:t>
            </w:r>
          </w:p>
          <w:p w:rsidR="005741E2" w:rsidRPr="005741E2" w:rsidRDefault="005741E2" w:rsidP="005D2762">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cs="Arial"/>
                <w:sz w:val="16"/>
                <w:szCs w:val="16"/>
              </w:rPr>
            </w:pPr>
            <w:r w:rsidRPr="005741E2">
              <w:rPr>
                <w:rFonts w:cs="Arial"/>
                <w:sz w:val="16"/>
                <w:szCs w:val="16"/>
              </w:rPr>
              <w:t>RA 21-25yrs: 26%</w:t>
            </w:r>
          </w:p>
          <w:p w:rsidR="005741E2" w:rsidRPr="005741E2" w:rsidRDefault="005741E2" w:rsidP="005D2762">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cs="Arial"/>
                <w:sz w:val="16"/>
                <w:szCs w:val="16"/>
              </w:rPr>
            </w:pPr>
            <w:r w:rsidRPr="005741E2">
              <w:rPr>
                <w:rFonts w:cs="Arial"/>
                <w:sz w:val="16"/>
                <w:szCs w:val="16"/>
              </w:rPr>
              <w:t>Healthy controls: 19%</w:t>
            </w:r>
          </w:p>
        </w:tc>
        <w:tc>
          <w:tcPr>
            <w:tcW w:w="2268" w:type="dxa"/>
          </w:tcPr>
          <w:p w:rsidR="005741E2" w:rsidRPr="005741E2" w:rsidRDefault="005741E2" w:rsidP="005D2762">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cs="Arial"/>
                <w:sz w:val="16"/>
                <w:szCs w:val="16"/>
              </w:rPr>
            </w:pPr>
            <w:r w:rsidRPr="005741E2">
              <w:rPr>
                <w:rFonts w:cs="Arial"/>
                <w:sz w:val="16"/>
                <w:szCs w:val="16"/>
              </w:rPr>
              <w:t>RA &lt;12 months: 51.7</w:t>
            </w:r>
          </w:p>
          <w:p w:rsidR="005741E2" w:rsidRPr="005741E2" w:rsidRDefault="005741E2" w:rsidP="005D2762">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cs="Arial"/>
                <w:sz w:val="16"/>
                <w:szCs w:val="16"/>
              </w:rPr>
            </w:pPr>
            <w:r w:rsidRPr="005741E2">
              <w:rPr>
                <w:rFonts w:cs="Arial"/>
                <w:sz w:val="16"/>
                <w:szCs w:val="16"/>
              </w:rPr>
              <w:t>RA 21-25yrs: 53.1</w:t>
            </w:r>
          </w:p>
          <w:p w:rsidR="005741E2" w:rsidRPr="005741E2" w:rsidRDefault="005741E2" w:rsidP="005D2762">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cs="Arial"/>
                <w:sz w:val="16"/>
                <w:szCs w:val="16"/>
              </w:rPr>
            </w:pPr>
            <w:r w:rsidRPr="005741E2">
              <w:rPr>
                <w:rFonts w:cs="Arial"/>
                <w:sz w:val="16"/>
                <w:szCs w:val="16"/>
              </w:rPr>
              <w:t>Healthy controls: 52.0</w:t>
            </w:r>
          </w:p>
        </w:tc>
        <w:tc>
          <w:tcPr>
            <w:tcW w:w="2410" w:type="dxa"/>
          </w:tcPr>
          <w:p w:rsidR="005741E2" w:rsidRPr="005741E2" w:rsidRDefault="005741E2" w:rsidP="005D2762">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cs="Arial"/>
                <w:sz w:val="16"/>
                <w:szCs w:val="16"/>
              </w:rPr>
            </w:pPr>
            <w:r w:rsidRPr="005741E2">
              <w:rPr>
                <w:rFonts w:cs="Arial"/>
                <w:sz w:val="16"/>
                <w:szCs w:val="16"/>
              </w:rPr>
              <w:t>Not reported</w:t>
            </w:r>
          </w:p>
        </w:tc>
        <w:tc>
          <w:tcPr>
            <w:tcW w:w="1328" w:type="dxa"/>
          </w:tcPr>
          <w:p w:rsidR="005741E2" w:rsidRPr="005741E2" w:rsidRDefault="005741E2" w:rsidP="005D2762">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cs="Arial"/>
                <w:sz w:val="16"/>
                <w:szCs w:val="16"/>
              </w:rPr>
            </w:pPr>
            <w:r w:rsidRPr="005741E2">
              <w:rPr>
                <w:rFonts w:cs="Arial"/>
                <w:sz w:val="16"/>
                <w:szCs w:val="16"/>
              </w:rPr>
              <w:t>Sweden</w:t>
            </w:r>
          </w:p>
        </w:tc>
      </w:tr>
      <w:tr w:rsidR="005741E2" w:rsidRPr="005741E2" w:rsidTr="005D2762">
        <w:trPr>
          <w:trHeight w:val="503"/>
        </w:trPr>
        <w:tc>
          <w:tcPr>
            <w:cnfStyle w:val="001000000000" w:firstRow="0" w:lastRow="0" w:firstColumn="1" w:lastColumn="0" w:oddVBand="0" w:evenVBand="0" w:oddHBand="0" w:evenHBand="0" w:firstRowFirstColumn="0" w:firstRowLastColumn="0" w:lastRowFirstColumn="0" w:lastRowLastColumn="0"/>
            <w:tcW w:w="1101" w:type="dxa"/>
          </w:tcPr>
          <w:p w:rsidR="005741E2" w:rsidRPr="005741E2" w:rsidRDefault="005741E2" w:rsidP="005D2762">
            <w:pPr>
              <w:spacing w:line="240" w:lineRule="auto"/>
              <w:contextualSpacing/>
              <w:jc w:val="center"/>
              <w:rPr>
                <w:rFonts w:cs="Arial"/>
                <w:sz w:val="18"/>
                <w:szCs w:val="18"/>
              </w:rPr>
            </w:pPr>
          </w:p>
        </w:tc>
        <w:tc>
          <w:tcPr>
            <w:tcW w:w="2409" w:type="dxa"/>
          </w:tcPr>
          <w:p w:rsidR="005741E2" w:rsidRPr="005741E2" w:rsidRDefault="005741E2" w:rsidP="005D2762">
            <w:pPr>
              <w:spacing w:line="240" w:lineRule="auto"/>
              <w:divId w:val="2002728944"/>
              <w:cnfStyle w:val="000000000000" w:firstRow="0" w:lastRow="0" w:firstColumn="0" w:lastColumn="0" w:oddVBand="0" w:evenVBand="0" w:oddHBand="0" w:evenHBand="0" w:firstRowFirstColumn="0" w:firstRowLastColumn="0" w:lastRowFirstColumn="0" w:lastRowLastColumn="0"/>
              <w:rPr>
                <w:rFonts w:eastAsia="Times New Roman" w:cs="Arial"/>
                <w:sz w:val="16"/>
                <w:szCs w:val="16"/>
              </w:rPr>
            </w:pPr>
            <w:r w:rsidRPr="005741E2">
              <w:rPr>
                <w:rFonts w:eastAsia="Times New Roman" w:cs="Arial"/>
                <w:sz w:val="16"/>
                <w:szCs w:val="16"/>
              </w:rPr>
              <w:t>(West and Wållberg-Jonsson, 2009)</w:t>
            </w:r>
          </w:p>
        </w:tc>
        <w:tc>
          <w:tcPr>
            <w:tcW w:w="1418" w:type="dxa"/>
          </w:tcPr>
          <w:p w:rsidR="005741E2" w:rsidRPr="005741E2" w:rsidRDefault="005741E2" w:rsidP="005D2762">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cs="Arial"/>
                <w:sz w:val="16"/>
                <w:szCs w:val="16"/>
              </w:rPr>
            </w:pPr>
            <w:r w:rsidRPr="005741E2">
              <w:rPr>
                <w:rFonts w:cs="Arial"/>
                <w:sz w:val="16"/>
                <w:szCs w:val="16"/>
              </w:rPr>
              <w:t>Longitudinal</w:t>
            </w:r>
          </w:p>
        </w:tc>
        <w:tc>
          <w:tcPr>
            <w:tcW w:w="2977" w:type="dxa"/>
          </w:tcPr>
          <w:p w:rsidR="005741E2" w:rsidRPr="005741E2" w:rsidRDefault="005741E2" w:rsidP="005D2762">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cs="Arial"/>
                <w:sz w:val="16"/>
                <w:szCs w:val="16"/>
              </w:rPr>
            </w:pPr>
            <w:r w:rsidRPr="005741E2">
              <w:rPr>
                <w:rFonts w:cs="Arial"/>
                <w:sz w:val="16"/>
                <w:szCs w:val="16"/>
              </w:rPr>
              <w:t>17/51</w:t>
            </w:r>
          </w:p>
        </w:tc>
        <w:tc>
          <w:tcPr>
            <w:tcW w:w="1842" w:type="dxa"/>
          </w:tcPr>
          <w:p w:rsidR="005741E2" w:rsidRPr="005741E2" w:rsidRDefault="005741E2" w:rsidP="005D2762">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cs="Arial"/>
                <w:sz w:val="16"/>
                <w:szCs w:val="16"/>
              </w:rPr>
            </w:pPr>
            <w:r w:rsidRPr="005741E2">
              <w:rPr>
                <w:rFonts w:cs="Arial"/>
                <w:sz w:val="16"/>
                <w:szCs w:val="16"/>
              </w:rPr>
              <w:t>33%</w:t>
            </w:r>
          </w:p>
        </w:tc>
        <w:tc>
          <w:tcPr>
            <w:tcW w:w="2268" w:type="dxa"/>
          </w:tcPr>
          <w:p w:rsidR="005741E2" w:rsidRPr="005741E2" w:rsidRDefault="005741E2" w:rsidP="005D2762">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cs="Arial"/>
                <w:sz w:val="16"/>
                <w:szCs w:val="16"/>
              </w:rPr>
            </w:pPr>
            <w:r w:rsidRPr="005741E2">
              <w:rPr>
                <w:rFonts w:cs="Arial"/>
                <w:sz w:val="16"/>
                <w:szCs w:val="16"/>
              </w:rPr>
              <w:t>50.6</w:t>
            </w:r>
          </w:p>
          <w:p w:rsidR="005741E2" w:rsidRPr="005741E2" w:rsidRDefault="005741E2" w:rsidP="005D2762">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cs="Arial"/>
                <w:sz w:val="16"/>
                <w:szCs w:val="16"/>
              </w:rPr>
            </w:pPr>
            <w:r w:rsidRPr="005741E2">
              <w:rPr>
                <w:rFonts w:cs="Arial"/>
                <w:sz w:val="16"/>
                <w:szCs w:val="16"/>
              </w:rPr>
              <w:t>(55.5 Male</w:t>
            </w:r>
          </w:p>
          <w:p w:rsidR="005741E2" w:rsidRPr="005741E2" w:rsidRDefault="005741E2" w:rsidP="005D2762">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cs="Arial"/>
                <w:sz w:val="16"/>
                <w:szCs w:val="16"/>
              </w:rPr>
            </w:pPr>
            <w:r w:rsidRPr="005741E2">
              <w:rPr>
                <w:rFonts w:cs="Arial"/>
                <w:sz w:val="16"/>
                <w:szCs w:val="16"/>
              </w:rPr>
              <w:t>48.3 Female)</w:t>
            </w:r>
          </w:p>
        </w:tc>
        <w:tc>
          <w:tcPr>
            <w:tcW w:w="2410" w:type="dxa"/>
          </w:tcPr>
          <w:p w:rsidR="005741E2" w:rsidRPr="005741E2" w:rsidRDefault="005741E2" w:rsidP="005D2762">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cs="Arial"/>
                <w:sz w:val="16"/>
                <w:szCs w:val="16"/>
              </w:rPr>
            </w:pPr>
            <w:r w:rsidRPr="005741E2">
              <w:rPr>
                <w:rFonts w:cs="Arial"/>
                <w:sz w:val="16"/>
                <w:szCs w:val="16"/>
              </w:rPr>
              <w:t xml:space="preserve">Patients recruited &lt;12 months and followed up for 6 years </w:t>
            </w:r>
          </w:p>
        </w:tc>
        <w:tc>
          <w:tcPr>
            <w:tcW w:w="1328" w:type="dxa"/>
          </w:tcPr>
          <w:p w:rsidR="005741E2" w:rsidRPr="005741E2" w:rsidRDefault="005741E2" w:rsidP="005D2762">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cs="Arial"/>
                <w:sz w:val="16"/>
                <w:szCs w:val="16"/>
              </w:rPr>
            </w:pPr>
            <w:r w:rsidRPr="005741E2">
              <w:rPr>
                <w:rFonts w:cs="Arial"/>
                <w:sz w:val="16"/>
                <w:szCs w:val="16"/>
              </w:rPr>
              <w:t>Sweden</w:t>
            </w:r>
          </w:p>
        </w:tc>
      </w:tr>
      <w:tr w:rsidR="005741E2" w:rsidRPr="005741E2" w:rsidTr="005D2762">
        <w:trPr>
          <w:trHeight w:val="369"/>
        </w:trPr>
        <w:tc>
          <w:tcPr>
            <w:cnfStyle w:val="001000000000" w:firstRow="0" w:lastRow="0" w:firstColumn="1" w:lastColumn="0" w:oddVBand="0" w:evenVBand="0" w:oddHBand="0" w:evenHBand="0" w:firstRowFirstColumn="0" w:firstRowLastColumn="0" w:lastRowFirstColumn="0" w:lastRowLastColumn="0"/>
            <w:tcW w:w="1101" w:type="dxa"/>
          </w:tcPr>
          <w:p w:rsidR="005741E2" w:rsidRPr="005741E2" w:rsidRDefault="005741E2" w:rsidP="005D2762">
            <w:pPr>
              <w:spacing w:line="240" w:lineRule="auto"/>
              <w:contextualSpacing/>
              <w:jc w:val="center"/>
              <w:rPr>
                <w:rFonts w:cs="Arial"/>
                <w:sz w:val="18"/>
                <w:szCs w:val="18"/>
              </w:rPr>
            </w:pPr>
            <w:r w:rsidRPr="005741E2">
              <w:rPr>
                <w:rFonts w:cs="Arial"/>
                <w:sz w:val="18"/>
                <w:szCs w:val="18"/>
              </w:rPr>
              <w:t>Work disability</w:t>
            </w:r>
          </w:p>
        </w:tc>
        <w:tc>
          <w:tcPr>
            <w:tcW w:w="2409" w:type="dxa"/>
          </w:tcPr>
          <w:p w:rsidR="005741E2" w:rsidRPr="005741E2" w:rsidRDefault="005D2762" w:rsidP="005D2762">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cs="Arial"/>
                <w:sz w:val="16"/>
                <w:szCs w:val="16"/>
              </w:rPr>
            </w:pPr>
            <w:r>
              <w:rPr>
                <w:rFonts w:cs="Arial"/>
                <w:sz w:val="16"/>
                <w:szCs w:val="16"/>
              </w:rPr>
              <w:t>(Fifield et al., 1996)</w:t>
            </w:r>
          </w:p>
        </w:tc>
        <w:tc>
          <w:tcPr>
            <w:tcW w:w="1418" w:type="dxa"/>
          </w:tcPr>
          <w:p w:rsidR="005741E2" w:rsidRPr="005741E2" w:rsidRDefault="005741E2" w:rsidP="005D2762">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cs="Arial"/>
                <w:sz w:val="16"/>
                <w:szCs w:val="16"/>
              </w:rPr>
            </w:pPr>
            <w:r w:rsidRPr="005741E2">
              <w:rPr>
                <w:rFonts w:cs="Arial"/>
                <w:sz w:val="16"/>
                <w:szCs w:val="16"/>
              </w:rPr>
              <w:t>Cross-sectional</w:t>
            </w:r>
          </w:p>
        </w:tc>
        <w:tc>
          <w:tcPr>
            <w:tcW w:w="2977" w:type="dxa"/>
          </w:tcPr>
          <w:p w:rsidR="005741E2" w:rsidRPr="005741E2" w:rsidRDefault="005741E2" w:rsidP="005D2762">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cs="Arial"/>
                <w:sz w:val="16"/>
                <w:szCs w:val="16"/>
              </w:rPr>
            </w:pPr>
            <w:r w:rsidRPr="005741E2">
              <w:rPr>
                <w:rFonts w:cs="Arial"/>
                <w:sz w:val="16"/>
                <w:szCs w:val="16"/>
              </w:rPr>
              <w:t>110/369</w:t>
            </w:r>
          </w:p>
        </w:tc>
        <w:tc>
          <w:tcPr>
            <w:tcW w:w="1842" w:type="dxa"/>
          </w:tcPr>
          <w:p w:rsidR="005741E2" w:rsidRPr="005741E2" w:rsidRDefault="005741E2" w:rsidP="005D2762">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cs="Arial"/>
                <w:sz w:val="16"/>
                <w:szCs w:val="16"/>
              </w:rPr>
            </w:pPr>
            <w:r w:rsidRPr="005741E2">
              <w:rPr>
                <w:rFonts w:cs="Arial"/>
                <w:sz w:val="16"/>
                <w:szCs w:val="16"/>
              </w:rPr>
              <w:t>30%</w:t>
            </w:r>
          </w:p>
        </w:tc>
        <w:tc>
          <w:tcPr>
            <w:tcW w:w="2268" w:type="dxa"/>
          </w:tcPr>
          <w:p w:rsidR="005741E2" w:rsidRPr="005741E2" w:rsidRDefault="005741E2" w:rsidP="005D2762">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cs="Arial"/>
                <w:sz w:val="16"/>
                <w:szCs w:val="16"/>
              </w:rPr>
            </w:pPr>
            <w:r w:rsidRPr="005741E2">
              <w:rPr>
                <w:rFonts w:cs="Arial"/>
                <w:sz w:val="16"/>
                <w:szCs w:val="16"/>
              </w:rPr>
              <w:t>48 Male</w:t>
            </w:r>
          </w:p>
          <w:p w:rsidR="005741E2" w:rsidRPr="005741E2" w:rsidRDefault="005741E2" w:rsidP="005D2762">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cs="Arial"/>
                <w:sz w:val="16"/>
                <w:szCs w:val="16"/>
              </w:rPr>
            </w:pPr>
            <w:r w:rsidRPr="005741E2">
              <w:rPr>
                <w:rFonts w:cs="Arial"/>
                <w:sz w:val="16"/>
                <w:szCs w:val="16"/>
              </w:rPr>
              <w:t>47 Female</w:t>
            </w:r>
          </w:p>
        </w:tc>
        <w:tc>
          <w:tcPr>
            <w:tcW w:w="2410" w:type="dxa"/>
          </w:tcPr>
          <w:p w:rsidR="005741E2" w:rsidRPr="005741E2" w:rsidRDefault="005741E2" w:rsidP="005D2762">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cs="Arial"/>
                <w:sz w:val="16"/>
                <w:szCs w:val="16"/>
              </w:rPr>
            </w:pPr>
            <w:r w:rsidRPr="005741E2">
              <w:rPr>
                <w:rFonts w:cs="Arial"/>
                <w:sz w:val="16"/>
                <w:szCs w:val="16"/>
              </w:rPr>
              <w:t>Recruited at diagnosis</w:t>
            </w:r>
          </w:p>
        </w:tc>
        <w:tc>
          <w:tcPr>
            <w:tcW w:w="1328" w:type="dxa"/>
          </w:tcPr>
          <w:p w:rsidR="005741E2" w:rsidRPr="005741E2" w:rsidRDefault="005741E2" w:rsidP="005D2762">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cs="Arial"/>
                <w:sz w:val="16"/>
                <w:szCs w:val="16"/>
              </w:rPr>
            </w:pPr>
            <w:r w:rsidRPr="005741E2">
              <w:rPr>
                <w:rFonts w:cs="Arial"/>
                <w:sz w:val="16"/>
                <w:szCs w:val="16"/>
              </w:rPr>
              <w:t>USA</w:t>
            </w:r>
          </w:p>
        </w:tc>
      </w:tr>
      <w:tr w:rsidR="005741E2" w:rsidRPr="005741E2" w:rsidTr="005D2762">
        <w:trPr>
          <w:trHeight w:val="276"/>
        </w:trPr>
        <w:tc>
          <w:tcPr>
            <w:cnfStyle w:val="001000000000" w:firstRow="0" w:lastRow="0" w:firstColumn="1" w:lastColumn="0" w:oddVBand="0" w:evenVBand="0" w:oddHBand="0" w:evenHBand="0" w:firstRowFirstColumn="0" w:firstRowLastColumn="0" w:lastRowFirstColumn="0" w:lastRowLastColumn="0"/>
            <w:tcW w:w="1101" w:type="dxa"/>
          </w:tcPr>
          <w:p w:rsidR="005741E2" w:rsidRPr="005741E2" w:rsidRDefault="005741E2" w:rsidP="005D2762">
            <w:pPr>
              <w:spacing w:line="240" w:lineRule="auto"/>
              <w:contextualSpacing/>
              <w:jc w:val="center"/>
              <w:rPr>
                <w:rFonts w:cs="Arial"/>
                <w:sz w:val="18"/>
                <w:szCs w:val="18"/>
              </w:rPr>
            </w:pPr>
          </w:p>
        </w:tc>
        <w:tc>
          <w:tcPr>
            <w:tcW w:w="2409" w:type="dxa"/>
          </w:tcPr>
          <w:p w:rsidR="005741E2" w:rsidRPr="005741E2" w:rsidRDefault="005D2762" w:rsidP="005D2762">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cs="Arial"/>
                <w:sz w:val="16"/>
                <w:szCs w:val="16"/>
              </w:rPr>
            </w:pPr>
            <w:r>
              <w:rPr>
                <w:rFonts w:cs="Arial"/>
                <w:sz w:val="16"/>
                <w:szCs w:val="16"/>
              </w:rPr>
              <w:t>(Rkain et al., 2006)</w:t>
            </w:r>
          </w:p>
        </w:tc>
        <w:tc>
          <w:tcPr>
            <w:tcW w:w="1418" w:type="dxa"/>
          </w:tcPr>
          <w:p w:rsidR="005741E2" w:rsidRPr="005741E2" w:rsidRDefault="005741E2" w:rsidP="005D2762">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cs="Arial"/>
                <w:sz w:val="16"/>
                <w:szCs w:val="16"/>
              </w:rPr>
            </w:pPr>
            <w:r w:rsidRPr="005741E2">
              <w:rPr>
                <w:rFonts w:cs="Arial"/>
                <w:sz w:val="16"/>
                <w:szCs w:val="16"/>
              </w:rPr>
              <w:t>Cross-sectional</w:t>
            </w:r>
          </w:p>
        </w:tc>
        <w:tc>
          <w:tcPr>
            <w:tcW w:w="2977" w:type="dxa"/>
          </w:tcPr>
          <w:p w:rsidR="005741E2" w:rsidRPr="005741E2" w:rsidRDefault="005741E2" w:rsidP="005D2762">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cs="Arial"/>
                <w:sz w:val="16"/>
                <w:szCs w:val="16"/>
              </w:rPr>
            </w:pPr>
            <w:r w:rsidRPr="005741E2">
              <w:rPr>
                <w:rFonts w:cs="Arial"/>
                <w:sz w:val="16"/>
                <w:szCs w:val="16"/>
              </w:rPr>
              <w:t>12/100</w:t>
            </w:r>
          </w:p>
        </w:tc>
        <w:tc>
          <w:tcPr>
            <w:tcW w:w="1842" w:type="dxa"/>
          </w:tcPr>
          <w:p w:rsidR="005741E2" w:rsidRPr="005741E2" w:rsidRDefault="005741E2" w:rsidP="005D2762">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cs="Arial"/>
                <w:sz w:val="16"/>
                <w:szCs w:val="16"/>
              </w:rPr>
            </w:pPr>
            <w:r w:rsidRPr="005741E2">
              <w:rPr>
                <w:rFonts w:cs="Arial"/>
                <w:sz w:val="16"/>
                <w:szCs w:val="16"/>
              </w:rPr>
              <w:t>12%</w:t>
            </w:r>
          </w:p>
        </w:tc>
        <w:tc>
          <w:tcPr>
            <w:tcW w:w="2268" w:type="dxa"/>
          </w:tcPr>
          <w:p w:rsidR="005741E2" w:rsidRPr="005741E2" w:rsidRDefault="005741E2" w:rsidP="005D2762">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cs="Arial"/>
                <w:sz w:val="16"/>
                <w:szCs w:val="16"/>
              </w:rPr>
            </w:pPr>
            <w:r w:rsidRPr="005741E2">
              <w:rPr>
                <w:rFonts w:cs="Arial"/>
                <w:sz w:val="16"/>
                <w:szCs w:val="16"/>
              </w:rPr>
              <w:t>43.5</w:t>
            </w:r>
          </w:p>
        </w:tc>
        <w:tc>
          <w:tcPr>
            <w:tcW w:w="2410" w:type="dxa"/>
          </w:tcPr>
          <w:p w:rsidR="005741E2" w:rsidRPr="005741E2" w:rsidRDefault="005741E2" w:rsidP="005D2762">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cs="Arial"/>
                <w:sz w:val="16"/>
                <w:szCs w:val="16"/>
              </w:rPr>
            </w:pPr>
            <w:r w:rsidRPr="005741E2">
              <w:rPr>
                <w:rFonts w:cs="Arial"/>
                <w:sz w:val="16"/>
                <w:szCs w:val="16"/>
              </w:rPr>
              <w:t>12.8</w:t>
            </w:r>
          </w:p>
        </w:tc>
        <w:tc>
          <w:tcPr>
            <w:tcW w:w="1328" w:type="dxa"/>
          </w:tcPr>
          <w:p w:rsidR="005741E2" w:rsidRPr="005741E2" w:rsidRDefault="005741E2" w:rsidP="005D2762">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cs="Arial"/>
                <w:sz w:val="16"/>
                <w:szCs w:val="16"/>
              </w:rPr>
            </w:pPr>
            <w:r w:rsidRPr="005741E2">
              <w:rPr>
                <w:rFonts w:cs="Arial"/>
                <w:sz w:val="16"/>
                <w:szCs w:val="16"/>
              </w:rPr>
              <w:t>Morocco</w:t>
            </w:r>
          </w:p>
        </w:tc>
      </w:tr>
      <w:tr w:rsidR="005741E2" w:rsidRPr="005741E2" w:rsidTr="005D2762">
        <w:trPr>
          <w:trHeight w:val="404"/>
        </w:trPr>
        <w:tc>
          <w:tcPr>
            <w:cnfStyle w:val="001000000000" w:firstRow="0" w:lastRow="0" w:firstColumn="1" w:lastColumn="0" w:oddVBand="0" w:evenVBand="0" w:oddHBand="0" w:evenHBand="0" w:firstRowFirstColumn="0" w:firstRowLastColumn="0" w:lastRowFirstColumn="0" w:lastRowLastColumn="0"/>
            <w:tcW w:w="1101" w:type="dxa"/>
          </w:tcPr>
          <w:p w:rsidR="005741E2" w:rsidRPr="005741E2" w:rsidRDefault="005741E2" w:rsidP="005D2762">
            <w:pPr>
              <w:spacing w:line="240" w:lineRule="auto"/>
              <w:contextualSpacing/>
              <w:jc w:val="center"/>
              <w:rPr>
                <w:rFonts w:cs="Arial"/>
                <w:sz w:val="18"/>
                <w:szCs w:val="18"/>
              </w:rPr>
            </w:pPr>
          </w:p>
        </w:tc>
        <w:tc>
          <w:tcPr>
            <w:tcW w:w="2409" w:type="dxa"/>
          </w:tcPr>
          <w:p w:rsidR="005741E2" w:rsidRPr="005741E2" w:rsidRDefault="005D2762" w:rsidP="005D2762">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cs="Arial"/>
                <w:sz w:val="16"/>
                <w:szCs w:val="16"/>
              </w:rPr>
            </w:pPr>
            <w:r>
              <w:rPr>
                <w:rFonts w:cs="Arial"/>
                <w:sz w:val="16"/>
                <w:szCs w:val="16"/>
              </w:rPr>
              <w:t>(Stamm et al., 2010)</w:t>
            </w:r>
          </w:p>
        </w:tc>
        <w:tc>
          <w:tcPr>
            <w:tcW w:w="1418" w:type="dxa"/>
          </w:tcPr>
          <w:p w:rsidR="005741E2" w:rsidRPr="005741E2" w:rsidRDefault="005741E2" w:rsidP="005D2762">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cs="Arial"/>
                <w:sz w:val="16"/>
                <w:szCs w:val="16"/>
              </w:rPr>
            </w:pPr>
            <w:r w:rsidRPr="005741E2">
              <w:rPr>
                <w:rFonts w:cs="Arial"/>
                <w:sz w:val="16"/>
                <w:szCs w:val="16"/>
              </w:rPr>
              <w:t>Qualitative interviews</w:t>
            </w:r>
          </w:p>
        </w:tc>
        <w:tc>
          <w:tcPr>
            <w:tcW w:w="2977" w:type="dxa"/>
          </w:tcPr>
          <w:p w:rsidR="005741E2" w:rsidRPr="005741E2" w:rsidRDefault="005741E2" w:rsidP="005D2762">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cs="Arial"/>
                <w:sz w:val="16"/>
                <w:szCs w:val="16"/>
              </w:rPr>
            </w:pPr>
            <w:r w:rsidRPr="005741E2">
              <w:rPr>
                <w:rFonts w:cs="Arial"/>
                <w:sz w:val="16"/>
                <w:szCs w:val="16"/>
              </w:rPr>
              <w:t>4/15</w:t>
            </w:r>
          </w:p>
        </w:tc>
        <w:tc>
          <w:tcPr>
            <w:tcW w:w="1842" w:type="dxa"/>
          </w:tcPr>
          <w:p w:rsidR="005741E2" w:rsidRPr="005741E2" w:rsidRDefault="005741E2" w:rsidP="005D2762">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cs="Arial"/>
                <w:sz w:val="16"/>
                <w:szCs w:val="16"/>
              </w:rPr>
            </w:pPr>
            <w:r w:rsidRPr="005741E2">
              <w:rPr>
                <w:rFonts w:cs="Arial"/>
                <w:sz w:val="16"/>
                <w:szCs w:val="16"/>
              </w:rPr>
              <w:t>27%</w:t>
            </w:r>
          </w:p>
        </w:tc>
        <w:tc>
          <w:tcPr>
            <w:tcW w:w="2268" w:type="dxa"/>
          </w:tcPr>
          <w:p w:rsidR="005741E2" w:rsidRPr="005741E2" w:rsidRDefault="005741E2" w:rsidP="005D2762">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cs="Arial"/>
                <w:sz w:val="16"/>
                <w:szCs w:val="16"/>
              </w:rPr>
            </w:pPr>
            <w:r w:rsidRPr="005741E2">
              <w:rPr>
                <w:rFonts w:cs="Arial"/>
                <w:sz w:val="16"/>
                <w:szCs w:val="16"/>
              </w:rPr>
              <w:t>51.8 Male</w:t>
            </w:r>
          </w:p>
          <w:p w:rsidR="005741E2" w:rsidRPr="005741E2" w:rsidRDefault="005741E2" w:rsidP="005D2762">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cs="Arial"/>
                <w:sz w:val="16"/>
                <w:szCs w:val="16"/>
              </w:rPr>
            </w:pPr>
            <w:r w:rsidRPr="005741E2">
              <w:rPr>
                <w:rFonts w:cs="Arial"/>
                <w:sz w:val="16"/>
                <w:szCs w:val="16"/>
              </w:rPr>
              <w:t>52.4 Female</w:t>
            </w:r>
          </w:p>
        </w:tc>
        <w:tc>
          <w:tcPr>
            <w:tcW w:w="2410" w:type="dxa"/>
          </w:tcPr>
          <w:p w:rsidR="005741E2" w:rsidRPr="005741E2" w:rsidRDefault="005741E2" w:rsidP="005D2762">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cs="Arial"/>
                <w:sz w:val="16"/>
                <w:szCs w:val="16"/>
              </w:rPr>
            </w:pPr>
            <w:r w:rsidRPr="005741E2">
              <w:rPr>
                <w:rFonts w:cs="Arial"/>
                <w:sz w:val="16"/>
                <w:szCs w:val="16"/>
              </w:rPr>
              <w:t>16.3 Male</w:t>
            </w:r>
          </w:p>
          <w:p w:rsidR="005741E2" w:rsidRPr="005741E2" w:rsidRDefault="005741E2" w:rsidP="005D2762">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cs="Arial"/>
                <w:sz w:val="16"/>
                <w:szCs w:val="16"/>
              </w:rPr>
            </w:pPr>
            <w:r w:rsidRPr="005741E2">
              <w:rPr>
                <w:rFonts w:cs="Arial"/>
                <w:sz w:val="16"/>
                <w:szCs w:val="16"/>
              </w:rPr>
              <w:t>13.3 Female</w:t>
            </w:r>
          </w:p>
        </w:tc>
        <w:tc>
          <w:tcPr>
            <w:tcW w:w="1328" w:type="dxa"/>
          </w:tcPr>
          <w:p w:rsidR="005741E2" w:rsidRPr="005741E2" w:rsidRDefault="005741E2" w:rsidP="005D2762">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cs="Arial"/>
                <w:sz w:val="16"/>
                <w:szCs w:val="16"/>
              </w:rPr>
            </w:pPr>
            <w:r w:rsidRPr="005741E2">
              <w:rPr>
                <w:rFonts w:cs="Arial"/>
                <w:sz w:val="16"/>
                <w:szCs w:val="16"/>
              </w:rPr>
              <w:t>Austria</w:t>
            </w:r>
          </w:p>
        </w:tc>
      </w:tr>
      <w:tr w:rsidR="005741E2" w:rsidRPr="005741E2" w:rsidTr="005D2762">
        <w:trPr>
          <w:trHeight w:val="423"/>
        </w:trPr>
        <w:tc>
          <w:tcPr>
            <w:cnfStyle w:val="001000000000" w:firstRow="0" w:lastRow="0" w:firstColumn="1" w:lastColumn="0" w:oddVBand="0" w:evenVBand="0" w:oddHBand="0" w:evenHBand="0" w:firstRowFirstColumn="0" w:firstRowLastColumn="0" w:lastRowFirstColumn="0" w:lastRowLastColumn="0"/>
            <w:tcW w:w="1101" w:type="dxa"/>
          </w:tcPr>
          <w:p w:rsidR="005741E2" w:rsidRPr="005741E2" w:rsidRDefault="005741E2" w:rsidP="005D2762">
            <w:pPr>
              <w:spacing w:line="240" w:lineRule="auto"/>
              <w:contextualSpacing/>
              <w:jc w:val="center"/>
              <w:rPr>
                <w:rFonts w:cs="Arial"/>
                <w:sz w:val="18"/>
                <w:szCs w:val="18"/>
              </w:rPr>
            </w:pPr>
          </w:p>
        </w:tc>
        <w:tc>
          <w:tcPr>
            <w:tcW w:w="2409" w:type="dxa"/>
          </w:tcPr>
          <w:p w:rsidR="005741E2" w:rsidRPr="005741E2" w:rsidRDefault="005D2762" w:rsidP="005D2762">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cs="Arial"/>
                <w:sz w:val="16"/>
                <w:szCs w:val="16"/>
              </w:rPr>
            </w:pPr>
            <w:r>
              <w:rPr>
                <w:rFonts w:cs="Arial"/>
                <w:sz w:val="16"/>
                <w:szCs w:val="16"/>
              </w:rPr>
              <w:t>(Wallenius et al., 2009)</w:t>
            </w:r>
          </w:p>
        </w:tc>
        <w:tc>
          <w:tcPr>
            <w:tcW w:w="1418" w:type="dxa"/>
          </w:tcPr>
          <w:p w:rsidR="005741E2" w:rsidRPr="005741E2" w:rsidRDefault="005741E2" w:rsidP="005D2762">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cs="Arial"/>
                <w:sz w:val="16"/>
                <w:szCs w:val="16"/>
              </w:rPr>
            </w:pPr>
            <w:r w:rsidRPr="005741E2">
              <w:rPr>
                <w:rFonts w:cs="Arial"/>
                <w:sz w:val="16"/>
                <w:szCs w:val="16"/>
              </w:rPr>
              <w:t>Cross-sectional</w:t>
            </w:r>
          </w:p>
        </w:tc>
        <w:tc>
          <w:tcPr>
            <w:tcW w:w="2977" w:type="dxa"/>
          </w:tcPr>
          <w:p w:rsidR="005741E2" w:rsidRPr="005741E2" w:rsidRDefault="005741E2" w:rsidP="005D2762">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cs="Arial"/>
                <w:sz w:val="16"/>
                <w:szCs w:val="16"/>
              </w:rPr>
            </w:pPr>
            <w:r w:rsidRPr="005741E2">
              <w:rPr>
                <w:rFonts w:cs="Arial"/>
                <w:sz w:val="16"/>
                <w:szCs w:val="16"/>
              </w:rPr>
              <w:t>102/474</w:t>
            </w:r>
          </w:p>
        </w:tc>
        <w:tc>
          <w:tcPr>
            <w:tcW w:w="1842" w:type="dxa"/>
          </w:tcPr>
          <w:p w:rsidR="005741E2" w:rsidRPr="005741E2" w:rsidRDefault="005741E2" w:rsidP="005D2762">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cs="Arial"/>
                <w:sz w:val="16"/>
                <w:szCs w:val="16"/>
              </w:rPr>
            </w:pPr>
            <w:r w:rsidRPr="005741E2">
              <w:rPr>
                <w:rFonts w:cs="Arial"/>
                <w:sz w:val="16"/>
                <w:szCs w:val="16"/>
              </w:rPr>
              <w:t>22%</w:t>
            </w:r>
          </w:p>
        </w:tc>
        <w:tc>
          <w:tcPr>
            <w:tcW w:w="2268" w:type="dxa"/>
          </w:tcPr>
          <w:p w:rsidR="005741E2" w:rsidRPr="005741E2" w:rsidRDefault="005741E2" w:rsidP="005D2762">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cs="Arial"/>
                <w:sz w:val="16"/>
                <w:szCs w:val="16"/>
              </w:rPr>
            </w:pPr>
            <w:r w:rsidRPr="005741E2">
              <w:rPr>
                <w:rFonts w:cs="Arial"/>
                <w:sz w:val="16"/>
                <w:szCs w:val="16"/>
              </w:rPr>
              <w:t>37.2 Male</w:t>
            </w:r>
          </w:p>
          <w:p w:rsidR="005741E2" w:rsidRPr="005741E2" w:rsidRDefault="005741E2" w:rsidP="005D2762">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cs="Arial"/>
                <w:sz w:val="16"/>
                <w:szCs w:val="16"/>
              </w:rPr>
            </w:pPr>
            <w:r w:rsidRPr="005741E2">
              <w:rPr>
                <w:rFonts w:cs="Arial"/>
                <w:sz w:val="16"/>
                <w:szCs w:val="16"/>
              </w:rPr>
              <w:t>36.1 Female</w:t>
            </w:r>
          </w:p>
        </w:tc>
        <w:tc>
          <w:tcPr>
            <w:tcW w:w="2410" w:type="dxa"/>
          </w:tcPr>
          <w:p w:rsidR="005741E2" w:rsidRPr="005741E2" w:rsidRDefault="005741E2" w:rsidP="005D2762">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cs="Arial"/>
                <w:sz w:val="16"/>
                <w:szCs w:val="16"/>
              </w:rPr>
            </w:pPr>
            <w:r w:rsidRPr="005741E2">
              <w:rPr>
                <w:rFonts w:cs="Arial"/>
                <w:sz w:val="16"/>
                <w:szCs w:val="16"/>
              </w:rPr>
              <w:t>4.8 Male</w:t>
            </w:r>
          </w:p>
          <w:p w:rsidR="005741E2" w:rsidRPr="005741E2" w:rsidRDefault="005741E2" w:rsidP="005D2762">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cs="Arial"/>
                <w:sz w:val="16"/>
                <w:szCs w:val="16"/>
              </w:rPr>
            </w:pPr>
            <w:r w:rsidRPr="005741E2">
              <w:rPr>
                <w:rFonts w:cs="Arial"/>
                <w:sz w:val="16"/>
                <w:szCs w:val="16"/>
              </w:rPr>
              <w:t>5.9 Female</w:t>
            </w:r>
          </w:p>
        </w:tc>
        <w:tc>
          <w:tcPr>
            <w:tcW w:w="1328" w:type="dxa"/>
          </w:tcPr>
          <w:p w:rsidR="005741E2" w:rsidRPr="005741E2" w:rsidRDefault="005741E2" w:rsidP="005D2762">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cs="Arial"/>
                <w:sz w:val="16"/>
                <w:szCs w:val="16"/>
              </w:rPr>
            </w:pPr>
            <w:r w:rsidRPr="005741E2">
              <w:rPr>
                <w:rFonts w:cs="Arial"/>
                <w:sz w:val="16"/>
                <w:szCs w:val="16"/>
              </w:rPr>
              <w:t>Norway</w:t>
            </w:r>
          </w:p>
        </w:tc>
      </w:tr>
      <w:tr w:rsidR="005741E2" w:rsidRPr="005741E2" w:rsidTr="005D2762">
        <w:trPr>
          <w:trHeight w:val="278"/>
        </w:trPr>
        <w:tc>
          <w:tcPr>
            <w:cnfStyle w:val="001000000000" w:firstRow="0" w:lastRow="0" w:firstColumn="1" w:lastColumn="0" w:oddVBand="0" w:evenVBand="0" w:oddHBand="0" w:evenHBand="0" w:firstRowFirstColumn="0" w:firstRowLastColumn="0" w:lastRowFirstColumn="0" w:lastRowLastColumn="0"/>
            <w:tcW w:w="1101" w:type="dxa"/>
          </w:tcPr>
          <w:p w:rsidR="005741E2" w:rsidRPr="005741E2" w:rsidRDefault="005741E2" w:rsidP="005D2762">
            <w:pPr>
              <w:spacing w:line="240" w:lineRule="auto"/>
              <w:contextualSpacing/>
              <w:jc w:val="center"/>
              <w:rPr>
                <w:rFonts w:cs="Arial"/>
                <w:sz w:val="18"/>
                <w:szCs w:val="18"/>
              </w:rPr>
            </w:pPr>
            <w:r w:rsidRPr="005741E2">
              <w:rPr>
                <w:rFonts w:cs="Arial"/>
                <w:sz w:val="18"/>
                <w:szCs w:val="18"/>
              </w:rPr>
              <w:t>Sexuality</w:t>
            </w:r>
          </w:p>
        </w:tc>
        <w:tc>
          <w:tcPr>
            <w:tcW w:w="2409" w:type="dxa"/>
          </w:tcPr>
          <w:p w:rsidR="005741E2" w:rsidRPr="005741E2" w:rsidRDefault="005D2762" w:rsidP="005D2762">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cs="Arial"/>
                <w:sz w:val="16"/>
                <w:szCs w:val="16"/>
              </w:rPr>
            </w:pPr>
            <w:r>
              <w:rPr>
                <w:rFonts w:cs="Arial"/>
                <w:sz w:val="16"/>
                <w:szCs w:val="16"/>
              </w:rPr>
              <w:t>(Helland et al., 2008)</w:t>
            </w:r>
          </w:p>
        </w:tc>
        <w:tc>
          <w:tcPr>
            <w:tcW w:w="1418" w:type="dxa"/>
          </w:tcPr>
          <w:p w:rsidR="005741E2" w:rsidRPr="005741E2" w:rsidRDefault="005741E2" w:rsidP="005D2762">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cs="Arial"/>
                <w:sz w:val="16"/>
                <w:szCs w:val="16"/>
              </w:rPr>
            </w:pPr>
            <w:r w:rsidRPr="005741E2">
              <w:rPr>
                <w:rFonts w:cs="Arial"/>
                <w:sz w:val="16"/>
                <w:szCs w:val="16"/>
              </w:rPr>
              <w:t>Cross-sectional</w:t>
            </w:r>
          </w:p>
        </w:tc>
        <w:tc>
          <w:tcPr>
            <w:tcW w:w="2977" w:type="dxa"/>
          </w:tcPr>
          <w:p w:rsidR="005741E2" w:rsidRPr="005741E2" w:rsidRDefault="005741E2" w:rsidP="005D2762">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cs="Arial"/>
                <w:sz w:val="16"/>
                <w:szCs w:val="16"/>
              </w:rPr>
            </w:pPr>
            <w:r w:rsidRPr="005741E2">
              <w:rPr>
                <w:rFonts w:cs="Arial"/>
                <w:sz w:val="16"/>
                <w:szCs w:val="16"/>
              </w:rPr>
              <w:t>215/830</w:t>
            </w:r>
          </w:p>
        </w:tc>
        <w:tc>
          <w:tcPr>
            <w:tcW w:w="1842" w:type="dxa"/>
          </w:tcPr>
          <w:p w:rsidR="005741E2" w:rsidRPr="005741E2" w:rsidRDefault="005741E2" w:rsidP="005D2762">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cs="Arial"/>
                <w:sz w:val="16"/>
                <w:szCs w:val="16"/>
              </w:rPr>
            </w:pPr>
            <w:r w:rsidRPr="005741E2">
              <w:rPr>
                <w:rFonts w:cs="Arial"/>
                <w:sz w:val="16"/>
                <w:szCs w:val="16"/>
              </w:rPr>
              <w:t>26%</w:t>
            </w:r>
          </w:p>
        </w:tc>
        <w:tc>
          <w:tcPr>
            <w:tcW w:w="2268" w:type="dxa"/>
          </w:tcPr>
          <w:p w:rsidR="005741E2" w:rsidRPr="005741E2" w:rsidRDefault="005741E2" w:rsidP="005D2762">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cs="Arial"/>
                <w:sz w:val="16"/>
                <w:szCs w:val="16"/>
              </w:rPr>
            </w:pPr>
            <w:r w:rsidRPr="005741E2">
              <w:rPr>
                <w:rFonts w:cs="Arial"/>
                <w:sz w:val="16"/>
                <w:szCs w:val="16"/>
              </w:rPr>
              <w:t>58.5</w:t>
            </w:r>
          </w:p>
        </w:tc>
        <w:tc>
          <w:tcPr>
            <w:tcW w:w="2410" w:type="dxa"/>
          </w:tcPr>
          <w:p w:rsidR="005741E2" w:rsidRPr="005741E2" w:rsidRDefault="005741E2" w:rsidP="005D2762">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cs="Arial"/>
                <w:sz w:val="16"/>
                <w:szCs w:val="16"/>
              </w:rPr>
            </w:pPr>
            <w:r w:rsidRPr="005741E2">
              <w:rPr>
                <w:rFonts w:cs="Arial"/>
                <w:sz w:val="16"/>
                <w:szCs w:val="16"/>
              </w:rPr>
              <w:t>13.4</w:t>
            </w:r>
          </w:p>
        </w:tc>
        <w:tc>
          <w:tcPr>
            <w:tcW w:w="1328" w:type="dxa"/>
          </w:tcPr>
          <w:p w:rsidR="005741E2" w:rsidRPr="005741E2" w:rsidRDefault="005741E2" w:rsidP="005D2762">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cs="Arial"/>
                <w:sz w:val="16"/>
                <w:szCs w:val="16"/>
              </w:rPr>
            </w:pPr>
            <w:r w:rsidRPr="005741E2">
              <w:rPr>
                <w:rFonts w:cs="Arial"/>
                <w:sz w:val="16"/>
                <w:szCs w:val="16"/>
              </w:rPr>
              <w:t>Norway</w:t>
            </w:r>
          </w:p>
        </w:tc>
      </w:tr>
      <w:tr w:rsidR="005741E2" w:rsidRPr="005741E2" w:rsidTr="005D2762">
        <w:trPr>
          <w:trHeight w:val="280"/>
        </w:trPr>
        <w:tc>
          <w:tcPr>
            <w:cnfStyle w:val="001000000000" w:firstRow="0" w:lastRow="0" w:firstColumn="1" w:lastColumn="0" w:oddVBand="0" w:evenVBand="0" w:oddHBand="0" w:evenHBand="0" w:firstRowFirstColumn="0" w:firstRowLastColumn="0" w:lastRowFirstColumn="0" w:lastRowLastColumn="0"/>
            <w:tcW w:w="1101" w:type="dxa"/>
          </w:tcPr>
          <w:p w:rsidR="005741E2" w:rsidRPr="005741E2" w:rsidRDefault="005741E2" w:rsidP="005D2762">
            <w:pPr>
              <w:spacing w:line="240" w:lineRule="auto"/>
              <w:contextualSpacing/>
              <w:jc w:val="center"/>
              <w:rPr>
                <w:rFonts w:cs="Arial"/>
                <w:sz w:val="18"/>
                <w:szCs w:val="18"/>
              </w:rPr>
            </w:pPr>
          </w:p>
        </w:tc>
        <w:tc>
          <w:tcPr>
            <w:tcW w:w="2409" w:type="dxa"/>
          </w:tcPr>
          <w:p w:rsidR="005741E2" w:rsidRPr="005741E2" w:rsidRDefault="005D2762" w:rsidP="005D2762">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cs="Arial"/>
                <w:sz w:val="16"/>
                <w:szCs w:val="16"/>
              </w:rPr>
            </w:pPr>
            <w:r>
              <w:rPr>
                <w:rFonts w:cs="Arial"/>
                <w:sz w:val="16"/>
                <w:szCs w:val="16"/>
              </w:rPr>
              <w:t>(Kraaimaat et al., 1996)</w:t>
            </w:r>
          </w:p>
        </w:tc>
        <w:tc>
          <w:tcPr>
            <w:tcW w:w="1418" w:type="dxa"/>
          </w:tcPr>
          <w:p w:rsidR="005741E2" w:rsidRPr="005741E2" w:rsidRDefault="005741E2" w:rsidP="005D2762">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cs="Arial"/>
                <w:sz w:val="16"/>
                <w:szCs w:val="16"/>
              </w:rPr>
            </w:pPr>
            <w:r w:rsidRPr="005741E2">
              <w:rPr>
                <w:rFonts w:cs="Arial"/>
                <w:sz w:val="16"/>
                <w:szCs w:val="16"/>
              </w:rPr>
              <w:t>Cross-sectional</w:t>
            </w:r>
          </w:p>
        </w:tc>
        <w:tc>
          <w:tcPr>
            <w:tcW w:w="2977" w:type="dxa"/>
          </w:tcPr>
          <w:p w:rsidR="005741E2" w:rsidRPr="005741E2" w:rsidRDefault="005741E2" w:rsidP="005D2762">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cs="Arial"/>
                <w:sz w:val="16"/>
                <w:szCs w:val="16"/>
              </w:rPr>
            </w:pPr>
            <w:r w:rsidRPr="005741E2">
              <w:rPr>
                <w:rFonts w:cs="Arial"/>
                <w:sz w:val="16"/>
                <w:szCs w:val="16"/>
              </w:rPr>
              <w:t>102/220</w:t>
            </w:r>
          </w:p>
        </w:tc>
        <w:tc>
          <w:tcPr>
            <w:tcW w:w="1842" w:type="dxa"/>
          </w:tcPr>
          <w:p w:rsidR="005741E2" w:rsidRPr="005741E2" w:rsidRDefault="005741E2" w:rsidP="005D2762">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cs="Arial"/>
                <w:sz w:val="16"/>
                <w:szCs w:val="16"/>
              </w:rPr>
            </w:pPr>
            <w:r w:rsidRPr="005741E2">
              <w:rPr>
                <w:rFonts w:cs="Arial"/>
                <w:sz w:val="16"/>
                <w:szCs w:val="16"/>
              </w:rPr>
              <w:t>46%</w:t>
            </w:r>
          </w:p>
        </w:tc>
        <w:tc>
          <w:tcPr>
            <w:tcW w:w="2268" w:type="dxa"/>
          </w:tcPr>
          <w:p w:rsidR="005741E2" w:rsidRPr="005741E2" w:rsidRDefault="005741E2" w:rsidP="005D2762">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cs="Arial"/>
                <w:sz w:val="16"/>
                <w:szCs w:val="16"/>
              </w:rPr>
            </w:pPr>
            <w:r w:rsidRPr="005741E2">
              <w:rPr>
                <w:rFonts w:cs="Arial"/>
                <w:sz w:val="16"/>
                <w:szCs w:val="16"/>
              </w:rPr>
              <w:t>60.8 Male</w:t>
            </w:r>
          </w:p>
          <w:p w:rsidR="005741E2" w:rsidRPr="005741E2" w:rsidRDefault="005741E2" w:rsidP="005D2762">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cs="Arial"/>
                <w:sz w:val="16"/>
                <w:szCs w:val="16"/>
              </w:rPr>
            </w:pPr>
            <w:r w:rsidRPr="005741E2">
              <w:rPr>
                <w:rFonts w:cs="Arial"/>
                <w:sz w:val="16"/>
                <w:szCs w:val="16"/>
              </w:rPr>
              <w:t>56.6 Female</w:t>
            </w:r>
          </w:p>
        </w:tc>
        <w:tc>
          <w:tcPr>
            <w:tcW w:w="2410" w:type="dxa"/>
          </w:tcPr>
          <w:p w:rsidR="005741E2" w:rsidRPr="005741E2" w:rsidRDefault="005741E2" w:rsidP="005D2762">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cs="Arial"/>
                <w:sz w:val="16"/>
                <w:szCs w:val="16"/>
              </w:rPr>
            </w:pPr>
            <w:r w:rsidRPr="005741E2">
              <w:rPr>
                <w:rFonts w:cs="Arial"/>
                <w:sz w:val="16"/>
                <w:szCs w:val="16"/>
              </w:rPr>
              <w:t>12.5 male</w:t>
            </w:r>
          </w:p>
          <w:p w:rsidR="005741E2" w:rsidRPr="005741E2" w:rsidRDefault="005741E2" w:rsidP="005D2762">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cs="Arial"/>
                <w:sz w:val="16"/>
                <w:szCs w:val="16"/>
              </w:rPr>
            </w:pPr>
            <w:r w:rsidRPr="005741E2">
              <w:rPr>
                <w:rFonts w:cs="Arial"/>
                <w:sz w:val="16"/>
                <w:szCs w:val="16"/>
              </w:rPr>
              <w:t>14.5 female</w:t>
            </w:r>
          </w:p>
        </w:tc>
        <w:tc>
          <w:tcPr>
            <w:tcW w:w="1328" w:type="dxa"/>
          </w:tcPr>
          <w:p w:rsidR="005741E2" w:rsidRPr="005741E2" w:rsidRDefault="005741E2" w:rsidP="005D2762">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cs="Arial"/>
                <w:sz w:val="16"/>
                <w:szCs w:val="16"/>
              </w:rPr>
            </w:pPr>
            <w:r w:rsidRPr="005741E2">
              <w:rPr>
                <w:rFonts w:cs="Arial"/>
                <w:sz w:val="16"/>
                <w:szCs w:val="16"/>
              </w:rPr>
              <w:t>The Netherlands</w:t>
            </w:r>
          </w:p>
        </w:tc>
      </w:tr>
      <w:tr w:rsidR="005741E2" w:rsidRPr="005741E2" w:rsidTr="005D2762">
        <w:trPr>
          <w:trHeight w:val="174"/>
        </w:trPr>
        <w:tc>
          <w:tcPr>
            <w:cnfStyle w:val="001000000000" w:firstRow="0" w:lastRow="0" w:firstColumn="1" w:lastColumn="0" w:oddVBand="0" w:evenVBand="0" w:oddHBand="0" w:evenHBand="0" w:firstRowFirstColumn="0" w:firstRowLastColumn="0" w:lastRowFirstColumn="0" w:lastRowLastColumn="0"/>
            <w:tcW w:w="1101" w:type="dxa"/>
          </w:tcPr>
          <w:p w:rsidR="005741E2" w:rsidRPr="005741E2" w:rsidRDefault="005741E2" w:rsidP="005D2762">
            <w:pPr>
              <w:spacing w:line="240" w:lineRule="auto"/>
              <w:contextualSpacing/>
              <w:jc w:val="center"/>
              <w:rPr>
                <w:rFonts w:cs="Arial"/>
                <w:sz w:val="18"/>
                <w:szCs w:val="18"/>
              </w:rPr>
            </w:pPr>
          </w:p>
        </w:tc>
        <w:tc>
          <w:tcPr>
            <w:tcW w:w="2409" w:type="dxa"/>
          </w:tcPr>
          <w:p w:rsidR="005741E2" w:rsidRPr="005741E2" w:rsidRDefault="005D2762" w:rsidP="005D2762">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cs="Arial"/>
                <w:sz w:val="16"/>
                <w:szCs w:val="16"/>
              </w:rPr>
            </w:pPr>
            <w:r>
              <w:rPr>
                <w:rFonts w:cs="Arial"/>
                <w:sz w:val="16"/>
                <w:szCs w:val="16"/>
              </w:rPr>
              <w:t>(Rkain et al., 2006)</w:t>
            </w:r>
          </w:p>
        </w:tc>
        <w:tc>
          <w:tcPr>
            <w:tcW w:w="1418" w:type="dxa"/>
          </w:tcPr>
          <w:p w:rsidR="005741E2" w:rsidRPr="005741E2" w:rsidRDefault="005741E2" w:rsidP="005D2762">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cs="Arial"/>
                <w:sz w:val="16"/>
                <w:szCs w:val="16"/>
              </w:rPr>
            </w:pPr>
            <w:r w:rsidRPr="005741E2">
              <w:rPr>
                <w:rFonts w:cs="Arial"/>
                <w:sz w:val="16"/>
                <w:szCs w:val="16"/>
              </w:rPr>
              <w:t>Cross-sectional</w:t>
            </w:r>
          </w:p>
        </w:tc>
        <w:tc>
          <w:tcPr>
            <w:tcW w:w="2977" w:type="dxa"/>
          </w:tcPr>
          <w:p w:rsidR="005741E2" w:rsidRPr="005741E2" w:rsidRDefault="005741E2" w:rsidP="005D2762">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cs="Arial"/>
                <w:sz w:val="16"/>
                <w:szCs w:val="16"/>
              </w:rPr>
            </w:pPr>
            <w:r w:rsidRPr="005741E2">
              <w:rPr>
                <w:rFonts w:cs="Arial"/>
                <w:sz w:val="16"/>
                <w:szCs w:val="16"/>
              </w:rPr>
              <w:t>12/100</w:t>
            </w:r>
          </w:p>
        </w:tc>
        <w:tc>
          <w:tcPr>
            <w:tcW w:w="1842" w:type="dxa"/>
          </w:tcPr>
          <w:p w:rsidR="005741E2" w:rsidRPr="005741E2" w:rsidRDefault="005741E2" w:rsidP="005D2762">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cs="Arial"/>
                <w:sz w:val="16"/>
                <w:szCs w:val="16"/>
              </w:rPr>
            </w:pPr>
            <w:r w:rsidRPr="005741E2">
              <w:rPr>
                <w:rFonts w:cs="Arial"/>
                <w:sz w:val="16"/>
                <w:szCs w:val="16"/>
              </w:rPr>
              <w:t>12%</w:t>
            </w:r>
          </w:p>
        </w:tc>
        <w:tc>
          <w:tcPr>
            <w:tcW w:w="2268" w:type="dxa"/>
          </w:tcPr>
          <w:p w:rsidR="005741E2" w:rsidRPr="005741E2" w:rsidRDefault="005741E2" w:rsidP="005D2762">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cs="Arial"/>
                <w:sz w:val="16"/>
                <w:szCs w:val="16"/>
              </w:rPr>
            </w:pPr>
            <w:r w:rsidRPr="005741E2">
              <w:rPr>
                <w:rFonts w:cs="Arial"/>
                <w:sz w:val="16"/>
                <w:szCs w:val="16"/>
              </w:rPr>
              <w:t>43.5</w:t>
            </w:r>
          </w:p>
        </w:tc>
        <w:tc>
          <w:tcPr>
            <w:tcW w:w="2410" w:type="dxa"/>
          </w:tcPr>
          <w:p w:rsidR="005741E2" w:rsidRPr="005741E2" w:rsidRDefault="005741E2" w:rsidP="005D2762">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cs="Arial"/>
                <w:sz w:val="16"/>
                <w:szCs w:val="16"/>
              </w:rPr>
            </w:pPr>
            <w:r w:rsidRPr="005741E2">
              <w:rPr>
                <w:rFonts w:cs="Arial"/>
                <w:sz w:val="16"/>
                <w:szCs w:val="16"/>
              </w:rPr>
              <w:t>12.8</w:t>
            </w:r>
          </w:p>
        </w:tc>
        <w:tc>
          <w:tcPr>
            <w:tcW w:w="1328" w:type="dxa"/>
          </w:tcPr>
          <w:p w:rsidR="005741E2" w:rsidRPr="005741E2" w:rsidRDefault="005741E2" w:rsidP="005D2762">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cs="Arial"/>
                <w:sz w:val="16"/>
                <w:szCs w:val="16"/>
              </w:rPr>
            </w:pPr>
            <w:r w:rsidRPr="005741E2">
              <w:rPr>
                <w:rFonts w:cs="Arial"/>
                <w:sz w:val="16"/>
                <w:szCs w:val="16"/>
              </w:rPr>
              <w:t>Morocco</w:t>
            </w:r>
          </w:p>
        </w:tc>
      </w:tr>
      <w:tr w:rsidR="005741E2" w:rsidRPr="005741E2" w:rsidTr="005D2762">
        <w:trPr>
          <w:trHeight w:val="410"/>
        </w:trPr>
        <w:tc>
          <w:tcPr>
            <w:cnfStyle w:val="001000000000" w:firstRow="0" w:lastRow="0" w:firstColumn="1" w:lastColumn="0" w:oddVBand="0" w:evenVBand="0" w:oddHBand="0" w:evenHBand="0" w:firstRowFirstColumn="0" w:firstRowLastColumn="0" w:lastRowFirstColumn="0" w:lastRowLastColumn="0"/>
            <w:tcW w:w="1101" w:type="dxa"/>
          </w:tcPr>
          <w:p w:rsidR="005741E2" w:rsidRPr="005741E2" w:rsidRDefault="005741E2" w:rsidP="005D2762">
            <w:pPr>
              <w:spacing w:line="240" w:lineRule="auto"/>
              <w:contextualSpacing/>
              <w:jc w:val="center"/>
              <w:rPr>
                <w:rFonts w:cs="Arial"/>
                <w:sz w:val="18"/>
                <w:szCs w:val="18"/>
              </w:rPr>
            </w:pPr>
            <w:r w:rsidRPr="005741E2">
              <w:rPr>
                <w:rFonts w:cs="Arial"/>
                <w:sz w:val="18"/>
                <w:szCs w:val="18"/>
              </w:rPr>
              <w:t>Emotional Distress</w:t>
            </w:r>
          </w:p>
        </w:tc>
        <w:tc>
          <w:tcPr>
            <w:tcW w:w="2409" w:type="dxa"/>
          </w:tcPr>
          <w:p w:rsidR="005741E2" w:rsidRPr="005741E2" w:rsidRDefault="005D2762" w:rsidP="005D2762">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cs="Arial"/>
                <w:sz w:val="16"/>
                <w:szCs w:val="16"/>
              </w:rPr>
            </w:pPr>
            <w:r>
              <w:rPr>
                <w:rFonts w:cs="Arial"/>
                <w:sz w:val="16"/>
                <w:szCs w:val="16"/>
              </w:rPr>
              <w:t>(Affleck et al., 1999)</w:t>
            </w:r>
          </w:p>
        </w:tc>
        <w:tc>
          <w:tcPr>
            <w:tcW w:w="1418" w:type="dxa"/>
          </w:tcPr>
          <w:p w:rsidR="005741E2" w:rsidRPr="005741E2" w:rsidRDefault="005741E2" w:rsidP="005D2762">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cs="Arial"/>
                <w:sz w:val="16"/>
                <w:szCs w:val="16"/>
                <w:highlight w:val="yellow"/>
              </w:rPr>
            </w:pPr>
            <w:r w:rsidRPr="005741E2">
              <w:rPr>
                <w:rFonts w:cs="Arial"/>
                <w:sz w:val="16"/>
                <w:szCs w:val="16"/>
              </w:rPr>
              <w:t>Longitudinal</w:t>
            </w:r>
          </w:p>
        </w:tc>
        <w:tc>
          <w:tcPr>
            <w:tcW w:w="2977" w:type="dxa"/>
          </w:tcPr>
          <w:p w:rsidR="005741E2" w:rsidRPr="005741E2" w:rsidRDefault="005741E2" w:rsidP="005D2762">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cs="Arial"/>
                <w:sz w:val="16"/>
                <w:szCs w:val="16"/>
              </w:rPr>
            </w:pPr>
            <w:r w:rsidRPr="005741E2">
              <w:rPr>
                <w:rFonts w:cs="Arial"/>
                <w:sz w:val="16"/>
                <w:szCs w:val="16"/>
              </w:rPr>
              <w:t>OA: 30 / 71</w:t>
            </w:r>
          </w:p>
          <w:p w:rsidR="005741E2" w:rsidRPr="005741E2" w:rsidRDefault="005741E2" w:rsidP="005D2762">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cs="Arial"/>
                <w:sz w:val="16"/>
                <w:szCs w:val="16"/>
              </w:rPr>
            </w:pPr>
            <w:r w:rsidRPr="005741E2">
              <w:rPr>
                <w:rFonts w:cs="Arial"/>
                <w:sz w:val="16"/>
                <w:szCs w:val="16"/>
              </w:rPr>
              <w:t>RA: 18 / 76</w:t>
            </w:r>
          </w:p>
        </w:tc>
        <w:tc>
          <w:tcPr>
            <w:tcW w:w="1842" w:type="dxa"/>
          </w:tcPr>
          <w:p w:rsidR="005741E2" w:rsidRPr="005741E2" w:rsidRDefault="005741E2" w:rsidP="005D2762">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cs="Arial"/>
                <w:sz w:val="16"/>
                <w:szCs w:val="16"/>
              </w:rPr>
            </w:pPr>
            <w:r w:rsidRPr="005741E2">
              <w:rPr>
                <w:rFonts w:cs="Arial"/>
                <w:sz w:val="16"/>
                <w:szCs w:val="16"/>
              </w:rPr>
              <w:t>OA: 42%</w:t>
            </w:r>
          </w:p>
          <w:p w:rsidR="005741E2" w:rsidRPr="005741E2" w:rsidRDefault="005741E2" w:rsidP="005D2762">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cs="Arial"/>
                <w:sz w:val="16"/>
                <w:szCs w:val="16"/>
              </w:rPr>
            </w:pPr>
            <w:r w:rsidRPr="005741E2">
              <w:rPr>
                <w:rFonts w:cs="Arial"/>
                <w:sz w:val="16"/>
                <w:szCs w:val="16"/>
              </w:rPr>
              <w:t>RA: 24%</w:t>
            </w:r>
          </w:p>
        </w:tc>
        <w:tc>
          <w:tcPr>
            <w:tcW w:w="2268" w:type="dxa"/>
          </w:tcPr>
          <w:p w:rsidR="005741E2" w:rsidRPr="005741E2" w:rsidRDefault="005741E2" w:rsidP="005D2762">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cs="Arial"/>
                <w:sz w:val="16"/>
                <w:szCs w:val="16"/>
              </w:rPr>
            </w:pPr>
            <w:r w:rsidRPr="005741E2">
              <w:rPr>
                <w:rFonts w:cs="Arial"/>
                <w:sz w:val="16"/>
                <w:szCs w:val="16"/>
              </w:rPr>
              <w:t>OA: 62.11</w:t>
            </w:r>
          </w:p>
          <w:p w:rsidR="005741E2" w:rsidRPr="005741E2" w:rsidRDefault="005741E2" w:rsidP="005D2762">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cs="Arial"/>
                <w:sz w:val="16"/>
                <w:szCs w:val="16"/>
              </w:rPr>
            </w:pPr>
            <w:r w:rsidRPr="005741E2">
              <w:rPr>
                <w:rFonts w:cs="Arial"/>
                <w:sz w:val="16"/>
                <w:szCs w:val="16"/>
              </w:rPr>
              <w:t>RA: 63.46</w:t>
            </w:r>
          </w:p>
        </w:tc>
        <w:tc>
          <w:tcPr>
            <w:tcW w:w="2410" w:type="dxa"/>
          </w:tcPr>
          <w:p w:rsidR="005741E2" w:rsidRPr="005741E2" w:rsidRDefault="005741E2" w:rsidP="005D2762">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cs="Arial"/>
                <w:sz w:val="16"/>
                <w:szCs w:val="16"/>
              </w:rPr>
            </w:pPr>
            <w:r w:rsidRPr="005741E2">
              <w:rPr>
                <w:rFonts w:cs="Arial"/>
                <w:sz w:val="16"/>
                <w:szCs w:val="16"/>
              </w:rPr>
              <w:t>OA: 14.62</w:t>
            </w:r>
          </w:p>
          <w:p w:rsidR="005741E2" w:rsidRPr="005741E2" w:rsidRDefault="005741E2" w:rsidP="005D2762">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cs="Arial"/>
                <w:sz w:val="16"/>
                <w:szCs w:val="16"/>
              </w:rPr>
            </w:pPr>
            <w:r w:rsidRPr="005741E2">
              <w:rPr>
                <w:rFonts w:cs="Arial"/>
                <w:sz w:val="16"/>
                <w:szCs w:val="16"/>
              </w:rPr>
              <w:t>RA: 14.07</w:t>
            </w:r>
          </w:p>
        </w:tc>
        <w:tc>
          <w:tcPr>
            <w:tcW w:w="1328" w:type="dxa"/>
          </w:tcPr>
          <w:p w:rsidR="005741E2" w:rsidRPr="005741E2" w:rsidRDefault="005741E2" w:rsidP="005D2762">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cs="Arial"/>
                <w:sz w:val="16"/>
                <w:szCs w:val="16"/>
              </w:rPr>
            </w:pPr>
            <w:r w:rsidRPr="005741E2">
              <w:rPr>
                <w:rFonts w:cs="Arial"/>
                <w:sz w:val="16"/>
                <w:szCs w:val="16"/>
              </w:rPr>
              <w:t>USA</w:t>
            </w:r>
          </w:p>
        </w:tc>
      </w:tr>
      <w:tr w:rsidR="005741E2" w:rsidRPr="005741E2" w:rsidTr="005D2762">
        <w:trPr>
          <w:trHeight w:val="267"/>
        </w:trPr>
        <w:tc>
          <w:tcPr>
            <w:cnfStyle w:val="001000000000" w:firstRow="0" w:lastRow="0" w:firstColumn="1" w:lastColumn="0" w:oddVBand="0" w:evenVBand="0" w:oddHBand="0" w:evenHBand="0" w:firstRowFirstColumn="0" w:firstRowLastColumn="0" w:lastRowFirstColumn="0" w:lastRowLastColumn="0"/>
            <w:tcW w:w="1101" w:type="dxa"/>
          </w:tcPr>
          <w:p w:rsidR="005741E2" w:rsidRPr="005741E2" w:rsidRDefault="005741E2" w:rsidP="00A32FDF">
            <w:pPr>
              <w:spacing w:line="240" w:lineRule="auto"/>
              <w:contextualSpacing/>
              <w:rPr>
                <w:rFonts w:cs="Arial"/>
                <w:sz w:val="18"/>
                <w:szCs w:val="18"/>
              </w:rPr>
            </w:pPr>
          </w:p>
        </w:tc>
        <w:tc>
          <w:tcPr>
            <w:tcW w:w="2409" w:type="dxa"/>
          </w:tcPr>
          <w:p w:rsidR="005741E2" w:rsidRPr="005741E2" w:rsidRDefault="005D2762" w:rsidP="005D2762">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cs="Arial"/>
                <w:sz w:val="16"/>
                <w:szCs w:val="16"/>
              </w:rPr>
            </w:pPr>
            <w:r>
              <w:rPr>
                <w:rFonts w:cs="Arial"/>
                <w:sz w:val="16"/>
                <w:szCs w:val="16"/>
              </w:rPr>
              <w:t>(Behnam et al., 2013)</w:t>
            </w:r>
          </w:p>
        </w:tc>
        <w:tc>
          <w:tcPr>
            <w:tcW w:w="1418" w:type="dxa"/>
          </w:tcPr>
          <w:p w:rsidR="005741E2" w:rsidRPr="005741E2" w:rsidRDefault="005741E2" w:rsidP="005D2762">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cs="Arial"/>
                <w:sz w:val="16"/>
                <w:szCs w:val="16"/>
              </w:rPr>
            </w:pPr>
            <w:r w:rsidRPr="005741E2">
              <w:rPr>
                <w:rFonts w:cs="Arial"/>
                <w:sz w:val="16"/>
                <w:szCs w:val="16"/>
              </w:rPr>
              <w:t>Cross-sectional</w:t>
            </w:r>
          </w:p>
        </w:tc>
        <w:tc>
          <w:tcPr>
            <w:tcW w:w="2977" w:type="dxa"/>
          </w:tcPr>
          <w:p w:rsidR="005741E2" w:rsidRPr="005741E2" w:rsidRDefault="005741E2" w:rsidP="005D2762">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cs="Arial"/>
                <w:sz w:val="16"/>
                <w:szCs w:val="16"/>
              </w:rPr>
            </w:pPr>
            <w:r w:rsidRPr="005741E2">
              <w:rPr>
                <w:rFonts w:cs="Arial"/>
                <w:sz w:val="16"/>
                <w:szCs w:val="16"/>
              </w:rPr>
              <w:t>28/140</w:t>
            </w:r>
          </w:p>
        </w:tc>
        <w:tc>
          <w:tcPr>
            <w:tcW w:w="1842" w:type="dxa"/>
          </w:tcPr>
          <w:p w:rsidR="005741E2" w:rsidRPr="005741E2" w:rsidRDefault="005741E2" w:rsidP="005D2762">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cs="Arial"/>
                <w:sz w:val="16"/>
                <w:szCs w:val="16"/>
              </w:rPr>
            </w:pPr>
            <w:r w:rsidRPr="005741E2">
              <w:rPr>
                <w:rFonts w:cs="Arial"/>
                <w:sz w:val="16"/>
                <w:szCs w:val="16"/>
              </w:rPr>
              <w:t>20%</w:t>
            </w:r>
          </w:p>
        </w:tc>
        <w:tc>
          <w:tcPr>
            <w:tcW w:w="2268" w:type="dxa"/>
          </w:tcPr>
          <w:p w:rsidR="005741E2" w:rsidRPr="005741E2" w:rsidRDefault="005741E2" w:rsidP="005D2762">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cs="Arial"/>
                <w:sz w:val="16"/>
                <w:szCs w:val="16"/>
              </w:rPr>
            </w:pPr>
            <w:r w:rsidRPr="005741E2">
              <w:rPr>
                <w:rFonts w:cs="Arial"/>
                <w:sz w:val="16"/>
                <w:szCs w:val="16"/>
              </w:rPr>
              <w:t>46.4</w:t>
            </w:r>
          </w:p>
        </w:tc>
        <w:tc>
          <w:tcPr>
            <w:tcW w:w="2410" w:type="dxa"/>
          </w:tcPr>
          <w:p w:rsidR="005741E2" w:rsidRPr="005741E2" w:rsidRDefault="005741E2" w:rsidP="005D2762">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cs="Arial"/>
                <w:sz w:val="16"/>
                <w:szCs w:val="16"/>
              </w:rPr>
            </w:pPr>
            <w:r w:rsidRPr="005741E2">
              <w:rPr>
                <w:rFonts w:cs="Arial"/>
                <w:sz w:val="16"/>
                <w:szCs w:val="16"/>
              </w:rPr>
              <w:t>Active RA: 56.18*</w:t>
            </w:r>
          </w:p>
          <w:p w:rsidR="005741E2" w:rsidRPr="005741E2" w:rsidRDefault="005741E2" w:rsidP="005D2762">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cs="Arial"/>
                <w:sz w:val="16"/>
                <w:szCs w:val="16"/>
              </w:rPr>
            </w:pPr>
            <w:r w:rsidRPr="005741E2">
              <w:rPr>
                <w:rFonts w:cs="Arial"/>
                <w:sz w:val="16"/>
                <w:szCs w:val="16"/>
              </w:rPr>
              <w:t>Inactive RA: 63.11*</w:t>
            </w:r>
          </w:p>
        </w:tc>
        <w:tc>
          <w:tcPr>
            <w:tcW w:w="1328" w:type="dxa"/>
          </w:tcPr>
          <w:p w:rsidR="005741E2" w:rsidRPr="005741E2" w:rsidRDefault="005741E2" w:rsidP="005D2762">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cs="Arial"/>
                <w:sz w:val="16"/>
                <w:szCs w:val="16"/>
              </w:rPr>
            </w:pPr>
            <w:r w:rsidRPr="005741E2">
              <w:rPr>
                <w:rFonts w:cs="Arial"/>
                <w:sz w:val="16"/>
                <w:szCs w:val="16"/>
              </w:rPr>
              <w:t>Iran</w:t>
            </w:r>
          </w:p>
        </w:tc>
      </w:tr>
      <w:tr w:rsidR="005741E2" w:rsidRPr="005741E2" w:rsidTr="005D2762">
        <w:trPr>
          <w:trHeight w:val="402"/>
        </w:trPr>
        <w:tc>
          <w:tcPr>
            <w:cnfStyle w:val="001000000000" w:firstRow="0" w:lastRow="0" w:firstColumn="1" w:lastColumn="0" w:oddVBand="0" w:evenVBand="0" w:oddHBand="0" w:evenHBand="0" w:firstRowFirstColumn="0" w:firstRowLastColumn="0" w:lastRowFirstColumn="0" w:lastRowLastColumn="0"/>
            <w:tcW w:w="1101" w:type="dxa"/>
          </w:tcPr>
          <w:p w:rsidR="005741E2" w:rsidRPr="005741E2" w:rsidRDefault="005741E2" w:rsidP="00A32FDF">
            <w:pPr>
              <w:spacing w:line="240" w:lineRule="auto"/>
              <w:contextualSpacing/>
              <w:rPr>
                <w:rFonts w:cs="Arial"/>
                <w:sz w:val="16"/>
                <w:szCs w:val="16"/>
              </w:rPr>
            </w:pPr>
          </w:p>
        </w:tc>
        <w:tc>
          <w:tcPr>
            <w:tcW w:w="2409" w:type="dxa"/>
          </w:tcPr>
          <w:p w:rsidR="005741E2" w:rsidRPr="005741E2" w:rsidRDefault="005D2762" w:rsidP="005D2762">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cs="Arial"/>
                <w:sz w:val="16"/>
                <w:szCs w:val="16"/>
              </w:rPr>
            </w:pPr>
            <w:r>
              <w:rPr>
                <w:rFonts w:cs="Arial"/>
                <w:sz w:val="16"/>
                <w:szCs w:val="16"/>
              </w:rPr>
              <w:t>(Bugajska et al., 2010)</w:t>
            </w:r>
          </w:p>
        </w:tc>
        <w:tc>
          <w:tcPr>
            <w:tcW w:w="1418" w:type="dxa"/>
          </w:tcPr>
          <w:p w:rsidR="005741E2" w:rsidRPr="005741E2" w:rsidRDefault="005741E2" w:rsidP="005D2762">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cs="Arial"/>
                <w:sz w:val="16"/>
                <w:szCs w:val="16"/>
              </w:rPr>
            </w:pPr>
            <w:r w:rsidRPr="005741E2">
              <w:rPr>
                <w:rFonts w:cs="Arial"/>
                <w:sz w:val="16"/>
                <w:szCs w:val="16"/>
              </w:rPr>
              <w:t>Cross-sectional</w:t>
            </w:r>
          </w:p>
        </w:tc>
        <w:tc>
          <w:tcPr>
            <w:tcW w:w="2977" w:type="dxa"/>
          </w:tcPr>
          <w:p w:rsidR="005741E2" w:rsidRPr="005741E2" w:rsidRDefault="005741E2" w:rsidP="005D2762">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cs="Arial"/>
                <w:sz w:val="16"/>
                <w:szCs w:val="16"/>
              </w:rPr>
            </w:pPr>
            <w:r w:rsidRPr="005741E2">
              <w:rPr>
                <w:rFonts w:cs="Arial"/>
                <w:sz w:val="16"/>
                <w:szCs w:val="16"/>
              </w:rPr>
              <w:t>84/437</w:t>
            </w:r>
          </w:p>
        </w:tc>
        <w:tc>
          <w:tcPr>
            <w:tcW w:w="1842" w:type="dxa"/>
          </w:tcPr>
          <w:p w:rsidR="005741E2" w:rsidRPr="005741E2" w:rsidRDefault="005741E2" w:rsidP="005D2762">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cs="Arial"/>
                <w:sz w:val="16"/>
                <w:szCs w:val="16"/>
              </w:rPr>
            </w:pPr>
            <w:r w:rsidRPr="005741E2">
              <w:rPr>
                <w:rFonts w:cs="Arial"/>
                <w:sz w:val="16"/>
                <w:szCs w:val="16"/>
              </w:rPr>
              <w:t>19%</w:t>
            </w:r>
          </w:p>
        </w:tc>
        <w:tc>
          <w:tcPr>
            <w:tcW w:w="2268" w:type="dxa"/>
          </w:tcPr>
          <w:p w:rsidR="005D2762" w:rsidRDefault="005741E2" w:rsidP="005D2762">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cs="Arial"/>
                <w:sz w:val="16"/>
                <w:szCs w:val="16"/>
              </w:rPr>
            </w:pPr>
            <w:r w:rsidRPr="005741E2">
              <w:rPr>
                <w:rFonts w:cs="Arial"/>
                <w:sz w:val="16"/>
                <w:szCs w:val="16"/>
              </w:rPr>
              <w:t xml:space="preserve">Mean not reported. </w:t>
            </w:r>
          </w:p>
          <w:p w:rsidR="005741E2" w:rsidRPr="005741E2" w:rsidRDefault="005741E2" w:rsidP="005D2762">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cs="Arial"/>
                <w:sz w:val="16"/>
                <w:szCs w:val="16"/>
              </w:rPr>
            </w:pPr>
            <w:r w:rsidRPr="005741E2">
              <w:rPr>
                <w:rFonts w:cs="Arial"/>
                <w:sz w:val="16"/>
                <w:szCs w:val="16"/>
              </w:rPr>
              <w:t>Majority (71%) are &gt;50yrs</w:t>
            </w:r>
          </w:p>
        </w:tc>
        <w:tc>
          <w:tcPr>
            <w:tcW w:w="2410" w:type="dxa"/>
          </w:tcPr>
          <w:p w:rsidR="005741E2" w:rsidRPr="005741E2" w:rsidRDefault="005741E2" w:rsidP="005D2762">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cs="Arial"/>
                <w:sz w:val="16"/>
                <w:szCs w:val="16"/>
              </w:rPr>
            </w:pPr>
            <w:r w:rsidRPr="005741E2">
              <w:rPr>
                <w:rFonts w:cs="Arial"/>
                <w:sz w:val="16"/>
                <w:szCs w:val="16"/>
              </w:rPr>
              <w:t>11</w:t>
            </w:r>
          </w:p>
        </w:tc>
        <w:tc>
          <w:tcPr>
            <w:tcW w:w="1328" w:type="dxa"/>
          </w:tcPr>
          <w:p w:rsidR="005741E2" w:rsidRPr="005741E2" w:rsidRDefault="005741E2" w:rsidP="005D2762">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cs="Arial"/>
                <w:sz w:val="16"/>
                <w:szCs w:val="16"/>
              </w:rPr>
            </w:pPr>
            <w:r w:rsidRPr="005741E2">
              <w:rPr>
                <w:rFonts w:cs="Arial"/>
                <w:sz w:val="16"/>
                <w:szCs w:val="16"/>
              </w:rPr>
              <w:t>Poland</w:t>
            </w:r>
          </w:p>
          <w:p w:rsidR="005741E2" w:rsidRPr="005741E2" w:rsidRDefault="005741E2" w:rsidP="005D2762">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cs="Arial"/>
                <w:sz w:val="16"/>
                <w:szCs w:val="16"/>
              </w:rPr>
            </w:pPr>
            <w:r w:rsidRPr="005741E2">
              <w:rPr>
                <w:rFonts w:cs="Arial"/>
                <w:sz w:val="16"/>
                <w:szCs w:val="16"/>
              </w:rPr>
              <w:t>Germany</w:t>
            </w:r>
          </w:p>
        </w:tc>
      </w:tr>
      <w:tr w:rsidR="005741E2" w:rsidRPr="005741E2" w:rsidTr="005D2762">
        <w:trPr>
          <w:trHeight w:val="274"/>
        </w:trPr>
        <w:tc>
          <w:tcPr>
            <w:cnfStyle w:val="001000000000" w:firstRow="0" w:lastRow="0" w:firstColumn="1" w:lastColumn="0" w:oddVBand="0" w:evenVBand="0" w:oddHBand="0" w:evenHBand="0" w:firstRowFirstColumn="0" w:firstRowLastColumn="0" w:lastRowFirstColumn="0" w:lastRowLastColumn="0"/>
            <w:tcW w:w="1101" w:type="dxa"/>
          </w:tcPr>
          <w:p w:rsidR="005741E2" w:rsidRPr="005741E2" w:rsidRDefault="005741E2" w:rsidP="00A32FDF">
            <w:pPr>
              <w:spacing w:line="240" w:lineRule="auto"/>
              <w:contextualSpacing/>
              <w:rPr>
                <w:rFonts w:cs="Arial"/>
                <w:sz w:val="16"/>
                <w:szCs w:val="16"/>
              </w:rPr>
            </w:pPr>
          </w:p>
        </w:tc>
        <w:tc>
          <w:tcPr>
            <w:tcW w:w="2409" w:type="dxa"/>
          </w:tcPr>
          <w:p w:rsidR="005741E2" w:rsidRPr="005741E2" w:rsidRDefault="005D2762" w:rsidP="005D2762">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cs="Arial"/>
                <w:sz w:val="16"/>
                <w:szCs w:val="16"/>
              </w:rPr>
            </w:pPr>
            <w:r>
              <w:rPr>
                <w:rFonts w:cs="Arial"/>
                <w:sz w:val="16"/>
                <w:szCs w:val="16"/>
              </w:rPr>
              <w:t>(Dirik and Karanci, 2010)</w:t>
            </w:r>
          </w:p>
        </w:tc>
        <w:tc>
          <w:tcPr>
            <w:tcW w:w="1418" w:type="dxa"/>
          </w:tcPr>
          <w:p w:rsidR="005741E2" w:rsidRPr="005741E2" w:rsidRDefault="005741E2" w:rsidP="005D2762">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cs="Arial"/>
                <w:sz w:val="16"/>
                <w:szCs w:val="16"/>
              </w:rPr>
            </w:pPr>
            <w:r w:rsidRPr="005741E2">
              <w:rPr>
                <w:rFonts w:cs="Arial"/>
                <w:sz w:val="16"/>
                <w:szCs w:val="16"/>
              </w:rPr>
              <w:t>Cross-sectional</w:t>
            </w:r>
          </w:p>
        </w:tc>
        <w:tc>
          <w:tcPr>
            <w:tcW w:w="2977" w:type="dxa"/>
          </w:tcPr>
          <w:p w:rsidR="005741E2" w:rsidRPr="005741E2" w:rsidRDefault="005741E2" w:rsidP="005D2762">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cs="Arial"/>
                <w:sz w:val="16"/>
                <w:szCs w:val="16"/>
              </w:rPr>
            </w:pPr>
            <w:r w:rsidRPr="005741E2">
              <w:rPr>
                <w:rFonts w:cs="Arial"/>
                <w:sz w:val="16"/>
                <w:szCs w:val="16"/>
              </w:rPr>
              <w:t>18/117</w:t>
            </w:r>
          </w:p>
        </w:tc>
        <w:tc>
          <w:tcPr>
            <w:tcW w:w="1842" w:type="dxa"/>
          </w:tcPr>
          <w:p w:rsidR="005741E2" w:rsidRPr="005741E2" w:rsidRDefault="005741E2" w:rsidP="005D2762">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cs="Arial"/>
                <w:sz w:val="16"/>
                <w:szCs w:val="16"/>
              </w:rPr>
            </w:pPr>
            <w:r w:rsidRPr="005741E2">
              <w:rPr>
                <w:rFonts w:cs="Arial"/>
                <w:sz w:val="16"/>
                <w:szCs w:val="16"/>
              </w:rPr>
              <w:t>15%</w:t>
            </w:r>
          </w:p>
        </w:tc>
        <w:tc>
          <w:tcPr>
            <w:tcW w:w="2268" w:type="dxa"/>
          </w:tcPr>
          <w:p w:rsidR="005741E2" w:rsidRPr="005741E2" w:rsidRDefault="005741E2" w:rsidP="005D2762">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cs="Arial"/>
                <w:sz w:val="16"/>
                <w:szCs w:val="16"/>
              </w:rPr>
            </w:pPr>
            <w:r w:rsidRPr="005741E2">
              <w:rPr>
                <w:rFonts w:cs="Arial"/>
                <w:sz w:val="16"/>
                <w:szCs w:val="16"/>
              </w:rPr>
              <w:t>48.5</w:t>
            </w:r>
          </w:p>
        </w:tc>
        <w:tc>
          <w:tcPr>
            <w:tcW w:w="2410" w:type="dxa"/>
          </w:tcPr>
          <w:p w:rsidR="005741E2" w:rsidRPr="005741E2" w:rsidRDefault="005741E2" w:rsidP="005D2762">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cs="Arial"/>
                <w:sz w:val="16"/>
                <w:szCs w:val="16"/>
              </w:rPr>
            </w:pPr>
            <w:r w:rsidRPr="005741E2">
              <w:rPr>
                <w:rFonts w:cs="Arial"/>
                <w:sz w:val="16"/>
                <w:szCs w:val="16"/>
              </w:rPr>
              <w:t>9</w:t>
            </w:r>
          </w:p>
        </w:tc>
        <w:tc>
          <w:tcPr>
            <w:tcW w:w="1328" w:type="dxa"/>
          </w:tcPr>
          <w:p w:rsidR="005741E2" w:rsidRPr="005741E2" w:rsidRDefault="005741E2" w:rsidP="005D2762">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cs="Arial"/>
                <w:sz w:val="16"/>
                <w:szCs w:val="16"/>
              </w:rPr>
            </w:pPr>
            <w:r w:rsidRPr="005741E2">
              <w:rPr>
                <w:rFonts w:cs="Arial"/>
                <w:sz w:val="16"/>
                <w:szCs w:val="16"/>
              </w:rPr>
              <w:t>Turkey</w:t>
            </w:r>
          </w:p>
        </w:tc>
      </w:tr>
      <w:tr w:rsidR="005741E2" w:rsidRPr="005741E2" w:rsidTr="005D2762">
        <w:trPr>
          <w:trHeight w:val="467"/>
        </w:trPr>
        <w:tc>
          <w:tcPr>
            <w:cnfStyle w:val="001000000000" w:firstRow="0" w:lastRow="0" w:firstColumn="1" w:lastColumn="0" w:oddVBand="0" w:evenVBand="0" w:oddHBand="0" w:evenHBand="0" w:firstRowFirstColumn="0" w:firstRowLastColumn="0" w:lastRowFirstColumn="0" w:lastRowLastColumn="0"/>
            <w:tcW w:w="1101" w:type="dxa"/>
          </w:tcPr>
          <w:p w:rsidR="005741E2" w:rsidRPr="005741E2" w:rsidRDefault="005741E2" w:rsidP="00A32FDF">
            <w:pPr>
              <w:spacing w:line="240" w:lineRule="auto"/>
              <w:contextualSpacing/>
              <w:rPr>
                <w:rFonts w:cs="Arial"/>
                <w:sz w:val="16"/>
                <w:szCs w:val="16"/>
              </w:rPr>
            </w:pPr>
          </w:p>
        </w:tc>
        <w:tc>
          <w:tcPr>
            <w:tcW w:w="2409" w:type="dxa"/>
          </w:tcPr>
          <w:p w:rsidR="005741E2" w:rsidRPr="005741E2" w:rsidRDefault="005D2762" w:rsidP="005D2762">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cs="Arial"/>
                <w:sz w:val="16"/>
                <w:szCs w:val="16"/>
              </w:rPr>
            </w:pPr>
            <w:r>
              <w:rPr>
                <w:rFonts w:cs="Arial"/>
                <w:sz w:val="16"/>
                <w:szCs w:val="16"/>
              </w:rPr>
              <w:t>(Dowdy et al., 1996)</w:t>
            </w:r>
          </w:p>
        </w:tc>
        <w:tc>
          <w:tcPr>
            <w:tcW w:w="1418" w:type="dxa"/>
          </w:tcPr>
          <w:p w:rsidR="005741E2" w:rsidRPr="005741E2" w:rsidRDefault="005741E2" w:rsidP="005D2762">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cs="Arial"/>
                <w:sz w:val="16"/>
                <w:szCs w:val="16"/>
              </w:rPr>
            </w:pPr>
            <w:r w:rsidRPr="005741E2">
              <w:rPr>
                <w:rFonts w:cs="Arial"/>
                <w:sz w:val="16"/>
                <w:szCs w:val="16"/>
              </w:rPr>
              <w:t>Longitudinal</w:t>
            </w:r>
          </w:p>
        </w:tc>
        <w:tc>
          <w:tcPr>
            <w:tcW w:w="2977" w:type="dxa"/>
          </w:tcPr>
          <w:p w:rsidR="005741E2" w:rsidRPr="005741E2" w:rsidRDefault="005741E2" w:rsidP="005D2762">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cs="Arial"/>
                <w:sz w:val="16"/>
                <w:szCs w:val="16"/>
              </w:rPr>
            </w:pPr>
            <w:r w:rsidRPr="005741E2">
              <w:rPr>
                <w:rFonts w:cs="Arial"/>
                <w:sz w:val="16"/>
                <w:szCs w:val="16"/>
              </w:rPr>
              <w:t>Recruited 1983: 93/369</w:t>
            </w:r>
          </w:p>
          <w:p w:rsidR="005741E2" w:rsidRPr="005741E2" w:rsidRDefault="005741E2" w:rsidP="005D2762">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cs="Arial"/>
                <w:sz w:val="16"/>
                <w:szCs w:val="16"/>
              </w:rPr>
            </w:pPr>
            <w:r w:rsidRPr="005741E2">
              <w:rPr>
                <w:rFonts w:cs="Arial"/>
                <w:sz w:val="16"/>
                <w:szCs w:val="16"/>
              </w:rPr>
              <w:t>Recruited 1992: 60/207</w:t>
            </w:r>
          </w:p>
        </w:tc>
        <w:tc>
          <w:tcPr>
            <w:tcW w:w="1842" w:type="dxa"/>
          </w:tcPr>
          <w:p w:rsidR="005741E2" w:rsidRPr="005741E2" w:rsidRDefault="005741E2" w:rsidP="005D2762">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cs="Arial"/>
                <w:sz w:val="16"/>
                <w:szCs w:val="16"/>
              </w:rPr>
            </w:pPr>
            <w:r w:rsidRPr="005741E2">
              <w:rPr>
                <w:rFonts w:cs="Arial"/>
                <w:sz w:val="16"/>
                <w:szCs w:val="16"/>
              </w:rPr>
              <w:t>Recruited 1983: 25%</w:t>
            </w:r>
          </w:p>
          <w:p w:rsidR="005741E2" w:rsidRPr="005741E2" w:rsidRDefault="005741E2" w:rsidP="005D2762">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cs="Arial"/>
                <w:sz w:val="16"/>
                <w:szCs w:val="16"/>
              </w:rPr>
            </w:pPr>
            <w:r w:rsidRPr="005741E2">
              <w:rPr>
                <w:rFonts w:cs="Arial"/>
                <w:sz w:val="16"/>
                <w:szCs w:val="16"/>
              </w:rPr>
              <w:t>Recruited 1992: 29%</w:t>
            </w:r>
          </w:p>
        </w:tc>
        <w:tc>
          <w:tcPr>
            <w:tcW w:w="2268" w:type="dxa"/>
          </w:tcPr>
          <w:p w:rsidR="005741E2" w:rsidRPr="005741E2" w:rsidRDefault="005741E2" w:rsidP="005D2762">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cs="Arial"/>
                <w:sz w:val="16"/>
                <w:szCs w:val="16"/>
              </w:rPr>
            </w:pPr>
            <w:r w:rsidRPr="005741E2">
              <w:rPr>
                <w:rFonts w:cs="Arial"/>
                <w:sz w:val="16"/>
                <w:szCs w:val="16"/>
              </w:rPr>
              <w:t>Recruited 1983: 52.7</w:t>
            </w:r>
          </w:p>
          <w:p w:rsidR="005741E2" w:rsidRPr="005741E2" w:rsidRDefault="005741E2" w:rsidP="005D2762">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cs="Arial"/>
                <w:sz w:val="16"/>
                <w:szCs w:val="16"/>
              </w:rPr>
            </w:pPr>
            <w:r w:rsidRPr="005741E2">
              <w:rPr>
                <w:rFonts w:cs="Arial"/>
                <w:sz w:val="16"/>
                <w:szCs w:val="16"/>
              </w:rPr>
              <w:t>Recruited 1992: 54.0</w:t>
            </w:r>
          </w:p>
        </w:tc>
        <w:tc>
          <w:tcPr>
            <w:tcW w:w="2410" w:type="dxa"/>
          </w:tcPr>
          <w:p w:rsidR="005741E2" w:rsidRPr="005741E2" w:rsidRDefault="005741E2" w:rsidP="005D2762">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cs="Arial"/>
                <w:sz w:val="16"/>
                <w:szCs w:val="16"/>
              </w:rPr>
            </w:pPr>
            <w:r w:rsidRPr="005741E2">
              <w:rPr>
                <w:rFonts w:cs="Arial"/>
                <w:sz w:val="16"/>
                <w:szCs w:val="16"/>
              </w:rPr>
              <w:t xml:space="preserve">Recruited 1983: </w:t>
            </w:r>
            <w:r>
              <w:rPr>
                <w:rFonts w:cs="Arial"/>
                <w:sz w:val="16"/>
                <w:szCs w:val="16"/>
              </w:rPr>
              <w:t>7yrs</w:t>
            </w:r>
          </w:p>
          <w:p w:rsidR="005741E2" w:rsidRPr="005741E2" w:rsidRDefault="005741E2" w:rsidP="005D2762">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cs="Arial"/>
                <w:sz w:val="16"/>
                <w:szCs w:val="16"/>
              </w:rPr>
            </w:pPr>
            <w:r w:rsidRPr="005741E2">
              <w:rPr>
                <w:rFonts w:cs="Arial"/>
                <w:sz w:val="16"/>
                <w:szCs w:val="16"/>
              </w:rPr>
              <w:t xml:space="preserve">Recruited 1992: </w:t>
            </w:r>
            <w:r>
              <w:rPr>
                <w:rFonts w:cs="Arial"/>
                <w:sz w:val="16"/>
                <w:szCs w:val="16"/>
              </w:rPr>
              <w:t>3yrs</w:t>
            </w:r>
          </w:p>
        </w:tc>
        <w:tc>
          <w:tcPr>
            <w:tcW w:w="1328" w:type="dxa"/>
          </w:tcPr>
          <w:p w:rsidR="005741E2" w:rsidRPr="005741E2" w:rsidRDefault="005741E2" w:rsidP="005D2762">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cs="Arial"/>
                <w:sz w:val="16"/>
                <w:szCs w:val="16"/>
              </w:rPr>
            </w:pPr>
            <w:r w:rsidRPr="005741E2">
              <w:rPr>
                <w:rFonts w:cs="Arial"/>
                <w:sz w:val="16"/>
                <w:szCs w:val="16"/>
              </w:rPr>
              <w:t>USA</w:t>
            </w:r>
          </w:p>
        </w:tc>
      </w:tr>
      <w:tr w:rsidR="005741E2" w:rsidRPr="005741E2" w:rsidTr="005D2762">
        <w:trPr>
          <w:trHeight w:val="276"/>
        </w:trPr>
        <w:tc>
          <w:tcPr>
            <w:cnfStyle w:val="001000000000" w:firstRow="0" w:lastRow="0" w:firstColumn="1" w:lastColumn="0" w:oddVBand="0" w:evenVBand="0" w:oddHBand="0" w:evenHBand="0" w:firstRowFirstColumn="0" w:firstRowLastColumn="0" w:lastRowFirstColumn="0" w:lastRowLastColumn="0"/>
            <w:tcW w:w="1101" w:type="dxa"/>
          </w:tcPr>
          <w:p w:rsidR="005741E2" w:rsidRPr="005741E2" w:rsidRDefault="005741E2" w:rsidP="00A32FDF">
            <w:pPr>
              <w:spacing w:line="240" w:lineRule="auto"/>
              <w:contextualSpacing/>
              <w:rPr>
                <w:rFonts w:cs="Arial"/>
                <w:sz w:val="16"/>
                <w:szCs w:val="16"/>
              </w:rPr>
            </w:pPr>
          </w:p>
        </w:tc>
        <w:tc>
          <w:tcPr>
            <w:tcW w:w="2409" w:type="dxa"/>
          </w:tcPr>
          <w:p w:rsidR="005741E2" w:rsidRPr="005741E2" w:rsidRDefault="005D2762" w:rsidP="005D2762">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cs="Arial"/>
                <w:sz w:val="16"/>
                <w:szCs w:val="16"/>
              </w:rPr>
            </w:pPr>
            <w:r>
              <w:rPr>
                <w:rFonts w:cs="Arial"/>
                <w:sz w:val="16"/>
                <w:szCs w:val="16"/>
              </w:rPr>
              <w:t>(Persson et al., 2005)</w:t>
            </w:r>
          </w:p>
        </w:tc>
        <w:tc>
          <w:tcPr>
            <w:tcW w:w="1418" w:type="dxa"/>
          </w:tcPr>
          <w:p w:rsidR="005741E2" w:rsidRPr="005741E2" w:rsidRDefault="005741E2" w:rsidP="005D2762">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cs="Arial"/>
                <w:sz w:val="16"/>
                <w:szCs w:val="16"/>
              </w:rPr>
            </w:pPr>
            <w:r w:rsidRPr="005741E2">
              <w:rPr>
                <w:rFonts w:cs="Arial"/>
                <w:sz w:val="16"/>
                <w:szCs w:val="16"/>
              </w:rPr>
              <w:t>Longitudinal</w:t>
            </w:r>
          </w:p>
        </w:tc>
        <w:tc>
          <w:tcPr>
            <w:tcW w:w="2977" w:type="dxa"/>
          </w:tcPr>
          <w:p w:rsidR="005741E2" w:rsidRPr="005741E2" w:rsidRDefault="005741E2" w:rsidP="005D2762">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cs="Arial"/>
                <w:sz w:val="16"/>
                <w:szCs w:val="16"/>
              </w:rPr>
            </w:pPr>
            <w:r w:rsidRPr="005741E2">
              <w:rPr>
                <w:rFonts w:cs="Arial"/>
                <w:sz w:val="16"/>
                <w:szCs w:val="16"/>
              </w:rPr>
              <w:t>57/158</w:t>
            </w:r>
          </w:p>
        </w:tc>
        <w:tc>
          <w:tcPr>
            <w:tcW w:w="1842" w:type="dxa"/>
          </w:tcPr>
          <w:p w:rsidR="005741E2" w:rsidRPr="005741E2" w:rsidRDefault="005741E2" w:rsidP="005D2762">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cs="Arial"/>
                <w:sz w:val="16"/>
                <w:szCs w:val="16"/>
              </w:rPr>
            </w:pPr>
            <w:r w:rsidRPr="005741E2">
              <w:rPr>
                <w:rFonts w:cs="Arial"/>
                <w:sz w:val="16"/>
                <w:szCs w:val="16"/>
              </w:rPr>
              <w:t>36%</w:t>
            </w:r>
          </w:p>
        </w:tc>
        <w:tc>
          <w:tcPr>
            <w:tcW w:w="2268" w:type="dxa"/>
          </w:tcPr>
          <w:p w:rsidR="005741E2" w:rsidRPr="005741E2" w:rsidRDefault="005741E2" w:rsidP="005D2762">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cs="Arial"/>
                <w:sz w:val="16"/>
                <w:szCs w:val="16"/>
              </w:rPr>
            </w:pPr>
            <w:r w:rsidRPr="005741E2">
              <w:rPr>
                <w:rFonts w:cs="Arial"/>
                <w:sz w:val="16"/>
                <w:szCs w:val="16"/>
              </w:rPr>
              <w:t>52</w:t>
            </w:r>
          </w:p>
        </w:tc>
        <w:tc>
          <w:tcPr>
            <w:tcW w:w="2410" w:type="dxa"/>
          </w:tcPr>
          <w:p w:rsidR="005741E2" w:rsidRPr="005741E2" w:rsidRDefault="005741E2" w:rsidP="005D2762">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cs="Arial"/>
                <w:sz w:val="16"/>
                <w:szCs w:val="16"/>
              </w:rPr>
            </w:pPr>
            <w:r w:rsidRPr="005741E2">
              <w:rPr>
                <w:rFonts w:cs="Arial"/>
                <w:sz w:val="16"/>
                <w:szCs w:val="16"/>
              </w:rPr>
              <w:t xml:space="preserve">Median = 10 months </w:t>
            </w:r>
          </w:p>
        </w:tc>
        <w:tc>
          <w:tcPr>
            <w:tcW w:w="1328" w:type="dxa"/>
          </w:tcPr>
          <w:p w:rsidR="005741E2" w:rsidRPr="005741E2" w:rsidRDefault="005741E2" w:rsidP="005D2762">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cs="Arial"/>
                <w:sz w:val="16"/>
                <w:szCs w:val="16"/>
              </w:rPr>
            </w:pPr>
            <w:r w:rsidRPr="005741E2">
              <w:rPr>
                <w:rFonts w:cs="Arial"/>
                <w:sz w:val="16"/>
                <w:szCs w:val="16"/>
              </w:rPr>
              <w:t>Sweden</w:t>
            </w:r>
          </w:p>
        </w:tc>
      </w:tr>
      <w:tr w:rsidR="005741E2" w:rsidRPr="005741E2" w:rsidTr="005D2762">
        <w:trPr>
          <w:trHeight w:val="392"/>
        </w:trPr>
        <w:tc>
          <w:tcPr>
            <w:cnfStyle w:val="001000000000" w:firstRow="0" w:lastRow="0" w:firstColumn="1" w:lastColumn="0" w:oddVBand="0" w:evenVBand="0" w:oddHBand="0" w:evenHBand="0" w:firstRowFirstColumn="0" w:firstRowLastColumn="0" w:lastRowFirstColumn="0" w:lastRowLastColumn="0"/>
            <w:tcW w:w="1101" w:type="dxa"/>
          </w:tcPr>
          <w:p w:rsidR="005741E2" w:rsidRPr="005741E2" w:rsidRDefault="005741E2" w:rsidP="00A32FDF">
            <w:pPr>
              <w:spacing w:line="240" w:lineRule="auto"/>
              <w:contextualSpacing/>
              <w:rPr>
                <w:rFonts w:cs="Arial"/>
                <w:sz w:val="16"/>
                <w:szCs w:val="16"/>
              </w:rPr>
            </w:pPr>
          </w:p>
        </w:tc>
        <w:tc>
          <w:tcPr>
            <w:tcW w:w="2409" w:type="dxa"/>
          </w:tcPr>
          <w:p w:rsidR="005741E2" w:rsidRPr="005741E2" w:rsidRDefault="005D2762" w:rsidP="005D2762">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cs="Arial"/>
                <w:sz w:val="16"/>
                <w:szCs w:val="16"/>
              </w:rPr>
            </w:pPr>
            <w:r>
              <w:rPr>
                <w:rFonts w:cs="Arial"/>
                <w:sz w:val="16"/>
                <w:szCs w:val="16"/>
              </w:rPr>
              <w:t>(van Middendorp et al., 2005)</w:t>
            </w:r>
          </w:p>
        </w:tc>
        <w:tc>
          <w:tcPr>
            <w:tcW w:w="1418" w:type="dxa"/>
          </w:tcPr>
          <w:p w:rsidR="005741E2" w:rsidRPr="005741E2" w:rsidRDefault="005741E2" w:rsidP="005D2762">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cs="Arial"/>
                <w:sz w:val="16"/>
                <w:szCs w:val="16"/>
              </w:rPr>
            </w:pPr>
            <w:r w:rsidRPr="005741E2">
              <w:rPr>
                <w:rFonts w:cs="Arial"/>
                <w:sz w:val="16"/>
                <w:szCs w:val="16"/>
              </w:rPr>
              <w:t>Cross-sectional</w:t>
            </w:r>
          </w:p>
        </w:tc>
        <w:tc>
          <w:tcPr>
            <w:tcW w:w="2977" w:type="dxa"/>
          </w:tcPr>
          <w:p w:rsidR="005741E2" w:rsidRPr="005741E2" w:rsidRDefault="005741E2" w:rsidP="005D2762">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cs="Arial"/>
                <w:sz w:val="16"/>
                <w:szCs w:val="16"/>
              </w:rPr>
            </w:pPr>
            <w:r w:rsidRPr="005741E2">
              <w:rPr>
                <w:rFonts w:cs="Arial"/>
                <w:sz w:val="16"/>
                <w:szCs w:val="16"/>
              </w:rPr>
              <w:t>91/335</w:t>
            </w:r>
          </w:p>
        </w:tc>
        <w:tc>
          <w:tcPr>
            <w:tcW w:w="1842" w:type="dxa"/>
          </w:tcPr>
          <w:p w:rsidR="005741E2" w:rsidRPr="005741E2" w:rsidRDefault="005741E2" w:rsidP="005D2762">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cs="Arial"/>
                <w:sz w:val="16"/>
                <w:szCs w:val="16"/>
              </w:rPr>
            </w:pPr>
            <w:r w:rsidRPr="005741E2">
              <w:rPr>
                <w:rFonts w:cs="Arial"/>
                <w:sz w:val="16"/>
                <w:szCs w:val="16"/>
              </w:rPr>
              <w:t>27%</w:t>
            </w:r>
          </w:p>
        </w:tc>
        <w:tc>
          <w:tcPr>
            <w:tcW w:w="2268" w:type="dxa"/>
          </w:tcPr>
          <w:p w:rsidR="005741E2" w:rsidRPr="005741E2" w:rsidRDefault="005741E2" w:rsidP="005D2762">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cs="Arial"/>
                <w:sz w:val="16"/>
                <w:szCs w:val="16"/>
              </w:rPr>
            </w:pPr>
            <w:r w:rsidRPr="005741E2">
              <w:rPr>
                <w:rFonts w:cs="Arial"/>
                <w:sz w:val="16"/>
                <w:szCs w:val="16"/>
              </w:rPr>
              <w:t>60.4 Male</w:t>
            </w:r>
          </w:p>
          <w:p w:rsidR="005741E2" w:rsidRPr="005741E2" w:rsidRDefault="005741E2" w:rsidP="005D2762">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cs="Arial"/>
                <w:sz w:val="16"/>
                <w:szCs w:val="16"/>
              </w:rPr>
            </w:pPr>
            <w:r w:rsidRPr="005741E2">
              <w:rPr>
                <w:rFonts w:cs="Arial"/>
                <w:sz w:val="16"/>
                <w:szCs w:val="16"/>
              </w:rPr>
              <w:t>56.8 Female</w:t>
            </w:r>
          </w:p>
        </w:tc>
        <w:tc>
          <w:tcPr>
            <w:tcW w:w="2410" w:type="dxa"/>
          </w:tcPr>
          <w:p w:rsidR="005741E2" w:rsidRPr="005741E2" w:rsidRDefault="005741E2" w:rsidP="005D2762">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cs="Arial"/>
                <w:sz w:val="16"/>
                <w:szCs w:val="16"/>
              </w:rPr>
            </w:pPr>
            <w:r w:rsidRPr="005741E2">
              <w:rPr>
                <w:rFonts w:cs="Arial"/>
                <w:sz w:val="16"/>
                <w:szCs w:val="16"/>
              </w:rPr>
              <w:t>11.0 Male</w:t>
            </w:r>
          </w:p>
          <w:p w:rsidR="005741E2" w:rsidRPr="005741E2" w:rsidRDefault="005741E2" w:rsidP="005D2762">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cs="Arial"/>
                <w:sz w:val="16"/>
                <w:szCs w:val="16"/>
              </w:rPr>
            </w:pPr>
            <w:r w:rsidRPr="005741E2">
              <w:rPr>
                <w:rFonts w:cs="Arial"/>
                <w:sz w:val="16"/>
                <w:szCs w:val="16"/>
              </w:rPr>
              <w:t>12.6 Female</w:t>
            </w:r>
          </w:p>
        </w:tc>
        <w:tc>
          <w:tcPr>
            <w:tcW w:w="1328" w:type="dxa"/>
          </w:tcPr>
          <w:p w:rsidR="005741E2" w:rsidRPr="005741E2" w:rsidRDefault="005741E2" w:rsidP="005D2762">
            <w:p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cs="Arial"/>
                <w:sz w:val="16"/>
                <w:szCs w:val="16"/>
              </w:rPr>
            </w:pPr>
            <w:r w:rsidRPr="005741E2">
              <w:rPr>
                <w:rFonts w:cs="Arial"/>
                <w:sz w:val="16"/>
                <w:szCs w:val="16"/>
              </w:rPr>
              <w:t>The Netherlands</w:t>
            </w:r>
          </w:p>
        </w:tc>
      </w:tr>
    </w:tbl>
    <w:p w:rsidR="00232CF1" w:rsidRDefault="00232CF1" w:rsidP="00232CF1">
      <w:pPr>
        <w:spacing w:line="240" w:lineRule="auto"/>
        <w:rPr>
          <w:rFonts w:cs="Arial"/>
          <w:b/>
        </w:rPr>
      </w:pPr>
      <w:r>
        <w:rPr>
          <w:rFonts w:cs="Arial"/>
          <w:b/>
        </w:rPr>
        <w:t>Table 2: Summary of manuscripts included in the psychosocial impact section of this review</w:t>
      </w:r>
    </w:p>
    <w:p w:rsidR="005D2762" w:rsidRPr="005D2762" w:rsidRDefault="005D2762" w:rsidP="005D2762">
      <w:pPr>
        <w:spacing w:after="0" w:line="240" w:lineRule="auto"/>
        <w:contextualSpacing/>
        <w:rPr>
          <w:rFonts w:cs="Arial"/>
          <w:sz w:val="18"/>
          <w:szCs w:val="18"/>
        </w:rPr>
      </w:pPr>
      <w:r w:rsidRPr="005D2762">
        <w:rPr>
          <w:rFonts w:cs="Arial"/>
          <w:sz w:val="18"/>
          <w:szCs w:val="18"/>
        </w:rPr>
        <w:t>† D</w:t>
      </w:r>
      <w:r w:rsidRPr="005D2762">
        <w:rPr>
          <w:sz w:val="18"/>
          <w:szCs w:val="18"/>
        </w:rPr>
        <w:t>ata are recorded as presented in the original journal articles</w:t>
      </w:r>
    </w:p>
    <w:p w:rsidR="00232CF1" w:rsidRPr="005D2762" w:rsidRDefault="005741E2" w:rsidP="005D2762">
      <w:pPr>
        <w:spacing w:after="0" w:line="240" w:lineRule="auto"/>
        <w:contextualSpacing/>
        <w:rPr>
          <w:rFonts w:cs="Arial"/>
          <w:sz w:val="18"/>
          <w:szCs w:val="18"/>
        </w:rPr>
      </w:pPr>
      <w:r w:rsidRPr="005D2762">
        <w:rPr>
          <w:rFonts w:cs="Arial"/>
          <w:sz w:val="18"/>
          <w:szCs w:val="18"/>
        </w:rPr>
        <w:t>*</w:t>
      </w:r>
      <w:r w:rsidR="001F3FFB" w:rsidRPr="005D2762">
        <w:rPr>
          <w:rFonts w:cs="Arial"/>
          <w:sz w:val="18"/>
          <w:szCs w:val="18"/>
        </w:rPr>
        <w:t xml:space="preserve">It is </w:t>
      </w:r>
      <w:r w:rsidRPr="005D2762">
        <w:rPr>
          <w:rFonts w:cs="Arial"/>
          <w:sz w:val="18"/>
          <w:szCs w:val="18"/>
        </w:rPr>
        <w:t>possible</w:t>
      </w:r>
      <w:r w:rsidR="001F3FFB" w:rsidRPr="005D2762">
        <w:rPr>
          <w:rFonts w:cs="Arial"/>
          <w:sz w:val="18"/>
          <w:szCs w:val="18"/>
        </w:rPr>
        <w:t xml:space="preserve"> this data has been wrongly reported as this mean disease duration seems unlikely</w:t>
      </w:r>
    </w:p>
    <w:p w:rsidR="005D2762" w:rsidRPr="005D2762" w:rsidRDefault="005D2762" w:rsidP="005D2762">
      <w:pPr>
        <w:spacing w:after="0" w:line="240" w:lineRule="auto"/>
        <w:contextualSpacing/>
        <w:rPr>
          <w:rFonts w:cs="Arial"/>
          <w:b/>
          <w:sz w:val="18"/>
          <w:szCs w:val="18"/>
        </w:rPr>
      </w:pPr>
    </w:p>
    <w:p w:rsidR="004029A1" w:rsidRDefault="001F3FFB" w:rsidP="005741E2">
      <w:pPr>
        <w:spacing w:after="0" w:line="240" w:lineRule="auto"/>
        <w:rPr>
          <w:rFonts w:cs="Arial"/>
          <w:b/>
        </w:rPr>
      </w:pPr>
      <w:r>
        <w:rPr>
          <w:rFonts w:cs="Arial"/>
          <w:b/>
        </w:rPr>
        <w:br w:type="page"/>
      </w:r>
      <w:r w:rsidR="005741E2">
        <w:rPr>
          <w:rFonts w:cs="Arial"/>
          <w:b/>
        </w:rPr>
        <w:lastRenderedPageBreak/>
        <w:t>T</w:t>
      </w:r>
      <w:r w:rsidR="00232CF1">
        <w:rPr>
          <w:rFonts w:cs="Arial"/>
          <w:b/>
        </w:rPr>
        <w:t>able 3</w:t>
      </w:r>
      <w:r w:rsidR="00810FBD">
        <w:rPr>
          <w:rFonts w:cs="Arial"/>
          <w:b/>
        </w:rPr>
        <w:t xml:space="preserve">: Summary </w:t>
      </w:r>
      <w:r w:rsidR="004029A1">
        <w:rPr>
          <w:rFonts w:cs="Arial"/>
          <w:b/>
        </w:rPr>
        <w:t xml:space="preserve">of manuscripts included in </w:t>
      </w:r>
      <w:r w:rsidR="00944CA7">
        <w:rPr>
          <w:rFonts w:cs="Arial"/>
          <w:b/>
        </w:rPr>
        <w:t>the self-management and coping section of this review</w:t>
      </w:r>
    </w:p>
    <w:tbl>
      <w:tblPr>
        <w:tblStyle w:val="PlainTable21"/>
        <w:tblpPr w:leftFromText="180" w:rightFromText="180" w:vertAnchor="text" w:horzAnchor="page" w:tblpX="658" w:tblpY="319"/>
        <w:tblW w:w="16129" w:type="dxa"/>
        <w:tblLayout w:type="fixed"/>
        <w:tblLook w:val="0620" w:firstRow="1" w:lastRow="0" w:firstColumn="0" w:lastColumn="0" w:noHBand="1" w:noVBand="1"/>
      </w:tblPr>
      <w:tblGrid>
        <w:gridCol w:w="1528"/>
        <w:gridCol w:w="1277"/>
        <w:gridCol w:w="1418"/>
        <w:gridCol w:w="1277"/>
        <w:gridCol w:w="1135"/>
        <w:gridCol w:w="1135"/>
        <w:gridCol w:w="1135"/>
        <w:gridCol w:w="1135"/>
        <w:gridCol w:w="1418"/>
        <w:gridCol w:w="994"/>
        <w:gridCol w:w="1229"/>
        <w:gridCol w:w="993"/>
        <w:gridCol w:w="1455"/>
      </w:tblGrid>
      <w:tr w:rsidR="001E3151" w:rsidRPr="00CE3D1C" w:rsidTr="00A32FDF">
        <w:trPr>
          <w:cnfStyle w:val="100000000000" w:firstRow="1" w:lastRow="0" w:firstColumn="0" w:lastColumn="0" w:oddVBand="0" w:evenVBand="0" w:oddHBand="0" w:evenHBand="0" w:firstRowFirstColumn="0" w:firstRowLastColumn="0" w:lastRowFirstColumn="0" w:lastRowLastColumn="0"/>
          <w:trHeight w:val="276"/>
        </w:trPr>
        <w:tc>
          <w:tcPr>
            <w:tcW w:w="1528" w:type="dxa"/>
          </w:tcPr>
          <w:p w:rsidR="00232CF1" w:rsidRPr="001E3151" w:rsidRDefault="00232CF1" w:rsidP="00232CF1">
            <w:pPr>
              <w:spacing w:after="0" w:line="240" w:lineRule="auto"/>
              <w:rPr>
                <w:rFonts w:cs="Arial"/>
                <w:sz w:val="18"/>
                <w:szCs w:val="18"/>
              </w:rPr>
            </w:pPr>
            <w:r w:rsidRPr="001E3151">
              <w:rPr>
                <w:rFonts w:cs="Arial"/>
                <w:sz w:val="18"/>
                <w:szCs w:val="18"/>
              </w:rPr>
              <w:t>Paper</w:t>
            </w:r>
          </w:p>
        </w:tc>
        <w:tc>
          <w:tcPr>
            <w:tcW w:w="1277" w:type="dxa"/>
          </w:tcPr>
          <w:p w:rsidR="00232CF1" w:rsidRPr="001E3151" w:rsidRDefault="00232CF1" w:rsidP="00232CF1">
            <w:pPr>
              <w:spacing w:after="0" w:line="240" w:lineRule="auto"/>
              <w:rPr>
                <w:rFonts w:cs="Arial"/>
                <w:sz w:val="18"/>
                <w:szCs w:val="18"/>
              </w:rPr>
            </w:pPr>
            <w:r w:rsidRPr="001E3151">
              <w:rPr>
                <w:rFonts w:cs="Arial"/>
                <w:sz w:val="18"/>
                <w:szCs w:val="18"/>
              </w:rPr>
              <w:t>Study design</w:t>
            </w:r>
          </w:p>
        </w:tc>
        <w:tc>
          <w:tcPr>
            <w:tcW w:w="1418" w:type="dxa"/>
          </w:tcPr>
          <w:p w:rsidR="00232CF1" w:rsidRPr="001E3151" w:rsidRDefault="00232CF1" w:rsidP="00232CF1">
            <w:pPr>
              <w:spacing w:after="0" w:line="240" w:lineRule="auto"/>
              <w:rPr>
                <w:rFonts w:cs="Arial"/>
                <w:sz w:val="18"/>
                <w:szCs w:val="18"/>
              </w:rPr>
            </w:pPr>
            <w:r w:rsidRPr="001E3151">
              <w:rPr>
                <w:rFonts w:cs="Arial"/>
                <w:sz w:val="18"/>
                <w:szCs w:val="18"/>
              </w:rPr>
              <w:t>Number of male participants / study sample</w:t>
            </w:r>
          </w:p>
        </w:tc>
        <w:tc>
          <w:tcPr>
            <w:tcW w:w="1277" w:type="dxa"/>
          </w:tcPr>
          <w:p w:rsidR="00232CF1" w:rsidRPr="001E3151" w:rsidRDefault="00232CF1" w:rsidP="00232CF1">
            <w:pPr>
              <w:spacing w:after="0" w:line="240" w:lineRule="auto"/>
              <w:rPr>
                <w:rFonts w:cs="Arial"/>
                <w:sz w:val="18"/>
                <w:szCs w:val="18"/>
              </w:rPr>
            </w:pPr>
            <w:r w:rsidRPr="001E3151">
              <w:rPr>
                <w:rFonts w:cs="Arial"/>
                <w:sz w:val="18"/>
                <w:szCs w:val="18"/>
              </w:rPr>
              <w:t>Proportion (%) of male participants</w:t>
            </w:r>
          </w:p>
        </w:tc>
        <w:tc>
          <w:tcPr>
            <w:tcW w:w="1135" w:type="dxa"/>
          </w:tcPr>
          <w:p w:rsidR="00232CF1" w:rsidRPr="001E3151" w:rsidRDefault="00232CF1" w:rsidP="00232CF1">
            <w:pPr>
              <w:spacing w:after="0" w:line="240" w:lineRule="auto"/>
              <w:rPr>
                <w:rFonts w:cs="Arial"/>
                <w:sz w:val="18"/>
                <w:szCs w:val="18"/>
              </w:rPr>
            </w:pPr>
            <w:r w:rsidRPr="001E3151">
              <w:rPr>
                <w:rFonts w:cs="Arial"/>
                <w:sz w:val="18"/>
                <w:szCs w:val="18"/>
              </w:rPr>
              <w:t>Mean age (Yrs)</w:t>
            </w:r>
          </w:p>
        </w:tc>
        <w:tc>
          <w:tcPr>
            <w:tcW w:w="1135" w:type="dxa"/>
          </w:tcPr>
          <w:p w:rsidR="00232CF1" w:rsidRPr="001E3151" w:rsidRDefault="00232CF1" w:rsidP="00232CF1">
            <w:pPr>
              <w:spacing w:after="0" w:line="240" w:lineRule="auto"/>
              <w:rPr>
                <w:rFonts w:cs="Arial"/>
                <w:sz w:val="18"/>
                <w:szCs w:val="18"/>
              </w:rPr>
            </w:pPr>
            <w:r w:rsidRPr="001E3151">
              <w:rPr>
                <w:rFonts w:cs="Arial"/>
                <w:sz w:val="18"/>
                <w:szCs w:val="18"/>
              </w:rPr>
              <w:t>Mean dis dur (Yrs)</w:t>
            </w:r>
          </w:p>
        </w:tc>
        <w:tc>
          <w:tcPr>
            <w:tcW w:w="1135" w:type="dxa"/>
          </w:tcPr>
          <w:p w:rsidR="00232CF1" w:rsidRPr="001E3151" w:rsidRDefault="00540AA9" w:rsidP="00232CF1">
            <w:pPr>
              <w:spacing w:after="0" w:line="240" w:lineRule="auto"/>
              <w:rPr>
                <w:rFonts w:cs="Arial"/>
                <w:sz w:val="18"/>
                <w:szCs w:val="18"/>
              </w:rPr>
            </w:pPr>
            <w:r w:rsidRPr="001E3151">
              <w:rPr>
                <w:rFonts w:cs="Arial"/>
                <w:sz w:val="18"/>
                <w:szCs w:val="18"/>
              </w:rPr>
              <w:t>Country of study</w:t>
            </w:r>
          </w:p>
        </w:tc>
        <w:tc>
          <w:tcPr>
            <w:tcW w:w="1135" w:type="dxa"/>
          </w:tcPr>
          <w:p w:rsidR="00232CF1" w:rsidRPr="001E3151" w:rsidRDefault="00232CF1" w:rsidP="00232CF1">
            <w:pPr>
              <w:spacing w:after="0" w:line="240" w:lineRule="auto"/>
              <w:rPr>
                <w:rFonts w:cs="Arial"/>
                <w:sz w:val="18"/>
                <w:szCs w:val="18"/>
              </w:rPr>
            </w:pPr>
            <w:r w:rsidRPr="001E3151">
              <w:rPr>
                <w:rFonts w:cs="Arial"/>
                <w:sz w:val="18"/>
                <w:szCs w:val="18"/>
              </w:rPr>
              <w:t>Men report using fewer coping strategies</w:t>
            </w:r>
          </w:p>
        </w:tc>
        <w:tc>
          <w:tcPr>
            <w:tcW w:w="1418" w:type="dxa"/>
          </w:tcPr>
          <w:p w:rsidR="00232CF1" w:rsidRPr="001E3151" w:rsidRDefault="00232CF1" w:rsidP="00232CF1">
            <w:pPr>
              <w:spacing w:after="0" w:line="240" w:lineRule="auto"/>
              <w:rPr>
                <w:rFonts w:cs="Arial"/>
                <w:sz w:val="18"/>
                <w:szCs w:val="18"/>
              </w:rPr>
            </w:pPr>
            <w:r w:rsidRPr="001E3151">
              <w:rPr>
                <w:rFonts w:cs="Arial"/>
                <w:sz w:val="18"/>
                <w:szCs w:val="18"/>
              </w:rPr>
              <w:t>Men report less intention for self-management</w:t>
            </w:r>
          </w:p>
        </w:tc>
        <w:tc>
          <w:tcPr>
            <w:tcW w:w="994" w:type="dxa"/>
          </w:tcPr>
          <w:p w:rsidR="00232CF1" w:rsidRPr="001E3151" w:rsidRDefault="00232CF1" w:rsidP="00232CF1">
            <w:pPr>
              <w:spacing w:after="0" w:line="240" w:lineRule="auto"/>
              <w:rPr>
                <w:rFonts w:cs="Arial"/>
                <w:sz w:val="18"/>
                <w:szCs w:val="18"/>
              </w:rPr>
            </w:pPr>
            <w:r w:rsidRPr="001E3151">
              <w:rPr>
                <w:rFonts w:cs="Arial"/>
                <w:sz w:val="18"/>
                <w:szCs w:val="18"/>
              </w:rPr>
              <w:t>Men report using fewer assistive devices</w:t>
            </w:r>
          </w:p>
        </w:tc>
        <w:tc>
          <w:tcPr>
            <w:tcW w:w="1229" w:type="dxa"/>
          </w:tcPr>
          <w:p w:rsidR="00232CF1" w:rsidRPr="001E3151" w:rsidRDefault="00232CF1" w:rsidP="00232CF1">
            <w:pPr>
              <w:spacing w:after="0" w:line="240" w:lineRule="auto"/>
              <w:rPr>
                <w:rFonts w:cs="Arial"/>
                <w:sz w:val="18"/>
                <w:szCs w:val="18"/>
              </w:rPr>
            </w:pPr>
            <w:r w:rsidRPr="001E3151">
              <w:rPr>
                <w:rFonts w:cs="Arial"/>
                <w:sz w:val="18"/>
                <w:szCs w:val="18"/>
              </w:rPr>
              <w:t>Men ask for and receive less practical and/or emotional support from family /friends</w:t>
            </w:r>
          </w:p>
        </w:tc>
        <w:tc>
          <w:tcPr>
            <w:tcW w:w="993" w:type="dxa"/>
          </w:tcPr>
          <w:p w:rsidR="00232CF1" w:rsidRPr="001E3151" w:rsidRDefault="00232CF1" w:rsidP="00232CF1">
            <w:pPr>
              <w:spacing w:after="0" w:line="240" w:lineRule="auto"/>
              <w:rPr>
                <w:rFonts w:cs="Arial"/>
                <w:sz w:val="18"/>
                <w:szCs w:val="18"/>
              </w:rPr>
            </w:pPr>
            <w:r w:rsidRPr="001E3151">
              <w:rPr>
                <w:rFonts w:cs="Arial"/>
                <w:sz w:val="18"/>
                <w:szCs w:val="18"/>
              </w:rPr>
              <w:t>Men are less adaptive in their coping styles</w:t>
            </w:r>
          </w:p>
        </w:tc>
        <w:tc>
          <w:tcPr>
            <w:tcW w:w="1455" w:type="dxa"/>
          </w:tcPr>
          <w:p w:rsidR="00232CF1" w:rsidRPr="001E3151" w:rsidRDefault="00232CF1" w:rsidP="00232CF1">
            <w:pPr>
              <w:spacing w:after="0" w:line="240" w:lineRule="auto"/>
              <w:rPr>
                <w:rFonts w:cs="Arial"/>
                <w:sz w:val="18"/>
                <w:szCs w:val="18"/>
              </w:rPr>
            </w:pPr>
            <w:r w:rsidRPr="001E3151">
              <w:rPr>
                <w:rFonts w:cs="Arial"/>
                <w:sz w:val="18"/>
                <w:szCs w:val="18"/>
              </w:rPr>
              <w:t>Men value physical activity and work in reducing psychological impact</w:t>
            </w:r>
          </w:p>
        </w:tc>
      </w:tr>
      <w:tr w:rsidR="005741E2" w:rsidRPr="00CE3D1C" w:rsidTr="00A32FDF">
        <w:trPr>
          <w:trHeight w:val="587"/>
        </w:trPr>
        <w:tc>
          <w:tcPr>
            <w:tcW w:w="1528" w:type="dxa"/>
          </w:tcPr>
          <w:p w:rsidR="00232CF1" w:rsidRPr="00A32FDF" w:rsidRDefault="005D2762" w:rsidP="001E3151">
            <w:pPr>
              <w:spacing w:after="0" w:line="240" w:lineRule="auto"/>
              <w:rPr>
                <w:rFonts w:cs="Arial"/>
                <w:sz w:val="18"/>
                <w:szCs w:val="18"/>
              </w:rPr>
            </w:pPr>
            <w:r>
              <w:rPr>
                <w:rFonts w:cs="Arial"/>
                <w:sz w:val="18"/>
                <w:szCs w:val="18"/>
              </w:rPr>
              <w:t>(Affleck et al., 1999)</w:t>
            </w:r>
          </w:p>
        </w:tc>
        <w:tc>
          <w:tcPr>
            <w:tcW w:w="1277" w:type="dxa"/>
          </w:tcPr>
          <w:p w:rsidR="00232CF1" w:rsidRPr="00CE3D1C" w:rsidRDefault="00232CF1" w:rsidP="001E3151">
            <w:pPr>
              <w:spacing w:after="0" w:line="240" w:lineRule="auto"/>
              <w:rPr>
                <w:rFonts w:cs="Arial"/>
                <w:sz w:val="18"/>
                <w:szCs w:val="18"/>
                <w:highlight w:val="yellow"/>
              </w:rPr>
            </w:pPr>
            <w:r w:rsidRPr="00CE3D1C">
              <w:rPr>
                <w:rFonts w:cs="Arial"/>
                <w:sz w:val="18"/>
                <w:szCs w:val="18"/>
              </w:rPr>
              <w:t>Longitudinal</w:t>
            </w:r>
          </w:p>
        </w:tc>
        <w:tc>
          <w:tcPr>
            <w:tcW w:w="1418" w:type="dxa"/>
          </w:tcPr>
          <w:p w:rsidR="00232CF1" w:rsidRPr="00CE3D1C" w:rsidRDefault="00232CF1" w:rsidP="001E3151">
            <w:pPr>
              <w:spacing w:after="0" w:line="240" w:lineRule="auto"/>
              <w:rPr>
                <w:rFonts w:cs="Arial"/>
                <w:sz w:val="18"/>
                <w:szCs w:val="18"/>
              </w:rPr>
            </w:pPr>
            <w:r w:rsidRPr="00CE3D1C">
              <w:rPr>
                <w:rFonts w:cs="Arial"/>
                <w:sz w:val="18"/>
                <w:szCs w:val="18"/>
              </w:rPr>
              <w:t>OA: 30 / 71</w:t>
            </w:r>
          </w:p>
          <w:p w:rsidR="00232CF1" w:rsidRPr="00CE3D1C" w:rsidRDefault="00232CF1" w:rsidP="001E3151">
            <w:pPr>
              <w:spacing w:after="0" w:line="240" w:lineRule="auto"/>
              <w:rPr>
                <w:rFonts w:cs="Arial"/>
                <w:sz w:val="18"/>
                <w:szCs w:val="18"/>
              </w:rPr>
            </w:pPr>
            <w:r w:rsidRPr="00CE3D1C">
              <w:rPr>
                <w:rFonts w:cs="Arial"/>
                <w:sz w:val="18"/>
                <w:szCs w:val="18"/>
              </w:rPr>
              <w:t>RA: 18 / 76</w:t>
            </w:r>
          </w:p>
        </w:tc>
        <w:tc>
          <w:tcPr>
            <w:tcW w:w="1277" w:type="dxa"/>
          </w:tcPr>
          <w:p w:rsidR="00232CF1" w:rsidRPr="00CE3D1C" w:rsidRDefault="00232CF1" w:rsidP="001E3151">
            <w:pPr>
              <w:spacing w:after="0" w:line="240" w:lineRule="auto"/>
              <w:rPr>
                <w:rFonts w:cs="Arial"/>
                <w:sz w:val="18"/>
                <w:szCs w:val="18"/>
              </w:rPr>
            </w:pPr>
            <w:r w:rsidRPr="00CE3D1C">
              <w:rPr>
                <w:rFonts w:cs="Arial"/>
                <w:sz w:val="18"/>
                <w:szCs w:val="18"/>
              </w:rPr>
              <w:t>OA: 42%</w:t>
            </w:r>
          </w:p>
          <w:p w:rsidR="00232CF1" w:rsidRPr="00CE3D1C" w:rsidRDefault="00232CF1" w:rsidP="001E3151">
            <w:pPr>
              <w:spacing w:after="0" w:line="240" w:lineRule="auto"/>
              <w:rPr>
                <w:rFonts w:cs="Arial"/>
                <w:sz w:val="18"/>
                <w:szCs w:val="18"/>
              </w:rPr>
            </w:pPr>
            <w:r w:rsidRPr="00CE3D1C">
              <w:rPr>
                <w:rFonts w:cs="Arial"/>
                <w:sz w:val="18"/>
                <w:szCs w:val="18"/>
              </w:rPr>
              <w:t>RA: 24%</w:t>
            </w:r>
          </w:p>
        </w:tc>
        <w:tc>
          <w:tcPr>
            <w:tcW w:w="1135" w:type="dxa"/>
          </w:tcPr>
          <w:p w:rsidR="00232CF1" w:rsidRDefault="00232CF1" w:rsidP="001E3151">
            <w:pPr>
              <w:spacing w:after="0" w:line="240" w:lineRule="auto"/>
              <w:rPr>
                <w:rFonts w:cs="Arial"/>
                <w:sz w:val="18"/>
                <w:szCs w:val="18"/>
              </w:rPr>
            </w:pPr>
            <w:r>
              <w:rPr>
                <w:rFonts w:cs="Arial"/>
                <w:sz w:val="18"/>
                <w:szCs w:val="18"/>
              </w:rPr>
              <w:t>OA: 62.11</w:t>
            </w:r>
          </w:p>
          <w:p w:rsidR="001F6D9D" w:rsidRPr="00CE3D1C" w:rsidRDefault="00232CF1" w:rsidP="001E3151">
            <w:pPr>
              <w:spacing w:after="0" w:line="240" w:lineRule="auto"/>
              <w:rPr>
                <w:rFonts w:cs="Arial"/>
                <w:sz w:val="18"/>
                <w:szCs w:val="18"/>
              </w:rPr>
            </w:pPr>
            <w:r>
              <w:rPr>
                <w:rFonts w:cs="Arial"/>
                <w:sz w:val="18"/>
                <w:szCs w:val="18"/>
              </w:rPr>
              <w:t>RA: 63.46</w:t>
            </w:r>
          </w:p>
        </w:tc>
        <w:tc>
          <w:tcPr>
            <w:tcW w:w="1135" w:type="dxa"/>
          </w:tcPr>
          <w:p w:rsidR="00232CF1" w:rsidRDefault="00232CF1" w:rsidP="001E3151">
            <w:pPr>
              <w:spacing w:after="0" w:line="240" w:lineRule="auto"/>
              <w:rPr>
                <w:rFonts w:cs="Arial"/>
                <w:sz w:val="18"/>
                <w:szCs w:val="18"/>
              </w:rPr>
            </w:pPr>
            <w:r>
              <w:rPr>
                <w:rFonts w:cs="Arial"/>
                <w:sz w:val="18"/>
                <w:szCs w:val="18"/>
              </w:rPr>
              <w:t>OA: 14.62</w:t>
            </w:r>
          </w:p>
          <w:p w:rsidR="00232CF1" w:rsidRPr="00CE3D1C" w:rsidRDefault="00232CF1" w:rsidP="001E3151">
            <w:pPr>
              <w:spacing w:after="0" w:line="240" w:lineRule="auto"/>
              <w:rPr>
                <w:rFonts w:cs="Arial"/>
                <w:sz w:val="18"/>
                <w:szCs w:val="18"/>
              </w:rPr>
            </w:pPr>
            <w:r>
              <w:rPr>
                <w:rFonts w:cs="Arial"/>
                <w:sz w:val="18"/>
                <w:szCs w:val="18"/>
              </w:rPr>
              <w:t>RA: 14.07</w:t>
            </w:r>
          </w:p>
        </w:tc>
        <w:tc>
          <w:tcPr>
            <w:tcW w:w="1135" w:type="dxa"/>
          </w:tcPr>
          <w:p w:rsidR="00232CF1" w:rsidRPr="00CE3D1C" w:rsidRDefault="00232CF1" w:rsidP="001E3151">
            <w:pPr>
              <w:spacing w:after="0" w:line="240" w:lineRule="auto"/>
              <w:rPr>
                <w:rFonts w:cs="Arial"/>
                <w:sz w:val="18"/>
                <w:szCs w:val="18"/>
              </w:rPr>
            </w:pPr>
            <w:r>
              <w:rPr>
                <w:rFonts w:cs="Arial"/>
                <w:sz w:val="18"/>
                <w:szCs w:val="18"/>
              </w:rPr>
              <w:t>USA</w:t>
            </w:r>
          </w:p>
        </w:tc>
        <w:tc>
          <w:tcPr>
            <w:tcW w:w="1135" w:type="dxa"/>
          </w:tcPr>
          <w:p w:rsidR="00232CF1" w:rsidRPr="00CE3D1C" w:rsidRDefault="00232CF1" w:rsidP="001E3151">
            <w:pPr>
              <w:spacing w:after="0" w:line="240" w:lineRule="auto"/>
              <w:jc w:val="center"/>
              <w:rPr>
                <w:rFonts w:cs="Arial"/>
                <w:sz w:val="18"/>
                <w:szCs w:val="18"/>
              </w:rPr>
            </w:pPr>
            <w:r w:rsidRPr="00CE3D1C">
              <w:rPr>
                <w:rFonts w:cs="Arial"/>
                <w:sz w:val="18"/>
                <w:szCs w:val="18"/>
              </w:rPr>
              <w:t>X</w:t>
            </w:r>
          </w:p>
        </w:tc>
        <w:tc>
          <w:tcPr>
            <w:tcW w:w="1418" w:type="dxa"/>
          </w:tcPr>
          <w:p w:rsidR="00232CF1" w:rsidRPr="00CE3D1C" w:rsidRDefault="00232CF1" w:rsidP="001E3151">
            <w:pPr>
              <w:spacing w:after="0" w:line="240" w:lineRule="auto"/>
              <w:jc w:val="center"/>
              <w:rPr>
                <w:rFonts w:cs="Arial"/>
                <w:sz w:val="18"/>
                <w:szCs w:val="18"/>
              </w:rPr>
            </w:pPr>
          </w:p>
        </w:tc>
        <w:tc>
          <w:tcPr>
            <w:tcW w:w="994" w:type="dxa"/>
          </w:tcPr>
          <w:p w:rsidR="00232CF1" w:rsidRPr="00CE3D1C" w:rsidRDefault="00232CF1" w:rsidP="001E3151">
            <w:pPr>
              <w:spacing w:after="0" w:line="240" w:lineRule="auto"/>
              <w:jc w:val="center"/>
              <w:rPr>
                <w:rFonts w:cs="Arial"/>
                <w:sz w:val="18"/>
                <w:szCs w:val="18"/>
              </w:rPr>
            </w:pPr>
          </w:p>
        </w:tc>
        <w:tc>
          <w:tcPr>
            <w:tcW w:w="1229" w:type="dxa"/>
          </w:tcPr>
          <w:p w:rsidR="00232CF1" w:rsidRPr="00CE3D1C" w:rsidRDefault="00232CF1" w:rsidP="001E3151">
            <w:pPr>
              <w:spacing w:after="0" w:line="240" w:lineRule="auto"/>
              <w:jc w:val="center"/>
              <w:rPr>
                <w:rFonts w:cs="Arial"/>
                <w:sz w:val="18"/>
                <w:szCs w:val="18"/>
              </w:rPr>
            </w:pPr>
          </w:p>
        </w:tc>
        <w:tc>
          <w:tcPr>
            <w:tcW w:w="993" w:type="dxa"/>
          </w:tcPr>
          <w:p w:rsidR="00232CF1" w:rsidRPr="00CE3D1C" w:rsidRDefault="00232CF1" w:rsidP="001E3151">
            <w:pPr>
              <w:spacing w:after="0" w:line="240" w:lineRule="auto"/>
              <w:jc w:val="center"/>
              <w:rPr>
                <w:rFonts w:cs="Arial"/>
                <w:sz w:val="18"/>
                <w:szCs w:val="18"/>
              </w:rPr>
            </w:pPr>
            <w:r w:rsidRPr="00CE3D1C">
              <w:rPr>
                <w:rFonts w:cs="Arial"/>
                <w:sz w:val="18"/>
                <w:szCs w:val="18"/>
              </w:rPr>
              <w:t>X</w:t>
            </w:r>
          </w:p>
        </w:tc>
        <w:tc>
          <w:tcPr>
            <w:tcW w:w="1455" w:type="dxa"/>
          </w:tcPr>
          <w:p w:rsidR="00232CF1" w:rsidRPr="00CE3D1C" w:rsidRDefault="00232CF1" w:rsidP="001E3151">
            <w:pPr>
              <w:spacing w:after="0" w:line="240" w:lineRule="auto"/>
              <w:jc w:val="center"/>
              <w:rPr>
                <w:rFonts w:cs="Arial"/>
                <w:sz w:val="18"/>
                <w:szCs w:val="18"/>
              </w:rPr>
            </w:pPr>
          </w:p>
        </w:tc>
      </w:tr>
      <w:tr w:rsidR="005741E2" w:rsidRPr="00CE3D1C" w:rsidTr="00A32FDF">
        <w:trPr>
          <w:trHeight w:val="629"/>
        </w:trPr>
        <w:tc>
          <w:tcPr>
            <w:tcW w:w="1528" w:type="dxa"/>
          </w:tcPr>
          <w:p w:rsidR="00232CF1" w:rsidRPr="00A32FDF" w:rsidRDefault="005D2762" w:rsidP="001E3151">
            <w:pPr>
              <w:spacing w:line="240" w:lineRule="auto"/>
              <w:rPr>
                <w:rFonts w:cs="Arial"/>
                <w:sz w:val="18"/>
                <w:szCs w:val="18"/>
              </w:rPr>
            </w:pPr>
            <w:r>
              <w:rPr>
                <w:rFonts w:cs="Arial"/>
                <w:sz w:val="18"/>
                <w:szCs w:val="18"/>
              </w:rPr>
              <w:t>(Beaton et al., 2012)</w:t>
            </w:r>
          </w:p>
        </w:tc>
        <w:tc>
          <w:tcPr>
            <w:tcW w:w="1277" w:type="dxa"/>
          </w:tcPr>
          <w:p w:rsidR="00232CF1" w:rsidRPr="00CE3D1C" w:rsidRDefault="00232CF1" w:rsidP="001E3151">
            <w:pPr>
              <w:spacing w:line="240" w:lineRule="auto"/>
              <w:rPr>
                <w:rFonts w:cs="Arial"/>
                <w:sz w:val="18"/>
                <w:szCs w:val="18"/>
              </w:rPr>
            </w:pPr>
            <w:r w:rsidRPr="00CE3D1C">
              <w:rPr>
                <w:rFonts w:cs="Arial"/>
                <w:sz w:val="18"/>
                <w:szCs w:val="18"/>
              </w:rPr>
              <w:t>Qualitative interviews</w:t>
            </w:r>
          </w:p>
        </w:tc>
        <w:tc>
          <w:tcPr>
            <w:tcW w:w="1418" w:type="dxa"/>
          </w:tcPr>
          <w:p w:rsidR="00232CF1" w:rsidRPr="00CE3D1C" w:rsidRDefault="00232CF1" w:rsidP="001E3151">
            <w:pPr>
              <w:spacing w:line="240" w:lineRule="auto"/>
              <w:rPr>
                <w:rFonts w:cs="Arial"/>
                <w:sz w:val="18"/>
                <w:szCs w:val="18"/>
              </w:rPr>
            </w:pPr>
            <w:r w:rsidRPr="00CE3D1C">
              <w:rPr>
                <w:rFonts w:cs="Arial"/>
                <w:sz w:val="18"/>
                <w:szCs w:val="18"/>
              </w:rPr>
              <w:t>12 / 12</w:t>
            </w:r>
          </w:p>
        </w:tc>
        <w:tc>
          <w:tcPr>
            <w:tcW w:w="1277" w:type="dxa"/>
          </w:tcPr>
          <w:p w:rsidR="00232CF1" w:rsidRPr="00CE3D1C" w:rsidRDefault="00232CF1" w:rsidP="001E3151">
            <w:pPr>
              <w:spacing w:line="240" w:lineRule="auto"/>
              <w:rPr>
                <w:rFonts w:cs="Arial"/>
                <w:sz w:val="18"/>
                <w:szCs w:val="18"/>
              </w:rPr>
            </w:pPr>
            <w:r w:rsidRPr="00CE3D1C">
              <w:rPr>
                <w:rFonts w:cs="Arial"/>
                <w:sz w:val="18"/>
                <w:szCs w:val="18"/>
              </w:rPr>
              <w:t>100%</w:t>
            </w:r>
          </w:p>
        </w:tc>
        <w:tc>
          <w:tcPr>
            <w:tcW w:w="1135" w:type="dxa"/>
          </w:tcPr>
          <w:p w:rsidR="00232CF1" w:rsidRPr="00CE3D1C" w:rsidRDefault="001F6D9D" w:rsidP="001E3151">
            <w:pPr>
              <w:spacing w:line="240" w:lineRule="auto"/>
              <w:rPr>
                <w:rFonts w:cs="Arial"/>
                <w:sz w:val="18"/>
                <w:szCs w:val="18"/>
              </w:rPr>
            </w:pPr>
            <w:r>
              <w:rPr>
                <w:rFonts w:cs="Arial"/>
                <w:sz w:val="18"/>
                <w:szCs w:val="18"/>
              </w:rPr>
              <w:t>58</w:t>
            </w:r>
          </w:p>
        </w:tc>
        <w:tc>
          <w:tcPr>
            <w:tcW w:w="1135" w:type="dxa"/>
          </w:tcPr>
          <w:p w:rsidR="00232CF1" w:rsidRPr="00CE3D1C" w:rsidRDefault="001F6D9D" w:rsidP="001E3151">
            <w:pPr>
              <w:spacing w:line="240" w:lineRule="auto"/>
              <w:rPr>
                <w:rFonts w:cs="Arial"/>
                <w:sz w:val="18"/>
                <w:szCs w:val="18"/>
              </w:rPr>
            </w:pPr>
            <w:r>
              <w:rPr>
                <w:rFonts w:cs="Arial"/>
                <w:sz w:val="18"/>
                <w:szCs w:val="18"/>
              </w:rPr>
              <w:t>13</w:t>
            </w:r>
          </w:p>
        </w:tc>
        <w:tc>
          <w:tcPr>
            <w:tcW w:w="1135" w:type="dxa"/>
          </w:tcPr>
          <w:p w:rsidR="00232CF1" w:rsidRPr="00CE3D1C" w:rsidRDefault="001F6D9D" w:rsidP="001E3151">
            <w:pPr>
              <w:spacing w:line="240" w:lineRule="auto"/>
              <w:rPr>
                <w:rFonts w:cs="Arial"/>
                <w:sz w:val="18"/>
                <w:szCs w:val="18"/>
              </w:rPr>
            </w:pPr>
            <w:r>
              <w:rPr>
                <w:rFonts w:cs="Arial"/>
                <w:sz w:val="18"/>
                <w:szCs w:val="18"/>
              </w:rPr>
              <w:t>USA</w:t>
            </w:r>
          </w:p>
        </w:tc>
        <w:tc>
          <w:tcPr>
            <w:tcW w:w="1135" w:type="dxa"/>
          </w:tcPr>
          <w:p w:rsidR="00232CF1" w:rsidRPr="00CE3D1C" w:rsidRDefault="00232CF1" w:rsidP="001E3151">
            <w:pPr>
              <w:spacing w:line="240" w:lineRule="auto"/>
              <w:jc w:val="center"/>
              <w:rPr>
                <w:rFonts w:cs="Arial"/>
                <w:sz w:val="18"/>
                <w:szCs w:val="18"/>
              </w:rPr>
            </w:pPr>
          </w:p>
        </w:tc>
        <w:tc>
          <w:tcPr>
            <w:tcW w:w="1418" w:type="dxa"/>
          </w:tcPr>
          <w:p w:rsidR="00232CF1" w:rsidRPr="00CE3D1C" w:rsidRDefault="00232CF1" w:rsidP="001E3151">
            <w:pPr>
              <w:spacing w:line="240" w:lineRule="auto"/>
              <w:jc w:val="center"/>
              <w:rPr>
                <w:rFonts w:cs="Arial"/>
                <w:sz w:val="18"/>
                <w:szCs w:val="18"/>
              </w:rPr>
            </w:pPr>
          </w:p>
        </w:tc>
        <w:tc>
          <w:tcPr>
            <w:tcW w:w="994" w:type="dxa"/>
          </w:tcPr>
          <w:p w:rsidR="00232CF1" w:rsidRPr="00CE3D1C" w:rsidRDefault="00232CF1" w:rsidP="001E3151">
            <w:pPr>
              <w:spacing w:line="240" w:lineRule="auto"/>
              <w:jc w:val="center"/>
              <w:rPr>
                <w:rFonts w:cs="Arial"/>
                <w:sz w:val="18"/>
                <w:szCs w:val="18"/>
              </w:rPr>
            </w:pPr>
          </w:p>
        </w:tc>
        <w:tc>
          <w:tcPr>
            <w:tcW w:w="1229" w:type="dxa"/>
          </w:tcPr>
          <w:p w:rsidR="00232CF1" w:rsidRPr="00CE3D1C" w:rsidRDefault="00232CF1" w:rsidP="001E3151">
            <w:pPr>
              <w:spacing w:line="240" w:lineRule="auto"/>
              <w:jc w:val="center"/>
              <w:rPr>
                <w:rFonts w:cs="Arial"/>
                <w:sz w:val="18"/>
                <w:szCs w:val="18"/>
              </w:rPr>
            </w:pPr>
          </w:p>
        </w:tc>
        <w:tc>
          <w:tcPr>
            <w:tcW w:w="993" w:type="dxa"/>
          </w:tcPr>
          <w:p w:rsidR="00232CF1" w:rsidRPr="00CE3D1C" w:rsidRDefault="00232CF1" w:rsidP="001E3151">
            <w:pPr>
              <w:spacing w:line="240" w:lineRule="auto"/>
              <w:jc w:val="center"/>
              <w:rPr>
                <w:rFonts w:cs="Arial"/>
                <w:sz w:val="18"/>
                <w:szCs w:val="18"/>
              </w:rPr>
            </w:pPr>
          </w:p>
        </w:tc>
        <w:tc>
          <w:tcPr>
            <w:tcW w:w="1455" w:type="dxa"/>
          </w:tcPr>
          <w:p w:rsidR="00232CF1" w:rsidRPr="00CE3D1C" w:rsidRDefault="00232CF1" w:rsidP="001E3151">
            <w:pPr>
              <w:spacing w:line="240" w:lineRule="auto"/>
              <w:jc w:val="center"/>
              <w:rPr>
                <w:rFonts w:cs="Arial"/>
                <w:sz w:val="18"/>
                <w:szCs w:val="18"/>
              </w:rPr>
            </w:pPr>
            <w:r w:rsidRPr="00CE3D1C">
              <w:rPr>
                <w:rFonts w:cs="Arial"/>
                <w:sz w:val="18"/>
                <w:szCs w:val="18"/>
              </w:rPr>
              <w:t>X</w:t>
            </w:r>
          </w:p>
        </w:tc>
      </w:tr>
      <w:tr w:rsidR="005741E2" w:rsidRPr="00CE3D1C" w:rsidTr="00A32FDF">
        <w:trPr>
          <w:trHeight w:val="874"/>
        </w:trPr>
        <w:tc>
          <w:tcPr>
            <w:tcW w:w="1528" w:type="dxa"/>
          </w:tcPr>
          <w:p w:rsidR="00232CF1" w:rsidRPr="00A32FDF" w:rsidRDefault="005D2762" w:rsidP="001E3151">
            <w:pPr>
              <w:spacing w:line="240" w:lineRule="auto"/>
              <w:rPr>
                <w:rFonts w:cs="Arial"/>
                <w:sz w:val="18"/>
                <w:szCs w:val="18"/>
              </w:rPr>
            </w:pPr>
            <w:r>
              <w:rPr>
                <w:rFonts w:cs="Arial"/>
                <w:sz w:val="18"/>
                <w:szCs w:val="18"/>
              </w:rPr>
              <w:t>(Downe-Wamboldt and Melanson, 1998)</w:t>
            </w:r>
          </w:p>
        </w:tc>
        <w:tc>
          <w:tcPr>
            <w:tcW w:w="1277" w:type="dxa"/>
          </w:tcPr>
          <w:p w:rsidR="00232CF1" w:rsidRPr="00CE3D1C" w:rsidRDefault="00232CF1" w:rsidP="001E3151">
            <w:pPr>
              <w:spacing w:line="240" w:lineRule="auto"/>
              <w:rPr>
                <w:rFonts w:cs="Arial"/>
                <w:sz w:val="18"/>
                <w:szCs w:val="18"/>
              </w:rPr>
            </w:pPr>
            <w:r w:rsidRPr="00CE3D1C">
              <w:rPr>
                <w:rFonts w:cs="Arial"/>
                <w:sz w:val="18"/>
                <w:szCs w:val="18"/>
              </w:rPr>
              <w:t>Longitudinal</w:t>
            </w:r>
          </w:p>
        </w:tc>
        <w:tc>
          <w:tcPr>
            <w:tcW w:w="1418" w:type="dxa"/>
          </w:tcPr>
          <w:p w:rsidR="00232CF1" w:rsidRPr="00CE3D1C" w:rsidRDefault="00232CF1" w:rsidP="001E3151">
            <w:pPr>
              <w:spacing w:line="240" w:lineRule="auto"/>
              <w:rPr>
                <w:rFonts w:cs="Arial"/>
                <w:sz w:val="18"/>
                <w:szCs w:val="18"/>
              </w:rPr>
            </w:pPr>
            <w:r w:rsidRPr="00CE3D1C">
              <w:rPr>
                <w:rFonts w:cs="Arial"/>
                <w:sz w:val="18"/>
                <w:szCs w:val="18"/>
              </w:rPr>
              <w:t>15 / 78</w:t>
            </w:r>
          </w:p>
        </w:tc>
        <w:tc>
          <w:tcPr>
            <w:tcW w:w="1277" w:type="dxa"/>
          </w:tcPr>
          <w:p w:rsidR="00232CF1" w:rsidRPr="00CE3D1C" w:rsidRDefault="00232CF1" w:rsidP="001E3151">
            <w:pPr>
              <w:spacing w:line="240" w:lineRule="auto"/>
              <w:rPr>
                <w:rFonts w:cs="Arial"/>
                <w:sz w:val="18"/>
                <w:szCs w:val="18"/>
              </w:rPr>
            </w:pPr>
            <w:r w:rsidRPr="00CE3D1C">
              <w:rPr>
                <w:rFonts w:cs="Arial"/>
                <w:sz w:val="18"/>
                <w:szCs w:val="18"/>
              </w:rPr>
              <w:t>19%</w:t>
            </w:r>
          </w:p>
        </w:tc>
        <w:tc>
          <w:tcPr>
            <w:tcW w:w="1135" w:type="dxa"/>
          </w:tcPr>
          <w:p w:rsidR="00E5158D" w:rsidRPr="00CE3D1C" w:rsidRDefault="00E5158D" w:rsidP="001E3151">
            <w:pPr>
              <w:spacing w:line="240" w:lineRule="auto"/>
              <w:rPr>
                <w:rFonts w:cs="Arial"/>
                <w:sz w:val="18"/>
                <w:szCs w:val="18"/>
              </w:rPr>
            </w:pPr>
            <w:r>
              <w:rPr>
                <w:rFonts w:cs="Arial"/>
                <w:sz w:val="18"/>
                <w:szCs w:val="18"/>
              </w:rPr>
              <w:t>75</w:t>
            </w:r>
          </w:p>
        </w:tc>
        <w:tc>
          <w:tcPr>
            <w:tcW w:w="1135" w:type="dxa"/>
          </w:tcPr>
          <w:p w:rsidR="00232CF1" w:rsidRPr="00CE3D1C" w:rsidRDefault="00E5158D" w:rsidP="001E3151">
            <w:pPr>
              <w:spacing w:line="240" w:lineRule="auto"/>
              <w:rPr>
                <w:rFonts w:cs="Arial"/>
                <w:sz w:val="18"/>
                <w:szCs w:val="18"/>
              </w:rPr>
            </w:pPr>
            <w:r>
              <w:rPr>
                <w:rFonts w:cs="Arial"/>
                <w:sz w:val="18"/>
                <w:szCs w:val="18"/>
              </w:rPr>
              <w:t>Not reported</w:t>
            </w:r>
          </w:p>
        </w:tc>
        <w:tc>
          <w:tcPr>
            <w:tcW w:w="1135" w:type="dxa"/>
          </w:tcPr>
          <w:p w:rsidR="00232CF1" w:rsidRPr="00CE3D1C" w:rsidRDefault="00E5158D" w:rsidP="001E3151">
            <w:pPr>
              <w:spacing w:line="240" w:lineRule="auto"/>
              <w:rPr>
                <w:rFonts w:cs="Arial"/>
                <w:sz w:val="18"/>
                <w:szCs w:val="18"/>
              </w:rPr>
            </w:pPr>
            <w:r>
              <w:rPr>
                <w:rFonts w:cs="Arial"/>
                <w:sz w:val="18"/>
                <w:szCs w:val="18"/>
              </w:rPr>
              <w:t>Canada</w:t>
            </w:r>
          </w:p>
        </w:tc>
        <w:tc>
          <w:tcPr>
            <w:tcW w:w="1135" w:type="dxa"/>
          </w:tcPr>
          <w:p w:rsidR="00232CF1" w:rsidRPr="00CE3D1C" w:rsidRDefault="00232CF1" w:rsidP="001E3151">
            <w:pPr>
              <w:spacing w:line="240" w:lineRule="auto"/>
              <w:jc w:val="center"/>
              <w:rPr>
                <w:rFonts w:cs="Arial"/>
                <w:sz w:val="18"/>
                <w:szCs w:val="18"/>
              </w:rPr>
            </w:pPr>
          </w:p>
        </w:tc>
        <w:tc>
          <w:tcPr>
            <w:tcW w:w="1418" w:type="dxa"/>
          </w:tcPr>
          <w:p w:rsidR="00232CF1" w:rsidRPr="00CE3D1C" w:rsidRDefault="00232CF1" w:rsidP="001E3151">
            <w:pPr>
              <w:spacing w:line="240" w:lineRule="auto"/>
              <w:jc w:val="center"/>
              <w:rPr>
                <w:rFonts w:cs="Arial"/>
                <w:sz w:val="18"/>
                <w:szCs w:val="18"/>
              </w:rPr>
            </w:pPr>
          </w:p>
        </w:tc>
        <w:tc>
          <w:tcPr>
            <w:tcW w:w="994" w:type="dxa"/>
          </w:tcPr>
          <w:p w:rsidR="00232CF1" w:rsidRPr="00CE3D1C" w:rsidRDefault="00232CF1" w:rsidP="001E3151">
            <w:pPr>
              <w:spacing w:line="240" w:lineRule="auto"/>
              <w:jc w:val="center"/>
              <w:rPr>
                <w:rFonts w:cs="Arial"/>
                <w:sz w:val="18"/>
                <w:szCs w:val="18"/>
              </w:rPr>
            </w:pPr>
          </w:p>
        </w:tc>
        <w:tc>
          <w:tcPr>
            <w:tcW w:w="1229" w:type="dxa"/>
          </w:tcPr>
          <w:p w:rsidR="00232CF1" w:rsidRPr="00CE3D1C" w:rsidRDefault="00232CF1" w:rsidP="001E3151">
            <w:pPr>
              <w:spacing w:line="240" w:lineRule="auto"/>
              <w:jc w:val="center"/>
              <w:rPr>
                <w:rFonts w:cs="Arial"/>
                <w:sz w:val="18"/>
                <w:szCs w:val="18"/>
              </w:rPr>
            </w:pPr>
          </w:p>
        </w:tc>
        <w:tc>
          <w:tcPr>
            <w:tcW w:w="993" w:type="dxa"/>
          </w:tcPr>
          <w:p w:rsidR="00232CF1" w:rsidRPr="00CE3D1C" w:rsidRDefault="00232CF1" w:rsidP="001E3151">
            <w:pPr>
              <w:spacing w:line="240" w:lineRule="auto"/>
              <w:jc w:val="center"/>
              <w:rPr>
                <w:rFonts w:cs="Arial"/>
                <w:sz w:val="18"/>
                <w:szCs w:val="18"/>
              </w:rPr>
            </w:pPr>
            <w:r w:rsidRPr="00CE3D1C">
              <w:rPr>
                <w:rFonts w:cs="Arial"/>
                <w:sz w:val="18"/>
                <w:szCs w:val="18"/>
              </w:rPr>
              <w:t>X</w:t>
            </w:r>
          </w:p>
        </w:tc>
        <w:tc>
          <w:tcPr>
            <w:tcW w:w="1455" w:type="dxa"/>
          </w:tcPr>
          <w:p w:rsidR="00232CF1" w:rsidRPr="00CE3D1C" w:rsidRDefault="00232CF1" w:rsidP="001E3151">
            <w:pPr>
              <w:spacing w:line="240" w:lineRule="auto"/>
              <w:jc w:val="center"/>
              <w:rPr>
                <w:rFonts w:cs="Arial"/>
                <w:sz w:val="18"/>
                <w:szCs w:val="18"/>
              </w:rPr>
            </w:pPr>
          </w:p>
        </w:tc>
      </w:tr>
      <w:tr w:rsidR="005741E2" w:rsidRPr="00CE3D1C" w:rsidTr="00A32FDF">
        <w:trPr>
          <w:trHeight w:val="599"/>
        </w:trPr>
        <w:tc>
          <w:tcPr>
            <w:tcW w:w="1528" w:type="dxa"/>
          </w:tcPr>
          <w:p w:rsidR="00232CF1" w:rsidRPr="00A32FDF" w:rsidRDefault="005D2762" w:rsidP="001E3151">
            <w:pPr>
              <w:spacing w:line="240" w:lineRule="auto"/>
              <w:rPr>
                <w:rFonts w:cs="Arial"/>
                <w:sz w:val="18"/>
                <w:szCs w:val="18"/>
              </w:rPr>
            </w:pPr>
            <w:r>
              <w:rPr>
                <w:rFonts w:cs="Arial"/>
                <w:sz w:val="18"/>
                <w:szCs w:val="18"/>
              </w:rPr>
              <w:t>(Englbrecht et al., 2012)</w:t>
            </w:r>
          </w:p>
        </w:tc>
        <w:tc>
          <w:tcPr>
            <w:tcW w:w="1277" w:type="dxa"/>
          </w:tcPr>
          <w:p w:rsidR="00232CF1" w:rsidRPr="00CE3D1C" w:rsidRDefault="00232CF1" w:rsidP="001E3151">
            <w:pPr>
              <w:spacing w:line="240" w:lineRule="auto"/>
              <w:rPr>
                <w:rFonts w:cs="Arial"/>
                <w:sz w:val="18"/>
                <w:szCs w:val="18"/>
              </w:rPr>
            </w:pPr>
            <w:r w:rsidRPr="00CE3D1C">
              <w:rPr>
                <w:rFonts w:cs="Arial"/>
                <w:sz w:val="18"/>
                <w:szCs w:val="18"/>
              </w:rPr>
              <w:t>Cross-sectional</w:t>
            </w:r>
          </w:p>
        </w:tc>
        <w:tc>
          <w:tcPr>
            <w:tcW w:w="1418" w:type="dxa"/>
          </w:tcPr>
          <w:p w:rsidR="00232CF1" w:rsidRPr="00CE3D1C" w:rsidRDefault="00232CF1" w:rsidP="001E3151">
            <w:pPr>
              <w:spacing w:line="240" w:lineRule="auto"/>
              <w:rPr>
                <w:rFonts w:cs="Arial"/>
                <w:sz w:val="18"/>
                <w:szCs w:val="18"/>
              </w:rPr>
            </w:pPr>
            <w:r w:rsidRPr="00CE3D1C">
              <w:rPr>
                <w:rFonts w:cs="Arial"/>
                <w:sz w:val="18"/>
                <w:szCs w:val="18"/>
              </w:rPr>
              <w:t>100 / 434</w:t>
            </w:r>
          </w:p>
        </w:tc>
        <w:tc>
          <w:tcPr>
            <w:tcW w:w="1277" w:type="dxa"/>
          </w:tcPr>
          <w:p w:rsidR="00232CF1" w:rsidRPr="00CE3D1C" w:rsidRDefault="00232CF1" w:rsidP="001E3151">
            <w:pPr>
              <w:spacing w:line="240" w:lineRule="auto"/>
              <w:rPr>
                <w:rFonts w:cs="Arial"/>
                <w:sz w:val="18"/>
                <w:szCs w:val="18"/>
              </w:rPr>
            </w:pPr>
            <w:r w:rsidRPr="00CE3D1C">
              <w:rPr>
                <w:rFonts w:cs="Arial"/>
                <w:sz w:val="18"/>
                <w:szCs w:val="18"/>
              </w:rPr>
              <w:t>23%</w:t>
            </w:r>
          </w:p>
        </w:tc>
        <w:tc>
          <w:tcPr>
            <w:tcW w:w="1135" w:type="dxa"/>
          </w:tcPr>
          <w:p w:rsidR="00232CF1" w:rsidRPr="00CE3D1C" w:rsidRDefault="00E5158D" w:rsidP="001E3151">
            <w:pPr>
              <w:spacing w:line="240" w:lineRule="auto"/>
              <w:rPr>
                <w:rFonts w:cs="Arial"/>
                <w:sz w:val="18"/>
                <w:szCs w:val="18"/>
              </w:rPr>
            </w:pPr>
            <w:r>
              <w:rPr>
                <w:rFonts w:cs="Arial"/>
                <w:sz w:val="18"/>
                <w:szCs w:val="18"/>
              </w:rPr>
              <w:t>55.96</w:t>
            </w:r>
          </w:p>
        </w:tc>
        <w:tc>
          <w:tcPr>
            <w:tcW w:w="1135" w:type="dxa"/>
          </w:tcPr>
          <w:p w:rsidR="00232CF1" w:rsidRPr="00CE3D1C" w:rsidRDefault="00E5158D" w:rsidP="001E3151">
            <w:pPr>
              <w:spacing w:line="240" w:lineRule="auto"/>
              <w:rPr>
                <w:rFonts w:cs="Arial"/>
                <w:sz w:val="18"/>
                <w:szCs w:val="18"/>
              </w:rPr>
            </w:pPr>
            <w:r>
              <w:rPr>
                <w:rFonts w:cs="Arial"/>
                <w:sz w:val="18"/>
                <w:szCs w:val="18"/>
              </w:rPr>
              <w:t>12.75</w:t>
            </w:r>
          </w:p>
        </w:tc>
        <w:tc>
          <w:tcPr>
            <w:tcW w:w="1135" w:type="dxa"/>
          </w:tcPr>
          <w:p w:rsidR="00232CF1" w:rsidRPr="00CE3D1C" w:rsidRDefault="001E3151" w:rsidP="001E3151">
            <w:pPr>
              <w:spacing w:line="240" w:lineRule="auto"/>
              <w:rPr>
                <w:rFonts w:cs="Arial"/>
                <w:sz w:val="18"/>
                <w:szCs w:val="18"/>
              </w:rPr>
            </w:pPr>
            <w:r>
              <w:rPr>
                <w:rFonts w:cs="Arial"/>
                <w:sz w:val="18"/>
                <w:szCs w:val="18"/>
              </w:rPr>
              <w:t>12 European countries</w:t>
            </w:r>
          </w:p>
        </w:tc>
        <w:tc>
          <w:tcPr>
            <w:tcW w:w="1135" w:type="dxa"/>
          </w:tcPr>
          <w:p w:rsidR="00232CF1" w:rsidRPr="00CE3D1C" w:rsidRDefault="00232CF1" w:rsidP="001E3151">
            <w:pPr>
              <w:spacing w:line="240" w:lineRule="auto"/>
              <w:jc w:val="center"/>
              <w:rPr>
                <w:rFonts w:cs="Arial"/>
                <w:sz w:val="18"/>
                <w:szCs w:val="18"/>
              </w:rPr>
            </w:pPr>
            <w:r w:rsidRPr="00CE3D1C">
              <w:rPr>
                <w:rFonts w:cs="Arial"/>
                <w:sz w:val="18"/>
                <w:szCs w:val="18"/>
              </w:rPr>
              <w:t>X</w:t>
            </w:r>
          </w:p>
        </w:tc>
        <w:tc>
          <w:tcPr>
            <w:tcW w:w="1418" w:type="dxa"/>
          </w:tcPr>
          <w:p w:rsidR="00232CF1" w:rsidRPr="00CE3D1C" w:rsidRDefault="00232CF1" w:rsidP="001E3151">
            <w:pPr>
              <w:spacing w:line="240" w:lineRule="auto"/>
              <w:jc w:val="center"/>
              <w:rPr>
                <w:rFonts w:cs="Arial"/>
                <w:sz w:val="18"/>
                <w:szCs w:val="18"/>
              </w:rPr>
            </w:pPr>
          </w:p>
        </w:tc>
        <w:tc>
          <w:tcPr>
            <w:tcW w:w="994" w:type="dxa"/>
          </w:tcPr>
          <w:p w:rsidR="00232CF1" w:rsidRPr="00CE3D1C" w:rsidRDefault="00232CF1" w:rsidP="001E3151">
            <w:pPr>
              <w:spacing w:line="240" w:lineRule="auto"/>
              <w:jc w:val="center"/>
              <w:rPr>
                <w:rFonts w:cs="Arial"/>
                <w:sz w:val="18"/>
                <w:szCs w:val="18"/>
              </w:rPr>
            </w:pPr>
          </w:p>
        </w:tc>
        <w:tc>
          <w:tcPr>
            <w:tcW w:w="1229" w:type="dxa"/>
          </w:tcPr>
          <w:p w:rsidR="00232CF1" w:rsidRPr="00CE3D1C" w:rsidRDefault="00232CF1" w:rsidP="001E3151">
            <w:pPr>
              <w:spacing w:line="240" w:lineRule="auto"/>
              <w:jc w:val="center"/>
              <w:rPr>
                <w:rFonts w:cs="Arial"/>
                <w:sz w:val="18"/>
                <w:szCs w:val="18"/>
              </w:rPr>
            </w:pPr>
          </w:p>
        </w:tc>
        <w:tc>
          <w:tcPr>
            <w:tcW w:w="993" w:type="dxa"/>
          </w:tcPr>
          <w:p w:rsidR="00232CF1" w:rsidRPr="00CE3D1C" w:rsidRDefault="00232CF1" w:rsidP="001E3151">
            <w:pPr>
              <w:spacing w:line="240" w:lineRule="auto"/>
              <w:jc w:val="center"/>
              <w:rPr>
                <w:rFonts w:cs="Arial"/>
                <w:sz w:val="18"/>
                <w:szCs w:val="18"/>
              </w:rPr>
            </w:pPr>
          </w:p>
        </w:tc>
        <w:tc>
          <w:tcPr>
            <w:tcW w:w="1455" w:type="dxa"/>
          </w:tcPr>
          <w:p w:rsidR="00232CF1" w:rsidRPr="00CE3D1C" w:rsidRDefault="00232CF1" w:rsidP="001E3151">
            <w:pPr>
              <w:spacing w:line="240" w:lineRule="auto"/>
              <w:jc w:val="center"/>
              <w:rPr>
                <w:rFonts w:cs="Arial"/>
                <w:sz w:val="18"/>
                <w:szCs w:val="18"/>
              </w:rPr>
            </w:pPr>
          </w:p>
        </w:tc>
      </w:tr>
      <w:tr w:rsidR="005741E2" w:rsidRPr="00CE3D1C" w:rsidTr="00A32FDF">
        <w:trPr>
          <w:trHeight w:val="269"/>
        </w:trPr>
        <w:tc>
          <w:tcPr>
            <w:tcW w:w="1528" w:type="dxa"/>
          </w:tcPr>
          <w:p w:rsidR="00232CF1" w:rsidRPr="00A32FDF" w:rsidRDefault="005D2762" w:rsidP="001E3151">
            <w:pPr>
              <w:spacing w:line="240" w:lineRule="auto"/>
              <w:rPr>
                <w:rFonts w:cs="Arial"/>
                <w:sz w:val="18"/>
                <w:szCs w:val="18"/>
              </w:rPr>
            </w:pPr>
            <w:r>
              <w:rPr>
                <w:rFonts w:cs="Arial"/>
                <w:sz w:val="18"/>
                <w:szCs w:val="18"/>
              </w:rPr>
              <w:t>(Lack et al., 2011)</w:t>
            </w:r>
          </w:p>
        </w:tc>
        <w:tc>
          <w:tcPr>
            <w:tcW w:w="1277" w:type="dxa"/>
          </w:tcPr>
          <w:p w:rsidR="00232CF1" w:rsidRPr="00CE3D1C" w:rsidRDefault="00232CF1" w:rsidP="001E3151">
            <w:pPr>
              <w:spacing w:line="240" w:lineRule="auto"/>
              <w:rPr>
                <w:rFonts w:cs="Arial"/>
                <w:sz w:val="18"/>
                <w:szCs w:val="18"/>
              </w:rPr>
            </w:pPr>
            <w:r w:rsidRPr="00CE3D1C">
              <w:rPr>
                <w:rFonts w:cs="Arial"/>
                <w:sz w:val="18"/>
                <w:szCs w:val="18"/>
              </w:rPr>
              <w:t>Qualitative interviews</w:t>
            </w:r>
          </w:p>
        </w:tc>
        <w:tc>
          <w:tcPr>
            <w:tcW w:w="1418" w:type="dxa"/>
          </w:tcPr>
          <w:p w:rsidR="00232CF1" w:rsidRPr="00CE3D1C" w:rsidRDefault="00232CF1" w:rsidP="001E3151">
            <w:pPr>
              <w:spacing w:line="240" w:lineRule="auto"/>
              <w:rPr>
                <w:rFonts w:cs="Arial"/>
                <w:sz w:val="18"/>
                <w:szCs w:val="18"/>
              </w:rPr>
            </w:pPr>
            <w:r w:rsidRPr="00CE3D1C">
              <w:rPr>
                <w:rFonts w:cs="Arial"/>
                <w:sz w:val="18"/>
                <w:szCs w:val="18"/>
              </w:rPr>
              <w:t>12 / 12</w:t>
            </w:r>
          </w:p>
        </w:tc>
        <w:tc>
          <w:tcPr>
            <w:tcW w:w="1277" w:type="dxa"/>
          </w:tcPr>
          <w:p w:rsidR="00232CF1" w:rsidRPr="00CE3D1C" w:rsidRDefault="00232CF1" w:rsidP="001E3151">
            <w:pPr>
              <w:spacing w:line="240" w:lineRule="auto"/>
              <w:rPr>
                <w:rFonts w:cs="Arial"/>
                <w:sz w:val="18"/>
                <w:szCs w:val="18"/>
              </w:rPr>
            </w:pPr>
            <w:r w:rsidRPr="00CE3D1C">
              <w:rPr>
                <w:rFonts w:cs="Arial"/>
                <w:sz w:val="18"/>
                <w:szCs w:val="18"/>
              </w:rPr>
              <w:t>100%</w:t>
            </w:r>
          </w:p>
        </w:tc>
        <w:tc>
          <w:tcPr>
            <w:tcW w:w="1135" w:type="dxa"/>
          </w:tcPr>
          <w:p w:rsidR="00232CF1" w:rsidRPr="00CE3D1C" w:rsidRDefault="00022E65" w:rsidP="001E3151">
            <w:pPr>
              <w:spacing w:line="240" w:lineRule="auto"/>
              <w:rPr>
                <w:rFonts w:cs="Arial"/>
                <w:sz w:val="18"/>
                <w:szCs w:val="18"/>
              </w:rPr>
            </w:pPr>
            <w:r>
              <w:rPr>
                <w:rFonts w:cs="Arial"/>
                <w:sz w:val="18"/>
                <w:szCs w:val="18"/>
              </w:rPr>
              <w:t>57.8</w:t>
            </w:r>
          </w:p>
        </w:tc>
        <w:tc>
          <w:tcPr>
            <w:tcW w:w="1135" w:type="dxa"/>
          </w:tcPr>
          <w:p w:rsidR="00232CF1" w:rsidRPr="00CE3D1C" w:rsidRDefault="00022E65" w:rsidP="001E3151">
            <w:pPr>
              <w:spacing w:line="240" w:lineRule="auto"/>
              <w:rPr>
                <w:rFonts w:cs="Arial"/>
                <w:sz w:val="18"/>
                <w:szCs w:val="18"/>
              </w:rPr>
            </w:pPr>
            <w:r>
              <w:rPr>
                <w:rFonts w:cs="Arial"/>
                <w:sz w:val="18"/>
                <w:szCs w:val="18"/>
              </w:rPr>
              <w:t>16.5</w:t>
            </w:r>
          </w:p>
        </w:tc>
        <w:tc>
          <w:tcPr>
            <w:tcW w:w="1135" w:type="dxa"/>
          </w:tcPr>
          <w:p w:rsidR="00232CF1" w:rsidRPr="00CE3D1C" w:rsidRDefault="00022E65" w:rsidP="001E3151">
            <w:pPr>
              <w:spacing w:line="240" w:lineRule="auto"/>
              <w:rPr>
                <w:rFonts w:cs="Arial"/>
                <w:sz w:val="18"/>
                <w:szCs w:val="18"/>
              </w:rPr>
            </w:pPr>
            <w:r>
              <w:rPr>
                <w:rFonts w:cs="Arial"/>
                <w:sz w:val="18"/>
                <w:szCs w:val="18"/>
              </w:rPr>
              <w:t>UK</w:t>
            </w:r>
          </w:p>
        </w:tc>
        <w:tc>
          <w:tcPr>
            <w:tcW w:w="1135" w:type="dxa"/>
          </w:tcPr>
          <w:p w:rsidR="00232CF1" w:rsidRPr="00CE3D1C" w:rsidRDefault="00232CF1" w:rsidP="001E3151">
            <w:pPr>
              <w:spacing w:line="240" w:lineRule="auto"/>
              <w:jc w:val="center"/>
              <w:rPr>
                <w:rFonts w:cs="Arial"/>
                <w:sz w:val="18"/>
                <w:szCs w:val="18"/>
              </w:rPr>
            </w:pPr>
          </w:p>
        </w:tc>
        <w:tc>
          <w:tcPr>
            <w:tcW w:w="1418" w:type="dxa"/>
          </w:tcPr>
          <w:p w:rsidR="00232CF1" w:rsidRPr="00CE3D1C" w:rsidRDefault="00232CF1" w:rsidP="001E3151">
            <w:pPr>
              <w:spacing w:line="240" w:lineRule="auto"/>
              <w:jc w:val="center"/>
              <w:rPr>
                <w:rFonts w:cs="Arial"/>
                <w:sz w:val="18"/>
                <w:szCs w:val="18"/>
              </w:rPr>
            </w:pPr>
          </w:p>
        </w:tc>
        <w:tc>
          <w:tcPr>
            <w:tcW w:w="994" w:type="dxa"/>
          </w:tcPr>
          <w:p w:rsidR="00232CF1" w:rsidRPr="00CE3D1C" w:rsidRDefault="00232CF1" w:rsidP="001E3151">
            <w:pPr>
              <w:spacing w:line="240" w:lineRule="auto"/>
              <w:jc w:val="center"/>
              <w:rPr>
                <w:rFonts w:cs="Arial"/>
                <w:sz w:val="18"/>
                <w:szCs w:val="18"/>
              </w:rPr>
            </w:pPr>
          </w:p>
        </w:tc>
        <w:tc>
          <w:tcPr>
            <w:tcW w:w="1229" w:type="dxa"/>
          </w:tcPr>
          <w:p w:rsidR="00232CF1" w:rsidRPr="00CE3D1C" w:rsidRDefault="00232CF1" w:rsidP="001E3151">
            <w:pPr>
              <w:spacing w:line="240" w:lineRule="auto"/>
              <w:jc w:val="center"/>
              <w:rPr>
                <w:rFonts w:cs="Arial"/>
                <w:sz w:val="18"/>
                <w:szCs w:val="18"/>
              </w:rPr>
            </w:pPr>
            <w:r w:rsidRPr="00CE3D1C">
              <w:rPr>
                <w:rFonts w:cs="Arial"/>
                <w:sz w:val="18"/>
                <w:szCs w:val="18"/>
              </w:rPr>
              <w:t>X</w:t>
            </w:r>
          </w:p>
        </w:tc>
        <w:tc>
          <w:tcPr>
            <w:tcW w:w="993" w:type="dxa"/>
          </w:tcPr>
          <w:p w:rsidR="00232CF1" w:rsidRPr="00CE3D1C" w:rsidRDefault="00232CF1" w:rsidP="001E3151">
            <w:pPr>
              <w:spacing w:line="240" w:lineRule="auto"/>
              <w:jc w:val="center"/>
              <w:rPr>
                <w:rFonts w:cs="Arial"/>
                <w:sz w:val="18"/>
                <w:szCs w:val="18"/>
              </w:rPr>
            </w:pPr>
          </w:p>
        </w:tc>
        <w:tc>
          <w:tcPr>
            <w:tcW w:w="1455" w:type="dxa"/>
          </w:tcPr>
          <w:p w:rsidR="00232CF1" w:rsidRPr="00CE3D1C" w:rsidRDefault="00232CF1" w:rsidP="001E3151">
            <w:pPr>
              <w:spacing w:line="240" w:lineRule="auto"/>
              <w:jc w:val="center"/>
              <w:rPr>
                <w:rFonts w:cs="Arial"/>
                <w:sz w:val="18"/>
                <w:szCs w:val="18"/>
              </w:rPr>
            </w:pPr>
          </w:p>
        </w:tc>
      </w:tr>
      <w:tr w:rsidR="005741E2" w:rsidRPr="00CE3D1C" w:rsidTr="00A32FDF">
        <w:trPr>
          <w:trHeight w:val="315"/>
        </w:trPr>
        <w:tc>
          <w:tcPr>
            <w:tcW w:w="1528" w:type="dxa"/>
          </w:tcPr>
          <w:p w:rsidR="00232CF1" w:rsidRPr="00A32FDF" w:rsidRDefault="005D2762" w:rsidP="001E3151">
            <w:pPr>
              <w:spacing w:line="240" w:lineRule="auto"/>
              <w:rPr>
                <w:rFonts w:cs="Arial"/>
                <w:sz w:val="18"/>
                <w:szCs w:val="18"/>
              </w:rPr>
            </w:pPr>
            <w:r>
              <w:rPr>
                <w:rFonts w:cs="Arial"/>
                <w:sz w:val="18"/>
                <w:szCs w:val="18"/>
              </w:rPr>
              <w:t>(Lapsley et al., 2002)</w:t>
            </w:r>
          </w:p>
        </w:tc>
        <w:tc>
          <w:tcPr>
            <w:tcW w:w="1277" w:type="dxa"/>
          </w:tcPr>
          <w:p w:rsidR="00232CF1" w:rsidRPr="00CE3D1C" w:rsidRDefault="00232CF1" w:rsidP="001E3151">
            <w:pPr>
              <w:spacing w:line="240" w:lineRule="auto"/>
              <w:rPr>
                <w:rFonts w:cs="Arial"/>
                <w:sz w:val="18"/>
                <w:szCs w:val="18"/>
              </w:rPr>
            </w:pPr>
            <w:r w:rsidRPr="00CE3D1C">
              <w:rPr>
                <w:rFonts w:cs="Arial"/>
                <w:sz w:val="18"/>
                <w:szCs w:val="18"/>
              </w:rPr>
              <w:t>Longitudinal</w:t>
            </w:r>
          </w:p>
        </w:tc>
        <w:tc>
          <w:tcPr>
            <w:tcW w:w="1418" w:type="dxa"/>
          </w:tcPr>
          <w:p w:rsidR="00232CF1" w:rsidRPr="00CE3D1C" w:rsidRDefault="00232CF1" w:rsidP="001E3151">
            <w:pPr>
              <w:spacing w:line="240" w:lineRule="auto"/>
              <w:rPr>
                <w:rFonts w:cs="Arial"/>
                <w:sz w:val="18"/>
                <w:szCs w:val="18"/>
              </w:rPr>
            </w:pPr>
            <w:r w:rsidRPr="00CE3D1C">
              <w:rPr>
                <w:rFonts w:cs="Arial"/>
                <w:sz w:val="18"/>
                <w:szCs w:val="18"/>
              </w:rPr>
              <w:t>16 / 81</w:t>
            </w:r>
          </w:p>
        </w:tc>
        <w:tc>
          <w:tcPr>
            <w:tcW w:w="1277" w:type="dxa"/>
          </w:tcPr>
          <w:p w:rsidR="00232CF1" w:rsidRPr="00CE3D1C" w:rsidRDefault="00232CF1" w:rsidP="001E3151">
            <w:pPr>
              <w:spacing w:line="240" w:lineRule="auto"/>
              <w:rPr>
                <w:rFonts w:cs="Arial"/>
                <w:sz w:val="18"/>
                <w:szCs w:val="18"/>
              </w:rPr>
            </w:pPr>
            <w:r w:rsidRPr="00CE3D1C">
              <w:rPr>
                <w:rFonts w:cs="Arial"/>
                <w:sz w:val="18"/>
                <w:szCs w:val="18"/>
              </w:rPr>
              <w:t>20%</w:t>
            </w:r>
          </w:p>
        </w:tc>
        <w:tc>
          <w:tcPr>
            <w:tcW w:w="1135" w:type="dxa"/>
          </w:tcPr>
          <w:p w:rsidR="00232CF1" w:rsidRPr="00CE3D1C" w:rsidRDefault="003C7350" w:rsidP="001E3151">
            <w:pPr>
              <w:spacing w:line="240" w:lineRule="auto"/>
              <w:rPr>
                <w:rFonts w:cs="Arial"/>
                <w:sz w:val="18"/>
                <w:szCs w:val="18"/>
              </w:rPr>
            </w:pPr>
            <w:r>
              <w:rPr>
                <w:rFonts w:cs="Arial"/>
                <w:sz w:val="18"/>
                <w:szCs w:val="18"/>
              </w:rPr>
              <w:t>58.2</w:t>
            </w:r>
          </w:p>
        </w:tc>
        <w:tc>
          <w:tcPr>
            <w:tcW w:w="1135" w:type="dxa"/>
          </w:tcPr>
          <w:p w:rsidR="00232CF1" w:rsidRPr="00CE3D1C" w:rsidRDefault="003C7350" w:rsidP="001E3151">
            <w:pPr>
              <w:spacing w:line="240" w:lineRule="auto"/>
              <w:rPr>
                <w:rFonts w:cs="Arial"/>
                <w:sz w:val="18"/>
                <w:szCs w:val="18"/>
              </w:rPr>
            </w:pPr>
            <w:r>
              <w:rPr>
                <w:rFonts w:cs="Arial"/>
                <w:sz w:val="18"/>
                <w:szCs w:val="18"/>
              </w:rPr>
              <w:t>15.6</w:t>
            </w:r>
          </w:p>
        </w:tc>
        <w:tc>
          <w:tcPr>
            <w:tcW w:w="1135" w:type="dxa"/>
          </w:tcPr>
          <w:p w:rsidR="00232CF1" w:rsidRPr="00CE3D1C" w:rsidRDefault="003C7350" w:rsidP="001E3151">
            <w:pPr>
              <w:spacing w:line="240" w:lineRule="auto"/>
              <w:rPr>
                <w:rFonts w:cs="Arial"/>
                <w:sz w:val="18"/>
                <w:szCs w:val="18"/>
              </w:rPr>
            </w:pPr>
            <w:r>
              <w:rPr>
                <w:rFonts w:cs="Arial"/>
                <w:sz w:val="18"/>
                <w:szCs w:val="18"/>
              </w:rPr>
              <w:t>Australia</w:t>
            </w:r>
          </w:p>
        </w:tc>
        <w:tc>
          <w:tcPr>
            <w:tcW w:w="1135" w:type="dxa"/>
          </w:tcPr>
          <w:p w:rsidR="00232CF1" w:rsidRPr="00CE3D1C" w:rsidRDefault="00232CF1" w:rsidP="001E3151">
            <w:pPr>
              <w:spacing w:line="240" w:lineRule="auto"/>
              <w:jc w:val="center"/>
              <w:rPr>
                <w:rFonts w:cs="Arial"/>
                <w:sz w:val="18"/>
                <w:szCs w:val="18"/>
              </w:rPr>
            </w:pPr>
          </w:p>
        </w:tc>
        <w:tc>
          <w:tcPr>
            <w:tcW w:w="1418" w:type="dxa"/>
          </w:tcPr>
          <w:p w:rsidR="00232CF1" w:rsidRPr="00CE3D1C" w:rsidRDefault="00232CF1" w:rsidP="001E3151">
            <w:pPr>
              <w:spacing w:line="240" w:lineRule="auto"/>
              <w:jc w:val="center"/>
              <w:rPr>
                <w:rFonts w:cs="Arial"/>
                <w:sz w:val="18"/>
                <w:szCs w:val="18"/>
              </w:rPr>
            </w:pPr>
          </w:p>
        </w:tc>
        <w:tc>
          <w:tcPr>
            <w:tcW w:w="994" w:type="dxa"/>
          </w:tcPr>
          <w:p w:rsidR="00232CF1" w:rsidRPr="00CE3D1C" w:rsidRDefault="00232CF1" w:rsidP="001E3151">
            <w:pPr>
              <w:spacing w:line="240" w:lineRule="auto"/>
              <w:jc w:val="center"/>
              <w:rPr>
                <w:rFonts w:cs="Arial"/>
                <w:sz w:val="18"/>
                <w:szCs w:val="18"/>
              </w:rPr>
            </w:pPr>
            <w:r w:rsidRPr="00CE3D1C">
              <w:rPr>
                <w:rFonts w:cs="Arial"/>
                <w:sz w:val="18"/>
                <w:szCs w:val="18"/>
              </w:rPr>
              <w:t>X</w:t>
            </w:r>
          </w:p>
        </w:tc>
        <w:tc>
          <w:tcPr>
            <w:tcW w:w="1229" w:type="dxa"/>
          </w:tcPr>
          <w:p w:rsidR="00232CF1" w:rsidRPr="00CE3D1C" w:rsidRDefault="00232CF1" w:rsidP="001E3151">
            <w:pPr>
              <w:spacing w:line="240" w:lineRule="auto"/>
              <w:jc w:val="center"/>
              <w:rPr>
                <w:rFonts w:cs="Arial"/>
                <w:sz w:val="18"/>
                <w:szCs w:val="18"/>
              </w:rPr>
            </w:pPr>
            <w:r w:rsidRPr="00CE3D1C">
              <w:rPr>
                <w:rFonts w:cs="Arial"/>
                <w:sz w:val="18"/>
                <w:szCs w:val="18"/>
              </w:rPr>
              <w:t>X</w:t>
            </w:r>
          </w:p>
        </w:tc>
        <w:tc>
          <w:tcPr>
            <w:tcW w:w="993" w:type="dxa"/>
          </w:tcPr>
          <w:p w:rsidR="00232CF1" w:rsidRPr="00CE3D1C" w:rsidRDefault="00232CF1" w:rsidP="001E3151">
            <w:pPr>
              <w:spacing w:line="240" w:lineRule="auto"/>
              <w:jc w:val="center"/>
              <w:rPr>
                <w:rFonts w:cs="Arial"/>
                <w:sz w:val="18"/>
                <w:szCs w:val="18"/>
              </w:rPr>
            </w:pPr>
          </w:p>
        </w:tc>
        <w:tc>
          <w:tcPr>
            <w:tcW w:w="1455" w:type="dxa"/>
          </w:tcPr>
          <w:p w:rsidR="00232CF1" w:rsidRPr="00CE3D1C" w:rsidRDefault="00232CF1" w:rsidP="001E3151">
            <w:pPr>
              <w:spacing w:line="240" w:lineRule="auto"/>
              <w:jc w:val="center"/>
              <w:rPr>
                <w:rFonts w:cs="Arial"/>
                <w:sz w:val="18"/>
                <w:szCs w:val="18"/>
              </w:rPr>
            </w:pPr>
          </w:p>
        </w:tc>
      </w:tr>
      <w:tr w:rsidR="005741E2" w:rsidRPr="00CE3D1C" w:rsidTr="00A32FDF">
        <w:trPr>
          <w:trHeight w:val="335"/>
        </w:trPr>
        <w:tc>
          <w:tcPr>
            <w:tcW w:w="1528" w:type="dxa"/>
          </w:tcPr>
          <w:p w:rsidR="00232CF1" w:rsidRPr="00A32FDF" w:rsidRDefault="005741E2" w:rsidP="00A32FDF">
            <w:pPr>
              <w:spacing w:after="0" w:line="240" w:lineRule="auto"/>
              <w:divId w:val="1294404638"/>
              <w:rPr>
                <w:rFonts w:cs="Arial"/>
                <w:sz w:val="18"/>
                <w:szCs w:val="18"/>
              </w:rPr>
            </w:pPr>
            <w:r w:rsidRPr="00A32FDF">
              <w:rPr>
                <w:rFonts w:eastAsia="Times New Roman" w:cs="Arial"/>
                <w:sz w:val="18"/>
                <w:szCs w:val="18"/>
              </w:rPr>
              <w:t>(Põlluste et al., 2012)</w:t>
            </w:r>
            <w:r w:rsidR="00A32FDF" w:rsidRPr="00A32FDF">
              <w:rPr>
                <w:rFonts w:cs="Arial"/>
                <w:sz w:val="18"/>
                <w:szCs w:val="18"/>
              </w:rPr>
              <w:t xml:space="preserve"> </w:t>
            </w:r>
          </w:p>
        </w:tc>
        <w:tc>
          <w:tcPr>
            <w:tcW w:w="1277" w:type="dxa"/>
          </w:tcPr>
          <w:p w:rsidR="00232CF1" w:rsidRPr="00CE3D1C" w:rsidRDefault="00232CF1" w:rsidP="00A32FDF">
            <w:pPr>
              <w:spacing w:after="0" w:line="240" w:lineRule="auto"/>
              <w:rPr>
                <w:rFonts w:cs="Arial"/>
                <w:sz w:val="18"/>
                <w:szCs w:val="18"/>
              </w:rPr>
            </w:pPr>
            <w:r w:rsidRPr="00CE3D1C">
              <w:rPr>
                <w:rFonts w:cs="Arial"/>
                <w:sz w:val="18"/>
                <w:szCs w:val="18"/>
              </w:rPr>
              <w:t>Cross-sectional</w:t>
            </w:r>
          </w:p>
        </w:tc>
        <w:tc>
          <w:tcPr>
            <w:tcW w:w="1418" w:type="dxa"/>
          </w:tcPr>
          <w:p w:rsidR="00232CF1" w:rsidRPr="00CE3D1C" w:rsidRDefault="00232CF1" w:rsidP="00A32FDF">
            <w:pPr>
              <w:spacing w:after="0" w:line="240" w:lineRule="auto"/>
              <w:rPr>
                <w:rFonts w:cs="Arial"/>
                <w:sz w:val="18"/>
                <w:szCs w:val="18"/>
              </w:rPr>
            </w:pPr>
            <w:r w:rsidRPr="00CE3D1C">
              <w:rPr>
                <w:rFonts w:cs="Arial"/>
                <w:sz w:val="18"/>
                <w:szCs w:val="18"/>
              </w:rPr>
              <w:t>222 / 1259</w:t>
            </w:r>
          </w:p>
        </w:tc>
        <w:tc>
          <w:tcPr>
            <w:tcW w:w="1277" w:type="dxa"/>
          </w:tcPr>
          <w:p w:rsidR="00232CF1" w:rsidRPr="00CE3D1C" w:rsidRDefault="00232CF1" w:rsidP="00A32FDF">
            <w:pPr>
              <w:spacing w:after="0" w:line="240" w:lineRule="auto"/>
              <w:rPr>
                <w:rFonts w:cs="Arial"/>
                <w:sz w:val="18"/>
                <w:szCs w:val="18"/>
              </w:rPr>
            </w:pPr>
            <w:r w:rsidRPr="00CE3D1C">
              <w:rPr>
                <w:rFonts w:cs="Arial"/>
                <w:sz w:val="18"/>
                <w:szCs w:val="18"/>
              </w:rPr>
              <w:t>18%</w:t>
            </w:r>
          </w:p>
        </w:tc>
        <w:tc>
          <w:tcPr>
            <w:tcW w:w="1135" w:type="dxa"/>
          </w:tcPr>
          <w:p w:rsidR="00232CF1" w:rsidRPr="00CE3D1C" w:rsidRDefault="001F3FFB" w:rsidP="00A32FDF">
            <w:pPr>
              <w:spacing w:after="0" w:line="240" w:lineRule="auto"/>
              <w:rPr>
                <w:rFonts w:cs="Arial"/>
                <w:sz w:val="18"/>
                <w:szCs w:val="18"/>
              </w:rPr>
            </w:pPr>
            <w:r>
              <w:rPr>
                <w:rFonts w:cs="Arial"/>
                <w:sz w:val="18"/>
                <w:szCs w:val="18"/>
              </w:rPr>
              <w:t>59.2</w:t>
            </w:r>
          </w:p>
        </w:tc>
        <w:tc>
          <w:tcPr>
            <w:tcW w:w="1135" w:type="dxa"/>
          </w:tcPr>
          <w:p w:rsidR="00232CF1" w:rsidRPr="00CE3D1C" w:rsidRDefault="001F3FFB" w:rsidP="00A32FDF">
            <w:pPr>
              <w:spacing w:after="0" w:line="240" w:lineRule="auto"/>
              <w:rPr>
                <w:rFonts w:cs="Arial"/>
                <w:sz w:val="18"/>
                <w:szCs w:val="18"/>
              </w:rPr>
            </w:pPr>
            <w:r>
              <w:rPr>
                <w:rFonts w:cs="Arial"/>
                <w:sz w:val="18"/>
                <w:szCs w:val="18"/>
              </w:rPr>
              <w:t>11.6</w:t>
            </w:r>
          </w:p>
        </w:tc>
        <w:tc>
          <w:tcPr>
            <w:tcW w:w="1135" w:type="dxa"/>
          </w:tcPr>
          <w:p w:rsidR="00232CF1" w:rsidRPr="00CE3D1C" w:rsidRDefault="001F3FFB" w:rsidP="00A32FDF">
            <w:pPr>
              <w:spacing w:after="0" w:line="240" w:lineRule="auto"/>
              <w:rPr>
                <w:rFonts w:cs="Arial"/>
                <w:sz w:val="18"/>
                <w:szCs w:val="18"/>
              </w:rPr>
            </w:pPr>
            <w:r>
              <w:rPr>
                <w:rFonts w:cs="Arial"/>
                <w:sz w:val="18"/>
                <w:szCs w:val="18"/>
              </w:rPr>
              <w:t>Estonia</w:t>
            </w:r>
          </w:p>
        </w:tc>
        <w:tc>
          <w:tcPr>
            <w:tcW w:w="1135" w:type="dxa"/>
          </w:tcPr>
          <w:p w:rsidR="00232CF1" w:rsidRPr="00CE3D1C" w:rsidRDefault="00232CF1" w:rsidP="00A32FDF">
            <w:pPr>
              <w:spacing w:after="0" w:line="240" w:lineRule="auto"/>
              <w:jc w:val="center"/>
              <w:rPr>
                <w:rFonts w:cs="Arial"/>
                <w:sz w:val="18"/>
                <w:szCs w:val="18"/>
              </w:rPr>
            </w:pPr>
          </w:p>
        </w:tc>
        <w:tc>
          <w:tcPr>
            <w:tcW w:w="1418" w:type="dxa"/>
          </w:tcPr>
          <w:p w:rsidR="00232CF1" w:rsidRPr="00CE3D1C" w:rsidRDefault="00232CF1" w:rsidP="00A32FDF">
            <w:pPr>
              <w:spacing w:after="0" w:line="240" w:lineRule="auto"/>
              <w:jc w:val="center"/>
              <w:rPr>
                <w:rFonts w:cs="Arial"/>
                <w:sz w:val="18"/>
                <w:szCs w:val="18"/>
              </w:rPr>
            </w:pPr>
          </w:p>
        </w:tc>
        <w:tc>
          <w:tcPr>
            <w:tcW w:w="994" w:type="dxa"/>
          </w:tcPr>
          <w:p w:rsidR="00232CF1" w:rsidRPr="00CE3D1C" w:rsidRDefault="00232CF1" w:rsidP="00A32FDF">
            <w:pPr>
              <w:spacing w:after="0" w:line="240" w:lineRule="auto"/>
              <w:jc w:val="center"/>
              <w:rPr>
                <w:rFonts w:cs="Arial"/>
                <w:sz w:val="18"/>
                <w:szCs w:val="18"/>
              </w:rPr>
            </w:pPr>
            <w:r w:rsidRPr="00CE3D1C">
              <w:rPr>
                <w:rFonts w:cs="Arial"/>
                <w:sz w:val="18"/>
                <w:szCs w:val="18"/>
              </w:rPr>
              <w:t>X</w:t>
            </w:r>
          </w:p>
        </w:tc>
        <w:tc>
          <w:tcPr>
            <w:tcW w:w="1229" w:type="dxa"/>
          </w:tcPr>
          <w:p w:rsidR="00232CF1" w:rsidRPr="00CE3D1C" w:rsidRDefault="00232CF1" w:rsidP="00A32FDF">
            <w:pPr>
              <w:spacing w:after="0" w:line="240" w:lineRule="auto"/>
              <w:jc w:val="center"/>
              <w:rPr>
                <w:rFonts w:cs="Arial"/>
                <w:sz w:val="18"/>
                <w:szCs w:val="18"/>
              </w:rPr>
            </w:pPr>
          </w:p>
        </w:tc>
        <w:tc>
          <w:tcPr>
            <w:tcW w:w="993" w:type="dxa"/>
          </w:tcPr>
          <w:p w:rsidR="00232CF1" w:rsidRPr="00CE3D1C" w:rsidRDefault="00232CF1" w:rsidP="00A32FDF">
            <w:pPr>
              <w:spacing w:after="0" w:line="240" w:lineRule="auto"/>
              <w:jc w:val="center"/>
              <w:rPr>
                <w:rFonts w:cs="Arial"/>
                <w:sz w:val="18"/>
                <w:szCs w:val="18"/>
              </w:rPr>
            </w:pPr>
          </w:p>
        </w:tc>
        <w:tc>
          <w:tcPr>
            <w:tcW w:w="1455" w:type="dxa"/>
          </w:tcPr>
          <w:p w:rsidR="00232CF1" w:rsidRPr="00CE3D1C" w:rsidRDefault="00232CF1" w:rsidP="00A32FDF">
            <w:pPr>
              <w:spacing w:after="0" w:line="240" w:lineRule="auto"/>
              <w:jc w:val="center"/>
              <w:rPr>
                <w:rFonts w:cs="Arial"/>
                <w:sz w:val="18"/>
                <w:szCs w:val="18"/>
              </w:rPr>
            </w:pPr>
          </w:p>
        </w:tc>
      </w:tr>
      <w:tr w:rsidR="005741E2" w:rsidRPr="00CE3D1C" w:rsidTr="00A32FDF">
        <w:trPr>
          <w:trHeight w:val="127"/>
        </w:trPr>
        <w:tc>
          <w:tcPr>
            <w:tcW w:w="1528" w:type="dxa"/>
          </w:tcPr>
          <w:p w:rsidR="00232CF1" w:rsidRPr="00A32FDF" w:rsidRDefault="005D2762" w:rsidP="001E3151">
            <w:pPr>
              <w:spacing w:line="240" w:lineRule="auto"/>
              <w:rPr>
                <w:rFonts w:cs="Arial"/>
                <w:sz w:val="18"/>
                <w:szCs w:val="18"/>
              </w:rPr>
            </w:pPr>
            <w:r>
              <w:rPr>
                <w:rFonts w:cs="Arial"/>
                <w:sz w:val="18"/>
                <w:szCs w:val="18"/>
              </w:rPr>
              <w:t>(Vervloesem et al., 2012)</w:t>
            </w:r>
          </w:p>
        </w:tc>
        <w:tc>
          <w:tcPr>
            <w:tcW w:w="1277" w:type="dxa"/>
          </w:tcPr>
          <w:p w:rsidR="00232CF1" w:rsidRPr="00CE3D1C" w:rsidRDefault="00232CF1" w:rsidP="001E3151">
            <w:pPr>
              <w:spacing w:line="240" w:lineRule="auto"/>
              <w:rPr>
                <w:rFonts w:cs="Arial"/>
                <w:sz w:val="18"/>
                <w:szCs w:val="18"/>
              </w:rPr>
            </w:pPr>
            <w:r w:rsidRPr="00CE3D1C">
              <w:rPr>
                <w:rFonts w:cs="Arial"/>
                <w:sz w:val="18"/>
                <w:szCs w:val="18"/>
              </w:rPr>
              <w:t>Cross-sectional</w:t>
            </w:r>
          </w:p>
        </w:tc>
        <w:tc>
          <w:tcPr>
            <w:tcW w:w="1418" w:type="dxa"/>
          </w:tcPr>
          <w:p w:rsidR="00232CF1" w:rsidRPr="00CE3D1C" w:rsidRDefault="00232CF1" w:rsidP="001E3151">
            <w:pPr>
              <w:spacing w:line="240" w:lineRule="auto"/>
              <w:rPr>
                <w:rFonts w:cs="Arial"/>
                <w:sz w:val="18"/>
                <w:szCs w:val="18"/>
              </w:rPr>
            </w:pPr>
            <w:r w:rsidRPr="00CE3D1C">
              <w:rPr>
                <w:rFonts w:cs="Arial"/>
                <w:sz w:val="18"/>
                <w:szCs w:val="18"/>
              </w:rPr>
              <w:t>52 / 154</w:t>
            </w:r>
          </w:p>
        </w:tc>
        <w:tc>
          <w:tcPr>
            <w:tcW w:w="1277" w:type="dxa"/>
          </w:tcPr>
          <w:p w:rsidR="00232CF1" w:rsidRPr="00CE3D1C" w:rsidRDefault="00232CF1" w:rsidP="001E3151">
            <w:pPr>
              <w:spacing w:line="240" w:lineRule="auto"/>
              <w:rPr>
                <w:rFonts w:cs="Arial"/>
                <w:sz w:val="18"/>
                <w:szCs w:val="18"/>
              </w:rPr>
            </w:pPr>
            <w:r w:rsidRPr="00CE3D1C">
              <w:rPr>
                <w:rFonts w:cs="Arial"/>
                <w:sz w:val="18"/>
                <w:szCs w:val="18"/>
              </w:rPr>
              <w:t>34%</w:t>
            </w:r>
          </w:p>
        </w:tc>
        <w:tc>
          <w:tcPr>
            <w:tcW w:w="1135" w:type="dxa"/>
          </w:tcPr>
          <w:p w:rsidR="00232CF1" w:rsidRPr="00CE3D1C" w:rsidRDefault="006D6121" w:rsidP="001E3151">
            <w:pPr>
              <w:spacing w:line="240" w:lineRule="auto"/>
              <w:rPr>
                <w:rFonts w:cs="Arial"/>
                <w:sz w:val="18"/>
                <w:szCs w:val="18"/>
              </w:rPr>
            </w:pPr>
            <w:r>
              <w:rPr>
                <w:rFonts w:cs="Arial"/>
                <w:sz w:val="18"/>
                <w:szCs w:val="18"/>
              </w:rPr>
              <w:t>55.5</w:t>
            </w:r>
          </w:p>
        </w:tc>
        <w:tc>
          <w:tcPr>
            <w:tcW w:w="1135" w:type="dxa"/>
          </w:tcPr>
          <w:p w:rsidR="00232CF1" w:rsidRPr="00CE3D1C" w:rsidRDefault="006D6121" w:rsidP="001E3151">
            <w:pPr>
              <w:spacing w:line="240" w:lineRule="auto"/>
              <w:rPr>
                <w:rFonts w:cs="Arial"/>
                <w:sz w:val="18"/>
                <w:szCs w:val="18"/>
              </w:rPr>
            </w:pPr>
            <w:r>
              <w:rPr>
                <w:rFonts w:cs="Arial"/>
                <w:sz w:val="18"/>
                <w:szCs w:val="18"/>
              </w:rPr>
              <w:t>12.0</w:t>
            </w:r>
          </w:p>
        </w:tc>
        <w:tc>
          <w:tcPr>
            <w:tcW w:w="1135" w:type="dxa"/>
          </w:tcPr>
          <w:p w:rsidR="00232CF1" w:rsidRPr="00CE3D1C" w:rsidRDefault="006D6121" w:rsidP="001E3151">
            <w:pPr>
              <w:spacing w:line="240" w:lineRule="auto"/>
              <w:rPr>
                <w:rFonts w:cs="Arial"/>
                <w:sz w:val="18"/>
                <w:szCs w:val="18"/>
              </w:rPr>
            </w:pPr>
            <w:r>
              <w:rPr>
                <w:rFonts w:cs="Arial"/>
                <w:sz w:val="18"/>
                <w:szCs w:val="18"/>
              </w:rPr>
              <w:t>Belgium</w:t>
            </w:r>
          </w:p>
        </w:tc>
        <w:tc>
          <w:tcPr>
            <w:tcW w:w="1135" w:type="dxa"/>
          </w:tcPr>
          <w:p w:rsidR="00232CF1" w:rsidRPr="00CE3D1C" w:rsidRDefault="00232CF1" w:rsidP="001E3151">
            <w:pPr>
              <w:spacing w:line="240" w:lineRule="auto"/>
              <w:jc w:val="center"/>
              <w:rPr>
                <w:rFonts w:cs="Arial"/>
                <w:sz w:val="18"/>
                <w:szCs w:val="18"/>
              </w:rPr>
            </w:pPr>
          </w:p>
        </w:tc>
        <w:tc>
          <w:tcPr>
            <w:tcW w:w="1418" w:type="dxa"/>
          </w:tcPr>
          <w:p w:rsidR="00232CF1" w:rsidRPr="00CE3D1C" w:rsidRDefault="00232CF1" w:rsidP="001E3151">
            <w:pPr>
              <w:spacing w:line="240" w:lineRule="auto"/>
              <w:jc w:val="center"/>
              <w:rPr>
                <w:rFonts w:cs="Arial"/>
                <w:sz w:val="18"/>
                <w:szCs w:val="18"/>
              </w:rPr>
            </w:pPr>
            <w:r w:rsidRPr="00CE3D1C">
              <w:rPr>
                <w:rFonts w:cs="Arial"/>
                <w:sz w:val="18"/>
                <w:szCs w:val="18"/>
              </w:rPr>
              <w:t>X</w:t>
            </w:r>
          </w:p>
        </w:tc>
        <w:tc>
          <w:tcPr>
            <w:tcW w:w="994" w:type="dxa"/>
          </w:tcPr>
          <w:p w:rsidR="00232CF1" w:rsidRPr="00CE3D1C" w:rsidRDefault="00232CF1" w:rsidP="001E3151">
            <w:pPr>
              <w:spacing w:line="240" w:lineRule="auto"/>
              <w:jc w:val="center"/>
              <w:rPr>
                <w:rFonts w:cs="Arial"/>
                <w:sz w:val="18"/>
                <w:szCs w:val="18"/>
              </w:rPr>
            </w:pPr>
          </w:p>
        </w:tc>
        <w:tc>
          <w:tcPr>
            <w:tcW w:w="1229" w:type="dxa"/>
          </w:tcPr>
          <w:p w:rsidR="00232CF1" w:rsidRPr="00CE3D1C" w:rsidRDefault="00232CF1" w:rsidP="001E3151">
            <w:pPr>
              <w:spacing w:line="240" w:lineRule="auto"/>
              <w:jc w:val="center"/>
              <w:rPr>
                <w:rFonts w:cs="Arial"/>
                <w:sz w:val="18"/>
                <w:szCs w:val="18"/>
              </w:rPr>
            </w:pPr>
          </w:p>
        </w:tc>
        <w:tc>
          <w:tcPr>
            <w:tcW w:w="993" w:type="dxa"/>
          </w:tcPr>
          <w:p w:rsidR="00232CF1" w:rsidRPr="00CE3D1C" w:rsidRDefault="00232CF1" w:rsidP="001E3151">
            <w:pPr>
              <w:spacing w:line="240" w:lineRule="auto"/>
              <w:jc w:val="center"/>
              <w:rPr>
                <w:rFonts w:cs="Arial"/>
                <w:sz w:val="18"/>
                <w:szCs w:val="18"/>
              </w:rPr>
            </w:pPr>
          </w:p>
        </w:tc>
        <w:tc>
          <w:tcPr>
            <w:tcW w:w="1455" w:type="dxa"/>
          </w:tcPr>
          <w:p w:rsidR="00232CF1" w:rsidRPr="00CE3D1C" w:rsidRDefault="00232CF1" w:rsidP="001E3151">
            <w:pPr>
              <w:spacing w:line="240" w:lineRule="auto"/>
              <w:jc w:val="center"/>
              <w:rPr>
                <w:rFonts w:cs="Arial"/>
                <w:sz w:val="18"/>
                <w:szCs w:val="18"/>
              </w:rPr>
            </w:pPr>
          </w:p>
        </w:tc>
      </w:tr>
      <w:tr w:rsidR="005741E2" w:rsidRPr="00CE3D1C" w:rsidTr="00A32FDF">
        <w:trPr>
          <w:trHeight w:val="74"/>
        </w:trPr>
        <w:tc>
          <w:tcPr>
            <w:tcW w:w="1528" w:type="dxa"/>
          </w:tcPr>
          <w:p w:rsidR="00232CF1" w:rsidRPr="00A32FDF" w:rsidRDefault="005D2762" w:rsidP="001E3151">
            <w:pPr>
              <w:spacing w:line="240" w:lineRule="auto"/>
              <w:rPr>
                <w:rFonts w:cs="Arial"/>
                <w:sz w:val="18"/>
                <w:szCs w:val="18"/>
              </w:rPr>
            </w:pPr>
            <w:r>
              <w:rPr>
                <w:rFonts w:cs="Arial"/>
                <w:sz w:val="18"/>
                <w:szCs w:val="18"/>
              </w:rPr>
              <w:t>(Walsh et al., 1999)</w:t>
            </w:r>
          </w:p>
        </w:tc>
        <w:tc>
          <w:tcPr>
            <w:tcW w:w="1277" w:type="dxa"/>
          </w:tcPr>
          <w:p w:rsidR="00232CF1" w:rsidRPr="00CE3D1C" w:rsidRDefault="00232CF1" w:rsidP="001E3151">
            <w:pPr>
              <w:spacing w:line="240" w:lineRule="auto"/>
              <w:rPr>
                <w:rFonts w:cs="Arial"/>
                <w:sz w:val="18"/>
                <w:szCs w:val="18"/>
              </w:rPr>
            </w:pPr>
            <w:r w:rsidRPr="00CE3D1C">
              <w:rPr>
                <w:rFonts w:cs="Arial"/>
                <w:sz w:val="18"/>
                <w:szCs w:val="18"/>
              </w:rPr>
              <w:t>Cross-sectional</w:t>
            </w:r>
          </w:p>
        </w:tc>
        <w:tc>
          <w:tcPr>
            <w:tcW w:w="1418" w:type="dxa"/>
          </w:tcPr>
          <w:p w:rsidR="00232CF1" w:rsidRPr="00CE3D1C" w:rsidRDefault="00232CF1" w:rsidP="001E3151">
            <w:pPr>
              <w:spacing w:line="240" w:lineRule="auto"/>
              <w:rPr>
                <w:rFonts w:cs="Arial"/>
                <w:sz w:val="18"/>
                <w:szCs w:val="18"/>
              </w:rPr>
            </w:pPr>
            <w:r w:rsidRPr="00CE3D1C">
              <w:rPr>
                <w:rFonts w:cs="Arial"/>
                <w:sz w:val="18"/>
                <w:szCs w:val="18"/>
              </w:rPr>
              <w:t>16 / 43</w:t>
            </w:r>
          </w:p>
        </w:tc>
        <w:tc>
          <w:tcPr>
            <w:tcW w:w="1277" w:type="dxa"/>
          </w:tcPr>
          <w:p w:rsidR="00232CF1" w:rsidRPr="00CE3D1C" w:rsidRDefault="00232CF1" w:rsidP="001E3151">
            <w:pPr>
              <w:spacing w:line="240" w:lineRule="auto"/>
              <w:rPr>
                <w:rFonts w:cs="Arial"/>
                <w:sz w:val="18"/>
                <w:szCs w:val="18"/>
              </w:rPr>
            </w:pPr>
            <w:r w:rsidRPr="00CE3D1C">
              <w:rPr>
                <w:rFonts w:cs="Arial"/>
                <w:sz w:val="18"/>
                <w:szCs w:val="18"/>
              </w:rPr>
              <w:t>37%</w:t>
            </w:r>
          </w:p>
        </w:tc>
        <w:tc>
          <w:tcPr>
            <w:tcW w:w="1135" w:type="dxa"/>
          </w:tcPr>
          <w:p w:rsidR="00232CF1" w:rsidRPr="00CE3D1C" w:rsidRDefault="00654D09" w:rsidP="001E3151">
            <w:pPr>
              <w:spacing w:line="240" w:lineRule="auto"/>
              <w:rPr>
                <w:rFonts w:cs="Arial"/>
                <w:sz w:val="18"/>
                <w:szCs w:val="18"/>
              </w:rPr>
            </w:pPr>
            <w:r>
              <w:rPr>
                <w:rFonts w:cs="Arial"/>
                <w:sz w:val="18"/>
                <w:szCs w:val="18"/>
              </w:rPr>
              <w:t>57.0</w:t>
            </w:r>
          </w:p>
        </w:tc>
        <w:tc>
          <w:tcPr>
            <w:tcW w:w="1135" w:type="dxa"/>
          </w:tcPr>
          <w:p w:rsidR="00232CF1" w:rsidRPr="00CE3D1C" w:rsidRDefault="00654D09" w:rsidP="001E3151">
            <w:pPr>
              <w:spacing w:line="240" w:lineRule="auto"/>
              <w:rPr>
                <w:rFonts w:cs="Arial"/>
                <w:sz w:val="18"/>
                <w:szCs w:val="18"/>
              </w:rPr>
            </w:pPr>
            <w:r>
              <w:rPr>
                <w:rFonts w:cs="Arial"/>
                <w:sz w:val="18"/>
                <w:szCs w:val="18"/>
              </w:rPr>
              <w:t>14.2</w:t>
            </w:r>
          </w:p>
        </w:tc>
        <w:tc>
          <w:tcPr>
            <w:tcW w:w="1135" w:type="dxa"/>
          </w:tcPr>
          <w:p w:rsidR="00232CF1" w:rsidRPr="00CE3D1C" w:rsidRDefault="00654D09" w:rsidP="001E3151">
            <w:pPr>
              <w:spacing w:line="240" w:lineRule="auto"/>
              <w:rPr>
                <w:rFonts w:cs="Arial"/>
                <w:sz w:val="18"/>
                <w:szCs w:val="18"/>
              </w:rPr>
            </w:pPr>
            <w:r>
              <w:rPr>
                <w:rFonts w:cs="Arial"/>
                <w:sz w:val="18"/>
                <w:szCs w:val="18"/>
              </w:rPr>
              <w:t>USA</w:t>
            </w:r>
          </w:p>
        </w:tc>
        <w:tc>
          <w:tcPr>
            <w:tcW w:w="1135" w:type="dxa"/>
          </w:tcPr>
          <w:p w:rsidR="00232CF1" w:rsidRPr="00CE3D1C" w:rsidRDefault="00232CF1" w:rsidP="001E3151">
            <w:pPr>
              <w:spacing w:line="240" w:lineRule="auto"/>
              <w:jc w:val="center"/>
              <w:rPr>
                <w:rFonts w:cs="Arial"/>
                <w:sz w:val="18"/>
                <w:szCs w:val="18"/>
              </w:rPr>
            </w:pPr>
          </w:p>
        </w:tc>
        <w:tc>
          <w:tcPr>
            <w:tcW w:w="1418" w:type="dxa"/>
          </w:tcPr>
          <w:p w:rsidR="00232CF1" w:rsidRPr="00CE3D1C" w:rsidRDefault="00232CF1" w:rsidP="001E3151">
            <w:pPr>
              <w:spacing w:line="240" w:lineRule="auto"/>
              <w:jc w:val="center"/>
              <w:rPr>
                <w:rFonts w:cs="Arial"/>
                <w:sz w:val="18"/>
                <w:szCs w:val="18"/>
              </w:rPr>
            </w:pPr>
          </w:p>
        </w:tc>
        <w:tc>
          <w:tcPr>
            <w:tcW w:w="994" w:type="dxa"/>
          </w:tcPr>
          <w:p w:rsidR="00232CF1" w:rsidRPr="00CE3D1C" w:rsidRDefault="00232CF1" w:rsidP="001E3151">
            <w:pPr>
              <w:spacing w:line="240" w:lineRule="auto"/>
              <w:jc w:val="center"/>
              <w:rPr>
                <w:rFonts w:cs="Arial"/>
                <w:sz w:val="18"/>
                <w:szCs w:val="18"/>
              </w:rPr>
            </w:pPr>
          </w:p>
        </w:tc>
        <w:tc>
          <w:tcPr>
            <w:tcW w:w="1229" w:type="dxa"/>
          </w:tcPr>
          <w:p w:rsidR="00232CF1" w:rsidRPr="00CE3D1C" w:rsidRDefault="00232CF1" w:rsidP="001E3151">
            <w:pPr>
              <w:spacing w:line="240" w:lineRule="auto"/>
              <w:jc w:val="center"/>
              <w:rPr>
                <w:rFonts w:cs="Arial"/>
                <w:sz w:val="18"/>
                <w:szCs w:val="18"/>
              </w:rPr>
            </w:pPr>
            <w:r w:rsidRPr="00CE3D1C">
              <w:rPr>
                <w:rFonts w:cs="Arial"/>
                <w:sz w:val="18"/>
                <w:szCs w:val="18"/>
              </w:rPr>
              <w:t>X</w:t>
            </w:r>
          </w:p>
        </w:tc>
        <w:tc>
          <w:tcPr>
            <w:tcW w:w="993" w:type="dxa"/>
          </w:tcPr>
          <w:p w:rsidR="00232CF1" w:rsidRPr="00CE3D1C" w:rsidRDefault="00232CF1" w:rsidP="001E3151">
            <w:pPr>
              <w:spacing w:line="240" w:lineRule="auto"/>
              <w:jc w:val="center"/>
              <w:rPr>
                <w:rFonts w:cs="Arial"/>
                <w:sz w:val="18"/>
                <w:szCs w:val="18"/>
              </w:rPr>
            </w:pPr>
          </w:p>
        </w:tc>
        <w:tc>
          <w:tcPr>
            <w:tcW w:w="1455" w:type="dxa"/>
          </w:tcPr>
          <w:p w:rsidR="00232CF1" w:rsidRPr="00CE3D1C" w:rsidRDefault="00232CF1" w:rsidP="001E3151">
            <w:pPr>
              <w:spacing w:line="240" w:lineRule="auto"/>
              <w:jc w:val="center"/>
              <w:rPr>
                <w:rFonts w:cs="Arial"/>
                <w:sz w:val="18"/>
                <w:szCs w:val="18"/>
              </w:rPr>
            </w:pPr>
          </w:p>
        </w:tc>
      </w:tr>
    </w:tbl>
    <w:p w:rsidR="005741E2" w:rsidRDefault="005741E2" w:rsidP="00A32FDF">
      <w:pPr>
        <w:pStyle w:val="NormalWeb"/>
        <w:divId w:val="366104187"/>
        <w:rPr>
          <w:rFonts w:cs="Arial"/>
          <w:sz w:val="20"/>
          <w:szCs w:val="20"/>
        </w:rPr>
      </w:pPr>
    </w:p>
    <w:p w:rsidR="00A32FDF" w:rsidRDefault="00A32FDF" w:rsidP="00A32FDF">
      <w:pPr>
        <w:pStyle w:val="NormalWeb"/>
        <w:divId w:val="366104187"/>
        <w:rPr>
          <w:rFonts w:cs="Arial"/>
          <w:sz w:val="20"/>
          <w:szCs w:val="20"/>
        </w:rPr>
      </w:pPr>
    </w:p>
    <w:sectPr w:rsidR="00A32FDF" w:rsidSect="005D2762">
      <w:pgSz w:w="16838" w:h="11906" w:orient="landscape"/>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4BD4" w:rsidRDefault="007F4BD4" w:rsidP="00320F18">
      <w:pPr>
        <w:spacing w:after="0" w:line="240" w:lineRule="auto"/>
      </w:pPr>
      <w:r>
        <w:separator/>
      </w:r>
    </w:p>
  </w:endnote>
  <w:endnote w:type="continuationSeparator" w:id="0">
    <w:p w:rsidR="007F4BD4" w:rsidRDefault="007F4BD4" w:rsidP="00320F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6313" w:rsidRDefault="00A463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6313" w:rsidRDefault="0022240D">
    <w:pPr>
      <w:pStyle w:val="Footer"/>
      <w:jc w:val="right"/>
    </w:pPr>
    <w:r>
      <w:fldChar w:fldCharType="begin"/>
    </w:r>
    <w:r>
      <w:instrText xml:space="preserve"> PAGE   \* MERGEFORMAT </w:instrText>
    </w:r>
    <w:r>
      <w:fldChar w:fldCharType="separate"/>
    </w:r>
    <w:r w:rsidR="000D19EA">
      <w:rPr>
        <w:noProof/>
      </w:rPr>
      <w:t>1</w:t>
    </w:r>
    <w:r>
      <w:rPr>
        <w:noProof/>
      </w:rPr>
      <w:fldChar w:fldCharType="end"/>
    </w:r>
  </w:p>
  <w:p w:rsidR="00A46313" w:rsidRDefault="00A463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6313" w:rsidRDefault="00A463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4BD4" w:rsidRDefault="007F4BD4" w:rsidP="00320F18">
      <w:pPr>
        <w:spacing w:after="0" w:line="240" w:lineRule="auto"/>
      </w:pPr>
      <w:r>
        <w:separator/>
      </w:r>
    </w:p>
  </w:footnote>
  <w:footnote w:type="continuationSeparator" w:id="0">
    <w:p w:rsidR="007F4BD4" w:rsidRDefault="007F4BD4" w:rsidP="00320F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6313" w:rsidRDefault="00A463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6313" w:rsidRDefault="00A463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6313" w:rsidRDefault="00A463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F5404"/>
    <w:multiLevelType w:val="hybridMultilevel"/>
    <w:tmpl w:val="E3A61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5213EC"/>
    <w:multiLevelType w:val="hybridMultilevel"/>
    <w:tmpl w:val="F2FE7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FF7FA9"/>
    <w:multiLevelType w:val="hybridMultilevel"/>
    <w:tmpl w:val="9BBE53A6"/>
    <w:lvl w:ilvl="0" w:tplc="BC58EEBE">
      <w:start w:val="34"/>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4A3F89"/>
    <w:multiLevelType w:val="hybridMultilevel"/>
    <w:tmpl w:val="4C5CFE80"/>
    <w:lvl w:ilvl="0" w:tplc="EE5607AA">
      <w:start w:val="269"/>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AE250B"/>
    <w:multiLevelType w:val="hybridMultilevel"/>
    <w:tmpl w:val="50DEB826"/>
    <w:lvl w:ilvl="0" w:tplc="0C0A337A">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293DE4"/>
    <w:multiLevelType w:val="hybridMultilevel"/>
    <w:tmpl w:val="0040EC0A"/>
    <w:lvl w:ilvl="0" w:tplc="A174757E">
      <w:numFmt w:val="bullet"/>
      <w:lvlText w:val="-"/>
      <w:lvlJc w:val="left"/>
      <w:pPr>
        <w:ind w:left="720" w:hanging="360"/>
      </w:pPr>
      <w:rPr>
        <w:rFonts w:ascii="Arial" w:eastAsia="Times New Roman" w:hAnsi="Arial" w:hint="default"/>
        <w:u w:val="singl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0F3068"/>
    <w:multiLevelType w:val="hybridMultilevel"/>
    <w:tmpl w:val="72E09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401765"/>
    <w:multiLevelType w:val="hybridMultilevel"/>
    <w:tmpl w:val="FDF2C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15D12CE"/>
    <w:multiLevelType w:val="hybridMultilevel"/>
    <w:tmpl w:val="70363110"/>
    <w:lvl w:ilvl="0" w:tplc="66D09548">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4087DC3"/>
    <w:multiLevelType w:val="hybridMultilevel"/>
    <w:tmpl w:val="1FAA2252"/>
    <w:lvl w:ilvl="0" w:tplc="228E2B0E">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5154C56"/>
    <w:multiLevelType w:val="hybridMultilevel"/>
    <w:tmpl w:val="77405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EF81736"/>
    <w:multiLevelType w:val="hybridMultilevel"/>
    <w:tmpl w:val="3DF68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F0B7AAC"/>
    <w:multiLevelType w:val="hybridMultilevel"/>
    <w:tmpl w:val="C9F2F774"/>
    <w:lvl w:ilvl="0" w:tplc="AB4C0342">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5721B23"/>
    <w:multiLevelType w:val="hybridMultilevel"/>
    <w:tmpl w:val="BEF44042"/>
    <w:lvl w:ilvl="0" w:tplc="1598ADC4">
      <w:start w:val="17"/>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9"/>
  </w:num>
  <w:num w:numId="4">
    <w:abstractNumId w:val="2"/>
  </w:num>
  <w:num w:numId="5">
    <w:abstractNumId w:val="6"/>
  </w:num>
  <w:num w:numId="6">
    <w:abstractNumId w:val="11"/>
  </w:num>
  <w:num w:numId="7">
    <w:abstractNumId w:val="1"/>
  </w:num>
  <w:num w:numId="8">
    <w:abstractNumId w:val="10"/>
  </w:num>
  <w:num w:numId="9">
    <w:abstractNumId w:val="8"/>
  </w:num>
  <w:num w:numId="10">
    <w:abstractNumId w:val="5"/>
  </w:num>
  <w:num w:numId="11">
    <w:abstractNumId w:val="13"/>
  </w:num>
  <w:num w:numId="12">
    <w:abstractNumId w:val="3"/>
  </w:num>
  <w:num w:numId="13">
    <w:abstractNumId w:val="12"/>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F82"/>
    <w:rsid w:val="0001172D"/>
    <w:rsid w:val="00022E65"/>
    <w:rsid w:val="00024C57"/>
    <w:rsid w:val="0003406C"/>
    <w:rsid w:val="0004397F"/>
    <w:rsid w:val="0004554D"/>
    <w:rsid w:val="000477E2"/>
    <w:rsid w:val="00060417"/>
    <w:rsid w:val="00074DE6"/>
    <w:rsid w:val="0007761A"/>
    <w:rsid w:val="00090DEB"/>
    <w:rsid w:val="00093D97"/>
    <w:rsid w:val="000A28AC"/>
    <w:rsid w:val="000B18EB"/>
    <w:rsid w:val="000B3516"/>
    <w:rsid w:val="000C23D6"/>
    <w:rsid w:val="000D19EA"/>
    <w:rsid w:val="000D7CDE"/>
    <w:rsid w:val="000E2C94"/>
    <w:rsid w:val="000F1767"/>
    <w:rsid w:val="001035AB"/>
    <w:rsid w:val="00106E54"/>
    <w:rsid w:val="00107EF8"/>
    <w:rsid w:val="00120809"/>
    <w:rsid w:val="00122925"/>
    <w:rsid w:val="00132672"/>
    <w:rsid w:val="00133605"/>
    <w:rsid w:val="001364F0"/>
    <w:rsid w:val="001402F5"/>
    <w:rsid w:val="001434FD"/>
    <w:rsid w:val="001478B5"/>
    <w:rsid w:val="00160FC7"/>
    <w:rsid w:val="0016219A"/>
    <w:rsid w:val="001663CF"/>
    <w:rsid w:val="00197572"/>
    <w:rsid w:val="001D0224"/>
    <w:rsid w:val="001E3151"/>
    <w:rsid w:val="001F3FFB"/>
    <w:rsid w:val="001F667E"/>
    <w:rsid w:val="001F6D9D"/>
    <w:rsid w:val="001F73FA"/>
    <w:rsid w:val="001F7A26"/>
    <w:rsid w:val="00215ACA"/>
    <w:rsid w:val="0022240D"/>
    <w:rsid w:val="00222B85"/>
    <w:rsid w:val="00231576"/>
    <w:rsid w:val="00231CB6"/>
    <w:rsid w:val="00232CF1"/>
    <w:rsid w:val="002349AE"/>
    <w:rsid w:val="00242668"/>
    <w:rsid w:val="002458C4"/>
    <w:rsid w:val="00247283"/>
    <w:rsid w:val="0025193D"/>
    <w:rsid w:val="002544A5"/>
    <w:rsid w:val="00256198"/>
    <w:rsid w:val="00294D89"/>
    <w:rsid w:val="0029655A"/>
    <w:rsid w:val="002A0576"/>
    <w:rsid w:val="002A1031"/>
    <w:rsid w:val="002A6104"/>
    <w:rsid w:val="002D489E"/>
    <w:rsid w:val="002E0144"/>
    <w:rsid w:val="002E2877"/>
    <w:rsid w:val="002F1661"/>
    <w:rsid w:val="002F5E25"/>
    <w:rsid w:val="003028FE"/>
    <w:rsid w:val="003060C6"/>
    <w:rsid w:val="00306E36"/>
    <w:rsid w:val="00320F18"/>
    <w:rsid w:val="00337B77"/>
    <w:rsid w:val="003448FA"/>
    <w:rsid w:val="00353635"/>
    <w:rsid w:val="0036667A"/>
    <w:rsid w:val="00375FB6"/>
    <w:rsid w:val="003915AF"/>
    <w:rsid w:val="00393BB3"/>
    <w:rsid w:val="00396A4A"/>
    <w:rsid w:val="00397046"/>
    <w:rsid w:val="003C265B"/>
    <w:rsid w:val="003C7350"/>
    <w:rsid w:val="003C7AA1"/>
    <w:rsid w:val="003D7A71"/>
    <w:rsid w:val="00400B8A"/>
    <w:rsid w:val="004029A1"/>
    <w:rsid w:val="00403B67"/>
    <w:rsid w:val="00413D41"/>
    <w:rsid w:val="004228CB"/>
    <w:rsid w:val="00425846"/>
    <w:rsid w:val="00431ED6"/>
    <w:rsid w:val="004562A8"/>
    <w:rsid w:val="0046239E"/>
    <w:rsid w:val="00465ECE"/>
    <w:rsid w:val="00470E5E"/>
    <w:rsid w:val="004713E5"/>
    <w:rsid w:val="004762F1"/>
    <w:rsid w:val="00480266"/>
    <w:rsid w:val="00480FEF"/>
    <w:rsid w:val="00484E39"/>
    <w:rsid w:val="004A233B"/>
    <w:rsid w:val="004A7577"/>
    <w:rsid w:val="004C54F4"/>
    <w:rsid w:val="004C6220"/>
    <w:rsid w:val="004F6AC3"/>
    <w:rsid w:val="00501489"/>
    <w:rsid w:val="00530B5B"/>
    <w:rsid w:val="00540AA9"/>
    <w:rsid w:val="00565C16"/>
    <w:rsid w:val="00567662"/>
    <w:rsid w:val="005741E2"/>
    <w:rsid w:val="005816CF"/>
    <w:rsid w:val="005A6C34"/>
    <w:rsid w:val="005B76A7"/>
    <w:rsid w:val="005C2AC4"/>
    <w:rsid w:val="005D2762"/>
    <w:rsid w:val="005D2793"/>
    <w:rsid w:val="005D6BEA"/>
    <w:rsid w:val="00605EDE"/>
    <w:rsid w:val="00607EC2"/>
    <w:rsid w:val="006109DC"/>
    <w:rsid w:val="00615F92"/>
    <w:rsid w:val="00616090"/>
    <w:rsid w:val="00652B3D"/>
    <w:rsid w:val="00654D09"/>
    <w:rsid w:val="00654D3C"/>
    <w:rsid w:val="00665741"/>
    <w:rsid w:val="006737E1"/>
    <w:rsid w:val="006759FB"/>
    <w:rsid w:val="006943FF"/>
    <w:rsid w:val="006A1323"/>
    <w:rsid w:val="006A51E2"/>
    <w:rsid w:val="006C5389"/>
    <w:rsid w:val="006C638F"/>
    <w:rsid w:val="006D6121"/>
    <w:rsid w:val="006E2CCB"/>
    <w:rsid w:val="006E31E4"/>
    <w:rsid w:val="006E72F6"/>
    <w:rsid w:val="006F6DCB"/>
    <w:rsid w:val="007115FE"/>
    <w:rsid w:val="00713988"/>
    <w:rsid w:val="00724AAC"/>
    <w:rsid w:val="0073402F"/>
    <w:rsid w:val="00735E98"/>
    <w:rsid w:val="007505AA"/>
    <w:rsid w:val="007708A3"/>
    <w:rsid w:val="007B4077"/>
    <w:rsid w:val="007C0870"/>
    <w:rsid w:val="007C2670"/>
    <w:rsid w:val="007C4FB6"/>
    <w:rsid w:val="007C6FCC"/>
    <w:rsid w:val="007D7C2C"/>
    <w:rsid w:val="007E3206"/>
    <w:rsid w:val="007F4BD4"/>
    <w:rsid w:val="00810FBD"/>
    <w:rsid w:val="00826FE0"/>
    <w:rsid w:val="008458F6"/>
    <w:rsid w:val="008677F8"/>
    <w:rsid w:val="008837C0"/>
    <w:rsid w:val="00895C0F"/>
    <w:rsid w:val="008A48C9"/>
    <w:rsid w:val="008B087F"/>
    <w:rsid w:val="008B2735"/>
    <w:rsid w:val="008C66A1"/>
    <w:rsid w:val="008D62F5"/>
    <w:rsid w:val="008D6F16"/>
    <w:rsid w:val="008F0B2F"/>
    <w:rsid w:val="008F1FBC"/>
    <w:rsid w:val="008F2408"/>
    <w:rsid w:val="008F5425"/>
    <w:rsid w:val="00915B29"/>
    <w:rsid w:val="00923A3A"/>
    <w:rsid w:val="009262F3"/>
    <w:rsid w:val="00932702"/>
    <w:rsid w:val="00944CA7"/>
    <w:rsid w:val="00952DA4"/>
    <w:rsid w:val="00962387"/>
    <w:rsid w:val="009654EF"/>
    <w:rsid w:val="00972390"/>
    <w:rsid w:val="00977824"/>
    <w:rsid w:val="00985769"/>
    <w:rsid w:val="009B34B5"/>
    <w:rsid w:val="009B4399"/>
    <w:rsid w:val="009C12EC"/>
    <w:rsid w:val="009C1629"/>
    <w:rsid w:val="009D415E"/>
    <w:rsid w:val="009D523A"/>
    <w:rsid w:val="009F5321"/>
    <w:rsid w:val="00A07F82"/>
    <w:rsid w:val="00A20445"/>
    <w:rsid w:val="00A264CB"/>
    <w:rsid w:val="00A274C0"/>
    <w:rsid w:val="00A32FDF"/>
    <w:rsid w:val="00A42855"/>
    <w:rsid w:val="00A46313"/>
    <w:rsid w:val="00A67295"/>
    <w:rsid w:val="00AB24DB"/>
    <w:rsid w:val="00AC16C4"/>
    <w:rsid w:val="00B0110B"/>
    <w:rsid w:val="00B012EC"/>
    <w:rsid w:val="00B06AA3"/>
    <w:rsid w:val="00B13D11"/>
    <w:rsid w:val="00B16DD7"/>
    <w:rsid w:val="00B41AB8"/>
    <w:rsid w:val="00B55E63"/>
    <w:rsid w:val="00B677B9"/>
    <w:rsid w:val="00B815DF"/>
    <w:rsid w:val="00BA2466"/>
    <w:rsid w:val="00BA2C54"/>
    <w:rsid w:val="00BB6923"/>
    <w:rsid w:val="00BC258F"/>
    <w:rsid w:val="00BC3D1F"/>
    <w:rsid w:val="00BE43C6"/>
    <w:rsid w:val="00BE6396"/>
    <w:rsid w:val="00BE6E30"/>
    <w:rsid w:val="00BF68DD"/>
    <w:rsid w:val="00C06E49"/>
    <w:rsid w:val="00C13D9B"/>
    <w:rsid w:val="00C13F93"/>
    <w:rsid w:val="00C1530F"/>
    <w:rsid w:val="00C419A9"/>
    <w:rsid w:val="00C600CB"/>
    <w:rsid w:val="00CA571D"/>
    <w:rsid w:val="00CB6167"/>
    <w:rsid w:val="00CC0219"/>
    <w:rsid w:val="00CC0827"/>
    <w:rsid w:val="00CC0A71"/>
    <w:rsid w:val="00CC48FD"/>
    <w:rsid w:val="00CE3D1C"/>
    <w:rsid w:val="00CF3C52"/>
    <w:rsid w:val="00D122D8"/>
    <w:rsid w:val="00D152F0"/>
    <w:rsid w:val="00D235CB"/>
    <w:rsid w:val="00D30089"/>
    <w:rsid w:val="00D317A3"/>
    <w:rsid w:val="00D3444F"/>
    <w:rsid w:val="00D4616A"/>
    <w:rsid w:val="00D46608"/>
    <w:rsid w:val="00D613B7"/>
    <w:rsid w:val="00D731DB"/>
    <w:rsid w:val="00D964A4"/>
    <w:rsid w:val="00DA3B56"/>
    <w:rsid w:val="00DB6096"/>
    <w:rsid w:val="00DB60BD"/>
    <w:rsid w:val="00DC349E"/>
    <w:rsid w:val="00DE226F"/>
    <w:rsid w:val="00DE4F67"/>
    <w:rsid w:val="00DF7FEE"/>
    <w:rsid w:val="00E1280A"/>
    <w:rsid w:val="00E15857"/>
    <w:rsid w:val="00E203F4"/>
    <w:rsid w:val="00E24F2A"/>
    <w:rsid w:val="00E46928"/>
    <w:rsid w:val="00E5158D"/>
    <w:rsid w:val="00E5570F"/>
    <w:rsid w:val="00E74918"/>
    <w:rsid w:val="00E85A2E"/>
    <w:rsid w:val="00E95837"/>
    <w:rsid w:val="00EA7AF6"/>
    <w:rsid w:val="00EB76F3"/>
    <w:rsid w:val="00ED3FBF"/>
    <w:rsid w:val="00EE011C"/>
    <w:rsid w:val="00EF1641"/>
    <w:rsid w:val="00F02A3B"/>
    <w:rsid w:val="00F04790"/>
    <w:rsid w:val="00F34190"/>
    <w:rsid w:val="00F35B91"/>
    <w:rsid w:val="00F71F6E"/>
    <w:rsid w:val="00F753FC"/>
    <w:rsid w:val="00F766E7"/>
    <w:rsid w:val="00F8457D"/>
    <w:rsid w:val="00F845D9"/>
    <w:rsid w:val="00F92E70"/>
    <w:rsid w:val="00FA4C45"/>
    <w:rsid w:val="00FB7784"/>
    <w:rsid w:val="00FC1058"/>
    <w:rsid w:val="00FD3D9E"/>
    <w:rsid w:val="00FD4D0B"/>
    <w:rsid w:val="00FF14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5:docId w15:val="{DC4C117C-6506-4841-9803-4EACCACEF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54EF"/>
    <w:pPr>
      <w:spacing w:after="120" w:line="480" w:lineRule="auto"/>
    </w:pPr>
    <w:rPr>
      <w:rFonts w:ascii="Arial" w:hAnsi="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6A132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99"/>
    <w:rsid w:val="005D2793"/>
    <w:rPr>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paragraph" w:styleId="ListParagraph">
    <w:name w:val="List Paragraph"/>
    <w:basedOn w:val="Normal"/>
    <w:uiPriority w:val="99"/>
    <w:qFormat/>
    <w:rsid w:val="00F02A3B"/>
    <w:pPr>
      <w:spacing w:after="200" w:line="276" w:lineRule="auto"/>
      <w:ind w:left="720"/>
      <w:contextualSpacing/>
    </w:pPr>
    <w:rPr>
      <w:rFonts w:ascii="Calibri" w:hAnsi="Calibri"/>
    </w:rPr>
  </w:style>
  <w:style w:type="paragraph" w:styleId="Header">
    <w:name w:val="header"/>
    <w:basedOn w:val="Normal"/>
    <w:link w:val="HeaderChar"/>
    <w:uiPriority w:val="99"/>
    <w:rsid w:val="00320F18"/>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320F18"/>
    <w:rPr>
      <w:rFonts w:ascii="Arial" w:hAnsi="Arial" w:cs="Times New Roman"/>
    </w:rPr>
  </w:style>
  <w:style w:type="paragraph" w:styleId="Footer">
    <w:name w:val="footer"/>
    <w:basedOn w:val="Normal"/>
    <w:link w:val="FooterChar"/>
    <w:uiPriority w:val="99"/>
    <w:rsid w:val="00320F18"/>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320F18"/>
    <w:rPr>
      <w:rFonts w:ascii="Arial" w:hAnsi="Arial" w:cs="Times New Roman"/>
    </w:rPr>
  </w:style>
  <w:style w:type="paragraph" w:styleId="BalloonText">
    <w:name w:val="Balloon Text"/>
    <w:basedOn w:val="Normal"/>
    <w:link w:val="BalloonTextChar"/>
    <w:uiPriority w:val="99"/>
    <w:semiHidden/>
    <w:rsid w:val="00320F18"/>
    <w:pPr>
      <w:spacing w:after="0" w:line="240" w:lineRule="auto"/>
    </w:pPr>
    <w:rPr>
      <w:rFonts w:cs="Arial"/>
      <w:sz w:val="16"/>
      <w:szCs w:val="16"/>
    </w:rPr>
  </w:style>
  <w:style w:type="character" w:customStyle="1" w:styleId="BalloonTextChar">
    <w:name w:val="Balloon Text Char"/>
    <w:basedOn w:val="DefaultParagraphFont"/>
    <w:link w:val="BalloonText"/>
    <w:uiPriority w:val="99"/>
    <w:semiHidden/>
    <w:locked/>
    <w:rsid w:val="00320F18"/>
    <w:rPr>
      <w:rFonts w:ascii="Arial" w:hAnsi="Arial" w:cs="Arial"/>
      <w:sz w:val="16"/>
      <w:szCs w:val="16"/>
    </w:rPr>
  </w:style>
  <w:style w:type="paragraph" w:styleId="NormalWeb">
    <w:name w:val="Normal (Web)"/>
    <w:basedOn w:val="Normal"/>
    <w:uiPriority w:val="99"/>
    <w:semiHidden/>
    <w:rsid w:val="00C13D9B"/>
    <w:pPr>
      <w:spacing w:before="100" w:beforeAutospacing="1" w:after="100" w:afterAutospacing="1" w:line="240" w:lineRule="auto"/>
    </w:pPr>
    <w:rPr>
      <w:rFonts w:ascii="Times New Roman" w:eastAsia="Times New Roman" w:hAnsi="Times New Roman"/>
      <w:sz w:val="24"/>
      <w:szCs w:val="24"/>
      <w:lang w:eastAsia="en-GB"/>
    </w:rPr>
  </w:style>
  <w:style w:type="character" w:styleId="Hyperlink">
    <w:name w:val="Hyperlink"/>
    <w:basedOn w:val="DefaultParagraphFont"/>
    <w:uiPriority w:val="99"/>
    <w:rsid w:val="00396A4A"/>
    <w:rPr>
      <w:rFonts w:cs="Times New Roman"/>
      <w:color w:val="0000FF"/>
      <w:u w:val="single"/>
    </w:rPr>
  </w:style>
  <w:style w:type="character" w:styleId="CommentReference">
    <w:name w:val="annotation reference"/>
    <w:basedOn w:val="DefaultParagraphFont"/>
    <w:uiPriority w:val="99"/>
    <w:semiHidden/>
    <w:rsid w:val="008677F8"/>
    <w:rPr>
      <w:rFonts w:cs="Times New Roman"/>
      <w:sz w:val="16"/>
      <w:szCs w:val="16"/>
    </w:rPr>
  </w:style>
  <w:style w:type="paragraph" w:styleId="CommentText">
    <w:name w:val="annotation text"/>
    <w:basedOn w:val="Normal"/>
    <w:link w:val="CommentTextChar"/>
    <w:uiPriority w:val="99"/>
    <w:semiHidden/>
    <w:rsid w:val="008677F8"/>
    <w:rPr>
      <w:sz w:val="20"/>
      <w:szCs w:val="20"/>
    </w:rPr>
  </w:style>
  <w:style w:type="character" w:customStyle="1" w:styleId="CommentTextChar">
    <w:name w:val="Comment Text Char"/>
    <w:basedOn w:val="DefaultParagraphFont"/>
    <w:link w:val="CommentText"/>
    <w:uiPriority w:val="99"/>
    <w:semiHidden/>
    <w:rsid w:val="00F308D9"/>
    <w:rPr>
      <w:rFonts w:ascii="Arial" w:hAnsi="Arial"/>
      <w:sz w:val="20"/>
      <w:szCs w:val="20"/>
      <w:lang w:eastAsia="en-US"/>
    </w:rPr>
  </w:style>
  <w:style w:type="paragraph" w:styleId="CommentSubject">
    <w:name w:val="annotation subject"/>
    <w:basedOn w:val="CommentText"/>
    <w:next w:val="CommentText"/>
    <w:link w:val="CommentSubjectChar"/>
    <w:uiPriority w:val="99"/>
    <w:semiHidden/>
    <w:rsid w:val="008677F8"/>
    <w:rPr>
      <w:b/>
      <w:bCs/>
    </w:rPr>
  </w:style>
  <w:style w:type="character" w:customStyle="1" w:styleId="CommentSubjectChar">
    <w:name w:val="Comment Subject Char"/>
    <w:basedOn w:val="CommentTextChar"/>
    <w:link w:val="CommentSubject"/>
    <w:uiPriority w:val="99"/>
    <w:semiHidden/>
    <w:rsid w:val="00F308D9"/>
    <w:rPr>
      <w:rFonts w:ascii="Arial" w:hAnsi="Arial"/>
      <w:b/>
      <w:bCs/>
      <w:sz w:val="20"/>
      <w:szCs w:val="20"/>
      <w:lang w:eastAsia="en-US"/>
    </w:rPr>
  </w:style>
  <w:style w:type="table" w:styleId="LightShading-Accent1">
    <w:name w:val="Light Shading Accent 1"/>
    <w:basedOn w:val="TableNormal"/>
    <w:uiPriority w:val="60"/>
    <w:rsid w:val="004029A1"/>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PlainTable51">
    <w:name w:val="Plain Table 51"/>
    <w:basedOn w:val="TableNormal"/>
    <w:uiPriority w:val="45"/>
    <w:rsid w:val="001E3151"/>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21">
    <w:name w:val="Plain Table 21"/>
    <w:basedOn w:val="TableNormal"/>
    <w:uiPriority w:val="42"/>
    <w:rsid w:val="001E3151"/>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Light1">
    <w:name w:val="Table Grid Light1"/>
    <w:basedOn w:val="TableNormal"/>
    <w:uiPriority w:val="40"/>
    <w:rsid w:val="00A32FD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705798">
      <w:bodyDiv w:val="1"/>
      <w:marLeft w:val="0"/>
      <w:marRight w:val="0"/>
      <w:marTop w:val="0"/>
      <w:marBottom w:val="0"/>
      <w:divBdr>
        <w:top w:val="none" w:sz="0" w:space="0" w:color="auto"/>
        <w:left w:val="none" w:sz="0" w:space="0" w:color="auto"/>
        <w:bottom w:val="none" w:sz="0" w:space="0" w:color="auto"/>
        <w:right w:val="none" w:sz="0" w:space="0" w:color="auto"/>
      </w:divBdr>
    </w:div>
    <w:div w:id="211188568">
      <w:bodyDiv w:val="1"/>
      <w:marLeft w:val="0"/>
      <w:marRight w:val="0"/>
      <w:marTop w:val="0"/>
      <w:marBottom w:val="0"/>
      <w:divBdr>
        <w:top w:val="none" w:sz="0" w:space="0" w:color="auto"/>
        <w:left w:val="none" w:sz="0" w:space="0" w:color="auto"/>
        <w:bottom w:val="none" w:sz="0" w:space="0" w:color="auto"/>
        <w:right w:val="none" w:sz="0" w:space="0" w:color="auto"/>
      </w:divBdr>
    </w:div>
    <w:div w:id="213976258">
      <w:bodyDiv w:val="1"/>
      <w:marLeft w:val="0"/>
      <w:marRight w:val="0"/>
      <w:marTop w:val="0"/>
      <w:marBottom w:val="0"/>
      <w:divBdr>
        <w:top w:val="none" w:sz="0" w:space="0" w:color="auto"/>
        <w:left w:val="none" w:sz="0" w:space="0" w:color="auto"/>
        <w:bottom w:val="none" w:sz="0" w:space="0" w:color="auto"/>
        <w:right w:val="none" w:sz="0" w:space="0" w:color="auto"/>
      </w:divBdr>
    </w:div>
    <w:div w:id="215943184">
      <w:bodyDiv w:val="1"/>
      <w:marLeft w:val="0"/>
      <w:marRight w:val="0"/>
      <w:marTop w:val="0"/>
      <w:marBottom w:val="0"/>
      <w:divBdr>
        <w:top w:val="none" w:sz="0" w:space="0" w:color="auto"/>
        <w:left w:val="none" w:sz="0" w:space="0" w:color="auto"/>
        <w:bottom w:val="none" w:sz="0" w:space="0" w:color="auto"/>
        <w:right w:val="none" w:sz="0" w:space="0" w:color="auto"/>
      </w:divBdr>
    </w:div>
    <w:div w:id="260645901">
      <w:bodyDiv w:val="1"/>
      <w:marLeft w:val="0"/>
      <w:marRight w:val="0"/>
      <w:marTop w:val="0"/>
      <w:marBottom w:val="0"/>
      <w:divBdr>
        <w:top w:val="none" w:sz="0" w:space="0" w:color="auto"/>
        <w:left w:val="none" w:sz="0" w:space="0" w:color="auto"/>
        <w:bottom w:val="none" w:sz="0" w:space="0" w:color="auto"/>
        <w:right w:val="none" w:sz="0" w:space="0" w:color="auto"/>
      </w:divBdr>
    </w:div>
    <w:div w:id="292950439">
      <w:bodyDiv w:val="1"/>
      <w:marLeft w:val="0"/>
      <w:marRight w:val="0"/>
      <w:marTop w:val="0"/>
      <w:marBottom w:val="0"/>
      <w:divBdr>
        <w:top w:val="none" w:sz="0" w:space="0" w:color="auto"/>
        <w:left w:val="none" w:sz="0" w:space="0" w:color="auto"/>
        <w:bottom w:val="none" w:sz="0" w:space="0" w:color="auto"/>
        <w:right w:val="none" w:sz="0" w:space="0" w:color="auto"/>
      </w:divBdr>
    </w:div>
    <w:div w:id="315259783">
      <w:bodyDiv w:val="1"/>
      <w:marLeft w:val="0"/>
      <w:marRight w:val="0"/>
      <w:marTop w:val="0"/>
      <w:marBottom w:val="0"/>
      <w:divBdr>
        <w:top w:val="none" w:sz="0" w:space="0" w:color="auto"/>
        <w:left w:val="none" w:sz="0" w:space="0" w:color="auto"/>
        <w:bottom w:val="none" w:sz="0" w:space="0" w:color="auto"/>
        <w:right w:val="none" w:sz="0" w:space="0" w:color="auto"/>
      </w:divBdr>
    </w:div>
    <w:div w:id="317881388">
      <w:bodyDiv w:val="1"/>
      <w:marLeft w:val="0"/>
      <w:marRight w:val="0"/>
      <w:marTop w:val="0"/>
      <w:marBottom w:val="0"/>
      <w:divBdr>
        <w:top w:val="none" w:sz="0" w:space="0" w:color="auto"/>
        <w:left w:val="none" w:sz="0" w:space="0" w:color="auto"/>
        <w:bottom w:val="none" w:sz="0" w:space="0" w:color="auto"/>
        <w:right w:val="none" w:sz="0" w:space="0" w:color="auto"/>
      </w:divBdr>
    </w:div>
    <w:div w:id="343021717">
      <w:bodyDiv w:val="1"/>
      <w:marLeft w:val="0"/>
      <w:marRight w:val="0"/>
      <w:marTop w:val="0"/>
      <w:marBottom w:val="0"/>
      <w:divBdr>
        <w:top w:val="none" w:sz="0" w:space="0" w:color="auto"/>
        <w:left w:val="none" w:sz="0" w:space="0" w:color="auto"/>
        <w:bottom w:val="none" w:sz="0" w:space="0" w:color="auto"/>
        <w:right w:val="none" w:sz="0" w:space="0" w:color="auto"/>
      </w:divBdr>
    </w:div>
    <w:div w:id="343827268">
      <w:bodyDiv w:val="1"/>
      <w:marLeft w:val="0"/>
      <w:marRight w:val="0"/>
      <w:marTop w:val="0"/>
      <w:marBottom w:val="0"/>
      <w:divBdr>
        <w:top w:val="none" w:sz="0" w:space="0" w:color="auto"/>
        <w:left w:val="none" w:sz="0" w:space="0" w:color="auto"/>
        <w:bottom w:val="none" w:sz="0" w:space="0" w:color="auto"/>
        <w:right w:val="none" w:sz="0" w:space="0" w:color="auto"/>
      </w:divBdr>
    </w:div>
    <w:div w:id="366104187">
      <w:bodyDiv w:val="1"/>
      <w:marLeft w:val="0"/>
      <w:marRight w:val="0"/>
      <w:marTop w:val="0"/>
      <w:marBottom w:val="0"/>
      <w:divBdr>
        <w:top w:val="none" w:sz="0" w:space="0" w:color="auto"/>
        <w:left w:val="none" w:sz="0" w:space="0" w:color="auto"/>
        <w:bottom w:val="none" w:sz="0" w:space="0" w:color="auto"/>
        <w:right w:val="none" w:sz="0" w:space="0" w:color="auto"/>
      </w:divBdr>
      <w:divsChild>
        <w:div w:id="1148858771">
          <w:marLeft w:val="0"/>
          <w:marRight w:val="0"/>
          <w:marTop w:val="0"/>
          <w:marBottom w:val="0"/>
          <w:divBdr>
            <w:top w:val="none" w:sz="0" w:space="0" w:color="auto"/>
            <w:left w:val="none" w:sz="0" w:space="0" w:color="auto"/>
            <w:bottom w:val="none" w:sz="0" w:space="0" w:color="auto"/>
            <w:right w:val="none" w:sz="0" w:space="0" w:color="auto"/>
          </w:divBdr>
        </w:div>
        <w:div w:id="236289366">
          <w:marLeft w:val="0"/>
          <w:marRight w:val="0"/>
          <w:marTop w:val="0"/>
          <w:marBottom w:val="0"/>
          <w:divBdr>
            <w:top w:val="none" w:sz="0" w:space="0" w:color="auto"/>
            <w:left w:val="none" w:sz="0" w:space="0" w:color="auto"/>
            <w:bottom w:val="none" w:sz="0" w:space="0" w:color="auto"/>
            <w:right w:val="none" w:sz="0" w:space="0" w:color="auto"/>
          </w:divBdr>
        </w:div>
        <w:div w:id="1871454763">
          <w:marLeft w:val="0"/>
          <w:marRight w:val="0"/>
          <w:marTop w:val="0"/>
          <w:marBottom w:val="0"/>
          <w:divBdr>
            <w:top w:val="none" w:sz="0" w:space="0" w:color="auto"/>
            <w:left w:val="none" w:sz="0" w:space="0" w:color="auto"/>
            <w:bottom w:val="none" w:sz="0" w:space="0" w:color="auto"/>
            <w:right w:val="none" w:sz="0" w:space="0" w:color="auto"/>
          </w:divBdr>
        </w:div>
        <w:div w:id="1935477192">
          <w:marLeft w:val="0"/>
          <w:marRight w:val="0"/>
          <w:marTop w:val="0"/>
          <w:marBottom w:val="0"/>
          <w:divBdr>
            <w:top w:val="none" w:sz="0" w:space="0" w:color="auto"/>
            <w:left w:val="none" w:sz="0" w:space="0" w:color="auto"/>
            <w:bottom w:val="none" w:sz="0" w:space="0" w:color="auto"/>
            <w:right w:val="none" w:sz="0" w:space="0" w:color="auto"/>
          </w:divBdr>
        </w:div>
      </w:divsChild>
    </w:div>
    <w:div w:id="371542955">
      <w:bodyDiv w:val="1"/>
      <w:marLeft w:val="0"/>
      <w:marRight w:val="0"/>
      <w:marTop w:val="0"/>
      <w:marBottom w:val="0"/>
      <w:divBdr>
        <w:top w:val="none" w:sz="0" w:space="0" w:color="auto"/>
        <w:left w:val="none" w:sz="0" w:space="0" w:color="auto"/>
        <w:bottom w:val="none" w:sz="0" w:space="0" w:color="auto"/>
        <w:right w:val="none" w:sz="0" w:space="0" w:color="auto"/>
      </w:divBdr>
    </w:div>
    <w:div w:id="424418456">
      <w:bodyDiv w:val="1"/>
      <w:marLeft w:val="0"/>
      <w:marRight w:val="0"/>
      <w:marTop w:val="0"/>
      <w:marBottom w:val="0"/>
      <w:divBdr>
        <w:top w:val="none" w:sz="0" w:space="0" w:color="auto"/>
        <w:left w:val="none" w:sz="0" w:space="0" w:color="auto"/>
        <w:bottom w:val="none" w:sz="0" w:space="0" w:color="auto"/>
        <w:right w:val="none" w:sz="0" w:space="0" w:color="auto"/>
      </w:divBdr>
    </w:div>
    <w:div w:id="425467823">
      <w:bodyDiv w:val="1"/>
      <w:marLeft w:val="0"/>
      <w:marRight w:val="0"/>
      <w:marTop w:val="0"/>
      <w:marBottom w:val="0"/>
      <w:divBdr>
        <w:top w:val="none" w:sz="0" w:space="0" w:color="auto"/>
        <w:left w:val="none" w:sz="0" w:space="0" w:color="auto"/>
        <w:bottom w:val="none" w:sz="0" w:space="0" w:color="auto"/>
        <w:right w:val="none" w:sz="0" w:space="0" w:color="auto"/>
      </w:divBdr>
    </w:div>
    <w:div w:id="441610077">
      <w:bodyDiv w:val="1"/>
      <w:marLeft w:val="0"/>
      <w:marRight w:val="0"/>
      <w:marTop w:val="0"/>
      <w:marBottom w:val="0"/>
      <w:divBdr>
        <w:top w:val="none" w:sz="0" w:space="0" w:color="auto"/>
        <w:left w:val="none" w:sz="0" w:space="0" w:color="auto"/>
        <w:bottom w:val="none" w:sz="0" w:space="0" w:color="auto"/>
        <w:right w:val="none" w:sz="0" w:space="0" w:color="auto"/>
      </w:divBdr>
    </w:div>
    <w:div w:id="504243228">
      <w:bodyDiv w:val="1"/>
      <w:marLeft w:val="0"/>
      <w:marRight w:val="0"/>
      <w:marTop w:val="0"/>
      <w:marBottom w:val="0"/>
      <w:divBdr>
        <w:top w:val="none" w:sz="0" w:space="0" w:color="auto"/>
        <w:left w:val="none" w:sz="0" w:space="0" w:color="auto"/>
        <w:bottom w:val="none" w:sz="0" w:space="0" w:color="auto"/>
        <w:right w:val="none" w:sz="0" w:space="0" w:color="auto"/>
      </w:divBdr>
    </w:div>
    <w:div w:id="530649605">
      <w:bodyDiv w:val="1"/>
      <w:marLeft w:val="0"/>
      <w:marRight w:val="0"/>
      <w:marTop w:val="0"/>
      <w:marBottom w:val="0"/>
      <w:divBdr>
        <w:top w:val="none" w:sz="0" w:space="0" w:color="auto"/>
        <w:left w:val="none" w:sz="0" w:space="0" w:color="auto"/>
        <w:bottom w:val="none" w:sz="0" w:space="0" w:color="auto"/>
        <w:right w:val="none" w:sz="0" w:space="0" w:color="auto"/>
      </w:divBdr>
      <w:divsChild>
        <w:div w:id="1406562139">
          <w:marLeft w:val="0"/>
          <w:marRight w:val="0"/>
          <w:marTop w:val="0"/>
          <w:marBottom w:val="0"/>
          <w:divBdr>
            <w:top w:val="none" w:sz="0" w:space="0" w:color="auto"/>
            <w:left w:val="none" w:sz="0" w:space="0" w:color="auto"/>
            <w:bottom w:val="none" w:sz="0" w:space="0" w:color="auto"/>
            <w:right w:val="none" w:sz="0" w:space="0" w:color="auto"/>
          </w:divBdr>
        </w:div>
        <w:div w:id="1588073840">
          <w:marLeft w:val="0"/>
          <w:marRight w:val="0"/>
          <w:marTop w:val="0"/>
          <w:marBottom w:val="0"/>
          <w:divBdr>
            <w:top w:val="none" w:sz="0" w:space="0" w:color="auto"/>
            <w:left w:val="none" w:sz="0" w:space="0" w:color="auto"/>
            <w:bottom w:val="none" w:sz="0" w:space="0" w:color="auto"/>
            <w:right w:val="none" w:sz="0" w:space="0" w:color="auto"/>
          </w:divBdr>
        </w:div>
      </w:divsChild>
    </w:div>
    <w:div w:id="596527146">
      <w:bodyDiv w:val="1"/>
      <w:marLeft w:val="0"/>
      <w:marRight w:val="0"/>
      <w:marTop w:val="0"/>
      <w:marBottom w:val="0"/>
      <w:divBdr>
        <w:top w:val="none" w:sz="0" w:space="0" w:color="auto"/>
        <w:left w:val="none" w:sz="0" w:space="0" w:color="auto"/>
        <w:bottom w:val="none" w:sz="0" w:space="0" w:color="auto"/>
        <w:right w:val="none" w:sz="0" w:space="0" w:color="auto"/>
      </w:divBdr>
      <w:divsChild>
        <w:div w:id="1266615722">
          <w:marLeft w:val="0"/>
          <w:marRight w:val="0"/>
          <w:marTop w:val="0"/>
          <w:marBottom w:val="0"/>
          <w:divBdr>
            <w:top w:val="none" w:sz="0" w:space="0" w:color="auto"/>
            <w:left w:val="none" w:sz="0" w:space="0" w:color="auto"/>
            <w:bottom w:val="none" w:sz="0" w:space="0" w:color="auto"/>
            <w:right w:val="none" w:sz="0" w:space="0" w:color="auto"/>
          </w:divBdr>
        </w:div>
      </w:divsChild>
    </w:div>
    <w:div w:id="674307064">
      <w:bodyDiv w:val="1"/>
      <w:marLeft w:val="0"/>
      <w:marRight w:val="0"/>
      <w:marTop w:val="0"/>
      <w:marBottom w:val="0"/>
      <w:divBdr>
        <w:top w:val="none" w:sz="0" w:space="0" w:color="auto"/>
        <w:left w:val="none" w:sz="0" w:space="0" w:color="auto"/>
        <w:bottom w:val="none" w:sz="0" w:space="0" w:color="auto"/>
        <w:right w:val="none" w:sz="0" w:space="0" w:color="auto"/>
      </w:divBdr>
    </w:div>
    <w:div w:id="688064150">
      <w:bodyDiv w:val="1"/>
      <w:marLeft w:val="0"/>
      <w:marRight w:val="0"/>
      <w:marTop w:val="0"/>
      <w:marBottom w:val="0"/>
      <w:divBdr>
        <w:top w:val="none" w:sz="0" w:space="0" w:color="auto"/>
        <w:left w:val="none" w:sz="0" w:space="0" w:color="auto"/>
        <w:bottom w:val="none" w:sz="0" w:space="0" w:color="auto"/>
        <w:right w:val="none" w:sz="0" w:space="0" w:color="auto"/>
      </w:divBdr>
    </w:div>
    <w:div w:id="718095013">
      <w:marLeft w:val="0"/>
      <w:marRight w:val="0"/>
      <w:marTop w:val="0"/>
      <w:marBottom w:val="0"/>
      <w:divBdr>
        <w:top w:val="none" w:sz="0" w:space="0" w:color="auto"/>
        <w:left w:val="none" w:sz="0" w:space="0" w:color="auto"/>
        <w:bottom w:val="none" w:sz="0" w:space="0" w:color="auto"/>
        <w:right w:val="none" w:sz="0" w:space="0" w:color="auto"/>
      </w:divBdr>
    </w:div>
    <w:div w:id="718095014">
      <w:marLeft w:val="0"/>
      <w:marRight w:val="0"/>
      <w:marTop w:val="0"/>
      <w:marBottom w:val="0"/>
      <w:divBdr>
        <w:top w:val="none" w:sz="0" w:space="0" w:color="auto"/>
        <w:left w:val="none" w:sz="0" w:space="0" w:color="auto"/>
        <w:bottom w:val="none" w:sz="0" w:space="0" w:color="auto"/>
        <w:right w:val="none" w:sz="0" w:space="0" w:color="auto"/>
      </w:divBdr>
    </w:div>
    <w:div w:id="735318202">
      <w:bodyDiv w:val="1"/>
      <w:marLeft w:val="0"/>
      <w:marRight w:val="0"/>
      <w:marTop w:val="0"/>
      <w:marBottom w:val="0"/>
      <w:divBdr>
        <w:top w:val="none" w:sz="0" w:space="0" w:color="auto"/>
        <w:left w:val="none" w:sz="0" w:space="0" w:color="auto"/>
        <w:bottom w:val="none" w:sz="0" w:space="0" w:color="auto"/>
        <w:right w:val="none" w:sz="0" w:space="0" w:color="auto"/>
      </w:divBdr>
    </w:div>
    <w:div w:id="745031705">
      <w:bodyDiv w:val="1"/>
      <w:marLeft w:val="0"/>
      <w:marRight w:val="0"/>
      <w:marTop w:val="0"/>
      <w:marBottom w:val="0"/>
      <w:divBdr>
        <w:top w:val="none" w:sz="0" w:space="0" w:color="auto"/>
        <w:left w:val="none" w:sz="0" w:space="0" w:color="auto"/>
        <w:bottom w:val="none" w:sz="0" w:space="0" w:color="auto"/>
        <w:right w:val="none" w:sz="0" w:space="0" w:color="auto"/>
      </w:divBdr>
    </w:div>
    <w:div w:id="897202968">
      <w:bodyDiv w:val="1"/>
      <w:marLeft w:val="0"/>
      <w:marRight w:val="0"/>
      <w:marTop w:val="0"/>
      <w:marBottom w:val="0"/>
      <w:divBdr>
        <w:top w:val="none" w:sz="0" w:space="0" w:color="auto"/>
        <w:left w:val="none" w:sz="0" w:space="0" w:color="auto"/>
        <w:bottom w:val="none" w:sz="0" w:space="0" w:color="auto"/>
        <w:right w:val="none" w:sz="0" w:space="0" w:color="auto"/>
      </w:divBdr>
    </w:div>
    <w:div w:id="905644656">
      <w:bodyDiv w:val="1"/>
      <w:marLeft w:val="0"/>
      <w:marRight w:val="0"/>
      <w:marTop w:val="0"/>
      <w:marBottom w:val="0"/>
      <w:divBdr>
        <w:top w:val="none" w:sz="0" w:space="0" w:color="auto"/>
        <w:left w:val="none" w:sz="0" w:space="0" w:color="auto"/>
        <w:bottom w:val="none" w:sz="0" w:space="0" w:color="auto"/>
        <w:right w:val="none" w:sz="0" w:space="0" w:color="auto"/>
      </w:divBdr>
    </w:div>
    <w:div w:id="925184538">
      <w:bodyDiv w:val="1"/>
      <w:marLeft w:val="0"/>
      <w:marRight w:val="0"/>
      <w:marTop w:val="0"/>
      <w:marBottom w:val="0"/>
      <w:divBdr>
        <w:top w:val="none" w:sz="0" w:space="0" w:color="auto"/>
        <w:left w:val="none" w:sz="0" w:space="0" w:color="auto"/>
        <w:bottom w:val="none" w:sz="0" w:space="0" w:color="auto"/>
        <w:right w:val="none" w:sz="0" w:space="0" w:color="auto"/>
      </w:divBdr>
    </w:div>
    <w:div w:id="942688636">
      <w:bodyDiv w:val="1"/>
      <w:marLeft w:val="0"/>
      <w:marRight w:val="0"/>
      <w:marTop w:val="0"/>
      <w:marBottom w:val="0"/>
      <w:divBdr>
        <w:top w:val="none" w:sz="0" w:space="0" w:color="auto"/>
        <w:left w:val="none" w:sz="0" w:space="0" w:color="auto"/>
        <w:bottom w:val="none" w:sz="0" w:space="0" w:color="auto"/>
        <w:right w:val="none" w:sz="0" w:space="0" w:color="auto"/>
      </w:divBdr>
    </w:div>
    <w:div w:id="948197731">
      <w:bodyDiv w:val="1"/>
      <w:marLeft w:val="0"/>
      <w:marRight w:val="0"/>
      <w:marTop w:val="0"/>
      <w:marBottom w:val="0"/>
      <w:divBdr>
        <w:top w:val="none" w:sz="0" w:space="0" w:color="auto"/>
        <w:left w:val="none" w:sz="0" w:space="0" w:color="auto"/>
        <w:bottom w:val="none" w:sz="0" w:space="0" w:color="auto"/>
        <w:right w:val="none" w:sz="0" w:space="0" w:color="auto"/>
      </w:divBdr>
    </w:div>
    <w:div w:id="959457281">
      <w:bodyDiv w:val="1"/>
      <w:marLeft w:val="0"/>
      <w:marRight w:val="0"/>
      <w:marTop w:val="0"/>
      <w:marBottom w:val="0"/>
      <w:divBdr>
        <w:top w:val="none" w:sz="0" w:space="0" w:color="auto"/>
        <w:left w:val="none" w:sz="0" w:space="0" w:color="auto"/>
        <w:bottom w:val="none" w:sz="0" w:space="0" w:color="auto"/>
        <w:right w:val="none" w:sz="0" w:space="0" w:color="auto"/>
      </w:divBdr>
    </w:div>
    <w:div w:id="973481974">
      <w:bodyDiv w:val="1"/>
      <w:marLeft w:val="0"/>
      <w:marRight w:val="0"/>
      <w:marTop w:val="0"/>
      <w:marBottom w:val="0"/>
      <w:divBdr>
        <w:top w:val="none" w:sz="0" w:space="0" w:color="auto"/>
        <w:left w:val="none" w:sz="0" w:space="0" w:color="auto"/>
        <w:bottom w:val="none" w:sz="0" w:space="0" w:color="auto"/>
        <w:right w:val="none" w:sz="0" w:space="0" w:color="auto"/>
      </w:divBdr>
    </w:div>
    <w:div w:id="982351068">
      <w:bodyDiv w:val="1"/>
      <w:marLeft w:val="0"/>
      <w:marRight w:val="0"/>
      <w:marTop w:val="0"/>
      <w:marBottom w:val="0"/>
      <w:divBdr>
        <w:top w:val="none" w:sz="0" w:space="0" w:color="auto"/>
        <w:left w:val="none" w:sz="0" w:space="0" w:color="auto"/>
        <w:bottom w:val="none" w:sz="0" w:space="0" w:color="auto"/>
        <w:right w:val="none" w:sz="0" w:space="0" w:color="auto"/>
      </w:divBdr>
    </w:div>
    <w:div w:id="993796308">
      <w:bodyDiv w:val="1"/>
      <w:marLeft w:val="0"/>
      <w:marRight w:val="0"/>
      <w:marTop w:val="0"/>
      <w:marBottom w:val="0"/>
      <w:divBdr>
        <w:top w:val="none" w:sz="0" w:space="0" w:color="auto"/>
        <w:left w:val="none" w:sz="0" w:space="0" w:color="auto"/>
        <w:bottom w:val="none" w:sz="0" w:space="0" w:color="auto"/>
        <w:right w:val="none" w:sz="0" w:space="0" w:color="auto"/>
      </w:divBdr>
    </w:div>
    <w:div w:id="1011449254">
      <w:bodyDiv w:val="1"/>
      <w:marLeft w:val="0"/>
      <w:marRight w:val="0"/>
      <w:marTop w:val="0"/>
      <w:marBottom w:val="0"/>
      <w:divBdr>
        <w:top w:val="none" w:sz="0" w:space="0" w:color="auto"/>
        <w:left w:val="none" w:sz="0" w:space="0" w:color="auto"/>
        <w:bottom w:val="none" w:sz="0" w:space="0" w:color="auto"/>
        <w:right w:val="none" w:sz="0" w:space="0" w:color="auto"/>
      </w:divBdr>
    </w:div>
    <w:div w:id="1156335417">
      <w:bodyDiv w:val="1"/>
      <w:marLeft w:val="0"/>
      <w:marRight w:val="0"/>
      <w:marTop w:val="0"/>
      <w:marBottom w:val="0"/>
      <w:divBdr>
        <w:top w:val="none" w:sz="0" w:space="0" w:color="auto"/>
        <w:left w:val="none" w:sz="0" w:space="0" w:color="auto"/>
        <w:bottom w:val="none" w:sz="0" w:space="0" w:color="auto"/>
        <w:right w:val="none" w:sz="0" w:space="0" w:color="auto"/>
      </w:divBdr>
    </w:div>
    <w:div w:id="1256550887">
      <w:bodyDiv w:val="1"/>
      <w:marLeft w:val="0"/>
      <w:marRight w:val="0"/>
      <w:marTop w:val="0"/>
      <w:marBottom w:val="0"/>
      <w:divBdr>
        <w:top w:val="none" w:sz="0" w:space="0" w:color="auto"/>
        <w:left w:val="none" w:sz="0" w:space="0" w:color="auto"/>
        <w:bottom w:val="none" w:sz="0" w:space="0" w:color="auto"/>
        <w:right w:val="none" w:sz="0" w:space="0" w:color="auto"/>
      </w:divBdr>
    </w:div>
    <w:div w:id="1294404638">
      <w:bodyDiv w:val="1"/>
      <w:marLeft w:val="0"/>
      <w:marRight w:val="0"/>
      <w:marTop w:val="0"/>
      <w:marBottom w:val="0"/>
      <w:divBdr>
        <w:top w:val="none" w:sz="0" w:space="0" w:color="auto"/>
        <w:left w:val="none" w:sz="0" w:space="0" w:color="auto"/>
        <w:bottom w:val="none" w:sz="0" w:space="0" w:color="auto"/>
        <w:right w:val="none" w:sz="0" w:space="0" w:color="auto"/>
      </w:divBdr>
    </w:div>
    <w:div w:id="1313098928">
      <w:bodyDiv w:val="1"/>
      <w:marLeft w:val="0"/>
      <w:marRight w:val="0"/>
      <w:marTop w:val="0"/>
      <w:marBottom w:val="0"/>
      <w:divBdr>
        <w:top w:val="none" w:sz="0" w:space="0" w:color="auto"/>
        <w:left w:val="none" w:sz="0" w:space="0" w:color="auto"/>
        <w:bottom w:val="none" w:sz="0" w:space="0" w:color="auto"/>
        <w:right w:val="none" w:sz="0" w:space="0" w:color="auto"/>
      </w:divBdr>
    </w:div>
    <w:div w:id="1328705758">
      <w:bodyDiv w:val="1"/>
      <w:marLeft w:val="0"/>
      <w:marRight w:val="0"/>
      <w:marTop w:val="0"/>
      <w:marBottom w:val="0"/>
      <w:divBdr>
        <w:top w:val="none" w:sz="0" w:space="0" w:color="auto"/>
        <w:left w:val="none" w:sz="0" w:space="0" w:color="auto"/>
        <w:bottom w:val="none" w:sz="0" w:space="0" w:color="auto"/>
        <w:right w:val="none" w:sz="0" w:space="0" w:color="auto"/>
      </w:divBdr>
    </w:div>
    <w:div w:id="1382679156">
      <w:bodyDiv w:val="1"/>
      <w:marLeft w:val="0"/>
      <w:marRight w:val="0"/>
      <w:marTop w:val="0"/>
      <w:marBottom w:val="0"/>
      <w:divBdr>
        <w:top w:val="none" w:sz="0" w:space="0" w:color="auto"/>
        <w:left w:val="none" w:sz="0" w:space="0" w:color="auto"/>
        <w:bottom w:val="none" w:sz="0" w:space="0" w:color="auto"/>
        <w:right w:val="none" w:sz="0" w:space="0" w:color="auto"/>
      </w:divBdr>
    </w:div>
    <w:div w:id="1400832210">
      <w:bodyDiv w:val="1"/>
      <w:marLeft w:val="0"/>
      <w:marRight w:val="0"/>
      <w:marTop w:val="0"/>
      <w:marBottom w:val="0"/>
      <w:divBdr>
        <w:top w:val="none" w:sz="0" w:space="0" w:color="auto"/>
        <w:left w:val="none" w:sz="0" w:space="0" w:color="auto"/>
        <w:bottom w:val="none" w:sz="0" w:space="0" w:color="auto"/>
        <w:right w:val="none" w:sz="0" w:space="0" w:color="auto"/>
      </w:divBdr>
    </w:div>
    <w:div w:id="1415085994">
      <w:bodyDiv w:val="1"/>
      <w:marLeft w:val="0"/>
      <w:marRight w:val="0"/>
      <w:marTop w:val="0"/>
      <w:marBottom w:val="0"/>
      <w:divBdr>
        <w:top w:val="none" w:sz="0" w:space="0" w:color="auto"/>
        <w:left w:val="none" w:sz="0" w:space="0" w:color="auto"/>
        <w:bottom w:val="none" w:sz="0" w:space="0" w:color="auto"/>
        <w:right w:val="none" w:sz="0" w:space="0" w:color="auto"/>
      </w:divBdr>
    </w:div>
    <w:div w:id="1564634319">
      <w:bodyDiv w:val="1"/>
      <w:marLeft w:val="0"/>
      <w:marRight w:val="0"/>
      <w:marTop w:val="0"/>
      <w:marBottom w:val="0"/>
      <w:divBdr>
        <w:top w:val="none" w:sz="0" w:space="0" w:color="auto"/>
        <w:left w:val="none" w:sz="0" w:space="0" w:color="auto"/>
        <w:bottom w:val="none" w:sz="0" w:space="0" w:color="auto"/>
        <w:right w:val="none" w:sz="0" w:space="0" w:color="auto"/>
      </w:divBdr>
    </w:div>
    <w:div w:id="1606959241">
      <w:bodyDiv w:val="1"/>
      <w:marLeft w:val="0"/>
      <w:marRight w:val="0"/>
      <w:marTop w:val="0"/>
      <w:marBottom w:val="0"/>
      <w:divBdr>
        <w:top w:val="none" w:sz="0" w:space="0" w:color="auto"/>
        <w:left w:val="none" w:sz="0" w:space="0" w:color="auto"/>
        <w:bottom w:val="none" w:sz="0" w:space="0" w:color="auto"/>
        <w:right w:val="none" w:sz="0" w:space="0" w:color="auto"/>
      </w:divBdr>
    </w:div>
    <w:div w:id="1611811582">
      <w:bodyDiv w:val="1"/>
      <w:marLeft w:val="0"/>
      <w:marRight w:val="0"/>
      <w:marTop w:val="0"/>
      <w:marBottom w:val="0"/>
      <w:divBdr>
        <w:top w:val="none" w:sz="0" w:space="0" w:color="auto"/>
        <w:left w:val="none" w:sz="0" w:space="0" w:color="auto"/>
        <w:bottom w:val="none" w:sz="0" w:space="0" w:color="auto"/>
        <w:right w:val="none" w:sz="0" w:space="0" w:color="auto"/>
      </w:divBdr>
    </w:div>
    <w:div w:id="1639801608">
      <w:bodyDiv w:val="1"/>
      <w:marLeft w:val="0"/>
      <w:marRight w:val="0"/>
      <w:marTop w:val="0"/>
      <w:marBottom w:val="0"/>
      <w:divBdr>
        <w:top w:val="none" w:sz="0" w:space="0" w:color="auto"/>
        <w:left w:val="none" w:sz="0" w:space="0" w:color="auto"/>
        <w:bottom w:val="none" w:sz="0" w:space="0" w:color="auto"/>
        <w:right w:val="none" w:sz="0" w:space="0" w:color="auto"/>
      </w:divBdr>
    </w:div>
    <w:div w:id="1656642478">
      <w:bodyDiv w:val="1"/>
      <w:marLeft w:val="0"/>
      <w:marRight w:val="0"/>
      <w:marTop w:val="0"/>
      <w:marBottom w:val="0"/>
      <w:divBdr>
        <w:top w:val="none" w:sz="0" w:space="0" w:color="auto"/>
        <w:left w:val="none" w:sz="0" w:space="0" w:color="auto"/>
        <w:bottom w:val="none" w:sz="0" w:space="0" w:color="auto"/>
        <w:right w:val="none" w:sz="0" w:space="0" w:color="auto"/>
      </w:divBdr>
    </w:div>
    <w:div w:id="1661037499">
      <w:bodyDiv w:val="1"/>
      <w:marLeft w:val="0"/>
      <w:marRight w:val="0"/>
      <w:marTop w:val="0"/>
      <w:marBottom w:val="0"/>
      <w:divBdr>
        <w:top w:val="none" w:sz="0" w:space="0" w:color="auto"/>
        <w:left w:val="none" w:sz="0" w:space="0" w:color="auto"/>
        <w:bottom w:val="none" w:sz="0" w:space="0" w:color="auto"/>
        <w:right w:val="none" w:sz="0" w:space="0" w:color="auto"/>
      </w:divBdr>
    </w:div>
    <w:div w:id="1661423065">
      <w:bodyDiv w:val="1"/>
      <w:marLeft w:val="0"/>
      <w:marRight w:val="0"/>
      <w:marTop w:val="0"/>
      <w:marBottom w:val="0"/>
      <w:divBdr>
        <w:top w:val="none" w:sz="0" w:space="0" w:color="auto"/>
        <w:left w:val="none" w:sz="0" w:space="0" w:color="auto"/>
        <w:bottom w:val="none" w:sz="0" w:space="0" w:color="auto"/>
        <w:right w:val="none" w:sz="0" w:space="0" w:color="auto"/>
      </w:divBdr>
      <w:divsChild>
        <w:div w:id="1095445972">
          <w:marLeft w:val="0"/>
          <w:marRight w:val="0"/>
          <w:marTop w:val="0"/>
          <w:marBottom w:val="0"/>
          <w:divBdr>
            <w:top w:val="none" w:sz="0" w:space="0" w:color="auto"/>
            <w:left w:val="none" w:sz="0" w:space="0" w:color="auto"/>
            <w:bottom w:val="none" w:sz="0" w:space="0" w:color="auto"/>
            <w:right w:val="none" w:sz="0" w:space="0" w:color="auto"/>
          </w:divBdr>
        </w:div>
        <w:div w:id="1441608307">
          <w:marLeft w:val="0"/>
          <w:marRight w:val="0"/>
          <w:marTop w:val="0"/>
          <w:marBottom w:val="0"/>
          <w:divBdr>
            <w:top w:val="none" w:sz="0" w:space="0" w:color="auto"/>
            <w:left w:val="none" w:sz="0" w:space="0" w:color="auto"/>
            <w:bottom w:val="none" w:sz="0" w:space="0" w:color="auto"/>
            <w:right w:val="none" w:sz="0" w:space="0" w:color="auto"/>
          </w:divBdr>
        </w:div>
      </w:divsChild>
    </w:div>
    <w:div w:id="1674648830">
      <w:bodyDiv w:val="1"/>
      <w:marLeft w:val="0"/>
      <w:marRight w:val="0"/>
      <w:marTop w:val="0"/>
      <w:marBottom w:val="0"/>
      <w:divBdr>
        <w:top w:val="none" w:sz="0" w:space="0" w:color="auto"/>
        <w:left w:val="none" w:sz="0" w:space="0" w:color="auto"/>
        <w:bottom w:val="none" w:sz="0" w:space="0" w:color="auto"/>
        <w:right w:val="none" w:sz="0" w:space="0" w:color="auto"/>
      </w:divBdr>
    </w:div>
    <w:div w:id="1722049365">
      <w:bodyDiv w:val="1"/>
      <w:marLeft w:val="0"/>
      <w:marRight w:val="0"/>
      <w:marTop w:val="0"/>
      <w:marBottom w:val="0"/>
      <w:divBdr>
        <w:top w:val="none" w:sz="0" w:space="0" w:color="auto"/>
        <w:left w:val="none" w:sz="0" w:space="0" w:color="auto"/>
        <w:bottom w:val="none" w:sz="0" w:space="0" w:color="auto"/>
        <w:right w:val="none" w:sz="0" w:space="0" w:color="auto"/>
      </w:divBdr>
    </w:div>
    <w:div w:id="1744721479">
      <w:bodyDiv w:val="1"/>
      <w:marLeft w:val="0"/>
      <w:marRight w:val="0"/>
      <w:marTop w:val="0"/>
      <w:marBottom w:val="0"/>
      <w:divBdr>
        <w:top w:val="none" w:sz="0" w:space="0" w:color="auto"/>
        <w:left w:val="none" w:sz="0" w:space="0" w:color="auto"/>
        <w:bottom w:val="none" w:sz="0" w:space="0" w:color="auto"/>
        <w:right w:val="none" w:sz="0" w:space="0" w:color="auto"/>
      </w:divBdr>
    </w:div>
    <w:div w:id="1752236920">
      <w:bodyDiv w:val="1"/>
      <w:marLeft w:val="0"/>
      <w:marRight w:val="0"/>
      <w:marTop w:val="0"/>
      <w:marBottom w:val="0"/>
      <w:divBdr>
        <w:top w:val="none" w:sz="0" w:space="0" w:color="auto"/>
        <w:left w:val="none" w:sz="0" w:space="0" w:color="auto"/>
        <w:bottom w:val="none" w:sz="0" w:space="0" w:color="auto"/>
        <w:right w:val="none" w:sz="0" w:space="0" w:color="auto"/>
      </w:divBdr>
    </w:div>
    <w:div w:id="1756970689">
      <w:bodyDiv w:val="1"/>
      <w:marLeft w:val="0"/>
      <w:marRight w:val="0"/>
      <w:marTop w:val="0"/>
      <w:marBottom w:val="0"/>
      <w:divBdr>
        <w:top w:val="none" w:sz="0" w:space="0" w:color="auto"/>
        <w:left w:val="none" w:sz="0" w:space="0" w:color="auto"/>
        <w:bottom w:val="none" w:sz="0" w:space="0" w:color="auto"/>
        <w:right w:val="none" w:sz="0" w:space="0" w:color="auto"/>
      </w:divBdr>
    </w:div>
    <w:div w:id="1758937083">
      <w:bodyDiv w:val="1"/>
      <w:marLeft w:val="0"/>
      <w:marRight w:val="0"/>
      <w:marTop w:val="0"/>
      <w:marBottom w:val="0"/>
      <w:divBdr>
        <w:top w:val="none" w:sz="0" w:space="0" w:color="auto"/>
        <w:left w:val="none" w:sz="0" w:space="0" w:color="auto"/>
        <w:bottom w:val="none" w:sz="0" w:space="0" w:color="auto"/>
        <w:right w:val="none" w:sz="0" w:space="0" w:color="auto"/>
      </w:divBdr>
    </w:div>
    <w:div w:id="1818496299">
      <w:bodyDiv w:val="1"/>
      <w:marLeft w:val="0"/>
      <w:marRight w:val="0"/>
      <w:marTop w:val="0"/>
      <w:marBottom w:val="0"/>
      <w:divBdr>
        <w:top w:val="none" w:sz="0" w:space="0" w:color="auto"/>
        <w:left w:val="none" w:sz="0" w:space="0" w:color="auto"/>
        <w:bottom w:val="none" w:sz="0" w:space="0" w:color="auto"/>
        <w:right w:val="none" w:sz="0" w:space="0" w:color="auto"/>
      </w:divBdr>
    </w:div>
    <w:div w:id="1849252760">
      <w:bodyDiv w:val="1"/>
      <w:marLeft w:val="0"/>
      <w:marRight w:val="0"/>
      <w:marTop w:val="0"/>
      <w:marBottom w:val="0"/>
      <w:divBdr>
        <w:top w:val="none" w:sz="0" w:space="0" w:color="auto"/>
        <w:left w:val="none" w:sz="0" w:space="0" w:color="auto"/>
        <w:bottom w:val="none" w:sz="0" w:space="0" w:color="auto"/>
        <w:right w:val="none" w:sz="0" w:space="0" w:color="auto"/>
      </w:divBdr>
    </w:div>
    <w:div w:id="1866596409">
      <w:bodyDiv w:val="1"/>
      <w:marLeft w:val="0"/>
      <w:marRight w:val="0"/>
      <w:marTop w:val="0"/>
      <w:marBottom w:val="0"/>
      <w:divBdr>
        <w:top w:val="none" w:sz="0" w:space="0" w:color="auto"/>
        <w:left w:val="none" w:sz="0" w:space="0" w:color="auto"/>
        <w:bottom w:val="none" w:sz="0" w:space="0" w:color="auto"/>
        <w:right w:val="none" w:sz="0" w:space="0" w:color="auto"/>
      </w:divBdr>
    </w:div>
    <w:div w:id="1937708678">
      <w:bodyDiv w:val="1"/>
      <w:marLeft w:val="0"/>
      <w:marRight w:val="0"/>
      <w:marTop w:val="0"/>
      <w:marBottom w:val="0"/>
      <w:divBdr>
        <w:top w:val="none" w:sz="0" w:space="0" w:color="auto"/>
        <w:left w:val="none" w:sz="0" w:space="0" w:color="auto"/>
        <w:bottom w:val="none" w:sz="0" w:space="0" w:color="auto"/>
        <w:right w:val="none" w:sz="0" w:space="0" w:color="auto"/>
      </w:divBdr>
    </w:div>
    <w:div w:id="2002728944">
      <w:bodyDiv w:val="1"/>
      <w:marLeft w:val="0"/>
      <w:marRight w:val="0"/>
      <w:marTop w:val="0"/>
      <w:marBottom w:val="0"/>
      <w:divBdr>
        <w:top w:val="none" w:sz="0" w:space="0" w:color="auto"/>
        <w:left w:val="none" w:sz="0" w:space="0" w:color="auto"/>
        <w:bottom w:val="none" w:sz="0" w:space="0" w:color="auto"/>
        <w:right w:val="none" w:sz="0" w:space="0" w:color="auto"/>
      </w:divBdr>
      <w:divsChild>
        <w:div w:id="1355693003">
          <w:marLeft w:val="0"/>
          <w:marRight w:val="0"/>
          <w:marTop w:val="0"/>
          <w:marBottom w:val="0"/>
          <w:divBdr>
            <w:top w:val="none" w:sz="0" w:space="0" w:color="auto"/>
            <w:left w:val="none" w:sz="0" w:space="0" w:color="auto"/>
            <w:bottom w:val="none" w:sz="0" w:space="0" w:color="auto"/>
            <w:right w:val="none" w:sz="0" w:space="0" w:color="auto"/>
          </w:divBdr>
        </w:div>
      </w:divsChild>
    </w:div>
    <w:div w:id="2035497356">
      <w:bodyDiv w:val="1"/>
      <w:marLeft w:val="0"/>
      <w:marRight w:val="0"/>
      <w:marTop w:val="0"/>
      <w:marBottom w:val="0"/>
      <w:divBdr>
        <w:top w:val="none" w:sz="0" w:space="0" w:color="auto"/>
        <w:left w:val="none" w:sz="0" w:space="0" w:color="auto"/>
        <w:bottom w:val="none" w:sz="0" w:space="0" w:color="auto"/>
        <w:right w:val="none" w:sz="0" w:space="0" w:color="auto"/>
      </w:divBdr>
    </w:div>
    <w:div w:id="2044205429">
      <w:bodyDiv w:val="1"/>
      <w:marLeft w:val="0"/>
      <w:marRight w:val="0"/>
      <w:marTop w:val="0"/>
      <w:marBottom w:val="0"/>
      <w:divBdr>
        <w:top w:val="none" w:sz="0" w:space="0" w:color="auto"/>
        <w:left w:val="none" w:sz="0" w:space="0" w:color="auto"/>
        <w:bottom w:val="none" w:sz="0" w:space="0" w:color="auto"/>
        <w:right w:val="none" w:sz="0" w:space="0" w:color="auto"/>
      </w:divBdr>
    </w:div>
    <w:div w:id="2104763227">
      <w:bodyDiv w:val="1"/>
      <w:marLeft w:val="0"/>
      <w:marRight w:val="0"/>
      <w:marTop w:val="0"/>
      <w:marBottom w:val="0"/>
      <w:divBdr>
        <w:top w:val="none" w:sz="0" w:space="0" w:color="auto"/>
        <w:left w:val="none" w:sz="0" w:space="0" w:color="auto"/>
        <w:bottom w:val="none" w:sz="0" w:space="0" w:color="auto"/>
        <w:right w:val="none" w:sz="0" w:space="0" w:color="auto"/>
      </w:divBdr>
    </w:div>
    <w:div w:id="2109039869">
      <w:bodyDiv w:val="1"/>
      <w:marLeft w:val="0"/>
      <w:marRight w:val="0"/>
      <w:marTop w:val="0"/>
      <w:marBottom w:val="0"/>
      <w:divBdr>
        <w:top w:val="none" w:sz="0" w:space="0" w:color="auto"/>
        <w:left w:val="none" w:sz="0" w:space="0" w:color="auto"/>
        <w:bottom w:val="none" w:sz="0" w:space="0" w:color="auto"/>
        <w:right w:val="none" w:sz="0" w:space="0" w:color="auto"/>
      </w:divBdr>
      <w:divsChild>
        <w:div w:id="935791225">
          <w:marLeft w:val="0"/>
          <w:marRight w:val="0"/>
          <w:marTop w:val="0"/>
          <w:marBottom w:val="0"/>
          <w:divBdr>
            <w:top w:val="none" w:sz="0" w:space="0" w:color="auto"/>
            <w:left w:val="none" w:sz="0" w:space="0" w:color="auto"/>
            <w:bottom w:val="none" w:sz="0" w:space="0" w:color="auto"/>
            <w:right w:val="none" w:sz="0" w:space="0" w:color="auto"/>
          </w:divBdr>
          <w:divsChild>
            <w:div w:id="172871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aroline2.Flurey@uwe.ac.uk"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A17C52-92BB-4995-92A8-C41104509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7286</Words>
  <Characters>41531</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vt:lpstr>
    </vt:vector>
  </TitlesOfParts>
  <Company>University of Bristol</Company>
  <LinksUpToDate>false</LinksUpToDate>
  <CharactersWithSpaces>48720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CA Flurey</dc:creator>
  <cp:lastModifiedBy>FRADLEY Linda</cp:lastModifiedBy>
  <cp:revision>2</cp:revision>
  <cp:lastPrinted>2014-11-06T16:47:00Z</cp:lastPrinted>
  <dcterms:created xsi:type="dcterms:W3CDTF">2016-11-14T11:57:00Z</dcterms:created>
  <dcterms:modified xsi:type="dcterms:W3CDTF">2016-11-14T11:57:00Z</dcterms:modified>
</cp:coreProperties>
</file>