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A1C" w:rsidRPr="00475A1C" w:rsidRDefault="00475A1C" w:rsidP="00F960F6">
      <w:pPr>
        <w:autoSpaceDE w:val="0"/>
        <w:autoSpaceDN w:val="0"/>
        <w:adjustRightInd w:val="0"/>
        <w:spacing w:line="360" w:lineRule="auto"/>
        <w:jc w:val="both"/>
        <w:rPr>
          <w:b/>
          <w:sz w:val="36"/>
          <w:szCs w:val="36"/>
          <w:lang w:val="en-GB"/>
        </w:rPr>
      </w:pPr>
      <w:r w:rsidRPr="00475A1C">
        <w:rPr>
          <w:b/>
          <w:sz w:val="36"/>
          <w:szCs w:val="36"/>
          <w:lang w:val="en-GB"/>
        </w:rPr>
        <w:t xml:space="preserve">The </w:t>
      </w:r>
      <w:r>
        <w:rPr>
          <w:b/>
          <w:sz w:val="36"/>
          <w:szCs w:val="36"/>
          <w:lang w:val="en-GB"/>
        </w:rPr>
        <w:t>link between</w:t>
      </w:r>
      <w:r w:rsidRPr="00475A1C">
        <w:rPr>
          <w:b/>
          <w:sz w:val="36"/>
          <w:szCs w:val="36"/>
          <w:lang w:val="en-GB"/>
        </w:rPr>
        <w:t xml:space="preserve"> trade openness, export diversification</w:t>
      </w:r>
      <w:r>
        <w:rPr>
          <w:b/>
          <w:sz w:val="36"/>
          <w:szCs w:val="36"/>
          <w:lang w:val="en-GB"/>
        </w:rPr>
        <w:t>, institutions</w:t>
      </w:r>
      <w:r w:rsidRPr="00475A1C">
        <w:rPr>
          <w:b/>
          <w:sz w:val="36"/>
          <w:szCs w:val="36"/>
          <w:lang w:val="en-GB"/>
        </w:rPr>
        <w:t xml:space="preserve"> </w:t>
      </w:r>
      <w:r>
        <w:rPr>
          <w:b/>
          <w:sz w:val="36"/>
          <w:szCs w:val="36"/>
          <w:lang w:val="en-GB"/>
        </w:rPr>
        <w:t>and</w:t>
      </w:r>
      <w:r w:rsidRPr="00475A1C">
        <w:rPr>
          <w:b/>
          <w:sz w:val="36"/>
          <w:szCs w:val="36"/>
          <w:lang w:val="en-GB"/>
        </w:rPr>
        <w:t xml:space="preserve"> output volatility in transition countries</w:t>
      </w:r>
    </w:p>
    <w:p w:rsidR="00F960F6" w:rsidRDefault="00F960F6" w:rsidP="00F960F6">
      <w:pPr>
        <w:spacing w:line="360" w:lineRule="auto"/>
        <w:rPr>
          <w:lang w:val="en-GB"/>
        </w:rPr>
      </w:pPr>
    </w:p>
    <w:p w:rsidR="00F960F6" w:rsidRPr="003E5CD6" w:rsidRDefault="00F960F6" w:rsidP="003E5CD6">
      <w:pPr>
        <w:pStyle w:val="Heading1"/>
      </w:pPr>
      <w:bookmarkStart w:id="0" w:name="_Toc306067606"/>
      <w:r w:rsidRPr="003E5CD6">
        <w:t>1. Introduction</w:t>
      </w:r>
      <w:bookmarkEnd w:id="0"/>
    </w:p>
    <w:p w:rsidR="00F960F6" w:rsidRDefault="00F960F6" w:rsidP="00F960F6">
      <w:pPr>
        <w:autoSpaceDE w:val="0"/>
        <w:autoSpaceDN w:val="0"/>
        <w:adjustRightInd w:val="0"/>
        <w:spacing w:line="360" w:lineRule="auto"/>
        <w:jc w:val="both"/>
      </w:pPr>
    </w:p>
    <w:p w:rsidR="00E52562" w:rsidRDefault="004D4527" w:rsidP="00F960F6">
      <w:pPr>
        <w:autoSpaceDE w:val="0"/>
        <w:autoSpaceDN w:val="0"/>
        <w:adjustRightInd w:val="0"/>
        <w:spacing w:line="360" w:lineRule="auto"/>
        <w:jc w:val="both"/>
      </w:pPr>
      <w:r w:rsidRPr="004D4527">
        <w:rPr>
          <w:highlight w:val="lightGray"/>
          <w:lang w:val="en-GB"/>
        </w:rPr>
        <w:t>While the growth prospects of transition economies have been investigated in the literature, the volatility of output has attracted little attention.</w:t>
      </w:r>
      <w:r w:rsidRPr="004D4527">
        <w:rPr>
          <w:lang w:val="en-GB"/>
        </w:rPr>
        <w:t xml:space="preserve"> </w:t>
      </w:r>
      <w:r w:rsidR="008E06A1" w:rsidRPr="004D4527">
        <w:rPr>
          <w:highlight w:val="lightGray"/>
        </w:rPr>
        <w:t xml:space="preserve">This paper </w:t>
      </w:r>
      <w:r w:rsidR="009B3963">
        <w:rPr>
          <w:highlight w:val="lightGray"/>
        </w:rPr>
        <w:t xml:space="preserve">analyses a panel of annual data (1996-2010) from 25 transition countries to </w:t>
      </w:r>
      <w:r w:rsidR="008E06A1" w:rsidRPr="004D4527">
        <w:rPr>
          <w:highlight w:val="lightGray"/>
        </w:rPr>
        <w:t xml:space="preserve">contribute the first empirical </w:t>
      </w:r>
      <w:r w:rsidRPr="004D4527">
        <w:rPr>
          <w:highlight w:val="lightGray"/>
        </w:rPr>
        <w:t>analysis</w:t>
      </w:r>
      <w:r w:rsidR="008E06A1" w:rsidRPr="004D4527">
        <w:rPr>
          <w:highlight w:val="lightGray"/>
        </w:rPr>
        <w:t xml:space="preserve"> of the </w:t>
      </w:r>
      <w:r>
        <w:rPr>
          <w:highlight w:val="lightGray"/>
        </w:rPr>
        <w:t xml:space="preserve">trade and institutional </w:t>
      </w:r>
      <w:r w:rsidRPr="004D4527">
        <w:rPr>
          <w:highlight w:val="lightGray"/>
        </w:rPr>
        <w:t>determinants of output volatility in the context of transition.</w:t>
      </w:r>
      <w:r>
        <w:t xml:space="preserve"> </w:t>
      </w:r>
      <w:r w:rsidR="00F960F6" w:rsidRPr="00937360">
        <w:t>Negative effect</w:t>
      </w:r>
      <w:r w:rsidR="00F86FFF">
        <w:t>s</w:t>
      </w:r>
      <w:r w:rsidR="00F960F6" w:rsidRPr="00937360">
        <w:t xml:space="preserve"> of output volatility</w:t>
      </w:r>
      <w:r w:rsidR="00F960F6">
        <w:t xml:space="preserve"> </w:t>
      </w:r>
      <w:r w:rsidR="00F960F6" w:rsidRPr="00937360">
        <w:t xml:space="preserve">in </w:t>
      </w:r>
      <w:r w:rsidR="00F86FFF">
        <w:t xml:space="preserve">the </w:t>
      </w:r>
      <w:r w:rsidR="00F960F6" w:rsidRPr="00937360">
        <w:t>form</w:t>
      </w:r>
      <w:r w:rsidR="00F86FFF">
        <w:t>s</w:t>
      </w:r>
      <w:r w:rsidR="00F960F6" w:rsidRPr="00937360">
        <w:t xml:space="preserve"> of decreased economic growth (</w:t>
      </w:r>
      <w:r w:rsidR="00F960F6">
        <w:t>Martin</w:t>
      </w:r>
      <w:r w:rsidR="00F960F6" w:rsidRPr="00937360">
        <w:t xml:space="preserve"> and Rogers, 2000; Imbs, 2007), lower private investment</w:t>
      </w:r>
      <w:r w:rsidR="00F960F6">
        <w:t xml:space="preserve"> in human capital</w:t>
      </w:r>
      <w:r w:rsidR="00F960F6" w:rsidRPr="00937360">
        <w:t xml:space="preserve"> (Aizenman and Marion, 1999</w:t>
      </w:r>
      <w:r w:rsidR="00F960F6">
        <w:t xml:space="preserve">; </w:t>
      </w:r>
      <w:r w:rsidR="00F960F6" w:rsidRPr="00096C3C">
        <w:rPr>
          <w:rFonts w:eastAsiaTheme="minorHAnsi"/>
        </w:rPr>
        <w:t>Hnatkovska and Loayza</w:t>
      </w:r>
      <w:r w:rsidR="00EF7CBD">
        <w:rPr>
          <w:rFonts w:eastAsiaTheme="minorHAnsi"/>
        </w:rPr>
        <w:t>, 2005</w:t>
      </w:r>
      <w:r w:rsidR="00F960F6" w:rsidRPr="00937360">
        <w:t xml:space="preserve">) and increased </w:t>
      </w:r>
      <w:r w:rsidR="00F960F6">
        <w:t>income inequality (</w:t>
      </w:r>
      <w:r w:rsidR="00EF7CBD">
        <w:rPr>
          <w:rFonts w:eastAsiaTheme="minorHAnsi"/>
        </w:rPr>
        <w:t>Hausmann and Gavin, 1996</w:t>
      </w:r>
      <w:r w:rsidR="00F960F6">
        <w:rPr>
          <w:rFonts w:eastAsiaTheme="minorHAnsi"/>
        </w:rPr>
        <w:t xml:space="preserve">) </w:t>
      </w:r>
      <w:r w:rsidR="00F960F6" w:rsidRPr="00937360">
        <w:t xml:space="preserve">are </w:t>
      </w:r>
      <w:r w:rsidR="00F86FFF">
        <w:t>held to widen</w:t>
      </w:r>
      <w:r w:rsidR="00F86FFF" w:rsidRPr="00937360">
        <w:t xml:space="preserve"> </w:t>
      </w:r>
      <w:r w:rsidR="00F960F6" w:rsidRPr="00937360">
        <w:t xml:space="preserve">differences in economic development </w:t>
      </w:r>
      <w:r w:rsidR="00F960F6">
        <w:t>between</w:t>
      </w:r>
      <w:r w:rsidR="00F960F6" w:rsidRPr="00937360">
        <w:t xml:space="preserve"> developed and developing countries and </w:t>
      </w:r>
      <w:r w:rsidR="00F86FFF">
        <w:t xml:space="preserve">to </w:t>
      </w:r>
      <w:r w:rsidR="00F960F6" w:rsidRPr="00937360">
        <w:t xml:space="preserve">contribute to </w:t>
      </w:r>
      <w:r w:rsidR="00F960F6">
        <w:t>a persisten</w:t>
      </w:r>
      <w:r w:rsidR="004F4181">
        <w:t>t</w:t>
      </w:r>
      <w:r w:rsidR="00F960F6">
        <w:t xml:space="preserve"> development g</w:t>
      </w:r>
      <w:r w:rsidR="00F960F6" w:rsidRPr="00937360">
        <w:t xml:space="preserve">ap. </w:t>
      </w:r>
      <w:r w:rsidR="00F86FFF" w:rsidRPr="001D20BE">
        <w:rPr>
          <w:highlight w:val="lightGray"/>
        </w:rPr>
        <w:t>Moreover, output volatility may have particularly adverse effects on the poor.</w:t>
      </w:r>
      <w:r w:rsidR="00F86FFF">
        <w:t xml:space="preserve"> </w:t>
      </w:r>
      <w:r w:rsidR="00F960F6">
        <w:rPr>
          <w:rFonts w:eastAsiaTheme="minorHAnsi"/>
        </w:rPr>
        <w:t xml:space="preserve">Lower investment in human capital increases income inequality, especially among low-income individuals.  Poorer households face larger credit constraints and </w:t>
      </w:r>
      <w:r w:rsidR="00F86FFF">
        <w:rPr>
          <w:rFonts w:eastAsiaTheme="minorHAnsi"/>
        </w:rPr>
        <w:t xml:space="preserve">can </w:t>
      </w:r>
      <w:r w:rsidR="00F960F6">
        <w:rPr>
          <w:rFonts w:eastAsiaTheme="minorHAnsi"/>
        </w:rPr>
        <w:t xml:space="preserve">rely </w:t>
      </w:r>
      <w:r w:rsidR="00F86FFF">
        <w:rPr>
          <w:rFonts w:eastAsiaTheme="minorHAnsi"/>
        </w:rPr>
        <w:t xml:space="preserve">only </w:t>
      </w:r>
      <w:r w:rsidR="00F960F6">
        <w:rPr>
          <w:rFonts w:eastAsiaTheme="minorHAnsi"/>
        </w:rPr>
        <w:t xml:space="preserve">on very </w:t>
      </w:r>
      <w:r w:rsidR="00F960F6" w:rsidRPr="00AE7ACA">
        <w:rPr>
          <w:rFonts w:eastAsiaTheme="minorHAnsi"/>
        </w:rPr>
        <w:t>limited</w:t>
      </w:r>
      <w:r w:rsidR="00F960F6">
        <w:rPr>
          <w:rFonts w:eastAsiaTheme="minorHAnsi"/>
        </w:rPr>
        <w:t xml:space="preserve"> private funds for education purposes</w:t>
      </w:r>
      <w:r w:rsidR="00F960F6" w:rsidRPr="00AE7ACA">
        <w:rPr>
          <w:rFonts w:eastAsiaTheme="minorHAnsi"/>
        </w:rPr>
        <w:t xml:space="preserve"> (Aizenman and Pinto</w:t>
      </w:r>
      <w:r w:rsidR="00F960F6">
        <w:rPr>
          <w:rFonts w:eastAsiaTheme="minorHAnsi"/>
        </w:rPr>
        <w:t>,</w:t>
      </w:r>
      <w:r w:rsidR="00F960F6" w:rsidRPr="00AE7ACA">
        <w:rPr>
          <w:rFonts w:eastAsiaTheme="minorHAnsi"/>
        </w:rPr>
        <w:t xml:space="preserve"> 2005).</w:t>
      </w:r>
      <w:r w:rsidR="00F960F6" w:rsidRPr="003B7B95">
        <w:t xml:space="preserve"> </w:t>
      </w:r>
      <w:r w:rsidR="00F960F6">
        <w:t>Moreover</w:t>
      </w:r>
      <w:r w:rsidR="00F960F6" w:rsidRPr="00937360">
        <w:t xml:space="preserve">, volatility </w:t>
      </w:r>
      <w:r w:rsidR="00F86FFF" w:rsidRPr="00937360">
        <w:t>increas</w:t>
      </w:r>
      <w:r w:rsidR="00F86FFF">
        <w:t>es</w:t>
      </w:r>
      <w:r w:rsidR="00F86FFF" w:rsidRPr="00937360">
        <w:t xml:space="preserve"> </w:t>
      </w:r>
      <w:r w:rsidR="00F960F6" w:rsidRPr="00937360">
        <w:t xml:space="preserve">poverty by leaving individuals without liquid assets for </w:t>
      </w:r>
      <w:r w:rsidR="00F960F6" w:rsidRPr="005F333E">
        <w:t xml:space="preserve">consumption even if it has no effect on growth. </w:t>
      </w:r>
      <w:r w:rsidR="001842A7" w:rsidRPr="005F333E">
        <w:rPr>
          <w:highlight w:val="lightGray"/>
        </w:rPr>
        <w:t xml:space="preserve">However, </w:t>
      </w:r>
      <w:r w:rsidR="005F333E" w:rsidRPr="005F333E">
        <w:rPr>
          <w:highlight w:val="lightGray"/>
        </w:rPr>
        <w:t xml:space="preserve">a </w:t>
      </w:r>
      <w:r w:rsidR="001842A7" w:rsidRPr="005F333E">
        <w:rPr>
          <w:highlight w:val="lightGray"/>
        </w:rPr>
        <w:t xml:space="preserve">different strand in the literature </w:t>
      </w:r>
      <w:r w:rsidR="005F333E" w:rsidRPr="005F333E">
        <w:rPr>
          <w:highlight w:val="lightGray"/>
        </w:rPr>
        <w:t>highlights</w:t>
      </w:r>
      <w:r w:rsidR="001842A7" w:rsidRPr="005F333E">
        <w:rPr>
          <w:highlight w:val="lightGray"/>
        </w:rPr>
        <w:t xml:space="preserve"> positive effec</w:t>
      </w:r>
      <w:r w:rsidR="005F333E" w:rsidRPr="005F333E">
        <w:rPr>
          <w:highlight w:val="lightGray"/>
        </w:rPr>
        <w:t>ts</w:t>
      </w:r>
      <w:r w:rsidR="001842A7" w:rsidRPr="005F333E">
        <w:rPr>
          <w:highlight w:val="lightGray"/>
        </w:rPr>
        <w:t xml:space="preserve"> of volatility. Growth-cycle literature suggests that recession might reduce </w:t>
      </w:r>
      <w:r w:rsidR="005F333E" w:rsidRPr="005F333E">
        <w:rPr>
          <w:highlight w:val="lightGray"/>
        </w:rPr>
        <w:t xml:space="preserve">the </w:t>
      </w:r>
      <w:r w:rsidR="001842A7" w:rsidRPr="005F333E">
        <w:rPr>
          <w:highlight w:val="lightGray"/>
        </w:rPr>
        <w:t xml:space="preserve">opportunity cost of research </w:t>
      </w:r>
      <w:r w:rsidR="00E32448" w:rsidRPr="005F333E">
        <w:rPr>
          <w:rFonts w:eastAsiaTheme="minorHAnsi"/>
          <w:highlight w:val="lightGray"/>
        </w:rPr>
        <w:t>(Aghion and Saint-Paul, 1991</w:t>
      </w:r>
      <w:r w:rsidR="001842A7" w:rsidRPr="005F333E">
        <w:rPr>
          <w:rFonts w:eastAsiaTheme="minorHAnsi"/>
          <w:highlight w:val="lightGray"/>
        </w:rPr>
        <w:t xml:space="preserve">) and drive out inefficient firms </w:t>
      </w:r>
      <w:r w:rsidR="005F333E" w:rsidRPr="005F333E">
        <w:rPr>
          <w:rFonts w:eastAsiaTheme="minorHAnsi"/>
          <w:highlight w:val="lightGray"/>
        </w:rPr>
        <w:t>from</w:t>
      </w:r>
      <w:r w:rsidR="001842A7" w:rsidRPr="005F333E">
        <w:rPr>
          <w:rFonts w:eastAsiaTheme="minorHAnsi"/>
          <w:highlight w:val="lightGray"/>
        </w:rPr>
        <w:t xml:space="preserve"> the market (Caballero and </w:t>
      </w:r>
      <w:r w:rsidR="00E32448" w:rsidRPr="005F333E">
        <w:rPr>
          <w:rFonts w:eastAsiaTheme="minorHAnsi"/>
          <w:highlight w:val="lightGray"/>
        </w:rPr>
        <w:t>Hammour, 1</w:t>
      </w:r>
      <w:r w:rsidR="001842A7" w:rsidRPr="005F333E">
        <w:rPr>
          <w:rFonts w:eastAsiaTheme="minorHAnsi"/>
          <w:highlight w:val="lightGray"/>
        </w:rPr>
        <w:t>994), which is likely to support technological changes and economic growth.</w:t>
      </w:r>
      <w:r w:rsidR="001842A7" w:rsidRPr="005F333E">
        <w:rPr>
          <w:rFonts w:eastAsiaTheme="minorHAnsi"/>
        </w:rPr>
        <w:t xml:space="preserve"> </w:t>
      </w:r>
      <w:r w:rsidR="00E32448" w:rsidRPr="00C83D50">
        <w:rPr>
          <w:highlight w:val="lightGray"/>
        </w:rPr>
        <w:t>In spite of these different perspectives, the aim of this paper is not to assess the costs and benefits of volatility but, rather, to achieve a better understanding of the determinants of volatility in the context of transition.</w:t>
      </w:r>
      <w:r w:rsidR="00E52562">
        <w:t xml:space="preserve"> </w:t>
      </w:r>
    </w:p>
    <w:p w:rsidR="00E52562" w:rsidRDefault="00E52562" w:rsidP="00F960F6">
      <w:pPr>
        <w:autoSpaceDE w:val="0"/>
        <w:autoSpaceDN w:val="0"/>
        <w:adjustRightInd w:val="0"/>
        <w:spacing w:line="360" w:lineRule="auto"/>
        <w:jc w:val="both"/>
      </w:pPr>
    </w:p>
    <w:p w:rsidR="00F960F6" w:rsidRPr="009B4ACE" w:rsidRDefault="00F960F6" w:rsidP="00A2793B">
      <w:pPr>
        <w:autoSpaceDE w:val="0"/>
        <w:autoSpaceDN w:val="0"/>
        <w:adjustRightInd w:val="0"/>
        <w:spacing w:line="360" w:lineRule="auto"/>
        <w:jc w:val="both"/>
        <w:rPr>
          <w:rFonts w:eastAsia="TimesNewRomanPSMT"/>
        </w:rPr>
      </w:pPr>
      <w:r>
        <w:t xml:space="preserve">Some authors argue that developing countries have substantially larger volatility than </w:t>
      </w:r>
      <w:r w:rsidR="00C7311D">
        <w:t xml:space="preserve">do </w:t>
      </w:r>
      <w:r>
        <w:t xml:space="preserve">developed ones (Hakura, 2009). In </w:t>
      </w:r>
      <w:r w:rsidR="00C7311D">
        <w:t xml:space="preserve">both </w:t>
      </w:r>
      <w:r>
        <w:t xml:space="preserve">developing and emerging countries volatility is mainly </w:t>
      </w:r>
      <w:r w:rsidR="00C7311D">
        <w:t xml:space="preserve">the </w:t>
      </w:r>
      <w:r>
        <w:t xml:space="preserve">consequence of </w:t>
      </w:r>
      <w:r>
        <w:rPr>
          <w:color w:val="000000"/>
        </w:rPr>
        <w:t>external sho</w:t>
      </w:r>
      <w:r w:rsidR="00EB011A">
        <w:rPr>
          <w:color w:val="000000"/>
        </w:rPr>
        <w:t>cks (Reinhart and Rogoff, 2009; 2014</w:t>
      </w:r>
      <w:r>
        <w:rPr>
          <w:color w:val="000000"/>
        </w:rPr>
        <w:t xml:space="preserve">). </w:t>
      </w:r>
      <w:r w:rsidRPr="001A4E4C">
        <w:rPr>
          <w:color w:val="000000"/>
        </w:rPr>
        <w:t xml:space="preserve">External shocks take </w:t>
      </w:r>
      <w:r w:rsidR="00C7311D">
        <w:rPr>
          <w:color w:val="000000"/>
        </w:rPr>
        <w:t xml:space="preserve">the basic </w:t>
      </w:r>
      <w:r w:rsidRPr="001A4E4C">
        <w:rPr>
          <w:color w:val="000000"/>
        </w:rPr>
        <w:t>form</w:t>
      </w:r>
      <w:r w:rsidR="00C7311D">
        <w:rPr>
          <w:color w:val="000000"/>
        </w:rPr>
        <w:t>s</w:t>
      </w:r>
      <w:r w:rsidRPr="001A4E4C">
        <w:rPr>
          <w:color w:val="000000"/>
        </w:rPr>
        <w:t xml:space="preserve"> of </w:t>
      </w:r>
      <w:r w:rsidR="00C7311D">
        <w:rPr>
          <w:color w:val="000000"/>
        </w:rPr>
        <w:t>trade</w:t>
      </w:r>
      <w:r w:rsidR="00C7311D" w:rsidRPr="001A4E4C">
        <w:rPr>
          <w:color w:val="000000"/>
        </w:rPr>
        <w:t xml:space="preserve"> </w:t>
      </w:r>
      <w:r w:rsidRPr="001A4E4C">
        <w:rPr>
          <w:color w:val="000000"/>
        </w:rPr>
        <w:t xml:space="preserve">shocks and international capital flow shocks. </w:t>
      </w:r>
      <w:r>
        <w:t>T</w:t>
      </w:r>
      <w:r w:rsidRPr="001A4E4C">
        <w:t xml:space="preserve">rade </w:t>
      </w:r>
      <w:r>
        <w:t>is becoming</w:t>
      </w:r>
      <w:r w:rsidRPr="001A4E4C">
        <w:t xml:space="preserve"> </w:t>
      </w:r>
      <w:r w:rsidR="00C7311D">
        <w:t xml:space="preserve">an </w:t>
      </w:r>
      <w:r w:rsidRPr="001A4E4C">
        <w:t xml:space="preserve">important </w:t>
      </w:r>
      <w:r>
        <w:lastRenderedPageBreak/>
        <w:t>transmission mechanism</w:t>
      </w:r>
      <w:r w:rsidRPr="001A4E4C">
        <w:t xml:space="preserve"> of external shock</w:t>
      </w:r>
      <w:r w:rsidR="00C7311D">
        <w:t>s</w:t>
      </w:r>
      <w:r w:rsidRPr="001A4E4C">
        <w:t xml:space="preserve"> </w:t>
      </w:r>
      <w:r>
        <w:t xml:space="preserve">throughout the world economy, especially </w:t>
      </w:r>
      <w:r w:rsidRPr="001A4E4C">
        <w:t>in developing countries</w:t>
      </w:r>
      <w:r>
        <w:t xml:space="preserve">. These countries </w:t>
      </w:r>
      <w:r w:rsidRPr="001A4E4C">
        <w:t xml:space="preserve">usually </w:t>
      </w:r>
      <w:r>
        <w:rPr>
          <w:rFonts w:eastAsiaTheme="minorHAnsi"/>
        </w:rPr>
        <w:t xml:space="preserve">concentrate </w:t>
      </w:r>
      <w:r w:rsidR="00C7311D">
        <w:rPr>
          <w:rFonts w:eastAsiaTheme="minorHAnsi"/>
        </w:rPr>
        <w:t xml:space="preserve">their </w:t>
      </w:r>
      <w:r>
        <w:rPr>
          <w:rFonts w:eastAsiaTheme="minorHAnsi"/>
        </w:rPr>
        <w:t>export</w:t>
      </w:r>
      <w:r w:rsidR="00345411">
        <w:rPr>
          <w:rFonts w:eastAsiaTheme="minorHAnsi"/>
        </w:rPr>
        <w:t>s</w:t>
      </w:r>
      <w:r w:rsidRPr="001A4E4C">
        <w:rPr>
          <w:rFonts w:eastAsiaTheme="minorHAnsi"/>
        </w:rPr>
        <w:t xml:space="preserve"> in </w:t>
      </w:r>
      <w:r w:rsidR="00C7311D">
        <w:rPr>
          <w:rFonts w:eastAsiaTheme="minorHAnsi"/>
        </w:rPr>
        <w:t xml:space="preserve">a </w:t>
      </w:r>
      <w:r w:rsidRPr="001A4E4C">
        <w:rPr>
          <w:rFonts w:eastAsiaTheme="minorHAnsi"/>
        </w:rPr>
        <w:t>small number of sectors</w:t>
      </w:r>
      <w:r w:rsidR="00C7311D">
        <w:rPr>
          <w:rFonts w:eastAsiaTheme="minorHAnsi"/>
        </w:rPr>
        <w:t>, particularly</w:t>
      </w:r>
      <w:r w:rsidRPr="001A4E4C">
        <w:rPr>
          <w:rFonts w:eastAsiaTheme="minorHAnsi"/>
        </w:rPr>
        <w:t xml:space="preserve"> </w:t>
      </w:r>
      <w:r>
        <w:rPr>
          <w:rFonts w:eastAsiaTheme="minorHAnsi"/>
        </w:rPr>
        <w:t>volatile sectors</w:t>
      </w:r>
      <w:r w:rsidR="00C7311D">
        <w:rPr>
          <w:rFonts w:eastAsiaTheme="minorHAnsi"/>
        </w:rPr>
        <w:t>,</w:t>
      </w:r>
      <w:r>
        <w:rPr>
          <w:rFonts w:eastAsiaTheme="minorHAnsi"/>
        </w:rPr>
        <w:t xml:space="preserve"> which expose</w:t>
      </w:r>
      <w:r w:rsidR="00C7311D">
        <w:rPr>
          <w:rFonts w:eastAsiaTheme="minorHAnsi"/>
        </w:rPr>
        <w:t>s</w:t>
      </w:r>
      <w:r>
        <w:rPr>
          <w:rFonts w:eastAsiaTheme="minorHAnsi"/>
        </w:rPr>
        <w:t xml:space="preserve"> them to greater risk and uncertainties. </w:t>
      </w:r>
      <w:r w:rsidR="00C7311D">
        <w:rPr>
          <w:rFonts w:eastAsiaTheme="minorHAnsi"/>
        </w:rPr>
        <w:t>Such concentration</w:t>
      </w:r>
      <w:r>
        <w:rPr>
          <w:rFonts w:eastAsiaTheme="minorHAnsi"/>
        </w:rPr>
        <w:t xml:space="preserve"> makes them more vulnerable to external shocks and </w:t>
      </w:r>
      <w:r w:rsidR="00C7311D">
        <w:rPr>
          <w:rFonts w:eastAsiaTheme="minorHAnsi"/>
        </w:rPr>
        <w:t xml:space="preserve">so </w:t>
      </w:r>
      <w:r>
        <w:rPr>
          <w:rFonts w:eastAsiaTheme="minorHAnsi"/>
        </w:rPr>
        <w:t>induce</w:t>
      </w:r>
      <w:r w:rsidR="00C7311D">
        <w:rPr>
          <w:rFonts w:eastAsiaTheme="minorHAnsi"/>
        </w:rPr>
        <w:t>s</w:t>
      </w:r>
      <w:r>
        <w:rPr>
          <w:rFonts w:eastAsiaTheme="minorHAnsi"/>
        </w:rPr>
        <w:t xml:space="preserve"> greater volatility.</w:t>
      </w:r>
      <w:r w:rsidRPr="00937360">
        <w:t xml:space="preserve"> </w:t>
      </w:r>
      <w:r>
        <w:t xml:space="preserve">Therefore, </w:t>
      </w:r>
      <w:r w:rsidRPr="00937360">
        <w:t xml:space="preserve">export diversification should alleviate </w:t>
      </w:r>
      <w:r w:rsidR="007B025A">
        <w:t xml:space="preserve">the </w:t>
      </w:r>
      <w:r w:rsidR="007B025A" w:rsidRPr="00937360">
        <w:t xml:space="preserve">volatility </w:t>
      </w:r>
      <w:r w:rsidRPr="00937360">
        <w:t>effect</w:t>
      </w:r>
      <w:r w:rsidR="007B025A">
        <w:t>s</w:t>
      </w:r>
      <w:r w:rsidRPr="00937360">
        <w:t xml:space="preserve"> of external shock</w:t>
      </w:r>
      <w:r w:rsidR="007B025A">
        <w:t>s</w:t>
      </w:r>
      <w:r w:rsidRPr="00937360">
        <w:t>.</w:t>
      </w:r>
      <w:r>
        <w:t xml:space="preserve"> </w:t>
      </w:r>
      <w:r>
        <w:rPr>
          <w:rFonts w:eastAsiaTheme="minorHAnsi"/>
        </w:rPr>
        <w:t xml:space="preserve"> Furthermore, developing and transition countries are characterised by </w:t>
      </w:r>
      <w:r>
        <w:t>p</w:t>
      </w:r>
      <w:r w:rsidRPr="001A4E4C">
        <w:t>oorly developed financial market and weak monetary</w:t>
      </w:r>
      <w:r w:rsidRPr="00C16B63">
        <w:t xml:space="preserve"> and fiscal policy</w:t>
      </w:r>
      <w:r>
        <w:t xml:space="preserve">, which </w:t>
      </w:r>
      <w:r w:rsidRPr="00C16B63">
        <w:t>lower capacity to hedge against volatility</w:t>
      </w:r>
      <w:r>
        <w:t xml:space="preserve"> compared to developed countries. Hence, </w:t>
      </w:r>
      <w:r>
        <w:rPr>
          <w:rFonts w:eastAsiaTheme="minorHAnsi"/>
        </w:rPr>
        <w:t xml:space="preserve">they </w:t>
      </w:r>
      <w:r w:rsidRPr="00937360">
        <w:t xml:space="preserve">are facing more serious economic consequences from volatility compared to developed </w:t>
      </w:r>
      <w:r>
        <w:t>ones (Jansen</w:t>
      </w:r>
      <w:r w:rsidR="00EB011A">
        <w:t xml:space="preserve"> et al.</w:t>
      </w:r>
      <w:r>
        <w:t>, 2009)</w:t>
      </w:r>
      <w:r w:rsidRPr="00937360">
        <w:t xml:space="preserve">. However, diversification of the sectoral composition of economy may enhance development of financial markets and decrease uncertainty in </w:t>
      </w:r>
      <w:r w:rsidR="00345411">
        <w:t xml:space="preserve">the </w:t>
      </w:r>
      <w:r w:rsidRPr="00937360">
        <w:t>economy.</w:t>
      </w:r>
      <w:r w:rsidRPr="00860802">
        <w:t xml:space="preserve"> </w:t>
      </w:r>
      <w:r>
        <w:t xml:space="preserve">Considering all of this, </w:t>
      </w:r>
      <w:r w:rsidRPr="00860802">
        <w:t xml:space="preserve">it </w:t>
      </w:r>
      <w:r w:rsidR="00345411">
        <w:t>is</w:t>
      </w:r>
      <w:r w:rsidRPr="00860802">
        <w:t xml:space="preserve"> important to discover which policy measures should be used to </w:t>
      </w:r>
      <w:r w:rsidR="00A10409" w:rsidRPr="00A10409">
        <w:rPr>
          <w:highlight w:val="lightGray"/>
        </w:rPr>
        <w:t>promote diversification and so</w:t>
      </w:r>
      <w:r w:rsidR="00A10409">
        <w:t xml:space="preserve"> </w:t>
      </w:r>
      <w:r w:rsidRPr="00860802">
        <w:t>reduce volatility.</w:t>
      </w:r>
    </w:p>
    <w:p w:rsidR="00F960F6" w:rsidRDefault="00F960F6" w:rsidP="00A2793B">
      <w:pPr>
        <w:autoSpaceDE w:val="0"/>
        <w:autoSpaceDN w:val="0"/>
        <w:adjustRightInd w:val="0"/>
        <w:spacing w:line="360" w:lineRule="auto"/>
        <w:jc w:val="both"/>
        <w:rPr>
          <w:rFonts w:eastAsiaTheme="minorHAnsi"/>
          <w:color w:val="231F20"/>
        </w:rPr>
      </w:pPr>
      <w:r>
        <w:rPr>
          <w:rFonts w:eastAsiaTheme="minorHAnsi"/>
          <w:color w:val="231F20"/>
        </w:rPr>
        <w:t xml:space="preserve"> </w:t>
      </w:r>
    </w:p>
    <w:p w:rsidR="00014FC2" w:rsidRPr="009B3963" w:rsidRDefault="00A10409" w:rsidP="00A2793B">
      <w:pPr>
        <w:autoSpaceDE w:val="0"/>
        <w:autoSpaceDN w:val="0"/>
        <w:adjustRightInd w:val="0"/>
        <w:spacing w:line="360" w:lineRule="auto"/>
        <w:jc w:val="both"/>
        <w:rPr>
          <w:rFonts w:eastAsiaTheme="minorHAnsi"/>
          <w:color w:val="231F20"/>
          <w:highlight w:val="lightGray"/>
        </w:rPr>
      </w:pPr>
      <w:r w:rsidRPr="009B3963">
        <w:rPr>
          <w:rFonts w:eastAsiaTheme="minorHAnsi"/>
          <w:color w:val="231F20"/>
          <w:highlight w:val="lightGray"/>
        </w:rPr>
        <w:t>Countries in transition are particularly susceptible to</w:t>
      </w:r>
      <w:r w:rsidR="00E52562" w:rsidRPr="009B3963">
        <w:rPr>
          <w:rFonts w:eastAsiaTheme="minorHAnsi"/>
          <w:color w:val="231F20"/>
          <w:highlight w:val="lightGray"/>
        </w:rPr>
        <w:t xml:space="preserve"> output volatility. </w:t>
      </w:r>
      <w:r w:rsidR="009E1627" w:rsidRPr="009B3963">
        <w:rPr>
          <w:rFonts w:eastAsiaTheme="minorHAnsi"/>
          <w:color w:val="231F20"/>
          <w:highlight w:val="lightGray"/>
        </w:rPr>
        <w:t xml:space="preserve">At the economic level, transition is a process of radical restructuring. </w:t>
      </w:r>
      <w:r w:rsidR="00667FDA" w:rsidRPr="009B3963">
        <w:rPr>
          <w:rFonts w:eastAsiaTheme="minorHAnsi"/>
          <w:color w:val="231F20"/>
          <w:highlight w:val="lightGray"/>
        </w:rPr>
        <w:t>U</w:t>
      </w:r>
      <w:r w:rsidR="009E1627" w:rsidRPr="009B3963">
        <w:rPr>
          <w:rFonts w:eastAsiaTheme="minorHAnsi"/>
          <w:color w:val="231F20"/>
          <w:highlight w:val="lightGray"/>
        </w:rPr>
        <w:t xml:space="preserve">nless the Schumpeterian </w:t>
      </w:r>
      <w:r w:rsidR="0087309F">
        <w:rPr>
          <w:rFonts w:eastAsiaTheme="minorHAnsi"/>
          <w:color w:val="231F20"/>
          <w:highlight w:val="lightGray"/>
        </w:rPr>
        <w:t>output and employment effects</w:t>
      </w:r>
      <w:r w:rsidR="009E1627" w:rsidRPr="009B3963">
        <w:rPr>
          <w:rFonts w:eastAsiaTheme="minorHAnsi"/>
          <w:color w:val="231F20"/>
          <w:highlight w:val="lightGray"/>
        </w:rPr>
        <w:t xml:space="preserve"> of destruction and creati</w:t>
      </w:r>
      <w:r w:rsidRPr="009B3963">
        <w:rPr>
          <w:rFonts w:eastAsiaTheme="minorHAnsi"/>
          <w:color w:val="231F20"/>
          <w:highlight w:val="lightGray"/>
        </w:rPr>
        <w:t>on</w:t>
      </w:r>
      <w:r w:rsidR="009E1627" w:rsidRPr="009B3963">
        <w:rPr>
          <w:rFonts w:eastAsiaTheme="minorHAnsi"/>
          <w:color w:val="231F20"/>
          <w:highlight w:val="lightGray"/>
        </w:rPr>
        <w:t xml:space="preserve"> were to be continuously in balance</w:t>
      </w:r>
      <w:r w:rsidR="00667FDA" w:rsidRPr="009B3963">
        <w:rPr>
          <w:rFonts w:eastAsiaTheme="minorHAnsi"/>
          <w:color w:val="231F20"/>
          <w:highlight w:val="lightGray"/>
        </w:rPr>
        <w:t xml:space="preserve">, a corollary of growth-enhancing restructuring is corresponding </w:t>
      </w:r>
      <w:r w:rsidR="0087309F">
        <w:rPr>
          <w:rFonts w:eastAsiaTheme="minorHAnsi"/>
          <w:color w:val="231F20"/>
          <w:highlight w:val="lightGray"/>
        </w:rPr>
        <w:t xml:space="preserve">output </w:t>
      </w:r>
      <w:r w:rsidR="00667FDA" w:rsidRPr="009B3963">
        <w:rPr>
          <w:rFonts w:eastAsiaTheme="minorHAnsi"/>
          <w:color w:val="231F20"/>
          <w:highlight w:val="lightGray"/>
        </w:rPr>
        <w:t>volatility</w:t>
      </w:r>
      <w:r w:rsidR="00E654A1" w:rsidRPr="009B3963">
        <w:rPr>
          <w:rFonts w:eastAsiaTheme="minorHAnsi"/>
          <w:color w:val="231F20"/>
          <w:highlight w:val="lightGray"/>
        </w:rPr>
        <w:t>, even at the aggregate level</w:t>
      </w:r>
      <w:r w:rsidR="00667FDA" w:rsidRPr="009B3963">
        <w:rPr>
          <w:rFonts w:eastAsiaTheme="minorHAnsi"/>
          <w:color w:val="231F20"/>
          <w:highlight w:val="lightGray"/>
        </w:rPr>
        <w:t xml:space="preserve">. In particular, transition encompasses </w:t>
      </w:r>
      <w:r w:rsidR="009E1627" w:rsidRPr="009B3963">
        <w:rPr>
          <w:rFonts w:eastAsiaTheme="minorHAnsi"/>
          <w:color w:val="231F20"/>
          <w:highlight w:val="lightGray"/>
        </w:rPr>
        <w:t>increasing openness</w:t>
      </w:r>
      <w:r w:rsidR="00667FDA" w:rsidRPr="009B3963">
        <w:rPr>
          <w:rFonts w:eastAsiaTheme="minorHAnsi"/>
          <w:color w:val="231F20"/>
          <w:highlight w:val="lightGray"/>
        </w:rPr>
        <w:t xml:space="preserve">. Yet unless </w:t>
      </w:r>
      <w:r w:rsidR="009E1627" w:rsidRPr="009B3963">
        <w:rPr>
          <w:rFonts w:eastAsiaTheme="minorHAnsi"/>
          <w:color w:val="231F20"/>
          <w:highlight w:val="lightGray"/>
        </w:rPr>
        <w:t xml:space="preserve">the decline of import-competing industries </w:t>
      </w:r>
      <w:r w:rsidR="00667FDA" w:rsidRPr="009B3963">
        <w:rPr>
          <w:rFonts w:eastAsiaTheme="minorHAnsi"/>
          <w:color w:val="231F20"/>
          <w:highlight w:val="lightGray"/>
        </w:rPr>
        <w:t>is</w:t>
      </w:r>
      <w:r w:rsidR="009E1627" w:rsidRPr="009B3963">
        <w:rPr>
          <w:rFonts w:eastAsiaTheme="minorHAnsi"/>
          <w:color w:val="231F20"/>
          <w:highlight w:val="lightGray"/>
        </w:rPr>
        <w:t xml:space="preserve"> exactly offset by the rise of exporting industries</w:t>
      </w:r>
      <w:r w:rsidR="00667FDA" w:rsidRPr="009B3963">
        <w:rPr>
          <w:rFonts w:eastAsiaTheme="minorHAnsi"/>
          <w:color w:val="231F20"/>
          <w:highlight w:val="lightGray"/>
        </w:rPr>
        <w:t xml:space="preserve">, increased openness not only enhances growth but also increases output volatility. </w:t>
      </w:r>
      <w:r w:rsidR="00014FC2" w:rsidRPr="009B3963">
        <w:rPr>
          <w:rFonts w:eastAsiaTheme="minorHAnsi"/>
          <w:color w:val="231F20"/>
          <w:highlight w:val="lightGray"/>
        </w:rPr>
        <w:t xml:space="preserve">In this investigation, we also highlight diversification of production and export lines. The literature suggests that diversification may influence output volatility not only </w:t>
      </w:r>
      <w:r w:rsidR="00014FC2" w:rsidRPr="009B3963">
        <w:rPr>
          <w:rFonts w:eastAsiaTheme="minorHAnsi"/>
          <w:i/>
          <w:color w:val="231F20"/>
          <w:highlight w:val="lightGray"/>
        </w:rPr>
        <w:t>directly</w:t>
      </w:r>
      <w:r w:rsidR="00014FC2" w:rsidRPr="009B3963">
        <w:rPr>
          <w:rFonts w:eastAsiaTheme="minorHAnsi"/>
          <w:color w:val="231F20"/>
          <w:highlight w:val="lightGray"/>
        </w:rPr>
        <w:t xml:space="preserve">, in its own right, but also </w:t>
      </w:r>
      <w:r w:rsidR="00014FC2" w:rsidRPr="009B3963">
        <w:rPr>
          <w:rFonts w:eastAsiaTheme="minorHAnsi"/>
          <w:i/>
          <w:color w:val="231F20"/>
          <w:highlight w:val="lightGray"/>
        </w:rPr>
        <w:t>indirectly</w:t>
      </w:r>
      <w:r w:rsidR="0087309F">
        <w:rPr>
          <w:rFonts w:eastAsiaTheme="minorHAnsi"/>
          <w:color w:val="231F20"/>
          <w:highlight w:val="lightGray"/>
        </w:rPr>
        <w:t xml:space="preserve">, </w:t>
      </w:r>
      <w:r w:rsidR="00014FC2" w:rsidRPr="009B3963">
        <w:rPr>
          <w:rFonts w:eastAsiaTheme="minorHAnsi"/>
          <w:color w:val="231F20"/>
          <w:highlight w:val="lightGray"/>
        </w:rPr>
        <w:t xml:space="preserve">by moderating the influence of openness.   </w:t>
      </w:r>
    </w:p>
    <w:p w:rsidR="00014FC2" w:rsidRPr="009B3963" w:rsidRDefault="00014FC2" w:rsidP="00A2793B">
      <w:pPr>
        <w:autoSpaceDE w:val="0"/>
        <w:autoSpaceDN w:val="0"/>
        <w:adjustRightInd w:val="0"/>
        <w:spacing w:line="360" w:lineRule="auto"/>
        <w:jc w:val="both"/>
        <w:rPr>
          <w:rFonts w:eastAsiaTheme="minorHAnsi"/>
          <w:color w:val="231F20"/>
          <w:highlight w:val="lightGray"/>
        </w:rPr>
      </w:pPr>
    </w:p>
    <w:p w:rsidR="00B4054D" w:rsidRDefault="009D4EB6" w:rsidP="00A2793B">
      <w:pPr>
        <w:autoSpaceDE w:val="0"/>
        <w:autoSpaceDN w:val="0"/>
        <w:adjustRightInd w:val="0"/>
        <w:spacing w:line="360" w:lineRule="auto"/>
        <w:jc w:val="both"/>
        <w:rPr>
          <w:rFonts w:eastAsiaTheme="minorHAnsi"/>
          <w:color w:val="231F20"/>
        </w:rPr>
      </w:pPr>
      <w:r w:rsidRPr="009B3963">
        <w:rPr>
          <w:rFonts w:eastAsiaTheme="minorHAnsi"/>
          <w:color w:val="231F20"/>
          <w:highlight w:val="lightGray"/>
        </w:rPr>
        <w:t xml:space="preserve">This paper also contributes to the small literature analyzing output volatility by </w:t>
      </w:r>
      <w:r w:rsidR="007479F9" w:rsidRPr="009B3963">
        <w:rPr>
          <w:rFonts w:eastAsiaTheme="minorHAnsi"/>
          <w:color w:val="231F20"/>
          <w:highlight w:val="lightGray"/>
        </w:rPr>
        <w:t>estimating</w:t>
      </w:r>
      <w:r w:rsidRPr="009B3963">
        <w:rPr>
          <w:rFonts w:eastAsiaTheme="minorHAnsi"/>
          <w:color w:val="231F20"/>
          <w:highlight w:val="lightGray"/>
        </w:rPr>
        <w:t xml:space="preserve"> </w:t>
      </w:r>
      <w:r w:rsidR="007479F9" w:rsidRPr="009B3963">
        <w:rPr>
          <w:rFonts w:eastAsiaTheme="minorHAnsi"/>
          <w:color w:val="231F20"/>
          <w:highlight w:val="lightGray"/>
        </w:rPr>
        <w:t xml:space="preserve">fixed effects panel models not only by ordinary least squares (OLS) but also by the general method of moments (GMM) </w:t>
      </w:r>
      <w:r w:rsidRPr="009B3963">
        <w:rPr>
          <w:rFonts w:eastAsiaTheme="minorHAnsi"/>
          <w:color w:val="231F20"/>
          <w:highlight w:val="lightGray"/>
        </w:rPr>
        <w:t xml:space="preserve">system </w:t>
      </w:r>
      <w:r w:rsidR="007479F9" w:rsidRPr="009B3963">
        <w:rPr>
          <w:rFonts w:eastAsiaTheme="minorHAnsi"/>
          <w:color w:val="231F20"/>
          <w:highlight w:val="lightGray"/>
        </w:rPr>
        <w:t>approach</w:t>
      </w:r>
      <w:r w:rsidRPr="009B3963">
        <w:rPr>
          <w:rFonts w:eastAsiaTheme="minorHAnsi"/>
          <w:color w:val="231F20"/>
          <w:highlight w:val="lightGray"/>
        </w:rPr>
        <w:t xml:space="preserve">. </w:t>
      </w:r>
      <w:r w:rsidR="007479F9" w:rsidRPr="009B3963">
        <w:rPr>
          <w:rFonts w:eastAsiaTheme="minorHAnsi"/>
          <w:color w:val="231F20"/>
          <w:highlight w:val="lightGray"/>
        </w:rPr>
        <w:t>GMM estimation</w:t>
      </w:r>
      <w:r w:rsidR="00B4054D" w:rsidRPr="009B3963">
        <w:rPr>
          <w:rFonts w:eastAsiaTheme="minorHAnsi"/>
          <w:color w:val="231F20"/>
          <w:highlight w:val="lightGray"/>
        </w:rPr>
        <w:t xml:space="preserve"> </w:t>
      </w:r>
      <w:r w:rsidR="00306FAE" w:rsidRPr="009B3963">
        <w:rPr>
          <w:rFonts w:eastAsiaTheme="minorHAnsi"/>
          <w:color w:val="231F20"/>
          <w:highlight w:val="lightGray"/>
        </w:rPr>
        <w:t xml:space="preserve">is particularly appropriate for panel models, because this approach </w:t>
      </w:r>
      <w:r w:rsidRPr="009B3963">
        <w:rPr>
          <w:rFonts w:eastAsiaTheme="minorHAnsi"/>
          <w:color w:val="231F20"/>
          <w:highlight w:val="lightGray"/>
        </w:rPr>
        <w:t xml:space="preserve">enables us to </w:t>
      </w:r>
      <w:r w:rsidR="00B4054D" w:rsidRPr="009B3963">
        <w:rPr>
          <w:rFonts w:eastAsiaTheme="minorHAnsi"/>
          <w:color w:val="231F20"/>
          <w:highlight w:val="lightGray"/>
        </w:rPr>
        <w:t>address the possibility that openness is potentially endogenous</w:t>
      </w:r>
      <w:r w:rsidR="007479F9" w:rsidRPr="009B3963">
        <w:rPr>
          <w:rFonts w:eastAsiaTheme="minorHAnsi"/>
          <w:color w:val="231F20"/>
          <w:highlight w:val="lightGray"/>
        </w:rPr>
        <w:t xml:space="preserve"> without recourse to </w:t>
      </w:r>
      <w:r w:rsidR="00306FAE" w:rsidRPr="009B3963">
        <w:rPr>
          <w:rFonts w:eastAsiaTheme="minorHAnsi"/>
          <w:color w:val="231F20"/>
          <w:highlight w:val="lightGray"/>
        </w:rPr>
        <w:t>“</w:t>
      </w:r>
      <w:r w:rsidR="007479F9" w:rsidRPr="009B3963">
        <w:rPr>
          <w:rFonts w:eastAsiaTheme="minorHAnsi"/>
          <w:color w:val="231F20"/>
          <w:highlight w:val="lightGray"/>
        </w:rPr>
        <w:t>external</w:t>
      </w:r>
      <w:r w:rsidR="00306FAE" w:rsidRPr="009B3963">
        <w:rPr>
          <w:rFonts w:eastAsiaTheme="minorHAnsi"/>
          <w:color w:val="231F20"/>
          <w:highlight w:val="lightGray"/>
        </w:rPr>
        <w:t>”</w:t>
      </w:r>
      <w:r w:rsidR="007479F9" w:rsidRPr="009B3963">
        <w:rPr>
          <w:rFonts w:eastAsiaTheme="minorHAnsi"/>
          <w:color w:val="231F20"/>
          <w:highlight w:val="lightGray"/>
        </w:rPr>
        <w:t xml:space="preserve"> instruments</w:t>
      </w:r>
      <w:r w:rsidR="00B4054D" w:rsidRPr="009B3963">
        <w:rPr>
          <w:rFonts w:eastAsiaTheme="minorHAnsi"/>
          <w:color w:val="231F20"/>
          <w:highlight w:val="lightGray"/>
        </w:rPr>
        <w:t xml:space="preserve">. </w:t>
      </w:r>
      <w:r w:rsidR="00E343D1" w:rsidRPr="009B3963">
        <w:rPr>
          <w:rFonts w:eastAsiaTheme="minorHAnsi"/>
          <w:color w:val="231F20"/>
          <w:highlight w:val="lightGray"/>
        </w:rPr>
        <w:t>T</w:t>
      </w:r>
      <w:r w:rsidR="00B4054D" w:rsidRPr="009B3963">
        <w:rPr>
          <w:rFonts w:eastAsiaTheme="minorHAnsi"/>
          <w:color w:val="231F20"/>
          <w:highlight w:val="lightGray"/>
        </w:rPr>
        <w:t xml:space="preserve">he potential endogeneity of openness </w:t>
      </w:r>
      <w:r w:rsidR="00E343D1" w:rsidRPr="009B3963">
        <w:rPr>
          <w:rFonts w:eastAsiaTheme="minorHAnsi"/>
          <w:color w:val="231F20"/>
          <w:highlight w:val="lightGray"/>
        </w:rPr>
        <w:t xml:space="preserve">may </w:t>
      </w:r>
      <w:r w:rsidR="00B4054D" w:rsidRPr="009B3963">
        <w:rPr>
          <w:rFonts w:eastAsiaTheme="minorHAnsi"/>
          <w:color w:val="231F20"/>
          <w:highlight w:val="lightGray"/>
        </w:rPr>
        <w:t>arise because both openness and output volatility are jointly determined as aspects of a broader restructuring process under transition</w:t>
      </w:r>
      <w:r w:rsidR="00E343D1" w:rsidRPr="009B3963">
        <w:rPr>
          <w:rFonts w:eastAsiaTheme="minorHAnsi"/>
          <w:color w:val="231F20"/>
          <w:highlight w:val="lightGray"/>
        </w:rPr>
        <w:t>. However, to the extent that the transition</w:t>
      </w:r>
      <w:r w:rsidR="00B4054D" w:rsidRPr="009B3963">
        <w:rPr>
          <w:rFonts w:eastAsiaTheme="minorHAnsi"/>
          <w:color w:val="231F20"/>
          <w:highlight w:val="lightGray"/>
        </w:rPr>
        <w:t xml:space="preserve"> process</w:t>
      </w:r>
      <w:r w:rsidR="00306FAE" w:rsidRPr="009B3963">
        <w:rPr>
          <w:rFonts w:eastAsiaTheme="minorHAnsi"/>
          <w:color w:val="231F20"/>
          <w:highlight w:val="lightGray"/>
        </w:rPr>
        <w:t xml:space="preserve"> in each </w:t>
      </w:r>
      <w:r w:rsidR="00306FAE" w:rsidRPr="009B3963">
        <w:rPr>
          <w:rFonts w:eastAsiaTheme="minorHAnsi"/>
          <w:color w:val="231F20"/>
          <w:highlight w:val="lightGray"/>
        </w:rPr>
        <w:lastRenderedPageBreak/>
        <w:t>country</w:t>
      </w:r>
      <w:r w:rsidR="00B4054D" w:rsidRPr="009B3963">
        <w:rPr>
          <w:rFonts w:eastAsiaTheme="minorHAnsi"/>
          <w:color w:val="231F20"/>
          <w:highlight w:val="lightGray"/>
        </w:rPr>
        <w:t xml:space="preserve"> is conditioned by </w:t>
      </w:r>
      <w:r w:rsidR="00E343D1" w:rsidRPr="009B3963">
        <w:rPr>
          <w:rFonts w:eastAsiaTheme="minorHAnsi"/>
          <w:color w:val="231F20"/>
          <w:highlight w:val="lightGray"/>
        </w:rPr>
        <w:t xml:space="preserve">unobserved </w:t>
      </w:r>
      <w:r w:rsidR="00B4054D" w:rsidRPr="009B3963">
        <w:rPr>
          <w:rFonts w:eastAsiaTheme="minorHAnsi"/>
          <w:color w:val="231F20"/>
          <w:highlight w:val="lightGray"/>
        </w:rPr>
        <w:t xml:space="preserve">factors that are either time invariant (such as the </w:t>
      </w:r>
      <w:r w:rsidR="00306FAE" w:rsidRPr="009B3963">
        <w:rPr>
          <w:rFonts w:eastAsiaTheme="minorHAnsi"/>
          <w:color w:val="231F20"/>
          <w:highlight w:val="lightGray"/>
        </w:rPr>
        <w:t xml:space="preserve">particular </w:t>
      </w:r>
      <w:r w:rsidR="00E343D1" w:rsidRPr="009B3963">
        <w:rPr>
          <w:rFonts w:eastAsiaTheme="minorHAnsi"/>
          <w:color w:val="231F20"/>
          <w:highlight w:val="lightGray"/>
        </w:rPr>
        <w:t>initial</w:t>
      </w:r>
      <w:r w:rsidR="00B4054D" w:rsidRPr="009B3963">
        <w:rPr>
          <w:rFonts w:eastAsiaTheme="minorHAnsi"/>
          <w:color w:val="231F20"/>
          <w:highlight w:val="lightGray"/>
        </w:rPr>
        <w:t xml:space="preserve"> </w:t>
      </w:r>
      <w:r w:rsidR="00E343D1" w:rsidRPr="009B3963">
        <w:rPr>
          <w:rFonts w:eastAsiaTheme="minorHAnsi"/>
          <w:color w:val="231F20"/>
          <w:highlight w:val="lightGray"/>
        </w:rPr>
        <w:t>conditions</w:t>
      </w:r>
      <w:r w:rsidR="00B4054D" w:rsidRPr="009B3963">
        <w:rPr>
          <w:rFonts w:eastAsiaTheme="minorHAnsi"/>
          <w:color w:val="231F20"/>
          <w:highlight w:val="lightGray"/>
        </w:rPr>
        <w:t xml:space="preserve">) </w:t>
      </w:r>
      <w:r w:rsidR="00E343D1" w:rsidRPr="009B3963">
        <w:rPr>
          <w:rFonts w:eastAsiaTheme="minorHAnsi"/>
          <w:color w:val="231F20"/>
          <w:highlight w:val="lightGray"/>
        </w:rPr>
        <w:t>or, at least, “slowly moving” (such as the degree of national consensus and the quality of policy making), we address the potential endogeneity of openness by estimating the determinants of output volatility conditional on country fixed effects. The possibility that openness is potential</w:t>
      </w:r>
      <w:r w:rsidRPr="009B3963">
        <w:rPr>
          <w:rFonts w:eastAsiaTheme="minorHAnsi"/>
          <w:color w:val="231F20"/>
          <w:highlight w:val="lightGray"/>
        </w:rPr>
        <w:t>ly</w:t>
      </w:r>
      <w:r w:rsidR="00E343D1" w:rsidRPr="009B3963">
        <w:rPr>
          <w:rFonts w:eastAsiaTheme="minorHAnsi"/>
          <w:color w:val="231F20"/>
          <w:highlight w:val="lightGray"/>
        </w:rPr>
        <w:t xml:space="preserve"> endogenous to output volatility because of simultaneity is much weaker. </w:t>
      </w:r>
      <w:r w:rsidRPr="009B3963">
        <w:rPr>
          <w:rFonts w:eastAsiaTheme="minorHAnsi"/>
          <w:color w:val="231F20"/>
          <w:highlight w:val="lightGray"/>
        </w:rPr>
        <w:t>N</w:t>
      </w:r>
      <w:r w:rsidR="00E343D1" w:rsidRPr="009B3963">
        <w:rPr>
          <w:rFonts w:eastAsiaTheme="minorHAnsi"/>
          <w:color w:val="231F20"/>
          <w:highlight w:val="lightGray"/>
        </w:rPr>
        <w:t>onetheless</w:t>
      </w:r>
      <w:r w:rsidRPr="009B3963">
        <w:rPr>
          <w:rFonts w:eastAsiaTheme="minorHAnsi"/>
          <w:color w:val="231F20"/>
          <w:highlight w:val="lightGray"/>
        </w:rPr>
        <w:t>, we</w:t>
      </w:r>
      <w:r w:rsidR="00E343D1" w:rsidRPr="009B3963">
        <w:rPr>
          <w:rFonts w:eastAsiaTheme="minorHAnsi"/>
          <w:color w:val="231F20"/>
          <w:highlight w:val="lightGray"/>
        </w:rPr>
        <w:t xml:space="preserve"> allow for this possibility by </w:t>
      </w:r>
      <w:r w:rsidRPr="009B3963">
        <w:rPr>
          <w:rFonts w:eastAsiaTheme="minorHAnsi"/>
          <w:color w:val="231F20"/>
          <w:highlight w:val="lightGray"/>
        </w:rPr>
        <w:t>using system GMM estimation to exploit the “internal” instruments made available by the time-series depth of our panel data. The same approach is used to address the potential endogeneity of our measure of institutional quality.</w:t>
      </w:r>
      <w:r>
        <w:rPr>
          <w:rFonts w:eastAsiaTheme="minorHAnsi"/>
          <w:color w:val="231F20"/>
        </w:rPr>
        <w:t xml:space="preserve">   </w:t>
      </w:r>
      <w:r w:rsidR="00E343D1">
        <w:rPr>
          <w:rFonts w:eastAsiaTheme="minorHAnsi"/>
          <w:color w:val="231F20"/>
        </w:rPr>
        <w:t xml:space="preserve">   </w:t>
      </w:r>
    </w:p>
    <w:p w:rsidR="00E52562" w:rsidRPr="0044335D" w:rsidRDefault="00E52562" w:rsidP="00F960F6">
      <w:pPr>
        <w:autoSpaceDE w:val="0"/>
        <w:autoSpaceDN w:val="0"/>
        <w:adjustRightInd w:val="0"/>
        <w:jc w:val="both"/>
        <w:rPr>
          <w:rFonts w:eastAsiaTheme="minorHAnsi"/>
          <w:color w:val="231F20"/>
        </w:rPr>
      </w:pPr>
    </w:p>
    <w:p w:rsidR="00F960F6" w:rsidRPr="009B66C4" w:rsidRDefault="00F960F6" w:rsidP="00F960F6">
      <w:pPr>
        <w:pStyle w:val="Heading1"/>
      </w:pPr>
      <w:bookmarkStart w:id="1" w:name="_Toc306067608"/>
      <w:r>
        <w:t>2</w:t>
      </w:r>
      <w:r w:rsidRPr="009B66C4">
        <w:t xml:space="preserve">. </w:t>
      </w:r>
      <w:r w:rsidR="00570FCB" w:rsidRPr="00570FCB">
        <w:t>Literature review</w:t>
      </w:r>
      <w:r w:rsidR="00570FCB">
        <w:t xml:space="preserve"> </w:t>
      </w:r>
      <w:bookmarkEnd w:id="1"/>
    </w:p>
    <w:p w:rsidR="00F960F6" w:rsidRDefault="00F960F6" w:rsidP="00F960F6">
      <w:pPr>
        <w:autoSpaceDE w:val="0"/>
        <w:autoSpaceDN w:val="0"/>
        <w:adjustRightInd w:val="0"/>
        <w:spacing w:line="360" w:lineRule="auto"/>
        <w:jc w:val="both"/>
      </w:pPr>
    </w:p>
    <w:p w:rsidR="00F960F6" w:rsidRDefault="00F960F6" w:rsidP="00F960F6">
      <w:pPr>
        <w:autoSpaceDE w:val="0"/>
        <w:autoSpaceDN w:val="0"/>
        <w:adjustRightInd w:val="0"/>
        <w:spacing w:line="360" w:lineRule="auto"/>
        <w:jc w:val="both"/>
      </w:pPr>
      <w:r>
        <w:t xml:space="preserve">Before the latest </w:t>
      </w:r>
      <w:r w:rsidRPr="00D36593">
        <w:t>financial</w:t>
      </w:r>
      <w:r>
        <w:t xml:space="preserve"> and economic crisis, only </w:t>
      </w:r>
      <w:r w:rsidR="00EC4F1C">
        <w:t xml:space="preserve">a </w:t>
      </w:r>
      <w:r>
        <w:t xml:space="preserve">few studies </w:t>
      </w:r>
      <w:r w:rsidR="00EC4F1C">
        <w:t>focused on</w:t>
      </w:r>
      <w:r w:rsidRPr="00D36593">
        <w:t xml:space="preserve"> volatility.</w:t>
      </w:r>
      <w:r>
        <w:t xml:space="preserve"> The crisis opens up the question </w:t>
      </w:r>
      <w:r w:rsidR="00EC4F1C">
        <w:t xml:space="preserve">as to </w:t>
      </w:r>
      <w:r>
        <w:t>how to manage volatility (Haddad and Shepherd, 2011)</w:t>
      </w:r>
      <w:r w:rsidR="00EC4F1C">
        <w:t>. Hence</w:t>
      </w:r>
      <w:r>
        <w:t xml:space="preserve">, the sources of volatility need to be understood. Volatility of output is primarily related to shocks that hit the economy. </w:t>
      </w:r>
      <w:r w:rsidR="00EB011A" w:rsidRPr="000B71A0">
        <w:rPr>
          <w:lang w:val="en-GB"/>
        </w:rPr>
        <w:t>According to Cavallo (2008), the shocks could be domestic or external in origin and</w:t>
      </w:r>
      <w:r w:rsidR="00EC4F1C">
        <w:rPr>
          <w:lang w:val="en-GB"/>
        </w:rPr>
        <w:t>,</w:t>
      </w:r>
      <w:r w:rsidR="00EB011A" w:rsidRPr="000B71A0">
        <w:rPr>
          <w:lang w:val="en-GB"/>
        </w:rPr>
        <w:t xml:space="preserve"> in the case of external shocks</w:t>
      </w:r>
      <w:r w:rsidR="00EC4F1C">
        <w:rPr>
          <w:lang w:val="en-GB"/>
        </w:rPr>
        <w:t>,</w:t>
      </w:r>
      <w:r w:rsidR="00EB011A" w:rsidRPr="000B71A0">
        <w:rPr>
          <w:lang w:val="en-GB"/>
        </w:rPr>
        <w:t xml:space="preserve"> transmitted through trade and/or financial channels.</w:t>
      </w:r>
      <w:r w:rsidR="00EB011A">
        <w:rPr>
          <w:lang w:val="en-GB"/>
        </w:rPr>
        <w:t xml:space="preserve"> </w:t>
      </w:r>
      <w:r w:rsidR="00EC4F1C">
        <w:rPr>
          <w:lang w:val="en-GB"/>
        </w:rPr>
        <w:t>O</w:t>
      </w:r>
      <w:r w:rsidR="00EC4F1C">
        <w:t>ur</w:t>
      </w:r>
      <w:r>
        <w:t xml:space="preserve"> investigation </w:t>
      </w:r>
      <w:r w:rsidR="00EC4F1C">
        <w:t>focusses on</w:t>
      </w:r>
      <w:r>
        <w:t xml:space="preserve"> trade shocks</w:t>
      </w:r>
      <w:r w:rsidR="00EC4F1C">
        <w:t>, which are the primary external source of shocks to transition economies (see Section 2.1 below)</w:t>
      </w:r>
      <w:r>
        <w:t>. Since trade openness expose</w:t>
      </w:r>
      <w:r w:rsidR="00D8712C">
        <w:t>s</w:t>
      </w:r>
      <w:r>
        <w:t xml:space="preserve"> countr</w:t>
      </w:r>
      <w:r w:rsidR="00D8712C">
        <w:t>ies</w:t>
      </w:r>
      <w:r>
        <w:t xml:space="preserve"> to trade shocks, we will explore the effects it has on </w:t>
      </w:r>
      <w:r w:rsidR="00D8712C">
        <w:t xml:space="preserve">output </w:t>
      </w:r>
      <w:r>
        <w:t xml:space="preserve">volatility </w:t>
      </w:r>
      <w:r w:rsidR="00D8712C">
        <w:t>together with</w:t>
      </w:r>
      <w:r>
        <w:t xml:space="preserve"> the strateg</w:t>
      </w:r>
      <w:r w:rsidR="00D8712C">
        <w:t>ies</w:t>
      </w:r>
      <w:r>
        <w:t xml:space="preserve"> </w:t>
      </w:r>
      <w:r w:rsidR="00D8712C">
        <w:t>for</w:t>
      </w:r>
      <w:r>
        <w:t xml:space="preserve"> moderat</w:t>
      </w:r>
      <w:r w:rsidR="00D8712C">
        <w:t>ing</w:t>
      </w:r>
      <w:r>
        <w:t xml:space="preserve"> such effects. </w:t>
      </w:r>
    </w:p>
    <w:p w:rsidR="00F960F6" w:rsidRDefault="00F960F6" w:rsidP="00F960F6">
      <w:pPr>
        <w:autoSpaceDE w:val="0"/>
        <w:autoSpaceDN w:val="0"/>
        <w:adjustRightInd w:val="0"/>
        <w:spacing w:line="360" w:lineRule="auto"/>
        <w:jc w:val="both"/>
      </w:pPr>
    </w:p>
    <w:p w:rsidR="00F960F6" w:rsidRPr="00D8712C" w:rsidRDefault="00F960F6" w:rsidP="00F960F6">
      <w:pPr>
        <w:autoSpaceDE w:val="0"/>
        <w:autoSpaceDN w:val="0"/>
        <w:adjustRightInd w:val="0"/>
        <w:spacing w:line="360" w:lineRule="auto"/>
        <w:jc w:val="both"/>
        <w:rPr>
          <w:rFonts w:eastAsiaTheme="minorHAnsi"/>
        </w:rPr>
      </w:pPr>
      <w:r w:rsidRPr="000B71A0">
        <w:rPr>
          <w:lang w:val="en-GB"/>
        </w:rPr>
        <w:t>While the literature examines the relationship between openness and growth in detail, the openness and growth volatility relation has not been completely clarified (Haddad et al., 2013).   Although many studies investigate the trade openness-volatility relationship (Easterly et al., 2001; Calderon et al</w:t>
      </w:r>
      <w:r w:rsidR="0087309F">
        <w:rPr>
          <w:lang w:val="en-GB"/>
        </w:rPr>
        <w:t>.</w:t>
      </w:r>
      <w:r w:rsidRPr="000B71A0">
        <w:rPr>
          <w:lang w:val="en-GB"/>
        </w:rPr>
        <w:t xml:space="preserve">, 2005; Cavallo, 2008; Jansen et al., 2009; Malik and Temple, 2009; Haddad et al., 2013), openness remains the most controversial of all volatility determinants. It is well-known that trade expose countries to external shocks (Jansen et al., 2009; di Giovanni and Levchenko, 2009) and that external shocks are a source of macroeconomic volatility (Easterly et al., 2001; Kose et al., 2003); yet, greater openness decreases sensitivity to internally induced shocks (such as domestic demand shortage), as more open sectors are less correlated with the rest of the home economy. </w:t>
      </w:r>
    </w:p>
    <w:p w:rsidR="00F960F6" w:rsidRDefault="00F960F6" w:rsidP="00F960F6">
      <w:pPr>
        <w:autoSpaceDE w:val="0"/>
        <w:autoSpaceDN w:val="0"/>
        <w:adjustRightInd w:val="0"/>
        <w:spacing w:line="360" w:lineRule="auto"/>
        <w:jc w:val="both"/>
        <w:rPr>
          <w:lang w:val="en-GB"/>
        </w:rPr>
      </w:pPr>
    </w:p>
    <w:p w:rsidR="00F960F6" w:rsidRPr="000B71A0" w:rsidRDefault="00F960F6" w:rsidP="00F960F6">
      <w:pPr>
        <w:autoSpaceDE w:val="0"/>
        <w:autoSpaceDN w:val="0"/>
        <w:adjustRightInd w:val="0"/>
        <w:spacing w:line="360" w:lineRule="auto"/>
        <w:jc w:val="both"/>
        <w:rPr>
          <w:lang w:val="en-GB"/>
        </w:rPr>
      </w:pPr>
      <w:r w:rsidRPr="000B71A0">
        <w:rPr>
          <w:lang w:val="en-GB"/>
        </w:rPr>
        <w:lastRenderedPageBreak/>
        <w:t>Di Giovanni and Levchenko (2009) find two possible effects of openness on volatility: on the one hand, openness is correlated with sector volatility and export specialization (</w:t>
      </w:r>
      <w:r w:rsidRPr="000B71A0">
        <w:rPr>
          <w:i/>
          <w:lang w:val="en-GB"/>
        </w:rPr>
        <w:t>volatility-enhancing effect</w:t>
      </w:r>
      <w:r w:rsidRPr="000B71A0">
        <w:rPr>
          <w:lang w:val="en-GB"/>
        </w:rPr>
        <w:t>)</w:t>
      </w:r>
      <w:r w:rsidRPr="000B71A0">
        <w:rPr>
          <w:i/>
          <w:lang w:val="en-GB"/>
        </w:rPr>
        <w:t xml:space="preserve">; </w:t>
      </w:r>
      <w:r w:rsidRPr="000B71A0">
        <w:rPr>
          <w:lang w:val="en-GB"/>
        </w:rPr>
        <w:t>on the other, trade could have a volatility-reducing effect as it changes co-movement between sectors within an economy and isolates open sectors from domestic fluctuations (</w:t>
      </w:r>
      <w:r w:rsidRPr="000B71A0">
        <w:rPr>
          <w:i/>
          <w:lang w:val="en-GB"/>
        </w:rPr>
        <w:t>co-movement effect</w:t>
      </w:r>
      <w:r w:rsidRPr="000B71A0">
        <w:rPr>
          <w:lang w:val="en-GB"/>
        </w:rPr>
        <w:t>). Overall in their study, the sign of the coefficient on trade openness reflects which of the</w:t>
      </w:r>
      <w:r w:rsidR="00D8712C">
        <w:rPr>
          <w:lang w:val="en-GB"/>
        </w:rPr>
        <w:t>se</w:t>
      </w:r>
      <w:r w:rsidRPr="000B71A0">
        <w:rPr>
          <w:lang w:val="en-GB"/>
        </w:rPr>
        <w:t xml:space="preserve"> two effects prevails. In their empirical analysis on a wide panel of countries at different levels of development, higher specialization and sector-volatility effects have predominance over the co-movement effect, which results in increased aggregate volatility, especially in countries at lower levels of development. </w:t>
      </w:r>
    </w:p>
    <w:p w:rsidR="00F960F6" w:rsidRDefault="00F960F6" w:rsidP="00F960F6">
      <w:pPr>
        <w:autoSpaceDE w:val="0"/>
        <w:autoSpaceDN w:val="0"/>
        <w:adjustRightInd w:val="0"/>
        <w:spacing w:line="360" w:lineRule="auto"/>
        <w:jc w:val="both"/>
        <w:rPr>
          <w:rFonts w:eastAsiaTheme="minorHAnsi"/>
        </w:rPr>
      </w:pPr>
    </w:p>
    <w:p w:rsidR="00F960F6" w:rsidRDefault="00DD3949" w:rsidP="00DD3949">
      <w:pPr>
        <w:autoSpaceDE w:val="0"/>
        <w:autoSpaceDN w:val="0"/>
        <w:adjustRightInd w:val="0"/>
        <w:spacing w:line="360" w:lineRule="auto"/>
        <w:jc w:val="both"/>
        <w:rPr>
          <w:lang w:val="en-GB"/>
        </w:rPr>
      </w:pPr>
      <w:r w:rsidRPr="000B71A0">
        <w:rPr>
          <w:lang w:val="en-GB"/>
        </w:rPr>
        <w:t xml:space="preserve">In the light of the global economic crisis from 2008, outward orientation particularly attracted attention in the literature (Haddad and Shepherd, 2011). The policy-propositions for developing economies range from building internal markets and supplying domestic demand to implementation of policies to promote domestic tradable sectors but without currency devaluation (Rodrik, 2008). A rising number of studies acknowledge the risks induced by </w:t>
      </w:r>
      <w:r w:rsidR="00EB011A">
        <w:rPr>
          <w:lang w:val="en-GB"/>
        </w:rPr>
        <w:t xml:space="preserve">increased </w:t>
      </w:r>
      <w:r w:rsidRPr="000B71A0">
        <w:rPr>
          <w:lang w:val="en-GB"/>
        </w:rPr>
        <w:t xml:space="preserve">openness, but claim that such risks are manageable. Export diversification is usually proposed as a mechanism that will enable countries to manage risks that arise from trade transmitted volatility and reap the benefits of openness (Eichengreen, 2011; Haddad et al, 2013).  </w:t>
      </w:r>
    </w:p>
    <w:p w:rsidR="00F86A7C" w:rsidRPr="009B66C4" w:rsidRDefault="00F86A7C" w:rsidP="00DD3949">
      <w:pPr>
        <w:autoSpaceDE w:val="0"/>
        <w:autoSpaceDN w:val="0"/>
        <w:adjustRightInd w:val="0"/>
        <w:spacing w:line="360" w:lineRule="auto"/>
        <w:jc w:val="both"/>
      </w:pPr>
    </w:p>
    <w:p w:rsidR="00F960F6" w:rsidRPr="000A1039" w:rsidRDefault="00DD3949" w:rsidP="00F960F6">
      <w:pPr>
        <w:autoSpaceDE w:val="0"/>
        <w:autoSpaceDN w:val="0"/>
        <w:adjustRightInd w:val="0"/>
        <w:spacing w:line="360" w:lineRule="auto"/>
        <w:jc w:val="both"/>
        <w:rPr>
          <w:lang w:val="en-GB"/>
        </w:rPr>
      </w:pPr>
      <w:r w:rsidRPr="000B71A0">
        <w:rPr>
          <w:lang w:val="en-GB"/>
        </w:rPr>
        <w:t>Diversification is generally considered as a strategy for the reduction of volatility. It offers protection against adverse external shocks by providing countries with access to a broader range of global value chains and insurance schemes. A strategy of export diversification is recommended to smooth out a country’s output volatility, by decreasing the country’s vulnerability to demand shocks in the global market.  The issue of export diversification is particularly interesting for commodity-rich countries. Diversification of exports may be desirable to smooth the effects of volatility o</w:t>
      </w:r>
      <w:r w:rsidR="00D8712C">
        <w:rPr>
          <w:lang w:val="en-GB"/>
        </w:rPr>
        <w:t>n</w:t>
      </w:r>
      <w:r w:rsidRPr="000B71A0">
        <w:rPr>
          <w:lang w:val="en-GB"/>
        </w:rPr>
        <w:t xml:space="preserve"> commodity export earnings, although conversely might have a negative influence on resource rents in the case when resources are transferred from more to less profitable industries (Massol and Banal-Est</w:t>
      </w:r>
      <w:r w:rsidR="000A1039">
        <w:rPr>
          <w:lang w:val="en-GB"/>
        </w:rPr>
        <w:t>añol, 2014).</w:t>
      </w:r>
    </w:p>
    <w:p w:rsidR="00DD3949" w:rsidRPr="000B71A0" w:rsidRDefault="00DD3949" w:rsidP="00DD3949">
      <w:pPr>
        <w:autoSpaceDE w:val="0"/>
        <w:autoSpaceDN w:val="0"/>
        <w:adjustRightInd w:val="0"/>
        <w:spacing w:line="360" w:lineRule="auto"/>
        <w:jc w:val="both"/>
        <w:rPr>
          <w:lang w:val="en-GB"/>
        </w:rPr>
      </w:pPr>
      <w:r w:rsidRPr="000B71A0">
        <w:rPr>
          <w:lang w:val="en-GB"/>
        </w:rPr>
        <w:t>Abundant empirical literature confirms the theoretical predictions regarding the influence of export diversi</w:t>
      </w:r>
      <w:r>
        <w:rPr>
          <w:lang w:val="en-GB"/>
        </w:rPr>
        <w:t>fication on output volatility</w:t>
      </w:r>
      <w:r w:rsidRPr="000B71A0">
        <w:rPr>
          <w:lang w:val="en-GB"/>
        </w:rPr>
        <w:t xml:space="preserve">. Malik and Temple (2009) argue that natural barriers to trade such as coastal access or distance from major markets result in a more concentrated structure of </w:t>
      </w:r>
      <w:r w:rsidRPr="000B71A0">
        <w:rPr>
          <w:lang w:val="en-GB"/>
        </w:rPr>
        <w:lastRenderedPageBreak/>
        <w:t xml:space="preserve">exports. Fewer varieties in the export base ultimately increase </w:t>
      </w:r>
      <w:r w:rsidR="00D8712C">
        <w:rPr>
          <w:lang w:val="en-GB"/>
        </w:rPr>
        <w:t>terms of trade (</w:t>
      </w:r>
      <w:r w:rsidRPr="000B71A0">
        <w:rPr>
          <w:lang w:val="en-GB"/>
        </w:rPr>
        <w:t>ToT</w:t>
      </w:r>
      <w:r w:rsidR="00D8712C">
        <w:rPr>
          <w:lang w:val="en-GB"/>
        </w:rPr>
        <w:t>)</w:t>
      </w:r>
      <w:r w:rsidRPr="000B71A0">
        <w:rPr>
          <w:lang w:val="en-GB"/>
        </w:rPr>
        <w:t xml:space="preserve"> volatility and output volatility. The distribution of ToT volatility by group</w:t>
      </w:r>
      <w:r w:rsidR="00571A78">
        <w:rPr>
          <w:lang w:val="en-GB"/>
        </w:rPr>
        <w:t>s</w:t>
      </w:r>
      <w:r w:rsidRPr="000B71A0">
        <w:rPr>
          <w:lang w:val="en-GB"/>
        </w:rPr>
        <w:t xml:space="preserve"> of countries based on their level of export concentration shows that countries with more diversified export baskets have lower terms of trade volatility. As higher concentration translates into greater price shocks and higher volatility of output, export concentration is a possible channel through which geography affects output volatility. </w:t>
      </w:r>
    </w:p>
    <w:p w:rsidR="00DD3949" w:rsidRPr="00EB011A" w:rsidRDefault="00F960F6" w:rsidP="00EB011A">
      <w:pPr>
        <w:tabs>
          <w:tab w:val="center" w:pos="4680"/>
        </w:tabs>
        <w:autoSpaceDE w:val="0"/>
        <w:autoSpaceDN w:val="0"/>
        <w:adjustRightInd w:val="0"/>
        <w:spacing w:line="360" w:lineRule="auto"/>
        <w:jc w:val="both"/>
        <w:rPr>
          <w:i/>
        </w:rPr>
      </w:pPr>
      <w:r w:rsidRPr="006B2492">
        <w:rPr>
          <w:i/>
        </w:rPr>
        <w:tab/>
        <w:t xml:space="preserve">              </w:t>
      </w:r>
      <w:r w:rsidR="00EB011A">
        <w:rPr>
          <w:i/>
        </w:rPr>
        <w:t xml:space="preserve">                          </w:t>
      </w:r>
    </w:p>
    <w:p w:rsidR="00DD3949" w:rsidRDefault="00DD3949" w:rsidP="00F960F6">
      <w:pPr>
        <w:autoSpaceDE w:val="0"/>
        <w:autoSpaceDN w:val="0"/>
        <w:adjustRightInd w:val="0"/>
        <w:spacing w:line="360" w:lineRule="auto"/>
        <w:jc w:val="both"/>
        <w:rPr>
          <w:lang w:val="en-GB"/>
        </w:rPr>
      </w:pPr>
      <w:r w:rsidRPr="000B71A0">
        <w:rPr>
          <w:color w:val="000000"/>
          <w:lang w:val="en-GB"/>
        </w:rPr>
        <w:t xml:space="preserve">Empirical studies find a negative but not always significant effect of export diversification on volatility. Cavalcanti et al. (2012) find that export diversification is an important buffer against commodity price volatility in resource abundant countries. </w:t>
      </w:r>
      <w:r w:rsidRPr="000B71A0">
        <w:rPr>
          <w:lang w:val="en-GB"/>
        </w:rPr>
        <w:t xml:space="preserve">Cavallo (2008) did not find that the degree of export diversification significantly determines output volatility. Calderón and Schmidt-Hebbel (2008) discover a negative relationship between openness and volatility only when exports are diversified.  Similarly, Haddad et al (2013) find that the effect of openness on volatility changes sign from positive to negative as the level of a country’s export diversification increases. In addition, the authors identify a threshold point in terms of their diversification measure above which this reversal happened. The greater diversification of exports should stabilise output, while more concentrated exports are expected to increase output volatility. Diversification is </w:t>
      </w:r>
      <w:r w:rsidR="00571A78">
        <w:rPr>
          <w:lang w:val="en-GB"/>
        </w:rPr>
        <w:t xml:space="preserve">thus </w:t>
      </w:r>
      <w:r w:rsidRPr="000B71A0">
        <w:rPr>
          <w:lang w:val="en-GB"/>
        </w:rPr>
        <w:t xml:space="preserve">significant for volatility only through its moderating effect on openness, but in isolation has no significant impact. However, their estimation on a </w:t>
      </w:r>
      <w:r w:rsidR="00004160">
        <w:rPr>
          <w:lang w:val="en-GB"/>
        </w:rPr>
        <w:t>sub-</w:t>
      </w:r>
      <w:r w:rsidRPr="000B71A0">
        <w:rPr>
          <w:lang w:val="en-GB"/>
        </w:rPr>
        <w:t>sample of high income countries does not establish a stabilising effect of export diversification on output volatility. It implies that those countries have other forms of protection from external shocks, such as developed financial markets. Conversely, Bejan (2006) finds that the interaction term between openness and export product concentration is significant only in advanced economies.</w:t>
      </w:r>
    </w:p>
    <w:p w:rsidR="0084794C" w:rsidRDefault="0084794C" w:rsidP="00F960F6">
      <w:pPr>
        <w:autoSpaceDE w:val="0"/>
        <w:autoSpaceDN w:val="0"/>
        <w:adjustRightInd w:val="0"/>
        <w:spacing w:line="360" w:lineRule="auto"/>
        <w:jc w:val="both"/>
        <w:rPr>
          <w:lang w:val="en-GB"/>
        </w:rPr>
      </w:pPr>
    </w:p>
    <w:p w:rsidR="0084794C" w:rsidRPr="00DD7F53" w:rsidRDefault="0084794C" w:rsidP="0084794C">
      <w:pPr>
        <w:autoSpaceDE w:val="0"/>
        <w:autoSpaceDN w:val="0"/>
        <w:adjustRightInd w:val="0"/>
        <w:spacing w:line="360" w:lineRule="auto"/>
        <w:jc w:val="both"/>
        <w:rPr>
          <w:lang w:val="en-GB"/>
        </w:rPr>
      </w:pPr>
      <w:r w:rsidRPr="00DD7F53">
        <w:rPr>
          <w:lang w:val="en-GB"/>
        </w:rPr>
        <w:t xml:space="preserve">The importance of institutional quality for macroeconomic volatility has been emphasized by prominent scholars (Rodrik, 1998; Acemoglu et al. 2003).  The main point of these studies is that mismanagement of macroeconomic policies, which has usually been part of the research focus of volatility studies, may primarily be attributed to the institutional environment. </w:t>
      </w:r>
      <w:r w:rsidR="00EB011A">
        <w:rPr>
          <w:lang w:val="en-GB"/>
        </w:rPr>
        <w:t xml:space="preserve">According to </w:t>
      </w:r>
      <w:r w:rsidR="00EB011A">
        <w:rPr>
          <w:rFonts w:eastAsiaTheme="minorHAnsi"/>
        </w:rPr>
        <w:t xml:space="preserve">Acemoglu et al. (2003), </w:t>
      </w:r>
      <w:r w:rsidRPr="00DD7F53">
        <w:rPr>
          <w:rFonts w:eastAsiaTheme="minorHAnsi"/>
        </w:rPr>
        <w:t>macroeconomic volatility mainly results from institutional quality</w:t>
      </w:r>
      <w:r w:rsidRPr="00DD7F53">
        <w:rPr>
          <w:lang w:val="en-GB"/>
        </w:rPr>
        <w:t xml:space="preserve">. The author argues that some forms of institutions, such as corruption and </w:t>
      </w:r>
      <w:r w:rsidR="00571A78">
        <w:rPr>
          <w:lang w:val="en-GB"/>
        </w:rPr>
        <w:t xml:space="preserve">(lack of) </w:t>
      </w:r>
      <w:r w:rsidRPr="00DD7F53">
        <w:rPr>
          <w:lang w:val="en-GB"/>
        </w:rPr>
        <w:t xml:space="preserve">property rights, have been recognized as causes of mismanagement and instability. Yet, the literature usually </w:t>
      </w:r>
      <w:r w:rsidRPr="00DD7F53">
        <w:rPr>
          <w:lang w:val="en-GB"/>
        </w:rPr>
        <w:lastRenderedPageBreak/>
        <w:t xml:space="preserve">emphasises macroeconomic policies as the source of crisis.  Rodrik (1999) postulates that the quality of domestic institutions influences macroeconomic volatility by affecting countries' ability to manage external shocks. In this respect, the author </w:t>
      </w:r>
      <w:r w:rsidR="00CA4237">
        <w:rPr>
          <w:lang w:val="en-GB"/>
        </w:rPr>
        <w:t>associates volatility reduction with</w:t>
      </w:r>
      <w:r w:rsidRPr="00DD7F53">
        <w:rPr>
          <w:lang w:val="en-GB"/>
        </w:rPr>
        <w:t xml:space="preserve"> institutions of internal conflict management as proxied by indices of ethnic fractionalization, democratic rights and the quality of government institutions. Th</w:t>
      </w:r>
      <w:r w:rsidR="00555655">
        <w:rPr>
          <w:lang w:val="en-GB"/>
        </w:rPr>
        <w:t>e</w:t>
      </w:r>
      <w:r w:rsidRPr="00DD7F53">
        <w:rPr>
          <w:lang w:val="en-GB"/>
        </w:rPr>
        <w:t xml:space="preserve">se variables are </w:t>
      </w:r>
      <w:r w:rsidR="00571A78">
        <w:rPr>
          <w:lang w:val="en-GB"/>
        </w:rPr>
        <w:t>characterised</w:t>
      </w:r>
      <w:r w:rsidRPr="00DD7F53">
        <w:rPr>
          <w:lang w:val="en-GB"/>
        </w:rPr>
        <w:t xml:space="preserve"> as so called "deep" empirical determinants of macroeconomic stability. While the studies establish that more efficient institutional infrastructure is a pillar of macroeconomic stability, the question remains as to which type of institutions are the most influential in explaining volatility. Very wide categorisation could identify two group</w:t>
      </w:r>
      <w:r w:rsidR="00571A78">
        <w:rPr>
          <w:lang w:val="en-GB"/>
        </w:rPr>
        <w:t>s</w:t>
      </w:r>
      <w:r w:rsidRPr="00DD7F53">
        <w:rPr>
          <w:lang w:val="en-GB"/>
        </w:rPr>
        <w:t xml:space="preserve"> of studies</w:t>
      </w:r>
      <w:r w:rsidR="00571A78">
        <w:rPr>
          <w:lang w:val="en-GB"/>
        </w:rPr>
        <w:t>:</w:t>
      </w:r>
      <w:r w:rsidRPr="00DD7F53">
        <w:rPr>
          <w:lang w:val="en-GB"/>
        </w:rPr>
        <w:t xml:space="preserve"> one that investigates the political regimes as proposed in Rodrik (1998); and the other with a focus on economic institutions in the spirit of Acemoglu et al. (2003).</w:t>
      </w:r>
    </w:p>
    <w:p w:rsidR="0084794C" w:rsidRPr="00DD7F53" w:rsidRDefault="0084794C" w:rsidP="0084794C">
      <w:pPr>
        <w:autoSpaceDE w:val="0"/>
        <w:autoSpaceDN w:val="0"/>
        <w:adjustRightInd w:val="0"/>
        <w:spacing w:line="360" w:lineRule="auto"/>
        <w:jc w:val="both"/>
        <w:rPr>
          <w:lang w:val="en-GB"/>
        </w:rPr>
      </w:pPr>
    </w:p>
    <w:p w:rsidR="0084794C" w:rsidRPr="00DD7F53" w:rsidRDefault="0084794C" w:rsidP="0084794C">
      <w:pPr>
        <w:autoSpaceDE w:val="0"/>
        <w:autoSpaceDN w:val="0"/>
        <w:adjustRightInd w:val="0"/>
        <w:spacing w:line="360" w:lineRule="auto"/>
        <w:jc w:val="both"/>
        <w:rPr>
          <w:lang w:val="en-GB"/>
        </w:rPr>
      </w:pPr>
      <w:r w:rsidRPr="00DD7F53">
        <w:rPr>
          <w:lang w:val="en-GB"/>
        </w:rPr>
        <w:t xml:space="preserve">On </w:t>
      </w:r>
      <w:r w:rsidR="008E02AD">
        <w:rPr>
          <w:lang w:val="en-GB"/>
        </w:rPr>
        <w:t xml:space="preserve">the </w:t>
      </w:r>
      <w:r w:rsidRPr="00DD7F53">
        <w:rPr>
          <w:lang w:val="en-GB"/>
        </w:rPr>
        <w:t>one hand, Rodrik (1998) inspire</w:t>
      </w:r>
      <w:r w:rsidR="008E02AD">
        <w:rPr>
          <w:lang w:val="en-GB"/>
        </w:rPr>
        <w:t>d</w:t>
      </w:r>
      <w:r w:rsidRPr="00DD7F53">
        <w:rPr>
          <w:lang w:val="en-GB"/>
        </w:rPr>
        <w:t xml:space="preserve"> a large number of empirical investigations on the effect of those determinants. Rodrik (1999) explains that in a participatory political structure there is more certainty that the political elite will reach consensus regarding important economic reforms or regarding safeguards in the case of external shocks. Mobarak (2005) finds that democracy supports macroeconomic stability. This result is expected, since a democratic regime is less prone to undertake risky political decisions. Political institutions are the focus of Klomp and de Haan (2009).</w:t>
      </w:r>
      <w:r w:rsidR="00DD7F53" w:rsidRPr="00DD7F53">
        <w:rPr>
          <w:lang w:val="en-GB"/>
        </w:rPr>
        <w:t xml:space="preserve"> They identify measures that capture various dimensions of the political regime and</w:t>
      </w:r>
      <w:r w:rsidR="00DD7F53" w:rsidRPr="00DD7F53">
        <w:rPr>
          <w:rFonts w:eastAsiaTheme="minorHAnsi"/>
        </w:rPr>
        <w:t xml:space="preserve"> group them into three categories: the type of regime</w:t>
      </w:r>
      <w:r w:rsidR="008E02AD">
        <w:rPr>
          <w:rFonts w:eastAsiaTheme="minorHAnsi"/>
        </w:rPr>
        <w:t>;</w:t>
      </w:r>
      <w:r w:rsidR="00DD7F53" w:rsidRPr="00DD7F53">
        <w:rPr>
          <w:rFonts w:eastAsiaTheme="minorHAnsi"/>
        </w:rPr>
        <w:t xml:space="preserve"> the stability of the regime</w:t>
      </w:r>
      <w:r w:rsidR="008E02AD">
        <w:rPr>
          <w:rFonts w:eastAsiaTheme="minorHAnsi"/>
        </w:rPr>
        <w:t>;</w:t>
      </w:r>
      <w:r w:rsidR="00DD7F53" w:rsidRPr="00DD7F53">
        <w:rPr>
          <w:rFonts w:eastAsiaTheme="minorHAnsi"/>
        </w:rPr>
        <w:t xml:space="preserve"> and policy uncertainty. </w:t>
      </w:r>
      <w:r w:rsidRPr="00DD7F53">
        <w:rPr>
          <w:lang w:val="en-GB"/>
        </w:rPr>
        <w:t xml:space="preserve">According to their results, democracy tends to decrease volatility, while regime and government </w:t>
      </w:r>
      <w:r w:rsidR="006A3268">
        <w:rPr>
          <w:lang w:val="en-GB"/>
        </w:rPr>
        <w:t xml:space="preserve">instability </w:t>
      </w:r>
      <w:r w:rsidRPr="00DD7F53">
        <w:rPr>
          <w:lang w:val="en-GB"/>
        </w:rPr>
        <w:t xml:space="preserve">and uncertain fiscal and monetary policy increase output volatility.  Similarly, </w:t>
      </w:r>
      <w:r w:rsidR="00EB011A" w:rsidRPr="000B71A0">
        <w:t>Guillaumont</w:t>
      </w:r>
      <w:r w:rsidR="00EB011A" w:rsidRPr="00DD7F53">
        <w:rPr>
          <w:lang w:val="en-GB"/>
        </w:rPr>
        <w:t xml:space="preserve"> </w:t>
      </w:r>
      <w:r w:rsidRPr="00DD7F53">
        <w:rPr>
          <w:lang w:val="en-GB"/>
        </w:rPr>
        <w:t xml:space="preserve">(2009) finds that high quality of governance is a factor of economic stability and among the determinants of a country's ability to absorb shocks. Likewise, Arin et al. (2011) argues that economic crisis should be better handled when a country has efficient institutions. </w:t>
      </w:r>
      <w:r w:rsidR="008E02AD">
        <w:rPr>
          <w:lang w:val="en-GB"/>
        </w:rPr>
        <w:t>I</w:t>
      </w:r>
      <w:r w:rsidRPr="00DD7F53">
        <w:rPr>
          <w:lang w:val="en-GB"/>
        </w:rPr>
        <w:t>n a sample of OECD countries, they find that a higher level of corruption in a country decreases the probability that a country will successfully consolidate a budget in a period of economic crisis.</w:t>
      </w:r>
    </w:p>
    <w:p w:rsidR="00F86A7C" w:rsidRPr="00DD7F53" w:rsidRDefault="0084794C" w:rsidP="00F960F6">
      <w:pPr>
        <w:autoSpaceDE w:val="0"/>
        <w:autoSpaceDN w:val="0"/>
        <w:adjustRightInd w:val="0"/>
        <w:spacing w:line="360" w:lineRule="auto"/>
        <w:jc w:val="both"/>
      </w:pPr>
      <w:r w:rsidRPr="00DD7F53">
        <w:rPr>
          <w:lang w:val="en-GB"/>
        </w:rPr>
        <w:t xml:space="preserve">On the other hand, researchers focus on the inefficiency of institutions such as inadequate property rights protection or enforcement of contracts. According to Rohn et al. (2009), inadequate property rights protection increases uncertainty and volatility, since such influences on the business climate encourage investors to direct capital into sectors from which it is easy to withdraw investment. </w:t>
      </w:r>
      <w:r w:rsidRPr="00DD7F53">
        <w:rPr>
          <w:lang w:val="en-GB"/>
        </w:rPr>
        <w:lastRenderedPageBreak/>
        <w:t>They find that only the legal and administrative syst</w:t>
      </w:r>
      <w:r w:rsidR="006A3268">
        <w:rPr>
          <w:lang w:val="en-GB"/>
        </w:rPr>
        <w:t>ems explain output volatility in European transition countries</w:t>
      </w:r>
      <w:r w:rsidRPr="00DD7F53">
        <w:rPr>
          <w:lang w:val="en-GB"/>
        </w:rPr>
        <w:t>. However, Ba</w:t>
      </w:r>
      <w:r w:rsidRPr="00DD7F53">
        <w:rPr>
          <w:bCs/>
          <w:lang w:val="en-GB"/>
        </w:rPr>
        <w:t xml:space="preserve">rseghyan and DiCecio (2010) find that protection of property rights has no influence on output volatility, but that entry barriers do have a significant influence. Findings of a direct relationship between entry barriers and output volatility could be explained in the light of </w:t>
      </w:r>
      <w:r w:rsidRPr="00DD7F53">
        <w:rPr>
          <w:rStyle w:val="st"/>
          <w:lang w:val="en-GB"/>
        </w:rPr>
        <w:t xml:space="preserve">a dynamic industry </w:t>
      </w:r>
      <w:r w:rsidRPr="00597D26">
        <w:rPr>
          <w:rStyle w:val="Emphasis"/>
          <w:i w:val="0"/>
          <w:lang w:val="en-GB"/>
        </w:rPr>
        <w:t>model</w:t>
      </w:r>
      <w:r w:rsidRPr="00DD7F53">
        <w:rPr>
          <w:rStyle w:val="st"/>
          <w:lang w:val="en-GB"/>
        </w:rPr>
        <w:t xml:space="preserve"> à la </w:t>
      </w:r>
      <w:r w:rsidRPr="00597D26">
        <w:rPr>
          <w:rStyle w:val="Emphasis"/>
          <w:i w:val="0"/>
          <w:lang w:val="en-GB"/>
        </w:rPr>
        <w:t>Hopenhayn</w:t>
      </w:r>
      <w:r w:rsidRPr="00597D26">
        <w:rPr>
          <w:rStyle w:val="st"/>
          <w:lang w:val="en-GB"/>
        </w:rPr>
        <w:t xml:space="preserve"> (1992) and </w:t>
      </w:r>
      <w:r w:rsidRPr="00597D26">
        <w:rPr>
          <w:rStyle w:val="Emphasis"/>
          <w:i w:val="0"/>
          <w:lang w:val="en-GB"/>
        </w:rPr>
        <w:t>Melitz</w:t>
      </w:r>
      <w:r w:rsidRPr="00597D26">
        <w:rPr>
          <w:rStyle w:val="st"/>
          <w:lang w:val="en-GB"/>
        </w:rPr>
        <w:t xml:space="preserve"> (2003).</w:t>
      </w:r>
      <w:r w:rsidRPr="00DD7F53">
        <w:rPr>
          <w:rStyle w:val="st"/>
          <w:lang w:val="en-GB"/>
        </w:rPr>
        <w:t xml:space="preserve"> These authors argue that higher entry barriers allow low-productiv</w:t>
      </w:r>
      <w:r w:rsidR="00597D26">
        <w:rPr>
          <w:rStyle w:val="st"/>
          <w:lang w:val="en-GB"/>
        </w:rPr>
        <w:t>ity</w:t>
      </w:r>
      <w:r w:rsidRPr="00DD7F53">
        <w:rPr>
          <w:rStyle w:val="st"/>
          <w:lang w:val="en-GB"/>
        </w:rPr>
        <w:t xml:space="preserve"> firms to survive in the market, resulting in more heterogeneity among the firms in the industry. Greater heterogeneity with respect to business efficiency will increase macroeconomic volatility. </w:t>
      </w:r>
      <w:r w:rsidRPr="00DD7F53">
        <w:rPr>
          <w:lang w:val="en-GB"/>
        </w:rPr>
        <w:t xml:space="preserve">Taking a sample of  77 developing countries, Malik and Temple (2009) find institutions (proxied by an aggregated governance index, constraints on the executive, the competitiveness of political participation and the type of government) to be very strong </w:t>
      </w:r>
      <w:r w:rsidR="00DD7F53">
        <w:rPr>
          <w:lang w:val="en-GB"/>
        </w:rPr>
        <w:t>predictors of output volatility.</w:t>
      </w:r>
    </w:p>
    <w:p w:rsidR="00F86A7C" w:rsidRDefault="00F86A7C" w:rsidP="00F960F6">
      <w:pPr>
        <w:autoSpaceDE w:val="0"/>
        <w:autoSpaceDN w:val="0"/>
        <w:adjustRightInd w:val="0"/>
        <w:spacing w:line="360" w:lineRule="auto"/>
        <w:jc w:val="both"/>
        <w:rPr>
          <w:rFonts w:eastAsiaTheme="minorHAnsi"/>
        </w:rPr>
      </w:pPr>
    </w:p>
    <w:p w:rsidR="00CD02D7" w:rsidRPr="009B4ACE" w:rsidRDefault="00F86A7C" w:rsidP="00CD02D7">
      <w:pPr>
        <w:autoSpaceDE w:val="0"/>
        <w:autoSpaceDN w:val="0"/>
        <w:adjustRightInd w:val="0"/>
        <w:spacing w:line="360" w:lineRule="auto"/>
        <w:jc w:val="both"/>
      </w:pPr>
      <w:r>
        <w:t>T</w:t>
      </w:r>
      <w:r w:rsidR="00F960F6" w:rsidRPr="0084794C">
        <w:t>he theoretical and empirical literature</w:t>
      </w:r>
      <w:r w:rsidR="002B2D17">
        <w:t xml:space="preserve"> recognize </w:t>
      </w:r>
      <w:r>
        <w:t xml:space="preserve"> </w:t>
      </w:r>
      <w:r w:rsidR="0084794C">
        <w:t xml:space="preserve">many </w:t>
      </w:r>
      <w:r w:rsidR="00DD7F53">
        <w:t xml:space="preserve">other </w:t>
      </w:r>
      <w:r w:rsidR="0084794C">
        <w:t xml:space="preserve">important factors such as </w:t>
      </w:r>
      <w:r w:rsidR="00F960F6" w:rsidRPr="00F86A7C">
        <w:rPr>
          <w:rFonts w:eastAsiaTheme="minorHAnsi"/>
        </w:rPr>
        <w:t>financial development and capital accoun</w:t>
      </w:r>
      <w:r w:rsidR="00C25411">
        <w:rPr>
          <w:rFonts w:eastAsiaTheme="minorHAnsi"/>
        </w:rPr>
        <w:t>t openness (Easterly et al. 2001</w:t>
      </w:r>
      <w:r w:rsidR="00F960F6" w:rsidRPr="00F86A7C">
        <w:rPr>
          <w:rFonts w:eastAsiaTheme="minorHAnsi"/>
        </w:rPr>
        <w:t>; Cecchetti et al, 2005)</w:t>
      </w:r>
      <w:r w:rsidR="0084794C">
        <w:rPr>
          <w:rFonts w:eastAsiaTheme="minorHAnsi"/>
        </w:rPr>
        <w:t xml:space="preserve">, </w:t>
      </w:r>
      <w:r w:rsidR="00F960F6" w:rsidRPr="0084794C">
        <w:rPr>
          <w:rFonts w:eastAsiaTheme="minorHAnsi"/>
        </w:rPr>
        <w:t xml:space="preserve"> </w:t>
      </w:r>
      <w:r w:rsidR="00F960F6" w:rsidRPr="0084794C">
        <w:rPr>
          <w:rStyle w:val="Emphasis"/>
          <w:i w:val="0"/>
        </w:rPr>
        <w:t>mismanagement of macroeconomic policies, such as fiscal, monetary and exchange rate policies (Hasumann and Ga</w:t>
      </w:r>
      <w:r w:rsidR="00C25411">
        <w:rPr>
          <w:rStyle w:val="Emphasis"/>
          <w:i w:val="0"/>
        </w:rPr>
        <w:t>vin, 1996; Fatas and Mihov, 2006</w:t>
      </w:r>
      <w:r w:rsidR="00F960F6" w:rsidRPr="0084794C">
        <w:rPr>
          <w:rStyle w:val="Emphasis"/>
          <w:i w:val="0"/>
        </w:rPr>
        <w:t>)</w:t>
      </w:r>
      <w:r w:rsidR="00DE22B9">
        <w:rPr>
          <w:rStyle w:val="Emphasis"/>
          <w:i w:val="0"/>
        </w:rPr>
        <w:t>,</w:t>
      </w:r>
      <w:r w:rsidR="00F960F6" w:rsidRPr="0084794C">
        <w:rPr>
          <w:rStyle w:val="Emphasis"/>
          <w:i w:val="0"/>
        </w:rPr>
        <w:t xml:space="preserve"> and</w:t>
      </w:r>
      <w:r w:rsidR="0084794C">
        <w:rPr>
          <w:rStyle w:val="Emphasis"/>
          <w:rFonts w:eastAsiaTheme="minorHAnsi"/>
          <w:i w:val="0"/>
          <w:iCs w:val="0"/>
        </w:rPr>
        <w:t xml:space="preserve"> </w:t>
      </w:r>
      <w:r w:rsidR="00F960F6" w:rsidRPr="0084794C">
        <w:t>the set of usual controls, namely gravity-like variables such a size of the economy, level of economic development and the level of human capital (</w:t>
      </w:r>
      <w:r w:rsidR="00C25411">
        <w:rPr>
          <w:rFonts w:eastAsiaTheme="minorHAnsi"/>
        </w:rPr>
        <w:t>Easterly et al., 2001</w:t>
      </w:r>
      <w:r w:rsidR="00F960F6" w:rsidRPr="0084794C">
        <w:rPr>
          <w:rFonts w:eastAsiaTheme="minorHAnsi"/>
        </w:rPr>
        <w:t>; Bejan, 2006</w:t>
      </w:r>
      <w:r w:rsidR="00F960F6" w:rsidRPr="0084794C">
        <w:t>;</w:t>
      </w:r>
      <w:r w:rsidR="00C25411">
        <w:rPr>
          <w:rFonts w:eastAsiaTheme="minorHAnsi"/>
        </w:rPr>
        <w:t xml:space="preserve"> Caldéron and Schmidt-Hebbel,2008;</w:t>
      </w:r>
      <w:r w:rsidR="00F960F6" w:rsidRPr="0084794C">
        <w:t xml:space="preserve"> Malik and Temple, 2009).</w:t>
      </w:r>
    </w:p>
    <w:p w:rsidR="00F960F6" w:rsidRPr="00136155" w:rsidRDefault="00F960F6" w:rsidP="00F960F6">
      <w:pPr>
        <w:autoSpaceDE w:val="0"/>
        <w:autoSpaceDN w:val="0"/>
        <w:adjustRightInd w:val="0"/>
        <w:spacing w:line="360" w:lineRule="auto"/>
        <w:jc w:val="both"/>
        <w:rPr>
          <w:rFonts w:eastAsiaTheme="minorHAnsi"/>
        </w:rPr>
      </w:pPr>
    </w:p>
    <w:p w:rsidR="00F960F6" w:rsidRPr="003B5CFD" w:rsidRDefault="00CD02D7" w:rsidP="00F960F6">
      <w:pPr>
        <w:autoSpaceDE w:val="0"/>
        <w:autoSpaceDN w:val="0"/>
        <w:adjustRightInd w:val="0"/>
        <w:spacing w:line="360" w:lineRule="auto"/>
        <w:jc w:val="both"/>
      </w:pPr>
      <w:r>
        <w:rPr>
          <w:lang w:val="en-GB"/>
        </w:rPr>
        <w:t>E</w:t>
      </w:r>
      <w:r w:rsidRPr="000B71A0">
        <w:rPr>
          <w:lang w:val="en-GB"/>
        </w:rPr>
        <w:t xml:space="preserve">asier access to foreign financial markets and greater openness of the capital account could help a country to smooth the shock adjustment process, but simultaneously induce greater volatility. </w:t>
      </w:r>
      <w:r w:rsidR="00F960F6">
        <w:t>Increased financial openness creates more opportunities for risk sharing and portfolio diversification that producers and investor can use to reduce risks (Kose et al., 2003; Kim,</w:t>
      </w:r>
      <w:r w:rsidR="00C25411">
        <w:t xml:space="preserve"> 2007). Hausmann and Gavin (1996</w:t>
      </w:r>
      <w:r w:rsidR="00F960F6">
        <w:t>) see developed financial market as shock absorbers that help countries to stabilise output in time</w:t>
      </w:r>
      <w:r w:rsidR="00597D26">
        <w:t>s</w:t>
      </w:r>
      <w:r w:rsidR="00F960F6">
        <w:t xml:space="preserve"> of crisis.  Better access to credit, </w:t>
      </w:r>
      <w:r w:rsidR="00597D26">
        <w:t>which</w:t>
      </w:r>
      <w:r w:rsidR="00F960F6">
        <w:t xml:space="preserve"> comes with greater integration of </w:t>
      </w:r>
      <w:r w:rsidR="00DE22B9">
        <w:t xml:space="preserve">a </w:t>
      </w:r>
      <w:r w:rsidR="00F960F6">
        <w:t xml:space="preserve">country’s financial market into </w:t>
      </w:r>
      <w:r w:rsidR="00597D26">
        <w:t xml:space="preserve">the </w:t>
      </w:r>
      <w:r w:rsidR="00F960F6">
        <w:t xml:space="preserve">global market, </w:t>
      </w:r>
      <w:r w:rsidR="00597D26">
        <w:rPr>
          <w:rFonts w:eastAsiaTheme="minorHAnsi"/>
        </w:rPr>
        <w:t>sustains</w:t>
      </w:r>
      <w:r w:rsidR="00F960F6">
        <w:rPr>
          <w:rFonts w:eastAsiaTheme="minorHAnsi"/>
        </w:rPr>
        <w:t xml:space="preserve"> demand during a negative output shock (Aizeman and Pinto, 2005).  </w:t>
      </w:r>
      <w:r w:rsidRPr="000B71A0">
        <w:rPr>
          <w:rFonts w:eastAsia="Cambria"/>
          <w:lang w:val="en-GB"/>
        </w:rPr>
        <w:t>On other hand, greater dependence on credit might make a country</w:t>
      </w:r>
      <w:r w:rsidR="00C25411">
        <w:rPr>
          <w:rFonts w:eastAsia="Cambria"/>
          <w:lang w:val="en-GB"/>
        </w:rPr>
        <w:t xml:space="preserve"> more vulnerable (Easterly, 2001</w:t>
      </w:r>
      <w:r w:rsidRPr="000B71A0">
        <w:rPr>
          <w:rFonts w:eastAsia="Cambria"/>
          <w:lang w:val="en-GB"/>
        </w:rPr>
        <w:t>).</w:t>
      </w:r>
      <w:r w:rsidRPr="000B71A0">
        <w:rPr>
          <w:lang w:val="en-GB"/>
        </w:rPr>
        <w:t xml:space="preserve"> However, investor</w:t>
      </w:r>
      <w:r w:rsidR="00597D26">
        <w:rPr>
          <w:lang w:val="en-GB"/>
        </w:rPr>
        <w:t>s</w:t>
      </w:r>
      <w:r w:rsidRPr="000B71A0">
        <w:rPr>
          <w:lang w:val="en-GB"/>
        </w:rPr>
        <w:t xml:space="preserve"> could </w:t>
      </w:r>
      <w:r w:rsidR="00597D26">
        <w:rPr>
          <w:lang w:val="en-GB"/>
        </w:rPr>
        <w:t>more easily</w:t>
      </w:r>
      <w:r w:rsidRPr="000B71A0">
        <w:rPr>
          <w:lang w:val="en-GB"/>
        </w:rPr>
        <w:t xml:space="preserve"> </w:t>
      </w:r>
      <w:r w:rsidR="00597D26">
        <w:rPr>
          <w:lang w:val="en-GB"/>
        </w:rPr>
        <w:t>withdraw</w:t>
      </w:r>
      <w:r w:rsidRPr="000B71A0">
        <w:rPr>
          <w:lang w:val="en-GB"/>
        </w:rPr>
        <w:t xml:space="preserve"> invested money in a period when firm</w:t>
      </w:r>
      <w:r w:rsidR="00DE22B9">
        <w:rPr>
          <w:lang w:val="en-GB"/>
        </w:rPr>
        <w:t>s</w:t>
      </w:r>
      <w:r w:rsidRPr="000B71A0">
        <w:rPr>
          <w:lang w:val="en-GB"/>
        </w:rPr>
        <w:t xml:space="preserve"> or financial institution</w:t>
      </w:r>
      <w:r w:rsidR="00DE22B9">
        <w:rPr>
          <w:lang w:val="en-GB"/>
        </w:rPr>
        <w:t>s</w:t>
      </w:r>
      <w:r w:rsidRPr="000B71A0">
        <w:rPr>
          <w:lang w:val="en-GB"/>
        </w:rPr>
        <w:t xml:space="preserve"> </w:t>
      </w:r>
      <w:r w:rsidR="00DE22B9">
        <w:rPr>
          <w:lang w:val="en-GB"/>
        </w:rPr>
        <w:t>are</w:t>
      </w:r>
      <w:r w:rsidRPr="000B71A0">
        <w:rPr>
          <w:lang w:val="en-GB"/>
        </w:rPr>
        <w:t xml:space="preserve"> weakening. In turn, this could further slowdown the performance of firms and institutions and potentially intensify economic </w:t>
      </w:r>
      <w:r w:rsidRPr="000B71A0">
        <w:rPr>
          <w:lang w:val="en-GB"/>
        </w:rPr>
        <w:lastRenderedPageBreak/>
        <w:t>downturn.</w:t>
      </w:r>
      <w:r w:rsidRPr="000B71A0">
        <w:rPr>
          <w:rFonts w:eastAsia="Cambria"/>
          <w:lang w:val="en-GB"/>
        </w:rPr>
        <w:t xml:space="preserve"> Empirical findings are not always robust.</w:t>
      </w:r>
      <w:r>
        <w:rPr>
          <w:rFonts w:eastAsia="Cambria"/>
          <w:lang w:val="en-GB"/>
        </w:rPr>
        <w:t xml:space="preserve"> </w:t>
      </w:r>
      <w:r w:rsidR="00F960F6">
        <w:rPr>
          <w:rFonts w:eastAsiaTheme="minorHAnsi"/>
        </w:rPr>
        <w:t xml:space="preserve">Some studies argue that </w:t>
      </w:r>
      <w:r w:rsidR="00597D26">
        <w:rPr>
          <w:rFonts w:eastAsiaTheme="minorHAnsi"/>
        </w:rPr>
        <w:t xml:space="preserve">the </w:t>
      </w:r>
      <w:r w:rsidR="00F960F6">
        <w:rPr>
          <w:rFonts w:eastAsiaTheme="minorHAnsi"/>
        </w:rPr>
        <w:t>sign of trade openness on output volatility var</w:t>
      </w:r>
      <w:r w:rsidR="00597D26">
        <w:rPr>
          <w:rFonts w:eastAsiaTheme="minorHAnsi"/>
        </w:rPr>
        <w:t>ies</w:t>
      </w:r>
      <w:r w:rsidR="00F960F6">
        <w:rPr>
          <w:rFonts w:eastAsiaTheme="minorHAnsi"/>
        </w:rPr>
        <w:t xml:space="preserve"> with </w:t>
      </w:r>
      <w:r w:rsidR="00597D26">
        <w:rPr>
          <w:rFonts w:eastAsiaTheme="minorHAnsi"/>
        </w:rPr>
        <w:t xml:space="preserve">the </w:t>
      </w:r>
      <w:r w:rsidR="00F960F6">
        <w:rPr>
          <w:rFonts w:eastAsiaTheme="minorHAnsi"/>
        </w:rPr>
        <w:t xml:space="preserve">development of financial sectors. Cavallo (2007) </w:t>
      </w:r>
      <w:r w:rsidR="00C25411">
        <w:rPr>
          <w:rFonts w:eastAsiaTheme="minorHAnsi"/>
        </w:rPr>
        <w:t>argue that m</w:t>
      </w:r>
      <w:r w:rsidR="00F960F6">
        <w:rPr>
          <w:rFonts w:eastAsiaTheme="minorHAnsi"/>
        </w:rPr>
        <w:t xml:space="preserve">ore opportunities to credit access in more open economies should help countries to more easily overcome fluctuations in output. The author finds that </w:t>
      </w:r>
      <w:r w:rsidR="00597D26">
        <w:rPr>
          <w:rFonts w:eastAsiaTheme="minorHAnsi"/>
        </w:rPr>
        <w:t xml:space="preserve">the </w:t>
      </w:r>
      <w:r w:rsidR="00DE22B9">
        <w:rPr>
          <w:rFonts w:eastAsiaTheme="minorHAnsi"/>
        </w:rPr>
        <w:t>volatility increasing</w:t>
      </w:r>
      <w:r w:rsidR="00F960F6">
        <w:rPr>
          <w:rFonts w:eastAsiaTheme="minorHAnsi"/>
        </w:rPr>
        <w:t xml:space="preserve"> effect of openness is more pronounced in countries that are more exposed to capital flows.  </w:t>
      </w:r>
    </w:p>
    <w:p w:rsidR="00F960F6" w:rsidRDefault="00F960F6" w:rsidP="00F960F6">
      <w:pPr>
        <w:autoSpaceDE w:val="0"/>
        <w:autoSpaceDN w:val="0"/>
        <w:adjustRightInd w:val="0"/>
        <w:rPr>
          <w:rFonts w:ascii="Berling-Roman" w:eastAsiaTheme="minorHAnsi" w:hAnsi="Berling-Roman" w:cs="Berling-Roman"/>
        </w:rPr>
      </w:pPr>
    </w:p>
    <w:p w:rsidR="00F960F6" w:rsidRDefault="00F960F6" w:rsidP="00F960F6">
      <w:pPr>
        <w:autoSpaceDE w:val="0"/>
        <w:autoSpaceDN w:val="0"/>
        <w:adjustRightInd w:val="0"/>
        <w:spacing w:line="360" w:lineRule="auto"/>
        <w:jc w:val="both"/>
        <w:rPr>
          <w:rFonts w:eastAsiaTheme="minorHAnsi"/>
        </w:rPr>
      </w:pPr>
      <w:r w:rsidRPr="009370F0">
        <w:rPr>
          <w:rFonts w:eastAsiaTheme="minorHAnsi"/>
        </w:rPr>
        <w:t>In developing economies poor macroeconomic policies have</w:t>
      </w:r>
      <w:r>
        <w:rPr>
          <w:rFonts w:eastAsiaTheme="minorHAnsi"/>
        </w:rPr>
        <w:t xml:space="preserve"> been identified as an important </w:t>
      </w:r>
      <w:r w:rsidRPr="009370F0">
        <w:rPr>
          <w:rFonts w:eastAsiaTheme="minorHAnsi"/>
        </w:rPr>
        <w:t>cause of volatility of macroeconomic volatility.</w:t>
      </w:r>
      <w:r w:rsidRPr="00F92820">
        <w:rPr>
          <w:rFonts w:eastAsiaTheme="minorHAnsi"/>
        </w:rPr>
        <w:t xml:space="preserve"> </w:t>
      </w:r>
      <w:r>
        <w:rPr>
          <w:rFonts w:eastAsiaTheme="minorHAnsi"/>
        </w:rPr>
        <w:t xml:space="preserve"> For example, Hausmann and Gavin </w:t>
      </w:r>
      <w:r w:rsidR="00671528">
        <w:rPr>
          <w:rFonts w:eastAsiaTheme="minorHAnsi"/>
        </w:rPr>
        <w:t>(1995) and Fatas and Mihov (2006</w:t>
      </w:r>
      <w:r>
        <w:rPr>
          <w:rFonts w:eastAsiaTheme="minorHAnsi"/>
        </w:rPr>
        <w:t>) argue that mismanagement of fiscal and monetary policy, including exchange rate policy, lead to output instability. Rohn et al. (2009) find significant and positive effec</w:t>
      </w:r>
      <w:r w:rsidR="005148C4">
        <w:rPr>
          <w:rFonts w:eastAsiaTheme="minorHAnsi"/>
        </w:rPr>
        <w:t>ts</w:t>
      </w:r>
      <w:r>
        <w:rPr>
          <w:rFonts w:eastAsiaTheme="minorHAnsi"/>
        </w:rPr>
        <w:t xml:space="preserve"> of inflation and exchange rate variation on output volat</w:t>
      </w:r>
      <w:r w:rsidR="00671528">
        <w:rPr>
          <w:rFonts w:eastAsiaTheme="minorHAnsi"/>
        </w:rPr>
        <w:t xml:space="preserve">ility in transition economies. </w:t>
      </w:r>
      <w:r w:rsidR="00597D26" w:rsidRPr="00121375">
        <w:rPr>
          <w:rFonts w:eastAsiaTheme="minorHAnsi"/>
          <w:highlight w:val="lightGray"/>
        </w:rPr>
        <w:t>Section 2.1 focusses the literature review more specifically on output volatility in the context of transition.</w:t>
      </w:r>
    </w:p>
    <w:p w:rsidR="005B47EE" w:rsidRDefault="005B47EE" w:rsidP="00F960F6">
      <w:pPr>
        <w:autoSpaceDE w:val="0"/>
        <w:autoSpaceDN w:val="0"/>
        <w:adjustRightInd w:val="0"/>
        <w:spacing w:line="360" w:lineRule="auto"/>
        <w:jc w:val="both"/>
        <w:rPr>
          <w:rFonts w:eastAsiaTheme="minorHAnsi"/>
        </w:rPr>
      </w:pPr>
    </w:p>
    <w:p w:rsidR="005B47EE" w:rsidRPr="006F4082" w:rsidRDefault="00121375" w:rsidP="005B47EE">
      <w:pPr>
        <w:autoSpaceDE w:val="0"/>
        <w:autoSpaceDN w:val="0"/>
        <w:adjustRightInd w:val="0"/>
        <w:spacing w:line="360" w:lineRule="auto"/>
        <w:jc w:val="both"/>
        <w:rPr>
          <w:rFonts w:eastAsiaTheme="minorHAnsi"/>
          <w:b/>
          <w:bCs/>
          <w:i/>
          <w:highlight w:val="lightGray"/>
          <w:lang w:val="en-GB"/>
        </w:rPr>
      </w:pPr>
      <w:bookmarkStart w:id="2" w:name="_Toc399399204"/>
      <w:bookmarkStart w:id="3" w:name="_Toc290147794"/>
      <w:bookmarkStart w:id="4" w:name="_Toc426008982"/>
      <w:r w:rsidRPr="006F4082">
        <w:rPr>
          <w:rFonts w:eastAsiaTheme="minorHAnsi"/>
          <w:b/>
          <w:bCs/>
          <w:i/>
          <w:highlight w:val="lightGray"/>
          <w:lang w:val="en-GB"/>
        </w:rPr>
        <w:t>2</w:t>
      </w:r>
      <w:r w:rsidR="005B47EE" w:rsidRPr="006F4082">
        <w:rPr>
          <w:rFonts w:eastAsiaTheme="minorHAnsi"/>
          <w:b/>
          <w:bCs/>
          <w:i/>
          <w:highlight w:val="lightGray"/>
          <w:lang w:val="en-GB"/>
        </w:rPr>
        <w:t>.</w:t>
      </w:r>
      <w:r w:rsidRPr="006F4082">
        <w:rPr>
          <w:rFonts w:eastAsiaTheme="minorHAnsi"/>
          <w:b/>
          <w:bCs/>
          <w:i/>
          <w:highlight w:val="lightGray"/>
          <w:lang w:val="en-GB"/>
        </w:rPr>
        <w:t>1</w:t>
      </w:r>
      <w:r w:rsidR="005B47EE" w:rsidRPr="006F4082">
        <w:rPr>
          <w:rFonts w:eastAsiaTheme="minorHAnsi"/>
          <w:b/>
          <w:bCs/>
          <w:i/>
          <w:highlight w:val="lightGray"/>
          <w:lang w:val="en-GB"/>
        </w:rPr>
        <w:t>. Output volatility in transition economies</w:t>
      </w:r>
      <w:bookmarkEnd w:id="2"/>
      <w:bookmarkEnd w:id="3"/>
      <w:bookmarkEnd w:id="4"/>
    </w:p>
    <w:p w:rsidR="005B47EE" w:rsidRPr="006F4082" w:rsidRDefault="005B47EE" w:rsidP="005B47EE">
      <w:pPr>
        <w:autoSpaceDE w:val="0"/>
        <w:autoSpaceDN w:val="0"/>
        <w:adjustRightInd w:val="0"/>
        <w:spacing w:line="360" w:lineRule="auto"/>
        <w:jc w:val="both"/>
        <w:rPr>
          <w:rFonts w:eastAsiaTheme="minorHAnsi"/>
          <w:highlight w:val="lightGray"/>
          <w:lang w:val="en-GB"/>
        </w:rPr>
      </w:pPr>
    </w:p>
    <w:p w:rsidR="003963CB" w:rsidRPr="00AC5A65" w:rsidRDefault="005B47EE" w:rsidP="00305FEC">
      <w:pPr>
        <w:autoSpaceDE w:val="0"/>
        <w:autoSpaceDN w:val="0"/>
        <w:adjustRightInd w:val="0"/>
        <w:spacing w:line="360" w:lineRule="auto"/>
        <w:jc w:val="both"/>
        <w:rPr>
          <w:rFonts w:ascii="TimesNewRoman" w:eastAsiaTheme="minorHAnsi" w:hAnsi="TimesNewRoman" w:cs="TimesNewRoman"/>
        </w:rPr>
      </w:pPr>
      <w:r w:rsidRPr="00AC5A65">
        <w:rPr>
          <w:rFonts w:eastAsiaTheme="minorHAnsi"/>
          <w:highlight w:val="lightGray"/>
          <w:lang w:val="en-GB"/>
        </w:rPr>
        <w:t>Before the onset of transition, the national outputs of the centrally planned economies were not characterised by high volatility. After the process of transition started, output became increasingly volatile.</w:t>
      </w:r>
      <w:r w:rsidR="00971A87" w:rsidRPr="00AC5A65">
        <w:rPr>
          <w:rStyle w:val="FootnoteReference"/>
          <w:rFonts w:eastAsiaTheme="minorHAnsi"/>
          <w:highlight w:val="lightGray"/>
          <w:lang w:val="en-GB"/>
        </w:rPr>
        <w:footnoteReference w:id="1"/>
      </w:r>
      <w:r w:rsidR="00305FEC" w:rsidRPr="00AC5A65">
        <w:rPr>
          <w:rFonts w:eastAsiaTheme="minorHAnsi"/>
          <w:lang w:val="en-GB"/>
        </w:rPr>
        <w:t xml:space="preserve"> </w:t>
      </w:r>
      <w:r w:rsidR="005A213E" w:rsidRPr="006414AE">
        <w:rPr>
          <w:rFonts w:eastAsiaTheme="minorHAnsi"/>
          <w:highlight w:val="lightGray"/>
          <w:lang w:val="en-GB"/>
        </w:rPr>
        <w:t xml:space="preserve">Some studies </w:t>
      </w:r>
      <w:r w:rsidR="005A213E" w:rsidRPr="006414AE">
        <w:rPr>
          <w:rFonts w:ascii="TimesNewRoman" w:eastAsiaTheme="minorHAnsi" w:hAnsi="TimesNewRoman" w:cs="TimesNewRoman"/>
          <w:highlight w:val="lightGray"/>
        </w:rPr>
        <w:t>find similarities in business cycle</w:t>
      </w:r>
      <w:r w:rsidR="00AC5A65" w:rsidRPr="006414AE">
        <w:rPr>
          <w:rFonts w:ascii="TimesNewRoman" w:eastAsiaTheme="minorHAnsi" w:hAnsi="TimesNewRoman" w:cs="TimesNewRoman"/>
          <w:highlight w:val="lightGray"/>
        </w:rPr>
        <w:t>s</w:t>
      </w:r>
      <w:r w:rsidR="005A213E" w:rsidRPr="006414AE">
        <w:rPr>
          <w:rFonts w:ascii="TimesNewRoman" w:eastAsiaTheme="minorHAnsi" w:hAnsi="TimesNewRoman" w:cs="TimesNewRoman"/>
          <w:highlight w:val="lightGray"/>
        </w:rPr>
        <w:t xml:space="preserve"> in some</w:t>
      </w:r>
      <w:r w:rsidR="003963CB" w:rsidRPr="006414AE">
        <w:rPr>
          <w:rFonts w:ascii="TimesNewRoman" w:eastAsiaTheme="minorHAnsi" w:hAnsi="TimesNewRoman" w:cs="TimesNewRoman"/>
          <w:highlight w:val="lightGray"/>
        </w:rPr>
        <w:t xml:space="preserve"> </w:t>
      </w:r>
      <w:r w:rsidR="003963CB" w:rsidRPr="006414AE">
        <w:rPr>
          <w:rFonts w:eastAsiaTheme="minorHAnsi"/>
          <w:highlight w:val="lightGray"/>
          <w:lang w:val="en-GB"/>
        </w:rPr>
        <w:t>Central Eastern Europe</w:t>
      </w:r>
      <w:r w:rsidR="005A213E" w:rsidRPr="006414AE">
        <w:rPr>
          <w:rFonts w:eastAsiaTheme="minorHAnsi"/>
          <w:highlight w:val="lightGray"/>
          <w:lang w:val="en-GB"/>
        </w:rPr>
        <w:t xml:space="preserve"> countries and the euro area, but </w:t>
      </w:r>
      <w:r w:rsidR="005A213E" w:rsidRPr="006414AE">
        <w:rPr>
          <w:rFonts w:eastAsiaTheme="minorHAnsi"/>
          <w:highlight w:val="lightGray"/>
        </w:rPr>
        <w:t>rather idiosyncratic behavior of business cycle</w:t>
      </w:r>
      <w:r w:rsidR="00AC5A65" w:rsidRPr="006414AE">
        <w:rPr>
          <w:rFonts w:eastAsiaTheme="minorHAnsi"/>
          <w:highlight w:val="lightGray"/>
        </w:rPr>
        <w:t>s</w:t>
      </w:r>
      <w:r w:rsidR="005A213E" w:rsidRPr="006414AE">
        <w:rPr>
          <w:rFonts w:eastAsiaTheme="minorHAnsi"/>
          <w:highlight w:val="lightGray"/>
        </w:rPr>
        <w:t xml:space="preserve"> in others</w:t>
      </w:r>
      <w:r w:rsidR="005A213E" w:rsidRPr="006414AE">
        <w:rPr>
          <w:rFonts w:eastAsiaTheme="minorHAnsi"/>
          <w:highlight w:val="lightGray"/>
          <w:lang w:val="en-GB"/>
        </w:rPr>
        <w:t xml:space="preserve"> (</w:t>
      </w:r>
      <w:r w:rsidR="005A213E" w:rsidRPr="006414AE">
        <w:rPr>
          <w:rFonts w:ascii="TimesNewRoman" w:eastAsiaTheme="minorHAnsi" w:hAnsi="TimesNewRoman" w:cs="TimesNewRoman"/>
          <w:highlight w:val="lightGray"/>
        </w:rPr>
        <w:t xml:space="preserve">Fidrmuc and Korhonen, </w:t>
      </w:r>
      <w:r w:rsidR="00D806DC" w:rsidRPr="006414AE">
        <w:rPr>
          <w:rFonts w:ascii="TimesNewRoman" w:eastAsiaTheme="minorHAnsi" w:hAnsi="TimesNewRoman" w:cs="TimesNewRoman"/>
          <w:highlight w:val="lightGray"/>
        </w:rPr>
        <w:t>2006;</w:t>
      </w:r>
      <w:r w:rsidR="0047783E">
        <w:rPr>
          <w:rFonts w:ascii="TimesNewRoman" w:eastAsiaTheme="minorHAnsi" w:hAnsi="TimesNewRoman" w:cs="TimesNewRoman"/>
          <w:highlight w:val="lightGray"/>
        </w:rPr>
        <w:t xml:space="preserve"> </w:t>
      </w:r>
      <w:r w:rsidR="00D806DC" w:rsidRPr="006414AE">
        <w:rPr>
          <w:rFonts w:ascii="TimesNewRoman" w:eastAsiaTheme="minorHAnsi" w:hAnsi="TimesNewRoman" w:cs="TimesNewRoman"/>
          <w:highlight w:val="lightGray"/>
        </w:rPr>
        <w:t>Artis et al., 2008</w:t>
      </w:r>
      <w:r w:rsidR="005A213E" w:rsidRPr="006414AE">
        <w:rPr>
          <w:rFonts w:ascii="TimesNewRoman" w:eastAsiaTheme="minorHAnsi" w:hAnsi="TimesNewRoman" w:cs="TimesNewRoman"/>
          <w:highlight w:val="lightGray"/>
        </w:rPr>
        <w:t>).</w:t>
      </w:r>
    </w:p>
    <w:p w:rsidR="006F4082" w:rsidRPr="00305FEC" w:rsidRDefault="005B47EE" w:rsidP="00305FEC">
      <w:pPr>
        <w:autoSpaceDE w:val="0"/>
        <w:autoSpaceDN w:val="0"/>
        <w:adjustRightInd w:val="0"/>
        <w:spacing w:line="360" w:lineRule="auto"/>
        <w:jc w:val="both"/>
        <w:rPr>
          <w:rFonts w:eastAsiaTheme="minorHAnsi"/>
          <w:lang w:val="en-GB"/>
        </w:rPr>
      </w:pPr>
      <w:r w:rsidRPr="006F4082">
        <w:rPr>
          <w:rFonts w:eastAsiaTheme="minorHAnsi"/>
          <w:highlight w:val="lightGray"/>
          <w:lang w:val="en-GB"/>
        </w:rPr>
        <w:t xml:space="preserve">Yet, to date </w:t>
      </w:r>
      <w:r w:rsidR="003F4AD7">
        <w:rPr>
          <w:rFonts w:eastAsiaTheme="minorHAnsi"/>
          <w:highlight w:val="lightGray"/>
          <w:lang w:val="en-GB"/>
        </w:rPr>
        <w:t xml:space="preserve">the </w:t>
      </w:r>
      <w:r w:rsidR="00D806DC">
        <w:rPr>
          <w:rFonts w:eastAsiaTheme="minorHAnsi"/>
          <w:highlight w:val="lightGray"/>
          <w:lang w:val="en-GB"/>
        </w:rPr>
        <w:t>determinants of output volatility</w:t>
      </w:r>
      <w:r w:rsidR="003F4AD7">
        <w:rPr>
          <w:rFonts w:eastAsiaTheme="minorHAnsi"/>
          <w:highlight w:val="lightGray"/>
          <w:lang w:val="en-GB"/>
        </w:rPr>
        <w:t xml:space="preserve"> have</w:t>
      </w:r>
      <w:r w:rsidRPr="006F4082">
        <w:rPr>
          <w:rFonts w:eastAsiaTheme="minorHAnsi"/>
          <w:highlight w:val="lightGray"/>
          <w:lang w:val="en-GB"/>
        </w:rPr>
        <w:t xml:space="preserve"> been little studied. Trade openness has been important in transition economies. Studies find that greater openness of transition countries is beneficial for GDP growth (Awokuse, 2007; Nannicini and Billmeier, 2011) and welfare (Jansen, 2004). However, the literature also argues that openness makes economies, especially the small ones, more vulnerable to external shocks, causing increased volatility of GDP. The open economies that were oriented to global integration were among those hardest hit by the global financial crisis (Haddad et al, 2013). </w:t>
      </w:r>
    </w:p>
    <w:p w:rsidR="00466C85" w:rsidRDefault="00466C85" w:rsidP="005B47EE">
      <w:pPr>
        <w:autoSpaceDE w:val="0"/>
        <w:autoSpaceDN w:val="0"/>
        <w:adjustRightInd w:val="0"/>
        <w:spacing w:line="360" w:lineRule="auto"/>
        <w:jc w:val="both"/>
        <w:rPr>
          <w:rFonts w:eastAsiaTheme="minorHAnsi"/>
          <w:highlight w:val="lightGray"/>
          <w:lang w:val="en-GB"/>
        </w:rPr>
      </w:pPr>
    </w:p>
    <w:p w:rsidR="000A1039" w:rsidRDefault="005B47EE" w:rsidP="005B47EE">
      <w:pPr>
        <w:autoSpaceDE w:val="0"/>
        <w:autoSpaceDN w:val="0"/>
        <w:adjustRightInd w:val="0"/>
        <w:spacing w:line="360" w:lineRule="auto"/>
        <w:jc w:val="both"/>
        <w:rPr>
          <w:rFonts w:eastAsiaTheme="minorHAnsi"/>
          <w:lang w:val="en-GB"/>
        </w:rPr>
      </w:pPr>
      <w:r w:rsidRPr="006F4082">
        <w:rPr>
          <w:rFonts w:eastAsiaTheme="minorHAnsi"/>
          <w:highlight w:val="lightGray"/>
          <w:lang w:val="en-GB"/>
        </w:rPr>
        <w:lastRenderedPageBreak/>
        <w:t>Since transition economies do not have highly developed financial markets, trade was the major transmission mechanism of crisis. However, the macroeconomic effect of the crisis differ</w:t>
      </w:r>
      <w:r w:rsidR="00950BD3" w:rsidRPr="006F4082">
        <w:rPr>
          <w:rFonts w:eastAsiaTheme="minorHAnsi"/>
          <w:highlight w:val="lightGray"/>
          <w:lang w:val="en-GB"/>
        </w:rPr>
        <w:t>ed</w:t>
      </w:r>
      <w:r w:rsidRPr="006F4082">
        <w:rPr>
          <w:rFonts w:eastAsiaTheme="minorHAnsi"/>
          <w:highlight w:val="lightGray"/>
          <w:lang w:val="en-GB"/>
        </w:rPr>
        <w:t xml:space="preserve"> among transition countries. The crisis caused a sharp collapse in GDP growth rates across the majority of the Western Balkan economies (WBEs) accompanied by rapid increases in trade deficits (Gligorov 2009).</w:t>
      </w:r>
      <w:r w:rsidRPr="006F4082">
        <w:rPr>
          <w:rFonts w:eastAsiaTheme="minorHAnsi"/>
          <w:highlight w:val="lightGray"/>
          <w:vertAlign w:val="superscript"/>
          <w:lang w:val="en-GB"/>
        </w:rPr>
        <w:footnoteReference w:id="2"/>
      </w:r>
      <w:r w:rsidRPr="006F4082">
        <w:rPr>
          <w:rFonts w:eastAsiaTheme="minorHAnsi"/>
          <w:highlight w:val="lightGray"/>
          <w:lang w:val="en-GB"/>
        </w:rPr>
        <w:t xml:space="preserve"> In the WBEs (primarily Albania, Croatia), negative effects are primarily the results of demand shocks in developed economies, since those countries are predominantly oriented toward EU markets. The exports from the Commonwealth of Independent States (CIS), traditional oil and commodity exporters, declined considerably due to decrease of world manufacturing production and, consequently, lower demand for energy and industrial raw materials. Moreover, the decline of oil prices </w:t>
      </w:r>
      <w:r w:rsidR="00487BEB">
        <w:rPr>
          <w:rFonts w:eastAsiaTheme="minorHAnsi"/>
          <w:highlight w:val="lightGray"/>
          <w:lang w:val="en-GB"/>
        </w:rPr>
        <w:t>on the world market</w:t>
      </w:r>
      <w:r w:rsidRPr="006F4082">
        <w:rPr>
          <w:rFonts w:eastAsiaTheme="minorHAnsi"/>
          <w:highlight w:val="lightGray"/>
          <w:lang w:val="en-GB"/>
        </w:rPr>
        <w:t xml:space="preserve"> exposed those countries to large commodity price shocks.  Hence, the crisis effects in those countries were of much larger size, since not just the volume of export</w:t>
      </w:r>
      <w:r w:rsidR="00487BEB">
        <w:rPr>
          <w:rFonts w:eastAsiaTheme="minorHAnsi"/>
          <w:highlight w:val="lightGray"/>
          <w:lang w:val="en-GB"/>
        </w:rPr>
        <w:t>s</w:t>
      </w:r>
      <w:r w:rsidRPr="006F4082">
        <w:rPr>
          <w:rFonts w:eastAsiaTheme="minorHAnsi"/>
          <w:highlight w:val="lightGray"/>
          <w:lang w:val="en-GB"/>
        </w:rPr>
        <w:t xml:space="preserve"> decreased, but also the unit value of exported goods. The decrease in world manufacturing production was responsible for the decline of the Central Eastern European Countries</w:t>
      </w:r>
      <w:r w:rsidR="00487BEB">
        <w:rPr>
          <w:rFonts w:eastAsiaTheme="minorHAnsi"/>
          <w:highlight w:val="lightGray"/>
          <w:lang w:val="en-GB"/>
        </w:rPr>
        <w:t>’</w:t>
      </w:r>
      <w:r w:rsidRPr="006F4082">
        <w:rPr>
          <w:rFonts w:eastAsiaTheme="minorHAnsi"/>
          <w:highlight w:val="lightGray"/>
          <w:lang w:val="en-GB"/>
        </w:rPr>
        <w:t xml:space="preserve"> (CEEC) exports (Czech and Slovak Republics, Poland, Hungary and</w:t>
      </w:r>
      <w:r w:rsidR="00487BEB">
        <w:rPr>
          <w:rFonts w:eastAsiaTheme="minorHAnsi"/>
          <w:highlight w:val="lightGray"/>
          <w:lang w:val="en-GB"/>
        </w:rPr>
        <w:t>,</w:t>
      </w:r>
      <w:r w:rsidRPr="006F4082">
        <w:rPr>
          <w:rFonts w:eastAsiaTheme="minorHAnsi"/>
          <w:highlight w:val="lightGray"/>
          <w:lang w:val="en-GB"/>
        </w:rPr>
        <w:t xml:space="preserve"> to some extent</w:t>
      </w:r>
      <w:r w:rsidR="00487BEB">
        <w:rPr>
          <w:rFonts w:eastAsiaTheme="minorHAnsi"/>
          <w:highlight w:val="lightGray"/>
          <w:lang w:val="en-GB"/>
        </w:rPr>
        <w:t>,</w:t>
      </w:r>
      <w:r w:rsidRPr="006F4082">
        <w:rPr>
          <w:rFonts w:eastAsiaTheme="minorHAnsi"/>
          <w:highlight w:val="lightGray"/>
          <w:lang w:val="en-GB"/>
        </w:rPr>
        <w:t xml:space="preserve"> Romania), since their exports are concentrated on machinery (UNCTAD, 2010; EBRD, 2010). Considering strategies proposed to deal with demand and product specific shocks, geographical diversification should be proposed to </w:t>
      </w:r>
      <w:r w:rsidR="00950BD3" w:rsidRPr="006F4082">
        <w:rPr>
          <w:rFonts w:eastAsiaTheme="minorHAnsi"/>
          <w:highlight w:val="lightGray"/>
          <w:lang w:val="en-GB"/>
        </w:rPr>
        <w:t xml:space="preserve">the </w:t>
      </w:r>
      <w:r w:rsidRPr="006F4082">
        <w:rPr>
          <w:rFonts w:eastAsiaTheme="minorHAnsi"/>
          <w:highlight w:val="lightGray"/>
          <w:lang w:val="en-GB"/>
        </w:rPr>
        <w:t xml:space="preserve">WBEs and production diversification to </w:t>
      </w:r>
      <w:r w:rsidR="00950BD3" w:rsidRPr="006F4082">
        <w:rPr>
          <w:rFonts w:eastAsiaTheme="minorHAnsi"/>
          <w:highlight w:val="lightGray"/>
          <w:lang w:val="en-GB"/>
        </w:rPr>
        <w:t xml:space="preserve">the </w:t>
      </w:r>
      <w:r w:rsidRPr="006F4082">
        <w:rPr>
          <w:rFonts w:eastAsiaTheme="minorHAnsi"/>
          <w:highlight w:val="lightGray"/>
          <w:lang w:val="en-GB"/>
        </w:rPr>
        <w:t>CIS and CEEC for crisis recovery and attenuation of volatility (EBRD, 2008).</w:t>
      </w:r>
    </w:p>
    <w:p w:rsidR="000A1039" w:rsidRPr="005B47EE" w:rsidRDefault="000A1039" w:rsidP="005B47EE">
      <w:pPr>
        <w:autoSpaceDE w:val="0"/>
        <w:autoSpaceDN w:val="0"/>
        <w:adjustRightInd w:val="0"/>
        <w:spacing w:line="360" w:lineRule="auto"/>
        <w:jc w:val="both"/>
        <w:rPr>
          <w:rFonts w:eastAsiaTheme="minorHAnsi"/>
          <w:lang w:val="en-GB"/>
        </w:rPr>
      </w:pPr>
    </w:p>
    <w:p w:rsidR="00CE389B" w:rsidRPr="00570FCB" w:rsidRDefault="00570FCB" w:rsidP="009B4ACE">
      <w:pPr>
        <w:pStyle w:val="Heading1"/>
      </w:pPr>
      <w:bookmarkStart w:id="5" w:name="_Toc416427861"/>
      <w:r w:rsidRPr="00570FCB">
        <w:t xml:space="preserve">3. </w:t>
      </w:r>
      <w:r w:rsidR="00CE389B" w:rsidRPr="00570FCB">
        <w:t xml:space="preserve"> Data and </w:t>
      </w:r>
      <w:bookmarkEnd w:id="5"/>
      <w:r w:rsidR="00CE389B" w:rsidRPr="00570FCB">
        <w:t>methodology</w:t>
      </w:r>
    </w:p>
    <w:p w:rsidR="00CE389B" w:rsidRPr="000B71A0" w:rsidRDefault="00CE389B" w:rsidP="00CE389B">
      <w:pPr>
        <w:spacing w:line="360" w:lineRule="auto"/>
        <w:jc w:val="both"/>
        <w:rPr>
          <w:i/>
          <w:lang w:val="en-GB"/>
        </w:rPr>
      </w:pPr>
    </w:p>
    <w:p w:rsidR="00CE389B" w:rsidRPr="000B71A0" w:rsidRDefault="00CE389B" w:rsidP="00CE389B">
      <w:pPr>
        <w:spacing w:line="360" w:lineRule="auto"/>
        <w:jc w:val="both"/>
        <w:rPr>
          <w:lang w:val="en-GB"/>
        </w:rPr>
      </w:pPr>
      <w:r w:rsidRPr="000B71A0">
        <w:rPr>
          <w:lang w:val="en-GB"/>
        </w:rPr>
        <w:t>The sample in</w:t>
      </w:r>
      <w:r>
        <w:rPr>
          <w:lang w:val="en-GB"/>
        </w:rPr>
        <w:t xml:space="preserve">cludes 25 transition countries. </w:t>
      </w:r>
      <w:r w:rsidRPr="000B71A0">
        <w:rPr>
          <w:lang w:val="en-GB"/>
        </w:rPr>
        <w:t xml:space="preserve">We use </w:t>
      </w:r>
      <w:r>
        <w:rPr>
          <w:lang w:val="en-GB"/>
        </w:rPr>
        <w:t>t</w:t>
      </w:r>
      <w:r w:rsidRPr="000B71A0">
        <w:rPr>
          <w:lang w:val="en-GB"/>
        </w:rPr>
        <w:t>hree-year non-o</w:t>
      </w:r>
      <w:r>
        <w:rPr>
          <w:lang w:val="en-GB"/>
        </w:rPr>
        <w:t xml:space="preserve">verlapping averages of the </w:t>
      </w:r>
      <w:r w:rsidRPr="000B71A0">
        <w:rPr>
          <w:lang w:val="en-GB"/>
        </w:rPr>
        <w:t xml:space="preserve">annual data over the period 1996 to 2010. All volatility measures are calculated </w:t>
      </w:r>
      <w:r w:rsidR="008D2532" w:rsidRPr="008D2532">
        <w:rPr>
          <w:highlight w:val="lightGray"/>
          <w:lang w:val="en-GB"/>
        </w:rPr>
        <w:t>for each country</w:t>
      </w:r>
      <w:r w:rsidR="008D2532">
        <w:rPr>
          <w:lang w:val="en-GB"/>
        </w:rPr>
        <w:t xml:space="preserve"> </w:t>
      </w:r>
      <w:r w:rsidRPr="000B71A0">
        <w:rPr>
          <w:lang w:val="en-GB"/>
        </w:rPr>
        <w:t>using the standard deviation</w:t>
      </w:r>
      <w:r>
        <w:rPr>
          <w:lang w:val="en-GB"/>
        </w:rPr>
        <w:t xml:space="preserve"> for </w:t>
      </w:r>
      <w:r w:rsidR="008D2532" w:rsidRPr="008D2532">
        <w:rPr>
          <w:highlight w:val="lightGray"/>
          <w:lang w:val="en-GB"/>
        </w:rPr>
        <w:t>each</w:t>
      </w:r>
      <w:r w:rsidR="008D2532">
        <w:rPr>
          <w:lang w:val="en-GB"/>
        </w:rPr>
        <w:t xml:space="preserve"> </w:t>
      </w:r>
      <w:r>
        <w:rPr>
          <w:lang w:val="en-GB"/>
        </w:rPr>
        <w:t>successive 3-year period</w:t>
      </w:r>
      <w:r w:rsidR="00572571" w:rsidRPr="00572571">
        <w:rPr>
          <w:lang w:val="en-GB"/>
        </w:rPr>
        <w:t xml:space="preserve"> </w:t>
      </w:r>
      <w:r w:rsidR="00572571" w:rsidRPr="000B71A0">
        <w:rPr>
          <w:lang w:val="en-GB"/>
        </w:rPr>
        <w:t xml:space="preserve">of </w:t>
      </w:r>
      <w:r w:rsidR="00572571">
        <w:rPr>
          <w:lang w:val="en-GB"/>
        </w:rPr>
        <w:t xml:space="preserve">either </w:t>
      </w:r>
      <w:r w:rsidR="00572571" w:rsidRPr="000B71A0">
        <w:rPr>
          <w:lang w:val="en-GB"/>
        </w:rPr>
        <w:t>annual growth rate</w:t>
      </w:r>
      <w:r w:rsidR="00572571">
        <w:rPr>
          <w:lang w:val="en-GB"/>
        </w:rPr>
        <w:t>s (GDP per capita and the price level) or annual levels (average terms of trade, average exchange rate and government expenditure)</w:t>
      </w:r>
      <w:r>
        <w:rPr>
          <w:lang w:val="en-GB"/>
        </w:rPr>
        <w:t>.</w:t>
      </w:r>
      <w:r w:rsidR="00C7526B">
        <w:rPr>
          <w:lang w:val="en-GB"/>
        </w:rPr>
        <w:t xml:space="preserve"> </w:t>
      </w:r>
      <w:r w:rsidRPr="000B71A0">
        <w:rPr>
          <w:lang w:val="en-GB"/>
        </w:rPr>
        <w:t xml:space="preserve">This is standard procedure in the literature </w:t>
      </w:r>
      <w:r w:rsidR="00E11F41">
        <w:rPr>
          <w:lang w:val="en-GB"/>
        </w:rPr>
        <w:t xml:space="preserve">particularly </w:t>
      </w:r>
      <w:r w:rsidRPr="000B71A0">
        <w:rPr>
          <w:lang w:val="en-GB"/>
        </w:rPr>
        <w:t xml:space="preserve">when variables may be subject to business cycle variations, </w:t>
      </w:r>
      <w:r w:rsidR="00E11F41">
        <w:rPr>
          <w:lang w:val="en-GB"/>
        </w:rPr>
        <w:t>as</w:t>
      </w:r>
      <w:r w:rsidRPr="000B71A0">
        <w:rPr>
          <w:lang w:val="en-GB"/>
        </w:rPr>
        <w:t xml:space="preserve"> with per capita growt</w:t>
      </w:r>
      <w:r w:rsidR="00C7526B">
        <w:rPr>
          <w:lang w:val="en-GB"/>
        </w:rPr>
        <w:t xml:space="preserve">h rates (Haddad et al, 2013).  </w:t>
      </w:r>
    </w:p>
    <w:p w:rsidR="00CE389B" w:rsidRPr="000B71A0" w:rsidRDefault="00CE389B" w:rsidP="00CE389B">
      <w:pPr>
        <w:autoSpaceDE w:val="0"/>
        <w:autoSpaceDN w:val="0"/>
        <w:adjustRightInd w:val="0"/>
        <w:spacing w:line="360" w:lineRule="auto"/>
        <w:jc w:val="both"/>
        <w:rPr>
          <w:lang w:val="en-GB"/>
        </w:rPr>
      </w:pPr>
    </w:p>
    <w:p w:rsidR="00CE389B" w:rsidRPr="000B71A0" w:rsidRDefault="00CE389B" w:rsidP="00CE389B">
      <w:pPr>
        <w:spacing w:line="360" w:lineRule="auto"/>
        <w:jc w:val="both"/>
        <w:rPr>
          <w:rFonts w:eastAsia="Cambria"/>
          <w:lang w:val="en-GB"/>
        </w:rPr>
      </w:pPr>
      <w:r w:rsidRPr="000B71A0">
        <w:rPr>
          <w:lang w:val="en-GB"/>
        </w:rPr>
        <w:lastRenderedPageBreak/>
        <w:t xml:space="preserve">The dependent variable is </w:t>
      </w:r>
      <w:r w:rsidR="008D2532">
        <w:rPr>
          <w:lang w:val="en-GB"/>
        </w:rPr>
        <w:t>GDP</w:t>
      </w:r>
      <w:r w:rsidRPr="000B71A0">
        <w:rPr>
          <w:lang w:val="en-GB"/>
        </w:rPr>
        <w:t xml:space="preserve"> volatili</w:t>
      </w:r>
      <w:r w:rsidR="008D2532">
        <w:rPr>
          <w:lang w:val="en-GB"/>
        </w:rPr>
        <w:t>ty</w:t>
      </w:r>
      <w:r w:rsidRPr="000B71A0">
        <w:rPr>
          <w:lang w:val="en-GB"/>
        </w:rPr>
        <w:t xml:space="preserve">. There are several factors why output growth instead of output level volatility is used. Many studies </w:t>
      </w:r>
      <w:r w:rsidRPr="000B71A0">
        <w:rPr>
          <w:rFonts w:eastAsia="Cambria"/>
          <w:lang w:val="en-GB"/>
        </w:rPr>
        <w:t>(</w:t>
      </w:r>
      <w:r w:rsidR="00671528">
        <w:rPr>
          <w:rFonts w:eastAsia="Cambria"/>
          <w:lang w:val="en-GB"/>
        </w:rPr>
        <w:t>Easterly and Kraay, 2000</w:t>
      </w:r>
      <w:r w:rsidRPr="000B71A0">
        <w:rPr>
          <w:rFonts w:eastAsia="Cambria"/>
          <w:lang w:val="en-GB"/>
        </w:rPr>
        <w:t>; Bejan, 2006; Cavallo, 2007; Malik and Temple, 2009; Jansen et al.</w:t>
      </w:r>
      <w:r>
        <w:rPr>
          <w:rFonts w:eastAsia="Cambria"/>
          <w:lang w:val="en-GB"/>
        </w:rPr>
        <w:t>, 2009; Haddad et al, 2013) argue t</w:t>
      </w:r>
      <w:r w:rsidRPr="000B71A0">
        <w:rPr>
          <w:rFonts w:eastAsia="Cambria"/>
          <w:lang w:val="en-GB"/>
        </w:rPr>
        <w:t>hat the growth rate and not the output level determine</w:t>
      </w:r>
      <w:r w:rsidR="008D2532">
        <w:rPr>
          <w:rFonts w:eastAsia="Cambria"/>
          <w:lang w:val="en-GB"/>
        </w:rPr>
        <w:t>s</w:t>
      </w:r>
      <w:r w:rsidRPr="000B71A0">
        <w:rPr>
          <w:rFonts w:eastAsia="Cambria"/>
          <w:lang w:val="en-GB"/>
        </w:rPr>
        <w:t xml:space="preserve"> the planning horizon and as such it is of greater interest to policy makers to maintain growth stability (Haddad et al, 2013).</w:t>
      </w:r>
    </w:p>
    <w:p w:rsidR="00CE389B" w:rsidRPr="000B71A0" w:rsidRDefault="00CE389B" w:rsidP="00CE389B">
      <w:pPr>
        <w:spacing w:line="360" w:lineRule="auto"/>
        <w:jc w:val="both"/>
        <w:rPr>
          <w:lang w:val="en-GB"/>
        </w:rPr>
      </w:pPr>
    </w:p>
    <w:p w:rsidR="00CE389B" w:rsidRPr="000B71A0" w:rsidRDefault="00CE389B" w:rsidP="00CE389B">
      <w:pPr>
        <w:spacing w:line="360" w:lineRule="auto"/>
        <w:jc w:val="both"/>
        <w:rPr>
          <w:lang w:val="en-GB"/>
        </w:rPr>
      </w:pPr>
      <w:r w:rsidRPr="000B71A0">
        <w:rPr>
          <w:lang w:val="en-GB"/>
        </w:rPr>
        <w:t xml:space="preserve">The main variables </w:t>
      </w:r>
      <w:r w:rsidR="00671528">
        <w:rPr>
          <w:lang w:val="en-GB"/>
        </w:rPr>
        <w:t xml:space="preserve">of interest are trade openness, </w:t>
      </w:r>
      <w:r w:rsidRPr="000B71A0">
        <w:rPr>
          <w:lang w:val="en-GB"/>
        </w:rPr>
        <w:t>export diversification and institutions. Consistent with most of the literature (Easterly</w:t>
      </w:r>
      <w:r w:rsidR="00671528">
        <w:rPr>
          <w:lang w:val="en-GB"/>
        </w:rPr>
        <w:t xml:space="preserve"> et al., 2001</w:t>
      </w:r>
      <w:r w:rsidRPr="000B71A0">
        <w:rPr>
          <w:lang w:val="en-GB"/>
        </w:rPr>
        <w:t>; Haddad et al, 2013), openness is proxied by the ratio of the sum of a country's exports and imports to GDP. Export diversification is proxied</w:t>
      </w:r>
      <w:r w:rsidR="00671528">
        <w:rPr>
          <w:lang w:val="en-GB"/>
        </w:rPr>
        <w:t xml:space="preserve"> </w:t>
      </w:r>
      <w:r w:rsidR="0056673F" w:rsidRPr="0056673F">
        <w:rPr>
          <w:highlight w:val="lightGray"/>
          <w:lang w:val="en-GB"/>
        </w:rPr>
        <w:t>in different models</w:t>
      </w:r>
      <w:r w:rsidR="0056673F">
        <w:rPr>
          <w:lang w:val="en-GB"/>
        </w:rPr>
        <w:t xml:space="preserve"> </w:t>
      </w:r>
      <w:r w:rsidR="00671528">
        <w:rPr>
          <w:lang w:val="en-GB"/>
        </w:rPr>
        <w:t xml:space="preserve">by </w:t>
      </w:r>
      <w:r w:rsidR="00671528" w:rsidRPr="000B71A0">
        <w:rPr>
          <w:lang w:val="en-GB"/>
        </w:rPr>
        <w:t xml:space="preserve">the concentration indicators (the </w:t>
      </w:r>
      <w:r w:rsidR="00671528">
        <w:rPr>
          <w:rFonts w:eastAsia="Calibri"/>
          <w:lang w:val="en-GB"/>
        </w:rPr>
        <w:t xml:space="preserve">Hirschman-Herfindahl index-HHI </w:t>
      </w:r>
      <w:r w:rsidR="00671528" w:rsidRPr="000B71A0">
        <w:rPr>
          <w:rFonts w:eastAsia="Calibri"/>
          <w:lang w:val="en-GB"/>
        </w:rPr>
        <w:t>and the overall Theil index)</w:t>
      </w:r>
      <w:r w:rsidR="00671528">
        <w:rPr>
          <w:lang w:val="en-GB"/>
        </w:rPr>
        <w:t xml:space="preserve">, and by the </w:t>
      </w:r>
      <w:r w:rsidR="0056673F">
        <w:rPr>
          <w:lang w:val="en-GB"/>
        </w:rPr>
        <w:t>“</w:t>
      </w:r>
      <w:r w:rsidRPr="000B71A0">
        <w:rPr>
          <w:rFonts w:eastAsia="Calibri"/>
          <w:lang w:val="en-GB"/>
        </w:rPr>
        <w:t>between</w:t>
      </w:r>
      <w:r w:rsidR="0056673F">
        <w:rPr>
          <w:rFonts w:eastAsia="Calibri"/>
          <w:lang w:val="en-GB"/>
        </w:rPr>
        <w:t>”</w:t>
      </w:r>
      <w:r w:rsidRPr="000B71A0">
        <w:rPr>
          <w:rFonts w:eastAsia="Calibri"/>
          <w:lang w:val="en-GB"/>
        </w:rPr>
        <w:t xml:space="preserve"> and </w:t>
      </w:r>
      <w:r w:rsidR="0056673F">
        <w:rPr>
          <w:rFonts w:eastAsia="Calibri"/>
          <w:lang w:val="en-GB"/>
        </w:rPr>
        <w:t>“</w:t>
      </w:r>
      <w:r w:rsidRPr="000B71A0">
        <w:rPr>
          <w:rFonts w:eastAsia="Calibri"/>
          <w:lang w:val="en-GB"/>
        </w:rPr>
        <w:t>within</w:t>
      </w:r>
      <w:r w:rsidR="0056673F">
        <w:rPr>
          <w:rFonts w:eastAsia="Calibri"/>
          <w:lang w:val="en-GB"/>
        </w:rPr>
        <w:t>”</w:t>
      </w:r>
      <w:r w:rsidRPr="000B71A0">
        <w:rPr>
          <w:rFonts w:eastAsia="Calibri"/>
          <w:lang w:val="en-GB"/>
        </w:rPr>
        <w:t xml:space="preserve"> components </w:t>
      </w:r>
      <w:r w:rsidR="00671528">
        <w:rPr>
          <w:lang w:val="en-GB"/>
        </w:rPr>
        <w:t xml:space="preserve">of the Theil index. </w:t>
      </w:r>
      <w:r w:rsidRPr="000B71A0">
        <w:rPr>
          <w:lang w:val="en-GB"/>
        </w:rPr>
        <w:t xml:space="preserve">The within component of the Theil index measures the degree of equality of the distribution of </w:t>
      </w:r>
      <w:r w:rsidR="0056673F">
        <w:rPr>
          <w:lang w:val="en-GB"/>
        </w:rPr>
        <w:t xml:space="preserve">the </w:t>
      </w:r>
      <w:r w:rsidRPr="000B71A0">
        <w:rPr>
          <w:lang w:val="en-GB"/>
        </w:rPr>
        <w:t>export shares</w:t>
      </w:r>
      <w:r w:rsidR="0056673F">
        <w:rPr>
          <w:lang w:val="en-GB"/>
        </w:rPr>
        <w:t xml:space="preserve"> </w:t>
      </w:r>
      <w:r w:rsidR="0056673F" w:rsidRPr="0056673F">
        <w:rPr>
          <w:highlight w:val="lightGray"/>
          <w:lang w:val="en-GB"/>
        </w:rPr>
        <w:t>of existing export lines</w:t>
      </w:r>
      <w:r w:rsidRPr="000B71A0">
        <w:rPr>
          <w:lang w:val="en-GB"/>
        </w:rPr>
        <w:t xml:space="preserve">, i.e. changes at the intensive margin of export growth. The between component of the Theil index measures changes in the number of </w:t>
      </w:r>
      <w:r w:rsidR="0056673F" w:rsidRPr="0056673F">
        <w:rPr>
          <w:highlight w:val="lightGray"/>
          <w:lang w:val="en-GB"/>
        </w:rPr>
        <w:t>new product lines</w:t>
      </w:r>
      <w:r w:rsidRPr="000B71A0">
        <w:rPr>
          <w:lang w:val="en-GB"/>
        </w:rPr>
        <w:t xml:space="preserve"> in the export basket, i.e. change along the extensive margin of export growth.  </w:t>
      </w:r>
      <w:r w:rsidR="0056673F" w:rsidRPr="00C20806">
        <w:rPr>
          <w:highlight w:val="lightGray"/>
          <w:lang w:val="en-GB"/>
        </w:rPr>
        <w:t>The</w:t>
      </w:r>
      <w:r w:rsidRPr="00C20806">
        <w:rPr>
          <w:highlight w:val="lightGray"/>
          <w:lang w:val="en-GB"/>
        </w:rPr>
        <w:t xml:space="preserve"> HHI</w:t>
      </w:r>
      <w:r w:rsidR="0056673F" w:rsidRPr="00C20806">
        <w:rPr>
          <w:highlight w:val="lightGray"/>
          <w:lang w:val="en-GB"/>
        </w:rPr>
        <w:t>,</w:t>
      </w:r>
      <w:r w:rsidRPr="00C20806">
        <w:rPr>
          <w:highlight w:val="lightGray"/>
          <w:lang w:val="en-GB"/>
        </w:rPr>
        <w:t xml:space="preserve"> by construction</w:t>
      </w:r>
      <w:r w:rsidR="0056673F" w:rsidRPr="00C20806">
        <w:rPr>
          <w:highlight w:val="lightGray"/>
          <w:lang w:val="en-GB"/>
        </w:rPr>
        <w:t>,</w:t>
      </w:r>
      <w:r w:rsidRPr="00C20806">
        <w:rPr>
          <w:highlight w:val="lightGray"/>
          <w:lang w:val="en-GB"/>
        </w:rPr>
        <w:t xml:space="preserve"> </w:t>
      </w:r>
      <w:r w:rsidR="0056673F" w:rsidRPr="00C20806">
        <w:rPr>
          <w:highlight w:val="lightGray"/>
          <w:lang w:val="en-GB"/>
        </w:rPr>
        <w:t xml:space="preserve">predominantly </w:t>
      </w:r>
      <w:r w:rsidRPr="00C20806">
        <w:rPr>
          <w:highlight w:val="lightGray"/>
          <w:lang w:val="en-GB"/>
        </w:rPr>
        <w:t>measure</w:t>
      </w:r>
      <w:r w:rsidR="0056673F" w:rsidRPr="00C20806">
        <w:rPr>
          <w:highlight w:val="lightGray"/>
          <w:lang w:val="en-GB"/>
        </w:rPr>
        <w:t>s</w:t>
      </w:r>
      <w:r w:rsidRPr="00C20806">
        <w:rPr>
          <w:highlight w:val="lightGray"/>
          <w:lang w:val="en-GB"/>
        </w:rPr>
        <w:t xml:space="preserve"> changes in the distribution of export shares (i.e. changes at the intensive margin)</w:t>
      </w:r>
      <w:r w:rsidR="0056673F" w:rsidRPr="00C20806">
        <w:rPr>
          <w:highlight w:val="lightGray"/>
          <w:lang w:val="en-GB"/>
        </w:rPr>
        <w:t xml:space="preserve">. Accordingly, </w:t>
      </w:r>
      <w:r w:rsidRPr="00C20806">
        <w:rPr>
          <w:highlight w:val="lightGray"/>
          <w:lang w:val="en-GB"/>
        </w:rPr>
        <w:t xml:space="preserve">we expect to get similar results </w:t>
      </w:r>
      <w:r w:rsidR="0056673F" w:rsidRPr="00C20806">
        <w:rPr>
          <w:highlight w:val="lightGray"/>
          <w:lang w:val="en-GB"/>
        </w:rPr>
        <w:t>from the HHI and</w:t>
      </w:r>
      <w:r w:rsidRPr="00C20806">
        <w:rPr>
          <w:highlight w:val="lightGray"/>
          <w:lang w:val="en-GB"/>
        </w:rPr>
        <w:t xml:space="preserve"> the within Theil component</w:t>
      </w:r>
      <w:r w:rsidR="0056673F" w:rsidRPr="00C20806">
        <w:rPr>
          <w:highlight w:val="lightGray"/>
          <w:lang w:val="en-GB"/>
        </w:rPr>
        <w:t>.</w:t>
      </w:r>
      <w:r w:rsidRPr="00C20806">
        <w:rPr>
          <w:highlight w:val="lightGray"/>
          <w:lang w:val="en-GB"/>
        </w:rPr>
        <w:t xml:space="preserve"> </w:t>
      </w:r>
      <w:r w:rsidR="0056673F" w:rsidRPr="00C20806">
        <w:rPr>
          <w:highlight w:val="lightGray"/>
          <w:lang w:val="en-GB"/>
        </w:rPr>
        <w:t>(This anticipation is reflected in the results reported below.)</w:t>
      </w:r>
      <w:r w:rsidRPr="000B71A0">
        <w:rPr>
          <w:lang w:val="en-GB"/>
        </w:rPr>
        <w:t xml:space="preserve"> </w:t>
      </w:r>
      <w:r w:rsidR="00606819">
        <w:rPr>
          <w:lang w:val="en-GB"/>
        </w:rPr>
        <w:t>In our sample, t</w:t>
      </w:r>
      <w:r w:rsidRPr="000B71A0">
        <w:rPr>
          <w:lang w:val="en-GB"/>
        </w:rPr>
        <w:t>he within component is also the predominant</w:t>
      </w:r>
      <w:r w:rsidR="00606819">
        <w:rPr>
          <w:lang w:val="en-GB"/>
        </w:rPr>
        <w:t xml:space="preserve"> components of the total Theil, </w:t>
      </w:r>
      <w:r w:rsidRPr="000B71A0">
        <w:rPr>
          <w:lang w:val="en-GB"/>
        </w:rPr>
        <w:t>with 81% of the total Theil ex</w:t>
      </w:r>
      <w:r w:rsidR="00606819">
        <w:rPr>
          <w:lang w:val="en-GB"/>
        </w:rPr>
        <w:t>plained by the within component. Hence,</w:t>
      </w:r>
      <w:r w:rsidRPr="000B71A0">
        <w:rPr>
          <w:lang w:val="en-GB"/>
        </w:rPr>
        <w:t xml:space="preserve"> we expect results from the total Theil to be similar to those obtained from its within component.  Indicators of export diversification are calculated by using the 6-digit level of the Harmonised System (HS) data from COMTRADE, 1996 revision, which recorded data in 5113 export lines. Data recorded at the 6-digit level is the highest level of internationally comparable disaggregated country-level export data.</w:t>
      </w:r>
    </w:p>
    <w:p w:rsidR="00CE389B" w:rsidRPr="000B71A0" w:rsidRDefault="00CE389B" w:rsidP="00C7526B">
      <w:pPr>
        <w:spacing w:line="360" w:lineRule="auto"/>
        <w:jc w:val="both"/>
        <w:rPr>
          <w:lang w:val="en-GB"/>
        </w:rPr>
      </w:pPr>
    </w:p>
    <w:p w:rsidR="0089484C" w:rsidRPr="00C7526B" w:rsidRDefault="00CE389B" w:rsidP="00C7526B">
      <w:pPr>
        <w:spacing w:line="360" w:lineRule="auto"/>
        <w:jc w:val="both"/>
        <w:rPr>
          <w:rFonts w:eastAsia="Times New Roman"/>
        </w:rPr>
      </w:pPr>
      <w:r w:rsidRPr="000B71A0">
        <w:rPr>
          <w:lang w:val="en-GB"/>
        </w:rPr>
        <w:t xml:space="preserve">Although there are many indicators of institutions used in the literature, in our preferred specification we </w:t>
      </w:r>
      <w:r w:rsidR="00C714E4">
        <w:rPr>
          <w:lang w:val="en-GB"/>
        </w:rPr>
        <w:t>use</w:t>
      </w:r>
      <w:r w:rsidRPr="000B71A0">
        <w:rPr>
          <w:lang w:val="en-GB"/>
        </w:rPr>
        <w:t xml:space="preserve"> </w:t>
      </w:r>
      <w:r w:rsidR="00C20806">
        <w:rPr>
          <w:lang w:val="en-GB"/>
        </w:rPr>
        <w:t xml:space="preserve">the </w:t>
      </w:r>
      <w:r w:rsidR="00C7526B">
        <w:rPr>
          <w:lang w:val="en-GB"/>
        </w:rPr>
        <w:t xml:space="preserve">index of political rights from Freedom House. </w:t>
      </w:r>
      <w:r w:rsidR="00C7526B">
        <w:rPr>
          <w:rFonts w:eastAsia="Times New Roman"/>
        </w:rPr>
        <w:t>The</w:t>
      </w:r>
      <w:r w:rsidR="00C7526B" w:rsidRPr="00C7526B">
        <w:rPr>
          <w:rFonts w:eastAsia="Times New Roman"/>
        </w:rPr>
        <w:t xml:space="preserve"> index ranges fr</w:t>
      </w:r>
      <w:r w:rsidR="00C7526B">
        <w:rPr>
          <w:rFonts w:eastAsia="Times New Roman"/>
        </w:rPr>
        <w:t xml:space="preserve">om 1 to 7, with 1 indicating the most </w:t>
      </w:r>
      <w:r w:rsidR="00C20806">
        <w:rPr>
          <w:rFonts w:eastAsia="Times New Roman"/>
        </w:rPr>
        <w:t>“</w:t>
      </w:r>
      <w:r w:rsidR="00C7526B">
        <w:rPr>
          <w:rFonts w:eastAsia="Times New Roman"/>
        </w:rPr>
        <w:t>free</w:t>
      </w:r>
      <w:r w:rsidR="00C20806">
        <w:rPr>
          <w:rFonts w:eastAsia="Times New Roman"/>
        </w:rPr>
        <w:t>”</w:t>
      </w:r>
      <w:r w:rsidR="00C7526B">
        <w:rPr>
          <w:rFonts w:eastAsia="Times New Roman"/>
        </w:rPr>
        <w:t xml:space="preserve"> country. </w:t>
      </w:r>
      <w:r w:rsidR="00C7526B" w:rsidRPr="00606819">
        <w:rPr>
          <w:rFonts w:eastAsia="Cambria"/>
          <w:lang w:val="en-GB"/>
        </w:rPr>
        <w:t>W</w:t>
      </w:r>
      <w:r w:rsidR="00E06B60" w:rsidRPr="00606819">
        <w:rPr>
          <w:rFonts w:eastAsia="Cambria"/>
          <w:lang w:val="en-GB"/>
        </w:rPr>
        <w:t xml:space="preserve">e also </w:t>
      </w:r>
      <w:r w:rsidR="00C20806">
        <w:rPr>
          <w:rFonts w:eastAsia="Cambria"/>
          <w:lang w:val="en-GB"/>
        </w:rPr>
        <w:t>use</w:t>
      </w:r>
      <w:r w:rsidR="00E06B60" w:rsidRPr="00606819">
        <w:rPr>
          <w:rFonts w:eastAsia="Cambria"/>
          <w:lang w:val="en-GB"/>
        </w:rPr>
        <w:t xml:space="preserve"> </w:t>
      </w:r>
      <w:r w:rsidR="00C714E4" w:rsidRPr="00606819">
        <w:rPr>
          <w:lang w:val="en-GB"/>
        </w:rPr>
        <w:t>as robustness checks</w:t>
      </w:r>
      <w:r w:rsidR="00C714E4" w:rsidRPr="00606819">
        <w:rPr>
          <w:rFonts w:eastAsia="Cambria"/>
          <w:lang w:val="en-GB"/>
        </w:rPr>
        <w:t xml:space="preserve"> </w:t>
      </w:r>
      <w:r w:rsidR="00E06B60" w:rsidRPr="00606819">
        <w:rPr>
          <w:rFonts w:eastAsia="Cambria"/>
          <w:lang w:val="en-GB"/>
        </w:rPr>
        <w:t xml:space="preserve">alternative institutional indicators such as </w:t>
      </w:r>
      <w:r w:rsidR="0089484C" w:rsidRPr="00606819">
        <w:rPr>
          <w:lang w:val="en-GB"/>
        </w:rPr>
        <w:t xml:space="preserve">indices of economic, political and legal quality taken from Kuncic (2012), institutional quality measures from </w:t>
      </w:r>
      <w:r w:rsidR="00C20806">
        <w:rPr>
          <w:lang w:val="en-GB"/>
        </w:rPr>
        <w:t xml:space="preserve">the </w:t>
      </w:r>
      <w:r w:rsidR="0089484C" w:rsidRPr="00606819">
        <w:rPr>
          <w:lang w:val="en-GB"/>
        </w:rPr>
        <w:t>World Gover</w:t>
      </w:r>
      <w:r w:rsidR="00606819">
        <w:rPr>
          <w:lang w:val="en-GB"/>
        </w:rPr>
        <w:t>nance Indicators (WGI) database and</w:t>
      </w:r>
      <w:r w:rsidR="0089484C" w:rsidRPr="00606819">
        <w:rPr>
          <w:lang w:val="en-GB"/>
        </w:rPr>
        <w:t xml:space="preserve"> the Corruption Perception Index (CPI) by Trans</w:t>
      </w:r>
      <w:r w:rsidR="00AA2BE5" w:rsidRPr="00606819">
        <w:rPr>
          <w:lang w:val="en-GB"/>
        </w:rPr>
        <w:t>parency International</w:t>
      </w:r>
      <w:r w:rsidR="0089484C" w:rsidRPr="00606819">
        <w:rPr>
          <w:lang w:val="en-GB"/>
        </w:rPr>
        <w:t>.</w:t>
      </w:r>
      <w:r w:rsidR="0089484C" w:rsidRPr="000B71A0">
        <w:rPr>
          <w:lang w:val="en-GB"/>
        </w:rPr>
        <w:t xml:space="preserve"> </w:t>
      </w:r>
    </w:p>
    <w:p w:rsidR="00CE389B" w:rsidRPr="000B71A0" w:rsidRDefault="00CE389B" w:rsidP="00CE389B">
      <w:pPr>
        <w:autoSpaceDE w:val="0"/>
        <w:autoSpaceDN w:val="0"/>
        <w:adjustRightInd w:val="0"/>
        <w:spacing w:line="360" w:lineRule="auto"/>
        <w:jc w:val="both"/>
        <w:rPr>
          <w:lang w:val="en-GB"/>
        </w:rPr>
      </w:pPr>
    </w:p>
    <w:p w:rsidR="00821FB1" w:rsidRDefault="00CE389B" w:rsidP="00821FB1">
      <w:pPr>
        <w:autoSpaceDE w:val="0"/>
        <w:autoSpaceDN w:val="0"/>
        <w:adjustRightInd w:val="0"/>
        <w:spacing w:line="360" w:lineRule="auto"/>
        <w:jc w:val="both"/>
      </w:pPr>
      <w:r w:rsidRPr="000B71A0">
        <w:rPr>
          <w:lang w:val="en-GB"/>
        </w:rPr>
        <w:t>Government expenditure is proxied by the volatility of total government expenditure. Total expenditure is used rather than government consumption, because total expenditure includes transfers and substitutes, which are used by poli</w:t>
      </w:r>
      <w:r w:rsidR="00606819">
        <w:rPr>
          <w:lang w:val="en-GB"/>
        </w:rPr>
        <w:t xml:space="preserve">cymakers as an insurance tool. </w:t>
      </w:r>
      <w:r w:rsidRPr="000B71A0">
        <w:rPr>
          <w:lang w:val="en-GB"/>
        </w:rPr>
        <w:t xml:space="preserve">Chinn and Ito’s (2008) indicator of financial openness is used to measure financial openness in transition countries. </w:t>
      </w:r>
      <w:r>
        <w:rPr>
          <w:lang w:val="en-GB"/>
        </w:rPr>
        <w:t>T</w:t>
      </w:r>
      <w:r w:rsidRPr="000B71A0">
        <w:rPr>
          <w:lang w:val="en-GB"/>
        </w:rPr>
        <w:t xml:space="preserve">he level of financial development is </w:t>
      </w:r>
      <w:r w:rsidR="00B54B2E">
        <w:rPr>
          <w:lang w:val="en-GB"/>
        </w:rPr>
        <w:t>proxied</w:t>
      </w:r>
      <w:r>
        <w:rPr>
          <w:lang w:val="en-GB"/>
        </w:rPr>
        <w:t xml:space="preserve"> by financial depth </w:t>
      </w:r>
      <w:r w:rsidRPr="000B71A0">
        <w:rPr>
          <w:lang w:val="en-GB"/>
        </w:rPr>
        <w:t xml:space="preserve">measured by the private credit to GDP ratio. </w:t>
      </w:r>
      <w:r w:rsidR="005E28F3">
        <w:t>Appendix A contains more detailed descriptions of the variables considered in this study and their data sources.</w:t>
      </w:r>
      <w:bookmarkStart w:id="6" w:name="_Toc290147828"/>
      <w:bookmarkStart w:id="7" w:name="_Toc416427862"/>
    </w:p>
    <w:p w:rsidR="00821FB1" w:rsidRPr="00821FB1" w:rsidRDefault="00821FB1" w:rsidP="00821FB1">
      <w:pPr>
        <w:autoSpaceDE w:val="0"/>
        <w:autoSpaceDN w:val="0"/>
        <w:adjustRightInd w:val="0"/>
        <w:spacing w:line="360" w:lineRule="auto"/>
        <w:jc w:val="both"/>
        <w:rPr>
          <w:lang w:val="en-GB"/>
        </w:rPr>
      </w:pPr>
    </w:p>
    <w:p w:rsidR="00CE389B" w:rsidRPr="00570FCB" w:rsidRDefault="00570FCB" w:rsidP="005E28F3">
      <w:pPr>
        <w:pStyle w:val="Heading1"/>
      </w:pPr>
      <w:r>
        <w:t xml:space="preserve">4. </w:t>
      </w:r>
      <w:r w:rsidR="00CE389B" w:rsidRPr="00570FCB">
        <w:t xml:space="preserve"> The econometric model and methodology</w:t>
      </w:r>
      <w:bookmarkEnd w:id="6"/>
      <w:bookmarkEnd w:id="7"/>
    </w:p>
    <w:p w:rsidR="00CE389B" w:rsidRDefault="00CE389B" w:rsidP="00CE389B">
      <w:pPr>
        <w:autoSpaceDE w:val="0"/>
        <w:autoSpaceDN w:val="0"/>
        <w:adjustRightInd w:val="0"/>
        <w:spacing w:line="360" w:lineRule="auto"/>
        <w:jc w:val="both"/>
        <w:rPr>
          <w:lang w:val="en-GB"/>
        </w:rPr>
      </w:pPr>
    </w:p>
    <w:p w:rsidR="005E28F3" w:rsidRPr="005E28F3" w:rsidRDefault="005E28F3" w:rsidP="005E28F3">
      <w:pPr>
        <w:rPr>
          <w:lang w:val="en-GB"/>
        </w:rPr>
      </w:pPr>
    </w:p>
    <w:p w:rsidR="00CE389B" w:rsidRPr="000B71A0" w:rsidRDefault="00CE389B" w:rsidP="00CE389B">
      <w:pPr>
        <w:autoSpaceDE w:val="0"/>
        <w:autoSpaceDN w:val="0"/>
        <w:adjustRightInd w:val="0"/>
        <w:spacing w:line="360" w:lineRule="auto"/>
        <w:jc w:val="both"/>
        <w:rPr>
          <w:lang w:val="en-GB"/>
        </w:rPr>
      </w:pPr>
      <w:r w:rsidRPr="000B71A0">
        <w:rPr>
          <w:lang w:val="en-GB"/>
        </w:rPr>
        <w:t xml:space="preserve">To investigate how openness </w:t>
      </w:r>
      <w:r w:rsidR="00C20806">
        <w:rPr>
          <w:lang w:val="en-GB"/>
        </w:rPr>
        <w:t>influences output volatility</w:t>
      </w:r>
      <w:r w:rsidRPr="000B71A0">
        <w:rPr>
          <w:lang w:val="en-GB"/>
        </w:rPr>
        <w:t xml:space="preserve"> at different levels of </w:t>
      </w:r>
      <w:r w:rsidR="00723533">
        <w:rPr>
          <w:lang w:val="en-GB"/>
        </w:rPr>
        <w:t>export diversification, a two</w:t>
      </w:r>
      <w:r w:rsidRPr="000B71A0">
        <w:rPr>
          <w:lang w:val="en-GB"/>
        </w:rPr>
        <w:t>-wa</w:t>
      </w:r>
      <w:r w:rsidR="00723533">
        <w:rPr>
          <w:lang w:val="en-GB"/>
        </w:rPr>
        <w:t xml:space="preserve">y interaction between openness and </w:t>
      </w:r>
      <w:r w:rsidRPr="000B71A0">
        <w:rPr>
          <w:lang w:val="en-GB"/>
        </w:rPr>
        <w:t xml:space="preserve">export diversification is introduced: </w:t>
      </w:r>
    </w:p>
    <w:p w:rsidR="00CE389B" w:rsidRPr="000B71A0" w:rsidRDefault="00CE389B" w:rsidP="00CE389B">
      <w:pPr>
        <w:autoSpaceDE w:val="0"/>
        <w:autoSpaceDN w:val="0"/>
        <w:adjustRightInd w:val="0"/>
        <w:spacing w:line="360" w:lineRule="auto"/>
        <w:jc w:val="both"/>
        <w:rPr>
          <w:lang w:val="en-GB"/>
        </w:rPr>
      </w:pPr>
    </w:p>
    <w:p w:rsidR="00723533" w:rsidRPr="000B71A0" w:rsidRDefault="001B4004" w:rsidP="00723533">
      <w:pPr>
        <w:autoSpaceDE w:val="0"/>
        <w:autoSpaceDN w:val="0"/>
        <w:adjustRightInd w:val="0"/>
        <w:spacing w:line="360" w:lineRule="auto"/>
        <w:jc w:val="both"/>
        <w:rPr>
          <w:lang w:val="en-GB"/>
        </w:rPr>
      </w:pPr>
      <m:oMath>
        <m:sSub>
          <m:sSubPr>
            <m:ctrlPr>
              <w:rPr>
                <w:rFonts w:ascii="Cambria Math" w:hAnsi="Cambria Math"/>
                <w:i/>
                <w:lang w:val="en-GB"/>
              </w:rPr>
            </m:ctrlPr>
          </m:sSubPr>
          <m:e>
            <m:r>
              <w:rPr>
                <w:rFonts w:ascii="Cambria Math" w:hAnsi="Cambria Math"/>
                <w:lang w:val="en-GB"/>
              </w:rPr>
              <m:t>GDPvol</m:t>
            </m:r>
          </m:e>
          <m:sub>
            <m:r>
              <w:rPr>
                <w:rFonts w:ascii="Cambria Math" w:hAnsi="Cambria Math"/>
                <w:lang w:val="en-GB"/>
              </w:rPr>
              <m:t>i,t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α</m:t>
            </m:r>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β</m:t>
            </m:r>
          </m:e>
          <m:sub>
            <m:r>
              <w:rPr>
                <w:rFonts w:ascii="Cambria Math" w:hAnsi="Cambria Math"/>
                <w:lang w:val="en-GB"/>
              </w:rPr>
              <m:t>1</m:t>
            </m:r>
          </m:sub>
        </m:sSub>
        <m:sSub>
          <m:sSubPr>
            <m:ctrlPr>
              <w:rPr>
                <w:rFonts w:ascii="Cambria Math" w:hAnsi="Cambria Math"/>
                <w:i/>
                <w:lang w:val="en-GB"/>
              </w:rPr>
            </m:ctrlPr>
          </m:sSubPr>
          <m:e>
            <m:r>
              <w:rPr>
                <w:rFonts w:ascii="Cambria Math" w:hAnsi="Cambria Math"/>
                <w:lang w:val="en-GB"/>
              </w:rPr>
              <m:t>(OPEN)</m:t>
            </m:r>
          </m:e>
          <m:sub>
            <m:r>
              <w:rPr>
                <w:rFonts w:ascii="Cambria Math" w:hAnsi="Cambria Math"/>
                <w:lang w:val="en-GB"/>
              </w:rPr>
              <m:t>i,t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β</m:t>
            </m:r>
          </m:e>
          <m:sub>
            <m:r>
              <w:rPr>
                <w:rFonts w:ascii="Cambria Math" w:hAnsi="Cambria Math"/>
                <w:lang w:val="en-GB"/>
              </w:rPr>
              <m:t>2</m:t>
            </m:r>
          </m:sub>
        </m:sSub>
        <m:sSub>
          <m:sSubPr>
            <m:ctrlPr>
              <w:rPr>
                <w:rFonts w:ascii="Cambria Math" w:hAnsi="Cambria Math"/>
                <w:i/>
                <w:lang w:val="en-GB"/>
              </w:rPr>
            </m:ctrlPr>
          </m:sSubPr>
          <m:e>
            <m:r>
              <w:rPr>
                <w:rFonts w:ascii="Cambria Math" w:hAnsi="Cambria Math"/>
                <w:lang w:val="en-GB"/>
              </w:rPr>
              <m:t>(DIV)</m:t>
            </m:r>
          </m:e>
          <m:sub>
            <m:r>
              <w:rPr>
                <w:rFonts w:ascii="Cambria Math" w:hAnsi="Cambria Math"/>
                <w:lang w:val="en-GB"/>
              </w:rPr>
              <m:t>i,t</m:t>
            </m:r>
          </m:sub>
        </m:sSub>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β</m:t>
            </m:r>
          </m:e>
          <m:sub>
            <m:r>
              <w:rPr>
                <w:rFonts w:ascii="Cambria Math" w:hAnsi="Cambria Math"/>
                <w:lang w:val="en-GB"/>
              </w:rPr>
              <m:t>3</m:t>
            </m:r>
          </m:sub>
        </m:sSub>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INST</m:t>
                </m:r>
              </m:e>
            </m:d>
          </m:e>
          <m:sub>
            <m:r>
              <w:rPr>
                <w:rFonts w:ascii="Cambria Math" w:hAnsi="Cambria Math"/>
                <w:lang w:val="en-GB"/>
              </w:rPr>
              <m:t>i,t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β</m:t>
            </m:r>
          </m:e>
          <m:sub>
            <m:r>
              <w:rPr>
                <w:rFonts w:ascii="Cambria Math" w:hAnsi="Cambria Math"/>
                <w:lang w:val="en-GB"/>
              </w:rPr>
              <m:t>4</m:t>
            </m:r>
          </m:sub>
        </m:sSub>
        <m:sSub>
          <m:sSubPr>
            <m:ctrlPr>
              <w:rPr>
                <w:rFonts w:ascii="Cambria Math" w:hAnsi="Cambria Math"/>
                <w:i/>
                <w:lang w:val="en-GB"/>
              </w:rPr>
            </m:ctrlPr>
          </m:sSubPr>
          <m:e>
            <m:r>
              <w:rPr>
                <w:rFonts w:ascii="Cambria Math" w:hAnsi="Cambria Math"/>
                <w:lang w:val="en-GB"/>
              </w:rPr>
              <m:t>((OPEN)</m:t>
            </m:r>
          </m:e>
          <m:sub>
            <m:r>
              <w:rPr>
                <w:rFonts w:ascii="Cambria Math" w:hAnsi="Cambria Math"/>
                <w:lang w:val="en-GB"/>
              </w:rPr>
              <m:t>i,t</m:t>
            </m:r>
          </m:sub>
        </m:sSub>
        <m:r>
          <w:rPr>
            <w:rFonts w:ascii="Cambria Math" w:hAnsi="Cambria Math"/>
            <w:lang w:val="en-GB"/>
          </w:rPr>
          <m:t>*</m:t>
        </m:r>
        <m:sSub>
          <m:sSubPr>
            <m:ctrlPr>
              <w:rPr>
                <w:rFonts w:ascii="Cambria Math" w:hAnsi="Cambria Math"/>
                <w:i/>
                <w:lang w:val="en-GB"/>
              </w:rPr>
            </m:ctrlPr>
          </m:sSubPr>
          <m:e>
            <m:d>
              <m:dPr>
                <m:ctrlPr>
                  <w:rPr>
                    <w:rFonts w:ascii="Cambria Math" w:hAnsi="Cambria Math"/>
                    <w:i/>
                    <w:lang w:val="en-GB"/>
                  </w:rPr>
                </m:ctrlPr>
              </m:dPr>
              <m:e>
                <m:r>
                  <w:rPr>
                    <w:rFonts w:ascii="Cambria Math" w:hAnsi="Cambria Math"/>
                    <w:lang w:val="en-GB"/>
                  </w:rPr>
                  <m:t>DIV</m:t>
                </m:r>
              </m:e>
            </m:d>
          </m:e>
          <m:sub>
            <m:r>
              <w:rPr>
                <w:rFonts w:ascii="Cambria Math" w:hAnsi="Cambria Math"/>
                <w:lang w:val="en-GB"/>
              </w:rPr>
              <m:t>i,t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 xml:space="preserve">  β</m:t>
            </m:r>
          </m:e>
          <m:sub>
            <m:r>
              <w:rPr>
                <w:rFonts w:ascii="Cambria Math" w:hAnsi="Cambria Math"/>
                <w:lang w:val="en-GB"/>
              </w:rPr>
              <m:t>5</m:t>
            </m:r>
          </m:sub>
        </m:sSub>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i,t</m:t>
            </m:r>
          </m:sub>
        </m:sSub>
        <m:sSub>
          <m:sSubPr>
            <m:ctrlPr>
              <w:rPr>
                <w:rFonts w:ascii="Cambria Math" w:hAnsi="Cambria Math"/>
                <w:i/>
                <w:lang w:val="en-GB"/>
              </w:rPr>
            </m:ctrlPr>
          </m:sSubPr>
          <m:e>
            <m:r>
              <w:rPr>
                <w:rFonts w:ascii="Cambria Math" w:hAnsi="Cambria Math"/>
                <w:lang w:val="en-GB"/>
              </w:rPr>
              <m:t>+  ε</m:t>
            </m:r>
          </m:e>
          <m:sub>
            <m:r>
              <w:rPr>
                <w:rFonts w:ascii="Cambria Math" w:hAnsi="Cambria Math"/>
                <w:lang w:val="en-GB"/>
              </w:rPr>
              <m:t>i,t</m:t>
            </m:r>
          </m:sub>
        </m:sSub>
      </m:oMath>
      <w:r w:rsidR="00570FCB">
        <w:rPr>
          <w:lang w:val="en-GB"/>
        </w:rPr>
        <w:t xml:space="preserve"> </w:t>
      </w:r>
      <w:r w:rsidR="00570FCB">
        <w:rPr>
          <w:lang w:val="en-GB"/>
        </w:rPr>
        <w:tab/>
      </w:r>
      <w:r w:rsidR="00570FCB">
        <w:rPr>
          <w:lang w:val="en-GB"/>
        </w:rPr>
        <w:tab/>
      </w:r>
      <w:r w:rsidR="00570FCB">
        <w:rPr>
          <w:lang w:val="en-GB"/>
        </w:rPr>
        <w:tab/>
      </w:r>
      <w:r w:rsidR="00570FCB">
        <w:rPr>
          <w:lang w:val="en-GB"/>
        </w:rPr>
        <w:tab/>
      </w:r>
      <w:r w:rsidR="00570FCB">
        <w:rPr>
          <w:lang w:val="en-GB"/>
        </w:rPr>
        <w:tab/>
      </w:r>
      <w:r w:rsidR="00570FCB">
        <w:rPr>
          <w:lang w:val="en-GB"/>
        </w:rPr>
        <w:tab/>
      </w:r>
      <w:r w:rsidR="00570FCB">
        <w:rPr>
          <w:lang w:val="en-GB"/>
        </w:rPr>
        <w:tab/>
      </w:r>
      <w:r w:rsidR="009B4ACE">
        <w:rPr>
          <w:lang w:val="en-GB"/>
        </w:rPr>
        <w:t xml:space="preserve">                           </w:t>
      </w:r>
      <w:r w:rsidR="00570FCB">
        <w:rPr>
          <w:lang w:val="en-GB"/>
        </w:rPr>
        <w:t>(1</w:t>
      </w:r>
      <w:r w:rsidR="00723533" w:rsidRPr="000B71A0">
        <w:rPr>
          <w:lang w:val="en-GB"/>
        </w:rPr>
        <w:t>)</w:t>
      </w:r>
    </w:p>
    <w:p w:rsidR="00CE389B" w:rsidRPr="000B71A0" w:rsidRDefault="00A116AC" w:rsidP="00CE389B">
      <w:pPr>
        <w:autoSpaceDE w:val="0"/>
        <w:autoSpaceDN w:val="0"/>
        <w:adjustRightInd w:val="0"/>
        <w:spacing w:line="360" w:lineRule="auto"/>
        <w:jc w:val="both"/>
        <w:rPr>
          <w:lang w:val="en-GB"/>
        </w:rPr>
      </w:pPr>
      <w:r>
        <w:rPr>
          <w:lang w:val="en-GB"/>
        </w:rPr>
        <w:t xml:space="preserve">  </w:t>
      </w:r>
      <w:r w:rsidR="00CE389B" w:rsidRPr="000B71A0">
        <w:rPr>
          <w:sz w:val="20"/>
          <w:szCs w:val="20"/>
          <w:lang w:val="en-GB"/>
        </w:rPr>
        <w:t xml:space="preserve">                                                                                                                                               </w:t>
      </w:r>
    </w:p>
    <w:p w:rsidR="00CE389B" w:rsidRPr="005E28F3" w:rsidRDefault="00CE389B" w:rsidP="00606819">
      <w:pPr>
        <w:spacing w:line="360" w:lineRule="auto"/>
        <w:jc w:val="both"/>
      </w:pPr>
      <w:r w:rsidRPr="000B71A0">
        <w:rPr>
          <w:lang w:val="en-GB"/>
        </w:rPr>
        <w:t xml:space="preserve">where the dependent variable, </w:t>
      </w:r>
      <w:r w:rsidRPr="000B71A0">
        <w:rPr>
          <w:i/>
          <w:lang w:val="en-GB"/>
        </w:rPr>
        <w:t>GDPVOL</w:t>
      </w:r>
      <w:r w:rsidRPr="000B71A0">
        <w:rPr>
          <w:i/>
          <w:vertAlign w:val="subscript"/>
          <w:lang w:val="en-GB"/>
        </w:rPr>
        <w:t>i</w:t>
      </w:r>
      <w:r w:rsidRPr="000B71A0">
        <w:rPr>
          <w:i/>
          <w:lang w:val="en-GB"/>
        </w:rPr>
        <w:t>,</w:t>
      </w:r>
      <w:r w:rsidRPr="000B71A0">
        <w:rPr>
          <w:i/>
          <w:vertAlign w:val="subscript"/>
          <w:lang w:val="en-GB"/>
        </w:rPr>
        <w:t>t</w:t>
      </w:r>
      <w:r w:rsidRPr="000B71A0">
        <w:rPr>
          <w:lang w:val="en-GB"/>
        </w:rPr>
        <w:t xml:space="preserve"> is the standard deviation of real GDP per capita for country </w:t>
      </w:r>
      <w:r w:rsidRPr="000B71A0">
        <w:rPr>
          <w:i/>
          <w:lang w:val="en-GB"/>
        </w:rPr>
        <w:t>i</w:t>
      </w:r>
      <w:r w:rsidRPr="000B71A0">
        <w:rPr>
          <w:lang w:val="en-GB"/>
        </w:rPr>
        <w:t xml:space="preserve"> in period </w:t>
      </w:r>
      <w:r w:rsidRPr="000B71A0">
        <w:rPr>
          <w:i/>
          <w:lang w:val="en-GB"/>
        </w:rPr>
        <w:t>t</w:t>
      </w:r>
      <w:r w:rsidRPr="000B71A0">
        <w:rPr>
          <w:lang w:val="en-GB"/>
        </w:rPr>
        <w:t xml:space="preserve">, </w:t>
      </w:r>
      <w:r w:rsidRPr="000B71A0">
        <w:rPr>
          <w:i/>
          <w:lang w:val="en-GB"/>
        </w:rPr>
        <w:t>OPEN</w:t>
      </w:r>
      <w:r w:rsidRPr="000B71A0">
        <w:rPr>
          <w:i/>
          <w:vertAlign w:val="subscript"/>
          <w:lang w:val="en-GB"/>
        </w:rPr>
        <w:t>i,t</w:t>
      </w:r>
      <w:r w:rsidRPr="000B71A0">
        <w:rPr>
          <w:lang w:val="en-GB"/>
        </w:rPr>
        <w:t xml:space="preserve"> is trade openness (the total trade as a share of GDP), </w:t>
      </w:r>
      <w:r w:rsidRPr="000B71A0">
        <w:rPr>
          <w:i/>
          <w:lang w:val="en-GB"/>
        </w:rPr>
        <w:t>DIV</w:t>
      </w:r>
      <w:r w:rsidRPr="000B71A0">
        <w:rPr>
          <w:i/>
          <w:vertAlign w:val="subscript"/>
          <w:lang w:val="en-GB"/>
        </w:rPr>
        <w:t>i,t</w:t>
      </w:r>
      <w:r w:rsidRPr="000B71A0">
        <w:rPr>
          <w:lang w:val="en-GB"/>
        </w:rPr>
        <w:t xml:space="preserve">  is a calculated measure of export diversification, </w:t>
      </w:r>
      <w:r w:rsidRPr="000B71A0">
        <w:rPr>
          <w:i/>
          <w:lang w:val="en-GB"/>
        </w:rPr>
        <w:t xml:space="preserve">INST </w:t>
      </w:r>
      <w:r w:rsidRPr="000B71A0">
        <w:rPr>
          <w:i/>
          <w:vertAlign w:val="subscript"/>
          <w:lang w:val="en-GB"/>
        </w:rPr>
        <w:t>i,t</w:t>
      </w:r>
      <w:r w:rsidRPr="000B71A0">
        <w:rPr>
          <w:vertAlign w:val="subscript"/>
          <w:lang w:val="en-GB"/>
        </w:rPr>
        <w:t xml:space="preserve"> </w:t>
      </w:r>
      <w:r w:rsidRPr="000B71A0">
        <w:rPr>
          <w:lang w:val="en-GB"/>
        </w:rPr>
        <w:t>is a proxy for institutions,</w:t>
      </w:r>
      <w:r w:rsidR="00C20806">
        <w:rPr>
          <w:lang w:val="en-GB"/>
        </w:rPr>
        <w:t xml:space="preserve"> and</w:t>
      </w:r>
      <w:r w:rsidRPr="000B71A0">
        <w:rPr>
          <w:lang w:val="en-GB"/>
        </w:rPr>
        <w:t xml:space="preserve"> </w:t>
      </w:r>
      <m:oMath>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OPEN</m:t>
                </m:r>
              </m:e>
              <m:sub>
                <m:r>
                  <w:rPr>
                    <w:rFonts w:ascii="Cambria Math" w:hAnsi="Cambria Math"/>
                    <w:lang w:val="en-GB"/>
                  </w:rPr>
                  <m:t>i,t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DIV</m:t>
                </m:r>
              </m:e>
              <m:sub>
                <m:r>
                  <w:rPr>
                    <w:rFonts w:ascii="Cambria Math" w:hAnsi="Cambria Math"/>
                    <w:lang w:val="en-GB"/>
                  </w:rPr>
                  <m:t>i,t</m:t>
                </m:r>
              </m:sub>
            </m:sSub>
            <m:r>
              <m:rPr>
                <m:sty m:val="p"/>
              </m:rPr>
              <w:rPr>
                <w:rFonts w:ascii="Cambria Math" w:hAnsi="Cambria Math"/>
                <w:vertAlign w:val="subscript"/>
                <w:lang w:val="en-GB"/>
              </w:rPr>
              <m:t xml:space="preserve"> </m:t>
            </m:r>
            <m:r>
              <m:rPr>
                <m:sty m:val="p"/>
              </m:rPr>
              <w:rPr>
                <w:rFonts w:ascii="Cambria Math" w:hAnsi="Cambria Math"/>
                <w:lang w:val="en-GB"/>
              </w:rPr>
              <m:t xml:space="preserve"> </m:t>
            </m:r>
          </m:e>
        </m:d>
        <m:r>
          <w:rPr>
            <w:rFonts w:ascii="Cambria Math" w:hAnsi="Cambria Math"/>
            <w:lang w:val="en-GB"/>
          </w:rPr>
          <m:t xml:space="preserve"> </m:t>
        </m:r>
      </m:oMath>
      <w:r w:rsidRPr="000B71A0">
        <w:rPr>
          <w:lang w:val="en-GB"/>
        </w:rPr>
        <w:t>is the multiplicative interaction between trade openness and</w:t>
      </w:r>
      <w:r w:rsidR="00D9442C">
        <w:rPr>
          <w:lang w:val="en-GB"/>
        </w:rPr>
        <w:t xml:space="preserve"> diversification.</w:t>
      </w:r>
      <w:r w:rsidRPr="000B71A0">
        <w:rPr>
          <w:lang w:val="en-GB"/>
        </w:rPr>
        <w:t xml:space="preserve"> Vector </w:t>
      </w:r>
      <w:r w:rsidRPr="000B71A0">
        <w:rPr>
          <w:i/>
          <w:lang w:val="en-GB"/>
        </w:rPr>
        <w:t>X</w:t>
      </w:r>
      <w:r w:rsidRPr="000B71A0">
        <w:rPr>
          <w:lang w:val="en-GB"/>
        </w:rPr>
        <w:t xml:space="preserve"> includes proxies for the effect</w:t>
      </w:r>
      <w:r w:rsidR="00C20806">
        <w:rPr>
          <w:lang w:val="en-GB"/>
        </w:rPr>
        <w:t>s</w:t>
      </w:r>
      <w:r w:rsidRPr="000B71A0">
        <w:rPr>
          <w:lang w:val="en-GB"/>
        </w:rPr>
        <w:t xml:space="preserve"> of </w:t>
      </w:r>
      <w:r w:rsidR="00C20806">
        <w:rPr>
          <w:lang w:val="en-GB"/>
        </w:rPr>
        <w:t xml:space="preserve">the </w:t>
      </w:r>
      <w:r w:rsidRPr="000B71A0">
        <w:rPr>
          <w:lang w:val="en-GB"/>
        </w:rPr>
        <w:t xml:space="preserve">terms of trade, </w:t>
      </w:r>
      <w:r w:rsidR="00C20806">
        <w:rPr>
          <w:lang w:val="en-GB"/>
        </w:rPr>
        <w:t xml:space="preserve">the </w:t>
      </w:r>
      <w:r w:rsidRPr="000B71A0">
        <w:rPr>
          <w:lang w:val="en-GB"/>
        </w:rPr>
        <w:t xml:space="preserve">exchange rate, fiscal and monetary volatility, as well as proxies for financial openness and financial system development. Note that </w:t>
      </w:r>
      <m:oMath>
        <m:sSub>
          <m:sSubPr>
            <m:ctrlPr>
              <w:rPr>
                <w:rFonts w:ascii="Cambria Math" w:hAnsi="Cambria Math"/>
                <w:i/>
                <w:lang w:val="en-GB"/>
              </w:rPr>
            </m:ctrlPr>
          </m:sSubPr>
          <m:e>
            <m:r>
              <w:rPr>
                <w:rFonts w:ascii="Cambria Math" w:hAnsi="Cambria Math"/>
                <w:lang w:val="en-GB"/>
              </w:rPr>
              <m:t>β</m:t>
            </m:r>
          </m:e>
          <m:sub>
            <m:r>
              <w:rPr>
                <w:rFonts w:ascii="Cambria Math" w:hAnsi="Cambria Math"/>
                <w:lang w:val="en-GB"/>
              </w:rPr>
              <m:t>4</m:t>
            </m:r>
          </m:sub>
        </m:sSub>
        <m:r>
          <w:rPr>
            <w:rFonts w:ascii="Cambria Math" w:hAnsi="Cambria Math"/>
            <w:lang w:val="en-GB"/>
          </w:rPr>
          <m:t xml:space="preserve"> </m:t>
        </m:r>
      </m:oMath>
      <w:r w:rsidRPr="000B71A0">
        <w:rPr>
          <w:lang w:val="en-GB"/>
        </w:rPr>
        <w:t>reflects the effect of openness when exports are fully diversified (</w:t>
      </w:r>
      <w:r w:rsidRPr="000B71A0">
        <w:rPr>
          <w:i/>
          <w:lang w:val="en-GB"/>
        </w:rPr>
        <w:t>DIV</w:t>
      </w:r>
      <w:r w:rsidRPr="000B71A0">
        <w:rPr>
          <w:i/>
          <w:vertAlign w:val="subscript"/>
          <w:lang w:val="en-GB"/>
        </w:rPr>
        <w:t>i,t</w:t>
      </w:r>
      <w:r w:rsidRPr="000B71A0">
        <w:rPr>
          <w:lang w:val="en-GB"/>
        </w:rPr>
        <w:t xml:space="preserve"> =0) and the sum </w:t>
      </w:r>
      <m:oMath>
        <m:sSub>
          <m:sSubPr>
            <m:ctrlPr>
              <w:rPr>
                <w:rFonts w:ascii="Cambria Math" w:hAnsi="Cambria Math"/>
                <w:i/>
                <w:lang w:val="en-GB"/>
              </w:rPr>
            </m:ctrlPr>
          </m:sSubPr>
          <m:e>
            <m:sSub>
              <m:sSubPr>
                <m:ctrlPr>
                  <w:rPr>
                    <w:rFonts w:ascii="Cambria Math" w:hAnsi="Cambria Math"/>
                    <w:i/>
                    <w:lang w:val="en-GB"/>
                  </w:rPr>
                </m:ctrlPr>
              </m:sSubPr>
              <m:e>
                <m:r>
                  <w:rPr>
                    <w:rFonts w:ascii="Cambria Math" w:hAnsi="Cambria Math"/>
                    <w:lang w:val="en-GB"/>
                  </w:rPr>
                  <m:t>β</m:t>
                </m:r>
              </m:e>
              <m:sub>
                <m:r>
                  <w:rPr>
                    <w:rFonts w:ascii="Cambria Math" w:hAnsi="Cambria Math"/>
                    <w:lang w:val="en-GB"/>
                  </w:rPr>
                  <m:t>1</m:t>
                </m:r>
              </m:sub>
            </m:sSub>
            <m:r>
              <w:rPr>
                <w:rFonts w:ascii="Cambria Math" w:hAnsi="Cambria Math"/>
                <w:lang w:val="en-GB"/>
              </w:rPr>
              <m:t>+β</m:t>
            </m:r>
          </m:e>
          <m:sub>
            <m:r>
              <w:rPr>
                <w:rFonts w:ascii="Cambria Math" w:hAnsi="Cambria Math"/>
                <w:lang w:val="en-GB"/>
              </w:rPr>
              <m:t>4</m:t>
            </m:r>
          </m:sub>
        </m:sSub>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(DIV)</m:t>
            </m:r>
          </m:e>
          <m:sub>
            <m:r>
              <w:rPr>
                <w:rFonts w:ascii="Cambria Math" w:hAnsi="Cambria Math"/>
                <w:lang w:val="en-GB"/>
              </w:rPr>
              <m:t>i,t</m:t>
            </m:r>
          </m:sub>
        </m:sSub>
      </m:oMath>
      <w:r w:rsidRPr="000B71A0">
        <w:rPr>
          <w:lang w:val="en-GB"/>
        </w:rPr>
        <w:t xml:space="preserve">  reflects the effect of openness </w:t>
      </w:r>
      <w:r w:rsidR="00C20806">
        <w:rPr>
          <w:lang w:val="en-GB"/>
        </w:rPr>
        <w:t>at</w:t>
      </w:r>
      <w:r w:rsidRPr="000B71A0">
        <w:rPr>
          <w:lang w:val="en-GB"/>
        </w:rPr>
        <w:t xml:space="preserve"> different values of </w:t>
      </w:r>
      <w:r w:rsidRPr="000B71A0">
        <w:rPr>
          <w:i/>
          <w:lang w:val="en-GB"/>
        </w:rPr>
        <w:t>DIV</w:t>
      </w:r>
      <w:r w:rsidRPr="000B71A0">
        <w:rPr>
          <w:i/>
          <w:vertAlign w:val="subscript"/>
          <w:lang w:val="en-GB"/>
        </w:rPr>
        <w:t>i,t</w:t>
      </w:r>
      <w:r w:rsidRPr="000B71A0">
        <w:rPr>
          <w:lang w:val="en-GB"/>
        </w:rPr>
        <w:t xml:space="preserve">. </w:t>
      </w:r>
    </w:p>
    <w:p w:rsidR="00CE389B" w:rsidRPr="000B71A0" w:rsidRDefault="00CE389B" w:rsidP="00CE389B">
      <w:pPr>
        <w:autoSpaceDE w:val="0"/>
        <w:autoSpaceDN w:val="0"/>
        <w:adjustRightInd w:val="0"/>
        <w:spacing w:line="360" w:lineRule="auto"/>
        <w:jc w:val="both"/>
        <w:rPr>
          <w:lang w:val="en-GB"/>
        </w:rPr>
      </w:pPr>
    </w:p>
    <w:p w:rsidR="003D1C14" w:rsidRDefault="00CE389B" w:rsidP="00606819">
      <w:pPr>
        <w:autoSpaceDE w:val="0"/>
        <w:autoSpaceDN w:val="0"/>
        <w:adjustRightInd w:val="0"/>
        <w:spacing w:line="360" w:lineRule="auto"/>
        <w:jc w:val="both"/>
        <w:rPr>
          <w:lang w:val="en-GB"/>
        </w:rPr>
      </w:pPr>
      <w:r>
        <w:rPr>
          <w:lang w:val="en-GB"/>
        </w:rPr>
        <w:t>Potential endogeneity is</w:t>
      </w:r>
      <w:r w:rsidRPr="000B71A0">
        <w:rPr>
          <w:lang w:val="en-GB"/>
        </w:rPr>
        <w:t xml:space="preserve"> </w:t>
      </w:r>
      <w:r>
        <w:rPr>
          <w:lang w:val="en-GB"/>
        </w:rPr>
        <w:t xml:space="preserve">one of the </w:t>
      </w:r>
      <w:r w:rsidRPr="000B71A0">
        <w:rPr>
          <w:lang w:val="en-GB"/>
        </w:rPr>
        <w:t xml:space="preserve">major methodological </w:t>
      </w:r>
      <w:r w:rsidR="00D9442C" w:rsidRPr="000B71A0">
        <w:rPr>
          <w:lang w:val="en-GB"/>
        </w:rPr>
        <w:t>challenges</w:t>
      </w:r>
      <w:r w:rsidRPr="000B71A0">
        <w:rPr>
          <w:lang w:val="en-GB"/>
        </w:rPr>
        <w:t xml:space="preserve">. The potential endogeneity of trade openness in output volatility regressions is extensively debated in the literature. </w:t>
      </w:r>
      <w:r w:rsidR="00251FB5">
        <w:rPr>
          <w:lang w:val="en-GB"/>
        </w:rPr>
        <w:t>It is generally agreed that e</w:t>
      </w:r>
      <w:r w:rsidRPr="000B71A0">
        <w:rPr>
          <w:lang w:val="en-GB"/>
        </w:rPr>
        <w:t>ndogeneity is of greater concern in growth regressions</w:t>
      </w:r>
      <w:r w:rsidR="00251FB5">
        <w:rPr>
          <w:lang w:val="en-GB"/>
        </w:rPr>
        <w:t>,</w:t>
      </w:r>
      <w:r w:rsidRPr="000B71A0">
        <w:rPr>
          <w:lang w:val="en-GB"/>
        </w:rPr>
        <w:t xml:space="preserve"> as growth rates, current and past, potentially influence both components of the denominator in the openness ratio </w:t>
      </w:r>
      <w:r w:rsidRPr="000B71A0">
        <w:rPr>
          <w:lang w:val="en-GB"/>
        </w:rPr>
        <w:lastRenderedPageBreak/>
        <w:t xml:space="preserve">(exports and imports). </w:t>
      </w:r>
      <w:r w:rsidR="003935D9">
        <w:rPr>
          <w:highlight w:val="lightGray"/>
          <w:lang w:val="en-GB"/>
        </w:rPr>
        <w:t>Yet, t</w:t>
      </w:r>
      <w:r w:rsidR="003D1C14" w:rsidRPr="003935D9">
        <w:rPr>
          <w:highlight w:val="lightGray"/>
          <w:lang w:val="en-GB"/>
        </w:rPr>
        <w:t>he case for the potential endogeneity or exogeneity of openness in volatility models is mixed and correspondingly less compelling.</w:t>
      </w:r>
      <w:r w:rsidR="003D1C14">
        <w:rPr>
          <w:lang w:val="en-GB"/>
        </w:rPr>
        <w:t xml:space="preserve"> On the one hand, somewhat</w:t>
      </w:r>
      <w:r w:rsidR="00251FB5">
        <w:rPr>
          <w:lang w:val="en-GB"/>
        </w:rPr>
        <w:t xml:space="preserve"> indirectly, t</w:t>
      </w:r>
      <w:r w:rsidRPr="000B71A0">
        <w:rPr>
          <w:lang w:val="en-GB"/>
        </w:rPr>
        <w:t xml:space="preserve">he endogeneity of openness could arise in a volatility regression if the government perceives openness as a shock transmission mechanism that causes volatility and pursues policies that affect the level of trade openness. Similarly, policy makers can pursue policies that simultaneously </w:t>
      </w:r>
      <w:r w:rsidR="00251FB5">
        <w:rPr>
          <w:lang w:val="en-GB"/>
        </w:rPr>
        <w:t>affect</w:t>
      </w:r>
      <w:r w:rsidRPr="000B71A0">
        <w:rPr>
          <w:lang w:val="en-GB"/>
        </w:rPr>
        <w:t xml:space="preserve"> the liberalization of trade and output volatility, such as privatization and financial liberalisation. An example is the Washington Consensus, which has been on the policy agenda in the transition countries in our sample. On the other hand, the counter (political) argument in favour of the exogeneity of the openness variable suggests that trade openness is primarily dependent on foreign demand and supply and trade barriers, which are not under the responsibility of </w:t>
      </w:r>
      <w:r w:rsidR="00A55C20">
        <w:rPr>
          <w:lang w:val="en-GB"/>
        </w:rPr>
        <w:t>national</w:t>
      </w:r>
      <w:r w:rsidRPr="000B71A0">
        <w:rPr>
          <w:lang w:val="en-GB"/>
        </w:rPr>
        <w:t xml:space="preserve"> governments, but depend</w:t>
      </w:r>
      <w:r w:rsidR="0085017F">
        <w:rPr>
          <w:lang w:val="en-GB"/>
        </w:rPr>
        <w:t>e</w:t>
      </w:r>
      <w:r w:rsidRPr="000B71A0">
        <w:rPr>
          <w:lang w:val="en-GB"/>
        </w:rPr>
        <w:t>nt on glo</w:t>
      </w:r>
      <w:r>
        <w:rPr>
          <w:lang w:val="en-GB"/>
        </w:rPr>
        <w:t xml:space="preserve">bal/regional decision makers. Also, </w:t>
      </w:r>
      <w:r w:rsidRPr="000B71A0">
        <w:rPr>
          <w:lang w:val="en-GB"/>
        </w:rPr>
        <w:t xml:space="preserve">small and distant countries are more susceptible to external shocks, but also more likely to open up their economies than are large countries. However, the size effect in our </w:t>
      </w:r>
      <w:r w:rsidR="00251FB5">
        <w:rPr>
          <w:lang w:val="en-GB"/>
        </w:rPr>
        <w:t>models</w:t>
      </w:r>
      <w:r w:rsidRPr="000B71A0">
        <w:rPr>
          <w:lang w:val="en-GB"/>
        </w:rPr>
        <w:t xml:space="preserve"> is controlled by the inclusion of country fixed effect</w:t>
      </w:r>
      <w:r w:rsidR="00251FB5">
        <w:rPr>
          <w:lang w:val="en-GB"/>
        </w:rPr>
        <w:t>s</w:t>
      </w:r>
      <w:r w:rsidRPr="000B71A0">
        <w:rPr>
          <w:lang w:val="en-GB"/>
        </w:rPr>
        <w:t xml:space="preserve">. </w:t>
      </w:r>
      <w:r w:rsidR="00F10CB9" w:rsidRPr="00484222">
        <w:rPr>
          <w:highlight w:val="lightGray"/>
          <w:lang w:val="en-GB"/>
        </w:rPr>
        <w:t>Overall, then, the theoretical case for treating openness in a volatility model is not strong. Moreover, this conclusion is confirmed by Haddad et al. (2013</w:t>
      </w:r>
      <w:r w:rsidR="00484222" w:rsidRPr="00484222">
        <w:rPr>
          <w:highlight w:val="lightGray"/>
          <w:lang w:val="en-GB"/>
        </w:rPr>
        <w:t>, p.776</w:t>
      </w:r>
      <w:r w:rsidR="00F10CB9" w:rsidRPr="00484222">
        <w:rPr>
          <w:highlight w:val="lightGray"/>
          <w:lang w:val="en-GB"/>
        </w:rPr>
        <w:t xml:space="preserve">) who </w:t>
      </w:r>
      <w:r w:rsidR="00484222" w:rsidRPr="00484222">
        <w:rPr>
          <w:highlight w:val="lightGray"/>
          <w:lang w:val="en-GB"/>
        </w:rPr>
        <w:t>obtain ‘qualitatively very similar’ results from estimating a</w:t>
      </w:r>
      <w:r w:rsidR="00F10CB9" w:rsidRPr="00484222">
        <w:rPr>
          <w:highlight w:val="lightGray"/>
          <w:lang w:val="en-GB"/>
        </w:rPr>
        <w:t xml:space="preserve"> volatility model using panel data in two variants: a random effects model, in which openness is treated as exogenous; and a fixed effects model</w:t>
      </w:r>
      <w:r w:rsidR="00484222" w:rsidRPr="00484222">
        <w:rPr>
          <w:highlight w:val="lightGray"/>
          <w:lang w:val="en-GB"/>
        </w:rPr>
        <w:t xml:space="preserve"> estimated by GMM</w:t>
      </w:r>
      <w:r w:rsidR="00F10CB9" w:rsidRPr="00484222">
        <w:rPr>
          <w:highlight w:val="lightGray"/>
          <w:lang w:val="en-GB"/>
        </w:rPr>
        <w:t>, in which</w:t>
      </w:r>
      <w:r w:rsidR="00484222" w:rsidRPr="00484222">
        <w:rPr>
          <w:highlight w:val="lightGray"/>
          <w:lang w:val="en-GB"/>
        </w:rPr>
        <w:t xml:space="preserve"> the openness and the openness/diversification variables are treated as endogenous (which is the approach to potential endogeneity adopted in the present study).</w:t>
      </w:r>
      <w:r w:rsidR="00484222">
        <w:rPr>
          <w:lang w:val="en-GB"/>
        </w:rPr>
        <w:t xml:space="preserve"> </w:t>
      </w:r>
    </w:p>
    <w:p w:rsidR="00606819" w:rsidRPr="000B71A0" w:rsidRDefault="00606819" w:rsidP="00606819">
      <w:pPr>
        <w:autoSpaceDE w:val="0"/>
        <w:autoSpaceDN w:val="0"/>
        <w:adjustRightInd w:val="0"/>
        <w:spacing w:line="360" w:lineRule="auto"/>
        <w:jc w:val="both"/>
        <w:rPr>
          <w:lang w:val="en-GB"/>
        </w:rPr>
      </w:pPr>
      <w:r w:rsidRPr="000B71A0">
        <w:rPr>
          <w:lang w:val="en-GB"/>
        </w:rPr>
        <w:t xml:space="preserve">Institutional variables </w:t>
      </w:r>
      <w:r w:rsidR="00484222">
        <w:rPr>
          <w:lang w:val="en-GB"/>
        </w:rPr>
        <w:t>also entail</w:t>
      </w:r>
      <w:r w:rsidRPr="000B71A0">
        <w:rPr>
          <w:lang w:val="en-GB"/>
        </w:rPr>
        <w:t xml:space="preserve"> the problem of potential endogeneity. The relationship between institutions and volatility might be subject to simultaneity bias, as it not straightforward whether better institutions brings stability or stability improves institutional quality. </w:t>
      </w:r>
      <w:r w:rsidR="005D7254">
        <w:rPr>
          <w:rFonts w:eastAsia="Cambria"/>
          <w:lang w:val="en-GB"/>
        </w:rPr>
        <w:t>The literature use</w:t>
      </w:r>
      <w:r w:rsidR="00484222">
        <w:rPr>
          <w:rFonts w:eastAsia="Cambria"/>
          <w:lang w:val="en-GB"/>
        </w:rPr>
        <w:t>s</w:t>
      </w:r>
      <w:r w:rsidR="005D7254">
        <w:rPr>
          <w:rFonts w:eastAsia="Cambria"/>
          <w:lang w:val="en-GB"/>
        </w:rPr>
        <w:t xml:space="preserve"> a range of instruments for institution</w:t>
      </w:r>
      <w:r w:rsidR="00445242">
        <w:rPr>
          <w:rFonts w:eastAsia="Cambria"/>
          <w:lang w:val="en-GB"/>
        </w:rPr>
        <w:t>al quality</w:t>
      </w:r>
      <w:r w:rsidR="005D7254">
        <w:rPr>
          <w:rFonts w:eastAsia="Cambria"/>
          <w:lang w:val="en-GB"/>
        </w:rPr>
        <w:t xml:space="preserve"> such as </w:t>
      </w:r>
      <w:r w:rsidRPr="000B71A0">
        <w:rPr>
          <w:rFonts w:eastAsia="Cambria"/>
          <w:bCs/>
          <w:lang w:val="en-GB"/>
        </w:rPr>
        <w:t xml:space="preserve">settler mortality, population density and European languages. </w:t>
      </w:r>
    </w:p>
    <w:p w:rsidR="00CE389B" w:rsidRPr="000B71A0" w:rsidRDefault="00CE389B" w:rsidP="00CE389B">
      <w:pPr>
        <w:autoSpaceDE w:val="0"/>
        <w:autoSpaceDN w:val="0"/>
        <w:adjustRightInd w:val="0"/>
        <w:spacing w:line="360" w:lineRule="auto"/>
        <w:jc w:val="both"/>
        <w:rPr>
          <w:lang w:val="en-GB"/>
        </w:rPr>
      </w:pPr>
    </w:p>
    <w:p w:rsidR="00CE389B" w:rsidRPr="000B71A0" w:rsidRDefault="005D7254" w:rsidP="005956AC">
      <w:pPr>
        <w:autoSpaceDE w:val="0"/>
        <w:autoSpaceDN w:val="0"/>
        <w:adjustRightInd w:val="0"/>
        <w:spacing w:line="360" w:lineRule="auto"/>
        <w:jc w:val="both"/>
        <w:rPr>
          <w:lang w:val="en-GB"/>
        </w:rPr>
      </w:pPr>
      <w:r w:rsidRPr="000B71A0">
        <w:rPr>
          <w:lang w:val="en-GB"/>
        </w:rPr>
        <w:t xml:space="preserve">The arguments concerning the exogeneity or potential endogeneity of openness are inconclusive and mainly developed in the context of output levels or output growth rather than output volatility, which is our concern. Moreover, while the case for considering institutions to be potentially endogenous is better established in relation to output levels and growth it is not similarly well established in relation to output volatility. </w:t>
      </w:r>
      <w:r w:rsidR="00CE389B" w:rsidRPr="007A51EC">
        <w:rPr>
          <w:highlight w:val="lightGray"/>
          <w:lang w:val="en-GB"/>
        </w:rPr>
        <w:t xml:space="preserve">Accordingly, </w:t>
      </w:r>
      <w:r w:rsidR="005956AC" w:rsidRPr="007A51EC">
        <w:rPr>
          <w:highlight w:val="lightGray"/>
          <w:lang w:val="en-GB"/>
        </w:rPr>
        <w:t xml:space="preserve">we use two estimation strategies: fixed </w:t>
      </w:r>
      <w:r w:rsidR="005956AC" w:rsidRPr="007A51EC">
        <w:rPr>
          <w:highlight w:val="lightGray"/>
          <w:lang w:val="en-GB"/>
        </w:rPr>
        <w:lastRenderedPageBreak/>
        <w:t xml:space="preserve">effects (FE) estimation </w:t>
      </w:r>
      <w:r w:rsidR="00CE389B" w:rsidRPr="007A51EC">
        <w:rPr>
          <w:highlight w:val="lightGray"/>
          <w:lang w:val="en-GB"/>
        </w:rPr>
        <w:t>o</w:t>
      </w:r>
      <w:r w:rsidR="00C94E42" w:rsidRPr="007A51EC">
        <w:rPr>
          <w:highlight w:val="lightGray"/>
          <w:lang w:val="en-GB"/>
        </w:rPr>
        <w:t>n the assumption that openness</w:t>
      </w:r>
      <w:r w:rsidR="00606819" w:rsidRPr="007A51EC">
        <w:rPr>
          <w:highlight w:val="lightGray"/>
          <w:lang w:val="en-GB"/>
        </w:rPr>
        <w:t xml:space="preserve"> and institutions</w:t>
      </w:r>
      <w:r w:rsidR="00C94E42" w:rsidRPr="007A51EC">
        <w:rPr>
          <w:highlight w:val="lightGray"/>
          <w:lang w:val="en-GB"/>
        </w:rPr>
        <w:t xml:space="preserve"> </w:t>
      </w:r>
      <w:r w:rsidR="00606819" w:rsidRPr="007A51EC">
        <w:rPr>
          <w:highlight w:val="lightGray"/>
          <w:lang w:val="en-GB"/>
        </w:rPr>
        <w:t>are</w:t>
      </w:r>
      <w:r w:rsidR="00CE389B" w:rsidRPr="007A51EC">
        <w:rPr>
          <w:highlight w:val="lightGray"/>
          <w:lang w:val="en-GB"/>
        </w:rPr>
        <w:t xml:space="preserve"> exogenous with respect to output volatility</w:t>
      </w:r>
      <w:r w:rsidR="005956AC" w:rsidRPr="007A51EC">
        <w:rPr>
          <w:highlight w:val="lightGray"/>
          <w:lang w:val="en-GB"/>
        </w:rPr>
        <w:t>; and</w:t>
      </w:r>
      <w:r w:rsidR="00CE389B" w:rsidRPr="007A51EC">
        <w:rPr>
          <w:highlight w:val="lightGray"/>
          <w:lang w:val="en-GB"/>
        </w:rPr>
        <w:t xml:space="preserve">, </w:t>
      </w:r>
      <w:r w:rsidR="007A51EC" w:rsidRPr="007A51EC">
        <w:rPr>
          <w:highlight w:val="lightGray"/>
          <w:lang w:val="en-GB"/>
        </w:rPr>
        <w:t>GMM estimation to</w:t>
      </w:r>
      <w:r w:rsidR="00CE389B" w:rsidRPr="007A51EC">
        <w:rPr>
          <w:highlight w:val="lightGray"/>
          <w:lang w:val="en-GB"/>
        </w:rPr>
        <w:t xml:space="preserve"> take account of the pot</w:t>
      </w:r>
      <w:r w:rsidR="00C94E42" w:rsidRPr="007A51EC">
        <w:rPr>
          <w:highlight w:val="lightGray"/>
          <w:lang w:val="en-GB"/>
        </w:rPr>
        <w:t>ential endogeneity of openness</w:t>
      </w:r>
      <w:r w:rsidR="007A51EC">
        <w:rPr>
          <w:highlight w:val="lightGray"/>
          <w:lang w:val="en-GB"/>
        </w:rPr>
        <w:t xml:space="preserve"> and institutional quality</w:t>
      </w:r>
      <w:r w:rsidR="00CE389B" w:rsidRPr="007A51EC">
        <w:rPr>
          <w:highlight w:val="lightGray"/>
          <w:lang w:val="en-GB"/>
        </w:rPr>
        <w:t>.</w:t>
      </w:r>
      <w:r w:rsidR="0016327B">
        <w:rPr>
          <w:lang w:val="en-GB"/>
        </w:rPr>
        <w:t xml:space="preserve"> </w:t>
      </w:r>
    </w:p>
    <w:p w:rsidR="00CE389B" w:rsidRDefault="00CE389B" w:rsidP="00CE389B">
      <w:pPr>
        <w:autoSpaceDE w:val="0"/>
        <w:autoSpaceDN w:val="0"/>
        <w:adjustRightInd w:val="0"/>
        <w:spacing w:line="360" w:lineRule="auto"/>
        <w:jc w:val="both"/>
        <w:rPr>
          <w:rFonts w:eastAsia="Cambria"/>
          <w:lang w:val="en-GB"/>
        </w:rPr>
      </w:pPr>
    </w:p>
    <w:p w:rsidR="007B2180" w:rsidRPr="007B2180" w:rsidRDefault="0052776D" w:rsidP="0052776D">
      <w:pPr>
        <w:autoSpaceDE w:val="0"/>
        <w:autoSpaceDN w:val="0"/>
        <w:adjustRightInd w:val="0"/>
        <w:spacing w:line="360" w:lineRule="auto"/>
        <w:jc w:val="both"/>
        <w:rPr>
          <w:rFonts w:eastAsia="Cambria"/>
          <w:highlight w:val="lightGray"/>
          <w:lang w:val="en-GB"/>
        </w:rPr>
      </w:pPr>
      <w:r w:rsidRPr="007B2180">
        <w:rPr>
          <w:rFonts w:eastAsia="Cambria"/>
          <w:highlight w:val="lightGray"/>
          <w:lang w:val="en-GB"/>
        </w:rPr>
        <w:t>Although the theoretical case for treating openness as potentially endogenous is not compelling and the empirical comparison provided by Haddad et al. (2013) is not supportive, we address uncertainty on this issue – as noted in the Introduction, above – by e</w:t>
      </w:r>
      <w:r w:rsidRPr="007B2180">
        <w:rPr>
          <w:rFonts w:eastAsia="Cambria"/>
          <w:highlight w:val="lightGray"/>
        </w:rPr>
        <w:t xml:space="preserve">stimating fixed effects panel models not only by ordinary least squares (OLS) but also by the general method of moments (GMM) system approach. In so doing, we exploit “internal” instruments made available by the time-series depth of our panel data. Instruments </w:t>
      </w:r>
      <w:r w:rsidRPr="007B2180">
        <w:rPr>
          <w:rFonts w:eastAsia="Cambria"/>
          <w:highlight w:val="lightGray"/>
          <w:lang w:val="en-GB"/>
        </w:rPr>
        <w:t xml:space="preserve">for openness </w:t>
      </w:r>
      <w:r w:rsidR="006515C2" w:rsidRPr="007B2180">
        <w:rPr>
          <w:rFonts w:eastAsia="Cambria"/>
          <w:highlight w:val="lightGray"/>
          <w:lang w:val="en-GB"/>
        </w:rPr>
        <w:t xml:space="preserve">that are </w:t>
      </w:r>
      <w:r w:rsidRPr="007B2180">
        <w:rPr>
          <w:rFonts w:eastAsia="Cambria"/>
          <w:highlight w:val="lightGray"/>
        </w:rPr>
        <w:t xml:space="preserve">“external” </w:t>
      </w:r>
      <w:r w:rsidR="00C14883">
        <w:rPr>
          <w:rFonts w:eastAsia="Cambria"/>
          <w:highlight w:val="lightGray"/>
        </w:rPr>
        <w:t xml:space="preserve">to </w:t>
      </w:r>
      <w:r w:rsidRPr="007B2180">
        <w:rPr>
          <w:rFonts w:eastAsia="Cambria"/>
          <w:highlight w:val="lightGray"/>
        </w:rPr>
        <w:t>our dataset</w:t>
      </w:r>
      <w:r w:rsidR="006515C2" w:rsidRPr="007B2180">
        <w:rPr>
          <w:rFonts w:eastAsia="Cambria"/>
          <w:highlight w:val="lightGray"/>
        </w:rPr>
        <w:t xml:space="preserve">, </w:t>
      </w:r>
      <w:r w:rsidRPr="007B2180">
        <w:rPr>
          <w:rFonts w:eastAsia="Cambria"/>
          <w:highlight w:val="lightGray"/>
          <w:lang w:val="en-GB"/>
        </w:rPr>
        <w:t xml:space="preserve">such as </w:t>
      </w:r>
      <w:r w:rsidR="006515C2" w:rsidRPr="007B2180">
        <w:rPr>
          <w:rFonts w:eastAsia="Cambria"/>
          <w:highlight w:val="lightGray"/>
          <w:lang w:val="en-GB"/>
        </w:rPr>
        <w:t>“</w:t>
      </w:r>
      <w:r w:rsidRPr="007B2180">
        <w:rPr>
          <w:rFonts w:eastAsia="Cambria"/>
          <w:highlight w:val="lightGray"/>
          <w:lang w:val="en-GB"/>
        </w:rPr>
        <w:t>natural openness</w:t>
      </w:r>
      <w:r w:rsidR="006515C2" w:rsidRPr="007B2180">
        <w:rPr>
          <w:rFonts w:eastAsia="Cambria"/>
          <w:highlight w:val="lightGray"/>
          <w:lang w:val="en-GB"/>
        </w:rPr>
        <w:t>”</w:t>
      </w:r>
      <w:r w:rsidRPr="007B2180">
        <w:rPr>
          <w:rFonts w:eastAsia="Cambria"/>
          <w:highlight w:val="lightGray"/>
          <w:lang w:val="en-GB"/>
        </w:rPr>
        <w:t xml:space="preserve"> </w:t>
      </w:r>
      <w:r w:rsidR="006515C2" w:rsidRPr="007B2180">
        <w:rPr>
          <w:rFonts w:eastAsia="Cambria"/>
          <w:highlight w:val="lightGray"/>
          <w:lang w:val="en-GB"/>
        </w:rPr>
        <w:t>(</w:t>
      </w:r>
      <w:r w:rsidRPr="007B2180">
        <w:rPr>
          <w:rFonts w:eastAsia="Cambria"/>
          <w:highlight w:val="lightGray"/>
          <w:lang w:val="en-GB"/>
        </w:rPr>
        <w:t>Frankel and Romer</w:t>
      </w:r>
      <w:r w:rsidR="006515C2" w:rsidRPr="007B2180">
        <w:rPr>
          <w:rFonts w:eastAsia="Cambria"/>
          <w:highlight w:val="lightGray"/>
          <w:lang w:val="en-GB"/>
        </w:rPr>
        <w:t xml:space="preserve">, </w:t>
      </w:r>
      <w:r w:rsidRPr="007B2180">
        <w:rPr>
          <w:rFonts w:eastAsia="Cambria"/>
          <w:highlight w:val="lightGray"/>
          <w:lang w:val="en-GB"/>
        </w:rPr>
        <w:t xml:space="preserve">1999) </w:t>
      </w:r>
      <w:r w:rsidR="007A51EC">
        <w:rPr>
          <w:rFonts w:eastAsia="Cambria"/>
          <w:highlight w:val="lightGray"/>
          <w:lang w:val="en-GB"/>
        </w:rPr>
        <w:t>as well as</w:t>
      </w:r>
      <w:r w:rsidRPr="007B2180">
        <w:rPr>
          <w:rFonts w:eastAsia="Cambria"/>
          <w:highlight w:val="lightGray"/>
          <w:lang w:val="en-GB"/>
        </w:rPr>
        <w:t xml:space="preserve"> instrument</w:t>
      </w:r>
      <w:r w:rsidR="006515C2" w:rsidRPr="007B2180">
        <w:rPr>
          <w:rFonts w:eastAsia="Cambria"/>
          <w:highlight w:val="lightGray"/>
          <w:lang w:val="en-GB"/>
        </w:rPr>
        <w:t>s</w:t>
      </w:r>
      <w:r w:rsidRPr="007B2180">
        <w:rPr>
          <w:rFonts w:eastAsia="Cambria"/>
          <w:highlight w:val="lightGray"/>
          <w:lang w:val="en-GB"/>
        </w:rPr>
        <w:t xml:space="preserve"> for institutions such as dumm</w:t>
      </w:r>
      <w:r w:rsidR="00597360">
        <w:rPr>
          <w:rFonts w:eastAsia="Cambria"/>
          <w:highlight w:val="lightGray"/>
          <w:lang w:val="en-GB"/>
        </w:rPr>
        <w:t>ies</w:t>
      </w:r>
      <w:r w:rsidRPr="007B2180">
        <w:rPr>
          <w:rFonts w:eastAsia="Cambria"/>
          <w:highlight w:val="lightGray"/>
          <w:lang w:val="en-GB"/>
        </w:rPr>
        <w:t xml:space="preserve"> for languages, geographic latitude and the fraction of the population speaking </w:t>
      </w:r>
      <w:r w:rsidR="00597360">
        <w:rPr>
          <w:rFonts w:eastAsia="Cambria"/>
          <w:highlight w:val="lightGray"/>
          <w:lang w:val="en-GB"/>
        </w:rPr>
        <w:t xml:space="preserve">a </w:t>
      </w:r>
      <w:r w:rsidRPr="007B2180">
        <w:rPr>
          <w:rFonts w:eastAsia="Cambria"/>
          <w:highlight w:val="lightGray"/>
          <w:lang w:val="en-GB"/>
        </w:rPr>
        <w:t>major European language (Hall and Jones, 1999), legal origin (La Porta et al., 1999), former colonies (Barseghyan and DiCecio, 2010), European settler mortality and indigenous population density (Acemoglu et al., 2003) are all time invariant.</w:t>
      </w:r>
      <w:r w:rsidR="006515C2" w:rsidRPr="007B2180">
        <w:rPr>
          <w:rFonts w:eastAsia="Cambria"/>
          <w:highlight w:val="lightGray"/>
          <w:lang w:val="en-GB"/>
        </w:rPr>
        <w:t xml:space="preserve"> This makes them inappropriate for use in panel estimation. Instruments must be highly correlated with the variable to be instrumented. Yet t</w:t>
      </w:r>
      <w:r w:rsidRPr="007B2180">
        <w:rPr>
          <w:rFonts w:eastAsia="Cambria"/>
          <w:highlight w:val="lightGray"/>
          <w:lang w:val="en-GB"/>
        </w:rPr>
        <w:t>ime invariant instrument</w:t>
      </w:r>
      <w:r w:rsidR="00AE53B8">
        <w:rPr>
          <w:rFonts w:eastAsia="Cambria"/>
          <w:highlight w:val="lightGray"/>
          <w:lang w:val="en-GB"/>
        </w:rPr>
        <w:t>s</w:t>
      </w:r>
      <w:r w:rsidRPr="007B2180">
        <w:rPr>
          <w:rFonts w:eastAsia="Cambria"/>
          <w:highlight w:val="lightGray"/>
          <w:lang w:val="en-GB"/>
        </w:rPr>
        <w:t xml:space="preserve"> cannot replicate the within group variability</w:t>
      </w:r>
      <w:r w:rsidR="006515C2" w:rsidRPr="007B2180">
        <w:rPr>
          <w:rFonts w:eastAsia="Cambria"/>
          <w:highlight w:val="lightGray"/>
          <w:lang w:val="en-GB"/>
        </w:rPr>
        <w:t>, which is particularly an issue given that openness and institutional quality change throughout the course of transition</w:t>
      </w:r>
      <w:r w:rsidRPr="007B2180">
        <w:rPr>
          <w:rFonts w:eastAsia="Cambria"/>
          <w:highlight w:val="lightGray"/>
          <w:lang w:val="en-GB"/>
        </w:rPr>
        <w:t xml:space="preserve">. </w:t>
      </w:r>
      <w:r w:rsidR="0044470F">
        <w:rPr>
          <w:rFonts w:eastAsia="Cambria"/>
          <w:highlight w:val="lightGray"/>
          <w:lang w:val="en-GB"/>
        </w:rPr>
        <w:t>Accordingly</w:t>
      </w:r>
      <w:r w:rsidR="007B2180" w:rsidRPr="007B2180">
        <w:rPr>
          <w:rFonts w:eastAsia="Cambria"/>
          <w:highlight w:val="lightGray"/>
          <w:lang w:val="en-GB"/>
        </w:rPr>
        <w:t xml:space="preserve">, </w:t>
      </w:r>
      <w:r w:rsidRPr="007B2180">
        <w:rPr>
          <w:rFonts w:eastAsia="Cambria"/>
          <w:highlight w:val="lightGray"/>
          <w:lang w:val="en-GB"/>
        </w:rPr>
        <w:t xml:space="preserve">these instruments </w:t>
      </w:r>
      <w:r w:rsidR="007B2180" w:rsidRPr="007B2180">
        <w:rPr>
          <w:rFonts w:eastAsia="Cambria"/>
          <w:highlight w:val="lightGray"/>
          <w:lang w:val="en-GB"/>
        </w:rPr>
        <w:t xml:space="preserve">are suitable only for models estimated on </w:t>
      </w:r>
      <w:r w:rsidRPr="007B2180">
        <w:rPr>
          <w:rFonts w:eastAsia="Cambria"/>
          <w:highlight w:val="lightGray"/>
          <w:lang w:val="en-GB"/>
        </w:rPr>
        <w:t xml:space="preserve">cross-section </w:t>
      </w:r>
      <w:r w:rsidR="007B2180" w:rsidRPr="007B2180">
        <w:rPr>
          <w:rFonts w:eastAsia="Cambria"/>
          <w:highlight w:val="lightGray"/>
          <w:lang w:val="en-GB"/>
        </w:rPr>
        <w:t>data</w:t>
      </w:r>
      <w:r w:rsidRPr="007B2180">
        <w:rPr>
          <w:rFonts w:eastAsia="Cambria"/>
          <w:highlight w:val="lightGray"/>
          <w:lang w:val="en-GB"/>
        </w:rPr>
        <w:t xml:space="preserve"> (Di Giovanni and Levchenko, 2009; Haddad et al., 2013). </w:t>
      </w:r>
      <w:r w:rsidR="007A51EC">
        <w:rPr>
          <w:rFonts w:eastAsia="Cambria"/>
          <w:highlight w:val="lightGray"/>
          <w:lang w:val="en-GB"/>
        </w:rPr>
        <w:t xml:space="preserve">For example, </w:t>
      </w:r>
      <w:r w:rsidRPr="007B2180">
        <w:rPr>
          <w:rFonts w:eastAsia="Cambria"/>
          <w:highlight w:val="lightGray"/>
          <w:lang w:val="en-GB"/>
        </w:rPr>
        <w:t>Di Giovanni and Levchenko (2009</w:t>
      </w:r>
      <w:r w:rsidR="007B2180" w:rsidRPr="007B2180">
        <w:rPr>
          <w:rFonts w:eastAsia="Cambria"/>
          <w:highlight w:val="lightGray"/>
          <w:lang w:val="en-GB"/>
        </w:rPr>
        <w:t>, pp.562-563</w:t>
      </w:r>
      <w:r w:rsidRPr="007B2180">
        <w:rPr>
          <w:rFonts w:eastAsia="Cambria"/>
          <w:highlight w:val="lightGray"/>
          <w:lang w:val="en-GB"/>
        </w:rPr>
        <w:t xml:space="preserve">) </w:t>
      </w:r>
      <w:r w:rsidR="007A51EC" w:rsidRPr="007B2180">
        <w:rPr>
          <w:rFonts w:eastAsia="Cambria"/>
          <w:highlight w:val="lightGray"/>
          <w:lang w:val="en-GB"/>
        </w:rPr>
        <w:t>note</w:t>
      </w:r>
      <w:r w:rsidR="007A51EC">
        <w:rPr>
          <w:rFonts w:eastAsia="Cambria"/>
          <w:highlight w:val="lightGray"/>
          <w:lang w:val="en-GB"/>
        </w:rPr>
        <w:t>,</w:t>
      </w:r>
      <w:r w:rsidR="007A51EC" w:rsidRPr="007B2180">
        <w:rPr>
          <w:rFonts w:eastAsia="Cambria"/>
          <w:highlight w:val="lightGray"/>
          <w:lang w:val="en-GB"/>
        </w:rPr>
        <w:t xml:space="preserve"> </w:t>
      </w:r>
      <w:r w:rsidR="007B2180" w:rsidRPr="007B2180">
        <w:rPr>
          <w:rFonts w:eastAsia="Cambria"/>
          <w:highlight w:val="lightGray"/>
          <w:lang w:val="en-GB"/>
        </w:rPr>
        <w:t xml:space="preserve">referring to the “natural openness” instrument </w:t>
      </w:r>
      <w:r w:rsidR="007A51EC">
        <w:rPr>
          <w:rFonts w:eastAsia="Cambria"/>
          <w:highlight w:val="lightGray"/>
          <w:lang w:val="en-GB"/>
        </w:rPr>
        <w:t xml:space="preserve">for openness </w:t>
      </w:r>
      <w:r w:rsidR="007B2180" w:rsidRPr="007B2180">
        <w:rPr>
          <w:rFonts w:eastAsia="Cambria"/>
          <w:highlight w:val="lightGray"/>
          <w:lang w:val="en-GB"/>
        </w:rPr>
        <w:t xml:space="preserve">developed by Frankel and Romer (1999), </w:t>
      </w:r>
    </w:p>
    <w:p w:rsidR="007B2180" w:rsidRPr="007B2180" w:rsidRDefault="007B2180" w:rsidP="007B2180">
      <w:pPr>
        <w:autoSpaceDE w:val="0"/>
        <w:autoSpaceDN w:val="0"/>
        <w:adjustRightInd w:val="0"/>
        <w:spacing w:line="360" w:lineRule="auto"/>
        <w:ind w:left="720"/>
        <w:jc w:val="both"/>
        <w:rPr>
          <w:rFonts w:eastAsia="Cambria"/>
          <w:highlight w:val="lightGray"/>
          <w:lang w:val="en-GB"/>
        </w:rPr>
      </w:pPr>
      <w:r w:rsidRPr="007B2180">
        <w:rPr>
          <w:rFonts w:eastAsia="Cambria"/>
          <w:highlight w:val="lightGray"/>
          <w:lang w:val="en-GB"/>
        </w:rPr>
        <w:t xml:space="preserve">… </w:t>
      </w:r>
      <w:r w:rsidR="0052776D" w:rsidRPr="007B2180">
        <w:rPr>
          <w:rFonts w:eastAsia="Cambria"/>
          <w:highlight w:val="lightGray"/>
          <w:lang w:val="en-GB"/>
        </w:rPr>
        <w:t>that this instrument is not available in a panel, because the gravity coefficients do not exhibit sufficient time variation. Thus, it can only be used in the cross-sectional specifications.</w:t>
      </w:r>
      <w:r w:rsidR="00B03B35">
        <w:rPr>
          <w:rStyle w:val="FootnoteReference"/>
          <w:rFonts w:eastAsia="Cambria"/>
          <w:highlight w:val="lightGray"/>
          <w:lang w:val="en-GB"/>
        </w:rPr>
        <w:footnoteReference w:id="3"/>
      </w:r>
    </w:p>
    <w:p w:rsidR="0052776D" w:rsidRDefault="0052776D" w:rsidP="0052776D">
      <w:pPr>
        <w:autoSpaceDE w:val="0"/>
        <w:autoSpaceDN w:val="0"/>
        <w:adjustRightInd w:val="0"/>
        <w:spacing w:line="360" w:lineRule="auto"/>
        <w:jc w:val="both"/>
        <w:rPr>
          <w:rFonts w:eastAsia="Cambria"/>
          <w:lang w:val="en-GB"/>
        </w:rPr>
      </w:pPr>
      <w:r w:rsidRPr="007B2180">
        <w:rPr>
          <w:rFonts w:eastAsia="Cambria"/>
          <w:highlight w:val="lightGray"/>
          <w:lang w:val="en-GB"/>
        </w:rPr>
        <w:t xml:space="preserve">However, if we analyse cross-section data alone, we will not be able to control for unobservables that may be correlated with other variables in the model. This is particularly important in </w:t>
      </w:r>
      <w:r w:rsidR="00915CD1">
        <w:rPr>
          <w:rFonts w:eastAsia="Cambria"/>
          <w:highlight w:val="lightGray"/>
          <w:lang w:val="en-GB"/>
        </w:rPr>
        <w:t xml:space="preserve">the </w:t>
      </w:r>
      <w:r w:rsidRPr="007B2180">
        <w:rPr>
          <w:rFonts w:eastAsia="Cambria"/>
          <w:highlight w:val="lightGray"/>
          <w:lang w:val="en-GB"/>
        </w:rPr>
        <w:t>transitional context, as elaborated in the Introduction</w:t>
      </w:r>
      <w:r w:rsidR="00160728">
        <w:rPr>
          <w:rFonts w:eastAsia="Cambria"/>
          <w:lang w:val="en-GB"/>
        </w:rPr>
        <w:t>.</w:t>
      </w:r>
    </w:p>
    <w:p w:rsidR="0052776D" w:rsidRDefault="0052776D" w:rsidP="00CE389B">
      <w:pPr>
        <w:autoSpaceDE w:val="0"/>
        <w:autoSpaceDN w:val="0"/>
        <w:adjustRightInd w:val="0"/>
        <w:spacing w:line="360" w:lineRule="auto"/>
        <w:jc w:val="both"/>
        <w:rPr>
          <w:rFonts w:eastAsia="Cambria"/>
          <w:lang w:val="en-GB"/>
        </w:rPr>
      </w:pPr>
    </w:p>
    <w:p w:rsidR="00CE389B" w:rsidRPr="000B71A0" w:rsidRDefault="00CE389B" w:rsidP="00CE389B">
      <w:pPr>
        <w:autoSpaceDE w:val="0"/>
        <w:autoSpaceDN w:val="0"/>
        <w:adjustRightInd w:val="0"/>
        <w:spacing w:line="360" w:lineRule="auto"/>
        <w:jc w:val="both"/>
        <w:rPr>
          <w:lang w:val="en-GB"/>
        </w:rPr>
      </w:pPr>
      <w:r w:rsidRPr="000B71A0">
        <w:rPr>
          <w:rFonts w:eastAsia="Cambria"/>
          <w:lang w:val="en-GB"/>
        </w:rPr>
        <w:t>The main rational for the choice of the fixed in opposition to the random effect (RE) estimator is the structure of our sample. FE</w:t>
      </w:r>
      <w:r w:rsidRPr="000B71A0">
        <w:rPr>
          <w:lang w:val="en-GB"/>
        </w:rPr>
        <w:t xml:space="preserve"> estimation addresses any doubts we may have concerning the correlation of our independent variables with the country-specific effects and, hence, with respect to a potential source of endogeneity (omitted variable) bias.</w:t>
      </w:r>
      <w:r w:rsidRPr="000B71A0">
        <w:rPr>
          <w:color w:val="FF0000"/>
          <w:lang w:val="en-GB"/>
        </w:rPr>
        <w:t xml:space="preserve"> </w:t>
      </w:r>
      <w:r w:rsidRPr="000B71A0">
        <w:rPr>
          <w:rFonts w:eastAsia="TimesNewRomanPSMT"/>
          <w:lang w:val="en-GB"/>
        </w:rPr>
        <w:t xml:space="preserve">Both </w:t>
      </w:r>
      <w:r w:rsidRPr="000B71A0">
        <w:rPr>
          <w:lang w:val="en-GB"/>
        </w:rPr>
        <w:t xml:space="preserve">time and country specific fixed effects are included. Taking into consideration the heterogeneous structure of our sample in terms of time-invariant country characteristics such as size, climate, geography or communist history, </w:t>
      </w:r>
      <w:r w:rsidR="00B07E4D">
        <w:rPr>
          <w:lang w:val="en-GB"/>
        </w:rPr>
        <w:t>estimation with</w:t>
      </w:r>
      <w:r w:rsidRPr="000B71A0">
        <w:rPr>
          <w:lang w:val="en-GB"/>
        </w:rPr>
        <w:t xml:space="preserve"> country-fixed effects reduce</w:t>
      </w:r>
      <w:r w:rsidR="00D9788E">
        <w:rPr>
          <w:lang w:val="en-GB"/>
        </w:rPr>
        <w:t>s</w:t>
      </w:r>
      <w:r w:rsidRPr="000B71A0">
        <w:rPr>
          <w:lang w:val="en-GB"/>
        </w:rPr>
        <w:t xml:space="preserve"> concerns regarding potentially omitted variables</w:t>
      </w:r>
      <w:r w:rsidR="00D9788E">
        <w:rPr>
          <w:lang w:val="en-GB"/>
        </w:rPr>
        <w:t xml:space="preserve"> </w:t>
      </w:r>
      <w:r w:rsidRPr="000B71A0">
        <w:rPr>
          <w:lang w:val="en-GB"/>
        </w:rPr>
        <w:t xml:space="preserve">(Durlauf </w:t>
      </w:r>
      <w:r w:rsidRPr="000B71A0">
        <w:rPr>
          <w:i/>
          <w:iCs/>
          <w:lang w:val="en-GB"/>
        </w:rPr>
        <w:t xml:space="preserve">et al., </w:t>
      </w:r>
      <w:r w:rsidRPr="000B71A0">
        <w:rPr>
          <w:lang w:val="en-GB"/>
        </w:rPr>
        <w:t>2005; Baltagi, 2006).</w:t>
      </w:r>
      <w:r w:rsidR="00D9788E">
        <w:rPr>
          <w:rStyle w:val="FootnoteReference"/>
          <w:lang w:val="en-GB"/>
        </w:rPr>
        <w:footnoteReference w:id="4"/>
      </w:r>
      <w:r w:rsidRPr="000B71A0">
        <w:rPr>
          <w:lang w:val="en-GB"/>
        </w:rPr>
        <w:t xml:space="preserve"> Time dummies control for </w:t>
      </w:r>
      <w:r w:rsidR="005A46B7" w:rsidRPr="000B71A0">
        <w:rPr>
          <w:lang w:val="en-GB"/>
        </w:rPr>
        <w:t xml:space="preserve">output </w:t>
      </w:r>
      <w:r w:rsidRPr="000B71A0">
        <w:rPr>
          <w:lang w:val="en-GB"/>
        </w:rPr>
        <w:t>fluctuation</w:t>
      </w:r>
      <w:r w:rsidR="005A46B7">
        <w:rPr>
          <w:lang w:val="en-GB"/>
        </w:rPr>
        <w:t>s</w:t>
      </w:r>
      <w:r w:rsidRPr="000B71A0">
        <w:rPr>
          <w:lang w:val="en-GB"/>
        </w:rPr>
        <w:t xml:space="preserve"> common to all countries in </w:t>
      </w:r>
      <w:r w:rsidR="005A46B7">
        <w:rPr>
          <w:lang w:val="en-GB"/>
        </w:rPr>
        <w:t>the</w:t>
      </w:r>
      <w:r w:rsidRPr="000B71A0">
        <w:rPr>
          <w:lang w:val="en-GB"/>
        </w:rPr>
        <w:t xml:space="preserve"> sample in </w:t>
      </w:r>
      <w:r w:rsidR="005A46B7">
        <w:rPr>
          <w:lang w:val="en-GB"/>
        </w:rPr>
        <w:t>a particular year</w:t>
      </w:r>
      <w:r w:rsidRPr="000B71A0">
        <w:rPr>
          <w:lang w:val="en-GB"/>
        </w:rPr>
        <w:t xml:space="preserve">. The latest global economic crisis is a good example, which makes a strong case for inclusion of time dummies </w:t>
      </w:r>
      <w:r w:rsidR="00345785">
        <w:rPr>
          <w:lang w:val="en-GB"/>
        </w:rPr>
        <w:t>in</w:t>
      </w:r>
      <w:r w:rsidRPr="000B71A0">
        <w:rPr>
          <w:lang w:val="en-GB"/>
        </w:rPr>
        <w:t xml:space="preserve"> our </w:t>
      </w:r>
      <w:r w:rsidR="00345785">
        <w:rPr>
          <w:lang w:val="en-GB"/>
        </w:rPr>
        <w:t>specification</w:t>
      </w:r>
      <w:r w:rsidRPr="000B71A0">
        <w:rPr>
          <w:lang w:val="en-GB"/>
        </w:rPr>
        <w:t xml:space="preserve">. In panel estimation, the inclusion of time dummies also minimises possibilities for cross-residual correlation </w:t>
      </w:r>
      <w:r w:rsidR="00345785">
        <w:rPr>
          <w:lang w:val="en-GB"/>
        </w:rPr>
        <w:t>by</w:t>
      </w:r>
      <w:r w:rsidRPr="000B71A0">
        <w:rPr>
          <w:lang w:val="en-GB"/>
        </w:rPr>
        <w:t xml:space="preserve"> remov</w:t>
      </w:r>
      <w:r w:rsidR="00345785">
        <w:rPr>
          <w:lang w:val="en-GB"/>
        </w:rPr>
        <w:t>ing</w:t>
      </w:r>
      <w:r w:rsidRPr="000B71A0">
        <w:rPr>
          <w:lang w:val="en-GB"/>
        </w:rPr>
        <w:t xml:space="preserve"> time-related shocks</w:t>
      </w:r>
      <w:r w:rsidR="005D7254">
        <w:rPr>
          <w:lang w:val="en-GB"/>
        </w:rPr>
        <w:t xml:space="preserve"> from the errors (Roodman, 2009</w:t>
      </w:r>
      <w:r w:rsidRPr="000B71A0">
        <w:rPr>
          <w:lang w:val="en-GB"/>
        </w:rPr>
        <w:t xml:space="preserve">). </w:t>
      </w:r>
    </w:p>
    <w:p w:rsidR="00CE389B" w:rsidRPr="000B71A0" w:rsidRDefault="00CE389B" w:rsidP="00CE389B">
      <w:pPr>
        <w:autoSpaceDE w:val="0"/>
        <w:autoSpaceDN w:val="0"/>
        <w:adjustRightInd w:val="0"/>
        <w:spacing w:line="360" w:lineRule="auto"/>
        <w:jc w:val="both"/>
        <w:rPr>
          <w:rFonts w:eastAsia="Cambria"/>
          <w:lang w:val="en-GB"/>
        </w:rPr>
      </w:pPr>
    </w:p>
    <w:p w:rsidR="00CE389B" w:rsidRDefault="00C61B59" w:rsidP="00CE389B">
      <w:pPr>
        <w:autoSpaceDE w:val="0"/>
        <w:autoSpaceDN w:val="0"/>
        <w:adjustRightInd w:val="0"/>
        <w:spacing w:line="360" w:lineRule="auto"/>
        <w:jc w:val="both"/>
        <w:rPr>
          <w:rFonts w:eastAsia="Cambria"/>
          <w:lang w:val="en-GB"/>
        </w:rPr>
      </w:pPr>
      <w:r w:rsidRPr="00C61B59">
        <w:rPr>
          <w:rFonts w:eastAsia="Cambria"/>
          <w:lang w:val="en-GB"/>
        </w:rPr>
        <w:t xml:space="preserve">A small sample and an unbalanced panel support the use of System GMM rather than the difference GMM estimator for our model. It has been shown that system GMM has better finite sample properties in terms of bias and root mean squared error than difference GMM (Blundell and Bond, 1998). System GMM also seems superior to difference GMM in unbalanced panels, since difference transformation in difference GMM could magnifies gaps (Roodman, 2009b), which is of some importance given our data set. </w:t>
      </w:r>
      <w:r w:rsidR="005D7254" w:rsidRPr="00C61B59">
        <w:rPr>
          <w:rFonts w:eastAsia="Cambria"/>
          <w:lang w:val="en-GB"/>
        </w:rPr>
        <w:t>We use the finite sample Windmeijer (2005) correction to the two-step covariance matrix to make estimation efficient and robust to panel-specific autocorrelation and heteroskedasticity.</w:t>
      </w:r>
    </w:p>
    <w:p w:rsidR="007B1471" w:rsidRDefault="007B1471" w:rsidP="00CE389B">
      <w:pPr>
        <w:autoSpaceDE w:val="0"/>
        <w:autoSpaceDN w:val="0"/>
        <w:adjustRightInd w:val="0"/>
        <w:spacing w:line="360" w:lineRule="auto"/>
        <w:jc w:val="both"/>
        <w:rPr>
          <w:rFonts w:eastAsia="Cambria"/>
          <w:lang w:val="en-GB"/>
        </w:rPr>
      </w:pPr>
    </w:p>
    <w:p w:rsidR="007B1471" w:rsidRDefault="007B1471" w:rsidP="00CE389B">
      <w:pPr>
        <w:autoSpaceDE w:val="0"/>
        <w:autoSpaceDN w:val="0"/>
        <w:adjustRightInd w:val="0"/>
        <w:spacing w:line="360" w:lineRule="auto"/>
        <w:jc w:val="both"/>
        <w:rPr>
          <w:rFonts w:eastAsia="Cambria"/>
          <w:lang w:val="en-GB"/>
        </w:rPr>
      </w:pPr>
    </w:p>
    <w:p w:rsidR="007B1471" w:rsidRDefault="007B1471" w:rsidP="00CE389B">
      <w:pPr>
        <w:autoSpaceDE w:val="0"/>
        <w:autoSpaceDN w:val="0"/>
        <w:adjustRightInd w:val="0"/>
        <w:spacing w:line="360" w:lineRule="auto"/>
        <w:jc w:val="both"/>
        <w:rPr>
          <w:rFonts w:eastAsia="Cambria"/>
          <w:lang w:val="en-GB"/>
        </w:rPr>
      </w:pPr>
    </w:p>
    <w:p w:rsidR="007B1471" w:rsidRPr="000B71A0" w:rsidRDefault="007B1471" w:rsidP="00CE389B">
      <w:pPr>
        <w:autoSpaceDE w:val="0"/>
        <w:autoSpaceDN w:val="0"/>
        <w:adjustRightInd w:val="0"/>
        <w:spacing w:line="360" w:lineRule="auto"/>
        <w:jc w:val="both"/>
        <w:rPr>
          <w:rFonts w:eastAsia="Cambria"/>
          <w:lang w:val="en-GB"/>
        </w:rPr>
      </w:pPr>
    </w:p>
    <w:p w:rsidR="00CE389B" w:rsidRPr="000B71A0" w:rsidRDefault="00CE389B" w:rsidP="00CE389B">
      <w:pPr>
        <w:autoSpaceDE w:val="0"/>
        <w:autoSpaceDN w:val="0"/>
        <w:adjustRightInd w:val="0"/>
        <w:spacing w:line="360" w:lineRule="auto"/>
        <w:jc w:val="both"/>
        <w:rPr>
          <w:lang w:val="en-GB"/>
        </w:rPr>
      </w:pPr>
    </w:p>
    <w:p w:rsidR="00CE7088" w:rsidRPr="00570FCB" w:rsidRDefault="00570FCB" w:rsidP="00CE7088">
      <w:pPr>
        <w:keepNext/>
        <w:keepLines/>
        <w:spacing w:before="200" w:line="276" w:lineRule="auto"/>
        <w:outlineLvl w:val="1"/>
        <w:rPr>
          <w:rFonts w:ascii="Arial" w:eastAsia="MS Gothic" w:hAnsi="Arial"/>
          <w:b/>
          <w:bCs/>
          <w:sz w:val="28"/>
          <w:szCs w:val="26"/>
          <w:lang w:val="en-GB"/>
        </w:rPr>
      </w:pPr>
      <w:bookmarkStart w:id="8" w:name="_Toc416427865"/>
      <w:r w:rsidRPr="00570FCB">
        <w:rPr>
          <w:rFonts w:ascii="Arial" w:eastAsia="MS Gothic" w:hAnsi="Arial"/>
          <w:b/>
          <w:bCs/>
          <w:sz w:val="28"/>
          <w:szCs w:val="26"/>
          <w:lang w:val="en-GB"/>
        </w:rPr>
        <w:lastRenderedPageBreak/>
        <w:t>5.</w:t>
      </w:r>
      <w:r w:rsidR="00CE7088" w:rsidRPr="00570FCB">
        <w:rPr>
          <w:rFonts w:ascii="Arial" w:eastAsia="MS Gothic" w:hAnsi="Arial"/>
          <w:b/>
          <w:bCs/>
          <w:sz w:val="28"/>
          <w:szCs w:val="26"/>
          <w:lang w:val="en-GB"/>
        </w:rPr>
        <w:t xml:space="preserve"> Main results</w:t>
      </w:r>
      <w:bookmarkEnd w:id="8"/>
    </w:p>
    <w:p w:rsidR="00CE7088" w:rsidRPr="00CE7088" w:rsidRDefault="00CE7088" w:rsidP="00CE7088">
      <w:pPr>
        <w:autoSpaceDE w:val="0"/>
        <w:autoSpaceDN w:val="0"/>
        <w:adjustRightInd w:val="0"/>
        <w:spacing w:line="360" w:lineRule="auto"/>
        <w:jc w:val="both"/>
        <w:rPr>
          <w:lang w:val="en-GB"/>
        </w:rPr>
      </w:pPr>
    </w:p>
    <w:p w:rsidR="00CE7088" w:rsidRPr="00CE7088" w:rsidRDefault="005D7254" w:rsidP="00CE7088">
      <w:pPr>
        <w:autoSpaceDE w:val="0"/>
        <w:autoSpaceDN w:val="0"/>
        <w:adjustRightInd w:val="0"/>
        <w:spacing w:line="360" w:lineRule="auto"/>
        <w:jc w:val="both"/>
        <w:rPr>
          <w:rFonts w:eastAsia="Calibri"/>
          <w:lang w:val="en-GB"/>
        </w:rPr>
      </w:pPr>
      <w:r>
        <w:rPr>
          <w:lang w:val="en-GB"/>
        </w:rPr>
        <w:t>The estimates of model (1</w:t>
      </w:r>
      <w:r w:rsidR="00CE7088" w:rsidRPr="00CE7088">
        <w:rPr>
          <w:lang w:val="en-GB"/>
        </w:rPr>
        <w:t xml:space="preserve">) </w:t>
      </w:r>
      <w:r>
        <w:rPr>
          <w:rFonts w:eastAsia="Calibri"/>
          <w:lang w:val="en-GB"/>
        </w:rPr>
        <w:t>are reported in Table 1</w:t>
      </w:r>
      <w:r w:rsidR="00CE7088" w:rsidRPr="00CE7088">
        <w:rPr>
          <w:rFonts w:eastAsia="Calibri"/>
          <w:lang w:val="en-GB"/>
        </w:rPr>
        <w:t>. Since the measure of diversification is central to our analysis, we r</w:t>
      </w:r>
      <w:r>
        <w:rPr>
          <w:rFonts w:eastAsia="Calibri"/>
          <w:lang w:val="en-GB"/>
        </w:rPr>
        <w:t>eport results for model (1</w:t>
      </w:r>
      <w:r w:rsidR="00CE7088" w:rsidRPr="00CE7088">
        <w:rPr>
          <w:rFonts w:eastAsia="Calibri"/>
          <w:lang w:val="en-GB"/>
        </w:rPr>
        <w:t xml:space="preserve">) using a range of alternative diversification measures to represent </w:t>
      </w:r>
      <w:r w:rsidR="00CE7088" w:rsidRPr="00CE7088">
        <w:rPr>
          <w:rFonts w:eastAsia="Calibri"/>
          <w:i/>
          <w:lang w:val="en-GB"/>
        </w:rPr>
        <w:t>DIV</w:t>
      </w:r>
      <w:r w:rsidR="00CE7088" w:rsidRPr="00CE7088">
        <w:rPr>
          <w:rFonts w:eastAsia="Calibri"/>
          <w:i/>
          <w:vertAlign w:val="subscript"/>
          <w:lang w:val="en-GB"/>
        </w:rPr>
        <w:t>i,t</w:t>
      </w:r>
      <w:r w:rsidR="00CE7088" w:rsidRPr="00CE7088">
        <w:rPr>
          <w:rFonts w:eastAsia="Calibri"/>
          <w:lang w:val="en-GB"/>
        </w:rPr>
        <w:t xml:space="preserve">. The </w:t>
      </w:r>
      <w:r>
        <w:rPr>
          <w:rFonts w:eastAsia="Calibri"/>
          <w:lang w:val="en-GB"/>
        </w:rPr>
        <w:t xml:space="preserve">results presented in columns 1-4  and 5-8 in Table 1 </w:t>
      </w:r>
      <w:r w:rsidR="00CE7088" w:rsidRPr="00CE7088">
        <w:rPr>
          <w:rFonts w:eastAsia="Calibri"/>
          <w:lang w:val="en-GB"/>
        </w:rPr>
        <w:t xml:space="preserve">are obtained when diversification is calculated using </w:t>
      </w:r>
      <w:r w:rsidR="00DC78FF">
        <w:rPr>
          <w:rFonts w:eastAsia="Calibri"/>
          <w:lang w:val="en-GB"/>
        </w:rPr>
        <w:t xml:space="preserve">the Hirschman-Herfindahl index </w:t>
      </w:r>
      <w:r w:rsidR="00A13650">
        <w:rPr>
          <w:rFonts w:eastAsia="Calibri"/>
          <w:lang w:val="en-GB"/>
        </w:rPr>
        <w:t xml:space="preserve">and </w:t>
      </w:r>
      <w:r w:rsidR="00CE7088" w:rsidRPr="00CE7088">
        <w:rPr>
          <w:rFonts w:eastAsia="Calibri"/>
          <w:lang w:val="en-GB"/>
        </w:rPr>
        <w:t>the overall Theil together with its between and within components (corresponding to the intensive and extensive margins, respectively).</w:t>
      </w:r>
      <w:bookmarkStart w:id="9" w:name="_Toc290147721"/>
    </w:p>
    <w:p w:rsidR="00092891" w:rsidRPr="00CE7088" w:rsidRDefault="00092891" w:rsidP="00CE7088">
      <w:pPr>
        <w:rPr>
          <w:rFonts w:eastAsia="Times New Roman"/>
          <w:b/>
          <w:bCs/>
          <w:lang w:val="en-GB"/>
        </w:rPr>
      </w:pPr>
    </w:p>
    <w:p w:rsidR="0053137B" w:rsidRDefault="0053137B" w:rsidP="000A1039">
      <w:pPr>
        <w:spacing w:line="360" w:lineRule="auto"/>
        <w:jc w:val="both"/>
        <w:rPr>
          <w:lang w:val="en-GB"/>
        </w:rPr>
      </w:pPr>
      <w:bookmarkStart w:id="10" w:name="_Toc416427900"/>
      <w:r w:rsidRPr="00CE7088">
        <w:rPr>
          <w:lang w:val="en-GB"/>
        </w:rPr>
        <w:t>The result</w:t>
      </w:r>
      <w:r>
        <w:rPr>
          <w:lang w:val="en-GB"/>
        </w:rPr>
        <w:t>s</w:t>
      </w:r>
      <w:r w:rsidRPr="00CE7088">
        <w:rPr>
          <w:lang w:val="en-GB"/>
        </w:rPr>
        <w:t xml:space="preserve"> of the FE diagnostic tests raise no doubts about coefficient validity. The Woodbridge test of</w:t>
      </w:r>
      <w:r>
        <w:rPr>
          <w:lang w:val="en-GB"/>
        </w:rPr>
        <w:t xml:space="preserve"> autocorrelation in panel data </w:t>
      </w:r>
      <w:r w:rsidRPr="00CE7088">
        <w:rPr>
          <w:lang w:val="en-GB"/>
        </w:rPr>
        <w:t>indicates that there is no evidence</w:t>
      </w:r>
      <w:r>
        <w:rPr>
          <w:lang w:val="en-GB"/>
        </w:rPr>
        <w:t xml:space="preserve"> of serial correlation (Table 1</w:t>
      </w:r>
      <w:r w:rsidRPr="00CE7088">
        <w:rPr>
          <w:lang w:val="en-GB"/>
        </w:rPr>
        <w:t>). The highly significant result of the test fo</w:t>
      </w:r>
      <w:r>
        <w:rPr>
          <w:lang w:val="en-GB"/>
        </w:rPr>
        <w:t xml:space="preserve">r groupwise heteroscedasticity </w:t>
      </w:r>
      <w:r w:rsidRPr="00CE7088">
        <w:rPr>
          <w:lang w:val="en-GB"/>
        </w:rPr>
        <w:t>suggests that the variance of the error terms differs across cross-section units</w:t>
      </w:r>
      <w:r>
        <w:rPr>
          <w:lang w:val="en-GB"/>
        </w:rPr>
        <w:t>,</w:t>
      </w:r>
      <w:r w:rsidRPr="00CE7088">
        <w:rPr>
          <w:lang w:val="en-GB"/>
        </w:rPr>
        <w:t xml:space="preserve"> given the p-value of 0.000 (</w:t>
      </w:r>
      <w:r>
        <w:rPr>
          <w:lang w:val="en-GB"/>
        </w:rPr>
        <w:t xml:space="preserve">Table 1). In order to correct standard errors for this heteroscedasticity, we estimated the model with robust standard errors.  Likewise, </w:t>
      </w:r>
      <w:r w:rsidRPr="004F4ADC">
        <w:rPr>
          <w:lang w:val="en-GB"/>
        </w:rPr>
        <w:t xml:space="preserve">the </w:t>
      </w:r>
      <w:r>
        <w:rPr>
          <w:lang w:val="en-GB"/>
        </w:rPr>
        <w:t>system GMM</w:t>
      </w:r>
      <w:r w:rsidRPr="004F4ADC">
        <w:rPr>
          <w:lang w:val="en-GB"/>
        </w:rPr>
        <w:t xml:space="preserve"> diagnostics, including those for instrument validity are all highly satisfactory</w:t>
      </w:r>
      <w:r>
        <w:rPr>
          <w:lang w:val="en-GB"/>
        </w:rPr>
        <w:t xml:space="preserve"> (Roodman 2009a and 2009b)</w:t>
      </w:r>
      <w:r w:rsidRPr="004F4ADC">
        <w:rPr>
          <w:lang w:val="en-GB"/>
        </w:rPr>
        <w:t xml:space="preserve">. </w:t>
      </w:r>
      <w:r w:rsidRPr="008558A7">
        <w:rPr>
          <w:lang w:val="en-GB"/>
        </w:rPr>
        <w:t>Judgment on the appropriate number of instruments was based on the results of the standard diagnostic</w:t>
      </w:r>
      <w:r w:rsidR="00E0650D">
        <w:rPr>
          <w:lang w:val="en-GB"/>
        </w:rPr>
        <w:t>s</w:t>
      </w:r>
      <w:r w:rsidRPr="008558A7">
        <w:rPr>
          <w:lang w:val="en-GB"/>
        </w:rPr>
        <w:t xml:space="preserve"> on instrument validity (</w:t>
      </w:r>
      <w:r w:rsidRPr="008558A7">
        <w:t>m</w:t>
      </w:r>
      <w:r w:rsidRPr="008558A7">
        <w:rPr>
          <w:vertAlign w:val="subscript"/>
        </w:rPr>
        <w:t>1</w:t>
      </w:r>
      <w:r w:rsidRPr="008558A7">
        <w:t xml:space="preserve"> and m</w:t>
      </w:r>
      <w:r w:rsidRPr="008558A7">
        <w:rPr>
          <w:vertAlign w:val="subscript"/>
        </w:rPr>
        <w:t>2</w:t>
      </w:r>
      <w:r w:rsidRPr="008558A7">
        <w:t xml:space="preserve"> statistics and the over-identifying restrictions tests)</w:t>
      </w:r>
      <w:r w:rsidRPr="008558A7">
        <w:rPr>
          <w:lang w:val="en-GB"/>
        </w:rPr>
        <w:t>.</w:t>
      </w:r>
      <w:r>
        <w:rPr>
          <w:rStyle w:val="FootnoteReference"/>
          <w:lang w:val="en-GB"/>
        </w:rPr>
        <w:footnoteReference w:id="5"/>
      </w:r>
      <w:r w:rsidRPr="008558A7">
        <w:rPr>
          <w:lang w:val="en-GB"/>
        </w:rPr>
        <w:t xml:space="preserve"> </w:t>
      </w:r>
      <w:r w:rsidRPr="00092891">
        <w:rPr>
          <w:lang w:val="en-GB"/>
        </w:rPr>
        <w:t>The preferred results of this procedure limit the lag depth of the instruments on the predetermined and endogenous variables to a minimum, which decreases the number of instruments to just below the number of countries.</w:t>
      </w:r>
    </w:p>
    <w:p w:rsidR="007B1471" w:rsidRDefault="007B1471" w:rsidP="000A1039">
      <w:pPr>
        <w:spacing w:line="360" w:lineRule="auto"/>
        <w:jc w:val="both"/>
        <w:rPr>
          <w:lang w:val="en-GB"/>
        </w:rPr>
      </w:pPr>
    </w:p>
    <w:p w:rsidR="007B1471" w:rsidRDefault="007B1471" w:rsidP="000A1039">
      <w:pPr>
        <w:spacing w:line="360" w:lineRule="auto"/>
        <w:jc w:val="both"/>
        <w:rPr>
          <w:lang w:val="en-GB"/>
        </w:rPr>
      </w:pPr>
    </w:p>
    <w:p w:rsidR="007B1471" w:rsidRDefault="007B1471" w:rsidP="000A1039">
      <w:pPr>
        <w:spacing w:line="360" w:lineRule="auto"/>
        <w:jc w:val="both"/>
        <w:rPr>
          <w:lang w:val="en-GB"/>
        </w:rPr>
      </w:pPr>
    </w:p>
    <w:p w:rsidR="007B1471" w:rsidRDefault="007B1471" w:rsidP="000A1039">
      <w:pPr>
        <w:spacing w:line="360" w:lineRule="auto"/>
        <w:jc w:val="both"/>
        <w:rPr>
          <w:lang w:val="en-GB"/>
        </w:rPr>
      </w:pPr>
    </w:p>
    <w:p w:rsidR="007B1471" w:rsidRDefault="007B1471" w:rsidP="000A1039">
      <w:pPr>
        <w:spacing w:line="360" w:lineRule="auto"/>
        <w:jc w:val="both"/>
        <w:rPr>
          <w:lang w:val="en-GB"/>
        </w:rPr>
      </w:pPr>
    </w:p>
    <w:p w:rsidR="00FC05E1" w:rsidRDefault="00FC05E1" w:rsidP="00CE7088">
      <w:pPr>
        <w:rPr>
          <w:rFonts w:eastAsia="Times New Roman"/>
          <w:b/>
          <w:bCs/>
          <w:lang w:val="en-GB"/>
        </w:rPr>
      </w:pPr>
    </w:p>
    <w:p w:rsidR="00FC05E1" w:rsidRDefault="00FC05E1" w:rsidP="00CE7088">
      <w:pPr>
        <w:rPr>
          <w:rFonts w:eastAsia="Times New Roman"/>
          <w:b/>
          <w:bCs/>
          <w:lang w:val="en-GB"/>
        </w:rPr>
      </w:pPr>
    </w:p>
    <w:p w:rsidR="00CE7088" w:rsidRPr="00CE7088" w:rsidRDefault="00570FCB" w:rsidP="00CE7088">
      <w:pPr>
        <w:rPr>
          <w:rFonts w:eastAsia="Calibri"/>
          <w:lang w:val="en-GB"/>
        </w:rPr>
      </w:pPr>
      <w:r>
        <w:rPr>
          <w:rFonts w:eastAsia="Times New Roman"/>
          <w:b/>
          <w:bCs/>
          <w:lang w:val="en-GB"/>
        </w:rPr>
        <w:lastRenderedPageBreak/>
        <w:t xml:space="preserve">Table </w:t>
      </w:r>
      <w:r w:rsidR="0019446F">
        <w:rPr>
          <w:rFonts w:eastAsia="Times New Roman"/>
          <w:b/>
          <w:bCs/>
          <w:lang w:val="en-GB"/>
        </w:rPr>
        <w:t>1</w:t>
      </w:r>
      <w:r w:rsidR="00CE7088" w:rsidRPr="00CE7088">
        <w:rPr>
          <w:rFonts w:eastAsia="Times New Roman"/>
          <w:b/>
          <w:bCs/>
          <w:lang w:val="en-GB"/>
        </w:rPr>
        <w:t>.</w:t>
      </w:r>
      <w:r w:rsidR="00CE7088" w:rsidRPr="00CE7088">
        <w:rPr>
          <w:rFonts w:eastAsia="Times New Roman"/>
          <w:lang w:val="en-GB"/>
        </w:rPr>
        <w:t xml:space="preserve"> Fixed effect</w:t>
      </w:r>
      <w:r w:rsidR="00DF32A7">
        <w:rPr>
          <w:rFonts w:eastAsia="Times New Roman"/>
          <w:lang w:val="en-GB"/>
        </w:rPr>
        <w:t xml:space="preserve"> and System GMM</w:t>
      </w:r>
      <w:r w:rsidR="00CE7088" w:rsidRPr="00CE7088">
        <w:rPr>
          <w:rFonts w:eastAsia="Times New Roman"/>
          <w:lang w:val="en-GB"/>
        </w:rPr>
        <w:t xml:space="preserve"> estimation of </w:t>
      </w:r>
      <w:r w:rsidR="00E27070" w:rsidRPr="00CE7088">
        <w:rPr>
          <w:rFonts w:eastAsia="Times New Roman"/>
          <w:lang w:val="en-GB"/>
        </w:rPr>
        <w:t xml:space="preserve">Model </w:t>
      </w:r>
      <w:bookmarkEnd w:id="9"/>
      <w:bookmarkEnd w:id="10"/>
      <w:r w:rsidR="0016327B">
        <w:rPr>
          <w:rFonts w:eastAsia="Times New Roman"/>
          <w:lang w:val="en-GB"/>
        </w:rPr>
        <w:t>(1</w:t>
      </w:r>
      <w:r>
        <w:rPr>
          <w:rFonts w:eastAsia="Times New Roman"/>
          <w:lang w:val="en-GB"/>
        </w:rPr>
        <w:t>)</w:t>
      </w:r>
    </w:p>
    <w:p w:rsidR="00CE7088" w:rsidRPr="00570FCB" w:rsidRDefault="00CE7088" w:rsidP="00CE7088">
      <w:pPr>
        <w:autoSpaceDE w:val="0"/>
        <w:autoSpaceDN w:val="0"/>
        <w:adjustRightInd w:val="0"/>
        <w:spacing w:line="360" w:lineRule="auto"/>
        <w:rPr>
          <w:i/>
          <w:sz w:val="20"/>
          <w:szCs w:val="20"/>
          <w:lang w:val="en-GB"/>
        </w:rPr>
      </w:pPr>
      <w:r w:rsidRPr="00CE7088">
        <w:rPr>
          <w:i/>
          <w:sz w:val="20"/>
          <w:szCs w:val="20"/>
          <w:lang w:val="en-GB"/>
        </w:rPr>
        <w:t>Dependent variable:  Standard deviation of the r</w:t>
      </w:r>
      <w:r w:rsidR="00570FCB">
        <w:rPr>
          <w:i/>
          <w:sz w:val="20"/>
          <w:szCs w:val="20"/>
          <w:lang w:val="en-GB"/>
        </w:rPr>
        <w:t>eal GDP per capita growth rates</w:t>
      </w:r>
    </w:p>
    <w:tbl>
      <w:tblPr>
        <w:tblW w:w="6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696"/>
        <w:gridCol w:w="1265"/>
        <w:gridCol w:w="988"/>
        <w:gridCol w:w="988"/>
        <w:gridCol w:w="995"/>
        <w:gridCol w:w="1344"/>
        <w:gridCol w:w="900"/>
        <w:gridCol w:w="988"/>
        <w:gridCol w:w="1170"/>
      </w:tblGrid>
      <w:tr w:rsidR="002D45C9" w:rsidRPr="00562D0A" w:rsidTr="00AB306F">
        <w:trPr>
          <w:jc w:val="center"/>
        </w:trPr>
        <w:tc>
          <w:tcPr>
            <w:tcW w:w="1189" w:type="pct"/>
          </w:tcPr>
          <w:p w:rsidR="003B4CCF" w:rsidRPr="00562D0A" w:rsidRDefault="003B4CCF" w:rsidP="00CE7088">
            <w:pPr>
              <w:widowControl w:val="0"/>
              <w:tabs>
                <w:tab w:val="left" w:pos="2040"/>
              </w:tabs>
              <w:autoSpaceDE w:val="0"/>
              <w:autoSpaceDN w:val="0"/>
              <w:adjustRightInd w:val="0"/>
              <w:spacing w:line="360" w:lineRule="auto"/>
              <w:rPr>
                <w:b/>
                <w:sz w:val="20"/>
                <w:szCs w:val="20"/>
                <w:lang w:val="en-GB"/>
              </w:rPr>
            </w:pPr>
          </w:p>
        </w:tc>
        <w:tc>
          <w:tcPr>
            <w:tcW w:w="1869" w:type="pct"/>
            <w:gridSpan w:val="4"/>
          </w:tcPr>
          <w:p w:rsidR="003B4CCF" w:rsidRPr="00562D0A" w:rsidRDefault="003B4CCF" w:rsidP="00CE7088">
            <w:pPr>
              <w:widowControl w:val="0"/>
              <w:autoSpaceDE w:val="0"/>
              <w:autoSpaceDN w:val="0"/>
              <w:adjustRightInd w:val="0"/>
              <w:spacing w:line="360" w:lineRule="auto"/>
              <w:jc w:val="center"/>
              <w:rPr>
                <w:b/>
                <w:i/>
                <w:sz w:val="20"/>
                <w:szCs w:val="20"/>
                <w:lang w:val="en-GB"/>
              </w:rPr>
            </w:pPr>
            <w:r w:rsidRPr="00562D0A">
              <w:rPr>
                <w:b/>
                <w:i/>
                <w:sz w:val="20"/>
                <w:szCs w:val="20"/>
                <w:lang w:val="en-GB"/>
              </w:rPr>
              <w:t>Fixed effect</w:t>
            </w:r>
          </w:p>
        </w:tc>
        <w:tc>
          <w:tcPr>
            <w:tcW w:w="1942" w:type="pct"/>
            <w:gridSpan w:val="4"/>
          </w:tcPr>
          <w:p w:rsidR="003B4CCF" w:rsidRPr="00562D0A" w:rsidRDefault="008C768D" w:rsidP="00CE7088">
            <w:pPr>
              <w:widowControl w:val="0"/>
              <w:autoSpaceDE w:val="0"/>
              <w:autoSpaceDN w:val="0"/>
              <w:adjustRightInd w:val="0"/>
              <w:spacing w:line="360" w:lineRule="auto"/>
              <w:jc w:val="center"/>
              <w:rPr>
                <w:b/>
                <w:i/>
                <w:sz w:val="20"/>
                <w:szCs w:val="20"/>
                <w:lang w:val="en-GB"/>
              </w:rPr>
            </w:pPr>
            <w:r w:rsidRPr="00562D0A">
              <w:rPr>
                <w:b/>
                <w:i/>
                <w:sz w:val="20"/>
                <w:szCs w:val="20"/>
                <w:lang w:val="en-GB"/>
              </w:rPr>
              <w:t>System GMM</w:t>
            </w:r>
          </w:p>
        </w:tc>
      </w:tr>
      <w:tr w:rsidR="00F104A0" w:rsidRPr="00562D0A" w:rsidTr="0097487C">
        <w:trPr>
          <w:jc w:val="center"/>
        </w:trPr>
        <w:tc>
          <w:tcPr>
            <w:tcW w:w="1189" w:type="pct"/>
          </w:tcPr>
          <w:p w:rsidR="003B4CCF" w:rsidRPr="00562D0A" w:rsidRDefault="003B4CCF" w:rsidP="00FC05E1">
            <w:pPr>
              <w:widowControl w:val="0"/>
              <w:tabs>
                <w:tab w:val="left" w:pos="2040"/>
              </w:tabs>
              <w:autoSpaceDE w:val="0"/>
              <w:autoSpaceDN w:val="0"/>
              <w:adjustRightInd w:val="0"/>
              <w:rPr>
                <w:b/>
                <w:sz w:val="20"/>
                <w:szCs w:val="20"/>
                <w:lang w:val="en-GB"/>
              </w:rPr>
            </w:pPr>
            <w:r w:rsidRPr="00562D0A">
              <w:rPr>
                <w:b/>
                <w:sz w:val="20"/>
                <w:szCs w:val="20"/>
                <w:lang w:val="en-GB"/>
              </w:rPr>
              <w:t>Export diversification indicator</w:t>
            </w:r>
          </w:p>
        </w:tc>
        <w:tc>
          <w:tcPr>
            <w:tcW w:w="558" w:type="pct"/>
          </w:tcPr>
          <w:p w:rsidR="003B4CCF" w:rsidRPr="00562D0A" w:rsidRDefault="005B08EB" w:rsidP="00FC05E1">
            <w:pPr>
              <w:widowControl w:val="0"/>
              <w:autoSpaceDE w:val="0"/>
              <w:autoSpaceDN w:val="0"/>
              <w:adjustRightInd w:val="0"/>
              <w:jc w:val="center"/>
              <w:rPr>
                <w:b/>
                <w:sz w:val="20"/>
                <w:szCs w:val="20"/>
                <w:lang w:val="en-GB"/>
              </w:rPr>
            </w:pPr>
            <w:r w:rsidRPr="00562D0A">
              <w:rPr>
                <w:b/>
                <w:sz w:val="20"/>
                <w:szCs w:val="20"/>
                <w:lang w:val="en-GB"/>
              </w:rPr>
              <w:t>Hirsch</w:t>
            </w:r>
            <w:r w:rsidR="003B4CCF" w:rsidRPr="00562D0A">
              <w:rPr>
                <w:b/>
                <w:sz w:val="20"/>
                <w:szCs w:val="20"/>
                <w:lang w:val="en-GB"/>
              </w:rPr>
              <w:t xml:space="preserve">man-Herfindahl index </w:t>
            </w:r>
          </w:p>
        </w:tc>
        <w:tc>
          <w:tcPr>
            <w:tcW w:w="436" w:type="pct"/>
          </w:tcPr>
          <w:p w:rsidR="003B4CCF" w:rsidRPr="00562D0A" w:rsidRDefault="003B4CCF" w:rsidP="00FC05E1">
            <w:pPr>
              <w:widowControl w:val="0"/>
              <w:autoSpaceDE w:val="0"/>
              <w:autoSpaceDN w:val="0"/>
              <w:adjustRightInd w:val="0"/>
              <w:jc w:val="center"/>
              <w:rPr>
                <w:b/>
                <w:sz w:val="20"/>
                <w:szCs w:val="20"/>
                <w:lang w:val="en-GB"/>
              </w:rPr>
            </w:pPr>
            <w:r w:rsidRPr="00562D0A">
              <w:rPr>
                <w:b/>
                <w:sz w:val="20"/>
                <w:szCs w:val="20"/>
                <w:lang w:val="en-GB"/>
              </w:rPr>
              <w:t>Theil</w:t>
            </w:r>
          </w:p>
        </w:tc>
        <w:tc>
          <w:tcPr>
            <w:tcW w:w="436" w:type="pct"/>
          </w:tcPr>
          <w:p w:rsidR="003B4CCF" w:rsidRPr="00562D0A" w:rsidRDefault="003B4CCF" w:rsidP="00FC05E1">
            <w:pPr>
              <w:widowControl w:val="0"/>
              <w:autoSpaceDE w:val="0"/>
              <w:autoSpaceDN w:val="0"/>
              <w:adjustRightInd w:val="0"/>
              <w:jc w:val="center"/>
              <w:rPr>
                <w:b/>
                <w:sz w:val="20"/>
                <w:szCs w:val="20"/>
                <w:lang w:val="en-GB"/>
              </w:rPr>
            </w:pPr>
            <w:r w:rsidRPr="00562D0A">
              <w:rPr>
                <w:b/>
                <w:sz w:val="20"/>
                <w:szCs w:val="20"/>
                <w:lang w:val="en-GB"/>
              </w:rPr>
              <w:t>Intensive</w:t>
            </w:r>
          </w:p>
        </w:tc>
        <w:tc>
          <w:tcPr>
            <w:tcW w:w="439" w:type="pct"/>
          </w:tcPr>
          <w:p w:rsidR="003B4CCF" w:rsidRPr="00562D0A" w:rsidRDefault="003B4CCF" w:rsidP="00FC05E1">
            <w:pPr>
              <w:widowControl w:val="0"/>
              <w:autoSpaceDE w:val="0"/>
              <w:autoSpaceDN w:val="0"/>
              <w:adjustRightInd w:val="0"/>
              <w:jc w:val="center"/>
              <w:rPr>
                <w:b/>
                <w:sz w:val="20"/>
                <w:szCs w:val="20"/>
                <w:lang w:val="en-GB"/>
              </w:rPr>
            </w:pPr>
            <w:r w:rsidRPr="00562D0A">
              <w:rPr>
                <w:b/>
                <w:sz w:val="20"/>
                <w:szCs w:val="20"/>
                <w:lang w:val="en-GB"/>
              </w:rPr>
              <w:t>Extensive</w:t>
            </w:r>
          </w:p>
        </w:tc>
        <w:tc>
          <w:tcPr>
            <w:tcW w:w="593" w:type="pct"/>
          </w:tcPr>
          <w:p w:rsidR="003B4CCF" w:rsidRPr="00562D0A" w:rsidRDefault="005B08EB" w:rsidP="00FC05E1">
            <w:pPr>
              <w:widowControl w:val="0"/>
              <w:autoSpaceDE w:val="0"/>
              <w:autoSpaceDN w:val="0"/>
              <w:adjustRightInd w:val="0"/>
              <w:jc w:val="center"/>
              <w:rPr>
                <w:b/>
                <w:sz w:val="20"/>
                <w:szCs w:val="20"/>
                <w:lang w:val="en-GB"/>
              </w:rPr>
            </w:pPr>
            <w:r w:rsidRPr="00562D0A">
              <w:rPr>
                <w:b/>
                <w:sz w:val="20"/>
                <w:szCs w:val="20"/>
                <w:lang w:val="en-GB"/>
              </w:rPr>
              <w:t>Hirsch</w:t>
            </w:r>
            <w:r w:rsidR="003B4CCF" w:rsidRPr="00562D0A">
              <w:rPr>
                <w:b/>
                <w:sz w:val="20"/>
                <w:szCs w:val="20"/>
                <w:lang w:val="en-GB"/>
              </w:rPr>
              <w:t xml:space="preserve">man-Herfindahl index </w:t>
            </w:r>
          </w:p>
        </w:tc>
        <w:tc>
          <w:tcPr>
            <w:tcW w:w="397" w:type="pct"/>
          </w:tcPr>
          <w:p w:rsidR="003B4CCF" w:rsidRPr="00562D0A" w:rsidRDefault="003B4CCF" w:rsidP="00FC05E1">
            <w:pPr>
              <w:widowControl w:val="0"/>
              <w:autoSpaceDE w:val="0"/>
              <w:autoSpaceDN w:val="0"/>
              <w:adjustRightInd w:val="0"/>
              <w:jc w:val="center"/>
              <w:rPr>
                <w:b/>
                <w:sz w:val="20"/>
                <w:szCs w:val="20"/>
                <w:lang w:val="en-GB"/>
              </w:rPr>
            </w:pPr>
            <w:r w:rsidRPr="00562D0A">
              <w:rPr>
                <w:b/>
                <w:sz w:val="20"/>
                <w:szCs w:val="20"/>
                <w:lang w:val="en-GB"/>
              </w:rPr>
              <w:t>Theil</w:t>
            </w:r>
          </w:p>
        </w:tc>
        <w:tc>
          <w:tcPr>
            <w:tcW w:w="436" w:type="pct"/>
          </w:tcPr>
          <w:p w:rsidR="003B4CCF" w:rsidRPr="00562D0A" w:rsidRDefault="003B4CCF" w:rsidP="00FC05E1">
            <w:pPr>
              <w:widowControl w:val="0"/>
              <w:autoSpaceDE w:val="0"/>
              <w:autoSpaceDN w:val="0"/>
              <w:adjustRightInd w:val="0"/>
              <w:jc w:val="center"/>
              <w:rPr>
                <w:b/>
                <w:sz w:val="20"/>
                <w:szCs w:val="20"/>
                <w:lang w:val="en-GB"/>
              </w:rPr>
            </w:pPr>
            <w:r w:rsidRPr="00562D0A">
              <w:rPr>
                <w:b/>
                <w:sz w:val="20"/>
                <w:szCs w:val="20"/>
                <w:lang w:val="en-GB"/>
              </w:rPr>
              <w:t>Intensive</w:t>
            </w:r>
          </w:p>
        </w:tc>
        <w:tc>
          <w:tcPr>
            <w:tcW w:w="516" w:type="pct"/>
          </w:tcPr>
          <w:p w:rsidR="003B4CCF" w:rsidRPr="00562D0A" w:rsidRDefault="003B4CCF" w:rsidP="00FC05E1">
            <w:pPr>
              <w:widowControl w:val="0"/>
              <w:autoSpaceDE w:val="0"/>
              <w:autoSpaceDN w:val="0"/>
              <w:adjustRightInd w:val="0"/>
              <w:jc w:val="center"/>
              <w:rPr>
                <w:b/>
                <w:sz w:val="20"/>
                <w:szCs w:val="20"/>
                <w:lang w:val="en-GB"/>
              </w:rPr>
            </w:pPr>
            <w:r w:rsidRPr="00562D0A">
              <w:rPr>
                <w:b/>
                <w:sz w:val="20"/>
                <w:szCs w:val="20"/>
                <w:lang w:val="en-GB"/>
              </w:rPr>
              <w:t>Extensive</w:t>
            </w:r>
          </w:p>
        </w:tc>
      </w:tr>
      <w:tr w:rsidR="00F104A0" w:rsidRPr="00562D0A" w:rsidTr="0097487C">
        <w:trPr>
          <w:jc w:val="center"/>
        </w:trPr>
        <w:tc>
          <w:tcPr>
            <w:tcW w:w="1189" w:type="pct"/>
          </w:tcPr>
          <w:p w:rsidR="003B4CCF" w:rsidRPr="00562D0A" w:rsidRDefault="003B4CCF" w:rsidP="003B4CCF">
            <w:pPr>
              <w:widowControl w:val="0"/>
              <w:autoSpaceDE w:val="0"/>
              <w:autoSpaceDN w:val="0"/>
              <w:adjustRightInd w:val="0"/>
              <w:spacing w:line="360" w:lineRule="auto"/>
              <w:rPr>
                <w:sz w:val="20"/>
                <w:szCs w:val="20"/>
                <w:lang w:val="en-GB"/>
              </w:rPr>
            </w:pPr>
            <w:r w:rsidRPr="00562D0A">
              <w:rPr>
                <w:b/>
                <w:sz w:val="20"/>
                <w:szCs w:val="20"/>
                <w:lang w:val="en-GB"/>
              </w:rPr>
              <w:t>VARIABLES</w:t>
            </w:r>
          </w:p>
        </w:tc>
        <w:tc>
          <w:tcPr>
            <w:tcW w:w="558" w:type="pct"/>
          </w:tcPr>
          <w:p w:rsidR="003B4CCF" w:rsidRPr="00562D0A" w:rsidRDefault="003B4CCF" w:rsidP="003B4CCF">
            <w:pPr>
              <w:widowControl w:val="0"/>
              <w:autoSpaceDE w:val="0"/>
              <w:autoSpaceDN w:val="0"/>
              <w:adjustRightInd w:val="0"/>
              <w:spacing w:line="360" w:lineRule="auto"/>
              <w:jc w:val="center"/>
              <w:rPr>
                <w:sz w:val="20"/>
                <w:szCs w:val="20"/>
                <w:lang w:val="en-GB"/>
              </w:rPr>
            </w:pPr>
          </w:p>
        </w:tc>
        <w:tc>
          <w:tcPr>
            <w:tcW w:w="436" w:type="pct"/>
          </w:tcPr>
          <w:p w:rsidR="003B4CCF" w:rsidRPr="00562D0A" w:rsidRDefault="003B4CCF" w:rsidP="003B4CCF">
            <w:pPr>
              <w:widowControl w:val="0"/>
              <w:autoSpaceDE w:val="0"/>
              <w:autoSpaceDN w:val="0"/>
              <w:adjustRightInd w:val="0"/>
              <w:spacing w:line="360" w:lineRule="auto"/>
              <w:jc w:val="center"/>
              <w:rPr>
                <w:sz w:val="20"/>
                <w:szCs w:val="20"/>
                <w:lang w:val="en-GB"/>
              </w:rPr>
            </w:pPr>
          </w:p>
        </w:tc>
        <w:tc>
          <w:tcPr>
            <w:tcW w:w="436" w:type="pct"/>
          </w:tcPr>
          <w:p w:rsidR="003B4CCF" w:rsidRPr="00562D0A" w:rsidRDefault="003B4CCF" w:rsidP="003B4CCF">
            <w:pPr>
              <w:widowControl w:val="0"/>
              <w:autoSpaceDE w:val="0"/>
              <w:autoSpaceDN w:val="0"/>
              <w:adjustRightInd w:val="0"/>
              <w:spacing w:line="360" w:lineRule="auto"/>
              <w:jc w:val="center"/>
              <w:rPr>
                <w:sz w:val="20"/>
                <w:szCs w:val="20"/>
                <w:lang w:val="en-GB"/>
              </w:rPr>
            </w:pPr>
          </w:p>
        </w:tc>
        <w:tc>
          <w:tcPr>
            <w:tcW w:w="439" w:type="pct"/>
          </w:tcPr>
          <w:p w:rsidR="003B4CCF" w:rsidRPr="00562D0A" w:rsidRDefault="003B4CCF" w:rsidP="003B4CCF">
            <w:pPr>
              <w:widowControl w:val="0"/>
              <w:autoSpaceDE w:val="0"/>
              <w:autoSpaceDN w:val="0"/>
              <w:adjustRightInd w:val="0"/>
              <w:spacing w:line="360" w:lineRule="auto"/>
              <w:jc w:val="center"/>
              <w:rPr>
                <w:sz w:val="20"/>
                <w:szCs w:val="20"/>
                <w:lang w:val="en-GB"/>
              </w:rPr>
            </w:pPr>
          </w:p>
        </w:tc>
        <w:tc>
          <w:tcPr>
            <w:tcW w:w="593" w:type="pct"/>
          </w:tcPr>
          <w:p w:rsidR="003B4CCF" w:rsidRPr="00562D0A" w:rsidRDefault="003B4CCF" w:rsidP="003B4CCF">
            <w:pPr>
              <w:widowControl w:val="0"/>
              <w:autoSpaceDE w:val="0"/>
              <w:autoSpaceDN w:val="0"/>
              <w:adjustRightInd w:val="0"/>
              <w:spacing w:line="360" w:lineRule="auto"/>
              <w:jc w:val="center"/>
              <w:rPr>
                <w:sz w:val="20"/>
                <w:szCs w:val="20"/>
                <w:lang w:val="en-GB"/>
              </w:rPr>
            </w:pPr>
          </w:p>
        </w:tc>
        <w:tc>
          <w:tcPr>
            <w:tcW w:w="397" w:type="pct"/>
          </w:tcPr>
          <w:p w:rsidR="003B4CCF" w:rsidRPr="00562D0A" w:rsidRDefault="003B4CCF" w:rsidP="003B4CCF">
            <w:pPr>
              <w:widowControl w:val="0"/>
              <w:autoSpaceDE w:val="0"/>
              <w:autoSpaceDN w:val="0"/>
              <w:adjustRightInd w:val="0"/>
              <w:spacing w:line="360" w:lineRule="auto"/>
              <w:jc w:val="center"/>
              <w:rPr>
                <w:sz w:val="20"/>
                <w:szCs w:val="20"/>
                <w:lang w:val="en-GB"/>
              </w:rPr>
            </w:pPr>
          </w:p>
        </w:tc>
        <w:tc>
          <w:tcPr>
            <w:tcW w:w="436" w:type="pct"/>
          </w:tcPr>
          <w:p w:rsidR="003B4CCF" w:rsidRPr="00562D0A" w:rsidRDefault="003B4CCF" w:rsidP="003B4CCF">
            <w:pPr>
              <w:widowControl w:val="0"/>
              <w:autoSpaceDE w:val="0"/>
              <w:autoSpaceDN w:val="0"/>
              <w:adjustRightInd w:val="0"/>
              <w:spacing w:line="360" w:lineRule="auto"/>
              <w:jc w:val="center"/>
              <w:rPr>
                <w:sz w:val="20"/>
                <w:szCs w:val="20"/>
                <w:lang w:val="en-GB"/>
              </w:rPr>
            </w:pPr>
          </w:p>
        </w:tc>
        <w:tc>
          <w:tcPr>
            <w:tcW w:w="516" w:type="pct"/>
          </w:tcPr>
          <w:p w:rsidR="003B4CCF" w:rsidRPr="00562D0A" w:rsidRDefault="003B4CCF" w:rsidP="003B4CCF">
            <w:pPr>
              <w:widowControl w:val="0"/>
              <w:autoSpaceDE w:val="0"/>
              <w:autoSpaceDN w:val="0"/>
              <w:adjustRightInd w:val="0"/>
              <w:spacing w:line="360" w:lineRule="auto"/>
              <w:jc w:val="center"/>
              <w:rPr>
                <w:sz w:val="20"/>
                <w:szCs w:val="20"/>
                <w:lang w:val="en-GB"/>
              </w:rPr>
            </w:pPr>
          </w:p>
        </w:tc>
      </w:tr>
      <w:tr w:rsidR="00D32796" w:rsidRPr="00562D0A" w:rsidTr="0097487C">
        <w:trPr>
          <w:jc w:val="center"/>
        </w:trPr>
        <w:tc>
          <w:tcPr>
            <w:tcW w:w="1189" w:type="pct"/>
          </w:tcPr>
          <w:p w:rsidR="00D32796" w:rsidRPr="00562D0A" w:rsidRDefault="00D32796" w:rsidP="00D32796">
            <w:pPr>
              <w:widowControl w:val="0"/>
              <w:autoSpaceDE w:val="0"/>
              <w:autoSpaceDN w:val="0"/>
              <w:adjustRightInd w:val="0"/>
              <w:spacing w:line="360" w:lineRule="auto"/>
              <w:rPr>
                <w:sz w:val="20"/>
                <w:szCs w:val="20"/>
                <w:lang w:val="en-GB"/>
              </w:rPr>
            </w:pPr>
            <w:r w:rsidRPr="00562D0A">
              <w:rPr>
                <w:sz w:val="20"/>
                <w:szCs w:val="20"/>
                <w:lang w:val="en-GB"/>
              </w:rPr>
              <w:t>Export diversification</w:t>
            </w:r>
          </w:p>
        </w:tc>
        <w:tc>
          <w:tcPr>
            <w:tcW w:w="558"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16.914**</w:t>
            </w:r>
          </w:p>
        </w:tc>
        <w:tc>
          <w:tcPr>
            <w:tcW w:w="436"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0.661</w:t>
            </w:r>
          </w:p>
        </w:tc>
        <w:tc>
          <w:tcPr>
            <w:tcW w:w="436"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1.162</w:t>
            </w:r>
          </w:p>
        </w:tc>
        <w:tc>
          <w:tcPr>
            <w:tcW w:w="439"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-6.493*</w:t>
            </w:r>
          </w:p>
        </w:tc>
        <w:tc>
          <w:tcPr>
            <w:tcW w:w="593"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24.74*</w:t>
            </w:r>
          </w:p>
        </w:tc>
        <w:tc>
          <w:tcPr>
            <w:tcW w:w="397"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1.872</w:t>
            </w:r>
          </w:p>
        </w:tc>
        <w:tc>
          <w:tcPr>
            <w:tcW w:w="436"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4.716**</w:t>
            </w:r>
          </w:p>
        </w:tc>
        <w:tc>
          <w:tcPr>
            <w:tcW w:w="516"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-7.397</w:t>
            </w:r>
          </w:p>
        </w:tc>
      </w:tr>
      <w:tr w:rsidR="00D32796" w:rsidRPr="00562D0A" w:rsidTr="0097487C">
        <w:trPr>
          <w:jc w:val="center"/>
        </w:trPr>
        <w:tc>
          <w:tcPr>
            <w:tcW w:w="1189" w:type="pct"/>
          </w:tcPr>
          <w:p w:rsidR="00D32796" w:rsidRPr="00562D0A" w:rsidRDefault="00D32796" w:rsidP="00D32796">
            <w:pPr>
              <w:widowControl w:val="0"/>
              <w:autoSpaceDE w:val="0"/>
              <w:autoSpaceDN w:val="0"/>
              <w:adjustRightInd w:val="0"/>
              <w:spacing w:line="360" w:lineRule="auto"/>
              <w:rPr>
                <w:sz w:val="20"/>
                <w:szCs w:val="20"/>
                <w:lang w:val="en-GB"/>
              </w:rPr>
            </w:pPr>
          </w:p>
        </w:tc>
        <w:tc>
          <w:tcPr>
            <w:tcW w:w="558"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(6.156)</w:t>
            </w:r>
          </w:p>
        </w:tc>
        <w:tc>
          <w:tcPr>
            <w:tcW w:w="436"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(1.377)</w:t>
            </w:r>
          </w:p>
        </w:tc>
        <w:tc>
          <w:tcPr>
            <w:tcW w:w="436"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(1.303)</w:t>
            </w:r>
          </w:p>
        </w:tc>
        <w:tc>
          <w:tcPr>
            <w:tcW w:w="439"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(3.776)</w:t>
            </w:r>
          </w:p>
        </w:tc>
        <w:tc>
          <w:tcPr>
            <w:tcW w:w="593"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(13.471)</w:t>
            </w:r>
          </w:p>
        </w:tc>
        <w:tc>
          <w:tcPr>
            <w:tcW w:w="397"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(2.092)</w:t>
            </w:r>
          </w:p>
        </w:tc>
        <w:tc>
          <w:tcPr>
            <w:tcW w:w="436"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(2.119)</w:t>
            </w:r>
          </w:p>
        </w:tc>
        <w:tc>
          <w:tcPr>
            <w:tcW w:w="516"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(5.482)</w:t>
            </w:r>
          </w:p>
        </w:tc>
      </w:tr>
      <w:tr w:rsidR="00D32796" w:rsidRPr="00562D0A" w:rsidTr="0097487C">
        <w:trPr>
          <w:jc w:val="center"/>
        </w:trPr>
        <w:tc>
          <w:tcPr>
            <w:tcW w:w="1189" w:type="pct"/>
          </w:tcPr>
          <w:p w:rsidR="00D32796" w:rsidRPr="00562D0A" w:rsidRDefault="00D32796" w:rsidP="00D32796">
            <w:pPr>
              <w:widowControl w:val="0"/>
              <w:autoSpaceDE w:val="0"/>
              <w:autoSpaceDN w:val="0"/>
              <w:adjustRightInd w:val="0"/>
              <w:spacing w:line="360" w:lineRule="auto"/>
              <w:rPr>
                <w:sz w:val="20"/>
                <w:szCs w:val="20"/>
                <w:lang w:val="en-GB"/>
              </w:rPr>
            </w:pPr>
            <w:r w:rsidRPr="00562D0A">
              <w:rPr>
                <w:sz w:val="20"/>
                <w:szCs w:val="20"/>
                <w:lang w:val="en-GB"/>
              </w:rPr>
              <w:t>Openness</w:t>
            </w:r>
          </w:p>
        </w:tc>
        <w:tc>
          <w:tcPr>
            <w:tcW w:w="558"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0.098**</w:t>
            </w:r>
          </w:p>
        </w:tc>
        <w:tc>
          <w:tcPr>
            <w:tcW w:w="436"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0.049</w:t>
            </w:r>
          </w:p>
        </w:tc>
        <w:tc>
          <w:tcPr>
            <w:tcW w:w="436"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0.099*</w:t>
            </w:r>
          </w:p>
        </w:tc>
        <w:tc>
          <w:tcPr>
            <w:tcW w:w="439"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-0.02562</w:t>
            </w:r>
          </w:p>
        </w:tc>
        <w:tc>
          <w:tcPr>
            <w:tcW w:w="593"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0.203**</w:t>
            </w:r>
          </w:p>
        </w:tc>
        <w:tc>
          <w:tcPr>
            <w:tcW w:w="397"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0.035</w:t>
            </w:r>
          </w:p>
        </w:tc>
        <w:tc>
          <w:tcPr>
            <w:tcW w:w="436"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0.208*</w:t>
            </w:r>
          </w:p>
        </w:tc>
        <w:tc>
          <w:tcPr>
            <w:tcW w:w="516"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-0.091</w:t>
            </w:r>
          </w:p>
        </w:tc>
      </w:tr>
      <w:tr w:rsidR="00D32796" w:rsidRPr="00562D0A" w:rsidTr="0097487C">
        <w:trPr>
          <w:jc w:val="center"/>
        </w:trPr>
        <w:tc>
          <w:tcPr>
            <w:tcW w:w="1189" w:type="pct"/>
          </w:tcPr>
          <w:p w:rsidR="00D32796" w:rsidRPr="00562D0A" w:rsidRDefault="00D32796" w:rsidP="00D32796">
            <w:pPr>
              <w:widowControl w:val="0"/>
              <w:autoSpaceDE w:val="0"/>
              <w:autoSpaceDN w:val="0"/>
              <w:adjustRightInd w:val="0"/>
              <w:spacing w:line="360" w:lineRule="auto"/>
              <w:rPr>
                <w:sz w:val="20"/>
                <w:szCs w:val="20"/>
                <w:lang w:val="en-GB"/>
              </w:rPr>
            </w:pPr>
          </w:p>
        </w:tc>
        <w:tc>
          <w:tcPr>
            <w:tcW w:w="558"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(0.047)</w:t>
            </w:r>
          </w:p>
        </w:tc>
        <w:tc>
          <w:tcPr>
            <w:tcW w:w="436"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(0.042)</w:t>
            </w:r>
          </w:p>
        </w:tc>
        <w:tc>
          <w:tcPr>
            <w:tcW w:w="436"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(0.051)</w:t>
            </w:r>
          </w:p>
        </w:tc>
        <w:tc>
          <w:tcPr>
            <w:tcW w:w="439"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(0.029)</w:t>
            </w:r>
          </w:p>
        </w:tc>
        <w:tc>
          <w:tcPr>
            <w:tcW w:w="593"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(0.089)</w:t>
            </w:r>
          </w:p>
        </w:tc>
        <w:tc>
          <w:tcPr>
            <w:tcW w:w="397"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(0.143)</w:t>
            </w:r>
          </w:p>
        </w:tc>
        <w:tc>
          <w:tcPr>
            <w:tcW w:w="436"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(0.118)</w:t>
            </w:r>
          </w:p>
        </w:tc>
        <w:tc>
          <w:tcPr>
            <w:tcW w:w="516"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(0.094)</w:t>
            </w:r>
          </w:p>
        </w:tc>
      </w:tr>
      <w:tr w:rsidR="00D32796" w:rsidRPr="00562D0A" w:rsidTr="0097487C">
        <w:trPr>
          <w:jc w:val="center"/>
        </w:trPr>
        <w:tc>
          <w:tcPr>
            <w:tcW w:w="1189" w:type="pct"/>
          </w:tcPr>
          <w:p w:rsidR="00D32796" w:rsidRPr="00562D0A" w:rsidRDefault="00D32796" w:rsidP="00D32796">
            <w:pPr>
              <w:widowControl w:val="0"/>
              <w:autoSpaceDE w:val="0"/>
              <w:autoSpaceDN w:val="0"/>
              <w:adjustRightInd w:val="0"/>
              <w:spacing w:line="360" w:lineRule="auto"/>
              <w:rPr>
                <w:sz w:val="20"/>
                <w:szCs w:val="20"/>
                <w:lang w:val="en-GB"/>
              </w:rPr>
            </w:pPr>
            <w:r w:rsidRPr="00562D0A">
              <w:rPr>
                <w:sz w:val="20"/>
                <w:szCs w:val="20"/>
                <w:lang w:val="en-GB"/>
              </w:rPr>
              <w:t>Diversification#Openness</w:t>
            </w:r>
          </w:p>
        </w:tc>
        <w:tc>
          <w:tcPr>
            <w:tcW w:w="558"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-0.149**</w:t>
            </w:r>
          </w:p>
        </w:tc>
        <w:tc>
          <w:tcPr>
            <w:tcW w:w="436"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-0.01</w:t>
            </w:r>
          </w:p>
        </w:tc>
        <w:tc>
          <w:tcPr>
            <w:tcW w:w="436"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-0.02*</w:t>
            </w:r>
          </w:p>
        </w:tc>
        <w:tc>
          <w:tcPr>
            <w:tcW w:w="439"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0.03008</w:t>
            </w:r>
          </w:p>
        </w:tc>
        <w:tc>
          <w:tcPr>
            <w:tcW w:w="593"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-0.271**</w:t>
            </w:r>
          </w:p>
        </w:tc>
        <w:tc>
          <w:tcPr>
            <w:tcW w:w="397"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-0.009</w:t>
            </w:r>
          </w:p>
        </w:tc>
        <w:tc>
          <w:tcPr>
            <w:tcW w:w="436"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-0.043**</w:t>
            </w:r>
          </w:p>
        </w:tc>
        <w:tc>
          <w:tcPr>
            <w:tcW w:w="516"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0.065</w:t>
            </w:r>
          </w:p>
        </w:tc>
      </w:tr>
      <w:tr w:rsidR="00D32796" w:rsidRPr="00562D0A" w:rsidTr="0097487C">
        <w:trPr>
          <w:jc w:val="center"/>
        </w:trPr>
        <w:tc>
          <w:tcPr>
            <w:tcW w:w="1189" w:type="pct"/>
          </w:tcPr>
          <w:p w:rsidR="00D32796" w:rsidRPr="00562D0A" w:rsidRDefault="00D32796" w:rsidP="00D32796">
            <w:pPr>
              <w:widowControl w:val="0"/>
              <w:autoSpaceDE w:val="0"/>
              <w:autoSpaceDN w:val="0"/>
              <w:adjustRightInd w:val="0"/>
              <w:spacing w:line="360" w:lineRule="auto"/>
              <w:rPr>
                <w:sz w:val="20"/>
                <w:szCs w:val="20"/>
                <w:lang w:val="en-GB"/>
              </w:rPr>
            </w:pPr>
          </w:p>
        </w:tc>
        <w:tc>
          <w:tcPr>
            <w:tcW w:w="558"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(0.071)</w:t>
            </w:r>
          </w:p>
        </w:tc>
        <w:tc>
          <w:tcPr>
            <w:tcW w:w="436"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(0.009)</w:t>
            </w:r>
          </w:p>
        </w:tc>
        <w:tc>
          <w:tcPr>
            <w:tcW w:w="436"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(0.011)</w:t>
            </w:r>
          </w:p>
        </w:tc>
        <w:tc>
          <w:tcPr>
            <w:tcW w:w="439"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(0.020)</w:t>
            </w:r>
          </w:p>
        </w:tc>
        <w:tc>
          <w:tcPr>
            <w:tcW w:w="593"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(0.124)</w:t>
            </w:r>
          </w:p>
        </w:tc>
        <w:tc>
          <w:tcPr>
            <w:tcW w:w="397"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(0.024)</w:t>
            </w:r>
          </w:p>
        </w:tc>
        <w:tc>
          <w:tcPr>
            <w:tcW w:w="436"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(0.022)</w:t>
            </w:r>
          </w:p>
        </w:tc>
        <w:tc>
          <w:tcPr>
            <w:tcW w:w="516"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(0.063)</w:t>
            </w:r>
          </w:p>
        </w:tc>
      </w:tr>
      <w:tr w:rsidR="00D32796" w:rsidRPr="00562D0A" w:rsidTr="0097487C">
        <w:trPr>
          <w:jc w:val="center"/>
        </w:trPr>
        <w:tc>
          <w:tcPr>
            <w:tcW w:w="1189" w:type="pct"/>
          </w:tcPr>
          <w:p w:rsidR="00D32796" w:rsidRPr="00562D0A" w:rsidRDefault="00D32796" w:rsidP="00D32796">
            <w:pPr>
              <w:widowControl w:val="0"/>
              <w:autoSpaceDE w:val="0"/>
              <w:autoSpaceDN w:val="0"/>
              <w:adjustRightInd w:val="0"/>
              <w:spacing w:line="360" w:lineRule="auto"/>
              <w:rPr>
                <w:sz w:val="20"/>
                <w:szCs w:val="20"/>
                <w:lang w:val="en-GB"/>
              </w:rPr>
            </w:pPr>
            <w:r w:rsidRPr="00562D0A">
              <w:rPr>
                <w:sz w:val="20"/>
                <w:szCs w:val="20"/>
                <w:lang w:val="en-GB"/>
              </w:rPr>
              <w:t>Institutions</w:t>
            </w:r>
          </w:p>
        </w:tc>
        <w:tc>
          <w:tcPr>
            <w:tcW w:w="558"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0.51*</w:t>
            </w:r>
          </w:p>
        </w:tc>
        <w:tc>
          <w:tcPr>
            <w:tcW w:w="436"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0.415*</w:t>
            </w:r>
          </w:p>
        </w:tc>
        <w:tc>
          <w:tcPr>
            <w:tcW w:w="436"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0.474*</w:t>
            </w:r>
          </w:p>
        </w:tc>
        <w:tc>
          <w:tcPr>
            <w:tcW w:w="439"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0.499**</w:t>
            </w:r>
          </w:p>
        </w:tc>
        <w:tc>
          <w:tcPr>
            <w:tcW w:w="593"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0.407</w:t>
            </w:r>
          </w:p>
        </w:tc>
        <w:tc>
          <w:tcPr>
            <w:tcW w:w="397"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1.189*</w:t>
            </w:r>
          </w:p>
        </w:tc>
        <w:tc>
          <w:tcPr>
            <w:tcW w:w="436"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0.793**</w:t>
            </w:r>
          </w:p>
        </w:tc>
        <w:tc>
          <w:tcPr>
            <w:tcW w:w="516"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0.855**</w:t>
            </w:r>
          </w:p>
        </w:tc>
      </w:tr>
      <w:tr w:rsidR="00D32796" w:rsidRPr="00562D0A" w:rsidTr="0097487C">
        <w:trPr>
          <w:jc w:val="center"/>
        </w:trPr>
        <w:tc>
          <w:tcPr>
            <w:tcW w:w="1189" w:type="pct"/>
          </w:tcPr>
          <w:p w:rsidR="00D32796" w:rsidRPr="00562D0A" w:rsidRDefault="00D32796" w:rsidP="00D32796">
            <w:pPr>
              <w:widowControl w:val="0"/>
              <w:autoSpaceDE w:val="0"/>
              <w:autoSpaceDN w:val="0"/>
              <w:adjustRightInd w:val="0"/>
              <w:spacing w:line="360" w:lineRule="auto"/>
              <w:rPr>
                <w:sz w:val="20"/>
                <w:szCs w:val="20"/>
                <w:lang w:val="en-GB"/>
              </w:rPr>
            </w:pPr>
          </w:p>
        </w:tc>
        <w:tc>
          <w:tcPr>
            <w:tcW w:w="558"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(0.261)</w:t>
            </w:r>
          </w:p>
        </w:tc>
        <w:tc>
          <w:tcPr>
            <w:tcW w:w="436"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(0.241)</w:t>
            </w:r>
          </w:p>
        </w:tc>
        <w:tc>
          <w:tcPr>
            <w:tcW w:w="436"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(0.245)</w:t>
            </w:r>
          </w:p>
        </w:tc>
        <w:tc>
          <w:tcPr>
            <w:tcW w:w="439"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(0.218)</w:t>
            </w:r>
          </w:p>
        </w:tc>
        <w:tc>
          <w:tcPr>
            <w:tcW w:w="593"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(0.523)</w:t>
            </w:r>
          </w:p>
        </w:tc>
        <w:tc>
          <w:tcPr>
            <w:tcW w:w="397"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(0.686)</w:t>
            </w:r>
          </w:p>
        </w:tc>
        <w:tc>
          <w:tcPr>
            <w:tcW w:w="436"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(0.363)</w:t>
            </w:r>
          </w:p>
        </w:tc>
        <w:tc>
          <w:tcPr>
            <w:tcW w:w="516"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(0.416)</w:t>
            </w:r>
          </w:p>
        </w:tc>
      </w:tr>
      <w:tr w:rsidR="00D32796" w:rsidRPr="00562D0A" w:rsidTr="0097487C">
        <w:trPr>
          <w:jc w:val="center"/>
        </w:trPr>
        <w:tc>
          <w:tcPr>
            <w:tcW w:w="1189" w:type="pct"/>
          </w:tcPr>
          <w:p w:rsidR="00D32796" w:rsidRPr="00562D0A" w:rsidRDefault="00D32796" w:rsidP="00D32796">
            <w:pPr>
              <w:widowControl w:val="0"/>
              <w:autoSpaceDE w:val="0"/>
              <w:autoSpaceDN w:val="0"/>
              <w:adjustRightInd w:val="0"/>
              <w:spacing w:line="360" w:lineRule="auto"/>
              <w:rPr>
                <w:sz w:val="20"/>
                <w:szCs w:val="20"/>
                <w:lang w:val="en-GB"/>
              </w:rPr>
            </w:pPr>
            <w:r w:rsidRPr="00562D0A">
              <w:rPr>
                <w:sz w:val="20"/>
                <w:szCs w:val="20"/>
                <w:lang w:val="en-GB"/>
              </w:rPr>
              <w:t>Terms of trade volatility</w:t>
            </w:r>
          </w:p>
        </w:tc>
        <w:tc>
          <w:tcPr>
            <w:tcW w:w="558"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-4.182</w:t>
            </w:r>
          </w:p>
        </w:tc>
        <w:tc>
          <w:tcPr>
            <w:tcW w:w="436"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-8.288*</w:t>
            </w:r>
          </w:p>
        </w:tc>
        <w:tc>
          <w:tcPr>
            <w:tcW w:w="436"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-7.864*</w:t>
            </w:r>
          </w:p>
        </w:tc>
        <w:tc>
          <w:tcPr>
            <w:tcW w:w="439"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-3.869</w:t>
            </w:r>
          </w:p>
        </w:tc>
        <w:tc>
          <w:tcPr>
            <w:tcW w:w="593"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-4.499</w:t>
            </w:r>
          </w:p>
        </w:tc>
        <w:tc>
          <w:tcPr>
            <w:tcW w:w="397"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-6.303</w:t>
            </w:r>
          </w:p>
        </w:tc>
        <w:tc>
          <w:tcPr>
            <w:tcW w:w="436"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-1.601</w:t>
            </w:r>
          </w:p>
        </w:tc>
        <w:tc>
          <w:tcPr>
            <w:tcW w:w="516"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-7.045</w:t>
            </w:r>
          </w:p>
        </w:tc>
      </w:tr>
      <w:tr w:rsidR="00D32796" w:rsidRPr="00562D0A" w:rsidTr="0097487C">
        <w:trPr>
          <w:jc w:val="center"/>
        </w:trPr>
        <w:tc>
          <w:tcPr>
            <w:tcW w:w="1189" w:type="pct"/>
          </w:tcPr>
          <w:p w:rsidR="00D32796" w:rsidRPr="00562D0A" w:rsidRDefault="00D32796" w:rsidP="00D32796">
            <w:pPr>
              <w:widowControl w:val="0"/>
              <w:autoSpaceDE w:val="0"/>
              <w:autoSpaceDN w:val="0"/>
              <w:adjustRightInd w:val="0"/>
              <w:spacing w:line="360" w:lineRule="auto"/>
              <w:rPr>
                <w:sz w:val="20"/>
                <w:szCs w:val="20"/>
                <w:lang w:val="en-GB"/>
              </w:rPr>
            </w:pPr>
          </w:p>
        </w:tc>
        <w:tc>
          <w:tcPr>
            <w:tcW w:w="558"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(6.551)</w:t>
            </w:r>
          </w:p>
        </w:tc>
        <w:tc>
          <w:tcPr>
            <w:tcW w:w="436"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(4.400)</w:t>
            </w:r>
          </w:p>
        </w:tc>
        <w:tc>
          <w:tcPr>
            <w:tcW w:w="436"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(4.292)</w:t>
            </w:r>
          </w:p>
        </w:tc>
        <w:tc>
          <w:tcPr>
            <w:tcW w:w="439"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(3.133)</w:t>
            </w:r>
          </w:p>
        </w:tc>
        <w:tc>
          <w:tcPr>
            <w:tcW w:w="593"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(7.055)</w:t>
            </w:r>
          </w:p>
        </w:tc>
        <w:tc>
          <w:tcPr>
            <w:tcW w:w="397"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(7.149)</w:t>
            </w:r>
          </w:p>
        </w:tc>
        <w:tc>
          <w:tcPr>
            <w:tcW w:w="436"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(5.714)</w:t>
            </w:r>
          </w:p>
        </w:tc>
        <w:tc>
          <w:tcPr>
            <w:tcW w:w="516"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(5.347)</w:t>
            </w:r>
          </w:p>
        </w:tc>
      </w:tr>
      <w:tr w:rsidR="00D32796" w:rsidRPr="00562D0A" w:rsidTr="0097487C">
        <w:trPr>
          <w:jc w:val="center"/>
        </w:trPr>
        <w:tc>
          <w:tcPr>
            <w:tcW w:w="1189" w:type="pct"/>
          </w:tcPr>
          <w:p w:rsidR="00D32796" w:rsidRPr="00562D0A" w:rsidRDefault="00D32796" w:rsidP="00D32796">
            <w:pPr>
              <w:widowControl w:val="0"/>
              <w:autoSpaceDE w:val="0"/>
              <w:autoSpaceDN w:val="0"/>
              <w:adjustRightInd w:val="0"/>
              <w:spacing w:line="360" w:lineRule="auto"/>
              <w:rPr>
                <w:sz w:val="20"/>
                <w:szCs w:val="20"/>
                <w:lang w:val="en-GB"/>
              </w:rPr>
            </w:pPr>
            <w:r w:rsidRPr="00562D0A">
              <w:rPr>
                <w:sz w:val="20"/>
                <w:szCs w:val="20"/>
                <w:lang w:val="en-GB"/>
              </w:rPr>
              <w:t>Exchange rate volatility</w:t>
            </w:r>
          </w:p>
        </w:tc>
        <w:tc>
          <w:tcPr>
            <w:tcW w:w="558"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-0.002*</w:t>
            </w:r>
          </w:p>
        </w:tc>
        <w:tc>
          <w:tcPr>
            <w:tcW w:w="436"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-0.001</w:t>
            </w:r>
          </w:p>
        </w:tc>
        <w:tc>
          <w:tcPr>
            <w:tcW w:w="436"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-0.0007</w:t>
            </w:r>
          </w:p>
        </w:tc>
        <w:tc>
          <w:tcPr>
            <w:tcW w:w="439"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-0.0004</w:t>
            </w:r>
          </w:p>
        </w:tc>
        <w:tc>
          <w:tcPr>
            <w:tcW w:w="593"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-0.002</w:t>
            </w:r>
          </w:p>
        </w:tc>
        <w:tc>
          <w:tcPr>
            <w:tcW w:w="397"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-0.001</w:t>
            </w:r>
          </w:p>
        </w:tc>
        <w:tc>
          <w:tcPr>
            <w:tcW w:w="436"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-0.001</w:t>
            </w:r>
          </w:p>
        </w:tc>
        <w:tc>
          <w:tcPr>
            <w:tcW w:w="516"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-0.001</w:t>
            </w:r>
          </w:p>
        </w:tc>
      </w:tr>
      <w:tr w:rsidR="00D32796" w:rsidRPr="00562D0A" w:rsidTr="0097487C">
        <w:trPr>
          <w:jc w:val="center"/>
        </w:trPr>
        <w:tc>
          <w:tcPr>
            <w:tcW w:w="1189" w:type="pct"/>
          </w:tcPr>
          <w:p w:rsidR="00D32796" w:rsidRPr="00562D0A" w:rsidRDefault="00D32796" w:rsidP="00D32796">
            <w:pPr>
              <w:widowControl w:val="0"/>
              <w:autoSpaceDE w:val="0"/>
              <w:autoSpaceDN w:val="0"/>
              <w:adjustRightInd w:val="0"/>
              <w:spacing w:line="360" w:lineRule="auto"/>
              <w:rPr>
                <w:sz w:val="20"/>
                <w:szCs w:val="20"/>
                <w:lang w:val="en-GB"/>
              </w:rPr>
            </w:pPr>
          </w:p>
        </w:tc>
        <w:tc>
          <w:tcPr>
            <w:tcW w:w="558"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(0.001)</w:t>
            </w:r>
          </w:p>
        </w:tc>
        <w:tc>
          <w:tcPr>
            <w:tcW w:w="436"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(0.001)</w:t>
            </w:r>
          </w:p>
        </w:tc>
        <w:tc>
          <w:tcPr>
            <w:tcW w:w="436"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(0.001)</w:t>
            </w:r>
          </w:p>
        </w:tc>
        <w:tc>
          <w:tcPr>
            <w:tcW w:w="439"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(0.001)</w:t>
            </w:r>
          </w:p>
        </w:tc>
        <w:tc>
          <w:tcPr>
            <w:tcW w:w="593"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(0.001)</w:t>
            </w:r>
          </w:p>
        </w:tc>
        <w:tc>
          <w:tcPr>
            <w:tcW w:w="397"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(0.001)</w:t>
            </w:r>
          </w:p>
        </w:tc>
        <w:tc>
          <w:tcPr>
            <w:tcW w:w="436"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(0.001)</w:t>
            </w:r>
          </w:p>
        </w:tc>
        <w:tc>
          <w:tcPr>
            <w:tcW w:w="516"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(0.001)</w:t>
            </w:r>
          </w:p>
        </w:tc>
      </w:tr>
      <w:tr w:rsidR="00D32796" w:rsidRPr="00562D0A" w:rsidTr="0097487C">
        <w:trPr>
          <w:jc w:val="center"/>
        </w:trPr>
        <w:tc>
          <w:tcPr>
            <w:tcW w:w="1189" w:type="pct"/>
          </w:tcPr>
          <w:p w:rsidR="00D32796" w:rsidRPr="00562D0A" w:rsidRDefault="00D32796" w:rsidP="00D32796">
            <w:pPr>
              <w:widowControl w:val="0"/>
              <w:autoSpaceDE w:val="0"/>
              <w:autoSpaceDN w:val="0"/>
              <w:adjustRightInd w:val="0"/>
              <w:spacing w:line="360" w:lineRule="auto"/>
              <w:rPr>
                <w:sz w:val="20"/>
                <w:szCs w:val="20"/>
                <w:lang w:val="en-GB"/>
              </w:rPr>
            </w:pPr>
            <w:r w:rsidRPr="00562D0A">
              <w:rPr>
                <w:sz w:val="20"/>
                <w:szCs w:val="20"/>
                <w:lang w:val="en-GB"/>
              </w:rPr>
              <w:t>Inflation rate volatility</w:t>
            </w:r>
          </w:p>
        </w:tc>
        <w:tc>
          <w:tcPr>
            <w:tcW w:w="558"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0.008***</w:t>
            </w:r>
          </w:p>
        </w:tc>
        <w:tc>
          <w:tcPr>
            <w:tcW w:w="436"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0.008***</w:t>
            </w:r>
          </w:p>
        </w:tc>
        <w:tc>
          <w:tcPr>
            <w:tcW w:w="436"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0.008***</w:t>
            </w:r>
          </w:p>
        </w:tc>
        <w:tc>
          <w:tcPr>
            <w:tcW w:w="439"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0.007***</w:t>
            </w:r>
          </w:p>
        </w:tc>
        <w:tc>
          <w:tcPr>
            <w:tcW w:w="593"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0.008***</w:t>
            </w:r>
          </w:p>
        </w:tc>
        <w:tc>
          <w:tcPr>
            <w:tcW w:w="397"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0.006***</w:t>
            </w:r>
          </w:p>
        </w:tc>
        <w:tc>
          <w:tcPr>
            <w:tcW w:w="436"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0.007***</w:t>
            </w:r>
          </w:p>
        </w:tc>
        <w:tc>
          <w:tcPr>
            <w:tcW w:w="516"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0.008***</w:t>
            </w:r>
          </w:p>
        </w:tc>
      </w:tr>
      <w:tr w:rsidR="00D32796" w:rsidRPr="00562D0A" w:rsidTr="0097487C">
        <w:trPr>
          <w:jc w:val="center"/>
        </w:trPr>
        <w:tc>
          <w:tcPr>
            <w:tcW w:w="1189" w:type="pct"/>
          </w:tcPr>
          <w:p w:rsidR="00D32796" w:rsidRPr="00562D0A" w:rsidRDefault="00D32796" w:rsidP="00D32796">
            <w:pPr>
              <w:widowControl w:val="0"/>
              <w:autoSpaceDE w:val="0"/>
              <w:autoSpaceDN w:val="0"/>
              <w:adjustRightInd w:val="0"/>
              <w:spacing w:line="360" w:lineRule="auto"/>
              <w:rPr>
                <w:sz w:val="20"/>
                <w:szCs w:val="20"/>
                <w:lang w:val="en-GB"/>
              </w:rPr>
            </w:pPr>
          </w:p>
        </w:tc>
        <w:tc>
          <w:tcPr>
            <w:tcW w:w="558"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(0.002)</w:t>
            </w:r>
          </w:p>
        </w:tc>
        <w:tc>
          <w:tcPr>
            <w:tcW w:w="436"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(0.002)</w:t>
            </w:r>
          </w:p>
        </w:tc>
        <w:tc>
          <w:tcPr>
            <w:tcW w:w="436"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(0.002)</w:t>
            </w:r>
          </w:p>
        </w:tc>
        <w:tc>
          <w:tcPr>
            <w:tcW w:w="439" w:type="pct"/>
          </w:tcPr>
          <w:p w:rsidR="00D32796" w:rsidRPr="00562D0A" w:rsidRDefault="00D32796" w:rsidP="00D32796">
            <w:pPr>
              <w:widowControl w:val="0"/>
              <w:autoSpaceDE w:val="0"/>
              <w:autoSpaceDN w:val="0"/>
              <w:adjustRightInd w:val="0"/>
              <w:jc w:val="center"/>
              <w:rPr>
                <w:sz w:val="20"/>
                <w:szCs w:val="20"/>
                <w:lang w:val="en-GB"/>
              </w:rPr>
            </w:pPr>
            <w:r w:rsidRPr="00562D0A">
              <w:rPr>
                <w:sz w:val="20"/>
                <w:szCs w:val="20"/>
              </w:rPr>
              <w:t>(0.002)</w:t>
            </w:r>
          </w:p>
        </w:tc>
        <w:tc>
          <w:tcPr>
            <w:tcW w:w="593"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(0.001)</w:t>
            </w:r>
          </w:p>
        </w:tc>
        <w:tc>
          <w:tcPr>
            <w:tcW w:w="397" w:type="pct"/>
          </w:tcPr>
          <w:p w:rsidR="00D32796" w:rsidRPr="00562D0A" w:rsidRDefault="00D32796" w:rsidP="00D32796">
            <w:pPr>
              <w:widowControl w:val="0"/>
              <w:autoSpaceDE w:val="0"/>
              <w:autoSpaceDN w:val="0"/>
              <w:adjustRightInd w:val="0"/>
              <w:jc w:val="center"/>
              <w:rPr>
                <w:sz w:val="20"/>
                <w:szCs w:val="20"/>
              </w:rPr>
            </w:pPr>
            <w:r w:rsidRPr="00562D0A">
              <w:rPr>
                <w:sz w:val="20"/>
                <w:szCs w:val="20"/>
              </w:rPr>
              <w:t>(0.002)</w:t>
            </w:r>
          </w:p>
        </w:tc>
        <w:tc>
          <w:tcPr>
            <w:tcW w:w="436" w:type="pct"/>
          </w:tcPr>
          <w:p w:rsidR="00D32796" w:rsidRPr="00562D0A" w:rsidRDefault="00D32796" w:rsidP="00D32796">
            <w:pPr>
              <w:widowControl w:val="0"/>
              <w:autoSpaceDE w:val="0"/>
              <w:autoSpaceDN w:val="0"/>
              <w:adjustRightInd w:val="0"/>
              <w:rPr>
                <w:sz w:val="20"/>
                <w:szCs w:val="20"/>
              </w:rPr>
            </w:pPr>
            <w:r w:rsidRPr="00562D0A">
              <w:rPr>
                <w:sz w:val="20"/>
                <w:szCs w:val="20"/>
              </w:rPr>
              <w:t>(0.002)</w:t>
            </w:r>
          </w:p>
        </w:tc>
        <w:tc>
          <w:tcPr>
            <w:tcW w:w="516" w:type="pct"/>
          </w:tcPr>
          <w:p w:rsidR="00D32796" w:rsidRPr="00562D0A" w:rsidRDefault="00D32796" w:rsidP="00D32796">
            <w:pPr>
              <w:widowControl w:val="0"/>
              <w:autoSpaceDE w:val="0"/>
              <w:autoSpaceDN w:val="0"/>
              <w:adjustRightInd w:val="0"/>
              <w:rPr>
                <w:sz w:val="20"/>
                <w:szCs w:val="20"/>
              </w:rPr>
            </w:pPr>
            <w:r w:rsidRPr="00562D0A">
              <w:rPr>
                <w:sz w:val="20"/>
                <w:szCs w:val="20"/>
              </w:rPr>
              <w:t>(0.001)</w:t>
            </w:r>
          </w:p>
        </w:tc>
      </w:tr>
      <w:tr w:rsidR="00D32796" w:rsidRPr="00562D0A" w:rsidTr="0097487C">
        <w:trPr>
          <w:jc w:val="center"/>
        </w:trPr>
        <w:tc>
          <w:tcPr>
            <w:tcW w:w="1189" w:type="pct"/>
          </w:tcPr>
          <w:p w:rsidR="00D32796" w:rsidRPr="00562D0A" w:rsidRDefault="00D32796" w:rsidP="00821FB1">
            <w:pPr>
              <w:widowControl w:val="0"/>
              <w:autoSpaceDE w:val="0"/>
              <w:autoSpaceDN w:val="0"/>
              <w:adjustRightInd w:val="0"/>
              <w:spacing w:line="276" w:lineRule="auto"/>
              <w:rPr>
                <w:sz w:val="20"/>
                <w:szCs w:val="20"/>
                <w:lang w:val="en-GB"/>
              </w:rPr>
            </w:pPr>
            <w:r w:rsidRPr="00562D0A">
              <w:rPr>
                <w:sz w:val="20"/>
                <w:szCs w:val="20"/>
                <w:lang w:val="en-GB"/>
              </w:rPr>
              <w:t>Government expenditure volatility</w:t>
            </w:r>
          </w:p>
        </w:tc>
        <w:tc>
          <w:tcPr>
            <w:tcW w:w="558" w:type="pct"/>
          </w:tcPr>
          <w:p w:rsidR="00D32796" w:rsidRPr="00562D0A" w:rsidRDefault="00D32796" w:rsidP="00821FB1">
            <w:pPr>
              <w:widowControl w:val="0"/>
              <w:autoSpaceDE w:val="0"/>
              <w:autoSpaceDN w:val="0"/>
              <w:adjustRightInd w:val="0"/>
              <w:spacing w:line="276" w:lineRule="auto"/>
              <w:jc w:val="center"/>
              <w:rPr>
                <w:sz w:val="20"/>
                <w:szCs w:val="20"/>
              </w:rPr>
            </w:pPr>
            <w:r w:rsidRPr="00562D0A">
              <w:rPr>
                <w:sz w:val="20"/>
                <w:szCs w:val="20"/>
              </w:rPr>
              <w:t>0.052</w:t>
            </w:r>
          </w:p>
          <w:p w:rsidR="00D32796" w:rsidRPr="00562D0A" w:rsidRDefault="00D32796" w:rsidP="00821FB1">
            <w:pPr>
              <w:widowControl w:val="0"/>
              <w:autoSpaceDE w:val="0"/>
              <w:autoSpaceDN w:val="0"/>
              <w:adjustRightInd w:val="0"/>
              <w:spacing w:line="276" w:lineRule="auto"/>
              <w:jc w:val="center"/>
              <w:rPr>
                <w:sz w:val="20"/>
                <w:szCs w:val="20"/>
                <w:lang w:val="en-GB"/>
              </w:rPr>
            </w:pPr>
            <w:r w:rsidRPr="00562D0A">
              <w:rPr>
                <w:sz w:val="20"/>
                <w:szCs w:val="20"/>
              </w:rPr>
              <w:t>(0.044)</w:t>
            </w:r>
          </w:p>
        </w:tc>
        <w:tc>
          <w:tcPr>
            <w:tcW w:w="436" w:type="pct"/>
          </w:tcPr>
          <w:p w:rsidR="00D32796" w:rsidRPr="00562D0A" w:rsidRDefault="00D32796" w:rsidP="00821FB1">
            <w:pPr>
              <w:widowControl w:val="0"/>
              <w:autoSpaceDE w:val="0"/>
              <w:autoSpaceDN w:val="0"/>
              <w:adjustRightInd w:val="0"/>
              <w:spacing w:line="276" w:lineRule="auto"/>
              <w:jc w:val="center"/>
              <w:rPr>
                <w:sz w:val="20"/>
                <w:szCs w:val="20"/>
              </w:rPr>
            </w:pPr>
            <w:r w:rsidRPr="00562D0A">
              <w:rPr>
                <w:sz w:val="20"/>
                <w:szCs w:val="20"/>
              </w:rPr>
              <w:t>0.033</w:t>
            </w:r>
          </w:p>
          <w:p w:rsidR="00D32796" w:rsidRPr="00562D0A" w:rsidRDefault="00D32796" w:rsidP="00821FB1">
            <w:pPr>
              <w:widowControl w:val="0"/>
              <w:autoSpaceDE w:val="0"/>
              <w:autoSpaceDN w:val="0"/>
              <w:adjustRightInd w:val="0"/>
              <w:spacing w:line="276" w:lineRule="auto"/>
              <w:jc w:val="center"/>
              <w:rPr>
                <w:sz w:val="20"/>
                <w:szCs w:val="20"/>
                <w:lang w:val="en-GB"/>
              </w:rPr>
            </w:pPr>
            <w:r w:rsidRPr="00562D0A">
              <w:rPr>
                <w:sz w:val="20"/>
                <w:szCs w:val="20"/>
              </w:rPr>
              <w:t>(0.042)</w:t>
            </w:r>
          </w:p>
        </w:tc>
        <w:tc>
          <w:tcPr>
            <w:tcW w:w="436" w:type="pct"/>
          </w:tcPr>
          <w:p w:rsidR="00D32796" w:rsidRPr="00562D0A" w:rsidRDefault="00D32796" w:rsidP="00821FB1">
            <w:pPr>
              <w:widowControl w:val="0"/>
              <w:autoSpaceDE w:val="0"/>
              <w:autoSpaceDN w:val="0"/>
              <w:adjustRightInd w:val="0"/>
              <w:spacing w:line="276" w:lineRule="auto"/>
              <w:jc w:val="center"/>
              <w:rPr>
                <w:sz w:val="20"/>
                <w:szCs w:val="20"/>
              </w:rPr>
            </w:pPr>
            <w:r w:rsidRPr="00562D0A">
              <w:rPr>
                <w:sz w:val="20"/>
                <w:szCs w:val="20"/>
              </w:rPr>
              <w:t>0.028</w:t>
            </w:r>
          </w:p>
          <w:p w:rsidR="00D32796" w:rsidRPr="00562D0A" w:rsidRDefault="00D32796" w:rsidP="00821FB1">
            <w:pPr>
              <w:widowControl w:val="0"/>
              <w:autoSpaceDE w:val="0"/>
              <w:autoSpaceDN w:val="0"/>
              <w:adjustRightInd w:val="0"/>
              <w:spacing w:line="276" w:lineRule="auto"/>
              <w:jc w:val="center"/>
              <w:rPr>
                <w:sz w:val="20"/>
                <w:szCs w:val="20"/>
                <w:lang w:val="en-GB"/>
              </w:rPr>
            </w:pPr>
            <w:r w:rsidRPr="00562D0A">
              <w:rPr>
                <w:sz w:val="20"/>
                <w:szCs w:val="20"/>
              </w:rPr>
              <w:t>(0.041)</w:t>
            </w:r>
          </w:p>
        </w:tc>
        <w:tc>
          <w:tcPr>
            <w:tcW w:w="439" w:type="pct"/>
          </w:tcPr>
          <w:p w:rsidR="00D32796" w:rsidRPr="00562D0A" w:rsidRDefault="00D32796" w:rsidP="00821FB1">
            <w:pPr>
              <w:widowControl w:val="0"/>
              <w:autoSpaceDE w:val="0"/>
              <w:autoSpaceDN w:val="0"/>
              <w:adjustRightInd w:val="0"/>
              <w:spacing w:line="276" w:lineRule="auto"/>
              <w:jc w:val="center"/>
              <w:rPr>
                <w:sz w:val="20"/>
                <w:szCs w:val="20"/>
              </w:rPr>
            </w:pPr>
            <w:r w:rsidRPr="00562D0A">
              <w:rPr>
                <w:sz w:val="20"/>
                <w:szCs w:val="20"/>
              </w:rPr>
              <w:t>0.0296</w:t>
            </w:r>
          </w:p>
          <w:p w:rsidR="00D32796" w:rsidRPr="00562D0A" w:rsidRDefault="00D32796" w:rsidP="00821FB1">
            <w:pPr>
              <w:widowControl w:val="0"/>
              <w:autoSpaceDE w:val="0"/>
              <w:autoSpaceDN w:val="0"/>
              <w:adjustRightInd w:val="0"/>
              <w:spacing w:line="276" w:lineRule="auto"/>
              <w:jc w:val="center"/>
              <w:rPr>
                <w:sz w:val="20"/>
                <w:szCs w:val="20"/>
                <w:lang w:val="en-GB"/>
              </w:rPr>
            </w:pPr>
            <w:r w:rsidRPr="00562D0A">
              <w:rPr>
                <w:sz w:val="20"/>
                <w:szCs w:val="20"/>
              </w:rPr>
              <w:t>(0.041)</w:t>
            </w:r>
          </w:p>
        </w:tc>
        <w:tc>
          <w:tcPr>
            <w:tcW w:w="593" w:type="pct"/>
          </w:tcPr>
          <w:p w:rsidR="00D32796" w:rsidRPr="00562D0A" w:rsidRDefault="00D32796" w:rsidP="00821FB1">
            <w:pPr>
              <w:spacing w:line="276" w:lineRule="auto"/>
              <w:jc w:val="center"/>
              <w:rPr>
                <w:sz w:val="20"/>
                <w:szCs w:val="20"/>
              </w:rPr>
            </w:pPr>
            <w:r w:rsidRPr="00562D0A">
              <w:rPr>
                <w:sz w:val="20"/>
                <w:szCs w:val="20"/>
              </w:rPr>
              <w:t>0.012</w:t>
            </w:r>
          </w:p>
          <w:p w:rsidR="00D32796" w:rsidRPr="00562D0A" w:rsidRDefault="00D32796" w:rsidP="00821FB1">
            <w:pPr>
              <w:spacing w:line="276" w:lineRule="auto"/>
              <w:jc w:val="center"/>
              <w:rPr>
                <w:sz w:val="20"/>
                <w:szCs w:val="20"/>
              </w:rPr>
            </w:pPr>
            <w:r w:rsidRPr="00562D0A">
              <w:rPr>
                <w:sz w:val="20"/>
                <w:szCs w:val="20"/>
              </w:rPr>
              <w:t>(0.040)</w:t>
            </w:r>
          </w:p>
        </w:tc>
        <w:tc>
          <w:tcPr>
            <w:tcW w:w="397" w:type="pct"/>
          </w:tcPr>
          <w:p w:rsidR="00D32796" w:rsidRPr="00562D0A" w:rsidRDefault="00D32796" w:rsidP="00821FB1">
            <w:pPr>
              <w:widowControl w:val="0"/>
              <w:autoSpaceDE w:val="0"/>
              <w:autoSpaceDN w:val="0"/>
              <w:adjustRightInd w:val="0"/>
              <w:spacing w:line="276" w:lineRule="auto"/>
              <w:jc w:val="center"/>
              <w:rPr>
                <w:sz w:val="20"/>
                <w:szCs w:val="20"/>
              </w:rPr>
            </w:pPr>
            <w:r w:rsidRPr="00562D0A">
              <w:rPr>
                <w:sz w:val="20"/>
                <w:szCs w:val="20"/>
              </w:rPr>
              <w:t>0.031</w:t>
            </w:r>
          </w:p>
          <w:p w:rsidR="00D32796" w:rsidRPr="00562D0A" w:rsidRDefault="00D32796" w:rsidP="00821FB1">
            <w:pPr>
              <w:widowControl w:val="0"/>
              <w:autoSpaceDE w:val="0"/>
              <w:autoSpaceDN w:val="0"/>
              <w:adjustRightInd w:val="0"/>
              <w:spacing w:line="276" w:lineRule="auto"/>
              <w:jc w:val="center"/>
              <w:rPr>
                <w:sz w:val="20"/>
                <w:szCs w:val="20"/>
              </w:rPr>
            </w:pPr>
            <w:r w:rsidRPr="00562D0A">
              <w:rPr>
                <w:sz w:val="20"/>
                <w:szCs w:val="20"/>
              </w:rPr>
              <w:t>(0.057)</w:t>
            </w:r>
          </w:p>
        </w:tc>
        <w:tc>
          <w:tcPr>
            <w:tcW w:w="436" w:type="pct"/>
          </w:tcPr>
          <w:p w:rsidR="00D32796" w:rsidRPr="00562D0A" w:rsidRDefault="00D32796" w:rsidP="00821FB1">
            <w:pPr>
              <w:widowControl w:val="0"/>
              <w:autoSpaceDE w:val="0"/>
              <w:autoSpaceDN w:val="0"/>
              <w:adjustRightInd w:val="0"/>
              <w:spacing w:line="276" w:lineRule="auto"/>
              <w:jc w:val="center"/>
              <w:rPr>
                <w:sz w:val="20"/>
                <w:szCs w:val="20"/>
              </w:rPr>
            </w:pPr>
            <w:r w:rsidRPr="00562D0A">
              <w:rPr>
                <w:sz w:val="20"/>
                <w:szCs w:val="20"/>
              </w:rPr>
              <w:t>0.036</w:t>
            </w:r>
          </w:p>
          <w:p w:rsidR="00D32796" w:rsidRPr="00562D0A" w:rsidRDefault="00D32796" w:rsidP="00821FB1">
            <w:pPr>
              <w:widowControl w:val="0"/>
              <w:autoSpaceDE w:val="0"/>
              <w:autoSpaceDN w:val="0"/>
              <w:adjustRightInd w:val="0"/>
              <w:spacing w:line="276" w:lineRule="auto"/>
              <w:jc w:val="center"/>
              <w:rPr>
                <w:sz w:val="20"/>
                <w:szCs w:val="20"/>
              </w:rPr>
            </w:pPr>
            <w:r w:rsidRPr="00562D0A">
              <w:rPr>
                <w:sz w:val="20"/>
                <w:szCs w:val="20"/>
              </w:rPr>
              <w:t>(0.053)</w:t>
            </w:r>
          </w:p>
        </w:tc>
        <w:tc>
          <w:tcPr>
            <w:tcW w:w="516" w:type="pct"/>
          </w:tcPr>
          <w:p w:rsidR="00D32796" w:rsidRPr="00562D0A" w:rsidRDefault="00D32796" w:rsidP="00821FB1">
            <w:pPr>
              <w:widowControl w:val="0"/>
              <w:autoSpaceDE w:val="0"/>
              <w:autoSpaceDN w:val="0"/>
              <w:adjustRightInd w:val="0"/>
              <w:spacing w:line="276" w:lineRule="auto"/>
              <w:jc w:val="center"/>
              <w:rPr>
                <w:sz w:val="20"/>
                <w:szCs w:val="20"/>
              </w:rPr>
            </w:pPr>
            <w:r w:rsidRPr="00562D0A">
              <w:rPr>
                <w:sz w:val="20"/>
                <w:szCs w:val="20"/>
              </w:rPr>
              <w:t>0.018</w:t>
            </w:r>
          </w:p>
          <w:p w:rsidR="00D32796" w:rsidRPr="00562D0A" w:rsidRDefault="00D32796" w:rsidP="00821FB1">
            <w:pPr>
              <w:widowControl w:val="0"/>
              <w:autoSpaceDE w:val="0"/>
              <w:autoSpaceDN w:val="0"/>
              <w:adjustRightInd w:val="0"/>
              <w:spacing w:line="276" w:lineRule="auto"/>
              <w:jc w:val="center"/>
              <w:rPr>
                <w:sz w:val="20"/>
                <w:szCs w:val="20"/>
              </w:rPr>
            </w:pPr>
            <w:r w:rsidRPr="00562D0A">
              <w:rPr>
                <w:sz w:val="20"/>
                <w:szCs w:val="20"/>
              </w:rPr>
              <w:t>(0.032)</w:t>
            </w:r>
          </w:p>
        </w:tc>
      </w:tr>
      <w:tr w:rsidR="00C041E8" w:rsidRPr="00562D0A" w:rsidTr="0097487C">
        <w:trPr>
          <w:jc w:val="center"/>
        </w:trPr>
        <w:tc>
          <w:tcPr>
            <w:tcW w:w="1189" w:type="pct"/>
          </w:tcPr>
          <w:p w:rsidR="00C041E8" w:rsidRPr="00562D0A" w:rsidRDefault="00C041E8" w:rsidP="00C041E8">
            <w:pPr>
              <w:widowControl w:val="0"/>
              <w:autoSpaceDE w:val="0"/>
              <w:autoSpaceDN w:val="0"/>
              <w:adjustRightInd w:val="0"/>
              <w:spacing w:line="360" w:lineRule="auto"/>
              <w:rPr>
                <w:sz w:val="20"/>
                <w:szCs w:val="20"/>
                <w:lang w:val="en-GB"/>
              </w:rPr>
            </w:pPr>
            <w:r w:rsidRPr="00562D0A">
              <w:rPr>
                <w:sz w:val="20"/>
                <w:szCs w:val="20"/>
                <w:lang w:val="en-GB"/>
              </w:rPr>
              <w:t>Cred. to private/GDP</w:t>
            </w:r>
          </w:p>
        </w:tc>
        <w:tc>
          <w:tcPr>
            <w:tcW w:w="558"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0.032</w:t>
            </w:r>
          </w:p>
        </w:tc>
        <w:tc>
          <w:tcPr>
            <w:tcW w:w="436"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0.036</w:t>
            </w:r>
          </w:p>
        </w:tc>
        <w:tc>
          <w:tcPr>
            <w:tcW w:w="436"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0.036*</w:t>
            </w:r>
          </w:p>
        </w:tc>
        <w:tc>
          <w:tcPr>
            <w:tcW w:w="439"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0.032**</w:t>
            </w:r>
          </w:p>
        </w:tc>
        <w:tc>
          <w:tcPr>
            <w:tcW w:w="593" w:type="pct"/>
          </w:tcPr>
          <w:p w:rsidR="00C041E8" w:rsidRPr="00562D0A" w:rsidRDefault="00C041E8" w:rsidP="00C041E8">
            <w:pPr>
              <w:widowControl w:val="0"/>
              <w:autoSpaceDE w:val="0"/>
              <w:autoSpaceDN w:val="0"/>
              <w:adjustRightInd w:val="0"/>
              <w:jc w:val="center"/>
              <w:rPr>
                <w:sz w:val="20"/>
                <w:szCs w:val="20"/>
              </w:rPr>
            </w:pPr>
            <w:r w:rsidRPr="00562D0A">
              <w:rPr>
                <w:sz w:val="20"/>
                <w:szCs w:val="20"/>
              </w:rPr>
              <w:t>0.023</w:t>
            </w:r>
          </w:p>
        </w:tc>
        <w:tc>
          <w:tcPr>
            <w:tcW w:w="397" w:type="pct"/>
          </w:tcPr>
          <w:p w:rsidR="00C041E8" w:rsidRPr="00562D0A" w:rsidRDefault="00C041E8" w:rsidP="00C041E8">
            <w:pPr>
              <w:widowControl w:val="0"/>
              <w:autoSpaceDE w:val="0"/>
              <w:autoSpaceDN w:val="0"/>
              <w:adjustRightInd w:val="0"/>
              <w:jc w:val="center"/>
              <w:rPr>
                <w:sz w:val="20"/>
                <w:szCs w:val="20"/>
              </w:rPr>
            </w:pPr>
            <w:r w:rsidRPr="00562D0A">
              <w:rPr>
                <w:sz w:val="20"/>
                <w:szCs w:val="20"/>
              </w:rPr>
              <w:t>0.025</w:t>
            </w:r>
          </w:p>
        </w:tc>
        <w:tc>
          <w:tcPr>
            <w:tcW w:w="436" w:type="pct"/>
          </w:tcPr>
          <w:p w:rsidR="00C041E8" w:rsidRPr="00562D0A" w:rsidRDefault="00C041E8" w:rsidP="00C041E8">
            <w:pPr>
              <w:widowControl w:val="0"/>
              <w:autoSpaceDE w:val="0"/>
              <w:autoSpaceDN w:val="0"/>
              <w:adjustRightInd w:val="0"/>
              <w:jc w:val="center"/>
              <w:rPr>
                <w:sz w:val="20"/>
                <w:szCs w:val="20"/>
              </w:rPr>
            </w:pPr>
            <w:r w:rsidRPr="00562D0A">
              <w:rPr>
                <w:sz w:val="20"/>
                <w:szCs w:val="20"/>
              </w:rPr>
              <w:t>0.031</w:t>
            </w:r>
          </w:p>
        </w:tc>
        <w:tc>
          <w:tcPr>
            <w:tcW w:w="516" w:type="pct"/>
          </w:tcPr>
          <w:p w:rsidR="00C041E8" w:rsidRPr="00562D0A" w:rsidRDefault="00C041E8" w:rsidP="00C041E8">
            <w:pPr>
              <w:widowControl w:val="0"/>
              <w:autoSpaceDE w:val="0"/>
              <w:autoSpaceDN w:val="0"/>
              <w:adjustRightInd w:val="0"/>
              <w:jc w:val="center"/>
              <w:rPr>
                <w:sz w:val="20"/>
                <w:szCs w:val="20"/>
              </w:rPr>
            </w:pPr>
            <w:r w:rsidRPr="00562D0A">
              <w:rPr>
                <w:sz w:val="20"/>
                <w:szCs w:val="20"/>
              </w:rPr>
              <w:t>0.046*</w:t>
            </w:r>
          </w:p>
        </w:tc>
      </w:tr>
      <w:tr w:rsidR="00C041E8" w:rsidRPr="00562D0A" w:rsidTr="0097487C">
        <w:trPr>
          <w:jc w:val="center"/>
        </w:trPr>
        <w:tc>
          <w:tcPr>
            <w:tcW w:w="1189" w:type="pct"/>
          </w:tcPr>
          <w:p w:rsidR="00C041E8" w:rsidRPr="00562D0A" w:rsidRDefault="00C041E8" w:rsidP="00C041E8">
            <w:pPr>
              <w:widowControl w:val="0"/>
              <w:autoSpaceDE w:val="0"/>
              <w:autoSpaceDN w:val="0"/>
              <w:adjustRightInd w:val="0"/>
              <w:spacing w:line="360" w:lineRule="auto"/>
              <w:rPr>
                <w:sz w:val="20"/>
                <w:szCs w:val="20"/>
                <w:lang w:val="en-GB"/>
              </w:rPr>
            </w:pPr>
          </w:p>
        </w:tc>
        <w:tc>
          <w:tcPr>
            <w:tcW w:w="558"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(0.021)</w:t>
            </w:r>
          </w:p>
        </w:tc>
        <w:tc>
          <w:tcPr>
            <w:tcW w:w="436"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(0.025)</w:t>
            </w:r>
          </w:p>
        </w:tc>
        <w:tc>
          <w:tcPr>
            <w:tcW w:w="436"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(0.019)</w:t>
            </w:r>
          </w:p>
        </w:tc>
        <w:tc>
          <w:tcPr>
            <w:tcW w:w="439"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(0.014)</w:t>
            </w:r>
          </w:p>
        </w:tc>
        <w:tc>
          <w:tcPr>
            <w:tcW w:w="593" w:type="pct"/>
          </w:tcPr>
          <w:p w:rsidR="00C041E8" w:rsidRPr="00562D0A" w:rsidRDefault="00C041E8" w:rsidP="00C041E8">
            <w:pPr>
              <w:widowControl w:val="0"/>
              <w:autoSpaceDE w:val="0"/>
              <w:autoSpaceDN w:val="0"/>
              <w:adjustRightInd w:val="0"/>
              <w:jc w:val="center"/>
              <w:rPr>
                <w:sz w:val="20"/>
                <w:szCs w:val="20"/>
              </w:rPr>
            </w:pPr>
            <w:r w:rsidRPr="00562D0A">
              <w:rPr>
                <w:sz w:val="20"/>
                <w:szCs w:val="20"/>
              </w:rPr>
              <w:t>(0.022)</w:t>
            </w:r>
          </w:p>
        </w:tc>
        <w:tc>
          <w:tcPr>
            <w:tcW w:w="397" w:type="pct"/>
          </w:tcPr>
          <w:p w:rsidR="00C041E8" w:rsidRPr="00562D0A" w:rsidRDefault="00C041E8" w:rsidP="00C041E8">
            <w:pPr>
              <w:widowControl w:val="0"/>
              <w:autoSpaceDE w:val="0"/>
              <w:autoSpaceDN w:val="0"/>
              <w:adjustRightInd w:val="0"/>
              <w:jc w:val="center"/>
              <w:rPr>
                <w:sz w:val="20"/>
                <w:szCs w:val="20"/>
              </w:rPr>
            </w:pPr>
            <w:r w:rsidRPr="00562D0A">
              <w:rPr>
                <w:sz w:val="20"/>
                <w:szCs w:val="20"/>
              </w:rPr>
              <w:t>(0.025)</w:t>
            </w:r>
          </w:p>
        </w:tc>
        <w:tc>
          <w:tcPr>
            <w:tcW w:w="436" w:type="pct"/>
          </w:tcPr>
          <w:p w:rsidR="00C041E8" w:rsidRPr="00562D0A" w:rsidRDefault="00C041E8" w:rsidP="00C041E8">
            <w:pPr>
              <w:widowControl w:val="0"/>
              <w:autoSpaceDE w:val="0"/>
              <w:autoSpaceDN w:val="0"/>
              <w:adjustRightInd w:val="0"/>
              <w:jc w:val="center"/>
              <w:rPr>
                <w:sz w:val="20"/>
                <w:szCs w:val="20"/>
              </w:rPr>
            </w:pPr>
            <w:r w:rsidRPr="00562D0A">
              <w:rPr>
                <w:sz w:val="20"/>
                <w:szCs w:val="20"/>
              </w:rPr>
              <w:t>(0.019)</w:t>
            </w:r>
          </w:p>
        </w:tc>
        <w:tc>
          <w:tcPr>
            <w:tcW w:w="516" w:type="pct"/>
          </w:tcPr>
          <w:p w:rsidR="00C041E8" w:rsidRPr="00562D0A" w:rsidRDefault="00C041E8" w:rsidP="00C041E8">
            <w:pPr>
              <w:widowControl w:val="0"/>
              <w:autoSpaceDE w:val="0"/>
              <w:autoSpaceDN w:val="0"/>
              <w:adjustRightInd w:val="0"/>
              <w:jc w:val="center"/>
              <w:rPr>
                <w:sz w:val="20"/>
                <w:szCs w:val="20"/>
              </w:rPr>
            </w:pPr>
            <w:r w:rsidRPr="00562D0A">
              <w:rPr>
                <w:sz w:val="20"/>
                <w:szCs w:val="20"/>
              </w:rPr>
              <w:t>(0.024)</w:t>
            </w:r>
          </w:p>
        </w:tc>
      </w:tr>
      <w:tr w:rsidR="00C041E8" w:rsidRPr="00562D0A" w:rsidTr="0097487C">
        <w:trPr>
          <w:jc w:val="center"/>
        </w:trPr>
        <w:tc>
          <w:tcPr>
            <w:tcW w:w="1189" w:type="pct"/>
          </w:tcPr>
          <w:p w:rsidR="00C041E8" w:rsidRPr="00562D0A" w:rsidRDefault="00C041E8" w:rsidP="00C041E8">
            <w:pPr>
              <w:widowControl w:val="0"/>
              <w:autoSpaceDE w:val="0"/>
              <w:autoSpaceDN w:val="0"/>
              <w:adjustRightInd w:val="0"/>
              <w:spacing w:line="360" w:lineRule="auto"/>
              <w:rPr>
                <w:sz w:val="20"/>
                <w:szCs w:val="20"/>
                <w:lang w:val="en-GB"/>
              </w:rPr>
            </w:pPr>
            <w:r w:rsidRPr="00562D0A">
              <w:rPr>
                <w:sz w:val="20"/>
                <w:szCs w:val="20"/>
                <w:lang w:val="en-GB"/>
              </w:rPr>
              <w:t xml:space="preserve">Financial openness </w:t>
            </w:r>
          </w:p>
        </w:tc>
        <w:tc>
          <w:tcPr>
            <w:tcW w:w="558"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0.29001</w:t>
            </w:r>
          </w:p>
        </w:tc>
        <w:tc>
          <w:tcPr>
            <w:tcW w:w="436"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0.31156</w:t>
            </w:r>
          </w:p>
        </w:tc>
        <w:tc>
          <w:tcPr>
            <w:tcW w:w="436"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0.341</w:t>
            </w:r>
          </w:p>
        </w:tc>
        <w:tc>
          <w:tcPr>
            <w:tcW w:w="439"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0.059</w:t>
            </w:r>
          </w:p>
        </w:tc>
        <w:tc>
          <w:tcPr>
            <w:tcW w:w="593" w:type="pct"/>
          </w:tcPr>
          <w:p w:rsidR="00C041E8" w:rsidRPr="00562D0A" w:rsidRDefault="00C041E8" w:rsidP="00C041E8">
            <w:pPr>
              <w:widowControl w:val="0"/>
              <w:autoSpaceDE w:val="0"/>
              <w:autoSpaceDN w:val="0"/>
              <w:adjustRightInd w:val="0"/>
              <w:jc w:val="center"/>
              <w:rPr>
                <w:sz w:val="20"/>
                <w:szCs w:val="20"/>
              </w:rPr>
            </w:pPr>
            <w:r w:rsidRPr="00562D0A">
              <w:rPr>
                <w:sz w:val="20"/>
                <w:szCs w:val="20"/>
              </w:rPr>
              <w:t>0.248</w:t>
            </w:r>
          </w:p>
        </w:tc>
        <w:tc>
          <w:tcPr>
            <w:tcW w:w="397" w:type="pct"/>
          </w:tcPr>
          <w:p w:rsidR="00C041E8" w:rsidRPr="00562D0A" w:rsidRDefault="00C041E8" w:rsidP="00C041E8">
            <w:pPr>
              <w:widowControl w:val="0"/>
              <w:autoSpaceDE w:val="0"/>
              <w:autoSpaceDN w:val="0"/>
              <w:adjustRightInd w:val="0"/>
              <w:jc w:val="center"/>
              <w:rPr>
                <w:sz w:val="20"/>
                <w:szCs w:val="20"/>
              </w:rPr>
            </w:pPr>
            <w:r w:rsidRPr="00562D0A">
              <w:rPr>
                <w:sz w:val="20"/>
                <w:szCs w:val="20"/>
              </w:rPr>
              <w:t>0.525**</w:t>
            </w:r>
          </w:p>
        </w:tc>
        <w:tc>
          <w:tcPr>
            <w:tcW w:w="436" w:type="pct"/>
          </w:tcPr>
          <w:p w:rsidR="00C041E8" w:rsidRPr="00562D0A" w:rsidRDefault="00C041E8" w:rsidP="00C041E8">
            <w:pPr>
              <w:widowControl w:val="0"/>
              <w:autoSpaceDE w:val="0"/>
              <w:autoSpaceDN w:val="0"/>
              <w:adjustRightInd w:val="0"/>
              <w:jc w:val="center"/>
              <w:rPr>
                <w:sz w:val="20"/>
                <w:szCs w:val="20"/>
              </w:rPr>
            </w:pPr>
            <w:r w:rsidRPr="00562D0A">
              <w:rPr>
                <w:sz w:val="20"/>
                <w:szCs w:val="20"/>
              </w:rPr>
              <w:t>0.46304*</w:t>
            </w:r>
          </w:p>
        </w:tc>
        <w:tc>
          <w:tcPr>
            <w:tcW w:w="516" w:type="pct"/>
          </w:tcPr>
          <w:p w:rsidR="00C041E8" w:rsidRPr="00562D0A" w:rsidRDefault="00C041E8" w:rsidP="00C041E8">
            <w:pPr>
              <w:widowControl w:val="0"/>
              <w:autoSpaceDE w:val="0"/>
              <w:autoSpaceDN w:val="0"/>
              <w:adjustRightInd w:val="0"/>
              <w:jc w:val="center"/>
              <w:rPr>
                <w:sz w:val="20"/>
                <w:szCs w:val="20"/>
              </w:rPr>
            </w:pPr>
            <w:r w:rsidRPr="00562D0A">
              <w:rPr>
                <w:sz w:val="20"/>
                <w:szCs w:val="20"/>
              </w:rPr>
              <w:t>0.060</w:t>
            </w:r>
          </w:p>
        </w:tc>
      </w:tr>
      <w:tr w:rsidR="00C041E8" w:rsidRPr="00562D0A" w:rsidTr="0097487C">
        <w:trPr>
          <w:jc w:val="center"/>
        </w:trPr>
        <w:tc>
          <w:tcPr>
            <w:tcW w:w="1189" w:type="pct"/>
          </w:tcPr>
          <w:p w:rsidR="00C041E8" w:rsidRPr="00562D0A" w:rsidRDefault="00C041E8" w:rsidP="00C041E8">
            <w:pPr>
              <w:widowControl w:val="0"/>
              <w:autoSpaceDE w:val="0"/>
              <w:autoSpaceDN w:val="0"/>
              <w:adjustRightInd w:val="0"/>
              <w:spacing w:line="360" w:lineRule="auto"/>
              <w:rPr>
                <w:sz w:val="20"/>
                <w:szCs w:val="20"/>
                <w:lang w:val="en-GB"/>
              </w:rPr>
            </w:pPr>
          </w:p>
        </w:tc>
        <w:tc>
          <w:tcPr>
            <w:tcW w:w="558"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(0.435)</w:t>
            </w:r>
          </w:p>
        </w:tc>
        <w:tc>
          <w:tcPr>
            <w:tcW w:w="436"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(0.417)</w:t>
            </w:r>
          </w:p>
        </w:tc>
        <w:tc>
          <w:tcPr>
            <w:tcW w:w="436"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(0.409)</w:t>
            </w:r>
          </w:p>
        </w:tc>
        <w:tc>
          <w:tcPr>
            <w:tcW w:w="439"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(0.272)</w:t>
            </w:r>
          </w:p>
        </w:tc>
        <w:tc>
          <w:tcPr>
            <w:tcW w:w="593" w:type="pct"/>
          </w:tcPr>
          <w:p w:rsidR="00C041E8" w:rsidRPr="00562D0A" w:rsidRDefault="00C041E8" w:rsidP="00C041E8">
            <w:pPr>
              <w:widowControl w:val="0"/>
              <w:autoSpaceDE w:val="0"/>
              <w:autoSpaceDN w:val="0"/>
              <w:adjustRightInd w:val="0"/>
              <w:jc w:val="center"/>
              <w:rPr>
                <w:sz w:val="20"/>
                <w:szCs w:val="20"/>
              </w:rPr>
            </w:pPr>
            <w:r w:rsidRPr="00562D0A">
              <w:rPr>
                <w:sz w:val="20"/>
                <w:szCs w:val="20"/>
              </w:rPr>
              <w:t>(0.250)</w:t>
            </w:r>
          </w:p>
        </w:tc>
        <w:tc>
          <w:tcPr>
            <w:tcW w:w="397" w:type="pct"/>
          </w:tcPr>
          <w:p w:rsidR="00C041E8" w:rsidRPr="00562D0A" w:rsidRDefault="00C041E8" w:rsidP="00C041E8">
            <w:pPr>
              <w:widowControl w:val="0"/>
              <w:autoSpaceDE w:val="0"/>
              <w:autoSpaceDN w:val="0"/>
              <w:adjustRightInd w:val="0"/>
              <w:jc w:val="center"/>
              <w:rPr>
                <w:sz w:val="20"/>
                <w:szCs w:val="20"/>
              </w:rPr>
            </w:pPr>
            <w:r w:rsidRPr="00562D0A">
              <w:rPr>
                <w:sz w:val="20"/>
                <w:szCs w:val="20"/>
              </w:rPr>
              <w:t>(0.267)</w:t>
            </w:r>
          </w:p>
        </w:tc>
        <w:tc>
          <w:tcPr>
            <w:tcW w:w="436" w:type="pct"/>
          </w:tcPr>
          <w:p w:rsidR="00C041E8" w:rsidRPr="00562D0A" w:rsidRDefault="00C041E8" w:rsidP="00C041E8">
            <w:pPr>
              <w:widowControl w:val="0"/>
              <w:autoSpaceDE w:val="0"/>
              <w:autoSpaceDN w:val="0"/>
              <w:adjustRightInd w:val="0"/>
              <w:jc w:val="center"/>
              <w:rPr>
                <w:sz w:val="20"/>
                <w:szCs w:val="20"/>
              </w:rPr>
            </w:pPr>
            <w:r w:rsidRPr="00562D0A">
              <w:rPr>
                <w:sz w:val="20"/>
                <w:szCs w:val="20"/>
              </w:rPr>
              <w:t>(0.259)</w:t>
            </w:r>
          </w:p>
        </w:tc>
        <w:tc>
          <w:tcPr>
            <w:tcW w:w="516" w:type="pct"/>
          </w:tcPr>
          <w:p w:rsidR="00C041E8" w:rsidRPr="00562D0A" w:rsidRDefault="00C041E8" w:rsidP="00C041E8">
            <w:pPr>
              <w:widowControl w:val="0"/>
              <w:autoSpaceDE w:val="0"/>
              <w:autoSpaceDN w:val="0"/>
              <w:adjustRightInd w:val="0"/>
              <w:jc w:val="center"/>
              <w:rPr>
                <w:sz w:val="20"/>
                <w:szCs w:val="20"/>
              </w:rPr>
            </w:pPr>
            <w:r w:rsidRPr="00562D0A">
              <w:rPr>
                <w:sz w:val="20"/>
                <w:szCs w:val="20"/>
              </w:rPr>
              <w:t>(0.288)</w:t>
            </w:r>
          </w:p>
        </w:tc>
      </w:tr>
      <w:tr w:rsidR="00C041E8" w:rsidRPr="00562D0A" w:rsidTr="0097487C">
        <w:trPr>
          <w:jc w:val="center"/>
        </w:trPr>
        <w:tc>
          <w:tcPr>
            <w:tcW w:w="1189" w:type="pct"/>
          </w:tcPr>
          <w:p w:rsidR="00C041E8" w:rsidRPr="00562D0A" w:rsidRDefault="00C041E8" w:rsidP="00C041E8">
            <w:pPr>
              <w:widowControl w:val="0"/>
              <w:autoSpaceDE w:val="0"/>
              <w:autoSpaceDN w:val="0"/>
              <w:adjustRightInd w:val="0"/>
              <w:spacing w:line="360" w:lineRule="auto"/>
              <w:rPr>
                <w:sz w:val="20"/>
                <w:szCs w:val="20"/>
                <w:lang w:val="en-GB"/>
              </w:rPr>
            </w:pPr>
            <w:r w:rsidRPr="00562D0A">
              <w:rPr>
                <w:sz w:val="20"/>
                <w:szCs w:val="20"/>
                <w:lang w:val="en-GB"/>
              </w:rPr>
              <w:t>Conflict</w:t>
            </w:r>
          </w:p>
        </w:tc>
        <w:tc>
          <w:tcPr>
            <w:tcW w:w="558"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1.242**</w:t>
            </w:r>
          </w:p>
        </w:tc>
        <w:tc>
          <w:tcPr>
            <w:tcW w:w="436"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1.111</w:t>
            </w:r>
          </w:p>
        </w:tc>
        <w:tc>
          <w:tcPr>
            <w:tcW w:w="436"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0.946</w:t>
            </w:r>
          </w:p>
        </w:tc>
        <w:tc>
          <w:tcPr>
            <w:tcW w:w="439"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0.596</w:t>
            </w:r>
          </w:p>
        </w:tc>
        <w:tc>
          <w:tcPr>
            <w:tcW w:w="593" w:type="pct"/>
          </w:tcPr>
          <w:p w:rsidR="00C041E8" w:rsidRPr="00562D0A" w:rsidRDefault="00C041E8" w:rsidP="00C041E8">
            <w:pPr>
              <w:widowControl w:val="0"/>
              <w:autoSpaceDE w:val="0"/>
              <w:autoSpaceDN w:val="0"/>
              <w:adjustRightInd w:val="0"/>
              <w:jc w:val="center"/>
              <w:rPr>
                <w:sz w:val="20"/>
                <w:szCs w:val="20"/>
              </w:rPr>
            </w:pPr>
            <w:r w:rsidRPr="00562D0A">
              <w:rPr>
                <w:sz w:val="20"/>
                <w:szCs w:val="20"/>
              </w:rPr>
              <w:t>1.393**</w:t>
            </w:r>
          </w:p>
        </w:tc>
        <w:tc>
          <w:tcPr>
            <w:tcW w:w="397" w:type="pct"/>
          </w:tcPr>
          <w:p w:rsidR="00C041E8" w:rsidRPr="00562D0A" w:rsidRDefault="00C041E8" w:rsidP="00C041E8">
            <w:pPr>
              <w:widowControl w:val="0"/>
              <w:autoSpaceDE w:val="0"/>
              <w:autoSpaceDN w:val="0"/>
              <w:adjustRightInd w:val="0"/>
              <w:jc w:val="center"/>
              <w:rPr>
                <w:sz w:val="20"/>
                <w:szCs w:val="20"/>
              </w:rPr>
            </w:pPr>
            <w:r w:rsidRPr="00562D0A">
              <w:rPr>
                <w:sz w:val="20"/>
                <w:szCs w:val="20"/>
              </w:rPr>
              <w:t>1.031*</w:t>
            </w:r>
          </w:p>
        </w:tc>
        <w:tc>
          <w:tcPr>
            <w:tcW w:w="436" w:type="pct"/>
          </w:tcPr>
          <w:p w:rsidR="00C041E8" w:rsidRPr="00562D0A" w:rsidRDefault="00C041E8" w:rsidP="00C041E8">
            <w:pPr>
              <w:widowControl w:val="0"/>
              <w:autoSpaceDE w:val="0"/>
              <w:autoSpaceDN w:val="0"/>
              <w:adjustRightInd w:val="0"/>
              <w:jc w:val="center"/>
              <w:rPr>
                <w:sz w:val="20"/>
                <w:szCs w:val="20"/>
              </w:rPr>
            </w:pPr>
            <w:r w:rsidRPr="00562D0A">
              <w:rPr>
                <w:sz w:val="20"/>
                <w:szCs w:val="20"/>
              </w:rPr>
              <w:t>1.458**</w:t>
            </w:r>
          </w:p>
        </w:tc>
        <w:tc>
          <w:tcPr>
            <w:tcW w:w="516" w:type="pct"/>
          </w:tcPr>
          <w:p w:rsidR="00C041E8" w:rsidRPr="00562D0A" w:rsidRDefault="00C041E8" w:rsidP="00C041E8">
            <w:pPr>
              <w:widowControl w:val="0"/>
              <w:autoSpaceDE w:val="0"/>
              <w:autoSpaceDN w:val="0"/>
              <w:adjustRightInd w:val="0"/>
              <w:jc w:val="center"/>
              <w:rPr>
                <w:sz w:val="20"/>
                <w:szCs w:val="20"/>
              </w:rPr>
            </w:pPr>
            <w:r w:rsidRPr="00562D0A">
              <w:rPr>
                <w:sz w:val="20"/>
                <w:szCs w:val="20"/>
              </w:rPr>
              <w:t>0.134</w:t>
            </w:r>
          </w:p>
        </w:tc>
      </w:tr>
      <w:tr w:rsidR="00C041E8" w:rsidRPr="00562D0A" w:rsidTr="0097487C">
        <w:trPr>
          <w:jc w:val="center"/>
        </w:trPr>
        <w:tc>
          <w:tcPr>
            <w:tcW w:w="1189" w:type="pct"/>
          </w:tcPr>
          <w:p w:rsidR="00C041E8" w:rsidRPr="00562D0A" w:rsidRDefault="00C041E8" w:rsidP="00C041E8">
            <w:pPr>
              <w:widowControl w:val="0"/>
              <w:autoSpaceDE w:val="0"/>
              <w:autoSpaceDN w:val="0"/>
              <w:adjustRightInd w:val="0"/>
              <w:spacing w:line="360" w:lineRule="auto"/>
              <w:rPr>
                <w:sz w:val="20"/>
                <w:szCs w:val="20"/>
                <w:lang w:val="en-GB"/>
              </w:rPr>
            </w:pPr>
          </w:p>
        </w:tc>
        <w:tc>
          <w:tcPr>
            <w:tcW w:w="558"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(0.558)</w:t>
            </w:r>
          </w:p>
        </w:tc>
        <w:tc>
          <w:tcPr>
            <w:tcW w:w="436"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(0.657)</w:t>
            </w:r>
          </w:p>
        </w:tc>
        <w:tc>
          <w:tcPr>
            <w:tcW w:w="436"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(0.655)</w:t>
            </w:r>
          </w:p>
        </w:tc>
        <w:tc>
          <w:tcPr>
            <w:tcW w:w="439"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(0.674)</w:t>
            </w:r>
          </w:p>
        </w:tc>
        <w:tc>
          <w:tcPr>
            <w:tcW w:w="593" w:type="pct"/>
          </w:tcPr>
          <w:p w:rsidR="00C041E8" w:rsidRPr="00562D0A" w:rsidRDefault="00C041E8" w:rsidP="00C041E8">
            <w:pPr>
              <w:widowControl w:val="0"/>
              <w:autoSpaceDE w:val="0"/>
              <w:autoSpaceDN w:val="0"/>
              <w:adjustRightInd w:val="0"/>
              <w:jc w:val="center"/>
              <w:rPr>
                <w:sz w:val="20"/>
                <w:szCs w:val="20"/>
              </w:rPr>
            </w:pPr>
            <w:r w:rsidRPr="00562D0A">
              <w:rPr>
                <w:sz w:val="20"/>
                <w:szCs w:val="20"/>
              </w:rPr>
              <w:t>(0.598)</w:t>
            </w:r>
          </w:p>
        </w:tc>
        <w:tc>
          <w:tcPr>
            <w:tcW w:w="397" w:type="pct"/>
          </w:tcPr>
          <w:p w:rsidR="00C041E8" w:rsidRPr="00562D0A" w:rsidRDefault="00C041E8" w:rsidP="00C041E8">
            <w:pPr>
              <w:widowControl w:val="0"/>
              <w:autoSpaceDE w:val="0"/>
              <w:autoSpaceDN w:val="0"/>
              <w:adjustRightInd w:val="0"/>
              <w:jc w:val="center"/>
              <w:rPr>
                <w:sz w:val="20"/>
                <w:szCs w:val="20"/>
              </w:rPr>
            </w:pPr>
            <w:r w:rsidRPr="00562D0A">
              <w:rPr>
                <w:sz w:val="20"/>
                <w:szCs w:val="20"/>
              </w:rPr>
              <w:t>(0.555)</w:t>
            </w:r>
          </w:p>
        </w:tc>
        <w:tc>
          <w:tcPr>
            <w:tcW w:w="436" w:type="pct"/>
          </w:tcPr>
          <w:p w:rsidR="00C041E8" w:rsidRPr="00562D0A" w:rsidRDefault="00C041E8" w:rsidP="00C041E8">
            <w:pPr>
              <w:widowControl w:val="0"/>
              <w:autoSpaceDE w:val="0"/>
              <w:autoSpaceDN w:val="0"/>
              <w:adjustRightInd w:val="0"/>
              <w:jc w:val="center"/>
              <w:rPr>
                <w:sz w:val="20"/>
                <w:szCs w:val="20"/>
              </w:rPr>
            </w:pPr>
            <w:r w:rsidRPr="00562D0A">
              <w:rPr>
                <w:sz w:val="20"/>
                <w:szCs w:val="20"/>
              </w:rPr>
              <w:t>(0.660)</w:t>
            </w:r>
          </w:p>
        </w:tc>
        <w:tc>
          <w:tcPr>
            <w:tcW w:w="516" w:type="pct"/>
          </w:tcPr>
          <w:p w:rsidR="00C041E8" w:rsidRPr="00562D0A" w:rsidRDefault="00C041E8" w:rsidP="00C041E8">
            <w:pPr>
              <w:widowControl w:val="0"/>
              <w:autoSpaceDE w:val="0"/>
              <w:autoSpaceDN w:val="0"/>
              <w:adjustRightInd w:val="0"/>
              <w:jc w:val="center"/>
              <w:rPr>
                <w:sz w:val="20"/>
                <w:szCs w:val="20"/>
              </w:rPr>
            </w:pPr>
            <w:r w:rsidRPr="00562D0A">
              <w:rPr>
                <w:sz w:val="20"/>
                <w:szCs w:val="20"/>
              </w:rPr>
              <w:t>(0.836)</w:t>
            </w:r>
          </w:p>
        </w:tc>
      </w:tr>
      <w:tr w:rsidR="0097487C" w:rsidRPr="00562D0A" w:rsidTr="0097487C">
        <w:trPr>
          <w:jc w:val="center"/>
        </w:trPr>
        <w:tc>
          <w:tcPr>
            <w:tcW w:w="1189" w:type="pct"/>
          </w:tcPr>
          <w:p w:rsidR="0097487C" w:rsidRPr="00562D0A" w:rsidRDefault="0097487C" w:rsidP="0097487C">
            <w:pPr>
              <w:widowControl w:val="0"/>
              <w:autoSpaceDE w:val="0"/>
              <w:autoSpaceDN w:val="0"/>
              <w:adjustRightInd w:val="0"/>
              <w:spacing w:line="360" w:lineRule="auto"/>
              <w:rPr>
                <w:sz w:val="20"/>
                <w:szCs w:val="20"/>
                <w:lang w:val="en-GB"/>
              </w:rPr>
            </w:pPr>
            <w:r w:rsidRPr="00562D0A">
              <w:rPr>
                <w:sz w:val="20"/>
                <w:szCs w:val="20"/>
                <w:lang w:val="en-GB"/>
              </w:rPr>
              <w:t>Time dummies</w:t>
            </w:r>
          </w:p>
        </w:tc>
        <w:tc>
          <w:tcPr>
            <w:tcW w:w="558" w:type="pct"/>
          </w:tcPr>
          <w:p w:rsidR="0097487C" w:rsidRPr="00562D0A" w:rsidRDefault="0097487C" w:rsidP="0097487C">
            <w:pPr>
              <w:widowControl w:val="0"/>
              <w:autoSpaceDE w:val="0"/>
              <w:autoSpaceDN w:val="0"/>
              <w:adjustRightInd w:val="0"/>
              <w:jc w:val="center"/>
              <w:rPr>
                <w:b/>
                <w:i/>
                <w:sz w:val="20"/>
                <w:szCs w:val="20"/>
                <w:lang w:val="en-GB"/>
              </w:rPr>
            </w:pPr>
            <w:r w:rsidRPr="00562D0A">
              <w:rPr>
                <w:b/>
                <w:i/>
                <w:sz w:val="20"/>
                <w:szCs w:val="20"/>
                <w:lang w:val="en-GB"/>
              </w:rPr>
              <w:t>Included</w:t>
            </w:r>
          </w:p>
        </w:tc>
        <w:tc>
          <w:tcPr>
            <w:tcW w:w="436" w:type="pct"/>
          </w:tcPr>
          <w:p w:rsidR="0097487C" w:rsidRPr="00562D0A" w:rsidRDefault="0097487C" w:rsidP="0097487C">
            <w:pPr>
              <w:widowControl w:val="0"/>
              <w:autoSpaceDE w:val="0"/>
              <w:autoSpaceDN w:val="0"/>
              <w:adjustRightInd w:val="0"/>
              <w:jc w:val="center"/>
              <w:rPr>
                <w:b/>
                <w:i/>
                <w:sz w:val="20"/>
                <w:szCs w:val="20"/>
                <w:lang w:val="en-GB"/>
              </w:rPr>
            </w:pPr>
            <w:r w:rsidRPr="00562D0A">
              <w:rPr>
                <w:b/>
                <w:i/>
                <w:sz w:val="20"/>
                <w:szCs w:val="20"/>
                <w:lang w:val="en-GB"/>
              </w:rPr>
              <w:t>Included</w:t>
            </w:r>
          </w:p>
        </w:tc>
        <w:tc>
          <w:tcPr>
            <w:tcW w:w="436" w:type="pct"/>
          </w:tcPr>
          <w:p w:rsidR="0097487C" w:rsidRPr="00562D0A" w:rsidRDefault="0097487C" w:rsidP="0097487C">
            <w:pPr>
              <w:widowControl w:val="0"/>
              <w:autoSpaceDE w:val="0"/>
              <w:autoSpaceDN w:val="0"/>
              <w:adjustRightInd w:val="0"/>
              <w:jc w:val="center"/>
              <w:rPr>
                <w:b/>
                <w:i/>
                <w:sz w:val="20"/>
                <w:szCs w:val="20"/>
                <w:lang w:val="en-GB"/>
              </w:rPr>
            </w:pPr>
            <w:r w:rsidRPr="00562D0A">
              <w:rPr>
                <w:b/>
                <w:i/>
                <w:sz w:val="20"/>
                <w:szCs w:val="20"/>
                <w:lang w:val="en-GB"/>
              </w:rPr>
              <w:t>Included</w:t>
            </w:r>
          </w:p>
        </w:tc>
        <w:tc>
          <w:tcPr>
            <w:tcW w:w="439" w:type="pct"/>
          </w:tcPr>
          <w:p w:rsidR="0097487C" w:rsidRPr="00562D0A" w:rsidRDefault="0097487C" w:rsidP="0097487C">
            <w:pPr>
              <w:widowControl w:val="0"/>
              <w:autoSpaceDE w:val="0"/>
              <w:autoSpaceDN w:val="0"/>
              <w:adjustRightInd w:val="0"/>
              <w:jc w:val="center"/>
              <w:rPr>
                <w:b/>
                <w:i/>
                <w:sz w:val="20"/>
                <w:szCs w:val="20"/>
                <w:lang w:val="en-GB"/>
              </w:rPr>
            </w:pPr>
            <w:r w:rsidRPr="00562D0A">
              <w:rPr>
                <w:b/>
                <w:i/>
                <w:sz w:val="20"/>
                <w:szCs w:val="20"/>
                <w:lang w:val="en-GB"/>
              </w:rPr>
              <w:t>Included</w:t>
            </w:r>
          </w:p>
        </w:tc>
        <w:tc>
          <w:tcPr>
            <w:tcW w:w="593" w:type="pct"/>
          </w:tcPr>
          <w:p w:rsidR="0097487C" w:rsidRPr="00562D0A" w:rsidRDefault="0097487C" w:rsidP="0097487C">
            <w:pPr>
              <w:widowControl w:val="0"/>
              <w:autoSpaceDE w:val="0"/>
              <w:autoSpaceDN w:val="0"/>
              <w:adjustRightInd w:val="0"/>
              <w:jc w:val="center"/>
              <w:rPr>
                <w:b/>
                <w:i/>
                <w:sz w:val="20"/>
                <w:szCs w:val="20"/>
                <w:lang w:val="en-GB"/>
              </w:rPr>
            </w:pPr>
            <w:r w:rsidRPr="00562D0A">
              <w:rPr>
                <w:b/>
                <w:i/>
                <w:sz w:val="20"/>
                <w:szCs w:val="20"/>
                <w:lang w:val="en-GB"/>
              </w:rPr>
              <w:t>Included</w:t>
            </w:r>
          </w:p>
        </w:tc>
        <w:tc>
          <w:tcPr>
            <w:tcW w:w="397" w:type="pct"/>
          </w:tcPr>
          <w:p w:rsidR="0097487C" w:rsidRPr="00562D0A" w:rsidRDefault="0097487C" w:rsidP="0097487C">
            <w:pPr>
              <w:widowControl w:val="0"/>
              <w:autoSpaceDE w:val="0"/>
              <w:autoSpaceDN w:val="0"/>
              <w:adjustRightInd w:val="0"/>
              <w:jc w:val="center"/>
              <w:rPr>
                <w:b/>
                <w:i/>
                <w:sz w:val="20"/>
                <w:szCs w:val="20"/>
                <w:lang w:val="en-GB"/>
              </w:rPr>
            </w:pPr>
            <w:r w:rsidRPr="00562D0A">
              <w:rPr>
                <w:b/>
                <w:i/>
                <w:sz w:val="20"/>
                <w:szCs w:val="20"/>
                <w:lang w:val="en-GB"/>
              </w:rPr>
              <w:t>Included</w:t>
            </w:r>
          </w:p>
        </w:tc>
        <w:tc>
          <w:tcPr>
            <w:tcW w:w="436" w:type="pct"/>
          </w:tcPr>
          <w:p w:rsidR="0097487C" w:rsidRPr="00562D0A" w:rsidRDefault="0097487C" w:rsidP="0097487C">
            <w:pPr>
              <w:widowControl w:val="0"/>
              <w:autoSpaceDE w:val="0"/>
              <w:autoSpaceDN w:val="0"/>
              <w:adjustRightInd w:val="0"/>
              <w:jc w:val="center"/>
              <w:rPr>
                <w:b/>
                <w:i/>
                <w:sz w:val="20"/>
                <w:szCs w:val="20"/>
                <w:lang w:val="en-GB"/>
              </w:rPr>
            </w:pPr>
            <w:r w:rsidRPr="00562D0A">
              <w:rPr>
                <w:b/>
                <w:i/>
                <w:sz w:val="20"/>
                <w:szCs w:val="20"/>
                <w:lang w:val="en-GB"/>
              </w:rPr>
              <w:t>Included</w:t>
            </w:r>
          </w:p>
        </w:tc>
        <w:tc>
          <w:tcPr>
            <w:tcW w:w="516" w:type="pct"/>
          </w:tcPr>
          <w:p w:rsidR="0097487C" w:rsidRPr="00562D0A" w:rsidRDefault="0097487C" w:rsidP="0097487C">
            <w:pPr>
              <w:widowControl w:val="0"/>
              <w:autoSpaceDE w:val="0"/>
              <w:autoSpaceDN w:val="0"/>
              <w:adjustRightInd w:val="0"/>
              <w:jc w:val="center"/>
              <w:rPr>
                <w:b/>
                <w:i/>
                <w:sz w:val="20"/>
                <w:szCs w:val="20"/>
                <w:lang w:val="en-GB"/>
              </w:rPr>
            </w:pPr>
            <w:r w:rsidRPr="00562D0A">
              <w:rPr>
                <w:b/>
                <w:i/>
                <w:sz w:val="20"/>
                <w:szCs w:val="20"/>
                <w:lang w:val="en-GB"/>
              </w:rPr>
              <w:t>Included</w:t>
            </w:r>
          </w:p>
        </w:tc>
      </w:tr>
      <w:tr w:rsidR="00C041E8" w:rsidRPr="00562D0A" w:rsidTr="0097487C">
        <w:trPr>
          <w:jc w:val="center"/>
        </w:trPr>
        <w:tc>
          <w:tcPr>
            <w:tcW w:w="1189" w:type="pct"/>
          </w:tcPr>
          <w:p w:rsidR="00C041E8" w:rsidRPr="00562D0A" w:rsidRDefault="00C041E8" w:rsidP="00C041E8">
            <w:pPr>
              <w:widowControl w:val="0"/>
              <w:autoSpaceDE w:val="0"/>
              <w:autoSpaceDN w:val="0"/>
              <w:adjustRightInd w:val="0"/>
              <w:spacing w:line="360" w:lineRule="auto"/>
              <w:rPr>
                <w:sz w:val="20"/>
                <w:szCs w:val="20"/>
                <w:lang w:val="en-GB"/>
              </w:rPr>
            </w:pPr>
            <w:r w:rsidRPr="00562D0A">
              <w:rPr>
                <w:sz w:val="20"/>
                <w:szCs w:val="20"/>
                <w:lang w:val="en-GB"/>
              </w:rPr>
              <w:t>Constant</w:t>
            </w:r>
          </w:p>
        </w:tc>
        <w:tc>
          <w:tcPr>
            <w:tcW w:w="558"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0.032</w:t>
            </w:r>
          </w:p>
        </w:tc>
        <w:tc>
          <w:tcPr>
            <w:tcW w:w="436"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0.036</w:t>
            </w:r>
          </w:p>
        </w:tc>
        <w:tc>
          <w:tcPr>
            <w:tcW w:w="436"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0.036*</w:t>
            </w:r>
          </w:p>
        </w:tc>
        <w:tc>
          <w:tcPr>
            <w:tcW w:w="439"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0.033**</w:t>
            </w:r>
          </w:p>
        </w:tc>
        <w:tc>
          <w:tcPr>
            <w:tcW w:w="593" w:type="pct"/>
          </w:tcPr>
          <w:p w:rsidR="00C041E8" w:rsidRPr="00562D0A" w:rsidRDefault="00C041E8" w:rsidP="00C041E8">
            <w:pPr>
              <w:widowControl w:val="0"/>
              <w:autoSpaceDE w:val="0"/>
              <w:autoSpaceDN w:val="0"/>
              <w:adjustRightInd w:val="0"/>
              <w:jc w:val="center"/>
              <w:rPr>
                <w:sz w:val="20"/>
                <w:szCs w:val="20"/>
              </w:rPr>
            </w:pPr>
            <w:r w:rsidRPr="00562D0A">
              <w:rPr>
                <w:sz w:val="20"/>
                <w:szCs w:val="20"/>
              </w:rPr>
              <w:t>0.023</w:t>
            </w:r>
          </w:p>
        </w:tc>
        <w:tc>
          <w:tcPr>
            <w:tcW w:w="397" w:type="pct"/>
          </w:tcPr>
          <w:p w:rsidR="00C041E8" w:rsidRPr="00562D0A" w:rsidRDefault="00C041E8" w:rsidP="00C041E8">
            <w:pPr>
              <w:widowControl w:val="0"/>
              <w:autoSpaceDE w:val="0"/>
              <w:autoSpaceDN w:val="0"/>
              <w:adjustRightInd w:val="0"/>
              <w:jc w:val="center"/>
              <w:rPr>
                <w:sz w:val="20"/>
                <w:szCs w:val="20"/>
              </w:rPr>
            </w:pPr>
            <w:r w:rsidRPr="00562D0A">
              <w:rPr>
                <w:sz w:val="20"/>
                <w:szCs w:val="20"/>
              </w:rPr>
              <w:t>0.025</w:t>
            </w:r>
          </w:p>
        </w:tc>
        <w:tc>
          <w:tcPr>
            <w:tcW w:w="436" w:type="pct"/>
          </w:tcPr>
          <w:p w:rsidR="00C041E8" w:rsidRPr="00562D0A" w:rsidRDefault="00C041E8" w:rsidP="00C041E8">
            <w:pPr>
              <w:widowControl w:val="0"/>
              <w:autoSpaceDE w:val="0"/>
              <w:autoSpaceDN w:val="0"/>
              <w:adjustRightInd w:val="0"/>
              <w:jc w:val="center"/>
              <w:rPr>
                <w:sz w:val="20"/>
                <w:szCs w:val="20"/>
              </w:rPr>
            </w:pPr>
            <w:r w:rsidRPr="00562D0A">
              <w:rPr>
                <w:sz w:val="20"/>
                <w:szCs w:val="20"/>
              </w:rPr>
              <w:t>0.031</w:t>
            </w:r>
          </w:p>
        </w:tc>
        <w:tc>
          <w:tcPr>
            <w:tcW w:w="516" w:type="pct"/>
          </w:tcPr>
          <w:p w:rsidR="00C041E8" w:rsidRPr="00562D0A" w:rsidRDefault="00C041E8" w:rsidP="00C041E8">
            <w:pPr>
              <w:widowControl w:val="0"/>
              <w:autoSpaceDE w:val="0"/>
              <w:autoSpaceDN w:val="0"/>
              <w:adjustRightInd w:val="0"/>
              <w:jc w:val="center"/>
              <w:rPr>
                <w:sz w:val="20"/>
                <w:szCs w:val="20"/>
              </w:rPr>
            </w:pPr>
            <w:r w:rsidRPr="00562D0A">
              <w:rPr>
                <w:sz w:val="20"/>
                <w:szCs w:val="20"/>
              </w:rPr>
              <w:t>0.046*</w:t>
            </w:r>
          </w:p>
        </w:tc>
      </w:tr>
      <w:tr w:rsidR="00C041E8" w:rsidRPr="00562D0A" w:rsidTr="0097487C">
        <w:trPr>
          <w:jc w:val="center"/>
        </w:trPr>
        <w:tc>
          <w:tcPr>
            <w:tcW w:w="1189" w:type="pct"/>
          </w:tcPr>
          <w:p w:rsidR="00C041E8" w:rsidRPr="00562D0A" w:rsidRDefault="00C041E8" w:rsidP="00C041E8">
            <w:pPr>
              <w:widowControl w:val="0"/>
              <w:autoSpaceDE w:val="0"/>
              <w:autoSpaceDN w:val="0"/>
              <w:adjustRightInd w:val="0"/>
              <w:spacing w:line="360" w:lineRule="auto"/>
              <w:rPr>
                <w:sz w:val="20"/>
                <w:szCs w:val="20"/>
                <w:lang w:val="en-GB"/>
              </w:rPr>
            </w:pPr>
          </w:p>
        </w:tc>
        <w:tc>
          <w:tcPr>
            <w:tcW w:w="558"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(0.021)</w:t>
            </w:r>
          </w:p>
        </w:tc>
        <w:tc>
          <w:tcPr>
            <w:tcW w:w="436"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(0.025)</w:t>
            </w:r>
          </w:p>
        </w:tc>
        <w:tc>
          <w:tcPr>
            <w:tcW w:w="436"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(0.019)</w:t>
            </w:r>
          </w:p>
        </w:tc>
        <w:tc>
          <w:tcPr>
            <w:tcW w:w="439"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(0.014)</w:t>
            </w:r>
          </w:p>
        </w:tc>
        <w:tc>
          <w:tcPr>
            <w:tcW w:w="593" w:type="pct"/>
          </w:tcPr>
          <w:p w:rsidR="00C041E8" w:rsidRPr="00562D0A" w:rsidRDefault="00C041E8" w:rsidP="00C041E8">
            <w:pPr>
              <w:widowControl w:val="0"/>
              <w:autoSpaceDE w:val="0"/>
              <w:autoSpaceDN w:val="0"/>
              <w:adjustRightInd w:val="0"/>
              <w:jc w:val="center"/>
              <w:rPr>
                <w:sz w:val="20"/>
                <w:szCs w:val="20"/>
              </w:rPr>
            </w:pPr>
            <w:r w:rsidRPr="00562D0A">
              <w:rPr>
                <w:sz w:val="20"/>
                <w:szCs w:val="20"/>
              </w:rPr>
              <w:t>(0.022)</w:t>
            </w:r>
          </w:p>
        </w:tc>
        <w:tc>
          <w:tcPr>
            <w:tcW w:w="397" w:type="pct"/>
          </w:tcPr>
          <w:p w:rsidR="00C041E8" w:rsidRPr="00562D0A" w:rsidRDefault="00C041E8" w:rsidP="00C041E8">
            <w:pPr>
              <w:widowControl w:val="0"/>
              <w:autoSpaceDE w:val="0"/>
              <w:autoSpaceDN w:val="0"/>
              <w:adjustRightInd w:val="0"/>
              <w:jc w:val="center"/>
              <w:rPr>
                <w:sz w:val="20"/>
                <w:szCs w:val="20"/>
              </w:rPr>
            </w:pPr>
            <w:r w:rsidRPr="00562D0A">
              <w:rPr>
                <w:sz w:val="20"/>
                <w:szCs w:val="20"/>
              </w:rPr>
              <w:t>(0.025)</w:t>
            </w:r>
          </w:p>
        </w:tc>
        <w:tc>
          <w:tcPr>
            <w:tcW w:w="436" w:type="pct"/>
          </w:tcPr>
          <w:p w:rsidR="00C041E8" w:rsidRPr="00562D0A" w:rsidRDefault="00C041E8" w:rsidP="00C041E8">
            <w:pPr>
              <w:widowControl w:val="0"/>
              <w:autoSpaceDE w:val="0"/>
              <w:autoSpaceDN w:val="0"/>
              <w:adjustRightInd w:val="0"/>
              <w:jc w:val="center"/>
              <w:rPr>
                <w:sz w:val="20"/>
                <w:szCs w:val="20"/>
              </w:rPr>
            </w:pPr>
            <w:r w:rsidRPr="00562D0A">
              <w:rPr>
                <w:sz w:val="20"/>
                <w:szCs w:val="20"/>
              </w:rPr>
              <w:t>(0.019)</w:t>
            </w:r>
          </w:p>
        </w:tc>
        <w:tc>
          <w:tcPr>
            <w:tcW w:w="516" w:type="pct"/>
          </w:tcPr>
          <w:p w:rsidR="00C041E8" w:rsidRPr="00562D0A" w:rsidRDefault="00C041E8" w:rsidP="00C041E8">
            <w:pPr>
              <w:widowControl w:val="0"/>
              <w:autoSpaceDE w:val="0"/>
              <w:autoSpaceDN w:val="0"/>
              <w:adjustRightInd w:val="0"/>
              <w:jc w:val="center"/>
              <w:rPr>
                <w:sz w:val="20"/>
                <w:szCs w:val="20"/>
              </w:rPr>
            </w:pPr>
            <w:r w:rsidRPr="00562D0A">
              <w:rPr>
                <w:sz w:val="20"/>
                <w:szCs w:val="20"/>
              </w:rPr>
              <w:t>(0.024)</w:t>
            </w:r>
          </w:p>
        </w:tc>
      </w:tr>
      <w:tr w:rsidR="0097487C" w:rsidRPr="00562D0A" w:rsidTr="0097487C">
        <w:trPr>
          <w:jc w:val="center"/>
        </w:trPr>
        <w:tc>
          <w:tcPr>
            <w:tcW w:w="1189" w:type="pct"/>
          </w:tcPr>
          <w:p w:rsidR="0097487C" w:rsidRPr="00562D0A" w:rsidRDefault="0097487C" w:rsidP="0097487C">
            <w:pPr>
              <w:widowControl w:val="0"/>
              <w:autoSpaceDE w:val="0"/>
              <w:autoSpaceDN w:val="0"/>
              <w:adjustRightInd w:val="0"/>
              <w:spacing w:line="360" w:lineRule="auto"/>
              <w:rPr>
                <w:sz w:val="20"/>
                <w:szCs w:val="20"/>
                <w:lang w:val="en-GB"/>
              </w:rPr>
            </w:pPr>
            <w:r w:rsidRPr="00562D0A">
              <w:rPr>
                <w:sz w:val="20"/>
                <w:szCs w:val="20"/>
                <w:lang w:val="en-GB"/>
              </w:rPr>
              <w:t>Observations</w:t>
            </w:r>
          </w:p>
        </w:tc>
        <w:tc>
          <w:tcPr>
            <w:tcW w:w="558" w:type="pct"/>
          </w:tcPr>
          <w:p w:rsidR="0097487C" w:rsidRPr="00562D0A" w:rsidRDefault="0097487C" w:rsidP="0097487C">
            <w:pPr>
              <w:widowControl w:val="0"/>
              <w:autoSpaceDE w:val="0"/>
              <w:autoSpaceDN w:val="0"/>
              <w:adjustRightInd w:val="0"/>
              <w:spacing w:line="360" w:lineRule="auto"/>
              <w:jc w:val="center"/>
              <w:rPr>
                <w:sz w:val="20"/>
                <w:szCs w:val="20"/>
                <w:lang w:val="en-GB"/>
              </w:rPr>
            </w:pPr>
            <w:r w:rsidRPr="00562D0A">
              <w:rPr>
                <w:sz w:val="20"/>
                <w:szCs w:val="20"/>
                <w:lang w:val="en-GB"/>
              </w:rPr>
              <w:t>107</w:t>
            </w:r>
          </w:p>
        </w:tc>
        <w:tc>
          <w:tcPr>
            <w:tcW w:w="436" w:type="pct"/>
          </w:tcPr>
          <w:p w:rsidR="0097487C" w:rsidRPr="00562D0A" w:rsidRDefault="0097487C" w:rsidP="0097487C">
            <w:pPr>
              <w:widowControl w:val="0"/>
              <w:autoSpaceDE w:val="0"/>
              <w:autoSpaceDN w:val="0"/>
              <w:adjustRightInd w:val="0"/>
              <w:spacing w:line="360" w:lineRule="auto"/>
              <w:jc w:val="center"/>
              <w:rPr>
                <w:sz w:val="20"/>
                <w:szCs w:val="20"/>
                <w:lang w:val="en-GB"/>
              </w:rPr>
            </w:pPr>
            <w:r w:rsidRPr="00562D0A">
              <w:rPr>
                <w:sz w:val="20"/>
                <w:szCs w:val="20"/>
                <w:lang w:val="en-GB"/>
              </w:rPr>
              <w:t>109</w:t>
            </w:r>
          </w:p>
        </w:tc>
        <w:tc>
          <w:tcPr>
            <w:tcW w:w="436" w:type="pct"/>
          </w:tcPr>
          <w:p w:rsidR="0097487C" w:rsidRPr="00562D0A" w:rsidRDefault="0097487C" w:rsidP="0097487C">
            <w:pPr>
              <w:widowControl w:val="0"/>
              <w:autoSpaceDE w:val="0"/>
              <w:autoSpaceDN w:val="0"/>
              <w:adjustRightInd w:val="0"/>
              <w:spacing w:line="360" w:lineRule="auto"/>
              <w:jc w:val="center"/>
              <w:rPr>
                <w:sz w:val="20"/>
                <w:szCs w:val="20"/>
                <w:lang w:val="en-GB"/>
              </w:rPr>
            </w:pPr>
            <w:r w:rsidRPr="00562D0A">
              <w:rPr>
                <w:sz w:val="20"/>
                <w:szCs w:val="20"/>
                <w:lang w:val="en-GB"/>
              </w:rPr>
              <w:t>109</w:t>
            </w:r>
          </w:p>
        </w:tc>
        <w:tc>
          <w:tcPr>
            <w:tcW w:w="439" w:type="pct"/>
          </w:tcPr>
          <w:p w:rsidR="0097487C" w:rsidRPr="00562D0A" w:rsidRDefault="0097487C" w:rsidP="0097487C">
            <w:pPr>
              <w:widowControl w:val="0"/>
              <w:autoSpaceDE w:val="0"/>
              <w:autoSpaceDN w:val="0"/>
              <w:adjustRightInd w:val="0"/>
              <w:spacing w:line="360" w:lineRule="auto"/>
              <w:jc w:val="center"/>
              <w:rPr>
                <w:sz w:val="20"/>
                <w:szCs w:val="20"/>
                <w:lang w:val="en-GB"/>
              </w:rPr>
            </w:pPr>
            <w:r w:rsidRPr="00562D0A">
              <w:rPr>
                <w:sz w:val="20"/>
                <w:szCs w:val="20"/>
                <w:lang w:val="en-GB"/>
              </w:rPr>
              <w:t>109</w:t>
            </w:r>
          </w:p>
        </w:tc>
        <w:tc>
          <w:tcPr>
            <w:tcW w:w="593" w:type="pct"/>
          </w:tcPr>
          <w:p w:rsidR="0097487C" w:rsidRPr="00562D0A" w:rsidRDefault="0097487C" w:rsidP="0097487C">
            <w:pPr>
              <w:widowControl w:val="0"/>
              <w:autoSpaceDE w:val="0"/>
              <w:autoSpaceDN w:val="0"/>
              <w:adjustRightInd w:val="0"/>
              <w:jc w:val="center"/>
              <w:rPr>
                <w:sz w:val="20"/>
                <w:szCs w:val="20"/>
                <w:lang w:val="en-GB"/>
              </w:rPr>
            </w:pPr>
            <w:r w:rsidRPr="00562D0A">
              <w:rPr>
                <w:sz w:val="20"/>
                <w:szCs w:val="20"/>
                <w:lang w:val="en-GB"/>
              </w:rPr>
              <w:t>107</w:t>
            </w:r>
          </w:p>
        </w:tc>
        <w:tc>
          <w:tcPr>
            <w:tcW w:w="397" w:type="pct"/>
          </w:tcPr>
          <w:p w:rsidR="0097487C" w:rsidRPr="00562D0A" w:rsidRDefault="0097487C" w:rsidP="0097487C">
            <w:pPr>
              <w:widowControl w:val="0"/>
              <w:autoSpaceDE w:val="0"/>
              <w:autoSpaceDN w:val="0"/>
              <w:adjustRightInd w:val="0"/>
              <w:jc w:val="center"/>
              <w:rPr>
                <w:sz w:val="20"/>
                <w:szCs w:val="20"/>
                <w:lang w:val="en-GB"/>
              </w:rPr>
            </w:pPr>
            <w:r w:rsidRPr="00562D0A">
              <w:rPr>
                <w:sz w:val="20"/>
                <w:szCs w:val="20"/>
                <w:lang w:val="en-GB"/>
              </w:rPr>
              <w:t>109</w:t>
            </w:r>
          </w:p>
        </w:tc>
        <w:tc>
          <w:tcPr>
            <w:tcW w:w="436" w:type="pct"/>
          </w:tcPr>
          <w:p w:rsidR="0097487C" w:rsidRPr="00562D0A" w:rsidRDefault="0097487C" w:rsidP="0097487C">
            <w:pPr>
              <w:widowControl w:val="0"/>
              <w:autoSpaceDE w:val="0"/>
              <w:autoSpaceDN w:val="0"/>
              <w:adjustRightInd w:val="0"/>
              <w:jc w:val="center"/>
              <w:rPr>
                <w:sz w:val="20"/>
                <w:szCs w:val="20"/>
                <w:lang w:val="en-GB"/>
              </w:rPr>
            </w:pPr>
            <w:r w:rsidRPr="00562D0A">
              <w:rPr>
                <w:sz w:val="20"/>
                <w:szCs w:val="20"/>
                <w:lang w:val="en-GB"/>
              </w:rPr>
              <w:t>109</w:t>
            </w:r>
          </w:p>
        </w:tc>
        <w:tc>
          <w:tcPr>
            <w:tcW w:w="516" w:type="pct"/>
          </w:tcPr>
          <w:p w:rsidR="0097487C" w:rsidRPr="00562D0A" w:rsidRDefault="0097487C" w:rsidP="0097487C">
            <w:pPr>
              <w:widowControl w:val="0"/>
              <w:autoSpaceDE w:val="0"/>
              <w:autoSpaceDN w:val="0"/>
              <w:adjustRightInd w:val="0"/>
              <w:jc w:val="center"/>
              <w:rPr>
                <w:sz w:val="20"/>
                <w:szCs w:val="20"/>
                <w:lang w:val="en-GB"/>
              </w:rPr>
            </w:pPr>
            <w:r w:rsidRPr="00562D0A">
              <w:rPr>
                <w:sz w:val="20"/>
                <w:szCs w:val="20"/>
                <w:lang w:val="en-GB"/>
              </w:rPr>
              <w:t>109</w:t>
            </w:r>
          </w:p>
        </w:tc>
      </w:tr>
      <w:tr w:rsidR="0097487C" w:rsidRPr="00562D0A" w:rsidTr="0097487C">
        <w:trPr>
          <w:jc w:val="center"/>
        </w:trPr>
        <w:tc>
          <w:tcPr>
            <w:tcW w:w="1189" w:type="pct"/>
          </w:tcPr>
          <w:p w:rsidR="0097487C" w:rsidRPr="00562D0A" w:rsidRDefault="0097487C" w:rsidP="0097487C">
            <w:pPr>
              <w:widowControl w:val="0"/>
              <w:autoSpaceDE w:val="0"/>
              <w:autoSpaceDN w:val="0"/>
              <w:adjustRightInd w:val="0"/>
              <w:spacing w:line="360" w:lineRule="auto"/>
              <w:rPr>
                <w:sz w:val="20"/>
                <w:szCs w:val="20"/>
                <w:lang w:val="en-GB"/>
              </w:rPr>
            </w:pPr>
            <w:r w:rsidRPr="00562D0A">
              <w:rPr>
                <w:sz w:val="20"/>
                <w:szCs w:val="20"/>
                <w:lang w:val="en-GB"/>
              </w:rPr>
              <w:t>Number of countries</w:t>
            </w:r>
          </w:p>
        </w:tc>
        <w:tc>
          <w:tcPr>
            <w:tcW w:w="558" w:type="pct"/>
          </w:tcPr>
          <w:p w:rsidR="0097487C" w:rsidRPr="00562D0A" w:rsidRDefault="0097487C" w:rsidP="0097487C">
            <w:pPr>
              <w:widowControl w:val="0"/>
              <w:autoSpaceDE w:val="0"/>
              <w:autoSpaceDN w:val="0"/>
              <w:adjustRightInd w:val="0"/>
              <w:spacing w:line="360" w:lineRule="auto"/>
              <w:jc w:val="center"/>
              <w:rPr>
                <w:sz w:val="20"/>
                <w:szCs w:val="20"/>
                <w:lang w:val="en-GB"/>
              </w:rPr>
            </w:pPr>
            <w:r w:rsidRPr="00562D0A">
              <w:rPr>
                <w:sz w:val="20"/>
                <w:szCs w:val="20"/>
                <w:lang w:val="en-GB"/>
              </w:rPr>
              <w:t>24</w:t>
            </w:r>
          </w:p>
        </w:tc>
        <w:tc>
          <w:tcPr>
            <w:tcW w:w="436" w:type="pct"/>
          </w:tcPr>
          <w:p w:rsidR="0097487C" w:rsidRPr="00562D0A" w:rsidRDefault="0097487C" w:rsidP="0097487C">
            <w:pPr>
              <w:widowControl w:val="0"/>
              <w:autoSpaceDE w:val="0"/>
              <w:autoSpaceDN w:val="0"/>
              <w:adjustRightInd w:val="0"/>
              <w:spacing w:line="360" w:lineRule="auto"/>
              <w:jc w:val="center"/>
              <w:rPr>
                <w:sz w:val="20"/>
                <w:szCs w:val="20"/>
                <w:lang w:val="en-GB"/>
              </w:rPr>
            </w:pPr>
            <w:r w:rsidRPr="00562D0A">
              <w:rPr>
                <w:sz w:val="20"/>
                <w:szCs w:val="20"/>
                <w:lang w:val="en-GB"/>
              </w:rPr>
              <w:t>25</w:t>
            </w:r>
          </w:p>
        </w:tc>
        <w:tc>
          <w:tcPr>
            <w:tcW w:w="436" w:type="pct"/>
          </w:tcPr>
          <w:p w:rsidR="0097487C" w:rsidRPr="00562D0A" w:rsidRDefault="0097487C" w:rsidP="0097487C">
            <w:pPr>
              <w:widowControl w:val="0"/>
              <w:autoSpaceDE w:val="0"/>
              <w:autoSpaceDN w:val="0"/>
              <w:adjustRightInd w:val="0"/>
              <w:spacing w:line="360" w:lineRule="auto"/>
              <w:jc w:val="center"/>
              <w:rPr>
                <w:sz w:val="20"/>
                <w:szCs w:val="20"/>
                <w:lang w:val="en-GB"/>
              </w:rPr>
            </w:pPr>
            <w:r w:rsidRPr="00562D0A">
              <w:rPr>
                <w:sz w:val="20"/>
                <w:szCs w:val="20"/>
                <w:lang w:val="en-GB"/>
              </w:rPr>
              <w:t>25</w:t>
            </w:r>
          </w:p>
        </w:tc>
        <w:tc>
          <w:tcPr>
            <w:tcW w:w="439" w:type="pct"/>
          </w:tcPr>
          <w:p w:rsidR="0097487C" w:rsidRPr="00562D0A" w:rsidRDefault="0097487C" w:rsidP="0097487C">
            <w:pPr>
              <w:widowControl w:val="0"/>
              <w:autoSpaceDE w:val="0"/>
              <w:autoSpaceDN w:val="0"/>
              <w:adjustRightInd w:val="0"/>
              <w:spacing w:line="360" w:lineRule="auto"/>
              <w:jc w:val="center"/>
              <w:rPr>
                <w:sz w:val="20"/>
                <w:szCs w:val="20"/>
                <w:lang w:val="en-GB"/>
              </w:rPr>
            </w:pPr>
            <w:r w:rsidRPr="00562D0A">
              <w:rPr>
                <w:sz w:val="20"/>
                <w:szCs w:val="20"/>
                <w:lang w:val="en-GB"/>
              </w:rPr>
              <w:t>25</w:t>
            </w:r>
          </w:p>
        </w:tc>
        <w:tc>
          <w:tcPr>
            <w:tcW w:w="593" w:type="pct"/>
          </w:tcPr>
          <w:p w:rsidR="0097487C" w:rsidRPr="00562D0A" w:rsidRDefault="0097487C" w:rsidP="0097487C">
            <w:pPr>
              <w:widowControl w:val="0"/>
              <w:autoSpaceDE w:val="0"/>
              <w:autoSpaceDN w:val="0"/>
              <w:adjustRightInd w:val="0"/>
              <w:jc w:val="center"/>
              <w:rPr>
                <w:sz w:val="20"/>
                <w:szCs w:val="20"/>
                <w:lang w:val="en-GB"/>
              </w:rPr>
            </w:pPr>
            <w:r w:rsidRPr="00562D0A">
              <w:rPr>
                <w:sz w:val="20"/>
                <w:szCs w:val="20"/>
                <w:lang w:val="en-GB"/>
              </w:rPr>
              <w:t>24</w:t>
            </w:r>
          </w:p>
        </w:tc>
        <w:tc>
          <w:tcPr>
            <w:tcW w:w="397" w:type="pct"/>
          </w:tcPr>
          <w:p w:rsidR="0097487C" w:rsidRPr="00562D0A" w:rsidRDefault="0097487C" w:rsidP="0097487C">
            <w:pPr>
              <w:widowControl w:val="0"/>
              <w:autoSpaceDE w:val="0"/>
              <w:autoSpaceDN w:val="0"/>
              <w:adjustRightInd w:val="0"/>
              <w:jc w:val="center"/>
              <w:rPr>
                <w:sz w:val="20"/>
                <w:szCs w:val="20"/>
                <w:lang w:val="en-GB"/>
              </w:rPr>
            </w:pPr>
            <w:r w:rsidRPr="00562D0A">
              <w:rPr>
                <w:sz w:val="20"/>
                <w:szCs w:val="20"/>
                <w:lang w:val="en-GB"/>
              </w:rPr>
              <w:t>25</w:t>
            </w:r>
          </w:p>
        </w:tc>
        <w:tc>
          <w:tcPr>
            <w:tcW w:w="436" w:type="pct"/>
          </w:tcPr>
          <w:p w:rsidR="0097487C" w:rsidRPr="00562D0A" w:rsidRDefault="0097487C" w:rsidP="0097487C">
            <w:pPr>
              <w:widowControl w:val="0"/>
              <w:autoSpaceDE w:val="0"/>
              <w:autoSpaceDN w:val="0"/>
              <w:adjustRightInd w:val="0"/>
              <w:jc w:val="center"/>
              <w:rPr>
                <w:sz w:val="20"/>
                <w:szCs w:val="20"/>
                <w:lang w:val="en-GB"/>
              </w:rPr>
            </w:pPr>
            <w:r w:rsidRPr="00562D0A">
              <w:rPr>
                <w:sz w:val="20"/>
                <w:szCs w:val="20"/>
                <w:lang w:val="en-GB"/>
              </w:rPr>
              <w:t>25</w:t>
            </w:r>
          </w:p>
        </w:tc>
        <w:tc>
          <w:tcPr>
            <w:tcW w:w="516" w:type="pct"/>
          </w:tcPr>
          <w:p w:rsidR="0097487C" w:rsidRPr="00562D0A" w:rsidRDefault="0097487C" w:rsidP="0097487C">
            <w:pPr>
              <w:widowControl w:val="0"/>
              <w:autoSpaceDE w:val="0"/>
              <w:autoSpaceDN w:val="0"/>
              <w:adjustRightInd w:val="0"/>
              <w:jc w:val="center"/>
              <w:rPr>
                <w:sz w:val="20"/>
                <w:szCs w:val="20"/>
                <w:lang w:val="en-GB"/>
              </w:rPr>
            </w:pPr>
            <w:r w:rsidRPr="00562D0A">
              <w:rPr>
                <w:sz w:val="20"/>
                <w:szCs w:val="20"/>
                <w:lang w:val="en-GB"/>
              </w:rPr>
              <w:t>25</w:t>
            </w:r>
          </w:p>
        </w:tc>
      </w:tr>
      <w:tr w:rsidR="00C041E8" w:rsidRPr="00562D0A" w:rsidTr="0097487C">
        <w:trPr>
          <w:trHeight w:val="310"/>
          <w:jc w:val="center"/>
        </w:trPr>
        <w:tc>
          <w:tcPr>
            <w:tcW w:w="1189" w:type="pct"/>
          </w:tcPr>
          <w:p w:rsidR="00C041E8" w:rsidRPr="00562D0A" w:rsidRDefault="00C041E8" w:rsidP="00C041E8">
            <w:pPr>
              <w:widowControl w:val="0"/>
              <w:autoSpaceDE w:val="0"/>
              <w:autoSpaceDN w:val="0"/>
              <w:adjustRightInd w:val="0"/>
              <w:spacing w:line="360" w:lineRule="auto"/>
              <w:rPr>
                <w:sz w:val="20"/>
                <w:szCs w:val="20"/>
                <w:lang w:val="en-GB"/>
              </w:rPr>
            </w:pPr>
            <w:r w:rsidRPr="00562D0A">
              <w:rPr>
                <w:sz w:val="20"/>
                <w:szCs w:val="20"/>
                <w:lang w:val="en-GB"/>
              </w:rPr>
              <w:t>R-squared</w:t>
            </w:r>
          </w:p>
        </w:tc>
        <w:tc>
          <w:tcPr>
            <w:tcW w:w="558"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0.61</w:t>
            </w:r>
          </w:p>
        </w:tc>
        <w:tc>
          <w:tcPr>
            <w:tcW w:w="436"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0.59</w:t>
            </w:r>
          </w:p>
        </w:tc>
        <w:tc>
          <w:tcPr>
            <w:tcW w:w="436"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0.61</w:t>
            </w:r>
          </w:p>
        </w:tc>
        <w:tc>
          <w:tcPr>
            <w:tcW w:w="439" w:type="pct"/>
          </w:tcPr>
          <w:p w:rsidR="00C041E8" w:rsidRPr="00562D0A" w:rsidRDefault="00C041E8" w:rsidP="00C041E8">
            <w:pPr>
              <w:widowControl w:val="0"/>
              <w:autoSpaceDE w:val="0"/>
              <w:autoSpaceDN w:val="0"/>
              <w:adjustRightInd w:val="0"/>
              <w:jc w:val="center"/>
              <w:rPr>
                <w:sz w:val="20"/>
                <w:szCs w:val="20"/>
                <w:lang w:val="en-GB"/>
              </w:rPr>
            </w:pPr>
            <w:r w:rsidRPr="00562D0A">
              <w:rPr>
                <w:sz w:val="20"/>
                <w:szCs w:val="20"/>
              </w:rPr>
              <w:t>0.62</w:t>
            </w:r>
          </w:p>
        </w:tc>
        <w:tc>
          <w:tcPr>
            <w:tcW w:w="593" w:type="pct"/>
          </w:tcPr>
          <w:p w:rsidR="00C041E8" w:rsidRPr="00562D0A" w:rsidRDefault="00C041E8" w:rsidP="00C041E8">
            <w:pPr>
              <w:widowControl w:val="0"/>
              <w:autoSpaceDE w:val="0"/>
              <w:autoSpaceDN w:val="0"/>
              <w:adjustRightInd w:val="0"/>
              <w:jc w:val="center"/>
              <w:rPr>
                <w:sz w:val="20"/>
                <w:szCs w:val="20"/>
                <w:lang w:val="en-GB"/>
              </w:rPr>
            </w:pPr>
          </w:p>
        </w:tc>
        <w:tc>
          <w:tcPr>
            <w:tcW w:w="397" w:type="pct"/>
          </w:tcPr>
          <w:p w:rsidR="00C041E8" w:rsidRPr="00562D0A" w:rsidRDefault="00C041E8" w:rsidP="00C041E8">
            <w:pPr>
              <w:widowControl w:val="0"/>
              <w:autoSpaceDE w:val="0"/>
              <w:autoSpaceDN w:val="0"/>
              <w:adjustRightInd w:val="0"/>
              <w:jc w:val="center"/>
              <w:rPr>
                <w:sz w:val="20"/>
                <w:szCs w:val="20"/>
                <w:lang w:val="en-GB"/>
              </w:rPr>
            </w:pPr>
          </w:p>
        </w:tc>
        <w:tc>
          <w:tcPr>
            <w:tcW w:w="436" w:type="pct"/>
          </w:tcPr>
          <w:p w:rsidR="00C041E8" w:rsidRPr="00562D0A" w:rsidRDefault="00C041E8" w:rsidP="00C041E8">
            <w:pPr>
              <w:widowControl w:val="0"/>
              <w:autoSpaceDE w:val="0"/>
              <w:autoSpaceDN w:val="0"/>
              <w:adjustRightInd w:val="0"/>
              <w:jc w:val="center"/>
              <w:rPr>
                <w:sz w:val="20"/>
                <w:szCs w:val="20"/>
                <w:lang w:val="en-GB"/>
              </w:rPr>
            </w:pPr>
          </w:p>
        </w:tc>
        <w:tc>
          <w:tcPr>
            <w:tcW w:w="516" w:type="pct"/>
          </w:tcPr>
          <w:p w:rsidR="00C041E8" w:rsidRPr="00562D0A" w:rsidRDefault="00C041E8" w:rsidP="00C041E8">
            <w:pPr>
              <w:widowControl w:val="0"/>
              <w:autoSpaceDE w:val="0"/>
              <w:autoSpaceDN w:val="0"/>
              <w:adjustRightInd w:val="0"/>
              <w:jc w:val="center"/>
              <w:rPr>
                <w:sz w:val="20"/>
                <w:szCs w:val="20"/>
                <w:lang w:val="en-GB"/>
              </w:rPr>
            </w:pPr>
          </w:p>
        </w:tc>
      </w:tr>
      <w:tr w:rsidR="0097487C" w:rsidRPr="00562D0A" w:rsidTr="0097487C">
        <w:trPr>
          <w:jc w:val="center"/>
        </w:trPr>
        <w:tc>
          <w:tcPr>
            <w:tcW w:w="1189" w:type="pct"/>
          </w:tcPr>
          <w:p w:rsidR="0097487C" w:rsidRPr="00562D0A" w:rsidRDefault="0097487C" w:rsidP="00821FB1">
            <w:pPr>
              <w:widowControl w:val="0"/>
              <w:autoSpaceDE w:val="0"/>
              <w:autoSpaceDN w:val="0"/>
              <w:adjustRightInd w:val="0"/>
              <w:spacing w:line="276" w:lineRule="auto"/>
              <w:rPr>
                <w:sz w:val="20"/>
                <w:szCs w:val="20"/>
                <w:lang w:val="en-GB"/>
              </w:rPr>
            </w:pPr>
            <w:r w:rsidRPr="00562D0A">
              <w:rPr>
                <w:sz w:val="20"/>
                <w:szCs w:val="20"/>
                <w:lang w:val="en-GB"/>
              </w:rPr>
              <w:t>Wooldridge test for autocorrelation in panel data</w:t>
            </w:r>
          </w:p>
        </w:tc>
        <w:tc>
          <w:tcPr>
            <w:tcW w:w="558" w:type="pct"/>
          </w:tcPr>
          <w:p w:rsidR="0097487C" w:rsidRPr="00562D0A" w:rsidRDefault="00C041E8" w:rsidP="00821FB1">
            <w:pPr>
              <w:widowControl w:val="0"/>
              <w:autoSpaceDE w:val="0"/>
              <w:autoSpaceDN w:val="0"/>
              <w:adjustRightInd w:val="0"/>
              <w:spacing w:line="276" w:lineRule="auto"/>
              <w:jc w:val="center"/>
              <w:rPr>
                <w:sz w:val="20"/>
                <w:szCs w:val="20"/>
                <w:lang w:val="en-GB"/>
              </w:rPr>
            </w:pPr>
            <w:r w:rsidRPr="00562D0A">
              <w:rPr>
                <w:sz w:val="20"/>
                <w:szCs w:val="20"/>
                <w:lang w:val="en-GB"/>
              </w:rPr>
              <w:t>0.111</w:t>
            </w:r>
          </w:p>
          <w:p w:rsidR="0097487C" w:rsidRPr="00562D0A" w:rsidRDefault="00C041E8" w:rsidP="00821FB1">
            <w:pPr>
              <w:widowControl w:val="0"/>
              <w:autoSpaceDE w:val="0"/>
              <w:autoSpaceDN w:val="0"/>
              <w:adjustRightInd w:val="0"/>
              <w:spacing w:line="276" w:lineRule="auto"/>
              <w:jc w:val="center"/>
              <w:rPr>
                <w:sz w:val="20"/>
                <w:szCs w:val="20"/>
                <w:lang w:val="en-GB"/>
              </w:rPr>
            </w:pPr>
            <w:r w:rsidRPr="00562D0A">
              <w:rPr>
                <w:sz w:val="20"/>
                <w:szCs w:val="20"/>
                <w:lang w:val="en-GB"/>
              </w:rPr>
              <w:t>(0.7419</w:t>
            </w:r>
            <w:r w:rsidR="0097487C" w:rsidRPr="00562D0A">
              <w:rPr>
                <w:sz w:val="20"/>
                <w:szCs w:val="20"/>
                <w:lang w:val="en-GB"/>
              </w:rPr>
              <w:t>)</w:t>
            </w:r>
          </w:p>
        </w:tc>
        <w:tc>
          <w:tcPr>
            <w:tcW w:w="436" w:type="pct"/>
          </w:tcPr>
          <w:p w:rsidR="0097487C" w:rsidRPr="00562D0A" w:rsidRDefault="00C041E8" w:rsidP="00821FB1">
            <w:pPr>
              <w:widowControl w:val="0"/>
              <w:autoSpaceDE w:val="0"/>
              <w:autoSpaceDN w:val="0"/>
              <w:adjustRightInd w:val="0"/>
              <w:spacing w:line="276" w:lineRule="auto"/>
              <w:jc w:val="center"/>
              <w:rPr>
                <w:sz w:val="20"/>
                <w:szCs w:val="20"/>
                <w:lang w:val="en-GB"/>
              </w:rPr>
            </w:pPr>
            <w:r w:rsidRPr="00562D0A">
              <w:rPr>
                <w:sz w:val="20"/>
                <w:szCs w:val="20"/>
                <w:lang w:val="en-GB"/>
              </w:rPr>
              <w:t>0.252</w:t>
            </w:r>
          </w:p>
          <w:p w:rsidR="0097487C" w:rsidRPr="00562D0A" w:rsidRDefault="00C041E8" w:rsidP="00821FB1">
            <w:pPr>
              <w:widowControl w:val="0"/>
              <w:autoSpaceDE w:val="0"/>
              <w:autoSpaceDN w:val="0"/>
              <w:adjustRightInd w:val="0"/>
              <w:spacing w:line="276" w:lineRule="auto"/>
              <w:jc w:val="center"/>
              <w:rPr>
                <w:sz w:val="20"/>
                <w:szCs w:val="20"/>
                <w:lang w:val="en-GB"/>
              </w:rPr>
            </w:pPr>
            <w:r w:rsidRPr="00562D0A">
              <w:rPr>
                <w:sz w:val="20"/>
                <w:szCs w:val="20"/>
                <w:lang w:val="en-GB"/>
              </w:rPr>
              <w:t>(0.6202</w:t>
            </w:r>
            <w:r w:rsidR="0097487C" w:rsidRPr="00562D0A">
              <w:rPr>
                <w:sz w:val="20"/>
                <w:szCs w:val="20"/>
                <w:lang w:val="en-GB"/>
              </w:rPr>
              <w:t>)</w:t>
            </w:r>
          </w:p>
        </w:tc>
        <w:tc>
          <w:tcPr>
            <w:tcW w:w="436" w:type="pct"/>
          </w:tcPr>
          <w:p w:rsidR="0097487C" w:rsidRPr="00562D0A" w:rsidRDefault="00C041E8" w:rsidP="00821FB1">
            <w:pPr>
              <w:widowControl w:val="0"/>
              <w:autoSpaceDE w:val="0"/>
              <w:autoSpaceDN w:val="0"/>
              <w:adjustRightInd w:val="0"/>
              <w:spacing w:line="276" w:lineRule="auto"/>
              <w:jc w:val="center"/>
              <w:rPr>
                <w:sz w:val="20"/>
                <w:szCs w:val="20"/>
                <w:lang w:val="en-GB"/>
              </w:rPr>
            </w:pPr>
            <w:r w:rsidRPr="00562D0A">
              <w:rPr>
                <w:sz w:val="20"/>
                <w:szCs w:val="20"/>
                <w:lang w:val="en-GB"/>
              </w:rPr>
              <w:t>0.109</w:t>
            </w:r>
          </w:p>
          <w:p w:rsidR="0097487C" w:rsidRPr="00562D0A" w:rsidRDefault="00C041E8" w:rsidP="00821FB1">
            <w:pPr>
              <w:widowControl w:val="0"/>
              <w:autoSpaceDE w:val="0"/>
              <w:autoSpaceDN w:val="0"/>
              <w:adjustRightInd w:val="0"/>
              <w:spacing w:line="276" w:lineRule="auto"/>
              <w:jc w:val="center"/>
              <w:rPr>
                <w:sz w:val="20"/>
                <w:szCs w:val="20"/>
                <w:lang w:val="en-GB"/>
              </w:rPr>
            </w:pPr>
            <w:r w:rsidRPr="00562D0A">
              <w:rPr>
                <w:sz w:val="20"/>
                <w:szCs w:val="20"/>
                <w:lang w:val="en-GB"/>
              </w:rPr>
              <w:t>(0.7443</w:t>
            </w:r>
            <w:r w:rsidR="0097487C" w:rsidRPr="00562D0A">
              <w:rPr>
                <w:sz w:val="20"/>
                <w:szCs w:val="20"/>
                <w:lang w:val="en-GB"/>
              </w:rPr>
              <w:t>)</w:t>
            </w:r>
          </w:p>
        </w:tc>
        <w:tc>
          <w:tcPr>
            <w:tcW w:w="439" w:type="pct"/>
          </w:tcPr>
          <w:p w:rsidR="0097487C" w:rsidRPr="00562D0A" w:rsidRDefault="00736358" w:rsidP="00821FB1">
            <w:pPr>
              <w:widowControl w:val="0"/>
              <w:autoSpaceDE w:val="0"/>
              <w:autoSpaceDN w:val="0"/>
              <w:adjustRightInd w:val="0"/>
              <w:spacing w:line="276" w:lineRule="auto"/>
              <w:jc w:val="center"/>
              <w:rPr>
                <w:sz w:val="20"/>
                <w:szCs w:val="20"/>
                <w:lang w:val="en-GB"/>
              </w:rPr>
            </w:pPr>
            <w:r w:rsidRPr="00562D0A">
              <w:rPr>
                <w:sz w:val="20"/>
                <w:szCs w:val="20"/>
                <w:lang w:val="en-GB"/>
              </w:rPr>
              <w:t>0.032</w:t>
            </w:r>
          </w:p>
          <w:p w:rsidR="0097487C" w:rsidRPr="00562D0A" w:rsidRDefault="00736358" w:rsidP="00821FB1">
            <w:pPr>
              <w:widowControl w:val="0"/>
              <w:autoSpaceDE w:val="0"/>
              <w:autoSpaceDN w:val="0"/>
              <w:adjustRightInd w:val="0"/>
              <w:spacing w:line="276" w:lineRule="auto"/>
              <w:jc w:val="center"/>
              <w:rPr>
                <w:sz w:val="20"/>
                <w:szCs w:val="20"/>
                <w:lang w:val="en-GB"/>
              </w:rPr>
            </w:pPr>
            <w:r w:rsidRPr="00562D0A">
              <w:rPr>
                <w:sz w:val="20"/>
                <w:szCs w:val="20"/>
                <w:lang w:val="en-GB"/>
              </w:rPr>
              <w:t>(0.8600</w:t>
            </w:r>
            <w:r w:rsidR="0097487C" w:rsidRPr="00562D0A">
              <w:rPr>
                <w:sz w:val="20"/>
                <w:szCs w:val="20"/>
                <w:lang w:val="en-GB"/>
              </w:rPr>
              <w:t>)</w:t>
            </w:r>
          </w:p>
        </w:tc>
        <w:tc>
          <w:tcPr>
            <w:tcW w:w="593" w:type="pct"/>
          </w:tcPr>
          <w:p w:rsidR="0097487C" w:rsidRPr="00562D0A" w:rsidRDefault="0097487C" w:rsidP="00821FB1">
            <w:pPr>
              <w:widowControl w:val="0"/>
              <w:autoSpaceDE w:val="0"/>
              <w:autoSpaceDN w:val="0"/>
              <w:adjustRightInd w:val="0"/>
              <w:spacing w:line="276" w:lineRule="auto"/>
              <w:jc w:val="center"/>
              <w:rPr>
                <w:sz w:val="20"/>
                <w:szCs w:val="20"/>
                <w:lang w:val="en-GB"/>
              </w:rPr>
            </w:pPr>
          </w:p>
        </w:tc>
        <w:tc>
          <w:tcPr>
            <w:tcW w:w="397" w:type="pct"/>
          </w:tcPr>
          <w:p w:rsidR="0097487C" w:rsidRPr="00562D0A" w:rsidRDefault="0097487C" w:rsidP="0097487C">
            <w:pPr>
              <w:widowControl w:val="0"/>
              <w:autoSpaceDE w:val="0"/>
              <w:autoSpaceDN w:val="0"/>
              <w:adjustRightInd w:val="0"/>
              <w:spacing w:line="360" w:lineRule="auto"/>
              <w:jc w:val="center"/>
              <w:rPr>
                <w:sz w:val="20"/>
                <w:szCs w:val="20"/>
                <w:lang w:val="en-GB"/>
              </w:rPr>
            </w:pPr>
          </w:p>
        </w:tc>
        <w:tc>
          <w:tcPr>
            <w:tcW w:w="436" w:type="pct"/>
          </w:tcPr>
          <w:p w:rsidR="0097487C" w:rsidRPr="00562D0A" w:rsidRDefault="0097487C" w:rsidP="0097487C">
            <w:pPr>
              <w:widowControl w:val="0"/>
              <w:autoSpaceDE w:val="0"/>
              <w:autoSpaceDN w:val="0"/>
              <w:adjustRightInd w:val="0"/>
              <w:spacing w:line="360" w:lineRule="auto"/>
              <w:jc w:val="center"/>
              <w:rPr>
                <w:sz w:val="20"/>
                <w:szCs w:val="20"/>
                <w:lang w:val="en-GB"/>
              </w:rPr>
            </w:pPr>
          </w:p>
        </w:tc>
        <w:tc>
          <w:tcPr>
            <w:tcW w:w="516" w:type="pct"/>
          </w:tcPr>
          <w:p w:rsidR="0097487C" w:rsidRPr="00562D0A" w:rsidRDefault="0097487C" w:rsidP="0097487C">
            <w:pPr>
              <w:widowControl w:val="0"/>
              <w:autoSpaceDE w:val="0"/>
              <w:autoSpaceDN w:val="0"/>
              <w:adjustRightInd w:val="0"/>
              <w:spacing w:line="360" w:lineRule="auto"/>
              <w:jc w:val="center"/>
              <w:rPr>
                <w:sz w:val="20"/>
                <w:szCs w:val="20"/>
                <w:lang w:val="en-GB"/>
              </w:rPr>
            </w:pPr>
          </w:p>
        </w:tc>
      </w:tr>
      <w:tr w:rsidR="0097487C" w:rsidRPr="00562D0A" w:rsidTr="0097487C">
        <w:trPr>
          <w:jc w:val="center"/>
        </w:trPr>
        <w:tc>
          <w:tcPr>
            <w:tcW w:w="1189" w:type="pct"/>
          </w:tcPr>
          <w:p w:rsidR="0097487C" w:rsidRPr="00562D0A" w:rsidRDefault="0097487C" w:rsidP="00821FB1">
            <w:pPr>
              <w:widowControl w:val="0"/>
              <w:autoSpaceDE w:val="0"/>
              <w:autoSpaceDN w:val="0"/>
              <w:adjustRightInd w:val="0"/>
              <w:spacing w:line="276" w:lineRule="auto"/>
              <w:rPr>
                <w:sz w:val="20"/>
                <w:szCs w:val="20"/>
                <w:lang w:val="en-GB"/>
              </w:rPr>
            </w:pPr>
            <w:r w:rsidRPr="00562D0A">
              <w:rPr>
                <w:sz w:val="20"/>
                <w:szCs w:val="20"/>
                <w:lang w:val="en-GB"/>
              </w:rPr>
              <w:t>Wald test for groupwise heteroskedasticity in FE</w:t>
            </w:r>
          </w:p>
        </w:tc>
        <w:tc>
          <w:tcPr>
            <w:tcW w:w="558" w:type="pct"/>
          </w:tcPr>
          <w:p w:rsidR="0097487C" w:rsidRPr="00562D0A" w:rsidRDefault="00C041E8" w:rsidP="00821FB1">
            <w:pPr>
              <w:widowControl w:val="0"/>
              <w:autoSpaceDE w:val="0"/>
              <w:autoSpaceDN w:val="0"/>
              <w:adjustRightInd w:val="0"/>
              <w:spacing w:line="276" w:lineRule="auto"/>
              <w:jc w:val="center"/>
              <w:rPr>
                <w:sz w:val="20"/>
                <w:szCs w:val="20"/>
                <w:lang w:val="en-GB"/>
              </w:rPr>
            </w:pPr>
            <w:r w:rsidRPr="00562D0A">
              <w:rPr>
                <w:sz w:val="20"/>
                <w:szCs w:val="20"/>
                <w:lang w:val="en-GB"/>
              </w:rPr>
              <w:t xml:space="preserve">1202.72 </w:t>
            </w:r>
            <w:r w:rsidR="0097487C" w:rsidRPr="00562D0A">
              <w:rPr>
                <w:sz w:val="20"/>
                <w:szCs w:val="20"/>
                <w:lang w:val="en-GB"/>
              </w:rPr>
              <w:t>(0.000)</w:t>
            </w:r>
          </w:p>
        </w:tc>
        <w:tc>
          <w:tcPr>
            <w:tcW w:w="436" w:type="pct"/>
          </w:tcPr>
          <w:p w:rsidR="0097487C" w:rsidRPr="00562D0A" w:rsidRDefault="00C041E8" w:rsidP="00821FB1">
            <w:pPr>
              <w:widowControl w:val="0"/>
              <w:autoSpaceDE w:val="0"/>
              <w:autoSpaceDN w:val="0"/>
              <w:adjustRightInd w:val="0"/>
              <w:spacing w:line="276" w:lineRule="auto"/>
              <w:jc w:val="center"/>
              <w:rPr>
                <w:sz w:val="20"/>
                <w:szCs w:val="20"/>
                <w:lang w:val="en-GB"/>
              </w:rPr>
            </w:pPr>
            <w:r w:rsidRPr="00562D0A">
              <w:rPr>
                <w:sz w:val="20"/>
                <w:szCs w:val="20"/>
                <w:lang w:val="en-GB"/>
              </w:rPr>
              <w:t xml:space="preserve">1440.73 </w:t>
            </w:r>
            <w:r w:rsidR="0097487C" w:rsidRPr="00562D0A">
              <w:rPr>
                <w:sz w:val="20"/>
                <w:szCs w:val="20"/>
                <w:lang w:val="en-GB"/>
              </w:rPr>
              <w:t>(0.000)</w:t>
            </w:r>
          </w:p>
        </w:tc>
        <w:tc>
          <w:tcPr>
            <w:tcW w:w="436" w:type="pct"/>
          </w:tcPr>
          <w:p w:rsidR="0097487C" w:rsidRPr="00562D0A" w:rsidRDefault="00C041E8" w:rsidP="00821FB1">
            <w:pPr>
              <w:widowControl w:val="0"/>
              <w:autoSpaceDE w:val="0"/>
              <w:autoSpaceDN w:val="0"/>
              <w:adjustRightInd w:val="0"/>
              <w:spacing w:line="276" w:lineRule="auto"/>
              <w:jc w:val="center"/>
              <w:rPr>
                <w:sz w:val="20"/>
                <w:szCs w:val="20"/>
                <w:lang w:val="en-GB"/>
              </w:rPr>
            </w:pPr>
            <w:r w:rsidRPr="00562D0A">
              <w:rPr>
                <w:sz w:val="20"/>
                <w:szCs w:val="20"/>
                <w:lang w:val="en-GB"/>
              </w:rPr>
              <w:t xml:space="preserve">1845.97 </w:t>
            </w:r>
            <w:r w:rsidR="0097487C" w:rsidRPr="00562D0A">
              <w:rPr>
                <w:sz w:val="20"/>
                <w:szCs w:val="20"/>
                <w:lang w:val="en-GB"/>
              </w:rPr>
              <w:t>(0.000)</w:t>
            </w:r>
          </w:p>
        </w:tc>
        <w:tc>
          <w:tcPr>
            <w:tcW w:w="439" w:type="pct"/>
          </w:tcPr>
          <w:p w:rsidR="0097487C" w:rsidRPr="00562D0A" w:rsidRDefault="00736358" w:rsidP="00821FB1">
            <w:pPr>
              <w:widowControl w:val="0"/>
              <w:autoSpaceDE w:val="0"/>
              <w:autoSpaceDN w:val="0"/>
              <w:adjustRightInd w:val="0"/>
              <w:spacing w:line="276" w:lineRule="auto"/>
              <w:jc w:val="center"/>
              <w:rPr>
                <w:sz w:val="20"/>
                <w:szCs w:val="20"/>
                <w:lang w:val="en-GB"/>
              </w:rPr>
            </w:pPr>
            <w:r w:rsidRPr="00562D0A">
              <w:rPr>
                <w:sz w:val="20"/>
                <w:szCs w:val="20"/>
                <w:lang w:val="en-GB"/>
              </w:rPr>
              <w:t xml:space="preserve">1083.89 </w:t>
            </w:r>
            <w:r w:rsidR="0097487C" w:rsidRPr="00562D0A">
              <w:rPr>
                <w:sz w:val="20"/>
                <w:szCs w:val="20"/>
                <w:lang w:val="en-GB"/>
              </w:rPr>
              <w:t>(0.000)</w:t>
            </w:r>
          </w:p>
        </w:tc>
        <w:tc>
          <w:tcPr>
            <w:tcW w:w="593" w:type="pct"/>
          </w:tcPr>
          <w:p w:rsidR="0097487C" w:rsidRPr="00562D0A" w:rsidRDefault="0097487C" w:rsidP="00821FB1">
            <w:pPr>
              <w:widowControl w:val="0"/>
              <w:autoSpaceDE w:val="0"/>
              <w:autoSpaceDN w:val="0"/>
              <w:adjustRightInd w:val="0"/>
              <w:spacing w:line="276" w:lineRule="auto"/>
              <w:jc w:val="center"/>
              <w:rPr>
                <w:sz w:val="20"/>
                <w:szCs w:val="20"/>
                <w:lang w:val="en-GB"/>
              </w:rPr>
            </w:pPr>
          </w:p>
        </w:tc>
        <w:tc>
          <w:tcPr>
            <w:tcW w:w="397" w:type="pct"/>
          </w:tcPr>
          <w:p w:rsidR="0097487C" w:rsidRPr="00562D0A" w:rsidRDefault="0097487C" w:rsidP="0097487C">
            <w:pPr>
              <w:widowControl w:val="0"/>
              <w:autoSpaceDE w:val="0"/>
              <w:autoSpaceDN w:val="0"/>
              <w:adjustRightInd w:val="0"/>
              <w:spacing w:line="360" w:lineRule="auto"/>
              <w:jc w:val="center"/>
              <w:rPr>
                <w:sz w:val="20"/>
                <w:szCs w:val="20"/>
                <w:lang w:val="en-GB"/>
              </w:rPr>
            </w:pPr>
          </w:p>
        </w:tc>
        <w:tc>
          <w:tcPr>
            <w:tcW w:w="436" w:type="pct"/>
          </w:tcPr>
          <w:p w:rsidR="0097487C" w:rsidRPr="00562D0A" w:rsidRDefault="0097487C" w:rsidP="0097487C">
            <w:pPr>
              <w:widowControl w:val="0"/>
              <w:autoSpaceDE w:val="0"/>
              <w:autoSpaceDN w:val="0"/>
              <w:adjustRightInd w:val="0"/>
              <w:spacing w:line="360" w:lineRule="auto"/>
              <w:jc w:val="center"/>
              <w:rPr>
                <w:sz w:val="20"/>
                <w:szCs w:val="20"/>
                <w:lang w:val="en-GB"/>
              </w:rPr>
            </w:pPr>
          </w:p>
        </w:tc>
        <w:tc>
          <w:tcPr>
            <w:tcW w:w="516" w:type="pct"/>
          </w:tcPr>
          <w:p w:rsidR="0097487C" w:rsidRPr="00562D0A" w:rsidRDefault="0097487C" w:rsidP="0097487C">
            <w:pPr>
              <w:widowControl w:val="0"/>
              <w:autoSpaceDE w:val="0"/>
              <w:autoSpaceDN w:val="0"/>
              <w:adjustRightInd w:val="0"/>
              <w:spacing w:line="360" w:lineRule="auto"/>
              <w:jc w:val="center"/>
              <w:rPr>
                <w:sz w:val="20"/>
                <w:szCs w:val="20"/>
                <w:lang w:val="en-GB"/>
              </w:rPr>
            </w:pPr>
          </w:p>
        </w:tc>
      </w:tr>
      <w:tr w:rsidR="0097487C" w:rsidRPr="00562D0A" w:rsidTr="0097487C">
        <w:trPr>
          <w:jc w:val="center"/>
        </w:trPr>
        <w:tc>
          <w:tcPr>
            <w:tcW w:w="1189" w:type="pct"/>
          </w:tcPr>
          <w:p w:rsidR="0097487C" w:rsidRPr="00562D0A" w:rsidRDefault="0097487C" w:rsidP="0097487C">
            <w:pPr>
              <w:widowControl w:val="0"/>
              <w:autoSpaceDE w:val="0"/>
              <w:autoSpaceDN w:val="0"/>
              <w:adjustRightInd w:val="0"/>
              <w:spacing w:line="360" w:lineRule="auto"/>
              <w:rPr>
                <w:sz w:val="20"/>
                <w:szCs w:val="20"/>
                <w:lang w:val="en-GB"/>
              </w:rPr>
            </w:pPr>
            <w:r w:rsidRPr="00562D0A">
              <w:rPr>
                <w:sz w:val="20"/>
                <w:szCs w:val="20"/>
                <w:lang w:val="en-GB"/>
              </w:rPr>
              <w:lastRenderedPageBreak/>
              <w:t>Number of instruments</w:t>
            </w:r>
          </w:p>
        </w:tc>
        <w:tc>
          <w:tcPr>
            <w:tcW w:w="558" w:type="pct"/>
          </w:tcPr>
          <w:p w:rsidR="0097487C" w:rsidRPr="00562D0A" w:rsidRDefault="0097487C" w:rsidP="0097487C">
            <w:pPr>
              <w:widowControl w:val="0"/>
              <w:autoSpaceDE w:val="0"/>
              <w:autoSpaceDN w:val="0"/>
              <w:adjustRightInd w:val="0"/>
              <w:spacing w:line="360" w:lineRule="auto"/>
              <w:jc w:val="center"/>
              <w:rPr>
                <w:sz w:val="20"/>
                <w:szCs w:val="20"/>
                <w:lang w:val="en-GB"/>
              </w:rPr>
            </w:pPr>
          </w:p>
        </w:tc>
        <w:tc>
          <w:tcPr>
            <w:tcW w:w="436" w:type="pct"/>
          </w:tcPr>
          <w:p w:rsidR="0097487C" w:rsidRPr="00562D0A" w:rsidRDefault="0097487C" w:rsidP="0097487C">
            <w:pPr>
              <w:widowControl w:val="0"/>
              <w:autoSpaceDE w:val="0"/>
              <w:autoSpaceDN w:val="0"/>
              <w:adjustRightInd w:val="0"/>
              <w:spacing w:line="360" w:lineRule="auto"/>
              <w:jc w:val="center"/>
              <w:rPr>
                <w:sz w:val="20"/>
                <w:szCs w:val="20"/>
                <w:lang w:val="en-GB"/>
              </w:rPr>
            </w:pPr>
          </w:p>
        </w:tc>
        <w:tc>
          <w:tcPr>
            <w:tcW w:w="436" w:type="pct"/>
          </w:tcPr>
          <w:p w:rsidR="0097487C" w:rsidRPr="00562D0A" w:rsidRDefault="0097487C" w:rsidP="0097487C">
            <w:pPr>
              <w:widowControl w:val="0"/>
              <w:autoSpaceDE w:val="0"/>
              <w:autoSpaceDN w:val="0"/>
              <w:adjustRightInd w:val="0"/>
              <w:spacing w:line="360" w:lineRule="auto"/>
              <w:jc w:val="center"/>
              <w:rPr>
                <w:sz w:val="20"/>
                <w:szCs w:val="20"/>
                <w:lang w:val="en-GB"/>
              </w:rPr>
            </w:pPr>
          </w:p>
        </w:tc>
        <w:tc>
          <w:tcPr>
            <w:tcW w:w="439" w:type="pct"/>
          </w:tcPr>
          <w:p w:rsidR="0097487C" w:rsidRPr="00562D0A" w:rsidRDefault="0097487C" w:rsidP="0097487C">
            <w:pPr>
              <w:widowControl w:val="0"/>
              <w:autoSpaceDE w:val="0"/>
              <w:autoSpaceDN w:val="0"/>
              <w:adjustRightInd w:val="0"/>
              <w:spacing w:line="360" w:lineRule="auto"/>
              <w:jc w:val="center"/>
              <w:rPr>
                <w:sz w:val="20"/>
                <w:szCs w:val="20"/>
                <w:lang w:val="en-GB"/>
              </w:rPr>
            </w:pPr>
          </w:p>
        </w:tc>
        <w:tc>
          <w:tcPr>
            <w:tcW w:w="593" w:type="pct"/>
          </w:tcPr>
          <w:p w:rsidR="0097487C" w:rsidRPr="00562D0A" w:rsidRDefault="0097487C" w:rsidP="0097487C">
            <w:pPr>
              <w:widowControl w:val="0"/>
              <w:autoSpaceDE w:val="0"/>
              <w:autoSpaceDN w:val="0"/>
              <w:adjustRightInd w:val="0"/>
              <w:jc w:val="center"/>
              <w:rPr>
                <w:sz w:val="20"/>
                <w:szCs w:val="20"/>
                <w:lang w:val="en-GB"/>
              </w:rPr>
            </w:pPr>
            <w:r w:rsidRPr="00562D0A">
              <w:rPr>
                <w:sz w:val="20"/>
                <w:szCs w:val="20"/>
                <w:lang w:val="en-GB"/>
              </w:rPr>
              <w:t>23</w:t>
            </w:r>
          </w:p>
        </w:tc>
        <w:tc>
          <w:tcPr>
            <w:tcW w:w="397" w:type="pct"/>
          </w:tcPr>
          <w:p w:rsidR="0097487C" w:rsidRPr="00562D0A" w:rsidRDefault="0097487C" w:rsidP="0097487C">
            <w:pPr>
              <w:widowControl w:val="0"/>
              <w:autoSpaceDE w:val="0"/>
              <w:autoSpaceDN w:val="0"/>
              <w:adjustRightInd w:val="0"/>
              <w:spacing w:line="360" w:lineRule="auto"/>
              <w:jc w:val="center"/>
              <w:rPr>
                <w:sz w:val="20"/>
                <w:szCs w:val="20"/>
                <w:lang w:val="en-GB"/>
              </w:rPr>
            </w:pPr>
            <w:r w:rsidRPr="00562D0A">
              <w:rPr>
                <w:sz w:val="20"/>
                <w:szCs w:val="20"/>
                <w:lang w:val="en-GB"/>
              </w:rPr>
              <w:t>21</w:t>
            </w:r>
          </w:p>
        </w:tc>
        <w:tc>
          <w:tcPr>
            <w:tcW w:w="436" w:type="pct"/>
          </w:tcPr>
          <w:p w:rsidR="0097487C" w:rsidRPr="00562D0A" w:rsidRDefault="0097487C" w:rsidP="0097487C">
            <w:pPr>
              <w:widowControl w:val="0"/>
              <w:autoSpaceDE w:val="0"/>
              <w:autoSpaceDN w:val="0"/>
              <w:adjustRightInd w:val="0"/>
              <w:spacing w:line="360" w:lineRule="auto"/>
              <w:jc w:val="center"/>
              <w:rPr>
                <w:sz w:val="20"/>
                <w:szCs w:val="20"/>
                <w:lang w:val="en-GB"/>
              </w:rPr>
            </w:pPr>
            <w:r w:rsidRPr="00562D0A">
              <w:rPr>
                <w:sz w:val="20"/>
                <w:szCs w:val="20"/>
                <w:lang w:val="en-GB"/>
              </w:rPr>
              <w:t>23</w:t>
            </w:r>
          </w:p>
        </w:tc>
        <w:tc>
          <w:tcPr>
            <w:tcW w:w="516" w:type="pct"/>
          </w:tcPr>
          <w:p w:rsidR="0097487C" w:rsidRPr="00562D0A" w:rsidRDefault="0097487C" w:rsidP="0097487C">
            <w:pPr>
              <w:widowControl w:val="0"/>
              <w:autoSpaceDE w:val="0"/>
              <w:autoSpaceDN w:val="0"/>
              <w:adjustRightInd w:val="0"/>
              <w:spacing w:line="360" w:lineRule="auto"/>
              <w:jc w:val="center"/>
              <w:rPr>
                <w:sz w:val="20"/>
                <w:szCs w:val="20"/>
                <w:lang w:val="en-GB"/>
              </w:rPr>
            </w:pPr>
            <w:r w:rsidRPr="00562D0A">
              <w:rPr>
                <w:sz w:val="20"/>
                <w:szCs w:val="20"/>
                <w:lang w:val="en-GB"/>
              </w:rPr>
              <w:t>23</w:t>
            </w:r>
          </w:p>
        </w:tc>
      </w:tr>
      <w:tr w:rsidR="0097487C" w:rsidRPr="00562D0A" w:rsidTr="0097487C">
        <w:trPr>
          <w:jc w:val="center"/>
        </w:trPr>
        <w:tc>
          <w:tcPr>
            <w:tcW w:w="1189" w:type="pct"/>
          </w:tcPr>
          <w:p w:rsidR="0097487C" w:rsidRPr="00562D0A" w:rsidRDefault="0097487C" w:rsidP="0097487C">
            <w:pPr>
              <w:widowControl w:val="0"/>
              <w:autoSpaceDE w:val="0"/>
              <w:autoSpaceDN w:val="0"/>
              <w:adjustRightInd w:val="0"/>
              <w:rPr>
                <w:sz w:val="20"/>
                <w:szCs w:val="20"/>
                <w:lang w:val="en-GB"/>
              </w:rPr>
            </w:pPr>
            <w:r w:rsidRPr="00562D0A">
              <w:rPr>
                <w:sz w:val="20"/>
                <w:szCs w:val="20"/>
                <w:lang w:val="en-GB"/>
              </w:rPr>
              <w:t>Arellano-Bond test AR(1)</w:t>
            </w:r>
          </w:p>
        </w:tc>
        <w:tc>
          <w:tcPr>
            <w:tcW w:w="558" w:type="pct"/>
          </w:tcPr>
          <w:p w:rsidR="0097487C" w:rsidRPr="00562D0A" w:rsidRDefault="0097487C" w:rsidP="0097487C">
            <w:pPr>
              <w:widowControl w:val="0"/>
              <w:autoSpaceDE w:val="0"/>
              <w:autoSpaceDN w:val="0"/>
              <w:adjustRightInd w:val="0"/>
              <w:spacing w:line="360" w:lineRule="auto"/>
              <w:jc w:val="center"/>
              <w:rPr>
                <w:sz w:val="20"/>
                <w:szCs w:val="20"/>
                <w:lang w:val="en-GB"/>
              </w:rPr>
            </w:pPr>
          </w:p>
        </w:tc>
        <w:tc>
          <w:tcPr>
            <w:tcW w:w="436" w:type="pct"/>
          </w:tcPr>
          <w:p w:rsidR="0097487C" w:rsidRPr="00562D0A" w:rsidRDefault="0097487C" w:rsidP="0097487C">
            <w:pPr>
              <w:widowControl w:val="0"/>
              <w:autoSpaceDE w:val="0"/>
              <w:autoSpaceDN w:val="0"/>
              <w:adjustRightInd w:val="0"/>
              <w:spacing w:line="360" w:lineRule="auto"/>
              <w:jc w:val="center"/>
              <w:rPr>
                <w:sz w:val="20"/>
                <w:szCs w:val="20"/>
                <w:lang w:val="en-GB"/>
              </w:rPr>
            </w:pPr>
          </w:p>
        </w:tc>
        <w:tc>
          <w:tcPr>
            <w:tcW w:w="436" w:type="pct"/>
          </w:tcPr>
          <w:p w:rsidR="0097487C" w:rsidRPr="00562D0A" w:rsidRDefault="0097487C" w:rsidP="0097487C">
            <w:pPr>
              <w:widowControl w:val="0"/>
              <w:autoSpaceDE w:val="0"/>
              <w:autoSpaceDN w:val="0"/>
              <w:adjustRightInd w:val="0"/>
              <w:spacing w:line="360" w:lineRule="auto"/>
              <w:jc w:val="center"/>
              <w:rPr>
                <w:sz w:val="20"/>
                <w:szCs w:val="20"/>
                <w:lang w:val="en-GB"/>
              </w:rPr>
            </w:pPr>
          </w:p>
        </w:tc>
        <w:tc>
          <w:tcPr>
            <w:tcW w:w="439" w:type="pct"/>
          </w:tcPr>
          <w:p w:rsidR="0097487C" w:rsidRPr="00562D0A" w:rsidRDefault="0097487C" w:rsidP="0097487C">
            <w:pPr>
              <w:widowControl w:val="0"/>
              <w:autoSpaceDE w:val="0"/>
              <w:autoSpaceDN w:val="0"/>
              <w:adjustRightInd w:val="0"/>
              <w:spacing w:line="360" w:lineRule="auto"/>
              <w:jc w:val="center"/>
              <w:rPr>
                <w:sz w:val="20"/>
                <w:szCs w:val="20"/>
                <w:lang w:val="en-GB"/>
              </w:rPr>
            </w:pPr>
          </w:p>
        </w:tc>
        <w:tc>
          <w:tcPr>
            <w:tcW w:w="593" w:type="pct"/>
          </w:tcPr>
          <w:p w:rsidR="0097487C" w:rsidRPr="00562D0A" w:rsidRDefault="007D229D" w:rsidP="0097487C">
            <w:pPr>
              <w:widowControl w:val="0"/>
              <w:autoSpaceDE w:val="0"/>
              <w:autoSpaceDN w:val="0"/>
              <w:adjustRightInd w:val="0"/>
              <w:jc w:val="center"/>
              <w:rPr>
                <w:sz w:val="20"/>
                <w:szCs w:val="20"/>
                <w:lang w:val="en-GB"/>
              </w:rPr>
            </w:pPr>
            <w:r w:rsidRPr="00562D0A">
              <w:rPr>
                <w:sz w:val="20"/>
                <w:szCs w:val="20"/>
                <w:lang w:val="en-GB"/>
              </w:rPr>
              <w:t>-3.03</w:t>
            </w:r>
          </w:p>
          <w:p w:rsidR="0097487C" w:rsidRPr="00562D0A" w:rsidRDefault="0097487C" w:rsidP="0097487C">
            <w:pPr>
              <w:widowControl w:val="0"/>
              <w:autoSpaceDE w:val="0"/>
              <w:autoSpaceDN w:val="0"/>
              <w:adjustRightInd w:val="0"/>
              <w:jc w:val="center"/>
              <w:rPr>
                <w:sz w:val="20"/>
                <w:szCs w:val="20"/>
                <w:lang w:val="en-GB"/>
              </w:rPr>
            </w:pPr>
            <w:r w:rsidRPr="00562D0A">
              <w:rPr>
                <w:sz w:val="20"/>
                <w:szCs w:val="20"/>
                <w:lang w:val="en-GB"/>
              </w:rPr>
              <w:t>(</w:t>
            </w:r>
            <w:r w:rsidR="007D229D" w:rsidRPr="00562D0A">
              <w:rPr>
                <w:sz w:val="20"/>
                <w:szCs w:val="20"/>
                <w:lang w:val="en-GB"/>
              </w:rPr>
              <w:t>0.002</w:t>
            </w:r>
            <w:r w:rsidRPr="00562D0A">
              <w:rPr>
                <w:sz w:val="20"/>
                <w:szCs w:val="20"/>
                <w:lang w:val="en-GB"/>
              </w:rPr>
              <w:t>)</w:t>
            </w:r>
          </w:p>
        </w:tc>
        <w:tc>
          <w:tcPr>
            <w:tcW w:w="397" w:type="pct"/>
          </w:tcPr>
          <w:p w:rsidR="0097487C" w:rsidRPr="00562D0A" w:rsidRDefault="007D229D" w:rsidP="0097487C">
            <w:pPr>
              <w:widowControl w:val="0"/>
              <w:autoSpaceDE w:val="0"/>
              <w:autoSpaceDN w:val="0"/>
              <w:adjustRightInd w:val="0"/>
              <w:jc w:val="center"/>
              <w:rPr>
                <w:sz w:val="20"/>
                <w:szCs w:val="20"/>
                <w:lang w:val="en-GB"/>
              </w:rPr>
            </w:pPr>
            <w:r w:rsidRPr="00562D0A">
              <w:rPr>
                <w:sz w:val="20"/>
                <w:szCs w:val="20"/>
                <w:lang w:val="en-GB"/>
              </w:rPr>
              <w:t>0.94</w:t>
            </w:r>
          </w:p>
          <w:p w:rsidR="0097487C" w:rsidRPr="00562D0A" w:rsidRDefault="0097487C" w:rsidP="0097487C">
            <w:pPr>
              <w:widowControl w:val="0"/>
              <w:autoSpaceDE w:val="0"/>
              <w:autoSpaceDN w:val="0"/>
              <w:adjustRightInd w:val="0"/>
              <w:jc w:val="center"/>
              <w:rPr>
                <w:sz w:val="20"/>
                <w:szCs w:val="20"/>
                <w:lang w:val="en-GB"/>
              </w:rPr>
            </w:pPr>
            <w:r w:rsidRPr="00562D0A">
              <w:rPr>
                <w:sz w:val="20"/>
                <w:szCs w:val="20"/>
                <w:lang w:val="en-GB"/>
              </w:rPr>
              <w:t>(</w:t>
            </w:r>
            <w:r w:rsidR="007D229D" w:rsidRPr="00562D0A">
              <w:rPr>
                <w:sz w:val="20"/>
                <w:szCs w:val="20"/>
                <w:lang w:val="en-GB"/>
              </w:rPr>
              <w:t>0.345</w:t>
            </w:r>
            <w:r w:rsidRPr="00562D0A">
              <w:rPr>
                <w:sz w:val="20"/>
                <w:szCs w:val="20"/>
                <w:lang w:val="en-GB"/>
              </w:rPr>
              <w:t>)</w:t>
            </w:r>
          </w:p>
        </w:tc>
        <w:tc>
          <w:tcPr>
            <w:tcW w:w="436" w:type="pct"/>
          </w:tcPr>
          <w:p w:rsidR="0097487C" w:rsidRPr="00562D0A" w:rsidRDefault="00736358" w:rsidP="0097487C">
            <w:pPr>
              <w:widowControl w:val="0"/>
              <w:autoSpaceDE w:val="0"/>
              <w:autoSpaceDN w:val="0"/>
              <w:adjustRightInd w:val="0"/>
              <w:jc w:val="center"/>
              <w:rPr>
                <w:sz w:val="20"/>
                <w:szCs w:val="20"/>
                <w:lang w:val="en-GB"/>
              </w:rPr>
            </w:pPr>
            <w:r w:rsidRPr="00562D0A">
              <w:rPr>
                <w:sz w:val="20"/>
                <w:szCs w:val="20"/>
                <w:lang w:val="en-GB"/>
              </w:rPr>
              <w:t>-2.86 (0.004</w:t>
            </w:r>
            <w:r w:rsidR="0097487C" w:rsidRPr="00562D0A">
              <w:rPr>
                <w:sz w:val="20"/>
                <w:szCs w:val="20"/>
                <w:lang w:val="en-GB"/>
              </w:rPr>
              <w:t>)</w:t>
            </w:r>
          </w:p>
        </w:tc>
        <w:tc>
          <w:tcPr>
            <w:tcW w:w="516" w:type="pct"/>
          </w:tcPr>
          <w:p w:rsidR="0097487C" w:rsidRPr="00562D0A" w:rsidRDefault="00736358" w:rsidP="0097487C">
            <w:pPr>
              <w:widowControl w:val="0"/>
              <w:autoSpaceDE w:val="0"/>
              <w:autoSpaceDN w:val="0"/>
              <w:adjustRightInd w:val="0"/>
              <w:jc w:val="center"/>
              <w:rPr>
                <w:sz w:val="20"/>
                <w:szCs w:val="20"/>
                <w:lang w:val="en-GB"/>
              </w:rPr>
            </w:pPr>
            <w:r w:rsidRPr="00562D0A">
              <w:rPr>
                <w:sz w:val="20"/>
                <w:szCs w:val="20"/>
                <w:lang w:val="en-GB"/>
              </w:rPr>
              <w:t>-2.00</w:t>
            </w:r>
          </w:p>
          <w:p w:rsidR="0097487C" w:rsidRPr="00562D0A" w:rsidRDefault="00736358" w:rsidP="0097487C">
            <w:pPr>
              <w:widowControl w:val="0"/>
              <w:autoSpaceDE w:val="0"/>
              <w:autoSpaceDN w:val="0"/>
              <w:adjustRightInd w:val="0"/>
              <w:jc w:val="center"/>
              <w:rPr>
                <w:sz w:val="20"/>
                <w:szCs w:val="20"/>
                <w:lang w:val="en-GB"/>
              </w:rPr>
            </w:pPr>
            <w:r w:rsidRPr="00562D0A">
              <w:rPr>
                <w:sz w:val="20"/>
                <w:szCs w:val="20"/>
                <w:lang w:val="en-GB"/>
              </w:rPr>
              <w:t>(0.046</w:t>
            </w:r>
            <w:r w:rsidR="0097487C" w:rsidRPr="00562D0A">
              <w:rPr>
                <w:sz w:val="20"/>
                <w:szCs w:val="20"/>
                <w:lang w:val="en-GB"/>
              </w:rPr>
              <w:t>)</w:t>
            </w:r>
          </w:p>
        </w:tc>
      </w:tr>
      <w:tr w:rsidR="0097487C" w:rsidRPr="00562D0A" w:rsidTr="0097487C">
        <w:trPr>
          <w:jc w:val="center"/>
        </w:trPr>
        <w:tc>
          <w:tcPr>
            <w:tcW w:w="1189" w:type="pct"/>
          </w:tcPr>
          <w:p w:rsidR="0097487C" w:rsidRPr="00562D0A" w:rsidRDefault="0097487C" w:rsidP="0097487C">
            <w:pPr>
              <w:widowControl w:val="0"/>
              <w:autoSpaceDE w:val="0"/>
              <w:autoSpaceDN w:val="0"/>
              <w:adjustRightInd w:val="0"/>
              <w:rPr>
                <w:iCs/>
                <w:sz w:val="20"/>
                <w:szCs w:val="20"/>
                <w:lang w:val="en-GB"/>
              </w:rPr>
            </w:pPr>
            <w:r w:rsidRPr="00562D0A">
              <w:rPr>
                <w:sz w:val="20"/>
                <w:szCs w:val="20"/>
                <w:lang w:val="en-GB"/>
              </w:rPr>
              <w:t>Arellano-Bond test AR(2)</w:t>
            </w:r>
          </w:p>
        </w:tc>
        <w:tc>
          <w:tcPr>
            <w:tcW w:w="558" w:type="pct"/>
          </w:tcPr>
          <w:p w:rsidR="0097487C" w:rsidRPr="00562D0A" w:rsidRDefault="0097487C" w:rsidP="0097487C">
            <w:pPr>
              <w:widowControl w:val="0"/>
              <w:autoSpaceDE w:val="0"/>
              <w:autoSpaceDN w:val="0"/>
              <w:adjustRightInd w:val="0"/>
              <w:spacing w:line="360" w:lineRule="auto"/>
              <w:jc w:val="center"/>
              <w:rPr>
                <w:sz w:val="20"/>
                <w:szCs w:val="20"/>
                <w:lang w:val="en-GB"/>
              </w:rPr>
            </w:pPr>
          </w:p>
        </w:tc>
        <w:tc>
          <w:tcPr>
            <w:tcW w:w="436" w:type="pct"/>
          </w:tcPr>
          <w:p w:rsidR="0097487C" w:rsidRPr="00562D0A" w:rsidRDefault="0097487C" w:rsidP="0097487C">
            <w:pPr>
              <w:widowControl w:val="0"/>
              <w:autoSpaceDE w:val="0"/>
              <w:autoSpaceDN w:val="0"/>
              <w:adjustRightInd w:val="0"/>
              <w:spacing w:line="360" w:lineRule="auto"/>
              <w:jc w:val="center"/>
              <w:rPr>
                <w:sz w:val="20"/>
                <w:szCs w:val="20"/>
                <w:lang w:val="en-GB"/>
              </w:rPr>
            </w:pPr>
          </w:p>
        </w:tc>
        <w:tc>
          <w:tcPr>
            <w:tcW w:w="436" w:type="pct"/>
          </w:tcPr>
          <w:p w:rsidR="0097487C" w:rsidRPr="00562D0A" w:rsidRDefault="0097487C" w:rsidP="0097487C">
            <w:pPr>
              <w:widowControl w:val="0"/>
              <w:autoSpaceDE w:val="0"/>
              <w:autoSpaceDN w:val="0"/>
              <w:adjustRightInd w:val="0"/>
              <w:spacing w:line="360" w:lineRule="auto"/>
              <w:jc w:val="center"/>
              <w:rPr>
                <w:sz w:val="20"/>
                <w:szCs w:val="20"/>
                <w:lang w:val="en-GB"/>
              </w:rPr>
            </w:pPr>
          </w:p>
        </w:tc>
        <w:tc>
          <w:tcPr>
            <w:tcW w:w="439" w:type="pct"/>
          </w:tcPr>
          <w:p w:rsidR="0097487C" w:rsidRPr="00562D0A" w:rsidRDefault="0097487C" w:rsidP="0097487C">
            <w:pPr>
              <w:widowControl w:val="0"/>
              <w:autoSpaceDE w:val="0"/>
              <w:autoSpaceDN w:val="0"/>
              <w:adjustRightInd w:val="0"/>
              <w:spacing w:line="360" w:lineRule="auto"/>
              <w:jc w:val="center"/>
              <w:rPr>
                <w:sz w:val="20"/>
                <w:szCs w:val="20"/>
                <w:lang w:val="en-GB"/>
              </w:rPr>
            </w:pPr>
          </w:p>
        </w:tc>
        <w:tc>
          <w:tcPr>
            <w:tcW w:w="593" w:type="pct"/>
          </w:tcPr>
          <w:p w:rsidR="0097487C" w:rsidRPr="00562D0A" w:rsidRDefault="0097487C" w:rsidP="0097487C">
            <w:pPr>
              <w:widowControl w:val="0"/>
              <w:autoSpaceDE w:val="0"/>
              <w:autoSpaceDN w:val="0"/>
              <w:adjustRightInd w:val="0"/>
              <w:jc w:val="center"/>
              <w:rPr>
                <w:sz w:val="20"/>
                <w:szCs w:val="20"/>
                <w:lang w:val="en-GB"/>
              </w:rPr>
            </w:pPr>
            <w:r w:rsidRPr="00562D0A">
              <w:rPr>
                <w:sz w:val="20"/>
                <w:szCs w:val="20"/>
                <w:lang w:val="en-GB"/>
              </w:rPr>
              <w:t>0.76</w:t>
            </w:r>
          </w:p>
          <w:p w:rsidR="0097487C" w:rsidRPr="00562D0A" w:rsidRDefault="0097487C" w:rsidP="0097487C">
            <w:pPr>
              <w:widowControl w:val="0"/>
              <w:autoSpaceDE w:val="0"/>
              <w:autoSpaceDN w:val="0"/>
              <w:adjustRightInd w:val="0"/>
              <w:jc w:val="center"/>
              <w:rPr>
                <w:sz w:val="20"/>
                <w:szCs w:val="20"/>
                <w:lang w:val="en-GB"/>
              </w:rPr>
            </w:pPr>
            <w:r w:rsidRPr="00562D0A">
              <w:rPr>
                <w:sz w:val="20"/>
                <w:szCs w:val="20"/>
                <w:lang w:val="en-GB"/>
              </w:rPr>
              <w:t>(0.448)</w:t>
            </w:r>
          </w:p>
        </w:tc>
        <w:tc>
          <w:tcPr>
            <w:tcW w:w="397" w:type="pct"/>
          </w:tcPr>
          <w:p w:rsidR="0097487C" w:rsidRPr="00562D0A" w:rsidRDefault="0097487C" w:rsidP="0097487C">
            <w:pPr>
              <w:widowControl w:val="0"/>
              <w:autoSpaceDE w:val="0"/>
              <w:autoSpaceDN w:val="0"/>
              <w:adjustRightInd w:val="0"/>
              <w:jc w:val="center"/>
              <w:rPr>
                <w:sz w:val="20"/>
                <w:szCs w:val="20"/>
                <w:lang w:val="en-GB"/>
              </w:rPr>
            </w:pPr>
            <w:r w:rsidRPr="00562D0A">
              <w:rPr>
                <w:sz w:val="20"/>
                <w:szCs w:val="20"/>
                <w:lang w:val="en-GB"/>
              </w:rPr>
              <w:t>0.</w:t>
            </w:r>
            <w:r w:rsidR="007D229D" w:rsidRPr="00562D0A">
              <w:rPr>
                <w:sz w:val="20"/>
                <w:szCs w:val="20"/>
                <w:lang w:val="en-GB"/>
              </w:rPr>
              <w:t>02</w:t>
            </w:r>
          </w:p>
          <w:p w:rsidR="0097487C" w:rsidRPr="00562D0A" w:rsidRDefault="0097487C" w:rsidP="0097487C">
            <w:pPr>
              <w:widowControl w:val="0"/>
              <w:autoSpaceDE w:val="0"/>
              <w:autoSpaceDN w:val="0"/>
              <w:adjustRightInd w:val="0"/>
              <w:jc w:val="center"/>
              <w:rPr>
                <w:sz w:val="20"/>
                <w:szCs w:val="20"/>
                <w:lang w:val="en-GB"/>
              </w:rPr>
            </w:pPr>
            <w:r w:rsidRPr="00562D0A">
              <w:rPr>
                <w:sz w:val="20"/>
                <w:szCs w:val="20"/>
                <w:lang w:val="en-GB"/>
              </w:rPr>
              <w:t>(</w:t>
            </w:r>
            <w:r w:rsidR="007D229D" w:rsidRPr="00562D0A">
              <w:rPr>
                <w:sz w:val="20"/>
                <w:szCs w:val="20"/>
                <w:lang w:val="en-GB"/>
              </w:rPr>
              <w:t>0.980</w:t>
            </w:r>
            <w:r w:rsidRPr="00562D0A">
              <w:rPr>
                <w:sz w:val="20"/>
                <w:szCs w:val="20"/>
                <w:lang w:val="en-GB"/>
              </w:rPr>
              <w:t>)</w:t>
            </w:r>
          </w:p>
        </w:tc>
        <w:tc>
          <w:tcPr>
            <w:tcW w:w="436" w:type="pct"/>
          </w:tcPr>
          <w:p w:rsidR="0097487C" w:rsidRPr="00562D0A" w:rsidRDefault="00736358" w:rsidP="0097487C">
            <w:pPr>
              <w:widowControl w:val="0"/>
              <w:autoSpaceDE w:val="0"/>
              <w:autoSpaceDN w:val="0"/>
              <w:adjustRightInd w:val="0"/>
              <w:jc w:val="center"/>
              <w:rPr>
                <w:sz w:val="20"/>
                <w:szCs w:val="20"/>
                <w:lang w:val="en-GB"/>
              </w:rPr>
            </w:pPr>
            <w:r w:rsidRPr="00562D0A">
              <w:rPr>
                <w:sz w:val="20"/>
                <w:szCs w:val="20"/>
                <w:lang w:val="en-GB"/>
              </w:rPr>
              <w:t>0.29</w:t>
            </w:r>
          </w:p>
          <w:p w:rsidR="0097487C" w:rsidRPr="00562D0A" w:rsidRDefault="0097487C" w:rsidP="00736358">
            <w:pPr>
              <w:widowControl w:val="0"/>
              <w:autoSpaceDE w:val="0"/>
              <w:autoSpaceDN w:val="0"/>
              <w:adjustRightInd w:val="0"/>
              <w:jc w:val="center"/>
              <w:rPr>
                <w:sz w:val="20"/>
                <w:szCs w:val="20"/>
                <w:lang w:val="en-GB"/>
              </w:rPr>
            </w:pPr>
            <w:r w:rsidRPr="00562D0A">
              <w:rPr>
                <w:sz w:val="20"/>
                <w:szCs w:val="20"/>
                <w:lang w:val="en-GB"/>
              </w:rPr>
              <w:t>(</w:t>
            </w:r>
            <w:r w:rsidR="00736358" w:rsidRPr="00562D0A">
              <w:rPr>
                <w:sz w:val="20"/>
                <w:szCs w:val="20"/>
                <w:lang w:val="en-GB"/>
              </w:rPr>
              <w:t>0.776</w:t>
            </w:r>
            <w:r w:rsidRPr="00562D0A">
              <w:rPr>
                <w:sz w:val="20"/>
                <w:szCs w:val="20"/>
                <w:lang w:val="en-GB"/>
              </w:rPr>
              <w:t>)</w:t>
            </w:r>
          </w:p>
        </w:tc>
        <w:tc>
          <w:tcPr>
            <w:tcW w:w="516" w:type="pct"/>
          </w:tcPr>
          <w:p w:rsidR="0097487C" w:rsidRPr="00562D0A" w:rsidRDefault="00736358" w:rsidP="0097487C">
            <w:pPr>
              <w:widowControl w:val="0"/>
              <w:autoSpaceDE w:val="0"/>
              <w:autoSpaceDN w:val="0"/>
              <w:adjustRightInd w:val="0"/>
              <w:jc w:val="center"/>
              <w:rPr>
                <w:sz w:val="20"/>
                <w:szCs w:val="20"/>
                <w:lang w:val="en-GB"/>
              </w:rPr>
            </w:pPr>
            <w:r w:rsidRPr="00562D0A">
              <w:rPr>
                <w:sz w:val="20"/>
                <w:szCs w:val="20"/>
                <w:lang w:val="en-GB"/>
              </w:rPr>
              <w:t>-1.34</w:t>
            </w:r>
          </w:p>
          <w:p w:rsidR="0097487C" w:rsidRPr="00562D0A" w:rsidRDefault="00736358" w:rsidP="0097487C">
            <w:pPr>
              <w:widowControl w:val="0"/>
              <w:autoSpaceDE w:val="0"/>
              <w:autoSpaceDN w:val="0"/>
              <w:adjustRightInd w:val="0"/>
              <w:jc w:val="center"/>
              <w:rPr>
                <w:sz w:val="20"/>
                <w:szCs w:val="20"/>
                <w:lang w:val="en-GB"/>
              </w:rPr>
            </w:pPr>
            <w:r w:rsidRPr="00562D0A">
              <w:rPr>
                <w:sz w:val="20"/>
                <w:szCs w:val="20"/>
                <w:lang w:val="en-GB"/>
              </w:rPr>
              <w:t>(0.181</w:t>
            </w:r>
            <w:r w:rsidR="0097487C" w:rsidRPr="00562D0A">
              <w:rPr>
                <w:sz w:val="20"/>
                <w:szCs w:val="20"/>
                <w:lang w:val="en-GB"/>
              </w:rPr>
              <w:t>)</w:t>
            </w:r>
          </w:p>
        </w:tc>
      </w:tr>
      <w:tr w:rsidR="0097487C" w:rsidRPr="00562D0A" w:rsidTr="0097487C">
        <w:trPr>
          <w:jc w:val="center"/>
        </w:trPr>
        <w:tc>
          <w:tcPr>
            <w:tcW w:w="1189" w:type="pct"/>
          </w:tcPr>
          <w:p w:rsidR="0097487C" w:rsidRPr="00562D0A" w:rsidRDefault="0097487C" w:rsidP="0097487C">
            <w:pPr>
              <w:widowControl w:val="0"/>
              <w:autoSpaceDE w:val="0"/>
              <w:autoSpaceDN w:val="0"/>
              <w:adjustRightInd w:val="0"/>
              <w:rPr>
                <w:sz w:val="20"/>
                <w:szCs w:val="20"/>
                <w:lang w:val="en-GB"/>
              </w:rPr>
            </w:pPr>
            <w:r w:rsidRPr="00562D0A">
              <w:rPr>
                <w:sz w:val="20"/>
                <w:szCs w:val="20"/>
                <w:lang w:val="en-GB"/>
              </w:rPr>
              <w:t>Sargan test of overidentifying  restrictions</w:t>
            </w:r>
          </w:p>
        </w:tc>
        <w:tc>
          <w:tcPr>
            <w:tcW w:w="558" w:type="pct"/>
          </w:tcPr>
          <w:p w:rsidR="0097487C" w:rsidRPr="00562D0A" w:rsidRDefault="0097487C" w:rsidP="0097487C">
            <w:pPr>
              <w:widowControl w:val="0"/>
              <w:autoSpaceDE w:val="0"/>
              <w:autoSpaceDN w:val="0"/>
              <w:adjustRightInd w:val="0"/>
              <w:spacing w:line="360" w:lineRule="auto"/>
              <w:jc w:val="center"/>
              <w:rPr>
                <w:sz w:val="20"/>
                <w:szCs w:val="20"/>
                <w:lang w:val="en-GB"/>
              </w:rPr>
            </w:pPr>
          </w:p>
        </w:tc>
        <w:tc>
          <w:tcPr>
            <w:tcW w:w="436" w:type="pct"/>
          </w:tcPr>
          <w:p w:rsidR="0097487C" w:rsidRPr="00562D0A" w:rsidRDefault="0097487C" w:rsidP="0097487C">
            <w:pPr>
              <w:widowControl w:val="0"/>
              <w:autoSpaceDE w:val="0"/>
              <w:autoSpaceDN w:val="0"/>
              <w:adjustRightInd w:val="0"/>
              <w:spacing w:line="360" w:lineRule="auto"/>
              <w:jc w:val="center"/>
              <w:rPr>
                <w:sz w:val="20"/>
                <w:szCs w:val="20"/>
                <w:lang w:val="en-GB"/>
              </w:rPr>
            </w:pPr>
          </w:p>
        </w:tc>
        <w:tc>
          <w:tcPr>
            <w:tcW w:w="436" w:type="pct"/>
          </w:tcPr>
          <w:p w:rsidR="0097487C" w:rsidRPr="00562D0A" w:rsidRDefault="0097487C" w:rsidP="0097487C">
            <w:pPr>
              <w:widowControl w:val="0"/>
              <w:autoSpaceDE w:val="0"/>
              <w:autoSpaceDN w:val="0"/>
              <w:adjustRightInd w:val="0"/>
              <w:spacing w:line="360" w:lineRule="auto"/>
              <w:jc w:val="center"/>
              <w:rPr>
                <w:sz w:val="20"/>
                <w:szCs w:val="20"/>
                <w:lang w:val="en-GB"/>
              </w:rPr>
            </w:pPr>
          </w:p>
        </w:tc>
        <w:tc>
          <w:tcPr>
            <w:tcW w:w="439" w:type="pct"/>
          </w:tcPr>
          <w:p w:rsidR="0097487C" w:rsidRPr="00562D0A" w:rsidRDefault="0097487C" w:rsidP="0097487C">
            <w:pPr>
              <w:widowControl w:val="0"/>
              <w:autoSpaceDE w:val="0"/>
              <w:autoSpaceDN w:val="0"/>
              <w:adjustRightInd w:val="0"/>
              <w:spacing w:line="360" w:lineRule="auto"/>
              <w:jc w:val="center"/>
              <w:rPr>
                <w:sz w:val="20"/>
                <w:szCs w:val="20"/>
                <w:lang w:val="en-GB"/>
              </w:rPr>
            </w:pPr>
          </w:p>
        </w:tc>
        <w:tc>
          <w:tcPr>
            <w:tcW w:w="593" w:type="pct"/>
          </w:tcPr>
          <w:p w:rsidR="0097487C" w:rsidRPr="00562D0A" w:rsidRDefault="007D229D" w:rsidP="0097487C">
            <w:pPr>
              <w:widowControl w:val="0"/>
              <w:autoSpaceDE w:val="0"/>
              <w:autoSpaceDN w:val="0"/>
              <w:adjustRightInd w:val="0"/>
              <w:jc w:val="center"/>
              <w:rPr>
                <w:sz w:val="20"/>
                <w:szCs w:val="20"/>
                <w:lang w:val="en-GB"/>
              </w:rPr>
            </w:pPr>
            <w:r w:rsidRPr="00562D0A">
              <w:rPr>
                <w:sz w:val="20"/>
                <w:szCs w:val="20"/>
                <w:lang w:val="en-GB"/>
              </w:rPr>
              <w:t>1.73</w:t>
            </w:r>
          </w:p>
          <w:p w:rsidR="0097487C" w:rsidRPr="00562D0A" w:rsidRDefault="0097487C" w:rsidP="0097487C">
            <w:pPr>
              <w:widowControl w:val="0"/>
              <w:autoSpaceDE w:val="0"/>
              <w:autoSpaceDN w:val="0"/>
              <w:adjustRightInd w:val="0"/>
              <w:jc w:val="center"/>
              <w:rPr>
                <w:sz w:val="20"/>
                <w:szCs w:val="20"/>
                <w:lang w:val="en-GB"/>
              </w:rPr>
            </w:pPr>
            <w:r w:rsidRPr="00562D0A">
              <w:rPr>
                <w:sz w:val="20"/>
                <w:szCs w:val="20"/>
                <w:lang w:val="en-GB"/>
              </w:rPr>
              <w:t>(</w:t>
            </w:r>
            <w:r w:rsidR="007D229D" w:rsidRPr="00562D0A">
              <w:rPr>
                <w:sz w:val="20"/>
                <w:szCs w:val="20"/>
                <w:lang w:val="en-GB"/>
              </w:rPr>
              <w:t>0.943</w:t>
            </w:r>
            <w:r w:rsidRPr="00562D0A">
              <w:rPr>
                <w:sz w:val="20"/>
                <w:szCs w:val="20"/>
                <w:lang w:val="en-GB"/>
              </w:rPr>
              <w:t>)</w:t>
            </w:r>
          </w:p>
        </w:tc>
        <w:tc>
          <w:tcPr>
            <w:tcW w:w="397" w:type="pct"/>
          </w:tcPr>
          <w:p w:rsidR="0097487C" w:rsidRPr="00562D0A" w:rsidRDefault="007D229D" w:rsidP="0097487C">
            <w:pPr>
              <w:widowControl w:val="0"/>
              <w:autoSpaceDE w:val="0"/>
              <w:autoSpaceDN w:val="0"/>
              <w:adjustRightInd w:val="0"/>
              <w:jc w:val="center"/>
              <w:rPr>
                <w:sz w:val="20"/>
                <w:szCs w:val="20"/>
                <w:lang w:val="en-GB"/>
              </w:rPr>
            </w:pPr>
            <w:r w:rsidRPr="00562D0A">
              <w:rPr>
                <w:sz w:val="20"/>
                <w:szCs w:val="20"/>
                <w:lang w:val="en-GB"/>
              </w:rPr>
              <w:t>4.84</w:t>
            </w:r>
          </w:p>
          <w:p w:rsidR="0097487C" w:rsidRPr="00562D0A" w:rsidRDefault="0097487C" w:rsidP="0097487C">
            <w:pPr>
              <w:widowControl w:val="0"/>
              <w:autoSpaceDE w:val="0"/>
              <w:autoSpaceDN w:val="0"/>
              <w:adjustRightInd w:val="0"/>
              <w:jc w:val="center"/>
              <w:rPr>
                <w:sz w:val="20"/>
                <w:szCs w:val="20"/>
                <w:lang w:val="en-GB"/>
              </w:rPr>
            </w:pPr>
            <w:r w:rsidRPr="00562D0A">
              <w:rPr>
                <w:sz w:val="20"/>
                <w:szCs w:val="20"/>
                <w:lang w:val="en-GB"/>
              </w:rPr>
              <w:t>(</w:t>
            </w:r>
            <w:r w:rsidR="007D229D" w:rsidRPr="00562D0A">
              <w:rPr>
                <w:sz w:val="20"/>
                <w:szCs w:val="20"/>
                <w:lang w:val="en-GB"/>
              </w:rPr>
              <w:t>0.848</w:t>
            </w:r>
            <w:r w:rsidRPr="00562D0A">
              <w:rPr>
                <w:sz w:val="20"/>
                <w:szCs w:val="20"/>
                <w:lang w:val="en-GB"/>
              </w:rPr>
              <w:t>)</w:t>
            </w:r>
          </w:p>
        </w:tc>
        <w:tc>
          <w:tcPr>
            <w:tcW w:w="436" w:type="pct"/>
          </w:tcPr>
          <w:p w:rsidR="0097487C" w:rsidRPr="00562D0A" w:rsidRDefault="00736358" w:rsidP="0097487C">
            <w:pPr>
              <w:widowControl w:val="0"/>
              <w:autoSpaceDE w:val="0"/>
              <w:autoSpaceDN w:val="0"/>
              <w:adjustRightInd w:val="0"/>
              <w:jc w:val="center"/>
              <w:rPr>
                <w:sz w:val="20"/>
                <w:szCs w:val="20"/>
                <w:lang w:val="en-GB"/>
              </w:rPr>
            </w:pPr>
            <w:r w:rsidRPr="00562D0A">
              <w:rPr>
                <w:sz w:val="20"/>
                <w:szCs w:val="20"/>
                <w:lang w:val="en-GB"/>
              </w:rPr>
              <w:t>2.59</w:t>
            </w:r>
          </w:p>
          <w:p w:rsidR="0097487C" w:rsidRPr="00562D0A" w:rsidRDefault="0097487C" w:rsidP="0097487C">
            <w:pPr>
              <w:widowControl w:val="0"/>
              <w:autoSpaceDE w:val="0"/>
              <w:autoSpaceDN w:val="0"/>
              <w:adjustRightInd w:val="0"/>
              <w:jc w:val="center"/>
              <w:rPr>
                <w:sz w:val="20"/>
                <w:szCs w:val="20"/>
                <w:lang w:val="en-GB"/>
              </w:rPr>
            </w:pPr>
            <w:r w:rsidRPr="00562D0A">
              <w:rPr>
                <w:sz w:val="20"/>
                <w:szCs w:val="20"/>
                <w:lang w:val="en-GB"/>
              </w:rPr>
              <w:t>(</w:t>
            </w:r>
            <w:r w:rsidR="00736358" w:rsidRPr="00562D0A">
              <w:rPr>
                <w:sz w:val="20"/>
                <w:szCs w:val="20"/>
                <w:lang w:val="en-GB"/>
              </w:rPr>
              <w:t>0.920</w:t>
            </w:r>
            <w:r w:rsidRPr="00562D0A">
              <w:rPr>
                <w:sz w:val="20"/>
                <w:szCs w:val="20"/>
                <w:lang w:val="en-GB"/>
              </w:rPr>
              <w:t>)</w:t>
            </w:r>
          </w:p>
        </w:tc>
        <w:tc>
          <w:tcPr>
            <w:tcW w:w="516" w:type="pct"/>
          </w:tcPr>
          <w:p w:rsidR="0097487C" w:rsidRPr="00562D0A" w:rsidRDefault="00736358" w:rsidP="0097487C">
            <w:pPr>
              <w:widowControl w:val="0"/>
              <w:autoSpaceDE w:val="0"/>
              <w:autoSpaceDN w:val="0"/>
              <w:adjustRightInd w:val="0"/>
              <w:jc w:val="center"/>
              <w:rPr>
                <w:sz w:val="20"/>
                <w:szCs w:val="20"/>
                <w:lang w:val="en-GB"/>
              </w:rPr>
            </w:pPr>
            <w:r w:rsidRPr="00562D0A">
              <w:rPr>
                <w:sz w:val="20"/>
                <w:szCs w:val="20"/>
                <w:lang w:val="en-GB"/>
              </w:rPr>
              <w:t>1.21</w:t>
            </w:r>
          </w:p>
          <w:p w:rsidR="0097487C" w:rsidRPr="00562D0A" w:rsidRDefault="00736358" w:rsidP="0097487C">
            <w:pPr>
              <w:widowControl w:val="0"/>
              <w:autoSpaceDE w:val="0"/>
              <w:autoSpaceDN w:val="0"/>
              <w:adjustRightInd w:val="0"/>
              <w:jc w:val="center"/>
              <w:rPr>
                <w:sz w:val="20"/>
                <w:szCs w:val="20"/>
                <w:lang w:val="en-GB"/>
              </w:rPr>
            </w:pPr>
            <w:r w:rsidRPr="00562D0A">
              <w:rPr>
                <w:sz w:val="20"/>
                <w:szCs w:val="20"/>
                <w:lang w:val="en-GB"/>
              </w:rPr>
              <w:t>(0.751</w:t>
            </w:r>
            <w:r w:rsidR="0097487C" w:rsidRPr="00562D0A">
              <w:rPr>
                <w:sz w:val="20"/>
                <w:szCs w:val="20"/>
                <w:lang w:val="en-GB"/>
              </w:rPr>
              <w:t>)</w:t>
            </w:r>
          </w:p>
        </w:tc>
      </w:tr>
      <w:tr w:rsidR="0097487C" w:rsidRPr="00562D0A" w:rsidTr="0097487C">
        <w:trPr>
          <w:jc w:val="center"/>
        </w:trPr>
        <w:tc>
          <w:tcPr>
            <w:tcW w:w="1189" w:type="pct"/>
          </w:tcPr>
          <w:p w:rsidR="0097487C" w:rsidRPr="00562D0A" w:rsidRDefault="0097487C" w:rsidP="0097487C">
            <w:pPr>
              <w:widowControl w:val="0"/>
              <w:autoSpaceDE w:val="0"/>
              <w:autoSpaceDN w:val="0"/>
              <w:adjustRightInd w:val="0"/>
              <w:rPr>
                <w:sz w:val="20"/>
                <w:szCs w:val="20"/>
                <w:lang w:val="en-GB"/>
              </w:rPr>
            </w:pPr>
            <w:r w:rsidRPr="00562D0A">
              <w:rPr>
                <w:sz w:val="20"/>
                <w:szCs w:val="20"/>
                <w:lang w:val="en-GB"/>
              </w:rPr>
              <w:t>Hansen test of overidentifying restrictions</w:t>
            </w:r>
          </w:p>
        </w:tc>
        <w:tc>
          <w:tcPr>
            <w:tcW w:w="558" w:type="pct"/>
          </w:tcPr>
          <w:p w:rsidR="0097487C" w:rsidRPr="00562D0A" w:rsidRDefault="0097487C" w:rsidP="0097487C">
            <w:pPr>
              <w:widowControl w:val="0"/>
              <w:autoSpaceDE w:val="0"/>
              <w:autoSpaceDN w:val="0"/>
              <w:adjustRightInd w:val="0"/>
              <w:spacing w:line="360" w:lineRule="auto"/>
              <w:jc w:val="center"/>
              <w:rPr>
                <w:sz w:val="20"/>
                <w:szCs w:val="20"/>
                <w:lang w:val="en-GB"/>
              </w:rPr>
            </w:pPr>
          </w:p>
        </w:tc>
        <w:tc>
          <w:tcPr>
            <w:tcW w:w="436" w:type="pct"/>
          </w:tcPr>
          <w:p w:rsidR="0097487C" w:rsidRPr="00562D0A" w:rsidRDefault="0097487C" w:rsidP="0097487C">
            <w:pPr>
              <w:widowControl w:val="0"/>
              <w:autoSpaceDE w:val="0"/>
              <w:autoSpaceDN w:val="0"/>
              <w:adjustRightInd w:val="0"/>
              <w:spacing w:line="360" w:lineRule="auto"/>
              <w:jc w:val="center"/>
              <w:rPr>
                <w:sz w:val="20"/>
                <w:szCs w:val="20"/>
                <w:lang w:val="en-GB"/>
              </w:rPr>
            </w:pPr>
          </w:p>
        </w:tc>
        <w:tc>
          <w:tcPr>
            <w:tcW w:w="436" w:type="pct"/>
          </w:tcPr>
          <w:p w:rsidR="0097487C" w:rsidRPr="00562D0A" w:rsidRDefault="0097487C" w:rsidP="0097487C">
            <w:pPr>
              <w:widowControl w:val="0"/>
              <w:autoSpaceDE w:val="0"/>
              <w:autoSpaceDN w:val="0"/>
              <w:adjustRightInd w:val="0"/>
              <w:spacing w:line="360" w:lineRule="auto"/>
              <w:jc w:val="center"/>
              <w:rPr>
                <w:sz w:val="20"/>
                <w:szCs w:val="20"/>
                <w:lang w:val="en-GB"/>
              </w:rPr>
            </w:pPr>
          </w:p>
        </w:tc>
        <w:tc>
          <w:tcPr>
            <w:tcW w:w="439" w:type="pct"/>
          </w:tcPr>
          <w:p w:rsidR="0097487C" w:rsidRPr="00562D0A" w:rsidRDefault="0097487C" w:rsidP="0097487C">
            <w:pPr>
              <w:widowControl w:val="0"/>
              <w:autoSpaceDE w:val="0"/>
              <w:autoSpaceDN w:val="0"/>
              <w:adjustRightInd w:val="0"/>
              <w:spacing w:line="360" w:lineRule="auto"/>
              <w:jc w:val="center"/>
              <w:rPr>
                <w:sz w:val="20"/>
                <w:szCs w:val="20"/>
                <w:lang w:val="en-GB"/>
              </w:rPr>
            </w:pPr>
          </w:p>
        </w:tc>
        <w:tc>
          <w:tcPr>
            <w:tcW w:w="593" w:type="pct"/>
          </w:tcPr>
          <w:p w:rsidR="0097487C" w:rsidRPr="00562D0A" w:rsidRDefault="007D229D" w:rsidP="0097487C">
            <w:pPr>
              <w:widowControl w:val="0"/>
              <w:autoSpaceDE w:val="0"/>
              <w:autoSpaceDN w:val="0"/>
              <w:adjustRightInd w:val="0"/>
              <w:jc w:val="center"/>
              <w:rPr>
                <w:sz w:val="20"/>
                <w:szCs w:val="20"/>
                <w:lang w:val="en-GB"/>
              </w:rPr>
            </w:pPr>
            <w:r w:rsidRPr="00562D0A">
              <w:rPr>
                <w:sz w:val="20"/>
                <w:szCs w:val="20"/>
                <w:lang w:val="en-GB"/>
              </w:rPr>
              <w:t>1.76</w:t>
            </w:r>
          </w:p>
          <w:p w:rsidR="0097487C" w:rsidRPr="00562D0A" w:rsidRDefault="0097487C" w:rsidP="0097487C">
            <w:pPr>
              <w:widowControl w:val="0"/>
              <w:autoSpaceDE w:val="0"/>
              <w:autoSpaceDN w:val="0"/>
              <w:adjustRightInd w:val="0"/>
              <w:jc w:val="center"/>
              <w:rPr>
                <w:sz w:val="20"/>
                <w:szCs w:val="20"/>
                <w:lang w:val="en-GB"/>
              </w:rPr>
            </w:pPr>
            <w:r w:rsidRPr="00562D0A">
              <w:rPr>
                <w:sz w:val="20"/>
                <w:szCs w:val="20"/>
                <w:lang w:val="en-GB"/>
              </w:rPr>
              <w:t>(</w:t>
            </w:r>
            <w:r w:rsidR="007D229D" w:rsidRPr="00562D0A">
              <w:rPr>
                <w:sz w:val="20"/>
                <w:szCs w:val="20"/>
                <w:lang w:val="en-GB"/>
              </w:rPr>
              <w:t>0.940</w:t>
            </w:r>
            <w:r w:rsidRPr="00562D0A">
              <w:rPr>
                <w:sz w:val="20"/>
                <w:szCs w:val="20"/>
                <w:lang w:val="en-GB"/>
              </w:rPr>
              <w:t>)</w:t>
            </w:r>
          </w:p>
        </w:tc>
        <w:tc>
          <w:tcPr>
            <w:tcW w:w="397" w:type="pct"/>
          </w:tcPr>
          <w:p w:rsidR="0097487C" w:rsidRPr="00562D0A" w:rsidRDefault="007D229D" w:rsidP="0097487C">
            <w:pPr>
              <w:widowControl w:val="0"/>
              <w:autoSpaceDE w:val="0"/>
              <w:autoSpaceDN w:val="0"/>
              <w:adjustRightInd w:val="0"/>
              <w:jc w:val="center"/>
              <w:rPr>
                <w:sz w:val="20"/>
                <w:szCs w:val="20"/>
                <w:lang w:val="en-GB"/>
              </w:rPr>
            </w:pPr>
            <w:r w:rsidRPr="00562D0A">
              <w:rPr>
                <w:sz w:val="20"/>
                <w:szCs w:val="20"/>
                <w:lang w:val="en-GB"/>
              </w:rPr>
              <w:t>9.18</w:t>
            </w:r>
          </w:p>
          <w:p w:rsidR="0097487C" w:rsidRPr="00562D0A" w:rsidRDefault="0097487C" w:rsidP="0097487C">
            <w:pPr>
              <w:widowControl w:val="0"/>
              <w:autoSpaceDE w:val="0"/>
              <w:autoSpaceDN w:val="0"/>
              <w:adjustRightInd w:val="0"/>
              <w:jc w:val="center"/>
              <w:rPr>
                <w:sz w:val="20"/>
                <w:szCs w:val="20"/>
                <w:lang w:val="en-GB"/>
              </w:rPr>
            </w:pPr>
            <w:r w:rsidRPr="00562D0A">
              <w:rPr>
                <w:sz w:val="20"/>
                <w:szCs w:val="20"/>
                <w:lang w:val="en-GB"/>
              </w:rPr>
              <w:t>(</w:t>
            </w:r>
            <w:r w:rsidR="007D229D" w:rsidRPr="00562D0A">
              <w:rPr>
                <w:sz w:val="20"/>
                <w:szCs w:val="20"/>
                <w:lang w:val="en-GB"/>
              </w:rPr>
              <w:t>0.421</w:t>
            </w:r>
            <w:r w:rsidRPr="00562D0A">
              <w:rPr>
                <w:sz w:val="20"/>
                <w:szCs w:val="20"/>
                <w:lang w:val="en-GB"/>
              </w:rPr>
              <w:t>)</w:t>
            </w:r>
          </w:p>
        </w:tc>
        <w:tc>
          <w:tcPr>
            <w:tcW w:w="436" w:type="pct"/>
          </w:tcPr>
          <w:p w:rsidR="0097487C" w:rsidRPr="00562D0A" w:rsidRDefault="00736358" w:rsidP="0097487C">
            <w:pPr>
              <w:widowControl w:val="0"/>
              <w:autoSpaceDE w:val="0"/>
              <w:autoSpaceDN w:val="0"/>
              <w:adjustRightInd w:val="0"/>
              <w:jc w:val="center"/>
              <w:rPr>
                <w:sz w:val="20"/>
                <w:szCs w:val="20"/>
                <w:lang w:val="en-GB"/>
              </w:rPr>
            </w:pPr>
            <w:r w:rsidRPr="00562D0A">
              <w:rPr>
                <w:sz w:val="20"/>
                <w:szCs w:val="20"/>
                <w:lang w:val="en-GB"/>
              </w:rPr>
              <w:t>3.98</w:t>
            </w:r>
          </w:p>
          <w:p w:rsidR="0097487C" w:rsidRPr="00562D0A" w:rsidRDefault="0097487C" w:rsidP="0097487C">
            <w:pPr>
              <w:widowControl w:val="0"/>
              <w:autoSpaceDE w:val="0"/>
              <w:autoSpaceDN w:val="0"/>
              <w:adjustRightInd w:val="0"/>
              <w:jc w:val="center"/>
              <w:rPr>
                <w:sz w:val="20"/>
                <w:szCs w:val="20"/>
                <w:lang w:val="en-GB"/>
              </w:rPr>
            </w:pPr>
            <w:r w:rsidRPr="00562D0A">
              <w:rPr>
                <w:sz w:val="20"/>
                <w:szCs w:val="20"/>
                <w:lang w:val="en-GB"/>
              </w:rPr>
              <w:t>(</w:t>
            </w:r>
            <w:r w:rsidR="00736358" w:rsidRPr="00562D0A">
              <w:rPr>
                <w:sz w:val="20"/>
                <w:szCs w:val="20"/>
                <w:lang w:val="en-GB"/>
              </w:rPr>
              <w:t>0.782</w:t>
            </w:r>
            <w:r w:rsidRPr="00562D0A">
              <w:rPr>
                <w:sz w:val="20"/>
                <w:szCs w:val="20"/>
                <w:lang w:val="en-GB"/>
              </w:rPr>
              <w:t>)</w:t>
            </w:r>
          </w:p>
        </w:tc>
        <w:tc>
          <w:tcPr>
            <w:tcW w:w="516" w:type="pct"/>
          </w:tcPr>
          <w:p w:rsidR="0097487C" w:rsidRPr="00562D0A" w:rsidRDefault="00736358" w:rsidP="0097487C">
            <w:pPr>
              <w:widowControl w:val="0"/>
              <w:autoSpaceDE w:val="0"/>
              <w:autoSpaceDN w:val="0"/>
              <w:adjustRightInd w:val="0"/>
              <w:jc w:val="center"/>
              <w:rPr>
                <w:sz w:val="20"/>
                <w:szCs w:val="20"/>
                <w:lang w:val="en-GB"/>
              </w:rPr>
            </w:pPr>
            <w:r w:rsidRPr="00562D0A">
              <w:rPr>
                <w:sz w:val="20"/>
                <w:szCs w:val="20"/>
                <w:lang w:val="en-GB"/>
              </w:rPr>
              <w:t>1.49</w:t>
            </w:r>
          </w:p>
          <w:p w:rsidR="0097487C" w:rsidRPr="00562D0A" w:rsidRDefault="00736358" w:rsidP="0097487C">
            <w:pPr>
              <w:widowControl w:val="0"/>
              <w:autoSpaceDE w:val="0"/>
              <w:autoSpaceDN w:val="0"/>
              <w:adjustRightInd w:val="0"/>
              <w:jc w:val="center"/>
              <w:rPr>
                <w:sz w:val="20"/>
                <w:szCs w:val="20"/>
                <w:lang w:val="en-GB"/>
              </w:rPr>
            </w:pPr>
            <w:r w:rsidRPr="00562D0A">
              <w:rPr>
                <w:sz w:val="20"/>
                <w:szCs w:val="20"/>
                <w:lang w:val="en-GB"/>
              </w:rPr>
              <w:t>(0.685</w:t>
            </w:r>
            <w:r w:rsidR="0097487C" w:rsidRPr="00562D0A">
              <w:rPr>
                <w:sz w:val="20"/>
                <w:szCs w:val="20"/>
                <w:lang w:val="en-GB"/>
              </w:rPr>
              <w:t>)</w:t>
            </w:r>
          </w:p>
        </w:tc>
      </w:tr>
      <w:tr w:rsidR="0097487C" w:rsidRPr="00562D0A" w:rsidTr="0097487C">
        <w:trPr>
          <w:jc w:val="center"/>
        </w:trPr>
        <w:tc>
          <w:tcPr>
            <w:tcW w:w="1189" w:type="pct"/>
          </w:tcPr>
          <w:p w:rsidR="0097487C" w:rsidRPr="00562D0A" w:rsidRDefault="00736358" w:rsidP="0097487C">
            <w:pPr>
              <w:widowControl w:val="0"/>
              <w:autoSpaceDE w:val="0"/>
              <w:autoSpaceDN w:val="0"/>
              <w:adjustRightInd w:val="0"/>
              <w:rPr>
                <w:sz w:val="20"/>
                <w:szCs w:val="20"/>
                <w:lang w:val="en-GB"/>
              </w:rPr>
            </w:pPr>
            <w:r w:rsidRPr="00562D0A">
              <w:rPr>
                <w:sz w:val="20"/>
                <w:szCs w:val="20"/>
                <w:lang w:val="en-GB"/>
              </w:rPr>
              <w:t xml:space="preserve">Difference-in-Hansen </w:t>
            </w:r>
          </w:p>
          <w:p w:rsidR="00736358" w:rsidRPr="00562D0A" w:rsidRDefault="00736358" w:rsidP="0097487C">
            <w:pPr>
              <w:widowControl w:val="0"/>
              <w:autoSpaceDE w:val="0"/>
              <w:autoSpaceDN w:val="0"/>
              <w:adjustRightInd w:val="0"/>
              <w:rPr>
                <w:sz w:val="20"/>
                <w:szCs w:val="20"/>
                <w:lang w:val="en-GB"/>
              </w:rPr>
            </w:pPr>
            <w:r w:rsidRPr="00562D0A">
              <w:rPr>
                <w:sz w:val="20"/>
                <w:szCs w:val="20"/>
                <w:lang w:val="en-GB"/>
              </w:rPr>
              <w:t>GMM instruments for levels</w:t>
            </w:r>
          </w:p>
        </w:tc>
        <w:tc>
          <w:tcPr>
            <w:tcW w:w="558" w:type="pct"/>
          </w:tcPr>
          <w:p w:rsidR="0097487C" w:rsidRPr="00562D0A" w:rsidRDefault="0097487C" w:rsidP="0097487C">
            <w:pPr>
              <w:widowControl w:val="0"/>
              <w:autoSpaceDE w:val="0"/>
              <w:autoSpaceDN w:val="0"/>
              <w:adjustRightInd w:val="0"/>
              <w:spacing w:line="360" w:lineRule="auto"/>
              <w:jc w:val="center"/>
              <w:rPr>
                <w:sz w:val="20"/>
                <w:szCs w:val="20"/>
                <w:lang w:val="en-GB"/>
              </w:rPr>
            </w:pPr>
          </w:p>
        </w:tc>
        <w:tc>
          <w:tcPr>
            <w:tcW w:w="436" w:type="pct"/>
          </w:tcPr>
          <w:p w:rsidR="0097487C" w:rsidRPr="00562D0A" w:rsidRDefault="0097487C" w:rsidP="0097487C">
            <w:pPr>
              <w:widowControl w:val="0"/>
              <w:autoSpaceDE w:val="0"/>
              <w:autoSpaceDN w:val="0"/>
              <w:adjustRightInd w:val="0"/>
              <w:spacing w:line="360" w:lineRule="auto"/>
              <w:jc w:val="center"/>
              <w:rPr>
                <w:sz w:val="20"/>
                <w:szCs w:val="20"/>
                <w:lang w:val="en-GB"/>
              </w:rPr>
            </w:pPr>
          </w:p>
        </w:tc>
        <w:tc>
          <w:tcPr>
            <w:tcW w:w="436" w:type="pct"/>
          </w:tcPr>
          <w:p w:rsidR="0097487C" w:rsidRPr="00562D0A" w:rsidRDefault="0097487C" w:rsidP="0097487C">
            <w:pPr>
              <w:widowControl w:val="0"/>
              <w:autoSpaceDE w:val="0"/>
              <w:autoSpaceDN w:val="0"/>
              <w:adjustRightInd w:val="0"/>
              <w:spacing w:line="360" w:lineRule="auto"/>
              <w:jc w:val="center"/>
              <w:rPr>
                <w:sz w:val="20"/>
                <w:szCs w:val="20"/>
                <w:lang w:val="en-GB"/>
              </w:rPr>
            </w:pPr>
          </w:p>
        </w:tc>
        <w:tc>
          <w:tcPr>
            <w:tcW w:w="439" w:type="pct"/>
          </w:tcPr>
          <w:p w:rsidR="0097487C" w:rsidRPr="00562D0A" w:rsidRDefault="0097487C" w:rsidP="0097487C">
            <w:pPr>
              <w:widowControl w:val="0"/>
              <w:autoSpaceDE w:val="0"/>
              <w:autoSpaceDN w:val="0"/>
              <w:adjustRightInd w:val="0"/>
              <w:spacing w:line="360" w:lineRule="auto"/>
              <w:jc w:val="center"/>
              <w:rPr>
                <w:sz w:val="20"/>
                <w:szCs w:val="20"/>
                <w:lang w:val="en-GB"/>
              </w:rPr>
            </w:pPr>
          </w:p>
        </w:tc>
        <w:tc>
          <w:tcPr>
            <w:tcW w:w="593" w:type="pct"/>
          </w:tcPr>
          <w:p w:rsidR="0097487C" w:rsidRPr="00562D0A" w:rsidRDefault="007D229D" w:rsidP="0097487C">
            <w:pPr>
              <w:widowControl w:val="0"/>
              <w:autoSpaceDE w:val="0"/>
              <w:autoSpaceDN w:val="0"/>
              <w:adjustRightInd w:val="0"/>
              <w:jc w:val="center"/>
              <w:rPr>
                <w:sz w:val="20"/>
                <w:szCs w:val="20"/>
                <w:lang w:val="en-GB"/>
              </w:rPr>
            </w:pPr>
            <w:r w:rsidRPr="00562D0A">
              <w:rPr>
                <w:sz w:val="20"/>
                <w:szCs w:val="20"/>
                <w:lang w:val="en-GB"/>
              </w:rPr>
              <w:t>0.26</w:t>
            </w:r>
          </w:p>
          <w:p w:rsidR="007D229D" w:rsidRPr="00562D0A" w:rsidRDefault="007D229D" w:rsidP="007D229D">
            <w:pPr>
              <w:widowControl w:val="0"/>
              <w:autoSpaceDE w:val="0"/>
              <w:autoSpaceDN w:val="0"/>
              <w:adjustRightInd w:val="0"/>
              <w:jc w:val="center"/>
              <w:rPr>
                <w:sz w:val="20"/>
                <w:szCs w:val="20"/>
                <w:lang w:val="en-GB"/>
              </w:rPr>
            </w:pPr>
            <w:r w:rsidRPr="00562D0A">
              <w:rPr>
                <w:sz w:val="20"/>
                <w:szCs w:val="20"/>
                <w:lang w:val="en-GB"/>
              </w:rPr>
              <w:t>(0.968)</w:t>
            </w:r>
          </w:p>
        </w:tc>
        <w:tc>
          <w:tcPr>
            <w:tcW w:w="397" w:type="pct"/>
          </w:tcPr>
          <w:p w:rsidR="0097487C" w:rsidRPr="00562D0A" w:rsidRDefault="0097487C" w:rsidP="007D229D">
            <w:pPr>
              <w:widowControl w:val="0"/>
              <w:autoSpaceDE w:val="0"/>
              <w:autoSpaceDN w:val="0"/>
              <w:adjustRightInd w:val="0"/>
              <w:jc w:val="center"/>
              <w:rPr>
                <w:sz w:val="20"/>
                <w:szCs w:val="20"/>
                <w:lang w:val="en-GB"/>
              </w:rPr>
            </w:pPr>
            <w:r w:rsidRPr="00562D0A">
              <w:rPr>
                <w:sz w:val="20"/>
                <w:szCs w:val="20"/>
                <w:lang w:val="en-GB"/>
              </w:rPr>
              <w:t>0.</w:t>
            </w:r>
            <w:r w:rsidR="007D229D" w:rsidRPr="00562D0A">
              <w:rPr>
                <w:sz w:val="20"/>
                <w:szCs w:val="20"/>
                <w:lang w:val="en-GB"/>
              </w:rPr>
              <w:t>62</w:t>
            </w:r>
          </w:p>
          <w:p w:rsidR="007D229D" w:rsidRPr="00562D0A" w:rsidRDefault="007D229D" w:rsidP="007D229D">
            <w:pPr>
              <w:widowControl w:val="0"/>
              <w:autoSpaceDE w:val="0"/>
              <w:autoSpaceDN w:val="0"/>
              <w:adjustRightInd w:val="0"/>
              <w:jc w:val="center"/>
              <w:rPr>
                <w:sz w:val="20"/>
                <w:szCs w:val="20"/>
                <w:lang w:val="en-GB"/>
              </w:rPr>
            </w:pPr>
            <w:r w:rsidRPr="00562D0A">
              <w:rPr>
                <w:sz w:val="20"/>
                <w:szCs w:val="20"/>
                <w:lang w:val="en-GB"/>
              </w:rPr>
              <w:t>(0.893)</w:t>
            </w:r>
          </w:p>
        </w:tc>
        <w:tc>
          <w:tcPr>
            <w:tcW w:w="436" w:type="pct"/>
          </w:tcPr>
          <w:p w:rsidR="0097487C" w:rsidRPr="00562D0A" w:rsidRDefault="00736358" w:rsidP="0097487C">
            <w:pPr>
              <w:widowControl w:val="0"/>
              <w:autoSpaceDE w:val="0"/>
              <w:autoSpaceDN w:val="0"/>
              <w:adjustRightInd w:val="0"/>
              <w:jc w:val="center"/>
              <w:rPr>
                <w:sz w:val="20"/>
                <w:szCs w:val="20"/>
                <w:lang w:val="en-GB"/>
              </w:rPr>
            </w:pPr>
            <w:r w:rsidRPr="00562D0A">
              <w:rPr>
                <w:sz w:val="20"/>
                <w:szCs w:val="20"/>
                <w:lang w:val="en-GB"/>
              </w:rPr>
              <w:t>1.14</w:t>
            </w:r>
          </w:p>
          <w:p w:rsidR="00736358" w:rsidRPr="00562D0A" w:rsidRDefault="00736358" w:rsidP="0097487C">
            <w:pPr>
              <w:widowControl w:val="0"/>
              <w:autoSpaceDE w:val="0"/>
              <w:autoSpaceDN w:val="0"/>
              <w:adjustRightInd w:val="0"/>
              <w:jc w:val="center"/>
              <w:rPr>
                <w:sz w:val="20"/>
                <w:szCs w:val="20"/>
                <w:lang w:val="en-GB"/>
              </w:rPr>
            </w:pPr>
            <w:r w:rsidRPr="00562D0A">
              <w:rPr>
                <w:sz w:val="20"/>
                <w:szCs w:val="20"/>
                <w:lang w:val="en-GB"/>
              </w:rPr>
              <w:t>(0.768)</w:t>
            </w:r>
          </w:p>
        </w:tc>
        <w:tc>
          <w:tcPr>
            <w:tcW w:w="516" w:type="pct"/>
          </w:tcPr>
          <w:p w:rsidR="0097487C" w:rsidRPr="00562D0A" w:rsidRDefault="00736358" w:rsidP="00736358">
            <w:pPr>
              <w:widowControl w:val="0"/>
              <w:autoSpaceDE w:val="0"/>
              <w:autoSpaceDN w:val="0"/>
              <w:adjustRightInd w:val="0"/>
              <w:jc w:val="center"/>
              <w:rPr>
                <w:sz w:val="20"/>
                <w:szCs w:val="20"/>
                <w:lang w:val="en-GB"/>
              </w:rPr>
            </w:pPr>
            <w:r w:rsidRPr="00562D0A">
              <w:rPr>
                <w:sz w:val="20"/>
                <w:szCs w:val="20"/>
                <w:lang w:val="en-GB"/>
              </w:rPr>
              <w:t>1.49</w:t>
            </w:r>
          </w:p>
          <w:p w:rsidR="00736358" w:rsidRPr="00562D0A" w:rsidRDefault="00736358" w:rsidP="00736358">
            <w:pPr>
              <w:widowControl w:val="0"/>
              <w:autoSpaceDE w:val="0"/>
              <w:autoSpaceDN w:val="0"/>
              <w:adjustRightInd w:val="0"/>
              <w:jc w:val="center"/>
              <w:rPr>
                <w:sz w:val="20"/>
                <w:szCs w:val="20"/>
                <w:lang w:val="en-GB"/>
              </w:rPr>
            </w:pPr>
            <w:r w:rsidRPr="00562D0A">
              <w:rPr>
                <w:sz w:val="20"/>
                <w:szCs w:val="20"/>
                <w:lang w:val="en-GB"/>
              </w:rPr>
              <w:t>(0.685)</w:t>
            </w:r>
          </w:p>
        </w:tc>
      </w:tr>
    </w:tbl>
    <w:p w:rsidR="00CE7088" w:rsidRPr="00CE7088" w:rsidRDefault="00CE7088" w:rsidP="00CE7088">
      <w:pPr>
        <w:widowControl w:val="0"/>
        <w:autoSpaceDE w:val="0"/>
        <w:autoSpaceDN w:val="0"/>
        <w:adjustRightInd w:val="0"/>
        <w:rPr>
          <w:i/>
          <w:iCs/>
          <w:sz w:val="20"/>
          <w:szCs w:val="20"/>
          <w:lang w:val="en-GB"/>
        </w:rPr>
      </w:pPr>
      <w:r w:rsidRPr="00CE7088">
        <w:rPr>
          <w:i/>
          <w:iCs/>
          <w:sz w:val="20"/>
          <w:szCs w:val="20"/>
          <w:lang w:val="en-GB"/>
        </w:rPr>
        <w:t>Robust standard errors in parentheses; for diagnostic tests, p-values *** p&lt;0.01, ** p&lt;0.05, * p&lt;0.10</w:t>
      </w:r>
    </w:p>
    <w:p w:rsidR="00CE7088" w:rsidRPr="00CE7088" w:rsidRDefault="00CE7088" w:rsidP="00CE7088">
      <w:pPr>
        <w:widowControl w:val="0"/>
        <w:autoSpaceDE w:val="0"/>
        <w:autoSpaceDN w:val="0"/>
        <w:adjustRightInd w:val="0"/>
        <w:spacing w:line="360" w:lineRule="auto"/>
        <w:rPr>
          <w:i/>
          <w:iCs/>
          <w:sz w:val="20"/>
          <w:szCs w:val="20"/>
          <w:lang w:val="en-GB"/>
        </w:rPr>
      </w:pPr>
    </w:p>
    <w:p w:rsidR="0071743A" w:rsidRDefault="00CE7088" w:rsidP="0071743A">
      <w:pPr>
        <w:autoSpaceDE w:val="0"/>
        <w:autoSpaceDN w:val="0"/>
        <w:adjustRightInd w:val="0"/>
        <w:spacing w:line="360" w:lineRule="auto"/>
        <w:jc w:val="both"/>
        <w:rPr>
          <w:rFonts w:eastAsia="Calibri"/>
          <w:lang w:val="en-GB"/>
        </w:rPr>
      </w:pPr>
      <w:r w:rsidRPr="00CE7088">
        <w:rPr>
          <w:lang w:val="en-GB"/>
        </w:rPr>
        <w:t>The first set of</w:t>
      </w:r>
      <w:r w:rsidR="00AB306F">
        <w:rPr>
          <w:lang w:val="en-GB"/>
        </w:rPr>
        <w:t xml:space="preserve"> results are obtained by using </w:t>
      </w:r>
      <w:r w:rsidRPr="00CE7088">
        <w:rPr>
          <w:lang w:val="en-GB"/>
        </w:rPr>
        <w:t>the HHI, overall Theil and the within component of the Theil index as export dive</w:t>
      </w:r>
      <w:r w:rsidR="00F104A0">
        <w:rPr>
          <w:lang w:val="en-GB"/>
        </w:rPr>
        <w:t xml:space="preserve">rsification proxies (columns 1-3 in Table </w:t>
      </w:r>
      <w:r w:rsidR="0019446F">
        <w:rPr>
          <w:lang w:val="en-GB"/>
        </w:rPr>
        <w:t>1</w:t>
      </w:r>
      <w:r w:rsidRPr="00CE7088">
        <w:rPr>
          <w:lang w:val="en-GB"/>
        </w:rPr>
        <w:t>).</w:t>
      </w:r>
      <w:r w:rsidRPr="00CE7088">
        <w:rPr>
          <w:rFonts w:eastAsia="Calibri"/>
          <w:lang w:val="en-GB"/>
        </w:rPr>
        <w:t xml:space="preserve"> </w:t>
      </w:r>
      <w:r w:rsidR="000B6D30">
        <w:rPr>
          <w:rFonts w:eastAsia="Calibri"/>
          <w:lang w:val="en-GB"/>
        </w:rPr>
        <w:t>It has been shown that t</w:t>
      </w:r>
      <w:r w:rsidRPr="00CE7088">
        <w:rPr>
          <w:rFonts w:eastAsia="Calibri"/>
          <w:lang w:val="en-GB"/>
        </w:rPr>
        <w:t>he within component of the Theil index maps onto diversification at the intensive margin of export growth, i.e. captures changes between the shares of active exp</w:t>
      </w:r>
      <w:r w:rsidR="00F104A0">
        <w:rPr>
          <w:rFonts w:eastAsia="Calibri"/>
          <w:lang w:val="en-GB"/>
        </w:rPr>
        <w:t>ort products</w:t>
      </w:r>
      <w:r w:rsidR="00AE7D10">
        <w:rPr>
          <w:rFonts w:eastAsia="Calibri"/>
          <w:lang w:val="en-GB"/>
        </w:rPr>
        <w:t xml:space="preserve"> (Cadot et al., 2003)</w:t>
      </w:r>
      <w:r w:rsidR="00F104A0">
        <w:rPr>
          <w:rFonts w:eastAsia="Calibri"/>
          <w:lang w:val="en-GB"/>
        </w:rPr>
        <w:t xml:space="preserve">. Since the HHI </w:t>
      </w:r>
      <w:r w:rsidRPr="00CE7088">
        <w:rPr>
          <w:rFonts w:eastAsia="Calibri"/>
          <w:lang w:val="en-GB"/>
        </w:rPr>
        <w:t>measure</w:t>
      </w:r>
      <w:r w:rsidR="00F104A0">
        <w:rPr>
          <w:rFonts w:eastAsia="Calibri"/>
          <w:lang w:val="en-GB"/>
        </w:rPr>
        <w:t>s</w:t>
      </w:r>
      <w:r w:rsidRPr="00CE7088">
        <w:rPr>
          <w:rFonts w:eastAsia="Calibri"/>
          <w:lang w:val="en-GB"/>
        </w:rPr>
        <w:t xml:space="preserve"> changes in the distribution of export shares, it is expected that th</w:t>
      </w:r>
      <w:r w:rsidR="003069C1">
        <w:rPr>
          <w:rFonts w:eastAsia="Calibri"/>
          <w:lang w:val="en-GB"/>
        </w:rPr>
        <w:t>is</w:t>
      </w:r>
      <w:r w:rsidR="0016327B">
        <w:rPr>
          <w:rFonts w:eastAsia="Calibri"/>
          <w:lang w:val="en-GB"/>
        </w:rPr>
        <w:t xml:space="preserve"> </w:t>
      </w:r>
      <w:r w:rsidRPr="00CE7088">
        <w:rPr>
          <w:rFonts w:eastAsia="Calibri"/>
          <w:lang w:val="en-GB"/>
        </w:rPr>
        <w:t>concentration indicator mainly reflect</w:t>
      </w:r>
      <w:r w:rsidR="003069C1">
        <w:rPr>
          <w:rFonts w:eastAsia="Calibri"/>
          <w:lang w:val="en-GB"/>
        </w:rPr>
        <w:t>s</w:t>
      </w:r>
      <w:r w:rsidRPr="00CE7088">
        <w:rPr>
          <w:rFonts w:eastAsia="Calibri"/>
          <w:lang w:val="en-GB"/>
        </w:rPr>
        <w:t xml:space="preserve"> diversification at the intensive margin.</w:t>
      </w:r>
      <w:r w:rsidR="00570FCB">
        <w:rPr>
          <w:rFonts w:eastAsia="Calibri"/>
          <w:lang w:val="en-GB"/>
        </w:rPr>
        <w:t xml:space="preserve"> </w:t>
      </w:r>
      <w:r w:rsidR="00570FCB" w:rsidRPr="000317DC">
        <w:t xml:space="preserve">Note that in our sample changes in the overall Theil are mainly influenced by changes </w:t>
      </w:r>
      <w:r w:rsidR="00570FCB">
        <w:t>of</w:t>
      </w:r>
      <w:r w:rsidR="00570FCB" w:rsidRPr="000317DC">
        <w:t xml:space="preserve"> </w:t>
      </w:r>
      <w:r w:rsidR="00627C78">
        <w:t>its</w:t>
      </w:r>
      <w:r w:rsidR="00570FCB" w:rsidRPr="000317DC">
        <w:t xml:space="preserve"> within component</w:t>
      </w:r>
      <w:r w:rsidR="00570FCB">
        <w:t xml:space="preserve">. </w:t>
      </w:r>
      <w:r w:rsidR="00570FCB" w:rsidRPr="000317DC">
        <w:t xml:space="preserve">Hence, we expect to get similar results </w:t>
      </w:r>
      <w:r w:rsidR="000B6D30">
        <w:t>from both</w:t>
      </w:r>
      <w:r w:rsidR="00570FCB" w:rsidRPr="000317DC">
        <w:t xml:space="preserve"> </w:t>
      </w:r>
      <w:r w:rsidR="00570FCB">
        <w:t xml:space="preserve">the </w:t>
      </w:r>
      <w:r w:rsidR="00570FCB" w:rsidRPr="000317DC">
        <w:t>overall</w:t>
      </w:r>
      <w:r w:rsidR="00570FCB">
        <w:t xml:space="preserve"> Theil and its within component.</w:t>
      </w:r>
      <w:r w:rsidRPr="00CE7088">
        <w:rPr>
          <w:rFonts w:eastAsia="Calibri"/>
          <w:lang w:val="en-GB"/>
        </w:rPr>
        <w:t xml:space="preserve"> As expected, we find the same qualitative results for openness, diversification and their interaction when these diversification indicators are used. </w:t>
      </w:r>
      <w:r w:rsidR="00F104A0">
        <w:rPr>
          <w:lang w:val="en-GB"/>
        </w:rPr>
        <w:t xml:space="preserve">The results in Columns 1-3 in Table </w:t>
      </w:r>
      <w:r w:rsidR="0019446F">
        <w:rPr>
          <w:lang w:val="en-GB"/>
        </w:rPr>
        <w:t>1</w:t>
      </w:r>
      <w:r w:rsidRPr="00CE7088">
        <w:rPr>
          <w:lang w:val="en-GB"/>
        </w:rPr>
        <w:t xml:space="preserve"> show positive coefficients on overall </w:t>
      </w:r>
      <w:r w:rsidR="000B6D30" w:rsidRPr="00CE7088">
        <w:rPr>
          <w:lang w:val="en-GB"/>
        </w:rPr>
        <w:t>diversification</w:t>
      </w:r>
      <w:r w:rsidR="000B6D30">
        <w:rPr>
          <w:lang w:val="en-GB"/>
        </w:rPr>
        <w:t>,</w:t>
      </w:r>
      <w:r w:rsidR="000B6D30" w:rsidRPr="00CE7088">
        <w:rPr>
          <w:lang w:val="en-GB"/>
        </w:rPr>
        <w:t xml:space="preserve"> </w:t>
      </w:r>
      <w:r w:rsidRPr="00CE7088">
        <w:rPr>
          <w:lang w:val="en-GB"/>
        </w:rPr>
        <w:t xml:space="preserve">diversification at the intensive margin and openness </w:t>
      </w:r>
      <w:r w:rsidR="00EE5419">
        <w:rPr>
          <w:lang w:val="en-GB"/>
        </w:rPr>
        <w:t>together with a</w:t>
      </w:r>
      <w:r w:rsidRPr="00CE7088">
        <w:rPr>
          <w:lang w:val="en-GB"/>
        </w:rPr>
        <w:t xml:space="preserve"> negative coefficient on the interaction term, indicating that </w:t>
      </w:r>
      <w:r w:rsidRPr="00CE7088">
        <w:rPr>
          <w:rFonts w:eastAsia="Calibri"/>
          <w:lang w:val="en-GB"/>
        </w:rPr>
        <w:t xml:space="preserve">the effect of openness on output volatility attenuates as overall </w:t>
      </w:r>
      <w:r w:rsidR="00EE5419" w:rsidRPr="00CE7088">
        <w:rPr>
          <w:rFonts w:eastAsia="Calibri"/>
          <w:lang w:val="en-GB"/>
        </w:rPr>
        <w:t xml:space="preserve">diversification </w:t>
      </w:r>
      <w:r w:rsidRPr="00CE7088">
        <w:rPr>
          <w:rFonts w:eastAsia="Calibri"/>
          <w:lang w:val="en-GB"/>
        </w:rPr>
        <w:t>and diversification at</w:t>
      </w:r>
      <w:r w:rsidR="0071743A">
        <w:rPr>
          <w:rFonts w:eastAsia="Calibri"/>
          <w:lang w:val="en-GB"/>
        </w:rPr>
        <w:t xml:space="preserve"> the intensive margin increases.</w:t>
      </w:r>
    </w:p>
    <w:p w:rsidR="0071743A" w:rsidRDefault="0071743A" w:rsidP="0071743A">
      <w:pPr>
        <w:autoSpaceDE w:val="0"/>
        <w:autoSpaceDN w:val="0"/>
        <w:adjustRightInd w:val="0"/>
        <w:spacing w:line="360" w:lineRule="auto"/>
        <w:jc w:val="both"/>
        <w:rPr>
          <w:rFonts w:eastAsia="Calibri"/>
          <w:lang w:val="en-GB"/>
        </w:rPr>
      </w:pPr>
    </w:p>
    <w:p w:rsidR="007B1471" w:rsidRDefault="0071743A" w:rsidP="00CE7088">
      <w:pPr>
        <w:autoSpaceDE w:val="0"/>
        <w:autoSpaceDN w:val="0"/>
        <w:adjustRightInd w:val="0"/>
        <w:spacing w:line="360" w:lineRule="auto"/>
        <w:jc w:val="both"/>
        <w:rPr>
          <w:rFonts w:eastAsia="Calibri"/>
          <w:color w:val="000000"/>
          <w:lang w:val="en-GB"/>
        </w:rPr>
      </w:pPr>
      <w:r>
        <w:rPr>
          <w:lang w:val="en-GB"/>
        </w:rPr>
        <w:t xml:space="preserve">The interaction coefficient is </w:t>
      </w:r>
      <w:r w:rsidR="00CE7088" w:rsidRPr="00CE7088">
        <w:rPr>
          <w:lang w:val="en-GB"/>
        </w:rPr>
        <w:t>only significant in the cases</w:t>
      </w:r>
      <w:r w:rsidR="0016327B">
        <w:rPr>
          <w:lang w:val="en-GB"/>
        </w:rPr>
        <w:t xml:space="preserve"> of the HHI</w:t>
      </w:r>
      <w:r w:rsidR="00CE7088" w:rsidRPr="00CE7088">
        <w:rPr>
          <w:lang w:val="en-GB"/>
        </w:rPr>
        <w:t xml:space="preserve"> and the within Theil.</w:t>
      </w:r>
      <w:r w:rsidR="00CE7088" w:rsidRPr="00CE7088">
        <w:rPr>
          <w:rFonts w:eastAsia="Calibri"/>
          <w:lang w:val="en-GB"/>
        </w:rPr>
        <w:t xml:space="preserve"> </w:t>
      </w:r>
      <w:r w:rsidR="00CE7088" w:rsidRPr="00CE7088">
        <w:rPr>
          <w:lang w:val="en-GB"/>
        </w:rPr>
        <w:t xml:space="preserve"> </w:t>
      </w:r>
      <w:r w:rsidRPr="00CE7088">
        <w:rPr>
          <w:lang w:val="en-GB"/>
        </w:rPr>
        <w:t>The estimated co</w:t>
      </w:r>
      <w:r w:rsidR="0019446F">
        <w:rPr>
          <w:lang w:val="en-GB"/>
        </w:rPr>
        <w:t>efficient on openness in Table 1</w:t>
      </w:r>
      <w:r>
        <w:rPr>
          <w:lang w:val="en-GB"/>
        </w:rPr>
        <w:t xml:space="preserve"> </w:t>
      </w:r>
      <w:r w:rsidRPr="00CE7088">
        <w:rPr>
          <w:lang w:val="en-GB"/>
        </w:rPr>
        <w:t>suggests that openness tends to increase volatility but only when the country is perfectly diversified (DIV=0). However, this is irrelevant in our case, since there are no observations (countries) that are perfectly diversif</w:t>
      </w:r>
      <w:r w:rsidR="0016327B">
        <w:rPr>
          <w:lang w:val="en-GB"/>
        </w:rPr>
        <w:t xml:space="preserve">ied. </w:t>
      </w:r>
      <w:r w:rsidRPr="00CE7088">
        <w:rPr>
          <w:lang w:val="en-GB"/>
        </w:rPr>
        <w:t>Similarly, the sta</w:t>
      </w:r>
      <w:r w:rsidR="0019446F">
        <w:rPr>
          <w:lang w:val="en-GB"/>
        </w:rPr>
        <w:t>ndard errors reported in Table 1</w:t>
      </w:r>
      <w:r w:rsidRPr="00CE7088">
        <w:rPr>
          <w:lang w:val="en-GB"/>
        </w:rPr>
        <w:t xml:space="preserve"> are the standard errors only for that particular effect. </w:t>
      </w:r>
      <w:r w:rsidR="00C27635">
        <w:rPr>
          <w:rFonts w:eastAsia="Calibri"/>
          <w:color w:val="000000"/>
          <w:lang w:val="en-GB"/>
        </w:rPr>
        <w:t>Hence</w:t>
      </w:r>
      <w:r w:rsidR="0016327B">
        <w:rPr>
          <w:rFonts w:eastAsia="Calibri"/>
          <w:color w:val="000000"/>
          <w:lang w:val="en-GB"/>
        </w:rPr>
        <w:t xml:space="preserve">, </w:t>
      </w:r>
      <w:r w:rsidR="00CE7088" w:rsidRPr="00CE7088">
        <w:rPr>
          <w:rFonts w:eastAsia="Calibri"/>
          <w:color w:val="000000"/>
          <w:lang w:val="en-GB"/>
        </w:rPr>
        <w:t>we are primarily interested in the marginal effect of openness and the extent it is modified by export diversification. The marginal effect</w:t>
      </w:r>
      <w:r w:rsidR="00F643C6">
        <w:rPr>
          <w:rFonts w:eastAsia="Calibri"/>
          <w:color w:val="000000"/>
          <w:lang w:val="en-GB"/>
        </w:rPr>
        <w:t>s</w:t>
      </w:r>
      <w:r w:rsidR="00CE7088" w:rsidRPr="00CE7088">
        <w:rPr>
          <w:rFonts w:eastAsia="Calibri"/>
          <w:color w:val="000000"/>
          <w:lang w:val="en-GB"/>
        </w:rPr>
        <w:t xml:space="preserve"> of openness on volatility at different values of export diversification along</w:t>
      </w:r>
      <w:r w:rsidR="0019446F">
        <w:rPr>
          <w:rFonts w:eastAsia="Calibri"/>
          <w:color w:val="000000"/>
          <w:lang w:val="en-GB"/>
        </w:rPr>
        <w:t xml:space="preserve"> the intensive margin (Table 1, Column 3</w:t>
      </w:r>
      <w:r w:rsidR="00CE7088" w:rsidRPr="00CE7088">
        <w:rPr>
          <w:rFonts w:eastAsia="Calibri"/>
          <w:color w:val="000000"/>
          <w:lang w:val="en-GB"/>
        </w:rPr>
        <w:t xml:space="preserve">) </w:t>
      </w:r>
      <w:r w:rsidR="00F643C6">
        <w:rPr>
          <w:rFonts w:eastAsia="Calibri"/>
          <w:color w:val="000000"/>
          <w:lang w:val="en-GB"/>
        </w:rPr>
        <w:t>are</w:t>
      </w:r>
      <w:r w:rsidR="00CE7088" w:rsidRPr="00CE7088">
        <w:rPr>
          <w:rFonts w:eastAsia="Calibri"/>
          <w:color w:val="000000"/>
          <w:lang w:val="en-GB"/>
        </w:rPr>
        <w:t xml:space="preserve"> plotted in Figure 1</w:t>
      </w:r>
      <w:r w:rsidR="0078548E">
        <w:rPr>
          <w:rFonts w:eastAsia="Calibri"/>
          <w:color w:val="000000"/>
          <w:lang w:val="en-GB"/>
        </w:rPr>
        <w:t xml:space="preserve">: </w:t>
      </w:r>
      <w:r w:rsidR="0078548E" w:rsidRPr="00F643C6">
        <w:rPr>
          <w:rFonts w:eastAsia="Calibri"/>
          <w:color w:val="000000"/>
          <w:highlight w:val="lightGray"/>
          <w:lang w:val="en-GB"/>
        </w:rPr>
        <w:t>the right-</w:t>
      </w:r>
      <w:r w:rsidR="0078548E" w:rsidRPr="00F643C6">
        <w:rPr>
          <w:rFonts w:eastAsia="Calibri"/>
          <w:color w:val="000000"/>
          <w:highlight w:val="lightGray"/>
          <w:lang w:val="en-GB"/>
        </w:rPr>
        <w:lastRenderedPageBreak/>
        <w:t xml:space="preserve">hand panel displays marginal effects of openness from FE estimation </w:t>
      </w:r>
      <w:r w:rsidR="00F643C6" w:rsidRPr="00F643C6">
        <w:rPr>
          <w:rFonts w:eastAsia="Calibri"/>
          <w:color w:val="000000"/>
          <w:highlight w:val="lightGray"/>
          <w:lang w:val="en-GB"/>
        </w:rPr>
        <w:t xml:space="preserve">treating openness and the openness/diversification interaction as </w:t>
      </w:r>
      <w:r w:rsidR="0078548E" w:rsidRPr="00F643C6">
        <w:rPr>
          <w:rFonts w:eastAsia="Calibri"/>
          <w:color w:val="000000"/>
          <w:highlight w:val="lightGray"/>
          <w:lang w:val="en-GB"/>
        </w:rPr>
        <w:t>exogenous; the left-hand panel displays marginal effects of openness from system GMM estimation treating openness and the openness/diversification interaction as endogenous</w:t>
      </w:r>
      <w:r w:rsidR="00CE7088" w:rsidRPr="00F643C6">
        <w:rPr>
          <w:rFonts w:eastAsia="Calibri"/>
          <w:color w:val="000000"/>
          <w:highlight w:val="lightGray"/>
          <w:lang w:val="en-GB"/>
        </w:rPr>
        <w:t>.</w:t>
      </w:r>
      <w:r w:rsidR="0019446F">
        <w:rPr>
          <w:rStyle w:val="FootnoteReference"/>
          <w:rFonts w:eastAsia="Calibri"/>
          <w:color w:val="000000"/>
          <w:lang w:val="en-GB"/>
        </w:rPr>
        <w:footnoteReference w:id="6"/>
      </w:r>
    </w:p>
    <w:p w:rsidR="007B1471" w:rsidRPr="00CE7088" w:rsidRDefault="007B1471" w:rsidP="00CE7088">
      <w:pPr>
        <w:autoSpaceDE w:val="0"/>
        <w:autoSpaceDN w:val="0"/>
        <w:adjustRightInd w:val="0"/>
        <w:spacing w:line="360" w:lineRule="auto"/>
        <w:jc w:val="both"/>
        <w:rPr>
          <w:rFonts w:eastAsia="Calibri"/>
          <w:color w:val="000000"/>
          <w:lang w:val="en-GB"/>
        </w:rPr>
      </w:pPr>
    </w:p>
    <w:p w:rsidR="00821FB1" w:rsidRDefault="00821FB1" w:rsidP="00CE7088">
      <w:pPr>
        <w:rPr>
          <w:rFonts w:eastAsia="Calibri"/>
          <w:color w:val="000000"/>
          <w:lang w:val="en-GB"/>
        </w:rPr>
      </w:pPr>
      <w:bookmarkStart w:id="11" w:name="_Toc290147750"/>
      <w:bookmarkStart w:id="12" w:name="_Toc416392742"/>
    </w:p>
    <w:p w:rsidR="00CE7088" w:rsidRPr="000A1039" w:rsidRDefault="007B05E2" w:rsidP="000A1039">
      <w:pPr>
        <w:spacing w:after="160" w:line="259" w:lineRule="auto"/>
        <w:rPr>
          <w:rFonts w:eastAsia="Times New Roman"/>
          <w:b/>
          <w:bCs/>
          <w:lang w:val="en-GB"/>
        </w:rPr>
      </w:pPr>
      <w:r>
        <w:rPr>
          <w:rFonts w:eastAsia="Times New Roman"/>
          <w:b/>
          <w:bCs/>
          <w:lang w:val="en-GB"/>
        </w:rPr>
        <w:t xml:space="preserve">Figure </w:t>
      </w:r>
      <w:r w:rsidR="00CE7088" w:rsidRPr="00CE7088">
        <w:rPr>
          <w:rFonts w:eastAsia="Times New Roman"/>
          <w:b/>
          <w:bCs/>
          <w:lang w:val="en-GB"/>
        </w:rPr>
        <w:t xml:space="preserve">1. </w:t>
      </w:r>
      <w:r w:rsidR="00CE7088" w:rsidRPr="00CE7088">
        <w:rPr>
          <w:rFonts w:eastAsia="Times New Roman"/>
          <w:lang w:val="en-GB"/>
        </w:rPr>
        <w:t>Average ma</w:t>
      </w:r>
      <w:r w:rsidR="00CE7088">
        <w:rPr>
          <w:rFonts w:eastAsia="Times New Roman"/>
          <w:lang w:val="en-GB"/>
        </w:rPr>
        <w:t>rginal effects of openness as a function of</w:t>
      </w:r>
      <w:r w:rsidR="00CE7088" w:rsidRPr="00CE7088">
        <w:rPr>
          <w:rFonts w:eastAsia="Times New Roman"/>
          <w:lang w:val="en-GB"/>
        </w:rPr>
        <w:t xml:space="preserve"> export diversification (x-axis)</w:t>
      </w:r>
      <w:bookmarkEnd w:id="11"/>
      <w:bookmarkEnd w:id="12"/>
      <w:r w:rsidR="0078548E">
        <w:rPr>
          <w:rFonts w:eastAsia="Times New Roman"/>
          <w:lang w:val="en-GB"/>
        </w:rPr>
        <w:t xml:space="preserve">: from FE estimation (LH panel) </w:t>
      </w:r>
      <w:r w:rsidR="0078548E" w:rsidRPr="00F643C6">
        <w:rPr>
          <w:rFonts w:eastAsia="Times New Roman"/>
          <w:highlight w:val="lightGray"/>
          <w:lang w:val="en-GB"/>
        </w:rPr>
        <w:t>and from System GMM estimation (RH panel)</w:t>
      </w:r>
      <w:r w:rsidR="00CE7088" w:rsidRPr="00CE7088">
        <w:rPr>
          <w:rFonts w:eastAsia="Times New Roman"/>
          <w:lang w:val="en-GB"/>
        </w:rPr>
        <w:t xml:space="preserve"> </w:t>
      </w:r>
    </w:p>
    <w:p w:rsidR="00821FB1" w:rsidRPr="00BB46B6" w:rsidRDefault="00D009B8" w:rsidP="00821FB1">
      <w:pPr>
        <w:rPr>
          <w:rFonts w:eastAsia="Times New Roman"/>
          <w:b/>
          <w:bCs/>
          <w:lang w:val="en-GB"/>
        </w:rPr>
      </w:pPr>
      <w:r w:rsidRPr="00263CC8">
        <w:rPr>
          <w:noProof/>
        </w:rPr>
        <w:drawing>
          <wp:inline distT="0" distB="0" distL="0" distR="0" wp14:anchorId="25E80AE0" wp14:editId="51F5EF2B">
            <wp:extent cx="5111750" cy="3746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11750" cy="3746500"/>
                    </a:xfrm>
                    <a:prstGeom prst="rect">
                      <a:avLst/>
                    </a:prstGeom>
                    <a:noFill/>
                    <a:ln>
                      <a:noFill/>
                    </a:ln>
                  </pic:spPr>
                </pic:pic>
              </a:graphicData>
            </a:graphic>
          </wp:inline>
        </w:drawing>
      </w:r>
    </w:p>
    <w:p w:rsidR="00CE7088" w:rsidRPr="00CE7088" w:rsidRDefault="00CE7088" w:rsidP="00CE7088">
      <w:pPr>
        <w:spacing w:line="360" w:lineRule="auto"/>
        <w:rPr>
          <w:i/>
          <w:iCs/>
          <w:sz w:val="20"/>
          <w:szCs w:val="20"/>
          <w:lang w:val="en-GB"/>
        </w:rPr>
      </w:pPr>
      <w:r w:rsidRPr="00CE7088">
        <w:rPr>
          <w:i/>
          <w:iCs/>
          <w:sz w:val="20"/>
          <w:szCs w:val="20"/>
          <w:lang w:val="en-GB"/>
        </w:rPr>
        <w:t>Source:  Author's illustration</w:t>
      </w:r>
    </w:p>
    <w:p w:rsidR="00F643C6" w:rsidRDefault="00F643C6" w:rsidP="00CE7088">
      <w:pPr>
        <w:autoSpaceDE w:val="0"/>
        <w:autoSpaceDN w:val="0"/>
        <w:adjustRightInd w:val="0"/>
        <w:spacing w:line="360" w:lineRule="auto"/>
        <w:jc w:val="both"/>
        <w:rPr>
          <w:rFonts w:eastAsia="Calibri"/>
          <w:color w:val="000000"/>
          <w:lang w:val="en-GB"/>
        </w:rPr>
      </w:pPr>
    </w:p>
    <w:p w:rsidR="00E83CAE" w:rsidRDefault="00F643C6" w:rsidP="00E83CAE">
      <w:pPr>
        <w:autoSpaceDE w:val="0"/>
        <w:autoSpaceDN w:val="0"/>
        <w:adjustRightInd w:val="0"/>
        <w:spacing w:line="360" w:lineRule="auto"/>
        <w:jc w:val="both"/>
        <w:rPr>
          <w:rFonts w:eastAsia="Calibri"/>
          <w:color w:val="000000"/>
          <w:lang w:val="en-GB"/>
        </w:rPr>
      </w:pPr>
      <w:r w:rsidRPr="00B864ED">
        <w:rPr>
          <w:rFonts w:eastAsia="Calibri"/>
          <w:color w:val="000000"/>
          <w:highlight w:val="lightGray"/>
          <w:lang w:val="en-GB"/>
        </w:rPr>
        <w:t>The marginal effects derived from both estimation strategies are similar</w:t>
      </w:r>
      <w:r w:rsidR="004555C6">
        <w:rPr>
          <w:rFonts w:eastAsia="Calibri"/>
          <w:color w:val="000000"/>
          <w:highlight w:val="lightGray"/>
          <w:lang w:val="en-GB"/>
        </w:rPr>
        <w:t xml:space="preserve">. First, we find that openness does not have a statistically significant effect on output volatility at </w:t>
      </w:r>
      <w:r w:rsidR="00335C58">
        <w:rPr>
          <w:rFonts w:eastAsia="Calibri"/>
          <w:color w:val="000000"/>
          <w:highlight w:val="lightGray"/>
          <w:lang w:val="en-GB"/>
        </w:rPr>
        <w:t xml:space="preserve">higher </w:t>
      </w:r>
      <w:r w:rsidR="004555C6">
        <w:rPr>
          <w:rFonts w:eastAsia="Calibri"/>
          <w:color w:val="000000"/>
          <w:highlight w:val="lightGray"/>
          <w:lang w:val="en-GB"/>
        </w:rPr>
        <w:t>levels of diversification along the intensive margin</w:t>
      </w:r>
      <w:r w:rsidR="00335C58">
        <w:rPr>
          <w:rFonts w:eastAsia="Calibri"/>
          <w:color w:val="000000"/>
          <w:highlight w:val="lightGray"/>
          <w:lang w:val="en-GB"/>
        </w:rPr>
        <w:t>, which</w:t>
      </w:r>
      <w:r w:rsidR="004555C6">
        <w:rPr>
          <w:rFonts w:eastAsia="Calibri"/>
          <w:color w:val="000000"/>
          <w:highlight w:val="lightGray"/>
          <w:lang w:val="en-GB"/>
        </w:rPr>
        <w:t xml:space="preserve"> encompass 90 per cent of our sample observations. Y</w:t>
      </w:r>
      <w:r w:rsidR="00335C58">
        <w:rPr>
          <w:rFonts w:eastAsia="Calibri"/>
          <w:color w:val="000000"/>
          <w:highlight w:val="lightGray"/>
          <w:lang w:val="en-GB"/>
        </w:rPr>
        <w:t>et, f</w:t>
      </w:r>
      <w:r w:rsidR="004555C6">
        <w:rPr>
          <w:rFonts w:eastAsia="Calibri"/>
          <w:color w:val="000000"/>
          <w:highlight w:val="lightGray"/>
          <w:lang w:val="en-GB"/>
        </w:rPr>
        <w:t xml:space="preserve">or the 10 per cent of our observations at lower levels of </w:t>
      </w:r>
      <w:r w:rsidR="004555C6" w:rsidRPr="00334605">
        <w:rPr>
          <w:rFonts w:eastAsia="Calibri"/>
          <w:color w:val="000000"/>
          <w:highlight w:val="lightGray"/>
          <w:lang w:val="en-GB"/>
        </w:rPr>
        <w:t>diversification</w:t>
      </w:r>
      <w:r w:rsidR="00991B18" w:rsidRPr="00334605">
        <w:rPr>
          <w:rFonts w:eastAsia="Calibri"/>
          <w:color w:val="000000"/>
          <w:highlight w:val="lightGray"/>
          <w:lang w:val="en-GB"/>
        </w:rPr>
        <w:t xml:space="preserve"> – respectively,</w:t>
      </w:r>
      <w:r w:rsidR="004555C6" w:rsidRPr="00334605">
        <w:rPr>
          <w:rFonts w:eastAsia="Calibri"/>
          <w:color w:val="000000"/>
          <w:highlight w:val="lightGray"/>
          <w:lang w:val="en-GB"/>
        </w:rPr>
        <w:t xml:space="preserve"> </w:t>
      </w:r>
      <w:r w:rsidR="00991B18" w:rsidRPr="00334605">
        <w:rPr>
          <w:rFonts w:eastAsia="Calibri"/>
          <w:color w:val="000000"/>
          <w:highlight w:val="lightGray"/>
          <w:lang w:val="en-GB"/>
        </w:rPr>
        <w:t xml:space="preserve">lower than 3.72 (FE estimation) and 3.62 (GMM estimation) </w:t>
      </w:r>
      <w:r w:rsidR="00637899">
        <w:rPr>
          <w:rFonts w:eastAsia="Calibri"/>
          <w:color w:val="000000"/>
          <w:highlight w:val="lightGray"/>
          <w:lang w:val="en-GB"/>
        </w:rPr>
        <w:t>–</w:t>
      </w:r>
      <w:r w:rsidR="00991B18" w:rsidRPr="00334605">
        <w:rPr>
          <w:rFonts w:eastAsia="Calibri"/>
          <w:color w:val="000000"/>
          <w:highlight w:val="lightGray"/>
          <w:lang w:val="en-GB"/>
        </w:rPr>
        <w:t xml:space="preserve"> </w:t>
      </w:r>
      <w:r w:rsidR="00CE7088" w:rsidRPr="00334605">
        <w:rPr>
          <w:rFonts w:eastAsia="Calibri"/>
          <w:color w:val="000000"/>
          <w:highlight w:val="lightGray"/>
          <w:lang w:val="en-GB"/>
        </w:rPr>
        <w:t>the</w:t>
      </w:r>
      <w:r w:rsidR="00637899">
        <w:rPr>
          <w:rFonts w:eastAsia="Calibri"/>
          <w:color w:val="000000"/>
          <w:highlight w:val="lightGray"/>
          <w:lang w:val="en-GB"/>
        </w:rPr>
        <w:t xml:space="preserve"> </w:t>
      </w:r>
      <w:r w:rsidR="00CE7088" w:rsidRPr="00334605">
        <w:rPr>
          <w:rFonts w:eastAsia="Calibri"/>
          <w:color w:val="000000"/>
          <w:highlight w:val="lightGray"/>
          <w:lang w:val="en-GB"/>
        </w:rPr>
        <w:t xml:space="preserve">effect of openness </w:t>
      </w:r>
      <w:r w:rsidR="00CE7088" w:rsidRPr="00334605">
        <w:rPr>
          <w:rFonts w:eastAsia="Calibri"/>
          <w:color w:val="000000"/>
          <w:highlight w:val="lightGray"/>
          <w:lang w:val="en-GB"/>
        </w:rPr>
        <w:lastRenderedPageBreak/>
        <w:t xml:space="preserve">is </w:t>
      </w:r>
      <w:r w:rsidR="00991B18" w:rsidRPr="00334605">
        <w:rPr>
          <w:rFonts w:eastAsia="Calibri"/>
          <w:color w:val="000000"/>
          <w:highlight w:val="lightGray"/>
          <w:lang w:val="en-GB"/>
        </w:rPr>
        <w:t>not only positive and</w:t>
      </w:r>
      <w:r w:rsidR="00CE7088" w:rsidRPr="00334605">
        <w:rPr>
          <w:rFonts w:eastAsia="Calibri"/>
          <w:color w:val="000000"/>
          <w:highlight w:val="lightGray"/>
          <w:lang w:val="en-GB"/>
        </w:rPr>
        <w:t xml:space="preserve"> significant </w:t>
      </w:r>
      <w:r w:rsidR="00991B18" w:rsidRPr="00334605">
        <w:rPr>
          <w:rFonts w:eastAsia="Calibri"/>
          <w:color w:val="000000"/>
          <w:highlight w:val="lightGray"/>
          <w:lang w:val="en-GB"/>
        </w:rPr>
        <w:t>but is also attenuated by increased diversification along the intensive margin</w:t>
      </w:r>
      <w:r w:rsidRPr="00334605">
        <w:rPr>
          <w:rFonts w:eastAsia="Calibri"/>
          <w:color w:val="000000"/>
          <w:highlight w:val="lightGray"/>
          <w:lang w:val="en-GB"/>
        </w:rPr>
        <w:t xml:space="preserve">. </w:t>
      </w:r>
      <w:r w:rsidR="00657195" w:rsidRPr="00334605">
        <w:rPr>
          <w:rFonts w:eastAsia="Calibri"/>
          <w:color w:val="000000"/>
          <w:highlight w:val="lightGray"/>
          <w:lang w:val="en-GB"/>
        </w:rPr>
        <w:t xml:space="preserve">Within the range of statistically significant results </w:t>
      </w:r>
      <w:r w:rsidR="00657195" w:rsidRPr="00B72AA9">
        <w:rPr>
          <w:rFonts w:eastAsia="Calibri"/>
          <w:color w:val="000000"/>
          <w:highlight w:val="lightGray"/>
          <w:lang w:val="en-GB"/>
        </w:rPr>
        <w:t xml:space="preserve">obtained from FE estimation, </w:t>
      </w:r>
      <w:r w:rsidR="00D009B8">
        <w:rPr>
          <w:rFonts w:eastAsia="Calibri"/>
          <w:color w:val="000000"/>
          <w:highlight w:val="lightGray"/>
          <w:lang w:val="en-GB"/>
        </w:rPr>
        <w:t xml:space="preserve">which are of </w:t>
      </w:r>
      <w:r w:rsidR="00657195" w:rsidRPr="00B72AA9">
        <w:rPr>
          <w:rFonts w:eastAsia="Calibri"/>
          <w:color w:val="000000"/>
          <w:highlight w:val="lightGray"/>
          <w:lang w:val="en-GB"/>
        </w:rPr>
        <w:t xml:space="preserve"> similar </w:t>
      </w:r>
      <w:r w:rsidR="00D009B8">
        <w:rPr>
          <w:rFonts w:eastAsia="Calibri"/>
          <w:color w:val="000000"/>
          <w:highlight w:val="lightGray"/>
          <w:lang w:val="en-GB"/>
        </w:rPr>
        <w:t xml:space="preserve">magnitude </w:t>
      </w:r>
      <w:r w:rsidR="00657195" w:rsidRPr="00B72AA9">
        <w:rPr>
          <w:rFonts w:eastAsia="Calibri"/>
          <w:color w:val="000000"/>
          <w:highlight w:val="lightGray"/>
          <w:lang w:val="en-GB"/>
        </w:rPr>
        <w:t xml:space="preserve">to those obtained from GMM estimation, a change in </w:t>
      </w:r>
      <w:r w:rsidR="00334605">
        <w:rPr>
          <w:rFonts w:eastAsia="Calibri"/>
          <w:color w:val="000000"/>
          <w:highlight w:val="lightGray"/>
          <w:lang w:val="en-GB"/>
        </w:rPr>
        <w:t>w</w:t>
      </w:r>
      <w:r w:rsidR="00657195" w:rsidRPr="00B72AA9">
        <w:rPr>
          <w:rFonts w:eastAsia="Calibri"/>
          <w:color w:val="000000"/>
          <w:highlight w:val="lightGray"/>
          <w:lang w:val="en-GB"/>
        </w:rPr>
        <w:t>ithin-Theil index from 2.42 to 3.82 (compared to a range 1.72 and 6.76) reduces the marginal effect of openness from 0.50 to 0.21: in round terms, a reduction in output volatility of 0.3 percentage points</w:t>
      </w:r>
      <w:r w:rsidR="000378FB" w:rsidRPr="00B72AA9">
        <w:rPr>
          <w:rFonts w:eastAsia="Calibri"/>
          <w:color w:val="000000"/>
          <w:highlight w:val="lightGray"/>
          <w:lang w:val="en-GB"/>
        </w:rPr>
        <w:t xml:space="preserve">. This effect </w:t>
      </w:r>
      <w:r w:rsidR="00B72AA9" w:rsidRPr="00B72AA9">
        <w:rPr>
          <w:rFonts w:eastAsia="Calibri"/>
          <w:color w:val="000000"/>
          <w:highlight w:val="lightGray"/>
          <w:lang w:val="en-GB"/>
        </w:rPr>
        <w:t xml:space="preserve">is non-negligible, as can be seen by comparing it either </w:t>
      </w:r>
      <w:r w:rsidR="00335C58" w:rsidRPr="00B72AA9">
        <w:rPr>
          <w:rFonts w:eastAsia="Calibri"/>
          <w:color w:val="000000"/>
          <w:highlight w:val="lightGray"/>
          <w:lang w:val="en-GB"/>
        </w:rPr>
        <w:t xml:space="preserve">to </w:t>
      </w:r>
      <w:r w:rsidR="000378FB" w:rsidRPr="00B72AA9">
        <w:rPr>
          <w:rFonts w:eastAsia="Calibri"/>
          <w:color w:val="000000"/>
          <w:highlight w:val="lightGray"/>
          <w:lang w:val="en-GB"/>
        </w:rPr>
        <w:t>the mean value of our dependent variable</w:t>
      </w:r>
      <w:r w:rsidR="00335C58">
        <w:rPr>
          <w:rFonts w:eastAsia="Calibri"/>
          <w:color w:val="000000"/>
          <w:highlight w:val="lightGray"/>
          <w:lang w:val="en-GB"/>
        </w:rPr>
        <w:t>,</w:t>
      </w:r>
      <w:r w:rsidR="000378FB" w:rsidRPr="00B72AA9">
        <w:rPr>
          <w:rFonts w:eastAsia="Calibri"/>
          <w:color w:val="000000"/>
          <w:highlight w:val="lightGray"/>
          <w:lang w:val="en-GB"/>
        </w:rPr>
        <w:t xml:space="preserve"> 2.90</w:t>
      </w:r>
      <w:r w:rsidR="00335C58">
        <w:rPr>
          <w:rFonts w:eastAsia="Calibri"/>
          <w:color w:val="000000"/>
          <w:highlight w:val="lightGray"/>
          <w:lang w:val="en-GB"/>
        </w:rPr>
        <w:t>,</w:t>
      </w:r>
      <w:r w:rsidR="000378FB" w:rsidRPr="00B72AA9">
        <w:rPr>
          <w:rFonts w:eastAsia="Calibri"/>
          <w:color w:val="000000"/>
          <w:highlight w:val="lightGray"/>
          <w:lang w:val="en-GB"/>
        </w:rPr>
        <w:t xml:space="preserve"> or </w:t>
      </w:r>
      <w:r w:rsidR="00335C58">
        <w:rPr>
          <w:rFonts w:eastAsia="Calibri"/>
          <w:color w:val="000000"/>
          <w:highlight w:val="lightGray"/>
          <w:lang w:val="en-GB"/>
        </w:rPr>
        <w:t xml:space="preserve">to </w:t>
      </w:r>
      <w:r w:rsidR="000378FB" w:rsidRPr="00B72AA9">
        <w:rPr>
          <w:rFonts w:eastAsia="Calibri"/>
          <w:color w:val="000000"/>
          <w:highlight w:val="lightGray"/>
          <w:lang w:val="en-GB"/>
        </w:rPr>
        <w:t xml:space="preserve">the mean value </w:t>
      </w:r>
      <w:r w:rsidR="00335C58">
        <w:rPr>
          <w:rFonts w:eastAsia="Calibri"/>
          <w:color w:val="000000"/>
          <w:highlight w:val="lightGray"/>
          <w:lang w:val="en-GB"/>
        </w:rPr>
        <w:t>of</w:t>
      </w:r>
      <w:r w:rsidR="000378FB" w:rsidRPr="00B72AA9">
        <w:rPr>
          <w:rFonts w:eastAsia="Calibri"/>
          <w:color w:val="000000"/>
          <w:highlight w:val="lightGray"/>
          <w:lang w:val="en-GB"/>
        </w:rPr>
        <w:t xml:space="preserve"> the observations within the range of the significant marginal effects, </w:t>
      </w:r>
      <w:r w:rsidR="00B72AA9" w:rsidRPr="00B72AA9">
        <w:rPr>
          <w:rFonts w:eastAsia="Calibri"/>
          <w:color w:val="000000"/>
          <w:highlight w:val="lightGray"/>
          <w:lang w:val="en-GB"/>
        </w:rPr>
        <w:t>3.60</w:t>
      </w:r>
      <w:r w:rsidR="00657195" w:rsidRPr="00B72AA9">
        <w:rPr>
          <w:rFonts w:eastAsia="Calibri"/>
          <w:color w:val="000000"/>
          <w:highlight w:val="lightGray"/>
          <w:lang w:val="en-GB"/>
        </w:rPr>
        <w:t>.</w:t>
      </w:r>
      <w:r w:rsidR="00657195">
        <w:rPr>
          <w:rFonts w:eastAsia="Calibri"/>
          <w:color w:val="000000"/>
          <w:lang w:val="en-GB"/>
        </w:rPr>
        <w:t xml:space="preserve"> </w:t>
      </w:r>
      <w:r w:rsidR="00547EB2" w:rsidRPr="003A19E1">
        <w:rPr>
          <w:rFonts w:eastAsia="Calibri"/>
          <w:color w:val="000000"/>
          <w:highlight w:val="lightGray"/>
          <w:lang w:val="en-GB"/>
        </w:rPr>
        <w:t>Qualitatively, t</w:t>
      </w:r>
      <w:r w:rsidR="002549CD" w:rsidRPr="003A19E1">
        <w:rPr>
          <w:rFonts w:eastAsia="Calibri"/>
          <w:color w:val="000000"/>
          <w:highlight w:val="lightGray"/>
          <w:lang w:val="en-GB"/>
        </w:rPr>
        <w:t xml:space="preserve">hese findings </w:t>
      </w:r>
      <w:r w:rsidR="003A19E1" w:rsidRPr="003A19E1">
        <w:rPr>
          <w:rFonts w:eastAsia="Calibri"/>
          <w:color w:val="000000"/>
          <w:highlight w:val="lightGray"/>
          <w:lang w:val="en-GB"/>
        </w:rPr>
        <w:t>are consistent with those of Haddad et al. (2013) who also report</w:t>
      </w:r>
      <w:r w:rsidR="002549CD" w:rsidRPr="003A19E1">
        <w:rPr>
          <w:rFonts w:eastAsia="Calibri"/>
          <w:color w:val="000000"/>
          <w:highlight w:val="lightGray"/>
          <w:lang w:val="en-GB"/>
        </w:rPr>
        <w:t xml:space="preserve"> </w:t>
      </w:r>
      <w:r w:rsidR="003A19E1" w:rsidRPr="003A19E1">
        <w:rPr>
          <w:rFonts w:eastAsia="Calibri"/>
          <w:color w:val="000000"/>
          <w:highlight w:val="lightGray"/>
          <w:lang w:val="en-GB"/>
        </w:rPr>
        <w:t>a positive openness effect on output volatility that attenuates with diversification</w:t>
      </w:r>
      <w:r w:rsidR="002549CD" w:rsidRPr="003A19E1">
        <w:rPr>
          <w:rFonts w:eastAsia="Calibri"/>
          <w:color w:val="000000"/>
          <w:highlight w:val="lightGray"/>
          <w:lang w:val="en-GB"/>
        </w:rPr>
        <w:t xml:space="preserve">. </w:t>
      </w:r>
      <w:r w:rsidR="003A19E1" w:rsidRPr="003A19E1">
        <w:rPr>
          <w:rFonts w:eastAsia="Calibri"/>
          <w:color w:val="000000"/>
          <w:highlight w:val="lightGray"/>
          <w:lang w:val="en-GB"/>
        </w:rPr>
        <w:t xml:space="preserve">Quantitatively, however, the findings differ: </w:t>
      </w:r>
      <w:r w:rsidR="002549CD" w:rsidRPr="003A19E1">
        <w:rPr>
          <w:rFonts w:eastAsia="Calibri"/>
          <w:color w:val="000000"/>
          <w:highlight w:val="lightGray"/>
          <w:lang w:val="en-GB"/>
        </w:rPr>
        <w:t>Haddad et al. (2013)</w:t>
      </w:r>
      <w:r w:rsidR="00C336B0" w:rsidRPr="003A19E1">
        <w:rPr>
          <w:rFonts w:eastAsia="Calibri"/>
          <w:color w:val="000000"/>
          <w:highlight w:val="lightGray"/>
          <w:lang w:val="en-GB"/>
        </w:rPr>
        <w:t xml:space="preserve"> </w:t>
      </w:r>
      <w:r w:rsidR="002549CD" w:rsidRPr="003A19E1">
        <w:rPr>
          <w:rFonts w:eastAsia="Calibri"/>
          <w:color w:val="000000"/>
          <w:highlight w:val="lightGray"/>
          <w:lang w:val="en-GB"/>
        </w:rPr>
        <w:t xml:space="preserve">report </w:t>
      </w:r>
      <w:r w:rsidR="003A19E1" w:rsidRPr="003A19E1">
        <w:rPr>
          <w:rFonts w:eastAsia="Calibri"/>
          <w:color w:val="000000"/>
          <w:highlight w:val="lightGray"/>
          <w:lang w:val="en-GB"/>
        </w:rPr>
        <w:t xml:space="preserve">this effect </w:t>
      </w:r>
      <w:r w:rsidR="002549CD" w:rsidRPr="003A19E1">
        <w:rPr>
          <w:rFonts w:eastAsia="Calibri"/>
          <w:color w:val="000000"/>
          <w:highlight w:val="lightGray"/>
          <w:lang w:val="en-GB"/>
        </w:rPr>
        <w:t xml:space="preserve">over a much wider range of their sample </w:t>
      </w:r>
      <w:r w:rsidR="00C336B0" w:rsidRPr="003A19E1">
        <w:rPr>
          <w:rFonts w:eastAsia="Calibri"/>
          <w:color w:val="000000"/>
          <w:highlight w:val="lightGray"/>
          <w:lang w:val="en-GB"/>
        </w:rPr>
        <w:t>(</w:t>
      </w:r>
      <w:r w:rsidR="002549CD" w:rsidRPr="003A19E1">
        <w:rPr>
          <w:rFonts w:eastAsia="Calibri"/>
          <w:color w:val="000000"/>
          <w:highlight w:val="lightGray"/>
          <w:lang w:val="en-GB"/>
        </w:rPr>
        <w:t>in the range of 56 per cent to 80 per cent of the</w:t>
      </w:r>
      <w:r w:rsidR="00C336B0" w:rsidRPr="003A19E1">
        <w:rPr>
          <w:rFonts w:eastAsia="Calibri"/>
          <w:color w:val="000000"/>
          <w:highlight w:val="lightGray"/>
          <w:lang w:val="en-GB"/>
        </w:rPr>
        <w:t>ir</w:t>
      </w:r>
      <w:r w:rsidR="002549CD" w:rsidRPr="003A19E1">
        <w:rPr>
          <w:rFonts w:eastAsia="Calibri"/>
          <w:color w:val="000000"/>
          <w:highlight w:val="lightGray"/>
          <w:lang w:val="en-GB"/>
        </w:rPr>
        <w:t xml:space="preserve"> </w:t>
      </w:r>
      <w:r w:rsidR="00C336B0" w:rsidRPr="003A19E1">
        <w:rPr>
          <w:rFonts w:eastAsia="Calibri"/>
          <w:color w:val="000000"/>
          <w:highlight w:val="lightGray"/>
          <w:lang w:val="en-GB"/>
        </w:rPr>
        <w:t>observations on 77 developed and developing countries</w:t>
      </w:r>
      <w:r w:rsidR="002549CD" w:rsidRPr="003A19E1">
        <w:rPr>
          <w:rFonts w:eastAsia="Calibri"/>
          <w:color w:val="000000"/>
          <w:highlight w:val="lightGray"/>
          <w:lang w:val="en-GB"/>
        </w:rPr>
        <w:t>, depending on the indicator used</w:t>
      </w:r>
      <w:r w:rsidR="00C336B0" w:rsidRPr="003A19E1">
        <w:rPr>
          <w:rFonts w:eastAsia="Calibri"/>
          <w:color w:val="000000"/>
          <w:highlight w:val="lightGray"/>
          <w:lang w:val="en-GB"/>
        </w:rPr>
        <w:t>)</w:t>
      </w:r>
      <w:r w:rsidR="002549CD" w:rsidRPr="003A19E1">
        <w:rPr>
          <w:rFonts w:eastAsia="Calibri"/>
          <w:color w:val="000000"/>
          <w:highlight w:val="lightGray"/>
          <w:lang w:val="en-GB"/>
        </w:rPr>
        <w:t>.</w:t>
      </w:r>
      <w:r w:rsidR="00E83CAE">
        <w:rPr>
          <w:rFonts w:eastAsia="Calibri"/>
          <w:color w:val="000000"/>
          <w:lang w:val="en-GB"/>
        </w:rPr>
        <w:t xml:space="preserve"> </w:t>
      </w:r>
    </w:p>
    <w:p w:rsidR="00E83CAE" w:rsidRDefault="00E83CAE" w:rsidP="00E83CAE">
      <w:pPr>
        <w:autoSpaceDE w:val="0"/>
        <w:autoSpaceDN w:val="0"/>
        <w:adjustRightInd w:val="0"/>
        <w:spacing w:line="360" w:lineRule="auto"/>
        <w:jc w:val="both"/>
        <w:rPr>
          <w:rFonts w:eastAsia="Calibri"/>
          <w:color w:val="000000"/>
          <w:lang w:val="en-GB"/>
        </w:rPr>
      </w:pPr>
    </w:p>
    <w:p w:rsidR="00E83CAE" w:rsidRDefault="00E83CAE" w:rsidP="00E83CAE">
      <w:pPr>
        <w:autoSpaceDE w:val="0"/>
        <w:autoSpaceDN w:val="0"/>
        <w:adjustRightInd w:val="0"/>
        <w:spacing w:line="360" w:lineRule="auto"/>
        <w:jc w:val="both"/>
        <w:rPr>
          <w:rFonts w:eastAsia="Calibri"/>
          <w:lang w:val="en-GB"/>
        </w:rPr>
      </w:pPr>
      <w:r>
        <w:rPr>
          <w:rFonts w:eastAsia="Calibri"/>
          <w:color w:val="000000"/>
          <w:lang w:val="en-GB"/>
        </w:rPr>
        <w:t>We find that</w:t>
      </w:r>
      <w:r w:rsidRPr="00CE7088">
        <w:rPr>
          <w:rFonts w:eastAsia="Calibri"/>
          <w:lang w:val="en-GB"/>
        </w:rPr>
        <w:t xml:space="preserve"> the effect of openness on volatility attenuates as the overall diversification and diversification at the intensive mar</w:t>
      </w:r>
      <w:r>
        <w:rPr>
          <w:rFonts w:eastAsia="Calibri"/>
          <w:lang w:val="en-GB"/>
        </w:rPr>
        <w:t xml:space="preserve">gin of export growth increase. </w:t>
      </w:r>
      <w:r w:rsidRPr="00D10FB0">
        <w:rPr>
          <w:rFonts w:eastAsia="Calibri"/>
          <w:highlight w:val="lightGray"/>
          <w:lang w:val="en-GB"/>
        </w:rPr>
        <w:t xml:space="preserve">Yet our findings suggest that this relationship is not universally applicable </w:t>
      </w:r>
      <w:r>
        <w:rPr>
          <w:rFonts w:eastAsia="Calibri"/>
          <w:highlight w:val="lightGray"/>
          <w:lang w:val="en-GB"/>
        </w:rPr>
        <w:t>but is highly conditional; indeed,</w:t>
      </w:r>
      <w:r>
        <w:rPr>
          <w:rFonts w:eastAsia="Calibri"/>
          <w:lang w:val="en-GB"/>
        </w:rPr>
        <w:t xml:space="preserve"> t</w:t>
      </w:r>
      <w:r w:rsidRPr="00CE7088">
        <w:rPr>
          <w:rFonts w:eastAsia="Calibri"/>
          <w:lang w:val="en-GB"/>
        </w:rPr>
        <w:t xml:space="preserve">he marginal analysis shows that the effect is </w:t>
      </w:r>
      <w:r>
        <w:rPr>
          <w:rFonts w:eastAsia="Calibri"/>
          <w:lang w:val="en-GB"/>
        </w:rPr>
        <w:t xml:space="preserve">statistically </w:t>
      </w:r>
      <w:r w:rsidRPr="00CE7088">
        <w:rPr>
          <w:rFonts w:eastAsia="Calibri"/>
          <w:lang w:val="en-GB"/>
        </w:rPr>
        <w:t xml:space="preserve">significant </w:t>
      </w:r>
      <w:r w:rsidRPr="00D10FB0">
        <w:rPr>
          <w:rFonts w:eastAsia="Calibri"/>
          <w:highlight w:val="lightGray"/>
          <w:lang w:val="en-GB"/>
        </w:rPr>
        <w:t xml:space="preserve">only for the small portion of the sample at </w:t>
      </w:r>
      <w:r>
        <w:rPr>
          <w:rFonts w:eastAsia="Calibri"/>
          <w:highlight w:val="lightGray"/>
          <w:lang w:val="en-GB"/>
        </w:rPr>
        <w:t xml:space="preserve">the </w:t>
      </w:r>
      <w:r w:rsidRPr="00D10FB0">
        <w:rPr>
          <w:rFonts w:eastAsia="Calibri"/>
          <w:highlight w:val="lightGray"/>
          <w:lang w:val="en-GB"/>
        </w:rPr>
        <w:t>low</w:t>
      </w:r>
      <w:r>
        <w:rPr>
          <w:rFonts w:eastAsia="Calibri"/>
          <w:highlight w:val="lightGray"/>
          <w:lang w:val="en-GB"/>
        </w:rPr>
        <w:t>er</w:t>
      </w:r>
      <w:r w:rsidRPr="00D10FB0">
        <w:rPr>
          <w:rFonts w:eastAsia="Calibri"/>
          <w:highlight w:val="lightGray"/>
          <w:lang w:val="en-GB"/>
        </w:rPr>
        <w:t xml:space="preserve"> levels of diversification</w:t>
      </w:r>
      <w:r>
        <w:rPr>
          <w:rFonts w:eastAsia="Calibri"/>
          <w:lang w:val="en-GB"/>
        </w:rPr>
        <w:t xml:space="preserve">. </w:t>
      </w:r>
      <w:r w:rsidRPr="005E51DD">
        <w:rPr>
          <w:rFonts w:eastAsia="Calibri"/>
          <w:highlight w:val="lightGray"/>
          <w:lang w:val="en-GB"/>
        </w:rPr>
        <w:t xml:space="preserve">Accordingly, our results suggest that diversification may not attenuate the volatility effects of openness for </w:t>
      </w:r>
      <w:r w:rsidR="00D8108E">
        <w:rPr>
          <w:rFonts w:eastAsia="Calibri"/>
          <w:highlight w:val="lightGray"/>
          <w:lang w:val="en-GB"/>
        </w:rPr>
        <w:t xml:space="preserve">transition </w:t>
      </w:r>
      <w:r w:rsidRPr="005E51DD">
        <w:rPr>
          <w:rFonts w:eastAsia="Calibri"/>
          <w:highlight w:val="lightGray"/>
          <w:lang w:val="en-GB"/>
        </w:rPr>
        <w:t>countries already at medium or higher levels of diversification, but nonetheless may have this effect for countries at lower levels of diversification. In our sample, such countries are Azerbaijan</w:t>
      </w:r>
      <w:r>
        <w:rPr>
          <w:rFonts w:eastAsia="Calibri"/>
          <w:highlight w:val="lightGray"/>
          <w:lang w:val="en-GB"/>
        </w:rPr>
        <w:t>,</w:t>
      </w:r>
      <w:r w:rsidRPr="005E51DD">
        <w:rPr>
          <w:rFonts w:eastAsia="Calibri"/>
          <w:highlight w:val="lightGray"/>
          <w:lang w:val="en-GB"/>
        </w:rPr>
        <w:t xml:space="preserve"> Kyrgyzstan</w:t>
      </w:r>
      <w:r w:rsidRPr="009E7A3C">
        <w:rPr>
          <w:rFonts w:eastAsia="Calibri"/>
          <w:highlight w:val="lightGray"/>
          <w:lang w:val="en-GB"/>
        </w:rPr>
        <w:t xml:space="preserve"> </w:t>
      </w:r>
      <w:r w:rsidRPr="005E51DD">
        <w:rPr>
          <w:rFonts w:eastAsia="Calibri"/>
          <w:highlight w:val="lightGray"/>
          <w:lang w:val="en-GB"/>
        </w:rPr>
        <w:t>and</w:t>
      </w:r>
      <w:r>
        <w:rPr>
          <w:rFonts w:eastAsia="Calibri"/>
          <w:highlight w:val="lightGray"/>
          <w:lang w:val="en-GB"/>
        </w:rPr>
        <w:t xml:space="preserve"> Russia</w:t>
      </w:r>
      <w:r w:rsidRPr="005E51DD">
        <w:rPr>
          <w:rFonts w:eastAsia="Calibri"/>
          <w:highlight w:val="lightGray"/>
          <w:lang w:val="en-GB"/>
        </w:rPr>
        <w:t xml:space="preserve">, which together account for all </w:t>
      </w:r>
      <w:r>
        <w:rPr>
          <w:rFonts w:eastAsia="Calibri"/>
          <w:highlight w:val="lightGray"/>
          <w:lang w:val="en-GB"/>
        </w:rPr>
        <w:t>nine</w:t>
      </w:r>
      <w:r w:rsidRPr="005E51DD">
        <w:rPr>
          <w:rFonts w:eastAsia="Calibri"/>
          <w:highlight w:val="lightGray"/>
          <w:lang w:val="en-GB"/>
        </w:rPr>
        <w:t xml:space="preserve"> </w:t>
      </w:r>
      <w:r>
        <w:rPr>
          <w:rFonts w:eastAsia="Calibri"/>
          <w:highlight w:val="lightGray"/>
          <w:lang w:val="en-GB"/>
        </w:rPr>
        <w:t xml:space="preserve">of the </w:t>
      </w:r>
      <w:r w:rsidRPr="005E51DD">
        <w:rPr>
          <w:rFonts w:eastAsia="Calibri"/>
          <w:highlight w:val="lightGray"/>
          <w:lang w:val="en-GB"/>
        </w:rPr>
        <w:t xml:space="preserve">observations </w:t>
      </w:r>
      <w:r>
        <w:rPr>
          <w:rFonts w:eastAsia="Calibri"/>
          <w:highlight w:val="lightGray"/>
          <w:lang w:val="en-GB"/>
        </w:rPr>
        <w:t xml:space="preserve">from FE estimation, and eight of the nine from system GMM estimation, </w:t>
      </w:r>
      <w:r w:rsidRPr="005E51DD">
        <w:rPr>
          <w:rFonts w:eastAsia="Calibri"/>
          <w:highlight w:val="lightGray"/>
          <w:lang w:val="en-GB"/>
        </w:rPr>
        <w:t>subject to statistically significant moderating effects of diversification on the volatility effects of openness</w:t>
      </w:r>
      <w:r>
        <w:rPr>
          <w:rFonts w:eastAsia="Calibri"/>
          <w:highlight w:val="lightGray"/>
          <w:lang w:val="en-GB"/>
        </w:rPr>
        <w:t xml:space="preserve"> </w:t>
      </w:r>
      <w:r w:rsidRPr="005E51DD">
        <w:rPr>
          <w:rFonts w:eastAsia="Calibri"/>
          <w:highlight w:val="lightGray"/>
          <w:lang w:val="en-GB"/>
        </w:rPr>
        <w:t>(Figure 1).</w:t>
      </w:r>
      <w:r>
        <w:rPr>
          <w:rStyle w:val="FootnoteReference"/>
          <w:rFonts w:eastAsia="Calibri"/>
          <w:highlight w:val="lightGray"/>
          <w:lang w:val="en-GB"/>
        </w:rPr>
        <w:footnoteReference w:id="7"/>
      </w:r>
      <w:r>
        <w:rPr>
          <w:rFonts w:eastAsia="Calibri"/>
          <w:lang w:val="en-GB"/>
        </w:rPr>
        <w:t xml:space="preserve"> </w:t>
      </w:r>
    </w:p>
    <w:p w:rsidR="00E83CAE" w:rsidRDefault="00E83CAE" w:rsidP="00CE7088">
      <w:pPr>
        <w:autoSpaceDE w:val="0"/>
        <w:autoSpaceDN w:val="0"/>
        <w:adjustRightInd w:val="0"/>
        <w:spacing w:line="360" w:lineRule="auto"/>
        <w:jc w:val="both"/>
        <w:rPr>
          <w:rFonts w:eastAsia="Calibri"/>
          <w:color w:val="000000"/>
          <w:lang w:val="en-GB"/>
        </w:rPr>
      </w:pPr>
    </w:p>
    <w:p w:rsidR="00CE7088" w:rsidRDefault="00E83CAE" w:rsidP="00CE7088">
      <w:pPr>
        <w:autoSpaceDE w:val="0"/>
        <w:autoSpaceDN w:val="0"/>
        <w:adjustRightInd w:val="0"/>
        <w:spacing w:line="360" w:lineRule="auto"/>
        <w:jc w:val="both"/>
        <w:rPr>
          <w:lang w:val="en-GB"/>
        </w:rPr>
      </w:pPr>
      <w:r>
        <w:rPr>
          <w:rFonts w:eastAsia="Calibri"/>
          <w:lang w:val="en-GB"/>
        </w:rPr>
        <w:t>Next</w:t>
      </w:r>
      <w:r w:rsidR="00CE7088" w:rsidRPr="00CE7088">
        <w:rPr>
          <w:rFonts w:eastAsia="Calibri"/>
          <w:lang w:val="en-GB"/>
        </w:rPr>
        <w:t>, we consider the estimated results involving diversification at the extensive margin</w:t>
      </w:r>
      <w:r w:rsidR="00CE7088" w:rsidRPr="00CE7088">
        <w:rPr>
          <w:lang w:val="en-GB"/>
        </w:rPr>
        <w:t xml:space="preserve"> (the between component of the Theil index). </w:t>
      </w:r>
      <w:r w:rsidR="00D167B8">
        <w:rPr>
          <w:lang w:val="en-GB"/>
        </w:rPr>
        <w:t>B</w:t>
      </w:r>
      <w:r w:rsidR="00D10FB0">
        <w:rPr>
          <w:lang w:val="en-GB"/>
        </w:rPr>
        <w:t xml:space="preserve">oth </w:t>
      </w:r>
      <w:r w:rsidR="00CE7088" w:rsidRPr="00CE7088">
        <w:rPr>
          <w:lang w:val="en-GB"/>
        </w:rPr>
        <w:t xml:space="preserve">openness and diversification have </w:t>
      </w:r>
      <w:r w:rsidR="00D10FB0">
        <w:rPr>
          <w:lang w:val="en-GB"/>
        </w:rPr>
        <w:t xml:space="preserve">a </w:t>
      </w:r>
      <w:r w:rsidR="00CE7088" w:rsidRPr="00CE7088">
        <w:rPr>
          <w:lang w:val="en-GB"/>
        </w:rPr>
        <w:t>negative coefficient and their interaction has positive coefficient</w:t>
      </w:r>
      <w:r w:rsidR="00D10FB0">
        <w:rPr>
          <w:lang w:val="en-GB"/>
        </w:rPr>
        <w:t>; however</w:t>
      </w:r>
      <w:r w:rsidR="00CE7088" w:rsidRPr="00CE7088">
        <w:rPr>
          <w:lang w:val="en-GB"/>
        </w:rPr>
        <w:t>, these coefficients are</w:t>
      </w:r>
      <w:r w:rsidR="00EB01ED">
        <w:rPr>
          <w:lang w:val="en-GB"/>
        </w:rPr>
        <w:t xml:space="preserve"> </w:t>
      </w:r>
      <w:r w:rsidR="005565DA">
        <w:rPr>
          <w:lang w:val="en-GB"/>
        </w:rPr>
        <w:t xml:space="preserve">mainly </w:t>
      </w:r>
      <w:r w:rsidR="00EB01ED">
        <w:rPr>
          <w:lang w:val="en-GB"/>
        </w:rPr>
        <w:t>not statistically significant</w:t>
      </w:r>
      <w:r w:rsidR="0016327B">
        <w:rPr>
          <w:lang w:val="en-GB"/>
        </w:rPr>
        <w:t xml:space="preserve"> </w:t>
      </w:r>
      <w:r w:rsidR="005565DA">
        <w:rPr>
          <w:lang w:val="en-GB"/>
        </w:rPr>
        <w:t xml:space="preserve">(columns 4 and 8 in Table 2) </w:t>
      </w:r>
      <w:r w:rsidR="00D10FB0">
        <w:rPr>
          <w:lang w:val="en-GB"/>
        </w:rPr>
        <w:t xml:space="preserve">and </w:t>
      </w:r>
      <w:r w:rsidR="0016327B">
        <w:rPr>
          <w:lang w:val="en-GB"/>
        </w:rPr>
        <w:t xml:space="preserve">their </w:t>
      </w:r>
      <w:r>
        <w:rPr>
          <w:lang w:val="en-GB"/>
        </w:rPr>
        <w:t xml:space="preserve">corresponding </w:t>
      </w:r>
      <w:r w:rsidR="0016327B">
        <w:rPr>
          <w:lang w:val="en-GB"/>
        </w:rPr>
        <w:t>margin</w:t>
      </w:r>
      <w:r>
        <w:rPr>
          <w:lang w:val="en-GB"/>
        </w:rPr>
        <w:t>al</w:t>
      </w:r>
      <w:r w:rsidR="0016327B">
        <w:rPr>
          <w:lang w:val="en-GB"/>
        </w:rPr>
        <w:t xml:space="preserve"> effects</w:t>
      </w:r>
      <w:r>
        <w:rPr>
          <w:lang w:val="en-GB"/>
        </w:rPr>
        <w:t xml:space="preserve"> are uniformly insignificant.</w:t>
      </w:r>
      <w:r w:rsidR="00EB01ED">
        <w:rPr>
          <w:lang w:val="en-GB"/>
        </w:rPr>
        <w:t xml:space="preserve"> </w:t>
      </w:r>
      <w:r w:rsidR="00CE7088" w:rsidRPr="00CE7088">
        <w:rPr>
          <w:lang w:val="en-GB"/>
        </w:rPr>
        <w:t xml:space="preserve"> </w:t>
      </w:r>
    </w:p>
    <w:p w:rsidR="001512CC" w:rsidRDefault="001512CC" w:rsidP="00821FB1">
      <w:pPr>
        <w:autoSpaceDE w:val="0"/>
        <w:autoSpaceDN w:val="0"/>
        <w:adjustRightInd w:val="0"/>
        <w:jc w:val="both"/>
        <w:rPr>
          <w:lang w:val="en-GB"/>
        </w:rPr>
      </w:pPr>
    </w:p>
    <w:p w:rsidR="001512CC" w:rsidRPr="0025717B" w:rsidRDefault="00CE7088" w:rsidP="00CE7088">
      <w:pPr>
        <w:autoSpaceDE w:val="0"/>
        <w:autoSpaceDN w:val="0"/>
        <w:adjustRightInd w:val="0"/>
        <w:spacing w:line="360" w:lineRule="auto"/>
        <w:jc w:val="both"/>
        <w:rPr>
          <w:rFonts w:eastAsia="Calibri"/>
          <w:lang w:val="en-GB"/>
        </w:rPr>
      </w:pPr>
      <w:r w:rsidRPr="00CE7088">
        <w:rPr>
          <w:rFonts w:eastAsia="Calibri"/>
          <w:lang w:val="en-GB"/>
        </w:rPr>
        <w:t xml:space="preserve">The related literature (Rodrik, 1998; Haddad et al., 2013) uses only the HHI </w:t>
      </w:r>
      <w:r w:rsidR="0016327B">
        <w:rPr>
          <w:rFonts w:eastAsia="Calibri"/>
          <w:lang w:val="en-GB"/>
        </w:rPr>
        <w:t xml:space="preserve">and </w:t>
      </w:r>
      <w:r w:rsidR="00BA0F21">
        <w:rPr>
          <w:rFonts w:eastAsia="Calibri"/>
          <w:lang w:val="en-GB"/>
        </w:rPr>
        <w:t xml:space="preserve">the </w:t>
      </w:r>
      <w:r w:rsidR="0016327B">
        <w:rPr>
          <w:rFonts w:eastAsia="Calibri"/>
          <w:lang w:val="en-GB"/>
        </w:rPr>
        <w:t xml:space="preserve">total Theil </w:t>
      </w:r>
      <w:r w:rsidRPr="00CE7088">
        <w:rPr>
          <w:rFonts w:eastAsia="Calibri"/>
          <w:lang w:val="en-GB"/>
        </w:rPr>
        <w:t>as diversification indicator</w:t>
      </w:r>
      <w:r w:rsidR="00BA0F21">
        <w:rPr>
          <w:rFonts w:eastAsia="Calibri"/>
          <w:lang w:val="en-GB"/>
        </w:rPr>
        <w:t>s</w:t>
      </w:r>
      <w:r w:rsidRPr="00CE7088">
        <w:rPr>
          <w:rFonts w:eastAsia="Calibri"/>
          <w:lang w:val="en-GB"/>
        </w:rPr>
        <w:t xml:space="preserve"> and do</w:t>
      </w:r>
      <w:r w:rsidR="0025717B">
        <w:rPr>
          <w:rFonts w:eastAsia="Calibri"/>
          <w:lang w:val="en-GB"/>
        </w:rPr>
        <w:t>es</w:t>
      </w:r>
      <w:r w:rsidRPr="00CE7088">
        <w:rPr>
          <w:rFonts w:eastAsia="Calibri"/>
          <w:lang w:val="en-GB"/>
        </w:rPr>
        <w:t xml:space="preserve"> not distinguish between diversification at the intensive and extensive margins of export growth, often using the terms interchangeably. Our results </w:t>
      </w:r>
      <w:r w:rsidR="001512CC">
        <w:rPr>
          <w:rFonts w:eastAsia="Calibri"/>
          <w:lang w:val="en-GB"/>
        </w:rPr>
        <w:t>show</w:t>
      </w:r>
      <w:r w:rsidRPr="00CE7088">
        <w:rPr>
          <w:rFonts w:eastAsia="Calibri"/>
          <w:lang w:val="en-GB"/>
        </w:rPr>
        <w:t xml:space="preserve"> that it is important to distinguish which export margin is measured by the indicator used in the analysis, as openness </w:t>
      </w:r>
      <w:r w:rsidR="00BA0F21">
        <w:rPr>
          <w:rFonts w:eastAsia="Calibri"/>
          <w:lang w:val="en-GB"/>
        </w:rPr>
        <w:t xml:space="preserve">may </w:t>
      </w:r>
      <w:r w:rsidRPr="00CE7088">
        <w:rPr>
          <w:rFonts w:eastAsia="Calibri"/>
          <w:lang w:val="en-GB"/>
        </w:rPr>
        <w:t xml:space="preserve">influence volatility differently when </w:t>
      </w:r>
      <w:r w:rsidRPr="00CE7088">
        <w:rPr>
          <w:lang w:val="en-GB"/>
        </w:rPr>
        <w:t xml:space="preserve">diversification is the result of </w:t>
      </w:r>
      <w:r w:rsidR="00745A9E">
        <w:rPr>
          <w:lang w:val="en-GB"/>
        </w:rPr>
        <w:t>a changing</w:t>
      </w:r>
      <w:r w:rsidRPr="00CE7088">
        <w:rPr>
          <w:lang w:val="en-GB"/>
        </w:rPr>
        <w:t xml:space="preserve"> distribution across existing products (i.e. at the intensive margin) or when diversification arises from broadening the country’s export portfolio to new products (i.e. at the extensive margin).</w:t>
      </w:r>
      <w:r w:rsidRPr="00CE7088">
        <w:rPr>
          <w:rFonts w:eastAsia="Calibri"/>
          <w:lang w:val="en-GB"/>
        </w:rPr>
        <w:t xml:space="preserve"> </w:t>
      </w:r>
      <w:r w:rsidR="001512CC" w:rsidRPr="00C1014C">
        <w:rPr>
          <w:lang w:val="en-GB"/>
        </w:rPr>
        <w:t>Our findings that  trade openness has different effects on volatility when the country diversifies exports along the extensive margin than when exports are diversified along the intensive margin show that differences between diversification at the export margins are not just conceptual, but also substantive</w:t>
      </w:r>
      <w:r w:rsidR="00E7321B">
        <w:rPr>
          <w:lang w:val="en-GB"/>
        </w:rPr>
        <w:t xml:space="preserve">. </w:t>
      </w:r>
    </w:p>
    <w:p w:rsidR="00680FC0" w:rsidRDefault="00680FC0" w:rsidP="00CE7088">
      <w:pPr>
        <w:autoSpaceDE w:val="0"/>
        <w:autoSpaceDN w:val="0"/>
        <w:adjustRightInd w:val="0"/>
        <w:spacing w:line="360" w:lineRule="auto"/>
        <w:jc w:val="both"/>
        <w:rPr>
          <w:lang w:val="en-GB"/>
        </w:rPr>
      </w:pPr>
    </w:p>
    <w:p w:rsidR="00CE389B" w:rsidRDefault="007D7610" w:rsidP="000222C4">
      <w:pPr>
        <w:pStyle w:val="Heading2"/>
        <w:spacing w:line="360" w:lineRule="auto"/>
        <w:jc w:val="both"/>
        <w:rPr>
          <w:b w:val="0"/>
          <w:i w:val="0"/>
          <w:szCs w:val="24"/>
        </w:rPr>
      </w:pPr>
      <w:r w:rsidRPr="001E0B33">
        <w:rPr>
          <w:rFonts w:eastAsia="Calibri"/>
          <w:b w:val="0"/>
          <w:bCs w:val="0"/>
          <w:i w:val="0"/>
          <w:szCs w:val="24"/>
          <w:highlight w:val="lightGray"/>
        </w:rPr>
        <w:t>Further, i</w:t>
      </w:r>
      <w:r w:rsidR="00740E7D" w:rsidRPr="001E0B33">
        <w:rPr>
          <w:rFonts w:eastAsia="Calibri"/>
          <w:b w:val="0"/>
          <w:bCs w:val="0"/>
          <w:i w:val="0"/>
          <w:szCs w:val="24"/>
          <w:highlight w:val="lightGray"/>
        </w:rPr>
        <w:t>nstitutional quality</w:t>
      </w:r>
      <w:r w:rsidR="00597728" w:rsidRPr="001E0B33">
        <w:rPr>
          <w:rFonts w:eastAsia="Calibri"/>
          <w:b w:val="0"/>
          <w:bCs w:val="0"/>
          <w:i w:val="0"/>
          <w:szCs w:val="24"/>
          <w:highlight w:val="lightGray"/>
        </w:rPr>
        <w:t>, represented by the political rights,</w:t>
      </w:r>
      <w:r w:rsidR="00712A32" w:rsidRPr="001E0B33">
        <w:rPr>
          <w:rFonts w:eastAsia="Calibri"/>
          <w:b w:val="0"/>
          <w:bCs w:val="0"/>
          <w:i w:val="0"/>
          <w:szCs w:val="24"/>
          <w:highlight w:val="lightGray"/>
        </w:rPr>
        <w:t xml:space="preserve"> has </w:t>
      </w:r>
      <w:r w:rsidR="00BA0F21" w:rsidRPr="001E0B33">
        <w:rPr>
          <w:rFonts w:eastAsia="Calibri"/>
          <w:b w:val="0"/>
          <w:bCs w:val="0"/>
          <w:i w:val="0"/>
          <w:szCs w:val="24"/>
          <w:highlight w:val="lightGray"/>
        </w:rPr>
        <w:t xml:space="preserve">a </w:t>
      </w:r>
      <w:r w:rsidR="00712A32" w:rsidRPr="001E0B33">
        <w:rPr>
          <w:rFonts w:eastAsia="Calibri"/>
          <w:b w:val="0"/>
          <w:bCs w:val="0"/>
          <w:i w:val="0"/>
          <w:szCs w:val="24"/>
          <w:highlight w:val="lightGray"/>
        </w:rPr>
        <w:t>statistically significant effect on output volatility</w:t>
      </w:r>
      <w:r w:rsidR="00FE01BB">
        <w:rPr>
          <w:rFonts w:eastAsia="Calibri"/>
          <w:b w:val="0"/>
          <w:bCs w:val="0"/>
          <w:i w:val="0"/>
          <w:szCs w:val="24"/>
          <w:highlight w:val="lightGray"/>
        </w:rPr>
        <w:t>; in round terms, an improvement of institutional quality by one point (on a</w:t>
      </w:r>
      <w:r w:rsidR="00F41FDD">
        <w:rPr>
          <w:rFonts w:eastAsia="Calibri"/>
          <w:b w:val="0"/>
          <w:bCs w:val="0"/>
          <w:i w:val="0"/>
          <w:szCs w:val="24"/>
          <w:highlight w:val="lightGray"/>
        </w:rPr>
        <w:t>n inverted</w:t>
      </w:r>
      <w:r w:rsidR="00FE01BB">
        <w:rPr>
          <w:rFonts w:eastAsia="Calibri"/>
          <w:b w:val="0"/>
          <w:bCs w:val="0"/>
          <w:i w:val="0"/>
          <w:szCs w:val="24"/>
          <w:highlight w:val="lightGray"/>
        </w:rPr>
        <w:t xml:space="preserve"> seven point scale) </w:t>
      </w:r>
      <w:r w:rsidR="00F41FDD">
        <w:rPr>
          <w:rFonts w:eastAsia="Calibri"/>
          <w:b w:val="0"/>
          <w:bCs w:val="0"/>
          <w:i w:val="0"/>
          <w:szCs w:val="24"/>
          <w:highlight w:val="lightGray"/>
        </w:rPr>
        <w:t xml:space="preserve">is associated with a reduction of output volatility of somewhere between half </w:t>
      </w:r>
      <w:r w:rsidR="00770D34">
        <w:rPr>
          <w:rFonts w:eastAsia="Calibri"/>
          <w:b w:val="0"/>
          <w:bCs w:val="0"/>
          <w:i w:val="0"/>
          <w:szCs w:val="24"/>
          <w:highlight w:val="lightGray"/>
        </w:rPr>
        <w:t xml:space="preserve">(FE estimates) </w:t>
      </w:r>
      <w:r w:rsidR="00F41FDD">
        <w:rPr>
          <w:rFonts w:eastAsia="Calibri"/>
          <w:b w:val="0"/>
          <w:bCs w:val="0"/>
          <w:i w:val="0"/>
          <w:szCs w:val="24"/>
          <w:highlight w:val="lightGray"/>
        </w:rPr>
        <w:t xml:space="preserve">and one </w:t>
      </w:r>
      <w:r w:rsidR="00770D34">
        <w:rPr>
          <w:rFonts w:eastAsia="Calibri"/>
          <w:b w:val="0"/>
          <w:bCs w:val="0"/>
          <w:i w:val="0"/>
          <w:szCs w:val="24"/>
          <w:highlight w:val="lightGray"/>
        </w:rPr>
        <w:t xml:space="preserve">(GMM estimates) </w:t>
      </w:r>
      <w:r w:rsidR="00F41FDD">
        <w:rPr>
          <w:rFonts w:eastAsia="Calibri"/>
          <w:b w:val="0"/>
          <w:bCs w:val="0"/>
          <w:i w:val="0"/>
          <w:szCs w:val="24"/>
          <w:highlight w:val="lightGray"/>
        </w:rPr>
        <w:t>percentage point</w:t>
      </w:r>
      <w:r w:rsidR="00712A32" w:rsidRPr="001E0B33">
        <w:rPr>
          <w:rFonts w:eastAsia="Calibri"/>
          <w:b w:val="0"/>
          <w:bCs w:val="0"/>
          <w:i w:val="0"/>
          <w:szCs w:val="24"/>
          <w:highlight w:val="lightGray"/>
        </w:rPr>
        <w:t xml:space="preserve">. </w:t>
      </w:r>
      <w:r w:rsidR="00770D34">
        <w:rPr>
          <w:rFonts w:eastAsia="Calibri"/>
          <w:b w:val="0"/>
          <w:bCs w:val="0"/>
          <w:i w:val="0"/>
          <w:szCs w:val="24"/>
          <w:highlight w:val="lightGray"/>
        </w:rPr>
        <w:t>The difference in size of the estimated effects does</w:t>
      </w:r>
      <w:r w:rsidR="00081D28" w:rsidRPr="001E0B33">
        <w:rPr>
          <w:rFonts w:eastAsia="Calibri"/>
          <w:b w:val="0"/>
          <w:bCs w:val="0"/>
          <w:i w:val="0"/>
          <w:szCs w:val="24"/>
          <w:highlight w:val="lightGray"/>
        </w:rPr>
        <w:t xml:space="preserve"> not resolve the issue as to whether in principle institutional quality is potentially endogenous to output volatility. However, in our sample, whichever assumption we make, the corresponding estimation strategies yield estimates that are consistent with respect to sign, statistical significance and order of magnitude. </w:t>
      </w:r>
      <w:r w:rsidR="001E0B33" w:rsidRPr="001E0B33">
        <w:rPr>
          <w:rFonts w:eastAsia="Calibri"/>
          <w:b w:val="0"/>
          <w:bCs w:val="0"/>
          <w:i w:val="0"/>
          <w:szCs w:val="24"/>
          <w:highlight w:val="lightGray"/>
        </w:rPr>
        <w:t xml:space="preserve">Whichever assumption we make, therefore, our estimates suggest </w:t>
      </w:r>
      <w:r w:rsidR="00597728">
        <w:rPr>
          <w:rFonts w:eastAsia="Calibri"/>
          <w:b w:val="0"/>
          <w:bCs w:val="0"/>
          <w:i w:val="0"/>
          <w:szCs w:val="24"/>
        </w:rPr>
        <w:t>that transition countries with higher level</w:t>
      </w:r>
      <w:r w:rsidR="00BA0F21">
        <w:rPr>
          <w:rFonts w:eastAsia="Calibri"/>
          <w:b w:val="0"/>
          <w:bCs w:val="0"/>
          <w:i w:val="0"/>
          <w:szCs w:val="24"/>
        </w:rPr>
        <w:t>s</w:t>
      </w:r>
      <w:r w:rsidR="00597728">
        <w:rPr>
          <w:rFonts w:eastAsia="Calibri"/>
          <w:b w:val="0"/>
          <w:bCs w:val="0"/>
          <w:i w:val="0"/>
          <w:szCs w:val="24"/>
        </w:rPr>
        <w:t xml:space="preserve"> of political rights and democracy experience lower level</w:t>
      </w:r>
      <w:r w:rsidR="009318F3">
        <w:rPr>
          <w:rFonts w:eastAsia="Calibri"/>
          <w:b w:val="0"/>
          <w:bCs w:val="0"/>
          <w:i w:val="0"/>
          <w:szCs w:val="24"/>
        </w:rPr>
        <w:t>s</w:t>
      </w:r>
      <w:r w:rsidR="00597728">
        <w:rPr>
          <w:rFonts w:eastAsia="Calibri"/>
          <w:b w:val="0"/>
          <w:bCs w:val="0"/>
          <w:i w:val="0"/>
          <w:szCs w:val="24"/>
        </w:rPr>
        <w:t xml:space="preserve"> of output volatility. </w:t>
      </w:r>
      <w:r w:rsidR="008B4D4B" w:rsidRPr="000222C4">
        <w:rPr>
          <w:rFonts w:eastAsia="Calibri"/>
          <w:b w:val="0"/>
          <w:bCs w:val="0"/>
          <w:i w:val="0"/>
          <w:szCs w:val="24"/>
          <w:highlight w:val="lightGray"/>
        </w:rPr>
        <w:t xml:space="preserve">In the next Section, robustness checks </w:t>
      </w:r>
      <w:r w:rsidRPr="000222C4">
        <w:rPr>
          <w:rFonts w:eastAsia="Calibri"/>
          <w:b w:val="0"/>
          <w:bCs w:val="0"/>
          <w:i w:val="0"/>
          <w:szCs w:val="24"/>
          <w:highlight w:val="lightGray"/>
        </w:rPr>
        <w:t xml:space="preserve">show the </w:t>
      </w:r>
      <w:r w:rsidR="000222C4" w:rsidRPr="000222C4">
        <w:rPr>
          <w:rFonts w:eastAsia="Calibri"/>
          <w:b w:val="0"/>
          <w:bCs w:val="0"/>
          <w:i w:val="0"/>
          <w:szCs w:val="24"/>
          <w:highlight w:val="lightGray"/>
        </w:rPr>
        <w:t xml:space="preserve">consistency of these estimates with those obtained from </w:t>
      </w:r>
      <w:r w:rsidR="00597728" w:rsidRPr="000222C4">
        <w:rPr>
          <w:rFonts w:eastAsia="Calibri"/>
          <w:b w:val="0"/>
          <w:bCs w:val="0"/>
          <w:i w:val="0"/>
          <w:szCs w:val="24"/>
          <w:highlight w:val="lightGray"/>
        </w:rPr>
        <w:t xml:space="preserve">other </w:t>
      </w:r>
      <w:r w:rsidR="000222C4" w:rsidRPr="000222C4">
        <w:rPr>
          <w:rFonts w:eastAsia="Calibri"/>
          <w:b w:val="0"/>
          <w:bCs w:val="0"/>
          <w:i w:val="0"/>
          <w:szCs w:val="24"/>
          <w:highlight w:val="lightGray"/>
        </w:rPr>
        <w:t>measures</w:t>
      </w:r>
      <w:r w:rsidR="00597728" w:rsidRPr="000222C4">
        <w:rPr>
          <w:rFonts w:eastAsia="Calibri"/>
          <w:b w:val="0"/>
          <w:bCs w:val="0"/>
          <w:i w:val="0"/>
          <w:szCs w:val="24"/>
          <w:highlight w:val="lightGray"/>
        </w:rPr>
        <w:t xml:space="preserve"> of institution</w:t>
      </w:r>
      <w:r w:rsidR="000222C4" w:rsidRPr="000222C4">
        <w:rPr>
          <w:rFonts w:eastAsia="Calibri"/>
          <w:b w:val="0"/>
          <w:bCs w:val="0"/>
          <w:i w:val="0"/>
          <w:szCs w:val="24"/>
          <w:highlight w:val="lightGray"/>
        </w:rPr>
        <w:t>al quality as well as from other measures of</w:t>
      </w:r>
      <w:r w:rsidR="00597728" w:rsidRPr="000222C4">
        <w:rPr>
          <w:rFonts w:eastAsia="Calibri"/>
          <w:b w:val="0"/>
          <w:bCs w:val="0"/>
          <w:i w:val="0"/>
          <w:szCs w:val="24"/>
          <w:highlight w:val="lightGray"/>
        </w:rPr>
        <w:t xml:space="preserve"> </w:t>
      </w:r>
      <w:r w:rsidR="000222C4" w:rsidRPr="000222C4">
        <w:rPr>
          <w:rFonts w:eastAsia="Calibri"/>
          <w:b w:val="0"/>
          <w:bCs w:val="0"/>
          <w:i w:val="0"/>
          <w:szCs w:val="24"/>
          <w:highlight w:val="lightGray"/>
        </w:rPr>
        <w:t xml:space="preserve">output </w:t>
      </w:r>
      <w:r w:rsidR="00597728" w:rsidRPr="000222C4">
        <w:rPr>
          <w:rFonts w:eastAsia="Calibri"/>
          <w:b w:val="0"/>
          <w:bCs w:val="0"/>
          <w:i w:val="0"/>
          <w:szCs w:val="24"/>
          <w:highlight w:val="lightGray"/>
        </w:rPr>
        <w:t>volatility in transition countries.</w:t>
      </w:r>
    </w:p>
    <w:p w:rsidR="00712A32" w:rsidRPr="00712A32" w:rsidRDefault="00712A32" w:rsidP="00712A32">
      <w:pPr>
        <w:rPr>
          <w:lang w:val="en-GB"/>
        </w:rPr>
      </w:pPr>
    </w:p>
    <w:p w:rsidR="00FC05E1" w:rsidRPr="00EA057A" w:rsidRDefault="00FC05E1" w:rsidP="00C1014C">
      <w:pPr>
        <w:autoSpaceDE w:val="0"/>
        <w:autoSpaceDN w:val="0"/>
        <w:adjustRightInd w:val="0"/>
        <w:spacing w:line="360" w:lineRule="auto"/>
        <w:jc w:val="both"/>
        <w:rPr>
          <w:highlight w:val="lightGray"/>
          <w:lang w:val="en-GB"/>
        </w:rPr>
      </w:pPr>
    </w:p>
    <w:p w:rsidR="009704B4" w:rsidRDefault="00FC05E1" w:rsidP="00C1014C">
      <w:pPr>
        <w:autoSpaceDE w:val="0"/>
        <w:autoSpaceDN w:val="0"/>
        <w:adjustRightInd w:val="0"/>
        <w:spacing w:line="360" w:lineRule="auto"/>
        <w:jc w:val="both"/>
        <w:rPr>
          <w:lang w:val="en-GB"/>
        </w:rPr>
      </w:pPr>
      <w:r>
        <w:rPr>
          <w:lang w:val="en-GB"/>
        </w:rPr>
        <w:t xml:space="preserve"> Among the </w:t>
      </w:r>
      <w:r w:rsidRPr="000B71A0">
        <w:rPr>
          <w:lang w:val="en-GB"/>
        </w:rPr>
        <w:t xml:space="preserve">control variables, </w:t>
      </w:r>
      <w:r>
        <w:rPr>
          <w:lang w:val="en-GB"/>
        </w:rPr>
        <w:t>the only variable identified as exerting a systematic effect on output volatility is</w:t>
      </w:r>
      <w:r w:rsidRPr="000B71A0">
        <w:rPr>
          <w:lang w:val="en-GB"/>
        </w:rPr>
        <w:t xml:space="preserve"> inflation volatility</w:t>
      </w:r>
      <w:r>
        <w:rPr>
          <w:lang w:val="en-GB"/>
        </w:rPr>
        <w:t>: the estimated effect is uniformly positive, statistically significant and of about the same size</w:t>
      </w:r>
      <w:r w:rsidRPr="000B71A0">
        <w:rPr>
          <w:lang w:val="en-GB"/>
        </w:rPr>
        <w:t xml:space="preserve">. </w:t>
      </w:r>
      <w:r w:rsidRPr="00EA057A">
        <w:rPr>
          <w:highlight w:val="lightGray"/>
          <w:lang w:val="en-GB"/>
        </w:rPr>
        <w:t xml:space="preserve">In round terms, an increase of 10 percentage points standard deviation of the inflation rate causes an increase in the standard deviation of output in the </w:t>
      </w:r>
      <w:r w:rsidR="00EA057A" w:rsidRPr="00EA057A">
        <w:rPr>
          <w:highlight w:val="lightGray"/>
          <w:lang w:val="en-GB"/>
        </w:rPr>
        <w:t xml:space="preserve">volatility of 0.10 </w:t>
      </w:r>
      <w:r w:rsidR="00EA057A" w:rsidRPr="00EA057A">
        <w:rPr>
          <w:highlight w:val="lightGray"/>
          <w:lang w:val="en-GB"/>
        </w:rPr>
        <w:lastRenderedPageBreak/>
        <w:t>percentage points).</w:t>
      </w:r>
      <w:r w:rsidR="00EA057A">
        <w:rPr>
          <w:lang w:val="en-GB"/>
        </w:rPr>
        <w:t xml:space="preserve"> </w:t>
      </w:r>
      <w:r w:rsidR="009704B4" w:rsidRPr="000B71A0">
        <w:rPr>
          <w:lang w:val="en-GB"/>
        </w:rPr>
        <w:t xml:space="preserve">Other studies also find that inflation instability increase volatility in transition countries (Rhon et al., 2009). </w:t>
      </w:r>
      <w:r w:rsidR="00680FC0" w:rsidRPr="00680FC0">
        <w:rPr>
          <w:highlight w:val="lightGray"/>
          <w:lang w:val="en-GB"/>
        </w:rPr>
        <w:t>Otherwise, on the criterion of the estimates being of the same sign and half or more statistically significant, only the conflict dummy is informative: as expected, conflict is associated with a substantial increase in output volatility.</w:t>
      </w:r>
      <w:r w:rsidR="00680FC0">
        <w:rPr>
          <w:lang w:val="en-GB"/>
        </w:rPr>
        <w:t xml:space="preserve"> </w:t>
      </w:r>
    </w:p>
    <w:p w:rsidR="00821FB1" w:rsidRPr="000B71A0" w:rsidRDefault="00821FB1" w:rsidP="00821FB1">
      <w:pPr>
        <w:autoSpaceDE w:val="0"/>
        <w:autoSpaceDN w:val="0"/>
        <w:adjustRightInd w:val="0"/>
        <w:jc w:val="both"/>
        <w:rPr>
          <w:lang w:val="en-GB"/>
        </w:rPr>
      </w:pPr>
    </w:p>
    <w:p w:rsidR="003E5CD6" w:rsidRPr="000B71A0" w:rsidRDefault="003E5CD6" w:rsidP="003E5CD6">
      <w:pPr>
        <w:pStyle w:val="Heading1"/>
      </w:pPr>
      <w:r>
        <w:t>6</w:t>
      </w:r>
      <w:r w:rsidRPr="000B71A0">
        <w:t>. Robustness checks</w:t>
      </w:r>
    </w:p>
    <w:p w:rsidR="003E5CD6" w:rsidRPr="000B71A0" w:rsidRDefault="003E5CD6" w:rsidP="003E5CD6">
      <w:pPr>
        <w:spacing w:line="360" w:lineRule="auto"/>
        <w:jc w:val="both"/>
        <w:rPr>
          <w:lang w:val="en-GB"/>
        </w:rPr>
      </w:pPr>
    </w:p>
    <w:p w:rsidR="003E5CD6" w:rsidRDefault="003E5CD6" w:rsidP="003E5CD6">
      <w:pPr>
        <w:spacing w:line="360" w:lineRule="auto"/>
        <w:jc w:val="both"/>
        <w:rPr>
          <w:rFonts w:eastAsia="AdvTimes"/>
          <w:color w:val="000000"/>
          <w:lang w:val="en-GB"/>
        </w:rPr>
      </w:pPr>
      <w:r w:rsidRPr="000B71A0">
        <w:rPr>
          <w:lang w:val="en-GB"/>
        </w:rPr>
        <w:t xml:space="preserve">In order to investigate the stability of our findings several robustness checks are undertaken. </w:t>
      </w:r>
      <w:r>
        <w:rPr>
          <w:rFonts w:eastAsia="AdvTimes"/>
          <w:color w:val="000000"/>
          <w:lang w:val="en-GB"/>
        </w:rPr>
        <w:t>W</w:t>
      </w:r>
      <w:r w:rsidRPr="000B71A0">
        <w:rPr>
          <w:rFonts w:eastAsia="AdvTimes"/>
          <w:color w:val="000000"/>
          <w:lang w:val="en-GB"/>
        </w:rPr>
        <w:t xml:space="preserve">e </w:t>
      </w:r>
      <w:r w:rsidR="00715CB2">
        <w:rPr>
          <w:rFonts w:eastAsia="AdvTimes"/>
          <w:color w:val="000000"/>
          <w:lang w:val="en-GB"/>
        </w:rPr>
        <w:t xml:space="preserve">report estimates using: </w:t>
      </w:r>
      <w:r w:rsidRPr="000B71A0">
        <w:rPr>
          <w:rFonts w:eastAsia="AdvTimes"/>
          <w:color w:val="000000"/>
          <w:lang w:val="en-GB"/>
        </w:rPr>
        <w:t xml:space="preserve">different </w:t>
      </w:r>
      <w:r w:rsidR="00715CB2" w:rsidRPr="000B71A0">
        <w:rPr>
          <w:rFonts w:eastAsia="AdvTimes"/>
          <w:color w:val="000000"/>
          <w:lang w:val="en-GB"/>
        </w:rPr>
        <w:t>dependent variable proxies</w:t>
      </w:r>
      <w:r w:rsidR="00715CB2">
        <w:rPr>
          <w:rFonts w:eastAsia="AdvTimes"/>
          <w:color w:val="000000"/>
          <w:lang w:val="en-GB"/>
        </w:rPr>
        <w:t>; different</w:t>
      </w:r>
      <w:r w:rsidR="00715CB2" w:rsidRPr="000B71A0">
        <w:rPr>
          <w:rFonts w:eastAsia="AdvTimes"/>
          <w:color w:val="000000"/>
          <w:lang w:val="en-GB"/>
        </w:rPr>
        <w:t xml:space="preserve"> </w:t>
      </w:r>
      <w:r w:rsidRPr="000B71A0">
        <w:rPr>
          <w:rFonts w:eastAsia="AdvTimes"/>
          <w:color w:val="000000"/>
          <w:lang w:val="en-GB"/>
        </w:rPr>
        <w:t>institutional proxies</w:t>
      </w:r>
      <w:r w:rsidR="00715CB2">
        <w:rPr>
          <w:rFonts w:eastAsia="AdvTimes"/>
          <w:color w:val="000000"/>
          <w:lang w:val="en-GB"/>
        </w:rPr>
        <w:t>;</w:t>
      </w:r>
      <w:r w:rsidRPr="000B71A0">
        <w:rPr>
          <w:rFonts w:eastAsia="AdvTimes"/>
          <w:color w:val="000000"/>
          <w:lang w:val="en-GB"/>
        </w:rPr>
        <w:t xml:space="preserve"> and control</w:t>
      </w:r>
      <w:r w:rsidR="00715CB2">
        <w:rPr>
          <w:rFonts w:eastAsia="AdvTimes"/>
          <w:color w:val="000000"/>
          <w:lang w:val="en-GB"/>
        </w:rPr>
        <w:t>s</w:t>
      </w:r>
      <w:r w:rsidRPr="000B71A0">
        <w:rPr>
          <w:rFonts w:eastAsia="AdvTimes"/>
          <w:color w:val="000000"/>
          <w:lang w:val="en-GB"/>
        </w:rPr>
        <w:t xml:space="preserve"> for </w:t>
      </w:r>
      <w:r w:rsidR="00715CB2" w:rsidRPr="000B71A0">
        <w:rPr>
          <w:rFonts w:eastAsia="AdvTimes"/>
          <w:color w:val="000000"/>
          <w:lang w:val="en-GB"/>
        </w:rPr>
        <w:t xml:space="preserve">dependence </w:t>
      </w:r>
      <w:r w:rsidR="00715CB2">
        <w:rPr>
          <w:rFonts w:eastAsia="AdvTimes"/>
          <w:color w:val="000000"/>
          <w:lang w:val="en-GB"/>
        </w:rPr>
        <w:t xml:space="preserve">on </w:t>
      </w:r>
      <w:r w:rsidRPr="000B71A0">
        <w:rPr>
          <w:rFonts w:eastAsia="AdvTimes"/>
          <w:color w:val="000000"/>
          <w:lang w:val="en-GB"/>
        </w:rPr>
        <w:t>natural resources to investigate the possibility that our results ref</w:t>
      </w:r>
      <w:r>
        <w:rPr>
          <w:rFonts w:eastAsia="AdvTimes"/>
          <w:color w:val="000000"/>
          <w:lang w:val="en-GB"/>
        </w:rPr>
        <w:t xml:space="preserve">lect </w:t>
      </w:r>
      <w:r w:rsidR="00715CB2">
        <w:rPr>
          <w:rFonts w:eastAsia="AdvTimes"/>
          <w:color w:val="000000"/>
          <w:lang w:val="en-GB"/>
        </w:rPr>
        <w:t xml:space="preserve">a </w:t>
      </w:r>
      <w:r>
        <w:rPr>
          <w:rFonts w:eastAsia="AdvTimes"/>
          <w:color w:val="000000"/>
          <w:lang w:val="en-GB"/>
        </w:rPr>
        <w:t>potential "resource curse".</w:t>
      </w:r>
      <w:r w:rsidR="00715CB2">
        <w:rPr>
          <w:rFonts w:eastAsia="AdvTimes"/>
          <w:color w:val="000000"/>
          <w:lang w:val="en-GB"/>
        </w:rPr>
        <w:t xml:space="preserve"> </w:t>
      </w:r>
      <w:r w:rsidR="00715CB2" w:rsidRPr="00715CB2">
        <w:rPr>
          <w:rFonts w:eastAsia="AdvTimes"/>
          <w:color w:val="000000"/>
          <w:highlight w:val="lightGray"/>
          <w:lang w:val="en-GB"/>
        </w:rPr>
        <w:t>Given that our FE and system GMM estimates are similar, for reasons of space we report only FE estimates of these additional models</w:t>
      </w:r>
      <w:r w:rsidR="00715CB2">
        <w:rPr>
          <w:rFonts w:eastAsia="AdvTimes"/>
          <w:color w:val="000000"/>
          <w:highlight w:val="lightGray"/>
          <w:lang w:val="en-GB"/>
        </w:rPr>
        <w:t xml:space="preserve"> in Table 2</w:t>
      </w:r>
      <w:r w:rsidR="00715CB2" w:rsidRPr="00715CB2">
        <w:rPr>
          <w:rFonts w:eastAsia="AdvTimes"/>
          <w:color w:val="000000"/>
          <w:highlight w:val="lightGray"/>
          <w:lang w:val="en-GB"/>
        </w:rPr>
        <w:t>.</w:t>
      </w:r>
      <w:r w:rsidR="00715CB2">
        <w:rPr>
          <w:rFonts w:eastAsia="AdvTimes"/>
          <w:color w:val="000000"/>
          <w:lang w:val="en-GB"/>
        </w:rPr>
        <w:t xml:space="preserve"> </w:t>
      </w:r>
    </w:p>
    <w:p w:rsidR="00FC05E1" w:rsidRDefault="00FC05E1" w:rsidP="003E5CD6">
      <w:pPr>
        <w:spacing w:line="360" w:lineRule="auto"/>
        <w:jc w:val="both"/>
        <w:rPr>
          <w:rFonts w:eastAsia="AdvTimes"/>
          <w:color w:val="000000"/>
          <w:lang w:val="en-GB"/>
        </w:rPr>
      </w:pPr>
    </w:p>
    <w:p w:rsidR="00FC05E1" w:rsidRDefault="00FC05E1" w:rsidP="003E5CD6">
      <w:pPr>
        <w:spacing w:line="360" w:lineRule="auto"/>
        <w:jc w:val="both"/>
        <w:rPr>
          <w:rFonts w:eastAsia="AdvTimes"/>
          <w:color w:val="000000"/>
          <w:lang w:val="en-GB"/>
        </w:rPr>
      </w:pPr>
    </w:p>
    <w:p w:rsidR="00FC05E1" w:rsidRDefault="00FC05E1" w:rsidP="003E5CD6">
      <w:pPr>
        <w:spacing w:line="360" w:lineRule="auto"/>
        <w:jc w:val="both"/>
        <w:rPr>
          <w:rFonts w:eastAsia="AdvTimes"/>
          <w:color w:val="000000"/>
          <w:lang w:val="en-GB"/>
        </w:rPr>
      </w:pPr>
    </w:p>
    <w:p w:rsidR="00FC05E1" w:rsidRDefault="00FC05E1" w:rsidP="003E5CD6">
      <w:pPr>
        <w:spacing w:line="360" w:lineRule="auto"/>
        <w:jc w:val="both"/>
        <w:rPr>
          <w:rFonts w:eastAsia="AdvTimes"/>
          <w:color w:val="000000"/>
          <w:lang w:val="en-GB"/>
        </w:rPr>
      </w:pPr>
    </w:p>
    <w:p w:rsidR="00FC05E1" w:rsidRDefault="00FC05E1" w:rsidP="003E5CD6">
      <w:pPr>
        <w:spacing w:line="360" w:lineRule="auto"/>
        <w:jc w:val="both"/>
        <w:rPr>
          <w:rFonts w:eastAsia="AdvTimes"/>
          <w:color w:val="000000"/>
          <w:lang w:val="en-GB"/>
        </w:rPr>
      </w:pPr>
    </w:p>
    <w:p w:rsidR="00FC05E1" w:rsidRDefault="00FC05E1" w:rsidP="003E5CD6">
      <w:pPr>
        <w:spacing w:line="360" w:lineRule="auto"/>
        <w:jc w:val="both"/>
        <w:rPr>
          <w:rFonts w:eastAsia="AdvTimes"/>
          <w:color w:val="000000"/>
          <w:lang w:val="en-GB"/>
        </w:rPr>
      </w:pPr>
    </w:p>
    <w:p w:rsidR="00FC05E1" w:rsidRDefault="00FC05E1" w:rsidP="003E5CD6">
      <w:pPr>
        <w:spacing w:line="360" w:lineRule="auto"/>
        <w:jc w:val="both"/>
        <w:rPr>
          <w:rFonts w:eastAsia="AdvTimes"/>
          <w:color w:val="000000"/>
          <w:lang w:val="en-GB"/>
        </w:rPr>
      </w:pPr>
    </w:p>
    <w:p w:rsidR="00FC05E1" w:rsidRDefault="00FC05E1" w:rsidP="003E5CD6">
      <w:pPr>
        <w:spacing w:line="360" w:lineRule="auto"/>
        <w:jc w:val="both"/>
        <w:rPr>
          <w:rFonts w:eastAsia="AdvTimes"/>
          <w:color w:val="000000"/>
          <w:lang w:val="en-GB"/>
        </w:rPr>
      </w:pPr>
    </w:p>
    <w:p w:rsidR="00FC05E1" w:rsidRDefault="00FC05E1" w:rsidP="003E5CD6">
      <w:pPr>
        <w:spacing w:line="360" w:lineRule="auto"/>
        <w:jc w:val="both"/>
        <w:rPr>
          <w:rFonts w:eastAsia="AdvTimes"/>
          <w:color w:val="000000"/>
          <w:lang w:val="en-GB"/>
        </w:rPr>
      </w:pPr>
    </w:p>
    <w:p w:rsidR="00FC05E1" w:rsidRDefault="00FC05E1" w:rsidP="003E5CD6">
      <w:pPr>
        <w:spacing w:line="360" w:lineRule="auto"/>
        <w:jc w:val="both"/>
        <w:rPr>
          <w:rFonts w:eastAsia="AdvTimes"/>
          <w:color w:val="000000"/>
          <w:lang w:val="en-GB"/>
        </w:rPr>
      </w:pPr>
    </w:p>
    <w:p w:rsidR="00FC05E1" w:rsidRDefault="00FC05E1" w:rsidP="003E5CD6">
      <w:pPr>
        <w:spacing w:line="360" w:lineRule="auto"/>
        <w:jc w:val="both"/>
        <w:rPr>
          <w:rFonts w:eastAsia="AdvTimes"/>
          <w:color w:val="000000"/>
          <w:lang w:val="en-GB"/>
        </w:rPr>
      </w:pPr>
    </w:p>
    <w:p w:rsidR="00FC05E1" w:rsidRDefault="00FC05E1" w:rsidP="003E5CD6">
      <w:pPr>
        <w:spacing w:line="360" w:lineRule="auto"/>
        <w:jc w:val="both"/>
        <w:rPr>
          <w:rFonts w:eastAsia="AdvTimes"/>
          <w:color w:val="000000"/>
          <w:lang w:val="en-GB"/>
        </w:rPr>
      </w:pPr>
    </w:p>
    <w:p w:rsidR="00FC05E1" w:rsidRDefault="00FC05E1" w:rsidP="003E5CD6">
      <w:pPr>
        <w:spacing w:line="360" w:lineRule="auto"/>
        <w:jc w:val="both"/>
        <w:rPr>
          <w:rFonts w:eastAsia="AdvTimes"/>
          <w:color w:val="000000"/>
          <w:lang w:val="en-GB"/>
        </w:rPr>
      </w:pPr>
    </w:p>
    <w:p w:rsidR="00FC05E1" w:rsidRDefault="00FC05E1" w:rsidP="003E5CD6">
      <w:pPr>
        <w:spacing w:line="360" w:lineRule="auto"/>
        <w:jc w:val="both"/>
        <w:rPr>
          <w:rFonts w:eastAsia="AdvTimes"/>
          <w:color w:val="000000"/>
          <w:lang w:val="en-GB"/>
        </w:rPr>
      </w:pPr>
    </w:p>
    <w:p w:rsidR="00FC05E1" w:rsidRDefault="00FC05E1" w:rsidP="003E5CD6">
      <w:pPr>
        <w:spacing w:line="360" w:lineRule="auto"/>
        <w:jc w:val="both"/>
        <w:rPr>
          <w:rFonts w:eastAsia="AdvTimes"/>
          <w:color w:val="000000"/>
          <w:lang w:val="en-GB"/>
        </w:rPr>
      </w:pPr>
    </w:p>
    <w:tbl>
      <w:tblPr>
        <w:tblpPr w:leftFromText="180" w:rightFromText="180" w:vertAnchor="page" w:horzAnchor="margin" w:tblpXSpec="center" w:tblpY="1201"/>
        <w:tblW w:w="63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1530"/>
        <w:gridCol w:w="894"/>
        <w:gridCol w:w="818"/>
        <w:gridCol w:w="813"/>
        <w:gridCol w:w="806"/>
        <w:gridCol w:w="806"/>
        <w:gridCol w:w="811"/>
        <w:gridCol w:w="813"/>
        <w:gridCol w:w="911"/>
        <w:gridCol w:w="989"/>
        <w:gridCol w:w="896"/>
        <w:gridCol w:w="31"/>
        <w:gridCol w:w="782"/>
        <w:gridCol w:w="57"/>
        <w:gridCol w:w="930"/>
      </w:tblGrid>
      <w:tr w:rsidR="00562D0A" w:rsidRPr="009A405F" w:rsidTr="00562D0A">
        <w:trPr>
          <w:trHeight w:val="620"/>
        </w:trPr>
        <w:tc>
          <w:tcPr>
            <w:tcW w:w="5000" w:type="pct"/>
            <w:gridSpan w:val="15"/>
            <w:tcBorders>
              <w:top w:val="nil"/>
              <w:left w:val="nil"/>
              <w:bottom w:val="single" w:sz="4" w:space="0" w:color="auto"/>
              <w:right w:val="nil"/>
            </w:tcBorders>
          </w:tcPr>
          <w:p w:rsidR="00562D0A" w:rsidRPr="00562D0A" w:rsidRDefault="00562D0A" w:rsidP="00562D0A">
            <w:pPr>
              <w:pStyle w:val="ListofTables"/>
              <w:tabs>
                <w:tab w:val="left" w:pos="2690"/>
              </w:tabs>
              <w:rPr>
                <w:sz w:val="22"/>
                <w:szCs w:val="22"/>
                <w:lang w:val="en-GB"/>
              </w:rPr>
            </w:pPr>
            <w:r w:rsidRPr="00562D0A">
              <w:rPr>
                <w:b/>
                <w:sz w:val="22"/>
                <w:szCs w:val="22"/>
                <w:lang w:val="en-GB"/>
              </w:rPr>
              <w:lastRenderedPageBreak/>
              <w:t xml:space="preserve">Table 2.  </w:t>
            </w:r>
            <w:bookmarkStart w:id="13" w:name="_Toc290147728"/>
            <w:bookmarkStart w:id="14" w:name="_Toc416427907"/>
            <w:r w:rsidRPr="00562D0A">
              <w:rPr>
                <w:sz w:val="22"/>
                <w:szCs w:val="22"/>
                <w:lang w:val="en-GB"/>
              </w:rPr>
              <w:t>Fixed effect robust estimation of model (1) for different institutional proxies, different dependent variables and additional control</w:t>
            </w:r>
            <w:bookmarkEnd w:id="13"/>
            <w:bookmarkEnd w:id="14"/>
            <w:r w:rsidRPr="00562D0A">
              <w:rPr>
                <w:sz w:val="22"/>
                <w:szCs w:val="22"/>
                <w:lang w:val="en-GB"/>
              </w:rPr>
              <w:tab/>
            </w:r>
          </w:p>
        </w:tc>
      </w:tr>
      <w:tr w:rsidR="00562D0A" w:rsidRPr="009A405F" w:rsidTr="00562D0A">
        <w:trPr>
          <w:trHeight w:val="620"/>
        </w:trPr>
        <w:tc>
          <w:tcPr>
            <w:tcW w:w="644" w:type="pct"/>
            <w:tcBorders>
              <w:top w:val="single" w:sz="4" w:space="0" w:color="auto"/>
            </w:tcBorders>
          </w:tcPr>
          <w:p w:rsidR="00562D0A" w:rsidRDefault="00562D0A" w:rsidP="00562D0A">
            <w:pPr>
              <w:widowControl w:val="0"/>
              <w:autoSpaceDE w:val="0"/>
              <w:autoSpaceDN w:val="0"/>
              <w:adjustRightInd w:val="0"/>
              <w:rPr>
                <w:b/>
                <w:sz w:val="16"/>
                <w:szCs w:val="16"/>
              </w:rPr>
            </w:pPr>
          </w:p>
          <w:p w:rsidR="00562D0A" w:rsidRPr="00562D0A" w:rsidRDefault="00562D0A" w:rsidP="00562D0A">
            <w:pPr>
              <w:tabs>
                <w:tab w:val="left" w:pos="1160"/>
              </w:tabs>
              <w:rPr>
                <w:sz w:val="16"/>
                <w:szCs w:val="16"/>
              </w:rPr>
            </w:pPr>
            <w:r>
              <w:rPr>
                <w:sz w:val="16"/>
                <w:szCs w:val="16"/>
              </w:rPr>
              <w:tab/>
            </w:r>
          </w:p>
        </w:tc>
        <w:tc>
          <w:tcPr>
            <w:tcW w:w="3222" w:type="pct"/>
            <w:gridSpan w:val="9"/>
            <w:tcBorders>
              <w:top w:val="single" w:sz="4" w:space="0" w:color="auto"/>
            </w:tcBorders>
          </w:tcPr>
          <w:p w:rsidR="00562D0A" w:rsidRPr="009A405F" w:rsidRDefault="00562D0A" w:rsidP="00562D0A">
            <w:pPr>
              <w:widowControl w:val="0"/>
              <w:autoSpaceDE w:val="0"/>
              <w:autoSpaceDN w:val="0"/>
              <w:adjustRightInd w:val="0"/>
              <w:jc w:val="center"/>
              <w:rPr>
                <w:b/>
                <w:sz w:val="16"/>
                <w:szCs w:val="16"/>
              </w:rPr>
            </w:pPr>
            <w:r w:rsidRPr="009A405F">
              <w:rPr>
                <w:b/>
                <w:sz w:val="16"/>
                <w:szCs w:val="16"/>
                <w:lang w:val="en-GB"/>
              </w:rPr>
              <w:t>Different institutional proxy</w:t>
            </w:r>
          </w:p>
        </w:tc>
        <w:tc>
          <w:tcPr>
            <w:tcW w:w="743" w:type="pct"/>
            <w:gridSpan w:val="4"/>
            <w:tcBorders>
              <w:top w:val="single" w:sz="4" w:space="0" w:color="auto"/>
            </w:tcBorders>
          </w:tcPr>
          <w:p w:rsidR="00562D0A" w:rsidRPr="009A405F" w:rsidRDefault="00562D0A" w:rsidP="00562D0A">
            <w:pPr>
              <w:widowControl w:val="0"/>
              <w:autoSpaceDE w:val="0"/>
              <w:autoSpaceDN w:val="0"/>
              <w:adjustRightInd w:val="0"/>
              <w:jc w:val="center"/>
              <w:rPr>
                <w:b/>
                <w:sz w:val="16"/>
                <w:szCs w:val="16"/>
                <w:lang w:val="en-GB"/>
              </w:rPr>
            </w:pPr>
            <w:r w:rsidRPr="009A405F">
              <w:rPr>
                <w:b/>
                <w:sz w:val="16"/>
                <w:szCs w:val="16"/>
                <w:lang w:val="en-GB"/>
              </w:rPr>
              <w:t>Diff. dependent (</w:t>
            </w:r>
            <w:r>
              <w:rPr>
                <w:b/>
                <w:sz w:val="16"/>
                <w:szCs w:val="16"/>
                <w:lang w:val="en-GB"/>
              </w:rPr>
              <w:t>standard</w:t>
            </w:r>
            <w:r w:rsidRPr="009A405F">
              <w:rPr>
                <w:b/>
                <w:sz w:val="16"/>
                <w:szCs w:val="16"/>
                <w:lang w:val="en-GB"/>
              </w:rPr>
              <w:t xml:space="preserve"> deviation) </w:t>
            </w:r>
          </w:p>
          <w:p w:rsidR="00562D0A" w:rsidRPr="009A405F" w:rsidRDefault="00562D0A" w:rsidP="00562D0A">
            <w:pPr>
              <w:widowControl w:val="0"/>
              <w:autoSpaceDE w:val="0"/>
              <w:autoSpaceDN w:val="0"/>
              <w:adjustRightInd w:val="0"/>
              <w:jc w:val="center"/>
              <w:rPr>
                <w:b/>
                <w:sz w:val="16"/>
                <w:szCs w:val="16"/>
              </w:rPr>
            </w:pPr>
          </w:p>
        </w:tc>
        <w:tc>
          <w:tcPr>
            <w:tcW w:w="391" w:type="pct"/>
            <w:tcBorders>
              <w:top w:val="single" w:sz="4" w:space="0" w:color="auto"/>
            </w:tcBorders>
          </w:tcPr>
          <w:p w:rsidR="00562D0A" w:rsidRPr="009A405F" w:rsidRDefault="00562D0A" w:rsidP="00562D0A">
            <w:pPr>
              <w:widowControl w:val="0"/>
              <w:autoSpaceDE w:val="0"/>
              <w:autoSpaceDN w:val="0"/>
              <w:adjustRightInd w:val="0"/>
              <w:jc w:val="center"/>
              <w:rPr>
                <w:b/>
                <w:sz w:val="16"/>
                <w:szCs w:val="16"/>
              </w:rPr>
            </w:pPr>
            <w:r w:rsidRPr="009A405F">
              <w:rPr>
                <w:b/>
                <w:sz w:val="16"/>
                <w:szCs w:val="16"/>
                <w:lang w:val="en-GB"/>
              </w:rPr>
              <w:t>Control for natural resource</w:t>
            </w:r>
          </w:p>
        </w:tc>
      </w:tr>
      <w:tr w:rsidR="00562D0A" w:rsidRPr="009A405F" w:rsidTr="00562D0A">
        <w:tc>
          <w:tcPr>
            <w:tcW w:w="644" w:type="pct"/>
          </w:tcPr>
          <w:p w:rsidR="00562D0A" w:rsidRPr="009A405F" w:rsidRDefault="00562D0A" w:rsidP="00562D0A">
            <w:pPr>
              <w:widowControl w:val="0"/>
              <w:autoSpaceDE w:val="0"/>
              <w:autoSpaceDN w:val="0"/>
              <w:adjustRightInd w:val="0"/>
              <w:rPr>
                <w:b/>
                <w:sz w:val="16"/>
                <w:szCs w:val="16"/>
              </w:rPr>
            </w:pPr>
            <w:r w:rsidRPr="009A405F">
              <w:rPr>
                <w:b/>
                <w:sz w:val="16"/>
                <w:szCs w:val="16"/>
                <w:lang w:val="en-GB"/>
              </w:rPr>
              <w:t>Dependent variable</w:t>
            </w:r>
          </w:p>
        </w:tc>
        <w:tc>
          <w:tcPr>
            <w:tcW w:w="3222" w:type="pct"/>
            <w:gridSpan w:val="9"/>
          </w:tcPr>
          <w:p w:rsidR="00562D0A" w:rsidRPr="009A405F" w:rsidRDefault="00562D0A" w:rsidP="00562D0A">
            <w:pPr>
              <w:widowControl w:val="0"/>
              <w:autoSpaceDE w:val="0"/>
              <w:autoSpaceDN w:val="0"/>
              <w:adjustRightInd w:val="0"/>
              <w:jc w:val="center"/>
              <w:rPr>
                <w:b/>
                <w:sz w:val="16"/>
                <w:szCs w:val="16"/>
                <w:lang w:val="en-GB"/>
              </w:rPr>
            </w:pPr>
            <w:r w:rsidRPr="009A405F">
              <w:rPr>
                <w:b/>
                <w:sz w:val="16"/>
                <w:szCs w:val="16"/>
                <w:lang w:val="en-GB"/>
              </w:rPr>
              <w:t>Standard deviation of the real GDP per capita growth rates</w:t>
            </w:r>
          </w:p>
        </w:tc>
        <w:tc>
          <w:tcPr>
            <w:tcW w:w="390" w:type="pct"/>
            <w:gridSpan w:val="2"/>
          </w:tcPr>
          <w:p w:rsidR="00562D0A" w:rsidRPr="009A405F" w:rsidRDefault="00562D0A" w:rsidP="00562D0A">
            <w:pPr>
              <w:widowControl w:val="0"/>
              <w:autoSpaceDE w:val="0"/>
              <w:autoSpaceDN w:val="0"/>
              <w:adjustRightInd w:val="0"/>
              <w:jc w:val="center"/>
              <w:rPr>
                <w:b/>
                <w:sz w:val="16"/>
                <w:szCs w:val="16"/>
                <w:lang w:val="en-GB"/>
              </w:rPr>
            </w:pPr>
            <w:r>
              <w:rPr>
                <w:b/>
                <w:sz w:val="16"/>
                <w:szCs w:val="16"/>
                <w:lang w:val="en-GB"/>
              </w:rPr>
              <w:t>R</w:t>
            </w:r>
            <w:r w:rsidRPr="009A405F">
              <w:rPr>
                <w:b/>
                <w:sz w:val="16"/>
                <w:szCs w:val="16"/>
                <w:lang w:val="en-GB"/>
              </w:rPr>
              <w:t>eal GDP growth rate</w:t>
            </w:r>
          </w:p>
        </w:tc>
        <w:tc>
          <w:tcPr>
            <w:tcW w:w="353" w:type="pct"/>
            <w:gridSpan w:val="2"/>
          </w:tcPr>
          <w:p w:rsidR="00562D0A" w:rsidRPr="009A405F" w:rsidRDefault="00562D0A" w:rsidP="00562D0A">
            <w:pPr>
              <w:widowControl w:val="0"/>
              <w:autoSpaceDE w:val="0"/>
              <w:autoSpaceDN w:val="0"/>
              <w:adjustRightInd w:val="0"/>
              <w:jc w:val="center"/>
              <w:rPr>
                <w:b/>
                <w:sz w:val="16"/>
                <w:szCs w:val="16"/>
                <w:lang w:val="en-GB"/>
              </w:rPr>
            </w:pPr>
            <w:r w:rsidRPr="009A405F">
              <w:rPr>
                <w:b/>
                <w:sz w:val="16"/>
                <w:szCs w:val="16"/>
                <w:lang w:val="en-GB"/>
              </w:rPr>
              <w:t>HP</w:t>
            </w:r>
            <w:r>
              <w:rPr>
                <w:b/>
                <w:sz w:val="16"/>
                <w:szCs w:val="16"/>
                <w:lang w:val="en-GB"/>
              </w:rPr>
              <w:t xml:space="preserve"> gdp growth</w:t>
            </w:r>
          </w:p>
        </w:tc>
        <w:tc>
          <w:tcPr>
            <w:tcW w:w="391" w:type="pct"/>
          </w:tcPr>
          <w:p w:rsidR="00562D0A" w:rsidRPr="009A405F" w:rsidRDefault="00562D0A" w:rsidP="00562D0A">
            <w:pPr>
              <w:spacing w:after="160"/>
              <w:rPr>
                <w:b/>
                <w:sz w:val="16"/>
                <w:szCs w:val="16"/>
                <w:lang w:val="en-GB"/>
              </w:rPr>
            </w:pPr>
            <w:r w:rsidRPr="009A405F">
              <w:rPr>
                <w:b/>
                <w:sz w:val="16"/>
                <w:szCs w:val="16"/>
                <w:lang w:val="en-GB"/>
              </w:rPr>
              <w:t xml:space="preserve">Standard deviation of the real GDP per </w:t>
            </w:r>
            <w:r>
              <w:rPr>
                <w:b/>
                <w:sz w:val="16"/>
                <w:szCs w:val="16"/>
                <w:lang w:val="en-GB"/>
              </w:rPr>
              <w:t xml:space="preserve"> capita</w:t>
            </w:r>
          </w:p>
        </w:tc>
      </w:tr>
      <w:tr w:rsidR="00562D0A" w:rsidRPr="009A405F" w:rsidTr="00562D0A">
        <w:tc>
          <w:tcPr>
            <w:tcW w:w="644" w:type="pct"/>
            <w:vMerge w:val="restart"/>
          </w:tcPr>
          <w:p w:rsidR="00562D0A" w:rsidRPr="009A405F" w:rsidRDefault="00562D0A" w:rsidP="00562D0A">
            <w:pPr>
              <w:widowControl w:val="0"/>
              <w:autoSpaceDE w:val="0"/>
              <w:autoSpaceDN w:val="0"/>
              <w:adjustRightInd w:val="0"/>
              <w:spacing w:line="360" w:lineRule="auto"/>
              <w:rPr>
                <w:b/>
                <w:sz w:val="16"/>
                <w:szCs w:val="16"/>
                <w:lang w:val="en-GB"/>
              </w:rPr>
            </w:pPr>
            <w:r w:rsidRPr="009A405F">
              <w:rPr>
                <w:b/>
                <w:sz w:val="16"/>
                <w:szCs w:val="16"/>
                <w:lang w:val="en-GB"/>
              </w:rPr>
              <w:t>Institutional proxies</w:t>
            </w:r>
          </w:p>
          <w:p w:rsidR="00562D0A" w:rsidRPr="009A405F" w:rsidRDefault="00562D0A" w:rsidP="00562D0A">
            <w:pPr>
              <w:widowControl w:val="0"/>
              <w:autoSpaceDE w:val="0"/>
              <w:autoSpaceDN w:val="0"/>
              <w:adjustRightInd w:val="0"/>
              <w:rPr>
                <w:b/>
                <w:sz w:val="16"/>
                <w:szCs w:val="16"/>
              </w:rPr>
            </w:pPr>
          </w:p>
        </w:tc>
        <w:tc>
          <w:tcPr>
            <w:tcW w:w="1062" w:type="pct"/>
            <w:gridSpan w:val="3"/>
          </w:tcPr>
          <w:p w:rsidR="00562D0A" w:rsidRPr="009A405F" w:rsidRDefault="00562D0A" w:rsidP="00562D0A">
            <w:pPr>
              <w:widowControl w:val="0"/>
              <w:autoSpaceDE w:val="0"/>
              <w:autoSpaceDN w:val="0"/>
              <w:adjustRightInd w:val="0"/>
              <w:jc w:val="center"/>
              <w:rPr>
                <w:b/>
                <w:sz w:val="16"/>
                <w:szCs w:val="16"/>
              </w:rPr>
            </w:pPr>
            <w:r w:rsidRPr="009A405F">
              <w:rPr>
                <w:b/>
                <w:sz w:val="16"/>
                <w:szCs w:val="16"/>
                <w:lang w:val="en-GB"/>
              </w:rPr>
              <w:t>Kuncic</w:t>
            </w:r>
          </w:p>
          <w:p w:rsidR="00562D0A" w:rsidRPr="009A405F" w:rsidRDefault="00562D0A" w:rsidP="00562D0A">
            <w:pPr>
              <w:widowControl w:val="0"/>
              <w:autoSpaceDE w:val="0"/>
              <w:autoSpaceDN w:val="0"/>
              <w:adjustRightInd w:val="0"/>
              <w:rPr>
                <w:b/>
                <w:sz w:val="16"/>
                <w:szCs w:val="16"/>
              </w:rPr>
            </w:pPr>
          </w:p>
        </w:tc>
        <w:tc>
          <w:tcPr>
            <w:tcW w:w="1744" w:type="pct"/>
            <w:gridSpan w:val="5"/>
          </w:tcPr>
          <w:p w:rsidR="00562D0A" w:rsidRPr="009A405F" w:rsidRDefault="00562D0A" w:rsidP="00562D0A">
            <w:pPr>
              <w:widowControl w:val="0"/>
              <w:autoSpaceDE w:val="0"/>
              <w:autoSpaceDN w:val="0"/>
              <w:adjustRightInd w:val="0"/>
              <w:jc w:val="center"/>
              <w:rPr>
                <w:b/>
                <w:sz w:val="16"/>
                <w:szCs w:val="16"/>
              </w:rPr>
            </w:pPr>
            <w:r w:rsidRPr="009A405F">
              <w:rPr>
                <w:b/>
                <w:sz w:val="16"/>
                <w:szCs w:val="16"/>
                <w:lang w:val="en-GB"/>
              </w:rPr>
              <w:t>World Government Indicators (WGI)</w:t>
            </w:r>
          </w:p>
        </w:tc>
        <w:tc>
          <w:tcPr>
            <w:tcW w:w="416" w:type="pct"/>
          </w:tcPr>
          <w:p w:rsidR="00562D0A" w:rsidRPr="009A405F" w:rsidRDefault="00562D0A" w:rsidP="00562D0A">
            <w:pPr>
              <w:widowControl w:val="0"/>
              <w:autoSpaceDE w:val="0"/>
              <w:autoSpaceDN w:val="0"/>
              <w:adjustRightInd w:val="0"/>
              <w:jc w:val="center"/>
              <w:rPr>
                <w:b/>
                <w:sz w:val="16"/>
                <w:szCs w:val="16"/>
              </w:rPr>
            </w:pPr>
            <w:r>
              <w:rPr>
                <w:b/>
                <w:sz w:val="16"/>
                <w:szCs w:val="16"/>
              </w:rPr>
              <w:t>Transp.</w:t>
            </w:r>
            <w:r w:rsidRPr="009A405F">
              <w:rPr>
                <w:b/>
                <w:sz w:val="16"/>
                <w:szCs w:val="16"/>
              </w:rPr>
              <w:t xml:space="preserve"> Inter.</w:t>
            </w:r>
          </w:p>
        </w:tc>
        <w:tc>
          <w:tcPr>
            <w:tcW w:w="1134" w:type="pct"/>
            <w:gridSpan w:val="5"/>
          </w:tcPr>
          <w:p w:rsidR="00562D0A" w:rsidRPr="009A405F" w:rsidRDefault="00562D0A" w:rsidP="00562D0A">
            <w:pPr>
              <w:widowControl w:val="0"/>
              <w:autoSpaceDE w:val="0"/>
              <w:autoSpaceDN w:val="0"/>
              <w:adjustRightInd w:val="0"/>
              <w:jc w:val="center"/>
              <w:rPr>
                <w:b/>
                <w:sz w:val="16"/>
                <w:szCs w:val="16"/>
              </w:rPr>
            </w:pPr>
          </w:p>
        </w:tc>
      </w:tr>
      <w:tr w:rsidR="00562D0A" w:rsidRPr="009A405F" w:rsidTr="00562D0A">
        <w:tc>
          <w:tcPr>
            <w:tcW w:w="644" w:type="pct"/>
            <w:vMerge/>
          </w:tcPr>
          <w:p w:rsidR="00562D0A" w:rsidRPr="009A405F" w:rsidRDefault="00562D0A" w:rsidP="00562D0A">
            <w:pPr>
              <w:widowControl w:val="0"/>
              <w:autoSpaceDE w:val="0"/>
              <w:autoSpaceDN w:val="0"/>
              <w:adjustRightInd w:val="0"/>
              <w:rPr>
                <w:b/>
                <w:sz w:val="16"/>
                <w:szCs w:val="16"/>
              </w:rPr>
            </w:pPr>
          </w:p>
        </w:tc>
        <w:tc>
          <w:tcPr>
            <w:tcW w:w="376" w:type="pct"/>
          </w:tcPr>
          <w:p w:rsidR="00562D0A" w:rsidRPr="00C3188A" w:rsidRDefault="00562D0A" w:rsidP="00562D0A">
            <w:pPr>
              <w:widowControl w:val="0"/>
              <w:autoSpaceDE w:val="0"/>
              <w:autoSpaceDN w:val="0"/>
              <w:adjustRightInd w:val="0"/>
              <w:rPr>
                <w:b/>
                <w:sz w:val="14"/>
                <w:szCs w:val="16"/>
              </w:rPr>
            </w:pPr>
            <w:r w:rsidRPr="00C3188A">
              <w:rPr>
                <w:b/>
                <w:sz w:val="14"/>
                <w:szCs w:val="16"/>
                <w:lang w:val="en-GB"/>
              </w:rPr>
              <w:t>Economic</w:t>
            </w:r>
          </w:p>
        </w:tc>
        <w:tc>
          <w:tcPr>
            <w:tcW w:w="344" w:type="pct"/>
          </w:tcPr>
          <w:p w:rsidR="00562D0A" w:rsidRPr="00C3188A" w:rsidRDefault="00562D0A" w:rsidP="00562D0A">
            <w:pPr>
              <w:widowControl w:val="0"/>
              <w:autoSpaceDE w:val="0"/>
              <w:autoSpaceDN w:val="0"/>
              <w:adjustRightInd w:val="0"/>
              <w:rPr>
                <w:b/>
                <w:sz w:val="14"/>
                <w:szCs w:val="16"/>
              </w:rPr>
            </w:pPr>
            <w:r w:rsidRPr="00C3188A">
              <w:rPr>
                <w:b/>
                <w:sz w:val="14"/>
                <w:szCs w:val="16"/>
                <w:lang w:val="en-GB"/>
              </w:rPr>
              <w:t>Political</w:t>
            </w:r>
          </w:p>
        </w:tc>
        <w:tc>
          <w:tcPr>
            <w:tcW w:w="342" w:type="pct"/>
          </w:tcPr>
          <w:p w:rsidR="00562D0A" w:rsidRPr="00C3188A" w:rsidRDefault="00562D0A" w:rsidP="00562D0A">
            <w:pPr>
              <w:widowControl w:val="0"/>
              <w:autoSpaceDE w:val="0"/>
              <w:autoSpaceDN w:val="0"/>
              <w:adjustRightInd w:val="0"/>
              <w:rPr>
                <w:b/>
                <w:sz w:val="14"/>
                <w:szCs w:val="16"/>
              </w:rPr>
            </w:pPr>
            <w:r w:rsidRPr="00C3188A">
              <w:rPr>
                <w:b/>
                <w:sz w:val="14"/>
                <w:szCs w:val="16"/>
                <w:lang w:val="en-GB"/>
              </w:rPr>
              <w:t>Legal</w:t>
            </w:r>
          </w:p>
        </w:tc>
        <w:tc>
          <w:tcPr>
            <w:tcW w:w="339" w:type="pct"/>
          </w:tcPr>
          <w:p w:rsidR="00562D0A" w:rsidRPr="00C3188A" w:rsidRDefault="00562D0A" w:rsidP="00562D0A">
            <w:pPr>
              <w:widowControl w:val="0"/>
              <w:autoSpaceDE w:val="0"/>
              <w:autoSpaceDN w:val="0"/>
              <w:adjustRightInd w:val="0"/>
              <w:jc w:val="center"/>
              <w:rPr>
                <w:b/>
                <w:sz w:val="14"/>
                <w:szCs w:val="16"/>
                <w:lang w:val="en-GB"/>
              </w:rPr>
            </w:pPr>
            <w:r w:rsidRPr="00C3188A">
              <w:rPr>
                <w:b/>
                <w:sz w:val="14"/>
                <w:szCs w:val="16"/>
                <w:lang w:val="en-GB"/>
              </w:rPr>
              <w:t>Govern.</w:t>
            </w:r>
          </w:p>
          <w:p w:rsidR="00562D0A" w:rsidRPr="00C3188A" w:rsidRDefault="00562D0A" w:rsidP="00562D0A">
            <w:pPr>
              <w:widowControl w:val="0"/>
              <w:autoSpaceDE w:val="0"/>
              <w:autoSpaceDN w:val="0"/>
              <w:adjustRightInd w:val="0"/>
              <w:rPr>
                <w:b/>
                <w:sz w:val="14"/>
                <w:szCs w:val="16"/>
              </w:rPr>
            </w:pPr>
            <w:r w:rsidRPr="00C3188A">
              <w:rPr>
                <w:b/>
                <w:sz w:val="14"/>
                <w:szCs w:val="16"/>
                <w:lang w:val="en-GB"/>
              </w:rPr>
              <w:t>efficiency</w:t>
            </w:r>
          </w:p>
        </w:tc>
        <w:tc>
          <w:tcPr>
            <w:tcW w:w="339" w:type="pct"/>
          </w:tcPr>
          <w:p w:rsidR="00562D0A" w:rsidRPr="00C3188A" w:rsidRDefault="00562D0A" w:rsidP="00562D0A">
            <w:pPr>
              <w:widowControl w:val="0"/>
              <w:autoSpaceDE w:val="0"/>
              <w:autoSpaceDN w:val="0"/>
              <w:adjustRightInd w:val="0"/>
              <w:jc w:val="center"/>
              <w:rPr>
                <w:b/>
                <w:sz w:val="14"/>
                <w:szCs w:val="16"/>
              </w:rPr>
            </w:pPr>
            <w:r w:rsidRPr="00C3188A">
              <w:rPr>
                <w:b/>
                <w:sz w:val="14"/>
                <w:szCs w:val="16"/>
                <w:lang w:val="en-GB"/>
              </w:rPr>
              <w:t>Regulat. quality</w:t>
            </w:r>
          </w:p>
        </w:tc>
        <w:tc>
          <w:tcPr>
            <w:tcW w:w="341" w:type="pct"/>
          </w:tcPr>
          <w:p w:rsidR="00562D0A" w:rsidRPr="00C3188A" w:rsidRDefault="00562D0A" w:rsidP="00562D0A">
            <w:pPr>
              <w:widowControl w:val="0"/>
              <w:autoSpaceDE w:val="0"/>
              <w:autoSpaceDN w:val="0"/>
              <w:adjustRightInd w:val="0"/>
              <w:jc w:val="center"/>
              <w:rPr>
                <w:b/>
                <w:sz w:val="14"/>
                <w:szCs w:val="16"/>
              </w:rPr>
            </w:pPr>
            <w:r w:rsidRPr="00C3188A">
              <w:rPr>
                <w:b/>
                <w:sz w:val="14"/>
                <w:szCs w:val="16"/>
                <w:lang w:val="en-GB"/>
              </w:rPr>
              <w:t>Rule of law</w:t>
            </w:r>
          </w:p>
        </w:tc>
        <w:tc>
          <w:tcPr>
            <w:tcW w:w="342" w:type="pct"/>
          </w:tcPr>
          <w:p w:rsidR="00562D0A" w:rsidRPr="00C3188A" w:rsidRDefault="00562D0A" w:rsidP="00562D0A">
            <w:pPr>
              <w:widowControl w:val="0"/>
              <w:autoSpaceDE w:val="0"/>
              <w:autoSpaceDN w:val="0"/>
              <w:adjustRightInd w:val="0"/>
              <w:jc w:val="center"/>
              <w:rPr>
                <w:b/>
                <w:sz w:val="14"/>
                <w:szCs w:val="16"/>
              </w:rPr>
            </w:pPr>
            <w:r w:rsidRPr="00C3188A">
              <w:rPr>
                <w:b/>
                <w:sz w:val="14"/>
                <w:szCs w:val="16"/>
                <w:lang w:val="en-GB"/>
              </w:rPr>
              <w:t>Political stability</w:t>
            </w:r>
          </w:p>
        </w:tc>
        <w:tc>
          <w:tcPr>
            <w:tcW w:w="383" w:type="pct"/>
          </w:tcPr>
          <w:p w:rsidR="00562D0A" w:rsidRPr="00C3188A" w:rsidRDefault="00562D0A" w:rsidP="00562D0A">
            <w:pPr>
              <w:widowControl w:val="0"/>
              <w:autoSpaceDE w:val="0"/>
              <w:autoSpaceDN w:val="0"/>
              <w:adjustRightInd w:val="0"/>
              <w:jc w:val="center"/>
              <w:rPr>
                <w:b/>
                <w:sz w:val="14"/>
                <w:szCs w:val="16"/>
              </w:rPr>
            </w:pPr>
            <w:r w:rsidRPr="00C3188A">
              <w:rPr>
                <w:b/>
                <w:sz w:val="14"/>
                <w:szCs w:val="16"/>
                <w:lang w:val="en-GB"/>
              </w:rPr>
              <w:t>Corruption</w:t>
            </w:r>
          </w:p>
        </w:tc>
        <w:tc>
          <w:tcPr>
            <w:tcW w:w="416" w:type="pct"/>
          </w:tcPr>
          <w:p w:rsidR="00562D0A" w:rsidRPr="00C3188A" w:rsidRDefault="00562D0A" w:rsidP="00562D0A">
            <w:pPr>
              <w:widowControl w:val="0"/>
              <w:autoSpaceDE w:val="0"/>
              <w:autoSpaceDN w:val="0"/>
              <w:adjustRightInd w:val="0"/>
              <w:jc w:val="center"/>
              <w:rPr>
                <w:b/>
                <w:sz w:val="14"/>
                <w:szCs w:val="16"/>
              </w:rPr>
            </w:pPr>
            <w:r w:rsidRPr="00C3188A">
              <w:rPr>
                <w:b/>
                <w:sz w:val="14"/>
                <w:szCs w:val="16"/>
              </w:rPr>
              <w:t>Corruption</w:t>
            </w:r>
          </w:p>
        </w:tc>
        <w:tc>
          <w:tcPr>
            <w:tcW w:w="1134" w:type="pct"/>
            <w:gridSpan w:val="5"/>
          </w:tcPr>
          <w:p w:rsidR="00562D0A" w:rsidRPr="00C3188A" w:rsidRDefault="00562D0A" w:rsidP="00562D0A">
            <w:pPr>
              <w:widowControl w:val="0"/>
              <w:autoSpaceDE w:val="0"/>
              <w:autoSpaceDN w:val="0"/>
              <w:adjustRightInd w:val="0"/>
              <w:jc w:val="center"/>
              <w:rPr>
                <w:b/>
                <w:sz w:val="14"/>
                <w:szCs w:val="16"/>
              </w:rPr>
            </w:pPr>
            <w:r w:rsidRPr="00C3188A">
              <w:rPr>
                <w:b/>
                <w:sz w:val="14"/>
                <w:szCs w:val="16"/>
              </w:rPr>
              <w:t>Political rights</w:t>
            </w:r>
          </w:p>
        </w:tc>
      </w:tr>
      <w:tr w:rsidR="00562D0A" w:rsidRPr="009A405F" w:rsidTr="00562D0A">
        <w:tc>
          <w:tcPr>
            <w:tcW w:w="644" w:type="pct"/>
          </w:tcPr>
          <w:p w:rsidR="00562D0A" w:rsidRPr="009A405F" w:rsidRDefault="00562D0A" w:rsidP="00562D0A">
            <w:pPr>
              <w:widowControl w:val="0"/>
              <w:autoSpaceDE w:val="0"/>
              <w:autoSpaceDN w:val="0"/>
              <w:adjustRightInd w:val="0"/>
              <w:rPr>
                <w:sz w:val="18"/>
                <w:szCs w:val="18"/>
              </w:rPr>
            </w:pPr>
          </w:p>
        </w:tc>
        <w:tc>
          <w:tcPr>
            <w:tcW w:w="376" w:type="pct"/>
          </w:tcPr>
          <w:p w:rsidR="00562D0A" w:rsidRPr="009A405F" w:rsidRDefault="00562D0A" w:rsidP="00562D0A">
            <w:pPr>
              <w:widowControl w:val="0"/>
              <w:autoSpaceDE w:val="0"/>
              <w:autoSpaceDN w:val="0"/>
              <w:adjustRightInd w:val="0"/>
              <w:rPr>
                <w:sz w:val="18"/>
                <w:szCs w:val="18"/>
              </w:rPr>
            </w:pPr>
          </w:p>
        </w:tc>
        <w:tc>
          <w:tcPr>
            <w:tcW w:w="344" w:type="pct"/>
          </w:tcPr>
          <w:p w:rsidR="00562D0A" w:rsidRPr="009A405F" w:rsidRDefault="00562D0A" w:rsidP="00562D0A">
            <w:pPr>
              <w:widowControl w:val="0"/>
              <w:autoSpaceDE w:val="0"/>
              <w:autoSpaceDN w:val="0"/>
              <w:adjustRightInd w:val="0"/>
              <w:rPr>
                <w:sz w:val="18"/>
                <w:szCs w:val="18"/>
              </w:rPr>
            </w:pPr>
          </w:p>
        </w:tc>
        <w:tc>
          <w:tcPr>
            <w:tcW w:w="342" w:type="pct"/>
          </w:tcPr>
          <w:p w:rsidR="00562D0A" w:rsidRPr="009A405F" w:rsidRDefault="00562D0A" w:rsidP="00562D0A">
            <w:pPr>
              <w:widowControl w:val="0"/>
              <w:autoSpaceDE w:val="0"/>
              <w:autoSpaceDN w:val="0"/>
              <w:adjustRightInd w:val="0"/>
              <w:rPr>
                <w:sz w:val="18"/>
                <w:szCs w:val="18"/>
              </w:rPr>
            </w:pPr>
          </w:p>
        </w:tc>
        <w:tc>
          <w:tcPr>
            <w:tcW w:w="339" w:type="pct"/>
          </w:tcPr>
          <w:p w:rsidR="00562D0A" w:rsidRPr="009A405F" w:rsidRDefault="00562D0A" w:rsidP="00562D0A">
            <w:pPr>
              <w:widowControl w:val="0"/>
              <w:autoSpaceDE w:val="0"/>
              <w:autoSpaceDN w:val="0"/>
              <w:adjustRightInd w:val="0"/>
              <w:rPr>
                <w:sz w:val="18"/>
                <w:szCs w:val="18"/>
              </w:rPr>
            </w:pPr>
          </w:p>
        </w:tc>
        <w:tc>
          <w:tcPr>
            <w:tcW w:w="339" w:type="pct"/>
          </w:tcPr>
          <w:p w:rsidR="00562D0A" w:rsidRPr="009A405F" w:rsidRDefault="00562D0A" w:rsidP="00562D0A">
            <w:pPr>
              <w:widowControl w:val="0"/>
              <w:autoSpaceDE w:val="0"/>
              <w:autoSpaceDN w:val="0"/>
              <w:adjustRightInd w:val="0"/>
              <w:jc w:val="center"/>
              <w:rPr>
                <w:sz w:val="18"/>
                <w:szCs w:val="18"/>
              </w:rPr>
            </w:pPr>
          </w:p>
        </w:tc>
        <w:tc>
          <w:tcPr>
            <w:tcW w:w="341" w:type="pct"/>
          </w:tcPr>
          <w:p w:rsidR="00562D0A" w:rsidRPr="009A405F" w:rsidRDefault="00562D0A" w:rsidP="00562D0A">
            <w:pPr>
              <w:widowControl w:val="0"/>
              <w:autoSpaceDE w:val="0"/>
              <w:autoSpaceDN w:val="0"/>
              <w:adjustRightInd w:val="0"/>
              <w:jc w:val="center"/>
              <w:rPr>
                <w:sz w:val="18"/>
                <w:szCs w:val="18"/>
              </w:rPr>
            </w:pPr>
          </w:p>
        </w:tc>
        <w:tc>
          <w:tcPr>
            <w:tcW w:w="342" w:type="pct"/>
          </w:tcPr>
          <w:p w:rsidR="00562D0A" w:rsidRPr="009A405F" w:rsidRDefault="00562D0A" w:rsidP="00562D0A">
            <w:pPr>
              <w:widowControl w:val="0"/>
              <w:autoSpaceDE w:val="0"/>
              <w:autoSpaceDN w:val="0"/>
              <w:adjustRightInd w:val="0"/>
              <w:jc w:val="center"/>
              <w:rPr>
                <w:sz w:val="18"/>
                <w:szCs w:val="18"/>
              </w:rPr>
            </w:pPr>
          </w:p>
        </w:tc>
        <w:tc>
          <w:tcPr>
            <w:tcW w:w="383" w:type="pct"/>
          </w:tcPr>
          <w:p w:rsidR="00562D0A" w:rsidRPr="009A405F" w:rsidRDefault="00562D0A" w:rsidP="00562D0A">
            <w:pPr>
              <w:widowControl w:val="0"/>
              <w:autoSpaceDE w:val="0"/>
              <w:autoSpaceDN w:val="0"/>
              <w:adjustRightInd w:val="0"/>
              <w:jc w:val="center"/>
              <w:rPr>
                <w:sz w:val="18"/>
                <w:szCs w:val="18"/>
              </w:rPr>
            </w:pPr>
          </w:p>
        </w:tc>
        <w:tc>
          <w:tcPr>
            <w:tcW w:w="416" w:type="pct"/>
          </w:tcPr>
          <w:p w:rsidR="00562D0A" w:rsidRPr="009A405F" w:rsidRDefault="00562D0A" w:rsidP="00562D0A">
            <w:pPr>
              <w:widowControl w:val="0"/>
              <w:autoSpaceDE w:val="0"/>
              <w:autoSpaceDN w:val="0"/>
              <w:adjustRightInd w:val="0"/>
              <w:jc w:val="center"/>
              <w:rPr>
                <w:sz w:val="18"/>
                <w:szCs w:val="18"/>
              </w:rPr>
            </w:pPr>
          </w:p>
        </w:tc>
        <w:tc>
          <w:tcPr>
            <w:tcW w:w="377" w:type="pct"/>
          </w:tcPr>
          <w:p w:rsidR="00562D0A" w:rsidRPr="009A405F" w:rsidRDefault="00562D0A" w:rsidP="00562D0A">
            <w:pPr>
              <w:widowControl w:val="0"/>
              <w:autoSpaceDE w:val="0"/>
              <w:autoSpaceDN w:val="0"/>
              <w:adjustRightInd w:val="0"/>
              <w:jc w:val="center"/>
              <w:rPr>
                <w:sz w:val="18"/>
                <w:szCs w:val="18"/>
              </w:rPr>
            </w:pPr>
          </w:p>
        </w:tc>
        <w:tc>
          <w:tcPr>
            <w:tcW w:w="342" w:type="pct"/>
            <w:gridSpan w:val="2"/>
          </w:tcPr>
          <w:p w:rsidR="00562D0A" w:rsidRPr="009A405F" w:rsidRDefault="00562D0A" w:rsidP="00562D0A">
            <w:pPr>
              <w:widowControl w:val="0"/>
              <w:autoSpaceDE w:val="0"/>
              <w:autoSpaceDN w:val="0"/>
              <w:adjustRightInd w:val="0"/>
              <w:jc w:val="center"/>
              <w:rPr>
                <w:sz w:val="18"/>
                <w:szCs w:val="18"/>
              </w:rPr>
            </w:pPr>
          </w:p>
        </w:tc>
        <w:tc>
          <w:tcPr>
            <w:tcW w:w="415" w:type="pct"/>
            <w:gridSpan w:val="2"/>
          </w:tcPr>
          <w:p w:rsidR="00562D0A" w:rsidRPr="009A405F" w:rsidRDefault="00562D0A" w:rsidP="00562D0A">
            <w:pPr>
              <w:widowControl w:val="0"/>
              <w:autoSpaceDE w:val="0"/>
              <w:autoSpaceDN w:val="0"/>
              <w:adjustRightInd w:val="0"/>
              <w:jc w:val="center"/>
              <w:rPr>
                <w:sz w:val="18"/>
                <w:szCs w:val="18"/>
              </w:rPr>
            </w:pPr>
          </w:p>
        </w:tc>
      </w:tr>
      <w:tr w:rsidR="00562D0A" w:rsidRPr="009A405F" w:rsidTr="00562D0A">
        <w:tc>
          <w:tcPr>
            <w:tcW w:w="644" w:type="pct"/>
          </w:tcPr>
          <w:p w:rsidR="00562D0A" w:rsidRPr="009A405F" w:rsidRDefault="00562D0A" w:rsidP="00562D0A">
            <w:pPr>
              <w:widowControl w:val="0"/>
              <w:autoSpaceDE w:val="0"/>
              <w:autoSpaceDN w:val="0"/>
              <w:adjustRightInd w:val="0"/>
              <w:rPr>
                <w:sz w:val="18"/>
                <w:szCs w:val="18"/>
              </w:rPr>
            </w:pPr>
            <w:r w:rsidRPr="009A405F">
              <w:rPr>
                <w:sz w:val="18"/>
                <w:szCs w:val="18"/>
              </w:rPr>
              <w:t>VARIABLES</w:t>
            </w:r>
          </w:p>
        </w:tc>
        <w:tc>
          <w:tcPr>
            <w:tcW w:w="376" w:type="pct"/>
          </w:tcPr>
          <w:p w:rsidR="00562D0A" w:rsidRPr="009A405F" w:rsidRDefault="00562D0A" w:rsidP="00562D0A">
            <w:pPr>
              <w:widowControl w:val="0"/>
              <w:autoSpaceDE w:val="0"/>
              <w:autoSpaceDN w:val="0"/>
              <w:adjustRightInd w:val="0"/>
              <w:jc w:val="center"/>
              <w:rPr>
                <w:sz w:val="18"/>
                <w:szCs w:val="18"/>
              </w:rPr>
            </w:pPr>
            <w:r>
              <w:rPr>
                <w:sz w:val="18"/>
                <w:szCs w:val="18"/>
              </w:rPr>
              <w:t>(1)</w:t>
            </w:r>
          </w:p>
        </w:tc>
        <w:tc>
          <w:tcPr>
            <w:tcW w:w="344" w:type="pct"/>
          </w:tcPr>
          <w:p w:rsidR="00562D0A" w:rsidRPr="009A405F" w:rsidRDefault="00562D0A" w:rsidP="00562D0A">
            <w:pPr>
              <w:widowControl w:val="0"/>
              <w:autoSpaceDE w:val="0"/>
              <w:autoSpaceDN w:val="0"/>
              <w:adjustRightInd w:val="0"/>
              <w:jc w:val="center"/>
              <w:rPr>
                <w:sz w:val="18"/>
                <w:szCs w:val="18"/>
              </w:rPr>
            </w:pPr>
            <w:r>
              <w:rPr>
                <w:sz w:val="18"/>
                <w:szCs w:val="18"/>
              </w:rPr>
              <w:t>(2)</w:t>
            </w:r>
          </w:p>
        </w:tc>
        <w:tc>
          <w:tcPr>
            <w:tcW w:w="342" w:type="pct"/>
          </w:tcPr>
          <w:p w:rsidR="00562D0A" w:rsidRPr="009A405F" w:rsidRDefault="00562D0A" w:rsidP="00562D0A">
            <w:pPr>
              <w:widowControl w:val="0"/>
              <w:autoSpaceDE w:val="0"/>
              <w:autoSpaceDN w:val="0"/>
              <w:adjustRightInd w:val="0"/>
              <w:jc w:val="center"/>
              <w:rPr>
                <w:sz w:val="18"/>
                <w:szCs w:val="18"/>
              </w:rPr>
            </w:pPr>
            <w:r>
              <w:rPr>
                <w:sz w:val="18"/>
                <w:szCs w:val="18"/>
              </w:rPr>
              <w:t>(3)</w:t>
            </w:r>
          </w:p>
        </w:tc>
        <w:tc>
          <w:tcPr>
            <w:tcW w:w="339" w:type="pct"/>
          </w:tcPr>
          <w:p w:rsidR="00562D0A" w:rsidRPr="009A405F" w:rsidRDefault="00562D0A" w:rsidP="00562D0A">
            <w:pPr>
              <w:widowControl w:val="0"/>
              <w:autoSpaceDE w:val="0"/>
              <w:autoSpaceDN w:val="0"/>
              <w:adjustRightInd w:val="0"/>
              <w:jc w:val="center"/>
              <w:rPr>
                <w:sz w:val="18"/>
                <w:szCs w:val="18"/>
              </w:rPr>
            </w:pPr>
            <w:r>
              <w:rPr>
                <w:sz w:val="18"/>
                <w:szCs w:val="18"/>
              </w:rPr>
              <w:t>(4)</w:t>
            </w:r>
          </w:p>
        </w:tc>
        <w:tc>
          <w:tcPr>
            <w:tcW w:w="339" w:type="pct"/>
          </w:tcPr>
          <w:p w:rsidR="00562D0A" w:rsidRPr="009A405F" w:rsidRDefault="00562D0A" w:rsidP="00562D0A">
            <w:pPr>
              <w:widowControl w:val="0"/>
              <w:autoSpaceDE w:val="0"/>
              <w:autoSpaceDN w:val="0"/>
              <w:adjustRightInd w:val="0"/>
              <w:jc w:val="center"/>
              <w:rPr>
                <w:sz w:val="18"/>
                <w:szCs w:val="18"/>
              </w:rPr>
            </w:pPr>
            <w:r>
              <w:rPr>
                <w:sz w:val="18"/>
                <w:szCs w:val="18"/>
              </w:rPr>
              <w:t>(5)</w:t>
            </w:r>
          </w:p>
        </w:tc>
        <w:tc>
          <w:tcPr>
            <w:tcW w:w="341" w:type="pct"/>
          </w:tcPr>
          <w:p w:rsidR="00562D0A" w:rsidRPr="009A405F" w:rsidRDefault="00562D0A" w:rsidP="00562D0A">
            <w:pPr>
              <w:widowControl w:val="0"/>
              <w:autoSpaceDE w:val="0"/>
              <w:autoSpaceDN w:val="0"/>
              <w:adjustRightInd w:val="0"/>
              <w:jc w:val="center"/>
              <w:rPr>
                <w:sz w:val="18"/>
                <w:szCs w:val="18"/>
              </w:rPr>
            </w:pPr>
            <w:r>
              <w:rPr>
                <w:sz w:val="18"/>
                <w:szCs w:val="18"/>
              </w:rPr>
              <w:t>(6)</w:t>
            </w:r>
          </w:p>
        </w:tc>
        <w:tc>
          <w:tcPr>
            <w:tcW w:w="342" w:type="pct"/>
          </w:tcPr>
          <w:p w:rsidR="00562D0A" w:rsidRPr="009A405F" w:rsidRDefault="00562D0A" w:rsidP="00562D0A">
            <w:pPr>
              <w:widowControl w:val="0"/>
              <w:autoSpaceDE w:val="0"/>
              <w:autoSpaceDN w:val="0"/>
              <w:adjustRightInd w:val="0"/>
              <w:rPr>
                <w:sz w:val="18"/>
                <w:szCs w:val="18"/>
              </w:rPr>
            </w:pPr>
            <w:r>
              <w:rPr>
                <w:sz w:val="18"/>
                <w:szCs w:val="18"/>
              </w:rPr>
              <w:t>(7)</w:t>
            </w:r>
          </w:p>
        </w:tc>
        <w:tc>
          <w:tcPr>
            <w:tcW w:w="383" w:type="pct"/>
          </w:tcPr>
          <w:p w:rsidR="00562D0A" w:rsidRPr="009A405F" w:rsidRDefault="00562D0A" w:rsidP="00562D0A">
            <w:pPr>
              <w:widowControl w:val="0"/>
              <w:autoSpaceDE w:val="0"/>
              <w:autoSpaceDN w:val="0"/>
              <w:adjustRightInd w:val="0"/>
              <w:jc w:val="center"/>
              <w:rPr>
                <w:sz w:val="18"/>
                <w:szCs w:val="18"/>
              </w:rPr>
            </w:pPr>
            <w:r>
              <w:rPr>
                <w:sz w:val="18"/>
                <w:szCs w:val="18"/>
              </w:rPr>
              <w:t>(8)</w:t>
            </w:r>
          </w:p>
        </w:tc>
        <w:tc>
          <w:tcPr>
            <w:tcW w:w="416" w:type="pct"/>
          </w:tcPr>
          <w:p w:rsidR="00562D0A" w:rsidRPr="009A405F" w:rsidRDefault="00562D0A" w:rsidP="00562D0A">
            <w:pPr>
              <w:widowControl w:val="0"/>
              <w:autoSpaceDE w:val="0"/>
              <w:autoSpaceDN w:val="0"/>
              <w:adjustRightInd w:val="0"/>
              <w:jc w:val="center"/>
              <w:rPr>
                <w:sz w:val="18"/>
                <w:szCs w:val="18"/>
              </w:rPr>
            </w:pPr>
            <w:r>
              <w:rPr>
                <w:sz w:val="18"/>
                <w:szCs w:val="18"/>
              </w:rPr>
              <w:t>(9)</w:t>
            </w:r>
          </w:p>
        </w:tc>
        <w:tc>
          <w:tcPr>
            <w:tcW w:w="377" w:type="pct"/>
          </w:tcPr>
          <w:p w:rsidR="00562D0A" w:rsidRPr="009A405F" w:rsidRDefault="00562D0A" w:rsidP="00562D0A">
            <w:pPr>
              <w:widowControl w:val="0"/>
              <w:autoSpaceDE w:val="0"/>
              <w:autoSpaceDN w:val="0"/>
              <w:adjustRightInd w:val="0"/>
              <w:jc w:val="center"/>
              <w:rPr>
                <w:sz w:val="18"/>
                <w:szCs w:val="18"/>
              </w:rPr>
            </w:pPr>
            <w:r>
              <w:rPr>
                <w:sz w:val="18"/>
                <w:szCs w:val="18"/>
              </w:rPr>
              <w:t>(10)</w:t>
            </w:r>
          </w:p>
        </w:tc>
        <w:tc>
          <w:tcPr>
            <w:tcW w:w="342" w:type="pct"/>
            <w:gridSpan w:val="2"/>
          </w:tcPr>
          <w:p w:rsidR="00562D0A" w:rsidRPr="009A405F" w:rsidRDefault="00562D0A" w:rsidP="00562D0A">
            <w:pPr>
              <w:widowControl w:val="0"/>
              <w:autoSpaceDE w:val="0"/>
              <w:autoSpaceDN w:val="0"/>
              <w:adjustRightInd w:val="0"/>
              <w:jc w:val="center"/>
              <w:rPr>
                <w:sz w:val="18"/>
                <w:szCs w:val="18"/>
              </w:rPr>
            </w:pPr>
            <w:r>
              <w:rPr>
                <w:sz w:val="18"/>
                <w:szCs w:val="18"/>
              </w:rPr>
              <w:t>(11)</w:t>
            </w:r>
          </w:p>
        </w:tc>
        <w:tc>
          <w:tcPr>
            <w:tcW w:w="415" w:type="pct"/>
            <w:gridSpan w:val="2"/>
          </w:tcPr>
          <w:p w:rsidR="00562D0A" w:rsidRPr="009A405F" w:rsidRDefault="00562D0A" w:rsidP="00562D0A">
            <w:pPr>
              <w:widowControl w:val="0"/>
              <w:autoSpaceDE w:val="0"/>
              <w:autoSpaceDN w:val="0"/>
              <w:adjustRightInd w:val="0"/>
              <w:jc w:val="center"/>
              <w:rPr>
                <w:sz w:val="18"/>
                <w:szCs w:val="18"/>
              </w:rPr>
            </w:pPr>
            <w:r>
              <w:rPr>
                <w:sz w:val="18"/>
                <w:szCs w:val="18"/>
              </w:rPr>
              <w:t>(12)</w:t>
            </w:r>
          </w:p>
        </w:tc>
      </w:tr>
      <w:tr w:rsidR="00562D0A" w:rsidRPr="009A405F" w:rsidTr="00562D0A">
        <w:tc>
          <w:tcPr>
            <w:tcW w:w="644" w:type="pct"/>
          </w:tcPr>
          <w:p w:rsidR="00562D0A" w:rsidRPr="009A405F" w:rsidRDefault="00562D0A" w:rsidP="00562D0A">
            <w:pPr>
              <w:widowControl w:val="0"/>
              <w:autoSpaceDE w:val="0"/>
              <w:autoSpaceDN w:val="0"/>
              <w:adjustRightInd w:val="0"/>
              <w:rPr>
                <w:sz w:val="18"/>
                <w:szCs w:val="18"/>
              </w:rPr>
            </w:pPr>
          </w:p>
        </w:tc>
        <w:tc>
          <w:tcPr>
            <w:tcW w:w="376" w:type="pct"/>
          </w:tcPr>
          <w:p w:rsidR="00562D0A" w:rsidRDefault="00562D0A" w:rsidP="00562D0A">
            <w:pPr>
              <w:widowControl w:val="0"/>
              <w:autoSpaceDE w:val="0"/>
              <w:autoSpaceDN w:val="0"/>
              <w:adjustRightInd w:val="0"/>
              <w:jc w:val="center"/>
              <w:rPr>
                <w:sz w:val="18"/>
                <w:szCs w:val="18"/>
              </w:rPr>
            </w:pPr>
          </w:p>
        </w:tc>
        <w:tc>
          <w:tcPr>
            <w:tcW w:w="344" w:type="pct"/>
          </w:tcPr>
          <w:p w:rsidR="00562D0A" w:rsidRPr="009A405F" w:rsidRDefault="00562D0A" w:rsidP="00562D0A">
            <w:pPr>
              <w:widowControl w:val="0"/>
              <w:autoSpaceDE w:val="0"/>
              <w:autoSpaceDN w:val="0"/>
              <w:adjustRightInd w:val="0"/>
              <w:jc w:val="center"/>
              <w:rPr>
                <w:sz w:val="18"/>
                <w:szCs w:val="18"/>
              </w:rPr>
            </w:pPr>
          </w:p>
        </w:tc>
        <w:tc>
          <w:tcPr>
            <w:tcW w:w="342" w:type="pct"/>
          </w:tcPr>
          <w:p w:rsidR="00562D0A" w:rsidRPr="009A405F" w:rsidRDefault="00562D0A" w:rsidP="00562D0A">
            <w:pPr>
              <w:widowControl w:val="0"/>
              <w:autoSpaceDE w:val="0"/>
              <w:autoSpaceDN w:val="0"/>
              <w:adjustRightInd w:val="0"/>
              <w:jc w:val="center"/>
              <w:rPr>
                <w:sz w:val="18"/>
                <w:szCs w:val="18"/>
              </w:rPr>
            </w:pPr>
          </w:p>
        </w:tc>
        <w:tc>
          <w:tcPr>
            <w:tcW w:w="339" w:type="pct"/>
          </w:tcPr>
          <w:p w:rsidR="00562D0A" w:rsidRPr="009A405F" w:rsidRDefault="00562D0A" w:rsidP="00562D0A">
            <w:pPr>
              <w:widowControl w:val="0"/>
              <w:autoSpaceDE w:val="0"/>
              <w:autoSpaceDN w:val="0"/>
              <w:adjustRightInd w:val="0"/>
              <w:jc w:val="center"/>
              <w:rPr>
                <w:sz w:val="18"/>
                <w:szCs w:val="18"/>
              </w:rPr>
            </w:pPr>
          </w:p>
        </w:tc>
        <w:tc>
          <w:tcPr>
            <w:tcW w:w="339" w:type="pct"/>
          </w:tcPr>
          <w:p w:rsidR="00562D0A" w:rsidRPr="009A405F" w:rsidRDefault="00562D0A" w:rsidP="00562D0A">
            <w:pPr>
              <w:widowControl w:val="0"/>
              <w:autoSpaceDE w:val="0"/>
              <w:autoSpaceDN w:val="0"/>
              <w:adjustRightInd w:val="0"/>
              <w:jc w:val="center"/>
              <w:rPr>
                <w:sz w:val="18"/>
                <w:szCs w:val="18"/>
              </w:rPr>
            </w:pPr>
          </w:p>
        </w:tc>
        <w:tc>
          <w:tcPr>
            <w:tcW w:w="341" w:type="pct"/>
          </w:tcPr>
          <w:p w:rsidR="00562D0A" w:rsidRPr="009A405F" w:rsidRDefault="00562D0A" w:rsidP="00562D0A">
            <w:pPr>
              <w:widowControl w:val="0"/>
              <w:autoSpaceDE w:val="0"/>
              <w:autoSpaceDN w:val="0"/>
              <w:adjustRightInd w:val="0"/>
              <w:jc w:val="center"/>
              <w:rPr>
                <w:sz w:val="18"/>
                <w:szCs w:val="18"/>
              </w:rPr>
            </w:pPr>
          </w:p>
        </w:tc>
        <w:tc>
          <w:tcPr>
            <w:tcW w:w="342" w:type="pct"/>
          </w:tcPr>
          <w:p w:rsidR="00562D0A" w:rsidRPr="009A405F" w:rsidRDefault="00562D0A" w:rsidP="00562D0A">
            <w:pPr>
              <w:widowControl w:val="0"/>
              <w:autoSpaceDE w:val="0"/>
              <w:autoSpaceDN w:val="0"/>
              <w:adjustRightInd w:val="0"/>
              <w:jc w:val="center"/>
              <w:rPr>
                <w:sz w:val="18"/>
                <w:szCs w:val="18"/>
              </w:rPr>
            </w:pPr>
          </w:p>
        </w:tc>
        <w:tc>
          <w:tcPr>
            <w:tcW w:w="383" w:type="pct"/>
          </w:tcPr>
          <w:p w:rsidR="00562D0A" w:rsidRPr="009A405F" w:rsidRDefault="00562D0A" w:rsidP="00562D0A">
            <w:pPr>
              <w:widowControl w:val="0"/>
              <w:autoSpaceDE w:val="0"/>
              <w:autoSpaceDN w:val="0"/>
              <w:adjustRightInd w:val="0"/>
              <w:jc w:val="center"/>
              <w:rPr>
                <w:sz w:val="18"/>
                <w:szCs w:val="18"/>
              </w:rPr>
            </w:pPr>
          </w:p>
        </w:tc>
        <w:tc>
          <w:tcPr>
            <w:tcW w:w="416" w:type="pct"/>
          </w:tcPr>
          <w:p w:rsidR="00562D0A" w:rsidRPr="009A405F" w:rsidRDefault="00562D0A" w:rsidP="00562D0A">
            <w:pPr>
              <w:widowControl w:val="0"/>
              <w:autoSpaceDE w:val="0"/>
              <w:autoSpaceDN w:val="0"/>
              <w:adjustRightInd w:val="0"/>
              <w:jc w:val="center"/>
              <w:rPr>
                <w:sz w:val="18"/>
                <w:szCs w:val="18"/>
              </w:rPr>
            </w:pPr>
          </w:p>
        </w:tc>
        <w:tc>
          <w:tcPr>
            <w:tcW w:w="377" w:type="pct"/>
          </w:tcPr>
          <w:p w:rsidR="00562D0A" w:rsidRPr="009A405F" w:rsidRDefault="00562D0A" w:rsidP="00562D0A">
            <w:pPr>
              <w:widowControl w:val="0"/>
              <w:autoSpaceDE w:val="0"/>
              <w:autoSpaceDN w:val="0"/>
              <w:adjustRightInd w:val="0"/>
              <w:jc w:val="center"/>
              <w:rPr>
                <w:sz w:val="18"/>
                <w:szCs w:val="18"/>
              </w:rPr>
            </w:pPr>
          </w:p>
        </w:tc>
        <w:tc>
          <w:tcPr>
            <w:tcW w:w="342" w:type="pct"/>
            <w:gridSpan w:val="2"/>
          </w:tcPr>
          <w:p w:rsidR="00562D0A" w:rsidRPr="009A405F" w:rsidRDefault="00562D0A" w:rsidP="00562D0A">
            <w:pPr>
              <w:widowControl w:val="0"/>
              <w:autoSpaceDE w:val="0"/>
              <w:autoSpaceDN w:val="0"/>
              <w:adjustRightInd w:val="0"/>
              <w:jc w:val="center"/>
              <w:rPr>
                <w:sz w:val="18"/>
                <w:szCs w:val="18"/>
              </w:rPr>
            </w:pPr>
          </w:p>
        </w:tc>
        <w:tc>
          <w:tcPr>
            <w:tcW w:w="415" w:type="pct"/>
            <w:gridSpan w:val="2"/>
          </w:tcPr>
          <w:p w:rsidR="00562D0A" w:rsidRPr="009A405F" w:rsidRDefault="00562D0A" w:rsidP="00562D0A">
            <w:pPr>
              <w:widowControl w:val="0"/>
              <w:autoSpaceDE w:val="0"/>
              <w:autoSpaceDN w:val="0"/>
              <w:adjustRightInd w:val="0"/>
              <w:jc w:val="center"/>
              <w:rPr>
                <w:sz w:val="18"/>
                <w:szCs w:val="18"/>
              </w:rPr>
            </w:pPr>
          </w:p>
        </w:tc>
      </w:tr>
      <w:tr w:rsidR="00562D0A" w:rsidRPr="009A405F" w:rsidTr="00562D0A">
        <w:tc>
          <w:tcPr>
            <w:tcW w:w="644" w:type="pct"/>
          </w:tcPr>
          <w:p w:rsidR="00562D0A" w:rsidRPr="009A405F" w:rsidRDefault="00562D0A" w:rsidP="00562D0A">
            <w:pPr>
              <w:widowControl w:val="0"/>
              <w:autoSpaceDE w:val="0"/>
              <w:autoSpaceDN w:val="0"/>
              <w:adjustRightInd w:val="0"/>
              <w:rPr>
                <w:sz w:val="18"/>
                <w:szCs w:val="18"/>
              </w:rPr>
            </w:pPr>
            <w:r w:rsidRPr="009A405F">
              <w:rPr>
                <w:sz w:val="18"/>
                <w:szCs w:val="18"/>
                <w:lang w:val="en-GB"/>
              </w:rPr>
              <w:t>Export diversification</w:t>
            </w:r>
          </w:p>
        </w:tc>
        <w:tc>
          <w:tcPr>
            <w:tcW w:w="376" w:type="pct"/>
          </w:tcPr>
          <w:p w:rsidR="00562D0A" w:rsidRDefault="00562D0A" w:rsidP="00562D0A">
            <w:pPr>
              <w:widowControl w:val="0"/>
              <w:autoSpaceDE w:val="0"/>
              <w:autoSpaceDN w:val="0"/>
              <w:adjustRightInd w:val="0"/>
              <w:jc w:val="center"/>
              <w:rPr>
                <w:sz w:val="18"/>
                <w:szCs w:val="18"/>
              </w:rPr>
            </w:pPr>
            <w:r w:rsidRPr="009A405F">
              <w:rPr>
                <w:sz w:val="18"/>
                <w:szCs w:val="18"/>
              </w:rPr>
              <w:t>1.224</w:t>
            </w:r>
          </w:p>
          <w:p w:rsidR="00562D0A" w:rsidRPr="009A405F" w:rsidRDefault="00562D0A" w:rsidP="00562D0A">
            <w:pPr>
              <w:widowControl w:val="0"/>
              <w:autoSpaceDE w:val="0"/>
              <w:autoSpaceDN w:val="0"/>
              <w:adjustRightInd w:val="0"/>
              <w:jc w:val="center"/>
              <w:rPr>
                <w:sz w:val="18"/>
                <w:szCs w:val="18"/>
              </w:rPr>
            </w:pPr>
            <w:r w:rsidRPr="009A405F">
              <w:rPr>
                <w:sz w:val="18"/>
                <w:szCs w:val="18"/>
              </w:rPr>
              <w:t>(1.358)</w:t>
            </w:r>
          </w:p>
        </w:tc>
        <w:tc>
          <w:tcPr>
            <w:tcW w:w="344" w:type="pct"/>
          </w:tcPr>
          <w:p w:rsidR="00562D0A" w:rsidRDefault="00562D0A" w:rsidP="00562D0A">
            <w:pPr>
              <w:widowControl w:val="0"/>
              <w:autoSpaceDE w:val="0"/>
              <w:autoSpaceDN w:val="0"/>
              <w:adjustRightInd w:val="0"/>
              <w:jc w:val="center"/>
              <w:rPr>
                <w:sz w:val="18"/>
                <w:szCs w:val="18"/>
              </w:rPr>
            </w:pPr>
            <w:r w:rsidRPr="009A405F">
              <w:rPr>
                <w:sz w:val="18"/>
                <w:szCs w:val="18"/>
              </w:rPr>
              <w:t>1.981</w:t>
            </w:r>
          </w:p>
          <w:p w:rsidR="00562D0A" w:rsidRPr="009A405F" w:rsidRDefault="00562D0A" w:rsidP="00562D0A">
            <w:pPr>
              <w:widowControl w:val="0"/>
              <w:autoSpaceDE w:val="0"/>
              <w:autoSpaceDN w:val="0"/>
              <w:adjustRightInd w:val="0"/>
              <w:jc w:val="center"/>
              <w:rPr>
                <w:sz w:val="18"/>
                <w:szCs w:val="18"/>
              </w:rPr>
            </w:pPr>
            <w:r w:rsidRPr="009A405F">
              <w:rPr>
                <w:sz w:val="18"/>
                <w:szCs w:val="18"/>
              </w:rPr>
              <w:t>(1.392)</w:t>
            </w:r>
          </w:p>
        </w:tc>
        <w:tc>
          <w:tcPr>
            <w:tcW w:w="342" w:type="pct"/>
          </w:tcPr>
          <w:p w:rsidR="00562D0A" w:rsidRDefault="00562D0A" w:rsidP="00562D0A">
            <w:pPr>
              <w:widowControl w:val="0"/>
              <w:autoSpaceDE w:val="0"/>
              <w:autoSpaceDN w:val="0"/>
              <w:adjustRightInd w:val="0"/>
              <w:jc w:val="center"/>
              <w:rPr>
                <w:sz w:val="18"/>
                <w:szCs w:val="18"/>
              </w:rPr>
            </w:pPr>
            <w:r w:rsidRPr="009A405F">
              <w:rPr>
                <w:sz w:val="18"/>
                <w:szCs w:val="18"/>
              </w:rPr>
              <w:t>1.296</w:t>
            </w:r>
          </w:p>
          <w:p w:rsidR="00562D0A" w:rsidRPr="009A405F" w:rsidRDefault="00562D0A" w:rsidP="00562D0A">
            <w:pPr>
              <w:widowControl w:val="0"/>
              <w:autoSpaceDE w:val="0"/>
              <w:autoSpaceDN w:val="0"/>
              <w:adjustRightInd w:val="0"/>
              <w:jc w:val="center"/>
              <w:rPr>
                <w:sz w:val="18"/>
                <w:szCs w:val="18"/>
              </w:rPr>
            </w:pPr>
            <w:r w:rsidRPr="009A405F">
              <w:rPr>
                <w:sz w:val="18"/>
                <w:szCs w:val="18"/>
              </w:rPr>
              <w:t>(1.345)</w:t>
            </w:r>
          </w:p>
        </w:tc>
        <w:tc>
          <w:tcPr>
            <w:tcW w:w="339" w:type="pct"/>
          </w:tcPr>
          <w:p w:rsidR="00562D0A" w:rsidRDefault="00562D0A" w:rsidP="00562D0A">
            <w:pPr>
              <w:widowControl w:val="0"/>
              <w:autoSpaceDE w:val="0"/>
              <w:autoSpaceDN w:val="0"/>
              <w:adjustRightInd w:val="0"/>
              <w:jc w:val="center"/>
              <w:rPr>
                <w:sz w:val="18"/>
                <w:szCs w:val="18"/>
              </w:rPr>
            </w:pPr>
            <w:r w:rsidRPr="009A405F">
              <w:rPr>
                <w:sz w:val="18"/>
                <w:szCs w:val="18"/>
              </w:rPr>
              <w:t>1.290</w:t>
            </w:r>
          </w:p>
          <w:p w:rsidR="00562D0A" w:rsidRPr="009A405F" w:rsidRDefault="00562D0A" w:rsidP="00562D0A">
            <w:pPr>
              <w:widowControl w:val="0"/>
              <w:autoSpaceDE w:val="0"/>
              <w:autoSpaceDN w:val="0"/>
              <w:adjustRightInd w:val="0"/>
              <w:jc w:val="center"/>
              <w:rPr>
                <w:sz w:val="18"/>
                <w:szCs w:val="18"/>
              </w:rPr>
            </w:pPr>
            <w:r w:rsidRPr="009A405F">
              <w:rPr>
                <w:sz w:val="18"/>
                <w:szCs w:val="18"/>
              </w:rPr>
              <w:t>(1.337)</w:t>
            </w:r>
          </w:p>
        </w:tc>
        <w:tc>
          <w:tcPr>
            <w:tcW w:w="339" w:type="pct"/>
          </w:tcPr>
          <w:p w:rsidR="00562D0A" w:rsidRDefault="00562D0A" w:rsidP="00562D0A">
            <w:pPr>
              <w:widowControl w:val="0"/>
              <w:autoSpaceDE w:val="0"/>
              <w:autoSpaceDN w:val="0"/>
              <w:adjustRightInd w:val="0"/>
              <w:jc w:val="center"/>
              <w:rPr>
                <w:sz w:val="18"/>
                <w:szCs w:val="18"/>
              </w:rPr>
            </w:pPr>
            <w:r w:rsidRPr="009A405F">
              <w:rPr>
                <w:sz w:val="18"/>
                <w:szCs w:val="18"/>
              </w:rPr>
              <w:t>1.806</w:t>
            </w:r>
          </w:p>
          <w:p w:rsidR="00562D0A" w:rsidRPr="009A405F" w:rsidRDefault="00562D0A" w:rsidP="00562D0A">
            <w:pPr>
              <w:widowControl w:val="0"/>
              <w:autoSpaceDE w:val="0"/>
              <w:autoSpaceDN w:val="0"/>
              <w:adjustRightInd w:val="0"/>
              <w:jc w:val="center"/>
              <w:rPr>
                <w:sz w:val="18"/>
                <w:szCs w:val="18"/>
              </w:rPr>
            </w:pPr>
            <w:r w:rsidRPr="009A405F">
              <w:rPr>
                <w:sz w:val="18"/>
                <w:szCs w:val="18"/>
              </w:rPr>
              <w:t>(1.384)</w:t>
            </w:r>
          </w:p>
        </w:tc>
        <w:tc>
          <w:tcPr>
            <w:tcW w:w="341" w:type="pct"/>
          </w:tcPr>
          <w:p w:rsidR="00562D0A" w:rsidRDefault="00562D0A" w:rsidP="00562D0A">
            <w:pPr>
              <w:widowControl w:val="0"/>
              <w:autoSpaceDE w:val="0"/>
              <w:autoSpaceDN w:val="0"/>
              <w:adjustRightInd w:val="0"/>
              <w:jc w:val="center"/>
              <w:rPr>
                <w:sz w:val="18"/>
                <w:szCs w:val="18"/>
              </w:rPr>
            </w:pPr>
            <w:r w:rsidRPr="009A405F">
              <w:rPr>
                <w:sz w:val="18"/>
                <w:szCs w:val="18"/>
              </w:rPr>
              <w:t>1.317</w:t>
            </w:r>
          </w:p>
          <w:p w:rsidR="00562D0A" w:rsidRPr="009A405F" w:rsidRDefault="00562D0A" w:rsidP="00562D0A">
            <w:pPr>
              <w:widowControl w:val="0"/>
              <w:autoSpaceDE w:val="0"/>
              <w:autoSpaceDN w:val="0"/>
              <w:adjustRightInd w:val="0"/>
              <w:jc w:val="center"/>
              <w:rPr>
                <w:sz w:val="18"/>
                <w:szCs w:val="18"/>
              </w:rPr>
            </w:pPr>
            <w:r w:rsidRPr="009A405F">
              <w:rPr>
                <w:sz w:val="18"/>
                <w:szCs w:val="18"/>
              </w:rPr>
              <w:t>(1.427)</w:t>
            </w:r>
          </w:p>
        </w:tc>
        <w:tc>
          <w:tcPr>
            <w:tcW w:w="342" w:type="pct"/>
          </w:tcPr>
          <w:p w:rsidR="00562D0A" w:rsidRDefault="00562D0A" w:rsidP="00562D0A">
            <w:pPr>
              <w:widowControl w:val="0"/>
              <w:autoSpaceDE w:val="0"/>
              <w:autoSpaceDN w:val="0"/>
              <w:adjustRightInd w:val="0"/>
              <w:jc w:val="center"/>
              <w:rPr>
                <w:sz w:val="18"/>
                <w:szCs w:val="18"/>
              </w:rPr>
            </w:pPr>
            <w:r w:rsidRPr="009A405F">
              <w:rPr>
                <w:sz w:val="18"/>
                <w:szCs w:val="18"/>
              </w:rPr>
              <w:t>1.246</w:t>
            </w:r>
          </w:p>
          <w:p w:rsidR="00562D0A" w:rsidRPr="009A405F" w:rsidRDefault="00562D0A" w:rsidP="00562D0A">
            <w:pPr>
              <w:widowControl w:val="0"/>
              <w:autoSpaceDE w:val="0"/>
              <w:autoSpaceDN w:val="0"/>
              <w:adjustRightInd w:val="0"/>
              <w:jc w:val="center"/>
              <w:rPr>
                <w:sz w:val="18"/>
                <w:szCs w:val="18"/>
              </w:rPr>
            </w:pPr>
            <w:r w:rsidRPr="009A405F">
              <w:rPr>
                <w:sz w:val="18"/>
                <w:szCs w:val="18"/>
              </w:rPr>
              <w:t>(1.189)</w:t>
            </w:r>
          </w:p>
        </w:tc>
        <w:tc>
          <w:tcPr>
            <w:tcW w:w="383" w:type="pct"/>
          </w:tcPr>
          <w:p w:rsidR="00562D0A" w:rsidRDefault="00562D0A" w:rsidP="00562D0A">
            <w:pPr>
              <w:widowControl w:val="0"/>
              <w:autoSpaceDE w:val="0"/>
              <w:autoSpaceDN w:val="0"/>
              <w:adjustRightInd w:val="0"/>
              <w:jc w:val="center"/>
              <w:rPr>
                <w:sz w:val="18"/>
                <w:szCs w:val="18"/>
              </w:rPr>
            </w:pPr>
            <w:r w:rsidRPr="009A405F">
              <w:rPr>
                <w:sz w:val="18"/>
                <w:szCs w:val="18"/>
              </w:rPr>
              <w:t>1.852</w:t>
            </w:r>
          </w:p>
          <w:p w:rsidR="00562D0A" w:rsidRPr="009A405F" w:rsidRDefault="00562D0A" w:rsidP="00562D0A">
            <w:pPr>
              <w:widowControl w:val="0"/>
              <w:autoSpaceDE w:val="0"/>
              <w:autoSpaceDN w:val="0"/>
              <w:adjustRightInd w:val="0"/>
              <w:jc w:val="center"/>
              <w:rPr>
                <w:sz w:val="18"/>
                <w:szCs w:val="18"/>
              </w:rPr>
            </w:pPr>
            <w:r w:rsidRPr="009A405F">
              <w:rPr>
                <w:sz w:val="18"/>
                <w:szCs w:val="18"/>
              </w:rPr>
              <w:t>(1.425)</w:t>
            </w:r>
          </w:p>
        </w:tc>
        <w:tc>
          <w:tcPr>
            <w:tcW w:w="416" w:type="pct"/>
          </w:tcPr>
          <w:p w:rsidR="00562D0A" w:rsidRDefault="00562D0A" w:rsidP="00562D0A">
            <w:pPr>
              <w:widowControl w:val="0"/>
              <w:autoSpaceDE w:val="0"/>
              <w:autoSpaceDN w:val="0"/>
              <w:adjustRightInd w:val="0"/>
              <w:jc w:val="center"/>
              <w:rPr>
                <w:sz w:val="18"/>
                <w:szCs w:val="18"/>
              </w:rPr>
            </w:pPr>
            <w:r w:rsidRPr="009A405F">
              <w:rPr>
                <w:sz w:val="18"/>
                <w:szCs w:val="18"/>
              </w:rPr>
              <w:t>0.882</w:t>
            </w:r>
          </w:p>
          <w:p w:rsidR="00562D0A" w:rsidRPr="009A405F" w:rsidRDefault="00562D0A" w:rsidP="00562D0A">
            <w:pPr>
              <w:widowControl w:val="0"/>
              <w:autoSpaceDE w:val="0"/>
              <w:autoSpaceDN w:val="0"/>
              <w:adjustRightInd w:val="0"/>
              <w:jc w:val="center"/>
              <w:rPr>
                <w:sz w:val="18"/>
                <w:szCs w:val="18"/>
              </w:rPr>
            </w:pPr>
            <w:r w:rsidRPr="009A405F">
              <w:rPr>
                <w:sz w:val="18"/>
                <w:szCs w:val="18"/>
              </w:rPr>
              <w:t>(1.244)</w:t>
            </w:r>
          </w:p>
        </w:tc>
        <w:tc>
          <w:tcPr>
            <w:tcW w:w="377" w:type="pct"/>
          </w:tcPr>
          <w:p w:rsidR="00562D0A" w:rsidRDefault="00562D0A" w:rsidP="00562D0A">
            <w:pPr>
              <w:widowControl w:val="0"/>
              <w:autoSpaceDE w:val="0"/>
              <w:autoSpaceDN w:val="0"/>
              <w:adjustRightInd w:val="0"/>
              <w:jc w:val="center"/>
              <w:rPr>
                <w:sz w:val="18"/>
                <w:szCs w:val="18"/>
              </w:rPr>
            </w:pPr>
            <w:r>
              <w:rPr>
                <w:sz w:val="18"/>
                <w:szCs w:val="18"/>
              </w:rPr>
              <w:t>1.114</w:t>
            </w:r>
          </w:p>
          <w:p w:rsidR="00562D0A" w:rsidRPr="009A405F" w:rsidRDefault="00562D0A" w:rsidP="00562D0A">
            <w:pPr>
              <w:widowControl w:val="0"/>
              <w:autoSpaceDE w:val="0"/>
              <w:autoSpaceDN w:val="0"/>
              <w:adjustRightInd w:val="0"/>
              <w:jc w:val="center"/>
              <w:rPr>
                <w:sz w:val="18"/>
                <w:szCs w:val="18"/>
              </w:rPr>
            </w:pPr>
            <w:r w:rsidRPr="00730277">
              <w:rPr>
                <w:sz w:val="18"/>
                <w:szCs w:val="18"/>
              </w:rPr>
              <w:t>(1.351)</w:t>
            </w:r>
          </w:p>
        </w:tc>
        <w:tc>
          <w:tcPr>
            <w:tcW w:w="342" w:type="pct"/>
            <w:gridSpan w:val="2"/>
          </w:tcPr>
          <w:p w:rsidR="00562D0A" w:rsidRDefault="00562D0A" w:rsidP="00562D0A">
            <w:pPr>
              <w:widowControl w:val="0"/>
              <w:autoSpaceDE w:val="0"/>
              <w:autoSpaceDN w:val="0"/>
              <w:adjustRightInd w:val="0"/>
              <w:jc w:val="center"/>
              <w:rPr>
                <w:sz w:val="18"/>
                <w:szCs w:val="18"/>
              </w:rPr>
            </w:pPr>
            <w:r>
              <w:rPr>
                <w:sz w:val="18"/>
                <w:szCs w:val="18"/>
              </w:rPr>
              <w:t>3.954</w:t>
            </w:r>
            <w:r w:rsidRPr="00730277">
              <w:rPr>
                <w:sz w:val="18"/>
                <w:szCs w:val="18"/>
              </w:rPr>
              <w:t>**</w:t>
            </w:r>
          </w:p>
          <w:p w:rsidR="00562D0A" w:rsidRPr="009A405F" w:rsidRDefault="00562D0A" w:rsidP="00562D0A">
            <w:pPr>
              <w:widowControl w:val="0"/>
              <w:autoSpaceDE w:val="0"/>
              <w:autoSpaceDN w:val="0"/>
              <w:adjustRightInd w:val="0"/>
              <w:jc w:val="center"/>
              <w:rPr>
                <w:sz w:val="18"/>
                <w:szCs w:val="18"/>
              </w:rPr>
            </w:pPr>
            <w:r w:rsidRPr="00730277">
              <w:rPr>
                <w:sz w:val="18"/>
                <w:szCs w:val="18"/>
              </w:rPr>
              <w:t>(1.722)</w:t>
            </w:r>
          </w:p>
        </w:tc>
        <w:tc>
          <w:tcPr>
            <w:tcW w:w="415" w:type="pct"/>
            <w:gridSpan w:val="2"/>
          </w:tcPr>
          <w:p w:rsidR="00562D0A" w:rsidRDefault="00562D0A" w:rsidP="00562D0A">
            <w:pPr>
              <w:widowControl w:val="0"/>
              <w:autoSpaceDE w:val="0"/>
              <w:autoSpaceDN w:val="0"/>
              <w:adjustRightInd w:val="0"/>
              <w:jc w:val="center"/>
              <w:rPr>
                <w:sz w:val="18"/>
                <w:szCs w:val="18"/>
              </w:rPr>
            </w:pPr>
            <w:r>
              <w:rPr>
                <w:sz w:val="18"/>
                <w:szCs w:val="18"/>
              </w:rPr>
              <w:t>1.2001</w:t>
            </w:r>
          </w:p>
          <w:p w:rsidR="00562D0A" w:rsidRPr="009A405F" w:rsidRDefault="00562D0A" w:rsidP="00562D0A">
            <w:pPr>
              <w:widowControl w:val="0"/>
              <w:autoSpaceDE w:val="0"/>
              <w:autoSpaceDN w:val="0"/>
              <w:adjustRightInd w:val="0"/>
              <w:jc w:val="center"/>
              <w:rPr>
                <w:sz w:val="18"/>
                <w:szCs w:val="18"/>
              </w:rPr>
            </w:pPr>
            <w:r>
              <w:rPr>
                <w:sz w:val="18"/>
                <w:szCs w:val="18"/>
              </w:rPr>
              <w:t>(1.333)</w:t>
            </w:r>
          </w:p>
        </w:tc>
      </w:tr>
      <w:tr w:rsidR="00562D0A" w:rsidRPr="009A405F" w:rsidTr="00562D0A">
        <w:tc>
          <w:tcPr>
            <w:tcW w:w="644" w:type="pct"/>
          </w:tcPr>
          <w:p w:rsidR="00562D0A" w:rsidRPr="009A405F" w:rsidRDefault="00562D0A" w:rsidP="00562D0A">
            <w:pPr>
              <w:widowControl w:val="0"/>
              <w:autoSpaceDE w:val="0"/>
              <w:autoSpaceDN w:val="0"/>
              <w:adjustRightInd w:val="0"/>
              <w:rPr>
                <w:sz w:val="18"/>
                <w:szCs w:val="18"/>
              </w:rPr>
            </w:pPr>
          </w:p>
        </w:tc>
        <w:tc>
          <w:tcPr>
            <w:tcW w:w="376" w:type="pct"/>
          </w:tcPr>
          <w:p w:rsidR="00562D0A" w:rsidRPr="009A405F" w:rsidRDefault="00562D0A" w:rsidP="00562D0A">
            <w:pPr>
              <w:widowControl w:val="0"/>
              <w:autoSpaceDE w:val="0"/>
              <w:autoSpaceDN w:val="0"/>
              <w:adjustRightInd w:val="0"/>
              <w:jc w:val="center"/>
              <w:rPr>
                <w:sz w:val="18"/>
                <w:szCs w:val="18"/>
              </w:rPr>
            </w:pPr>
          </w:p>
        </w:tc>
        <w:tc>
          <w:tcPr>
            <w:tcW w:w="344" w:type="pct"/>
          </w:tcPr>
          <w:p w:rsidR="00562D0A" w:rsidRPr="009A405F" w:rsidRDefault="00562D0A" w:rsidP="00562D0A">
            <w:pPr>
              <w:widowControl w:val="0"/>
              <w:autoSpaceDE w:val="0"/>
              <w:autoSpaceDN w:val="0"/>
              <w:adjustRightInd w:val="0"/>
              <w:jc w:val="center"/>
              <w:rPr>
                <w:sz w:val="18"/>
                <w:szCs w:val="18"/>
              </w:rPr>
            </w:pPr>
          </w:p>
        </w:tc>
        <w:tc>
          <w:tcPr>
            <w:tcW w:w="342" w:type="pct"/>
          </w:tcPr>
          <w:p w:rsidR="00562D0A" w:rsidRPr="009A405F" w:rsidRDefault="00562D0A" w:rsidP="00562D0A">
            <w:pPr>
              <w:widowControl w:val="0"/>
              <w:autoSpaceDE w:val="0"/>
              <w:autoSpaceDN w:val="0"/>
              <w:adjustRightInd w:val="0"/>
              <w:jc w:val="center"/>
              <w:rPr>
                <w:sz w:val="18"/>
                <w:szCs w:val="18"/>
              </w:rPr>
            </w:pPr>
          </w:p>
        </w:tc>
        <w:tc>
          <w:tcPr>
            <w:tcW w:w="339" w:type="pct"/>
          </w:tcPr>
          <w:p w:rsidR="00562D0A" w:rsidRPr="009A405F" w:rsidRDefault="00562D0A" w:rsidP="00562D0A">
            <w:pPr>
              <w:widowControl w:val="0"/>
              <w:autoSpaceDE w:val="0"/>
              <w:autoSpaceDN w:val="0"/>
              <w:adjustRightInd w:val="0"/>
              <w:jc w:val="center"/>
              <w:rPr>
                <w:sz w:val="18"/>
                <w:szCs w:val="18"/>
              </w:rPr>
            </w:pPr>
          </w:p>
        </w:tc>
        <w:tc>
          <w:tcPr>
            <w:tcW w:w="339" w:type="pct"/>
          </w:tcPr>
          <w:p w:rsidR="00562D0A" w:rsidRPr="009A405F" w:rsidRDefault="00562D0A" w:rsidP="00562D0A">
            <w:pPr>
              <w:widowControl w:val="0"/>
              <w:autoSpaceDE w:val="0"/>
              <w:autoSpaceDN w:val="0"/>
              <w:adjustRightInd w:val="0"/>
              <w:jc w:val="center"/>
              <w:rPr>
                <w:sz w:val="18"/>
                <w:szCs w:val="18"/>
              </w:rPr>
            </w:pPr>
          </w:p>
        </w:tc>
        <w:tc>
          <w:tcPr>
            <w:tcW w:w="341" w:type="pct"/>
          </w:tcPr>
          <w:p w:rsidR="00562D0A" w:rsidRPr="009A405F" w:rsidRDefault="00562D0A" w:rsidP="00562D0A">
            <w:pPr>
              <w:widowControl w:val="0"/>
              <w:autoSpaceDE w:val="0"/>
              <w:autoSpaceDN w:val="0"/>
              <w:adjustRightInd w:val="0"/>
              <w:jc w:val="center"/>
              <w:rPr>
                <w:sz w:val="18"/>
                <w:szCs w:val="18"/>
              </w:rPr>
            </w:pPr>
          </w:p>
        </w:tc>
        <w:tc>
          <w:tcPr>
            <w:tcW w:w="342" w:type="pct"/>
          </w:tcPr>
          <w:p w:rsidR="00562D0A" w:rsidRPr="009A405F" w:rsidRDefault="00562D0A" w:rsidP="00562D0A">
            <w:pPr>
              <w:widowControl w:val="0"/>
              <w:autoSpaceDE w:val="0"/>
              <w:autoSpaceDN w:val="0"/>
              <w:adjustRightInd w:val="0"/>
              <w:jc w:val="center"/>
              <w:rPr>
                <w:sz w:val="18"/>
                <w:szCs w:val="18"/>
              </w:rPr>
            </w:pPr>
          </w:p>
        </w:tc>
        <w:tc>
          <w:tcPr>
            <w:tcW w:w="383" w:type="pct"/>
          </w:tcPr>
          <w:p w:rsidR="00562D0A" w:rsidRPr="009A405F" w:rsidRDefault="00562D0A" w:rsidP="00562D0A">
            <w:pPr>
              <w:widowControl w:val="0"/>
              <w:autoSpaceDE w:val="0"/>
              <w:autoSpaceDN w:val="0"/>
              <w:adjustRightInd w:val="0"/>
              <w:jc w:val="center"/>
              <w:rPr>
                <w:sz w:val="18"/>
                <w:szCs w:val="18"/>
              </w:rPr>
            </w:pPr>
          </w:p>
        </w:tc>
        <w:tc>
          <w:tcPr>
            <w:tcW w:w="416" w:type="pct"/>
          </w:tcPr>
          <w:p w:rsidR="00562D0A" w:rsidRPr="009A405F" w:rsidRDefault="00562D0A" w:rsidP="00562D0A">
            <w:pPr>
              <w:widowControl w:val="0"/>
              <w:autoSpaceDE w:val="0"/>
              <w:autoSpaceDN w:val="0"/>
              <w:adjustRightInd w:val="0"/>
              <w:jc w:val="center"/>
              <w:rPr>
                <w:sz w:val="18"/>
                <w:szCs w:val="18"/>
              </w:rPr>
            </w:pPr>
          </w:p>
        </w:tc>
        <w:tc>
          <w:tcPr>
            <w:tcW w:w="377" w:type="pct"/>
          </w:tcPr>
          <w:p w:rsidR="00562D0A" w:rsidRPr="009A405F" w:rsidRDefault="00562D0A" w:rsidP="00562D0A">
            <w:pPr>
              <w:widowControl w:val="0"/>
              <w:autoSpaceDE w:val="0"/>
              <w:autoSpaceDN w:val="0"/>
              <w:adjustRightInd w:val="0"/>
              <w:jc w:val="center"/>
              <w:rPr>
                <w:sz w:val="18"/>
                <w:szCs w:val="18"/>
              </w:rPr>
            </w:pPr>
          </w:p>
        </w:tc>
        <w:tc>
          <w:tcPr>
            <w:tcW w:w="342" w:type="pct"/>
            <w:gridSpan w:val="2"/>
          </w:tcPr>
          <w:p w:rsidR="00562D0A" w:rsidRPr="009A405F" w:rsidRDefault="00562D0A" w:rsidP="00562D0A">
            <w:pPr>
              <w:widowControl w:val="0"/>
              <w:autoSpaceDE w:val="0"/>
              <w:autoSpaceDN w:val="0"/>
              <w:adjustRightInd w:val="0"/>
              <w:jc w:val="center"/>
              <w:rPr>
                <w:sz w:val="18"/>
                <w:szCs w:val="18"/>
              </w:rPr>
            </w:pPr>
          </w:p>
        </w:tc>
        <w:tc>
          <w:tcPr>
            <w:tcW w:w="415" w:type="pct"/>
            <w:gridSpan w:val="2"/>
          </w:tcPr>
          <w:p w:rsidR="00562D0A" w:rsidRPr="009A405F" w:rsidRDefault="00562D0A" w:rsidP="00562D0A">
            <w:pPr>
              <w:widowControl w:val="0"/>
              <w:autoSpaceDE w:val="0"/>
              <w:autoSpaceDN w:val="0"/>
              <w:adjustRightInd w:val="0"/>
              <w:jc w:val="center"/>
              <w:rPr>
                <w:sz w:val="18"/>
                <w:szCs w:val="18"/>
              </w:rPr>
            </w:pPr>
          </w:p>
        </w:tc>
      </w:tr>
      <w:tr w:rsidR="00562D0A" w:rsidRPr="009A405F" w:rsidTr="00562D0A">
        <w:tc>
          <w:tcPr>
            <w:tcW w:w="644" w:type="pct"/>
          </w:tcPr>
          <w:p w:rsidR="00562D0A" w:rsidRPr="009A405F" w:rsidRDefault="00562D0A" w:rsidP="00562D0A">
            <w:pPr>
              <w:widowControl w:val="0"/>
              <w:autoSpaceDE w:val="0"/>
              <w:autoSpaceDN w:val="0"/>
              <w:adjustRightInd w:val="0"/>
              <w:rPr>
                <w:sz w:val="18"/>
                <w:szCs w:val="18"/>
              </w:rPr>
            </w:pPr>
            <w:r w:rsidRPr="009A405F">
              <w:rPr>
                <w:sz w:val="18"/>
                <w:szCs w:val="18"/>
                <w:lang w:val="en-GB"/>
              </w:rPr>
              <w:t>Openness</w:t>
            </w:r>
          </w:p>
        </w:tc>
        <w:tc>
          <w:tcPr>
            <w:tcW w:w="376"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0.099*</w:t>
            </w:r>
          </w:p>
        </w:tc>
        <w:tc>
          <w:tcPr>
            <w:tcW w:w="344"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0.129**</w:t>
            </w:r>
          </w:p>
        </w:tc>
        <w:tc>
          <w:tcPr>
            <w:tcW w:w="342"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0.101*</w:t>
            </w:r>
          </w:p>
        </w:tc>
        <w:tc>
          <w:tcPr>
            <w:tcW w:w="339"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0.101*</w:t>
            </w:r>
          </w:p>
        </w:tc>
        <w:tc>
          <w:tcPr>
            <w:tcW w:w="339"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0.128**</w:t>
            </w:r>
          </w:p>
        </w:tc>
        <w:tc>
          <w:tcPr>
            <w:tcW w:w="341"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0.103*</w:t>
            </w:r>
          </w:p>
        </w:tc>
        <w:tc>
          <w:tcPr>
            <w:tcW w:w="342"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0.091*</w:t>
            </w:r>
          </w:p>
        </w:tc>
        <w:tc>
          <w:tcPr>
            <w:tcW w:w="383"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0.130**</w:t>
            </w:r>
          </w:p>
        </w:tc>
        <w:tc>
          <w:tcPr>
            <w:tcW w:w="416"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0.109**</w:t>
            </w:r>
          </w:p>
        </w:tc>
        <w:tc>
          <w:tcPr>
            <w:tcW w:w="377" w:type="pct"/>
          </w:tcPr>
          <w:p w:rsidR="00562D0A" w:rsidRPr="009A405F" w:rsidRDefault="00562D0A" w:rsidP="00562D0A">
            <w:pPr>
              <w:widowControl w:val="0"/>
              <w:autoSpaceDE w:val="0"/>
              <w:autoSpaceDN w:val="0"/>
              <w:adjustRightInd w:val="0"/>
              <w:jc w:val="center"/>
              <w:rPr>
                <w:sz w:val="18"/>
                <w:szCs w:val="18"/>
              </w:rPr>
            </w:pPr>
            <w:r>
              <w:rPr>
                <w:sz w:val="18"/>
                <w:szCs w:val="18"/>
              </w:rPr>
              <w:t>0.0955</w:t>
            </w:r>
            <w:r w:rsidRPr="00730277">
              <w:rPr>
                <w:sz w:val="18"/>
                <w:szCs w:val="18"/>
              </w:rPr>
              <w:t>*</w:t>
            </w:r>
          </w:p>
        </w:tc>
        <w:tc>
          <w:tcPr>
            <w:tcW w:w="342" w:type="pct"/>
            <w:gridSpan w:val="2"/>
          </w:tcPr>
          <w:p w:rsidR="00562D0A" w:rsidRPr="009A405F" w:rsidRDefault="00562D0A" w:rsidP="00562D0A">
            <w:pPr>
              <w:widowControl w:val="0"/>
              <w:autoSpaceDE w:val="0"/>
              <w:autoSpaceDN w:val="0"/>
              <w:adjustRightInd w:val="0"/>
              <w:jc w:val="center"/>
              <w:rPr>
                <w:sz w:val="18"/>
                <w:szCs w:val="18"/>
              </w:rPr>
            </w:pPr>
            <w:r>
              <w:rPr>
                <w:sz w:val="18"/>
                <w:szCs w:val="18"/>
              </w:rPr>
              <w:t>0.133</w:t>
            </w:r>
            <w:r w:rsidRPr="00730277">
              <w:rPr>
                <w:sz w:val="18"/>
                <w:szCs w:val="18"/>
              </w:rPr>
              <w:t>**</w:t>
            </w:r>
          </w:p>
        </w:tc>
        <w:tc>
          <w:tcPr>
            <w:tcW w:w="415" w:type="pct"/>
            <w:gridSpan w:val="2"/>
          </w:tcPr>
          <w:p w:rsidR="00562D0A" w:rsidRPr="009A405F" w:rsidRDefault="00562D0A" w:rsidP="00562D0A">
            <w:pPr>
              <w:widowControl w:val="0"/>
              <w:autoSpaceDE w:val="0"/>
              <w:autoSpaceDN w:val="0"/>
              <w:adjustRightInd w:val="0"/>
              <w:jc w:val="center"/>
              <w:rPr>
                <w:sz w:val="18"/>
                <w:szCs w:val="18"/>
              </w:rPr>
            </w:pPr>
            <w:r w:rsidRPr="00730277">
              <w:rPr>
                <w:sz w:val="18"/>
                <w:szCs w:val="18"/>
              </w:rPr>
              <w:t>0.10001*</w:t>
            </w:r>
          </w:p>
        </w:tc>
      </w:tr>
      <w:tr w:rsidR="00562D0A" w:rsidRPr="009A405F" w:rsidTr="00562D0A">
        <w:tc>
          <w:tcPr>
            <w:tcW w:w="644" w:type="pct"/>
          </w:tcPr>
          <w:p w:rsidR="00562D0A" w:rsidRPr="009A405F" w:rsidRDefault="00562D0A" w:rsidP="00562D0A">
            <w:pPr>
              <w:widowControl w:val="0"/>
              <w:autoSpaceDE w:val="0"/>
              <w:autoSpaceDN w:val="0"/>
              <w:adjustRightInd w:val="0"/>
              <w:rPr>
                <w:sz w:val="18"/>
                <w:szCs w:val="18"/>
              </w:rPr>
            </w:pPr>
          </w:p>
        </w:tc>
        <w:tc>
          <w:tcPr>
            <w:tcW w:w="376"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(0.051)</w:t>
            </w:r>
          </w:p>
        </w:tc>
        <w:tc>
          <w:tcPr>
            <w:tcW w:w="344"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(0.056)</w:t>
            </w:r>
          </w:p>
        </w:tc>
        <w:tc>
          <w:tcPr>
            <w:tcW w:w="342"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(0.051)</w:t>
            </w:r>
          </w:p>
        </w:tc>
        <w:tc>
          <w:tcPr>
            <w:tcW w:w="339"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(0.051)</w:t>
            </w:r>
          </w:p>
        </w:tc>
        <w:tc>
          <w:tcPr>
            <w:tcW w:w="339"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(0.058)</w:t>
            </w:r>
          </w:p>
        </w:tc>
        <w:tc>
          <w:tcPr>
            <w:tcW w:w="341"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(0.057)</w:t>
            </w:r>
          </w:p>
        </w:tc>
        <w:tc>
          <w:tcPr>
            <w:tcW w:w="342"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(0.045)</w:t>
            </w:r>
          </w:p>
        </w:tc>
        <w:tc>
          <w:tcPr>
            <w:tcW w:w="383"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(0.057)</w:t>
            </w:r>
          </w:p>
        </w:tc>
        <w:tc>
          <w:tcPr>
            <w:tcW w:w="416"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(0.051)</w:t>
            </w:r>
          </w:p>
        </w:tc>
        <w:tc>
          <w:tcPr>
            <w:tcW w:w="377" w:type="pct"/>
          </w:tcPr>
          <w:p w:rsidR="00562D0A" w:rsidRPr="009A405F" w:rsidRDefault="00562D0A" w:rsidP="00562D0A">
            <w:pPr>
              <w:widowControl w:val="0"/>
              <w:autoSpaceDE w:val="0"/>
              <w:autoSpaceDN w:val="0"/>
              <w:adjustRightInd w:val="0"/>
              <w:jc w:val="center"/>
              <w:rPr>
                <w:sz w:val="18"/>
                <w:szCs w:val="18"/>
              </w:rPr>
            </w:pPr>
            <w:r w:rsidRPr="00730277">
              <w:rPr>
                <w:sz w:val="18"/>
                <w:szCs w:val="18"/>
              </w:rPr>
              <w:t>(0.050)</w:t>
            </w:r>
          </w:p>
        </w:tc>
        <w:tc>
          <w:tcPr>
            <w:tcW w:w="342" w:type="pct"/>
            <w:gridSpan w:val="2"/>
          </w:tcPr>
          <w:p w:rsidR="00562D0A" w:rsidRPr="009A405F" w:rsidRDefault="00562D0A" w:rsidP="00562D0A">
            <w:pPr>
              <w:widowControl w:val="0"/>
              <w:autoSpaceDE w:val="0"/>
              <w:autoSpaceDN w:val="0"/>
              <w:adjustRightInd w:val="0"/>
              <w:jc w:val="center"/>
              <w:rPr>
                <w:sz w:val="18"/>
                <w:szCs w:val="18"/>
              </w:rPr>
            </w:pPr>
            <w:r w:rsidRPr="00730277">
              <w:rPr>
                <w:sz w:val="18"/>
                <w:szCs w:val="18"/>
              </w:rPr>
              <w:t>(0.053)</w:t>
            </w:r>
          </w:p>
        </w:tc>
        <w:tc>
          <w:tcPr>
            <w:tcW w:w="415" w:type="pct"/>
            <w:gridSpan w:val="2"/>
          </w:tcPr>
          <w:p w:rsidR="00562D0A" w:rsidRPr="009A405F" w:rsidRDefault="00562D0A" w:rsidP="00562D0A">
            <w:pPr>
              <w:widowControl w:val="0"/>
              <w:autoSpaceDE w:val="0"/>
              <w:autoSpaceDN w:val="0"/>
              <w:adjustRightInd w:val="0"/>
              <w:jc w:val="center"/>
              <w:rPr>
                <w:sz w:val="18"/>
                <w:szCs w:val="18"/>
              </w:rPr>
            </w:pPr>
            <w:r w:rsidRPr="00730277">
              <w:rPr>
                <w:sz w:val="18"/>
                <w:szCs w:val="18"/>
              </w:rPr>
              <w:t>(0.051)</w:t>
            </w:r>
          </w:p>
        </w:tc>
      </w:tr>
      <w:tr w:rsidR="00562D0A" w:rsidRPr="009A405F" w:rsidTr="00562D0A">
        <w:tc>
          <w:tcPr>
            <w:tcW w:w="644" w:type="pct"/>
          </w:tcPr>
          <w:p w:rsidR="00562D0A" w:rsidRPr="009A405F" w:rsidRDefault="00562D0A" w:rsidP="00562D0A">
            <w:pPr>
              <w:widowControl w:val="0"/>
              <w:autoSpaceDE w:val="0"/>
              <w:autoSpaceDN w:val="0"/>
              <w:adjustRightInd w:val="0"/>
              <w:rPr>
                <w:sz w:val="18"/>
                <w:szCs w:val="18"/>
              </w:rPr>
            </w:pPr>
          </w:p>
        </w:tc>
        <w:tc>
          <w:tcPr>
            <w:tcW w:w="376" w:type="pct"/>
          </w:tcPr>
          <w:p w:rsidR="00562D0A" w:rsidRPr="009A405F" w:rsidRDefault="00562D0A" w:rsidP="00562D0A">
            <w:pPr>
              <w:widowControl w:val="0"/>
              <w:autoSpaceDE w:val="0"/>
              <w:autoSpaceDN w:val="0"/>
              <w:adjustRightInd w:val="0"/>
              <w:jc w:val="center"/>
              <w:rPr>
                <w:sz w:val="18"/>
                <w:szCs w:val="18"/>
              </w:rPr>
            </w:pPr>
          </w:p>
        </w:tc>
        <w:tc>
          <w:tcPr>
            <w:tcW w:w="344" w:type="pct"/>
          </w:tcPr>
          <w:p w:rsidR="00562D0A" w:rsidRPr="009A405F" w:rsidRDefault="00562D0A" w:rsidP="00562D0A">
            <w:pPr>
              <w:widowControl w:val="0"/>
              <w:autoSpaceDE w:val="0"/>
              <w:autoSpaceDN w:val="0"/>
              <w:adjustRightInd w:val="0"/>
              <w:jc w:val="center"/>
              <w:rPr>
                <w:sz w:val="18"/>
                <w:szCs w:val="18"/>
              </w:rPr>
            </w:pPr>
          </w:p>
        </w:tc>
        <w:tc>
          <w:tcPr>
            <w:tcW w:w="342" w:type="pct"/>
          </w:tcPr>
          <w:p w:rsidR="00562D0A" w:rsidRPr="009A405F" w:rsidRDefault="00562D0A" w:rsidP="00562D0A">
            <w:pPr>
              <w:widowControl w:val="0"/>
              <w:autoSpaceDE w:val="0"/>
              <w:autoSpaceDN w:val="0"/>
              <w:adjustRightInd w:val="0"/>
              <w:jc w:val="center"/>
              <w:rPr>
                <w:sz w:val="18"/>
                <w:szCs w:val="18"/>
              </w:rPr>
            </w:pPr>
          </w:p>
        </w:tc>
        <w:tc>
          <w:tcPr>
            <w:tcW w:w="339" w:type="pct"/>
          </w:tcPr>
          <w:p w:rsidR="00562D0A" w:rsidRPr="009A405F" w:rsidRDefault="00562D0A" w:rsidP="00562D0A">
            <w:pPr>
              <w:widowControl w:val="0"/>
              <w:autoSpaceDE w:val="0"/>
              <w:autoSpaceDN w:val="0"/>
              <w:adjustRightInd w:val="0"/>
              <w:jc w:val="center"/>
              <w:rPr>
                <w:sz w:val="18"/>
                <w:szCs w:val="18"/>
              </w:rPr>
            </w:pPr>
          </w:p>
        </w:tc>
        <w:tc>
          <w:tcPr>
            <w:tcW w:w="339" w:type="pct"/>
          </w:tcPr>
          <w:p w:rsidR="00562D0A" w:rsidRPr="009A405F" w:rsidRDefault="00562D0A" w:rsidP="00562D0A">
            <w:pPr>
              <w:widowControl w:val="0"/>
              <w:autoSpaceDE w:val="0"/>
              <w:autoSpaceDN w:val="0"/>
              <w:adjustRightInd w:val="0"/>
              <w:jc w:val="center"/>
              <w:rPr>
                <w:sz w:val="18"/>
                <w:szCs w:val="18"/>
              </w:rPr>
            </w:pPr>
          </w:p>
        </w:tc>
        <w:tc>
          <w:tcPr>
            <w:tcW w:w="341" w:type="pct"/>
          </w:tcPr>
          <w:p w:rsidR="00562D0A" w:rsidRPr="009A405F" w:rsidRDefault="00562D0A" w:rsidP="00562D0A">
            <w:pPr>
              <w:widowControl w:val="0"/>
              <w:autoSpaceDE w:val="0"/>
              <w:autoSpaceDN w:val="0"/>
              <w:adjustRightInd w:val="0"/>
              <w:jc w:val="center"/>
              <w:rPr>
                <w:sz w:val="18"/>
                <w:szCs w:val="18"/>
              </w:rPr>
            </w:pPr>
          </w:p>
        </w:tc>
        <w:tc>
          <w:tcPr>
            <w:tcW w:w="342" w:type="pct"/>
          </w:tcPr>
          <w:p w:rsidR="00562D0A" w:rsidRPr="009A405F" w:rsidRDefault="00562D0A" w:rsidP="00562D0A">
            <w:pPr>
              <w:widowControl w:val="0"/>
              <w:autoSpaceDE w:val="0"/>
              <w:autoSpaceDN w:val="0"/>
              <w:adjustRightInd w:val="0"/>
              <w:jc w:val="center"/>
              <w:rPr>
                <w:sz w:val="18"/>
                <w:szCs w:val="18"/>
              </w:rPr>
            </w:pPr>
          </w:p>
        </w:tc>
        <w:tc>
          <w:tcPr>
            <w:tcW w:w="383" w:type="pct"/>
          </w:tcPr>
          <w:p w:rsidR="00562D0A" w:rsidRPr="009A405F" w:rsidRDefault="00562D0A" w:rsidP="00562D0A">
            <w:pPr>
              <w:widowControl w:val="0"/>
              <w:autoSpaceDE w:val="0"/>
              <w:autoSpaceDN w:val="0"/>
              <w:adjustRightInd w:val="0"/>
              <w:jc w:val="center"/>
              <w:rPr>
                <w:sz w:val="18"/>
                <w:szCs w:val="18"/>
              </w:rPr>
            </w:pPr>
          </w:p>
        </w:tc>
        <w:tc>
          <w:tcPr>
            <w:tcW w:w="416" w:type="pct"/>
          </w:tcPr>
          <w:p w:rsidR="00562D0A" w:rsidRPr="009A405F" w:rsidRDefault="00562D0A" w:rsidP="00562D0A">
            <w:pPr>
              <w:widowControl w:val="0"/>
              <w:autoSpaceDE w:val="0"/>
              <w:autoSpaceDN w:val="0"/>
              <w:adjustRightInd w:val="0"/>
              <w:jc w:val="center"/>
              <w:rPr>
                <w:sz w:val="18"/>
                <w:szCs w:val="18"/>
              </w:rPr>
            </w:pPr>
          </w:p>
        </w:tc>
        <w:tc>
          <w:tcPr>
            <w:tcW w:w="377" w:type="pct"/>
          </w:tcPr>
          <w:p w:rsidR="00562D0A" w:rsidRPr="00730277" w:rsidRDefault="00562D0A" w:rsidP="00562D0A">
            <w:pPr>
              <w:widowControl w:val="0"/>
              <w:autoSpaceDE w:val="0"/>
              <w:autoSpaceDN w:val="0"/>
              <w:adjustRightInd w:val="0"/>
              <w:jc w:val="center"/>
              <w:rPr>
                <w:sz w:val="18"/>
                <w:szCs w:val="18"/>
              </w:rPr>
            </w:pPr>
          </w:p>
        </w:tc>
        <w:tc>
          <w:tcPr>
            <w:tcW w:w="342" w:type="pct"/>
            <w:gridSpan w:val="2"/>
          </w:tcPr>
          <w:p w:rsidR="00562D0A" w:rsidRPr="00730277" w:rsidRDefault="00562D0A" w:rsidP="00562D0A">
            <w:pPr>
              <w:widowControl w:val="0"/>
              <w:autoSpaceDE w:val="0"/>
              <w:autoSpaceDN w:val="0"/>
              <w:adjustRightInd w:val="0"/>
              <w:jc w:val="center"/>
              <w:rPr>
                <w:sz w:val="18"/>
                <w:szCs w:val="18"/>
              </w:rPr>
            </w:pPr>
          </w:p>
        </w:tc>
        <w:tc>
          <w:tcPr>
            <w:tcW w:w="415" w:type="pct"/>
            <w:gridSpan w:val="2"/>
          </w:tcPr>
          <w:p w:rsidR="00562D0A" w:rsidRPr="00730277" w:rsidRDefault="00562D0A" w:rsidP="00562D0A">
            <w:pPr>
              <w:widowControl w:val="0"/>
              <w:autoSpaceDE w:val="0"/>
              <w:autoSpaceDN w:val="0"/>
              <w:adjustRightInd w:val="0"/>
              <w:jc w:val="center"/>
              <w:rPr>
                <w:sz w:val="18"/>
                <w:szCs w:val="18"/>
              </w:rPr>
            </w:pPr>
          </w:p>
        </w:tc>
      </w:tr>
      <w:tr w:rsidR="00562D0A" w:rsidRPr="009A405F" w:rsidTr="00562D0A">
        <w:tc>
          <w:tcPr>
            <w:tcW w:w="644" w:type="pct"/>
          </w:tcPr>
          <w:p w:rsidR="00562D0A" w:rsidRPr="009A405F" w:rsidRDefault="00562D0A" w:rsidP="00562D0A">
            <w:pPr>
              <w:widowControl w:val="0"/>
              <w:autoSpaceDE w:val="0"/>
              <w:autoSpaceDN w:val="0"/>
              <w:adjustRightInd w:val="0"/>
              <w:rPr>
                <w:sz w:val="18"/>
                <w:szCs w:val="18"/>
              </w:rPr>
            </w:pPr>
            <w:r w:rsidRPr="009A405F">
              <w:rPr>
                <w:sz w:val="18"/>
                <w:szCs w:val="18"/>
                <w:lang w:val="en-GB"/>
              </w:rPr>
              <w:t>Diversification#</w:t>
            </w:r>
          </w:p>
        </w:tc>
        <w:tc>
          <w:tcPr>
            <w:tcW w:w="376"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-0.021*</w:t>
            </w:r>
          </w:p>
        </w:tc>
        <w:tc>
          <w:tcPr>
            <w:tcW w:w="344"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-0.027**</w:t>
            </w:r>
          </w:p>
        </w:tc>
        <w:tc>
          <w:tcPr>
            <w:tcW w:w="342"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-0.021*</w:t>
            </w:r>
          </w:p>
        </w:tc>
        <w:tc>
          <w:tcPr>
            <w:tcW w:w="339"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-0.021*</w:t>
            </w:r>
          </w:p>
        </w:tc>
        <w:tc>
          <w:tcPr>
            <w:tcW w:w="339"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-0.0265*</w:t>
            </w:r>
          </w:p>
        </w:tc>
        <w:tc>
          <w:tcPr>
            <w:tcW w:w="341"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-0.021</w:t>
            </w:r>
          </w:p>
        </w:tc>
        <w:tc>
          <w:tcPr>
            <w:tcW w:w="342"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-0.020*</w:t>
            </w:r>
          </w:p>
        </w:tc>
        <w:tc>
          <w:tcPr>
            <w:tcW w:w="383"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-0.027**</w:t>
            </w:r>
          </w:p>
        </w:tc>
        <w:tc>
          <w:tcPr>
            <w:tcW w:w="416"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-0.021*</w:t>
            </w:r>
          </w:p>
        </w:tc>
        <w:tc>
          <w:tcPr>
            <w:tcW w:w="377" w:type="pct"/>
          </w:tcPr>
          <w:p w:rsidR="00562D0A" w:rsidRPr="009A405F" w:rsidRDefault="00562D0A" w:rsidP="00562D0A">
            <w:pPr>
              <w:widowControl w:val="0"/>
              <w:autoSpaceDE w:val="0"/>
              <w:autoSpaceDN w:val="0"/>
              <w:adjustRightInd w:val="0"/>
              <w:jc w:val="center"/>
              <w:rPr>
                <w:sz w:val="18"/>
                <w:szCs w:val="18"/>
              </w:rPr>
            </w:pPr>
            <w:r>
              <w:rPr>
                <w:sz w:val="18"/>
                <w:szCs w:val="18"/>
              </w:rPr>
              <w:t>0.4326</w:t>
            </w:r>
            <w:r w:rsidRPr="00730277">
              <w:rPr>
                <w:sz w:val="18"/>
                <w:szCs w:val="18"/>
              </w:rPr>
              <w:t>*</w:t>
            </w:r>
          </w:p>
        </w:tc>
        <w:tc>
          <w:tcPr>
            <w:tcW w:w="342" w:type="pct"/>
            <w:gridSpan w:val="2"/>
          </w:tcPr>
          <w:p w:rsidR="00562D0A" w:rsidRPr="009A405F" w:rsidRDefault="00562D0A" w:rsidP="00562D0A">
            <w:pPr>
              <w:widowControl w:val="0"/>
              <w:autoSpaceDE w:val="0"/>
              <w:autoSpaceDN w:val="0"/>
              <w:adjustRightInd w:val="0"/>
              <w:jc w:val="center"/>
              <w:rPr>
                <w:sz w:val="18"/>
                <w:szCs w:val="18"/>
              </w:rPr>
            </w:pPr>
            <w:r>
              <w:rPr>
                <w:sz w:val="18"/>
                <w:szCs w:val="18"/>
              </w:rPr>
              <w:t>-0.136</w:t>
            </w:r>
          </w:p>
        </w:tc>
        <w:tc>
          <w:tcPr>
            <w:tcW w:w="415" w:type="pct"/>
            <w:gridSpan w:val="2"/>
          </w:tcPr>
          <w:p w:rsidR="00562D0A" w:rsidRPr="009A405F" w:rsidRDefault="00562D0A" w:rsidP="00562D0A">
            <w:pPr>
              <w:widowControl w:val="0"/>
              <w:autoSpaceDE w:val="0"/>
              <w:autoSpaceDN w:val="0"/>
              <w:adjustRightInd w:val="0"/>
              <w:jc w:val="center"/>
              <w:rPr>
                <w:sz w:val="18"/>
                <w:szCs w:val="18"/>
              </w:rPr>
            </w:pPr>
            <w:r>
              <w:rPr>
                <w:sz w:val="18"/>
                <w:szCs w:val="18"/>
              </w:rPr>
              <w:t>0.474</w:t>
            </w:r>
            <w:r w:rsidRPr="00730277">
              <w:rPr>
                <w:sz w:val="18"/>
                <w:szCs w:val="18"/>
              </w:rPr>
              <w:t>*</w:t>
            </w:r>
          </w:p>
        </w:tc>
      </w:tr>
      <w:tr w:rsidR="00562D0A" w:rsidRPr="009A405F" w:rsidTr="00562D0A">
        <w:tc>
          <w:tcPr>
            <w:tcW w:w="644" w:type="pct"/>
          </w:tcPr>
          <w:p w:rsidR="00562D0A" w:rsidRPr="009A405F" w:rsidRDefault="00562D0A" w:rsidP="00562D0A">
            <w:pPr>
              <w:widowControl w:val="0"/>
              <w:autoSpaceDE w:val="0"/>
              <w:autoSpaceDN w:val="0"/>
              <w:adjustRightInd w:val="0"/>
              <w:rPr>
                <w:sz w:val="18"/>
                <w:szCs w:val="18"/>
              </w:rPr>
            </w:pPr>
            <w:r w:rsidRPr="009A405F">
              <w:rPr>
                <w:sz w:val="18"/>
                <w:szCs w:val="18"/>
                <w:lang w:val="en-GB"/>
              </w:rPr>
              <w:t>Openness</w:t>
            </w:r>
          </w:p>
        </w:tc>
        <w:tc>
          <w:tcPr>
            <w:tcW w:w="376"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(0.012)</w:t>
            </w:r>
          </w:p>
        </w:tc>
        <w:tc>
          <w:tcPr>
            <w:tcW w:w="344"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(0.013)</w:t>
            </w:r>
          </w:p>
        </w:tc>
        <w:tc>
          <w:tcPr>
            <w:tcW w:w="342"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(0.012)</w:t>
            </w:r>
          </w:p>
        </w:tc>
        <w:tc>
          <w:tcPr>
            <w:tcW w:w="339"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(0.012)</w:t>
            </w:r>
          </w:p>
        </w:tc>
        <w:tc>
          <w:tcPr>
            <w:tcW w:w="339"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(0.013)</w:t>
            </w:r>
          </w:p>
        </w:tc>
        <w:tc>
          <w:tcPr>
            <w:tcW w:w="341"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(0.013)</w:t>
            </w:r>
          </w:p>
        </w:tc>
        <w:tc>
          <w:tcPr>
            <w:tcW w:w="342"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(0.010)</w:t>
            </w:r>
          </w:p>
        </w:tc>
        <w:tc>
          <w:tcPr>
            <w:tcW w:w="383"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(0.013)</w:t>
            </w:r>
          </w:p>
        </w:tc>
        <w:tc>
          <w:tcPr>
            <w:tcW w:w="416"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(0.010)</w:t>
            </w:r>
          </w:p>
        </w:tc>
        <w:tc>
          <w:tcPr>
            <w:tcW w:w="377" w:type="pct"/>
          </w:tcPr>
          <w:p w:rsidR="00562D0A" w:rsidRPr="009A405F" w:rsidRDefault="00562D0A" w:rsidP="00562D0A">
            <w:pPr>
              <w:widowControl w:val="0"/>
              <w:autoSpaceDE w:val="0"/>
              <w:autoSpaceDN w:val="0"/>
              <w:adjustRightInd w:val="0"/>
              <w:jc w:val="center"/>
              <w:rPr>
                <w:sz w:val="18"/>
                <w:szCs w:val="18"/>
              </w:rPr>
            </w:pPr>
            <w:r w:rsidRPr="00730277">
              <w:rPr>
                <w:sz w:val="18"/>
                <w:szCs w:val="18"/>
              </w:rPr>
              <w:t>(0.234)</w:t>
            </w:r>
          </w:p>
        </w:tc>
        <w:tc>
          <w:tcPr>
            <w:tcW w:w="342" w:type="pct"/>
            <w:gridSpan w:val="2"/>
          </w:tcPr>
          <w:p w:rsidR="00562D0A" w:rsidRPr="009A405F" w:rsidRDefault="00562D0A" w:rsidP="00562D0A">
            <w:pPr>
              <w:widowControl w:val="0"/>
              <w:autoSpaceDE w:val="0"/>
              <w:autoSpaceDN w:val="0"/>
              <w:adjustRightInd w:val="0"/>
              <w:jc w:val="center"/>
              <w:rPr>
                <w:sz w:val="18"/>
                <w:szCs w:val="18"/>
              </w:rPr>
            </w:pPr>
            <w:r w:rsidRPr="00730277">
              <w:rPr>
                <w:sz w:val="18"/>
                <w:szCs w:val="18"/>
              </w:rPr>
              <w:t>(0.285)</w:t>
            </w:r>
          </w:p>
        </w:tc>
        <w:tc>
          <w:tcPr>
            <w:tcW w:w="415" w:type="pct"/>
            <w:gridSpan w:val="2"/>
          </w:tcPr>
          <w:p w:rsidR="00562D0A" w:rsidRPr="009A405F" w:rsidRDefault="00562D0A" w:rsidP="00562D0A">
            <w:pPr>
              <w:widowControl w:val="0"/>
              <w:autoSpaceDE w:val="0"/>
              <w:autoSpaceDN w:val="0"/>
              <w:adjustRightInd w:val="0"/>
              <w:jc w:val="center"/>
              <w:rPr>
                <w:sz w:val="18"/>
                <w:szCs w:val="18"/>
              </w:rPr>
            </w:pPr>
            <w:r w:rsidRPr="00730277">
              <w:rPr>
                <w:sz w:val="18"/>
                <w:szCs w:val="18"/>
              </w:rPr>
              <w:t>(0.247)</w:t>
            </w:r>
          </w:p>
        </w:tc>
      </w:tr>
      <w:tr w:rsidR="00562D0A" w:rsidRPr="009A405F" w:rsidTr="00562D0A">
        <w:tc>
          <w:tcPr>
            <w:tcW w:w="644" w:type="pct"/>
          </w:tcPr>
          <w:p w:rsidR="00562D0A" w:rsidRPr="009A405F" w:rsidRDefault="00562D0A" w:rsidP="00562D0A">
            <w:pPr>
              <w:widowControl w:val="0"/>
              <w:autoSpaceDE w:val="0"/>
              <w:autoSpaceDN w:val="0"/>
              <w:adjustRightInd w:val="0"/>
              <w:rPr>
                <w:sz w:val="18"/>
                <w:szCs w:val="18"/>
                <w:lang w:val="en-GB"/>
              </w:rPr>
            </w:pPr>
          </w:p>
        </w:tc>
        <w:tc>
          <w:tcPr>
            <w:tcW w:w="376" w:type="pct"/>
          </w:tcPr>
          <w:p w:rsidR="00562D0A" w:rsidRPr="009A405F" w:rsidRDefault="00562D0A" w:rsidP="00562D0A">
            <w:pPr>
              <w:widowControl w:val="0"/>
              <w:autoSpaceDE w:val="0"/>
              <w:autoSpaceDN w:val="0"/>
              <w:adjustRightInd w:val="0"/>
              <w:jc w:val="center"/>
              <w:rPr>
                <w:sz w:val="18"/>
                <w:szCs w:val="18"/>
              </w:rPr>
            </w:pPr>
          </w:p>
        </w:tc>
        <w:tc>
          <w:tcPr>
            <w:tcW w:w="344" w:type="pct"/>
          </w:tcPr>
          <w:p w:rsidR="00562D0A" w:rsidRPr="009A405F" w:rsidRDefault="00562D0A" w:rsidP="00562D0A">
            <w:pPr>
              <w:widowControl w:val="0"/>
              <w:autoSpaceDE w:val="0"/>
              <w:autoSpaceDN w:val="0"/>
              <w:adjustRightInd w:val="0"/>
              <w:jc w:val="center"/>
              <w:rPr>
                <w:sz w:val="18"/>
                <w:szCs w:val="18"/>
              </w:rPr>
            </w:pPr>
          </w:p>
        </w:tc>
        <w:tc>
          <w:tcPr>
            <w:tcW w:w="342" w:type="pct"/>
          </w:tcPr>
          <w:p w:rsidR="00562D0A" w:rsidRPr="009A405F" w:rsidRDefault="00562D0A" w:rsidP="00562D0A">
            <w:pPr>
              <w:widowControl w:val="0"/>
              <w:autoSpaceDE w:val="0"/>
              <w:autoSpaceDN w:val="0"/>
              <w:adjustRightInd w:val="0"/>
              <w:jc w:val="center"/>
              <w:rPr>
                <w:sz w:val="18"/>
                <w:szCs w:val="18"/>
              </w:rPr>
            </w:pPr>
          </w:p>
        </w:tc>
        <w:tc>
          <w:tcPr>
            <w:tcW w:w="339" w:type="pct"/>
          </w:tcPr>
          <w:p w:rsidR="00562D0A" w:rsidRPr="009A405F" w:rsidRDefault="00562D0A" w:rsidP="00562D0A">
            <w:pPr>
              <w:widowControl w:val="0"/>
              <w:autoSpaceDE w:val="0"/>
              <w:autoSpaceDN w:val="0"/>
              <w:adjustRightInd w:val="0"/>
              <w:jc w:val="center"/>
              <w:rPr>
                <w:sz w:val="18"/>
                <w:szCs w:val="18"/>
              </w:rPr>
            </w:pPr>
          </w:p>
        </w:tc>
        <w:tc>
          <w:tcPr>
            <w:tcW w:w="339" w:type="pct"/>
          </w:tcPr>
          <w:p w:rsidR="00562D0A" w:rsidRPr="009A405F" w:rsidRDefault="00562D0A" w:rsidP="00562D0A">
            <w:pPr>
              <w:widowControl w:val="0"/>
              <w:autoSpaceDE w:val="0"/>
              <w:autoSpaceDN w:val="0"/>
              <w:adjustRightInd w:val="0"/>
              <w:jc w:val="center"/>
              <w:rPr>
                <w:sz w:val="18"/>
                <w:szCs w:val="18"/>
              </w:rPr>
            </w:pPr>
          </w:p>
        </w:tc>
        <w:tc>
          <w:tcPr>
            <w:tcW w:w="341" w:type="pct"/>
          </w:tcPr>
          <w:p w:rsidR="00562D0A" w:rsidRPr="009A405F" w:rsidRDefault="00562D0A" w:rsidP="00562D0A">
            <w:pPr>
              <w:widowControl w:val="0"/>
              <w:autoSpaceDE w:val="0"/>
              <w:autoSpaceDN w:val="0"/>
              <w:adjustRightInd w:val="0"/>
              <w:jc w:val="center"/>
              <w:rPr>
                <w:sz w:val="18"/>
                <w:szCs w:val="18"/>
              </w:rPr>
            </w:pPr>
          </w:p>
        </w:tc>
        <w:tc>
          <w:tcPr>
            <w:tcW w:w="342" w:type="pct"/>
          </w:tcPr>
          <w:p w:rsidR="00562D0A" w:rsidRPr="009A405F" w:rsidRDefault="00562D0A" w:rsidP="00562D0A">
            <w:pPr>
              <w:widowControl w:val="0"/>
              <w:autoSpaceDE w:val="0"/>
              <w:autoSpaceDN w:val="0"/>
              <w:adjustRightInd w:val="0"/>
              <w:jc w:val="center"/>
              <w:rPr>
                <w:sz w:val="18"/>
                <w:szCs w:val="18"/>
              </w:rPr>
            </w:pPr>
          </w:p>
        </w:tc>
        <w:tc>
          <w:tcPr>
            <w:tcW w:w="383" w:type="pct"/>
          </w:tcPr>
          <w:p w:rsidR="00562D0A" w:rsidRPr="009A405F" w:rsidRDefault="00562D0A" w:rsidP="00562D0A">
            <w:pPr>
              <w:widowControl w:val="0"/>
              <w:autoSpaceDE w:val="0"/>
              <w:autoSpaceDN w:val="0"/>
              <w:adjustRightInd w:val="0"/>
              <w:jc w:val="center"/>
              <w:rPr>
                <w:sz w:val="18"/>
                <w:szCs w:val="18"/>
              </w:rPr>
            </w:pPr>
          </w:p>
        </w:tc>
        <w:tc>
          <w:tcPr>
            <w:tcW w:w="416" w:type="pct"/>
          </w:tcPr>
          <w:p w:rsidR="00562D0A" w:rsidRPr="009A405F" w:rsidRDefault="00562D0A" w:rsidP="00562D0A">
            <w:pPr>
              <w:widowControl w:val="0"/>
              <w:autoSpaceDE w:val="0"/>
              <w:autoSpaceDN w:val="0"/>
              <w:adjustRightInd w:val="0"/>
              <w:jc w:val="center"/>
              <w:rPr>
                <w:sz w:val="18"/>
                <w:szCs w:val="18"/>
              </w:rPr>
            </w:pPr>
          </w:p>
        </w:tc>
        <w:tc>
          <w:tcPr>
            <w:tcW w:w="377" w:type="pct"/>
          </w:tcPr>
          <w:p w:rsidR="00562D0A" w:rsidRPr="00730277" w:rsidRDefault="00562D0A" w:rsidP="00562D0A">
            <w:pPr>
              <w:widowControl w:val="0"/>
              <w:autoSpaceDE w:val="0"/>
              <w:autoSpaceDN w:val="0"/>
              <w:adjustRightInd w:val="0"/>
              <w:jc w:val="center"/>
              <w:rPr>
                <w:sz w:val="18"/>
                <w:szCs w:val="18"/>
              </w:rPr>
            </w:pPr>
          </w:p>
        </w:tc>
        <w:tc>
          <w:tcPr>
            <w:tcW w:w="342" w:type="pct"/>
            <w:gridSpan w:val="2"/>
          </w:tcPr>
          <w:p w:rsidR="00562D0A" w:rsidRPr="00730277" w:rsidRDefault="00562D0A" w:rsidP="00562D0A">
            <w:pPr>
              <w:widowControl w:val="0"/>
              <w:autoSpaceDE w:val="0"/>
              <w:autoSpaceDN w:val="0"/>
              <w:adjustRightInd w:val="0"/>
              <w:jc w:val="center"/>
              <w:rPr>
                <w:sz w:val="18"/>
                <w:szCs w:val="18"/>
              </w:rPr>
            </w:pPr>
          </w:p>
        </w:tc>
        <w:tc>
          <w:tcPr>
            <w:tcW w:w="415" w:type="pct"/>
            <w:gridSpan w:val="2"/>
          </w:tcPr>
          <w:p w:rsidR="00562D0A" w:rsidRPr="00730277" w:rsidRDefault="00562D0A" w:rsidP="00562D0A">
            <w:pPr>
              <w:widowControl w:val="0"/>
              <w:autoSpaceDE w:val="0"/>
              <w:autoSpaceDN w:val="0"/>
              <w:adjustRightInd w:val="0"/>
              <w:jc w:val="center"/>
              <w:rPr>
                <w:sz w:val="18"/>
                <w:szCs w:val="18"/>
              </w:rPr>
            </w:pPr>
          </w:p>
        </w:tc>
      </w:tr>
      <w:tr w:rsidR="00562D0A" w:rsidRPr="009A405F" w:rsidTr="00562D0A">
        <w:tc>
          <w:tcPr>
            <w:tcW w:w="644" w:type="pct"/>
          </w:tcPr>
          <w:p w:rsidR="00562D0A" w:rsidRPr="009A405F" w:rsidRDefault="00562D0A" w:rsidP="00562D0A">
            <w:pPr>
              <w:widowControl w:val="0"/>
              <w:autoSpaceDE w:val="0"/>
              <w:autoSpaceDN w:val="0"/>
              <w:adjustRightInd w:val="0"/>
              <w:rPr>
                <w:sz w:val="18"/>
                <w:szCs w:val="18"/>
              </w:rPr>
            </w:pPr>
            <w:r w:rsidRPr="009A405F">
              <w:rPr>
                <w:sz w:val="18"/>
                <w:szCs w:val="18"/>
                <w:lang w:val="en-GB"/>
              </w:rPr>
              <w:t>Institutions</w:t>
            </w:r>
          </w:p>
        </w:tc>
        <w:tc>
          <w:tcPr>
            <w:tcW w:w="376" w:type="pct"/>
          </w:tcPr>
          <w:p w:rsidR="00562D0A" w:rsidRPr="009A405F" w:rsidRDefault="00562D0A" w:rsidP="00562D0A">
            <w:pPr>
              <w:widowControl w:val="0"/>
              <w:autoSpaceDE w:val="0"/>
              <w:autoSpaceDN w:val="0"/>
              <w:adjustRightInd w:val="0"/>
              <w:rPr>
                <w:sz w:val="18"/>
                <w:szCs w:val="18"/>
              </w:rPr>
            </w:pPr>
            <w:r w:rsidRPr="009A405F">
              <w:rPr>
                <w:sz w:val="18"/>
                <w:szCs w:val="18"/>
              </w:rPr>
              <w:t>-1.344</w:t>
            </w:r>
          </w:p>
        </w:tc>
        <w:tc>
          <w:tcPr>
            <w:tcW w:w="344" w:type="pct"/>
          </w:tcPr>
          <w:p w:rsidR="00562D0A" w:rsidRPr="009A405F" w:rsidRDefault="00562D0A" w:rsidP="00562D0A">
            <w:pPr>
              <w:widowControl w:val="0"/>
              <w:autoSpaceDE w:val="0"/>
              <w:autoSpaceDN w:val="0"/>
              <w:adjustRightInd w:val="0"/>
              <w:rPr>
                <w:sz w:val="18"/>
                <w:szCs w:val="18"/>
              </w:rPr>
            </w:pPr>
            <w:r w:rsidRPr="009A405F">
              <w:rPr>
                <w:sz w:val="18"/>
                <w:szCs w:val="18"/>
              </w:rPr>
              <w:t>-8.002**</w:t>
            </w:r>
          </w:p>
        </w:tc>
        <w:tc>
          <w:tcPr>
            <w:tcW w:w="342" w:type="pct"/>
          </w:tcPr>
          <w:p w:rsidR="00562D0A" w:rsidRPr="009A405F" w:rsidRDefault="00562D0A" w:rsidP="00562D0A">
            <w:pPr>
              <w:widowControl w:val="0"/>
              <w:autoSpaceDE w:val="0"/>
              <w:autoSpaceDN w:val="0"/>
              <w:adjustRightInd w:val="0"/>
              <w:rPr>
                <w:sz w:val="18"/>
                <w:szCs w:val="18"/>
              </w:rPr>
            </w:pPr>
            <w:r w:rsidRPr="009A405F">
              <w:rPr>
                <w:sz w:val="18"/>
                <w:szCs w:val="18"/>
              </w:rPr>
              <w:t>-0.599</w:t>
            </w:r>
          </w:p>
        </w:tc>
        <w:tc>
          <w:tcPr>
            <w:tcW w:w="339" w:type="pct"/>
          </w:tcPr>
          <w:p w:rsidR="00562D0A" w:rsidRPr="009A405F" w:rsidRDefault="00562D0A" w:rsidP="00562D0A">
            <w:pPr>
              <w:widowControl w:val="0"/>
              <w:autoSpaceDE w:val="0"/>
              <w:autoSpaceDN w:val="0"/>
              <w:adjustRightInd w:val="0"/>
              <w:rPr>
                <w:sz w:val="18"/>
                <w:szCs w:val="18"/>
              </w:rPr>
            </w:pPr>
            <w:r w:rsidRPr="009A405F">
              <w:rPr>
                <w:sz w:val="18"/>
                <w:szCs w:val="18"/>
              </w:rPr>
              <w:t>0.107</w:t>
            </w:r>
          </w:p>
        </w:tc>
        <w:tc>
          <w:tcPr>
            <w:tcW w:w="339" w:type="pct"/>
          </w:tcPr>
          <w:p w:rsidR="00562D0A" w:rsidRPr="009A405F" w:rsidRDefault="00562D0A" w:rsidP="00562D0A">
            <w:pPr>
              <w:widowControl w:val="0"/>
              <w:autoSpaceDE w:val="0"/>
              <w:autoSpaceDN w:val="0"/>
              <w:adjustRightInd w:val="0"/>
              <w:rPr>
                <w:sz w:val="18"/>
                <w:szCs w:val="18"/>
              </w:rPr>
            </w:pPr>
            <w:r w:rsidRPr="009A405F">
              <w:rPr>
                <w:sz w:val="18"/>
                <w:szCs w:val="18"/>
              </w:rPr>
              <w:t>-3.069**</w:t>
            </w:r>
          </w:p>
        </w:tc>
        <w:tc>
          <w:tcPr>
            <w:tcW w:w="341" w:type="pct"/>
          </w:tcPr>
          <w:p w:rsidR="00562D0A" w:rsidRPr="009A405F" w:rsidRDefault="00562D0A" w:rsidP="00562D0A">
            <w:pPr>
              <w:widowControl w:val="0"/>
              <w:autoSpaceDE w:val="0"/>
              <w:autoSpaceDN w:val="0"/>
              <w:adjustRightInd w:val="0"/>
              <w:rPr>
                <w:sz w:val="18"/>
                <w:szCs w:val="18"/>
              </w:rPr>
            </w:pPr>
            <w:r w:rsidRPr="009A405F">
              <w:rPr>
                <w:sz w:val="18"/>
                <w:szCs w:val="18"/>
              </w:rPr>
              <w:t>-1.64</w:t>
            </w:r>
          </w:p>
        </w:tc>
        <w:tc>
          <w:tcPr>
            <w:tcW w:w="342" w:type="pct"/>
          </w:tcPr>
          <w:p w:rsidR="00562D0A" w:rsidRPr="009A405F" w:rsidRDefault="00562D0A" w:rsidP="00562D0A">
            <w:pPr>
              <w:widowControl w:val="0"/>
              <w:autoSpaceDE w:val="0"/>
              <w:autoSpaceDN w:val="0"/>
              <w:adjustRightInd w:val="0"/>
              <w:rPr>
                <w:sz w:val="18"/>
                <w:szCs w:val="18"/>
              </w:rPr>
            </w:pPr>
            <w:r w:rsidRPr="009A405F">
              <w:rPr>
                <w:sz w:val="18"/>
                <w:szCs w:val="18"/>
              </w:rPr>
              <w:t>-2.17***</w:t>
            </w:r>
          </w:p>
        </w:tc>
        <w:tc>
          <w:tcPr>
            <w:tcW w:w="383" w:type="pct"/>
          </w:tcPr>
          <w:p w:rsidR="00562D0A" w:rsidRPr="009A405F" w:rsidRDefault="00562D0A" w:rsidP="00562D0A">
            <w:pPr>
              <w:widowControl w:val="0"/>
              <w:autoSpaceDE w:val="0"/>
              <w:autoSpaceDN w:val="0"/>
              <w:adjustRightInd w:val="0"/>
              <w:rPr>
                <w:sz w:val="18"/>
                <w:szCs w:val="18"/>
              </w:rPr>
            </w:pPr>
            <w:r w:rsidRPr="009A405F">
              <w:rPr>
                <w:sz w:val="18"/>
                <w:szCs w:val="18"/>
              </w:rPr>
              <w:t>-3.037***</w:t>
            </w:r>
          </w:p>
        </w:tc>
        <w:tc>
          <w:tcPr>
            <w:tcW w:w="416" w:type="pct"/>
          </w:tcPr>
          <w:p w:rsidR="00562D0A" w:rsidRPr="009A405F" w:rsidRDefault="00562D0A" w:rsidP="00562D0A">
            <w:pPr>
              <w:widowControl w:val="0"/>
              <w:autoSpaceDE w:val="0"/>
              <w:autoSpaceDN w:val="0"/>
              <w:adjustRightInd w:val="0"/>
              <w:rPr>
                <w:sz w:val="18"/>
                <w:szCs w:val="18"/>
              </w:rPr>
            </w:pPr>
            <w:r w:rsidRPr="009A405F">
              <w:rPr>
                <w:sz w:val="18"/>
                <w:szCs w:val="18"/>
              </w:rPr>
              <w:t>-0.114</w:t>
            </w:r>
          </w:p>
        </w:tc>
        <w:tc>
          <w:tcPr>
            <w:tcW w:w="377" w:type="pct"/>
          </w:tcPr>
          <w:p w:rsidR="00562D0A" w:rsidRPr="009A405F" w:rsidRDefault="00562D0A" w:rsidP="00562D0A">
            <w:pPr>
              <w:widowControl w:val="0"/>
              <w:autoSpaceDE w:val="0"/>
              <w:autoSpaceDN w:val="0"/>
              <w:adjustRightInd w:val="0"/>
              <w:rPr>
                <w:sz w:val="18"/>
                <w:szCs w:val="18"/>
              </w:rPr>
            </w:pPr>
            <w:r>
              <w:rPr>
                <w:sz w:val="18"/>
                <w:szCs w:val="18"/>
              </w:rPr>
              <w:t>-0.019</w:t>
            </w:r>
            <w:r w:rsidRPr="00730277">
              <w:rPr>
                <w:sz w:val="18"/>
                <w:szCs w:val="18"/>
              </w:rPr>
              <w:t>*</w:t>
            </w:r>
          </w:p>
        </w:tc>
        <w:tc>
          <w:tcPr>
            <w:tcW w:w="342" w:type="pct"/>
            <w:gridSpan w:val="2"/>
          </w:tcPr>
          <w:p w:rsidR="00562D0A" w:rsidRPr="009A405F" w:rsidRDefault="00562D0A" w:rsidP="00562D0A">
            <w:pPr>
              <w:widowControl w:val="0"/>
              <w:autoSpaceDE w:val="0"/>
              <w:autoSpaceDN w:val="0"/>
              <w:adjustRightInd w:val="0"/>
              <w:rPr>
                <w:sz w:val="18"/>
                <w:szCs w:val="18"/>
              </w:rPr>
            </w:pPr>
            <w:r>
              <w:rPr>
                <w:sz w:val="18"/>
                <w:szCs w:val="18"/>
              </w:rPr>
              <w:t>-0.03</w:t>
            </w:r>
            <w:r w:rsidRPr="00730277">
              <w:rPr>
                <w:sz w:val="18"/>
                <w:szCs w:val="18"/>
              </w:rPr>
              <w:t>**</w:t>
            </w:r>
          </w:p>
        </w:tc>
        <w:tc>
          <w:tcPr>
            <w:tcW w:w="415" w:type="pct"/>
            <w:gridSpan w:val="2"/>
          </w:tcPr>
          <w:p w:rsidR="00562D0A" w:rsidRPr="009A405F" w:rsidRDefault="00562D0A" w:rsidP="00562D0A">
            <w:pPr>
              <w:widowControl w:val="0"/>
              <w:autoSpaceDE w:val="0"/>
              <w:autoSpaceDN w:val="0"/>
              <w:adjustRightInd w:val="0"/>
              <w:rPr>
                <w:sz w:val="18"/>
                <w:szCs w:val="18"/>
              </w:rPr>
            </w:pPr>
            <w:r>
              <w:rPr>
                <w:sz w:val="18"/>
                <w:szCs w:val="18"/>
              </w:rPr>
              <w:t>-0.021</w:t>
            </w:r>
            <w:r w:rsidRPr="00730277">
              <w:rPr>
                <w:sz w:val="18"/>
                <w:szCs w:val="18"/>
              </w:rPr>
              <w:t>*</w:t>
            </w:r>
          </w:p>
        </w:tc>
      </w:tr>
      <w:tr w:rsidR="00562D0A" w:rsidRPr="009A405F" w:rsidTr="00562D0A">
        <w:tc>
          <w:tcPr>
            <w:tcW w:w="644" w:type="pct"/>
          </w:tcPr>
          <w:p w:rsidR="00562D0A" w:rsidRPr="009A405F" w:rsidRDefault="00562D0A" w:rsidP="00562D0A">
            <w:pPr>
              <w:widowControl w:val="0"/>
              <w:autoSpaceDE w:val="0"/>
              <w:autoSpaceDN w:val="0"/>
              <w:adjustRightInd w:val="0"/>
              <w:rPr>
                <w:sz w:val="18"/>
                <w:szCs w:val="18"/>
              </w:rPr>
            </w:pPr>
          </w:p>
        </w:tc>
        <w:tc>
          <w:tcPr>
            <w:tcW w:w="376" w:type="pct"/>
          </w:tcPr>
          <w:p w:rsidR="00562D0A" w:rsidRPr="009A405F" w:rsidRDefault="00562D0A" w:rsidP="00562D0A">
            <w:pPr>
              <w:widowControl w:val="0"/>
              <w:autoSpaceDE w:val="0"/>
              <w:autoSpaceDN w:val="0"/>
              <w:adjustRightInd w:val="0"/>
              <w:rPr>
                <w:sz w:val="18"/>
                <w:szCs w:val="18"/>
              </w:rPr>
            </w:pPr>
            <w:r w:rsidRPr="009A405F">
              <w:rPr>
                <w:sz w:val="18"/>
                <w:szCs w:val="18"/>
              </w:rPr>
              <w:t>(3.465)</w:t>
            </w:r>
          </w:p>
        </w:tc>
        <w:tc>
          <w:tcPr>
            <w:tcW w:w="344" w:type="pct"/>
          </w:tcPr>
          <w:p w:rsidR="00562D0A" w:rsidRPr="009A405F" w:rsidRDefault="00562D0A" w:rsidP="00562D0A">
            <w:pPr>
              <w:widowControl w:val="0"/>
              <w:autoSpaceDE w:val="0"/>
              <w:autoSpaceDN w:val="0"/>
              <w:adjustRightInd w:val="0"/>
              <w:rPr>
                <w:sz w:val="18"/>
                <w:szCs w:val="18"/>
              </w:rPr>
            </w:pPr>
            <w:r w:rsidRPr="009A405F">
              <w:rPr>
                <w:sz w:val="18"/>
                <w:szCs w:val="18"/>
              </w:rPr>
              <w:t>(3.026)</w:t>
            </w:r>
          </w:p>
        </w:tc>
        <w:tc>
          <w:tcPr>
            <w:tcW w:w="342" w:type="pct"/>
          </w:tcPr>
          <w:p w:rsidR="00562D0A" w:rsidRPr="009A405F" w:rsidRDefault="00562D0A" w:rsidP="00562D0A">
            <w:pPr>
              <w:widowControl w:val="0"/>
              <w:autoSpaceDE w:val="0"/>
              <w:autoSpaceDN w:val="0"/>
              <w:adjustRightInd w:val="0"/>
              <w:rPr>
                <w:sz w:val="18"/>
                <w:szCs w:val="18"/>
              </w:rPr>
            </w:pPr>
            <w:r w:rsidRPr="009A405F">
              <w:rPr>
                <w:sz w:val="18"/>
                <w:szCs w:val="18"/>
              </w:rPr>
              <w:t>(5.575)</w:t>
            </w:r>
          </w:p>
        </w:tc>
        <w:tc>
          <w:tcPr>
            <w:tcW w:w="339" w:type="pct"/>
          </w:tcPr>
          <w:p w:rsidR="00562D0A" w:rsidRPr="009A405F" w:rsidRDefault="00562D0A" w:rsidP="00562D0A">
            <w:pPr>
              <w:widowControl w:val="0"/>
              <w:autoSpaceDE w:val="0"/>
              <w:autoSpaceDN w:val="0"/>
              <w:adjustRightInd w:val="0"/>
              <w:rPr>
                <w:sz w:val="18"/>
                <w:szCs w:val="18"/>
              </w:rPr>
            </w:pPr>
            <w:r w:rsidRPr="009A405F">
              <w:rPr>
                <w:sz w:val="18"/>
                <w:szCs w:val="18"/>
              </w:rPr>
              <w:t>(1.064)</w:t>
            </w:r>
          </w:p>
        </w:tc>
        <w:tc>
          <w:tcPr>
            <w:tcW w:w="339" w:type="pct"/>
          </w:tcPr>
          <w:p w:rsidR="00562D0A" w:rsidRPr="009A405F" w:rsidRDefault="00562D0A" w:rsidP="00562D0A">
            <w:pPr>
              <w:widowControl w:val="0"/>
              <w:autoSpaceDE w:val="0"/>
              <w:autoSpaceDN w:val="0"/>
              <w:adjustRightInd w:val="0"/>
              <w:rPr>
                <w:sz w:val="18"/>
                <w:szCs w:val="18"/>
              </w:rPr>
            </w:pPr>
            <w:r w:rsidRPr="009A405F">
              <w:rPr>
                <w:sz w:val="18"/>
                <w:szCs w:val="18"/>
              </w:rPr>
              <w:t>(1.352)</w:t>
            </w:r>
          </w:p>
        </w:tc>
        <w:tc>
          <w:tcPr>
            <w:tcW w:w="341" w:type="pct"/>
          </w:tcPr>
          <w:p w:rsidR="00562D0A" w:rsidRPr="009A405F" w:rsidRDefault="00562D0A" w:rsidP="00562D0A">
            <w:pPr>
              <w:widowControl w:val="0"/>
              <w:autoSpaceDE w:val="0"/>
              <w:autoSpaceDN w:val="0"/>
              <w:adjustRightInd w:val="0"/>
              <w:rPr>
                <w:sz w:val="18"/>
                <w:szCs w:val="18"/>
              </w:rPr>
            </w:pPr>
            <w:r w:rsidRPr="009A405F">
              <w:rPr>
                <w:sz w:val="18"/>
                <w:szCs w:val="18"/>
              </w:rPr>
              <w:t>(1.069)</w:t>
            </w:r>
          </w:p>
        </w:tc>
        <w:tc>
          <w:tcPr>
            <w:tcW w:w="342" w:type="pct"/>
          </w:tcPr>
          <w:p w:rsidR="00562D0A" w:rsidRPr="009A405F" w:rsidRDefault="00562D0A" w:rsidP="00562D0A">
            <w:pPr>
              <w:widowControl w:val="0"/>
              <w:autoSpaceDE w:val="0"/>
              <w:autoSpaceDN w:val="0"/>
              <w:adjustRightInd w:val="0"/>
              <w:rPr>
                <w:sz w:val="18"/>
                <w:szCs w:val="18"/>
              </w:rPr>
            </w:pPr>
            <w:r w:rsidRPr="009A405F">
              <w:rPr>
                <w:sz w:val="18"/>
                <w:szCs w:val="18"/>
              </w:rPr>
              <w:t>(0.717)</w:t>
            </w:r>
          </w:p>
        </w:tc>
        <w:tc>
          <w:tcPr>
            <w:tcW w:w="383" w:type="pct"/>
          </w:tcPr>
          <w:p w:rsidR="00562D0A" w:rsidRPr="009A405F" w:rsidRDefault="00562D0A" w:rsidP="00562D0A">
            <w:pPr>
              <w:widowControl w:val="0"/>
              <w:autoSpaceDE w:val="0"/>
              <w:autoSpaceDN w:val="0"/>
              <w:adjustRightInd w:val="0"/>
              <w:rPr>
                <w:sz w:val="18"/>
                <w:szCs w:val="18"/>
              </w:rPr>
            </w:pPr>
            <w:r w:rsidRPr="009A405F">
              <w:rPr>
                <w:sz w:val="18"/>
                <w:szCs w:val="18"/>
              </w:rPr>
              <w:t>(1.004)</w:t>
            </w:r>
          </w:p>
        </w:tc>
        <w:tc>
          <w:tcPr>
            <w:tcW w:w="416" w:type="pct"/>
          </w:tcPr>
          <w:p w:rsidR="00562D0A" w:rsidRPr="009A405F" w:rsidRDefault="00562D0A" w:rsidP="00562D0A">
            <w:pPr>
              <w:widowControl w:val="0"/>
              <w:autoSpaceDE w:val="0"/>
              <w:autoSpaceDN w:val="0"/>
              <w:adjustRightInd w:val="0"/>
              <w:rPr>
                <w:sz w:val="18"/>
                <w:szCs w:val="18"/>
              </w:rPr>
            </w:pPr>
            <w:r w:rsidRPr="009A405F">
              <w:rPr>
                <w:sz w:val="18"/>
                <w:szCs w:val="18"/>
              </w:rPr>
              <w:t>(0.283)</w:t>
            </w:r>
          </w:p>
        </w:tc>
        <w:tc>
          <w:tcPr>
            <w:tcW w:w="377" w:type="pct"/>
          </w:tcPr>
          <w:p w:rsidR="00562D0A" w:rsidRPr="009A405F" w:rsidRDefault="00562D0A" w:rsidP="00562D0A">
            <w:pPr>
              <w:widowControl w:val="0"/>
              <w:autoSpaceDE w:val="0"/>
              <w:autoSpaceDN w:val="0"/>
              <w:adjustRightInd w:val="0"/>
              <w:rPr>
                <w:sz w:val="18"/>
                <w:szCs w:val="18"/>
              </w:rPr>
            </w:pPr>
            <w:r w:rsidRPr="00730277">
              <w:rPr>
                <w:sz w:val="18"/>
                <w:szCs w:val="18"/>
              </w:rPr>
              <w:t>(0.011)</w:t>
            </w:r>
          </w:p>
        </w:tc>
        <w:tc>
          <w:tcPr>
            <w:tcW w:w="342" w:type="pct"/>
            <w:gridSpan w:val="2"/>
          </w:tcPr>
          <w:p w:rsidR="00562D0A" w:rsidRPr="009A405F" w:rsidRDefault="00562D0A" w:rsidP="00562D0A">
            <w:pPr>
              <w:widowControl w:val="0"/>
              <w:autoSpaceDE w:val="0"/>
              <w:autoSpaceDN w:val="0"/>
              <w:adjustRightInd w:val="0"/>
              <w:rPr>
                <w:sz w:val="18"/>
                <w:szCs w:val="18"/>
              </w:rPr>
            </w:pPr>
            <w:r w:rsidRPr="00730277">
              <w:rPr>
                <w:sz w:val="18"/>
                <w:szCs w:val="18"/>
              </w:rPr>
              <w:t>(0.011)</w:t>
            </w:r>
          </w:p>
        </w:tc>
        <w:tc>
          <w:tcPr>
            <w:tcW w:w="415" w:type="pct"/>
            <w:gridSpan w:val="2"/>
          </w:tcPr>
          <w:p w:rsidR="00562D0A" w:rsidRDefault="00562D0A" w:rsidP="00562D0A">
            <w:pPr>
              <w:widowControl w:val="0"/>
              <w:autoSpaceDE w:val="0"/>
              <w:autoSpaceDN w:val="0"/>
              <w:adjustRightInd w:val="0"/>
              <w:rPr>
                <w:sz w:val="18"/>
                <w:szCs w:val="18"/>
              </w:rPr>
            </w:pPr>
            <w:r w:rsidRPr="00730277">
              <w:rPr>
                <w:sz w:val="18"/>
                <w:szCs w:val="18"/>
              </w:rPr>
              <w:t>(0.012)</w:t>
            </w:r>
          </w:p>
          <w:p w:rsidR="00562D0A" w:rsidRPr="009A405F" w:rsidRDefault="00562D0A" w:rsidP="00562D0A">
            <w:pPr>
              <w:widowControl w:val="0"/>
              <w:autoSpaceDE w:val="0"/>
              <w:autoSpaceDN w:val="0"/>
              <w:adjustRightInd w:val="0"/>
              <w:rPr>
                <w:sz w:val="18"/>
                <w:szCs w:val="18"/>
              </w:rPr>
            </w:pPr>
          </w:p>
        </w:tc>
      </w:tr>
      <w:tr w:rsidR="00562D0A" w:rsidRPr="009A405F" w:rsidTr="00562D0A">
        <w:tc>
          <w:tcPr>
            <w:tcW w:w="644" w:type="pct"/>
          </w:tcPr>
          <w:p w:rsidR="00562D0A" w:rsidRPr="009A405F" w:rsidRDefault="00562D0A" w:rsidP="00562D0A">
            <w:pPr>
              <w:widowControl w:val="0"/>
              <w:autoSpaceDE w:val="0"/>
              <w:autoSpaceDN w:val="0"/>
              <w:adjustRightInd w:val="0"/>
              <w:rPr>
                <w:sz w:val="18"/>
                <w:szCs w:val="18"/>
              </w:rPr>
            </w:pPr>
            <w:r w:rsidRPr="009A405F">
              <w:rPr>
                <w:sz w:val="18"/>
                <w:szCs w:val="18"/>
                <w:lang w:val="en-GB"/>
              </w:rPr>
              <w:t>Terms of trade volatility</w:t>
            </w:r>
          </w:p>
        </w:tc>
        <w:tc>
          <w:tcPr>
            <w:tcW w:w="376" w:type="pct"/>
          </w:tcPr>
          <w:p w:rsidR="00562D0A" w:rsidRDefault="00562D0A" w:rsidP="00562D0A">
            <w:pPr>
              <w:widowControl w:val="0"/>
              <w:autoSpaceDE w:val="0"/>
              <w:autoSpaceDN w:val="0"/>
              <w:adjustRightInd w:val="0"/>
              <w:jc w:val="both"/>
              <w:rPr>
                <w:sz w:val="18"/>
                <w:szCs w:val="18"/>
              </w:rPr>
            </w:pPr>
            <w:r w:rsidRPr="009A405F">
              <w:rPr>
                <w:sz w:val="18"/>
                <w:szCs w:val="18"/>
              </w:rPr>
              <w:t>-6.56688</w:t>
            </w:r>
          </w:p>
          <w:p w:rsidR="00562D0A" w:rsidRPr="009A405F" w:rsidRDefault="00562D0A" w:rsidP="00562D0A">
            <w:pPr>
              <w:widowControl w:val="0"/>
              <w:autoSpaceDE w:val="0"/>
              <w:autoSpaceDN w:val="0"/>
              <w:adjustRightInd w:val="0"/>
              <w:jc w:val="both"/>
              <w:rPr>
                <w:sz w:val="18"/>
                <w:szCs w:val="18"/>
              </w:rPr>
            </w:pPr>
            <w:r w:rsidRPr="009A405F">
              <w:rPr>
                <w:sz w:val="18"/>
                <w:szCs w:val="18"/>
              </w:rPr>
              <w:t>(4.519)</w:t>
            </w:r>
          </w:p>
        </w:tc>
        <w:tc>
          <w:tcPr>
            <w:tcW w:w="344" w:type="pct"/>
          </w:tcPr>
          <w:p w:rsidR="00562D0A" w:rsidRDefault="00562D0A" w:rsidP="00562D0A">
            <w:pPr>
              <w:widowControl w:val="0"/>
              <w:autoSpaceDE w:val="0"/>
              <w:autoSpaceDN w:val="0"/>
              <w:adjustRightInd w:val="0"/>
              <w:jc w:val="both"/>
              <w:rPr>
                <w:sz w:val="18"/>
                <w:szCs w:val="18"/>
              </w:rPr>
            </w:pPr>
            <w:r w:rsidRPr="009A405F">
              <w:rPr>
                <w:sz w:val="18"/>
                <w:szCs w:val="18"/>
              </w:rPr>
              <w:t>-5.80962</w:t>
            </w:r>
          </w:p>
          <w:p w:rsidR="00562D0A" w:rsidRPr="009A405F" w:rsidRDefault="00562D0A" w:rsidP="00562D0A">
            <w:pPr>
              <w:widowControl w:val="0"/>
              <w:autoSpaceDE w:val="0"/>
              <w:autoSpaceDN w:val="0"/>
              <w:adjustRightInd w:val="0"/>
              <w:jc w:val="both"/>
              <w:rPr>
                <w:sz w:val="18"/>
                <w:szCs w:val="18"/>
              </w:rPr>
            </w:pPr>
            <w:r w:rsidRPr="009A405F">
              <w:rPr>
                <w:sz w:val="18"/>
                <w:szCs w:val="18"/>
              </w:rPr>
              <w:t>(3.945)</w:t>
            </w:r>
          </w:p>
        </w:tc>
        <w:tc>
          <w:tcPr>
            <w:tcW w:w="342" w:type="pct"/>
          </w:tcPr>
          <w:p w:rsidR="00562D0A" w:rsidRDefault="00562D0A" w:rsidP="00562D0A">
            <w:pPr>
              <w:widowControl w:val="0"/>
              <w:autoSpaceDE w:val="0"/>
              <w:autoSpaceDN w:val="0"/>
              <w:adjustRightInd w:val="0"/>
              <w:jc w:val="both"/>
              <w:rPr>
                <w:sz w:val="18"/>
                <w:szCs w:val="18"/>
              </w:rPr>
            </w:pPr>
            <w:r w:rsidRPr="009A405F">
              <w:rPr>
                <w:sz w:val="18"/>
                <w:szCs w:val="18"/>
              </w:rPr>
              <w:t>-6.603</w:t>
            </w:r>
          </w:p>
          <w:p w:rsidR="00562D0A" w:rsidRPr="009A405F" w:rsidRDefault="00562D0A" w:rsidP="00562D0A">
            <w:pPr>
              <w:widowControl w:val="0"/>
              <w:autoSpaceDE w:val="0"/>
              <w:autoSpaceDN w:val="0"/>
              <w:adjustRightInd w:val="0"/>
              <w:jc w:val="both"/>
              <w:rPr>
                <w:sz w:val="18"/>
                <w:szCs w:val="18"/>
              </w:rPr>
            </w:pPr>
            <w:r w:rsidRPr="009A405F">
              <w:rPr>
                <w:sz w:val="18"/>
                <w:szCs w:val="18"/>
              </w:rPr>
              <w:t>(4.437)</w:t>
            </w:r>
          </w:p>
        </w:tc>
        <w:tc>
          <w:tcPr>
            <w:tcW w:w="339" w:type="pct"/>
          </w:tcPr>
          <w:p w:rsidR="00562D0A" w:rsidRDefault="00562D0A" w:rsidP="00562D0A">
            <w:pPr>
              <w:widowControl w:val="0"/>
              <w:autoSpaceDE w:val="0"/>
              <w:autoSpaceDN w:val="0"/>
              <w:adjustRightInd w:val="0"/>
              <w:jc w:val="both"/>
              <w:rPr>
                <w:sz w:val="18"/>
                <w:szCs w:val="18"/>
              </w:rPr>
            </w:pPr>
            <w:r w:rsidRPr="009A405F">
              <w:rPr>
                <w:sz w:val="18"/>
                <w:szCs w:val="18"/>
              </w:rPr>
              <w:t>-6.64</w:t>
            </w:r>
          </w:p>
          <w:p w:rsidR="00562D0A" w:rsidRPr="009A405F" w:rsidRDefault="00562D0A" w:rsidP="00562D0A">
            <w:pPr>
              <w:widowControl w:val="0"/>
              <w:autoSpaceDE w:val="0"/>
              <w:autoSpaceDN w:val="0"/>
              <w:adjustRightInd w:val="0"/>
              <w:jc w:val="both"/>
              <w:rPr>
                <w:sz w:val="18"/>
                <w:szCs w:val="18"/>
              </w:rPr>
            </w:pPr>
            <w:r w:rsidRPr="009A405F">
              <w:rPr>
                <w:sz w:val="18"/>
                <w:szCs w:val="18"/>
              </w:rPr>
              <w:t>(4.598)</w:t>
            </w:r>
          </w:p>
        </w:tc>
        <w:tc>
          <w:tcPr>
            <w:tcW w:w="339" w:type="pct"/>
          </w:tcPr>
          <w:p w:rsidR="00562D0A" w:rsidRDefault="00562D0A" w:rsidP="00562D0A">
            <w:pPr>
              <w:widowControl w:val="0"/>
              <w:autoSpaceDE w:val="0"/>
              <w:autoSpaceDN w:val="0"/>
              <w:adjustRightInd w:val="0"/>
              <w:jc w:val="both"/>
              <w:rPr>
                <w:sz w:val="18"/>
                <w:szCs w:val="18"/>
              </w:rPr>
            </w:pPr>
            <w:r w:rsidRPr="009A405F">
              <w:rPr>
                <w:sz w:val="18"/>
                <w:szCs w:val="18"/>
              </w:rPr>
              <w:t>-3.703</w:t>
            </w:r>
          </w:p>
          <w:p w:rsidR="00562D0A" w:rsidRPr="009A405F" w:rsidRDefault="00562D0A" w:rsidP="00562D0A">
            <w:pPr>
              <w:widowControl w:val="0"/>
              <w:autoSpaceDE w:val="0"/>
              <w:autoSpaceDN w:val="0"/>
              <w:adjustRightInd w:val="0"/>
              <w:jc w:val="both"/>
              <w:rPr>
                <w:sz w:val="18"/>
                <w:szCs w:val="18"/>
              </w:rPr>
            </w:pPr>
            <w:r w:rsidRPr="009A405F">
              <w:rPr>
                <w:sz w:val="18"/>
                <w:szCs w:val="18"/>
              </w:rPr>
              <w:t>(3.882)</w:t>
            </w:r>
          </w:p>
        </w:tc>
        <w:tc>
          <w:tcPr>
            <w:tcW w:w="341" w:type="pct"/>
          </w:tcPr>
          <w:p w:rsidR="00562D0A" w:rsidRDefault="00562D0A" w:rsidP="00562D0A">
            <w:pPr>
              <w:widowControl w:val="0"/>
              <w:autoSpaceDE w:val="0"/>
              <w:autoSpaceDN w:val="0"/>
              <w:adjustRightInd w:val="0"/>
              <w:jc w:val="both"/>
              <w:rPr>
                <w:sz w:val="18"/>
                <w:szCs w:val="18"/>
              </w:rPr>
            </w:pPr>
            <w:r w:rsidRPr="009A405F">
              <w:rPr>
                <w:sz w:val="18"/>
                <w:szCs w:val="18"/>
              </w:rPr>
              <w:t>-5.846</w:t>
            </w:r>
          </w:p>
          <w:p w:rsidR="00562D0A" w:rsidRPr="009A405F" w:rsidRDefault="00562D0A" w:rsidP="00562D0A">
            <w:pPr>
              <w:widowControl w:val="0"/>
              <w:autoSpaceDE w:val="0"/>
              <w:autoSpaceDN w:val="0"/>
              <w:adjustRightInd w:val="0"/>
              <w:jc w:val="both"/>
              <w:rPr>
                <w:sz w:val="18"/>
                <w:szCs w:val="18"/>
              </w:rPr>
            </w:pPr>
            <w:r w:rsidRPr="009A405F">
              <w:rPr>
                <w:sz w:val="18"/>
                <w:szCs w:val="18"/>
              </w:rPr>
              <w:t>(4.312)</w:t>
            </w:r>
          </w:p>
        </w:tc>
        <w:tc>
          <w:tcPr>
            <w:tcW w:w="342" w:type="pct"/>
          </w:tcPr>
          <w:p w:rsidR="00562D0A" w:rsidRDefault="00562D0A" w:rsidP="00562D0A">
            <w:pPr>
              <w:widowControl w:val="0"/>
              <w:autoSpaceDE w:val="0"/>
              <w:autoSpaceDN w:val="0"/>
              <w:adjustRightInd w:val="0"/>
              <w:jc w:val="both"/>
              <w:rPr>
                <w:sz w:val="18"/>
                <w:szCs w:val="18"/>
              </w:rPr>
            </w:pPr>
            <w:r>
              <w:rPr>
                <w:sz w:val="18"/>
                <w:szCs w:val="18"/>
              </w:rPr>
              <w:t>-3.732</w:t>
            </w:r>
          </w:p>
          <w:p w:rsidR="00562D0A" w:rsidRPr="009A405F" w:rsidRDefault="00562D0A" w:rsidP="00562D0A">
            <w:pPr>
              <w:widowControl w:val="0"/>
              <w:autoSpaceDE w:val="0"/>
              <w:autoSpaceDN w:val="0"/>
              <w:adjustRightInd w:val="0"/>
              <w:jc w:val="both"/>
              <w:rPr>
                <w:sz w:val="18"/>
                <w:szCs w:val="18"/>
              </w:rPr>
            </w:pPr>
            <w:r w:rsidRPr="009A405F">
              <w:rPr>
                <w:sz w:val="18"/>
                <w:szCs w:val="18"/>
              </w:rPr>
              <w:t>(4.410)</w:t>
            </w:r>
          </w:p>
        </w:tc>
        <w:tc>
          <w:tcPr>
            <w:tcW w:w="383" w:type="pct"/>
          </w:tcPr>
          <w:p w:rsidR="00562D0A" w:rsidRDefault="00562D0A" w:rsidP="00562D0A">
            <w:pPr>
              <w:widowControl w:val="0"/>
              <w:autoSpaceDE w:val="0"/>
              <w:autoSpaceDN w:val="0"/>
              <w:adjustRightInd w:val="0"/>
              <w:jc w:val="both"/>
              <w:rPr>
                <w:sz w:val="18"/>
                <w:szCs w:val="18"/>
              </w:rPr>
            </w:pPr>
            <w:r w:rsidRPr="009A405F">
              <w:rPr>
                <w:sz w:val="18"/>
                <w:szCs w:val="18"/>
              </w:rPr>
              <w:t>-5.154</w:t>
            </w:r>
          </w:p>
          <w:p w:rsidR="00562D0A" w:rsidRPr="009A405F" w:rsidRDefault="00562D0A" w:rsidP="00562D0A">
            <w:pPr>
              <w:widowControl w:val="0"/>
              <w:autoSpaceDE w:val="0"/>
              <w:autoSpaceDN w:val="0"/>
              <w:adjustRightInd w:val="0"/>
              <w:jc w:val="both"/>
              <w:rPr>
                <w:sz w:val="18"/>
                <w:szCs w:val="18"/>
              </w:rPr>
            </w:pPr>
            <w:r w:rsidRPr="009A405F">
              <w:rPr>
                <w:sz w:val="18"/>
                <w:szCs w:val="18"/>
              </w:rPr>
              <w:t>(4.186)</w:t>
            </w:r>
          </w:p>
        </w:tc>
        <w:tc>
          <w:tcPr>
            <w:tcW w:w="416" w:type="pct"/>
          </w:tcPr>
          <w:p w:rsidR="00562D0A" w:rsidRDefault="00562D0A" w:rsidP="00562D0A">
            <w:pPr>
              <w:widowControl w:val="0"/>
              <w:autoSpaceDE w:val="0"/>
              <w:autoSpaceDN w:val="0"/>
              <w:adjustRightInd w:val="0"/>
              <w:jc w:val="both"/>
              <w:rPr>
                <w:sz w:val="18"/>
                <w:szCs w:val="18"/>
              </w:rPr>
            </w:pPr>
            <w:r w:rsidRPr="009A405F">
              <w:rPr>
                <w:sz w:val="18"/>
                <w:szCs w:val="18"/>
              </w:rPr>
              <w:t>-8.98645*</w:t>
            </w:r>
          </w:p>
          <w:p w:rsidR="00562D0A" w:rsidRPr="009A405F" w:rsidRDefault="00562D0A" w:rsidP="00562D0A">
            <w:pPr>
              <w:widowControl w:val="0"/>
              <w:autoSpaceDE w:val="0"/>
              <w:autoSpaceDN w:val="0"/>
              <w:adjustRightInd w:val="0"/>
              <w:jc w:val="both"/>
              <w:rPr>
                <w:sz w:val="18"/>
                <w:szCs w:val="18"/>
              </w:rPr>
            </w:pPr>
            <w:r w:rsidRPr="009A405F">
              <w:rPr>
                <w:sz w:val="18"/>
                <w:szCs w:val="18"/>
              </w:rPr>
              <w:t>(5.200)</w:t>
            </w:r>
          </w:p>
        </w:tc>
        <w:tc>
          <w:tcPr>
            <w:tcW w:w="377" w:type="pct"/>
          </w:tcPr>
          <w:p w:rsidR="00562D0A" w:rsidRDefault="00562D0A" w:rsidP="00562D0A">
            <w:pPr>
              <w:widowControl w:val="0"/>
              <w:autoSpaceDE w:val="0"/>
              <w:autoSpaceDN w:val="0"/>
              <w:adjustRightInd w:val="0"/>
              <w:jc w:val="both"/>
              <w:rPr>
                <w:sz w:val="18"/>
                <w:szCs w:val="18"/>
              </w:rPr>
            </w:pPr>
            <w:r>
              <w:rPr>
                <w:sz w:val="18"/>
                <w:szCs w:val="18"/>
              </w:rPr>
              <w:t>-6.252</w:t>
            </w:r>
          </w:p>
          <w:p w:rsidR="00562D0A" w:rsidRPr="009A405F" w:rsidRDefault="00562D0A" w:rsidP="00562D0A">
            <w:pPr>
              <w:widowControl w:val="0"/>
              <w:autoSpaceDE w:val="0"/>
              <w:autoSpaceDN w:val="0"/>
              <w:adjustRightInd w:val="0"/>
              <w:jc w:val="both"/>
              <w:rPr>
                <w:sz w:val="18"/>
                <w:szCs w:val="18"/>
              </w:rPr>
            </w:pPr>
            <w:r w:rsidRPr="00730277">
              <w:rPr>
                <w:sz w:val="18"/>
                <w:szCs w:val="18"/>
              </w:rPr>
              <w:t>(4.797)</w:t>
            </w:r>
          </w:p>
        </w:tc>
        <w:tc>
          <w:tcPr>
            <w:tcW w:w="342" w:type="pct"/>
            <w:gridSpan w:val="2"/>
          </w:tcPr>
          <w:p w:rsidR="00562D0A" w:rsidRDefault="00562D0A" w:rsidP="00562D0A">
            <w:pPr>
              <w:widowControl w:val="0"/>
              <w:autoSpaceDE w:val="0"/>
              <w:autoSpaceDN w:val="0"/>
              <w:adjustRightInd w:val="0"/>
              <w:jc w:val="both"/>
              <w:rPr>
                <w:sz w:val="18"/>
                <w:szCs w:val="18"/>
              </w:rPr>
            </w:pPr>
            <w:r>
              <w:rPr>
                <w:sz w:val="18"/>
                <w:szCs w:val="18"/>
              </w:rPr>
              <w:t>20.018</w:t>
            </w:r>
          </w:p>
          <w:p w:rsidR="00562D0A" w:rsidRPr="009A405F" w:rsidRDefault="00562D0A" w:rsidP="00562D0A">
            <w:pPr>
              <w:widowControl w:val="0"/>
              <w:autoSpaceDE w:val="0"/>
              <w:autoSpaceDN w:val="0"/>
              <w:adjustRightInd w:val="0"/>
              <w:jc w:val="both"/>
              <w:rPr>
                <w:sz w:val="18"/>
                <w:szCs w:val="18"/>
              </w:rPr>
            </w:pPr>
            <w:r>
              <w:rPr>
                <w:sz w:val="18"/>
                <w:szCs w:val="18"/>
              </w:rPr>
              <w:t>(12.97</w:t>
            </w:r>
            <w:r w:rsidRPr="00730277">
              <w:rPr>
                <w:sz w:val="18"/>
                <w:szCs w:val="18"/>
              </w:rPr>
              <w:t>)</w:t>
            </w:r>
          </w:p>
        </w:tc>
        <w:tc>
          <w:tcPr>
            <w:tcW w:w="415" w:type="pct"/>
            <w:gridSpan w:val="2"/>
          </w:tcPr>
          <w:p w:rsidR="00562D0A" w:rsidRDefault="00562D0A" w:rsidP="00562D0A">
            <w:pPr>
              <w:widowControl w:val="0"/>
              <w:autoSpaceDE w:val="0"/>
              <w:autoSpaceDN w:val="0"/>
              <w:adjustRightInd w:val="0"/>
              <w:jc w:val="both"/>
              <w:rPr>
                <w:sz w:val="18"/>
                <w:szCs w:val="18"/>
              </w:rPr>
            </w:pPr>
            <w:r>
              <w:rPr>
                <w:sz w:val="18"/>
                <w:szCs w:val="18"/>
              </w:rPr>
              <w:t>-7.879</w:t>
            </w:r>
            <w:r w:rsidRPr="00730277">
              <w:rPr>
                <w:sz w:val="18"/>
                <w:szCs w:val="18"/>
              </w:rPr>
              <w:t>*</w:t>
            </w:r>
          </w:p>
          <w:p w:rsidR="00562D0A" w:rsidRPr="009A405F" w:rsidRDefault="00562D0A" w:rsidP="00562D0A">
            <w:pPr>
              <w:widowControl w:val="0"/>
              <w:autoSpaceDE w:val="0"/>
              <w:autoSpaceDN w:val="0"/>
              <w:adjustRightInd w:val="0"/>
              <w:jc w:val="both"/>
              <w:rPr>
                <w:sz w:val="18"/>
                <w:szCs w:val="18"/>
              </w:rPr>
            </w:pPr>
            <w:r w:rsidRPr="00730277">
              <w:rPr>
                <w:sz w:val="18"/>
                <w:szCs w:val="18"/>
              </w:rPr>
              <w:t>(4.294)</w:t>
            </w:r>
          </w:p>
        </w:tc>
      </w:tr>
      <w:tr w:rsidR="00562D0A" w:rsidRPr="005C2A81" w:rsidTr="00562D0A">
        <w:trPr>
          <w:trHeight w:val="80"/>
        </w:trPr>
        <w:tc>
          <w:tcPr>
            <w:tcW w:w="644" w:type="pct"/>
          </w:tcPr>
          <w:p w:rsidR="00562D0A" w:rsidRPr="005C2A81" w:rsidRDefault="00562D0A" w:rsidP="00562D0A">
            <w:pPr>
              <w:widowControl w:val="0"/>
              <w:autoSpaceDE w:val="0"/>
              <w:autoSpaceDN w:val="0"/>
              <w:adjustRightInd w:val="0"/>
              <w:rPr>
                <w:sz w:val="16"/>
                <w:szCs w:val="16"/>
                <w:lang w:val="en-GB"/>
              </w:rPr>
            </w:pPr>
          </w:p>
        </w:tc>
        <w:tc>
          <w:tcPr>
            <w:tcW w:w="376" w:type="pct"/>
          </w:tcPr>
          <w:p w:rsidR="00562D0A" w:rsidRPr="005C2A81" w:rsidRDefault="00562D0A" w:rsidP="00562D0A">
            <w:pPr>
              <w:widowControl w:val="0"/>
              <w:autoSpaceDE w:val="0"/>
              <w:autoSpaceDN w:val="0"/>
              <w:adjustRightInd w:val="0"/>
              <w:jc w:val="both"/>
              <w:rPr>
                <w:sz w:val="16"/>
                <w:szCs w:val="16"/>
              </w:rPr>
            </w:pPr>
          </w:p>
        </w:tc>
        <w:tc>
          <w:tcPr>
            <w:tcW w:w="344" w:type="pct"/>
          </w:tcPr>
          <w:p w:rsidR="00562D0A" w:rsidRPr="005C2A81" w:rsidRDefault="00562D0A" w:rsidP="00562D0A">
            <w:pPr>
              <w:widowControl w:val="0"/>
              <w:autoSpaceDE w:val="0"/>
              <w:autoSpaceDN w:val="0"/>
              <w:adjustRightInd w:val="0"/>
              <w:jc w:val="both"/>
              <w:rPr>
                <w:sz w:val="16"/>
                <w:szCs w:val="16"/>
              </w:rPr>
            </w:pPr>
          </w:p>
        </w:tc>
        <w:tc>
          <w:tcPr>
            <w:tcW w:w="342" w:type="pct"/>
          </w:tcPr>
          <w:p w:rsidR="00562D0A" w:rsidRPr="005C2A81" w:rsidRDefault="00562D0A" w:rsidP="00562D0A">
            <w:pPr>
              <w:widowControl w:val="0"/>
              <w:autoSpaceDE w:val="0"/>
              <w:autoSpaceDN w:val="0"/>
              <w:adjustRightInd w:val="0"/>
              <w:jc w:val="both"/>
              <w:rPr>
                <w:sz w:val="16"/>
                <w:szCs w:val="16"/>
              </w:rPr>
            </w:pPr>
          </w:p>
        </w:tc>
        <w:tc>
          <w:tcPr>
            <w:tcW w:w="339" w:type="pct"/>
          </w:tcPr>
          <w:p w:rsidR="00562D0A" w:rsidRPr="005C2A81" w:rsidRDefault="00562D0A" w:rsidP="00562D0A">
            <w:pPr>
              <w:widowControl w:val="0"/>
              <w:autoSpaceDE w:val="0"/>
              <w:autoSpaceDN w:val="0"/>
              <w:adjustRightInd w:val="0"/>
              <w:jc w:val="both"/>
              <w:rPr>
                <w:sz w:val="16"/>
                <w:szCs w:val="16"/>
              </w:rPr>
            </w:pPr>
          </w:p>
        </w:tc>
        <w:tc>
          <w:tcPr>
            <w:tcW w:w="339" w:type="pct"/>
          </w:tcPr>
          <w:p w:rsidR="00562D0A" w:rsidRPr="005C2A81" w:rsidRDefault="00562D0A" w:rsidP="00562D0A">
            <w:pPr>
              <w:widowControl w:val="0"/>
              <w:autoSpaceDE w:val="0"/>
              <w:autoSpaceDN w:val="0"/>
              <w:adjustRightInd w:val="0"/>
              <w:jc w:val="both"/>
              <w:rPr>
                <w:sz w:val="16"/>
                <w:szCs w:val="16"/>
              </w:rPr>
            </w:pPr>
          </w:p>
        </w:tc>
        <w:tc>
          <w:tcPr>
            <w:tcW w:w="341" w:type="pct"/>
          </w:tcPr>
          <w:p w:rsidR="00562D0A" w:rsidRPr="005C2A81" w:rsidRDefault="00562D0A" w:rsidP="00562D0A">
            <w:pPr>
              <w:widowControl w:val="0"/>
              <w:autoSpaceDE w:val="0"/>
              <w:autoSpaceDN w:val="0"/>
              <w:adjustRightInd w:val="0"/>
              <w:jc w:val="both"/>
              <w:rPr>
                <w:sz w:val="16"/>
                <w:szCs w:val="16"/>
              </w:rPr>
            </w:pPr>
          </w:p>
        </w:tc>
        <w:tc>
          <w:tcPr>
            <w:tcW w:w="342" w:type="pct"/>
          </w:tcPr>
          <w:p w:rsidR="00562D0A" w:rsidRPr="005C2A81" w:rsidRDefault="00562D0A" w:rsidP="00562D0A">
            <w:pPr>
              <w:widowControl w:val="0"/>
              <w:autoSpaceDE w:val="0"/>
              <w:autoSpaceDN w:val="0"/>
              <w:adjustRightInd w:val="0"/>
              <w:jc w:val="both"/>
              <w:rPr>
                <w:sz w:val="16"/>
                <w:szCs w:val="16"/>
              </w:rPr>
            </w:pPr>
          </w:p>
        </w:tc>
        <w:tc>
          <w:tcPr>
            <w:tcW w:w="383" w:type="pct"/>
          </w:tcPr>
          <w:p w:rsidR="00562D0A" w:rsidRPr="005C2A81" w:rsidRDefault="00562D0A" w:rsidP="00562D0A">
            <w:pPr>
              <w:widowControl w:val="0"/>
              <w:autoSpaceDE w:val="0"/>
              <w:autoSpaceDN w:val="0"/>
              <w:adjustRightInd w:val="0"/>
              <w:jc w:val="both"/>
              <w:rPr>
                <w:sz w:val="16"/>
                <w:szCs w:val="16"/>
              </w:rPr>
            </w:pPr>
          </w:p>
        </w:tc>
        <w:tc>
          <w:tcPr>
            <w:tcW w:w="416" w:type="pct"/>
          </w:tcPr>
          <w:p w:rsidR="00562D0A" w:rsidRPr="005C2A81" w:rsidRDefault="00562D0A" w:rsidP="00562D0A">
            <w:pPr>
              <w:widowControl w:val="0"/>
              <w:autoSpaceDE w:val="0"/>
              <w:autoSpaceDN w:val="0"/>
              <w:adjustRightInd w:val="0"/>
              <w:jc w:val="both"/>
              <w:rPr>
                <w:sz w:val="16"/>
                <w:szCs w:val="16"/>
              </w:rPr>
            </w:pPr>
          </w:p>
        </w:tc>
        <w:tc>
          <w:tcPr>
            <w:tcW w:w="377" w:type="pct"/>
          </w:tcPr>
          <w:p w:rsidR="00562D0A" w:rsidRPr="005C2A81" w:rsidRDefault="00562D0A" w:rsidP="00562D0A">
            <w:pPr>
              <w:widowControl w:val="0"/>
              <w:autoSpaceDE w:val="0"/>
              <w:autoSpaceDN w:val="0"/>
              <w:adjustRightInd w:val="0"/>
              <w:jc w:val="both"/>
              <w:rPr>
                <w:sz w:val="16"/>
                <w:szCs w:val="16"/>
              </w:rPr>
            </w:pPr>
          </w:p>
        </w:tc>
        <w:tc>
          <w:tcPr>
            <w:tcW w:w="342" w:type="pct"/>
            <w:gridSpan w:val="2"/>
          </w:tcPr>
          <w:p w:rsidR="00562D0A" w:rsidRPr="005C2A81" w:rsidRDefault="00562D0A" w:rsidP="00562D0A">
            <w:pPr>
              <w:widowControl w:val="0"/>
              <w:autoSpaceDE w:val="0"/>
              <w:autoSpaceDN w:val="0"/>
              <w:adjustRightInd w:val="0"/>
              <w:jc w:val="both"/>
              <w:rPr>
                <w:sz w:val="16"/>
                <w:szCs w:val="16"/>
              </w:rPr>
            </w:pPr>
          </w:p>
        </w:tc>
        <w:tc>
          <w:tcPr>
            <w:tcW w:w="415" w:type="pct"/>
            <w:gridSpan w:val="2"/>
          </w:tcPr>
          <w:p w:rsidR="00562D0A" w:rsidRPr="005C2A81" w:rsidRDefault="00562D0A" w:rsidP="00562D0A">
            <w:pPr>
              <w:widowControl w:val="0"/>
              <w:autoSpaceDE w:val="0"/>
              <w:autoSpaceDN w:val="0"/>
              <w:adjustRightInd w:val="0"/>
              <w:jc w:val="both"/>
              <w:rPr>
                <w:sz w:val="16"/>
                <w:szCs w:val="16"/>
              </w:rPr>
            </w:pPr>
          </w:p>
        </w:tc>
      </w:tr>
      <w:tr w:rsidR="00562D0A" w:rsidRPr="009A405F" w:rsidTr="00562D0A">
        <w:tc>
          <w:tcPr>
            <w:tcW w:w="644" w:type="pct"/>
          </w:tcPr>
          <w:p w:rsidR="00562D0A" w:rsidRPr="009A405F" w:rsidRDefault="00562D0A" w:rsidP="00562D0A">
            <w:pPr>
              <w:widowControl w:val="0"/>
              <w:autoSpaceDE w:val="0"/>
              <w:autoSpaceDN w:val="0"/>
              <w:adjustRightInd w:val="0"/>
              <w:rPr>
                <w:sz w:val="18"/>
                <w:szCs w:val="18"/>
              </w:rPr>
            </w:pPr>
            <w:r w:rsidRPr="009A405F">
              <w:rPr>
                <w:sz w:val="18"/>
                <w:szCs w:val="18"/>
                <w:lang w:val="en-GB"/>
              </w:rPr>
              <w:t>Exchange rate volatility</w:t>
            </w:r>
          </w:p>
        </w:tc>
        <w:tc>
          <w:tcPr>
            <w:tcW w:w="376" w:type="pct"/>
          </w:tcPr>
          <w:p w:rsidR="00562D0A" w:rsidRDefault="00562D0A" w:rsidP="00562D0A">
            <w:pPr>
              <w:widowControl w:val="0"/>
              <w:autoSpaceDE w:val="0"/>
              <w:autoSpaceDN w:val="0"/>
              <w:adjustRightInd w:val="0"/>
              <w:jc w:val="both"/>
              <w:rPr>
                <w:sz w:val="18"/>
                <w:szCs w:val="18"/>
              </w:rPr>
            </w:pPr>
            <w:r w:rsidRPr="009A405F">
              <w:rPr>
                <w:sz w:val="18"/>
                <w:szCs w:val="18"/>
              </w:rPr>
              <w:t>-0.0008</w:t>
            </w:r>
          </w:p>
          <w:p w:rsidR="00562D0A" w:rsidRPr="009A405F" w:rsidRDefault="00562D0A" w:rsidP="00562D0A">
            <w:pPr>
              <w:widowControl w:val="0"/>
              <w:autoSpaceDE w:val="0"/>
              <w:autoSpaceDN w:val="0"/>
              <w:adjustRightInd w:val="0"/>
              <w:jc w:val="both"/>
              <w:rPr>
                <w:sz w:val="18"/>
                <w:szCs w:val="18"/>
              </w:rPr>
            </w:pPr>
            <w:r w:rsidRPr="009A405F">
              <w:rPr>
                <w:sz w:val="18"/>
                <w:szCs w:val="18"/>
              </w:rPr>
              <w:t>(0.001)</w:t>
            </w:r>
          </w:p>
        </w:tc>
        <w:tc>
          <w:tcPr>
            <w:tcW w:w="344" w:type="pct"/>
          </w:tcPr>
          <w:p w:rsidR="00562D0A" w:rsidRDefault="00562D0A" w:rsidP="00562D0A">
            <w:pPr>
              <w:widowControl w:val="0"/>
              <w:autoSpaceDE w:val="0"/>
              <w:autoSpaceDN w:val="0"/>
              <w:adjustRightInd w:val="0"/>
              <w:jc w:val="both"/>
              <w:rPr>
                <w:sz w:val="18"/>
                <w:szCs w:val="18"/>
              </w:rPr>
            </w:pPr>
            <w:r w:rsidRPr="009A405F">
              <w:rPr>
                <w:sz w:val="18"/>
                <w:szCs w:val="18"/>
              </w:rPr>
              <w:t>-0.00080</w:t>
            </w:r>
          </w:p>
          <w:p w:rsidR="00562D0A" w:rsidRPr="009A405F" w:rsidRDefault="00562D0A" w:rsidP="00562D0A">
            <w:pPr>
              <w:widowControl w:val="0"/>
              <w:autoSpaceDE w:val="0"/>
              <w:autoSpaceDN w:val="0"/>
              <w:adjustRightInd w:val="0"/>
              <w:jc w:val="both"/>
              <w:rPr>
                <w:sz w:val="18"/>
                <w:szCs w:val="18"/>
              </w:rPr>
            </w:pPr>
            <w:r w:rsidRPr="009A405F">
              <w:rPr>
                <w:sz w:val="18"/>
                <w:szCs w:val="18"/>
              </w:rPr>
              <w:t>(0.001)</w:t>
            </w:r>
          </w:p>
        </w:tc>
        <w:tc>
          <w:tcPr>
            <w:tcW w:w="342" w:type="pct"/>
          </w:tcPr>
          <w:p w:rsidR="00562D0A" w:rsidRDefault="00562D0A" w:rsidP="00562D0A">
            <w:pPr>
              <w:widowControl w:val="0"/>
              <w:autoSpaceDE w:val="0"/>
              <w:autoSpaceDN w:val="0"/>
              <w:adjustRightInd w:val="0"/>
              <w:jc w:val="both"/>
              <w:rPr>
                <w:sz w:val="18"/>
                <w:szCs w:val="18"/>
              </w:rPr>
            </w:pPr>
            <w:r w:rsidRPr="009A405F">
              <w:rPr>
                <w:sz w:val="18"/>
                <w:szCs w:val="18"/>
              </w:rPr>
              <w:t>-0.001</w:t>
            </w:r>
          </w:p>
          <w:p w:rsidR="00562D0A" w:rsidRPr="009A405F" w:rsidRDefault="00562D0A" w:rsidP="00562D0A">
            <w:pPr>
              <w:widowControl w:val="0"/>
              <w:autoSpaceDE w:val="0"/>
              <w:autoSpaceDN w:val="0"/>
              <w:adjustRightInd w:val="0"/>
              <w:jc w:val="both"/>
              <w:rPr>
                <w:sz w:val="18"/>
                <w:szCs w:val="18"/>
              </w:rPr>
            </w:pPr>
            <w:r w:rsidRPr="009A405F">
              <w:rPr>
                <w:sz w:val="18"/>
                <w:szCs w:val="18"/>
              </w:rPr>
              <w:t>(0.001)</w:t>
            </w:r>
          </w:p>
        </w:tc>
        <w:tc>
          <w:tcPr>
            <w:tcW w:w="339" w:type="pct"/>
          </w:tcPr>
          <w:p w:rsidR="00562D0A" w:rsidRDefault="00562D0A" w:rsidP="00562D0A">
            <w:pPr>
              <w:widowControl w:val="0"/>
              <w:autoSpaceDE w:val="0"/>
              <w:autoSpaceDN w:val="0"/>
              <w:adjustRightInd w:val="0"/>
              <w:jc w:val="both"/>
              <w:rPr>
                <w:sz w:val="18"/>
                <w:szCs w:val="18"/>
              </w:rPr>
            </w:pPr>
            <w:r w:rsidRPr="009A405F">
              <w:rPr>
                <w:sz w:val="18"/>
                <w:szCs w:val="18"/>
              </w:rPr>
              <w:t>-0.001</w:t>
            </w:r>
          </w:p>
          <w:p w:rsidR="00562D0A" w:rsidRPr="009A405F" w:rsidRDefault="00562D0A" w:rsidP="00562D0A">
            <w:pPr>
              <w:widowControl w:val="0"/>
              <w:autoSpaceDE w:val="0"/>
              <w:autoSpaceDN w:val="0"/>
              <w:adjustRightInd w:val="0"/>
              <w:jc w:val="both"/>
              <w:rPr>
                <w:sz w:val="18"/>
                <w:szCs w:val="18"/>
              </w:rPr>
            </w:pPr>
            <w:r w:rsidRPr="009A405F">
              <w:rPr>
                <w:sz w:val="18"/>
                <w:szCs w:val="18"/>
              </w:rPr>
              <w:t>(0.001)</w:t>
            </w:r>
          </w:p>
        </w:tc>
        <w:tc>
          <w:tcPr>
            <w:tcW w:w="339" w:type="pct"/>
          </w:tcPr>
          <w:p w:rsidR="00562D0A" w:rsidRDefault="00562D0A" w:rsidP="00562D0A">
            <w:pPr>
              <w:widowControl w:val="0"/>
              <w:autoSpaceDE w:val="0"/>
              <w:autoSpaceDN w:val="0"/>
              <w:adjustRightInd w:val="0"/>
              <w:jc w:val="both"/>
              <w:rPr>
                <w:sz w:val="18"/>
                <w:szCs w:val="18"/>
              </w:rPr>
            </w:pPr>
            <w:r w:rsidRPr="009A405F">
              <w:rPr>
                <w:sz w:val="18"/>
                <w:szCs w:val="18"/>
              </w:rPr>
              <w:t>-0.0006</w:t>
            </w:r>
          </w:p>
          <w:p w:rsidR="00562D0A" w:rsidRPr="009A405F" w:rsidRDefault="00562D0A" w:rsidP="00562D0A">
            <w:pPr>
              <w:widowControl w:val="0"/>
              <w:autoSpaceDE w:val="0"/>
              <w:autoSpaceDN w:val="0"/>
              <w:adjustRightInd w:val="0"/>
              <w:jc w:val="both"/>
              <w:rPr>
                <w:sz w:val="18"/>
                <w:szCs w:val="18"/>
              </w:rPr>
            </w:pPr>
            <w:r w:rsidRPr="009A405F">
              <w:rPr>
                <w:sz w:val="18"/>
                <w:szCs w:val="18"/>
              </w:rPr>
              <w:t>(0.001)</w:t>
            </w:r>
          </w:p>
        </w:tc>
        <w:tc>
          <w:tcPr>
            <w:tcW w:w="341" w:type="pct"/>
          </w:tcPr>
          <w:p w:rsidR="00562D0A" w:rsidRDefault="00562D0A" w:rsidP="00562D0A">
            <w:pPr>
              <w:widowControl w:val="0"/>
              <w:autoSpaceDE w:val="0"/>
              <w:autoSpaceDN w:val="0"/>
              <w:adjustRightInd w:val="0"/>
              <w:jc w:val="both"/>
              <w:rPr>
                <w:sz w:val="18"/>
                <w:szCs w:val="18"/>
              </w:rPr>
            </w:pPr>
            <w:r w:rsidRPr="009A405F">
              <w:rPr>
                <w:sz w:val="18"/>
                <w:szCs w:val="18"/>
              </w:rPr>
              <w:t>-0.001</w:t>
            </w:r>
          </w:p>
          <w:p w:rsidR="00562D0A" w:rsidRPr="009A405F" w:rsidRDefault="00562D0A" w:rsidP="00562D0A">
            <w:pPr>
              <w:widowControl w:val="0"/>
              <w:autoSpaceDE w:val="0"/>
              <w:autoSpaceDN w:val="0"/>
              <w:adjustRightInd w:val="0"/>
              <w:jc w:val="both"/>
              <w:rPr>
                <w:sz w:val="18"/>
                <w:szCs w:val="18"/>
              </w:rPr>
            </w:pPr>
            <w:r w:rsidRPr="009A405F">
              <w:rPr>
                <w:sz w:val="18"/>
                <w:szCs w:val="18"/>
              </w:rPr>
              <w:t>(0.001)</w:t>
            </w:r>
          </w:p>
        </w:tc>
        <w:tc>
          <w:tcPr>
            <w:tcW w:w="342" w:type="pct"/>
          </w:tcPr>
          <w:p w:rsidR="00562D0A" w:rsidRDefault="00562D0A" w:rsidP="00562D0A">
            <w:pPr>
              <w:widowControl w:val="0"/>
              <w:autoSpaceDE w:val="0"/>
              <w:autoSpaceDN w:val="0"/>
              <w:adjustRightInd w:val="0"/>
              <w:jc w:val="both"/>
              <w:rPr>
                <w:sz w:val="18"/>
                <w:szCs w:val="18"/>
              </w:rPr>
            </w:pPr>
            <w:r w:rsidRPr="009A405F">
              <w:rPr>
                <w:sz w:val="18"/>
                <w:szCs w:val="18"/>
              </w:rPr>
              <w:t>-0.001</w:t>
            </w:r>
          </w:p>
          <w:p w:rsidR="00562D0A" w:rsidRPr="009A405F" w:rsidRDefault="00562D0A" w:rsidP="00562D0A">
            <w:pPr>
              <w:widowControl w:val="0"/>
              <w:autoSpaceDE w:val="0"/>
              <w:autoSpaceDN w:val="0"/>
              <w:adjustRightInd w:val="0"/>
              <w:jc w:val="both"/>
              <w:rPr>
                <w:sz w:val="18"/>
                <w:szCs w:val="18"/>
              </w:rPr>
            </w:pPr>
            <w:r w:rsidRPr="009A405F">
              <w:rPr>
                <w:sz w:val="18"/>
                <w:szCs w:val="18"/>
              </w:rPr>
              <w:t>(0.001)</w:t>
            </w:r>
          </w:p>
        </w:tc>
        <w:tc>
          <w:tcPr>
            <w:tcW w:w="383" w:type="pct"/>
          </w:tcPr>
          <w:p w:rsidR="00562D0A" w:rsidRDefault="00562D0A" w:rsidP="00562D0A">
            <w:pPr>
              <w:widowControl w:val="0"/>
              <w:autoSpaceDE w:val="0"/>
              <w:autoSpaceDN w:val="0"/>
              <w:adjustRightInd w:val="0"/>
              <w:jc w:val="both"/>
              <w:rPr>
                <w:sz w:val="18"/>
                <w:szCs w:val="18"/>
              </w:rPr>
            </w:pPr>
            <w:r w:rsidRPr="009A405F">
              <w:rPr>
                <w:sz w:val="18"/>
                <w:szCs w:val="18"/>
              </w:rPr>
              <w:t>-0.0003</w:t>
            </w:r>
          </w:p>
          <w:p w:rsidR="00562D0A" w:rsidRPr="009A405F" w:rsidRDefault="00562D0A" w:rsidP="00562D0A">
            <w:pPr>
              <w:widowControl w:val="0"/>
              <w:autoSpaceDE w:val="0"/>
              <w:autoSpaceDN w:val="0"/>
              <w:adjustRightInd w:val="0"/>
              <w:jc w:val="both"/>
              <w:rPr>
                <w:sz w:val="18"/>
                <w:szCs w:val="18"/>
              </w:rPr>
            </w:pPr>
            <w:r w:rsidRPr="009A405F">
              <w:rPr>
                <w:sz w:val="18"/>
                <w:szCs w:val="18"/>
              </w:rPr>
              <w:t>(0.001)</w:t>
            </w:r>
          </w:p>
        </w:tc>
        <w:tc>
          <w:tcPr>
            <w:tcW w:w="416" w:type="pct"/>
          </w:tcPr>
          <w:p w:rsidR="00562D0A" w:rsidRDefault="00562D0A" w:rsidP="00562D0A">
            <w:pPr>
              <w:widowControl w:val="0"/>
              <w:autoSpaceDE w:val="0"/>
              <w:autoSpaceDN w:val="0"/>
              <w:adjustRightInd w:val="0"/>
              <w:jc w:val="both"/>
              <w:rPr>
                <w:sz w:val="18"/>
                <w:szCs w:val="18"/>
              </w:rPr>
            </w:pPr>
            <w:r w:rsidRPr="009A405F">
              <w:rPr>
                <w:sz w:val="18"/>
                <w:szCs w:val="18"/>
              </w:rPr>
              <w:t>0.0007</w:t>
            </w:r>
          </w:p>
          <w:p w:rsidR="00562D0A" w:rsidRPr="009A405F" w:rsidRDefault="00562D0A" w:rsidP="00562D0A">
            <w:pPr>
              <w:widowControl w:val="0"/>
              <w:autoSpaceDE w:val="0"/>
              <w:autoSpaceDN w:val="0"/>
              <w:adjustRightInd w:val="0"/>
              <w:jc w:val="both"/>
              <w:rPr>
                <w:sz w:val="18"/>
                <w:szCs w:val="18"/>
              </w:rPr>
            </w:pPr>
            <w:r w:rsidRPr="009A405F">
              <w:rPr>
                <w:sz w:val="18"/>
                <w:szCs w:val="18"/>
              </w:rPr>
              <w:t>(0.001)</w:t>
            </w:r>
          </w:p>
        </w:tc>
        <w:tc>
          <w:tcPr>
            <w:tcW w:w="377" w:type="pct"/>
          </w:tcPr>
          <w:p w:rsidR="00562D0A" w:rsidRDefault="00562D0A" w:rsidP="00562D0A">
            <w:pPr>
              <w:widowControl w:val="0"/>
              <w:autoSpaceDE w:val="0"/>
              <w:autoSpaceDN w:val="0"/>
              <w:adjustRightInd w:val="0"/>
              <w:jc w:val="both"/>
              <w:rPr>
                <w:sz w:val="18"/>
                <w:szCs w:val="18"/>
              </w:rPr>
            </w:pPr>
            <w:r>
              <w:rPr>
                <w:sz w:val="18"/>
                <w:szCs w:val="18"/>
              </w:rPr>
              <w:t>-0.0008</w:t>
            </w:r>
          </w:p>
          <w:p w:rsidR="00562D0A" w:rsidRPr="009A405F" w:rsidRDefault="00562D0A" w:rsidP="00562D0A">
            <w:pPr>
              <w:widowControl w:val="0"/>
              <w:autoSpaceDE w:val="0"/>
              <w:autoSpaceDN w:val="0"/>
              <w:adjustRightInd w:val="0"/>
              <w:jc w:val="both"/>
              <w:rPr>
                <w:sz w:val="18"/>
                <w:szCs w:val="18"/>
              </w:rPr>
            </w:pPr>
            <w:r>
              <w:rPr>
                <w:sz w:val="18"/>
                <w:szCs w:val="18"/>
              </w:rPr>
              <w:t>(0.001)</w:t>
            </w:r>
          </w:p>
        </w:tc>
        <w:tc>
          <w:tcPr>
            <w:tcW w:w="342" w:type="pct"/>
            <w:gridSpan w:val="2"/>
          </w:tcPr>
          <w:p w:rsidR="00562D0A" w:rsidRDefault="00562D0A" w:rsidP="00562D0A">
            <w:pPr>
              <w:widowControl w:val="0"/>
              <w:autoSpaceDE w:val="0"/>
              <w:autoSpaceDN w:val="0"/>
              <w:adjustRightInd w:val="0"/>
              <w:jc w:val="both"/>
              <w:rPr>
                <w:sz w:val="18"/>
                <w:szCs w:val="18"/>
              </w:rPr>
            </w:pPr>
            <w:r>
              <w:rPr>
                <w:sz w:val="18"/>
                <w:szCs w:val="18"/>
              </w:rPr>
              <w:t>-0.005</w:t>
            </w:r>
          </w:p>
          <w:p w:rsidR="00562D0A" w:rsidRPr="009A405F" w:rsidRDefault="00562D0A" w:rsidP="00562D0A">
            <w:pPr>
              <w:widowControl w:val="0"/>
              <w:autoSpaceDE w:val="0"/>
              <w:autoSpaceDN w:val="0"/>
              <w:adjustRightInd w:val="0"/>
              <w:jc w:val="both"/>
              <w:rPr>
                <w:sz w:val="18"/>
                <w:szCs w:val="18"/>
              </w:rPr>
            </w:pPr>
            <w:r>
              <w:rPr>
                <w:sz w:val="18"/>
                <w:szCs w:val="18"/>
              </w:rPr>
              <w:t>(0.003)</w:t>
            </w:r>
          </w:p>
        </w:tc>
        <w:tc>
          <w:tcPr>
            <w:tcW w:w="415" w:type="pct"/>
            <w:gridSpan w:val="2"/>
          </w:tcPr>
          <w:p w:rsidR="00562D0A" w:rsidRDefault="00562D0A" w:rsidP="00562D0A">
            <w:pPr>
              <w:widowControl w:val="0"/>
              <w:autoSpaceDE w:val="0"/>
              <w:autoSpaceDN w:val="0"/>
              <w:adjustRightInd w:val="0"/>
              <w:jc w:val="both"/>
              <w:rPr>
                <w:sz w:val="18"/>
                <w:szCs w:val="18"/>
              </w:rPr>
            </w:pPr>
            <w:r>
              <w:rPr>
                <w:sz w:val="18"/>
                <w:szCs w:val="18"/>
              </w:rPr>
              <w:t>-0.0007</w:t>
            </w:r>
          </w:p>
          <w:p w:rsidR="00562D0A" w:rsidRPr="009A405F" w:rsidRDefault="00562D0A" w:rsidP="00562D0A">
            <w:pPr>
              <w:widowControl w:val="0"/>
              <w:autoSpaceDE w:val="0"/>
              <w:autoSpaceDN w:val="0"/>
              <w:adjustRightInd w:val="0"/>
              <w:jc w:val="both"/>
              <w:rPr>
                <w:sz w:val="18"/>
                <w:szCs w:val="18"/>
              </w:rPr>
            </w:pPr>
            <w:r>
              <w:rPr>
                <w:sz w:val="18"/>
                <w:szCs w:val="18"/>
              </w:rPr>
              <w:t>(0.001)</w:t>
            </w:r>
          </w:p>
        </w:tc>
      </w:tr>
      <w:tr w:rsidR="00562D0A" w:rsidRPr="005C2A81" w:rsidTr="00562D0A">
        <w:tc>
          <w:tcPr>
            <w:tcW w:w="644" w:type="pct"/>
          </w:tcPr>
          <w:p w:rsidR="00562D0A" w:rsidRPr="005C2A81" w:rsidRDefault="00562D0A" w:rsidP="00562D0A">
            <w:pPr>
              <w:widowControl w:val="0"/>
              <w:autoSpaceDE w:val="0"/>
              <w:autoSpaceDN w:val="0"/>
              <w:adjustRightInd w:val="0"/>
              <w:rPr>
                <w:sz w:val="16"/>
                <w:szCs w:val="16"/>
                <w:lang w:val="en-GB"/>
              </w:rPr>
            </w:pPr>
          </w:p>
        </w:tc>
        <w:tc>
          <w:tcPr>
            <w:tcW w:w="376" w:type="pct"/>
          </w:tcPr>
          <w:p w:rsidR="00562D0A" w:rsidRPr="005C2A81" w:rsidRDefault="00562D0A" w:rsidP="00562D0A">
            <w:pPr>
              <w:widowControl w:val="0"/>
              <w:autoSpaceDE w:val="0"/>
              <w:autoSpaceDN w:val="0"/>
              <w:adjustRightInd w:val="0"/>
              <w:jc w:val="both"/>
              <w:rPr>
                <w:sz w:val="16"/>
                <w:szCs w:val="16"/>
              </w:rPr>
            </w:pPr>
          </w:p>
        </w:tc>
        <w:tc>
          <w:tcPr>
            <w:tcW w:w="344" w:type="pct"/>
          </w:tcPr>
          <w:p w:rsidR="00562D0A" w:rsidRPr="005C2A81" w:rsidRDefault="00562D0A" w:rsidP="00562D0A">
            <w:pPr>
              <w:widowControl w:val="0"/>
              <w:autoSpaceDE w:val="0"/>
              <w:autoSpaceDN w:val="0"/>
              <w:adjustRightInd w:val="0"/>
              <w:jc w:val="both"/>
              <w:rPr>
                <w:sz w:val="16"/>
                <w:szCs w:val="16"/>
              </w:rPr>
            </w:pPr>
          </w:p>
        </w:tc>
        <w:tc>
          <w:tcPr>
            <w:tcW w:w="342" w:type="pct"/>
          </w:tcPr>
          <w:p w:rsidR="00562D0A" w:rsidRPr="005C2A81" w:rsidRDefault="00562D0A" w:rsidP="00562D0A">
            <w:pPr>
              <w:widowControl w:val="0"/>
              <w:autoSpaceDE w:val="0"/>
              <w:autoSpaceDN w:val="0"/>
              <w:adjustRightInd w:val="0"/>
              <w:jc w:val="both"/>
              <w:rPr>
                <w:sz w:val="16"/>
                <w:szCs w:val="16"/>
              </w:rPr>
            </w:pPr>
          </w:p>
        </w:tc>
        <w:tc>
          <w:tcPr>
            <w:tcW w:w="339" w:type="pct"/>
          </w:tcPr>
          <w:p w:rsidR="00562D0A" w:rsidRPr="005C2A81" w:rsidRDefault="00562D0A" w:rsidP="00562D0A">
            <w:pPr>
              <w:widowControl w:val="0"/>
              <w:autoSpaceDE w:val="0"/>
              <w:autoSpaceDN w:val="0"/>
              <w:adjustRightInd w:val="0"/>
              <w:jc w:val="both"/>
              <w:rPr>
                <w:sz w:val="16"/>
                <w:szCs w:val="16"/>
              </w:rPr>
            </w:pPr>
          </w:p>
        </w:tc>
        <w:tc>
          <w:tcPr>
            <w:tcW w:w="339" w:type="pct"/>
          </w:tcPr>
          <w:p w:rsidR="00562D0A" w:rsidRPr="005C2A81" w:rsidRDefault="00562D0A" w:rsidP="00562D0A">
            <w:pPr>
              <w:widowControl w:val="0"/>
              <w:autoSpaceDE w:val="0"/>
              <w:autoSpaceDN w:val="0"/>
              <w:adjustRightInd w:val="0"/>
              <w:jc w:val="both"/>
              <w:rPr>
                <w:sz w:val="16"/>
                <w:szCs w:val="16"/>
              </w:rPr>
            </w:pPr>
          </w:p>
        </w:tc>
        <w:tc>
          <w:tcPr>
            <w:tcW w:w="341" w:type="pct"/>
          </w:tcPr>
          <w:p w:rsidR="00562D0A" w:rsidRPr="005C2A81" w:rsidRDefault="00562D0A" w:rsidP="00562D0A">
            <w:pPr>
              <w:widowControl w:val="0"/>
              <w:autoSpaceDE w:val="0"/>
              <w:autoSpaceDN w:val="0"/>
              <w:adjustRightInd w:val="0"/>
              <w:jc w:val="both"/>
              <w:rPr>
                <w:sz w:val="16"/>
                <w:szCs w:val="16"/>
              </w:rPr>
            </w:pPr>
          </w:p>
        </w:tc>
        <w:tc>
          <w:tcPr>
            <w:tcW w:w="342" w:type="pct"/>
          </w:tcPr>
          <w:p w:rsidR="00562D0A" w:rsidRPr="005C2A81" w:rsidRDefault="00562D0A" w:rsidP="00562D0A">
            <w:pPr>
              <w:widowControl w:val="0"/>
              <w:autoSpaceDE w:val="0"/>
              <w:autoSpaceDN w:val="0"/>
              <w:adjustRightInd w:val="0"/>
              <w:jc w:val="both"/>
              <w:rPr>
                <w:sz w:val="16"/>
                <w:szCs w:val="16"/>
              </w:rPr>
            </w:pPr>
          </w:p>
        </w:tc>
        <w:tc>
          <w:tcPr>
            <w:tcW w:w="383" w:type="pct"/>
          </w:tcPr>
          <w:p w:rsidR="00562D0A" w:rsidRPr="005C2A81" w:rsidRDefault="00562D0A" w:rsidP="00562D0A">
            <w:pPr>
              <w:widowControl w:val="0"/>
              <w:autoSpaceDE w:val="0"/>
              <w:autoSpaceDN w:val="0"/>
              <w:adjustRightInd w:val="0"/>
              <w:jc w:val="both"/>
              <w:rPr>
                <w:sz w:val="16"/>
                <w:szCs w:val="16"/>
              </w:rPr>
            </w:pPr>
          </w:p>
        </w:tc>
        <w:tc>
          <w:tcPr>
            <w:tcW w:w="416" w:type="pct"/>
          </w:tcPr>
          <w:p w:rsidR="00562D0A" w:rsidRPr="005C2A81" w:rsidRDefault="00562D0A" w:rsidP="00562D0A">
            <w:pPr>
              <w:widowControl w:val="0"/>
              <w:autoSpaceDE w:val="0"/>
              <w:autoSpaceDN w:val="0"/>
              <w:adjustRightInd w:val="0"/>
              <w:jc w:val="both"/>
              <w:rPr>
                <w:sz w:val="16"/>
                <w:szCs w:val="16"/>
              </w:rPr>
            </w:pPr>
          </w:p>
        </w:tc>
        <w:tc>
          <w:tcPr>
            <w:tcW w:w="377" w:type="pct"/>
          </w:tcPr>
          <w:p w:rsidR="00562D0A" w:rsidRPr="005C2A81" w:rsidRDefault="00562D0A" w:rsidP="00562D0A">
            <w:pPr>
              <w:widowControl w:val="0"/>
              <w:autoSpaceDE w:val="0"/>
              <w:autoSpaceDN w:val="0"/>
              <w:adjustRightInd w:val="0"/>
              <w:jc w:val="both"/>
              <w:rPr>
                <w:sz w:val="16"/>
                <w:szCs w:val="16"/>
              </w:rPr>
            </w:pPr>
          </w:p>
        </w:tc>
        <w:tc>
          <w:tcPr>
            <w:tcW w:w="342" w:type="pct"/>
            <w:gridSpan w:val="2"/>
          </w:tcPr>
          <w:p w:rsidR="00562D0A" w:rsidRPr="005C2A81" w:rsidRDefault="00562D0A" w:rsidP="00562D0A">
            <w:pPr>
              <w:widowControl w:val="0"/>
              <w:autoSpaceDE w:val="0"/>
              <w:autoSpaceDN w:val="0"/>
              <w:adjustRightInd w:val="0"/>
              <w:jc w:val="both"/>
              <w:rPr>
                <w:sz w:val="16"/>
                <w:szCs w:val="16"/>
              </w:rPr>
            </w:pPr>
          </w:p>
        </w:tc>
        <w:tc>
          <w:tcPr>
            <w:tcW w:w="415" w:type="pct"/>
            <w:gridSpan w:val="2"/>
          </w:tcPr>
          <w:p w:rsidR="00562D0A" w:rsidRPr="005C2A81" w:rsidRDefault="00562D0A" w:rsidP="00562D0A">
            <w:pPr>
              <w:widowControl w:val="0"/>
              <w:autoSpaceDE w:val="0"/>
              <w:autoSpaceDN w:val="0"/>
              <w:adjustRightInd w:val="0"/>
              <w:jc w:val="both"/>
              <w:rPr>
                <w:sz w:val="16"/>
                <w:szCs w:val="16"/>
              </w:rPr>
            </w:pPr>
          </w:p>
        </w:tc>
      </w:tr>
      <w:tr w:rsidR="00562D0A" w:rsidRPr="009A405F" w:rsidTr="00562D0A">
        <w:tc>
          <w:tcPr>
            <w:tcW w:w="644" w:type="pct"/>
          </w:tcPr>
          <w:p w:rsidR="00562D0A" w:rsidRPr="009A405F" w:rsidRDefault="00562D0A" w:rsidP="00562D0A">
            <w:pPr>
              <w:widowControl w:val="0"/>
              <w:autoSpaceDE w:val="0"/>
              <w:autoSpaceDN w:val="0"/>
              <w:adjustRightInd w:val="0"/>
              <w:rPr>
                <w:sz w:val="18"/>
                <w:szCs w:val="18"/>
              </w:rPr>
            </w:pPr>
            <w:r w:rsidRPr="009A405F">
              <w:rPr>
                <w:sz w:val="18"/>
                <w:szCs w:val="18"/>
                <w:lang w:val="en-GB"/>
              </w:rPr>
              <w:t>Inflation rate volatility</w:t>
            </w:r>
          </w:p>
        </w:tc>
        <w:tc>
          <w:tcPr>
            <w:tcW w:w="376" w:type="pct"/>
          </w:tcPr>
          <w:p w:rsidR="00562D0A" w:rsidRDefault="00562D0A" w:rsidP="00562D0A">
            <w:pPr>
              <w:widowControl w:val="0"/>
              <w:autoSpaceDE w:val="0"/>
              <w:autoSpaceDN w:val="0"/>
              <w:adjustRightInd w:val="0"/>
              <w:jc w:val="both"/>
              <w:rPr>
                <w:sz w:val="18"/>
                <w:szCs w:val="18"/>
              </w:rPr>
            </w:pPr>
            <w:r w:rsidRPr="009A405F">
              <w:rPr>
                <w:sz w:val="18"/>
                <w:szCs w:val="18"/>
              </w:rPr>
              <w:t>0.001***</w:t>
            </w:r>
          </w:p>
          <w:p w:rsidR="00562D0A" w:rsidRPr="009A405F" w:rsidRDefault="00562D0A" w:rsidP="00562D0A">
            <w:pPr>
              <w:widowControl w:val="0"/>
              <w:autoSpaceDE w:val="0"/>
              <w:autoSpaceDN w:val="0"/>
              <w:adjustRightInd w:val="0"/>
              <w:jc w:val="both"/>
              <w:rPr>
                <w:sz w:val="18"/>
                <w:szCs w:val="18"/>
              </w:rPr>
            </w:pPr>
            <w:r w:rsidRPr="009A405F">
              <w:rPr>
                <w:sz w:val="18"/>
                <w:szCs w:val="18"/>
              </w:rPr>
              <w:t>(0.001)</w:t>
            </w:r>
          </w:p>
        </w:tc>
        <w:tc>
          <w:tcPr>
            <w:tcW w:w="344" w:type="pct"/>
          </w:tcPr>
          <w:p w:rsidR="00562D0A" w:rsidRDefault="00562D0A" w:rsidP="00562D0A">
            <w:pPr>
              <w:widowControl w:val="0"/>
              <w:autoSpaceDE w:val="0"/>
              <w:autoSpaceDN w:val="0"/>
              <w:adjustRightInd w:val="0"/>
              <w:jc w:val="both"/>
              <w:rPr>
                <w:sz w:val="16"/>
                <w:szCs w:val="16"/>
              </w:rPr>
            </w:pPr>
            <w:r w:rsidRPr="00575C17">
              <w:rPr>
                <w:sz w:val="16"/>
                <w:szCs w:val="16"/>
              </w:rPr>
              <w:t>0.011***</w:t>
            </w:r>
          </w:p>
          <w:p w:rsidR="00562D0A" w:rsidRPr="00575C17" w:rsidRDefault="00562D0A" w:rsidP="00562D0A">
            <w:pPr>
              <w:widowControl w:val="0"/>
              <w:autoSpaceDE w:val="0"/>
              <w:autoSpaceDN w:val="0"/>
              <w:adjustRightInd w:val="0"/>
              <w:jc w:val="both"/>
              <w:rPr>
                <w:sz w:val="16"/>
                <w:szCs w:val="16"/>
              </w:rPr>
            </w:pPr>
            <w:r>
              <w:rPr>
                <w:sz w:val="16"/>
                <w:szCs w:val="16"/>
              </w:rPr>
              <w:t>(0.001)</w:t>
            </w:r>
          </w:p>
        </w:tc>
        <w:tc>
          <w:tcPr>
            <w:tcW w:w="342" w:type="pct"/>
          </w:tcPr>
          <w:p w:rsidR="00562D0A" w:rsidRDefault="00562D0A" w:rsidP="00562D0A">
            <w:pPr>
              <w:widowControl w:val="0"/>
              <w:autoSpaceDE w:val="0"/>
              <w:autoSpaceDN w:val="0"/>
              <w:adjustRightInd w:val="0"/>
              <w:jc w:val="both"/>
              <w:rPr>
                <w:sz w:val="16"/>
                <w:szCs w:val="16"/>
              </w:rPr>
            </w:pPr>
            <w:r w:rsidRPr="00575C17">
              <w:rPr>
                <w:sz w:val="16"/>
                <w:szCs w:val="16"/>
              </w:rPr>
              <w:t>0.009***</w:t>
            </w:r>
          </w:p>
          <w:p w:rsidR="00562D0A" w:rsidRPr="00575C17" w:rsidRDefault="00562D0A" w:rsidP="00562D0A">
            <w:pPr>
              <w:widowControl w:val="0"/>
              <w:autoSpaceDE w:val="0"/>
              <w:autoSpaceDN w:val="0"/>
              <w:adjustRightInd w:val="0"/>
              <w:jc w:val="both"/>
              <w:rPr>
                <w:sz w:val="16"/>
                <w:szCs w:val="16"/>
              </w:rPr>
            </w:pPr>
            <w:r w:rsidRPr="009A405F">
              <w:rPr>
                <w:sz w:val="18"/>
                <w:szCs w:val="18"/>
              </w:rPr>
              <w:t>(0.002)</w:t>
            </w:r>
          </w:p>
        </w:tc>
        <w:tc>
          <w:tcPr>
            <w:tcW w:w="339" w:type="pct"/>
          </w:tcPr>
          <w:p w:rsidR="00562D0A" w:rsidRDefault="00562D0A" w:rsidP="00562D0A">
            <w:pPr>
              <w:widowControl w:val="0"/>
              <w:autoSpaceDE w:val="0"/>
              <w:autoSpaceDN w:val="0"/>
              <w:adjustRightInd w:val="0"/>
              <w:jc w:val="both"/>
              <w:rPr>
                <w:sz w:val="16"/>
                <w:szCs w:val="16"/>
              </w:rPr>
            </w:pPr>
            <w:r w:rsidRPr="00575C17">
              <w:rPr>
                <w:sz w:val="16"/>
                <w:szCs w:val="16"/>
              </w:rPr>
              <w:t>0.009***</w:t>
            </w:r>
          </w:p>
          <w:p w:rsidR="00562D0A" w:rsidRPr="00575C17" w:rsidRDefault="00562D0A" w:rsidP="00562D0A">
            <w:pPr>
              <w:widowControl w:val="0"/>
              <w:autoSpaceDE w:val="0"/>
              <w:autoSpaceDN w:val="0"/>
              <w:adjustRightInd w:val="0"/>
              <w:jc w:val="both"/>
              <w:rPr>
                <w:sz w:val="16"/>
                <w:szCs w:val="16"/>
              </w:rPr>
            </w:pPr>
            <w:r w:rsidRPr="009A405F">
              <w:rPr>
                <w:sz w:val="18"/>
                <w:szCs w:val="18"/>
              </w:rPr>
              <w:t>(0.001)</w:t>
            </w:r>
          </w:p>
        </w:tc>
        <w:tc>
          <w:tcPr>
            <w:tcW w:w="339" w:type="pct"/>
          </w:tcPr>
          <w:p w:rsidR="00562D0A" w:rsidRDefault="00562D0A" w:rsidP="00562D0A">
            <w:pPr>
              <w:widowControl w:val="0"/>
              <w:autoSpaceDE w:val="0"/>
              <w:autoSpaceDN w:val="0"/>
              <w:adjustRightInd w:val="0"/>
              <w:jc w:val="both"/>
              <w:rPr>
                <w:sz w:val="16"/>
                <w:szCs w:val="16"/>
              </w:rPr>
            </w:pPr>
            <w:r w:rsidRPr="00575C17">
              <w:rPr>
                <w:sz w:val="16"/>
                <w:szCs w:val="16"/>
              </w:rPr>
              <w:t>0.007***</w:t>
            </w:r>
          </w:p>
          <w:p w:rsidR="00562D0A" w:rsidRPr="00575C17" w:rsidRDefault="00562D0A" w:rsidP="00562D0A">
            <w:pPr>
              <w:widowControl w:val="0"/>
              <w:autoSpaceDE w:val="0"/>
              <w:autoSpaceDN w:val="0"/>
              <w:adjustRightInd w:val="0"/>
              <w:jc w:val="both"/>
              <w:rPr>
                <w:sz w:val="16"/>
                <w:szCs w:val="16"/>
              </w:rPr>
            </w:pPr>
            <w:r w:rsidRPr="009A405F">
              <w:rPr>
                <w:sz w:val="18"/>
                <w:szCs w:val="18"/>
              </w:rPr>
              <w:t>(0.001)</w:t>
            </w:r>
          </w:p>
        </w:tc>
        <w:tc>
          <w:tcPr>
            <w:tcW w:w="341" w:type="pct"/>
          </w:tcPr>
          <w:p w:rsidR="00562D0A" w:rsidRDefault="00562D0A" w:rsidP="00562D0A">
            <w:pPr>
              <w:widowControl w:val="0"/>
              <w:autoSpaceDE w:val="0"/>
              <w:autoSpaceDN w:val="0"/>
              <w:adjustRightInd w:val="0"/>
              <w:jc w:val="both"/>
              <w:rPr>
                <w:sz w:val="16"/>
                <w:szCs w:val="16"/>
              </w:rPr>
            </w:pPr>
            <w:r w:rsidRPr="00575C17">
              <w:rPr>
                <w:sz w:val="16"/>
                <w:szCs w:val="16"/>
              </w:rPr>
              <w:t>0.009***</w:t>
            </w:r>
          </w:p>
          <w:p w:rsidR="00562D0A" w:rsidRPr="00575C17" w:rsidRDefault="00562D0A" w:rsidP="00562D0A">
            <w:pPr>
              <w:widowControl w:val="0"/>
              <w:autoSpaceDE w:val="0"/>
              <w:autoSpaceDN w:val="0"/>
              <w:adjustRightInd w:val="0"/>
              <w:jc w:val="both"/>
              <w:rPr>
                <w:sz w:val="16"/>
                <w:szCs w:val="16"/>
              </w:rPr>
            </w:pPr>
            <w:r w:rsidRPr="009A405F">
              <w:rPr>
                <w:sz w:val="18"/>
                <w:szCs w:val="18"/>
              </w:rPr>
              <w:t>(0.001)</w:t>
            </w:r>
          </w:p>
        </w:tc>
        <w:tc>
          <w:tcPr>
            <w:tcW w:w="342" w:type="pct"/>
          </w:tcPr>
          <w:p w:rsidR="00562D0A" w:rsidRDefault="00562D0A" w:rsidP="00562D0A">
            <w:pPr>
              <w:widowControl w:val="0"/>
              <w:autoSpaceDE w:val="0"/>
              <w:autoSpaceDN w:val="0"/>
              <w:adjustRightInd w:val="0"/>
              <w:jc w:val="both"/>
              <w:rPr>
                <w:sz w:val="16"/>
                <w:szCs w:val="16"/>
              </w:rPr>
            </w:pPr>
            <w:r w:rsidRPr="00575C17">
              <w:rPr>
                <w:sz w:val="16"/>
                <w:szCs w:val="16"/>
              </w:rPr>
              <w:t>0.009***</w:t>
            </w:r>
          </w:p>
          <w:p w:rsidR="00562D0A" w:rsidRPr="00575C17" w:rsidRDefault="00562D0A" w:rsidP="00562D0A">
            <w:pPr>
              <w:widowControl w:val="0"/>
              <w:autoSpaceDE w:val="0"/>
              <w:autoSpaceDN w:val="0"/>
              <w:adjustRightInd w:val="0"/>
              <w:jc w:val="both"/>
              <w:rPr>
                <w:sz w:val="16"/>
                <w:szCs w:val="16"/>
              </w:rPr>
            </w:pPr>
            <w:r w:rsidRPr="009A405F">
              <w:rPr>
                <w:sz w:val="18"/>
                <w:szCs w:val="18"/>
              </w:rPr>
              <w:t>(0.001)</w:t>
            </w:r>
          </w:p>
        </w:tc>
        <w:tc>
          <w:tcPr>
            <w:tcW w:w="383" w:type="pct"/>
          </w:tcPr>
          <w:p w:rsidR="00562D0A" w:rsidRDefault="00562D0A" w:rsidP="00562D0A">
            <w:pPr>
              <w:widowControl w:val="0"/>
              <w:autoSpaceDE w:val="0"/>
              <w:autoSpaceDN w:val="0"/>
              <w:adjustRightInd w:val="0"/>
              <w:jc w:val="both"/>
              <w:rPr>
                <w:sz w:val="18"/>
                <w:szCs w:val="18"/>
              </w:rPr>
            </w:pPr>
            <w:r w:rsidRPr="009A405F">
              <w:rPr>
                <w:sz w:val="18"/>
                <w:szCs w:val="18"/>
              </w:rPr>
              <w:t>0.008***</w:t>
            </w:r>
          </w:p>
          <w:p w:rsidR="00562D0A" w:rsidRPr="009A405F" w:rsidRDefault="00562D0A" w:rsidP="00562D0A">
            <w:pPr>
              <w:widowControl w:val="0"/>
              <w:autoSpaceDE w:val="0"/>
              <w:autoSpaceDN w:val="0"/>
              <w:adjustRightInd w:val="0"/>
              <w:jc w:val="both"/>
              <w:rPr>
                <w:sz w:val="18"/>
                <w:szCs w:val="18"/>
              </w:rPr>
            </w:pPr>
            <w:r w:rsidRPr="009A405F">
              <w:rPr>
                <w:sz w:val="18"/>
                <w:szCs w:val="18"/>
              </w:rPr>
              <w:t>(0.001)</w:t>
            </w:r>
          </w:p>
        </w:tc>
        <w:tc>
          <w:tcPr>
            <w:tcW w:w="416" w:type="pct"/>
          </w:tcPr>
          <w:p w:rsidR="00562D0A" w:rsidRDefault="00562D0A" w:rsidP="00562D0A">
            <w:pPr>
              <w:widowControl w:val="0"/>
              <w:autoSpaceDE w:val="0"/>
              <w:autoSpaceDN w:val="0"/>
              <w:adjustRightInd w:val="0"/>
              <w:jc w:val="both"/>
              <w:rPr>
                <w:sz w:val="18"/>
                <w:szCs w:val="18"/>
              </w:rPr>
            </w:pPr>
            <w:r w:rsidRPr="009A405F">
              <w:rPr>
                <w:sz w:val="18"/>
                <w:szCs w:val="18"/>
              </w:rPr>
              <w:t>0.009***</w:t>
            </w:r>
          </w:p>
          <w:p w:rsidR="00562D0A" w:rsidRPr="009A405F" w:rsidRDefault="00562D0A" w:rsidP="00562D0A">
            <w:pPr>
              <w:widowControl w:val="0"/>
              <w:autoSpaceDE w:val="0"/>
              <w:autoSpaceDN w:val="0"/>
              <w:adjustRightInd w:val="0"/>
              <w:jc w:val="both"/>
              <w:rPr>
                <w:sz w:val="18"/>
                <w:szCs w:val="18"/>
              </w:rPr>
            </w:pPr>
            <w:r w:rsidRPr="009A405F">
              <w:rPr>
                <w:sz w:val="18"/>
                <w:szCs w:val="18"/>
              </w:rPr>
              <w:t>(0.001)</w:t>
            </w:r>
          </w:p>
        </w:tc>
        <w:tc>
          <w:tcPr>
            <w:tcW w:w="377" w:type="pct"/>
          </w:tcPr>
          <w:p w:rsidR="00562D0A" w:rsidRDefault="00562D0A" w:rsidP="00562D0A">
            <w:pPr>
              <w:widowControl w:val="0"/>
              <w:autoSpaceDE w:val="0"/>
              <w:autoSpaceDN w:val="0"/>
              <w:adjustRightInd w:val="0"/>
              <w:jc w:val="both"/>
              <w:rPr>
                <w:sz w:val="18"/>
                <w:szCs w:val="18"/>
              </w:rPr>
            </w:pPr>
            <w:r>
              <w:rPr>
                <w:sz w:val="18"/>
                <w:szCs w:val="18"/>
              </w:rPr>
              <w:t>0.007</w:t>
            </w:r>
            <w:r w:rsidRPr="00730277">
              <w:rPr>
                <w:sz w:val="18"/>
                <w:szCs w:val="18"/>
              </w:rPr>
              <w:t>***</w:t>
            </w:r>
          </w:p>
          <w:p w:rsidR="00562D0A" w:rsidRPr="009A405F" w:rsidRDefault="00562D0A" w:rsidP="00562D0A">
            <w:pPr>
              <w:widowControl w:val="0"/>
              <w:autoSpaceDE w:val="0"/>
              <w:autoSpaceDN w:val="0"/>
              <w:adjustRightInd w:val="0"/>
              <w:jc w:val="both"/>
              <w:rPr>
                <w:sz w:val="18"/>
                <w:szCs w:val="18"/>
              </w:rPr>
            </w:pPr>
            <w:r>
              <w:rPr>
                <w:sz w:val="18"/>
                <w:szCs w:val="18"/>
              </w:rPr>
              <w:t>(0.002</w:t>
            </w:r>
            <w:r w:rsidRPr="009A405F">
              <w:rPr>
                <w:sz w:val="18"/>
                <w:szCs w:val="18"/>
              </w:rPr>
              <w:t>)</w:t>
            </w:r>
          </w:p>
        </w:tc>
        <w:tc>
          <w:tcPr>
            <w:tcW w:w="342" w:type="pct"/>
            <w:gridSpan w:val="2"/>
          </w:tcPr>
          <w:p w:rsidR="00562D0A" w:rsidRDefault="00562D0A" w:rsidP="00562D0A">
            <w:pPr>
              <w:widowControl w:val="0"/>
              <w:autoSpaceDE w:val="0"/>
              <w:autoSpaceDN w:val="0"/>
              <w:adjustRightInd w:val="0"/>
              <w:jc w:val="both"/>
              <w:rPr>
                <w:sz w:val="18"/>
                <w:szCs w:val="18"/>
              </w:rPr>
            </w:pPr>
            <w:r>
              <w:rPr>
                <w:sz w:val="18"/>
                <w:szCs w:val="18"/>
              </w:rPr>
              <w:t>-0.002</w:t>
            </w:r>
          </w:p>
          <w:p w:rsidR="00562D0A" w:rsidRPr="009A405F" w:rsidRDefault="00562D0A" w:rsidP="00562D0A">
            <w:pPr>
              <w:widowControl w:val="0"/>
              <w:autoSpaceDE w:val="0"/>
              <w:autoSpaceDN w:val="0"/>
              <w:adjustRightInd w:val="0"/>
              <w:jc w:val="both"/>
              <w:rPr>
                <w:sz w:val="18"/>
                <w:szCs w:val="18"/>
              </w:rPr>
            </w:pPr>
            <w:r>
              <w:rPr>
                <w:sz w:val="18"/>
                <w:szCs w:val="18"/>
              </w:rPr>
              <w:t>(0.002</w:t>
            </w:r>
            <w:r w:rsidRPr="009A405F">
              <w:rPr>
                <w:sz w:val="18"/>
                <w:szCs w:val="18"/>
              </w:rPr>
              <w:t>)</w:t>
            </w:r>
          </w:p>
        </w:tc>
        <w:tc>
          <w:tcPr>
            <w:tcW w:w="415" w:type="pct"/>
            <w:gridSpan w:val="2"/>
          </w:tcPr>
          <w:p w:rsidR="00562D0A" w:rsidRDefault="00562D0A" w:rsidP="00562D0A">
            <w:pPr>
              <w:widowControl w:val="0"/>
              <w:autoSpaceDE w:val="0"/>
              <w:autoSpaceDN w:val="0"/>
              <w:adjustRightInd w:val="0"/>
              <w:jc w:val="both"/>
              <w:rPr>
                <w:sz w:val="18"/>
                <w:szCs w:val="18"/>
              </w:rPr>
            </w:pPr>
            <w:r>
              <w:rPr>
                <w:sz w:val="18"/>
                <w:szCs w:val="18"/>
              </w:rPr>
              <w:t>0.008</w:t>
            </w:r>
            <w:r w:rsidRPr="00730277">
              <w:rPr>
                <w:sz w:val="18"/>
                <w:szCs w:val="18"/>
              </w:rPr>
              <w:t>***</w:t>
            </w:r>
          </w:p>
          <w:p w:rsidR="00562D0A" w:rsidRPr="009A405F" w:rsidRDefault="00562D0A" w:rsidP="00562D0A">
            <w:pPr>
              <w:widowControl w:val="0"/>
              <w:autoSpaceDE w:val="0"/>
              <w:autoSpaceDN w:val="0"/>
              <w:adjustRightInd w:val="0"/>
              <w:jc w:val="both"/>
              <w:rPr>
                <w:sz w:val="18"/>
                <w:szCs w:val="18"/>
              </w:rPr>
            </w:pPr>
            <w:r>
              <w:rPr>
                <w:sz w:val="18"/>
                <w:szCs w:val="18"/>
              </w:rPr>
              <w:t>(0.002</w:t>
            </w:r>
            <w:r w:rsidRPr="009A405F">
              <w:rPr>
                <w:sz w:val="18"/>
                <w:szCs w:val="18"/>
              </w:rPr>
              <w:t>)</w:t>
            </w:r>
          </w:p>
        </w:tc>
      </w:tr>
      <w:tr w:rsidR="00562D0A" w:rsidRPr="005C2A81" w:rsidTr="00562D0A">
        <w:tc>
          <w:tcPr>
            <w:tcW w:w="644" w:type="pct"/>
          </w:tcPr>
          <w:p w:rsidR="00562D0A" w:rsidRPr="005C2A81" w:rsidRDefault="00562D0A" w:rsidP="00562D0A">
            <w:pPr>
              <w:widowControl w:val="0"/>
              <w:autoSpaceDE w:val="0"/>
              <w:autoSpaceDN w:val="0"/>
              <w:adjustRightInd w:val="0"/>
              <w:rPr>
                <w:sz w:val="16"/>
                <w:szCs w:val="16"/>
                <w:lang w:val="en-GB"/>
              </w:rPr>
            </w:pPr>
          </w:p>
        </w:tc>
        <w:tc>
          <w:tcPr>
            <w:tcW w:w="376" w:type="pct"/>
          </w:tcPr>
          <w:p w:rsidR="00562D0A" w:rsidRPr="005C2A81" w:rsidRDefault="00562D0A" w:rsidP="00562D0A">
            <w:pPr>
              <w:widowControl w:val="0"/>
              <w:autoSpaceDE w:val="0"/>
              <w:autoSpaceDN w:val="0"/>
              <w:adjustRightInd w:val="0"/>
              <w:jc w:val="both"/>
              <w:rPr>
                <w:sz w:val="16"/>
                <w:szCs w:val="16"/>
              </w:rPr>
            </w:pPr>
          </w:p>
        </w:tc>
        <w:tc>
          <w:tcPr>
            <w:tcW w:w="344" w:type="pct"/>
          </w:tcPr>
          <w:p w:rsidR="00562D0A" w:rsidRPr="005C2A81" w:rsidRDefault="00562D0A" w:rsidP="00562D0A">
            <w:pPr>
              <w:widowControl w:val="0"/>
              <w:autoSpaceDE w:val="0"/>
              <w:autoSpaceDN w:val="0"/>
              <w:adjustRightInd w:val="0"/>
              <w:jc w:val="both"/>
              <w:rPr>
                <w:sz w:val="16"/>
                <w:szCs w:val="16"/>
              </w:rPr>
            </w:pPr>
          </w:p>
        </w:tc>
        <w:tc>
          <w:tcPr>
            <w:tcW w:w="342" w:type="pct"/>
          </w:tcPr>
          <w:p w:rsidR="00562D0A" w:rsidRPr="005C2A81" w:rsidRDefault="00562D0A" w:rsidP="00562D0A">
            <w:pPr>
              <w:widowControl w:val="0"/>
              <w:autoSpaceDE w:val="0"/>
              <w:autoSpaceDN w:val="0"/>
              <w:adjustRightInd w:val="0"/>
              <w:jc w:val="both"/>
              <w:rPr>
                <w:sz w:val="16"/>
                <w:szCs w:val="16"/>
              </w:rPr>
            </w:pPr>
          </w:p>
        </w:tc>
        <w:tc>
          <w:tcPr>
            <w:tcW w:w="339" w:type="pct"/>
          </w:tcPr>
          <w:p w:rsidR="00562D0A" w:rsidRPr="005C2A81" w:rsidRDefault="00562D0A" w:rsidP="00562D0A">
            <w:pPr>
              <w:widowControl w:val="0"/>
              <w:autoSpaceDE w:val="0"/>
              <w:autoSpaceDN w:val="0"/>
              <w:adjustRightInd w:val="0"/>
              <w:jc w:val="both"/>
              <w:rPr>
                <w:sz w:val="16"/>
                <w:szCs w:val="16"/>
              </w:rPr>
            </w:pPr>
          </w:p>
        </w:tc>
        <w:tc>
          <w:tcPr>
            <w:tcW w:w="339" w:type="pct"/>
          </w:tcPr>
          <w:p w:rsidR="00562D0A" w:rsidRPr="005C2A81" w:rsidRDefault="00562D0A" w:rsidP="00562D0A">
            <w:pPr>
              <w:widowControl w:val="0"/>
              <w:autoSpaceDE w:val="0"/>
              <w:autoSpaceDN w:val="0"/>
              <w:adjustRightInd w:val="0"/>
              <w:jc w:val="both"/>
              <w:rPr>
                <w:sz w:val="16"/>
                <w:szCs w:val="16"/>
              </w:rPr>
            </w:pPr>
          </w:p>
        </w:tc>
        <w:tc>
          <w:tcPr>
            <w:tcW w:w="341" w:type="pct"/>
          </w:tcPr>
          <w:p w:rsidR="00562D0A" w:rsidRPr="005C2A81" w:rsidRDefault="00562D0A" w:rsidP="00562D0A">
            <w:pPr>
              <w:widowControl w:val="0"/>
              <w:autoSpaceDE w:val="0"/>
              <w:autoSpaceDN w:val="0"/>
              <w:adjustRightInd w:val="0"/>
              <w:jc w:val="both"/>
              <w:rPr>
                <w:sz w:val="16"/>
                <w:szCs w:val="16"/>
              </w:rPr>
            </w:pPr>
          </w:p>
        </w:tc>
        <w:tc>
          <w:tcPr>
            <w:tcW w:w="342" w:type="pct"/>
          </w:tcPr>
          <w:p w:rsidR="00562D0A" w:rsidRPr="005C2A81" w:rsidRDefault="00562D0A" w:rsidP="00562D0A">
            <w:pPr>
              <w:widowControl w:val="0"/>
              <w:autoSpaceDE w:val="0"/>
              <w:autoSpaceDN w:val="0"/>
              <w:adjustRightInd w:val="0"/>
              <w:jc w:val="both"/>
              <w:rPr>
                <w:sz w:val="16"/>
                <w:szCs w:val="16"/>
              </w:rPr>
            </w:pPr>
          </w:p>
        </w:tc>
        <w:tc>
          <w:tcPr>
            <w:tcW w:w="383" w:type="pct"/>
          </w:tcPr>
          <w:p w:rsidR="00562D0A" w:rsidRPr="005C2A81" w:rsidRDefault="00562D0A" w:rsidP="00562D0A">
            <w:pPr>
              <w:widowControl w:val="0"/>
              <w:autoSpaceDE w:val="0"/>
              <w:autoSpaceDN w:val="0"/>
              <w:adjustRightInd w:val="0"/>
              <w:jc w:val="both"/>
              <w:rPr>
                <w:sz w:val="16"/>
                <w:szCs w:val="16"/>
              </w:rPr>
            </w:pPr>
          </w:p>
        </w:tc>
        <w:tc>
          <w:tcPr>
            <w:tcW w:w="416" w:type="pct"/>
          </w:tcPr>
          <w:p w:rsidR="00562D0A" w:rsidRPr="005C2A81" w:rsidRDefault="00562D0A" w:rsidP="00562D0A">
            <w:pPr>
              <w:widowControl w:val="0"/>
              <w:autoSpaceDE w:val="0"/>
              <w:autoSpaceDN w:val="0"/>
              <w:adjustRightInd w:val="0"/>
              <w:jc w:val="both"/>
              <w:rPr>
                <w:sz w:val="16"/>
                <w:szCs w:val="16"/>
              </w:rPr>
            </w:pPr>
          </w:p>
        </w:tc>
        <w:tc>
          <w:tcPr>
            <w:tcW w:w="377" w:type="pct"/>
          </w:tcPr>
          <w:p w:rsidR="00562D0A" w:rsidRPr="005C2A81" w:rsidRDefault="00562D0A" w:rsidP="00562D0A">
            <w:pPr>
              <w:widowControl w:val="0"/>
              <w:autoSpaceDE w:val="0"/>
              <w:autoSpaceDN w:val="0"/>
              <w:adjustRightInd w:val="0"/>
              <w:jc w:val="both"/>
              <w:rPr>
                <w:sz w:val="16"/>
                <w:szCs w:val="16"/>
              </w:rPr>
            </w:pPr>
          </w:p>
        </w:tc>
        <w:tc>
          <w:tcPr>
            <w:tcW w:w="342" w:type="pct"/>
            <w:gridSpan w:val="2"/>
          </w:tcPr>
          <w:p w:rsidR="00562D0A" w:rsidRPr="005C2A81" w:rsidRDefault="00562D0A" w:rsidP="00562D0A">
            <w:pPr>
              <w:widowControl w:val="0"/>
              <w:autoSpaceDE w:val="0"/>
              <w:autoSpaceDN w:val="0"/>
              <w:adjustRightInd w:val="0"/>
              <w:jc w:val="both"/>
              <w:rPr>
                <w:sz w:val="16"/>
                <w:szCs w:val="16"/>
              </w:rPr>
            </w:pPr>
          </w:p>
        </w:tc>
        <w:tc>
          <w:tcPr>
            <w:tcW w:w="415" w:type="pct"/>
            <w:gridSpan w:val="2"/>
          </w:tcPr>
          <w:p w:rsidR="00562D0A" w:rsidRPr="005C2A81" w:rsidRDefault="00562D0A" w:rsidP="00562D0A">
            <w:pPr>
              <w:widowControl w:val="0"/>
              <w:autoSpaceDE w:val="0"/>
              <w:autoSpaceDN w:val="0"/>
              <w:adjustRightInd w:val="0"/>
              <w:jc w:val="both"/>
              <w:rPr>
                <w:sz w:val="16"/>
                <w:szCs w:val="16"/>
              </w:rPr>
            </w:pPr>
          </w:p>
        </w:tc>
      </w:tr>
      <w:tr w:rsidR="00562D0A" w:rsidRPr="009A405F" w:rsidTr="00562D0A">
        <w:tc>
          <w:tcPr>
            <w:tcW w:w="644" w:type="pct"/>
          </w:tcPr>
          <w:p w:rsidR="00562D0A" w:rsidRPr="009A405F" w:rsidRDefault="00562D0A" w:rsidP="00562D0A">
            <w:pPr>
              <w:widowControl w:val="0"/>
              <w:autoSpaceDE w:val="0"/>
              <w:autoSpaceDN w:val="0"/>
              <w:adjustRightInd w:val="0"/>
              <w:rPr>
                <w:sz w:val="18"/>
                <w:szCs w:val="18"/>
              </w:rPr>
            </w:pPr>
            <w:r w:rsidRPr="009A405F">
              <w:rPr>
                <w:sz w:val="18"/>
                <w:szCs w:val="18"/>
                <w:lang w:val="en-GB"/>
              </w:rPr>
              <w:t xml:space="preserve">Government expenditure </w:t>
            </w:r>
          </w:p>
        </w:tc>
        <w:tc>
          <w:tcPr>
            <w:tcW w:w="376" w:type="pct"/>
          </w:tcPr>
          <w:p w:rsidR="00562D0A" w:rsidRPr="009A405F" w:rsidRDefault="00562D0A" w:rsidP="00562D0A">
            <w:pPr>
              <w:widowControl w:val="0"/>
              <w:autoSpaceDE w:val="0"/>
              <w:autoSpaceDN w:val="0"/>
              <w:adjustRightInd w:val="0"/>
              <w:jc w:val="both"/>
              <w:rPr>
                <w:sz w:val="18"/>
                <w:szCs w:val="18"/>
              </w:rPr>
            </w:pPr>
            <w:r w:rsidRPr="009A405F">
              <w:rPr>
                <w:sz w:val="18"/>
                <w:szCs w:val="18"/>
              </w:rPr>
              <w:t>0.008</w:t>
            </w:r>
          </w:p>
          <w:p w:rsidR="00562D0A" w:rsidRPr="009A405F" w:rsidRDefault="00562D0A" w:rsidP="00562D0A">
            <w:pPr>
              <w:widowControl w:val="0"/>
              <w:autoSpaceDE w:val="0"/>
              <w:autoSpaceDN w:val="0"/>
              <w:adjustRightInd w:val="0"/>
              <w:jc w:val="both"/>
              <w:rPr>
                <w:sz w:val="18"/>
                <w:szCs w:val="18"/>
              </w:rPr>
            </w:pPr>
            <w:r w:rsidRPr="009A405F">
              <w:rPr>
                <w:sz w:val="18"/>
                <w:szCs w:val="18"/>
              </w:rPr>
              <w:t>(0.040)</w:t>
            </w:r>
          </w:p>
        </w:tc>
        <w:tc>
          <w:tcPr>
            <w:tcW w:w="344" w:type="pct"/>
          </w:tcPr>
          <w:p w:rsidR="00562D0A" w:rsidRPr="009A405F" w:rsidRDefault="00562D0A" w:rsidP="00562D0A">
            <w:pPr>
              <w:widowControl w:val="0"/>
              <w:autoSpaceDE w:val="0"/>
              <w:autoSpaceDN w:val="0"/>
              <w:adjustRightInd w:val="0"/>
              <w:jc w:val="both"/>
              <w:rPr>
                <w:sz w:val="18"/>
                <w:szCs w:val="18"/>
              </w:rPr>
            </w:pPr>
            <w:r w:rsidRPr="009A405F">
              <w:rPr>
                <w:sz w:val="18"/>
                <w:szCs w:val="18"/>
              </w:rPr>
              <w:t>-0.023</w:t>
            </w:r>
          </w:p>
          <w:p w:rsidR="00562D0A" w:rsidRPr="009A405F" w:rsidRDefault="00562D0A" w:rsidP="00562D0A">
            <w:pPr>
              <w:widowControl w:val="0"/>
              <w:autoSpaceDE w:val="0"/>
              <w:autoSpaceDN w:val="0"/>
              <w:adjustRightInd w:val="0"/>
              <w:jc w:val="both"/>
              <w:rPr>
                <w:sz w:val="18"/>
                <w:szCs w:val="18"/>
              </w:rPr>
            </w:pPr>
            <w:r w:rsidRPr="009A405F">
              <w:rPr>
                <w:sz w:val="18"/>
                <w:szCs w:val="18"/>
              </w:rPr>
              <w:t>(0.052)</w:t>
            </w:r>
          </w:p>
        </w:tc>
        <w:tc>
          <w:tcPr>
            <w:tcW w:w="342" w:type="pct"/>
          </w:tcPr>
          <w:p w:rsidR="00562D0A" w:rsidRPr="009A405F" w:rsidRDefault="00562D0A" w:rsidP="00562D0A">
            <w:pPr>
              <w:widowControl w:val="0"/>
              <w:autoSpaceDE w:val="0"/>
              <w:autoSpaceDN w:val="0"/>
              <w:adjustRightInd w:val="0"/>
              <w:jc w:val="both"/>
              <w:rPr>
                <w:sz w:val="18"/>
                <w:szCs w:val="18"/>
              </w:rPr>
            </w:pPr>
            <w:r w:rsidRPr="009A405F">
              <w:rPr>
                <w:sz w:val="18"/>
                <w:szCs w:val="18"/>
              </w:rPr>
              <w:t>0.005</w:t>
            </w:r>
          </w:p>
          <w:p w:rsidR="00562D0A" w:rsidRPr="009A405F" w:rsidRDefault="00562D0A" w:rsidP="00562D0A">
            <w:pPr>
              <w:widowControl w:val="0"/>
              <w:autoSpaceDE w:val="0"/>
              <w:autoSpaceDN w:val="0"/>
              <w:adjustRightInd w:val="0"/>
              <w:jc w:val="both"/>
              <w:rPr>
                <w:sz w:val="18"/>
                <w:szCs w:val="18"/>
              </w:rPr>
            </w:pPr>
            <w:r w:rsidRPr="009A405F">
              <w:rPr>
                <w:sz w:val="18"/>
                <w:szCs w:val="18"/>
              </w:rPr>
              <w:t>(0.041)</w:t>
            </w:r>
          </w:p>
        </w:tc>
        <w:tc>
          <w:tcPr>
            <w:tcW w:w="339" w:type="pct"/>
          </w:tcPr>
          <w:p w:rsidR="00562D0A" w:rsidRPr="009A405F" w:rsidRDefault="00562D0A" w:rsidP="00562D0A">
            <w:pPr>
              <w:widowControl w:val="0"/>
              <w:autoSpaceDE w:val="0"/>
              <w:autoSpaceDN w:val="0"/>
              <w:adjustRightInd w:val="0"/>
              <w:jc w:val="both"/>
              <w:rPr>
                <w:sz w:val="18"/>
                <w:szCs w:val="18"/>
              </w:rPr>
            </w:pPr>
            <w:r w:rsidRPr="009A405F">
              <w:rPr>
                <w:sz w:val="18"/>
                <w:szCs w:val="18"/>
              </w:rPr>
              <w:t>0.007</w:t>
            </w:r>
          </w:p>
          <w:p w:rsidR="00562D0A" w:rsidRPr="009A405F" w:rsidRDefault="00562D0A" w:rsidP="00562D0A">
            <w:pPr>
              <w:widowControl w:val="0"/>
              <w:autoSpaceDE w:val="0"/>
              <w:autoSpaceDN w:val="0"/>
              <w:adjustRightInd w:val="0"/>
              <w:jc w:val="both"/>
              <w:rPr>
                <w:sz w:val="18"/>
                <w:szCs w:val="18"/>
              </w:rPr>
            </w:pPr>
            <w:r w:rsidRPr="009A405F">
              <w:rPr>
                <w:sz w:val="18"/>
                <w:szCs w:val="18"/>
              </w:rPr>
              <w:t>(0.041)</w:t>
            </w:r>
          </w:p>
        </w:tc>
        <w:tc>
          <w:tcPr>
            <w:tcW w:w="339" w:type="pct"/>
          </w:tcPr>
          <w:p w:rsidR="00562D0A" w:rsidRPr="009A405F" w:rsidRDefault="00562D0A" w:rsidP="00562D0A">
            <w:pPr>
              <w:widowControl w:val="0"/>
              <w:autoSpaceDE w:val="0"/>
              <w:autoSpaceDN w:val="0"/>
              <w:adjustRightInd w:val="0"/>
              <w:jc w:val="both"/>
              <w:rPr>
                <w:sz w:val="18"/>
                <w:szCs w:val="18"/>
              </w:rPr>
            </w:pPr>
            <w:r w:rsidRPr="009A405F">
              <w:rPr>
                <w:sz w:val="18"/>
                <w:szCs w:val="18"/>
              </w:rPr>
              <w:t>-0.0084</w:t>
            </w:r>
          </w:p>
          <w:p w:rsidR="00562D0A" w:rsidRPr="009A405F" w:rsidRDefault="00562D0A" w:rsidP="00562D0A">
            <w:pPr>
              <w:widowControl w:val="0"/>
              <w:autoSpaceDE w:val="0"/>
              <w:autoSpaceDN w:val="0"/>
              <w:adjustRightInd w:val="0"/>
              <w:jc w:val="both"/>
              <w:rPr>
                <w:sz w:val="18"/>
                <w:szCs w:val="18"/>
              </w:rPr>
            </w:pPr>
            <w:r w:rsidRPr="009A405F">
              <w:rPr>
                <w:sz w:val="18"/>
                <w:szCs w:val="18"/>
              </w:rPr>
              <w:t>(0.042)</w:t>
            </w:r>
          </w:p>
        </w:tc>
        <w:tc>
          <w:tcPr>
            <w:tcW w:w="341" w:type="pct"/>
          </w:tcPr>
          <w:p w:rsidR="00562D0A" w:rsidRPr="009A405F" w:rsidRDefault="00562D0A" w:rsidP="00562D0A">
            <w:pPr>
              <w:widowControl w:val="0"/>
              <w:autoSpaceDE w:val="0"/>
              <w:autoSpaceDN w:val="0"/>
              <w:adjustRightInd w:val="0"/>
              <w:jc w:val="both"/>
              <w:rPr>
                <w:sz w:val="18"/>
                <w:szCs w:val="18"/>
              </w:rPr>
            </w:pPr>
            <w:r w:rsidRPr="009A405F">
              <w:rPr>
                <w:sz w:val="18"/>
                <w:szCs w:val="18"/>
              </w:rPr>
              <w:t>-0.009</w:t>
            </w:r>
          </w:p>
          <w:p w:rsidR="00562D0A" w:rsidRPr="009A405F" w:rsidRDefault="00562D0A" w:rsidP="00562D0A">
            <w:pPr>
              <w:widowControl w:val="0"/>
              <w:autoSpaceDE w:val="0"/>
              <w:autoSpaceDN w:val="0"/>
              <w:adjustRightInd w:val="0"/>
              <w:jc w:val="both"/>
              <w:rPr>
                <w:sz w:val="18"/>
                <w:szCs w:val="18"/>
              </w:rPr>
            </w:pPr>
            <w:r w:rsidRPr="009A405F">
              <w:rPr>
                <w:sz w:val="18"/>
                <w:szCs w:val="18"/>
              </w:rPr>
              <w:t>(0.042)</w:t>
            </w:r>
          </w:p>
        </w:tc>
        <w:tc>
          <w:tcPr>
            <w:tcW w:w="342" w:type="pct"/>
          </w:tcPr>
          <w:p w:rsidR="00562D0A" w:rsidRPr="009A405F" w:rsidRDefault="00562D0A" w:rsidP="00562D0A">
            <w:pPr>
              <w:widowControl w:val="0"/>
              <w:autoSpaceDE w:val="0"/>
              <w:autoSpaceDN w:val="0"/>
              <w:adjustRightInd w:val="0"/>
              <w:jc w:val="both"/>
              <w:rPr>
                <w:sz w:val="18"/>
                <w:szCs w:val="18"/>
              </w:rPr>
            </w:pPr>
            <w:r w:rsidRPr="009A405F">
              <w:rPr>
                <w:sz w:val="18"/>
                <w:szCs w:val="18"/>
              </w:rPr>
              <w:t>-0.002</w:t>
            </w:r>
          </w:p>
          <w:p w:rsidR="00562D0A" w:rsidRPr="009A405F" w:rsidRDefault="00562D0A" w:rsidP="00562D0A">
            <w:pPr>
              <w:widowControl w:val="0"/>
              <w:autoSpaceDE w:val="0"/>
              <w:autoSpaceDN w:val="0"/>
              <w:adjustRightInd w:val="0"/>
              <w:jc w:val="both"/>
              <w:rPr>
                <w:sz w:val="18"/>
                <w:szCs w:val="18"/>
              </w:rPr>
            </w:pPr>
            <w:r w:rsidRPr="009A405F">
              <w:rPr>
                <w:sz w:val="18"/>
                <w:szCs w:val="18"/>
              </w:rPr>
              <w:t>(0.043)</w:t>
            </w:r>
          </w:p>
        </w:tc>
        <w:tc>
          <w:tcPr>
            <w:tcW w:w="383" w:type="pct"/>
          </w:tcPr>
          <w:p w:rsidR="00562D0A" w:rsidRPr="009A405F" w:rsidRDefault="00562D0A" w:rsidP="00562D0A">
            <w:pPr>
              <w:widowControl w:val="0"/>
              <w:autoSpaceDE w:val="0"/>
              <w:autoSpaceDN w:val="0"/>
              <w:adjustRightInd w:val="0"/>
              <w:jc w:val="both"/>
              <w:rPr>
                <w:sz w:val="18"/>
                <w:szCs w:val="18"/>
              </w:rPr>
            </w:pPr>
            <w:r w:rsidRPr="009A405F">
              <w:rPr>
                <w:sz w:val="18"/>
                <w:szCs w:val="18"/>
              </w:rPr>
              <w:t>-0.033</w:t>
            </w:r>
          </w:p>
          <w:p w:rsidR="00562D0A" w:rsidRPr="009A405F" w:rsidRDefault="00562D0A" w:rsidP="00562D0A">
            <w:pPr>
              <w:widowControl w:val="0"/>
              <w:autoSpaceDE w:val="0"/>
              <w:autoSpaceDN w:val="0"/>
              <w:adjustRightInd w:val="0"/>
              <w:jc w:val="both"/>
              <w:rPr>
                <w:sz w:val="18"/>
                <w:szCs w:val="18"/>
              </w:rPr>
            </w:pPr>
            <w:r w:rsidRPr="009A405F">
              <w:rPr>
                <w:sz w:val="18"/>
                <w:szCs w:val="18"/>
              </w:rPr>
              <w:t>(0.045)</w:t>
            </w:r>
          </w:p>
        </w:tc>
        <w:tc>
          <w:tcPr>
            <w:tcW w:w="416" w:type="pct"/>
          </w:tcPr>
          <w:p w:rsidR="00562D0A" w:rsidRPr="009A405F" w:rsidRDefault="00562D0A" w:rsidP="00562D0A">
            <w:pPr>
              <w:widowControl w:val="0"/>
              <w:autoSpaceDE w:val="0"/>
              <w:autoSpaceDN w:val="0"/>
              <w:adjustRightInd w:val="0"/>
              <w:jc w:val="both"/>
              <w:rPr>
                <w:sz w:val="18"/>
                <w:szCs w:val="18"/>
              </w:rPr>
            </w:pPr>
            <w:r w:rsidRPr="009A405F">
              <w:rPr>
                <w:sz w:val="18"/>
                <w:szCs w:val="18"/>
              </w:rPr>
              <w:t>0.025</w:t>
            </w:r>
          </w:p>
          <w:p w:rsidR="00562D0A" w:rsidRPr="009A405F" w:rsidRDefault="00562D0A" w:rsidP="00562D0A">
            <w:pPr>
              <w:widowControl w:val="0"/>
              <w:autoSpaceDE w:val="0"/>
              <w:autoSpaceDN w:val="0"/>
              <w:adjustRightInd w:val="0"/>
              <w:jc w:val="both"/>
              <w:rPr>
                <w:sz w:val="18"/>
                <w:szCs w:val="18"/>
              </w:rPr>
            </w:pPr>
            <w:r w:rsidRPr="009A405F">
              <w:rPr>
                <w:sz w:val="18"/>
                <w:szCs w:val="18"/>
              </w:rPr>
              <w:t>(0.042)</w:t>
            </w:r>
          </w:p>
        </w:tc>
        <w:tc>
          <w:tcPr>
            <w:tcW w:w="377" w:type="pct"/>
          </w:tcPr>
          <w:p w:rsidR="00562D0A" w:rsidRDefault="00562D0A" w:rsidP="00562D0A">
            <w:pPr>
              <w:widowControl w:val="0"/>
              <w:autoSpaceDE w:val="0"/>
              <w:autoSpaceDN w:val="0"/>
              <w:adjustRightInd w:val="0"/>
              <w:jc w:val="both"/>
              <w:rPr>
                <w:sz w:val="18"/>
                <w:szCs w:val="18"/>
              </w:rPr>
            </w:pPr>
            <w:r w:rsidRPr="00730277">
              <w:rPr>
                <w:sz w:val="18"/>
                <w:szCs w:val="18"/>
              </w:rPr>
              <w:t>0.01492</w:t>
            </w:r>
          </w:p>
          <w:p w:rsidR="00562D0A" w:rsidRPr="009A405F" w:rsidRDefault="00562D0A" w:rsidP="00562D0A">
            <w:pPr>
              <w:widowControl w:val="0"/>
              <w:autoSpaceDE w:val="0"/>
              <w:autoSpaceDN w:val="0"/>
              <w:adjustRightInd w:val="0"/>
              <w:jc w:val="both"/>
              <w:rPr>
                <w:sz w:val="18"/>
                <w:szCs w:val="18"/>
              </w:rPr>
            </w:pPr>
            <w:r w:rsidRPr="00730277">
              <w:rPr>
                <w:sz w:val="18"/>
                <w:szCs w:val="18"/>
              </w:rPr>
              <w:t>(0.043)</w:t>
            </w:r>
          </w:p>
        </w:tc>
        <w:tc>
          <w:tcPr>
            <w:tcW w:w="342" w:type="pct"/>
            <w:gridSpan w:val="2"/>
          </w:tcPr>
          <w:p w:rsidR="00562D0A" w:rsidRDefault="00562D0A" w:rsidP="00562D0A">
            <w:pPr>
              <w:widowControl w:val="0"/>
              <w:autoSpaceDE w:val="0"/>
              <w:autoSpaceDN w:val="0"/>
              <w:adjustRightInd w:val="0"/>
              <w:jc w:val="both"/>
              <w:rPr>
                <w:sz w:val="18"/>
                <w:szCs w:val="18"/>
              </w:rPr>
            </w:pPr>
            <w:r>
              <w:rPr>
                <w:sz w:val="18"/>
                <w:szCs w:val="18"/>
              </w:rPr>
              <w:t>0.007</w:t>
            </w:r>
          </w:p>
          <w:p w:rsidR="00562D0A" w:rsidRPr="009A405F" w:rsidRDefault="00562D0A" w:rsidP="00562D0A">
            <w:pPr>
              <w:widowControl w:val="0"/>
              <w:autoSpaceDE w:val="0"/>
              <w:autoSpaceDN w:val="0"/>
              <w:adjustRightInd w:val="0"/>
              <w:jc w:val="both"/>
              <w:rPr>
                <w:sz w:val="18"/>
                <w:szCs w:val="18"/>
              </w:rPr>
            </w:pPr>
            <w:r w:rsidRPr="00730277">
              <w:rPr>
                <w:sz w:val="18"/>
                <w:szCs w:val="18"/>
              </w:rPr>
              <w:t>(0.058)</w:t>
            </w:r>
          </w:p>
        </w:tc>
        <w:tc>
          <w:tcPr>
            <w:tcW w:w="415" w:type="pct"/>
            <w:gridSpan w:val="2"/>
          </w:tcPr>
          <w:p w:rsidR="00562D0A" w:rsidRDefault="00562D0A" w:rsidP="00562D0A">
            <w:pPr>
              <w:widowControl w:val="0"/>
              <w:autoSpaceDE w:val="0"/>
              <w:autoSpaceDN w:val="0"/>
              <w:adjustRightInd w:val="0"/>
              <w:jc w:val="both"/>
              <w:rPr>
                <w:sz w:val="18"/>
                <w:szCs w:val="18"/>
              </w:rPr>
            </w:pPr>
            <w:r>
              <w:rPr>
                <w:sz w:val="18"/>
                <w:szCs w:val="18"/>
              </w:rPr>
              <w:t>0.026</w:t>
            </w:r>
          </w:p>
          <w:p w:rsidR="00562D0A" w:rsidRPr="009A405F" w:rsidRDefault="00562D0A" w:rsidP="00562D0A">
            <w:pPr>
              <w:jc w:val="both"/>
              <w:rPr>
                <w:sz w:val="18"/>
                <w:szCs w:val="18"/>
              </w:rPr>
            </w:pPr>
            <w:r w:rsidRPr="00730277">
              <w:rPr>
                <w:sz w:val="18"/>
                <w:szCs w:val="18"/>
              </w:rPr>
              <w:t>(0.043)</w:t>
            </w:r>
          </w:p>
        </w:tc>
      </w:tr>
      <w:tr w:rsidR="00562D0A" w:rsidRPr="009A405F" w:rsidTr="00562D0A">
        <w:tc>
          <w:tcPr>
            <w:tcW w:w="644" w:type="pct"/>
          </w:tcPr>
          <w:p w:rsidR="00562D0A" w:rsidRPr="009A405F" w:rsidRDefault="00562D0A" w:rsidP="00562D0A">
            <w:pPr>
              <w:widowControl w:val="0"/>
              <w:autoSpaceDE w:val="0"/>
              <w:autoSpaceDN w:val="0"/>
              <w:adjustRightInd w:val="0"/>
              <w:rPr>
                <w:sz w:val="18"/>
                <w:szCs w:val="18"/>
                <w:lang w:val="en-GB"/>
              </w:rPr>
            </w:pPr>
            <w:r w:rsidRPr="009A405F">
              <w:rPr>
                <w:sz w:val="18"/>
                <w:szCs w:val="18"/>
                <w:lang w:val="en-GB"/>
              </w:rPr>
              <w:t>volatility</w:t>
            </w:r>
          </w:p>
        </w:tc>
        <w:tc>
          <w:tcPr>
            <w:tcW w:w="376" w:type="pct"/>
          </w:tcPr>
          <w:p w:rsidR="00562D0A" w:rsidRPr="009A405F" w:rsidRDefault="00562D0A" w:rsidP="00562D0A">
            <w:pPr>
              <w:widowControl w:val="0"/>
              <w:autoSpaceDE w:val="0"/>
              <w:autoSpaceDN w:val="0"/>
              <w:adjustRightInd w:val="0"/>
              <w:jc w:val="center"/>
              <w:rPr>
                <w:sz w:val="18"/>
                <w:szCs w:val="18"/>
              </w:rPr>
            </w:pPr>
          </w:p>
        </w:tc>
        <w:tc>
          <w:tcPr>
            <w:tcW w:w="344" w:type="pct"/>
          </w:tcPr>
          <w:p w:rsidR="00562D0A" w:rsidRPr="009A405F" w:rsidRDefault="00562D0A" w:rsidP="00562D0A">
            <w:pPr>
              <w:widowControl w:val="0"/>
              <w:autoSpaceDE w:val="0"/>
              <w:autoSpaceDN w:val="0"/>
              <w:adjustRightInd w:val="0"/>
              <w:jc w:val="center"/>
              <w:rPr>
                <w:sz w:val="18"/>
                <w:szCs w:val="18"/>
              </w:rPr>
            </w:pPr>
          </w:p>
        </w:tc>
        <w:tc>
          <w:tcPr>
            <w:tcW w:w="342" w:type="pct"/>
          </w:tcPr>
          <w:p w:rsidR="00562D0A" w:rsidRPr="009A405F" w:rsidRDefault="00562D0A" w:rsidP="00562D0A">
            <w:pPr>
              <w:widowControl w:val="0"/>
              <w:autoSpaceDE w:val="0"/>
              <w:autoSpaceDN w:val="0"/>
              <w:adjustRightInd w:val="0"/>
              <w:jc w:val="center"/>
              <w:rPr>
                <w:sz w:val="18"/>
                <w:szCs w:val="18"/>
              </w:rPr>
            </w:pPr>
          </w:p>
        </w:tc>
        <w:tc>
          <w:tcPr>
            <w:tcW w:w="339" w:type="pct"/>
          </w:tcPr>
          <w:p w:rsidR="00562D0A" w:rsidRPr="009A405F" w:rsidRDefault="00562D0A" w:rsidP="00562D0A">
            <w:pPr>
              <w:widowControl w:val="0"/>
              <w:autoSpaceDE w:val="0"/>
              <w:autoSpaceDN w:val="0"/>
              <w:adjustRightInd w:val="0"/>
              <w:jc w:val="center"/>
              <w:rPr>
                <w:sz w:val="18"/>
                <w:szCs w:val="18"/>
              </w:rPr>
            </w:pPr>
          </w:p>
        </w:tc>
        <w:tc>
          <w:tcPr>
            <w:tcW w:w="339" w:type="pct"/>
          </w:tcPr>
          <w:p w:rsidR="00562D0A" w:rsidRPr="009A405F" w:rsidRDefault="00562D0A" w:rsidP="00562D0A">
            <w:pPr>
              <w:widowControl w:val="0"/>
              <w:autoSpaceDE w:val="0"/>
              <w:autoSpaceDN w:val="0"/>
              <w:adjustRightInd w:val="0"/>
              <w:jc w:val="center"/>
              <w:rPr>
                <w:sz w:val="18"/>
                <w:szCs w:val="18"/>
              </w:rPr>
            </w:pPr>
          </w:p>
        </w:tc>
        <w:tc>
          <w:tcPr>
            <w:tcW w:w="341" w:type="pct"/>
          </w:tcPr>
          <w:p w:rsidR="00562D0A" w:rsidRPr="009A405F" w:rsidRDefault="00562D0A" w:rsidP="00562D0A">
            <w:pPr>
              <w:widowControl w:val="0"/>
              <w:autoSpaceDE w:val="0"/>
              <w:autoSpaceDN w:val="0"/>
              <w:adjustRightInd w:val="0"/>
              <w:jc w:val="center"/>
              <w:rPr>
                <w:sz w:val="18"/>
                <w:szCs w:val="18"/>
              </w:rPr>
            </w:pPr>
          </w:p>
        </w:tc>
        <w:tc>
          <w:tcPr>
            <w:tcW w:w="342" w:type="pct"/>
          </w:tcPr>
          <w:p w:rsidR="00562D0A" w:rsidRPr="009A405F" w:rsidRDefault="00562D0A" w:rsidP="00562D0A">
            <w:pPr>
              <w:widowControl w:val="0"/>
              <w:autoSpaceDE w:val="0"/>
              <w:autoSpaceDN w:val="0"/>
              <w:adjustRightInd w:val="0"/>
              <w:jc w:val="center"/>
              <w:rPr>
                <w:sz w:val="18"/>
                <w:szCs w:val="18"/>
              </w:rPr>
            </w:pPr>
          </w:p>
        </w:tc>
        <w:tc>
          <w:tcPr>
            <w:tcW w:w="383" w:type="pct"/>
          </w:tcPr>
          <w:p w:rsidR="00562D0A" w:rsidRPr="009A405F" w:rsidRDefault="00562D0A" w:rsidP="00562D0A">
            <w:pPr>
              <w:widowControl w:val="0"/>
              <w:autoSpaceDE w:val="0"/>
              <w:autoSpaceDN w:val="0"/>
              <w:adjustRightInd w:val="0"/>
              <w:jc w:val="center"/>
              <w:rPr>
                <w:sz w:val="18"/>
                <w:szCs w:val="18"/>
              </w:rPr>
            </w:pPr>
          </w:p>
        </w:tc>
        <w:tc>
          <w:tcPr>
            <w:tcW w:w="416" w:type="pct"/>
          </w:tcPr>
          <w:p w:rsidR="00562D0A" w:rsidRPr="009A405F" w:rsidRDefault="00562D0A" w:rsidP="00562D0A">
            <w:pPr>
              <w:widowControl w:val="0"/>
              <w:autoSpaceDE w:val="0"/>
              <w:autoSpaceDN w:val="0"/>
              <w:adjustRightInd w:val="0"/>
              <w:jc w:val="center"/>
              <w:rPr>
                <w:sz w:val="18"/>
                <w:szCs w:val="18"/>
              </w:rPr>
            </w:pPr>
          </w:p>
        </w:tc>
        <w:tc>
          <w:tcPr>
            <w:tcW w:w="377" w:type="pct"/>
          </w:tcPr>
          <w:p w:rsidR="00562D0A" w:rsidRDefault="00562D0A" w:rsidP="00562D0A">
            <w:pPr>
              <w:widowControl w:val="0"/>
              <w:autoSpaceDE w:val="0"/>
              <w:autoSpaceDN w:val="0"/>
              <w:adjustRightInd w:val="0"/>
              <w:jc w:val="center"/>
              <w:rPr>
                <w:sz w:val="18"/>
                <w:szCs w:val="18"/>
              </w:rPr>
            </w:pPr>
          </w:p>
        </w:tc>
        <w:tc>
          <w:tcPr>
            <w:tcW w:w="342" w:type="pct"/>
            <w:gridSpan w:val="2"/>
          </w:tcPr>
          <w:p w:rsidR="00562D0A" w:rsidRDefault="00562D0A" w:rsidP="00562D0A">
            <w:pPr>
              <w:widowControl w:val="0"/>
              <w:autoSpaceDE w:val="0"/>
              <w:autoSpaceDN w:val="0"/>
              <w:adjustRightInd w:val="0"/>
              <w:jc w:val="center"/>
              <w:rPr>
                <w:sz w:val="18"/>
                <w:szCs w:val="18"/>
              </w:rPr>
            </w:pPr>
          </w:p>
        </w:tc>
        <w:tc>
          <w:tcPr>
            <w:tcW w:w="415" w:type="pct"/>
            <w:gridSpan w:val="2"/>
          </w:tcPr>
          <w:p w:rsidR="00562D0A" w:rsidRDefault="00562D0A" w:rsidP="00562D0A">
            <w:pPr>
              <w:widowControl w:val="0"/>
              <w:autoSpaceDE w:val="0"/>
              <w:autoSpaceDN w:val="0"/>
              <w:adjustRightInd w:val="0"/>
              <w:jc w:val="center"/>
              <w:rPr>
                <w:sz w:val="18"/>
                <w:szCs w:val="18"/>
              </w:rPr>
            </w:pPr>
          </w:p>
        </w:tc>
      </w:tr>
      <w:tr w:rsidR="00562D0A" w:rsidRPr="009A405F" w:rsidTr="00562D0A">
        <w:tc>
          <w:tcPr>
            <w:tcW w:w="644" w:type="pct"/>
          </w:tcPr>
          <w:p w:rsidR="00562D0A" w:rsidRPr="009A405F" w:rsidRDefault="00562D0A" w:rsidP="00562D0A">
            <w:pPr>
              <w:widowControl w:val="0"/>
              <w:autoSpaceDE w:val="0"/>
              <w:autoSpaceDN w:val="0"/>
              <w:adjustRightInd w:val="0"/>
              <w:rPr>
                <w:sz w:val="18"/>
                <w:szCs w:val="18"/>
              </w:rPr>
            </w:pPr>
            <w:r>
              <w:rPr>
                <w:sz w:val="18"/>
                <w:szCs w:val="18"/>
                <w:lang w:val="en-GB"/>
              </w:rPr>
              <w:t>Credit</w:t>
            </w:r>
            <w:r w:rsidRPr="009A405F">
              <w:rPr>
                <w:sz w:val="18"/>
                <w:szCs w:val="18"/>
                <w:lang w:val="en-GB"/>
              </w:rPr>
              <w:t xml:space="preserve"> to private/GDP</w:t>
            </w:r>
          </w:p>
        </w:tc>
        <w:tc>
          <w:tcPr>
            <w:tcW w:w="376" w:type="pct"/>
          </w:tcPr>
          <w:p w:rsidR="00562D0A" w:rsidRDefault="00562D0A" w:rsidP="00562D0A">
            <w:pPr>
              <w:widowControl w:val="0"/>
              <w:autoSpaceDE w:val="0"/>
              <w:autoSpaceDN w:val="0"/>
              <w:adjustRightInd w:val="0"/>
              <w:jc w:val="center"/>
              <w:rPr>
                <w:sz w:val="18"/>
                <w:szCs w:val="18"/>
              </w:rPr>
            </w:pPr>
            <w:r w:rsidRPr="009A405F">
              <w:rPr>
                <w:sz w:val="18"/>
                <w:szCs w:val="18"/>
              </w:rPr>
              <w:t>0.027</w:t>
            </w:r>
          </w:p>
          <w:p w:rsidR="00562D0A" w:rsidRPr="009A405F" w:rsidRDefault="00562D0A" w:rsidP="00562D0A">
            <w:pPr>
              <w:widowControl w:val="0"/>
              <w:autoSpaceDE w:val="0"/>
              <w:autoSpaceDN w:val="0"/>
              <w:adjustRightInd w:val="0"/>
              <w:jc w:val="center"/>
              <w:rPr>
                <w:sz w:val="18"/>
                <w:szCs w:val="18"/>
              </w:rPr>
            </w:pPr>
            <w:r w:rsidRPr="009A405F">
              <w:rPr>
                <w:sz w:val="18"/>
                <w:szCs w:val="18"/>
              </w:rPr>
              <w:t>(0.017)</w:t>
            </w:r>
          </w:p>
        </w:tc>
        <w:tc>
          <w:tcPr>
            <w:tcW w:w="344" w:type="pct"/>
          </w:tcPr>
          <w:p w:rsidR="00562D0A" w:rsidRDefault="00562D0A" w:rsidP="00562D0A">
            <w:pPr>
              <w:widowControl w:val="0"/>
              <w:autoSpaceDE w:val="0"/>
              <w:autoSpaceDN w:val="0"/>
              <w:adjustRightInd w:val="0"/>
              <w:jc w:val="center"/>
              <w:rPr>
                <w:sz w:val="18"/>
                <w:szCs w:val="18"/>
              </w:rPr>
            </w:pPr>
            <w:r w:rsidRPr="009A405F">
              <w:rPr>
                <w:sz w:val="18"/>
                <w:szCs w:val="18"/>
              </w:rPr>
              <w:t>0.031*</w:t>
            </w:r>
          </w:p>
          <w:p w:rsidR="00562D0A" w:rsidRPr="009A405F" w:rsidRDefault="00562D0A" w:rsidP="00562D0A">
            <w:pPr>
              <w:widowControl w:val="0"/>
              <w:autoSpaceDE w:val="0"/>
              <w:autoSpaceDN w:val="0"/>
              <w:adjustRightInd w:val="0"/>
              <w:jc w:val="center"/>
              <w:rPr>
                <w:sz w:val="18"/>
                <w:szCs w:val="18"/>
              </w:rPr>
            </w:pPr>
            <w:r>
              <w:rPr>
                <w:sz w:val="18"/>
                <w:szCs w:val="18"/>
              </w:rPr>
              <w:t>(0.016)</w:t>
            </w:r>
          </w:p>
        </w:tc>
        <w:tc>
          <w:tcPr>
            <w:tcW w:w="342" w:type="pct"/>
          </w:tcPr>
          <w:p w:rsidR="00562D0A" w:rsidRDefault="00562D0A" w:rsidP="00562D0A">
            <w:pPr>
              <w:widowControl w:val="0"/>
              <w:autoSpaceDE w:val="0"/>
              <w:autoSpaceDN w:val="0"/>
              <w:adjustRightInd w:val="0"/>
              <w:jc w:val="center"/>
              <w:rPr>
                <w:sz w:val="18"/>
                <w:szCs w:val="18"/>
              </w:rPr>
            </w:pPr>
            <w:r w:rsidRPr="009A405F">
              <w:rPr>
                <w:sz w:val="18"/>
                <w:szCs w:val="18"/>
              </w:rPr>
              <w:t>0.029*</w:t>
            </w:r>
          </w:p>
          <w:p w:rsidR="00562D0A" w:rsidRPr="009A405F" w:rsidRDefault="00562D0A" w:rsidP="00562D0A">
            <w:pPr>
              <w:widowControl w:val="0"/>
              <w:autoSpaceDE w:val="0"/>
              <w:autoSpaceDN w:val="0"/>
              <w:adjustRightInd w:val="0"/>
              <w:jc w:val="center"/>
              <w:rPr>
                <w:sz w:val="18"/>
                <w:szCs w:val="18"/>
              </w:rPr>
            </w:pPr>
            <w:r w:rsidRPr="009A405F">
              <w:rPr>
                <w:sz w:val="18"/>
                <w:szCs w:val="18"/>
              </w:rPr>
              <w:t>(0.017)</w:t>
            </w:r>
          </w:p>
        </w:tc>
        <w:tc>
          <w:tcPr>
            <w:tcW w:w="339" w:type="pct"/>
          </w:tcPr>
          <w:p w:rsidR="00562D0A" w:rsidRDefault="00562D0A" w:rsidP="00562D0A">
            <w:pPr>
              <w:widowControl w:val="0"/>
              <w:autoSpaceDE w:val="0"/>
              <w:autoSpaceDN w:val="0"/>
              <w:adjustRightInd w:val="0"/>
              <w:jc w:val="center"/>
              <w:rPr>
                <w:sz w:val="18"/>
                <w:szCs w:val="18"/>
              </w:rPr>
            </w:pPr>
            <w:r w:rsidRPr="009A405F">
              <w:rPr>
                <w:sz w:val="18"/>
                <w:szCs w:val="18"/>
              </w:rPr>
              <w:t>0.028</w:t>
            </w:r>
          </w:p>
          <w:p w:rsidR="00562D0A" w:rsidRPr="009A405F" w:rsidRDefault="00562D0A" w:rsidP="00562D0A">
            <w:pPr>
              <w:widowControl w:val="0"/>
              <w:autoSpaceDE w:val="0"/>
              <w:autoSpaceDN w:val="0"/>
              <w:adjustRightInd w:val="0"/>
              <w:jc w:val="center"/>
              <w:rPr>
                <w:sz w:val="18"/>
                <w:szCs w:val="18"/>
              </w:rPr>
            </w:pPr>
            <w:r>
              <w:rPr>
                <w:sz w:val="18"/>
                <w:szCs w:val="18"/>
              </w:rPr>
              <w:t>(0.018</w:t>
            </w:r>
            <w:r w:rsidRPr="009A405F">
              <w:rPr>
                <w:sz w:val="18"/>
                <w:szCs w:val="18"/>
              </w:rPr>
              <w:t>)</w:t>
            </w:r>
          </w:p>
        </w:tc>
        <w:tc>
          <w:tcPr>
            <w:tcW w:w="339" w:type="pct"/>
          </w:tcPr>
          <w:p w:rsidR="00562D0A" w:rsidRDefault="00562D0A" w:rsidP="00562D0A">
            <w:pPr>
              <w:widowControl w:val="0"/>
              <w:autoSpaceDE w:val="0"/>
              <w:autoSpaceDN w:val="0"/>
              <w:adjustRightInd w:val="0"/>
              <w:jc w:val="center"/>
              <w:rPr>
                <w:sz w:val="18"/>
                <w:szCs w:val="18"/>
              </w:rPr>
            </w:pPr>
            <w:r w:rsidRPr="009A405F">
              <w:rPr>
                <w:sz w:val="18"/>
                <w:szCs w:val="18"/>
              </w:rPr>
              <w:t>0.015</w:t>
            </w:r>
          </w:p>
          <w:p w:rsidR="00562D0A" w:rsidRPr="009A405F" w:rsidRDefault="00562D0A" w:rsidP="00562D0A">
            <w:pPr>
              <w:widowControl w:val="0"/>
              <w:autoSpaceDE w:val="0"/>
              <w:autoSpaceDN w:val="0"/>
              <w:adjustRightInd w:val="0"/>
              <w:jc w:val="center"/>
              <w:rPr>
                <w:sz w:val="18"/>
                <w:szCs w:val="18"/>
              </w:rPr>
            </w:pPr>
            <w:r>
              <w:rPr>
                <w:sz w:val="18"/>
                <w:szCs w:val="18"/>
              </w:rPr>
              <w:t>(0.018</w:t>
            </w:r>
            <w:r w:rsidRPr="009A405F">
              <w:rPr>
                <w:sz w:val="18"/>
                <w:szCs w:val="18"/>
              </w:rPr>
              <w:t>)</w:t>
            </w:r>
          </w:p>
        </w:tc>
        <w:tc>
          <w:tcPr>
            <w:tcW w:w="341" w:type="pct"/>
          </w:tcPr>
          <w:p w:rsidR="00562D0A" w:rsidRDefault="00562D0A" w:rsidP="00562D0A">
            <w:pPr>
              <w:widowControl w:val="0"/>
              <w:autoSpaceDE w:val="0"/>
              <w:autoSpaceDN w:val="0"/>
              <w:adjustRightInd w:val="0"/>
              <w:jc w:val="center"/>
              <w:rPr>
                <w:sz w:val="18"/>
                <w:szCs w:val="18"/>
              </w:rPr>
            </w:pPr>
            <w:r w:rsidRPr="009A405F">
              <w:rPr>
                <w:sz w:val="18"/>
                <w:szCs w:val="18"/>
              </w:rPr>
              <w:t>0.033*</w:t>
            </w:r>
          </w:p>
          <w:p w:rsidR="00562D0A" w:rsidRPr="009A405F" w:rsidRDefault="00562D0A" w:rsidP="00562D0A">
            <w:pPr>
              <w:widowControl w:val="0"/>
              <w:autoSpaceDE w:val="0"/>
              <w:autoSpaceDN w:val="0"/>
              <w:adjustRightInd w:val="0"/>
              <w:jc w:val="center"/>
              <w:rPr>
                <w:sz w:val="18"/>
                <w:szCs w:val="18"/>
              </w:rPr>
            </w:pPr>
            <w:r w:rsidRPr="009A405F">
              <w:rPr>
                <w:sz w:val="18"/>
                <w:szCs w:val="18"/>
              </w:rPr>
              <w:t>(0.017)</w:t>
            </w:r>
          </w:p>
        </w:tc>
        <w:tc>
          <w:tcPr>
            <w:tcW w:w="342" w:type="pct"/>
          </w:tcPr>
          <w:p w:rsidR="00562D0A" w:rsidRDefault="00562D0A" w:rsidP="00562D0A">
            <w:pPr>
              <w:widowControl w:val="0"/>
              <w:autoSpaceDE w:val="0"/>
              <w:autoSpaceDN w:val="0"/>
              <w:adjustRightInd w:val="0"/>
              <w:jc w:val="center"/>
              <w:rPr>
                <w:sz w:val="18"/>
                <w:szCs w:val="18"/>
              </w:rPr>
            </w:pPr>
            <w:r w:rsidRPr="009A405F">
              <w:rPr>
                <w:sz w:val="18"/>
                <w:szCs w:val="18"/>
              </w:rPr>
              <w:t>0.027</w:t>
            </w:r>
          </w:p>
          <w:p w:rsidR="00562D0A" w:rsidRPr="009A405F" w:rsidRDefault="00562D0A" w:rsidP="00562D0A">
            <w:pPr>
              <w:widowControl w:val="0"/>
              <w:autoSpaceDE w:val="0"/>
              <w:autoSpaceDN w:val="0"/>
              <w:adjustRightInd w:val="0"/>
              <w:jc w:val="center"/>
              <w:rPr>
                <w:sz w:val="18"/>
                <w:szCs w:val="18"/>
              </w:rPr>
            </w:pPr>
            <w:r>
              <w:rPr>
                <w:sz w:val="18"/>
                <w:szCs w:val="18"/>
              </w:rPr>
              <w:t>(0.018</w:t>
            </w:r>
            <w:r w:rsidRPr="009A405F">
              <w:rPr>
                <w:sz w:val="18"/>
                <w:szCs w:val="18"/>
              </w:rPr>
              <w:t>)</w:t>
            </w:r>
          </w:p>
        </w:tc>
        <w:tc>
          <w:tcPr>
            <w:tcW w:w="383" w:type="pct"/>
          </w:tcPr>
          <w:p w:rsidR="00562D0A" w:rsidRDefault="00562D0A" w:rsidP="00562D0A">
            <w:pPr>
              <w:widowControl w:val="0"/>
              <w:autoSpaceDE w:val="0"/>
              <w:autoSpaceDN w:val="0"/>
              <w:adjustRightInd w:val="0"/>
              <w:jc w:val="center"/>
              <w:rPr>
                <w:sz w:val="18"/>
                <w:szCs w:val="18"/>
              </w:rPr>
            </w:pPr>
            <w:r w:rsidRPr="009A405F">
              <w:rPr>
                <w:sz w:val="18"/>
                <w:szCs w:val="18"/>
              </w:rPr>
              <w:t>0.037*</w:t>
            </w:r>
          </w:p>
          <w:p w:rsidR="00562D0A" w:rsidRPr="009A405F" w:rsidRDefault="00562D0A" w:rsidP="00562D0A">
            <w:pPr>
              <w:widowControl w:val="0"/>
              <w:autoSpaceDE w:val="0"/>
              <w:autoSpaceDN w:val="0"/>
              <w:adjustRightInd w:val="0"/>
              <w:jc w:val="center"/>
              <w:rPr>
                <w:sz w:val="18"/>
                <w:szCs w:val="18"/>
              </w:rPr>
            </w:pPr>
            <w:r>
              <w:rPr>
                <w:sz w:val="18"/>
                <w:szCs w:val="18"/>
              </w:rPr>
              <w:t>(0.019</w:t>
            </w:r>
            <w:r w:rsidRPr="009A405F">
              <w:rPr>
                <w:sz w:val="18"/>
                <w:szCs w:val="18"/>
              </w:rPr>
              <w:t>)</w:t>
            </w:r>
          </w:p>
        </w:tc>
        <w:tc>
          <w:tcPr>
            <w:tcW w:w="416" w:type="pct"/>
          </w:tcPr>
          <w:p w:rsidR="00562D0A" w:rsidRDefault="00562D0A" w:rsidP="00562D0A">
            <w:pPr>
              <w:widowControl w:val="0"/>
              <w:autoSpaceDE w:val="0"/>
              <w:autoSpaceDN w:val="0"/>
              <w:adjustRightInd w:val="0"/>
              <w:jc w:val="center"/>
              <w:rPr>
                <w:sz w:val="18"/>
                <w:szCs w:val="18"/>
              </w:rPr>
            </w:pPr>
            <w:r w:rsidRPr="009A405F">
              <w:rPr>
                <w:sz w:val="18"/>
                <w:szCs w:val="18"/>
              </w:rPr>
              <w:t>0.025</w:t>
            </w:r>
          </w:p>
          <w:p w:rsidR="00562D0A" w:rsidRPr="009A405F" w:rsidRDefault="00562D0A" w:rsidP="00562D0A">
            <w:pPr>
              <w:widowControl w:val="0"/>
              <w:autoSpaceDE w:val="0"/>
              <w:autoSpaceDN w:val="0"/>
              <w:adjustRightInd w:val="0"/>
              <w:jc w:val="center"/>
              <w:rPr>
                <w:sz w:val="18"/>
                <w:szCs w:val="18"/>
              </w:rPr>
            </w:pPr>
            <w:r>
              <w:rPr>
                <w:sz w:val="18"/>
                <w:szCs w:val="18"/>
              </w:rPr>
              <w:t>(0.019</w:t>
            </w:r>
            <w:r w:rsidRPr="009A405F">
              <w:rPr>
                <w:sz w:val="18"/>
                <w:szCs w:val="18"/>
              </w:rPr>
              <w:t>)</w:t>
            </w:r>
          </w:p>
        </w:tc>
        <w:tc>
          <w:tcPr>
            <w:tcW w:w="377" w:type="pct"/>
          </w:tcPr>
          <w:p w:rsidR="00562D0A" w:rsidRDefault="00562D0A" w:rsidP="00562D0A">
            <w:pPr>
              <w:widowControl w:val="0"/>
              <w:autoSpaceDE w:val="0"/>
              <w:autoSpaceDN w:val="0"/>
              <w:adjustRightInd w:val="0"/>
              <w:jc w:val="center"/>
              <w:rPr>
                <w:sz w:val="18"/>
                <w:szCs w:val="18"/>
              </w:rPr>
            </w:pPr>
            <w:r>
              <w:rPr>
                <w:sz w:val="18"/>
                <w:szCs w:val="18"/>
              </w:rPr>
              <w:t>0.036</w:t>
            </w:r>
            <w:r w:rsidRPr="00730277">
              <w:rPr>
                <w:sz w:val="18"/>
                <w:szCs w:val="18"/>
              </w:rPr>
              <w:t>*</w:t>
            </w:r>
          </w:p>
          <w:p w:rsidR="00562D0A" w:rsidRPr="009A405F" w:rsidRDefault="00562D0A" w:rsidP="00562D0A">
            <w:pPr>
              <w:widowControl w:val="0"/>
              <w:autoSpaceDE w:val="0"/>
              <w:autoSpaceDN w:val="0"/>
              <w:adjustRightInd w:val="0"/>
              <w:jc w:val="center"/>
              <w:rPr>
                <w:sz w:val="18"/>
                <w:szCs w:val="18"/>
              </w:rPr>
            </w:pPr>
            <w:r>
              <w:rPr>
                <w:sz w:val="18"/>
                <w:szCs w:val="18"/>
              </w:rPr>
              <w:t>(0.018</w:t>
            </w:r>
            <w:r w:rsidRPr="009A405F">
              <w:rPr>
                <w:sz w:val="18"/>
                <w:szCs w:val="18"/>
              </w:rPr>
              <w:t>)</w:t>
            </w:r>
          </w:p>
        </w:tc>
        <w:tc>
          <w:tcPr>
            <w:tcW w:w="342" w:type="pct"/>
            <w:gridSpan w:val="2"/>
          </w:tcPr>
          <w:p w:rsidR="00562D0A" w:rsidRDefault="00562D0A" w:rsidP="00562D0A">
            <w:pPr>
              <w:widowControl w:val="0"/>
              <w:autoSpaceDE w:val="0"/>
              <w:autoSpaceDN w:val="0"/>
              <w:adjustRightInd w:val="0"/>
              <w:jc w:val="center"/>
              <w:rPr>
                <w:sz w:val="18"/>
                <w:szCs w:val="18"/>
              </w:rPr>
            </w:pPr>
            <w:r>
              <w:rPr>
                <w:sz w:val="18"/>
                <w:szCs w:val="18"/>
              </w:rPr>
              <w:t>0.014</w:t>
            </w:r>
          </w:p>
          <w:p w:rsidR="00562D0A" w:rsidRPr="009A405F" w:rsidRDefault="00562D0A" w:rsidP="00562D0A">
            <w:pPr>
              <w:widowControl w:val="0"/>
              <w:autoSpaceDE w:val="0"/>
              <w:autoSpaceDN w:val="0"/>
              <w:adjustRightInd w:val="0"/>
              <w:jc w:val="center"/>
              <w:rPr>
                <w:sz w:val="18"/>
                <w:szCs w:val="18"/>
              </w:rPr>
            </w:pPr>
            <w:r>
              <w:rPr>
                <w:sz w:val="18"/>
                <w:szCs w:val="18"/>
              </w:rPr>
              <w:t>(0.034</w:t>
            </w:r>
            <w:r w:rsidRPr="009A405F">
              <w:rPr>
                <w:sz w:val="18"/>
                <w:szCs w:val="18"/>
              </w:rPr>
              <w:t>)</w:t>
            </w:r>
          </w:p>
        </w:tc>
        <w:tc>
          <w:tcPr>
            <w:tcW w:w="415" w:type="pct"/>
            <w:gridSpan w:val="2"/>
          </w:tcPr>
          <w:p w:rsidR="00562D0A" w:rsidRDefault="00562D0A" w:rsidP="00562D0A">
            <w:pPr>
              <w:widowControl w:val="0"/>
              <w:autoSpaceDE w:val="0"/>
              <w:autoSpaceDN w:val="0"/>
              <w:adjustRightInd w:val="0"/>
              <w:jc w:val="center"/>
              <w:rPr>
                <w:sz w:val="18"/>
                <w:szCs w:val="18"/>
              </w:rPr>
            </w:pPr>
            <w:r>
              <w:rPr>
                <w:sz w:val="18"/>
                <w:szCs w:val="18"/>
              </w:rPr>
              <w:t>0.036</w:t>
            </w:r>
            <w:r w:rsidRPr="00730277">
              <w:rPr>
                <w:sz w:val="18"/>
                <w:szCs w:val="18"/>
              </w:rPr>
              <w:t>*</w:t>
            </w:r>
          </w:p>
          <w:p w:rsidR="00562D0A" w:rsidRPr="009A405F" w:rsidRDefault="00562D0A" w:rsidP="00562D0A">
            <w:pPr>
              <w:widowControl w:val="0"/>
              <w:autoSpaceDE w:val="0"/>
              <w:autoSpaceDN w:val="0"/>
              <w:adjustRightInd w:val="0"/>
              <w:jc w:val="center"/>
              <w:rPr>
                <w:sz w:val="18"/>
                <w:szCs w:val="18"/>
              </w:rPr>
            </w:pPr>
            <w:r>
              <w:rPr>
                <w:sz w:val="18"/>
                <w:szCs w:val="18"/>
              </w:rPr>
              <w:t>(0.019</w:t>
            </w:r>
            <w:r w:rsidRPr="009A405F">
              <w:rPr>
                <w:sz w:val="18"/>
                <w:szCs w:val="18"/>
              </w:rPr>
              <w:t>)</w:t>
            </w:r>
          </w:p>
        </w:tc>
      </w:tr>
      <w:tr w:rsidR="00562D0A" w:rsidRPr="009A405F" w:rsidTr="00562D0A">
        <w:tc>
          <w:tcPr>
            <w:tcW w:w="644" w:type="pct"/>
          </w:tcPr>
          <w:p w:rsidR="00562D0A" w:rsidRPr="009A405F" w:rsidRDefault="00562D0A" w:rsidP="00562D0A">
            <w:pPr>
              <w:widowControl w:val="0"/>
              <w:autoSpaceDE w:val="0"/>
              <w:autoSpaceDN w:val="0"/>
              <w:adjustRightInd w:val="0"/>
              <w:rPr>
                <w:sz w:val="18"/>
                <w:szCs w:val="18"/>
              </w:rPr>
            </w:pPr>
            <w:r w:rsidRPr="009A405F">
              <w:rPr>
                <w:sz w:val="18"/>
                <w:szCs w:val="18"/>
                <w:lang w:val="en-GB"/>
              </w:rPr>
              <w:t xml:space="preserve">Financial openness </w:t>
            </w:r>
          </w:p>
        </w:tc>
        <w:tc>
          <w:tcPr>
            <w:tcW w:w="376"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0.327</w:t>
            </w:r>
          </w:p>
        </w:tc>
        <w:tc>
          <w:tcPr>
            <w:tcW w:w="344"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0.332</w:t>
            </w:r>
          </w:p>
        </w:tc>
        <w:tc>
          <w:tcPr>
            <w:tcW w:w="342"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0.306</w:t>
            </w:r>
          </w:p>
        </w:tc>
        <w:tc>
          <w:tcPr>
            <w:tcW w:w="339"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0.307</w:t>
            </w:r>
          </w:p>
        </w:tc>
        <w:tc>
          <w:tcPr>
            <w:tcW w:w="339"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0.515</w:t>
            </w:r>
          </w:p>
        </w:tc>
        <w:tc>
          <w:tcPr>
            <w:tcW w:w="341"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0.235</w:t>
            </w:r>
          </w:p>
        </w:tc>
        <w:tc>
          <w:tcPr>
            <w:tcW w:w="342"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0.335</w:t>
            </w:r>
          </w:p>
        </w:tc>
        <w:tc>
          <w:tcPr>
            <w:tcW w:w="383"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0.287</w:t>
            </w:r>
          </w:p>
        </w:tc>
        <w:tc>
          <w:tcPr>
            <w:tcW w:w="416"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0.265</w:t>
            </w:r>
          </w:p>
        </w:tc>
        <w:tc>
          <w:tcPr>
            <w:tcW w:w="377" w:type="pct"/>
          </w:tcPr>
          <w:p w:rsidR="00562D0A" w:rsidRPr="009A405F" w:rsidRDefault="00562D0A" w:rsidP="00562D0A">
            <w:pPr>
              <w:widowControl w:val="0"/>
              <w:autoSpaceDE w:val="0"/>
              <w:autoSpaceDN w:val="0"/>
              <w:adjustRightInd w:val="0"/>
              <w:jc w:val="center"/>
              <w:rPr>
                <w:sz w:val="18"/>
                <w:szCs w:val="18"/>
              </w:rPr>
            </w:pPr>
            <w:r>
              <w:rPr>
                <w:sz w:val="18"/>
                <w:szCs w:val="18"/>
              </w:rPr>
              <w:t>0.4219</w:t>
            </w:r>
          </w:p>
        </w:tc>
        <w:tc>
          <w:tcPr>
            <w:tcW w:w="342" w:type="pct"/>
            <w:gridSpan w:val="2"/>
          </w:tcPr>
          <w:p w:rsidR="00562D0A" w:rsidRPr="009A405F" w:rsidRDefault="00562D0A" w:rsidP="00562D0A">
            <w:pPr>
              <w:widowControl w:val="0"/>
              <w:autoSpaceDE w:val="0"/>
              <w:autoSpaceDN w:val="0"/>
              <w:adjustRightInd w:val="0"/>
              <w:jc w:val="center"/>
              <w:rPr>
                <w:sz w:val="18"/>
                <w:szCs w:val="18"/>
              </w:rPr>
            </w:pPr>
            <w:r>
              <w:rPr>
                <w:sz w:val="18"/>
                <w:szCs w:val="18"/>
              </w:rPr>
              <w:t>0.165</w:t>
            </w:r>
          </w:p>
        </w:tc>
        <w:tc>
          <w:tcPr>
            <w:tcW w:w="415" w:type="pct"/>
            <w:gridSpan w:val="2"/>
          </w:tcPr>
          <w:p w:rsidR="00562D0A" w:rsidRPr="009A405F" w:rsidRDefault="00562D0A" w:rsidP="00562D0A">
            <w:pPr>
              <w:widowControl w:val="0"/>
              <w:autoSpaceDE w:val="0"/>
              <w:autoSpaceDN w:val="0"/>
              <w:adjustRightInd w:val="0"/>
              <w:jc w:val="center"/>
              <w:rPr>
                <w:sz w:val="18"/>
                <w:szCs w:val="18"/>
              </w:rPr>
            </w:pPr>
            <w:r>
              <w:rPr>
                <w:sz w:val="18"/>
                <w:szCs w:val="18"/>
              </w:rPr>
              <w:t>0.335</w:t>
            </w:r>
          </w:p>
        </w:tc>
      </w:tr>
      <w:tr w:rsidR="00562D0A" w:rsidRPr="009A405F" w:rsidTr="00562D0A">
        <w:tc>
          <w:tcPr>
            <w:tcW w:w="644" w:type="pct"/>
          </w:tcPr>
          <w:p w:rsidR="00562D0A" w:rsidRPr="009A405F" w:rsidRDefault="00562D0A" w:rsidP="00562D0A">
            <w:pPr>
              <w:widowControl w:val="0"/>
              <w:autoSpaceDE w:val="0"/>
              <w:autoSpaceDN w:val="0"/>
              <w:adjustRightInd w:val="0"/>
              <w:rPr>
                <w:sz w:val="18"/>
                <w:szCs w:val="18"/>
                <w:lang w:val="en-GB"/>
              </w:rPr>
            </w:pPr>
          </w:p>
        </w:tc>
        <w:tc>
          <w:tcPr>
            <w:tcW w:w="376"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(0.441)</w:t>
            </w:r>
          </w:p>
        </w:tc>
        <w:tc>
          <w:tcPr>
            <w:tcW w:w="344"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(0.405)</w:t>
            </w:r>
          </w:p>
        </w:tc>
        <w:tc>
          <w:tcPr>
            <w:tcW w:w="342"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(0.443)</w:t>
            </w:r>
          </w:p>
        </w:tc>
        <w:tc>
          <w:tcPr>
            <w:tcW w:w="339"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(0.433)</w:t>
            </w:r>
          </w:p>
        </w:tc>
        <w:tc>
          <w:tcPr>
            <w:tcW w:w="339"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(0.444)</w:t>
            </w:r>
          </w:p>
        </w:tc>
        <w:tc>
          <w:tcPr>
            <w:tcW w:w="341"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(0.397)</w:t>
            </w:r>
          </w:p>
        </w:tc>
        <w:tc>
          <w:tcPr>
            <w:tcW w:w="342"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(0.410)</w:t>
            </w:r>
          </w:p>
        </w:tc>
        <w:tc>
          <w:tcPr>
            <w:tcW w:w="383"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(0.379)</w:t>
            </w:r>
          </w:p>
        </w:tc>
        <w:tc>
          <w:tcPr>
            <w:tcW w:w="416"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(0.385)</w:t>
            </w:r>
          </w:p>
        </w:tc>
        <w:tc>
          <w:tcPr>
            <w:tcW w:w="377" w:type="pct"/>
          </w:tcPr>
          <w:p w:rsidR="00562D0A" w:rsidRDefault="00562D0A" w:rsidP="00562D0A">
            <w:pPr>
              <w:widowControl w:val="0"/>
              <w:autoSpaceDE w:val="0"/>
              <w:autoSpaceDN w:val="0"/>
              <w:adjustRightInd w:val="0"/>
              <w:jc w:val="center"/>
              <w:rPr>
                <w:sz w:val="18"/>
                <w:szCs w:val="18"/>
              </w:rPr>
            </w:pPr>
            <w:r w:rsidRPr="00730277">
              <w:rPr>
                <w:sz w:val="18"/>
                <w:szCs w:val="18"/>
              </w:rPr>
              <w:t>(0.426)</w:t>
            </w:r>
          </w:p>
        </w:tc>
        <w:tc>
          <w:tcPr>
            <w:tcW w:w="342" w:type="pct"/>
            <w:gridSpan w:val="2"/>
          </w:tcPr>
          <w:p w:rsidR="00562D0A" w:rsidRDefault="00562D0A" w:rsidP="00562D0A">
            <w:pPr>
              <w:widowControl w:val="0"/>
              <w:autoSpaceDE w:val="0"/>
              <w:autoSpaceDN w:val="0"/>
              <w:adjustRightInd w:val="0"/>
              <w:jc w:val="center"/>
              <w:rPr>
                <w:sz w:val="18"/>
                <w:szCs w:val="18"/>
              </w:rPr>
            </w:pPr>
            <w:r w:rsidRPr="00730277">
              <w:rPr>
                <w:sz w:val="18"/>
                <w:szCs w:val="18"/>
              </w:rPr>
              <w:t>(0.590)</w:t>
            </w:r>
          </w:p>
        </w:tc>
        <w:tc>
          <w:tcPr>
            <w:tcW w:w="415" w:type="pct"/>
            <w:gridSpan w:val="2"/>
          </w:tcPr>
          <w:p w:rsidR="00562D0A" w:rsidRDefault="00562D0A" w:rsidP="00562D0A">
            <w:pPr>
              <w:widowControl w:val="0"/>
              <w:autoSpaceDE w:val="0"/>
              <w:autoSpaceDN w:val="0"/>
              <w:adjustRightInd w:val="0"/>
              <w:jc w:val="center"/>
              <w:rPr>
                <w:sz w:val="18"/>
                <w:szCs w:val="18"/>
              </w:rPr>
            </w:pPr>
            <w:r w:rsidRPr="00730277">
              <w:rPr>
                <w:sz w:val="18"/>
                <w:szCs w:val="18"/>
              </w:rPr>
              <w:t>(0.417)</w:t>
            </w:r>
          </w:p>
        </w:tc>
      </w:tr>
      <w:tr w:rsidR="00562D0A" w:rsidRPr="009A405F" w:rsidTr="00562D0A">
        <w:tc>
          <w:tcPr>
            <w:tcW w:w="644" w:type="pct"/>
          </w:tcPr>
          <w:p w:rsidR="00562D0A" w:rsidRPr="009A405F" w:rsidRDefault="00562D0A" w:rsidP="00562D0A">
            <w:pPr>
              <w:widowControl w:val="0"/>
              <w:autoSpaceDE w:val="0"/>
              <w:autoSpaceDN w:val="0"/>
              <w:adjustRightInd w:val="0"/>
              <w:rPr>
                <w:sz w:val="18"/>
                <w:szCs w:val="18"/>
              </w:rPr>
            </w:pPr>
            <w:r w:rsidRPr="009A405F">
              <w:rPr>
                <w:sz w:val="18"/>
                <w:szCs w:val="18"/>
                <w:lang w:val="en-GB"/>
              </w:rPr>
              <w:t>Conflict</w:t>
            </w:r>
          </w:p>
        </w:tc>
        <w:tc>
          <w:tcPr>
            <w:tcW w:w="376"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0.874</w:t>
            </w:r>
          </w:p>
        </w:tc>
        <w:tc>
          <w:tcPr>
            <w:tcW w:w="344"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0.911</w:t>
            </w:r>
          </w:p>
        </w:tc>
        <w:tc>
          <w:tcPr>
            <w:tcW w:w="342"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0.894</w:t>
            </w:r>
          </w:p>
        </w:tc>
        <w:tc>
          <w:tcPr>
            <w:tcW w:w="339"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0.886</w:t>
            </w:r>
          </w:p>
        </w:tc>
        <w:tc>
          <w:tcPr>
            <w:tcW w:w="339"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0.771</w:t>
            </w:r>
          </w:p>
        </w:tc>
        <w:tc>
          <w:tcPr>
            <w:tcW w:w="341"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0.998*</w:t>
            </w:r>
          </w:p>
        </w:tc>
        <w:tc>
          <w:tcPr>
            <w:tcW w:w="342"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0.726</w:t>
            </w:r>
          </w:p>
        </w:tc>
        <w:tc>
          <w:tcPr>
            <w:tcW w:w="383"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1.054*</w:t>
            </w:r>
          </w:p>
        </w:tc>
        <w:tc>
          <w:tcPr>
            <w:tcW w:w="416"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0.627</w:t>
            </w:r>
          </w:p>
        </w:tc>
        <w:tc>
          <w:tcPr>
            <w:tcW w:w="377" w:type="pct"/>
          </w:tcPr>
          <w:p w:rsidR="00562D0A" w:rsidRPr="009A405F" w:rsidRDefault="00562D0A" w:rsidP="00562D0A">
            <w:pPr>
              <w:widowControl w:val="0"/>
              <w:autoSpaceDE w:val="0"/>
              <w:autoSpaceDN w:val="0"/>
              <w:adjustRightInd w:val="0"/>
              <w:jc w:val="center"/>
              <w:rPr>
                <w:sz w:val="18"/>
                <w:szCs w:val="18"/>
              </w:rPr>
            </w:pPr>
            <w:r>
              <w:rPr>
                <w:sz w:val="18"/>
                <w:szCs w:val="18"/>
              </w:rPr>
              <w:t>0.946</w:t>
            </w:r>
          </w:p>
        </w:tc>
        <w:tc>
          <w:tcPr>
            <w:tcW w:w="342" w:type="pct"/>
            <w:gridSpan w:val="2"/>
          </w:tcPr>
          <w:p w:rsidR="00562D0A" w:rsidRPr="009A405F" w:rsidRDefault="00562D0A" w:rsidP="00562D0A">
            <w:pPr>
              <w:widowControl w:val="0"/>
              <w:autoSpaceDE w:val="0"/>
              <w:autoSpaceDN w:val="0"/>
              <w:adjustRightInd w:val="0"/>
              <w:jc w:val="center"/>
              <w:rPr>
                <w:sz w:val="18"/>
                <w:szCs w:val="18"/>
              </w:rPr>
            </w:pPr>
            <w:r>
              <w:rPr>
                <w:sz w:val="18"/>
                <w:szCs w:val="18"/>
              </w:rPr>
              <w:t>0.684</w:t>
            </w:r>
          </w:p>
        </w:tc>
        <w:tc>
          <w:tcPr>
            <w:tcW w:w="415" w:type="pct"/>
            <w:gridSpan w:val="2"/>
          </w:tcPr>
          <w:p w:rsidR="00562D0A" w:rsidRPr="009A405F" w:rsidRDefault="00562D0A" w:rsidP="00562D0A">
            <w:pPr>
              <w:widowControl w:val="0"/>
              <w:autoSpaceDE w:val="0"/>
              <w:autoSpaceDN w:val="0"/>
              <w:adjustRightInd w:val="0"/>
              <w:jc w:val="center"/>
              <w:rPr>
                <w:sz w:val="18"/>
                <w:szCs w:val="18"/>
              </w:rPr>
            </w:pPr>
            <w:r>
              <w:rPr>
                <w:sz w:val="18"/>
                <w:szCs w:val="18"/>
              </w:rPr>
              <w:t>0.944</w:t>
            </w:r>
          </w:p>
        </w:tc>
      </w:tr>
      <w:tr w:rsidR="00562D0A" w:rsidRPr="009A405F" w:rsidTr="00562D0A">
        <w:trPr>
          <w:trHeight w:val="98"/>
        </w:trPr>
        <w:tc>
          <w:tcPr>
            <w:tcW w:w="644" w:type="pct"/>
          </w:tcPr>
          <w:p w:rsidR="00562D0A" w:rsidRPr="009A405F" w:rsidRDefault="00562D0A" w:rsidP="00562D0A">
            <w:pPr>
              <w:widowControl w:val="0"/>
              <w:autoSpaceDE w:val="0"/>
              <w:autoSpaceDN w:val="0"/>
              <w:adjustRightInd w:val="0"/>
              <w:rPr>
                <w:sz w:val="18"/>
                <w:szCs w:val="18"/>
                <w:lang w:val="en-GB"/>
              </w:rPr>
            </w:pPr>
          </w:p>
        </w:tc>
        <w:tc>
          <w:tcPr>
            <w:tcW w:w="376"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(0.669)</w:t>
            </w:r>
          </w:p>
        </w:tc>
        <w:tc>
          <w:tcPr>
            <w:tcW w:w="344"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(0.623)</w:t>
            </w:r>
          </w:p>
        </w:tc>
        <w:tc>
          <w:tcPr>
            <w:tcW w:w="342"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(0.688)</w:t>
            </w:r>
          </w:p>
        </w:tc>
        <w:tc>
          <w:tcPr>
            <w:tcW w:w="339"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(0.645)</w:t>
            </w:r>
          </w:p>
        </w:tc>
        <w:tc>
          <w:tcPr>
            <w:tcW w:w="339"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(0.641)</w:t>
            </w:r>
          </w:p>
        </w:tc>
        <w:tc>
          <w:tcPr>
            <w:tcW w:w="341"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(0.573)</w:t>
            </w:r>
          </w:p>
        </w:tc>
        <w:tc>
          <w:tcPr>
            <w:tcW w:w="342"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(0.664)</w:t>
            </w:r>
          </w:p>
        </w:tc>
        <w:tc>
          <w:tcPr>
            <w:tcW w:w="383"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(0.521)</w:t>
            </w:r>
          </w:p>
        </w:tc>
        <w:tc>
          <w:tcPr>
            <w:tcW w:w="416"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(0.727)</w:t>
            </w:r>
          </w:p>
        </w:tc>
        <w:tc>
          <w:tcPr>
            <w:tcW w:w="377" w:type="pct"/>
          </w:tcPr>
          <w:p w:rsidR="00562D0A" w:rsidRDefault="00562D0A" w:rsidP="00562D0A">
            <w:pPr>
              <w:widowControl w:val="0"/>
              <w:autoSpaceDE w:val="0"/>
              <w:autoSpaceDN w:val="0"/>
              <w:adjustRightInd w:val="0"/>
              <w:jc w:val="center"/>
              <w:rPr>
                <w:sz w:val="18"/>
                <w:szCs w:val="18"/>
              </w:rPr>
            </w:pPr>
            <w:r w:rsidRPr="00730277">
              <w:rPr>
                <w:sz w:val="18"/>
                <w:szCs w:val="18"/>
              </w:rPr>
              <w:t>(0.659)</w:t>
            </w:r>
          </w:p>
        </w:tc>
        <w:tc>
          <w:tcPr>
            <w:tcW w:w="342" w:type="pct"/>
            <w:gridSpan w:val="2"/>
          </w:tcPr>
          <w:p w:rsidR="00562D0A" w:rsidRDefault="00562D0A" w:rsidP="00562D0A">
            <w:pPr>
              <w:widowControl w:val="0"/>
              <w:autoSpaceDE w:val="0"/>
              <w:autoSpaceDN w:val="0"/>
              <w:adjustRightInd w:val="0"/>
              <w:jc w:val="center"/>
              <w:rPr>
                <w:sz w:val="18"/>
                <w:szCs w:val="18"/>
              </w:rPr>
            </w:pPr>
            <w:r w:rsidRPr="00730277">
              <w:rPr>
                <w:sz w:val="18"/>
                <w:szCs w:val="18"/>
              </w:rPr>
              <w:t>(1.422)</w:t>
            </w:r>
          </w:p>
        </w:tc>
        <w:tc>
          <w:tcPr>
            <w:tcW w:w="415" w:type="pct"/>
            <w:gridSpan w:val="2"/>
          </w:tcPr>
          <w:p w:rsidR="00562D0A" w:rsidRDefault="00562D0A" w:rsidP="00562D0A">
            <w:pPr>
              <w:widowControl w:val="0"/>
              <w:autoSpaceDE w:val="0"/>
              <w:autoSpaceDN w:val="0"/>
              <w:adjustRightInd w:val="0"/>
              <w:jc w:val="center"/>
              <w:rPr>
                <w:sz w:val="18"/>
                <w:szCs w:val="18"/>
              </w:rPr>
            </w:pPr>
            <w:r w:rsidRPr="00730277">
              <w:rPr>
                <w:sz w:val="18"/>
                <w:szCs w:val="18"/>
              </w:rPr>
              <w:t>(0.656)</w:t>
            </w:r>
          </w:p>
        </w:tc>
      </w:tr>
      <w:tr w:rsidR="00562D0A" w:rsidRPr="009A405F" w:rsidTr="00562D0A">
        <w:tc>
          <w:tcPr>
            <w:tcW w:w="644" w:type="pct"/>
          </w:tcPr>
          <w:p w:rsidR="00562D0A" w:rsidRPr="009A405F" w:rsidRDefault="00562D0A" w:rsidP="00562D0A">
            <w:pPr>
              <w:widowControl w:val="0"/>
              <w:autoSpaceDE w:val="0"/>
              <w:autoSpaceDN w:val="0"/>
              <w:adjustRightInd w:val="0"/>
              <w:rPr>
                <w:sz w:val="18"/>
                <w:szCs w:val="18"/>
                <w:lang w:val="en-GB"/>
              </w:rPr>
            </w:pPr>
            <w:r>
              <w:rPr>
                <w:sz w:val="18"/>
                <w:szCs w:val="18"/>
                <w:lang w:val="en-GB"/>
              </w:rPr>
              <w:t>Natural resource rent</w:t>
            </w:r>
          </w:p>
        </w:tc>
        <w:tc>
          <w:tcPr>
            <w:tcW w:w="376" w:type="pct"/>
          </w:tcPr>
          <w:p w:rsidR="00562D0A" w:rsidRPr="009A405F" w:rsidRDefault="00562D0A" w:rsidP="00562D0A">
            <w:pPr>
              <w:widowControl w:val="0"/>
              <w:autoSpaceDE w:val="0"/>
              <w:autoSpaceDN w:val="0"/>
              <w:adjustRightInd w:val="0"/>
              <w:jc w:val="center"/>
              <w:rPr>
                <w:sz w:val="18"/>
                <w:szCs w:val="18"/>
              </w:rPr>
            </w:pPr>
          </w:p>
        </w:tc>
        <w:tc>
          <w:tcPr>
            <w:tcW w:w="344" w:type="pct"/>
          </w:tcPr>
          <w:p w:rsidR="00562D0A" w:rsidRPr="009A405F" w:rsidRDefault="00562D0A" w:rsidP="00562D0A">
            <w:pPr>
              <w:widowControl w:val="0"/>
              <w:autoSpaceDE w:val="0"/>
              <w:autoSpaceDN w:val="0"/>
              <w:adjustRightInd w:val="0"/>
              <w:jc w:val="center"/>
              <w:rPr>
                <w:sz w:val="18"/>
                <w:szCs w:val="18"/>
              </w:rPr>
            </w:pPr>
          </w:p>
        </w:tc>
        <w:tc>
          <w:tcPr>
            <w:tcW w:w="342" w:type="pct"/>
          </w:tcPr>
          <w:p w:rsidR="00562D0A" w:rsidRPr="009A405F" w:rsidRDefault="00562D0A" w:rsidP="00562D0A">
            <w:pPr>
              <w:widowControl w:val="0"/>
              <w:autoSpaceDE w:val="0"/>
              <w:autoSpaceDN w:val="0"/>
              <w:adjustRightInd w:val="0"/>
              <w:jc w:val="center"/>
              <w:rPr>
                <w:sz w:val="18"/>
                <w:szCs w:val="18"/>
              </w:rPr>
            </w:pPr>
          </w:p>
        </w:tc>
        <w:tc>
          <w:tcPr>
            <w:tcW w:w="339" w:type="pct"/>
          </w:tcPr>
          <w:p w:rsidR="00562D0A" w:rsidRPr="009A405F" w:rsidRDefault="00562D0A" w:rsidP="00562D0A">
            <w:pPr>
              <w:widowControl w:val="0"/>
              <w:autoSpaceDE w:val="0"/>
              <w:autoSpaceDN w:val="0"/>
              <w:adjustRightInd w:val="0"/>
              <w:jc w:val="center"/>
              <w:rPr>
                <w:sz w:val="18"/>
                <w:szCs w:val="18"/>
              </w:rPr>
            </w:pPr>
          </w:p>
        </w:tc>
        <w:tc>
          <w:tcPr>
            <w:tcW w:w="339" w:type="pct"/>
          </w:tcPr>
          <w:p w:rsidR="00562D0A" w:rsidRPr="009A405F" w:rsidRDefault="00562D0A" w:rsidP="00562D0A">
            <w:pPr>
              <w:widowControl w:val="0"/>
              <w:autoSpaceDE w:val="0"/>
              <w:autoSpaceDN w:val="0"/>
              <w:adjustRightInd w:val="0"/>
              <w:jc w:val="center"/>
              <w:rPr>
                <w:sz w:val="18"/>
                <w:szCs w:val="18"/>
              </w:rPr>
            </w:pPr>
          </w:p>
        </w:tc>
        <w:tc>
          <w:tcPr>
            <w:tcW w:w="341" w:type="pct"/>
          </w:tcPr>
          <w:p w:rsidR="00562D0A" w:rsidRPr="009A405F" w:rsidRDefault="00562D0A" w:rsidP="00562D0A">
            <w:pPr>
              <w:widowControl w:val="0"/>
              <w:autoSpaceDE w:val="0"/>
              <w:autoSpaceDN w:val="0"/>
              <w:adjustRightInd w:val="0"/>
              <w:jc w:val="center"/>
              <w:rPr>
                <w:sz w:val="18"/>
                <w:szCs w:val="18"/>
              </w:rPr>
            </w:pPr>
          </w:p>
        </w:tc>
        <w:tc>
          <w:tcPr>
            <w:tcW w:w="342" w:type="pct"/>
          </w:tcPr>
          <w:p w:rsidR="00562D0A" w:rsidRPr="009A405F" w:rsidRDefault="00562D0A" w:rsidP="00562D0A">
            <w:pPr>
              <w:widowControl w:val="0"/>
              <w:autoSpaceDE w:val="0"/>
              <w:autoSpaceDN w:val="0"/>
              <w:adjustRightInd w:val="0"/>
              <w:jc w:val="center"/>
              <w:rPr>
                <w:sz w:val="18"/>
                <w:szCs w:val="18"/>
              </w:rPr>
            </w:pPr>
          </w:p>
        </w:tc>
        <w:tc>
          <w:tcPr>
            <w:tcW w:w="383" w:type="pct"/>
          </w:tcPr>
          <w:p w:rsidR="00562D0A" w:rsidRPr="009A405F" w:rsidRDefault="00562D0A" w:rsidP="00562D0A">
            <w:pPr>
              <w:widowControl w:val="0"/>
              <w:autoSpaceDE w:val="0"/>
              <w:autoSpaceDN w:val="0"/>
              <w:adjustRightInd w:val="0"/>
              <w:jc w:val="center"/>
              <w:rPr>
                <w:sz w:val="18"/>
                <w:szCs w:val="18"/>
              </w:rPr>
            </w:pPr>
          </w:p>
        </w:tc>
        <w:tc>
          <w:tcPr>
            <w:tcW w:w="416" w:type="pct"/>
          </w:tcPr>
          <w:p w:rsidR="00562D0A" w:rsidRPr="009A405F" w:rsidRDefault="00562D0A" w:rsidP="00562D0A">
            <w:pPr>
              <w:widowControl w:val="0"/>
              <w:autoSpaceDE w:val="0"/>
              <w:autoSpaceDN w:val="0"/>
              <w:adjustRightInd w:val="0"/>
              <w:jc w:val="center"/>
              <w:rPr>
                <w:sz w:val="18"/>
                <w:szCs w:val="18"/>
              </w:rPr>
            </w:pPr>
          </w:p>
        </w:tc>
        <w:tc>
          <w:tcPr>
            <w:tcW w:w="377" w:type="pct"/>
          </w:tcPr>
          <w:p w:rsidR="00562D0A" w:rsidRDefault="00562D0A" w:rsidP="00562D0A">
            <w:pPr>
              <w:widowControl w:val="0"/>
              <w:autoSpaceDE w:val="0"/>
              <w:autoSpaceDN w:val="0"/>
              <w:adjustRightInd w:val="0"/>
              <w:jc w:val="center"/>
              <w:rPr>
                <w:sz w:val="18"/>
                <w:szCs w:val="18"/>
              </w:rPr>
            </w:pPr>
          </w:p>
        </w:tc>
        <w:tc>
          <w:tcPr>
            <w:tcW w:w="342" w:type="pct"/>
            <w:gridSpan w:val="2"/>
          </w:tcPr>
          <w:p w:rsidR="00562D0A" w:rsidRDefault="00562D0A" w:rsidP="00562D0A">
            <w:pPr>
              <w:widowControl w:val="0"/>
              <w:autoSpaceDE w:val="0"/>
              <w:autoSpaceDN w:val="0"/>
              <w:adjustRightInd w:val="0"/>
              <w:jc w:val="center"/>
              <w:rPr>
                <w:sz w:val="18"/>
                <w:szCs w:val="18"/>
              </w:rPr>
            </w:pPr>
          </w:p>
        </w:tc>
        <w:tc>
          <w:tcPr>
            <w:tcW w:w="415" w:type="pct"/>
            <w:gridSpan w:val="2"/>
          </w:tcPr>
          <w:p w:rsidR="00562D0A" w:rsidRDefault="00562D0A" w:rsidP="00562D0A">
            <w:pPr>
              <w:widowControl w:val="0"/>
              <w:autoSpaceDE w:val="0"/>
              <w:autoSpaceDN w:val="0"/>
              <w:adjustRightInd w:val="0"/>
              <w:jc w:val="center"/>
              <w:rPr>
                <w:sz w:val="18"/>
                <w:szCs w:val="18"/>
              </w:rPr>
            </w:pPr>
            <w:r w:rsidRPr="00730277">
              <w:rPr>
                <w:sz w:val="18"/>
                <w:szCs w:val="18"/>
              </w:rPr>
              <w:t>-0.01873</w:t>
            </w:r>
          </w:p>
          <w:p w:rsidR="00562D0A" w:rsidRDefault="00562D0A" w:rsidP="00562D0A">
            <w:pPr>
              <w:widowControl w:val="0"/>
              <w:autoSpaceDE w:val="0"/>
              <w:autoSpaceDN w:val="0"/>
              <w:adjustRightInd w:val="0"/>
              <w:jc w:val="center"/>
              <w:rPr>
                <w:sz w:val="18"/>
                <w:szCs w:val="18"/>
              </w:rPr>
            </w:pPr>
            <w:r>
              <w:rPr>
                <w:sz w:val="18"/>
                <w:szCs w:val="18"/>
              </w:rPr>
              <w:t>(</w:t>
            </w:r>
            <w:r w:rsidRPr="00730277">
              <w:rPr>
                <w:sz w:val="18"/>
                <w:szCs w:val="18"/>
              </w:rPr>
              <w:t>0.055)</w:t>
            </w:r>
          </w:p>
        </w:tc>
      </w:tr>
      <w:tr w:rsidR="00562D0A" w:rsidRPr="009A405F" w:rsidTr="00562D0A">
        <w:tc>
          <w:tcPr>
            <w:tcW w:w="644" w:type="pct"/>
          </w:tcPr>
          <w:p w:rsidR="00562D0A" w:rsidRPr="009A405F" w:rsidRDefault="00562D0A" w:rsidP="00562D0A">
            <w:pPr>
              <w:widowControl w:val="0"/>
              <w:autoSpaceDE w:val="0"/>
              <w:autoSpaceDN w:val="0"/>
              <w:adjustRightInd w:val="0"/>
              <w:rPr>
                <w:sz w:val="18"/>
                <w:szCs w:val="18"/>
              </w:rPr>
            </w:pPr>
            <w:r w:rsidRPr="009A405F">
              <w:rPr>
                <w:sz w:val="18"/>
                <w:szCs w:val="18"/>
                <w:lang w:val="en-GB"/>
              </w:rPr>
              <w:t>Time dummies</w:t>
            </w:r>
          </w:p>
        </w:tc>
        <w:tc>
          <w:tcPr>
            <w:tcW w:w="376"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Included</w:t>
            </w:r>
          </w:p>
        </w:tc>
        <w:tc>
          <w:tcPr>
            <w:tcW w:w="344"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Included</w:t>
            </w:r>
          </w:p>
        </w:tc>
        <w:tc>
          <w:tcPr>
            <w:tcW w:w="342"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Included</w:t>
            </w:r>
          </w:p>
        </w:tc>
        <w:tc>
          <w:tcPr>
            <w:tcW w:w="339"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Included</w:t>
            </w:r>
          </w:p>
        </w:tc>
        <w:tc>
          <w:tcPr>
            <w:tcW w:w="339"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Included</w:t>
            </w:r>
          </w:p>
        </w:tc>
        <w:tc>
          <w:tcPr>
            <w:tcW w:w="341"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Includ</w:t>
            </w:r>
            <w:r>
              <w:rPr>
                <w:sz w:val="18"/>
                <w:szCs w:val="18"/>
              </w:rPr>
              <w:t>e</w:t>
            </w:r>
          </w:p>
        </w:tc>
        <w:tc>
          <w:tcPr>
            <w:tcW w:w="342"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Included</w:t>
            </w:r>
          </w:p>
        </w:tc>
        <w:tc>
          <w:tcPr>
            <w:tcW w:w="383"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Included</w:t>
            </w:r>
          </w:p>
        </w:tc>
        <w:tc>
          <w:tcPr>
            <w:tcW w:w="416"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Included</w:t>
            </w:r>
          </w:p>
        </w:tc>
        <w:tc>
          <w:tcPr>
            <w:tcW w:w="377"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Include.</w:t>
            </w:r>
          </w:p>
        </w:tc>
        <w:tc>
          <w:tcPr>
            <w:tcW w:w="342" w:type="pct"/>
            <w:gridSpan w:val="2"/>
          </w:tcPr>
          <w:p w:rsidR="00562D0A" w:rsidRPr="009A405F" w:rsidRDefault="00562D0A" w:rsidP="00562D0A">
            <w:pPr>
              <w:widowControl w:val="0"/>
              <w:autoSpaceDE w:val="0"/>
              <w:autoSpaceDN w:val="0"/>
              <w:adjustRightInd w:val="0"/>
              <w:jc w:val="center"/>
              <w:rPr>
                <w:sz w:val="18"/>
                <w:szCs w:val="18"/>
              </w:rPr>
            </w:pPr>
            <w:r w:rsidRPr="009A405F">
              <w:rPr>
                <w:sz w:val="18"/>
                <w:szCs w:val="18"/>
              </w:rPr>
              <w:t>Include.</w:t>
            </w:r>
          </w:p>
        </w:tc>
        <w:tc>
          <w:tcPr>
            <w:tcW w:w="415" w:type="pct"/>
            <w:gridSpan w:val="2"/>
          </w:tcPr>
          <w:p w:rsidR="00562D0A" w:rsidRPr="009A405F" w:rsidRDefault="00562D0A" w:rsidP="00562D0A">
            <w:pPr>
              <w:widowControl w:val="0"/>
              <w:autoSpaceDE w:val="0"/>
              <w:autoSpaceDN w:val="0"/>
              <w:adjustRightInd w:val="0"/>
              <w:jc w:val="center"/>
              <w:rPr>
                <w:sz w:val="18"/>
                <w:szCs w:val="18"/>
              </w:rPr>
            </w:pPr>
            <w:r w:rsidRPr="009A405F">
              <w:rPr>
                <w:sz w:val="18"/>
                <w:szCs w:val="18"/>
              </w:rPr>
              <w:t>Included</w:t>
            </w:r>
          </w:p>
        </w:tc>
      </w:tr>
      <w:tr w:rsidR="00562D0A" w:rsidRPr="009A405F" w:rsidTr="00562D0A">
        <w:tc>
          <w:tcPr>
            <w:tcW w:w="644" w:type="pct"/>
          </w:tcPr>
          <w:p w:rsidR="00562D0A" w:rsidRPr="009A405F" w:rsidRDefault="00562D0A" w:rsidP="00562D0A">
            <w:pPr>
              <w:widowControl w:val="0"/>
              <w:autoSpaceDE w:val="0"/>
              <w:autoSpaceDN w:val="0"/>
              <w:adjustRightInd w:val="0"/>
              <w:rPr>
                <w:sz w:val="18"/>
                <w:szCs w:val="18"/>
              </w:rPr>
            </w:pPr>
            <w:r w:rsidRPr="009A405F">
              <w:rPr>
                <w:sz w:val="18"/>
                <w:szCs w:val="18"/>
                <w:lang w:val="en-GB"/>
              </w:rPr>
              <w:t>Constant</w:t>
            </w:r>
          </w:p>
        </w:tc>
        <w:tc>
          <w:tcPr>
            <w:tcW w:w="376" w:type="pct"/>
          </w:tcPr>
          <w:p w:rsidR="00562D0A" w:rsidRPr="00534C08" w:rsidRDefault="00562D0A" w:rsidP="00562D0A">
            <w:pPr>
              <w:widowControl w:val="0"/>
              <w:autoSpaceDE w:val="0"/>
              <w:autoSpaceDN w:val="0"/>
              <w:adjustRightInd w:val="0"/>
              <w:jc w:val="center"/>
              <w:rPr>
                <w:sz w:val="18"/>
                <w:szCs w:val="18"/>
              </w:rPr>
            </w:pPr>
            <w:r>
              <w:rPr>
                <w:sz w:val="18"/>
                <w:szCs w:val="18"/>
              </w:rPr>
              <w:t>-1.405</w:t>
            </w:r>
          </w:p>
        </w:tc>
        <w:tc>
          <w:tcPr>
            <w:tcW w:w="344" w:type="pct"/>
          </w:tcPr>
          <w:p w:rsidR="00562D0A" w:rsidRPr="00534C08" w:rsidRDefault="00562D0A" w:rsidP="00562D0A">
            <w:pPr>
              <w:widowControl w:val="0"/>
              <w:autoSpaceDE w:val="0"/>
              <w:autoSpaceDN w:val="0"/>
              <w:adjustRightInd w:val="0"/>
              <w:jc w:val="center"/>
              <w:rPr>
                <w:sz w:val="18"/>
                <w:szCs w:val="18"/>
              </w:rPr>
            </w:pPr>
            <w:r>
              <w:rPr>
                <w:sz w:val="18"/>
                <w:szCs w:val="18"/>
              </w:rPr>
              <w:t>-2.058</w:t>
            </w:r>
          </w:p>
        </w:tc>
        <w:tc>
          <w:tcPr>
            <w:tcW w:w="342" w:type="pct"/>
          </w:tcPr>
          <w:p w:rsidR="00562D0A" w:rsidRPr="00534C08" w:rsidRDefault="00562D0A" w:rsidP="00562D0A">
            <w:pPr>
              <w:widowControl w:val="0"/>
              <w:autoSpaceDE w:val="0"/>
              <w:autoSpaceDN w:val="0"/>
              <w:adjustRightInd w:val="0"/>
              <w:jc w:val="center"/>
              <w:rPr>
                <w:sz w:val="18"/>
                <w:szCs w:val="18"/>
              </w:rPr>
            </w:pPr>
            <w:r>
              <w:rPr>
                <w:sz w:val="18"/>
                <w:szCs w:val="18"/>
              </w:rPr>
              <w:t>-2.026</w:t>
            </w:r>
          </w:p>
        </w:tc>
        <w:tc>
          <w:tcPr>
            <w:tcW w:w="339" w:type="pct"/>
          </w:tcPr>
          <w:p w:rsidR="00562D0A" w:rsidRPr="00534C08" w:rsidRDefault="00562D0A" w:rsidP="00562D0A">
            <w:pPr>
              <w:widowControl w:val="0"/>
              <w:autoSpaceDE w:val="0"/>
              <w:autoSpaceDN w:val="0"/>
              <w:adjustRightInd w:val="0"/>
              <w:jc w:val="center"/>
              <w:rPr>
                <w:sz w:val="18"/>
                <w:szCs w:val="18"/>
              </w:rPr>
            </w:pPr>
            <w:r>
              <w:rPr>
                <w:sz w:val="18"/>
                <w:szCs w:val="18"/>
              </w:rPr>
              <w:t>-2.244</w:t>
            </w:r>
          </w:p>
        </w:tc>
        <w:tc>
          <w:tcPr>
            <w:tcW w:w="339" w:type="pct"/>
          </w:tcPr>
          <w:p w:rsidR="00562D0A" w:rsidRPr="00534C08" w:rsidRDefault="00562D0A" w:rsidP="00562D0A">
            <w:pPr>
              <w:widowControl w:val="0"/>
              <w:autoSpaceDE w:val="0"/>
              <w:autoSpaceDN w:val="0"/>
              <w:adjustRightInd w:val="0"/>
              <w:jc w:val="center"/>
              <w:rPr>
                <w:sz w:val="18"/>
                <w:szCs w:val="18"/>
              </w:rPr>
            </w:pPr>
            <w:r>
              <w:rPr>
                <w:sz w:val="18"/>
                <w:szCs w:val="18"/>
              </w:rPr>
              <w:t>-4.618</w:t>
            </w:r>
          </w:p>
        </w:tc>
        <w:tc>
          <w:tcPr>
            <w:tcW w:w="341" w:type="pct"/>
          </w:tcPr>
          <w:p w:rsidR="00562D0A" w:rsidRPr="00534C08" w:rsidRDefault="00562D0A" w:rsidP="00562D0A">
            <w:pPr>
              <w:widowControl w:val="0"/>
              <w:autoSpaceDE w:val="0"/>
              <w:autoSpaceDN w:val="0"/>
              <w:adjustRightInd w:val="0"/>
              <w:jc w:val="center"/>
              <w:rPr>
                <w:sz w:val="18"/>
                <w:szCs w:val="18"/>
              </w:rPr>
            </w:pPr>
            <w:r>
              <w:rPr>
                <w:sz w:val="18"/>
                <w:szCs w:val="18"/>
              </w:rPr>
              <w:t>-2.979</w:t>
            </w:r>
          </w:p>
        </w:tc>
        <w:tc>
          <w:tcPr>
            <w:tcW w:w="342" w:type="pct"/>
          </w:tcPr>
          <w:p w:rsidR="00562D0A" w:rsidRPr="00534C08" w:rsidRDefault="00562D0A" w:rsidP="00562D0A">
            <w:pPr>
              <w:widowControl w:val="0"/>
              <w:autoSpaceDE w:val="0"/>
              <w:autoSpaceDN w:val="0"/>
              <w:adjustRightInd w:val="0"/>
              <w:jc w:val="center"/>
              <w:rPr>
                <w:sz w:val="18"/>
                <w:szCs w:val="18"/>
              </w:rPr>
            </w:pPr>
            <w:r>
              <w:rPr>
                <w:sz w:val="18"/>
                <w:szCs w:val="18"/>
              </w:rPr>
              <w:t>-1.983</w:t>
            </w:r>
          </w:p>
        </w:tc>
        <w:tc>
          <w:tcPr>
            <w:tcW w:w="383" w:type="pct"/>
          </w:tcPr>
          <w:p w:rsidR="00562D0A" w:rsidRPr="00534C08" w:rsidRDefault="00562D0A" w:rsidP="00562D0A">
            <w:pPr>
              <w:widowControl w:val="0"/>
              <w:autoSpaceDE w:val="0"/>
              <w:autoSpaceDN w:val="0"/>
              <w:adjustRightInd w:val="0"/>
              <w:jc w:val="center"/>
              <w:rPr>
                <w:sz w:val="18"/>
                <w:szCs w:val="18"/>
              </w:rPr>
            </w:pPr>
            <w:r>
              <w:rPr>
                <w:sz w:val="18"/>
                <w:szCs w:val="18"/>
              </w:rPr>
              <w:t>-6.454</w:t>
            </w:r>
          </w:p>
        </w:tc>
        <w:tc>
          <w:tcPr>
            <w:tcW w:w="416" w:type="pct"/>
          </w:tcPr>
          <w:p w:rsidR="00562D0A" w:rsidRPr="00534C08" w:rsidRDefault="00562D0A" w:rsidP="00562D0A">
            <w:pPr>
              <w:widowControl w:val="0"/>
              <w:autoSpaceDE w:val="0"/>
              <w:autoSpaceDN w:val="0"/>
              <w:adjustRightInd w:val="0"/>
              <w:jc w:val="center"/>
              <w:rPr>
                <w:sz w:val="18"/>
                <w:szCs w:val="18"/>
              </w:rPr>
            </w:pPr>
            <w:r>
              <w:rPr>
                <w:sz w:val="18"/>
                <w:szCs w:val="18"/>
              </w:rPr>
              <w:t>-0.029</w:t>
            </w:r>
          </w:p>
        </w:tc>
        <w:tc>
          <w:tcPr>
            <w:tcW w:w="377" w:type="pct"/>
          </w:tcPr>
          <w:p w:rsidR="00562D0A" w:rsidRPr="009A405F" w:rsidRDefault="00562D0A" w:rsidP="00562D0A">
            <w:pPr>
              <w:widowControl w:val="0"/>
              <w:autoSpaceDE w:val="0"/>
              <w:autoSpaceDN w:val="0"/>
              <w:adjustRightInd w:val="0"/>
              <w:jc w:val="center"/>
              <w:rPr>
                <w:sz w:val="18"/>
                <w:szCs w:val="18"/>
              </w:rPr>
            </w:pPr>
            <w:r>
              <w:rPr>
                <w:sz w:val="18"/>
                <w:szCs w:val="18"/>
              </w:rPr>
              <w:t>-2.835</w:t>
            </w:r>
          </w:p>
        </w:tc>
        <w:tc>
          <w:tcPr>
            <w:tcW w:w="342" w:type="pct"/>
            <w:gridSpan w:val="2"/>
          </w:tcPr>
          <w:p w:rsidR="00562D0A" w:rsidRPr="009A405F" w:rsidRDefault="00562D0A" w:rsidP="00562D0A">
            <w:pPr>
              <w:widowControl w:val="0"/>
              <w:autoSpaceDE w:val="0"/>
              <w:autoSpaceDN w:val="0"/>
              <w:adjustRightInd w:val="0"/>
              <w:jc w:val="center"/>
              <w:rPr>
                <w:sz w:val="18"/>
                <w:szCs w:val="18"/>
              </w:rPr>
            </w:pPr>
            <w:r>
              <w:rPr>
                <w:sz w:val="18"/>
                <w:szCs w:val="18"/>
              </w:rPr>
              <w:t>-15.843</w:t>
            </w:r>
          </w:p>
        </w:tc>
        <w:tc>
          <w:tcPr>
            <w:tcW w:w="415" w:type="pct"/>
            <w:gridSpan w:val="2"/>
          </w:tcPr>
          <w:p w:rsidR="00562D0A" w:rsidRPr="009A405F" w:rsidRDefault="00562D0A" w:rsidP="00562D0A">
            <w:pPr>
              <w:widowControl w:val="0"/>
              <w:autoSpaceDE w:val="0"/>
              <w:autoSpaceDN w:val="0"/>
              <w:adjustRightInd w:val="0"/>
              <w:jc w:val="center"/>
              <w:rPr>
                <w:sz w:val="18"/>
                <w:szCs w:val="18"/>
              </w:rPr>
            </w:pPr>
            <w:r>
              <w:rPr>
                <w:sz w:val="18"/>
                <w:szCs w:val="18"/>
              </w:rPr>
              <w:t>-3.327</w:t>
            </w:r>
          </w:p>
        </w:tc>
      </w:tr>
      <w:tr w:rsidR="00562D0A" w:rsidRPr="009A405F" w:rsidTr="00562D0A">
        <w:tc>
          <w:tcPr>
            <w:tcW w:w="644" w:type="pct"/>
          </w:tcPr>
          <w:p w:rsidR="00562D0A" w:rsidRPr="009A405F" w:rsidRDefault="00562D0A" w:rsidP="00562D0A">
            <w:pPr>
              <w:widowControl w:val="0"/>
              <w:autoSpaceDE w:val="0"/>
              <w:autoSpaceDN w:val="0"/>
              <w:adjustRightInd w:val="0"/>
              <w:rPr>
                <w:sz w:val="18"/>
                <w:szCs w:val="18"/>
              </w:rPr>
            </w:pPr>
          </w:p>
        </w:tc>
        <w:tc>
          <w:tcPr>
            <w:tcW w:w="376" w:type="pct"/>
          </w:tcPr>
          <w:p w:rsidR="00562D0A" w:rsidRPr="00534C08" w:rsidRDefault="00562D0A" w:rsidP="00562D0A">
            <w:pPr>
              <w:widowControl w:val="0"/>
              <w:autoSpaceDE w:val="0"/>
              <w:autoSpaceDN w:val="0"/>
              <w:adjustRightInd w:val="0"/>
              <w:jc w:val="center"/>
              <w:rPr>
                <w:sz w:val="18"/>
                <w:szCs w:val="18"/>
              </w:rPr>
            </w:pPr>
            <w:r w:rsidRPr="00534C08">
              <w:rPr>
                <w:sz w:val="18"/>
                <w:szCs w:val="18"/>
              </w:rPr>
              <w:t>(6.934)</w:t>
            </w:r>
          </w:p>
        </w:tc>
        <w:tc>
          <w:tcPr>
            <w:tcW w:w="344" w:type="pct"/>
          </w:tcPr>
          <w:p w:rsidR="00562D0A" w:rsidRPr="00534C08" w:rsidRDefault="00562D0A" w:rsidP="00562D0A">
            <w:pPr>
              <w:widowControl w:val="0"/>
              <w:autoSpaceDE w:val="0"/>
              <w:autoSpaceDN w:val="0"/>
              <w:adjustRightInd w:val="0"/>
              <w:jc w:val="center"/>
              <w:rPr>
                <w:sz w:val="18"/>
                <w:szCs w:val="18"/>
              </w:rPr>
            </w:pPr>
            <w:r w:rsidRPr="00534C08">
              <w:rPr>
                <w:sz w:val="18"/>
                <w:szCs w:val="18"/>
              </w:rPr>
              <w:t>(5.763)</w:t>
            </w:r>
          </w:p>
        </w:tc>
        <w:tc>
          <w:tcPr>
            <w:tcW w:w="342" w:type="pct"/>
          </w:tcPr>
          <w:p w:rsidR="00562D0A" w:rsidRPr="00534C08" w:rsidRDefault="00562D0A" w:rsidP="00562D0A">
            <w:pPr>
              <w:widowControl w:val="0"/>
              <w:autoSpaceDE w:val="0"/>
              <w:autoSpaceDN w:val="0"/>
              <w:adjustRightInd w:val="0"/>
              <w:jc w:val="center"/>
              <w:rPr>
                <w:sz w:val="18"/>
                <w:szCs w:val="18"/>
              </w:rPr>
            </w:pPr>
            <w:r w:rsidRPr="00534C08">
              <w:rPr>
                <w:sz w:val="18"/>
                <w:szCs w:val="18"/>
              </w:rPr>
              <w:t>(6.215)</w:t>
            </w:r>
          </w:p>
        </w:tc>
        <w:tc>
          <w:tcPr>
            <w:tcW w:w="339" w:type="pct"/>
          </w:tcPr>
          <w:p w:rsidR="00562D0A" w:rsidRPr="00534C08" w:rsidRDefault="00562D0A" w:rsidP="00562D0A">
            <w:pPr>
              <w:widowControl w:val="0"/>
              <w:autoSpaceDE w:val="0"/>
              <w:autoSpaceDN w:val="0"/>
              <w:adjustRightInd w:val="0"/>
              <w:jc w:val="center"/>
              <w:rPr>
                <w:sz w:val="18"/>
                <w:szCs w:val="18"/>
              </w:rPr>
            </w:pPr>
            <w:r w:rsidRPr="00534C08">
              <w:rPr>
                <w:sz w:val="18"/>
                <w:szCs w:val="18"/>
              </w:rPr>
              <w:t>(6.409)</w:t>
            </w:r>
          </w:p>
        </w:tc>
        <w:tc>
          <w:tcPr>
            <w:tcW w:w="339" w:type="pct"/>
          </w:tcPr>
          <w:p w:rsidR="00562D0A" w:rsidRPr="00534C08" w:rsidRDefault="00562D0A" w:rsidP="00562D0A">
            <w:pPr>
              <w:widowControl w:val="0"/>
              <w:autoSpaceDE w:val="0"/>
              <w:autoSpaceDN w:val="0"/>
              <w:adjustRightInd w:val="0"/>
              <w:jc w:val="center"/>
              <w:rPr>
                <w:sz w:val="18"/>
                <w:szCs w:val="18"/>
              </w:rPr>
            </w:pPr>
            <w:r w:rsidRPr="00534C08">
              <w:rPr>
                <w:sz w:val="18"/>
                <w:szCs w:val="18"/>
              </w:rPr>
              <w:t>(6.403)</w:t>
            </w:r>
          </w:p>
        </w:tc>
        <w:tc>
          <w:tcPr>
            <w:tcW w:w="341" w:type="pct"/>
          </w:tcPr>
          <w:p w:rsidR="00562D0A" w:rsidRPr="00534C08" w:rsidRDefault="00562D0A" w:rsidP="00562D0A">
            <w:pPr>
              <w:widowControl w:val="0"/>
              <w:autoSpaceDE w:val="0"/>
              <w:autoSpaceDN w:val="0"/>
              <w:adjustRightInd w:val="0"/>
              <w:jc w:val="center"/>
              <w:rPr>
                <w:sz w:val="18"/>
                <w:szCs w:val="18"/>
              </w:rPr>
            </w:pPr>
            <w:r w:rsidRPr="00534C08">
              <w:rPr>
                <w:sz w:val="18"/>
                <w:szCs w:val="18"/>
              </w:rPr>
              <w:t>(6.907)</w:t>
            </w:r>
          </w:p>
        </w:tc>
        <w:tc>
          <w:tcPr>
            <w:tcW w:w="342" w:type="pct"/>
          </w:tcPr>
          <w:p w:rsidR="00562D0A" w:rsidRPr="00534C08" w:rsidRDefault="00562D0A" w:rsidP="00562D0A">
            <w:pPr>
              <w:widowControl w:val="0"/>
              <w:autoSpaceDE w:val="0"/>
              <w:autoSpaceDN w:val="0"/>
              <w:adjustRightInd w:val="0"/>
              <w:jc w:val="center"/>
              <w:rPr>
                <w:sz w:val="18"/>
                <w:szCs w:val="18"/>
              </w:rPr>
            </w:pPr>
            <w:r w:rsidRPr="00534C08">
              <w:rPr>
                <w:sz w:val="18"/>
                <w:szCs w:val="18"/>
              </w:rPr>
              <w:t>(5.744)</w:t>
            </w:r>
          </w:p>
        </w:tc>
        <w:tc>
          <w:tcPr>
            <w:tcW w:w="383" w:type="pct"/>
          </w:tcPr>
          <w:p w:rsidR="00562D0A" w:rsidRPr="00534C08" w:rsidRDefault="00562D0A" w:rsidP="00562D0A">
            <w:pPr>
              <w:widowControl w:val="0"/>
              <w:autoSpaceDE w:val="0"/>
              <w:autoSpaceDN w:val="0"/>
              <w:adjustRightInd w:val="0"/>
              <w:jc w:val="center"/>
              <w:rPr>
                <w:sz w:val="18"/>
                <w:szCs w:val="18"/>
              </w:rPr>
            </w:pPr>
            <w:r w:rsidRPr="00534C08">
              <w:rPr>
                <w:sz w:val="18"/>
                <w:szCs w:val="18"/>
              </w:rPr>
              <w:t>(6.676)</w:t>
            </w:r>
          </w:p>
        </w:tc>
        <w:tc>
          <w:tcPr>
            <w:tcW w:w="416" w:type="pct"/>
          </w:tcPr>
          <w:p w:rsidR="00562D0A" w:rsidRPr="00534C08" w:rsidRDefault="00562D0A" w:rsidP="00562D0A">
            <w:pPr>
              <w:widowControl w:val="0"/>
              <w:autoSpaceDE w:val="0"/>
              <w:autoSpaceDN w:val="0"/>
              <w:adjustRightInd w:val="0"/>
              <w:jc w:val="center"/>
              <w:rPr>
                <w:sz w:val="18"/>
                <w:szCs w:val="18"/>
              </w:rPr>
            </w:pPr>
            <w:r w:rsidRPr="00534C08">
              <w:rPr>
                <w:sz w:val="18"/>
                <w:szCs w:val="18"/>
              </w:rPr>
              <w:t>(7.091)</w:t>
            </w:r>
          </w:p>
        </w:tc>
        <w:tc>
          <w:tcPr>
            <w:tcW w:w="377" w:type="pct"/>
          </w:tcPr>
          <w:p w:rsidR="00562D0A" w:rsidRPr="009A405F" w:rsidRDefault="00562D0A" w:rsidP="00562D0A">
            <w:pPr>
              <w:widowControl w:val="0"/>
              <w:autoSpaceDE w:val="0"/>
              <w:autoSpaceDN w:val="0"/>
              <w:adjustRightInd w:val="0"/>
              <w:jc w:val="center"/>
              <w:rPr>
                <w:sz w:val="18"/>
                <w:szCs w:val="18"/>
              </w:rPr>
            </w:pPr>
            <w:r w:rsidRPr="00730277">
              <w:rPr>
                <w:sz w:val="18"/>
                <w:szCs w:val="18"/>
              </w:rPr>
              <w:t>(6.732)</w:t>
            </w:r>
          </w:p>
        </w:tc>
        <w:tc>
          <w:tcPr>
            <w:tcW w:w="342" w:type="pct"/>
            <w:gridSpan w:val="2"/>
          </w:tcPr>
          <w:p w:rsidR="00562D0A" w:rsidRPr="009A405F" w:rsidRDefault="00562D0A" w:rsidP="00562D0A">
            <w:pPr>
              <w:widowControl w:val="0"/>
              <w:autoSpaceDE w:val="0"/>
              <w:autoSpaceDN w:val="0"/>
              <w:adjustRightInd w:val="0"/>
              <w:jc w:val="center"/>
              <w:rPr>
                <w:sz w:val="18"/>
                <w:szCs w:val="18"/>
              </w:rPr>
            </w:pPr>
            <w:r w:rsidRPr="00730277">
              <w:rPr>
                <w:sz w:val="18"/>
                <w:szCs w:val="18"/>
              </w:rPr>
              <w:t>(9.359)</w:t>
            </w:r>
          </w:p>
        </w:tc>
        <w:tc>
          <w:tcPr>
            <w:tcW w:w="415" w:type="pct"/>
            <w:gridSpan w:val="2"/>
          </w:tcPr>
          <w:p w:rsidR="00562D0A" w:rsidRPr="009A405F" w:rsidRDefault="00562D0A" w:rsidP="00562D0A">
            <w:pPr>
              <w:widowControl w:val="0"/>
              <w:autoSpaceDE w:val="0"/>
              <w:autoSpaceDN w:val="0"/>
              <w:adjustRightInd w:val="0"/>
              <w:jc w:val="center"/>
              <w:rPr>
                <w:sz w:val="18"/>
                <w:szCs w:val="18"/>
              </w:rPr>
            </w:pPr>
            <w:r w:rsidRPr="00730277">
              <w:rPr>
                <w:sz w:val="18"/>
                <w:szCs w:val="18"/>
              </w:rPr>
              <w:t>(6.615)</w:t>
            </w:r>
          </w:p>
        </w:tc>
      </w:tr>
      <w:tr w:rsidR="00562D0A" w:rsidRPr="009A405F" w:rsidTr="00562D0A">
        <w:tc>
          <w:tcPr>
            <w:tcW w:w="644" w:type="pct"/>
          </w:tcPr>
          <w:p w:rsidR="00562D0A" w:rsidRPr="009A405F" w:rsidRDefault="00562D0A" w:rsidP="00562D0A">
            <w:pPr>
              <w:widowControl w:val="0"/>
              <w:autoSpaceDE w:val="0"/>
              <w:autoSpaceDN w:val="0"/>
              <w:adjustRightInd w:val="0"/>
              <w:rPr>
                <w:sz w:val="18"/>
                <w:szCs w:val="18"/>
              </w:rPr>
            </w:pPr>
            <w:r w:rsidRPr="009A405F">
              <w:rPr>
                <w:sz w:val="18"/>
                <w:szCs w:val="18"/>
                <w:lang w:val="en-GB"/>
              </w:rPr>
              <w:t>Observations</w:t>
            </w:r>
          </w:p>
        </w:tc>
        <w:tc>
          <w:tcPr>
            <w:tcW w:w="376"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109</w:t>
            </w:r>
          </w:p>
        </w:tc>
        <w:tc>
          <w:tcPr>
            <w:tcW w:w="344"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109</w:t>
            </w:r>
          </w:p>
        </w:tc>
        <w:tc>
          <w:tcPr>
            <w:tcW w:w="342"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109</w:t>
            </w:r>
          </w:p>
        </w:tc>
        <w:tc>
          <w:tcPr>
            <w:tcW w:w="339"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109</w:t>
            </w:r>
          </w:p>
        </w:tc>
        <w:tc>
          <w:tcPr>
            <w:tcW w:w="339"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109</w:t>
            </w:r>
          </w:p>
        </w:tc>
        <w:tc>
          <w:tcPr>
            <w:tcW w:w="341"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109</w:t>
            </w:r>
          </w:p>
        </w:tc>
        <w:tc>
          <w:tcPr>
            <w:tcW w:w="342"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109</w:t>
            </w:r>
          </w:p>
        </w:tc>
        <w:tc>
          <w:tcPr>
            <w:tcW w:w="383"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109</w:t>
            </w:r>
          </w:p>
        </w:tc>
        <w:tc>
          <w:tcPr>
            <w:tcW w:w="416"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109</w:t>
            </w:r>
          </w:p>
        </w:tc>
        <w:tc>
          <w:tcPr>
            <w:tcW w:w="377"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109</w:t>
            </w:r>
          </w:p>
        </w:tc>
        <w:tc>
          <w:tcPr>
            <w:tcW w:w="342" w:type="pct"/>
            <w:gridSpan w:val="2"/>
          </w:tcPr>
          <w:p w:rsidR="00562D0A" w:rsidRPr="009A405F" w:rsidRDefault="00562D0A" w:rsidP="00562D0A">
            <w:pPr>
              <w:widowControl w:val="0"/>
              <w:autoSpaceDE w:val="0"/>
              <w:autoSpaceDN w:val="0"/>
              <w:adjustRightInd w:val="0"/>
              <w:jc w:val="center"/>
              <w:rPr>
                <w:sz w:val="18"/>
                <w:szCs w:val="18"/>
              </w:rPr>
            </w:pPr>
            <w:r w:rsidRPr="009A405F">
              <w:rPr>
                <w:sz w:val="18"/>
                <w:szCs w:val="18"/>
              </w:rPr>
              <w:t>109</w:t>
            </w:r>
          </w:p>
        </w:tc>
        <w:tc>
          <w:tcPr>
            <w:tcW w:w="415" w:type="pct"/>
            <w:gridSpan w:val="2"/>
          </w:tcPr>
          <w:p w:rsidR="00562D0A" w:rsidRPr="009A405F" w:rsidRDefault="00562D0A" w:rsidP="00562D0A">
            <w:pPr>
              <w:widowControl w:val="0"/>
              <w:autoSpaceDE w:val="0"/>
              <w:autoSpaceDN w:val="0"/>
              <w:adjustRightInd w:val="0"/>
              <w:jc w:val="center"/>
              <w:rPr>
                <w:sz w:val="18"/>
                <w:szCs w:val="18"/>
              </w:rPr>
            </w:pPr>
            <w:r w:rsidRPr="009A405F">
              <w:rPr>
                <w:sz w:val="18"/>
                <w:szCs w:val="18"/>
              </w:rPr>
              <w:t>109</w:t>
            </w:r>
          </w:p>
        </w:tc>
      </w:tr>
      <w:tr w:rsidR="00562D0A" w:rsidRPr="009A405F" w:rsidTr="00562D0A">
        <w:tc>
          <w:tcPr>
            <w:tcW w:w="644" w:type="pct"/>
          </w:tcPr>
          <w:p w:rsidR="00562D0A" w:rsidRPr="009A405F" w:rsidRDefault="00562D0A" w:rsidP="00562D0A">
            <w:pPr>
              <w:widowControl w:val="0"/>
              <w:autoSpaceDE w:val="0"/>
              <w:autoSpaceDN w:val="0"/>
              <w:adjustRightInd w:val="0"/>
              <w:rPr>
                <w:sz w:val="18"/>
                <w:szCs w:val="18"/>
              </w:rPr>
            </w:pPr>
            <w:r>
              <w:rPr>
                <w:sz w:val="18"/>
                <w:szCs w:val="18"/>
                <w:lang w:val="en-GB"/>
              </w:rPr>
              <w:t>No.</w:t>
            </w:r>
            <w:r w:rsidRPr="009A405F">
              <w:rPr>
                <w:sz w:val="18"/>
                <w:szCs w:val="18"/>
                <w:lang w:val="en-GB"/>
              </w:rPr>
              <w:t xml:space="preserve"> of countries</w:t>
            </w:r>
          </w:p>
        </w:tc>
        <w:tc>
          <w:tcPr>
            <w:tcW w:w="376"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25</w:t>
            </w:r>
          </w:p>
        </w:tc>
        <w:tc>
          <w:tcPr>
            <w:tcW w:w="344"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25</w:t>
            </w:r>
          </w:p>
        </w:tc>
        <w:tc>
          <w:tcPr>
            <w:tcW w:w="342"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25</w:t>
            </w:r>
          </w:p>
        </w:tc>
        <w:tc>
          <w:tcPr>
            <w:tcW w:w="339"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25</w:t>
            </w:r>
          </w:p>
        </w:tc>
        <w:tc>
          <w:tcPr>
            <w:tcW w:w="339"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25</w:t>
            </w:r>
          </w:p>
        </w:tc>
        <w:tc>
          <w:tcPr>
            <w:tcW w:w="341"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25</w:t>
            </w:r>
          </w:p>
        </w:tc>
        <w:tc>
          <w:tcPr>
            <w:tcW w:w="342"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25</w:t>
            </w:r>
          </w:p>
        </w:tc>
        <w:tc>
          <w:tcPr>
            <w:tcW w:w="383"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25</w:t>
            </w:r>
          </w:p>
        </w:tc>
        <w:tc>
          <w:tcPr>
            <w:tcW w:w="416"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25</w:t>
            </w:r>
          </w:p>
        </w:tc>
        <w:tc>
          <w:tcPr>
            <w:tcW w:w="377"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25</w:t>
            </w:r>
          </w:p>
        </w:tc>
        <w:tc>
          <w:tcPr>
            <w:tcW w:w="342" w:type="pct"/>
            <w:gridSpan w:val="2"/>
          </w:tcPr>
          <w:p w:rsidR="00562D0A" w:rsidRPr="009A405F" w:rsidRDefault="00562D0A" w:rsidP="00562D0A">
            <w:pPr>
              <w:widowControl w:val="0"/>
              <w:autoSpaceDE w:val="0"/>
              <w:autoSpaceDN w:val="0"/>
              <w:adjustRightInd w:val="0"/>
              <w:jc w:val="center"/>
              <w:rPr>
                <w:sz w:val="18"/>
                <w:szCs w:val="18"/>
              </w:rPr>
            </w:pPr>
            <w:r w:rsidRPr="009A405F">
              <w:rPr>
                <w:sz w:val="18"/>
                <w:szCs w:val="18"/>
              </w:rPr>
              <w:t>25</w:t>
            </w:r>
          </w:p>
        </w:tc>
        <w:tc>
          <w:tcPr>
            <w:tcW w:w="415" w:type="pct"/>
            <w:gridSpan w:val="2"/>
          </w:tcPr>
          <w:p w:rsidR="00562D0A" w:rsidRPr="009A405F" w:rsidRDefault="00562D0A" w:rsidP="00562D0A">
            <w:pPr>
              <w:widowControl w:val="0"/>
              <w:autoSpaceDE w:val="0"/>
              <w:autoSpaceDN w:val="0"/>
              <w:adjustRightInd w:val="0"/>
              <w:jc w:val="center"/>
              <w:rPr>
                <w:sz w:val="18"/>
                <w:szCs w:val="18"/>
              </w:rPr>
            </w:pPr>
            <w:r w:rsidRPr="009A405F">
              <w:rPr>
                <w:sz w:val="18"/>
                <w:szCs w:val="18"/>
              </w:rPr>
              <w:t>25</w:t>
            </w:r>
          </w:p>
        </w:tc>
      </w:tr>
      <w:tr w:rsidR="00562D0A" w:rsidRPr="009A405F" w:rsidTr="00562D0A">
        <w:tc>
          <w:tcPr>
            <w:tcW w:w="644" w:type="pct"/>
          </w:tcPr>
          <w:p w:rsidR="00562D0A" w:rsidRPr="009A405F" w:rsidRDefault="00562D0A" w:rsidP="00562D0A">
            <w:pPr>
              <w:widowControl w:val="0"/>
              <w:autoSpaceDE w:val="0"/>
              <w:autoSpaceDN w:val="0"/>
              <w:adjustRightInd w:val="0"/>
              <w:rPr>
                <w:sz w:val="18"/>
                <w:szCs w:val="18"/>
              </w:rPr>
            </w:pPr>
            <w:r w:rsidRPr="009A405F">
              <w:rPr>
                <w:sz w:val="18"/>
                <w:szCs w:val="18"/>
                <w:lang w:val="en-GB"/>
              </w:rPr>
              <w:t>R-squared</w:t>
            </w:r>
          </w:p>
        </w:tc>
        <w:tc>
          <w:tcPr>
            <w:tcW w:w="376"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0.59</w:t>
            </w:r>
          </w:p>
        </w:tc>
        <w:tc>
          <w:tcPr>
            <w:tcW w:w="344"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0.60</w:t>
            </w:r>
          </w:p>
        </w:tc>
        <w:tc>
          <w:tcPr>
            <w:tcW w:w="342"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0.59</w:t>
            </w:r>
          </w:p>
        </w:tc>
        <w:tc>
          <w:tcPr>
            <w:tcW w:w="339"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0.59</w:t>
            </w:r>
          </w:p>
        </w:tc>
        <w:tc>
          <w:tcPr>
            <w:tcW w:w="339"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0.61</w:t>
            </w:r>
          </w:p>
        </w:tc>
        <w:tc>
          <w:tcPr>
            <w:tcW w:w="341"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0.59</w:t>
            </w:r>
          </w:p>
        </w:tc>
        <w:tc>
          <w:tcPr>
            <w:tcW w:w="342"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0.61</w:t>
            </w:r>
          </w:p>
        </w:tc>
        <w:tc>
          <w:tcPr>
            <w:tcW w:w="383"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0.62</w:t>
            </w:r>
          </w:p>
        </w:tc>
        <w:tc>
          <w:tcPr>
            <w:tcW w:w="416" w:type="pct"/>
          </w:tcPr>
          <w:p w:rsidR="00562D0A" w:rsidRPr="009A405F" w:rsidRDefault="00562D0A" w:rsidP="00562D0A">
            <w:pPr>
              <w:widowControl w:val="0"/>
              <w:autoSpaceDE w:val="0"/>
              <w:autoSpaceDN w:val="0"/>
              <w:adjustRightInd w:val="0"/>
              <w:jc w:val="center"/>
              <w:rPr>
                <w:sz w:val="18"/>
                <w:szCs w:val="18"/>
              </w:rPr>
            </w:pPr>
            <w:r w:rsidRPr="009A405F">
              <w:rPr>
                <w:sz w:val="18"/>
                <w:szCs w:val="18"/>
              </w:rPr>
              <w:t>0.61</w:t>
            </w:r>
          </w:p>
        </w:tc>
        <w:tc>
          <w:tcPr>
            <w:tcW w:w="377" w:type="pct"/>
          </w:tcPr>
          <w:p w:rsidR="00562D0A" w:rsidRPr="009A405F" w:rsidRDefault="00562D0A" w:rsidP="00562D0A">
            <w:pPr>
              <w:widowControl w:val="0"/>
              <w:autoSpaceDE w:val="0"/>
              <w:autoSpaceDN w:val="0"/>
              <w:adjustRightInd w:val="0"/>
              <w:jc w:val="center"/>
              <w:rPr>
                <w:sz w:val="18"/>
                <w:szCs w:val="18"/>
              </w:rPr>
            </w:pPr>
            <w:r w:rsidRPr="00730277">
              <w:rPr>
                <w:sz w:val="18"/>
                <w:szCs w:val="18"/>
              </w:rPr>
              <w:t>0.60</w:t>
            </w:r>
          </w:p>
        </w:tc>
        <w:tc>
          <w:tcPr>
            <w:tcW w:w="342" w:type="pct"/>
            <w:gridSpan w:val="2"/>
          </w:tcPr>
          <w:p w:rsidR="00562D0A" w:rsidRPr="009A405F" w:rsidRDefault="00562D0A" w:rsidP="00562D0A">
            <w:pPr>
              <w:widowControl w:val="0"/>
              <w:autoSpaceDE w:val="0"/>
              <w:autoSpaceDN w:val="0"/>
              <w:adjustRightInd w:val="0"/>
              <w:jc w:val="center"/>
              <w:rPr>
                <w:sz w:val="18"/>
                <w:szCs w:val="18"/>
              </w:rPr>
            </w:pPr>
            <w:r w:rsidRPr="00730277">
              <w:rPr>
                <w:sz w:val="18"/>
                <w:szCs w:val="18"/>
              </w:rPr>
              <w:t>0.39</w:t>
            </w:r>
          </w:p>
        </w:tc>
        <w:tc>
          <w:tcPr>
            <w:tcW w:w="415" w:type="pct"/>
            <w:gridSpan w:val="2"/>
          </w:tcPr>
          <w:p w:rsidR="00562D0A" w:rsidRPr="009A405F" w:rsidRDefault="00562D0A" w:rsidP="00562D0A">
            <w:pPr>
              <w:widowControl w:val="0"/>
              <w:autoSpaceDE w:val="0"/>
              <w:autoSpaceDN w:val="0"/>
              <w:adjustRightInd w:val="0"/>
              <w:jc w:val="center"/>
              <w:rPr>
                <w:sz w:val="18"/>
                <w:szCs w:val="18"/>
              </w:rPr>
            </w:pPr>
            <w:r w:rsidRPr="00730277">
              <w:rPr>
                <w:sz w:val="18"/>
                <w:szCs w:val="18"/>
              </w:rPr>
              <w:t>0.61</w:t>
            </w:r>
          </w:p>
        </w:tc>
      </w:tr>
      <w:tr w:rsidR="00562D0A" w:rsidRPr="009A405F" w:rsidTr="00562D0A">
        <w:tc>
          <w:tcPr>
            <w:tcW w:w="644" w:type="pct"/>
          </w:tcPr>
          <w:p w:rsidR="00562D0A" w:rsidRPr="009A405F" w:rsidRDefault="00562D0A" w:rsidP="00562D0A">
            <w:pPr>
              <w:widowControl w:val="0"/>
              <w:autoSpaceDE w:val="0"/>
              <w:autoSpaceDN w:val="0"/>
              <w:adjustRightInd w:val="0"/>
              <w:rPr>
                <w:sz w:val="18"/>
                <w:szCs w:val="18"/>
              </w:rPr>
            </w:pPr>
            <w:r>
              <w:rPr>
                <w:sz w:val="18"/>
                <w:szCs w:val="18"/>
                <w:lang w:val="en-GB"/>
              </w:rPr>
              <w:t xml:space="preserve">Wooldridge test for </w:t>
            </w:r>
            <w:r w:rsidRPr="009A405F">
              <w:rPr>
                <w:sz w:val="18"/>
                <w:szCs w:val="18"/>
                <w:lang w:val="en-GB"/>
              </w:rPr>
              <w:t xml:space="preserve">autocorrelation </w:t>
            </w:r>
          </w:p>
        </w:tc>
        <w:tc>
          <w:tcPr>
            <w:tcW w:w="376" w:type="pct"/>
          </w:tcPr>
          <w:p w:rsidR="00562D0A" w:rsidRDefault="00562D0A" w:rsidP="00562D0A">
            <w:pPr>
              <w:widowControl w:val="0"/>
              <w:autoSpaceDE w:val="0"/>
              <w:autoSpaceDN w:val="0"/>
              <w:adjustRightInd w:val="0"/>
              <w:jc w:val="center"/>
              <w:rPr>
                <w:sz w:val="18"/>
                <w:szCs w:val="18"/>
              </w:rPr>
            </w:pPr>
            <w:r>
              <w:rPr>
                <w:sz w:val="18"/>
                <w:szCs w:val="18"/>
              </w:rPr>
              <w:t>0.134</w:t>
            </w:r>
          </w:p>
          <w:p w:rsidR="00562D0A" w:rsidRPr="009A405F" w:rsidRDefault="00562D0A" w:rsidP="00562D0A">
            <w:pPr>
              <w:rPr>
                <w:sz w:val="18"/>
                <w:szCs w:val="18"/>
              </w:rPr>
            </w:pPr>
            <w:r>
              <w:rPr>
                <w:sz w:val="18"/>
                <w:szCs w:val="18"/>
              </w:rPr>
              <w:t xml:space="preserve">  (</w:t>
            </w:r>
            <w:r w:rsidRPr="00747B78">
              <w:rPr>
                <w:sz w:val="18"/>
                <w:szCs w:val="18"/>
              </w:rPr>
              <w:t xml:space="preserve"> </w:t>
            </w:r>
            <w:r>
              <w:rPr>
                <w:sz w:val="18"/>
                <w:szCs w:val="18"/>
              </w:rPr>
              <w:t>0.717)</w:t>
            </w:r>
          </w:p>
        </w:tc>
        <w:tc>
          <w:tcPr>
            <w:tcW w:w="344" w:type="pct"/>
          </w:tcPr>
          <w:p w:rsidR="00562D0A" w:rsidRDefault="00562D0A" w:rsidP="00562D0A">
            <w:pPr>
              <w:widowControl w:val="0"/>
              <w:autoSpaceDE w:val="0"/>
              <w:autoSpaceDN w:val="0"/>
              <w:adjustRightInd w:val="0"/>
              <w:jc w:val="center"/>
              <w:rPr>
                <w:sz w:val="18"/>
                <w:szCs w:val="18"/>
              </w:rPr>
            </w:pPr>
            <w:r>
              <w:rPr>
                <w:sz w:val="18"/>
                <w:szCs w:val="18"/>
              </w:rPr>
              <w:t>0.184</w:t>
            </w:r>
          </w:p>
          <w:p w:rsidR="00562D0A" w:rsidRPr="009A405F" w:rsidRDefault="00562D0A" w:rsidP="00562D0A">
            <w:pPr>
              <w:widowControl w:val="0"/>
              <w:autoSpaceDE w:val="0"/>
              <w:autoSpaceDN w:val="0"/>
              <w:adjustRightInd w:val="0"/>
              <w:jc w:val="center"/>
              <w:rPr>
                <w:sz w:val="18"/>
                <w:szCs w:val="18"/>
              </w:rPr>
            </w:pPr>
            <w:r>
              <w:rPr>
                <w:sz w:val="18"/>
                <w:szCs w:val="18"/>
              </w:rPr>
              <w:t>(</w:t>
            </w:r>
            <w:r w:rsidRPr="00674B7A">
              <w:rPr>
                <w:sz w:val="18"/>
                <w:szCs w:val="18"/>
              </w:rPr>
              <w:t xml:space="preserve"> 0.6723</w:t>
            </w:r>
            <w:r>
              <w:rPr>
                <w:sz w:val="18"/>
                <w:szCs w:val="18"/>
              </w:rPr>
              <w:t>)</w:t>
            </w:r>
          </w:p>
        </w:tc>
        <w:tc>
          <w:tcPr>
            <w:tcW w:w="342" w:type="pct"/>
          </w:tcPr>
          <w:p w:rsidR="00562D0A" w:rsidRDefault="00562D0A" w:rsidP="00562D0A">
            <w:pPr>
              <w:widowControl w:val="0"/>
              <w:autoSpaceDE w:val="0"/>
              <w:autoSpaceDN w:val="0"/>
              <w:adjustRightInd w:val="0"/>
              <w:jc w:val="center"/>
              <w:rPr>
                <w:sz w:val="18"/>
                <w:szCs w:val="18"/>
              </w:rPr>
            </w:pPr>
            <w:r>
              <w:rPr>
                <w:sz w:val="18"/>
                <w:szCs w:val="18"/>
              </w:rPr>
              <w:t>0.272</w:t>
            </w:r>
          </w:p>
          <w:p w:rsidR="00562D0A" w:rsidRPr="009A405F" w:rsidRDefault="00562D0A" w:rsidP="00562D0A">
            <w:pPr>
              <w:widowControl w:val="0"/>
              <w:autoSpaceDE w:val="0"/>
              <w:autoSpaceDN w:val="0"/>
              <w:adjustRightInd w:val="0"/>
              <w:jc w:val="center"/>
              <w:rPr>
                <w:sz w:val="18"/>
                <w:szCs w:val="18"/>
              </w:rPr>
            </w:pPr>
            <w:r>
              <w:rPr>
                <w:sz w:val="18"/>
                <w:szCs w:val="18"/>
              </w:rPr>
              <w:t>(</w:t>
            </w:r>
            <w:r w:rsidRPr="00747B78">
              <w:rPr>
                <w:sz w:val="18"/>
                <w:szCs w:val="18"/>
              </w:rPr>
              <w:t>0.6072</w:t>
            </w:r>
            <w:r>
              <w:rPr>
                <w:sz w:val="18"/>
                <w:szCs w:val="18"/>
              </w:rPr>
              <w:t>)</w:t>
            </w:r>
          </w:p>
        </w:tc>
        <w:tc>
          <w:tcPr>
            <w:tcW w:w="339" w:type="pct"/>
          </w:tcPr>
          <w:p w:rsidR="00562D0A" w:rsidRDefault="00562D0A" w:rsidP="00562D0A">
            <w:pPr>
              <w:widowControl w:val="0"/>
              <w:autoSpaceDE w:val="0"/>
              <w:autoSpaceDN w:val="0"/>
              <w:adjustRightInd w:val="0"/>
              <w:jc w:val="center"/>
              <w:rPr>
                <w:sz w:val="18"/>
                <w:szCs w:val="18"/>
              </w:rPr>
            </w:pPr>
            <w:r>
              <w:rPr>
                <w:sz w:val="18"/>
                <w:szCs w:val="18"/>
              </w:rPr>
              <w:t>0.225</w:t>
            </w:r>
          </w:p>
          <w:p w:rsidR="00562D0A" w:rsidRPr="009A405F" w:rsidRDefault="00562D0A" w:rsidP="00562D0A">
            <w:pPr>
              <w:widowControl w:val="0"/>
              <w:autoSpaceDE w:val="0"/>
              <w:autoSpaceDN w:val="0"/>
              <w:adjustRightInd w:val="0"/>
              <w:jc w:val="center"/>
              <w:rPr>
                <w:sz w:val="18"/>
                <w:szCs w:val="18"/>
              </w:rPr>
            </w:pPr>
            <w:r>
              <w:rPr>
                <w:sz w:val="18"/>
                <w:szCs w:val="18"/>
              </w:rPr>
              <w:t>(</w:t>
            </w:r>
            <w:r w:rsidRPr="00674B7A">
              <w:rPr>
                <w:sz w:val="18"/>
                <w:szCs w:val="18"/>
              </w:rPr>
              <w:t xml:space="preserve"> </w:t>
            </w:r>
            <w:r>
              <w:rPr>
                <w:sz w:val="18"/>
                <w:szCs w:val="18"/>
              </w:rPr>
              <w:t>0.639)</w:t>
            </w:r>
          </w:p>
        </w:tc>
        <w:tc>
          <w:tcPr>
            <w:tcW w:w="339" w:type="pct"/>
          </w:tcPr>
          <w:p w:rsidR="00562D0A" w:rsidRDefault="00562D0A" w:rsidP="00562D0A">
            <w:pPr>
              <w:widowControl w:val="0"/>
              <w:autoSpaceDE w:val="0"/>
              <w:autoSpaceDN w:val="0"/>
              <w:adjustRightInd w:val="0"/>
              <w:jc w:val="center"/>
              <w:rPr>
                <w:sz w:val="18"/>
                <w:szCs w:val="18"/>
              </w:rPr>
            </w:pPr>
            <w:r>
              <w:rPr>
                <w:sz w:val="18"/>
                <w:szCs w:val="18"/>
              </w:rPr>
              <w:t>0.028</w:t>
            </w:r>
          </w:p>
          <w:p w:rsidR="00562D0A" w:rsidRPr="009A405F" w:rsidRDefault="00562D0A" w:rsidP="00562D0A">
            <w:pPr>
              <w:widowControl w:val="0"/>
              <w:autoSpaceDE w:val="0"/>
              <w:autoSpaceDN w:val="0"/>
              <w:adjustRightInd w:val="0"/>
              <w:jc w:val="center"/>
              <w:rPr>
                <w:sz w:val="18"/>
                <w:szCs w:val="18"/>
              </w:rPr>
            </w:pPr>
            <w:r>
              <w:rPr>
                <w:sz w:val="18"/>
                <w:szCs w:val="18"/>
              </w:rPr>
              <w:t>(0.868)</w:t>
            </w:r>
          </w:p>
        </w:tc>
        <w:tc>
          <w:tcPr>
            <w:tcW w:w="341" w:type="pct"/>
          </w:tcPr>
          <w:p w:rsidR="00562D0A" w:rsidRDefault="00562D0A" w:rsidP="00562D0A">
            <w:pPr>
              <w:widowControl w:val="0"/>
              <w:autoSpaceDE w:val="0"/>
              <w:autoSpaceDN w:val="0"/>
              <w:adjustRightInd w:val="0"/>
              <w:jc w:val="center"/>
              <w:rPr>
                <w:sz w:val="18"/>
                <w:szCs w:val="18"/>
              </w:rPr>
            </w:pPr>
            <w:r>
              <w:rPr>
                <w:sz w:val="18"/>
                <w:szCs w:val="18"/>
              </w:rPr>
              <w:t>0.184</w:t>
            </w:r>
          </w:p>
          <w:p w:rsidR="00562D0A" w:rsidRPr="009A405F" w:rsidRDefault="00562D0A" w:rsidP="00562D0A">
            <w:pPr>
              <w:widowControl w:val="0"/>
              <w:autoSpaceDE w:val="0"/>
              <w:autoSpaceDN w:val="0"/>
              <w:adjustRightInd w:val="0"/>
              <w:jc w:val="center"/>
              <w:rPr>
                <w:sz w:val="18"/>
                <w:szCs w:val="18"/>
              </w:rPr>
            </w:pPr>
            <w:r>
              <w:rPr>
                <w:sz w:val="18"/>
                <w:szCs w:val="18"/>
              </w:rPr>
              <w:t>( 0.668)</w:t>
            </w:r>
          </w:p>
        </w:tc>
        <w:tc>
          <w:tcPr>
            <w:tcW w:w="342" w:type="pct"/>
          </w:tcPr>
          <w:p w:rsidR="00562D0A" w:rsidRDefault="00562D0A" w:rsidP="00562D0A">
            <w:pPr>
              <w:widowControl w:val="0"/>
              <w:autoSpaceDE w:val="0"/>
              <w:autoSpaceDN w:val="0"/>
              <w:adjustRightInd w:val="0"/>
              <w:jc w:val="center"/>
              <w:rPr>
                <w:sz w:val="18"/>
                <w:szCs w:val="18"/>
              </w:rPr>
            </w:pPr>
            <w:r>
              <w:rPr>
                <w:sz w:val="18"/>
                <w:szCs w:val="18"/>
              </w:rPr>
              <w:t>0.11</w:t>
            </w:r>
          </w:p>
          <w:p w:rsidR="00562D0A" w:rsidRPr="009A405F" w:rsidRDefault="00562D0A" w:rsidP="00562D0A">
            <w:pPr>
              <w:widowControl w:val="0"/>
              <w:autoSpaceDE w:val="0"/>
              <w:autoSpaceDN w:val="0"/>
              <w:adjustRightInd w:val="0"/>
              <w:jc w:val="center"/>
              <w:rPr>
                <w:sz w:val="18"/>
                <w:szCs w:val="18"/>
              </w:rPr>
            </w:pPr>
            <w:r>
              <w:rPr>
                <w:sz w:val="18"/>
                <w:szCs w:val="18"/>
              </w:rPr>
              <w:t>(</w:t>
            </w:r>
            <w:r w:rsidRPr="003D2CCD">
              <w:rPr>
                <w:sz w:val="18"/>
                <w:szCs w:val="18"/>
              </w:rPr>
              <w:t>0.7426</w:t>
            </w:r>
            <w:r>
              <w:rPr>
                <w:sz w:val="18"/>
                <w:szCs w:val="18"/>
              </w:rPr>
              <w:t>)</w:t>
            </w:r>
          </w:p>
        </w:tc>
        <w:tc>
          <w:tcPr>
            <w:tcW w:w="383" w:type="pct"/>
          </w:tcPr>
          <w:p w:rsidR="00562D0A" w:rsidRDefault="00562D0A" w:rsidP="00562D0A">
            <w:pPr>
              <w:widowControl w:val="0"/>
              <w:autoSpaceDE w:val="0"/>
              <w:autoSpaceDN w:val="0"/>
              <w:adjustRightInd w:val="0"/>
              <w:jc w:val="center"/>
              <w:rPr>
                <w:sz w:val="18"/>
                <w:szCs w:val="18"/>
              </w:rPr>
            </w:pPr>
            <w:r>
              <w:rPr>
                <w:sz w:val="18"/>
                <w:szCs w:val="18"/>
              </w:rPr>
              <w:t>0.037</w:t>
            </w:r>
          </w:p>
          <w:p w:rsidR="00562D0A" w:rsidRPr="009A405F" w:rsidRDefault="00562D0A" w:rsidP="00562D0A">
            <w:pPr>
              <w:widowControl w:val="0"/>
              <w:autoSpaceDE w:val="0"/>
              <w:autoSpaceDN w:val="0"/>
              <w:adjustRightInd w:val="0"/>
              <w:jc w:val="center"/>
              <w:rPr>
                <w:sz w:val="18"/>
                <w:szCs w:val="18"/>
              </w:rPr>
            </w:pPr>
            <w:r>
              <w:rPr>
                <w:sz w:val="18"/>
                <w:szCs w:val="18"/>
              </w:rPr>
              <w:t>(</w:t>
            </w:r>
            <w:r w:rsidRPr="003D2CCD">
              <w:rPr>
                <w:sz w:val="18"/>
                <w:szCs w:val="18"/>
              </w:rPr>
              <w:t>0.8498</w:t>
            </w:r>
            <w:r>
              <w:rPr>
                <w:sz w:val="18"/>
                <w:szCs w:val="18"/>
              </w:rPr>
              <w:t>)</w:t>
            </w:r>
          </w:p>
        </w:tc>
        <w:tc>
          <w:tcPr>
            <w:tcW w:w="416" w:type="pct"/>
          </w:tcPr>
          <w:p w:rsidR="00562D0A" w:rsidRDefault="00562D0A" w:rsidP="00562D0A">
            <w:pPr>
              <w:widowControl w:val="0"/>
              <w:autoSpaceDE w:val="0"/>
              <w:autoSpaceDN w:val="0"/>
              <w:adjustRightInd w:val="0"/>
              <w:jc w:val="center"/>
              <w:rPr>
                <w:sz w:val="18"/>
                <w:szCs w:val="18"/>
              </w:rPr>
            </w:pPr>
            <w:r>
              <w:rPr>
                <w:sz w:val="18"/>
                <w:szCs w:val="18"/>
              </w:rPr>
              <w:t>0.045</w:t>
            </w:r>
          </w:p>
          <w:p w:rsidR="00562D0A" w:rsidRPr="009A405F" w:rsidRDefault="00562D0A" w:rsidP="00562D0A">
            <w:pPr>
              <w:widowControl w:val="0"/>
              <w:autoSpaceDE w:val="0"/>
              <w:autoSpaceDN w:val="0"/>
              <w:adjustRightInd w:val="0"/>
              <w:jc w:val="center"/>
              <w:rPr>
                <w:sz w:val="18"/>
                <w:szCs w:val="18"/>
              </w:rPr>
            </w:pPr>
            <w:r>
              <w:rPr>
                <w:sz w:val="18"/>
                <w:szCs w:val="18"/>
              </w:rPr>
              <w:t>(</w:t>
            </w:r>
            <w:r w:rsidRPr="003D2CCD">
              <w:rPr>
                <w:sz w:val="18"/>
                <w:szCs w:val="18"/>
              </w:rPr>
              <w:t xml:space="preserve"> </w:t>
            </w:r>
            <w:r w:rsidRPr="00674B7A">
              <w:rPr>
                <w:sz w:val="18"/>
                <w:szCs w:val="18"/>
              </w:rPr>
              <w:t>0.8350</w:t>
            </w:r>
            <w:r>
              <w:rPr>
                <w:sz w:val="18"/>
                <w:szCs w:val="18"/>
              </w:rPr>
              <w:t>)</w:t>
            </w:r>
          </w:p>
        </w:tc>
        <w:tc>
          <w:tcPr>
            <w:tcW w:w="377" w:type="pct"/>
          </w:tcPr>
          <w:p w:rsidR="00562D0A" w:rsidRDefault="00562D0A" w:rsidP="00562D0A">
            <w:pPr>
              <w:widowControl w:val="0"/>
              <w:autoSpaceDE w:val="0"/>
              <w:autoSpaceDN w:val="0"/>
              <w:adjustRightInd w:val="0"/>
              <w:jc w:val="center"/>
              <w:rPr>
                <w:sz w:val="18"/>
                <w:szCs w:val="18"/>
              </w:rPr>
            </w:pPr>
            <w:r>
              <w:rPr>
                <w:sz w:val="18"/>
                <w:szCs w:val="18"/>
              </w:rPr>
              <w:t>0.159</w:t>
            </w:r>
          </w:p>
          <w:p w:rsidR="00562D0A" w:rsidRPr="00747B78" w:rsidRDefault="00562D0A" w:rsidP="00562D0A">
            <w:pPr>
              <w:widowControl w:val="0"/>
              <w:autoSpaceDE w:val="0"/>
              <w:autoSpaceDN w:val="0"/>
              <w:adjustRightInd w:val="0"/>
              <w:jc w:val="center"/>
              <w:rPr>
                <w:sz w:val="18"/>
                <w:szCs w:val="18"/>
              </w:rPr>
            </w:pPr>
            <w:r w:rsidRPr="00747B78">
              <w:rPr>
                <w:sz w:val="18"/>
                <w:szCs w:val="18"/>
              </w:rPr>
              <w:t xml:space="preserve">  </w:t>
            </w:r>
            <w:r>
              <w:rPr>
                <w:sz w:val="18"/>
                <w:szCs w:val="18"/>
              </w:rPr>
              <w:t>(0.694)</w:t>
            </w:r>
          </w:p>
        </w:tc>
        <w:tc>
          <w:tcPr>
            <w:tcW w:w="342" w:type="pct"/>
            <w:gridSpan w:val="2"/>
          </w:tcPr>
          <w:p w:rsidR="00562D0A" w:rsidRPr="00747B78" w:rsidRDefault="00562D0A" w:rsidP="00562D0A">
            <w:pPr>
              <w:widowControl w:val="0"/>
              <w:autoSpaceDE w:val="0"/>
              <w:autoSpaceDN w:val="0"/>
              <w:adjustRightInd w:val="0"/>
              <w:jc w:val="center"/>
              <w:rPr>
                <w:sz w:val="16"/>
                <w:szCs w:val="16"/>
                <w:lang w:val="en-GB"/>
              </w:rPr>
            </w:pPr>
            <w:r w:rsidRPr="00747B78">
              <w:rPr>
                <w:sz w:val="16"/>
                <w:szCs w:val="16"/>
                <w:lang w:val="en-GB"/>
              </w:rPr>
              <w:t>0.216</w:t>
            </w:r>
          </w:p>
          <w:p w:rsidR="00562D0A" w:rsidRPr="00747B78" w:rsidRDefault="00562D0A" w:rsidP="00562D0A">
            <w:pPr>
              <w:widowControl w:val="0"/>
              <w:autoSpaceDE w:val="0"/>
              <w:autoSpaceDN w:val="0"/>
              <w:adjustRightInd w:val="0"/>
              <w:jc w:val="center"/>
              <w:rPr>
                <w:sz w:val="18"/>
                <w:szCs w:val="18"/>
              </w:rPr>
            </w:pPr>
            <w:r w:rsidRPr="00747B78">
              <w:rPr>
                <w:sz w:val="16"/>
                <w:szCs w:val="16"/>
                <w:lang w:val="en-GB"/>
              </w:rPr>
              <w:t>(0.6462)</w:t>
            </w:r>
          </w:p>
        </w:tc>
        <w:tc>
          <w:tcPr>
            <w:tcW w:w="415" w:type="pct"/>
            <w:gridSpan w:val="2"/>
          </w:tcPr>
          <w:p w:rsidR="00562D0A" w:rsidRDefault="00562D0A" w:rsidP="00562D0A">
            <w:pPr>
              <w:widowControl w:val="0"/>
              <w:autoSpaceDE w:val="0"/>
              <w:autoSpaceDN w:val="0"/>
              <w:adjustRightInd w:val="0"/>
              <w:jc w:val="center"/>
              <w:rPr>
                <w:sz w:val="18"/>
                <w:szCs w:val="18"/>
              </w:rPr>
            </w:pPr>
            <w:r>
              <w:rPr>
                <w:sz w:val="18"/>
                <w:szCs w:val="18"/>
              </w:rPr>
              <w:t>0.109</w:t>
            </w:r>
          </w:p>
          <w:p w:rsidR="00562D0A" w:rsidRPr="009A405F" w:rsidRDefault="00562D0A" w:rsidP="00562D0A">
            <w:pPr>
              <w:widowControl w:val="0"/>
              <w:autoSpaceDE w:val="0"/>
              <w:autoSpaceDN w:val="0"/>
              <w:adjustRightInd w:val="0"/>
              <w:jc w:val="center"/>
              <w:rPr>
                <w:sz w:val="18"/>
                <w:szCs w:val="18"/>
              </w:rPr>
            </w:pPr>
            <w:r>
              <w:rPr>
                <w:sz w:val="18"/>
                <w:szCs w:val="18"/>
              </w:rPr>
              <w:t>(</w:t>
            </w:r>
            <w:r w:rsidRPr="00747B78">
              <w:rPr>
                <w:sz w:val="18"/>
                <w:szCs w:val="18"/>
              </w:rPr>
              <w:t>0.7445</w:t>
            </w:r>
            <w:r>
              <w:rPr>
                <w:sz w:val="18"/>
                <w:szCs w:val="18"/>
              </w:rPr>
              <w:t>)</w:t>
            </w:r>
          </w:p>
        </w:tc>
      </w:tr>
      <w:tr w:rsidR="00562D0A" w:rsidRPr="009A405F" w:rsidTr="00562D0A">
        <w:tc>
          <w:tcPr>
            <w:tcW w:w="644" w:type="pct"/>
          </w:tcPr>
          <w:p w:rsidR="00562D0A" w:rsidRPr="00C84BA9" w:rsidRDefault="00562D0A" w:rsidP="00562D0A">
            <w:pPr>
              <w:widowControl w:val="0"/>
              <w:autoSpaceDE w:val="0"/>
              <w:autoSpaceDN w:val="0"/>
              <w:adjustRightInd w:val="0"/>
              <w:rPr>
                <w:sz w:val="18"/>
                <w:szCs w:val="18"/>
                <w:lang w:val="en-GB"/>
              </w:rPr>
            </w:pPr>
            <w:r w:rsidRPr="009A405F">
              <w:rPr>
                <w:sz w:val="18"/>
                <w:szCs w:val="18"/>
                <w:lang w:val="en-GB"/>
              </w:rPr>
              <w:t>Wald test for groupwise hetero</w:t>
            </w:r>
            <w:r>
              <w:rPr>
                <w:sz w:val="18"/>
                <w:szCs w:val="18"/>
                <w:lang w:val="en-GB"/>
              </w:rPr>
              <w:t>.</w:t>
            </w:r>
          </w:p>
        </w:tc>
        <w:tc>
          <w:tcPr>
            <w:tcW w:w="376" w:type="pct"/>
          </w:tcPr>
          <w:p w:rsidR="00562D0A" w:rsidRDefault="00562D0A" w:rsidP="00562D0A">
            <w:pPr>
              <w:widowControl w:val="0"/>
              <w:autoSpaceDE w:val="0"/>
              <w:autoSpaceDN w:val="0"/>
              <w:adjustRightInd w:val="0"/>
              <w:jc w:val="center"/>
              <w:rPr>
                <w:sz w:val="18"/>
                <w:szCs w:val="18"/>
              </w:rPr>
            </w:pPr>
            <w:r w:rsidRPr="00674B7A">
              <w:rPr>
                <w:sz w:val="18"/>
                <w:szCs w:val="18"/>
              </w:rPr>
              <w:t>777.79</w:t>
            </w:r>
          </w:p>
          <w:p w:rsidR="00562D0A" w:rsidRPr="009A405F" w:rsidRDefault="00562D0A" w:rsidP="00562D0A">
            <w:pPr>
              <w:widowControl w:val="0"/>
              <w:autoSpaceDE w:val="0"/>
              <w:autoSpaceDN w:val="0"/>
              <w:adjustRightInd w:val="0"/>
              <w:jc w:val="center"/>
              <w:rPr>
                <w:sz w:val="18"/>
                <w:szCs w:val="18"/>
              </w:rPr>
            </w:pPr>
            <w:r w:rsidRPr="00265887">
              <w:rPr>
                <w:sz w:val="18"/>
                <w:szCs w:val="18"/>
              </w:rPr>
              <w:t>(0.000)</w:t>
            </w:r>
          </w:p>
        </w:tc>
        <w:tc>
          <w:tcPr>
            <w:tcW w:w="344" w:type="pct"/>
          </w:tcPr>
          <w:p w:rsidR="00562D0A" w:rsidRDefault="00562D0A" w:rsidP="00562D0A">
            <w:pPr>
              <w:widowControl w:val="0"/>
              <w:autoSpaceDE w:val="0"/>
              <w:autoSpaceDN w:val="0"/>
              <w:adjustRightInd w:val="0"/>
              <w:jc w:val="center"/>
              <w:rPr>
                <w:sz w:val="18"/>
                <w:szCs w:val="18"/>
              </w:rPr>
            </w:pPr>
            <w:r w:rsidRPr="00674B7A">
              <w:rPr>
                <w:sz w:val="18"/>
                <w:szCs w:val="18"/>
              </w:rPr>
              <w:t>2100.16</w:t>
            </w:r>
          </w:p>
          <w:p w:rsidR="00562D0A" w:rsidRPr="009A405F" w:rsidRDefault="00562D0A" w:rsidP="00562D0A">
            <w:pPr>
              <w:widowControl w:val="0"/>
              <w:autoSpaceDE w:val="0"/>
              <w:autoSpaceDN w:val="0"/>
              <w:adjustRightInd w:val="0"/>
              <w:jc w:val="center"/>
              <w:rPr>
                <w:sz w:val="18"/>
                <w:szCs w:val="18"/>
              </w:rPr>
            </w:pPr>
            <w:r w:rsidRPr="00265887">
              <w:rPr>
                <w:sz w:val="18"/>
                <w:szCs w:val="18"/>
              </w:rPr>
              <w:t>(0.000)</w:t>
            </w:r>
          </w:p>
        </w:tc>
        <w:tc>
          <w:tcPr>
            <w:tcW w:w="342" w:type="pct"/>
          </w:tcPr>
          <w:p w:rsidR="00562D0A" w:rsidRDefault="00562D0A" w:rsidP="00562D0A">
            <w:pPr>
              <w:widowControl w:val="0"/>
              <w:autoSpaceDE w:val="0"/>
              <w:autoSpaceDN w:val="0"/>
              <w:adjustRightInd w:val="0"/>
              <w:jc w:val="center"/>
              <w:rPr>
                <w:sz w:val="18"/>
                <w:szCs w:val="18"/>
              </w:rPr>
            </w:pPr>
            <w:r w:rsidRPr="00674B7A">
              <w:rPr>
                <w:sz w:val="18"/>
                <w:szCs w:val="18"/>
              </w:rPr>
              <w:t>706.87</w:t>
            </w:r>
          </w:p>
          <w:p w:rsidR="00562D0A" w:rsidRPr="009A405F" w:rsidRDefault="00562D0A" w:rsidP="00562D0A">
            <w:pPr>
              <w:widowControl w:val="0"/>
              <w:autoSpaceDE w:val="0"/>
              <w:autoSpaceDN w:val="0"/>
              <w:adjustRightInd w:val="0"/>
              <w:jc w:val="center"/>
              <w:rPr>
                <w:sz w:val="18"/>
                <w:szCs w:val="18"/>
              </w:rPr>
            </w:pPr>
            <w:r w:rsidRPr="00265887">
              <w:rPr>
                <w:sz w:val="18"/>
                <w:szCs w:val="18"/>
              </w:rPr>
              <w:t>(0.000)</w:t>
            </w:r>
          </w:p>
        </w:tc>
        <w:tc>
          <w:tcPr>
            <w:tcW w:w="339" w:type="pct"/>
          </w:tcPr>
          <w:p w:rsidR="00562D0A" w:rsidRDefault="00562D0A" w:rsidP="00562D0A">
            <w:pPr>
              <w:widowControl w:val="0"/>
              <w:autoSpaceDE w:val="0"/>
              <w:autoSpaceDN w:val="0"/>
              <w:adjustRightInd w:val="0"/>
              <w:jc w:val="center"/>
              <w:rPr>
                <w:sz w:val="18"/>
                <w:szCs w:val="18"/>
              </w:rPr>
            </w:pPr>
            <w:r w:rsidRPr="00674B7A">
              <w:rPr>
                <w:sz w:val="18"/>
                <w:szCs w:val="18"/>
              </w:rPr>
              <w:t>730.32</w:t>
            </w:r>
          </w:p>
          <w:p w:rsidR="00562D0A" w:rsidRPr="009A405F" w:rsidRDefault="00562D0A" w:rsidP="00562D0A">
            <w:pPr>
              <w:widowControl w:val="0"/>
              <w:autoSpaceDE w:val="0"/>
              <w:autoSpaceDN w:val="0"/>
              <w:adjustRightInd w:val="0"/>
              <w:jc w:val="center"/>
              <w:rPr>
                <w:sz w:val="18"/>
                <w:szCs w:val="18"/>
              </w:rPr>
            </w:pPr>
            <w:r w:rsidRPr="00265887">
              <w:rPr>
                <w:sz w:val="18"/>
                <w:szCs w:val="18"/>
              </w:rPr>
              <w:t>(0.000)</w:t>
            </w:r>
          </w:p>
        </w:tc>
        <w:tc>
          <w:tcPr>
            <w:tcW w:w="339" w:type="pct"/>
          </w:tcPr>
          <w:p w:rsidR="00562D0A" w:rsidRDefault="00562D0A" w:rsidP="00562D0A">
            <w:pPr>
              <w:widowControl w:val="0"/>
              <w:autoSpaceDE w:val="0"/>
              <w:autoSpaceDN w:val="0"/>
              <w:adjustRightInd w:val="0"/>
              <w:jc w:val="center"/>
              <w:rPr>
                <w:sz w:val="18"/>
                <w:szCs w:val="18"/>
              </w:rPr>
            </w:pPr>
            <w:r w:rsidRPr="00674B7A">
              <w:rPr>
                <w:sz w:val="18"/>
                <w:szCs w:val="18"/>
              </w:rPr>
              <w:t>1801.09</w:t>
            </w:r>
          </w:p>
          <w:p w:rsidR="00562D0A" w:rsidRPr="009A405F" w:rsidRDefault="00562D0A" w:rsidP="00562D0A">
            <w:pPr>
              <w:widowControl w:val="0"/>
              <w:autoSpaceDE w:val="0"/>
              <w:autoSpaceDN w:val="0"/>
              <w:adjustRightInd w:val="0"/>
              <w:jc w:val="center"/>
              <w:rPr>
                <w:sz w:val="18"/>
                <w:szCs w:val="18"/>
              </w:rPr>
            </w:pPr>
            <w:r w:rsidRPr="00265887">
              <w:rPr>
                <w:sz w:val="18"/>
                <w:szCs w:val="18"/>
              </w:rPr>
              <w:t>(0.000)</w:t>
            </w:r>
          </w:p>
        </w:tc>
        <w:tc>
          <w:tcPr>
            <w:tcW w:w="341" w:type="pct"/>
          </w:tcPr>
          <w:p w:rsidR="00562D0A" w:rsidRDefault="00562D0A" w:rsidP="00562D0A">
            <w:pPr>
              <w:widowControl w:val="0"/>
              <w:autoSpaceDE w:val="0"/>
              <w:autoSpaceDN w:val="0"/>
              <w:adjustRightInd w:val="0"/>
              <w:jc w:val="center"/>
              <w:rPr>
                <w:sz w:val="18"/>
                <w:szCs w:val="18"/>
              </w:rPr>
            </w:pPr>
            <w:r>
              <w:rPr>
                <w:sz w:val="18"/>
                <w:szCs w:val="18"/>
              </w:rPr>
              <w:t>4233.6</w:t>
            </w:r>
          </w:p>
          <w:p w:rsidR="00562D0A" w:rsidRPr="009A405F" w:rsidRDefault="00562D0A" w:rsidP="00562D0A">
            <w:pPr>
              <w:widowControl w:val="0"/>
              <w:autoSpaceDE w:val="0"/>
              <w:autoSpaceDN w:val="0"/>
              <w:adjustRightInd w:val="0"/>
              <w:jc w:val="center"/>
              <w:rPr>
                <w:sz w:val="18"/>
                <w:szCs w:val="18"/>
              </w:rPr>
            </w:pPr>
            <w:r w:rsidRPr="00265887">
              <w:rPr>
                <w:sz w:val="18"/>
                <w:szCs w:val="18"/>
              </w:rPr>
              <w:t>(0.000)</w:t>
            </w:r>
          </w:p>
        </w:tc>
        <w:tc>
          <w:tcPr>
            <w:tcW w:w="342" w:type="pct"/>
          </w:tcPr>
          <w:p w:rsidR="00562D0A" w:rsidRDefault="00562D0A" w:rsidP="00562D0A">
            <w:pPr>
              <w:widowControl w:val="0"/>
              <w:autoSpaceDE w:val="0"/>
              <w:autoSpaceDN w:val="0"/>
              <w:adjustRightInd w:val="0"/>
              <w:jc w:val="center"/>
              <w:rPr>
                <w:sz w:val="18"/>
                <w:szCs w:val="18"/>
              </w:rPr>
            </w:pPr>
            <w:r w:rsidRPr="00674B7A">
              <w:rPr>
                <w:sz w:val="18"/>
                <w:szCs w:val="18"/>
              </w:rPr>
              <w:t>610.52</w:t>
            </w:r>
          </w:p>
          <w:p w:rsidR="00562D0A" w:rsidRPr="009A405F" w:rsidRDefault="00562D0A" w:rsidP="00562D0A">
            <w:pPr>
              <w:widowControl w:val="0"/>
              <w:autoSpaceDE w:val="0"/>
              <w:autoSpaceDN w:val="0"/>
              <w:adjustRightInd w:val="0"/>
              <w:jc w:val="center"/>
              <w:rPr>
                <w:sz w:val="18"/>
                <w:szCs w:val="18"/>
              </w:rPr>
            </w:pPr>
            <w:r w:rsidRPr="00265887">
              <w:rPr>
                <w:sz w:val="18"/>
                <w:szCs w:val="18"/>
              </w:rPr>
              <w:t>(0.000)</w:t>
            </w:r>
          </w:p>
        </w:tc>
        <w:tc>
          <w:tcPr>
            <w:tcW w:w="383" w:type="pct"/>
          </w:tcPr>
          <w:p w:rsidR="00562D0A" w:rsidRDefault="00562D0A" w:rsidP="00562D0A">
            <w:pPr>
              <w:widowControl w:val="0"/>
              <w:autoSpaceDE w:val="0"/>
              <w:autoSpaceDN w:val="0"/>
              <w:adjustRightInd w:val="0"/>
              <w:jc w:val="center"/>
              <w:rPr>
                <w:sz w:val="18"/>
                <w:szCs w:val="18"/>
              </w:rPr>
            </w:pPr>
            <w:r w:rsidRPr="00674B7A">
              <w:rPr>
                <w:sz w:val="18"/>
                <w:szCs w:val="18"/>
              </w:rPr>
              <w:t>522.17</w:t>
            </w:r>
          </w:p>
          <w:p w:rsidR="00562D0A" w:rsidRPr="009A405F" w:rsidRDefault="00562D0A" w:rsidP="00562D0A">
            <w:pPr>
              <w:widowControl w:val="0"/>
              <w:autoSpaceDE w:val="0"/>
              <w:autoSpaceDN w:val="0"/>
              <w:adjustRightInd w:val="0"/>
              <w:jc w:val="center"/>
              <w:rPr>
                <w:sz w:val="18"/>
                <w:szCs w:val="18"/>
              </w:rPr>
            </w:pPr>
            <w:r w:rsidRPr="00265887">
              <w:rPr>
                <w:sz w:val="18"/>
                <w:szCs w:val="18"/>
              </w:rPr>
              <w:t>(0.000)</w:t>
            </w:r>
          </w:p>
        </w:tc>
        <w:tc>
          <w:tcPr>
            <w:tcW w:w="416" w:type="pct"/>
          </w:tcPr>
          <w:p w:rsidR="00562D0A" w:rsidRDefault="00562D0A" w:rsidP="00562D0A">
            <w:pPr>
              <w:widowControl w:val="0"/>
              <w:autoSpaceDE w:val="0"/>
              <w:autoSpaceDN w:val="0"/>
              <w:adjustRightInd w:val="0"/>
              <w:jc w:val="center"/>
              <w:rPr>
                <w:sz w:val="18"/>
                <w:szCs w:val="18"/>
              </w:rPr>
            </w:pPr>
            <w:r w:rsidRPr="003D2CCD">
              <w:rPr>
                <w:sz w:val="18"/>
                <w:szCs w:val="18"/>
              </w:rPr>
              <w:t>941.71</w:t>
            </w:r>
          </w:p>
          <w:p w:rsidR="00562D0A" w:rsidRPr="009A405F" w:rsidRDefault="00562D0A" w:rsidP="00562D0A">
            <w:pPr>
              <w:widowControl w:val="0"/>
              <w:autoSpaceDE w:val="0"/>
              <w:autoSpaceDN w:val="0"/>
              <w:adjustRightInd w:val="0"/>
              <w:jc w:val="center"/>
              <w:rPr>
                <w:sz w:val="18"/>
                <w:szCs w:val="18"/>
              </w:rPr>
            </w:pPr>
            <w:r w:rsidRPr="00265887">
              <w:rPr>
                <w:sz w:val="18"/>
                <w:szCs w:val="18"/>
              </w:rPr>
              <w:t>(0.000)</w:t>
            </w:r>
          </w:p>
        </w:tc>
        <w:tc>
          <w:tcPr>
            <w:tcW w:w="377" w:type="pct"/>
          </w:tcPr>
          <w:p w:rsidR="00562D0A" w:rsidRDefault="00562D0A" w:rsidP="00562D0A">
            <w:pPr>
              <w:widowControl w:val="0"/>
              <w:autoSpaceDE w:val="0"/>
              <w:autoSpaceDN w:val="0"/>
              <w:adjustRightInd w:val="0"/>
              <w:jc w:val="center"/>
              <w:rPr>
                <w:sz w:val="18"/>
                <w:szCs w:val="18"/>
              </w:rPr>
            </w:pPr>
            <w:r w:rsidRPr="00747B78">
              <w:rPr>
                <w:sz w:val="18"/>
                <w:szCs w:val="18"/>
              </w:rPr>
              <w:t>1800.59</w:t>
            </w:r>
          </w:p>
          <w:p w:rsidR="00562D0A" w:rsidRPr="009A405F" w:rsidRDefault="00562D0A" w:rsidP="00562D0A">
            <w:pPr>
              <w:widowControl w:val="0"/>
              <w:autoSpaceDE w:val="0"/>
              <w:autoSpaceDN w:val="0"/>
              <w:adjustRightInd w:val="0"/>
              <w:jc w:val="center"/>
              <w:rPr>
                <w:sz w:val="18"/>
                <w:szCs w:val="18"/>
              </w:rPr>
            </w:pPr>
            <w:r w:rsidRPr="00265887">
              <w:rPr>
                <w:sz w:val="18"/>
                <w:szCs w:val="18"/>
              </w:rPr>
              <w:t>(0.000)</w:t>
            </w:r>
          </w:p>
        </w:tc>
        <w:tc>
          <w:tcPr>
            <w:tcW w:w="342" w:type="pct"/>
            <w:gridSpan w:val="2"/>
          </w:tcPr>
          <w:p w:rsidR="00562D0A" w:rsidRDefault="00562D0A" w:rsidP="00562D0A">
            <w:pPr>
              <w:widowControl w:val="0"/>
              <w:autoSpaceDE w:val="0"/>
              <w:autoSpaceDN w:val="0"/>
              <w:adjustRightInd w:val="0"/>
              <w:rPr>
                <w:sz w:val="18"/>
                <w:szCs w:val="18"/>
              </w:rPr>
            </w:pPr>
            <w:r>
              <w:rPr>
                <w:sz w:val="18"/>
                <w:szCs w:val="18"/>
              </w:rPr>
              <w:t>1800.6</w:t>
            </w:r>
          </w:p>
          <w:p w:rsidR="00562D0A" w:rsidRPr="009A405F" w:rsidRDefault="00562D0A" w:rsidP="00562D0A">
            <w:pPr>
              <w:widowControl w:val="0"/>
              <w:autoSpaceDE w:val="0"/>
              <w:autoSpaceDN w:val="0"/>
              <w:adjustRightInd w:val="0"/>
              <w:jc w:val="center"/>
              <w:rPr>
                <w:sz w:val="18"/>
                <w:szCs w:val="18"/>
              </w:rPr>
            </w:pPr>
            <w:r w:rsidRPr="00265887">
              <w:rPr>
                <w:sz w:val="18"/>
                <w:szCs w:val="18"/>
              </w:rPr>
              <w:t>(0.000)</w:t>
            </w:r>
          </w:p>
        </w:tc>
        <w:tc>
          <w:tcPr>
            <w:tcW w:w="415" w:type="pct"/>
            <w:gridSpan w:val="2"/>
          </w:tcPr>
          <w:p w:rsidR="00562D0A" w:rsidRDefault="00562D0A" w:rsidP="00562D0A">
            <w:pPr>
              <w:widowControl w:val="0"/>
              <w:autoSpaceDE w:val="0"/>
              <w:autoSpaceDN w:val="0"/>
              <w:adjustRightInd w:val="0"/>
              <w:jc w:val="center"/>
              <w:rPr>
                <w:sz w:val="18"/>
                <w:szCs w:val="18"/>
              </w:rPr>
            </w:pPr>
            <w:r w:rsidRPr="00747B78">
              <w:rPr>
                <w:sz w:val="18"/>
                <w:szCs w:val="18"/>
              </w:rPr>
              <w:t>2221.15</w:t>
            </w:r>
          </w:p>
          <w:p w:rsidR="00562D0A" w:rsidRPr="009A405F" w:rsidRDefault="00562D0A" w:rsidP="00562D0A">
            <w:pPr>
              <w:widowControl w:val="0"/>
              <w:autoSpaceDE w:val="0"/>
              <w:autoSpaceDN w:val="0"/>
              <w:adjustRightInd w:val="0"/>
              <w:jc w:val="center"/>
              <w:rPr>
                <w:sz w:val="18"/>
                <w:szCs w:val="18"/>
              </w:rPr>
            </w:pPr>
            <w:r>
              <w:rPr>
                <w:sz w:val="18"/>
                <w:szCs w:val="18"/>
              </w:rPr>
              <w:t>(0.000)</w:t>
            </w:r>
          </w:p>
        </w:tc>
      </w:tr>
    </w:tbl>
    <w:p w:rsidR="00562D0A" w:rsidRDefault="00562D0A" w:rsidP="00575C17">
      <w:pPr>
        <w:widowControl w:val="0"/>
        <w:autoSpaceDE w:val="0"/>
        <w:autoSpaceDN w:val="0"/>
        <w:adjustRightInd w:val="0"/>
        <w:rPr>
          <w:lang w:val="en-GB"/>
        </w:rPr>
      </w:pPr>
    </w:p>
    <w:p w:rsidR="00575C17" w:rsidRPr="00CE7088" w:rsidRDefault="00575C17" w:rsidP="00575C17">
      <w:pPr>
        <w:widowControl w:val="0"/>
        <w:autoSpaceDE w:val="0"/>
        <w:autoSpaceDN w:val="0"/>
        <w:adjustRightInd w:val="0"/>
        <w:rPr>
          <w:i/>
          <w:iCs/>
          <w:sz w:val="20"/>
          <w:szCs w:val="20"/>
          <w:lang w:val="en-GB"/>
        </w:rPr>
      </w:pPr>
      <w:r w:rsidRPr="00CE7088">
        <w:rPr>
          <w:i/>
          <w:iCs/>
          <w:sz w:val="20"/>
          <w:szCs w:val="20"/>
          <w:lang w:val="en-GB"/>
        </w:rPr>
        <w:t>Robust standard errors in parentheses; for diagnostic tests, p-values *** p&lt;0.01, ** p&lt;0.05, * p&lt;0.10</w:t>
      </w:r>
    </w:p>
    <w:p w:rsidR="00715CB2" w:rsidRPr="00175AE7" w:rsidRDefault="00715CB2" w:rsidP="00175AE7">
      <w:pPr>
        <w:spacing w:line="360" w:lineRule="auto"/>
        <w:jc w:val="both"/>
      </w:pPr>
      <w:r w:rsidRPr="000B71A0">
        <w:rPr>
          <w:lang w:val="en-GB"/>
        </w:rPr>
        <w:lastRenderedPageBreak/>
        <w:t>The first set of checks is obtained by using the whole range of dif</w:t>
      </w:r>
      <w:r>
        <w:rPr>
          <w:lang w:val="en-GB"/>
        </w:rPr>
        <w:t xml:space="preserve">ferent proxies for institutions: </w:t>
      </w:r>
      <w:r w:rsidRPr="000B71A0">
        <w:rPr>
          <w:lang w:val="en-GB"/>
        </w:rPr>
        <w:t>indices of economic, political and legal quality taken from Kuncic (2012) (</w:t>
      </w:r>
      <w:r>
        <w:rPr>
          <w:lang w:val="en-GB"/>
        </w:rPr>
        <w:t xml:space="preserve">Table 2 below, </w:t>
      </w:r>
      <w:r w:rsidRPr="000B71A0">
        <w:rPr>
          <w:lang w:val="en-GB"/>
        </w:rPr>
        <w:t>columns 1-3)</w:t>
      </w:r>
      <w:r>
        <w:rPr>
          <w:lang w:val="en-GB"/>
        </w:rPr>
        <w:t>;</w:t>
      </w:r>
      <w:r w:rsidRPr="000B71A0">
        <w:rPr>
          <w:lang w:val="en-GB"/>
        </w:rPr>
        <w:t xml:space="preserve"> institutional quality measures taken from </w:t>
      </w:r>
      <w:r>
        <w:rPr>
          <w:lang w:val="en-GB"/>
        </w:rPr>
        <w:t xml:space="preserve">the </w:t>
      </w:r>
      <w:r w:rsidRPr="000B71A0">
        <w:rPr>
          <w:lang w:val="en-GB"/>
        </w:rPr>
        <w:t>World Governance Indicators (WGI) database (columns 4-8)</w:t>
      </w:r>
      <w:r>
        <w:rPr>
          <w:lang w:val="en-GB"/>
        </w:rPr>
        <w:t>; and</w:t>
      </w:r>
      <w:r w:rsidRPr="000B71A0">
        <w:rPr>
          <w:lang w:val="en-GB"/>
        </w:rPr>
        <w:t xml:space="preserve"> the Corruption Perception Index (CPI) </w:t>
      </w:r>
      <w:r w:rsidR="00313358">
        <w:rPr>
          <w:lang w:val="en-GB"/>
        </w:rPr>
        <w:t>from</w:t>
      </w:r>
      <w:r w:rsidRPr="000B71A0">
        <w:rPr>
          <w:lang w:val="en-GB"/>
        </w:rPr>
        <w:t xml:space="preserve"> Transpa</w:t>
      </w:r>
      <w:r>
        <w:rPr>
          <w:lang w:val="en-GB"/>
        </w:rPr>
        <w:t>rency International (column 9).</w:t>
      </w:r>
      <w:r w:rsidR="00EF7B53">
        <w:rPr>
          <w:rStyle w:val="FootnoteReference"/>
          <w:lang w:val="en-GB"/>
        </w:rPr>
        <w:footnoteReference w:id="8"/>
      </w:r>
      <w:r w:rsidR="00EF7B53" w:rsidRPr="00EF7B53">
        <w:rPr>
          <w:vertAlign w:val="superscript"/>
          <w:lang w:val="en-GB"/>
        </w:rPr>
        <w:t>,</w:t>
      </w:r>
      <w:r w:rsidR="00EF7B53">
        <w:rPr>
          <w:rStyle w:val="FootnoteReference"/>
          <w:lang w:val="en-GB"/>
        </w:rPr>
        <w:footnoteReference w:id="9"/>
      </w:r>
    </w:p>
    <w:p w:rsidR="005E28F3" w:rsidRDefault="005E28F3"/>
    <w:p w:rsidR="006D6FF6" w:rsidRDefault="006D6FF6" w:rsidP="00562D0A">
      <w:pPr>
        <w:autoSpaceDE w:val="0"/>
        <w:autoSpaceDN w:val="0"/>
        <w:adjustRightInd w:val="0"/>
        <w:spacing w:line="360" w:lineRule="auto"/>
        <w:jc w:val="both"/>
        <w:rPr>
          <w:lang w:val="en-GB"/>
        </w:rPr>
      </w:pPr>
      <w:r w:rsidRPr="000B71A0">
        <w:rPr>
          <w:rFonts w:eastAsia="Calibri"/>
          <w:lang w:val="en-GB"/>
        </w:rPr>
        <w:t>The evidence emerging from all these alternative indexes covering several institutional dimensions is very similar to that resulting from the indicat</w:t>
      </w:r>
      <w:r>
        <w:rPr>
          <w:rFonts w:eastAsia="Calibri"/>
          <w:lang w:val="en-GB"/>
        </w:rPr>
        <w:t>or used in our preferred specification</w:t>
      </w:r>
      <w:r w:rsidRPr="000B71A0">
        <w:rPr>
          <w:rFonts w:eastAsia="Calibri"/>
          <w:lang w:val="en-GB"/>
        </w:rPr>
        <w:t>.</w:t>
      </w:r>
      <w:r>
        <w:rPr>
          <w:lang w:val="en-GB"/>
        </w:rPr>
        <w:t xml:space="preserve"> The most striking finding is </w:t>
      </w:r>
      <w:r w:rsidR="00020339">
        <w:rPr>
          <w:lang w:val="en-GB"/>
        </w:rPr>
        <w:t>that</w:t>
      </w:r>
      <w:r w:rsidR="00753DA0">
        <w:rPr>
          <w:lang w:val="en-GB"/>
        </w:rPr>
        <w:t xml:space="preserve"> </w:t>
      </w:r>
      <w:r>
        <w:rPr>
          <w:lang w:val="en-GB"/>
        </w:rPr>
        <w:t xml:space="preserve">political institutions </w:t>
      </w:r>
      <w:r w:rsidR="00753DA0">
        <w:rPr>
          <w:lang w:val="en-GB"/>
        </w:rPr>
        <w:t xml:space="preserve">are the most important institutional aspects that influence </w:t>
      </w:r>
      <w:r>
        <w:rPr>
          <w:lang w:val="en-GB"/>
        </w:rPr>
        <w:t>output volatility</w:t>
      </w:r>
      <w:r w:rsidR="00753DA0">
        <w:rPr>
          <w:lang w:val="en-GB"/>
        </w:rPr>
        <w:t xml:space="preserve"> in transition countries</w:t>
      </w:r>
      <w:r w:rsidR="00020339">
        <w:rPr>
          <w:lang w:val="en-GB"/>
        </w:rPr>
        <w:t xml:space="preserve">, </w:t>
      </w:r>
      <w:r w:rsidR="00D93F9E">
        <w:rPr>
          <w:lang w:val="en-GB"/>
        </w:rPr>
        <w:t>rather than</w:t>
      </w:r>
      <w:r w:rsidR="00020339">
        <w:rPr>
          <w:lang w:val="en-GB"/>
        </w:rPr>
        <w:t xml:space="preserve"> the economic and legal institutions</w:t>
      </w:r>
      <w:r>
        <w:rPr>
          <w:lang w:val="en-GB"/>
        </w:rPr>
        <w:t xml:space="preserve">. </w:t>
      </w:r>
      <w:r w:rsidR="00020339">
        <w:rPr>
          <w:lang w:val="en-GB"/>
        </w:rPr>
        <w:t>The results for d</w:t>
      </w:r>
      <w:r>
        <w:rPr>
          <w:lang w:val="en-GB"/>
        </w:rPr>
        <w:t xml:space="preserve">ifferent proxies </w:t>
      </w:r>
      <w:r w:rsidR="00CC123D">
        <w:rPr>
          <w:lang w:val="en-GB"/>
        </w:rPr>
        <w:t>of</w:t>
      </w:r>
      <w:r>
        <w:rPr>
          <w:lang w:val="en-GB"/>
        </w:rPr>
        <w:t xml:space="preserve"> political institution</w:t>
      </w:r>
      <w:r w:rsidR="00CC123D">
        <w:rPr>
          <w:lang w:val="en-GB"/>
        </w:rPr>
        <w:t>s</w:t>
      </w:r>
      <w:r>
        <w:rPr>
          <w:lang w:val="en-GB"/>
        </w:rPr>
        <w:t>, ranging from the main measure</w:t>
      </w:r>
      <w:r w:rsidR="00CC123D">
        <w:rPr>
          <w:lang w:val="en-GB"/>
        </w:rPr>
        <w:t>s</w:t>
      </w:r>
      <w:r>
        <w:rPr>
          <w:lang w:val="en-GB"/>
        </w:rPr>
        <w:t xml:space="preserve"> of political rights, </w:t>
      </w:r>
      <w:r w:rsidR="00D93F9E">
        <w:rPr>
          <w:lang w:val="en-GB"/>
        </w:rPr>
        <w:t xml:space="preserve">the </w:t>
      </w:r>
      <w:r w:rsidR="00753DA0">
        <w:rPr>
          <w:lang w:val="en-GB"/>
        </w:rPr>
        <w:t>political</w:t>
      </w:r>
      <w:r w:rsidR="00753DA0" w:rsidRPr="000B71A0">
        <w:rPr>
          <w:lang w:val="en-GB"/>
        </w:rPr>
        <w:t xml:space="preserve"> component in Kuncic (2012) and </w:t>
      </w:r>
      <w:r w:rsidR="00753DA0">
        <w:rPr>
          <w:lang w:val="en-GB"/>
        </w:rPr>
        <w:t xml:space="preserve">corruption </w:t>
      </w:r>
      <w:r w:rsidR="00020339">
        <w:rPr>
          <w:lang w:val="en-GB"/>
        </w:rPr>
        <w:t>from</w:t>
      </w:r>
      <w:r w:rsidR="00753DA0" w:rsidRPr="000B71A0">
        <w:rPr>
          <w:lang w:val="en-GB"/>
        </w:rPr>
        <w:t xml:space="preserve"> WGI</w:t>
      </w:r>
      <w:r w:rsidR="00020339">
        <w:rPr>
          <w:lang w:val="en-GB"/>
        </w:rPr>
        <w:t xml:space="preserve">, all show that better political freedom, lower corruption and polity in broader terms support </w:t>
      </w:r>
      <w:r w:rsidR="00D93F9E">
        <w:rPr>
          <w:lang w:val="en-GB"/>
        </w:rPr>
        <w:t xml:space="preserve">the </w:t>
      </w:r>
      <w:r w:rsidR="00020339">
        <w:rPr>
          <w:lang w:val="en-GB"/>
        </w:rPr>
        <w:t xml:space="preserve">stability of output in transition countries. In </w:t>
      </w:r>
      <w:r w:rsidR="00D93F9E">
        <w:rPr>
          <w:lang w:val="en-GB"/>
        </w:rPr>
        <w:t xml:space="preserve">the </w:t>
      </w:r>
      <w:r w:rsidR="00020339">
        <w:rPr>
          <w:lang w:val="en-GB"/>
        </w:rPr>
        <w:t xml:space="preserve">case of economic institutions, regulatory quality from WGI is </w:t>
      </w:r>
      <w:r w:rsidR="00D93F9E">
        <w:rPr>
          <w:lang w:val="en-GB"/>
        </w:rPr>
        <w:t xml:space="preserve">the </w:t>
      </w:r>
      <w:r w:rsidR="00020339">
        <w:rPr>
          <w:lang w:val="en-GB"/>
        </w:rPr>
        <w:t xml:space="preserve">only significant component, while </w:t>
      </w:r>
      <w:r w:rsidR="00D93F9E">
        <w:rPr>
          <w:lang w:val="en-GB"/>
        </w:rPr>
        <w:t xml:space="preserve">the </w:t>
      </w:r>
      <w:r w:rsidR="00020339">
        <w:rPr>
          <w:lang w:val="en-GB"/>
        </w:rPr>
        <w:t xml:space="preserve">legal environment is not </w:t>
      </w:r>
      <w:r w:rsidR="00D93F9E">
        <w:rPr>
          <w:lang w:val="en-GB"/>
        </w:rPr>
        <w:t xml:space="preserve">an </w:t>
      </w:r>
      <w:r w:rsidR="00020339">
        <w:rPr>
          <w:lang w:val="en-GB"/>
        </w:rPr>
        <w:t xml:space="preserve">important determinant of volatility in transition countries. </w:t>
      </w:r>
      <w:r w:rsidR="006D0C5F">
        <w:rPr>
          <w:lang w:val="en-GB"/>
        </w:rPr>
        <w:t xml:space="preserve">So, our results suggest that political institutions in the spirit of Rodrik (1999) better explains volatility in transition countries that </w:t>
      </w:r>
      <w:r w:rsidR="00D93F9E">
        <w:rPr>
          <w:lang w:val="en-GB"/>
        </w:rPr>
        <w:t xml:space="preserve">do </w:t>
      </w:r>
      <w:r w:rsidR="006D0C5F">
        <w:rPr>
          <w:lang w:val="en-GB"/>
        </w:rPr>
        <w:t xml:space="preserve">economic institutions in the spirit of Acemoglu et al. (2003). </w:t>
      </w:r>
    </w:p>
    <w:p w:rsidR="00562D0A" w:rsidRPr="000B71A0" w:rsidRDefault="00562D0A" w:rsidP="00562D0A">
      <w:pPr>
        <w:autoSpaceDE w:val="0"/>
        <w:autoSpaceDN w:val="0"/>
        <w:adjustRightInd w:val="0"/>
        <w:jc w:val="both"/>
        <w:rPr>
          <w:lang w:val="en-GB"/>
        </w:rPr>
      </w:pPr>
    </w:p>
    <w:p w:rsidR="006D6FF6" w:rsidRPr="00562D0A" w:rsidRDefault="006D6FF6" w:rsidP="00562D0A">
      <w:pPr>
        <w:spacing w:line="360" w:lineRule="auto"/>
        <w:jc w:val="both"/>
        <w:rPr>
          <w:rFonts w:eastAsia="Cambria"/>
          <w:lang w:val="en-GB"/>
        </w:rPr>
      </w:pPr>
      <w:r>
        <w:rPr>
          <w:lang w:val="en-GB"/>
        </w:rPr>
        <w:t>Next, in columns 10 and 11</w:t>
      </w:r>
      <w:r w:rsidRPr="000B71A0">
        <w:rPr>
          <w:lang w:val="en-GB"/>
        </w:rPr>
        <w:t xml:space="preserve"> in Table </w:t>
      </w:r>
      <w:r w:rsidR="00B304BA">
        <w:rPr>
          <w:lang w:val="en-GB"/>
        </w:rPr>
        <w:t>2,</w:t>
      </w:r>
      <w:r w:rsidRPr="000B71A0">
        <w:rPr>
          <w:lang w:val="en-GB"/>
        </w:rPr>
        <w:t xml:space="preserve"> we report regression results </w:t>
      </w:r>
      <w:r w:rsidR="00CC123D">
        <w:rPr>
          <w:lang w:val="en-GB"/>
        </w:rPr>
        <w:t>for</w:t>
      </w:r>
      <w:r w:rsidRPr="000B71A0">
        <w:rPr>
          <w:lang w:val="en-GB"/>
        </w:rPr>
        <w:t xml:space="preserve"> different pro</w:t>
      </w:r>
      <w:r w:rsidR="00B304BA">
        <w:rPr>
          <w:lang w:val="en-GB"/>
        </w:rPr>
        <w:t xml:space="preserve">xies </w:t>
      </w:r>
      <w:r w:rsidR="00CC123D">
        <w:rPr>
          <w:lang w:val="en-GB"/>
        </w:rPr>
        <w:t>of</w:t>
      </w:r>
      <w:r w:rsidR="00B304BA">
        <w:rPr>
          <w:lang w:val="en-GB"/>
        </w:rPr>
        <w:t xml:space="preserve"> the dependent variable:</w:t>
      </w:r>
      <w:r w:rsidRPr="000B71A0">
        <w:rPr>
          <w:lang w:val="en-GB"/>
        </w:rPr>
        <w:t xml:space="preserve"> </w:t>
      </w:r>
      <w:r w:rsidR="00B304BA">
        <w:rPr>
          <w:lang w:val="en-GB"/>
        </w:rPr>
        <w:t>namely, the</w:t>
      </w:r>
      <w:r w:rsidRPr="000B71A0">
        <w:rPr>
          <w:lang w:val="en-GB"/>
        </w:rPr>
        <w:t xml:space="preserve"> 3-year non-overlapping standard deviation of gdp growth</w:t>
      </w:r>
      <w:r w:rsidR="00B304BA">
        <w:rPr>
          <w:lang w:val="en-GB"/>
        </w:rPr>
        <w:t>;</w:t>
      </w:r>
      <w:r w:rsidRPr="000B71A0">
        <w:rPr>
          <w:lang w:val="en-GB"/>
        </w:rPr>
        <w:t xml:space="preserve"> and </w:t>
      </w:r>
      <w:r w:rsidR="00B304BA">
        <w:rPr>
          <w:lang w:val="en-GB"/>
        </w:rPr>
        <w:t>the 3</w:t>
      </w:r>
      <w:r w:rsidRPr="000B71A0">
        <w:rPr>
          <w:lang w:val="en-GB"/>
        </w:rPr>
        <w:t xml:space="preserve">-year non-overlapping standard deviation of </w:t>
      </w:r>
      <w:r w:rsidR="00B304BA">
        <w:rPr>
          <w:lang w:val="en-GB"/>
        </w:rPr>
        <w:t xml:space="preserve">the </w:t>
      </w:r>
      <w:r w:rsidRPr="000B71A0">
        <w:rPr>
          <w:bCs/>
          <w:lang w:val="en-GB"/>
        </w:rPr>
        <w:t>Hodrick–Prescott (HP)</w:t>
      </w:r>
      <w:r w:rsidRPr="000B71A0">
        <w:rPr>
          <w:lang w:val="en-GB"/>
        </w:rPr>
        <w:t xml:space="preserve"> </w:t>
      </w:r>
      <w:r w:rsidRPr="000B71A0">
        <w:rPr>
          <w:rFonts w:eastAsia="Cambria"/>
          <w:lang w:val="en-GB"/>
        </w:rPr>
        <w:t>filtered gdp growth.</w:t>
      </w:r>
      <w:r w:rsidR="00562D0A">
        <w:rPr>
          <w:rFonts w:eastAsia="Cambria"/>
          <w:lang w:val="en-GB"/>
        </w:rPr>
        <w:t xml:space="preserve"> </w:t>
      </w:r>
      <w:r>
        <w:rPr>
          <w:lang w:val="en-GB"/>
        </w:rPr>
        <w:t>T</w:t>
      </w:r>
      <w:r w:rsidRPr="000B71A0">
        <w:rPr>
          <w:lang w:val="en-GB"/>
        </w:rPr>
        <w:t xml:space="preserve">he </w:t>
      </w:r>
      <w:r w:rsidRPr="000B71A0">
        <w:rPr>
          <w:lang w:val="en-GB"/>
        </w:rPr>
        <w:lastRenderedPageBreak/>
        <w:t>same qualitative and very similar quantitative findings are obtained in comparison to the results</w:t>
      </w:r>
      <w:r w:rsidR="00B304BA">
        <w:rPr>
          <w:lang w:val="en-GB"/>
        </w:rPr>
        <w:t xml:space="preserve"> reported in Table 1</w:t>
      </w:r>
      <w:r w:rsidRPr="000B71A0">
        <w:rPr>
          <w:lang w:val="en-GB"/>
        </w:rPr>
        <w:t>.</w:t>
      </w:r>
    </w:p>
    <w:p w:rsidR="006D6FF6" w:rsidRPr="000B71A0" w:rsidRDefault="006D6FF6" w:rsidP="00562D0A">
      <w:pPr>
        <w:jc w:val="both"/>
        <w:rPr>
          <w:lang w:val="en-GB"/>
        </w:rPr>
      </w:pPr>
    </w:p>
    <w:p w:rsidR="006D6FF6" w:rsidRPr="000B71A0" w:rsidRDefault="006D6FF6" w:rsidP="006D6FF6">
      <w:pPr>
        <w:autoSpaceDE w:val="0"/>
        <w:autoSpaceDN w:val="0"/>
        <w:adjustRightInd w:val="0"/>
        <w:spacing w:line="360" w:lineRule="auto"/>
        <w:jc w:val="both"/>
        <w:rPr>
          <w:lang w:val="en-GB"/>
        </w:rPr>
      </w:pPr>
      <w:r>
        <w:rPr>
          <w:lang w:val="en-GB"/>
        </w:rPr>
        <w:t>The regression in column 12 in Table 2</w:t>
      </w:r>
      <w:r w:rsidRPr="000B71A0">
        <w:rPr>
          <w:lang w:val="en-GB"/>
        </w:rPr>
        <w:t xml:space="preserve"> add</w:t>
      </w:r>
      <w:r>
        <w:rPr>
          <w:lang w:val="en-GB"/>
        </w:rPr>
        <w:t>s</w:t>
      </w:r>
      <w:r w:rsidRPr="000B71A0">
        <w:rPr>
          <w:lang w:val="en-GB"/>
        </w:rPr>
        <w:t xml:space="preserve"> a measure of natural resource abundance, proxied by natural resource wealth. Va</w:t>
      </w:r>
      <w:r>
        <w:rPr>
          <w:lang w:val="en-GB"/>
        </w:rPr>
        <w:t>n der Ploeg and Poelhekke (2009</w:t>
      </w:r>
      <w:r w:rsidRPr="000B71A0">
        <w:rPr>
          <w:lang w:val="en-GB"/>
        </w:rPr>
        <w:t xml:space="preserve">) </w:t>
      </w:r>
      <w:r w:rsidR="00496823">
        <w:rPr>
          <w:lang w:val="en-GB"/>
        </w:rPr>
        <w:t>suggest</w:t>
      </w:r>
      <w:r w:rsidRPr="000B71A0">
        <w:rPr>
          <w:lang w:val="en-GB"/>
        </w:rPr>
        <w:t xml:space="preserve"> that resource dependence may amplify the effect of weak institutional quality on output volatility, leading us to control for resource abundance. Controlling for this variable did not change the </w:t>
      </w:r>
      <w:r>
        <w:rPr>
          <w:lang w:val="en-GB"/>
        </w:rPr>
        <w:t>main effect</w:t>
      </w:r>
      <w:r w:rsidR="00430953">
        <w:rPr>
          <w:lang w:val="en-GB"/>
        </w:rPr>
        <w:t>s</w:t>
      </w:r>
      <w:r>
        <w:rPr>
          <w:lang w:val="en-GB"/>
        </w:rPr>
        <w:t xml:space="preserve"> identified</w:t>
      </w:r>
      <w:r w:rsidR="00430953">
        <w:rPr>
          <w:lang w:val="en-GB"/>
        </w:rPr>
        <w:t xml:space="preserve"> in Table 1</w:t>
      </w:r>
      <w:r>
        <w:rPr>
          <w:lang w:val="en-GB"/>
        </w:rPr>
        <w:t>.</w:t>
      </w:r>
    </w:p>
    <w:p w:rsidR="005E28F3" w:rsidRPr="00821FB1" w:rsidRDefault="006D6FF6" w:rsidP="00821FB1">
      <w:pPr>
        <w:spacing w:line="360" w:lineRule="auto"/>
        <w:jc w:val="both"/>
        <w:rPr>
          <w:lang w:val="en-GB"/>
        </w:rPr>
      </w:pPr>
      <w:r w:rsidRPr="000B71A0">
        <w:rPr>
          <w:lang w:val="en-GB"/>
        </w:rPr>
        <w:t xml:space="preserve"> </w:t>
      </w:r>
    </w:p>
    <w:p w:rsidR="00F80CD1" w:rsidRDefault="003E5CD6" w:rsidP="006D0C5F">
      <w:pPr>
        <w:pStyle w:val="Heading1"/>
      </w:pPr>
      <w:r>
        <w:t xml:space="preserve">7. </w:t>
      </w:r>
      <w:r w:rsidR="00F80CD1">
        <w:t>Conclusion</w:t>
      </w:r>
    </w:p>
    <w:p w:rsidR="00F80CD1" w:rsidRDefault="00F80CD1"/>
    <w:p w:rsidR="0086145C" w:rsidRPr="00F2676A" w:rsidRDefault="003F65E1" w:rsidP="00596E71">
      <w:pPr>
        <w:pStyle w:val="svarticle"/>
        <w:spacing w:line="360" w:lineRule="auto"/>
        <w:jc w:val="both"/>
        <w:rPr>
          <w:highlight w:val="lightGray"/>
          <w:lang w:val="en-GB"/>
        </w:rPr>
      </w:pPr>
      <w:r w:rsidRPr="00F2676A">
        <w:rPr>
          <w:highlight w:val="lightGray"/>
        </w:rPr>
        <w:t>We investigate the determinants of output volatility in the context of transition using</w:t>
      </w:r>
      <w:r w:rsidR="00A7516A" w:rsidRPr="00F2676A">
        <w:rPr>
          <w:highlight w:val="lightGray"/>
        </w:rPr>
        <w:t xml:space="preserve"> a sample of 25 transition countries in </w:t>
      </w:r>
      <w:r w:rsidR="00496823" w:rsidRPr="00F2676A">
        <w:rPr>
          <w:highlight w:val="lightGray"/>
        </w:rPr>
        <w:t xml:space="preserve">the </w:t>
      </w:r>
      <w:r w:rsidR="00A7516A" w:rsidRPr="00F2676A">
        <w:rPr>
          <w:highlight w:val="lightGray"/>
        </w:rPr>
        <w:t>period 1996-2010.</w:t>
      </w:r>
      <w:r w:rsidR="00BE5D8F" w:rsidRPr="00F2676A">
        <w:rPr>
          <w:highlight w:val="lightGray"/>
        </w:rPr>
        <w:t xml:space="preserve"> </w:t>
      </w:r>
      <w:r w:rsidR="00825D11" w:rsidRPr="00F2676A">
        <w:rPr>
          <w:highlight w:val="lightGray"/>
        </w:rPr>
        <w:t xml:space="preserve">Our </w:t>
      </w:r>
      <w:r w:rsidR="00596E71" w:rsidRPr="00F2676A">
        <w:rPr>
          <w:highlight w:val="lightGray"/>
        </w:rPr>
        <w:t xml:space="preserve">main focus is on the effects of openness on output volatility. Our review of the small cognate literature suggests that </w:t>
      </w:r>
      <w:r w:rsidR="00596E71" w:rsidRPr="00F2676A">
        <w:rPr>
          <w:highlight w:val="lightGray"/>
          <w:lang w:val="en-GB"/>
        </w:rPr>
        <w:t>the arguments concerning the exogeneity or potential endogeneity of openness are inconclusive, while the case for considering institutions to be potentially endogenous is better established in relation to output levels and growth than it is in relation to output volatility. Accordingly, we use two estimation strategies: fixed effects (FE) estimation on the assumption that openness and institutions are exogenous with respect to output volatility; and, GMM estimation with “internal” instruments to take account of the potential endogeneity of openness and institutional quality. All of the main findings are similar with respect to sign, significance and size</w:t>
      </w:r>
      <w:r w:rsidR="0086372B">
        <w:rPr>
          <w:highlight w:val="lightGray"/>
          <w:lang w:val="en-GB"/>
        </w:rPr>
        <w:t xml:space="preserve"> (or, at least, order of magnitude)</w:t>
      </w:r>
      <w:r w:rsidR="00596E71" w:rsidRPr="00F2676A">
        <w:rPr>
          <w:highlight w:val="lightGray"/>
          <w:lang w:val="en-GB"/>
        </w:rPr>
        <w:t xml:space="preserve">. </w:t>
      </w:r>
      <w:r w:rsidR="0086145C" w:rsidRPr="00F2676A">
        <w:rPr>
          <w:highlight w:val="lightGray"/>
          <w:lang w:val="en-GB"/>
        </w:rPr>
        <w:t>In addition, to investigate the robustness of our findings</w:t>
      </w:r>
      <w:r w:rsidR="00F2676A">
        <w:rPr>
          <w:highlight w:val="lightGray"/>
          <w:lang w:val="en-GB"/>
        </w:rPr>
        <w:t>,</w:t>
      </w:r>
      <w:r w:rsidR="0086145C" w:rsidRPr="00F2676A">
        <w:rPr>
          <w:highlight w:val="lightGray"/>
          <w:lang w:val="en-GB"/>
        </w:rPr>
        <w:t xml:space="preserve"> we report estimates using: different dependent variable proxies; different institutional proxies; and controls for dependence on natural resources to investigate the possibility that our results reflect a potential "resource curse". Both FE and system GMM </w:t>
      </w:r>
      <w:r w:rsidR="00C00E34">
        <w:rPr>
          <w:highlight w:val="lightGray"/>
          <w:lang w:val="en-GB"/>
        </w:rPr>
        <w:t xml:space="preserve">(not reported) </w:t>
      </w:r>
      <w:r w:rsidR="0086145C" w:rsidRPr="00F2676A">
        <w:rPr>
          <w:highlight w:val="lightGray"/>
          <w:lang w:val="en-GB"/>
        </w:rPr>
        <w:t xml:space="preserve">estimates yield results similar to those obtained from our preferred specification. </w:t>
      </w:r>
    </w:p>
    <w:p w:rsidR="00596E71" w:rsidRPr="00F2676A" w:rsidRDefault="002E0DE1" w:rsidP="00825D11">
      <w:pPr>
        <w:pStyle w:val="svarticle"/>
        <w:spacing w:line="360" w:lineRule="auto"/>
        <w:jc w:val="both"/>
        <w:rPr>
          <w:highlight w:val="lightGray"/>
        </w:rPr>
      </w:pPr>
      <w:r w:rsidRPr="005E51DD">
        <w:rPr>
          <w:rFonts w:eastAsia="Calibri"/>
          <w:highlight w:val="lightGray"/>
          <w:lang w:val="en-GB"/>
        </w:rPr>
        <w:t xml:space="preserve">Our results suggest that diversification may not attenuate the </w:t>
      </w:r>
      <w:r>
        <w:rPr>
          <w:rFonts w:eastAsia="Calibri"/>
          <w:highlight w:val="lightGray"/>
          <w:lang w:val="en-GB"/>
        </w:rPr>
        <w:t xml:space="preserve">output </w:t>
      </w:r>
      <w:r w:rsidRPr="005E51DD">
        <w:rPr>
          <w:rFonts w:eastAsia="Calibri"/>
          <w:highlight w:val="lightGray"/>
          <w:lang w:val="en-GB"/>
        </w:rPr>
        <w:t xml:space="preserve">volatility effects of openness for </w:t>
      </w:r>
      <w:r>
        <w:rPr>
          <w:rFonts w:eastAsia="Calibri"/>
          <w:highlight w:val="lightGray"/>
          <w:lang w:val="en-GB"/>
        </w:rPr>
        <w:t xml:space="preserve">transition </w:t>
      </w:r>
      <w:r w:rsidRPr="005E51DD">
        <w:rPr>
          <w:rFonts w:eastAsia="Calibri"/>
          <w:highlight w:val="lightGray"/>
          <w:lang w:val="en-GB"/>
        </w:rPr>
        <w:t>countries already at medium or higher levels of diversification, but nonetheless may have this effect for countries at lower levels of diversification.</w:t>
      </w:r>
      <w:r>
        <w:rPr>
          <w:rFonts w:eastAsia="Calibri"/>
          <w:highlight w:val="lightGray"/>
          <w:lang w:val="en-GB"/>
        </w:rPr>
        <w:t xml:space="preserve"> </w:t>
      </w:r>
      <w:r w:rsidR="00152A1F">
        <w:rPr>
          <w:highlight w:val="lightGray"/>
        </w:rPr>
        <w:t>By</w:t>
      </w:r>
      <w:r w:rsidR="00152A1F" w:rsidRPr="00F2676A">
        <w:rPr>
          <w:highlight w:val="lightGray"/>
        </w:rPr>
        <w:t xml:space="preserve"> allow</w:t>
      </w:r>
      <w:r w:rsidR="00152A1F">
        <w:rPr>
          <w:highlight w:val="lightGray"/>
        </w:rPr>
        <w:t>ing</w:t>
      </w:r>
      <w:r w:rsidR="00152A1F" w:rsidRPr="00F2676A">
        <w:rPr>
          <w:highlight w:val="lightGray"/>
        </w:rPr>
        <w:t xml:space="preserve"> the effects of openness to be moderated by diversification</w:t>
      </w:r>
      <w:r w:rsidR="00152A1F">
        <w:rPr>
          <w:highlight w:val="lightGray"/>
        </w:rPr>
        <w:t>, w</w:t>
      </w:r>
      <w:r w:rsidR="00DD5B1E" w:rsidRPr="00DD5B1E">
        <w:rPr>
          <w:highlight w:val="lightGray"/>
          <w:lang w:val="en-GB"/>
        </w:rPr>
        <w:t xml:space="preserve">e find that </w:t>
      </w:r>
      <w:r w:rsidR="00152A1F" w:rsidRPr="00DD5B1E">
        <w:rPr>
          <w:highlight w:val="lightGray"/>
          <w:lang w:val="en-GB"/>
        </w:rPr>
        <w:t xml:space="preserve">at </w:t>
      </w:r>
      <w:r w:rsidR="00AD2E0E">
        <w:rPr>
          <w:highlight w:val="lightGray"/>
          <w:lang w:val="en-GB"/>
        </w:rPr>
        <w:t xml:space="preserve">higher </w:t>
      </w:r>
      <w:r w:rsidR="00152A1F" w:rsidRPr="00DD5B1E">
        <w:rPr>
          <w:highlight w:val="lightGray"/>
          <w:lang w:val="en-GB"/>
        </w:rPr>
        <w:t xml:space="preserve">levels of diversification along the </w:t>
      </w:r>
      <w:r w:rsidR="00152A1F" w:rsidRPr="00DD5B1E">
        <w:rPr>
          <w:highlight w:val="lightGray"/>
          <w:lang w:val="en-GB"/>
        </w:rPr>
        <w:lastRenderedPageBreak/>
        <w:t xml:space="preserve">intensive margin </w:t>
      </w:r>
      <w:r w:rsidR="00152A1F">
        <w:rPr>
          <w:highlight w:val="lightGray"/>
          <w:lang w:val="en-GB"/>
        </w:rPr>
        <w:t>encompassing</w:t>
      </w:r>
      <w:r w:rsidR="00152A1F" w:rsidRPr="00DD5B1E">
        <w:rPr>
          <w:highlight w:val="lightGray"/>
          <w:lang w:val="en-GB"/>
        </w:rPr>
        <w:t xml:space="preserve"> 90 per cent of our sample observations </w:t>
      </w:r>
      <w:r w:rsidR="00DD5B1E" w:rsidRPr="00DD5B1E">
        <w:rPr>
          <w:highlight w:val="lightGray"/>
          <w:lang w:val="en-GB"/>
        </w:rPr>
        <w:t>openness does not have a statistically significant effect on output volatility.</w:t>
      </w:r>
      <w:r w:rsidR="00DD5B1E">
        <w:rPr>
          <w:highlight w:val="lightGray"/>
          <w:lang w:val="en-GB"/>
        </w:rPr>
        <w:t xml:space="preserve"> </w:t>
      </w:r>
      <w:r w:rsidR="00FB72E7">
        <w:rPr>
          <w:highlight w:val="lightGray"/>
          <w:lang w:val="en-GB"/>
        </w:rPr>
        <w:t xml:space="preserve">Yet for observations of countries in periods with relatively low levels of diversification, our findings accord with previous findings that </w:t>
      </w:r>
      <w:r w:rsidR="00FB72E7">
        <w:rPr>
          <w:highlight w:val="lightGray"/>
        </w:rPr>
        <w:t>openness does have an adverse effect</w:t>
      </w:r>
      <w:r w:rsidR="00152A1F">
        <w:rPr>
          <w:highlight w:val="lightGray"/>
        </w:rPr>
        <w:t xml:space="preserve">. </w:t>
      </w:r>
      <w:r w:rsidR="00152A1F">
        <w:rPr>
          <w:highlight w:val="lightGray"/>
          <w:lang w:val="en-GB"/>
        </w:rPr>
        <w:t>Haddad et al.</w:t>
      </w:r>
      <w:r w:rsidR="00152A1F" w:rsidRPr="00F2676A">
        <w:rPr>
          <w:highlight w:val="lightGray"/>
          <w:lang w:val="en-GB"/>
        </w:rPr>
        <w:t xml:space="preserve"> </w:t>
      </w:r>
      <w:r w:rsidR="00152A1F">
        <w:rPr>
          <w:highlight w:val="lightGray"/>
          <w:lang w:val="en-GB"/>
        </w:rPr>
        <w:t>(</w:t>
      </w:r>
      <w:r w:rsidR="00152A1F" w:rsidRPr="00F2676A">
        <w:rPr>
          <w:highlight w:val="lightGray"/>
          <w:lang w:val="en-GB"/>
        </w:rPr>
        <w:t>2013</w:t>
      </w:r>
      <w:r w:rsidR="00152A1F">
        <w:rPr>
          <w:highlight w:val="lightGray"/>
          <w:lang w:val="en-GB"/>
        </w:rPr>
        <w:t xml:space="preserve">) find that </w:t>
      </w:r>
      <w:r w:rsidR="00B365B7" w:rsidRPr="00F2676A">
        <w:rPr>
          <w:highlight w:val="lightGray"/>
        </w:rPr>
        <w:t xml:space="preserve">the positive </w:t>
      </w:r>
      <w:r w:rsidR="00B365B7" w:rsidRPr="00F2676A">
        <w:rPr>
          <w:highlight w:val="lightGray"/>
          <w:lang w:val="en-GB"/>
        </w:rPr>
        <w:t xml:space="preserve">effect of openness on volatility attenuates as diversification increases. However, </w:t>
      </w:r>
      <w:r w:rsidR="00152A1F" w:rsidRPr="00F2676A">
        <w:rPr>
          <w:highlight w:val="lightGray"/>
          <w:lang w:val="en-GB"/>
        </w:rPr>
        <w:t xml:space="preserve">our findings qualify this result </w:t>
      </w:r>
      <w:r w:rsidR="00B365B7" w:rsidRPr="00F2676A">
        <w:rPr>
          <w:highlight w:val="lightGray"/>
          <w:lang w:val="en-GB"/>
        </w:rPr>
        <w:t xml:space="preserve">in two respects. First, we establish that the type of diversification matters: this attenuation effect holds for diversification at the intensive margin (i.e. the volatility effect of openness attenuates as the country moves towards a more equal distribution of export shares across </w:t>
      </w:r>
      <w:r w:rsidR="00B365B7" w:rsidRPr="00F2676A">
        <w:rPr>
          <w:i/>
          <w:highlight w:val="lightGray"/>
          <w:lang w:val="en-GB"/>
        </w:rPr>
        <w:t>existing</w:t>
      </w:r>
      <w:r w:rsidR="00B365B7" w:rsidRPr="00F2676A">
        <w:rPr>
          <w:highlight w:val="lightGray"/>
          <w:lang w:val="en-GB"/>
        </w:rPr>
        <w:t xml:space="preserve"> export products); but it does not hold for diversification at the extensive margin (i.e. as a country develops </w:t>
      </w:r>
      <w:r w:rsidR="00B365B7" w:rsidRPr="00F2676A">
        <w:rPr>
          <w:i/>
          <w:highlight w:val="lightGray"/>
          <w:lang w:val="en-GB"/>
        </w:rPr>
        <w:t>new</w:t>
      </w:r>
      <w:r w:rsidR="00B365B7" w:rsidRPr="00F2676A">
        <w:rPr>
          <w:highlight w:val="lightGray"/>
          <w:lang w:val="en-GB"/>
        </w:rPr>
        <w:t xml:space="preserve"> exports and so increases its range of exports). Secondly, this attenuation effect at the intensive margin </w:t>
      </w:r>
      <w:r w:rsidR="00DC6A36" w:rsidRPr="00F2676A">
        <w:rPr>
          <w:highlight w:val="lightGray"/>
          <w:lang w:val="en-GB"/>
        </w:rPr>
        <w:t xml:space="preserve">is identified only at lower levels of diversification applying to </w:t>
      </w:r>
      <w:r w:rsidR="00DC6A36" w:rsidRPr="00F2676A">
        <w:rPr>
          <w:highlight w:val="lightGray"/>
        </w:rPr>
        <w:t xml:space="preserve">fewer than 10 per cent of observations in the sample, </w:t>
      </w:r>
      <w:r w:rsidR="00352AEB" w:rsidRPr="00F2676A">
        <w:rPr>
          <w:highlight w:val="lightGray"/>
        </w:rPr>
        <w:t xml:space="preserve">all </w:t>
      </w:r>
      <w:r w:rsidR="00F2676A">
        <w:rPr>
          <w:highlight w:val="lightGray"/>
        </w:rPr>
        <w:t xml:space="preserve">of which </w:t>
      </w:r>
      <w:r w:rsidR="00352AEB" w:rsidRPr="00F2676A">
        <w:rPr>
          <w:highlight w:val="lightGray"/>
        </w:rPr>
        <w:t>aris</w:t>
      </w:r>
      <w:r w:rsidR="00F2676A">
        <w:rPr>
          <w:highlight w:val="lightGray"/>
        </w:rPr>
        <w:t>e</w:t>
      </w:r>
      <w:r w:rsidR="00352AEB" w:rsidRPr="00F2676A">
        <w:rPr>
          <w:highlight w:val="lightGray"/>
        </w:rPr>
        <w:t xml:space="preserve"> from</w:t>
      </w:r>
      <w:r w:rsidR="00DC6A36" w:rsidRPr="00F2676A">
        <w:rPr>
          <w:highlight w:val="lightGray"/>
        </w:rPr>
        <w:t xml:space="preserve"> </w:t>
      </w:r>
      <w:r w:rsidR="00352AEB" w:rsidRPr="00F2676A">
        <w:rPr>
          <w:highlight w:val="lightGray"/>
          <w:lang w:val="en-GB"/>
        </w:rPr>
        <w:t>Azerbaijan, Kyrgyzstan</w:t>
      </w:r>
      <w:r w:rsidR="006B4048">
        <w:rPr>
          <w:highlight w:val="lightGray"/>
          <w:lang w:val="en-GB"/>
        </w:rPr>
        <w:t>,</w:t>
      </w:r>
      <w:r w:rsidR="00352AEB" w:rsidRPr="00F2676A">
        <w:rPr>
          <w:highlight w:val="lightGray"/>
          <w:lang w:val="en-GB"/>
        </w:rPr>
        <w:t xml:space="preserve"> Russia and Tajikistan. </w:t>
      </w:r>
      <w:r w:rsidR="00225CB6">
        <w:rPr>
          <w:highlight w:val="lightGray"/>
          <w:lang w:val="en-GB"/>
        </w:rPr>
        <w:t xml:space="preserve">This finding is consistent </w:t>
      </w:r>
      <w:r w:rsidR="00225CB6" w:rsidRPr="00200678">
        <w:rPr>
          <w:highlight w:val="lightGray"/>
          <w:lang w:val="en-GB"/>
        </w:rPr>
        <w:t xml:space="preserve">with Di Giovanni and Levchenko (2009) who find that openness tends to </w:t>
      </w:r>
      <w:r w:rsidR="00225CB6" w:rsidRPr="00225CB6">
        <w:rPr>
          <w:highlight w:val="lightGray"/>
          <w:lang w:val="en-GB"/>
        </w:rPr>
        <w:t>increase output volatility in countries at lower levels of development.</w:t>
      </w:r>
    </w:p>
    <w:p w:rsidR="0086145C" w:rsidRPr="00F2676A" w:rsidRDefault="0086145C" w:rsidP="0086145C">
      <w:pPr>
        <w:pStyle w:val="svarticle"/>
        <w:spacing w:line="360" w:lineRule="auto"/>
        <w:jc w:val="both"/>
        <w:rPr>
          <w:highlight w:val="lightGray"/>
          <w:lang w:val="en-GB"/>
        </w:rPr>
      </w:pPr>
      <w:r w:rsidRPr="00F2676A">
        <w:rPr>
          <w:highlight w:val="lightGray"/>
          <w:lang w:val="en-GB"/>
        </w:rPr>
        <w:t xml:space="preserve">We also find that improvements in </w:t>
      </w:r>
      <w:r w:rsidR="00A036A9">
        <w:rPr>
          <w:highlight w:val="lightGray"/>
          <w:lang w:val="en-GB"/>
        </w:rPr>
        <w:t>institutional</w:t>
      </w:r>
      <w:r w:rsidRPr="00F2676A">
        <w:rPr>
          <w:highlight w:val="lightGray"/>
          <w:lang w:val="en-GB"/>
        </w:rPr>
        <w:t xml:space="preserve"> quality </w:t>
      </w:r>
      <w:r w:rsidR="0048310B">
        <w:rPr>
          <w:highlight w:val="lightGray"/>
          <w:lang w:val="en-GB"/>
        </w:rPr>
        <w:t>–</w:t>
      </w:r>
      <w:r w:rsidRPr="00F2676A">
        <w:rPr>
          <w:highlight w:val="lightGray"/>
          <w:lang w:val="en-GB"/>
        </w:rPr>
        <w:t xml:space="preserve"> especially</w:t>
      </w:r>
      <w:r w:rsidR="0048310B">
        <w:rPr>
          <w:highlight w:val="lightGray"/>
          <w:lang w:val="en-GB"/>
        </w:rPr>
        <w:t xml:space="preserve"> </w:t>
      </w:r>
      <w:r w:rsidRPr="00F2676A">
        <w:rPr>
          <w:highlight w:val="lightGray"/>
          <w:lang w:val="en-GB"/>
        </w:rPr>
        <w:t xml:space="preserve">political institutions – attenuate output volatility in transition countries. Lack of political rights and problems with polity in </w:t>
      </w:r>
      <w:r w:rsidR="0048310B">
        <w:rPr>
          <w:highlight w:val="lightGray"/>
          <w:lang w:val="en-GB"/>
        </w:rPr>
        <w:t xml:space="preserve">the </w:t>
      </w:r>
      <w:r w:rsidRPr="00F2676A">
        <w:rPr>
          <w:highlight w:val="lightGray"/>
          <w:lang w:val="en-GB"/>
        </w:rPr>
        <w:t xml:space="preserve">broader sense </w:t>
      </w:r>
      <w:r w:rsidR="0048310B">
        <w:rPr>
          <w:highlight w:val="lightGray"/>
          <w:lang w:val="en-GB"/>
        </w:rPr>
        <w:t>are</w:t>
      </w:r>
      <w:r w:rsidRPr="00F2676A">
        <w:rPr>
          <w:highlight w:val="lightGray"/>
          <w:lang w:val="en-GB"/>
        </w:rPr>
        <w:t xml:space="preserve"> the most important institutional </w:t>
      </w:r>
      <w:r w:rsidR="0048310B">
        <w:rPr>
          <w:highlight w:val="lightGray"/>
          <w:lang w:val="en-GB"/>
        </w:rPr>
        <w:t>characteristics</w:t>
      </w:r>
      <w:r w:rsidRPr="00F2676A">
        <w:rPr>
          <w:highlight w:val="lightGray"/>
          <w:lang w:val="en-GB"/>
        </w:rPr>
        <w:t xml:space="preserve"> affecting output volatility in transition countries. </w:t>
      </w:r>
    </w:p>
    <w:p w:rsidR="00562D0A" w:rsidRDefault="00AD6903" w:rsidP="00825D11">
      <w:pPr>
        <w:pStyle w:val="svarticle"/>
        <w:spacing w:line="360" w:lineRule="auto"/>
        <w:jc w:val="both"/>
        <w:rPr>
          <w:highlight w:val="lightGray"/>
        </w:rPr>
      </w:pPr>
      <w:r w:rsidRPr="00F2676A">
        <w:rPr>
          <w:highlight w:val="lightGray"/>
        </w:rPr>
        <w:t xml:space="preserve">From the policy perspective, these findings are non-negligible compared </w:t>
      </w:r>
      <w:r w:rsidRPr="00F2676A">
        <w:rPr>
          <w:highlight w:val="lightGray"/>
          <w:lang w:val="en-GB"/>
        </w:rPr>
        <w:t xml:space="preserve">to the mean value of our dependent variable </w:t>
      </w:r>
      <w:r w:rsidR="004E1056">
        <w:rPr>
          <w:highlight w:val="lightGray"/>
          <w:lang w:val="en-GB"/>
        </w:rPr>
        <w:t>(</w:t>
      </w:r>
      <w:r w:rsidRPr="00F2676A">
        <w:rPr>
          <w:highlight w:val="lightGray"/>
          <w:lang w:val="en-GB"/>
        </w:rPr>
        <w:t>2.90</w:t>
      </w:r>
      <w:r w:rsidR="004E1056">
        <w:rPr>
          <w:highlight w:val="lightGray"/>
          <w:lang w:val="en-GB"/>
        </w:rPr>
        <w:t>)</w:t>
      </w:r>
      <w:r w:rsidRPr="00F2676A">
        <w:rPr>
          <w:highlight w:val="lightGray"/>
          <w:lang w:val="en-GB"/>
        </w:rPr>
        <w:t xml:space="preserve">. </w:t>
      </w:r>
      <w:r w:rsidR="007A30AA">
        <w:rPr>
          <w:highlight w:val="lightGray"/>
          <w:lang w:val="en-GB"/>
        </w:rPr>
        <w:t xml:space="preserve">For </w:t>
      </w:r>
      <w:r w:rsidR="007A30AA" w:rsidRPr="00F2676A">
        <w:rPr>
          <w:highlight w:val="lightGray"/>
          <w:lang w:val="en-GB"/>
        </w:rPr>
        <w:t>the low-diversification CIS countries</w:t>
      </w:r>
      <w:r w:rsidR="007A30AA">
        <w:rPr>
          <w:highlight w:val="lightGray"/>
          <w:lang w:val="en-GB"/>
        </w:rPr>
        <w:t>, a</w:t>
      </w:r>
      <w:r w:rsidRPr="00F2676A">
        <w:rPr>
          <w:highlight w:val="lightGray"/>
          <w:lang w:val="en-GB"/>
        </w:rPr>
        <w:t xml:space="preserve">n increase in diversification at the intensive margin </w:t>
      </w:r>
      <w:r w:rsidR="007A30AA">
        <w:rPr>
          <w:highlight w:val="lightGray"/>
          <w:lang w:val="en-GB"/>
        </w:rPr>
        <w:t xml:space="preserve">to the level of even the next most diversified country could </w:t>
      </w:r>
      <w:r w:rsidR="00B95526" w:rsidRPr="00F2676A">
        <w:rPr>
          <w:highlight w:val="lightGray"/>
          <w:lang w:val="en-GB"/>
        </w:rPr>
        <w:t>– ceteris paribus – reduce output volatility</w:t>
      </w:r>
      <w:r w:rsidR="007A30AA">
        <w:rPr>
          <w:highlight w:val="lightGray"/>
          <w:lang w:val="en-GB"/>
        </w:rPr>
        <w:t xml:space="preserve"> by half a percentage point or more</w:t>
      </w:r>
      <w:r w:rsidR="00B95526" w:rsidRPr="00F2676A">
        <w:rPr>
          <w:highlight w:val="lightGray"/>
          <w:lang w:val="en-GB"/>
        </w:rPr>
        <w:t xml:space="preserve">. Similarly, a modest increase in institutional quality can reduce output volatility by somewhere between half and one percentage point. In addition, two control variables yield robust and quantitatively non-negligible estimates: macroeconomic </w:t>
      </w:r>
      <w:r w:rsidR="007A30AA">
        <w:rPr>
          <w:highlight w:val="lightGray"/>
          <w:lang w:val="en-GB"/>
        </w:rPr>
        <w:t>in</w:t>
      </w:r>
      <w:r w:rsidR="00B95526" w:rsidRPr="00F2676A">
        <w:rPr>
          <w:highlight w:val="lightGray"/>
          <w:lang w:val="en-GB"/>
        </w:rPr>
        <w:t xml:space="preserve">stability </w:t>
      </w:r>
      <w:r w:rsidR="007A30AA">
        <w:rPr>
          <w:highlight w:val="lightGray"/>
          <w:lang w:val="en-GB"/>
        </w:rPr>
        <w:t xml:space="preserve">– </w:t>
      </w:r>
      <w:r w:rsidR="00B95526" w:rsidRPr="00F2676A">
        <w:rPr>
          <w:highlight w:val="lightGray"/>
          <w:lang w:val="en-GB"/>
        </w:rPr>
        <w:t>proxied</w:t>
      </w:r>
      <w:r w:rsidR="007A30AA">
        <w:rPr>
          <w:highlight w:val="lightGray"/>
          <w:lang w:val="en-GB"/>
        </w:rPr>
        <w:t xml:space="preserve"> </w:t>
      </w:r>
      <w:r w:rsidR="00B95526" w:rsidRPr="00F2676A">
        <w:rPr>
          <w:highlight w:val="lightGray"/>
        </w:rPr>
        <w:t xml:space="preserve">by inflation volatility </w:t>
      </w:r>
      <w:r w:rsidR="007A30AA">
        <w:rPr>
          <w:highlight w:val="lightGray"/>
        </w:rPr>
        <w:t xml:space="preserve">– increases </w:t>
      </w:r>
      <w:r w:rsidR="00B95526" w:rsidRPr="00F2676A">
        <w:rPr>
          <w:highlight w:val="lightGray"/>
        </w:rPr>
        <w:t xml:space="preserve">output </w:t>
      </w:r>
      <w:r w:rsidR="007A30AA">
        <w:rPr>
          <w:highlight w:val="lightGray"/>
        </w:rPr>
        <w:t>volatility</w:t>
      </w:r>
      <w:r w:rsidR="00B95526" w:rsidRPr="00F2676A">
        <w:rPr>
          <w:highlight w:val="lightGray"/>
        </w:rPr>
        <w:t xml:space="preserve">; while, as anticipated, conflict greatly increases output volatility. </w:t>
      </w:r>
    </w:p>
    <w:p w:rsidR="00562D0A" w:rsidRDefault="000A38AE" w:rsidP="00562D0A">
      <w:pPr>
        <w:pStyle w:val="svarticle"/>
        <w:spacing w:line="360" w:lineRule="auto"/>
        <w:jc w:val="both"/>
        <w:rPr>
          <w:lang w:val="en-GB"/>
        </w:rPr>
      </w:pPr>
      <w:r w:rsidRPr="00F2676A">
        <w:rPr>
          <w:highlight w:val="lightGray"/>
          <w:lang w:val="en-GB"/>
        </w:rPr>
        <w:t>Finally, we recommend that future studies should distinguish</w:t>
      </w:r>
      <w:r w:rsidR="00483DFB" w:rsidRPr="00F2676A">
        <w:rPr>
          <w:highlight w:val="lightGray"/>
          <w:lang w:val="en-GB"/>
        </w:rPr>
        <w:t xml:space="preserve"> between diversification at the two margins, since </w:t>
      </w:r>
      <w:r w:rsidR="00E71796" w:rsidRPr="00F2676A">
        <w:rPr>
          <w:highlight w:val="lightGray"/>
          <w:lang w:val="en-GB"/>
        </w:rPr>
        <w:t xml:space="preserve">the </w:t>
      </w:r>
      <w:r w:rsidR="00483DFB" w:rsidRPr="00F2676A">
        <w:rPr>
          <w:highlight w:val="lightGray"/>
          <w:lang w:val="en-GB"/>
        </w:rPr>
        <w:t xml:space="preserve">overall indicators used in most of the current literature </w:t>
      </w:r>
      <w:r w:rsidR="001E7BD9" w:rsidRPr="00F2676A">
        <w:rPr>
          <w:highlight w:val="lightGray"/>
          <w:lang w:val="en-GB"/>
        </w:rPr>
        <w:t>may</w:t>
      </w:r>
      <w:r w:rsidR="00483DFB" w:rsidRPr="00F2676A">
        <w:rPr>
          <w:highlight w:val="lightGray"/>
          <w:lang w:val="en-GB"/>
        </w:rPr>
        <w:t xml:space="preserve"> hide </w:t>
      </w:r>
      <w:r w:rsidR="001E7BD9" w:rsidRPr="00F2676A">
        <w:rPr>
          <w:highlight w:val="lightGray"/>
          <w:lang w:val="en-GB"/>
        </w:rPr>
        <w:t xml:space="preserve">structural differences between the volatility effects of diversification at </w:t>
      </w:r>
      <w:r w:rsidR="00483DFB" w:rsidRPr="00F2676A">
        <w:rPr>
          <w:highlight w:val="lightGray"/>
          <w:lang w:val="en-GB"/>
        </w:rPr>
        <w:t xml:space="preserve">the </w:t>
      </w:r>
      <w:r w:rsidR="001E7BD9" w:rsidRPr="00F2676A">
        <w:rPr>
          <w:highlight w:val="lightGray"/>
          <w:lang w:val="en-GB"/>
        </w:rPr>
        <w:t xml:space="preserve">different </w:t>
      </w:r>
      <w:r w:rsidR="00483DFB" w:rsidRPr="00F2676A">
        <w:rPr>
          <w:highlight w:val="lightGray"/>
          <w:lang w:val="en-GB"/>
        </w:rPr>
        <w:t>margins.</w:t>
      </w:r>
    </w:p>
    <w:p w:rsidR="00B743C8" w:rsidRPr="00562D0A" w:rsidRDefault="00B743C8" w:rsidP="00562D0A">
      <w:pPr>
        <w:pStyle w:val="svarticle"/>
        <w:spacing w:line="360" w:lineRule="auto"/>
        <w:jc w:val="both"/>
        <w:rPr>
          <w:highlight w:val="lightGray"/>
        </w:rPr>
      </w:pPr>
      <w:r w:rsidRPr="00B743C8">
        <w:rPr>
          <w:rFonts w:eastAsia="Calibri"/>
          <w:b/>
          <w:lang w:val="en-GB"/>
        </w:rPr>
        <w:lastRenderedPageBreak/>
        <w:t>References</w:t>
      </w:r>
    </w:p>
    <w:p w:rsidR="00B743C8" w:rsidRPr="00E32448" w:rsidRDefault="00B743C8" w:rsidP="007B1471">
      <w:pPr>
        <w:pStyle w:val="ListParagraph"/>
        <w:numPr>
          <w:ilvl w:val="0"/>
          <w:numId w:val="5"/>
        </w:numPr>
        <w:autoSpaceDE w:val="0"/>
        <w:autoSpaceDN w:val="0"/>
        <w:adjustRightInd w:val="0"/>
        <w:spacing w:line="360" w:lineRule="auto"/>
        <w:contextualSpacing w:val="0"/>
        <w:jc w:val="both"/>
        <w:rPr>
          <w:rFonts w:eastAsia="Calibri"/>
          <w:i/>
          <w:iCs/>
          <w:sz w:val="24"/>
          <w:szCs w:val="24"/>
        </w:rPr>
      </w:pPr>
      <w:r w:rsidRPr="003D207E">
        <w:rPr>
          <w:rFonts w:eastAsiaTheme="minorHAnsi"/>
          <w:sz w:val="24"/>
          <w:szCs w:val="24"/>
        </w:rPr>
        <w:t>Acemoglu, D., Jhonson, S</w:t>
      </w:r>
      <w:r>
        <w:rPr>
          <w:rFonts w:eastAsiaTheme="minorHAnsi"/>
          <w:sz w:val="24"/>
          <w:szCs w:val="24"/>
        </w:rPr>
        <w:t xml:space="preserve">, Robinson, J and Thaicharoen, </w:t>
      </w:r>
      <w:r w:rsidRPr="003D207E">
        <w:rPr>
          <w:rFonts w:eastAsiaTheme="minorHAnsi"/>
          <w:sz w:val="24"/>
          <w:szCs w:val="24"/>
        </w:rPr>
        <w:t xml:space="preserve">Y. (2003) Macroeconomic Symptoms: Volatility, Crises and Growth. Institutional Causes, </w:t>
      </w:r>
      <w:r w:rsidRPr="003D207E">
        <w:rPr>
          <w:rFonts w:eastAsiaTheme="minorHAnsi"/>
          <w:i/>
          <w:sz w:val="24"/>
          <w:szCs w:val="24"/>
        </w:rPr>
        <w:t>Journal of Monetary Economics</w:t>
      </w:r>
      <w:r w:rsidRPr="003D207E">
        <w:rPr>
          <w:rFonts w:eastAsiaTheme="minorHAnsi"/>
          <w:sz w:val="24"/>
          <w:szCs w:val="24"/>
        </w:rPr>
        <w:t>, 50(1): 49-123.</w:t>
      </w:r>
    </w:p>
    <w:p w:rsidR="00E32448" w:rsidRPr="00E32448" w:rsidRDefault="00E32448" w:rsidP="007B1471">
      <w:pPr>
        <w:pStyle w:val="ListParagraph"/>
        <w:numPr>
          <w:ilvl w:val="0"/>
          <w:numId w:val="5"/>
        </w:numPr>
        <w:autoSpaceDE w:val="0"/>
        <w:autoSpaceDN w:val="0"/>
        <w:adjustRightInd w:val="0"/>
        <w:spacing w:line="360" w:lineRule="auto"/>
        <w:contextualSpacing w:val="0"/>
        <w:jc w:val="both"/>
        <w:rPr>
          <w:rFonts w:eastAsia="Calibri"/>
          <w:i/>
          <w:iCs/>
          <w:sz w:val="24"/>
          <w:szCs w:val="24"/>
        </w:rPr>
      </w:pPr>
      <w:r w:rsidRPr="00E32448">
        <w:rPr>
          <w:rFonts w:eastAsiaTheme="minorHAnsi"/>
          <w:sz w:val="24"/>
          <w:szCs w:val="24"/>
        </w:rPr>
        <w:t xml:space="preserve">Aghion, P. and Howitt, P. (1992) A Model of Growth through Creative Destruction. </w:t>
      </w:r>
      <w:r w:rsidRPr="00E32448">
        <w:rPr>
          <w:rFonts w:eastAsiaTheme="minorHAnsi"/>
          <w:i/>
          <w:sz w:val="24"/>
          <w:szCs w:val="24"/>
        </w:rPr>
        <w:t>Econometrica</w:t>
      </w:r>
      <w:r w:rsidRPr="00E32448">
        <w:rPr>
          <w:rFonts w:eastAsiaTheme="minorHAnsi"/>
          <w:sz w:val="24"/>
          <w:szCs w:val="24"/>
        </w:rPr>
        <w:t>. 60 (2): 323-351.</w:t>
      </w:r>
    </w:p>
    <w:p w:rsidR="00B743C8" w:rsidRPr="003D207E" w:rsidRDefault="00B743C8" w:rsidP="007B1471">
      <w:pPr>
        <w:pStyle w:val="ListParagraph"/>
        <w:numPr>
          <w:ilvl w:val="0"/>
          <w:numId w:val="5"/>
        </w:numPr>
        <w:shd w:val="clear" w:color="auto" w:fill="FFFFFF" w:themeFill="background1"/>
        <w:autoSpaceDE w:val="0"/>
        <w:autoSpaceDN w:val="0"/>
        <w:adjustRightInd w:val="0"/>
        <w:spacing w:line="360" w:lineRule="auto"/>
        <w:jc w:val="both"/>
        <w:rPr>
          <w:sz w:val="24"/>
          <w:szCs w:val="24"/>
        </w:rPr>
      </w:pPr>
      <w:r w:rsidRPr="003D207E">
        <w:rPr>
          <w:sz w:val="24"/>
          <w:szCs w:val="24"/>
        </w:rPr>
        <w:t>Aizenman, J</w:t>
      </w:r>
      <w:r w:rsidR="00DF32A7">
        <w:rPr>
          <w:sz w:val="24"/>
          <w:szCs w:val="24"/>
        </w:rPr>
        <w:t>.</w:t>
      </w:r>
      <w:r w:rsidRPr="003D207E">
        <w:rPr>
          <w:sz w:val="24"/>
          <w:szCs w:val="24"/>
        </w:rPr>
        <w:t xml:space="preserve"> and Pinto, B. (eds.) (2005) </w:t>
      </w:r>
      <w:r w:rsidRPr="003D207E">
        <w:rPr>
          <w:i/>
          <w:sz w:val="24"/>
          <w:szCs w:val="24"/>
        </w:rPr>
        <w:t>Managing Economic Volatility and Crises</w:t>
      </w:r>
      <w:r w:rsidRPr="003D207E">
        <w:rPr>
          <w:sz w:val="24"/>
          <w:szCs w:val="24"/>
        </w:rPr>
        <w:t xml:space="preserve">,  </w:t>
      </w:r>
    </w:p>
    <w:p w:rsidR="00B743C8" w:rsidRPr="003D207E" w:rsidRDefault="00B743C8" w:rsidP="007B1471">
      <w:pPr>
        <w:pStyle w:val="ListParagraph"/>
        <w:shd w:val="clear" w:color="auto" w:fill="FFFFFF" w:themeFill="background1"/>
        <w:autoSpaceDE w:val="0"/>
        <w:autoSpaceDN w:val="0"/>
        <w:adjustRightInd w:val="0"/>
        <w:spacing w:line="360" w:lineRule="auto"/>
        <w:ind w:left="540"/>
        <w:jc w:val="both"/>
        <w:rPr>
          <w:sz w:val="24"/>
          <w:szCs w:val="24"/>
        </w:rPr>
      </w:pPr>
      <w:r w:rsidRPr="003D207E">
        <w:rPr>
          <w:sz w:val="24"/>
          <w:szCs w:val="24"/>
        </w:rPr>
        <w:t>Cambridge University Press, United Kingdom.</w:t>
      </w:r>
    </w:p>
    <w:p w:rsidR="00B743C8" w:rsidRPr="003D207E" w:rsidRDefault="00B743C8" w:rsidP="007B1471">
      <w:pPr>
        <w:pStyle w:val="ListParagraph"/>
        <w:numPr>
          <w:ilvl w:val="0"/>
          <w:numId w:val="5"/>
        </w:numPr>
        <w:shd w:val="clear" w:color="auto" w:fill="FFFFFF" w:themeFill="background1"/>
        <w:autoSpaceDE w:val="0"/>
        <w:autoSpaceDN w:val="0"/>
        <w:adjustRightInd w:val="0"/>
        <w:spacing w:line="360" w:lineRule="auto"/>
        <w:jc w:val="both"/>
        <w:rPr>
          <w:sz w:val="24"/>
          <w:szCs w:val="24"/>
        </w:rPr>
      </w:pPr>
      <w:r w:rsidRPr="003D207E">
        <w:rPr>
          <w:sz w:val="24"/>
          <w:szCs w:val="24"/>
        </w:rPr>
        <w:t xml:space="preserve">Aizenman, J. and Marion, N. (1999) </w:t>
      </w:r>
      <w:r w:rsidRPr="003D207E">
        <w:rPr>
          <w:bCs/>
          <w:sz w:val="24"/>
          <w:szCs w:val="24"/>
        </w:rPr>
        <w:t>Volatility and Investme</w:t>
      </w:r>
      <w:r>
        <w:rPr>
          <w:bCs/>
          <w:sz w:val="24"/>
          <w:szCs w:val="24"/>
        </w:rPr>
        <w:t xml:space="preserve">nt: Interpreting Evidence from </w:t>
      </w:r>
      <w:r w:rsidRPr="003D207E">
        <w:rPr>
          <w:bCs/>
          <w:sz w:val="24"/>
          <w:szCs w:val="24"/>
        </w:rPr>
        <w:t>Developing Countries</w:t>
      </w:r>
      <w:r w:rsidRPr="003D207E">
        <w:rPr>
          <w:sz w:val="24"/>
          <w:szCs w:val="24"/>
        </w:rPr>
        <w:t xml:space="preserve">, </w:t>
      </w:r>
      <w:r w:rsidRPr="003D207E">
        <w:rPr>
          <w:i/>
          <w:sz w:val="24"/>
          <w:szCs w:val="24"/>
        </w:rPr>
        <w:t>Economica</w:t>
      </w:r>
      <w:r w:rsidRPr="003D207E">
        <w:rPr>
          <w:sz w:val="24"/>
          <w:szCs w:val="24"/>
        </w:rPr>
        <w:t>, 66(262): 157-79.</w:t>
      </w:r>
    </w:p>
    <w:p w:rsidR="00B743C8" w:rsidRPr="003D207E" w:rsidRDefault="00B743C8" w:rsidP="007B1471">
      <w:pPr>
        <w:pStyle w:val="ListParagraph"/>
        <w:numPr>
          <w:ilvl w:val="0"/>
          <w:numId w:val="5"/>
        </w:numPr>
        <w:autoSpaceDE w:val="0"/>
        <w:autoSpaceDN w:val="0"/>
        <w:adjustRightInd w:val="0"/>
        <w:spacing w:line="360" w:lineRule="auto"/>
        <w:jc w:val="both"/>
        <w:rPr>
          <w:sz w:val="24"/>
          <w:szCs w:val="24"/>
        </w:rPr>
      </w:pPr>
      <w:r w:rsidRPr="003D207E">
        <w:rPr>
          <w:rFonts w:eastAsia="Calibri"/>
          <w:sz w:val="24"/>
          <w:szCs w:val="24"/>
        </w:rPr>
        <w:t xml:space="preserve">Arin et al. (2011) Why are corrupt countries less successful in consolidating their budgets?, </w:t>
      </w:r>
      <w:r w:rsidRPr="003D207E">
        <w:rPr>
          <w:rFonts w:eastAsia="Calibri"/>
          <w:i/>
          <w:sz w:val="24"/>
          <w:szCs w:val="24"/>
        </w:rPr>
        <w:t xml:space="preserve">Journal of Public Economics, </w:t>
      </w:r>
      <w:r w:rsidRPr="003D207E">
        <w:rPr>
          <w:rFonts w:eastAsia="Calibri"/>
          <w:sz w:val="24"/>
          <w:szCs w:val="24"/>
        </w:rPr>
        <w:t>95(7-8): 521-530.</w:t>
      </w:r>
    </w:p>
    <w:p w:rsidR="00B743C8" w:rsidRPr="003D207E" w:rsidRDefault="00B743C8" w:rsidP="007B1471">
      <w:pPr>
        <w:pStyle w:val="ListParagraph"/>
        <w:numPr>
          <w:ilvl w:val="0"/>
          <w:numId w:val="5"/>
        </w:numPr>
        <w:spacing w:line="360" w:lineRule="auto"/>
        <w:contextualSpacing w:val="0"/>
        <w:jc w:val="both"/>
        <w:rPr>
          <w:sz w:val="24"/>
          <w:szCs w:val="24"/>
        </w:rPr>
      </w:pPr>
      <w:r w:rsidRPr="003D207E">
        <w:rPr>
          <w:sz w:val="24"/>
          <w:szCs w:val="24"/>
        </w:rPr>
        <w:t xml:space="preserve">Barseghyan, L., and DiCecio, R. (2010) Institutional causes of output volatility, </w:t>
      </w:r>
      <w:r w:rsidRPr="003D207E">
        <w:rPr>
          <w:i/>
          <w:iCs/>
          <w:sz w:val="24"/>
          <w:szCs w:val="24"/>
        </w:rPr>
        <w:t>Federal Reserve Bank of St. Louis Review</w:t>
      </w:r>
      <w:r w:rsidRPr="003D207E">
        <w:rPr>
          <w:sz w:val="24"/>
          <w:szCs w:val="24"/>
        </w:rPr>
        <w:t xml:space="preserve">, </w:t>
      </w:r>
      <w:r w:rsidRPr="003D207E">
        <w:rPr>
          <w:i/>
          <w:iCs/>
          <w:sz w:val="24"/>
          <w:szCs w:val="24"/>
        </w:rPr>
        <w:t>92</w:t>
      </w:r>
      <w:r w:rsidRPr="003D207E">
        <w:rPr>
          <w:sz w:val="24"/>
          <w:szCs w:val="24"/>
        </w:rPr>
        <w:t>(3): 205-23.</w:t>
      </w:r>
    </w:p>
    <w:p w:rsidR="00B743C8" w:rsidRPr="003D207E" w:rsidRDefault="00B743C8" w:rsidP="007B1471">
      <w:pPr>
        <w:numPr>
          <w:ilvl w:val="0"/>
          <w:numId w:val="5"/>
        </w:numPr>
        <w:shd w:val="clear" w:color="auto" w:fill="FFFFFF" w:themeFill="background1"/>
        <w:autoSpaceDE w:val="0"/>
        <w:autoSpaceDN w:val="0"/>
        <w:adjustRightInd w:val="0"/>
        <w:spacing w:line="360" w:lineRule="auto"/>
        <w:jc w:val="both"/>
        <w:rPr>
          <w:lang w:val="en-GB"/>
        </w:rPr>
      </w:pPr>
      <w:r w:rsidRPr="003D207E">
        <w:rPr>
          <w:lang w:val="en-GB"/>
        </w:rPr>
        <w:t xml:space="preserve">Bejan, M. (2006) </w:t>
      </w:r>
      <w:r w:rsidRPr="003D207E">
        <w:rPr>
          <w:bCs/>
          <w:lang w:val="en-GB"/>
        </w:rPr>
        <w:t>Trade Openness and Output Volatility</w:t>
      </w:r>
      <w:r w:rsidRPr="003D207E">
        <w:rPr>
          <w:lang w:val="en-GB"/>
        </w:rPr>
        <w:t xml:space="preserve">, </w:t>
      </w:r>
      <w:r w:rsidRPr="003D207E">
        <w:rPr>
          <w:i/>
          <w:lang w:val="en-GB"/>
        </w:rPr>
        <w:t>MPRA Paper 2759</w:t>
      </w:r>
      <w:r w:rsidRPr="003D207E">
        <w:rPr>
          <w:lang w:val="en-GB"/>
        </w:rPr>
        <w:t>, University Library of Munich, Germany.</w:t>
      </w:r>
    </w:p>
    <w:p w:rsidR="00E32448" w:rsidRPr="00E32448" w:rsidRDefault="00E32448" w:rsidP="007B1471">
      <w:pPr>
        <w:pStyle w:val="ListParagraph"/>
        <w:numPr>
          <w:ilvl w:val="0"/>
          <w:numId w:val="5"/>
        </w:numPr>
        <w:autoSpaceDE w:val="0"/>
        <w:autoSpaceDN w:val="0"/>
        <w:adjustRightInd w:val="0"/>
        <w:spacing w:line="360" w:lineRule="auto"/>
        <w:contextualSpacing w:val="0"/>
        <w:jc w:val="both"/>
        <w:rPr>
          <w:sz w:val="24"/>
          <w:szCs w:val="24"/>
        </w:rPr>
      </w:pPr>
      <w:r w:rsidRPr="00E32448">
        <w:rPr>
          <w:rFonts w:eastAsiaTheme="minorHAnsi"/>
          <w:sz w:val="24"/>
          <w:szCs w:val="24"/>
        </w:rPr>
        <w:t xml:space="preserve">Caballero, </w:t>
      </w:r>
      <w:r>
        <w:rPr>
          <w:rFonts w:eastAsiaTheme="minorHAnsi"/>
          <w:sz w:val="24"/>
          <w:szCs w:val="24"/>
        </w:rPr>
        <w:t>R.J. and Hammour, M.L. (1994)</w:t>
      </w:r>
      <w:r w:rsidRPr="00E32448">
        <w:rPr>
          <w:rFonts w:eastAsiaTheme="minorHAnsi"/>
          <w:sz w:val="24"/>
          <w:szCs w:val="24"/>
        </w:rPr>
        <w:t xml:space="preserve"> The Cleansing Effect of Recessions. </w:t>
      </w:r>
      <w:r w:rsidRPr="00E32448">
        <w:rPr>
          <w:rFonts w:eastAsiaTheme="minorHAnsi"/>
          <w:i/>
          <w:sz w:val="24"/>
          <w:szCs w:val="24"/>
        </w:rPr>
        <w:t>American Economic Review</w:t>
      </w:r>
      <w:r w:rsidRPr="00E32448">
        <w:rPr>
          <w:rFonts w:eastAsiaTheme="minorHAnsi"/>
          <w:sz w:val="24"/>
          <w:szCs w:val="24"/>
        </w:rPr>
        <w:t>. 84 (5): 350-1368.</w:t>
      </w:r>
    </w:p>
    <w:p w:rsidR="00B743C8" w:rsidRDefault="00B743C8" w:rsidP="007B1471">
      <w:pPr>
        <w:numPr>
          <w:ilvl w:val="0"/>
          <w:numId w:val="5"/>
        </w:numPr>
        <w:shd w:val="clear" w:color="auto" w:fill="FFFFFF" w:themeFill="background1"/>
        <w:autoSpaceDE w:val="0"/>
        <w:autoSpaceDN w:val="0"/>
        <w:adjustRightInd w:val="0"/>
        <w:spacing w:line="360" w:lineRule="auto"/>
        <w:jc w:val="both"/>
        <w:rPr>
          <w:lang w:val="en-GB"/>
        </w:rPr>
      </w:pPr>
      <w:r w:rsidRPr="003D207E">
        <w:rPr>
          <w:lang w:val="en-GB"/>
        </w:rPr>
        <w:t xml:space="preserve">Calderón, C. and Schmidt-Hebbel, K. (2008) </w:t>
      </w:r>
      <w:r w:rsidRPr="003D207E">
        <w:rPr>
          <w:bCs/>
          <w:lang w:val="en-GB"/>
        </w:rPr>
        <w:t>Openness and Growth Volatility</w:t>
      </w:r>
      <w:r w:rsidRPr="003D207E">
        <w:rPr>
          <w:lang w:val="en-GB"/>
        </w:rPr>
        <w:t xml:space="preserve">, </w:t>
      </w:r>
      <w:r w:rsidRPr="003D207E">
        <w:rPr>
          <w:i/>
          <w:lang w:val="en-GB"/>
        </w:rPr>
        <w:t>Working Papers Central Bank of Chile No. 483</w:t>
      </w:r>
      <w:r w:rsidRPr="003D207E">
        <w:rPr>
          <w:lang w:val="en-GB"/>
        </w:rPr>
        <w:t xml:space="preserve">, Central Bank of Chile. </w:t>
      </w:r>
    </w:p>
    <w:p w:rsidR="00DF32A7" w:rsidRPr="00DF32A7" w:rsidRDefault="00DF32A7" w:rsidP="007B1471">
      <w:pPr>
        <w:numPr>
          <w:ilvl w:val="0"/>
          <w:numId w:val="5"/>
        </w:numPr>
        <w:shd w:val="clear" w:color="auto" w:fill="FFFFFF" w:themeFill="background1"/>
        <w:autoSpaceDE w:val="0"/>
        <w:autoSpaceDN w:val="0"/>
        <w:adjustRightInd w:val="0"/>
        <w:spacing w:line="360" w:lineRule="auto"/>
        <w:jc w:val="both"/>
        <w:rPr>
          <w:lang w:val="en-GB"/>
        </w:rPr>
      </w:pPr>
      <w:r>
        <w:rPr>
          <w:rFonts w:ascii="Times-Roman" w:eastAsiaTheme="minorHAnsi" w:hAnsi="Times-Roman" w:cs="Times-Roman"/>
        </w:rPr>
        <w:t>Campos, N. F. and Coricelli, F.</w:t>
      </w:r>
      <w:r w:rsidRPr="00DF32A7">
        <w:rPr>
          <w:rFonts w:ascii="Times-Roman" w:eastAsiaTheme="minorHAnsi" w:hAnsi="Times-Roman" w:cs="Times-Roman"/>
        </w:rPr>
        <w:t xml:space="preserve"> </w:t>
      </w:r>
      <w:r>
        <w:rPr>
          <w:rFonts w:ascii="Times-Roman" w:eastAsiaTheme="minorHAnsi" w:hAnsi="Times-Roman" w:cs="Times-Roman"/>
        </w:rPr>
        <w:t>(2002)</w:t>
      </w:r>
      <w:r w:rsidRPr="00DF32A7">
        <w:rPr>
          <w:rFonts w:ascii="Times-Roman" w:eastAsiaTheme="minorHAnsi" w:hAnsi="Times-Roman" w:cs="Times-Roman"/>
        </w:rPr>
        <w:t xml:space="preserve"> Growth in transition: What we know, what we don’</w:t>
      </w:r>
      <w:r>
        <w:rPr>
          <w:rFonts w:ascii="Times-Roman" w:eastAsiaTheme="minorHAnsi" w:hAnsi="Times-Roman" w:cs="Times-Roman"/>
        </w:rPr>
        <w:t xml:space="preserve">t, and what we should, </w:t>
      </w:r>
      <w:r w:rsidRPr="00DF32A7">
        <w:rPr>
          <w:rFonts w:ascii="Times-Roman" w:eastAsiaTheme="minorHAnsi" w:hAnsi="Times-Roman" w:cs="Times-Roman"/>
          <w:i/>
        </w:rPr>
        <w:t>Journal of Economic Literature</w:t>
      </w:r>
      <w:r>
        <w:rPr>
          <w:rFonts w:ascii="Times-Roman" w:eastAsiaTheme="minorHAnsi" w:hAnsi="Times-Roman" w:cs="Times-Roman"/>
        </w:rPr>
        <w:t xml:space="preserve">, 40(3): </w:t>
      </w:r>
      <w:r w:rsidRPr="00DF32A7">
        <w:rPr>
          <w:rFonts w:ascii="Times-Roman" w:eastAsiaTheme="minorHAnsi" w:hAnsi="Times-Roman" w:cs="Times-Roman"/>
        </w:rPr>
        <w:t>793–836.</w:t>
      </w:r>
    </w:p>
    <w:p w:rsidR="00B743C8" w:rsidRPr="003D207E" w:rsidRDefault="00B743C8" w:rsidP="007B1471">
      <w:pPr>
        <w:pStyle w:val="ListParagraph"/>
        <w:numPr>
          <w:ilvl w:val="0"/>
          <w:numId w:val="5"/>
        </w:numPr>
        <w:shd w:val="clear" w:color="auto" w:fill="FFFFFF" w:themeFill="background1"/>
        <w:autoSpaceDE w:val="0"/>
        <w:autoSpaceDN w:val="0"/>
        <w:adjustRightInd w:val="0"/>
        <w:spacing w:line="360" w:lineRule="auto"/>
        <w:jc w:val="both"/>
        <w:rPr>
          <w:sz w:val="24"/>
          <w:szCs w:val="24"/>
        </w:rPr>
      </w:pPr>
      <w:r w:rsidRPr="003D207E">
        <w:rPr>
          <w:sz w:val="24"/>
          <w:szCs w:val="24"/>
        </w:rPr>
        <w:t xml:space="preserve">Cavalcanti, T.V.de V, Mohaddea, K and Raissi, M. (2012) </w:t>
      </w:r>
      <w:r w:rsidRPr="003D207E">
        <w:rPr>
          <w:bCs/>
          <w:sz w:val="24"/>
          <w:szCs w:val="24"/>
        </w:rPr>
        <w:t>Commodity Price Volatility and the Sources of Growth</w:t>
      </w:r>
      <w:r w:rsidRPr="003D207E">
        <w:rPr>
          <w:sz w:val="24"/>
          <w:szCs w:val="24"/>
        </w:rPr>
        <w:t xml:space="preserve">, </w:t>
      </w:r>
      <w:r w:rsidRPr="003D207E">
        <w:rPr>
          <w:i/>
          <w:sz w:val="24"/>
          <w:szCs w:val="24"/>
        </w:rPr>
        <w:t>IMF Working Papers 12/12</w:t>
      </w:r>
      <w:r w:rsidRPr="003D207E">
        <w:rPr>
          <w:sz w:val="24"/>
          <w:szCs w:val="24"/>
        </w:rPr>
        <w:t>, International Monetary Fund.</w:t>
      </w:r>
    </w:p>
    <w:p w:rsidR="00B743C8" w:rsidRPr="003D207E" w:rsidRDefault="00B743C8" w:rsidP="007B1471">
      <w:pPr>
        <w:pStyle w:val="ListParagraph"/>
        <w:numPr>
          <w:ilvl w:val="0"/>
          <w:numId w:val="5"/>
        </w:numPr>
        <w:shd w:val="clear" w:color="auto" w:fill="FFFFFF" w:themeFill="background1"/>
        <w:spacing w:line="360" w:lineRule="auto"/>
        <w:jc w:val="both"/>
        <w:rPr>
          <w:sz w:val="24"/>
          <w:szCs w:val="24"/>
        </w:rPr>
      </w:pPr>
      <w:r w:rsidRPr="003D207E">
        <w:rPr>
          <w:sz w:val="24"/>
          <w:szCs w:val="24"/>
        </w:rPr>
        <w:t xml:space="preserve">Calderón, C., Loayza, N. and Schmidt-Hebbel, K. (2005) </w:t>
      </w:r>
      <w:r w:rsidRPr="003D207E">
        <w:rPr>
          <w:rFonts w:eastAsiaTheme="majorEastAsia"/>
          <w:bCs/>
          <w:sz w:val="24"/>
          <w:szCs w:val="24"/>
        </w:rPr>
        <w:t>Does openness imply greater exposure?</w:t>
      </w:r>
      <w:r w:rsidRPr="003D207E">
        <w:rPr>
          <w:sz w:val="24"/>
          <w:szCs w:val="24"/>
        </w:rPr>
        <w:t xml:space="preserve">, </w:t>
      </w:r>
      <w:r w:rsidRPr="003D207E">
        <w:rPr>
          <w:rFonts w:eastAsiaTheme="majorEastAsia"/>
          <w:i/>
          <w:sz w:val="24"/>
          <w:szCs w:val="24"/>
        </w:rPr>
        <w:t>Policy Research Working Paper Series</w:t>
      </w:r>
      <w:r w:rsidRPr="003D207E">
        <w:rPr>
          <w:i/>
          <w:sz w:val="24"/>
          <w:szCs w:val="24"/>
        </w:rPr>
        <w:t xml:space="preserve"> 3733,</w:t>
      </w:r>
      <w:r w:rsidRPr="003D207E">
        <w:rPr>
          <w:sz w:val="24"/>
          <w:szCs w:val="24"/>
        </w:rPr>
        <w:t xml:space="preserve"> The World Bank, Washigton D.C.</w:t>
      </w:r>
    </w:p>
    <w:p w:rsidR="00B743C8" w:rsidRPr="003D207E" w:rsidRDefault="00B743C8" w:rsidP="007B1471">
      <w:pPr>
        <w:numPr>
          <w:ilvl w:val="0"/>
          <w:numId w:val="5"/>
        </w:numPr>
        <w:shd w:val="clear" w:color="auto" w:fill="FFFFFF" w:themeFill="background1"/>
        <w:autoSpaceDE w:val="0"/>
        <w:autoSpaceDN w:val="0"/>
        <w:adjustRightInd w:val="0"/>
        <w:spacing w:line="360" w:lineRule="auto"/>
        <w:jc w:val="both"/>
        <w:rPr>
          <w:lang w:val="en-GB"/>
        </w:rPr>
      </w:pPr>
      <w:r w:rsidRPr="003D207E">
        <w:rPr>
          <w:lang w:val="en-GB"/>
        </w:rPr>
        <w:t xml:space="preserve">Cavallo, E.A. (2008) </w:t>
      </w:r>
      <w:r w:rsidRPr="003D207E">
        <w:rPr>
          <w:bCs/>
          <w:lang w:val="en-GB"/>
        </w:rPr>
        <w:t>Output Volatility and Openess to Trade: a Reassessment</w:t>
      </w:r>
      <w:r w:rsidRPr="003D207E">
        <w:rPr>
          <w:lang w:val="en-GB"/>
        </w:rPr>
        <w:t xml:space="preserve">, </w:t>
      </w:r>
      <w:r w:rsidRPr="003D207E">
        <w:rPr>
          <w:rStyle w:val="HTMLCite"/>
          <w:lang w:val="en-GB"/>
        </w:rPr>
        <w:t xml:space="preserve">Economía, </w:t>
      </w:r>
      <w:r w:rsidRPr="003D207E">
        <w:rPr>
          <w:lang w:val="en-GB"/>
        </w:rPr>
        <w:t>9(1): 105-152.</w:t>
      </w:r>
    </w:p>
    <w:p w:rsidR="00B743C8" w:rsidRPr="003D207E" w:rsidRDefault="00B743C8" w:rsidP="007B1471">
      <w:pPr>
        <w:numPr>
          <w:ilvl w:val="0"/>
          <w:numId w:val="5"/>
        </w:numPr>
        <w:shd w:val="clear" w:color="auto" w:fill="FFFFFF" w:themeFill="background1"/>
        <w:autoSpaceDE w:val="0"/>
        <w:autoSpaceDN w:val="0"/>
        <w:adjustRightInd w:val="0"/>
        <w:spacing w:line="360" w:lineRule="auto"/>
        <w:jc w:val="both"/>
        <w:rPr>
          <w:lang w:val="en-GB"/>
        </w:rPr>
      </w:pPr>
      <w:r w:rsidRPr="003D207E">
        <w:rPr>
          <w:lang w:val="en-GB"/>
        </w:rPr>
        <w:t xml:space="preserve">Cecchetti, G. S. et al. (2006) Has Monetary Policy Become More Efficient? A Cross-Country Analysis, </w:t>
      </w:r>
      <w:r w:rsidRPr="003D207E">
        <w:rPr>
          <w:i/>
          <w:lang w:val="en-GB"/>
        </w:rPr>
        <w:t>The Economic Journal</w:t>
      </w:r>
      <w:r w:rsidRPr="003D207E">
        <w:rPr>
          <w:lang w:val="en-GB"/>
        </w:rPr>
        <w:t xml:space="preserve">, 116(511): 408-433. </w:t>
      </w:r>
    </w:p>
    <w:p w:rsidR="00B743C8" w:rsidRPr="003D207E" w:rsidRDefault="00B743C8" w:rsidP="007B1471">
      <w:pPr>
        <w:numPr>
          <w:ilvl w:val="0"/>
          <w:numId w:val="5"/>
        </w:numPr>
        <w:autoSpaceDE w:val="0"/>
        <w:autoSpaceDN w:val="0"/>
        <w:adjustRightInd w:val="0"/>
        <w:spacing w:line="360" w:lineRule="auto"/>
        <w:jc w:val="both"/>
        <w:rPr>
          <w:lang w:val="en-GB"/>
        </w:rPr>
      </w:pPr>
      <w:r w:rsidRPr="003D207E">
        <w:rPr>
          <w:lang w:val="en-GB"/>
        </w:rPr>
        <w:lastRenderedPageBreak/>
        <w:t xml:space="preserve">Chinn, M.D. and Ito, H. (2008) A New Measure of Financial Openness, </w:t>
      </w:r>
      <w:r w:rsidRPr="003D207E">
        <w:rPr>
          <w:bCs/>
          <w:i/>
          <w:iCs/>
          <w:lang w:val="en-GB"/>
        </w:rPr>
        <w:t>Journal of Comparative Policy Analysis</w:t>
      </w:r>
      <w:r w:rsidRPr="003D207E">
        <w:rPr>
          <w:lang w:val="en-GB"/>
        </w:rPr>
        <w:t>, 10(3): 309 – 322.</w:t>
      </w:r>
    </w:p>
    <w:p w:rsidR="00B743C8" w:rsidRPr="003D207E" w:rsidRDefault="00B743C8" w:rsidP="007B1471">
      <w:pPr>
        <w:pStyle w:val="ListParagraph"/>
        <w:numPr>
          <w:ilvl w:val="0"/>
          <w:numId w:val="5"/>
        </w:numPr>
        <w:shd w:val="clear" w:color="auto" w:fill="FFFFFF" w:themeFill="background1"/>
        <w:spacing w:line="360" w:lineRule="auto"/>
        <w:jc w:val="both"/>
        <w:rPr>
          <w:i/>
          <w:sz w:val="24"/>
          <w:szCs w:val="24"/>
        </w:rPr>
      </w:pPr>
      <w:r w:rsidRPr="003D207E">
        <w:rPr>
          <w:rFonts w:eastAsiaTheme="minorHAnsi"/>
          <w:sz w:val="24"/>
          <w:szCs w:val="24"/>
        </w:rPr>
        <w:t>Di Giovanni, J. and Levchenko, A. A.  (2009) Trade Openness and Volatility,</w:t>
      </w:r>
      <w:r w:rsidRPr="003D207E">
        <w:rPr>
          <w:rFonts w:eastAsiaTheme="minorHAnsi"/>
          <w:i/>
          <w:sz w:val="24"/>
          <w:szCs w:val="24"/>
        </w:rPr>
        <w:t xml:space="preserve"> The Review of Economics and Statistics</w:t>
      </w:r>
      <w:r w:rsidRPr="003D207E">
        <w:rPr>
          <w:rFonts w:eastAsiaTheme="minorHAnsi"/>
          <w:sz w:val="24"/>
          <w:szCs w:val="24"/>
        </w:rPr>
        <w:t>, 91(3): 558-85.</w:t>
      </w:r>
    </w:p>
    <w:p w:rsidR="00B743C8" w:rsidRPr="003D207E" w:rsidRDefault="00B743C8" w:rsidP="007B1471">
      <w:pPr>
        <w:pStyle w:val="ListParagraph"/>
        <w:numPr>
          <w:ilvl w:val="0"/>
          <w:numId w:val="5"/>
        </w:numPr>
        <w:shd w:val="clear" w:color="auto" w:fill="FFFFFF" w:themeFill="background1"/>
        <w:spacing w:line="360" w:lineRule="auto"/>
        <w:jc w:val="both"/>
        <w:rPr>
          <w:i/>
          <w:sz w:val="24"/>
          <w:szCs w:val="24"/>
        </w:rPr>
      </w:pPr>
      <w:r w:rsidRPr="003D207E">
        <w:rPr>
          <w:rFonts w:eastAsiaTheme="minorHAnsi"/>
          <w:sz w:val="24"/>
          <w:szCs w:val="24"/>
        </w:rPr>
        <w:t xml:space="preserve">Easterly, W. R. and Kraay, A. C. (2000) Small States, Small Problems? Income, Growth, and Volatility in Small States, </w:t>
      </w:r>
      <w:r w:rsidRPr="003D207E">
        <w:rPr>
          <w:rFonts w:eastAsiaTheme="minorHAnsi"/>
          <w:i/>
          <w:sz w:val="24"/>
          <w:szCs w:val="24"/>
        </w:rPr>
        <w:t>World Development</w:t>
      </w:r>
      <w:r w:rsidRPr="003D207E">
        <w:rPr>
          <w:rFonts w:eastAsiaTheme="minorHAnsi"/>
          <w:sz w:val="24"/>
          <w:szCs w:val="24"/>
        </w:rPr>
        <w:t>, 28(11): 2013-27.</w:t>
      </w:r>
    </w:p>
    <w:p w:rsidR="00B743C8" w:rsidRPr="003D207E" w:rsidRDefault="00B743C8" w:rsidP="007B1471">
      <w:pPr>
        <w:pStyle w:val="ListParagraph"/>
        <w:numPr>
          <w:ilvl w:val="0"/>
          <w:numId w:val="5"/>
        </w:numPr>
        <w:shd w:val="clear" w:color="auto" w:fill="FFFFFF" w:themeFill="background1"/>
        <w:spacing w:line="360" w:lineRule="auto"/>
        <w:jc w:val="both"/>
        <w:rPr>
          <w:i/>
          <w:sz w:val="24"/>
          <w:szCs w:val="24"/>
        </w:rPr>
      </w:pPr>
      <w:r w:rsidRPr="003D207E">
        <w:rPr>
          <w:sz w:val="24"/>
          <w:szCs w:val="24"/>
        </w:rPr>
        <w:t xml:space="preserve">Easterly, W.R., Islam, H. and Stiglitz, J.E.  (2001) Explaining growth volatility, </w:t>
      </w:r>
      <w:r w:rsidRPr="003D207E">
        <w:rPr>
          <w:i/>
          <w:sz w:val="24"/>
          <w:szCs w:val="24"/>
        </w:rPr>
        <w:t>Annual World Bank Conference on Development Economics</w:t>
      </w:r>
      <w:r w:rsidRPr="003D207E">
        <w:rPr>
          <w:sz w:val="24"/>
          <w:szCs w:val="24"/>
        </w:rPr>
        <w:t xml:space="preserve">, </w:t>
      </w:r>
      <w:r w:rsidRPr="003D207E">
        <w:rPr>
          <w:rFonts w:eastAsiaTheme="minorHAnsi"/>
          <w:sz w:val="24"/>
          <w:szCs w:val="24"/>
        </w:rPr>
        <w:t>Washington. D.C.</w:t>
      </w:r>
    </w:p>
    <w:p w:rsidR="00B743C8" w:rsidRPr="003D207E" w:rsidRDefault="00B743C8" w:rsidP="007B1471">
      <w:pPr>
        <w:pStyle w:val="ListParagraph"/>
        <w:numPr>
          <w:ilvl w:val="0"/>
          <w:numId w:val="5"/>
        </w:numPr>
        <w:spacing w:line="360" w:lineRule="auto"/>
        <w:contextualSpacing w:val="0"/>
        <w:jc w:val="both"/>
        <w:rPr>
          <w:i/>
          <w:iCs/>
          <w:sz w:val="24"/>
          <w:szCs w:val="24"/>
        </w:rPr>
      </w:pPr>
      <w:r w:rsidRPr="003D207E">
        <w:rPr>
          <w:sz w:val="24"/>
          <w:szCs w:val="24"/>
        </w:rPr>
        <w:t xml:space="preserve">Eichengreen, B. (2011) Managing Openness: Lessons from the Crisis for Emerging Markets In Haddad, M. and Shepherd,B. (eds.) </w:t>
      </w:r>
      <w:r w:rsidRPr="003D207E">
        <w:rPr>
          <w:i/>
          <w:iCs/>
          <w:sz w:val="24"/>
          <w:szCs w:val="24"/>
        </w:rPr>
        <w:t>Managing Openness: Trade and Outward-Oriented Growth After the Crisis</w:t>
      </w:r>
      <w:r w:rsidRPr="003D207E">
        <w:rPr>
          <w:sz w:val="24"/>
          <w:szCs w:val="24"/>
        </w:rPr>
        <w:t xml:space="preserve">, World Bank Publications. </w:t>
      </w:r>
    </w:p>
    <w:p w:rsidR="00B743C8" w:rsidRPr="003D207E" w:rsidRDefault="00B743C8" w:rsidP="007B1471">
      <w:pPr>
        <w:numPr>
          <w:ilvl w:val="0"/>
          <w:numId w:val="5"/>
        </w:numPr>
        <w:autoSpaceDE w:val="0"/>
        <w:autoSpaceDN w:val="0"/>
        <w:adjustRightInd w:val="0"/>
        <w:spacing w:line="360" w:lineRule="auto"/>
        <w:jc w:val="both"/>
        <w:rPr>
          <w:lang w:val="en-GB"/>
        </w:rPr>
      </w:pPr>
      <w:r w:rsidRPr="003D207E">
        <w:rPr>
          <w:lang w:val="en-GB"/>
        </w:rPr>
        <w:t xml:space="preserve">Fatas, A. and Mihov, I, (2006) The macroeconomic effects of fiscal rules in the US states, </w:t>
      </w:r>
      <w:r w:rsidRPr="003D207E">
        <w:rPr>
          <w:i/>
          <w:lang w:val="en-GB"/>
        </w:rPr>
        <w:t>Journal of Public Economics</w:t>
      </w:r>
      <w:r w:rsidRPr="003D207E">
        <w:rPr>
          <w:lang w:val="en-GB"/>
        </w:rPr>
        <w:t>, 90(1-2): 101-117.</w:t>
      </w:r>
    </w:p>
    <w:p w:rsidR="00B743C8" w:rsidRPr="003D207E" w:rsidRDefault="00B743C8" w:rsidP="007B1471">
      <w:pPr>
        <w:pStyle w:val="ListParagraph"/>
        <w:numPr>
          <w:ilvl w:val="0"/>
          <w:numId w:val="5"/>
        </w:numPr>
        <w:spacing w:line="360" w:lineRule="auto"/>
        <w:jc w:val="both"/>
        <w:rPr>
          <w:sz w:val="24"/>
          <w:szCs w:val="24"/>
        </w:rPr>
      </w:pPr>
      <w:r w:rsidRPr="003D207E">
        <w:rPr>
          <w:sz w:val="24"/>
          <w:szCs w:val="24"/>
        </w:rPr>
        <w:t xml:space="preserve">Guillaumont, P. (2009) </w:t>
      </w:r>
      <w:r w:rsidRPr="003D207E">
        <w:rPr>
          <w:i/>
          <w:sz w:val="24"/>
          <w:szCs w:val="24"/>
        </w:rPr>
        <w:t xml:space="preserve">Caught in the trap: Identifying the least developed countries, </w:t>
      </w:r>
      <w:r w:rsidRPr="003D207E">
        <w:rPr>
          <w:sz w:val="24"/>
          <w:szCs w:val="24"/>
        </w:rPr>
        <w:t xml:space="preserve">Economica. </w:t>
      </w:r>
    </w:p>
    <w:p w:rsidR="00B743C8" w:rsidRPr="003D207E" w:rsidRDefault="00B743C8" w:rsidP="007B1471">
      <w:pPr>
        <w:pStyle w:val="NormalWeb"/>
        <w:numPr>
          <w:ilvl w:val="0"/>
          <w:numId w:val="5"/>
        </w:numPr>
        <w:shd w:val="clear" w:color="auto" w:fill="FFFFFF" w:themeFill="background1"/>
        <w:spacing w:before="0" w:beforeAutospacing="0" w:after="0" w:afterAutospacing="0" w:line="360" w:lineRule="auto"/>
        <w:jc w:val="both"/>
        <w:rPr>
          <w:lang w:val="en-GB"/>
        </w:rPr>
      </w:pPr>
      <w:r w:rsidRPr="003D207E">
        <w:rPr>
          <w:lang w:val="en-GB"/>
        </w:rPr>
        <w:t xml:space="preserve">Haddad, M. and Shepherd, B. (2011) Managing Openness: Trade and Outward-oriented Growth After the Crisis, </w:t>
      </w:r>
      <w:r w:rsidRPr="003D207E">
        <w:rPr>
          <w:i/>
          <w:lang w:val="en-GB"/>
        </w:rPr>
        <w:t>World Bank Publications</w:t>
      </w:r>
      <w:r w:rsidRPr="003D207E">
        <w:rPr>
          <w:rStyle w:val="Hyperlink"/>
          <w:i/>
          <w:lang w:val="en-GB"/>
        </w:rPr>
        <w:t xml:space="preserve"> </w:t>
      </w:r>
      <w:r w:rsidRPr="003D207E">
        <w:rPr>
          <w:i/>
          <w:lang w:val="en-GB"/>
        </w:rPr>
        <w:t>No. 2283</w:t>
      </w:r>
      <w:r w:rsidRPr="003D207E">
        <w:rPr>
          <w:lang w:val="en-GB"/>
        </w:rPr>
        <w:t>, The World Bank, Washington D.C.</w:t>
      </w:r>
    </w:p>
    <w:p w:rsidR="00B743C8" w:rsidRPr="003D207E" w:rsidRDefault="00B743C8" w:rsidP="007B1471">
      <w:pPr>
        <w:pStyle w:val="NormalWeb"/>
        <w:numPr>
          <w:ilvl w:val="0"/>
          <w:numId w:val="5"/>
        </w:numPr>
        <w:shd w:val="clear" w:color="auto" w:fill="FFFFFF" w:themeFill="background1"/>
        <w:spacing w:before="0" w:beforeAutospacing="0" w:after="0" w:afterAutospacing="0" w:line="360" w:lineRule="auto"/>
        <w:jc w:val="both"/>
        <w:rPr>
          <w:lang w:val="en-GB"/>
        </w:rPr>
      </w:pPr>
      <w:r w:rsidRPr="003D207E">
        <w:rPr>
          <w:lang w:val="en-GB"/>
        </w:rPr>
        <w:t xml:space="preserve">Haddad, M., </w:t>
      </w:r>
      <w:r w:rsidRPr="003D207E">
        <w:t>Lim, J.J., Pancaro, C. and Saborowski, C.</w:t>
      </w:r>
      <w:r w:rsidRPr="003D207E">
        <w:rPr>
          <w:lang w:val="en-GB"/>
        </w:rPr>
        <w:t xml:space="preserve"> (2013) Trade openness reduces growth volatility when countries are well diversified, </w:t>
      </w:r>
      <w:r w:rsidRPr="003D207E">
        <w:rPr>
          <w:i/>
          <w:lang w:val="en-GB"/>
        </w:rPr>
        <w:t>Canadian Journal of Economics</w:t>
      </w:r>
      <w:r w:rsidRPr="003D207E">
        <w:rPr>
          <w:lang w:val="en-GB"/>
        </w:rPr>
        <w:t>, 46(2): 765-790.</w:t>
      </w:r>
    </w:p>
    <w:p w:rsidR="00B743C8" w:rsidRPr="003D207E" w:rsidRDefault="00B743C8" w:rsidP="007B1471">
      <w:pPr>
        <w:pStyle w:val="ListParagraph"/>
        <w:numPr>
          <w:ilvl w:val="0"/>
          <w:numId w:val="5"/>
        </w:numPr>
        <w:shd w:val="clear" w:color="auto" w:fill="FFFFFF" w:themeFill="background1"/>
        <w:spacing w:line="360" w:lineRule="auto"/>
        <w:jc w:val="both"/>
        <w:rPr>
          <w:i/>
          <w:sz w:val="24"/>
          <w:szCs w:val="24"/>
        </w:rPr>
      </w:pPr>
      <w:r w:rsidRPr="003D207E">
        <w:rPr>
          <w:sz w:val="24"/>
          <w:szCs w:val="24"/>
        </w:rPr>
        <w:t xml:space="preserve">Hakura, D.S. (2009) </w:t>
      </w:r>
      <w:r w:rsidRPr="003D207E">
        <w:rPr>
          <w:bCs/>
          <w:sz w:val="24"/>
          <w:szCs w:val="24"/>
        </w:rPr>
        <w:t>Output Volatility in Emerging Market and Developing Countries: What Explains the “Great Moderation” of 1970-2003?</w:t>
      </w:r>
      <w:r w:rsidRPr="003D207E">
        <w:rPr>
          <w:sz w:val="24"/>
          <w:szCs w:val="24"/>
        </w:rPr>
        <w:t xml:space="preserve">, </w:t>
      </w:r>
      <w:r w:rsidRPr="003D207E">
        <w:rPr>
          <w:i/>
          <w:sz w:val="24"/>
          <w:szCs w:val="24"/>
        </w:rPr>
        <w:t>Czech Journal of Economics and Finance (Finance a uver)</w:t>
      </w:r>
      <w:r w:rsidRPr="003D207E">
        <w:rPr>
          <w:sz w:val="24"/>
          <w:szCs w:val="24"/>
        </w:rPr>
        <w:t>, 59(3):  229-254.</w:t>
      </w:r>
    </w:p>
    <w:p w:rsidR="00B743C8" w:rsidRPr="003D207E" w:rsidRDefault="00B743C8" w:rsidP="007B1471">
      <w:pPr>
        <w:pStyle w:val="ListParagraph"/>
        <w:numPr>
          <w:ilvl w:val="0"/>
          <w:numId w:val="5"/>
        </w:numPr>
        <w:shd w:val="clear" w:color="auto" w:fill="FFFFFF" w:themeFill="background1"/>
        <w:spacing w:line="360" w:lineRule="auto"/>
        <w:jc w:val="both"/>
        <w:rPr>
          <w:sz w:val="24"/>
          <w:szCs w:val="24"/>
        </w:rPr>
      </w:pPr>
      <w:r w:rsidRPr="003D207E">
        <w:rPr>
          <w:sz w:val="24"/>
          <w:szCs w:val="24"/>
        </w:rPr>
        <w:t xml:space="preserve">Hausmann, R. and Gavin, M. (1996) Securing Stability and Growth in a Shock-Prone Region: The Policy Challenge for Latin America, In Hausmann, R. and Reisen, H. (eds.) </w:t>
      </w:r>
    </w:p>
    <w:p w:rsidR="00B743C8" w:rsidRPr="003D207E" w:rsidRDefault="00B743C8" w:rsidP="007B1471">
      <w:pPr>
        <w:pStyle w:val="ListParagraph"/>
        <w:shd w:val="clear" w:color="auto" w:fill="FFFFFF" w:themeFill="background1"/>
        <w:spacing w:line="360" w:lineRule="auto"/>
        <w:ind w:left="567"/>
        <w:jc w:val="both"/>
        <w:rPr>
          <w:sz w:val="24"/>
          <w:szCs w:val="24"/>
        </w:rPr>
      </w:pPr>
      <w:r w:rsidRPr="003D207E">
        <w:rPr>
          <w:i/>
          <w:sz w:val="24"/>
          <w:szCs w:val="24"/>
        </w:rPr>
        <w:t>Securing stability and growth in Latin America: Policy issues and prospects for shock-prone economies</w:t>
      </w:r>
      <w:r w:rsidRPr="003D207E">
        <w:rPr>
          <w:sz w:val="24"/>
          <w:szCs w:val="24"/>
        </w:rPr>
        <w:t>, Organisation for Economic Co-operation and Development, Paris.</w:t>
      </w:r>
    </w:p>
    <w:p w:rsidR="00B743C8" w:rsidRPr="003D207E" w:rsidRDefault="00B743C8" w:rsidP="007B1471">
      <w:pPr>
        <w:pStyle w:val="ListParagraph"/>
        <w:numPr>
          <w:ilvl w:val="0"/>
          <w:numId w:val="5"/>
        </w:numPr>
        <w:shd w:val="clear" w:color="auto" w:fill="FFFFFF" w:themeFill="background1"/>
        <w:spacing w:line="360" w:lineRule="auto"/>
        <w:jc w:val="both"/>
        <w:rPr>
          <w:i/>
          <w:sz w:val="24"/>
          <w:szCs w:val="24"/>
        </w:rPr>
      </w:pPr>
      <w:r w:rsidRPr="003D207E">
        <w:rPr>
          <w:sz w:val="24"/>
          <w:szCs w:val="24"/>
        </w:rPr>
        <w:t>Hnatkovska, V. and Loayza, N. (2005) Volatility and Growth</w:t>
      </w:r>
      <w:r w:rsidRPr="003D207E">
        <w:rPr>
          <w:i/>
          <w:sz w:val="24"/>
          <w:szCs w:val="24"/>
        </w:rPr>
        <w:t xml:space="preserve">, </w:t>
      </w:r>
      <w:r w:rsidRPr="003D207E">
        <w:rPr>
          <w:sz w:val="24"/>
          <w:szCs w:val="24"/>
        </w:rPr>
        <w:t xml:space="preserve">In Aizenmann, J and Pinto, B. (eds.): </w:t>
      </w:r>
      <w:r w:rsidRPr="003D207E">
        <w:rPr>
          <w:i/>
          <w:sz w:val="24"/>
          <w:szCs w:val="24"/>
        </w:rPr>
        <w:t>Managing Economic Volatility and Crises Cambridge</w:t>
      </w:r>
      <w:r w:rsidRPr="003D207E">
        <w:rPr>
          <w:sz w:val="24"/>
          <w:szCs w:val="24"/>
        </w:rPr>
        <w:t>, Cambridge University Press, United Kingdom.</w:t>
      </w:r>
    </w:p>
    <w:p w:rsidR="00B743C8" w:rsidRPr="003D207E" w:rsidRDefault="00B743C8" w:rsidP="007B1471">
      <w:pPr>
        <w:pStyle w:val="ListParagraph"/>
        <w:numPr>
          <w:ilvl w:val="0"/>
          <w:numId w:val="5"/>
        </w:numPr>
        <w:shd w:val="clear" w:color="auto" w:fill="FFFFFF" w:themeFill="background1"/>
        <w:autoSpaceDE w:val="0"/>
        <w:autoSpaceDN w:val="0"/>
        <w:adjustRightInd w:val="0"/>
        <w:spacing w:line="360" w:lineRule="auto"/>
        <w:jc w:val="both"/>
        <w:rPr>
          <w:sz w:val="24"/>
          <w:szCs w:val="24"/>
        </w:rPr>
      </w:pPr>
      <w:r w:rsidRPr="003D207E">
        <w:rPr>
          <w:sz w:val="24"/>
          <w:szCs w:val="24"/>
        </w:rPr>
        <w:lastRenderedPageBreak/>
        <w:t xml:space="preserve">Imbs, J. (2007) </w:t>
      </w:r>
      <w:r w:rsidRPr="003D207E">
        <w:rPr>
          <w:bCs/>
          <w:sz w:val="24"/>
          <w:szCs w:val="24"/>
        </w:rPr>
        <w:t>Growth and volatility</w:t>
      </w:r>
      <w:r w:rsidRPr="003D207E">
        <w:rPr>
          <w:sz w:val="24"/>
          <w:szCs w:val="24"/>
        </w:rPr>
        <w:t>,</w:t>
      </w:r>
      <w:r w:rsidRPr="003D207E">
        <w:rPr>
          <w:i/>
          <w:sz w:val="24"/>
          <w:szCs w:val="24"/>
        </w:rPr>
        <w:t xml:space="preserve"> Journal of Monetary Economics</w:t>
      </w:r>
      <w:r w:rsidRPr="003D207E">
        <w:rPr>
          <w:sz w:val="24"/>
          <w:szCs w:val="24"/>
        </w:rPr>
        <w:t>, 54(7): 1848-1862.</w:t>
      </w:r>
    </w:p>
    <w:p w:rsidR="00B743C8" w:rsidRPr="003D207E" w:rsidRDefault="00B743C8" w:rsidP="007B1471">
      <w:pPr>
        <w:pStyle w:val="ListParagraph"/>
        <w:numPr>
          <w:ilvl w:val="0"/>
          <w:numId w:val="5"/>
        </w:numPr>
        <w:shd w:val="clear" w:color="auto" w:fill="FFFFFF" w:themeFill="background1"/>
        <w:autoSpaceDE w:val="0"/>
        <w:autoSpaceDN w:val="0"/>
        <w:adjustRightInd w:val="0"/>
        <w:spacing w:line="360" w:lineRule="auto"/>
        <w:jc w:val="both"/>
        <w:rPr>
          <w:rStyle w:val="st"/>
          <w:iCs/>
          <w:sz w:val="24"/>
          <w:szCs w:val="24"/>
        </w:rPr>
      </w:pPr>
      <w:r w:rsidRPr="003D207E">
        <w:rPr>
          <w:sz w:val="24"/>
          <w:szCs w:val="24"/>
        </w:rPr>
        <w:t xml:space="preserve">Jansen, M., </w:t>
      </w:r>
      <w:r w:rsidRPr="003D207E">
        <w:rPr>
          <w:iCs/>
          <w:sz w:val="24"/>
          <w:szCs w:val="24"/>
        </w:rPr>
        <w:t>Bacchetta. M., Lennon, C. and Piermartini, R.</w:t>
      </w:r>
      <w:r w:rsidRPr="003D207E">
        <w:rPr>
          <w:sz w:val="24"/>
          <w:szCs w:val="24"/>
        </w:rPr>
        <w:t xml:space="preserve"> (2009) </w:t>
      </w:r>
      <w:r w:rsidRPr="003D207E">
        <w:rPr>
          <w:rFonts w:eastAsiaTheme="majorEastAsia"/>
          <w:bCs/>
          <w:sz w:val="24"/>
          <w:szCs w:val="24"/>
        </w:rPr>
        <w:t>Exposure to External Country Specific Shocks and Income Volatility</w:t>
      </w:r>
      <w:r w:rsidRPr="003D207E">
        <w:rPr>
          <w:sz w:val="24"/>
          <w:szCs w:val="24"/>
        </w:rPr>
        <w:t xml:space="preserve">, </w:t>
      </w:r>
      <w:r w:rsidRPr="003D207E">
        <w:rPr>
          <w:rFonts w:eastAsiaTheme="majorEastAsia"/>
          <w:i/>
          <w:sz w:val="24"/>
          <w:szCs w:val="24"/>
        </w:rPr>
        <w:t>CEPR Discussion Papers</w:t>
      </w:r>
      <w:r w:rsidRPr="003D207E">
        <w:rPr>
          <w:i/>
          <w:sz w:val="24"/>
          <w:szCs w:val="24"/>
        </w:rPr>
        <w:t xml:space="preserve"> 7123</w:t>
      </w:r>
      <w:r w:rsidRPr="003D207E">
        <w:rPr>
          <w:sz w:val="24"/>
          <w:szCs w:val="24"/>
        </w:rPr>
        <w:t xml:space="preserve">, </w:t>
      </w:r>
      <w:r w:rsidRPr="003D207E">
        <w:rPr>
          <w:rStyle w:val="st"/>
          <w:sz w:val="24"/>
          <w:szCs w:val="24"/>
        </w:rPr>
        <w:t>Centre for Economic Policy Research.</w:t>
      </w:r>
    </w:p>
    <w:p w:rsidR="00B743C8" w:rsidRPr="003D207E" w:rsidRDefault="00B743C8" w:rsidP="007B1471">
      <w:pPr>
        <w:numPr>
          <w:ilvl w:val="0"/>
          <w:numId w:val="5"/>
        </w:numPr>
        <w:autoSpaceDE w:val="0"/>
        <w:autoSpaceDN w:val="0"/>
        <w:adjustRightInd w:val="0"/>
        <w:spacing w:line="360" w:lineRule="auto"/>
        <w:jc w:val="both"/>
        <w:rPr>
          <w:lang w:val="en-GB"/>
        </w:rPr>
      </w:pPr>
      <w:r w:rsidRPr="003D207E">
        <w:rPr>
          <w:lang w:val="en-GB"/>
        </w:rPr>
        <w:t xml:space="preserve">Kaufmann, D. et al. (2007) The worldwide governance indicators project : answering the critics, </w:t>
      </w:r>
      <w:r w:rsidRPr="003D207E">
        <w:rPr>
          <w:i/>
          <w:lang w:val="en-GB"/>
        </w:rPr>
        <w:t>Policy Research Working Paper Series No. 4149</w:t>
      </w:r>
      <w:r w:rsidRPr="003D207E">
        <w:rPr>
          <w:lang w:val="en-GB"/>
        </w:rPr>
        <w:t>, The World Bank, Washington D.C.</w:t>
      </w:r>
    </w:p>
    <w:p w:rsidR="00B743C8" w:rsidRPr="003D207E" w:rsidRDefault="00B743C8" w:rsidP="007B1471">
      <w:pPr>
        <w:numPr>
          <w:ilvl w:val="0"/>
          <w:numId w:val="5"/>
        </w:numPr>
        <w:autoSpaceDE w:val="0"/>
        <w:autoSpaceDN w:val="0"/>
        <w:adjustRightInd w:val="0"/>
        <w:spacing w:line="360" w:lineRule="auto"/>
        <w:jc w:val="both"/>
        <w:rPr>
          <w:rStyle w:val="st"/>
          <w:lang w:val="en-GB"/>
        </w:rPr>
      </w:pPr>
      <w:r w:rsidRPr="003D207E">
        <w:rPr>
          <w:lang w:val="en-GB"/>
        </w:rPr>
        <w:t xml:space="preserve">Kaufmann, Daniel et al. (2010) The Worldwide Governance Indicators: Methodology and Analytical Issues, </w:t>
      </w:r>
      <w:r w:rsidRPr="003D207E">
        <w:rPr>
          <w:i/>
          <w:lang w:val="en-GB"/>
        </w:rPr>
        <w:t>World Bank Policy Research Working Paper No. 5430</w:t>
      </w:r>
      <w:r w:rsidRPr="003D207E">
        <w:rPr>
          <w:lang w:val="en-GB"/>
        </w:rPr>
        <w:t>, Washington D.C.</w:t>
      </w:r>
    </w:p>
    <w:p w:rsidR="00B743C8" w:rsidRPr="003D207E" w:rsidRDefault="00B743C8" w:rsidP="007B1471">
      <w:pPr>
        <w:pStyle w:val="ListParagraph"/>
        <w:numPr>
          <w:ilvl w:val="0"/>
          <w:numId w:val="5"/>
        </w:numPr>
        <w:spacing w:line="360" w:lineRule="auto"/>
        <w:jc w:val="both"/>
        <w:rPr>
          <w:rStyle w:val="st"/>
          <w:sz w:val="24"/>
          <w:szCs w:val="24"/>
        </w:rPr>
      </w:pPr>
      <w:r w:rsidRPr="003D207E">
        <w:rPr>
          <w:sz w:val="24"/>
          <w:szCs w:val="24"/>
        </w:rPr>
        <w:t xml:space="preserve">Kim, S.Y. (2007) Openness, external risk, and volatility: implications for the compensation hypothesis, </w:t>
      </w:r>
      <w:r w:rsidRPr="003D207E">
        <w:rPr>
          <w:i/>
          <w:sz w:val="24"/>
          <w:szCs w:val="24"/>
        </w:rPr>
        <w:t>International Organization</w:t>
      </w:r>
      <w:r w:rsidRPr="003D207E">
        <w:rPr>
          <w:sz w:val="24"/>
          <w:szCs w:val="24"/>
        </w:rPr>
        <w:t>, 61(1): 181-216.</w:t>
      </w:r>
    </w:p>
    <w:p w:rsidR="00B743C8" w:rsidRPr="003D207E" w:rsidRDefault="00B743C8" w:rsidP="007B1471">
      <w:pPr>
        <w:numPr>
          <w:ilvl w:val="0"/>
          <w:numId w:val="5"/>
        </w:numPr>
        <w:shd w:val="clear" w:color="auto" w:fill="FFFFFF" w:themeFill="background1"/>
        <w:autoSpaceDE w:val="0"/>
        <w:autoSpaceDN w:val="0"/>
        <w:adjustRightInd w:val="0"/>
        <w:spacing w:line="360" w:lineRule="auto"/>
        <w:jc w:val="both"/>
        <w:rPr>
          <w:rStyle w:val="st"/>
          <w:lang w:val="en-GB"/>
        </w:rPr>
      </w:pPr>
      <w:r w:rsidRPr="003D207E">
        <w:rPr>
          <w:lang w:val="en-GB"/>
        </w:rPr>
        <w:t xml:space="preserve">Klomp, J. and de Haan, J. (2009) </w:t>
      </w:r>
      <w:r w:rsidRPr="003D207E">
        <w:rPr>
          <w:bCs/>
          <w:lang w:val="en-GB"/>
        </w:rPr>
        <w:t>Political institutions and economic volatility</w:t>
      </w:r>
      <w:r w:rsidRPr="003D207E">
        <w:rPr>
          <w:lang w:val="en-GB"/>
        </w:rPr>
        <w:t xml:space="preserve">, </w:t>
      </w:r>
      <w:r w:rsidRPr="003D207E">
        <w:rPr>
          <w:i/>
          <w:lang w:val="en-GB"/>
        </w:rPr>
        <w:t>European Journal of Political Economy</w:t>
      </w:r>
      <w:r w:rsidRPr="003D207E">
        <w:rPr>
          <w:lang w:val="en-GB"/>
        </w:rPr>
        <w:t>, 25(3): 311-326.</w:t>
      </w:r>
    </w:p>
    <w:p w:rsidR="00B743C8" w:rsidRPr="003D207E" w:rsidRDefault="00B743C8" w:rsidP="007B1471">
      <w:pPr>
        <w:pStyle w:val="ListParagraph"/>
        <w:numPr>
          <w:ilvl w:val="0"/>
          <w:numId w:val="5"/>
        </w:numPr>
        <w:shd w:val="clear" w:color="auto" w:fill="FFFFFF" w:themeFill="background1"/>
        <w:autoSpaceDE w:val="0"/>
        <w:autoSpaceDN w:val="0"/>
        <w:adjustRightInd w:val="0"/>
        <w:spacing w:line="360" w:lineRule="auto"/>
        <w:jc w:val="both"/>
        <w:rPr>
          <w:sz w:val="24"/>
          <w:szCs w:val="24"/>
        </w:rPr>
      </w:pPr>
      <w:r w:rsidRPr="003D207E">
        <w:rPr>
          <w:rFonts w:eastAsiaTheme="minorHAnsi"/>
          <w:sz w:val="24"/>
          <w:szCs w:val="24"/>
        </w:rPr>
        <w:t xml:space="preserve">Kose, M. A., Prasad, E. S. and Terrones, M.E. (2003) Financial Integration and Macroeconomic Volatility, </w:t>
      </w:r>
      <w:r w:rsidRPr="003D207E">
        <w:rPr>
          <w:rFonts w:eastAsiaTheme="minorHAnsi"/>
          <w:i/>
          <w:sz w:val="24"/>
          <w:szCs w:val="24"/>
        </w:rPr>
        <w:t>IMF Staff Papers special issue, 50</w:t>
      </w:r>
      <w:r w:rsidRPr="003D207E">
        <w:rPr>
          <w:rFonts w:eastAsiaTheme="minorHAnsi"/>
          <w:sz w:val="24"/>
          <w:szCs w:val="24"/>
        </w:rPr>
        <w:t>: 119-141.</w:t>
      </w:r>
    </w:p>
    <w:p w:rsidR="00B743C8" w:rsidRPr="003D207E" w:rsidRDefault="00B743C8" w:rsidP="007B1471">
      <w:pPr>
        <w:numPr>
          <w:ilvl w:val="0"/>
          <w:numId w:val="5"/>
        </w:numPr>
        <w:autoSpaceDE w:val="0"/>
        <w:autoSpaceDN w:val="0"/>
        <w:adjustRightInd w:val="0"/>
        <w:spacing w:line="360" w:lineRule="auto"/>
        <w:jc w:val="both"/>
        <w:rPr>
          <w:lang w:val="en-GB"/>
        </w:rPr>
      </w:pPr>
      <w:r w:rsidRPr="003D207E">
        <w:rPr>
          <w:lang w:val="en-GB"/>
        </w:rPr>
        <w:t xml:space="preserve">Kuncic, A. (2012) </w:t>
      </w:r>
      <w:r w:rsidRPr="003D207E">
        <w:rPr>
          <w:bCs/>
          <w:lang w:val="en-GB"/>
        </w:rPr>
        <w:t>Institutional Quality Database</w:t>
      </w:r>
      <w:r w:rsidRPr="003D207E">
        <w:rPr>
          <w:lang w:val="en-GB"/>
        </w:rPr>
        <w:t>, 457, Kiel Institute for the World Economy.</w:t>
      </w:r>
    </w:p>
    <w:p w:rsidR="00B743C8" w:rsidRPr="003D207E" w:rsidRDefault="00B743C8" w:rsidP="007B1471">
      <w:pPr>
        <w:pStyle w:val="ListParagraph"/>
        <w:numPr>
          <w:ilvl w:val="0"/>
          <w:numId w:val="5"/>
        </w:numPr>
        <w:shd w:val="clear" w:color="auto" w:fill="FFFFFF" w:themeFill="background1"/>
        <w:autoSpaceDE w:val="0"/>
        <w:autoSpaceDN w:val="0"/>
        <w:adjustRightInd w:val="0"/>
        <w:spacing w:line="360" w:lineRule="auto"/>
        <w:jc w:val="both"/>
        <w:rPr>
          <w:sz w:val="24"/>
          <w:szCs w:val="24"/>
        </w:rPr>
      </w:pPr>
      <w:r w:rsidRPr="003D207E">
        <w:rPr>
          <w:sz w:val="24"/>
          <w:szCs w:val="24"/>
        </w:rPr>
        <w:t xml:space="preserve">Malik, A. and Temple, J.R.W. (2009) </w:t>
      </w:r>
      <w:r w:rsidRPr="003D207E">
        <w:rPr>
          <w:bCs/>
          <w:sz w:val="24"/>
          <w:szCs w:val="24"/>
        </w:rPr>
        <w:t>The geography of output volatility</w:t>
      </w:r>
      <w:r w:rsidRPr="003D207E">
        <w:rPr>
          <w:sz w:val="24"/>
          <w:szCs w:val="24"/>
        </w:rPr>
        <w:t xml:space="preserve">, </w:t>
      </w:r>
      <w:r w:rsidRPr="003D207E">
        <w:rPr>
          <w:i/>
          <w:sz w:val="24"/>
          <w:szCs w:val="24"/>
        </w:rPr>
        <w:t>Journal of Development Economics,</w:t>
      </w:r>
      <w:r w:rsidRPr="003D207E">
        <w:rPr>
          <w:sz w:val="24"/>
          <w:szCs w:val="24"/>
        </w:rPr>
        <w:t xml:space="preserve"> 90(2): 163-178.</w:t>
      </w:r>
    </w:p>
    <w:p w:rsidR="00B743C8" w:rsidRPr="003D207E" w:rsidRDefault="00B743C8" w:rsidP="007B1471">
      <w:pPr>
        <w:pStyle w:val="ListParagraph"/>
        <w:numPr>
          <w:ilvl w:val="0"/>
          <w:numId w:val="5"/>
        </w:numPr>
        <w:shd w:val="clear" w:color="auto" w:fill="FFFFFF" w:themeFill="background1"/>
        <w:autoSpaceDE w:val="0"/>
        <w:autoSpaceDN w:val="0"/>
        <w:adjustRightInd w:val="0"/>
        <w:spacing w:line="360" w:lineRule="auto"/>
        <w:jc w:val="both"/>
        <w:rPr>
          <w:sz w:val="24"/>
          <w:szCs w:val="24"/>
        </w:rPr>
      </w:pPr>
      <w:r w:rsidRPr="003D207E">
        <w:rPr>
          <w:rFonts w:eastAsia="TimesNewRomanPSMT"/>
          <w:sz w:val="24"/>
          <w:szCs w:val="24"/>
        </w:rPr>
        <w:t xml:space="preserve">Martin, P. and Rogers, C.A. (2000) Long-term Growth and Short-term Economic Instability, </w:t>
      </w:r>
      <w:r w:rsidRPr="003D207E">
        <w:rPr>
          <w:rFonts w:eastAsia="TimesNewRomanPSMT"/>
          <w:i/>
          <w:sz w:val="24"/>
          <w:szCs w:val="24"/>
        </w:rPr>
        <w:t>European Economic Review</w:t>
      </w:r>
      <w:r w:rsidRPr="003D207E">
        <w:rPr>
          <w:rFonts w:eastAsia="TimesNewRomanPSMT"/>
          <w:sz w:val="24"/>
          <w:szCs w:val="24"/>
        </w:rPr>
        <w:t>, 44</w:t>
      </w:r>
      <w:r w:rsidRPr="003D207E">
        <w:rPr>
          <w:sz w:val="24"/>
          <w:szCs w:val="24"/>
        </w:rPr>
        <w:t xml:space="preserve"> (2): 359-381.</w:t>
      </w:r>
    </w:p>
    <w:p w:rsidR="00B743C8" w:rsidRPr="003D207E" w:rsidRDefault="00B743C8" w:rsidP="007B1471">
      <w:pPr>
        <w:pStyle w:val="ListParagraph"/>
        <w:numPr>
          <w:ilvl w:val="0"/>
          <w:numId w:val="5"/>
        </w:numPr>
        <w:shd w:val="clear" w:color="auto" w:fill="FFFFFF" w:themeFill="background1"/>
        <w:autoSpaceDE w:val="0"/>
        <w:autoSpaceDN w:val="0"/>
        <w:adjustRightInd w:val="0"/>
        <w:spacing w:line="360" w:lineRule="auto"/>
        <w:contextualSpacing w:val="0"/>
        <w:jc w:val="both"/>
        <w:rPr>
          <w:sz w:val="24"/>
          <w:szCs w:val="24"/>
        </w:rPr>
      </w:pPr>
      <w:r w:rsidRPr="003D207E">
        <w:rPr>
          <w:sz w:val="24"/>
          <w:szCs w:val="24"/>
        </w:rPr>
        <w:t xml:space="preserve">Massol, O. and Banal-Estanol, A. (2014) </w:t>
      </w:r>
      <w:r w:rsidRPr="003D207E">
        <w:rPr>
          <w:bCs/>
          <w:sz w:val="24"/>
          <w:szCs w:val="24"/>
        </w:rPr>
        <w:t>Export diversification and resource-based industrialization: the case of natural gas</w:t>
      </w:r>
      <w:r w:rsidRPr="003D207E">
        <w:rPr>
          <w:sz w:val="24"/>
          <w:szCs w:val="24"/>
        </w:rPr>
        <w:t xml:space="preserve">, </w:t>
      </w:r>
      <w:r w:rsidRPr="003D207E">
        <w:rPr>
          <w:rFonts w:eastAsiaTheme="majorEastAsia"/>
          <w:i/>
          <w:sz w:val="24"/>
          <w:szCs w:val="24"/>
        </w:rPr>
        <w:t>European Journal of Operational Research</w:t>
      </w:r>
      <w:r w:rsidRPr="003D207E">
        <w:rPr>
          <w:i/>
          <w:sz w:val="24"/>
          <w:szCs w:val="24"/>
        </w:rPr>
        <w:t>,</w:t>
      </w:r>
      <w:r w:rsidRPr="003D207E">
        <w:rPr>
          <w:sz w:val="24"/>
          <w:szCs w:val="24"/>
        </w:rPr>
        <w:t xml:space="preserve"> 237(3): 1067-1082.</w:t>
      </w:r>
      <w:r w:rsidR="001B4004" w:rsidRPr="001B4004">
        <w:rPr>
          <w:rFonts w:ascii="Calibri" w:hAnsi="Calibri"/>
          <w:i/>
          <w:iCs/>
          <w:sz w:val="22"/>
          <w:szCs w:val="22"/>
        </w:rPr>
        <w:t xml:space="preserve"> </w:t>
      </w:r>
    </w:p>
    <w:p w:rsidR="00B743C8" w:rsidRPr="003D207E" w:rsidRDefault="00B743C8" w:rsidP="007B1471">
      <w:pPr>
        <w:pStyle w:val="ListParagraph"/>
        <w:numPr>
          <w:ilvl w:val="0"/>
          <w:numId w:val="5"/>
        </w:numPr>
        <w:shd w:val="clear" w:color="auto" w:fill="FFFFFF" w:themeFill="background1"/>
        <w:autoSpaceDE w:val="0"/>
        <w:autoSpaceDN w:val="0"/>
        <w:adjustRightInd w:val="0"/>
        <w:spacing w:line="360" w:lineRule="auto"/>
        <w:jc w:val="both"/>
        <w:rPr>
          <w:sz w:val="24"/>
          <w:szCs w:val="24"/>
        </w:rPr>
      </w:pPr>
      <w:r w:rsidRPr="003D207E">
        <w:rPr>
          <w:sz w:val="24"/>
          <w:szCs w:val="24"/>
        </w:rPr>
        <w:t xml:space="preserve">Mobarak, A.M. (2005) </w:t>
      </w:r>
      <w:r w:rsidRPr="003D207E">
        <w:rPr>
          <w:rFonts w:eastAsiaTheme="majorEastAsia"/>
          <w:bCs/>
          <w:sz w:val="24"/>
          <w:szCs w:val="24"/>
        </w:rPr>
        <w:t>Democracy, Volatility, and Economic Development</w:t>
      </w:r>
      <w:r w:rsidRPr="003D207E">
        <w:rPr>
          <w:sz w:val="24"/>
          <w:szCs w:val="24"/>
        </w:rPr>
        <w:t xml:space="preserve">, </w:t>
      </w:r>
      <w:r w:rsidRPr="003D207E">
        <w:rPr>
          <w:rFonts w:eastAsiaTheme="majorEastAsia"/>
          <w:i/>
          <w:sz w:val="24"/>
          <w:szCs w:val="24"/>
        </w:rPr>
        <w:t>The Review of Economics and Statistics</w:t>
      </w:r>
      <w:r w:rsidRPr="003D207E">
        <w:rPr>
          <w:i/>
          <w:sz w:val="24"/>
          <w:szCs w:val="24"/>
        </w:rPr>
        <w:t xml:space="preserve">, </w:t>
      </w:r>
      <w:r w:rsidRPr="003D207E">
        <w:rPr>
          <w:sz w:val="24"/>
          <w:szCs w:val="24"/>
        </w:rPr>
        <w:t>87(2): 348-361.</w:t>
      </w:r>
    </w:p>
    <w:p w:rsidR="00B743C8" w:rsidRPr="003D207E" w:rsidRDefault="00B743C8" w:rsidP="007B1471">
      <w:pPr>
        <w:pStyle w:val="ListParagraph"/>
        <w:numPr>
          <w:ilvl w:val="0"/>
          <w:numId w:val="5"/>
        </w:numPr>
        <w:shd w:val="clear" w:color="auto" w:fill="FFFFFF" w:themeFill="background1"/>
        <w:autoSpaceDE w:val="0"/>
        <w:autoSpaceDN w:val="0"/>
        <w:adjustRightInd w:val="0"/>
        <w:spacing w:line="360" w:lineRule="auto"/>
        <w:jc w:val="both"/>
        <w:rPr>
          <w:sz w:val="24"/>
          <w:szCs w:val="24"/>
        </w:rPr>
      </w:pPr>
      <w:r w:rsidRPr="003D207E">
        <w:rPr>
          <w:sz w:val="24"/>
          <w:szCs w:val="24"/>
        </w:rPr>
        <w:t xml:space="preserve">Reinhart, C.M. and Rogoff, K.S. (2009) The Aftermath of Financial Crises, </w:t>
      </w:r>
      <w:r w:rsidRPr="003D207E">
        <w:rPr>
          <w:i/>
          <w:iCs/>
          <w:sz w:val="24"/>
          <w:szCs w:val="24"/>
        </w:rPr>
        <w:t>American Economic Review</w:t>
      </w:r>
      <w:r w:rsidRPr="003D207E">
        <w:rPr>
          <w:sz w:val="24"/>
          <w:szCs w:val="24"/>
        </w:rPr>
        <w:t>, 99(2): 466-72.</w:t>
      </w:r>
    </w:p>
    <w:p w:rsidR="00B743C8" w:rsidRPr="003D207E" w:rsidRDefault="00B743C8" w:rsidP="007B1471">
      <w:pPr>
        <w:pStyle w:val="ListParagraph"/>
        <w:numPr>
          <w:ilvl w:val="0"/>
          <w:numId w:val="5"/>
        </w:numPr>
        <w:shd w:val="clear" w:color="auto" w:fill="FFFFFF" w:themeFill="background1"/>
        <w:autoSpaceDE w:val="0"/>
        <w:autoSpaceDN w:val="0"/>
        <w:adjustRightInd w:val="0"/>
        <w:spacing w:line="360" w:lineRule="auto"/>
        <w:jc w:val="both"/>
        <w:rPr>
          <w:sz w:val="24"/>
          <w:szCs w:val="24"/>
        </w:rPr>
      </w:pPr>
      <w:r w:rsidRPr="003D207E">
        <w:rPr>
          <w:sz w:val="24"/>
          <w:szCs w:val="24"/>
        </w:rPr>
        <w:t xml:space="preserve">Reinhart, C.M. and Rogoff, K.S. (2014) </w:t>
      </w:r>
      <w:r w:rsidRPr="003D207E">
        <w:rPr>
          <w:rFonts w:eastAsiaTheme="majorEastAsia"/>
          <w:bCs/>
          <w:sz w:val="24"/>
          <w:szCs w:val="24"/>
        </w:rPr>
        <w:t xml:space="preserve">This Time is </w:t>
      </w:r>
      <w:bookmarkStart w:id="15" w:name="_GoBack"/>
      <w:bookmarkEnd w:id="15"/>
      <w:r w:rsidRPr="003D207E">
        <w:rPr>
          <w:rFonts w:eastAsiaTheme="majorEastAsia"/>
          <w:bCs/>
          <w:sz w:val="24"/>
          <w:szCs w:val="24"/>
        </w:rPr>
        <w:t>Different: A Panoramic View of Eight Centuries of Financial Crises</w:t>
      </w:r>
      <w:r w:rsidRPr="003D207E">
        <w:rPr>
          <w:sz w:val="24"/>
          <w:szCs w:val="24"/>
        </w:rPr>
        <w:t xml:space="preserve">, </w:t>
      </w:r>
      <w:r w:rsidRPr="003D207E">
        <w:rPr>
          <w:rFonts w:eastAsiaTheme="majorEastAsia"/>
          <w:i/>
          <w:sz w:val="24"/>
          <w:szCs w:val="24"/>
        </w:rPr>
        <w:t>Annals of Economics and Finance</w:t>
      </w:r>
      <w:r w:rsidRPr="003D207E">
        <w:rPr>
          <w:i/>
          <w:sz w:val="24"/>
          <w:szCs w:val="24"/>
        </w:rPr>
        <w:t xml:space="preserve">, </w:t>
      </w:r>
      <w:r w:rsidRPr="003D207E">
        <w:rPr>
          <w:sz w:val="24"/>
          <w:szCs w:val="24"/>
        </w:rPr>
        <w:t>15(2): 1065-1188.</w:t>
      </w:r>
    </w:p>
    <w:p w:rsidR="00B743C8" w:rsidRPr="003D207E" w:rsidRDefault="00B743C8" w:rsidP="007B1471">
      <w:pPr>
        <w:pStyle w:val="ListParagraph"/>
        <w:numPr>
          <w:ilvl w:val="0"/>
          <w:numId w:val="5"/>
        </w:numPr>
        <w:spacing w:line="360" w:lineRule="auto"/>
        <w:jc w:val="both"/>
        <w:rPr>
          <w:rFonts w:eastAsiaTheme="minorHAnsi"/>
          <w:sz w:val="24"/>
          <w:szCs w:val="24"/>
        </w:rPr>
      </w:pPr>
      <w:r w:rsidRPr="003D207E">
        <w:rPr>
          <w:sz w:val="24"/>
          <w:szCs w:val="24"/>
        </w:rPr>
        <w:t xml:space="preserve">Roodman, D. M. (2009a) A note on the theme of too many instruments, </w:t>
      </w:r>
      <w:r w:rsidRPr="003D207E">
        <w:rPr>
          <w:i/>
          <w:sz w:val="24"/>
          <w:szCs w:val="24"/>
        </w:rPr>
        <w:t>Oxford Bulletin of Economics and Statistics</w:t>
      </w:r>
      <w:r w:rsidRPr="003D207E">
        <w:rPr>
          <w:sz w:val="24"/>
          <w:szCs w:val="24"/>
        </w:rPr>
        <w:t>, 71(1): 135–158.</w:t>
      </w:r>
    </w:p>
    <w:p w:rsidR="00B743C8" w:rsidRPr="003D207E" w:rsidRDefault="00B743C8" w:rsidP="007B1471">
      <w:pPr>
        <w:pStyle w:val="ListParagraph"/>
        <w:numPr>
          <w:ilvl w:val="0"/>
          <w:numId w:val="5"/>
        </w:numPr>
        <w:spacing w:line="360" w:lineRule="auto"/>
        <w:contextualSpacing w:val="0"/>
        <w:jc w:val="both"/>
        <w:rPr>
          <w:i/>
          <w:iCs/>
          <w:sz w:val="24"/>
          <w:szCs w:val="24"/>
        </w:rPr>
      </w:pPr>
      <w:r w:rsidRPr="003D207E">
        <w:rPr>
          <w:sz w:val="24"/>
          <w:szCs w:val="24"/>
        </w:rPr>
        <w:lastRenderedPageBreak/>
        <w:t xml:space="preserve">Roodman, D. (2009b) </w:t>
      </w:r>
      <w:r w:rsidRPr="003D207E">
        <w:rPr>
          <w:rFonts w:eastAsiaTheme="majorEastAsia"/>
          <w:sz w:val="24"/>
          <w:szCs w:val="24"/>
        </w:rPr>
        <w:t>How to do xtabond2: An introduction to difference and system GMM in Stata</w:t>
      </w:r>
      <w:r w:rsidRPr="003D207E">
        <w:rPr>
          <w:sz w:val="24"/>
          <w:szCs w:val="24"/>
        </w:rPr>
        <w:t xml:space="preserve">, </w:t>
      </w:r>
      <w:r w:rsidRPr="003D207E">
        <w:rPr>
          <w:rFonts w:eastAsiaTheme="majorEastAsia"/>
          <w:i/>
          <w:sz w:val="24"/>
          <w:szCs w:val="24"/>
        </w:rPr>
        <w:t>Stata Journal</w:t>
      </w:r>
      <w:r w:rsidRPr="003D207E">
        <w:rPr>
          <w:sz w:val="24"/>
          <w:szCs w:val="24"/>
        </w:rPr>
        <w:t>, 9(1): 86-136.</w:t>
      </w:r>
    </w:p>
    <w:p w:rsidR="00B743C8" w:rsidRPr="003D207E" w:rsidRDefault="00B743C8" w:rsidP="007B1471">
      <w:pPr>
        <w:numPr>
          <w:ilvl w:val="0"/>
          <w:numId w:val="5"/>
        </w:numPr>
        <w:spacing w:line="360" w:lineRule="auto"/>
        <w:jc w:val="both"/>
        <w:rPr>
          <w:lang w:val="en-GB"/>
        </w:rPr>
      </w:pPr>
      <w:r w:rsidRPr="003D207E">
        <w:rPr>
          <w:lang w:val="en-GB"/>
        </w:rPr>
        <w:t xml:space="preserve">Rodrik, D. (1998) Why Do More Open Economies Have Bigger Governments?, </w:t>
      </w:r>
      <w:r w:rsidRPr="003D207E">
        <w:rPr>
          <w:i/>
          <w:iCs/>
          <w:lang w:val="en-GB"/>
        </w:rPr>
        <w:t>Journal of Political Economy</w:t>
      </w:r>
      <w:r w:rsidRPr="003D207E">
        <w:rPr>
          <w:lang w:val="en-GB"/>
        </w:rPr>
        <w:t>, 06(5): 997-1032.</w:t>
      </w:r>
    </w:p>
    <w:p w:rsidR="00B743C8" w:rsidRPr="003D207E" w:rsidRDefault="00B743C8" w:rsidP="007B1471">
      <w:pPr>
        <w:numPr>
          <w:ilvl w:val="0"/>
          <w:numId w:val="5"/>
        </w:numPr>
        <w:shd w:val="clear" w:color="auto" w:fill="FFFFFF" w:themeFill="background1"/>
        <w:spacing w:line="360" w:lineRule="auto"/>
        <w:jc w:val="both"/>
        <w:rPr>
          <w:lang w:val="en-GB"/>
        </w:rPr>
      </w:pPr>
      <w:r w:rsidRPr="003D207E">
        <w:rPr>
          <w:lang w:val="en-GB"/>
        </w:rPr>
        <w:t xml:space="preserve">Rodrik, D. (1999) Where Did All the Growth Go? External Shocks, Social Conflict, and Growth Collapses, </w:t>
      </w:r>
      <w:r w:rsidRPr="003D207E">
        <w:rPr>
          <w:i/>
          <w:lang w:val="en-GB"/>
        </w:rPr>
        <w:t>Journal of Economic Growth</w:t>
      </w:r>
      <w:r w:rsidRPr="003D207E">
        <w:rPr>
          <w:lang w:val="en-GB"/>
        </w:rPr>
        <w:t>, 4(4): 385-412.</w:t>
      </w:r>
    </w:p>
    <w:p w:rsidR="00B743C8" w:rsidRPr="003D207E" w:rsidRDefault="00B743C8" w:rsidP="007B1471">
      <w:pPr>
        <w:numPr>
          <w:ilvl w:val="0"/>
          <w:numId w:val="5"/>
        </w:numPr>
        <w:shd w:val="clear" w:color="auto" w:fill="FFFFFF" w:themeFill="background1"/>
        <w:spacing w:line="360" w:lineRule="auto"/>
        <w:jc w:val="both"/>
        <w:rPr>
          <w:lang w:val="en-GB"/>
        </w:rPr>
      </w:pPr>
      <w:r w:rsidRPr="003D207E">
        <w:rPr>
          <w:lang w:val="en-GB"/>
        </w:rPr>
        <w:t xml:space="preserve">Rodrik, D. (2008) </w:t>
      </w:r>
      <w:r w:rsidRPr="003D207E">
        <w:rPr>
          <w:bCs/>
          <w:lang w:val="en-GB"/>
        </w:rPr>
        <w:t>The Real Exchange Rate and Economic Growth</w:t>
      </w:r>
      <w:r w:rsidRPr="003D207E">
        <w:rPr>
          <w:lang w:val="en-GB"/>
        </w:rPr>
        <w:t xml:space="preserve">, </w:t>
      </w:r>
      <w:r w:rsidRPr="003D207E">
        <w:rPr>
          <w:i/>
          <w:lang w:val="en-GB"/>
        </w:rPr>
        <w:t>Brookings Papers on  Economic Activity</w:t>
      </w:r>
      <w:r w:rsidRPr="003D207E">
        <w:rPr>
          <w:lang w:val="en-GB"/>
        </w:rPr>
        <w:t>, 39(2): 365-439.</w:t>
      </w:r>
    </w:p>
    <w:p w:rsidR="00B743C8" w:rsidRPr="003D207E" w:rsidRDefault="00B743C8" w:rsidP="007B1471">
      <w:pPr>
        <w:pStyle w:val="ListParagraph"/>
        <w:numPr>
          <w:ilvl w:val="0"/>
          <w:numId w:val="5"/>
        </w:numPr>
        <w:shd w:val="clear" w:color="auto" w:fill="FFFFFF" w:themeFill="background1"/>
        <w:autoSpaceDE w:val="0"/>
        <w:autoSpaceDN w:val="0"/>
        <w:adjustRightInd w:val="0"/>
        <w:spacing w:line="360" w:lineRule="auto"/>
        <w:jc w:val="both"/>
        <w:rPr>
          <w:sz w:val="24"/>
          <w:szCs w:val="24"/>
        </w:rPr>
      </w:pPr>
      <w:r w:rsidRPr="003D207E">
        <w:rPr>
          <w:rFonts w:eastAsiaTheme="minorHAnsi"/>
          <w:sz w:val="24"/>
          <w:szCs w:val="24"/>
        </w:rPr>
        <w:t xml:space="preserve">Rohn, O., Orazbayev, S. and Sarinzhipov, A. (2009) </w:t>
      </w:r>
      <w:r w:rsidRPr="003D207E">
        <w:rPr>
          <w:rFonts w:eastAsia="TimesNewRomanPSMT"/>
          <w:sz w:val="24"/>
          <w:szCs w:val="24"/>
        </w:rPr>
        <w:t xml:space="preserve">An Institutional Risk Analysis of the Kazakh Economy, </w:t>
      </w:r>
      <w:r w:rsidRPr="003D207E">
        <w:rPr>
          <w:rFonts w:eastAsia="TimesNewRomanPSMT"/>
          <w:i/>
          <w:sz w:val="24"/>
          <w:szCs w:val="24"/>
        </w:rPr>
        <w:t xml:space="preserve">Ifo Working Paper No.70, </w:t>
      </w:r>
      <w:r w:rsidRPr="003D207E">
        <w:rPr>
          <w:sz w:val="24"/>
          <w:szCs w:val="24"/>
        </w:rPr>
        <w:t>Ifo Institute for Economic Research at the University of Munich.</w:t>
      </w:r>
    </w:p>
    <w:p w:rsidR="00B743C8" w:rsidRPr="003D207E" w:rsidRDefault="00B743C8" w:rsidP="007B1471">
      <w:pPr>
        <w:pStyle w:val="ListParagraph"/>
        <w:numPr>
          <w:ilvl w:val="0"/>
          <w:numId w:val="5"/>
        </w:numPr>
        <w:autoSpaceDE w:val="0"/>
        <w:autoSpaceDN w:val="0"/>
        <w:adjustRightInd w:val="0"/>
        <w:spacing w:line="360" w:lineRule="auto"/>
        <w:jc w:val="both"/>
        <w:rPr>
          <w:sz w:val="24"/>
          <w:szCs w:val="24"/>
        </w:rPr>
      </w:pPr>
      <w:r w:rsidRPr="003D207E">
        <w:rPr>
          <w:sz w:val="24"/>
          <w:szCs w:val="24"/>
        </w:rPr>
        <w:t>Van der P</w:t>
      </w:r>
      <w:r w:rsidR="00562D0A">
        <w:rPr>
          <w:sz w:val="24"/>
          <w:szCs w:val="24"/>
        </w:rPr>
        <w:t>loeg, F. and Poelhekke,S. (2009</w:t>
      </w:r>
      <w:r w:rsidRPr="003D207E">
        <w:rPr>
          <w:sz w:val="24"/>
          <w:szCs w:val="24"/>
        </w:rPr>
        <w:t xml:space="preserve">) </w:t>
      </w:r>
      <w:r w:rsidRPr="003D207E">
        <w:rPr>
          <w:bCs/>
          <w:sz w:val="24"/>
          <w:szCs w:val="24"/>
        </w:rPr>
        <w:t>The Volatility Curse: Revisiting the Paradox of Plenty</w:t>
      </w:r>
      <w:r w:rsidRPr="003D207E">
        <w:rPr>
          <w:sz w:val="24"/>
          <w:szCs w:val="24"/>
        </w:rPr>
        <w:t xml:space="preserve">, </w:t>
      </w:r>
      <w:r w:rsidRPr="003D207E">
        <w:rPr>
          <w:i/>
          <w:sz w:val="24"/>
          <w:szCs w:val="24"/>
        </w:rPr>
        <w:t>DNB Working Papers 206</w:t>
      </w:r>
      <w:r w:rsidRPr="003D207E">
        <w:rPr>
          <w:sz w:val="24"/>
          <w:szCs w:val="24"/>
        </w:rPr>
        <w:t>, Netherlands Central Bank, Research Department.</w:t>
      </w:r>
    </w:p>
    <w:p w:rsidR="00B743C8" w:rsidRPr="003D207E" w:rsidRDefault="00B743C8" w:rsidP="007B1471">
      <w:pPr>
        <w:pStyle w:val="ListParagraph"/>
        <w:numPr>
          <w:ilvl w:val="0"/>
          <w:numId w:val="5"/>
        </w:numPr>
        <w:shd w:val="clear" w:color="auto" w:fill="FFFFFF" w:themeFill="background1"/>
        <w:autoSpaceDE w:val="0"/>
        <w:autoSpaceDN w:val="0"/>
        <w:adjustRightInd w:val="0"/>
        <w:spacing w:line="360" w:lineRule="auto"/>
        <w:jc w:val="both"/>
        <w:rPr>
          <w:sz w:val="24"/>
          <w:szCs w:val="24"/>
        </w:rPr>
      </w:pPr>
      <w:r w:rsidRPr="003D207E">
        <w:rPr>
          <w:sz w:val="24"/>
          <w:szCs w:val="24"/>
        </w:rPr>
        <w:t>Windmeijer, F. (2005) A finite sample correction for the variance of linear efficient two-step GMM estimators, 126(1): 25-51</w:t>
      </w:r>
    </w:p>
    <w:p w:rsidR="00B743C8" w:rsidRPr="00B743C8" w:rsidRDefault="00B743C8" w:rsidP="00483DFB">
      <w:pPr>
        <w:tabs>
          <w:tab w:val="left" w:pos="990"/>
        </w:tabs>
        <w:autoSpaceDE w:val="0"/>
        <w:autoSpaceDN w:val="0"/>
        <w:adjustRightInd w:val="0"/>
        <w:spacing w:line="360" w:lineRule="auto"/>
        <w:jc w:val="both"/>
        <w:rPr>
          <w:rFonts w:eastAsia="Calibri"/>
          <w:b/>
          <w:lang w:val="en-GB"/>
        </w:rPr>
      </w:pPr>
    </w:p>
    <w:p w:rsidR="00A7516A" w:rsidRDefault="00A7516A"/>
    <w:p w:rsidR="00821FB1" w:rsidRDefault="00821FB1"/>
    <w:p w:rsidR="00821FB1" w:rsidRDefault="00821FB1"/>
    <w:p w:rsidR="00821FB1" w:rsidRDefault="00821FB1"/>
    <w:p w:rsidR="00821FB1" w:rsidRDefault="00821FB1"/>
    <w:p w:rsidR="00821FB1" w:rsidRDefault="00821FB1"/>
    <w:p w:rsidR="00821FB1" w:rsidRDefault="00821FB1"/>
    <w:p w:rsidR="00821FB1" w:rsidRDefault="00821FB1"/>
    <w:p w:rsidR="00821FB1" w:rsidRDefault="00821FB1"/>
    <w:p w:rsidR="00821FB1" w:rsidRDefault="00821FB1"/>
    <w:p w:rsidR="00821FB1" w:rsidRDefault="00821FB1"/>
    <w:p w:rsidR="00821FB1" w:rsidRDefault="00821FB1"/>
    <w:p w:rsidR="00821FB1" w:rsidRDefault="00821FB1"/>
    <w:p w:rsidR="00562D0A" w:rsidRDefault="00562D0A"/>
    <w:p w:rsidR="00562D0A" w:rsidRDefault="00562D0A"/>
    <w:p w:rsidR="00562D0A" w:rsidRDefault="00562D0A"/>
    <w:p w:rsidR="003A6CFC" w:rsidRDefault="003A6CFC" w:rsidP="003A6CFC">
      <w:pPr>
        <w:spacing w:after="160" w:line="259" w:lineRule="auto"/>
        <w:rPr>
          <w:b/>
        </w:rPr>
      </w:pPr>
    </w:p>
    <w:p w:rsidR="00D009B8" w:rsidRDefault="00D009B8" w:rsidP="003A6CFC">
      <w:pPr>
        <w:spacing w:after="160" w:line="259" w:lineRule="auto"/>
        <w:rPr>
          <w:b/>
        </w:rPr>
      </w:pPr>
    </w:p>
    <w:p w:rsidR="00D009B8" w:rsidRDefault="00D009B8" w:rsidP="003A6CFC">
      <w:pPr>
        <w:spacing w:after="160" w:line="259" w:lineRule="auto"/>
        <w:rPr>
          <w:b/>
        </w:rPr>
      </w:pPr>
    </w:p>
    <w:p w:rsidR="003A6CFC" w:rsidRDefault="003A6CFC" w:rsidP="003A6CFC">
      <w:pPr>
        <w:spacing w:after="160" w:line="259" w:lineRule="auto"/>
        <w:rPr>
          <w:b/>
        </w:rPr>
      </w:pPr>
    </w:p>
    <w:p w:rsidR="00C7526B" w:rsidRPr="006D0C5F" w:rsidRDefault="00C7526B" w:rsidP="003A6CFC">
      <w:pPr>
        <w:spacing w:after="160" w:line="259" w:lineRule="auto"/>
        <w:rPr>
          <w:b/>
        </w:rPr>
      </w:pPr>
      <w:r w:rsidRPr="006D0C5F">
        <w:rPr>
          <w:b/>
        </w:rPr>
        <w:lastRenderedPageBreak/>
        <w:t>Appendix</w:t>
      </w:r>
      <w:r w:rsidR="006D0C5F" w:rsidRPr="006D0C5F">
        <w:rPr>
          <w:b/>
        </w:rPr>
        <w:t xml:space="preserve"> A</w:t>
      </w:r>
    </w:p>
    <w:p w:rsidR="00C7526B" w:rsidRPr="000B71A0" w:rsidRDefault="00C7526B" w:rsidP="00C7526B">
      <w:pPr>
        <w:pStyle w:val="ListofTables"/>
        <w:rPr>
          <w:lang w:val="en-GB"/>
        </w:rPr>
      </w:pPr>
      <w:bookmarkStart w:id="16" w:name="_Toc290147720"/>
      <w:bookmarkStart w:id="17" w:name="_Toc416427899"/>
      <w:r>
        <w:rPr>
          <w:b/>
          <w:lang w:val="en-GB"/>
        </w:rPr>
        <w:t xml:space="preserve">Table </w:t>
      </w:r>
      <w:r w:rsidRPr="000B71A0">
        <w:rPr>
          <w:b/>
          <w:lang w:val="en-GB"/>
        </w:rPr>
        <w:t>1.</w:t>
      </w:r>
      <w:r w:rsidRPr="000B71A0">
        <w:rPr>
          <w:lang w:val="en-GB"/>
        </w:rPr>
        <w:t xml:space="preserve"> Description of data</w:t>
      </w:r>
      <w:bookmarkEnd w:id="16"/>
      <w:bookmarkEnd w:id="17"/>
    </w:p>
    <w:p w:rsidR="00C7526B" w:rsidRPr="000B71A0" w:rsidRDefault="00C7526B" w:rsidP="00C7526B">
      <w:pPr>
        <w:pStyle w:val="ListofTables"/>
        <w:rPr>
          <w:lang w:val="en-GB"/>
        </w:rPr>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2"/>
        <w:gridCol w:w="4013"/>
        <w:gridCol w:w="1972"/>
        <w:gridCol w:w="1074"/>
        <w:gridCol w:w="178"/>
        <w:gridCol w:w="922"/>
      </w:tblGrid>
      <w:tr w:rsidR="003A6CFC" w:rsidRPr="000B71A0" w:rsidTr="005457E9">
        <w:tc>
          <w:tcPr>
            <w:tcW w:w="720" w:type="pct"/>
          </w:tcPr>
          <w:p w:rsidR="003A6CFC" w:rsidRPr="000B71A0" w:rsidRDefault="003A6CFC" w:rsidP="003A6CFC">
            <w:pPr>
              <w:spacing w:line="360" w:lineRule="auto"/>
              <w:jc w:val="center"/>
              <w:rPr>
                <w:b/>
                <w:bCs/>
                <w:sz w:val="20"/>
                <w:szCs w:val="20"/>
                <w:lang w:val="en-GB"/>
              </w:rPr>
            </w:pPr>
            <w:r w:rsidRPr="000B71A0">
              <w:rPr>
                <w:b/>
                <w:bCs/>
                <w:sz w:val="20"/>
                <w:szCs w:val="20"/>
                <w:lang w:val="en-GB"/>
              </w:rPr>
              <w:t>Variable</w:t>
            </w:r>
          </w:p>
        </w:tc>
        <w:tc>
          <w:tcPr>
            <w:tcW w:w="2105" w:type="pct"/>
          </w:tcPr>
          <w:p w:rsidR="003A6CFC" w:rsidRPr="000B71A0" w:rsidRDefault="003A6CFC" w:rsidP="003A6CFC">
            <w:pPr>
              <w:spacing w:line="360" w:lineRule="auto"/>
              <w:jc w:val="center"/>
              <w:rPr>
                <w:b/>
                <w:bCs/>
                <w:sz w:val="20"/>
                <w:szCs w:val="20"/>
                <w:lang w:val="en-GB"/>
              </w:rPr>
            </w:pPr>
            <w:r w:rsidRPr="000B71A0">
              <w:rPr>
                <w:b/>
                <w:bCs/>
                <w:sz w:val="20"/>
                <w:szCs w:val="20"/>
                <w:lang w:val="en-GB"/>
              </w:rPr>
              <w:t>Definition</w:t>
            </w:r>
          </w:p>
        </w:tc>
        <w:tc>
          <w:tcPr>
            <w:tcW w:w="1035" w:type="pct"/>
          </w:tcPr>
          <w:p w:rsidR="003A6CFC" w:rsidRPr="000B71A0" w:rsidRDefault="003A6CFC" w:rsidP="003A6CFC">
            <w:pPr>
              <w:spacing w:line="360" w:lineRule="auto"/>
              <w:jc w:val="center"/>
              <w:rPr>
                <w:b/>
                <w:bCs/>
                <w:sz w:val="20"/>
                <w:szCs w:val="20"/>
                <w:lang w:val="en-GB"/>
              </w:rPr>
            </w:pPr>
            <w:r w:rsidRPr="000B71A0">
              <w:rPr>
                <w:b/>
                <w:bCs/>
                <w:sz w:val="20"/>
                <w:szCs w:val="20"/>
                <w:lang w:val="en-GB"/>
              </w:rPr>
              <w:t>Source</w:t>
            </w:r>
          </w:p>
        </w:tc>
        <w:tc>
          <w:tcPr>
            <w:tcW w:w="659" w:type="pct"/>
            <w:gridSpan w:val="2"/>
          </w:tcPr>
          <w:p w:rsidR="003A6CFC" w:rsidRPr="000B71A0" w:rsidRDefault="003A6CFC" w:rsidP="003A6CFC">
            <w:pPr>
              <w:jc w:val="center"/>
              <w:rPr>
                <w:b/>
                <w:bCs/>
                <w:sz w:val="20"/>
                <w:szCs w:val="20"/>
                <w:lang w:val="en-GB"/>
              </w:rPr>
            </w:pPr>
            <w:r>
              <w:rPr>
                <w:b/>
                <w:bCs/>
                <w:sz w:val="20"/>
                <w:szCs w:val="20"/>
                <w:lang w:val="en-GB"/>
              </w:rPr>
              <w:t>Mean (standard deviation)</w:t>
            </w:r>
          </w:p>
        </w:tc>
        <w:tc>
          <w:tcPr>
            <w:tcW w:w="482" w:type="pct"/>
          </w:tcPr>
          <w:p w:rsidR="003A6CFC" w:rsidRDefault="003A6CFC" w:rsidP="003A6CFC">
            <w:pPr>
              <w:spacing w:line="360" w:lineRule="auto"/>
              <w:jc w:val="center"/>
              <w:rPr>
                <w:b/>
                <w:bCs/>
                <w:sz w:val="20"/>
                <w:szCs w:val="20"/>
                <w:lang w:val="en-GB"/>
              </w:rPr>
            </w:pPr>
            <w:r>
              <w:rPr>
                <w:b/>
                <w:bCs/>
                <w:sz w:val="20"/>
                <w:szCs w:val="20"/>
                <w:lang w:val="en-GB"/>
              </w:rPr>
              <w:t>Min</w:t>
            </w:r>
          </w:p>
          <w:p w:rsidR="003A6CFC" w:rsidRPr="000B71A0" w:rsidRDefault="003A6CFC" w:rsidP="003A6CFC">
            <w:pPr>
              <w:spacing w:line="360" w:lineRule="auto"/>
              <w:jc w:val="center"/>
              <w:rPr>
                <w:b/>
                <w:bCs/>
                <w:sz w:val="20"/>
                <w:szCs w:val="20"/>
                <w:lang w:val="en-GB"/>
              </w:rPr>
            </w:pPr>
            <w:r>
              <w:rPr>
                <w:b/>
                <w:bCs/>
                <w:sz w:val="20"/>
                <w:szCs w:val="20"/>
                <w:lang w:val="en-GB"/>
              </w:rPr>
              <w:t>(Max)</w:t>
            </w:r>
          </w:p>
        </w:tc>
      </w:tr>
      <w:tr w:rsidR="003A6CFC" w:rsidRPr="000B71A0" w:rsidTr="003A6CFC">
        <w:tc>
          <w:tcPr>
            <w:tcW w:w="5000" w:type="pct"/>
            <w:gridSpan w:val="6"/>
          </w:tcPr>
          <w:p w:rsidR="003A6CFC" w:rsidRPr="000B71A0" w:rsidRDefault="003A6CFC" w:rsidP="003D2CCD">
            <w:pPr>
              <w:spacing w:line="360" w:lineRule="auto"/>
              <w:rPr>
                <w:b/>
                <w:bCs/>
                <w:sz w:val="20"/>
                <w:szCs w:val="20"/>
                <w:lang w:val="en-GB"/>
              </w:rPr>
            </w:pPr>
            <w:r w:rsidRPr="000B71A0">
              <w:rPr>
                <w:b/>
                <w:bCs/>
                <w:sz w:val="20"/>
                <w:szCs w:val="20"/>
                <w:lang w:val="en-GB"/>
              </w:rPr>
              <w:t>Dependent variable</w:t>
            </w:r>
          </w:p>
        </w:tc>
      </w:tr>
      <w:tr w:rsidR="003A6CFC" w:rsidRPr="000B71A0" w:rsidTr="003A6CFC">
        <w:tc>
          <w:tcPr>
            <w:tcW w:w="720" w:type="pct"/>
          </w:tcPr>
          <w:p w:rsidR="003A6CFC" w:rsidRPr="000B71A0" w:rsidRDefault="003A6CFC" w:rsidP="003D2CCD">
            <w:pPr>
              <w:spacing w:line="360" w:lineRule="auto"/>
              <w:rPr>
                <w:sz w:val="20"/>
                <w:szCs w:val="20"/>
                <w:lang w:val="en-GB"/>
              </w:rPr>
            </w:pPr>
            <w:r w:rsidRPr="000B71A0">
              <w:rPr>
                <w:sz w:val="20"/>
                <w:szCs w:val="20"/>
                <w:lang w:val="en-GB"/>
              </w:rPr>
              <w:t>Output volatility</w:t>
            </w:r>
          </w:p>
        </w:tc>
        <w:tc>
          <w:tcPr>
            <w:tcW w:w="2110" w:type="pct"/>
          </w:tcPr>
          <w:p w:rsidR="003A6CFC" w:rsidRPr="000B71A0" w:rsidRDefault="003A6CFC" w:rsidP="003D2CCD">
            <w:pPr>
              <w:spacing w:line="360" w:lineRule="auto"/>
              <w:rPr>
                <w:sz w:val="20"/>
                <w:szCs w:val="20"/>
                <w:lang w:val="en-GB"/>
              </w:rPr>
            </w:pPr>
            <w:r w:rsidRPr="000B71A0">
              <w:rPr>
                <w:sz w:val="20"/>
                <w:szCs w:val="20"/>
                <w:lang w:val="en-GB"/>
              </w:rPr>
              <w:t>Standard deviation of the real GDP per capita growth rates</w:t>
            </w:r>
          </w:p>
          <w:p w:rsidR="003A6CFC" w:rsidRPr="000B71A0" w:rsidRDefault="003A6CFC" w:rsidP="003D2CCD">
            <w:pPr>
              <w:spacing w:line="360" w:lineRule="auto"/>
              <w:rPr>
                <w:sz w:val="20"/>
                <w:szCs w:val="20"/>
                <w:lang w:val="en-GB"/>
              </w:rPr>
            </w:pPr>
          </w:p>
        </w:tc>
        <w:tc>
          <w:tcPr>
            <w:tcW w:w="1039" w:type="pct"/>
          </w:tcPr>
          <w:p w:rsidR="003A6CFC" w:rsidRPr="000B71A0" w:rsidRDefault="003A6CFC" w:rsidP="003D2CCD">
            <w:pPr>
              <w:spacing w:line="360" w:lineRule="auto"/>
              <w:rPr>
                <w:sz w:val="20"/>
                <w:szCs w:val="20"/>
                <w:lang w:val="en-GB"/>
              </w:rPr>
            </w:pPr>
            <w:r w:rsidRPr="000B71A0">
              <w:rPr>
                <w:sz w:val="20"/>
                <w:szCs w:val="20"/>
                <w:lang w:val="en-GB"/>
              </w:rPr>
              <w:t xml:space="preserve">World Bank, World Development Indicators </w:t>
            </w:r>
          </w:p>
        </w:tc>
        <w:tc>
          <w:tcPr>
            <w:tcW w:w="661" w:type="pct"/>
            <w:gridSpan w:val="2"/>
          </w:tcPr>
          <w:p w:rsidR="003A6CFC" w:rsidRDefault="00852EA2" w:rsidP="003D2CCD">
            <w:pPr>
              <w:spacing w:line="360" w:lineRule="auto"/>
              <w:rPr>
                <w:sz w:val="20"/>
                <w:szCs w:val="20"/>
                <w:lang w:val="en-GB"/>
              </w:rPr>
            </w:pPr>
            <w:r>
              <w:rPr>
                <w:sz w:val="20"/>
                <w:szCs w:val="20"/>
                <w:lang w:val="en-GB"/>
              </w:rPr>
              <w:t>2.935</w:t>
            </w:r>
          </w:p>
          <w:p w:rsidR="00852EA2" w:rsidRPr="000B71A0" w:rsidRDefault="00852EA2" w:rsidP="003D2CCD">
            <w:pPr>
              <w:spacing w:line="360" w:lineRule="auto"/>
              <w:rPr>
                <w:sz w:val="20"/>
                <w:szCs w:val="20"/>
                <w:lang w:val="en-GB"/>
              </w:rPr>
            </w:pPr>
            <w:r>
              <w:rPr>
                <w:sz w:val="20"/>
                <w:szCs w:val="20"/>
                <w:lang w:val="en-GB"/>
              </w:rPr>
              <w:t>(2.546)</w:t>
            </w:r>
          </w:p>
        </w:tc>
        <w:tc>
          <w:tcPr>
            <w:tcW w:w="470" w:type="pct"/>
          </w:tcPr>
          <w:p w:rsidR="003A6CFC" w:rsidRDefault="0024556F" w:rsidP="003D2CCD">
            <w:pPr>
              <w:spacing w:line="360" w:lineRule="auto"/>
              <w:rPr>
                <w:sz w:val="20"/>
                <w:szCs w:val="20"/>
                <w:lang w:val="en-GB"/>
              </w:rPr>
            </w:pPr>
            <w:r>
              <w:rPr>
                <w:sz w:val="20"/>
                <w:szCs w:val="20"/>
                <w:lang w:val="en-GB"/>
              </w:rPr>
              <w:t>0.112</w:t>
            </w:r>
          </w:p>
          <w:p w:rsidR="0024556F" w:rsidRPr="000B71A0" w:rsidRDefault="0024556F" w:rsidP="003D2CCD">
            <w:pPr>
              <w:spacing w:line="360" w:lineRule="auto"/>
              <w:rPr>
                <w:sz w:val="20"/>
                <w:szCs w:val="20"/>
                <w:lang w:val="en-GB"/>
              </w:rPr>
            </w:pPr>
            <w:r>
              <w:rPr>
                <w:sz w:val="20"/>
                <w:szCs w:val="20"/>
                <w:lang w:val="en-GB"/>
              </w:rPr>
              <w:t>(12.335)</w:t>
            </w:r>
          </w:p>
        </w:tc>
      </w:tr>
      <w:tr w:rsidR="003A6CFC" w:rsidRPr="000B71A0" w:rsidTr="003A6CFC">
        <w:tc>
          <w:tcPr>
            <w:tcW w:w="5000" w:type="pct"/>
            <w:gridSpan w:val="6"/>
          </w:tcPr>
          <w:p w:rsidR="003A6CFC" w:rsidRPr="000B71A0" w:rsidRDefault="003A6CFC" w:rsidP="003D2CCD">
            <w:pPr>
              <w:spacing w:line="360" w:lineRule="auto"/>
              <w:rPr>
                <w:sz w:val="20"/>
                <w:szCs w:val="20"/>
                <w:lang w:val="en-GB"/>
              </w:rPr>
            </w:pPr>
            <w:r w:rsidRPr="000B71A0">
              <w:rPr>
                <w:b/>
                <w:bCs/>
                <w:sz w:val="20"/>
                <w:szCs w:val="20"/>
                <w:lang w:val="en-GB"/>
              </w:rPr>
              <w:t>Independent variables</w:t>
            </w:r>
          </w:p>
        </w:tc>
      </w:tr>
      <w:tr w:rsidR="003A6CFC" w:rsidRPr="000B71A0" w:rsidTr="003A6CFC">
        <w:tc>
          <w:tcPr>
            <w:tcW w:w="5000" w:type="pct"/>
            <w:gridSpan w:val="6"/>
          </w:tcPr>
          <w:p w:rsidR="003A6CFC" w:rsidRPr="000B71A0" w:rsidRDefault="003A6CFC" w:rsidP="003D2CCD">
            <w:pPr>
              <w:spacing w:line="360" w:lineRule="auto"/>
              <w:rPr>
                <w:sz w:val="20"/>
                <w:szCs w:val="20"/>
                <w:lang w:val="en-GB"/>
              </w:rPr>
            </w:pPr>
            <w:r w:rsidRPr="000B71A0">
              <w:rPr>
                <w:b/>
                <w:bCs/>
                <w:i/>
                <w:iCs/>
                <w:sz w:val="20"/>
                <w:szCs w:val="20"/>
                <w:lang w:val="en-GB"/>
              </w:rPr>
              <w:t>Sources of shocks</w:t>
            </w:r>
          </w:p>
        </w:tc>
      </w:tr>
      <w:tr w:rsidR="003A6CFC" w:rsidRPr="000B71A0" w:rsidTr="003A6CFC">
        <w:tc>
          <w:tcPr>
            <w:tcW w:w="720" w:type="pct"/>
          </w:tcPr>
          <w:p w:rsidR="003A6CFC" w:rsidRPr="000B71A0" w:rsidRDefault="003A6CFC" w:rsidP="003D2CCD">
            <w:pPr>
              <w:spacing w:line="360" w:lineRule="auto"/>
              <w:rPr>
                <w:sz w:val="20"/>
                <w:szCs w:val="20"/>
                <w:lang w:val="en-GB"/>
              </w:rPr>
            </w:pPr>
            <w:r w:rsidRPr="000B71A0">
              <w:rPr>
                <w:sz w:val="20"/>
                <w:szCs w:val="20"/>
                <w:lang w:val="en-GB"/>
              </w:rPr>
              <w:t>Terms of trade volatility</w:t>
            </w:r>
          </w:p>
        </w:tc>
        <w:tc>
          <w:tcPr>
            <w:tcW w:w="2110" w:type="pct"/>
          </w:tcPr>
          <w:p w:rsidR="003A6CFC" w:rsidRPr="000B71A0" w:rsidRDefault="003A6CFC" w:rsidP="003D2CCD">
            <w:pPr>
              <w:spacing w:line="360" w:lineRule="auto"/>
              <w:jc w:val="both"/>
              <w:rPr>
                <w:sz w:val="20"/>
                <w:szCs w:val="20"/>
                <w:lang w:val="en-GB"/>
              </w:rPr>
            </w:pPr>
            <w:r w:rsidRPr="000B71A0">
              <w:rPr>
                <w:sz w:val="20"/>
                <w:szCs w:val="20"/>
                <w:lang w:val="en-GB"/>
              </w:rPr>
              <w:t xml:space="preserve">Standard deviation of terms of trade. Terms of trade are constructed by dividing each year's export deflator by the import deflator. Deflators are measured as the ratio of current to constant local currency exports/imports. </w:t>
            </w:r>
          </w:p>
        </w:tc>
        <w:tc>
          <w:tcPr>
            <w:tcW w:w="1039" w:type="pct"/>
          </w:tcPr>
          <w:p w:rsidR="003A6CFC" w:rsidRPr="000B71A0" w:rsidRDefault="003A6CFC" w:rsidP="003D2CCD">
            <w:pPr>
              <w:spacing w:line="360" w:lineRule="auto"/>
              <w:rPr>
                <w:sz w:val="20"/>
                <w:szCs w:val="20"/>
                <w:lang w:val="en-GB"/>
              </w:rPr>
            </w:pPr>
            <w:r w:rsidRPr="000B71A0">
              <w:rPr>
                <w:sz w:val="20"/>
                <w:szCs w:val="20"/>
                <w:lang w:val="en-GB"/>
              </w:rPr>
              <w:t>World Bank, World Development Indicators</w:t>
            </w:r>
          </w:p>
        </w:tc>
        <w:tc>
          <w:tcPr>
            <w:tcW w:w="568" w:type="pct"/>
          </w:tcPr>
          <w:p w:rsidR="003A6CFC" w:rsidRDefault="0024556F" w:rsidP="003D2CCD">
            <w:pPr>
              <w:spacing w:line="360" w:lineRule="auto"/>
              <w:rPr>
                <w:sz w:val="20"/>
                <w:szCs w:val="20"/>
                <w:lang w:val="en-GB"/>
              </w:rPr>
            </w:pPr>
            <w:r>
              <w:rPr>
                <w:sz w:val="20"/>
                <w:szCs w:val="20"/>
                <w:lang w:val="en-GB"/>
              </w:rPr>
              <w:t>0.046</w:t>
            </w:r>
          </w:p>
          <w:p w:rsidR="0024556F" w:rsidRPr="000B71A0" w:rsidRDefault="0024556F" w:rsidP="003D2CCD">
            <w:pPr>
              <w:spacing w:line="360" w:lineRule="auto"/>
              <w:rPr>
                <w:sz w:val="20"/>
                <w:szCs w:val="20"/>
                <w:lang w:val="en-GB"/>
              </w:rPr>
            </w:pPr>
            <w:r>
              <w:rPr>
                <w:sz w:val="20"/>
                <w:szCs w:val="20"/>
                <w:lang w:val="en-GB"/>
              </w:rPr>
              <w:t>(0.059)</w:t>
            </w:r>
          </w:p>
        </w:tc>
        <w:tc>
          <w:tcPr>
            <w:tcW w:w="563" w:type="pct"/>
            <w:gridSpan w:val="2"/>
          </w:tcPr>
          <w:p w:rsidR="003A6CFC" w:rsidRDefault="0024556F" w:rsidP="003D2CCD">
            <w:pPr>
              <w:spacing w:line="360" w:lineRule="auto"/>
              <w:rPr>
                <w:sz w:val="20"/>
                <w:szCs w:val="20"/>
                <w:lang w:val="en-GB"/>
              </w:rPr>
            </w:pPr>
            <w:r>
              <w:rPr>
                <w:sz w:val="20"/>
                <w:szCs w:val="20"/>
                <w:lang w:val="en-GB"/>
              </w:rPr>
              <w:t>0.0002</w:t>
            </w:r>
          </w:p>
          <w:p w:rsidR="0024556F" w:rsidRPr="000B71A0" w:rsidRDefault="0024556F" w:rsidP="003D2CCD">
            <w:pPr>
              <w:spacing w:line="360" w:lineRule="auto"/>
              <w:rPr>
                <w:sz w:val="20"/>
                <w:szCs w:val="20"/>
                <w:lang w:val="en-GB"/>
              </w:rPr>
            </w:pPr>
            <w:r>
              <w:rPr>
                <w:sz w:val="20"/>
                <w:szCs w:val="20"/>
                <w:lang w:val="en-GB"/>
              </w:rPr>
              <w:t>(0.416)</w:t>
            </w:r>
          </w:p>
        </w:tc>
      </w:tr>
      <w:tr w:rsidR="003A6CFC" w:rsidRPr="000B71A0" w:rsidTr="003A6CFC">
        <w:tc>
          <w:tcPr>
            <w:tcW w:w="720" w:type="pct"/>
          </w:tcPr>
          <w:p w:rsidR="003A6CFC" w:rsidRPr="000B71A0" w:rsidRDefault="003A6CFC" w:rsidP="003D2CCD">
            <w:pPr>
              <w:spacing w:line="360" w:lineRule="auto"/>
              <w:rPr>
                <w:sz w:val="20"/>
                <w:szCs w:val="20"/>
                <w:lang w:val="en-GB"/>
              </w:rPr>
            </w:pPr>
            <w:r w:rsidRPr="000B71A0">
              <w:rPr>
                <w:sz w:val="20"/>
                <w:szCs w:val="20"/>
                <w:lang w:val="en-GB"/>
              </w:rPr>
              <w:t xml:space="preserve">Inflation rate volatility </w:t>
            </w:r>
          </w:p>
        </w:tc>
        <w:tc>
          <w:tcPr>
            <w:tcW w:w="2110" w:type="pct"/>
          </w:tcPr>
          <w:p w:rsidR="003A6CFC" w:rsidRPr="000B71A0" w:rsidRDefault="003A6CFC" w:rsidP="003D2CCD">
            <w:pPr>
              <w:spacing w:line="360" w:lineRule="auto"/>
              <w:jc w:val="both"/>
              <w:rPr>
                <w:sz w:val="20"/>
                <w:szCs w:val="20"/>
                <w:lang w:val="en-GB"/>
              </w:rPr>
            </w:pPr>
            <w:r w:rsidRPr="000B71A0">
              <w:rPr>
                <w:sz w:val="20"/>
                <w:szCs w:val="20"/>
                <w:lang w:val="en-GB"/>
              </w:rPr>
              <w:t>Standard deviation of the annual percentage changes of average consumer prices.</w:t>
            </w:r>
          </w:p>
        </w:tc>
        <w:tc>
          <w:tcPr>
            <w:tcW w:w="1039" w:type="pct"/>
          </w:tcPr>
          <w:p w:rsidR="003A6CFC" w:rsidRPr="000B71A0" w:rsidRDefault="003A6CFC" w:rsidP="003D2CCD">
            <w:pPr>
              <w:spacing w:line="360" w:lineRule="auto"/>
              <w:rPr>
                <w:sz w:val="20"/>
                <w:szCs w:val="20"/>
                <w:lang w:val="en-GB"/>
              </w:rPr>
            </w:pPr>
            <w:r w:rsidRPr="000B71A0">
              <w:rPr>
                <w:sz w:val="20"/>
                <w:szCs w:val="20"/>
                <w:lang w:val="en-GB"/>
              </w:rPr>
              <w:t>World Economic Outlook (WEO)</w:t>
            </w:r>
          </w:p>
        </w:tc>
        <w:tc>
          <w:tcPr>
            <w:tcW w:w="568" w:type="pct"/>
          </w:tcPr>
          <w:p w:rsidR="003A6CFC" w:rsidRDefault="0024556F" w:rsidP="003D2CCD">
            <w:pPr>
              <w:spacing w:line="360" w:lineRule="auto"/>
              <w:rPr>
                <w:sz w:val="20"/>
                <w:szCs w:val="20"/>
                <w:lang w:val="en-GB"/>
              </w:rPr>
            </w:pPr>
            <w:r>
              <w:rPr>
                <w:sz w:val="20"/>
                <w:szCs w:val="20"/>
                <w:lang w:val="en-GB"/>
              </w:rPr>
              <w:t>11.546</w:t>
            </w:r>
          </w:p>
          <w:p w:rsidR="0024556F" w:rsidRPr="000B71A0" w:rsidRDefault="0024556F" w:rsidP="003D2CCD">
            <w:pPr>
              <w:spacing w:line="360" w:lineRule="auto"/>
              <w:rPr>
                <w:sz w:val="20"/>
                <w:szCs w:val="20"/>
                <w:lang w:val="en-GB"/>
              </w:rPr>
            </w:pPr>
            <w:r>
              <w:rPr>
                <w:sz w:val="20"/>
                <w:szCs w:val="20"/>
                <w:lang w:val="en-GB"/>
              </w:rPr>
              <w:t>(56.134)</w:t>
            </w:r>
          </w:p>
        </w:tc>
        <w:tc>
          <w:tcPr>
            <w:tcW w:w="563" w:type="pct"/>
            <w:gridSpan w:val="2"/>
          </w:tcPr>
          <w:p w:rsidR="003A6CFC" w:rsidRDefault="0024556F" w:rsidP="003D2CCD">
            <w:pPr>
              <w:spacing w:line="360" w:lineRule="auto"/>
              <w:rPr>
                <w:sz w:val="20"/>
                <w:szCs w:val="20"/>
                <w:lang w:val="en-GB"/>
              </w:rPr>
            </w:pPr>
            <w:r>
              <w:rPr>
                <w:sz w:val="20"/>
                <w:szCs w:val="20"/>
                <w:lang w:val="en-GB"/>
              </w:rPr>
              <w:t>0.145</w:t>
            </w:r>
          </w:p>
          <w:p w:rsidR="0024556F" w:rsidRPr="000B71A0" w:rsidRDefault="0024556F" w:rsidP="003D2CCD">
            <w:pPr>
              <w:spacing w:line="360" w:lineRule="auto"/>
              <w:rPr>
                <w:sz w:val="20"/>
                <w:szCs w:val="20"/>
                <w:lang w:val="en-GB"/>
              </w:rPr>
            </w:pPr>
            <w:r>
              <w:rPr>
                <w:sz w:val="20"/>
                <w:szCs w:val="20"/>
                <w:lang w:val="en-GB"/>
              </w:rPr>
              <w:t>(574.165)</w:t>
            </w:r>
          </w:p>
        </w:tc>
      </w:tr>
      <w:tr w:rsidR="003A6CFC" w:rsidRPr="000B71A0" w:rsidTr="003A6CFC">
        <w:tc>
          <w:tcPr>
            <w:tcW w:w="720" w:type="pct"/>
          </w:tcPr>
          <w:p w:rsidR="003A6CFC" w:rsidRPr="000B71A0" w:rsidRDefault="003A6CFC" w:rsidP="003D2CCD">
            <w:pPr>
              <w:spacing w:line="360" w:lineRule="auto"/>
              <w:rPr>
                <w:sz w:val="20"/>
                <w:szCs w:val="20"/>
                <w:lang w:val="en-GB"/>
              </w:rPr>
            </w:pPr>
            <w:r w:rsidRPr="000B71A0">
              <w:rPr>
                <w:sz w:val="20"/>
                <w:szCs w:val="20"/>
                <w:lang w:val="en-GB"/>
              </w:rPr>
              <w:t>Exchange rate volatility</w:t>
            </w:r>
          </w:p>
        </w:tc>
        <w:tc>
          <w:tcPr>
            <w:tcW w:w="2110" w:type="pct"/>
          </w:tcPr>
          <w:p w:rsidR="003A6CFC" w:rsidRPr="000B71A0" w:rsidRDefault="003A6CFC" w:rsidP="003D2CCD">
            <w:pPr>
              <w:spacing w:line="360" w:lineRule="auto"/>
              <w:jc w:val="both"/>
              <w:rPr>
                <w:sz w:val="20"/>
                <w:szCs w:val="20"/>
                <w:lang w:val="en-GB"/>
              </w:rPr>
            </w:pPr>
            <w:r w:rsidRPr="000B71A0">
              <w:rPr>
                <w:sz w:val="20"/>
                <w:szCs w:val="20"/>
                <w:lang w:val="en-GB"/>
              </w:rPr>
              <w:t>Standard deviation of exchange rate, annual average.</w:t>
            </w:r>
          </w:p>
        </w:tc>
        <w:tc>
          <w:tcPr>
            <w:tcW w:w="1039" w:type="pct"/>
          </w:tcPr>
          <w:p w:rsidR="003A6CFC" w:rsidRPr="000B71A0" w:rsidRDefault="003A6CFC" w:rsidP="003D2CCD">
            <w:pPr>
              <w:spacing w:line="360" w:lineRule="auto"/>
              <w:rPr>
                <w:sz w:val="20"/>
                <w:szCs w:val="20"/>
                <w:lang w:val="en-GB"/>
              </w:rPr>
            </w:pPr>
            <w:r w:rsidRPr="000B71A0">
              <w:rPr>
                <w:sz w:val="20"/>
                <w:szCs w:val="20"/>
                <w:lang w:val="en-GB"/>
              </w:rPr>
              <w:t>European Bank for Reconstruction and Development (EBRD), macroeconomic indicators</w:t>
            </w:r>
          </w:p>
        </w:tc>
        <w:tc>
          <w:tcPr>
            <w:tcW w:w="568" w:type="pct"/>
          </w:tcPr>
          <w:p w:rsidR="003A6CFC" w:rsidRDefault="0024556F" w:rsidP="003D2CCD">
            <w:pPr>
              <w:spacing w:line="360" w:lineRule="auto"/>
              <w:rPr>
                <w:sz w:val="20"/>
                <w:szCs w:val="20"/>
                <w:lang w:val="en-GB"/>
              </w:rPr>
            </w:pPr>
            <w:r>
              <w:rPr>
                <w:sz w:val="20"/>
                <w:szCs w:val="20"/>
                <w:lang w:val="en-GB"/>
              </w:rPr>
              <w:t>58.033</w:t>
            </w:r>
          </w:p>
          <w:p w:rsidR="0024556F" w:rsidRPr="000B71A0" w:rsidRDefault="0024556F" w:rsidP="003D2CCD">
            <w:pPr>
              <w:spacing w:line="360" w:lineRule="auto"/>
              <w:rPr>
                <w:sz w:val="20"/>
                <w:szCs w:val="20"/>
                <w:lang w:val="en-GB"/>
              </w:rPr>
            </w:pPr>
            <w:r>
              <w:rPr>
                <w:sz w:val="20"/>
                <w:szCs w:val="20"/>
                <w:lang w:val="en-GB"/>
              </w:rPr>
              <w:t>(191.77)</w:t>
            </w:r>
          </w:p>
        </w:tc>
        <w:tc>
          <w:tcPr>
            <w:tcW w:w="563" w:type="pct"/>
            <w:gridSpan w:val="2"/>
          </w:tcPr>
          <w:p w:rsidR="003A6CFC" w:rsidRDefault="00A3048D" w:rsidP="003D2CCD">
            <w:pPr>
              <w:spacing w:line="360" w:lineRule="auto"/>
              <w:rPr>
                <w:sz w:val="20"/>
                <w:szCs w:val="20"/>
                <w:lang w:val="en-GB"/>
              </w:rPr>
            </w:pPr>
            <w:r>
              <w:rPr>
                <w:sz w:val="20"/>
                <w:szCs w:val="20"/>
                <w:lang w:val="en-GB"/>
              </w:rPr>
              <w:t>0.002</w:t>
            </w:r>
          </w:p>
          <w:p w:rsidR="00A3048D" w:rsidRPr="000B71A0" w:rsidRDefault="00A3048D" w:rsidP="003D2CCD">
            <w:pPr>
              <w:spacing w:line="360" w:lineRule="auto"/>
              <w:rPr>
                <w:sz w:val="20"/>
                <w:szCs w:val="20"/>
                <w:lang w:val="en-GB"/>
              </w:rPr>
            </w:pPr>
            <w:r>
              <w:rPr>
                <w:sz w:val="20"/>
                <w:szCs w:val="20"/>
                <w:lang w:val="en-GB"/>
              </w:rPr>
              <w:t>(</w:t>
            </w:r>
            <w:r w:rsidRPr="00A3048D">
              <w:rPr>
                <w:sz w:val="20"/>
                <w:szCs w:val="20"/>
                <w:lang w:val="en-GB"/>
              </w:rPr>
              <w:t>1379.783</w:t>
            </w:r>
            <w:r>
              <w:rPr>
                <w:sz w:val="20"/>
                <w:szCs w:val="20"/>
                <w:lang w:val="en-GB"/>
              </w:rPr>
              <w:t>)</w:t>
            </w:r>
          </w:p>
        </w:tc>
      </w:tr>
      <w:tr w:rsidR="003A6CFC" w:rsidRPr="000B71A0" w:rsidTr="003A6CFC">
        <w:tc>
          <w:tcPr>
            <w:tcW w:w="720" w:type="pct"/>
          </w:tcPr>
          <w:p w:rsidR="003A6CFC" w:rsidRPr="000B71A0" w:rsidRDefault="003A6CFC" w:rsidP="003D2CCD">
            <w:pPr>
              <w:spacing w:line="360" w:lineRule="auto"/>
              <w:rPr>
                <w:sz w:val="20"/>
                <w:szCs w:val="20"/>
                <w:lang w:val="en-GB"/>
              </w:rPr>
            </w:pPr>
            <w:r w:rsidRPr="000B71A0">
              <w:rPr>
                <w:sz w:val="20"/>
                <w:szCs w:val="20"/>
                <w:lang w:val="en-GB"/>
              </w:rPr>
              <w:t>Government expenditure volatility</w:t>
            </w:r>
          </w:p>
        </w:tc>
        <w:tc>
          <w:tcPr>
            <w:tcW w:w="2110" w:type="pct"/>
          </w:tcPr>
          <w:p w:rsidR="003A6CFC" w:rsidRPr="000B71A0" w:rsidRDefault="003A6CFC" w:rsidP="003D2CCD">
            <w:pPr>
              <w:spacing w:line="360" w:lineRule="auto"/>
              <w:jc w:val="both"/>
              <w:rPr>
                <w:sz w:val="20"/>
                <w:szCs w:val="20"/>
                <w:lang w:val="en-GB"/>
              </w:rPr>
            </w:pPr>
            <w:r w:rsidRPr="000B71A0">
              <w:rPr>
                <w:rFonts w:eastAsia="TimesNewRomanPSMT"/>
                <w:sz w:val="20"/>
                <w:szCs w:val="20"/>
                <w:lang w:val="en-GB"/>
              </w:rPr>
              <w:t>Standard deviation of the ratio of general government total expenditure (</w:t>
            </w:r>
            <w:r w:rsidRPr="000B71A0">
              <w:rPr>
                <w:sz w:val="20"/>
                <w:szCs w:val="20"/>
                <w:lang w:val="en-GB"/>
              </w:rPr>
              <w:t xml:space="preserve">total expense and the net acquisition of nonfinancial assets) </w:t>
            </w:r>
            <w:r w:rsidRPr="000B71A0">
              <w:rPr>
                <w:rFonts w:eastAsia="TimesNewRomanPSMT"/>
                <w:sz w:val="20"/>
                <w:szCs w:val="20"/>
                <w:lang w:val="en-GB"/>
              </w:rPr>
              <w:t>to GDP.</w:t>
            </w:r>
          </w:p>
        </w:tc>
        <w:tc>
          <w:tcPr>
            <w:tcW w:w="1039" w:type="pct"/>
          </w:tcPr>
          <w:p w:rsidR="003A6CFC" w:rsidRPr="000B71A0" w:rsidRDefault="003A6CFC" w:rsidP="003D2CCD">
            <w:pPr>
              <w:spacing w:line="360" w:lineRule="auto"/>
              <w:rPr>
                <w:sz w:val="20"/>
                <w:szCs w:val="20"/>
                <w:lang w:val="en-GB"/>
              </w:rPr>
            </w:pPr>
            <w:r w:rsidRPr="000B71A0">
              <w:rPr>
                <w:sz w:val="20"/>
                <w:szCs w:val="20"/>
                <w:lang w:val="en-GB"/>
              </w:rPr>
              <w:t>World Economic Outlook (WEO)</w:t>
            </w:r>
          </w:p>
        </w:tc>
        <w:tc>
          <w:tcPr>
            <w:tcW w:w="568" w:type="pct"/>
          </w:tcPr>
          <w:p w:rsidR="003A6CFC" w:rsidRDefault="005457E9" w:rsidP="003D2CCD">
            <w:pPr>
              <w:spacing w:line="360" w:lineRule="auto"/>
              <w:rPr>
                <w:sz w:val="20"/>
                <w:szCs w:val="20"/>
                <w:lang w:val="en-GB"/>
              </w:rPr>
            </w:pPr>
            <w:r>
              <w:rPr>
                <w:sz w:val="20"/>
                <w:szCs w:val="20"/>
                <w:lang w:val="en-GB"/>
              </w:rPr>
              <w:t>3.229</w:t>
            </w:r>
          </w:p>
          <w:p w:rsidR="005457E9" w:rsidRPr="000B71A0" w:rsidRDefault="005457E9" w:rsidP="003D2CCD">
            <w:pPr>
              <w:spacing w:line="360" w:lineRule="auto"/>
              <w:rPr>
                <w:sz w:val="20"/>
                <w:szCs w:val="20"/>
                <w:lang w:val="en-GB"/>
              </w:rPr>
            </w:pPr>
            <w:r>
              <w:rPr>
                <w:sz w:val="20"/>
                <w:szCs w:val="20"/>
                <w:lang w:val="en-GB"/>
              </w:rPr>
              <w:t>(3.339)</w:t>
            </w:r>
          </w:p>
        </w:tc>
        <w:tc>
          <w:tcPr>
            <w:tcW w:w="563" w:type="pct"/>
            <w:gridSpan w:val="2"/>
          </w:tcPr>
          <w:p w:rsidR="003A6CFC" w:rsidRDefault="005457E9" w:rsidP="003D2CCD">
            <w:pPr>
              <w:spacing w:line="360" w:lineRule="auto"/>
              <w:rPr>
                <w:sz w:val="20"/>
                <w:szCs w:val="20"/>
                <w:lang w:val="en-GB"/>
              </w:rPr>
            </w:pPr>
            <w:r>
              <w:rPr>
                <w:sz w:val="20"/>
                <w:szCs w:val="20"/>
                <w:lang w:val="en-GB"/>
              </w:rPr>
              <w:t>0</w:t>
            </w:r>
          </w:p>
          <w:p w:rsidR="005457E9" w:rsidRPr="000B71A0" w:rsidRDefault="005457E9" w:rsidP="003D2CCD">
            <w:pPr>
              <w:spacing w:line="360" w:lineRule="auto"/>
              <w:rPr>
                <w:sz w:val="20"/>
                <w:szCs w:val="20"/>
                <w:lang w:val="en-GB"/>
              </w:rPr>
            </w:pPr>
            <w:r>
              <w:rPr>
                <w:sz w:val="20"/>
                <w:szCs w:val="20"/>
                <w:lang w:val="en-GB"/>
              </w:rPr>
              <w:t>(23.24)</w:t>
            </w:r>
          </w:p>
        </w:tc>
      </w:tr>
      <w:tr w:rsidR="003A6CFC" w:rsidRPr="000B71A0" w:rsidTr="003A6CFC">
        <w:tc>
          <w:tcPr>
            <w:tcW w:w="5000" w:type="pct"/>
            <w:gridSpan w:val="6"/>
          </w:tcPr>
          <w:p w:rsidR="003A6CFC" w:rsidRPr="000B71A0" w:rsidRDefault="003A6CFC" w:rsidP="003D2CCD">
            <w:pPr>
              <w:spacing w:line="360" w:lineRule="auto"/>
              <w:rPr>
                <w:sz w:val="20"/>
                <w:szCs w:val="20"/>
                <w:lang w:val="en-GB"/>
              </w:rPr>
            </w:pPr>
            <w:r w:rsidRPr="000B71A0">
              <w:rPr>
                <w:b/>
                <w:bCs/>
                <w:i/>
                <w:iCs/>
                <w:sz w:val="20"/>
                <w:szCs w:val="20"/>
                <w:lang w:val="en-GB"/>
              </w:rPr>
              <w:t>Variables influencing the transmission of shocks</w:t>
            </w:r>
          </w:p>
        </w:tc>
      </w:tr>
      <w:tr w:rsidR="003A6CFC" w:rsidRPr="000B71A0" w:rsidTr="003A6CFC">
        <w:tc>
          <w:tcPr>
            <w:tcW w:w="720" w:type="pct"/>
          </w:tcPr>
          <w:p w:rsidR="003A6CFC" w:rsidRPr="000B71A0" w:rsidRDefault="003A6CFC" w:rsidP="003D2CCD">
            <w:pPr>
              <w:spacing w:line="360" w:lineRule="auto"/>
              <w:rPr>
                <w:sz w:val="20"/>
                <w:szCs w:val="20"/>
                <w:lang w:val="en-GB"/>
              </w:rPr>
            </w:pPr>
            <w:r w:rsidRPr="000B71A0">
              <w:rPr>
                <w:sz w:val="20"/>
                <w:szCs w:val="20"/>
                <w:lang w:val="en-GB"/>
              </w:rPr>
              <w:t>Export diversification</w:t>
            </w:r>
          </w:p>
        </w:tc>
        <w:tc>
          <w:tcPr>
            <w:tcW w:w="2110" w:type="pct"/>
          </w:tcPr>
          <w:p w:rsidR="003A6CFC" w:rsidRDefault="005457E9" w:rsidP="005457E9">
            <w:pPr>
              <w:autoSpaceDE w:val="0"/>
              <w:autoSpaceDN w:val="0"/>
              <w:adjustRightInd w:val="0"/>
              <w:spacing w:line="360" w:lineRule="auto"/>
              <w:jc w:val="both"/>
              <w:rPr>
                <w:sz w:val="20"/>
                <w:szCs w:val="20"/>
                <w:lang w:val="en-GB"/>
              </w:rPr>
            </w:pPr>
            <w:r>
              <w:rPr>
                <w:sz w:val="20"/>
                <w:szCs w:val="20"/>
                <w:lang w:val="en-GB"/>
              </w:rPr>
              <w:t xml:space="preserve">Herfindahl index, Gini coefficient, total Theil and components of the Theil index: </w:t>
            </w:r>
            <w:r w:rsidRPr="000B71A0">
              <w:rPr>
                <w:sz w:val="20"/>
                <w:szCs w:val="20"/>
                <w:lang w:val="en-GB"/>
              </w:rPr>
              <w:t xml:space="preserve">the between </w:t>
            </w:r>
            <w:r>
              <w:rPr>
                <w:sz w:val="20"/>
                <w:szCs w:val="20"/>
                <w:lang w:val="en-GB"/>
              </w:rPr>
              <w:t xml:space="preserve">(extensive) </w:t>
            </w:r>
            <w:r w:rsidRPr="000B71A0">
              <w:rPr>
                <w:sz w:val="20"/>
                <w:szCs w:val="20"/>
                <w:lang w:val="en-GB"/>
              </w:rPr>
              <w:t>and the within</w:t>
            </w:r>
            <w:r>
              <w:rPr>
                <w:sz w:val="20"/>
                <w:szCs w:val="20"/>
                <w:lang w:val="en-GB"/>
              </w:rPr>
              <w:t xml:space="preserve"> (intensive)</w:t>
            </w:r>
          </w:p>
          <w:p w:rsidR="005457E9" w:rsidRPr="000B71A0" w:rsidRDefault="005457E9" w:rsidP="005457E9">
            <w:pPr>
              <w:autoSpaceDE w:val="0"/>
              <w:autoSpaceDN w:val="0"/>
              <w:adjustRightInd w:val="0"/>
              <w:spacing w:line="360" w:lineRule="auto"/>
              <w:jc w:val="both"/>
              <w:rPr>
                <w:sz w:val="20"/>
                <w:szCs w:val="20"/>
                <w:lang w:val="en-GB"/>
              </w:rPr>
            </w:pPr>
            <w:r>
              <w:rPr>
                <w:sz w:val="20"/>
                <w:szCs w:val="20"/>
                <w:lang w:val="en-GB"/>
              </w:rPr>
              <w:t>The main results explained with the within component.</w:t>
            </w:r>
          </w:p>
        </w:tc>
        <w:tc>
          <w:tcPr>
            <w:tcW w:w="1039" w:type="pct"/>
          </w:tcPr>
          <w:p w:rsidR="003A6CFC" w:rsidRPr="000B71A0" w:rsidRDefault="003A6CFC" w:rsidP="003D2CCD">
            <w:pPr>
              <w:spacing w:line="360" w:lineRule="auto"/>
              <w:rPr>
                <w:sz w:val="20"/>
                <w:szCs w:val="20"/>
                <w:lang w:val="en-GB"/>
              </w:rPr>
            </w:pPr>
            <w:r w:rsidRPr="000B71A0">
              <w:rPr>
                <w:sz w:val="20"/>
                <w:szCs w:val="20"/>
                <w:lang w:val="en-GB"/>
              </w:rPr>
              <w:t>Author's own calculation using export data at the HS6-digit level from UNCTAD</w:t>
            </w:r>
          </w:p>
        </w:tc>
        <w:tc>
          <w:tcPr>
            <w:tcW w:w="568" w:type="pct"/>
          </w:tcPr>
          <w:p w:rsidR="003A6CFC" w:rsidRDefault="005457E9" w:rsidP="003D2CCD">
            <w:pPr>
              <w:spacing w:line="360" w:lineRule="auto"/>
              <w:rPr>
                <w:sz w:val="20"/>
                <w:szCs w:val="20"/>
                <w:lang w:val="en-GB"/>
              </w:rPr>
            </w:pPr>
            <w:r>
              <w:rPr>
                <w:sz w:val="20"/>
                <w:szCs w:val="20"/>
                <w:lang w:val="en-GB"/>
              </w:rPr>
              <w:t>5.306</w:t>
            </w:r>
          </w:p>
          <w:p w:rsidR="005457E9" w:rsidRPr="000B71A0" w:rsidRDefault="005457E9" w:rsidP="003D2CCD">
            <w:pPr>
              <w:spacing w:line="360" w:lineRule="auto"/>
              <w:rPr>
                <w:sz w:val="20"/>
                <w:szCs w:val="20"/>
                <w:lang w:val="en-GB"/>
              </w:rPr>
            </w:pPr>
            <w:r>
              <w:rPr>
                <w:sz w:val="20"/>
                <w:szCs w:val="20"/>
                <w:lang w:val="en-GB"/>
              </w:rPr>
              <w:t>(0.981)</w:t>
            </w:r>
          </w:p>
        </w:tc>
        <w:tc>
          <w:tcPr>
            <w:tcW w:w="563" w:type="pct"/>
            <w:gridSpan w:val="2"/>
          </w:tcPr>
          <w:p w:rsidR="003A6CFC" w:rsidRDefault="005457E9" w:rsidP="003D2CCD">
            <w:pPr>
              <w:spacing w:line="360" w:lineRule="auto"/>
              <w:rPr>
                <w:sz w:val="20"/>
                <w:szCs w:val="20"/>
                <w:lang w:val="en-GB"/>
              </w:rPr>
            </w:pPr>
            <w:r>
              <w:rPr>
                <w:sz w:val="20"/>
                <w:szCs w:val="20"/>
                <w:lang w:val="en-GB"/>
              </w:rPr>
              <w:t>1.722</w:t>
            </w:r>
          </w:p>
          <w:p w:rsidR="005457E9" w:rsidRPr="000B71A0" w:rsidRDefault="005457E9" w:rsidP="003D2CCD">
            <w:pPr>
              <w:spacing w:line="360" w:lineRule="auto"/>
              <w:rPr>
                <w:sz w:val="20"/>
                <w:szCs w:val="20"/>
                <w:lang w:val="en-GB"/>
              </w:rPr>
            </w:pPr>
            <w:r>
              <w:rPr>
                <w:sz w:val="20"/>
                <w:szCs w:val="20"/>
                <w:lang w:val="en-GB"/>
              </w:rPr>
              <w:t>(6.759)</w:t>
            </w:r>
          </w:p>
        </w:tc>
      </w:tr>
      <w:tr w:rsidR="003A6CFC" w:rsidRPr="000B71A0" w:rsidTr="003A6CFC">
        <w:tc>
          <w:tcPr>
            <w:tcW w:w="720" w:type="pct"/>
          </w:tcPr>
          <w:p w:rsidR="003A6CFC" w:rsidRPr="000B71A0" w:rsidRDefault="003A6CFC" w:rsidP="003D2CCD">
            <w:pPr>
              <w:spacing w:line="360" w:lineRule="auto"/>
              <w:rPr>
                <w:sz w:val="20"/>
                <w:szCs w:val="20"/>
                <w:lang w:val="en-GB"/>
              </w:rPr>
            </w:pPr>
            <w:r w:rsidRPr="000B71A0">
              <w:rPr>
                <w:sz w:val="20"/>
                <w:szCs w:val="20"/>
                <w:lang w:val="en-GB"/>
              </w:rPr>
              <w:t>Trade openness</w:t>
            </w:r>
          </w:p>
        </w:tc>
        <w:tc>
          <w:tcPr>
            <w:tcW w:w="2110" w:type="pct"/>
          </w:tcPr>
          <w:p w:rsidR="003A6CFC" w:rsidRPr="000B71A0" w:rsidRDefault="003A6CFC" w:rsidP="007D1D0B">
            <w:pPr>
              <w:autoSpaceDE w:val="0"/>
              <w:autoSpaceDN w:val="0"/>
              <w:adjustRightInd w:val="0"/>
              <w:spacing w:line="360" w:lineRule="auto"/>
              <w:rPr>
                <w:sz w:val="20"/>
                <w:szCs w:val="20"/>
                <w:lang w:val="en-GB"/>
              </w:rPr>
            </w:pPr>
            <w:r w:rsidRPr="000B71A0">
              <w:rPr>
                <w:sz w:val="20"/>
                <w:szCs w:val="20"/>
                <w:lang w:val="en-GB"/>
              </w:rPr>
              <w:t>The trade dependency ratio is the sum of exports and imports of goods and services measured as a share of gross domestic product.</w:t>
            </w:r>
          </w:p>
        </w:tc>
        <w:tc>
          <w:tcPr>
            <w:tcW w:w="1039" w:type="pct"/>
          </w:tcPr>
          <w:p w:rsidR="003A6CFC" w:rsidRPr="000B71A0" w:rsidRDefault="003A6CFC" w:rsidP="003D2CCD">
            <w:pPr>
              <w:spacing w:line="360" w:lineRule="auto"/>
              <w:rPr>
                <w:sz w:val="20"/>
                <w:szCs w:val="20"/>
                <w:lang w:val="en-GB"/>
              </w:rPr>
            </w:pPr>
            <w:r w:rsidRPr="000B71A0">
              <w:rPr>
                <w:sz w:val="20"/>
                <w:szCs w:val="20"/>
                <w:lang w:val="en-GB"/>
              </w:rPr>
              <w:t>World Bank, World Development Indicators</w:t>
            </w:r>
          </w:p>
        </w:tc>
        <w:tc>
          <w:tcPr>
            <w:tcW w:w="568" w:type="pct"/>
          </w:tcPr>
          <w:p w:rsidR="003A6CFC" w:rsidRDefault="005457E9" w:rsidP="003D2CCD">
            <w:pPr>
              <w:spacing w:line="360" w:lineRule="auto"/>
              <w:rPr>
                <w:sz w:val="20"/>
                <w:szCs w:val="20"/>
                <w:lang w:val="en-GB"/>
              </w:rPr>
            </w:pPr>
            <w:r>
              <w:rPr>
                <w:sz w:val="20"/>
                <w:szCs w:val="20"/>
                <w:lang w:val="en-GB"/>
              </w:rPr>
              <w:t>100.963</w:t>
            </w:r>
          </w:p>
          <w:p w:rsidR="005457E9" w:rsidRPr="000B71A0" w:rsidRDefault="005457E9" w:rsidP="003D2CCD">
            <w:pPr>
              <w:spacing w:line="360" w:lineRule="auto"/>
              <w:rPr>
                <w:sz w:val="20"/>
                <w:szCs w:val="20"/>
                <w:lang w:val="en-GB"/>
              </w:rPr>
            </w:pPr>
            <w:r>
              <w:rPr>
                <w:sz w:val="20"/>
                <w:szCs w:val="20"/>
                <w:lang w:val="en-GB"/>
              </w:rPr>
              <w:t>(31.01)</w:t>
            </w:r>
          </w:p>
        </w:tc>
        <w:tc>
          <w:tcPr>
            <w:tcW w:w="563" w:type="pct"/>
            <w:gridSpan w:val="2"/>
          </w:tcPr>
          <w:p w:rsidR="003A6CFC" w:rsidRDefault="005457E9" w:rsidP="003D2CCD">
            <w:pPr>
              <w:spacing w:line="360" w:lineRule="auto"/>
              <w:rPr>
                <w:sz w:val="20"/>
                <w:szCs w:val="20"/>
                <w:lang w:val="en-GB"/>
              </w:rPr>
            </w:pPr>
            <w:r>
              <w:rPr>
                <w:sz w:val="20"/>
                <w:szCs w:val="20"/>
                <w:lang w:val="en-GB"/>
              </w:rPr>
              <w:t>47.211</w:t>
            </w:r>
          </w:p>
          <w:p w:rsidR="005457E9" w:rsidRPr="000B71A0" w:rsidRDefault="005457E9" w:rsidP="003D2CCD">
            <w:pPr>
              <w:spacing w:line="360" w:lineRule="auto"/>
              <w:rPr>
                <w:sz w:val="20"/>
                <w:szCs w:val="20"/>
                <w:lang w:val="en-GB"/>
              </w:rPr>
            </w:pPr>
            <w:r>
              <w:rPr>
                <w:sz w:val="20"/>
                <w:szCs w:val="20"/>
                <w:lang w:val="en-GB"/>
              </w:rPr>
              <w:t>(199.675)</w:t>
            </w:r>
          </w:p>
        </w:tc>
      </w:tr>
      <w:tr w:rsidR="003A6CFC" w:rsidRPr="000B71A0" w:rsidTr="003A6CFC">
        <w:tc>
          <w:tcPr>
            <w:tcW w:w="720" w:type="pct"/>
          </w:tcPr>
          <w:p w:rsidR="003A6CFC" w:rsidRPr="000B71A0" w:rsidRDefault="003A6CFC" w:rsidP="003D2CCD">
            <w:pPr>
              <w:spacing w:line="360" w:lineRule="auto"/>
              <w:rPr>
                <w:sz w:val="20"/>
                <w:szCs w:val="20"/>
                <w:lang w:val="en-GB"/>
              </w:rPr>
            </w:pPr>
            <w:r w:rsidRPr="000B71A0">
              <w:rPr>
                <w:sz w:val="20"/>
                <w:szCs w:val="20"/>
                <w:lang w:val="en-GB"/>
              </w:rPr>
              <w:lastRenderedPageBreak/>
              <w:t>Financial openness</w:t>
            </w:r>
          </w:p>
        </w:tc>
        <w:tc>
          <w:tcPr>
            <w:tcW w:w="2110" w:type="pct"/>
          </w:tcPr>
          <w:p w:rsidR="003A6CFC" w:rsidRPr="000B71A0" w:rsidRDefault="003A6CFC" w:rsidP="003D2CCD">
            <w:pPr>
              <w:spacing w:line="360" w:lineRule="auto"/>
              <w:jc w:val="both"/>
              <w:rPr>
                <w:sz w:val="20"/>
                <w:szCs w:val="20"/>
                <w:lang w:val="en-GB"/>
              </w:rPr>
            </w:pPr>
            <w:r w:rsidRPr="000B71A0">
              <w:rPr>
                <w:sz w:val="20"/>
                <w:szCs w:val="20"/>
                <w:lang w:val="en-GB"/>
              </w:rPr>
              <w:t>An index of restrictions on cross-border transactions.</w:t>
            </w:r>
          </w:p>
          <w:p w:rsidR="003A6CFC" w:rsidRPr="000B71A0" w:rsidRDefault="003A6CFC" w:rsidP="003D2CCD">
            <w:pPr>
              <w:spacing w:line="360" w:lineRule="auto"/>
              <w:jc w:val="both"/>
              <w:rPr>
                <w:sz w:val="20"/>
                <w:szCs w:val="20"/>
                <w:lang w:val="en-GB"/>
              </w:rPr>
            </w:pPr>
            <w:r w:rsidRPr="000B71A0">
              <w:rPr>
                <w:sz w:val="20"/>
                <w:szCs w:val="20"/>
                <w:lang w:val="en-GB"/>
              </w:rPr>
              <w:t>The index includes capital flows and capital restrictions</w:t>
            </w:r>
          </w:p>
        </w:tc>
        <w:tc>
          <w:tcPr>
            <w:tcW w:w="1039" w:type="pct"/>
          </w:tcPr>
          <w:p w:rsidR="003A6CFC" w:rsidRPr="000B71A0" w:rsidRDefault="003A6CFC" w:rsidP="003D2CCD">
            <w:pPr>
              <w:spacing w:line="360" w:lineRule="auto"/>
              <w:rPr>
                <w:sz w:val="20"/>
                <w:szCs w:val="20"/>
                <w:lang w:val="en-GB"/>
              </w:rPr>
            </w:pPr>
            <w:r w:rsidRPr="000B71A0">
              <w:rPr>
                <w:sz w:val="20"/>
                <w:szCs w:val="20"/>
                <w:lang w:val="en-GB"/>
              </w:rPr>
              <w:t>Chin and Ito (2008)</w:t>
            </w:r>
          </w:p>
        </w:tc>
        <w:tc>
          <w:tcPr>
            <w:tcW w:w="568" w:type="pct"/>
          </w:tcPr>
          <w:p w:rsidR="003A6CFC" w:rsidRDefault="005457E9" w:rsidP="003D2CCD">
            <w:pPr>
              <w:spacing w:line="360" w:lineRule="auto"/>
              <w:rPr>
                <w:sz w:val="20"/>
                <w:szCs w:val="20"/>
                <w:lang w:val="en-GB"/>
              </w:rPr>
            </w:pPr>
            <w:r>
              <w:rPr>
                <w:sz w:val="20"/>
                <w:szCs w:val="20"/>
                <w:lang w:val="en-GB"/>
              </w:rPr>
              <w:t>0.414</w:t>
            </w:r>
          </w:p>
          <w:p w:rsidR="005457E9" w:rsidRPr="000B71A0" w:rsidRDefault="005457E9" w:rsidP="003D2CCD">
            <w:pPr>
              <w:spacing w:line="360" w:lineRule="auto"/>
              <w:rPr>
                <w:sz w:val="20"/>
                <w:szCs w:val="20"/>
                <w:lang w:val="en-GB"/>
              </w:rPr>
            </w:pPr>
            <w:r>
              <w:rPr>
                <w:sz w:val="20"/>
                <w:szCs w:val="20"/>
                <w:lang w:val="en-GB"/>
              </w:rPr>
              <w:t>(3.339)</w:t>
            </w:r>
          </w:p>
        </w:tc>
        <w:tc>
          <w:tcPr>
            <w:tcW w:w="563" w:type="pct"/>
            <w:gridSpan w:val="2"/>
          </w:tcPr>
          <w:p w:rsidR="003A6CFC" w:rsidRDefault="005457E9" w:rsidP="003D2CCD">
            <w:pPr>
              <w:spacing w:line="360" w:lineRule="auto"/>
              <w:rPr>
                <w:sz w:val="20"/>
                <w:szCs w:val="20"/>
                <w:lang w:val="en-GB"/>
              </w:rPr>
            </w:pPr>
            <w:r>
              <w:rPr>
                <w:sz w:val="20"/>
                <w:szCs w:val="20"/>
                <w:lang w:val="en-GB"/>
              </w:rPr>
              <w:t>0</w:t>
            </w:r>
          </w:p>
          <w:p w:rsidR="005457E9" w:rsidRPr="000B71A0" w:rsidRDefault="005457E9" w:rsidP="003D2CCD">
            <w:pPr>
              <w:spacing w:line="360" w:lineRule="auto"/>
              <w:rPr>
                <w:sz w:val="20"/>
                <w:szCs w:val="20"/>
                <w:lang w:val="en-GB"/>
              </w:rPr>
            </w:pPr>
            <w:r>
              <w:rPr>
                <w:sz w:val="20"/>
                <w:szCs w:val="20"/>
                <w:lang w:val="en-GB"/>
              </w:rPr>
              <w:t>(23.242)</w:t>
            </w:r>
          </w:p>
        </w:tc>
      </w:tr>
      <w:tr w:rsidR="003A6CFC" w:rsidRPr="000B71A0" w:rsidTr="003A6CFC">
        <w:tc>
          <w:tcPr>
            <w:tcW w:w="720" w:type="pct"/>
          </w:tcPr>
          <w:p w:rsidR="003A6CFC" w:rsidRPr="000B71A0" w:rsidRDefault="003A6CFC" w:rsidP="003D2CCD">
            <w:pPr>
              <w:spacing w:line="360" w:lineRule="auto"/>
              <w:rPr>
                <w:sz w:val="20"/>
                <w:szCs w:val="20"/>
                <w:lang w:val="en-GB"/>
              </w:rPr>
            </w:pPr>
            <w:r w:rsidRPr="000B71A0">
              <w:rPr>
                <w:sz w:val="20"/>
                <w:szCs w:val="20"/>
                <w:lang w:val="en-GB"/>
              </w:rPr>
              <w:t>Credit to private sector</w:t>
            </w:r>
          </w:p>
        </w:tc>
        <w:tc>
          <w:tcPr>
            <w:tcW w:w="2110" w:type="pct"/>
          </w:tcPr>
          <w:p w:rsidR="003A6CFC" w:rsidRPr="000B71A0" w:rsidRDefault="003A6CFC" w:rsidP="003A6CFC">
            <w:pPr>
              <w:autoSpaceDE w:val="0"/>
              <w:autoSpaceDN w:val="0"/>
              <w:adjustRightInd w:val="0"/>
              <w:spacing w:line="360" w:lineRule="auto"/>
              <w:jc w:val="both"/>
              <w:rPr>
                <w:sz w:val="20"/>
                <w:szCs w:val="20"/>
                <w:lang w:val="en-GB"/>
              </w:rPr>
            </w:pPr>
            <w:r w:rsidRPr="000B71A0">
              <w:rPr>
                <w:sz w:val="20"/>
                <w:szCs w:val="20"/>
                <w:lang w:val="en-GB"/>
              </w:rPr>
              <w:t>Financial resources provided</w:t>
            </w:r>
            <w:r>
              <w:rPr>
                <w:sz w:val="20"/>
                <w:szCs w:val="20"/>
                <w:lang w:val="en-GB"/>
              </w:rPr>
              <w:t xml:space="preserve"> to the private sector, such as </w:t>
            </w:r>
            <w:r w:rsidRPr="000B71A0">
              <w:rPr>
                <w:sz w:val="20"/>
                <w:szCs w:val="20"/>
                <w:lang w:val="en-GB"/>
              </w:rPr>
              <w:t>loans, purchases of non-equity securities, and trade credits and other accounts receivable that es</w:t>
            </w:r>
            <w:r>
              <w:rPr>
                <w:sz w:val="20"/>
                <w:szCs w:val="20"/>
                <w:lang w:val="en-GB"/>
              </w:rPr>
              <w:t xml:space="preserve">tablish a claim for repayment. </w:t>
            </w:r>
          </w:p>
        </w:tc>
        <w:tc>
          <w:tcPr>
            <w:tcW w:w="1039" w:type="pct"/>
          </w:tcPr>
          <w:p w:rsidR="003A6CFC" w:rsidRPr="000B71A0" w:rsidRDefault="003A6CFC" w:rsidP="003D2CCD">
            <w:pPr>
              <w:spacing w:line="360" w:lineRule="auto"/>
              <w:rPr>
                <w:sz w:val="20"/>
                <w:szCs w:val="20"/>
                <w:lang w:val="en-GB"/>
              </w:rPr>
            </w:pPr>
            <w:r w:rsidRPr="000B71A0">
              <w:rPr>
                <w:sz w:val="20"/>
                <w:szCs w:val="20"/>
                <w:lang w:val="en-GB"/>
              </w:rPr>
              <w:t>WB, World Development Indicators</w:t>
            </w:r>
          </w:p>
        </w:tc>
        <w:tc>
          <w:tcPr>
            <w:tcW w:w="568" w:type="pct"/>
          </w:tcPr>
          <w:p w:rsidR="003A6CFC" w:rsidRDefault="005457E9" w:rsidP="003D2CCD">
            <w:pPr>
              <w:spacing w:line="360" w:lineRule="auto"/>
              <w:rPr>
                <w:sz w:val="20"/>
                <w:szCs w:val="20"/>
                <w:lang w:val="en-GB"/>
              </w:rPr>
            </w:pPr>
            <w:r>
              <w:rPr>
                <w:sz w:val="20"/>
                <w:szCs w:val="20"/>
                <w:lang w:val="en-GB"/>
              </w:rPr>
              <w:t>31.012</w:t>
            </w:r>
          </w:p>
          <w:p w:rsidR="005457E9" w:rsidRPr="000B71A0" w:rsidRDefault="005457E9" w:rsidP="003D2CCD">
            <w:pPr>
              <w:spacing w:line="360" w:lineRule="auto"/>
              <w:rPr>
                <w:sz w:val="20"/>
                <w:szCs w:val="20"/>
                <w:lang w:val="en-GB"/>
              </w:rPr>
            </w:pPr>
            <w:r>
              <w:rPr>
                <w:sz w:val="20"/>
                <w:szCs w:val="20"/>
                <w:lang w:val="en-GB"/>
              </w:rPr>
              <w:t>(23.876)</w:t>
            </w:r>
          </w:p>
        </w:tc>
        <w:tc>
          <w:tcPr>
            <w:tcW w:w="563" w:type="pct"/>
            <w:gridSpan w:val="2"/>
          </w:tcPr>
          <w:p w:rsidR="003A6CFC" w:rsidRDefault="005457E9" w:rsidP="003D2CCD">
            <w:pPr>
              <w:spacing w:line="360" w:lineRule="auto"/>
              <w:rPr>
                <w:sz w:val="20"/>
                <w:szCs w:val="20"/>
                <w:lang w:val="en-GB"/>
              </w:rPr>
            </w:pPr>
            <w:r>
              <w:rPr>
                <w:sz w:val="20"/>
                <w:szCs w:val="20"/>
                <w:lang w:val="en-GB"/>
              </w:rPr>
              <w:t>2.449</w:t>
            </w:r>
          </w:p>
          <w:p w:rsidR="005457E9" w:rsidRPr="000B71A0" w:rsidRDefault="005457E9" w:rsidP="003D2CCD">
            <w:pPr>
              <w:spacing w:line="360" w:lineRule="auto"/>
              <w:rPr>
                <w:sz w:val="20"/>
                <w:szCs w:val="20"/>
                <w:lang w:val="en-GB"/>
              </w:rPr>
            </w:pPr>
            <w:r>
              <w:rPr>
                <w:sz w:val="20"/>
                <w:szCs w:val="20"/>
                <w:lang w:val="en-GB"/>
              </w:rPr>
              <w:t>(109.082)</w:t>
            </w:r>
          </w:p>
        </w:tc>
      </w:tr>
      <w:tr w:rsidR="003A6CFC" w:rsidRPr="000B71A0" w:rsidTr="003A6CFC">
        <w:tc>
          <w:tcPr>
            <w:tcW w:w="720" w:type="pct"/>
          </w:tcPr>
          <w:p w:rsidR="003A6CFC" w:rsidRPr="00597728" w:rsidRDefault="003A6CFC" w:rsidP="003D2CCD">
            <w:pPr>
              <w:spacing w:line="360" w:lineRule="auto"/>
              <w:rPr>
                <w:sz w:val="20"/>
                <w:szCs w:val="20"/>
                <w:lang w:val="en-GB"/>
              </w:rPr>
            </w:pPr>
            <w:r w:rsidRPr="00597728">
              <w:rPr>
                <w:sz w:val="20"/>
                <w:szCs w:val="20"/>
                <w:lang w:val="en-GB"/>
              </w:rPr>
              <w:t xml:space="preserve">Institutional  quality </w:t>
            </w:r>
          </w:p>
        </w:tc>
        <w:tc>
          <w:tcPr>
            <w:tcW w:w="2110" w:type="pct"/>
          </w:tcPr>
          <w:p w:rsidR="003A6CFC" w:rsidRPr="00597728" w:rsidRDefault="003A6CFC" w:rsidP="003D2CCD">
            <w:pPr>
              <w:autoSpaceDE w:val="0"/>
              <w:autoSpaceDN w:val="0"/>
              <w:adjustRightInd w:val="0"/>
              <w:spacing w:line="360" w:lineRule="auto"/>
              <w:rPr>
                <w:rFonts w:eastAsia="TTE6B86280t00"/>
                <w:sz w:val="20"/>
                <w:szCs w:val="20"/>
                <w:lang w:val="en-GB"/>
              </w:rPr>
            </w:pPr>
            <w:r>
              <w:rPr>
                <w:rFonts w:eastAsia="TTE6B86280t00"/>
                <w:sz w:val="20"/>
                <w:szCs w:val="20"/>
                <w:lang w:val="en-GB"/>
              </w:rPr>
              <w:t xml:space="preserve">Index of political rights, ranging </w:t>
            </w:r>
            <w:r w:rsidRPr="00597728">
              <w:rPr>
                <w:rStyle w:val="Emphasis"/>
                <w:i w:val="0"/>
                <w:sz w:val="20"/>
                <w:szCs w:val="20"/>
              </w:rPr>
              <w:t>from 1 to 7—for political rights and civil liberties, with 1 representing the most free and 7 the least free.</w:t>
            </w:r>
          </w:p>
        </w:tc>
        <w:tc>
          <w:tcPr>
            <w:tcW w:w="1039" w:type="pct"/>
          </w:tcPr>
          <w:p w:rsidR="003A6CFC" w:rsidRPr="000B71A0" w:rsidRDefault="003A6CFC" w:rsidP="003D2CCD">
            <w:pPr>
              <w:spacing w:line="360" w:lineRule="auto"/>
              <w:rPr>
                <w:sz w:val="20"/>
                <w:szCs w:val="20"/>
                <w:lang w:val="en-GB"/>
              </w:rPr>
            </w:pPr>
            <w:r>
              <w:rPr>
                <w:sz w:val="20"/>
                <w:szCs w:val="20"/>
                <w:lang w:val="en-GB"/>
              </w:rPr>
              <w:t>Freedom House</w:t>
            </w:r>
          </w:p>
        </w:tc>
        <w:tc>
          <w:tcPr>
            <w:tcW w:w="568" w:type="pct"/>
          </w:tcPr>
          <w:p w:rsidR="003A6CFC" w:rsidRDefault="005457E9" w:rsidP="003D2CCD">
            <w:pPr>
              <w:spacing w:line="360" w:lineRule="auto"/>
              <w:rPr>
                <w:sz w:val="20"/>
                <w:szCs w:val="20"/>
                <w:lang w:val="en-GB"/>
              </w:rPr>
            </w:pPr>
            <w:r>
              <w:rPr>
                <w:sz w:val="20"/>
                <w:szCs w:val="20"/>
                <w:lang w:val="en-GB"/>
              </w:rPr>
              <w:t>3.035</w:t>
            </w:r>
          </w:p>
          <w:p w:rsidR="005457E9" w:rsidRDefault="005457E9" w:rsidP="003D2CCD">
            <w:pPr>
              <w:spacing w:line="360" w:lineRule="auto"/>
              <w:rPr>
                <w:sz w:val="20"/>
                <w:szCs w:val="20"/>
                <w:lang w:val="en-GB"/>
              </w:rPr>
            </w:pPr>
            <w:r>
              <w:rPr>
                <w:sz w:val="20"/>
                <w:szCs w:val="20"/>
                <w:lang w:val="en-GB"/>
              </w:rPr>
              <w:t>(0.529)</w:t>
            </w:r>
          </w:p>
        </w:tc>
        <w:tc>
          <w:tcPr>
            <w:tcW w:w="563" w:type="pct"/>
            <w:gridSpan w:val="2"/>
          </w:tcPr>
          <w:p w:rsidR="005457E9" w:rsidRDefault="005457E9" w:rsidP="003D2CCD">
            <w:pPr>
              <w:spacing w:line="360" w:lineRule="auto"/>
              <w:rPr>
                <w:sz w:val="20"/>
                <w:szCs w:val="20"/>
                <w:lang w:val="en-GB"/>
              </w:rPr>
            </w:pPr>
            <w:r>
              <w:rPr>
                <w:sz w:val="20"/>
                <w:szCs w:val="20"/>
                <w:lang w:val="en-GB"/>
              </w:rPr>
              <w:t>1.592</w:t>
            </w:r>
          </w:p>
          <w:p w:rsidR="003A6CFC" w:rsidRPr="005457E9" w:rsidRDefault="005457E9" w:rsidP="005457E9">
            <w:pPr>
              <w:rPr>
                <w:sz w:val="20"/>
                <w:szCs w:val="20"/>
                <w:lang w:val="en-GB"/>
              </w:rPr>
            </w:pPr>
            <w:r>
              <w:rPr>
                <w:sz w:val="20"/>
                <w:szCs w:val="20"/>
                <w:lang w:val="en-GB"/>
              </w:rPr>
              <w:t>(3.965)</w:t>
            </w:r>
          </w:p>
        </w:tc>
      </w:tr>
      <w:tr w:rsidR="003A6CFC" w:rsidRPr="000B71A0" w:rsidTr="003A6CFC">
        <w:tc>
          <w:tcPr>
            <w:tcW w:w="720" w:type="pct"/>
          </w:tcPr>
          <w:p w:rsidR="003A6CFC" w:rsidRPr="000B71A0" w:rsidRDefault="003A6CFC" w:rsidP="003D2CCD">
            <w:pPr>
              <w:spacing w:line="360" w:lineRule="auto"/>
              <w:rPr>
                <w:sz w:val="20"/>
                <w:szCs w:val="20"/>
                <w:lang w:val="en-GB"/>
              </w:rPr>
            </w:pPr>
            <w:r w:rsidRPr="000B71A0">
              <w:rPr>
                <w:sz w:val="20"/>
                <w:szCs w:val="20"/>
                <w:lang w:val="en-GB"/>
              </w:rPr>
              <w:t>Conflict</w:t>
            </w:r>
          </w:p>
        </w:tc>
        <w:tc>
          <w:tcPr>
            <w:tcW w:w="2110" w:type="pct"/>
          </w:tcPr>
          <w:p w:rsidR="003A6CFC" w:rsidRPr="000B71A0" w:rsidRDefault="003A6CFC" w:rsidP="003D2CCD">
            <w:pPr>
              <w:autoSpaceDE w:val="0"/>
              <w:autoSpaceDN w:val="0"/>
              <w:adjustRightInd w:val="0"/>
              <w:spacing w:line="360" w:lineRule="auto"/>
              <w:rPr>
                <w:sz w:val="18"/>
                <w:szCs w:val="18"/>
                <w:lang w:val="en-GB"/>
              </w:rPr>
            </w:pPr>
            <w:r w:rsidRPr="000B71A0">
              <w:rPr>
                <w:sz w:val="18"/>
                <w:szCs w:val="18"/>
                <w:lang w:val="en-GB"/>
              </w:rPr>
              <w:t>Dummy variable, taking the value of 1 in a year of conflict</w:t>
            </w:r>
          </w:p>
        </w:tc>
        <w:tc>
          <w:tcPr>
            <w:tcW w:w="1039" w:type="pct"/>
          </w:tcPr>
          <w:p w:rsidR="003A6CFC" w:rsidRPr="00597728" w:rsidRDefault="001B4004" w:rsidP="003D2CCD">
            <w:pPr>
              <w:spacing w:line="360" w:lineRule="auto"/>
              <w:rPr>
                <w:i/>
                <w:sz w:val="20"/>
                <w:szCs w:val="20"/>
                <w:lang w:val="en-GB"/>
              </w:rPr>
            </w:pPr>
            <w:hyperlink r:id="rId9" w:history="1">
              <w:r w:rsidR="003A6CFC" w:rsidRPr="00597728">
                <w:rPr>
                  <w:rStyle w:val="Emphasis"/>
                  <w:i w:val="0"/>
                  <w:sz w:val="20"/>
                  <w:szCs w:val="20"/>
                  <w:lang w:val="en-GB"/>
                </w:rPr>
                <w:t>Central Intelligence Agency</w:t>
              </w:r>
            </w:hyperlink>
          </w:p>
        </w:tc>
        <w:tc>
          <w:tcPr>
            <w:tcW w:w="568" w:type="pct"/>
          </w:tcPr>
          <w:p w:rsidR="003A6CFC" w:rsidRDefault="005457E9" w:rsidP="003D2CCD">
            <w:pPr>
              <w:spacing w:line="360" w:lineRule="auto"/>
              <w:rPr>
                <w:sz w:val="20"/>
                <w:szCs w:val="20"/>
                <w:lang w:val="en-GB"/>
              </w:rPr>
            </w:pPr>
            <w:r>
              <w:rPr>
                <w:sz w:val="20"/>
                <w:szCs w:val="20"/>
                <w:lang w:val="en-GB"/>
              </w:rPr>
              <w:t>0.0826</w:t>
            </w:r>
          </w:p>
          <w:p w:rsidR="005457E9" w:rsidRDefault="005457E9" w:rsidP="003D2CCD">
            <w:pPr>
              <w:spacing w:line="360" w:lineRule="auto"/>
            </w:pPr>
            <w:r>
              <w:rPr>
                <w:sz w:val="20"/>
                <w:szCs w:val="20"/>
                <w:lang w:val="en-GB"/>
              </w:rPr>
              <w:t>(0.276)</w:t>
            </w:r>
          </w:p>
        </w:tc>
        <w:tc>
          <w:tcPr>
            <w:tcW w:w="563" w:type="pct"/>
            <w:gridSpan w:val="2"/>
          </w:tcPr>
          <w:p w:rsidR="003A6CFC" w:rsidRDefault="005457E9" w:rsidP="003D2CCD">
            <w:pPr>
              <w:spacing w:line="360" w:lineRule="auto"/>
            </w:pPr>
            <w:r>
              <w:t>0</w:t>
            </w:r>
          </w:p>
          <w:p w:rsidR="005457E9" w:rsidRDefault="005457E9" w:rsidP="003D2CCD">
            <w:pPr>
              <w:spacing w:line="360" w:lineRule="auto"/>
            </w:pPr>
            <w:r>
              <w:t>(1)</w:t>
            </w:r>
          </w:p>
        </w:tc>
      </w:tr>
      <w:tr w:rsidR="003A6CFC" w:rsidRPr="000B71A0" w:rsidTr="003A6CFC">
        <w:tc>
          <w:tcPr>
            <w:tcW w:w="5000" w:type="pct"/>
            <w:gridSpan w:val="6"/>
          </w:tcPr>
          <w:p w:rsidR="003A6CFC" w:rsidRPr="000B71A0" w:rsidRDefault="003A6CFC" w:rsidP="003D2CCD">
            <w:pPr>
              <w:spacing w:line="360" w:lineRule="auto"/>
              <w:rPr>
                <w:sz w:val="20"/>
                <w:szCs w:val="20"/>
                <w:lang w:val="en-GB"/>
              </w:rPr>
            </w:pPr>
            <w:r w:rsidRPr="000B71A0">
              <w:rPr>
                <w:sz w:val="20"/>
                <w:szCs w:val="20"/>
                <w:lang w:val="en-GB"/>
              </w:rPr>
              <w:t>Sample of countries</w:t>
            </w:r>
          </w:p>
          <w:p w:rsidR="003A6CFC" w:rsidRPr="000B71A0" w:rsidRDefault="003A6CFC" w:rsidP="003D2CCD">
            <w:pPr>
              <w:spacing w:line="360" w:lineRule="auto"/>
              <w:rPr>
                <w:sz w:val="20"/>
                <w:szCs w:val="20"/>
                <w:lang w:val="en-GB"/>
              </w:rPr>
            </w:pPr>
            <w:r w:rsidRPr="000B71A0">
              <w:rPr>
                <w:sz w:val="20"/>
                <w:szCs w:val="20"/>
                <w:lang w:val="en-GB"/>
              </w:rPr>
              <w:t xml:space="preserve">Albania, Armenia, Azerbaijan, Belarus, Bosnia and Herzegovina, Bulgaria, Croatia, Czech Republic, Estonia, Georgia, Hungary, Kazakhstan, Kyrgyzstan, Latvia, Lithuania, Macedonia, Moldova, Poland, Romania,  Russia, Slovakia, Slovenia, Tajikistan, Ukraine, Uzbekistan. </w:t>
            </w:r>
          </w:p>
        </w:tc>
      </w:tr>
    </w:tbl>
    <w:p w:rsidR="00C7526B" w:rsidRDefault="00C7526B"/>
    <w:p w:rsidR="00D009B8" w:rsidRDefault="00D009B8"/>
    <w:p w:rsidR="00D009B8" w:rsidRDefault="00D009B8"/>
    <w:p w:rsidR="00D009B8" w:rsidRDefault="00D009B8"/>
    <w:p w:rsidR="00D009B8" w:rsidRDefault="00D009B8"/>
    <w:p w:rsidR="00D009B8" w:rsidRDefault="00D009B8"/>
    <w:p w:rsidR="00D009B8" w:rsidRDefault="00D009B8"/>
    <w:p w:rsidR="00D009B8" w:rsidRDefault="00D009B8"/>
    <w:p w:rsidR="00D009B8" w:rsidRDefault="00D009B8"/>
    <w:p w:rsidR="00D009B8" w:rsidRDefault="00D009B8"/>
    <w:p w:rsidR="00D009B8" w:rsidRDefault="00D009B8"/>
    <w:p w:rsidR="00D009B8" w:rsidRDefault="00D009B8"/>
    <w:p w:rsidR="00D009B8" w:rsidRDefault="00D009B8"/>
    <w:p w:rsidR="00D009B8" w:rsidRDefault="00D009B8"/>
    <w:p w:rsidR="00D009B8" w:rsidRDefault="00D009B8"/>
    <w:p w:rsidR="00D009B8" w:rsidRDefault="00D009B8"/>
    <w:p w:rsidR="00D009B8" w:rsidRDefault="00D009B8"/>
    <w:p w:rsidR="00D009B8" w:rsidRDefault="00D009B8"/>
    <w:p w:rsidR="00D009B8" w:rsidRDefault="00D009B8"/>
    <w:p w:rsidR="00D009B8" w:rsidRDefault="00D009B8"/>
    <w:p w:rsidR="00D009B8" w:rsidRDefault="00D009B8"/>
    <w:p w:rsidR="00D009B8" w:rsidRDefault="00D009B8"/>
    <w:p w:rsidR="00D009B8" w:rsidRDefault="00D009B8"/>
    <w:p w:rsidR="00D009B8" w:rsidRDefault="00D009B8"/>
    <w:p w:rsidR="00D009B8" w:rsidRDefault="00D009B8" w:rsidP="00D009B8">
      <w:pPr>
        <w:spacing w:after="160" w:line="259" w:lineRule="auto"/>
        <w:rPr>
          <w:b/>
        </w:rPr>
      </w:pPr>
      <w:r w:rsidRPr="006D0C5F">
        <w:rPr>
          <w:b/>
        </w:rPr>
        <w:lastRenderedPageBreak/>
        <w:t>Appendix</w:t>
      </w:r>
      <w:r>
        <w:rPr>
          <w:b/>
        </w:rPr>
        <w:t xml:space="preserve"> B</w:t>
      </w:r>
    </w:p>
    <w:p w:rsidR="00D009B8" w:rsidRDefault="00D009B8" w:rsidP="00D009B8">
      <w:pPr>
        <w:spacing w:after="160" w:line="259" w:lineRule="auto"/>
        <w:rPr>
          <w:b/>
        </w:rPr>
      </w:pPr>
      <w:r>
        <w:rPr>
          <w:b/>
        </w:rPr>
        <w:t xml:space="preserve">Diversification at the </w:t>
      </w:r>
      <w:r w:rsidR="007B1471">
        <w:rPr>
          <w:b/>
        </w:rPr>
        <w:t>extensive and intensive margin</w:t>
      </w:r>
    </w:p>
    <w:p w:rsidR="007B1471" w:rsidRDefault="007B1471" w:rsidP="007B1471">
      <w:pPr>
        <w:jc w:val="both"/>
        <w:rPr>
          <w:b/>
        </w:rPr>
      </w:pPr>
    </w:p>
    <w:p w:rsidR="007B1471" w:rsidRPr="00964757" w:rsidRDefault="007B1471" w:rsidP="007B1471">
      <w:pPr>
        <w:spacing w:line="360" w:lineRule="auto"/>
        <w:jc w:val="both"/>
        <w:rPr>
          <w:lang w:val="en-GB"/>
        </w:rPr>
      </w:pPr>
      <w:r w:rsidRPr="00964757">
        <w:rPr>
          <w:lang w:val="en-GB"/>
        </w:rPr>
        <w:t>Unlike most studies, which only quantify overall diversification (usually measured by one or other of the standard concentration indices, such as the Theil index), we argue that it is important to investigate diversification in a more differentiated manner, focusing also on diversification at the different margins of export growth. Our approach is based on Cadot et al. (2011) – namely, we rely on the decomposition property of the Theil index into the within and between components to capture changes along the intensive and extensive margins of export growth. It is important to make this distinction as the literature often falls into one or both of the following confusions:</w:t>
      </w:r>
    </w:p>
    <w:p w:rsidR="007B1471" w:rsidRPr="00964757" w:rsidRDefault="007B1471" w:rsidP="007B1471">
      <w:pPr>
        <w:pStyle w:val="ListParagraph"/>
        <w:numPr>
          <w:ilvl w:val="0"/>
          <w:numId w:val="11"/>
        </w:numPr>
        <w:spacing w:after="200" w:line="360" w:lineRule="auto"/>
        <w:ind w:left="1080"/>
        <w:jc w:val="both"/>
        <w:rPr>
          <w:sz w:val="24"/>
          <w:szCs w:val="24"/>
        </w:rPr>
      </w:pPr>
      <w:r w:rsidRPr="00964757">
        <w:rPr>
          <w:sz w:val="24"/>
          <w:szCs w:val="24"/>
        </w:rPr>
        <w:t>identifying export growth at the extensive margin with export diversification as such; and/or,</w:t>
      </w:r>
    </w:p>
    <w:p w:rsidR="007B1471" w:rsidRPr="00964757" w:rsidRDefault="007B1471" w:rsidP="007B1471">
      <w:pPr>
        <w:pStyle w:val="ListParagraph"/>
        <w:numPr>
          <w:ilvl w:val="0"/>
          <w:numId w:val="11"/>
        </w:numPr>
        <w:spacing w:after="200" w:line="360" w:lineRule="auto"/>
        <w:ind w:left="1080"/>
        <w:jc w:val="both"/>
        <w:rPr>
          <w:sz w:val="24"/>
          <w:szCs w:val="24"/>
        </w:rPr>
      </w:pPr>
      <w:r w:rsidRPr="00964757">
        <w:rPr>
          <w:sz w:val="24"/>
          <w:szCs w:val="24"/>
        </w:rPr>
        <w:t xml:space="preserve">at either margin, conflating export growth and diversification.  </w:t>
      </w:r>
    </w:p>
    <w:p w:rsidR="007B1471" w:rsidRPr="00964757" w:rsidRDefault="007B1471" w:rsidP="007B1471">
      <w:pPr>
        <w:spacing w:line="360" w:lineRule="auto"/>
        <w:ind w:left="360"/>
        <w:jc w:val="both"/>
        <w:rPr>
          <w:lang w:val="en-GB"/>
        </w:rPr>
      </w:pPr>
      <w:r w:rsidRPr="00964757">
        <w:rPr>
          <w:lang w:val="en-GB"/>
        </w:rPr>
        <w:t xml:space="preserve">Exports grow at the extensive margin when the number of export varieties in the export basket increases, while exports grow at the intensive margin when the value of the existing exports increases. While at the extensive margin exports are more diversified the greater the number of export varieties, exports at the intensive margin are more diversified the more equal is the distribution of existing product values. Hence, export growth and export diversification at the extensive margin are essentially synonymous, since exports become more diversified as they grow at the extensive margin. In contrast, at the intensive margin growth in the value of the existing export products does not necessarily indicate changes in their distribution. Increase in value can arise due to increase in the value of the largest export categories (which will give rise to more unequal distribution); value can increase due to increase in the value of the smaller export categories (which tend to equalise the distribution) and increase can be linear in all categories (which does not alter diversification). We conclude that in studies that analyse export diversification by way of concentration indices, either one or both of the confusions indicated above are the corollary of failing to account separately for changes at the intensive and extensive margins. </w:t>
      </w:r>
    </w:p>
    <w:p w:rsidR="007B1471" w:rsidRDefault="007B1471" w:rsidP="007B1471">
      <w:pPr>
        <w:spacing w:line="360" w:lineRule="auto"/>
        <w:rPr>
          <w:rFonts w:ascii="Verdana" w:hAnsi="Verdana"/>
          <w:color w:val="000033"/>
          <w:sz w:val="17"/>
          <w:szCs w:val="17"/>
        </w:rPr>
      </w:pPr>
    </w:p>
    <w:p w:rsidR="00D009B8" w:rsidRPr="007B1471" w:rsidRDefault="007B1471" w:rsidP="007B1471">
      <w:pPr>
        <w:spacing w:line="360" w:lineRule="auto"/>
        <w:jc w:val="both"/>
        <w:rPr>
          <w:color w:val="000033"/>
        </w:rPr>
      </w:pPr>
      <w:r w:rsidRPr="00732834">
        <w:rPr>
          <w:color w:val="000033"/>
        </w:rPr>
        <w:br/>
      </w:r>
    </w:p>
    <w:sectPr w:rsidR="00D009B8" w:rsidRPr="007B147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564" w:rsidRDefault="003A5564" w:rsidP="00F960F6">
      <w:r>
        <w:separator/>
      </w:r>
    </w:p>
  </w:endnote>
  <w:endnote w:type="continuationSeparator" w:id="0">
    <w:p w:rsidR="003A5564" w:rsidRDefault="003A5564" w:rsidP="00F9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erling-Roman">
    <w:altName w:val="Arial"/>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dvTimes">
    <w:altName w:val="Times New Roman"/>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TE6B86280t00">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5120627"/>
      <w:docPartObj>
        <w:docPartGallery w:val="Page Numbers (Bottom of Page)"/>
        <w:docPartUnique/>
      </w:docPartObj>
    </w:sdtPr>
    <w:sdtEndPr>
      <w:rPr>
        <w:noProof/>
      </w:rPr>
    </w:sdtEndPr>
    <w:sdtContent>
      <w:p w:rsidR="001B4004" w:rsidRDefault="001B4004">
        <w:pPr>
          <w:pStyle w:val="Footer"/>
          <w:jc w:val="right"/>
        </w:pPr>
        <w:r>
          <w:fldChar w:fldCharType="begin"/>
        </w:r>
        <w:r>
          <w:instrText xml:space="preserve"> PAGE   \* MERGEFORMAT </w:instrText>
        </w:r>
        <w:r>
          <w:fldChar w:fldCharType="separate"/>
        </w:r>
        <w:r w:rsidR="002B4699">
          <w:rPr>
            <w:noProof/>
          </w:rPr>
          <w:t>29</w:t>
        </w:r>
        <w:r>
          <w:rPr>
            <w:noProof/>
          </w:rPr>
          <w:fldChar w:fldCharType="end"/>
        </w:r>
      </w:p>
    </w:sdtContent>
  </w:sdt>
  <w:p w:rsidR="001B4004" w:rsidRDefault="001B40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564" w:rsidRDefault="003A5564" w:rsidP="00F960F6">
      <w:r>
        <w:separator/>
      </w:r>
    </w:p>
  </w:footnote>
  <w:footnote w:type="continuationSeparator" w:id="0">
    <w:p w:rsidR="003A5564" w:rsidRDefault="003A5564" w:rsidP="00F960F6">
      <w:r>
        <w:continuationSeparator/>
      </w:r>
    </w:p>
  </w:footnote>
  <w:footnote w:id="1">
    <w:p w:rsidR="001B4004" w:rsidRPr="00AC5A65" w:rsidRDefault="001B4004">
      <w:pPr>
        <w:pStyle w:val="FootnoteText"/>
        <w:rPr>
          <w:lang w:val="en-US"/>
        </w:rPr>
      </w:pPr>
      <w:r w:rsidRPr="00B64D58">
        <w:rPr>
          <w:rStyle w:val="FootnoteReference"/>
          <w:highlight w:val="lightGray"/>
        </w:rPr>
        <w:footnoteRef/>
      </w:r>
      <w:r w:rsidRPr="00B64D58">
        <w:rPr>
          <w:highlight w:val="lightGray"/>
        </w:rPr>
        <w:t xml:space="preserve"> S</w:t>
      </w:r>
      <w:r w:rsidRPr="00B64D58">
        <w:rPr>
          <w:highlight w:val="lightGray"/>
          <w:lang w:val="en-US"/>
        </w:rPr>
        <w:t>tylized facts about the persistence of output falls and subsequent poor economic performance are outlined in Campos and Coricelli (2002).</w:t>
      </w:r>
      <w:r w:rsidRPr="00AC5A65">
        <w:rPr>
          <w:lang w:val="en-US"/>
        </w:rPr>
        <w:t xml:space="preserve"> </w:t>
      </w:r>
    </w:p>
  </w:footnote>
  <w:footnote w:id="2">
    <w:p w:rsidR="001B4004" w:rsidRPr="008272FE" w:rsidRDefault="001B4004" w:rsidP="005B47EE">
      <w:pPr>
        <w:pStyle w:val="FootnoteText"/>
        <w:rPr>
          <w:lang w:val="en-US"/>
        </w:rPr>
      </w:pPr>
      <w:r>
        <w:rPr>
          <w:rStyle w:val="FootnoteReference"/>
        </w:rPr>
        <w:footnoteRef/>
      </w:r>
      <w:r>
        <w:t xml:space="preserve"> </w:t>
      </w:r>
      <w:r w:rsidRPr="008272FE">
        <w:t xml:space="preserve">However, in some economies, such as Bosnia and Herzegovina, </w:t>
      </w:r>
      <w:r>
        <w:t xml:space="preserve">the </w:t>
      </w:r>
      <w:r w:rsidRPr="008272FE">
        <w:t>trade deficit decreas</w:t>
      </w:r>
      <w:r>
        <w:t>ed</w:t>
      </w:r>
      <w:r w:rsidRPr="008272FE">
        <w:t xml:space="preserve"> in </w:t>
      </w:r>
      <w:r>
        <w:t xml:space="preserve">the </w:t>
      </w:r>
      <w:r w:rsidRPr="008272FE">
        <w:t xml:space="preserve">crisis, as </w:t>
      </w:r>
      <w:r>
        <w:t xml:space="preserve">the </w:t>
      </w:r>
      <w:r w:rsidRPr="008272FE">
        <w:t>drop in import</w:t>
      </w:r>
      <w:r>
        <w:t>s</w:t>
      </w:r>
      <w:r w:rsidRPr="008272FE">
        <w:t xml:space="preserve"> outpac</w:t>
      </w:r>
      <w:r>
        <w:t>ed the</w:t>
      </w:r>
      <w:r w:rsidRPr="008272FE">
        <w:t xml:space="preserve"> drop in expor</w:t>
      </w:r>
      <w:r>
        <w:t>ts</w:t>
      </w:r>
      <w:r w:rsidRPr="008272FE">
        <w:t>.</w:t>
      </w:r>
      <w:r>
        <w:rPr>
          <w:sz w:val="24"/>
          <w:szCs w:val="24"/>
        </w:rPr>
        <w:t xml:space="preserve"> </w:t>
      </w:r>
      <w:r w:rsidRPr="00CB3FE0">
        <w:rPr>
          <w:sz w:val="24"/>
          <w:szCs w:val="24"/>
        </w:rPr>
        <w:t xml:space="preserve">  </w:t>
      </w:r>
    </w:p>
  </w:footnote>
  <w:footnote w:id="3">
    <w:p w:rsidR="001B4004" w:rsidRDefault="001B4004" w:rsidP="000A1039">
      <w:pPr>
        <w:pStyle w:val="FootnoteText"/>
        <w:spacing w:line="360" w:lineRule="auto"/>
        <w:jc w:val="both"/>
      </w:pPr>
      <w:r w:rsidRPr="00D46314">
        <w:rPr>
          <w:rStyle w:val="FootnoteReference"/>
          <w:highlight w:val="lightGray"/>
        </w:rPr>
        <w:footnoteRef/>
      </w:r>
      <w:r w:rsidRPr="00D46314">
        <w:rPr>
          <w:highlight w:val="lightGray"/>
        </w:rPr>
        <w:t xml:space="preserve"> Accordingly, neither </w:t>
      </w:r>
      <w:r w:rsidRPr="00D46314">
        <w:rPr>
          <w:highlight w:val="lightGray"/>
          <w:lang w:val="en-US"/>
        </w:rPr>
        <w:t>Di Giovanni and Levchenko (2009) nor Haddad et al. (2013) use such time-invariant instruments in their panel estimation.</w:t>
      </w:r>
      <w:r>
        <w:rPr>
          <w:lang w:val="en-US"/>
        </w:rPr>
        <w:t xml:space="preserve"> </w:t>
      </w:r>
    </w:p>
  </w:footnote>
  <w:footnote w:id="4">
    <w:p w:rsidR="001B4004" w:rsidRDefault="001B4004" w:rsidP="000A1039">
      <w:pPr>
        <w:pStyle w:val="FootnoteText"/>
        <w:spacing w:line="360" w:lineRule="auto"/>
        <w:jc w:val="both"/>
      </w:pPr>
      <w:r w:rsidRPr="00AC5765">
        <w:rPr>
          <w:rStyle w:val="FootnoteReference"/>
          <w:highlight w:val="lightGray"/>
        </w:rPr>
        <w:footnoteRef/>
      </w:r>
      <w:r w:rsidRPr="00AC5765">
        <w:rPr>
          <w:highlight w:val="lightGray"/>
        </w:rPr>
        <w:t xml:space="preserve"> In addition, because</w:t>
      </w:r>
      <w:r w:rsidRPr="00AC5765">
        <w:rPr>
          <w:highlight w:val="lightGray"/>
          <w:lang w:val="en-US"/>
        </w:rPr>
        <w:t xml:space="preserve"> the properties of the RE estimator are asymptotic, FE estimation is preferred for small and moderate-size samples, which applies in our case.</w:t>
      </w:r>
      <w:r w:rsidRPr="00D9788E">
        <w:rPr>
          <w:lang w:val="en-US"/>
        </w:rPr>
        <w:t xml:space="preserve">  </w:t>
      </w:r>
    </w:p>
  </w:footnote>
  <w:footnote w:id="5">
    <w:p w:rsidR="001B4004" w:rsidRPr="00394057" w:rsidRDefault="001B4004" w:rsidP="00FC05E1">
      <w:pPr>
        <w:pStyle w:val="FootnoteText"/>
        <w:spacing w:line="276" w:lineRule="auto"/>
        <w:jc w:val="both"/>
      </w:pPr>
      <w:r>
        <w:rPr>
          <w:rStyle w:val="FootnoteReference"/>
        </w:rPr>
        <w:footnoteRef/>
      </w:r>
      <w:r>
        <w:t xml:space="preserve"> </w:t>
      </w:r>
      <w:r w:rsidRPr="00394057">
        <w:t xml:space="preserve">Whether the additional subset of instruments in system GMM is valid depends on the “steady state” assumption, which requires that there is no correlation between changes in the instrumenting variables and the fixed effects. The results of the difference-in-Hansen diagnostic in Table 1 indicate that the “GMM instruments for levels”, the additional set of instruments for system GMM, are valid and, in addition, that there is no undue problem with cross-section dependence in our data. Hence, these diagnostics tests support the theoretical argument for system GMM. It is valid to employ a system estimator in our model and accept the “steady-state” assumption required for system estimation.  </w:t>
      </w:r>
    </w:p>
    <w:p w:rsidR="001B4004" w:rsidRDefault="001B4004" w:rsidP="0053137B">
      <w:pPr>
        <w:pStyle w:val="FootnoteText"/>
      </w:pPr>
    </w:p>
  </w:footnote>
  <w:footnote w:id="6">
    <w:p w:rsidR="001B4004" w:rsidRPr="0019446F" w:rsidRDefault="001B4004" w:rsidP="00F643C6">
      <w:pPr>
        <w:pStyle w:val="FootnoteText"/>
        <w:spacing w:line="360" w:lineRule="auto"/>
        <w:rPr>
          <w:lang w:val="en-US"/>
        </w:rPr>
      </w:pPr>
      <w:r>
        <w:rPr>
          <w:rStyle w:val="FootnoteReference"/>
        </w:rPr>
        <w:footnoteRef/>
      </w:r>
      <w:r>
        <w:t xml:space="preserve"> </w:t>
      </w:r>
      <w:r>
        <w:rPr>
          <w:lang w:val="en-US"/>
        </w:rPr>
        <w:t>For presentational simplicity, we present only results for the within component of the Theil index. The results from the other indicators are available on request.</w:t>
      </w:r>
    </w:p>
  </w:footnote>
  <w:footnote w:id="7">
    <w:p w:rsidR="001B4004" w:rsidRDefault="001B4004" w:rsidP="00E83CAE">
      <w:pPr>
        <w:pStyle w:val="FootnoteText"/>
      </w:pPr>
      <w:r w:rsidRPr="00F26DB8">
        <w:rPr>
          <w:rStyle w:val="FootnoteReference"/>
          <w:highlight w:val="lightGray"/>
        </w:rPr>
        <w:footnoteRef/>
      </w:r>
      <w:r w:rsidRPr="00F26DB8">
        <w:rPr>
          <w:highlight w:val="lightGray"/>
        </w:rPr>
        <w:t xml:space="preserve"> The ninth observation in the GMM estimates is from Tajikistan.</w:t>
      </w:r>
      <w:r>
        <w:t xml:space="preserve"> </w:t>
      </w:r>
    </w:p>
  </w:footnote>
  <w:footnote w:id="8">
    <w:p w:rsidR="001B4004" w:rsidRDefault="001B4004" w:rsidP="00562D0A">
      <w:pPr>
        <w:pStyle w:val="FootnoteText"/>
        <w:spacing w:line="276" w:lineRule="auto"/>
        <w:jc w:val="both"/>
      </w:pPr>
      <w:r>
        <w:rPr>
          <w:rStyle w:val="FootnoteReference"/>
        </w:rPr>
        <w:footnoteRef/>
      </w:r>
      <w:r>
        <w:t xml:space="preserve"> </w:t>
      </w:r>
      <w:r w:rsidRPr="00EF7B53">
        <w:t xml:space="preserve">Kuncic (2012) computes the latent quality of legal, political and economic institutions with factor analysis for every country in the world and for every year, relative to the values of others. Legal institutions are formal institutions such as property rights, the origins of legal systems and their effects, and </w:t>
      </w:r>
      <w:r>
        <w:t xml:space="preserve">the </w:t>
      </w:r>
      <w:r w:rsidRPr="00EF7B53">
        <w:t xml:space="preserve">rule of law. Political institutions capture polity in a broad meaning, the voters, electoral rules, political parties and rules of and limits of a government or state. Economic institutions measure regulatory quality. </w:t>
      </w:r>
    </w:p>
  </w:footnote>
  <w:footnote w:id="9">
    <w:p w:rsidR="001B4004" w:rsidRPr="00EF7B53" w:rsidRDefault="001B4004" w:rsidP="00562D0A">
      <w:pPr>
        <w:pStyle w:val="FootnoteText"/>
        <w:spacing w:line="276" w:lineRule="auto"/>
        <w:jc w:val="both"/>
      </w:pPr>
      <w:r>
        <w:rPr>
          <w:rStyle w:val="FootnoteReference"/>
        </w:rPr>
        <w:footnoteRef/>
      </w:r>
      <w:r>
        <w:t xml:space="preserve"> </w:t>
      </w:r>
      <w:r w:rsidRPr="00EF7B53">
        <w:t>Indices from WGI are compiled by Kaufmann et al. (2010) and represent an aggregation of 37 different data sources constructed by 31 different organizations. Governance indicators include</w:t>
      </w:r>
      <w:r>
        <w:t>:</w:t>
      </w:r>
      <w:r w:rsidRPr="00EF7B53">
        <w:t xml:space="preserve"> i) Voice and Accountability; ii) Political Instability and Violence; iii) Government Effectiveness; iv) Regulatory Quality; v) Rule of Law</w:t>
      </w:r>
      <w:r>
        <w:t>;</w:t>
      </w:r>
      <w:r w:rsidRPr="00EF7B53">
        <w:t xml:space="preserve"> and vi) Control of Corruption. Potential problems with these indicators arise in the interpretation of the subjective data used in WGI </w:t>
      </w:r>
      <w:r>
        <w:t>potentially causing</w:t>
      </w:r>
      <w:r w:rsidRPr="00EF7B53">
        <w:t xml:space="preserve"> imprecision and systematic bias</w:t>
      </w:r>
      <w:r>
        <w:t xml:space="preserve">es. Kaufman et al. (2010, 2007, </w:t>
      </w:r>
      <w:r w:rsidRPr="00EF7B53">
        <w:t xml:space="preserve">2004) investigate </w:t>
      </w:r>
      <w:r>
        <w:t>this possibility</w:t>
      </w:r>
      <w:r w:rsidRPr="00EF7B53">
        <w:t xml:space="preserve"> but find little evidence of such biases.</w:t>
      </w:r>
    </w:p>
    <w:p w:rsidR="001B4004" w:rsidRDefault="001B400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B4AF0"/>
    <w:multiLevelType w:val="hybridMultilevel"/>
    <w:tmpl w:val="4B148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763C67"/>
    <w:multiLevelType w:val="hybridMultilevel"/>
    <w:tmpl w:val="ECD2BE84"/>
    <w:lvl w:ilvl="0" w:tplc="40A0AA2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224DD"/>
    <w:multiLevelType w:val="hybridMultilevel"/>
    <w:tmpl w:val="2B9202BE"/>
    <w:lvl w:ilvl="0" w:tplc="0409000F">
      <w:start w:val="1"/>
      <w:numFmt w:val="decimal"/>
      <w:lvlText w:val="%1."/>
      <w:lvlJc w:val="left"/>
      <w:pPr>
        <w:ind w:left="54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30C54103"/>
    <w:multiLevelType w:val="hybridMultilevel"/>
    <w:tmpl w:val="A08467D8"/>
    <w:lvl w:ilvl="0" w:tplc="ED00CF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20243"/>
    <w:multiLevelType w:val="hybridMultilevel"/>
    <w:tmpl w:val="79CE56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4B28A4"/>
    <w:multiLevelType w:val="hybridMultilevel"/>
    <w:tmpl w:val="4ECC5228"/>
    <w:lvl w:ilvl="0" w:tplc="3BAA5640">
      <w:start w:val="1"/>
      <w:numFmt w:val="decimal"/>
      <w:lvlText w:val="%1."/>
      <w:lvlJc w:val="left"/>
      <w:pPr>
        <w:ind w:left="450" w:hanging="360"/>
      </w:pPr>
      <w:rPr>
        <w:rFonts w:cs="Times New Roman" w:hint="default"/>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49324787"/>
    <w:multiLevelType w:val="multilevel"/>
    <w:tmpl w:val="0409001D"/>
    <w:styleLink w:val="Style5"/>
    <w:lvl w:ilvl="0">
      <w:start w:val="4"/>
      <w:numFmt w:val="decimal"/>
      <w:lvlText w:val="%1)"/>
      <w:lvlJc w:val="left"/>
      <w:pPr>
        <w:ind w:left="360" w:hanging="360"/>
      </w:pPr>
      <w:rPr>
        <w:rFonts w:ascii="Times New Roman" w:hAnsi="Times New Roman"/>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A914387"/>
    <w:multiLevelType w:val="hybridMultilevel"/>
    <w:tmpl w:val="58F4F294"/>
    <w:lvl w:ilvl="0" w:tplc="0409000F">
      <w:start w:val="1"/>
      <w:numFmt w:val="decimal"/>
      <w:lvlText w:val="%1."/>
      <w:lvlJc w:val="left"/>
      <w:pPr>
        <w:ind w:left="54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5AE547BA"/>
    <w:multiLevelType w:val="hybridMultilevel"/>
    <w:tmpl w:val="93327E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C147A3D"/>
    <w:multiLevelType w:val="hybridMultilevel"/>
    <w:tmpl w:val="D9D66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DD0699"/>
    <w:multiLevelType w:val="hybridMultilevel"/>
    <w:tmpl w:val="DD685B9E"/>
    <w:lvl w:ilvl="0" w:tplc="4534735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6"/>
  </w:num>
  <w:num w:numId="2">
    <w:abstractNumId w:val="9"/>
  </w:num>
  <w:num w:numId="3">
    <w:abstractNumId w:val="4"/>
  </w:num>
  <w:num w:numId="4">
    <w:abstractNumId w:val="8"/>
  </w:num>
  <w:num w:numId="5">
    <w:abstractNumId w:val="5"/>
  </w:num>
  <w:num w:numId="6">
    <w:abstractNumId w:val="10"/>
  </w:num>
  <w:num w:numId="7">
    <w:abstractNumId w:val="1"/>
  </w:num>
  <w:num w:numId="8">
    <w:abstractNumId w:val="3"/>
  </w:num>
  <w:num w:numId="9">
    <w:abstractNumId w:val="7"/>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0F6"/>
    <w:rsid w:val="000032ED"/>
    <w:rsid w:val="00004160"/>
    <w:rsid w:val="00005303"/>
    <w:rsid w:val="00014FC2"/>
    <w:rsid w:val="00016505"/>
    <w:rsid w:val="00020339"/>
    <w:rsid w:val="00021220"/>
    <w:rsid w:val="000222C4"/>
    <w:rsid w:val="00022D1B"/>
    <w:rsid w:val="00030BE0"/>
    <w:rsid w:val="000348C2"/>
    <w:rsid w:val="000378FB"/>
    <w:rsid w:val="000700E2"/>
    <w:rsid w:val="000815F1"/>
    <w:rsid w:val="00081D28"/>
    <w:rsid w:val="00082A55"/>
    <w:rsid w:val="00092891"/>
    <w:rsid w:val="000A1039"/>
    <w:rsid w:val="000A38AE"/>
    <w:rsid w:val="000B6D30"/>
    <w:rsid w:val="001028CC"/>
    <w:rsid w:val="00121375"/>
    <w:rsid w:val="001512CC"/>
    <w:rsid w:val="00152A1F"/>
    <w:rsid w:val="00160728"/>
    <w:rsid w:val="0016327B"/>
    <w:rsid w:val="0017385C"/>
    <w:rsid w:val="00175AE7"/>
    <w:rsid w:val="001842A7"/>
    <w:rsid w:val="0019446F"/>
    <w:rsid w:val="00195BD3"/>
    <w:rsid w:val="001B4004"/>
    <w:rsid w:val="001D20BE"/>
    <w:rsid w:val="001D3515"/>
    <w:rsid w:val="001D692F"/>
    <w:rsid w:val="001E0B33"/>
    <w:rsid w:val="001E40B9"/>
    <w:rsid w:val="001E7BD9"/>
    <w:rsid w:val="00200678"/>
    <w:rsid w:val="00205FA0"/>
    <w:rsid w:val="002122C8"/>
    <w:rsid w:val="00225CB6"/>
    <w:rsid w:val="00226C17"/>
    <w:rsid w:val="0024556F"/>
    <w:rsid w:val="00251FB5"/>
    <w:rsid w:val="002549CD"/>
    <w:rsid w:val="0025717B"/>
    <w:rsid w:val="002635E8"/>
    <w:rsid w:val="00265953"/>
    <w:rsid w:val="00270F00"/>
    <w:rsid w:val="00292B74"/>
    <w:rsid w:val="002B2D17"/>
    <w:rsid w:val="002B4699"/>
    <w:rsid w:val="002D45C9"/>
    <w:rsid w:val="002D4E13"/>
    <w:rsid w:val="002D5AAE"/>
    <w:rsid w:val="002E0DE1"/>
    <w:rsid w:val="002E393E"/>
    <w:rsid w:val="002E484A"/>
    <w:rsid w:val="00305FEC"/>
    <w:rsid w:val="003069C1"/>
    <w:rsid w:val="00306FAE"/>
    <w:rsid w:val="00313358"/>
    <w:rsid w:val="00334605"/>
    <w:rsid w:val="00335C58"/>
    <w:rsid w:val="00340E13"/>
    <w:rsid w:val="00345411"/>
    <w:rsid w:val="00345785"/>
    <w:rsid w:val="00347315"/>
    <w:rsid w:val="003509D7"/>
    <w:rsid w:val="00352AEB"/>
    <w:rsid w:val="00382D2C"/>
    <w:rsid w:val="003935D9"/>
    <w:rsid w:val="00394057"/>
    <w:rsid w:val="003963CB"/>
    <w:rsid w:val="003A19E1"/>
    <w:rsid w:val="003A5564"/>
    <w:rsid w:val="003A6CFC"/>
    <w:rsid w:val="003B4CCF"/>
    <w:rsid w:val="003D1C14"/>
    <w:rsid w:val="003D2CCD"/>
    <w:rsid w:val="003E5CD6"/>
    <w:rsid w:val="003F4AD7"/>
    <w:rsid w:val="003F65E1"/>
    <w:rsid w:val="0040516A"/>
    <w:rsid w:val="00427D21"/>
    <w:rsid w:val="00430953"/>
    <w:rsid w:val="0044470F"/>
    <w:rsid w:val="00445242"/>
    <w:rsid w:val="004470E3"/>
    <w:rsid w:val="004555C6"/>
    <w:rsid w:val="00466C85"/>
    <w:rsid w:val="00475A1C"/>
    <w:rsid w:val="0047783E"/>
    <w:rsid w:val="0048310B"/>
    <w:rsid w:val="00483DFB"/>
    <w:rsid w:val="00484222"/>
    <w:rsid w:val="00487BEB"/>
    <w:rsid w:val="00490E34"/>
    <w:rsid w:val="00491DBD"/>
    <w:rsid w:val="00496823"/>
    <w:rsid w:val="004D0458"/>
    <w:rsid w:val="004D3CC7"/>
    <w:rsid w:val="004D4527"/>
    <w:rsid w:val="004E1056"/>
    <w:rsid w:val="004F4181"/>
    <w:rsid w:val="004F4ADC"/>
    <w:rsid w:val="005148C4"/>
    <w:rsid w:val="0052776D"/>
    <w:rsid w:val="0053137B"/>
    <w:rsid w:val="00531897"/>
    <w:rsid w:val="00534C08"/>
    <w:rsid w:val="00536C31"/>
    <w:rsid w:val="005457E9"/>
    <w:rsid w:val="00547EB2"/>
    <w:rsid w:val="005510BC"/>
    <w:rsid w:val="00555655"/>
    <w:rsid w:val="005565DA"/>
    <w:rsid w:val="00562D0A"/>
    <w:rsid w:val="0056673F"/>
    <w:rsid w:val="00570FCB"/>
    <w:rsid w:val="00571A78"/>
    <w:rsid w:val="00572571"/>
    <w:rsid w:val="00575C17"/>
    <w:rsid w:val="005956AC"/>
    <w:rsid w:val="00596E71"/>
    <w:rsid w:val="00597360"/>
    <w:rsid w:val="00597728"/>
    <w:rsid w:val="00597D26"/>
    <w:rsid w:val="005A213E"/>
    <w:rsid w:val="005A46B7"/>
    <w:rsid w:val="005B08EB"/>
    <w:rsid w:val="005B47EE"/>
    <w:rsid w:val="005C2A81"/>
    <w:rsid w:val="005D7254"/>
    <w:rsid w:val="005E28F3"/>
    <w:rsid w:val="005E51DD"/>
    <w:rsid w:val="005E5DAF"/>
    <w:rsid w:val="005F333E"/>
    <w:rsid w:val="00606819"/>
    <w:rsid w:val="00627431"/>
    <w:rsid w:val="00627C78"/>
    <w:rsid w:val="00637899"/>
    <w:rsid w:val="006414AE"/>
    <w:rsid w:val="006515C2"/>
    <w:rsid w:val="00657195"/>
    <w:rsid w:val="00667FDA"/>
    <w:rsid w:val="00671528"/>
    <w:rsid w:val="00674B7A"/>
    <w:rsid w:val="00680FC0"/>
    <w:rsid w:val="006938A0"/>
    <w:rsid w:val="006A3268"/>
    <w:rsid w:val="006B4048"/>
    <w:rsid w:val="006B5859"/>
    <w:rsid w:val="006C61AB"/>
    <w:rsid w:val="006D0C5F"/>
    <w:rsid w:val="006D6FF6"/>
    <w:rsid w:val="006F4082"/>
    <w:rsid w:val="00700AD8"/>
    <w:rsid w:val="00705878"/>
    <w:rsid w:val="00707F29"/>
    <w:rsid w:val="007106D3"/>
    <w:rsid w:val="00712A32"/>
    <w:rsid w:val="00715CB2"/>
    <w:rsid w:val="0071743A"/>
    <w:rsid w:val="00721D5B"/>
    <w:rsid w:val="00723533"/>
    <w:rsid w:val="00736358"/>
    <w:rsid w:val="00740E7D"/>
    <w:rsid w:val="00745A9E"/>
    <w:rsid w:val="00746029"/>
    <w:rsid w:val="00746576"/>
    <w:rsid w:val="007467F5"/>
    <w:rsid w:val="007468C8"/>
    <w:rsid w:val="007479F9"/>
    <w:rsid w:val="00747B78"/>
    <w:rsid w:val="00753DA0"/>
    <w:rsid w:val="0076100A"/>
    <w:rsid w:val="00770D34"/>
    <w:rsid w:val="00773C4B"/>
    <w:rsid w:val="0078548E"/>
    <w:rsid w:val="007A30AA"/>
    <w:rsid w:val="007A37AD"/>
    <w:rsid w:val="007A51EC"/>
    <w:rsid w:val="007B025A"/>
    <w:rsid w:val="007B05E2"/>
    <w:rsid w:val="007B1471"/>
    <w:rsid w:val="007B2180"/>
    <w:rsid w:val="007B4485"/>
    <w:rsid w:val="007D1D0B"/>
    <w:rsid w:val="007D229D"/>
    <w:rsid w:val="007D5060"/>
    <w:rsid w:val="007D7610"/>
    <w:rsid w:val="007E5A29"/>
    <w:rsid w:val="00821FB1"/>
    <w:rsid w:val="00825D11"/>
    <w:rsid w:val="0083092C"/>
    <w:rsid w:val="008332E8"/>
    <w:rsid w:val="0084794C"/>
    <w:rsid w:val="0085017F"/>
    <w:rsid w:val="00852EA2"/>
    <w:rsid w:val="008558A7"/>
    <w:rsid w:val="0086145C"/>
    <w:rsid w:val="0086372B"/>
    <w:rsid w:val="0087309F"/>
    <w:rsid w:val="00875CC6"/>
    <w:rsid w:val="0089484C"/>
    <w:rsid w:val="008B2C94"/>
    <w:rsid w:val="008B4D4B"/>
    <w:rsid w:val="008B719A"/>
    <w:rsid w:val="008C1D26"/>
    <w:rsid w:val="008C5A48"/>
    <w:rsid w:val="008C768D"/>
    <w:rsid w:val="008D2532"/>
    <w:rsid w:val="008D495B"/>
    <w:rsid w:val="008E02AD"/>
    <w:rsid w:val="008E06A1"/>
    <w:rsid w:val="00915CD1"/>
    <w:rsid w:val="009318F3"/>
    <w:rsid w:val="00933A48"/>
    <w:rsid w:val="00950BD3"/>
    <w:rsid w:val="0095444A"/>
    <w:rsid w:val="009704B4"/>
    <w:rsid w:val="00971A87"/>
    <w:rsid w:val="00973F01"/>
    <w:rsid w:val="0097487C"/>
    <w:rsid w:val="009774DF"/>
    <w:rsid w:val="00981EF2"/>
    <w:rsid w:val="00991B16"/>
    <w:rsid w:val="00991B18"/>
    <w:rsid w:val="009A405F"/>
    <w:rsid w:val="009B288D"/>
    <w:rsid w:val="009B3963"/>
    <w:rsid w:val="009B437D"/>
    <w:rsid w:val="009B4ACE"/>
    <w:rsid w:val="009D14EA"/>
    <w:rsid w:val="009D4EB6"/>
    <w:rsid w:val="009E1627"/>
    <w:rsid w:val="009E7A3C"/>
    <w:rsid w:val="00A036A9"/>
    <w:rsid w:val="00A10409"/>
    <w:rsid w:val="00A10901"/>
    <w:rsid w:val="00A116AC"/>
    <w:rsid w:val="00A13650"/>
    <w:rsid w:val="00A17BB7"/>
    <w:rsid w:val="00A2793B"/>
    <w:rsid w:val="00A3048D"/>
    <w:rsid w:val="00A55C20"/>
    <w:rsid w:val="00A60F7B"/>
    <w:rsid w:val="00A63101"/>
    <w:rsid w:val="00A7516A"/>
    <w:rsid w:val="00A7692C"/>
    <w:rsid w:val="00A814D1"/>
    <w:rsid w:val="00A94FE1"/>
    <w:rsid w:val="00AA2BE5"/>
    <w:rsid w:val="00AB306F"/>
    <w:rsid w:val="00AC4781"/>
    <w:rsid w:val="00AC5765"/>
    <w:rsid w:val="00AC5A65"/>
    <w:rsid w:val="00AD2E0E"/>
    <w:rsid w:val="00AD3972"/>
    <w:rsid w:val="00AD63EA"/>
    <w:rsid w:val="00AD6903"/>
    <w:rsid w:val="00AE53B8"/>
    <w:rsid w:val="00AE7531"/>
    <w:rsid w:val="00AE7A0E"/>
    <w:rsid w:val="00AE7D10"/>
    <w:rsid w:val="00B03B35"/>
    <w:rsid w:val="00B07E4D"/>
    <w:rsid w:val="00B304BA"/>
    <w:rsid w:val="00B365B7"/>
    <w:rsid w:val="00B4054D"/>
    <w:rsid w:val="00B52F6C"/>
    <w:rsid w:val="00B54B2E"/>
    <w:rsid w:val="00B55108"/>
    <w:rsid w:val="00B64D58"/>
    <w:rsid w:val="00B72AA9"/>
    <w:rsid w:val="00B743C8"/>
    <w:rsid w:val="00B864ED"/>
    <w:rsid w:val="00B87EDC"/>
    <w:rsid w:val="00B95526"/>
    <w:rsid w:val="00BA0F21"/>
    <w:rsid w:val="00BB25AE"/>
    <w:rsid w:val="00BB46B6"/>
    <w:rsid w:val="00BC412E"/>
    <w:rsid w:val="00BE0AAE"/>
    <w:rsid w:val="00BE5D8F"/>
    <w:rsid w:val="00BF63BC"/>
    <w:rsid w:val="00C00E34"/>
    <w:rsid w:val="00C041E8"/>
    <w:rsid w:val="00C1014C"/>
    <w:rsid w:val="00C117FC"/>
    <w:rsid w:val="00C14883"/>
    <w:rsid w:val="00C20806"/>
    <w:rsid w:val="00C2524C"/>
    <w:rsid w:val="00C25411"/>
    <w:rsid w:val="00C27635"/>
    <w:rsid w:val="00C3188A"/>
    <w:rsid w:val="00C336B0"/>
    <w:rsid w:val="00C61B59"/>
    <w:rsid w:val="00C625C7"/>
    <w:rsid w:val="00C714E4"/>
    <w:rsid w:val="00C7311D"/>
    <w:rsid w:val="00C7526B"/>
    <w:rsid w:val="00C83D50"/>
    <w:rsid w:val="00C84BA9"/>
    <w:rsid w:val="00C94E42"/>
    <w:rsid w:val="00CA4237"/>
    <w:rsid w:val="00CC123D"/>
    <w:rsid w:val="00CD02D7"/>
    <w:rsid w:val="00CE2E46"/>
    <w:rsid w:val="00CE389B"/>
    <w:rsid w:val="00CE7088"/>
    <w:rsid w:val="00CF03AE"/>
    <w:rsid w:val="00D009B8"/>
    <w:rsid w:val="00D10FB0"/>
    <w:rsid w:val="00D167B8"/>
    <w:rsid w:val="00D32796"/>
    <w:rsid w:val="00D32FED"/>
    <w:rsid w:val="00D46314"/>
    <w:rsid w:val="00D46EF2"/>
    <w:rsid w:val="00D54E0D"/>
    <w:rsid w:val="00D56C14"/>
    <w:rsid w:val="00D806DC"/>
    <w:rsid w:val="00D8108E"/>
    <w:rsid w:val="00D8712C"/>
    <w:rsid w:val="00D92BF4"/>
    <w:rsid w:val="00D93F9E"/>
    <w:rsid w:val="00D9442C"/>
    <w:rsid w:val="00D97690"/>
    <w:rsid w:val="00D9788E"/>
    <w:rsid w:val="00DA27B5"/>
    <w:rsid w:val="00DC6A36"/>
    <w:rsid w:val="00DC78FF"/>
    <w:rsid w:val="00DD3949"/>
    <w:rsid w:val="00DD5B1E"/>
    <w:rsid w:val="00DD7F53"/>
    <w:rsid w:val="00DE22B9"/>
    <w:rsid w:val="00DF0078"/>
    <w:rsid w:val="00DF1985"/>
    <w:rsid w:val="00DF32A7"/>
    <w:rsid w:val="00DF7532"/>
    <w:rsid w:val="00E0650D"/>
    <w:rsid w:val="00E06B60"/>
    <w:rsid w:val="00E11F41"/>
    <w:rsid w:val="00E27070"/>
    <w:rsid w:val="00E32448"/>
    <w:rsid w:val="00E343D1"/>
    <w:rsid w:val="00E34A8F"/>
    <w:rsid w:val="00E44E1E"/>
    <w:rsid w:val="00E52562"/>
    <w:rsid w:val="00E654A1"/>
    <w:rsid w:val="00E65B09"/>
    <w:rsid w:val="00E71796"/>
    <w:rsid w:val="00E7321B"/>
    <w:rsid w:val="00E83CAE"/>
    <w:rsid w:val="00EA057A"/>
    <w:rsid w:val="00EA2136"/>
    <w:rsid w:val="00EB011A"/>
    <w:rsid w:val="00EB01ED"/>
    <w:rsid w:val="00EC4F1C"/>
    <w:rsid w:val="00ED5825"/>
    <w:rsid w:val="00EE5419"/>
    <w:rsid w:val="00EF419E"/>
    <w:rsid w:val="00EF7B53"/>
    <w:rsid w:val="00EF7CBD"/>
    <w:rsid w:val="00F104A0"/>
    <w:rsid w:val="00F10CB9"/>
    <w:rsid w:val="00F2676A"/>
    <w:rsid w:val="00F26DB8"/>
    <w:rsid w:val="00F41FDD"/>
    <w:rsid w:val="00F5229E"/>
    <w:rsid w:val="00F62BD4"/>
    <w:rsid w:val="00F62C7E"/>
    <w:rsid w:val="00F643C6"/>
    <w:rsid w:val="00F76025"/>
    <w:rsid w:val="00F80CD1"/>
    <w:rsid w:val="00F86A7C"/>
    <w:rsid w:val="00F86FFF"/>
    <w:rsid w:val="00F92AE2"/>
    <w:rsid w:val="00F960F6"/>
    <w:rsid w:val="00FB72E7"/>
    <w:rsid w:val="00FC0131"/>
    <w:rsid w:val="00FC05E1"/>
    <w:rsid w:val="00FE01BB"/>
    <w:rsid w:val="00FE6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A154ED-21AB-4C30-BEBF-A7D94FFAA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0F6"/>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3E5CD6"/>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5E28F3"/>
    <w:pPr>
      <w:keepNext/>
      <w:keepLines/>
      <w:spacing w:before="200" w:line="276" w:lineRule="auto"/>
      <w:outlineLvl w:val="1"/>
    </w:pPr>
    <w:rPr>
      <w:rFonts w:eastAsia="MS Gothic"/>
      <w:b/>
      <w:bCs/>
      <w:i/>
      <w:szCs w:val="26"/>
      <w:lang w:val="en-GB"/>
    </w:rPr>
  </w:style>
  <w:style w:type="paragraph" w:styleId="Heading3">
    <w:name w:val="heading 3"/>
    <w:basedOn w:val="Normal"/>
    <w:next w:val="Normal"/>
    <w:link w:val="Heading3Char"/>
    <w:uiPriority w:val="9"/>
    <w:unhideWhenUsed/>
    <w:qFormat/>
    <w:rsid w:val="005E28F3"/>
    <w:pPr>
      <w:keepNext/>
      <w:keepLines/>
      <w:spacing w:before="40"/>
      <w:outlineLvl w:val="2"/>
    </w:pPr>
    <w:rPr>
      <w:rFonts w:eastAsiaTheme="majorEastAsia" w:cstheme="majorBidi"/>
      <w:b/>
      <w: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5">
    <w:name w:val="Style5"/>
    <w:uiPriority w:val="99"/>
    <w:rsid w:val="009B288D"/>
    <w:pPr>
      <w:numPr>
        <w:numId w:val="1"/>
      </w:numPr>
    </w:pPr>
  </w:style>
  <w:style w:type="paragraph" w:styleId="Header">
    <w:name w:val="header"/>
    <w:basedOn w:val="Normal"/>
    <w:link w:val="HeaderChar"/>
    <w:uiPriority w:val="99"/>
    <w:unhideWhenUsed/>
    <w:rsid w:val="00F960F6"/>
    <w:pPr>
      <w:tabs>
        <w:tab w:val="center" w:pos="4680"/>
        <w:tab w:val="right" w:pos="9360"/>
      </w:tabs>
    </w:pPr>
  </w:style>
  <w:style w:type="character" w:customStyle="1" w:styleId="HeaderChar">
    <w:name w:val="Header Char"/>
    <w:basedOn w:val="DefaultParagraphFont"/>
    <w:link w:val="Header"/>
    <w:uiPriority w:val="99"/>
    <w:rsid w:val="00F960F6"/>
  </w:style>
  <w:style w:type="paragraph" w:styleId="Footer">
    <w:name w:val="footer"/>
    <w:basedOn w:val="Normal"/>
    <w:link w:val="FooterChar"/>
    <w:uiPriority w:val="99"/>
    <w:unhideWhenUsed/>
    <w:rsid w:val="00F960F6"/>
    <w:pPr>
      <w:tabs>
        <w:tab w:val="center" w:pos="4680"/>
        <w:tab w:val="right" w:pos="9360"/>
      </w:tabs>
    </w:pPr>
  </w:style>
  <w:style w:type="character" w:customStyle="1" w:styleId="FooterChar">
    <w:name w:val="Footer Char"/>
    <w:basedOn w:val="DefaultParagraphFont"/>
    <w:link w:val="Footer"/>
    <w:uiPriority w:val="99"/>
    <w:rsid w:val="00F960F6"/>
  </w:style>
  <w:style w:type="character" w:customStyle="1" w:styleId="Heading2Char">
    <w:name w:val="Heading 2 Char"/>
    <w:basedOn w:val="DefaultParagraphFont"/>
    <w:link w:val="Heading2"/>
    <w:uiPriority w:val="9"/>
    <w:rsid w:val="005E28F3"/>
    <w:rPr>
      <w:rFonts w:ascii="Times New Roman" w:eastAsia="MS Gothic" w:hAnsi="Times New Roman" w:cs="Times New Roman"/>
      <w:b/>
      <w:bCs/>
      <w:i/>
      <w:sz w:val="24"/>
      <w:szCs w:val="26"/>
      <w:lang w:val="en-GB"/>
    </w:rPr>
  </w:style>
  <w:style w:type="character" w:customStyle="1" w:styleId="Heading1Char">
    <w:name w:val="Heading 1 Char"/>
    <w:basedOn w:val="DefaultParagraphFont"/>
    <w:link w:val="Heading1"/>
    <w:uiPriority w:val="9"/>
    <w:rsid w:val="003E5CD6"/>
    <w:rPr>
      <w:rFonts w:ascii="Times New Roman" w:eastAsiaTheme="majorEastAsia" w:hAnsi="Times New Roman" w:cstheme="majorBidi"/>
      <w:b/>
      <w:sz w:val="32"/>
      <w:szCs w:val="32"/>
    </w:rPr>
  </w:style>
  <w:style w:type="character" w:styleId="CommentReference">
    <w:name w:val="annotation reference"/>
    <w:basedOn w:val="DefaultParagraphFont"/>
    <w:uiPriority w:val="99"/>
    <w:semiHidden/>
    <w:rsid w:val="00F960F6"/>
    <w:rPr>
      <w:rFonts w:cs="Times New Roman"/>
      <w:sz w:val="16"/>
      <w:szCs w:val="16"/>
    </w:rPr>
  </w:style>
  <w:style w:type="paragraph" w:styleId="CommentText">
    <w:name w:val="annotation text"/>
    <w:basedOn w:val="Normal"/>
    <w:link w:val="CommentTextChar"/>
    <w:uiPriority w:val="99"/>
    <w:rsid w:val="00F960F6"/>
    <w:rPr>
      <w:rFonts w:eastAsia="Times New Roman"/>
      <w:sz w:val="20"/>
      <w:szCs w:val="20"/>
      <w:lang w:val="en-GB"/>
    </w:rPr>
  </w:style>
  <w:style w:type="character" w:customStyle="1" w:styleId="CommentTextChar">
    <w:name w:val="Comment Text Char"/>
    <w:basedOn w:val="DefaultParagraphFont"/>
    <w:link w:val="CommentText"/>
    <w:uiPriority w:val="99"/>
    <w:rsid w:val="00F960F6"/>
    <w:rPr>
      <w:rFonts w:ascii="Times New Roman" w:eastAsia="Times New Roman" w:hAnsi="Times New Roman" w:cs="Times New Roman"/>
      <w:sz w:val="20"/>
      <w:szCs w:val="20"/>
      <w:lang w:val="en-GB"/>
    </w:rPr>
  </w:style>
  <w:style w:type="table" w:styleId="TableGrid">
    <w:name w:val="Table Grid"/>
    <w:basedOn w:val="TableNormal"/>
    <w:uiPriority w:val="59"/>
    <w:rsid w:val="00F96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60F6"/>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F960F6"/>
    <w:rPr>
      <w:rFonts w:ascii="Tahoma" w:eastAsia="Times New Roman" w:hAnsi="Tahoma" w:cs="Tahoma"/>
      <w:sz w:val="16"/>
      <w:szCs w:val="16"/>
      <w:lang w:val="en-GB"/>
    </w:rPr>
  </w:style>
  <w:style w:type="paragraph" w:styleId="ListParagraph">
    <w:name w:val="List Paragraph"/>
    <w:basedOn w:val="Normal"/>
    <w:uiPriority w:val="34"/>
    <w:qFormat/>
    <w:rsid w:val="00F960F6"/>
    <w:pPr>
      <w:ind w:left="720"/>
      <w:contextualSpacing/>
    </w:pPr>
    <w:rPr>
      <w:rFonts w:eastAsia="Times New Roman"/>
      <w:sz w:val="20"/>
      <w:szCs w:val="20"/>
      <w:lang w:val="en-GB"/>
    </w:rPr>
  </w:style>
  <w:style w:type="character" w:styleId="Hyperlink">
    <w:name w:val="Hyperlink"/>
    <w:basedOn w:val="DefaultParagraphFont"/>
    <w:uiPriority w:val="99"/>
    <w:unhideWhenUsed/>
    <w:rsid w:val="00F960F6"/>
    <w:rPr>
      <w:color w:val="0000FF"/>
      <w:u w:val="single"/>
    </w:rPr>
  </w:style>
  <w:style w:type="paragraph" w:styleId="FootnoteText">
    <w:name w:val="footnote text"/>
    <w:basedOn w:val="Normal"/>
    <w:link w:val="FootnoteTextChar"/>
    <w:uiPriority w:val="99"/>
    <w:unhideWhenUsed/>
    <w:rsid w:val="00F960F6"/>
    <w:rPr>
      <w:rFonts w:eastAsia="Times New Roman"/>
      <w:sz w:val="20"/>
      <w:szCs w:val="20"/>
      <w:lang w:val="en-GB"/>
    </w:rPr>
  </w:style>
  <w:style w:type="character" w:customStyle="1" w:styleId="FootnoteTextChar">
    <w:name w:val="Footnote Text Char"/>
    <w:basedOn w:val="DefaultParagraphFont"/>
    <w:link w:val="FootnoteText"/>
    <w:uiPriority w:val="99"/>
    <w:rsid w:val="00F960F6"/>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F960F6"/>
    <w:rPr>
      <w:vertAlign w:val="superscript"/>
    </w:rPr>
  </w:style>
  <w:style w:type="paragraph" w:styleId="CommentSubject">
    <w:name w:val="annotation subject"/>
    <w:basedOn w:val="CommentText"/>
    <w:next w:val="CommentText"/>
    <w:link w:val="CommentSubjectChar"/>
    <w:uiPriority w:val="99"/>
    <w:semiHidden/>
    <w:unhideWhenUsed/>
    <w:rsid w:val="00F960F6"/>
    <w:rPr>
      <w:b/>
      <w:bCs/>
    </w:rPr>
  </w:style>
  <w:style w:type="character" w:customStyle="1" w:styleId="CommentSubjectChar">
    <w:name w:val="Comment Subject Char"/>
    <w:basedOn w:val="CommentTextChar"/>
    <w:link w:val="CommentSubject"/>
    <w:uiPriority w:val="99"/>
    <w:semiHidden/>
    <w:rsid w:val="00F960F6"/>
    <w:rPr>
      <w:rFonts w:ascii="Times New Roman" w:eastAsia="Times New Roman" w:hAnsi="Times New Roman" w:cs="Times New Roman"/>
      <w:b/>
      <w:bCs/>
      <w:sz w:val="20"/>
      <w:szCs w:val="20"/>
      <w:lang w:val="en-GB"/>
    </w:rPr>
  </w:style>
  <w:style w:type="paragraph" w:styleId="NormalWeb">
    <w:name w:val="Normal (Web)"/>
    <w:basedOn w:val="Normal"/>
    <w:uiPriority w:val="99"/>
    <w:unhideWhenUsed/>
    <w:rsid w:val="00F960F6"/>
    <w:pPr>
      <w:spacing w:before="100" w:beforeAutospacing="1" w:after="100" w:afterAutospacing="1"/>
    </w:pPr>
    <w:rPr>
      <w:rFonts w:eastAsia="Times New Roman"/>
    </w:rPr>
  </w:style>
  <w:style w:type="character" w:styleId="Emphasis">
    <w:name w:val="Emphasis"/>
    <w:basedOn w:val="DefaultParagraphFont"/>
    <w:uiPriority w:val="20"/>
    <w:qFormat/>
    <w:rsid w:val="00F960F6"/>
    <w:rPr>
      <w:i/>
      <w:iCs/>
    </w:rPr>
  </w:style>
  <w:style w:type="character" w:customStyle="1" w:styleId="st">
    <w:name w:val="st"/>
    <w:basedOn w:val="DefaultParagraphFont"/>
    <w:uiPriority w:val="99"/>
    <w:rsid w:val="00F960F6"/>
  </w:style>
  <w:style w:type="paragraph" w:styleId="Title">
    <w:name w:val="Title"/>
    <w:basedOn w:val="Normal"/>
    <w:next w:val="Normal"/>
    <w:link w:val="TitleChar"/>
    <w:uiPriority w:val="10"/>
    <w:qFormat/>
    <w:rsid w:val="00F960F6"/>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GB"/>
    </w:rPr>
  </w:style>
  <w:style w:type="character" w:customStyle="1" w:styleId="TitleChar">
    <w:name w:val="Title Char"/>
    <w:basedOn w:val="DefaultParagraphFont"/>
    <w:link w:val="Title"/>
    <w:uiPriority w:val="10"/>
    <w:rsid w:val="00F960F6"/>
    <w:rPr>
      <w:rFonts w:asciiTheme="majorHAnsi" w:eastAsiaTheme="majorEastAsia" w:hAnsiTheme="majorHAnsi" w:cstheme="majorBidi"/>
      <w:color w:val="323E4F" w:themeColor="text2" w:themeShade="BF"/>
      <w:spacing w:val="5"/>
      <w:kern w:val="28"/>
      <w:sz w:val="52"/>
      <w:szCs w:val="52"/>
      <w:lang w:val="en-GB"/>
    </w:rPr>
  </w:style>
  <w:style w:type="paragraph" w:styleId="TOCHeading">
    <w:name w:val="TOC Heading"/>
    <w:basedOn w:val="Heading1"/>
    <w:next w:val="Normal"/>
    <w:uiPriority w:val="39"/>
    <w:semiHidden/>
    <w:unhideWhenUsed/>
    <w:qFormat/>
    <w:rsid w:val="00F960F6"/>
    <w:pPr>
      <w:spacing w:before="480" w:line="276" w:lineRule="auto"/>
      <w:outlineLvl w:val="9"/>
    </w:pPr>
    <w:rPr>
      <w:rFonts w:ascii="Arial" w:hAnsi="Arial"/>
      <w:b w:val="0"/>
      <w:bCs/>
      <w:szCs w:val="28"/>
    </w:rPr>
  </w:style>
  <w:style w:type="paragraph" w:styleId="TOC1">
    <w:name w:val="toc 1"/>
    <w:basedOn w:val="Normal"/>
    <w:next w:val="Normal"/>
    <w:autoRedefine/>
    <w:uiPriority w:val="39"/>
    <w:unhideWhenUsed/>
    <w:rsid w:val="00F960F6"/>
    <w:pPr>
      <w:tabs>
        <w:tab w:val="right" w:leader="dot" w:pos="9350"/>
      </w:tabs>
      <w:spacing w:after="100" w:line="360" w:lineRule="auto"/>
    </w:pPr>
    <w:rPr>
      <w:rFonts w:eastAsia="Times New Roman"/>
      <w:sz w:val="20"/>
      <w:szCs w:val="20"/>
      <w:lang w:val="en-GB"/>
    </w:rPr>
  </w:style>
  <w:style w:type="paragraph" w:styleId="TOC2">
    <w:name w:val="toc 2"/>
    <w:basedOn w:val="Normal"/>
    <w:next w:val="Normal"/>
    <w:autoRedefine/>
    <w:uiPriority w:val="39"/>
    <w:unhideWhenUsed/>
    <w:rsid w:val="00F960F6"/>
    <w:pPr>
      <w:spacing w:after="100"/>
      <w:ind w:left="200"/>
    </w:pPr>
    <w:rPr>
      <w:rFonts w:eastAsia="Times New Roman"/>
      <w:sz w:val="20"/>
      <w:szCs w:val="20"/>
      <w:lang w:val="en-GB"/>
    </w:rPr>
  </w:style>
  <w:style w:type="paragraph" w:customStyle="1" w:styleId="Default">
    <w:name w:val="Default"/>
    <w:rsid w:val="00F960F6"/>
    <w:pPr>
      <w:autoSpaceDE w:val="0"/>
      <w:autoSpaceDN w:val="0"/>
      <w:adjustRightInd w:val="0"/>
      <w:spacing w:after="0" w:line="240" w:lineRule="auto"/>
    </w:pPr>
    <w:rPr>
      <w:rFonts w:ascii="Rockwell" w:hAnsi="Rockwell" w:cs="Rockwell"/>
      <w:color w:val="000000"/>
      <w:sz w:val="24"/>
      <w:szCs w:val="24"/>
      <w:lang w:val="en-GB"/>
    </w:rPr>
  </w:style>
  <w:style w:type="character" w:customStyle="1" w:styleId="Heading3Char">
    <w:name w:val="Heading 3 Char"/>
    <w:basedOn w:val="DefaultParagraphFont"/>
    <w:link w:val="Heading3"/>
    <w:uiPriority w:val="9"/>
    <w:rsid w:val="005E28F3"/>
    <w:rPr>
      <w:rFonts w:ascii="Times New Roman" w:eastAsiaTheme="majorEastAsia" w:hAnsi="Times New Roman" w:cstheme="majorBidi"/>
      <w:b/>
      <w:i/>
      <w:color w:val="1F4D78" w:themeColor="accent1" w:themeShade="7F"/>
      <w:sz w:val="24"/>
      <w:szCs w:val="24"/>
    </w:rPr>
  </w:style>
  <w:style w:type="paragraph" w:customStyle="1" w:styleId="ListofTables">
    <w:name w:val="List of Tables"/>
    <w:basedOn w:val="NormalWeb"/>
    <w:autoRedefine/>
    <w:qFormat/>
    <w:rsid w:val="00CE389B"/>
    <w:pPr>
      <w:spacing w:before="0" w:beforeAutospacing="0" w:after="0" w:afterAutospacing="0"/>
    </w:pPr>
  </w:style>
  <w:style w:type="character" w:customStyle="1" w:styleId="field-content">
    <w:name w:val="field-content"/>
    <w:rsid w:val="00CE389B"/>
  </w:style>
  <w:style w:type="character" w:styleId="FollowedHyperlink">
    <w:name w:val="FollowedHyperlink"/>
    <w:uiPriority w:val="99"/>
    <w:unhideWhenUsed/>
    <w:rsid w:val="00536C31"/>
    <w:rPr>
      <w:color w:val="800080"/>
      <w:u w:val="single"/>
    </w:rPr>
  </w:style>
  <w:style w:type="paragraph" w:customStyle="1" w:styleId="svarticle">
    <w:name w:val="svarticle"/>
    <w:basedOn w:val="Normal"/>
    <w:rsid w:val="00A7516A"/>
    <w:pPr>
      <w:spacing w:before="100" w:beforeAutospacing="1" w:after="100" w:afterAutospacing="1"/>
    </w:pPr>
    <w:rPr>
      <w:rFonts w:eastAsia="Times New Roman"/>
    </w:rPr>
  </w:style>
  <w:style w:type="character" w:styleId="HTMLCite">
    <w:name w:val="HTML Cite"/>
    <w:uiPriority w:val="99"/>
    <w:semiHidden/>
    <w:unhideWhenUsed/>
    <w:rsid w:val="00B743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097556">
      <w:bodyDiv w:val="1"/>
      <w:marLeft w:val="0"/>
      <w:marRight w:val="0"/>
      <w:marTop w:val="0"/>
      <w:marBottom w:val="0"/>
      <w:divBdr>
        <w:top w:val="none" w:sz="0" w:space="0" w:color="auto"/>
        <w:left w:val="none" w:sz="0" w:space="0" w:color="auto"/>
        <w:bottom w:val="none" w:sz="0" w:space="0" w:color="auto"/>
        <w:right w:val="none" w:sz="0" w:space="0" w:color="auto"/>
      </w:divBdr>
    </w:div>
    <w:div w:id="1730684031">
      <w:bodyDiv w:val="1"/>
      <w:marLeft w:val="0"/>
      <w:marRight w:val="0"/>
      <w:marTop w:val="0"/>
      <w:marBottom w:val="0"/>
      <w:divBdr>
        <w:top w:val="none" w:sz="0" w:space="0" w:color="auto"/>
        <w:left w:val="none" w:sz="0" w:space="0" w:color="auto"/>
        <w:bottom w:val="none" w:sz="0" w:space="0" w:color="auto"/>
        <w:right w:val="none" w:sz="0" w:space="0" w:color="auto"/>
      </w:divBdr>
      <w:divsChild>
        <w:div w:id="1127118118">
          <w:marLeft w:val="0"/>
          <w:marRight w:val="0"/>
          <w:marTop w:val="0"/>
          <w:marBottom w:val="0"/>
          <w:divBdr>
            <w:top w:val="none" w:sz="0" w:space="0" w:color="auto"/>
            <w:left w:val="none" w:sz="0" w:space="0" w:color="auto"/>
            <w:bottom w:val="none" w:sz="0" w:space="0" w:color="auto"/>
            <w:right w:val="none" w:sz="0" w:space="0" w:color="auto"/>
          </w:divBdr>
        </w:div>
        <w:div w:id="1527211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2DFAC-BB26-49BE-998B-D65F324D4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10766</Words>
  <Characters>61369</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71992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mery</dc:creator>
  <cp:lastModifiedBy>Merima Balavac</cp:lastModifiedBy>
  <cp:revision>2</cp:revision>
  <dcterms:created xsi:type="dcterms:W3CDTF">2016-04-15T09:25:00Z</dcterms:created>
  <dcterms:modified xsi:type="dcterms:W3CDTF">2016-04-15T09:25:00Z</dcterms:modified>
</cp:coreProperties>
</file>