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86" w:rsidRPr="00363142" w:rsidRDefault="005D2586" w:rsidP="00677519">
      <w:pPr>
        <w:spacing w:after="120"/>
        <w:jc w:val="center"/>
        <w:rPr>
          <w:b/>
          <w:lang w:val="en-GB"/>
        </w:rPr>
      </w:pPr>
      <w:bookmarkStart w:id="0" w:name="_Toc195454534"/>
      <w:bookmarkStart w:id="1" w:name="_Toc239956836"/>
      <w:bookmarkStart w:id="2" w:name="_Toc239956883"/>
      <w:bookmarkStart w:id="3" w:name="_Toc239957773"/>
      <w:bookmarkStart w:id="4" w:name="_Toc239958110"/>
      <w:bookmarkStart w:id="5" w:name="_Toc239958718"/>
      <w:bookmarkStart w:id="6" w:name="_Toc239959102"/>
      <w:bookmarkStart w:id="7" w:name="_Toc240022801"/>
      <w:bookmarkStart w:id="8" w:name="_Toc240135372"/>
      <w:bookmarkStart w:id="9" w:name="_Toc240442328"/>
      <w:bookmarkStart w:id="10" w:name="_Toc240442774"/>
      <w:bookmarkStart w:id="11" w:name="_Toc240442858"/>
      <w:bookmarkStart w:id="12" w:name="_Toc240442940"/>
      <w:r w:rsidRPr="00363142">
        <w:rPr>
          <w:b/>
          <w:lang w:val="en-GB"/>
        </w:rPr>
        <w:t xml:space="preserve">INSTITUTIONAL EFFECTS ON ECONOMIC PERFORMANCE IN TRANSITION: A DYNAMIC PANEL ANALYSIS* </w:t>
      </w:r>
    </w:p>
    <w:p w:rsidR="005D2586" w:rsidRPr="00363142" w:rsidRDefault="005D2586" w:rsidP="0025068A">
      <w:pPr>
        <w:spacing w:after="120"/>
        <w:jc w:val="center"/>
        <w:rPr>
          <w:b/>
          <w:lang w:val="en-GB"/>
        </w:rPr>
      </w:pPr>
    </w:p>
    <w:p w:rsidR="005D2586" w:rsidRPr="00363142" w:rsidRDefault="005D2586">
      <w:pPr>
        <w:spacing w:after="120"/>
        <w:jc w:val="center"/>
        <w:rPr>
          <w:caps/>
          <w:lang w:val="en-GB"/>
        </w:rPr>
      </w:pPr>
      <w:proofErr w:type="spellStart"/>
      <w:r w:rsidRPr="00363142">
        <w:rPr>
          <w:lang w:val="en-GB"/>
        </w:rPr>
        <w:t>Adnan</w:t>
      </w:r>
      <w:proofErr w:type="spellEnd"/>
      <w:r w:rsidRPr="00363142">
        <w:rPr>
          <w:lang w:val="en-GB"/>
        </w:rPr>
        <w:t xml:space="preserve"> </w:t>
      </w:r>
      <w:r w:rsidRPr="00363142">
        <w:rPr>
          <w:caps/>
          <w:lang w:val="en-GB"/>
        </w:rPr>
        <w:t>Efendic</w:t>
      </w:r>
      <w:r w:rsidRPr="00363142">
        <w:rPr>
          <w:lang w:val="en-GB"/>
        </w:rPr>
        <w:t xml:space="preserve"> – </w:t>
      </w:r>
      <w:proofErr w:type="gramStart"/>
      <w:r w:rsidRPr="00363142">
        <w:rPr>
          <w:lang w:val="en-GB"/>
        </w:rPr>
        <w:t xml:space="preserve">Geoff  </w:t>
      </w:r>
      <w:r w:rsidRPr="00363142">
        <w:rPr>
          <w:caps/>
          <w:lang w:val="en-GB"/>
        </w:rPr>
        <w:t>Pugh</w:t>
      </w:r>
      <w:proofErr w:type="gramEnd"/>
    </w:p>
    <w:p w:rsidR="005D2586" w:rsidRPr="00363142" w:rsidRDefault="005D2586" w:rsidP="009D3202">
      <w:pPr>
        <w:jc w:val="center"/>
        <w:rPr>
          <w:i/>
          <w:lang w:val="en-GB"/>
        </w:rPr>
      </w:pPr>
      <w:r w:rsidRPr="00363142">
        <w:rPr>
          <w:i/>
          <w:lang w:val="en-GB"/>
        </w:rPr>
        <w:t xml:space="preserve">(Received: 25 December 2013; revision received: 30 July 2014; </w:t>
      </w:r>
    </w:p>
    <w:p w:rsidR="005D2586" w:rsidRPr="00363142" w:rsidRDefault="005D2586" w:rsidP="009D3202">
      <w:pPr>
        <w:jc w:val="center"/>
        <w:rPr>
          <w:i/>
          <w:lang w:val="en-GB"/>
        </w:rPr>
      </w:pPr>
      <w:proofErr w:type="gramStart"/>
      <w:r w:rsidRPr="00363142">
        <w:rPr>
          <w:i/>
          <w:lang w:val="en-GB"/>
        </w:rPr>
        <w:t>accepted</w:t>
      </w:r>
      <w:proofErr w:type="gramEnd"/>
      <w:r w:rsidRPr="00363142">
        <w:rPr>
          <w:i/>
          <w:lang w:val="en-GB"/>
        </w:rPr>
        <w:t>: 18 September 2014)</w:t>
      </w:r>
    </w:p>
    <w:p w:rsidR="005D2586" w:rsidRPr="00363142" w:rsidRDefault="005D2586">
      <w:pPr>
        <w:spacing w:after="120"/>
        <w:jc w:val="center"/>
        <w:rPr>
          <w:lang w:val="en-GB"/>
        </w:rPr>
      </w:pPr>
    </w:p>
    <w:p w:rsidR="005D2586" w:rsidRPr="00363142" w:rsidRDefault="005D2586" w:rsidP="0025068A">
      <w:pPr>
        <w:jc w:val="both"/>
        <w:rPr>
          <w:vertAlign w:val="superscript"/>
          <w:lang w:val="en-GB"/>
        </w:rPr>
      </w:pPr>
    </w:p>
    <w:p w:rsidR="005D2586" w:rsidRPr="00363142" w:rsidRDefault="005D2586" w:rsidP="0025068A">
      <w:pPr>
        <w:jc w:val="both"/>
        <w:rPr>
          <w:b/>
          <w:lang w:val="en-GB" w:eastAsia="en-US"/>
        </w:rPr>
      </w:pPr>
    </w:p>
    <w:p w:rsidR="005D2586" w:rsidRPr="00363142" w:rsidRDefault="005D2586" w:rsidP="0045086E">
      <w:pPr>
        <w:jc w:val="both"/>
        <w:rPr>
          <w:lang w:val="en-GB"/>
        </w:rPr>
      </w:pPr>
      <w:r w:rsidRPr="00363142">
        <w:rPr>
          <w:lang w:val="en-GB"/>
        </w:rPr>
        <w:t xml:space="preserve">This article uses dynamic panel analysis to investigate the relationship between institutional improvement and economic performance in transition countries. The contribution of this paper is two-fold. First, we find that per capita GDP is determined by the entire history of institutional reform under transition and that, conditional on this history, per capita GDP adjusts to recent institutional changes. Moreover, we find that the time-horizon over which we measure institutional change matters, with five-year changes showing the clearest effects on current levels of per capita GDP. Secondly, we address the pronounced methodological heterogeneity of this literature. To compensate for incomplete theoretical guidance from the institutional literature, we draw upon an institutional meta-regression analysis to inform our model specification.  </w:t>
      </w:r>
    </w:p>
    <w:p w:rsidR="005D2586" w:rsidRPr="00363142" w:rsidRDefault="005D2586" w:rsidP="0025068A">
      <w:pPr>
        <w:jc w:val="both"/>
        <w:rPr>
          <w:lang w:val="en-GB"/>
        </w:rPr>
      </w:pPr>
    </w:p>
    <w:p w:rsidR="005D2586" w:rsidRPr="00363142" w:rsidRDefault="005D2586" w:rsidP="0025068A">
      <w:pPr>
        <w:jc w:val="both"/>
        <w:rPr>
          <w:b/>
          <w:lang w:val="en-GB"/>
        </w:rPr>
      </w:pPr>
    </w:p>
    <w:p w:rsidR="005D2586" w:rsidRPr="00363142" w:rsidRDefault="005D2586" w:rsidP="0025068A">
      <w:pPr>
        <w:jc w:val="both"/>
        <w:rPr>
          <w:lang w:val="en-GB"/>
        </w:rPr>
      </w:pPr>
      <w:r w:rsidRPr="00363142">
        <w:rPr>
          <w:b/>
          <w:lang w:val="en-GB"/>
        </w:rPr>
        <w:t>Keywords:</w:t>
      </w:r>
      <w:r w:rsidRPr="00363142">
        <w:rPr>
          <w:lang w:val="en-GB"/>
        </w:rPr>
        <w:t xml:space="preserve">  institutions, economic performance, transition countries, dynamic panel analysis, extreme bounds analysis</w:t>
      </w:r>
    </w:p>
    <w:p w:rsidR="005D2586" w:rsidRPr="00363142" w:rsidRDefault="005D2586" w:rsidP="0025068A">
      <w:pPr>
        <w:jc w:val="both"/>
        <w:rPr>
          <w:lang w:val="en-GB"/>
        </w:rPr>
      </w:pPr>
    </w:p>
    <w:p w:rsidR="005D2586" w:rsidRPr="00363142" w:rsidRDefault="005D2586" w:rsidP="00EB6EDE">
      <w:pPr>
        <w:jc w:val="both"/>
        <w:rPr>
          <w:lang w:val="en-GB"/>
        </w:rPr>
      </w:pPr>
      <w:r w:rsidRPr="00363142">
        <w:rPr>
          <w:b/>
          <w:lang w:val="en-GB"/>
        </w:rPr>
        <w:t>JEL classification indices:</w:t>
      </w:r>
      <w:r w:rsidRPr="00363142">
        <w:rPr>
          <w:lang w:val="en-GB"/>
        </w:rPr>
        <w:t xml:space="preserve"> E11, P30, P39</w:t>
      </w:r>
    </w:p>
    <w:p w:rsidR="005D2586" w:rsidRPr="00363142" w:rsidRDefault="005D2586" w:rsidP="0025068A">
      <w:pPr>
        <w:jc w:val="both"/>
        <w:rPr>
          <w:lang w:val="en-GB"/>
        </w:rPr>
      </w:pPr>
    </w:p>
    <w:p w:rsidR="005D2586" w:rsidRPr="00363142" w:rsidRDefault="005D2586" w:rsidP="005E69C4">
      <w:pPr>
        <w:spacing w:after="120"/>
        <w:jc w:val="both"/>
        <w:rPr>
          <w:b/>
          <w:lang w:val="en-GB"/>
        </w:rPr>
      </w:pPr>
      <w:bookmarkStart w:id="13" w:name="_Toc292132634"/>
      <w:bookmarkEnd w:id="0"/>
      <w:r w:rsidRPr="00363142">
        <w:rPr>
          <w:b/>
          <w:lang w:val="en-GB"/>
        </w:rPr>
        <w:t>Running title: INSTITUTIONS AND ECONOMIC PERFORMANCE</w:t>
      </w:r>
    </w:p>
    <w:p w:rsidR="005D2586" w:rsidRPr="00363142" w:rsidRDefault="005D2586" w:rsidP="0025068A">
      <w:pPr>
        <w:jc w:val="both"/>
        <w:rPr>
          <w:lang w:val="en-GB"/>
        </w:rPr>
      </w:pPr>
    </w:p>
    <w:p w:rsidR="005D2586" w:rsidRPr="00363142" w:rsidRDefault="005D2586" w:rsidP="00364A3C">
      <w:pPr>
        <w:jc w:val="both"/>
        <w:rPr>
          <w:b/>
          <w:lang w:val="en-GB"/>
        </w:rPr>
      </w:pPr>
    </w:p>
    <w:p w:rsidR="005D2586" w:rsidRPr="00363142" w:rsidRDefault="005D2586" w:rsidP="00364A3C">
      <w:pPr>
        <w:jc w:val="both"/>
        <w:rPr>
          <w:b/>
          <w:lang w:val="en-GB"/>
        </w:rPr>
      </w:pPr>
      <w:r w:rsidRPr="00363142">
        <w:rPr>
          <w:b/>
          <w:lang w:val="en-GB"/>
        </w:rPr>
        <w:t xml:space="preserve">* </w:t>
      </w:r>
      <w:r w:rsidRPr="00363142">
        <w:t xml:space="preserve">The authors acknowledge a particular debt to Nick Adnett. </w:t>
      </w:r>
      <w:r w:rsidRPr="00363142">
        <w:rPr>
          <w:lang w:val="en-GB"/>
        </w:rPr>
        <w:t xml:space="preserve">We also thank two anonymous referees for additional improvements.  </w:t>
      </w:r>
      <w:r w:rsidRPr="00363142">
        <w:t>Any shortcomings remaining are the responsibility of the authors.</w:t>
      </w:r>
    </w:p>
    <w:p w:rsidR="005D2586" w:rsidRPr="00363142" w:rsidRDefault="005D2586" w:rsidP="00364A3C">
      <w:pPr>
        <w:jc w:val="both"/>
        <w:rPr>
          <w:b/>
          <w:lang w:val="en-GB"/>
        </w:rPr>
      </w:pPr>
    </w:p>
    <w:p w:rsidR="005D2586" w:rsidRPr="0013591A" w:rsidRDefault="005D2586" w:rsidP="005E69C4">
      <w:pPr>
        <w:pStyle w:val="FootnoteText"/>
        <w:rPr>
          <w:sz w:val="24"/>
          <w:szCs w:val="24"/>
          <w:lang w:val="en-GB"/>
        </w:rPr>
      </w:pPr>
      <w:r w:rsidRPr="0013591A">
        <w:rPr>
          <w:sz w:val="24"/>
          <w:szCs w:val="24"/>
          <w:lang w:val="en-GB"/>
        </w:rPr>
        <w:t>------------------------------------------------------------</w:t>
      </w:r>
    </w:p>
    <w:p w:rsidR="005D2586" w:rsidRPr="0013591A" w:rsidRDefault="005D2586" w:rsidP="005E69C4">
      <w:pPr>
        <w:pStyle w:val="FootnoteText"/>
        <w:rPr>
          <w:sz w:val="24"/>
          <w:szCs w:val="24"/>
          <w:lang w:val="de-DE"/>
        </w:rPr>
      </w:pPr>
      <w:proofErr w:type="spellStart"/>
      <w:proofErr w:type="gramStart"/>
      <w:r w:rsidRPr="0013591A">
        <w:rPr>
          <w:b/>
          <w:sz w:val="24"/>
          <w:szCs w:val="24"/>
          <w:lang w:val="en-GB"/>
        </w:rPr>
        <w:t>Adnan</w:t>
      </w:r>
      <w:proofErr w:type="spellEnd"/>
      <w:r w:rsidRPr="0013591A">
        <w:rPr>
          <w:b/>
          <w:sz w:val="24"/>
          <w:szCs w:val="24"/>
          <w:lang w:val="en-GB"/>
        </w:rPr>
        <w:t xml:space="preserve"> </w:t>
      </w:r>
      <w:r w:rsidRPr="0013591A">
        <w:rPr>
          <w:b/>
          <w:i/>
          <w:sz w:val="24"/>
          <w:szCs w:val="24"/>
          <w:lang w:val="en-GB"/>
        </w:rPr>
        <w:t>Efendic</w:t>
      </w:r>
      <w:r w:rsidRPr="0013591A">
        <w:rPr>
          <w:i/>
          <w:sz w:val="24"/>
          <w:szCs w:val="24"/>
          <w:lang w:val="en-GB"/>
        </w:rPr>
        <w:t xml:space="preserve">, </w:t>
      </w:r>
      <w:r w:rsidRPr="0013591A">
        <w:rPr>
          <w:sz w:val="24"/>
          <w:szCs w:val="24"/>
          <w:lang w:val="en-GB"/>
        </w:rPr>
        <w:t>corresponding author.</w:t>
      </w:r>
      <w:proofErr w:type="gramEnd"/>
      <w:r w:rsidRPr="0013591A">
        <w:rPr>
          <w:i/>
          <w:sz w:val="24"/>
          <w:szCs w:val="24"/>
          <w:lang w:val="en-GB"/>
        </w:rPr>
        <w:t xml:space="preserve"> </w:t>
      </w:r>
      <w:r w:rsidRPr="0013591A">
        <w:rPr>
          <w:sz w:val="24"/>
          <w:szCs w:val="24"/>
          <w:lang w:val="en-GB"/>
        </w:rPr>
        <w:t xml:space="preserve"> </w:t>
      </w:r>
      <w:proofErr w:type="gramStart"/>
      <w:r w:rsidRPr="0013591A">
        <w:rPr>
          <w:sz w:val="24"/>
          <w:szCs w:val="24"/>
          <w:lang w:val="en-GB"/>
        </w:rPr>
        <w:t xml:space="preserve">Professor at </w:t>
      </w:r>
      <w:r w:rsidR="00FF5449" w:rsidRPr="0013591A">
        <w:rPr>
          <w:sz w:val="24"/>
          <w:szCs w:val="24"/>
          <w:lang w:val="en-GB"/>
        </w:rPr>
        <w:t xml:space="preserve">the </w:t>
      </w:r>
      <w:r w:rsidRPr="0013591A">
        <w:rPr>
          <w:sz w:val="24"/>
          <w:szCs w:val="24"/>
          <w:lang w:val="en-GB"/>
        </w:rPr>
        <w:t>University of Sarajevo</w:t>
      </w:r>
      <w:r w:rsidR="00A4707B" w:rsidRPr="0013591A">
        <w:rPr>
          <w:sz w:val="24"/>
          <w:szCs w:val="24"/>
          <w:lang w:val="en-GB"/>
        </w:rPr>
        <w:t>,</w:t>
      </w:r>
      <w:r w:rsidRPr="0013591A">
        <w:rPr>
          <w:sz w:val="24"/>
          <w:szCs w:val="24"/>
          <w:lang w:val="en-GB"/>
        </w:rPr>
        <w:t xml:space="preserve"> School of Economics and Business.</w:t>
      </w:r>
      <w:proofErr w:type="gramEnd"/>
      <w:r w:rsidRPr="0013591A">
        <w:rPr>
          <w:sz w:val="24"/>
          <w:szCs w:val="24"/>
          <w:lang w:val="en-GB"/>
        </w:rPr>
        <w:t xml:space="preserve"> </w:t>
      </w:r>
      <w:r w:rsidRPr="0013591A">
        <w:rPr>
          <w:sz w:val="24"/>
          <w:szCs w:val="24"/>
          <w:lang w:val="bs-Latn-BA"/>
        </w:rPr>
        <w:t xml:space="preserve"> E-mail: </w:t>
      </w:r>
      <w:r w:rsidR="005019F2">
        <w:fldChar w:fldCharType="begin"/>
      </w:r>
      <w:r w:rsidR="005019F2">
        <w:instrText>HYPERLINK "mailto:adnan.efendic@efsa.unsa.ba"</w:instrText>
      </w:r>
      <w:r w:rsidR="005019F2">
        <w:fldChar w:fldCharType="separate"/>
      </w:r>
      <w:r w:rsidRPr="0013591A">
        <w:rPr>
          <w:rStyle w:val="Hyperlink"/>
          <w:color w:val="auto"/>
          <w:sz w:val="24"/>
          <w:szCs w:val="24"/>
          <w:u w:val="none"/>
          <w:lang w:val="bs-Latn-BA"/>
        </w:rPr>
        <w:t>adnan.efendic@efsa.unsa.ba</w:t>
      </w:r>
      <w:r w:rsidR="005019F2">
        <w:fldChar w:fldCharType="end"/>
      </w:r>
      <w:r w:rsidRPr="0013591A">
        <w:rPr>
          <w:sz w:val="24"/>
          <w:szCs w:val="24"/>
          <w:lang w:val="bs-Latn-BA"/>
        </w:rPr>
        <w:t xml:space="preserve"> </w:t>
      </w:r>
    </w:p>
    <w:p w:rsidR="005D2586" w:rsidRPr="0013591A" w:rsidRDefault="005D2586" w:rsidP="005E69C4">
      <w:pPr>
        <w:spacing w:after="120"/>
        <w:jc w:val="both"/>
        <w:rPr>
          <w:b/>
          <w:lang w:val="de-DE"/>
        </w:rPr>
      </w:pPr>
    </w:p>
    <w:p w:rsidR="005D2586" w:rsidRPr="0013591A" w:rsidRDefault="005D2586" w:rsidP="005E69C4">
      <w:pPr>
        <w:spacing w:after="120"/>
        <w:jc w:val="both"/>
        <w:rPr>
          <w:lang w:val="en-GB"/>
        </w:rPr>
      </w:pPr>
      <w:r w:rsidRPr="0013591A">
        <w:rPr>
          <w:b/>
          <w:lang w:val="en-GB"/>
        </w:rPr>
        <w:t xml:space="preserve">Geoff </w:t>
      </w:r>
      <w:r w:rsidRPr="0013591A">
        <w:rPr>
          <w:b/>
          <w:i/>
          <w:lang w:val="en-GB"/>
        </w:rPr>
        <w:t>Pugh</w:t>
      </w:r>
      <w:r w:rsidRPr="0013591A">
        <w:rPr>
          <w:lang w:val="en-GB"/>
        </w:rPr>
        <w:t>,</w:t>
      </w:r>
      <w:r w:rsidRPr="0013591A">
        <w:rPr>
          <w:b/>
          <w:lang w:val="en-GB"/>
        </w:rPr>
        <w:t xml:space="preserve"> </w:t>
      </w:r>
      <w:r w:rsidR="00B12159" w:rsidRPr="0013591A">
        <w:rPr>
          <w:lang w:val="en-GB"/>
        </w:rPr>
        <w:t>Professor,</w:t>
      </w:r>
      <w:r w:rsidR="00B12159" w:rsidRPr="0013591A">
        <w:rPr>
          <w:b/>
          <w:lang w:val="en-GB"/>
        </w:rPr>
        <w:t xml:space="preserve"> </w:t>
      </w:r>
      <w:r w:rsidRPr="0013591A">
        <w:t xml:space="preserve">Director of the </w:t>
      </w:r>
      <w:r w:rsidR="005019F2">
        <w:fldChar w:fldCharType="begin"/>
      </w:r>
      <w:r w:rsidR="005019F2">
        <w:instrText>HYPERLINK "http://www.staffs.ac.uk/cabr" \t "_blank" \o "Centre for Applied Business Research (CABR)"</w:instrText>
      </w:r>
      <w:r w:rsidR="005019F2">
        <w:fldChar w:fldCharType="separate"/>
      </w:r>
      <w:r w:rsidRPr="0013591A">
        <w:rPr>
          <w:rStyle w:val="Hyperlink"/>
          <w:color w:val="auto"/>
          <w:u w:val="none"/>
        </w:rPr>
        <w:t>Centre for Applied Business Research</w:t>
      </w:r>
      <w:r w:rsidRPr="0013591A">
        <w:rPr>
          <w:rStyle w:val="Hyperlink"/>
          <w:color w:val="auto"/>
          <w:u w:val="none"/>
          <w:lang w:val="hu-HU"/>
        </w:rPr>
        <w:t xml:space="preserve">, </w:t>
      </w:r>
      <w:r w:rsidR="005019F2">
        <w:fldChar w:fldCharType="end"/>
      </w:r>
      <w:r w:rsidRPr="0013591A">
        <w:rPr>
          <w:lang w:val="hu-HU"/>
        </w:rPr>
        <w:t xml:space="preserve">Faculty of Business, Education and Law, </w:t>
      </w:r>
      <w:r w:rsidRPr="0013591A">
        <w:rPr>
          <w:lang w:val="en-GB"/>
        </w:rPr>
        <w:t>Staffordshire University, United Kingdom. E-mail:</w:t>
      </w:r>
      <w:r w:rsidRPr="0013591A">
        <w:rPr>
          <w:rStyle w:val="Strong"/>
        </w:rPr>
        <w:t xml:space="preserve"> </w:t>
      </w:r>
      <w:hyperlink r:id="rId8" w:history="1">
        <w:r w:rsidRPr="0013591A">
          <w:rPr>
            <w:rStyle w:val="Hyperlink"/>
            <w:color w:val="auto"/>
            <w:u w:val="none"/>
          </w:rPr>
          <w:t>g.t.pugh@staffs.ac.uk</w:t>
        </w:r>
      </w:hyperlink>
    </w:p>
    <w:p w:rsidR="005D2586" w:rsidRPr="0013591A" w:rsidRDefault="005D2586" w:rsidP="0025068A">
      <w:pPr>
        <w:jc w:val="both"/>
        <w:rPr>
          <w:lang w:val="en-GB"/>
        </w:rPr>
      </w:pPr>
    </w:p>
    <w:p w:rsidR="005D2586" w:rsidRPr="0013591A" w:rsidRDefault="005D2586" w:rsidP="0025068A">
      <w:pPr>
        <w:jc w:val="both"/>
        <w:rPr>
          <w:b/>
          <w:bCs/>
          <w:kern w:val="32"/>
          <w:lang w:val="en-GB" w:eastAsia="en-US"/>
        </w:rPr>
      </w:pPr>
      <w:r w:rsidRPr="0013591A">
        <w:rPr>
          <w:lang w:val="en-GB"/>
        </w:rPr>
        <w:br w:type="page"/>
      </w:r>
    </w:p>
    <w:p w:rsidR="005D2586" w:rsidRPr="0013591A" w:rsidRDefault="005D2586" w:rsidP="00E142ED">
      <w:pPr>
        <w:pStyle w:val="Heading1"/>
        <w:numPr>
          <w:ilvl w:val="0"/>
          <w:numId w:val="7"/>
        </w:numPr>
        <w:spacing w:before="0" w:after="0" w:line="360" w:lineRule="auto"/>
        <w:ind w:left="0" w:firstLine="0"/>
        <w:jc w:val="center"/>
        <w:rPr>
          <w:rFonts w:ascii="Times New Roman" w:hAnsi="Times New Roman" w:cs="Times New Roman"/>
          <w:sz w:val="24"/>
          <w:szCs w:val="24"/>
          <w:lang w:val="en-GB"/>
        </w:rPr>
      </w:pPr>
      <w:r w:rsidRPr="0013591A">
        <w:rPr>
          <w:rFonts w:ascii="Times New Roman" w:hAnsi="Times New Roman" w:cs="Times New Roman"/>
          <w:sz w:val="24"/>
          <w:szCs w:val="24"/>
          <w:lang w:val="en-GB"/>
        </w:rPr>
        <w:lastRenderedPageBreak/>
        <w:t>INTRODUCTION</w:t>
      </w:r>
    </w:p>
    <w:p w:rsidR="00852F8F" w:rsidRPr="0013591A" w:rsidRDefault="00852F8F" w:rsidP="00DE49D0">
      <w:pPr>
        <w:spacing w:line="360" w:lineRule="auto"/>
        <w:jc w:val="both"/>
        <w:rPr>
          <w:lang w:val="en-GB"/>
        </w:rPr>
      </w:pPr>
    </w:p>
    <w:p w:rsidR="005D2586" w:rsidRPr="0013591A" w:rsidRDefault="005D2586" w:rsidP="00DE49D0">
      <w:pPr>
        <w:spacing w:line="360" w:lineRule="auto"/>
        <w:jc w:val="both"/>
        <w:rPr>
          <w:lang w:val="en-GB"/>
        </w:rPr>
      </w:pPr>
      <w:r w:rsidRPr="0013591A">
        <w:rPr>
          <w:lang w:val="en-GB"/>
        </w:rPr>
        <w:t>Many authors agree that transition is largely a process of institutional change (</w:t>
      </w:r>
      <w:proofErr w:type="spellStart"/>
      <w:r w:rsidRPr="0013591A">
        <w:rPr>
          <w:lang w:val="en-GB"/>
        </w:rPr>
        <w:t>Redek</w:t>
      </w:r>
      <w:proofErr w:type="spellEnd"/>
      <w:r w:rsidRPr="0013591A">
        <w:rPr>
          <w:lang w:val="en-GB"/>
        </w:rPr>
        <w:t xml:space="preserve"> – </w:t>
      </w:r>
      <w:proofErr w:type="spellStart"/>
      <w:r w:rsidRPr="0013591A">
        <w:rPr>
          <w:lang w:val="en-GB"/>
        </w:rPr>
        <w:t>Susjan</w:t>
      </w:r>
      <w:proofErr w:type="spellEnd"/>
      <w:r w:rsidRPr="0013591A">
        <w:rPr>
          <w:lang w:val="en-GB"/>
        </w:rPr>
        <w:t xml:space="preserve"> 2005; </w:t>
      </w:r>
      <w:proofErr w:type="spellStart"/>
      <w:r w:rsidRPr="0013591A">
        <w:rPr>
          <w:lang w:val="en-GB"/>
        </w:rPr>
        <w:t>Eicher</w:t>
      </w:r>
      <w:proofErr w:type="spellEnd"/>
      <w:r w:rsidRPr="0013591A">
        <w:rPr>
          <w:lang w:val="en-GB"/>
        </w:rPr>
        <w:t xml:space="preserve"> – Schreiber 2010). Accordingly, institutional economics may be particularly relevant in explaining economic differences among transition countries (TCs). However, the study of institutions in transition is still characterized by empirical gaps that remain to be investigated. </w:t>
      </w:r>
    </w:p>
    <w:p w:rsidR="005D2586" w:rsidRPr="0013591A" w:rsidRDefault="005D2586" w:rsidP="00DE49D0">
      <w:pPr>
        <w:spacing w:line="360" w:lineRule="auto"/>
        <w:ind w:firstLine="720"/>
        <w:jc w:val="both"/>
        <w:rPr>
          <w:lang w:val="en-GB"/>
        </w:rPr>
        <w:sectPr w:rsidR="005D2586" w:rsidRPr="0013591A" w:rsidSect="00A03105">
          <w:footerReference w:type="even" r:id="rId9"/>
          <w:footerReference w:type="default" r:id="rId10"/>
          <w:footnotePr>
            <w:numFmt w:val="chicago"/>
          </w:footnotePr>
          <w:type w:val="continuous"/>
          <w:pgSz w:w="12240" w:h="15840"/>
          <w:pgMar w:top="1440" w:right="1797" w:bottom="1077" w:left="2268" w:header="709" w:footer="709" w:gutter="0"/>
          <w:cols w:space="708"/>
          <w:docGrid w:linePitch="360"/>
        </w:sectPr>
      </w:pPr>
    </w:p>
    <w:p w:rsidR="005D2586" w:rsidRPr="0013591A" w:rsidRDefault="005D2586" w:rsidP="00DE49D0">
      <w:pPr>
        <w:spacing w:line="360" w:lineRule="auto"/>
        <w:ind w:firstLine="720"/>
        <w:jc w:val="both"/>
        <w:rPr>
          <w:lang w:val="en-GB"/>
        </w:rPr>
      </w:pPr>
      <w:r w:rsidRPr="0013591A">
        <w:rPr>
          <w:lang w:val="en-GB"/>
        </w:rPr>
        <w:lastRenderedPageBreak/>
        <w:t xml:space="preserve">Most transition studies report that ‘better institutions’ </w:t>
      </w:r>
      <w:r w:rsidR="00FF5449" w:rsidRPr="0013591A">
        <w:rPr>
          <w:lang w:val="en-GB"/>
        </w:rPr>
        <w:t xml:space="preserve">are </w:t>
      </w:r>
      <w:r w:rsidRPr="0013591A">
        <w:rPr>
          <w:lang w:val="en-GB"/>
        </w:rPr>
        <w:t>supportive in achieving ‘better economic performance’. However, while results tend to be qualitatively similar, model specifications and empirical strategies in this literature are diverse. In turn, this reflects a lack of theoretical guidance from the institutional literature. Accordingly, the point of departure for this study is the pronounced methodological heterogeneity of this literature. Our response is to use the results from a meta-regression analysis (Efendic et al. 2011) to inform our literature review (Section 2) from which we derive theoretical and econometric reasons for our model specification (Section 3).</w:t>
      </w:r>
      <w:r w:rsidR="008003CB" w:rsidRPr="0013591A">
        <w:rPr>
          <w:lang w:val="en-GB"/>
        </w:rPr>
        <w:t xml:space="preserve"> With respect to the substantive issue, we report new findings on the timing of institutional effects on economic performance (Section 4). </w:t>
      </w:r>
      <w:r w:rsidR="00852F8F" w:rsidRPr="0013591A">
        <w:rPr>
          <w:lang w:val="en-GB"/>
        </w:rPr>
        <w:t xml:space="preserve">In </w:t>
      </w:r>
      <w:r w:rsidR="008003CB" w:rsidRPr="0013591A">
        <w:rPr>
          <w:lang w:val="en-GB"/>
        </w:rPr>
        <w:t xml:space="preserve">Section 5 </w:t>
      </w:r>
      <w:r w:rsidR="00852F8F" w:rsidRPr="0013591A">
        <w:rPr>
          <w:lang w:val="en-GB"/>
        </w:rPr>
        <w:t xml:space="preserve">we present our conclusions. </w:t>
      </w:r>
      <w:r w:rsidR="008003CB" w:rsidRPr="0013591A">
        <w:rPr>
          <w:lang w:val="en-GB"/>
        </w:rPr>
        <w:t xml:space="preserve"> </w:t>
      </w:r>
    </w:p>
    <w:p w:rsidR="005D2586" w:rsidRPr="0013591A" w:rsidRDefault="005D2586" w:rsidP="0025068A">
      <w:pPr>
        <w:spacing w:after="120"/>
        <w:jc w:val="both"/>
        <w:rPr>
          <w:lang w:val="en-GB"/>
        </w:rPr>
      </w:pPr>
    </w:p>
    <w:p w:rsidR="005D2586" w:rsidRPr="0013591A" w:rsidRDefault="005D2586" w:rsidP="005E69C4">
      <w:pPr>
        <w:pStyle w:val="Heading1"/>
        <w:numPr>
          <w:ilvl w:val="0"/>
          <w:numId w:val="7"/>
        </w:numPr>
        <w:spacing w:after="240"/>
        <w:jc w:val="center"/>
        <w:rPr>
          <w:rFonts w:ascii="Times New Roman" w:hAnsi="Times New Roman" w:cs="Times New Roman"/>
          <w:sz w:val="24"/>
          <w:szCs w:val="24"/>
          <w:lang w:val="en-GB"/>
        </w:rPr>
      </w:pPr>
      <w:r w:rsidRPr="0013591A">
        <w:rPr>
          <w:rFonts w:ascii="Times New Roman" w:hAnsi="Times New Roman" w:cs="Times New Roman"/>
          <w:sz w:val="24"/>
          <w:szCs w:val="24"/>
          <w:lang w:val="en-GB"/>
        </w:rPr>
        <w:t>LITERATURE REVIEW</w:t>
      </w:r>
    </w:p>
    <w:p w:rsidR="00852F8F" w:rsidRPr="0013591A" w:rsidRDefault="00852F8F" w:rsidP="00363142">
      <w:pPr>
        <w:spacing w:line="360" w:lineRule="auto"/>
        <w:jc w:val="both"/>
        <w:rPr>
          <w:color w:val="000000"/>
          <w:lang w:val="en-GB" w:eastAsia="en-US"/>
        </w:rPr>
      </w:pPr>
    </w:p>
    <w:p w:rsidR="005D2586" w:rsidRPr="0013591A" w:rsidRDefault="005D2586" w:rsidP="00363142">
      <w:pPr>
        <w:spacing w:line="360" w:lineRule="auto"/>
        <w:jc w:val="both"/>
        <w:rPr>
          <w:color w:val="000000"/>
          <w:lang w:val="en-GB" w:eastAsia="en-US"/>
        </w:rPr>
      </w:pPr>
      <w:r w:rsidRPr="0013591A">
        <w:rPr>
          <w:color w:val="000000"/>
          <w:lang w:val="en-GB" w:eastAsia="en-US"/>
        </w:rPr>
        <w:t xml:space="preserve">Conventional literature review establishes a general consensus that institutions matter for achieving better economic performance in transition. Although the qualitative findings seem homogenous, a meta-regression analysis (Efendic et al. 2011) applied on institutional studies identified five main sources of heterogeneity in this literature: the dependent variable; measurement of the variable of interest that is the proxy variable for institutions; model specification; the estimators applied; and the approach to addressing the potential </w:t>
      </w:r>
      <w:proofErr w:type="spellStart"/>
      <w:r w:rsidRPr="0013591A">
        <w:rPr>
          <w:color w:val="000000"/>
          <w:lang w:val="en-GB" w:eastAsia="en-US"/>
        </w:rPr>
        <w:t>endogeneity</w:t>
      </w:r>
      <w:proofErr w:type="spellEnd"/>
      <w:r w:rsidRPr="0013591A">
        <w:rPr>
          <w:color w:val="000000"/>
          <w:lang w:val="en-GB" w:eastAsia="en-US"/>
        </w:rPr>
        <w:t xml:space="preserve"> of institutions. Since these heterogeneities affect estimates of the effect of institutions on economic performance reported in the literature, our review will focus on these differences. </w:t>
      </w:r>
    </w:p>
    <w:p w:rsidR="005D2586" w:rsidRPr="0013591A" w:rsidRDefault="005D2586" w:rsidP="00363142">
      <w:pPr>
        <w:spacing w:line="360" w:lineRule="auto"/>
        <w:jc w:val="both"/>
        <w:rPr>
          <w:color w:val="000000"/>
          <w:lang w:val="en-GB" w:eastAsia="en-US"/>
        </w:rPr>
      </w:pPr>
    </w:p>
    <w:p w:rsidR="005D2586" w:rsidRPr="0013591A" w:rsidRDefault="005D2586" w:rsidP="00363142">
      <w:pPr>
        <w:pStyle w:val="Heading1"/>
        <w:numPr>
          <w:ilvl w:val="1"/>
          <w:numId w:val="7"/>
        </w:numPr>
        <w:spacing w:before="0" w:after="0" w:line="360" w:lineRule="auto"/>
        <w:ind w:left="0" w:firstLine="0"/>
        <w:jc w:val="both"/>
        <w:rPr>
          <w:rFonts w:ascii="Times New Roman" w:hAnsi="Times New Roman" w:cs="Times New Roman"/>
          <w:sz w:val="24"/>
          <w:szCs w:val="24"/>
          <w:lang w:val="en-GB"/>
        </w:rPr>
      </w:pPr>
      <w:r w:rsidRPr="0013591A">
        <w:rPr>
          <w:rFonts w:ascii="Times New Roman" w:hAnsi="Times New Roman" w:cs="Times New Roman"/>
          <w:sz w:val="24"/>
          <w:szCs w:val="24"/>
          <w:lang w:val="en-GB"/>
        </w:rPr>
        <w:lastRenderedPageBreak/>
        <w:t>The dependent variable: output growth or levels?</w:t>
      </w:r>
    </w:p>
    <w:p w:rsidR="006024BC" w:rsidRPr="0013591A" w:rsidRDefault="006024BC" w:rsidP="006024BC">
      <w:pPr>
        <w:rPr>
          <w:lang w:val="en-GB" w:eastAsia="en-US"/>
        </w:rPr>
      </w:pPr>
    </w:p>
    <w:p w:rsidR="005D2586" w:rsidRPr="0013591A" w:rsidRDefault="005D2586" w:rsidP="00363142">
      <w:pPr>
        <w:spacing w:line="360" w:lineRule="auto"/>
        <w:jc w:val="both"/>
        <w:rPr>
          <w:color w:val="000000"/>
          <w:lang w:val="en-GB"/>
        </w:rPr>
      </w:pPr>
      <w:r w:rsidRPr="0013591A">
        <w:rPr>
          <w:bCs/>
          <w:color w:val="000000"/>
          <w:lang w:val="en-GB"/>
        </w:rPr>
        <w:t xml:space="preserve">The core theoretical institutional literature (North 1990) explains the effect of institutions on </w:t>
      </w:r>
      <w:r w:rsidRPr="0013591A">
        <w:rPr>
          <w:bCs/>
          <w:i/>
          <w:color w:val="000000"/>
          <w:lang w:val="en-GB"/>
        </w:rPr>
        <w:t>economic performance</w:t>
      </w:r>
      <w:r w:rsidRPr="0013591A">
        <w:rPr>
          <w:bCs/>
          <w:color w:val="000000"/>
          <w:lang w:val="en-GB"/>
        </w:rPr>
        <w:t xml:space="preserve">; hence, not specifying precisely the definition and measurement of the explained variable. Lack of theoretical precision has permitted substantial heterogeneity in empirical studies, which variously focus on economic growth or </w:t>
      </w:r>
      <w:r w:rsidR="00FF5449" w:rsidRPr="0013591A">
        <w:rPr>
          <w:bCs/>
          <w:color w:val="000000"/>
          <w:lang w:val="en-GB"/>
        </w:rPr>
        <w:t xml:space="preserve">the </w:t>
      </w:r>
      <w:r w:rsidRPr="0013591A">
        <w:rPr>
          <w:bCs/>
          <w:color w:val="000000"/>
          <w:lang w:val="en-GB"/>
        </w:rPr>
        <w:t>level of economic output variables. In their meta-regression analysis (MRA) of the empirical literature studying institutional effects on economic performance, Efendic et al. (2011) identify 20 studies using output growth and 21 studies using output level. This MRA reports m</w:t>
      </w:r>
      <w:r w:rsidRPr="0013591A">
        <w:rPr>
          <w:color w:val="000000"/>
          <w:lang w:val="en-GB"/>
        </w:rPr>
        <w:t xml:space="preserve">ore robust findings of positive and statistically significant institutional effects on output levels than on output growth. Yet, in the transition sub-sample, research has been mainly focussed on output growth, leaving institutional influences on output-levels relatively unexplored. </w:t>
      </w:r>
    </w:p>
    <w:p w:rsidR="005D2586" w:rsidRPr="0013591A" w:rsidRDefault="005D2586" w:rsidP="00363142">
      <w:pPr>
        <w:spacing w:line="360" w:lineRule="auto"/>
        <w:jc w:val="both"/>
        <w:rPr>
          <w:color w:val="000000"/>
          <w:lang w:val="en-GB"/>
        </w:rPr>
      </w:pPr>
    </w:p>
    <w:p w:rsidR="005D2586" w:rsidRPr="0013591A" w:rsidRDefault="005D2586" w:rsidP="00363142">
      <w:pPr>
        <w:spacing w:line="360" w:lineRule="auto"/>
        <w:jc w:val="both"/>
        <w:rPr>
          <w:color w:val="000000"/>
          <w:lang w:val="en-GB"/>
        </w:rPr>
      </w:pPr>
      <w:r w:rsidRPr="0013591A">
        <w:rPr>
          <w:color w:val="000000"/>
          <w:lang w:val="en-GB"/>
        </w:rPr>
        <w:t xml:space="preserve">In addition to the finding that investigating output levels is more likely to reveal institutional effects, and that such investigations have been relatively neglected in the transition literature, there are also substantial theoretical reasons for focussing on output levels as the dependent variable. Some economists, including </w:t>
      </w:r>
      <w:proofErr w:type="spellStart"/>
      <w:r w:rsidRPr="0013591A">
        <w:rPr>
          <w:color w:val="000000"/>
          <w:lang w:val="en-GB"/>
        </w:rPr>
        <w:t>Basu</w:t>
      </w:r>
      <w:proofErr w:type="spellEnd"/>
      <w:r w:rsidRPr="0013591A">
        <w:rPr>
          <w:color w:val="000000"/>
          <w:lang w:val="en-GB"/>
        </w:rPr>
        <w:t xml:space="preserve"> (2008) and Easterly (2009), argue that the level of output should be the focus for institutional research. The main rationale for this modelling strategy is that national differences in per capita output levels reflect entire histories of time-varying growth performance. Accordingly, analysing the determinants of differing per capita levels helps to avoid non robust and, hence, spurious explanations that arise from potentially unrepresentative samples of impermanent growth processes (reflecting, according to Easterly 2009, p. 30,</w:t>
      </w:r>
      <w:r w:rsidRPr="0013591A">
        <w:rPr>
          <w:lang w:val="en-GB"/>
        </w:rPr>
        <w:t xml:space="preserve"> ‘</w:t>
      </w:r>
      <w:r w:rsidRPr="0013591A">
        <w:rPr>
          <w:color w:val="000000"/>
          <w:lang w:val="en-GB"/>
        </w:rPr>
        <w:t>.. the possibility that if you get a result associating high growth with a particular country … in one period, it is likely to vanish in the following period.’). Moreover, focusing on per capita values enables us to take the relative country size into account (</w:t>
      </w:r>
      <w:proofErr w:type="spellStart"/>
      <w:r w:rsidRPr="0013591A">
        <w:rPr>
          <w:color w:val="000000"/>
          <w:lang w:val="en-GB"/>
        </w:rPr>
        <w:t>Busse</w:t>
      </w:r>
      <w:proofErr w:type="spellEnd"/>
      <w:r w:rsidRPr="0013591A">
        <w:rPr>
          <w:color w:val="000000"/>
          <w:lang w:val="en-GB"/>
        </w:rPr>
        <w:t xml:space="preserve"> – </w:t>
      </w:r>
      <w:proofErr w:type="spellStart"/>
      <w:r w:rsidRPr="0013591A">
        <w:rPr>
          <w:color w:val="000000"/>
          <w:lang w:val="en-GB"/>
        </w:rPr>
        <w:t>Hefeker</w:t>
      </w:r>
      <w:proofErr w:type="spellEnd"/>
      <w:r w:rsidRPr="0013591A">
        <w:rPr>
          <w:color w:val="000000"/>
          <w:lang w:val="en-GB"/>
        </w:rPr>
        <w:t xml:space="preserve"> 2007). Accordingly, our dependent variable will be defined in terms of the per capita</w:t>
      </w:r>
      <w:r w:rsidRPr="0013591A">
        <w:rPr>
          <w:i/>
          <w:color w:val="000000"/>
          <w:lang w:val="en-GB"/>
        </w:rPr>
        <w:t xml:space="preserve"> </w:t>
      </w:r>
      <w:r w:rsidRPr="0013591A">
        <w:rPr>
          <w:color w:val="000000"/>
          <w:lang w:val="en-GB"/>
        </w:rPr>
        <w:t>output level - the logarithm of GDP per capita (</w:t>
      </w:r>
      <w:r w:rsidRPr="0013591A">
        <w:rPr>
          <w:i/>
          <w:color w:val="000000"/>
          <w:position w:val="-10"/>
          <w:lang w:val="en-GB"/>
        </w:rPr>
        <w:object w:dxaOrig="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75pt" o:ole="">
            <v:imagedata r:id="rId11" o:title=""/>
          </v:shape>
          <o:OLEObject Type="Embed" ProgID="Equation.3" ShapeID="_x0000_i1025" DrawAspect="Content" ObjectID="_1504978233" r:id="rId12"/>
        </w:object>
      </w:r>
      <w:r w:rsidRPr="0013591A">
        <w:rPr>
          <w:color w:val="000000"/>
          <w:lang w:val="en-GB"/>
        </w:rPr>
        <w:t>).</w:t>
      </w:r>
    </w:p>
    <w:p w:rsidR="005D2586" w:rsidRPr="0013591A" w:rsidRDefault="005D2586" w:rsidP="00363142">
      <w:pPr>
        <w:spacing w:line="360" w:lineRule="auto"/>
        <w:jc w:val="both"/>
        <w:rPr>
          <w:color w:val="000000"/>
          <w:lang w:val="en-GB"/>
        </w:rPr>
      </w:pPr>
    </w:p>
    <w:p w:rsidR="005D2586" w:rsidRPr="0013591A" w:rsidRDefault="005D2586" w:rsidP="00363142">
      <w:pPr>
        <w:pStyle w:val="Heading1"/>
        <w:numPr>
          <w:ilvl w:val="1"/>
          <w:numId w:val="7"/>
        </w:numPr>
        <w:spacing w:line="360" w:lineRule="auto"/>
        <w:jc w:val="both"/>
        <w:rPr>
          <w:rFonts w:ascii="Times New Roman" w:hAnsi="Times New Roman" w:cs="Times New Roman"/>
          <w:sz w:val="24"/>
          <w:szCs w:val="24"/>
          <w:lang w:val="en-GB"/>
        </w:rPr>
      </w:pPr>
      <w:r w:rsidRPr="0013591A">
        <w:rPr>
          <w:rFonts w:ascii="Times New Roman" w:hAnsi="Times New Roman" w:cs="Times New Roman"/>
          <w:sz w:val="24"/>
          <w:szCs w:val="24"/>
          <w:lang w:val="en-GB"/>
        </w:rPr>
        <w:lastRenderedPageBreak/>
        <w:t xml:space="preserve"> The independent variable of interest: measuring institutional performance in transition</w:t>
      </w:r>
    </w:p>
    <w:p w:rsidR="005D2586" w:rsidRPr="0013591A" w:rsidRDefault="005D2586" w:rsidP="00363142">
      <w:pPr>
        <w:spacing w:after="120" w:line="360" w:lineRule="auto"/>
        <w:jc w:val="both"/>
        <w:rPr>
          <w:lang w:val="en-GB"/>
        </w:rPr>
      </w:pPr>
    </w:p>
    <w:p w:rsidR="005D2586" w:rsidRPr="0013591A" w:rsidRDefault="005D2586" w:rsidP="00363142">
      <w:pPr>
        <w:spacing w:after="120" w:line="360" w:lineRule="auto"/>
        <w:jc w:val="both"/>
        <w:rPr>
          <w:lang w:val="en-GB"/>
        </w:rPr>
      </w:pPr>
      <w:r w:rsidRPr="0013591A">
        <w:rPr>
          <w:lang w:val="en-GB"/>
        </w:rPr>
        <w:t xml:space="preserve">Institutions are a ‘complex’ phenomenon and empirical research cannot capture all of this complexity; hence, simplified institutional indicators and proxies need to be used in applied research (Williamson 2000). A huge disparity in using institutional proxies in empirical research, without any consensus on the direction of ‘unification’, suggests that a single variable representing institutions is </w:t>
      </w:r>
      <w:r w:rsidRPr="0013591A">
        <w:rPr>
          <w:color w:val="000000"/>
          <w:lang w:val="en-GB"/>
        </w:rPr>
        <w:t xml:space="preserve">not available (Keefer – Knack 1997). </w:t>
      </w:r>
      <w:r w:rsidRPr="0013591A">
        <w:rPr>
          <w:lang w:val="en-GB"/>
        </w:rPr>
        <w:t xml:space="preserve">Consequently, the second methodological challenge for empirical research on institutions is to find an ‘adequate’ quantitative proxy for the performance/quality/efficiency of institutions in transition. </w:t>
      </w:r>
    </w:p>
    <w:p w:rsidR="005D2586" w:rsidRPr="0013591A" w:rsidRDefault="005D2586" w:rsidP="00363142">
      <w:pPr>
        <w:spacing w:after="120" w:line="360" w:lineRule="auto"/>
        <w:jc w:val="both"/>
        <w:rPr>
          <w:lang w:val="en-GB"/>
        </w:rPr>
      </w:pPr>
      <w:r w:rsidRPr="0013591A">
        <w:rPr>
          <w:lang w:val="en-GB"/>
        </w:rPr>
        <w:t xml:space="preserve">Looking at previous transition research, most researchers rely on the European Bank for Reconstruction and Development (EBRD) structural and institutional change indicators as their proxy for institutions (for example, </w:t>
      </w:r>
      <w:proofErr w:type="spellStart"/>
      <w:r w:rsidRPr="0013591A">
        <w:rPr>
          <w:lang w:val="en-GB"/>
        </w:rPr>
        <w:t>Falcetti</w:t>
      </w:r>
      <w:proofErr w:type="spellEnd"/>
      <w:r w:rsidRPr="0013591A">
        <w:rPr>
          <w:lang w:val="en-GB"/>
        </w:rPr>
        <w:t xml:space="preserve"> et al. 2006; Di </w:t>
      </w:r>
      <w:proofErr w:type="spellStart"/>
      <w:r w:rsidRPr="0013591A">
        <w:rPr>
          <w:lang w:val="en-GB"/>
        </w:rPr>
        <w:t>Tommaso</w:t>
      </w:r>
      <w:proofErr w:type="spellEnd"/>
      <w:r w:rsidRPr="0013591A">
        <w:rPr>
          <w:lang w:val="en-GB"/>
        </w:rPr>
        <w:t xml:space="preserve"> et al. 2007</w:t>
      </w:r>
      <w:r w:rsidRPr="0013591A">
        <w:rPr>
          <w:color w:val="000000"/>
          <w:lang w:val="en-GB"/>
        </w:rPr>
        <w:t>;</w:t>
      </w:r>
      <w:r w:rsidRPr="0013591A">
        <w:rPr>
          <w:lang w:val="en-GB"/>
        </w:rPr>
        <w:t xml:space="preserve"> </w:t>
      </w:r>
      <w:r w:rsidR="00852F8F" w:rsidRPr="0013591A">
        <w:rPr>
          <w:lang w:val="en-GB"/>
        </w:rPr>
        <w:t xml:space="preserve">Efendic 2010; </w:t>
      </w:r>
      <w:proofErr w:type="spellStart"/>
      <w:r w:rsidRPr="0013591A">
        <w:rPr>
          <w:lang w:val="en-GB"/>
        </w:rPr>
        <w:t>Eicher</w:t>
      </w:r>
      <w:proofErr w:type="spellEnd"/>
      <w:r w:rsidRPr="0013591A">
        <w:rPr>
          <w:lang w:val="en-GB"/>
        </w:rPr>
        <w:t xml:space="preserve"> – Schreiber 2010). Other authors use different indicators; for example: </w:t>
      </w:r>
      <w:proofErr w:type="spellStart"/>
      <w:r w:rsidRPr="0013591A">
        <w:rPr>
          <w:lang w:val="en-GB"/>
        </w:rPr>
        <w:t>Redek</w:t>
      </w:r>
      <w:proofErr w:type="spellEnd"/>
      <w:r w:rsidRPr="0013591A">
        <w:rPr>
          <w:lang w:val="en-GB"/>
        </w:rPr>
        <w:t xml:space="preserve"> – </w:t>
      </w:r>
      <w:proofErr w:type="spellStart"/>
      <w:r w:rsidRPr="0013591A">
        <w:rPr>
          <w:lang w:val="en-GB"/>
        </w:rPr>
        <w:t>Susjan</w:t>
      </w:r>
      <w:proofErr w:type="spellEnd"/>
      <w:r w:rsidRPr="0013591A">
        <w:rPr>
          <w:lang w:val="en-GB"/>
        </w:rPr>
        <w:t xml:space="preserve"> (2005), and </w:t>
      </w:r>
      <w:proofErr w:type="spellStart"/>
      <w:r w:rsidRPr="0013591A">
        <w:rPr>
          <w:lang w:val="en-GB"/>
        </w:rPr>
        <w:t>Paakkonen</w:t>
      </w:r>
      <w:proofErr w:type="spellEnd"/>
      <w:r w:rsidRPr="0013591A">
        <w:rPr>
          <w:lang w:val="en-GB"/>
        </w:rPr>
        <w:t xml:space="preserve"> (2009) employ the Heritage Foundation Index of Economic Freedom; </w:t>
      </w:r>
      <w:proofErr w:type="spellStart"/>
      <w:r w:rsidRPr="0013591A">
        <w:rPr>
          <w:lang w:val="en-GB"/>
        </w:rPr>
        <w:t>Chousa</w:t>
      </w:r>
      <w:proofErr w:type="spellEnd"/>
      <w:r w:rsidRPr="0013591A">
        <w:rPr>
          <w:i/>
          <w:lang w:val="en-GB"/>
        </w:rPr>
        <w:t xml:space="preserve"> </w:t>
      </w:r>
      <w:r w:rsidRPr="0013591A">
        <w:rPr>
          <w:lang w:val="en-GB"/>
        </w:rPr>
        <w:t xml:space="preserve">et al. (2005) base their institutional variable on the shadow economy; Beck – </w:t>
      </w:r>
      <w:proofErr w:type="spellStart"/>
      <w:r w:rsidRPr="0013591A">
        <w:rPr>
          <w:lang w:val="en-GB"/>
        </w:rPr>
        <w:t>Laeven</w:t>
      </w:r>
      <w:proofErr w:type="spellEnd"/>
      <w:r w:rsidRPr="0013591A">
        <w:rPr>
          <w:lang w:val="en-GB"/>
        </w:rPr>
        <w:t xml:space="preserve"> (2006) use the World Bank Worldwide Governance indicators</w:t>
      </w:r>
      <w:r w:rsidR="00CC5A4B" w:rsidRPr="0013591A">
        <w:rPr>
          <w:lang w:val="en-GB"/>
        </w:rPr>
        <w:t>,</w:t>
      </w:r>
      <w:r w:rsidRPr="0013591A">
        <w:rPr>
          <w:lang w:val="en-GB"/>
        </w:rPr>
        <w:t xml:space="preserve"> while some use specifically designed survey data (e.g. Efendic et al. 2014). </w:t>
      </w:r>
    </w:p>
    <w:p w:rsidR="005D2586" w:rsidRPr="0013591A" w:rsidRDefault="005D2586" w:rsidP="00363142">
      <w:pPr>
        <w:spacing w:after="120" w:line="360" w:lineRule="auto"/>
        <w:jc w:val="both"/>
        <w:rPr>
          <w:color w:val="000000"/>
          <w:lang w:val="en-GB"/>
        </w:rPr>
      </w:pPr>
      <w:r w:rsidRPr="0013591A">
        <w:rPr>
          <w:color w:val="000000"/>
          <w:lang w:val="en-GB"/>
        </w:rPr>
        <w:t xml:space="preserve">Most transition papers are based on aggregated institutional indicators. The first general critique is that the institutional variable in this case is a broad indicator usually composed of sub-indices, which measure different institutional features that might be the product of institutions rather than institutions themselves (Shirley 2008). Conversely, De </w:t>
      </w:r>
      <w:proofErr w:type="spellStart"/>
      <w:r w:rsidRPr="0013591A">
        <w:rPr>
          <w:color w:val="000000"/>
          <w:lang w:val="en-GB"/>
        </w:rPr>
        <w:t>Haan</w:t>
      </w:r>
      <w:proofErr w:type="spellEnd"/>
      <w:r w:rsidRPr="0013591A">
        <w:rPr>
          <w:color w:val="000000"/>
          <w:lang w:val="en-GB"/>
        </w:rPr>
        <w:t xml:space="preserve"> et al.</w:t>
      </w:r>
      <w:r w:rsidRPr="0013591A">
        <w:rPr>
          <w:i/>
          <w:color w:val="000000"/>
          <w:lang w:val="en-GB"/>
        </w:rPr>
        <w:t xml:space="preserve"> </w:t>
      </w:r>
      <w:r w:rsidRPr="0013591A">
        <w:rPr>
          <w:color w:val="000000"/>
          <w:lang w:val="en-GB"/>
        </w:rPr>
        <w:t>(2006, p. 182) see this aggregation as an advantage of institutional indices; the authors conclude that those indices are both ‘reliable and useful’</w:t>
      </w:r>
      <w:r w:rsidR="00280312" w:rsidRPr="0013591A">
        <w:rPr>
          <w:color w:val="000000"/>
          <w:lang w:val="en-GB"/>
        </w:rPr>
        <w:t xml:space="preserve">. </w:t>
      </w:r>
    </w:p>
    <w:p w:rsidR="005D2586" w:rsidRPr="0013591A" w:rsidRDefault="005D2586" w:rsidP="00363142">
      <w:pPr>
        <w:spacing w:after="240" w:line="360" w:lineRule="auto"/>
        <w:jc w:val="both"/>
        <w:rPr>
          <w:color w:val="000000"/>
          <w:lang w:val="en-GB"/>
        </w:rPr>
      </w:pPr>
      <w:r w:rsidRPr="0013591A">
        <w:rPr>
          <w:color w:val="000000"/>
          <w:lang w:val="en-GB"/>
        </w:rPr>
        <w:t xml:space="preserve">Another potential shortcoming of these institutional measures is the assumption that the institutional framework among different countries has the same structure and size in relation to the economy. </w:t>
      </w:r>
      <w:proofErr w:type="spellStart"/>
      <w:r w:rsidRPr="0013591A">
        <w:rPr>
          <w:color w:val="000000"/>
          <w:lang w:val="en-GB"/>
        </w:rPr>
        <w:t>Shirely</w:t>
      </w:r>
      <w:proofErr w:type="spellEnd"/>
      <w:r w:rsidRPr="0013591A">
        <w:rPr>
          <w:color w:val="000000"/>
          <w:lang w:val="en-GB"/>
        </w:rPr>
        <w:t xml:space="preserve"> (2008) argues that much less effort has been directed towards measuring institutions in specific countries. Furthermore, as </w:t>
      </w:r>
      <w:proofErr w:type="spellStart"/>
      <w:r w:rsidRPr="0013591A">
        <w:rPr>
          <w:color w:val="000000"/>
          <w:lang w:val="en-GB"/>
        </w:rPr>
        <w:lastRenderedPageBreak/>
        <w:t>Havrylyshyn</w:t>
      </w:r>
      <w:proofErr w:type="spellEnd"/>
      <w:r w:rsidRPr="0013591A">
        <w:rPr>
          <w:color w:val="000000"/>
          <w:lang w:val="en-GB"/>
        </w:rPr>
        <w:t xml:space="preserve"> – Van </w:t>
      </w:r>
      <w:proofErr w:type="spellStart"/>
      <w:r w:rsidRPr="0013591A">
        <w:rPr>
          <w:color w:val="000000"/>
          <w:lang w:val="en-GB"/>
        </w:rPr>
        <w:t>Rooden</w:t>
      </w:r>
      <w:proofErr w:type="spellEnd"/>
      <w:r w:rsidRPr="0013591A">
        <w:rPr>
          <w:color w:val="000000"/>
          <w:lang w:val="en-GB"/>
        </w:rPr>
        <w:t xml:space="preserve"> (2003) underline, such indices are based on the judgment of outside experts, which may be subjective and contain perceptions bias. </w:t>
      </w:r>
      <w:proofErr w:type="spellStart"/>
      <w:r w:rsidRPr="0013591A">
        <w:rPr>
          <w:color w:val="000000"/>
          <w:lang w:val="en-GB"/>
        </w:rPr>
        <w:t>Glaeser</w:t>
      </w:r>
      <w:proofErr w:type="spellEnd"/>
      <w:r w:rsidRPr="0013591A">
        <w:rPr>
          <w:color w:val="000000"/>
          <w:lang w:val="en-GB"/>
        </w:rPr>
        <w:t xml:space="preserve"> et al. (2004) argue that potential subjectivity biased measures raise doubt over causality that goes from variables representing institutions to economic growth, since the institutional indices mainly improve with the level of economic growth (performance).  This is a simple but a rather convincing criticism. However, </w:t>
      </w:r>
      <w:proofErr w:type="spellStart"/>
      <w:r w:rsidRPr="0013591A">
        <w:rPr>
          <w:color w:val="000000"/>
          <w:lang w:val="en-GB"/>
        </w:rPr>
        <w:t>Glaeser</w:t>
      </w:r>
      <w:proofErr w:type="spellEnd"/>
      <w:r w:rsidRPr="0013591A">
        <w:rPr>
          <w:color w:val="000000"/>
          <w:lang w:val="en-GB"/>
        </w:rPr>
        <w:t xml:space="preserve"> at al. (2004) focus on political institutions, while economic along with political institutions, including the interrelationships between them, are crucial for economic prosperity and better performance (</w:t>
      </w:r>
      <w:proofErr w:type="spellStart"/>
      <w:r w:rsidRPr="0013591A">
        <w:rPr>
          <w:color w:val="000000"/>
          <w:lang w:val="en-GB"/>
        </w:rPr>
        <w:t>Sobel</w:t>
      </w:r>
      <w:proofErr w:type="spellEnd"/>
      <w:r w:rsidRPr="0013591A">
        <w:rPr>
          <w:color w:val="000000"/>
          <w:lang w:val="en-GB"/>
        </w:rPr>
        <w:t xml:space="preserve"> and Coyne 2011; </w:t>
      </w:r>
      <w:proofErr w:type="spellStart"/>
      <w:r w:rsidRPr="0013591A">
        <w:rPr>
          <w:color w:val="000000"/>
          <w:lang w:val="en-GB"/>
        </w:rPr>
        <w:t>Bjornskov</w:t>
      </w:r>
      <w:proofErr w:type="spellEnd"/>
      <w:r w:rsidRPr="0013591A">
        <w:rPr>
          <w:color w:val="000000"/>
          <w:lang w:val="en-GB"/>
        </w:rPr>
        <w:t xml:space="preserve"> et al. 201</w:t>
      </w:r>
      <w:r w:rsidR="00CF04A5" w:rsidRPr="0013591A">
        <w:rPr>
          <w:color w:val="000000"/>
          <w:lang w:val="en-GB"/>
        </w:rPr>
        <w:t>0</w:t>
      </w:r>
      <w:r w:rsidRPr="0013591A">
        <w:rPr>
          <w:color w:val="000000"/>
          <w:lang w:val="en-GB"/>
        </w:rPr>
        <w:t xml:space="preserve">). Moreover, </w:t>
      </w:r>
      <w:proofErr w:type="spellStart"/>
      <w:r w:rsidRPr="0013591A">
        <w:rPr>
          <w:color w:val="000000"/>
          <w:lang w:val="en-GB"/>
        </w:rPr>
        <w:t>Sobel</w:t>
      </w:r>
      <w:proofErr w:type="spellEnd"/>
      <w:r w:rsidRPr="0013591A">
        <w:rPr>
          <w:color w:val="000000"/>
          <w:lang w:val="en-GB"/>
        </w:rPr>
        <w:t xml:space="preserve"> and Coyne (2011) investigate in particular the issue of </w:t>
      </w:r>
      <w:proofErr w:type="spellStart"/>
      <w:r w:rsidRPr="0013591A">
        <w:rPr>
          <w:color w:val="000000"/>
          <w:lang w:val="en-GB"/>
        </w:rPr>
        <w:t>stationarity</w:t>
      </w:r>
      <w:proofErr w:type="spellEnd"/>
      <w:r w:rsidRPr="0013591A">
        <w:rPr>
          <w:color w:val="000000"/>
          <w:lang w:val="en-GB"/>
        </w:rPr>
        <w:t xml:space="preserve"> and </w:t>
      </w:r>
      <w:proofErr w:type="spellStart"/>
      <w:r w:rsidRPr="0013591A">
        <w:rPr>
          <w:color w:val="000000"/>
          <w:lang w:val="en-GB"/>
        </w:rPr>
        <w:t>cointegration</w:t>
      </w:r>
      <w:proofErr w:type="spellEnd"/>
      <w:r w:rsidRPr="0013591A">
        <w:rPr>
          <w:color w:val="000000"/>
          <w:lang w:val="en-GB"/>
        </w:rPr>
        <w:t xml:space="preserve"> of different institutional measures and find that indices of formal political and economic institutions are non-stationary, implying that institutional reforms indeed </w:t>
      </w:r>
      <w:r w:rsidR="00FF5449" w:rsidRPr="0013591A">
        <w:rPr>
          <w:color w:val="000000"/>
          <w:lang w:val="en-GB"/>
        </w:rPr>
        <w:t xml:space="preserve">have </w:t>
      </w:r>
      <w:r w:rsidRPr="0013591A">
        <w:rPr>
          <w:color w:val="000000"/>
          <w:lang w:val="en-GB"/>
        </w:rPr>
        <w:t>permanent</w:t>
      </w:r>
      <w:r w:rsidR="00FF5449" w:rsidRPr="0013591A">
        <w:rPr>
          <w:color w:val="000000"/>
          <w:lang w:val="en-GB"/>
        </w:rPr>
        <w:t xml:space="preserve"> effects</w:t>
      </w:r>
      <w:r w:rsidRPr="0013591A">
        <w:rPr>
          <w:color w:val="000000"/>
          <w:lang w:val="en-GB"/>
        </w:rPr>
        <w:t xml:space="preserve">. Their finding also implies that, in </w:t>
      </w:r>
      <w:r w:rsidRPr="0013591A">
        <w:rPr>
          <w:lang w:val="en-US"/>
        </w:rPr>
        <w:t>non-transition countries, central parts of the (non-political) institutional framework are very persistent over time, suggesting that subjective bias is unlikely to be a main concern.</w:t>
      </w:r>
      <w:r w:rsidRPr="0013591A">
        <w:rPr>
          <w:rStyle w:val="FootnoteReference"/>
          <w:lang w:val="en-US"/>
        </w:rPr>
        <w:footnoteReference w:id="1"/>
      </w:r>
      <w:r w:rsidR="00852F8F" w:rsidRPr="0013591A">
        <w:rPr>
          <w:lang w:val="en-US"/>
        </w:rPr>
        <w:t xml:space="preserve"> </w:t>
      </w:r>
      <w:r w:rsidRPr="0013591A">
        <w:rPr>
          <w:color w:val="000000"/>
          <w:lang w:val="en-GB"/>
        </w:rPr>
        <w:t>All in all, any strategy in measuring institutions in transition will have its advantages and disadvantages</w:t>
      </w:r>
      <w:r w:rsidR="00852F8F" w:rsidRPr="0013591A">
        <w:rPr>
          <w:color w:val="000000"/>
          <w:lang w:val="en-GB"/>
        </w:rPr>
        <w:t xml:space="preserve"> (Efendic et al. 2011a)</w:t>
      </w:r>
      <w:r w:rsidRPr="0013591A">
        <w:rPr>
          <w:color w:val="000000"/>
          <w:lang w:val="en-GB"/>
        </w:rPr>
        <w:t xml:space="preserve">. However, transition papers are rather consistent in using (EBRD) aggregated institutional indices to proxy institutional performance. </w:t>
      </w:r>
    </w:p>
    <w:p w:rsidR="005D2586" w:rsidRPr="0013591A" w:rsidRDefault="005D2586" w:rsidP="00363142">
      <w:pPr>
        <w:spacing w:after="240" w:line="360" w:lineRule="auto"/>
        <w:jc w:val="both"/>
        <w:rPr>
          <w:color w:val="000000"/>
          <w:lang w:val="en-GB"/>
        </w:rPr>
      </w:pPr>
    </w:p>
    <w:p w:rsidR="005D2586" w:rsidRPr="0013591A" w:rsidRDefault="005D2586" w:rsidP="00363142">
      <w:pPr>
        <w:pStyle w:val="Heading1"/>
        <w:numPr>
          <w:ilvl w:val="1"/>
          <w:numId w:val="7"/>
        </w:numPr>
        <w:spacing w:after="240" w:line="360" w:lineRule="auto"/>
        <w:jc w:val="both"/>
        <w:rPr>
          <w:rFonts w:ascii="Times New Roman" w:hAnsi="Times New Roman" w:cs="Times New Roman"/>
          <w:sz w:val="24"/>
          <w:szCs w:val="24"/>
          <w:lang w:val="en-GB"/>
        </w:rPr>
      </w:pPr>
      <w:r w:rsidRPr="0013591A">
        <w:rPr>
          <w:rFonts w:ascii="Times New Roman" w:hAnsi="Times New Roman" w:cs="Times New Roman"/>
          <w:sz w:val="24"/>
          <w:szCs w:val="24"/>
          <w:lang w:val="en-GB"/>
        </w:rPr>
        <w:t xml:space="preserve"> Model specifications in applied transition research</w:t>
      </w:r>
    </w:p>
    <w:p w:rsidR="005D2586" w:rsidRPr="0013591A" w:rsidRDefault="005D2586" w:rsidP="00363142">
      <w:pPr>
        <w:spacing w:line="360" w:lineRule="auto"/>
        <w:jc w:val="both"/>
        <w:rPr>
          <w:lang w:val="en-GB" w:eastAsia="en-US"/>
        </w:rPr>
      </w:pPr>
    </w:p>
    <w:p w:rsidR="005D2586" w:rsidRPr="0013591A" w:rsidRDefault="005D2586" w:rsidP="00363142">
      <w:pPr>
        <w:spacing w:after="120" w:line="360" w:lineRule="auto"/>
        <w:jc w:val="both"/>
        <w:rPr>
          <w:lang w:val="en-GB"/>
        </w:rPr>
      </w:pPr>
      <w:r w:rsidRPr="0013591A">
        <w:rPr>
          <w:lang w:val="en-GB"/>
        </w:rPr>
        <w:t>Analysis of the evolution of economic performance in transition is a very complex task, especially because economic theory provides neither clear guidance nor consensus as to how the transition process should be analysed (</w:t>
      </w:r>
      <w:proofErr w:type="spellStart"/>
      <w:r w:rsidRPr="0013591A">
        <w:rPr>
          <w:lang w:val="en-GB"/>
        </w:rPr>
        <w:t>Havrylyshyn</w:t>
      </w:r>
      <w:proofErr w:type="spellEnd"/>
      <w:r w:rsidRPr="0013591A">
        <w:rPr>
          <w:lang w:val="en-GB"/>
        </w:rPr>
        <w:t xml:space="preserve"> et al. </w:t>
      </w:r>
      <w:r w:rsidR="00CC5A4B" w:rsidRPr="0013591A">
        <w:rPr>
          <w:lang w:val="en-GB"/>
        </w:rPr>
        <w:t>2003</w:t>
      </w:r>
      <w:r w:rsidRPr="0013591A">
        <w:rPr>
          <w:lang w:val="en-GB"/>
        </w:rPr>
        <w:t xml:space="preserve">). In such circumstances, empirical modelling should take into account ‘all’ possible determinants and transition specifics, which </w:t>
      </w:r>
      <w:r w:rsidRPr="0013591A">
        <w:rPr>
          <w:i/>
          <w:lang w:val="en-GB"/>
        </w:rPr>
        <w:t>per se</w:t>
      </w:r>
      <w:r w:rsidRPr="0013591A">
        <w:rPr>
          <w:lang w:val="en-GB"/>
        </w:rPr>
        <w:t xml:space="preserve"> raise a number of methodological problems.</w:t>
      </w:r>
    </w:p>
    <w:p w:rsidR="005D2586" w:rsidRPr="0013591A" w:rsidRDefault="005D2586" w:rsidP="00363142">
      <w:pPr>
        <w:spacing w:after="120" w:line="360" w:lineRule="auto"/>
        <w:jc w:val="both"/>
        <w:rPr>
          <w:lang w:val="en-GB"/>
        </w:rPr>
      </w:pPr>
      <w:r w:rsidRPr="0013591A">
        <w:rPr>
          <w:lang w:val="en-GB"/>
        </w:rPr>
        <w:lastRenderedPageBreak/>
        <w:t>There is a wide range of empirical specifications utilized to model institutional effects. In some studies, institution(s) is/are the only explanatory variable(s) (although often augmented by the lagged dependent and/or lagged values of the institutional variable); for example, Mauro (1995) and Sachs (1996). Although there is no clear guideline about the specification that should be used in institutional research, this simple ‘</w:t>
      </w:r>
      <w:proofErr w:type="spellStart"/>
      <w:r w:rsidRPr="0013591A">
        <w:rPr>
          <w:lang w:val="en-GB"/>
        </w:rPr>
        <w:t>bivariate</w:t>
      </w:r>
      <w:proofErr w:type="spellEnd"/>
      <w:r w:rsidRPr="0013591A">
        <w:rPr>
          <w:lang w:val="en-GB"/>
        </w:rPr>
        <w:t xml:space="preserve"> specification’ is less acceptable than a fully-specified model (</w:t>
      </w:r>
      <w:proofErr w:type="spellStart"/>
      <w:r w:rsidRPr="0013591A">
        <w:rPr>
          <w:lang w:val="en-GB"/>
        </w:rPr>
        <w:t>Gwartney</w:t>
      </w:r>
      <w:proofErr w:type="spellEnd"/>
      <w:r w:rsidRPr="0013591A">
        <w:rPr>
          <w:lang w:val="en-GB"/>
        </w:rPr>
        <w:t xml:space="preserve"> et al</w:t>
      </w:r>
      <w:r w:rsidRPr="0013591A">
        <w:rPr>
          <w:i/>
          <w:lang w:val="en-GB"/>
        </w:rPr>
        <w:t>.</w:t>
      </w:r>
      <w:r w:rsidRPr="0013591A">
        <w:rPr>
          <w:lang w:val="en-GB"/>
        </w:rPr>
        <w:t xml:space="preserve"> 2004). </w:t>
      </w:r>
      <w:proofErr w:type="spellStart"/>
      <w:r w:rsidRPr="0013591A">
        <w:rPr>
          <w:lang w:val="en-GB"/>
        </w:rPr>
        <w:t>Ostrom</w:t>
      </w:r>
      <w:proofErr w:type="spellEnd"/>
      <w:r w:rsidRPr="0013591A">
        <w:rPr>
          <w:lang w:val="en-GB"/>
        </w:rPr>
        <w:t xml:space="preserve"> (2005) suggests that to understand and analyse the processes of structural change of any particular situation, we should include one or more of the underlying sets of variables. Adding one or more standard growth-determining factors to an institutional </w:t>
      </w:r>
      <w:proofErr w:type="spellStart"/>
      <w:r w:rsidRPr="0013591A">
        <w:rPr>
          <w:lang w:val="en-GB"/>
        </w:rPr>
        <w:t>bivariate</w:t>
      </w:r>
      <w:proofErr w:type="spellEnd"/>
      <w:r w:rsidRPr="0013591A">
        <w:rPr>
          <w:lang w:val="en-GB"/>
        </w:rPr>
        <w:t xml:space="preserve"> specification leads us to some form of the  ‘extended production function specification’, which integrates growth factors, institutions, and often some other variables. Such specifications, in different forms, can be found in: Keefer – Knack (1997); </w:t>
      </w:r>
      <w:proofErr w:type="spellStart"/>
      <w:r w:rsidRPr="0013591A">
        <w:rPr>
          <w:lang w:val="en-GB"/>
        </w:rPr>
        <w:t>Glaeser</w:t>
      </w:r>
      <w:proofErr w:type="spellEnd"/>
      <w:r w:rsidRPr="0013591A">
        <w:rPr>
          <w:lang w:val="en-GB"/>
        </w:rPr>
        <w:t xml:space="preserve"> et al</w:t>
      </w:r>
      <w:r w:rsidRPr="0013591A">
        <w:rPr>
          <w:i/>
          <w:lang w:val="en-GB"/>
        </w:rPr>
        <w:t>.</w:t>
      </w:r>
      <w:r w:rsidRPr="0013591A">
        <w:rPr>
          <w:lang w:val="en-GB"/>
        </w:rPr>
        <w:t xml:space="preserve"> (2004); </w:t>
      </w:r>
      <w:proofErr w:type="spellStart"/>
      <w:r w:rsidRPr="0013591A">
        <w:rPr>
          <w:lang w:val="en-GB"/>
        </w:rPr>
        <w:t>Redek</w:t>
      </w:r>
      <w:proofErr w:type="spellEnd"/>
      <w:r w:rsidRPr="0013591A">
        <w:rPr>
          <w:lang w:val="en-GB"/>
        </w:rPr>
        <w:t xml:space="preserve"> – </w:t>
      </w:r>
      <w:proofErr w:type="spellStart"/>
      <w:r w:rsidRPr="0013591A">
        <w:rPr>
          <w:lang w:val="en-GB"/>
        </w:rPr>
        <w:t>Susjan</w:t>
      </w:r>
      <w:proofErr w:type="spellEnd"/>
      <w:r w:rsidRPr="0013591A">
        <w:rPr>
          <w:lang w:val="en-GB"/>
        </w:rPr>
        <w:t xml:space="preserve"> (2005) </w:t>
      </w:r>
      <w:r w:rsidRPr="0013591A">
        <w:rPr>
          <w:bCs/>
          <w:lang w:val="en-GB"/>
        </w:rPr>
        <w:t xml:space="preserve">and </w:t>
      </w:r>
      <w:proofErr w:type="spellStart"/>
      <w:r w:rsidRPr="0013591A">
        <w:rPr>
          <w:bCs/>
          <w:lang w:val="en-GB"/>
        </w:rPr>
        <w:t>Paakkonen</w:t>
      </w:r>
      <w:proofErr w:type="spellEnd"/>
      <w:r w:rsidRPr="0013591A">
        <w:rPr>
          <w:bCs/>
          <w:lang w:val="en-GB"/>
        </w:rPr>
        <w:t xml:space="preserve"> (2009). </w:t>
      </w:r>
      <w:r w:rsidRPr="0013591A">
        <w:rPr>
          <w:lang w:val="en-GB"/>
        </w:rPr>
        <w:t xml:space="preserve">Finally, we may identify also many ‘other specifications’ that include institutions as explanatory variables together with control variables that are not standard production factors. The seminal paper written by </w:t>
      </w:r>
      <w:proofErr w:type="spellStart"/>
      <w:r w:rsidRPr="0013591A">
        <w:rPr>
          <w:lang w:val="en-GB"/>
        </w:rPr>
        <w:t>Rodrik</w:t>
      </w:r>
      <w:proofErr w:type="spellEnd"/>
      <w:r w:rsidRPr="0013591A">
        <w:rPr>
          <w:lang w:val="en-GB"/>
        </w:rPr>
        <w:t xml:space="preserve"> et al. (2004) may be a good representative (also exploited by </w:t>
      </w:r>
      <w:r w:rsidRPr="0013591A">
        <w:rPr>
          <w:bCs/>
          <w:lang w:val="en-GB"/>
        </w:rPr>
        <w:t>Sachs 2003) in which authors use institutions, trade integration, and geographical location as explanatory variables of econom</w:t>
      </w:r>
      <w:r w:rsidRPr="0013591A">
        <w:rPr>
          <w:lang w:val="en-GB"/>
        </w:rPr>
        <w:t xml:space="preserve">ic development. </w:t>
      </w:r>
    </w:p>
    <w:p w:rsidR="005D2586" w:rsidRPr="0013591A" w:rsidRDefault="005D2586" w:rsidP="00363142">
      <w:pPr>
        <w:spacing w:line="360" w:lineRule="auto"/>
        <w:jc w:val="both"/>
        <w:rPr>
          <w:bCs/>
          <w:lang w:val="en-GB"/>
        </w:rPr>
      </w:pPr>
      <w:r w:rsidRPr="0013591A">
        <w:rPr>
          <w:bCs/>
          <w:lang w:val="en-GB"/>
        </w:rPr>
        <w:t>In transition research, there is no consensus concerning the variables to be included in these regression models. However, in studies of economic performance in transition, extended production function specifications are applied by only a minority of researchers (</w:t>
      </w:r>
      <w:r w:rsidR="00852F8F" w:rsidRPr="0013591A">
        <w:rPr>
          <w:bCs/>
          <w:lang w:val="en-GB"/>
        </w:rPr>
        <w:t xml:space="preserve">e.g., </w:t>
      </w:r>
      <w:proofErr w:type="spellStart"/>
      <w:r w:rsidRPr="0013591A">
        <w:rPr>
          <w:bCs/>
          <w:lang w:val="en-GB"/>
        </w:rPr>
        <w:t>Falcetti</w:t>
      </w:r>
      <w:proofErr w:type="spellEnd"/>
      <w:r w:rsidRPr="0013591A">
        <w:rPr>
          <w:bCs/>
          <w:lang w:val="en-GB"/>
        </w:rPr>
        <w:t xml:space="preserve"> et al. 2006; </w:t>
      </w:r>
      <w:proofErr w:type="spellStart"/>
      <w:r w:rsidRPr="0013591A">
        <w:rPr>
          <w:bCs/>
          <w:lang w:val="en-GB"/>
        </w:rPr>
        <w:t>Redek</w:t>
      </w:r>
      <w:proofErr w:type="spellEnd"/>
      <w:r w:rsidRPr="0013591A">
        <w:rPr>
          <w:bCs/>
          <w:lang w:val="en-GB"/>
        </w:rPr>
        <w:t xml:space="preserve"> – </w:t>
      </w:r>
      <w:proofErr w:type="spellStart"/>
      <w:r w:rsidRPr="0013591A">
        <w:rPr>
          <w:bCs/>
          <w:lang w:val="en-GB"/>
        </w:rPr>
        <w:t>Susjan</w:t>
      </w:r>
      <w:proofErr w:type="spellEnd"/>
      <w:r w:rsidRPr="0013591A">
        <w:rPr>
          <w:bCs/>
          <w:lang w:val="en-GB"/>
        </w:rPr>
        <w:t xml:space="preserve"> 2005) although all these transition studies investigate the effect of institutions on economic </w:t>
      </w:r>
      <w:proofErr w:type="gramStart"/>
      <w:r w:rsidRPr="0013591A">
        <w:rPr>
          <w:bCs/>
          <w:lang w:val="en-GB"/>
        </w:rPr>
        <w:t>growth.</w:t>
      </w:r>
      <w:proofErr w:type="gramEnd"/>
      <w:r w:rsidRPr="0013591A">
        <w:rPr>
          <w:bCs/>
          <w:lang w:val="en-GB"/>
        </w:rPr>
        <w:t xml:space="preserve"> Yet, it is quite the opposite for </w:t>
      </w:r>
      <w:r w:rsidR="008102EC" w:rsidRPr="0013591A">
        <w:rPr>
          <w:bCs/>
          <w:lang w:val="en-GB"/>
        </w:rPr>
        <w:t>non-transition</w:t>
      </w:r>
      <w:r w:rsidRPr="0013591A">
        <w:rPr>
          <w:bCs/>
          <w:lang w:val="en-GB"/>
        </w:rPr>
        <w:t xml:space="preserve"> research, which include a good number of extended production function </w:t>
      </w:r>
      <w:proofErr w:type="gramStart"/>
      <w:r w:rsidRPr="0013591A">
        <w:rPr>
          <w:bCs/>
          <w:lang w:val="en-GB"/>
        </w:rPr>
        <w:t>specification’s</w:t>
      </w:r>
      <w:proofErr w:type="gramEnd"/>
      <w:r w:rsidRPr="0013591A">
        <w:rPr>
          <w:bCs/>
          <w:lang w:val="en-GB"/>
        </w:rPr>
        <w:t xml:space="preserve"> and output-level studies.</w:t>
      </w:r>
    </w:p>
    <w:p w:rsidR="005D2586" w:rsidRPr="0013591A" w:rsidRDefault="005D2586" w:rsidP="00363142">
      <w:pPr>
        <w:spacing w:line="360" w:lineRule="auto"/>
        <w:jc w:val="both"/>
        <w:rPr>
          <w:bCs/>
          <w:color w:val="000080"/>
          <w:lang w:val="en-GB"/>
        </w:rPr>
      </w:pPr>
    </w:p>
    <w:p w:rsidR="005D2586" w:rsidRPr="0013591A" w:rsidRDefault="005D2586" w:rsidP="00363142">
      <w:pPr>
        <w:pStyle w:val="Heading1"/>
        <w:numPr>
          <w:ilvl w:val="1"/>
          <w:numId w:val="7"/>
        </w:numPr>
        <w:spacing w:after="240" w:line="360" w:lineRule="auto"/>
        <w:jc w:val="both"/>
        <w:rPr>
          <w:rFonts w:ascii="Times New Roman" w:hAnsi="Times New Roman" w:cs="Times New Roman"/>
          <w:sz w:val="24"/>
          <w:szCs w:val="24"/>
          <w:lang w:val="en-GB"/>
        </w:rPr>
      </w:pPr>
      <w:r w:rsidRPr="0013591A">
        <w:rPr>
          <w:rFonts w:ascii="Times New Roman" w:hAnsi="Times New Roman" w:cs="Times New Roman"/>
          <w:sz w:val="24"/>
          <w:szCs w:val="24"/>
          <w:lang w:val="en-GB"/>
        </w:rPr>
        <w:t xml:space="preserve"> Estimators used in transition research</w:t>
      </w:r>
    </w:p>
    <w:p w:rsidR="008003CB" w:rsidRPr="0013591A" w:rsidRDefault="008003CB" w:rsidP="00363142">
      <w:pPr>
        <w:spacing w:line="360" w:lineRule="auto"/>
        <w:jc w:val="both"/>
        <w:rPr>
          <w:lang w:val="en-GB" w:eastAsia="en-US"/>
        </w:rPr>
      </w:pPr>
    </w:p>
    <w:p w:rsidR="005D2586" w:rsidRPr="0013591A" w:rsidRDefault="005D2586" w:rsidP="00363142">
      <w:pPr>
        <w:spacing w:after="120" w:line="360" w:lineRule="auto"/>
        <w:jc w:val="both"/>
        <w:rPr>
          <w:color w:val="000000"/>
          <w:lang w:val="en-GB"/>
        </w:rPr>
      </w:pPr>
      <w:r w:rsidRPr="0013591A">
        <w:rPr>
          <w:lang w:val="en-GB"/>
        </w:rPr>
        <w:t xml:space="preserve">Regarding the methodology employed to estimate institutional models, existing empirical research on transition is often based on OLS cross-section analysis, </w:t>
      </w:r>
      <w:r w:rsidRPr="0013591A">
        <w:rPr>
          <w:lang w:val="en-GB"/>
        </w:rPr>
        <w:lastRenderedPageBreak/>
        <w:t xml:space="preserve">although some research has been based on static panels, while </w:t>
      </w:r>
      <w:proofErr w:type="spellStart"/>
      <w:r w:rsidRPr="0013591A">
        <w:rPr>
          <w:bCs/>
          <w:lang w:val="en-GB"/>
        </w:rPr>
        <w:t>Falcetti</w:t>
      </w:r>
      <w:proofErr w:type="spellEnd"/>
      <w:r w:rsidRPr="0013591A">
        <w:rPr>
          <w:bCs/>
          <w:lang w:val="en-GB"/>
        </w:rPr>
        <w:t xml:space="preserve"> et al. </w:t>
      </w:r>
      <w:r w:rsidRPr="0013591A">
        <w:rPr>
          <w:lang w:val="en-GB"/>
        </w:rPr>
        <w:t xml:space="preserve">(2006), </w:t>
      </w:r>
      <w:proofErr w:type="spellStart"/>
      <w:r w:rsidRPr="0013591A">
        <w:rPr>
          <w:lang w:val="en-GB"/>
        </w:rPr>
        <w:t>Paakkonen</w:t>
      </w:r>
      <w:proofErr w:type="spellEnd"/>
      <w:r w:rsidRPr="0013591A">
        <w:rPr>
          <w:lang w:val="en-GB"/>
        </w:rPr>
        <w:t xml:space="preserve"> (2009) and </w:t>
      </w:r>
      <w:proofErr w:type="spellStart"/>
      <w:r w:rsidRPr="0013591A">
        <w:rPr>
          <w:lang w:val="en-GB"/>
        </w:rPr>
        <w:t>Eicher</w:t>
      </w:r>
      <w:proofErr w:type="spellEnd"/>
      <w:r w:rsidRPr="0013591A">
        <w:rPr>
          <w:lang w:val="en-GB"/>
        </w:rPr>
        <w:t xml:space="preserve"> – Schreiber (2010), for example, apply a </w:t>
      </w:r>
      <w:r w:rsidRPr="0013591A">
        <w:rPr>
          <w:color w:val="000000"/>
          <w:lang w:val="en-GB"/>
        </w:rPr>
        <w:t xml:space="preserve">dynamic model. We argue below that dynamic panel models are a methodological advance in comparison to the cross-section and static panel models applied; accordingly, we discuss these papers. </w:t>
      </w:r>
    </w:p>
    <w:p w:rsidR="005D2586" w:rsidRPr="0013591A" w:rsidRDefault="005D2586" w:rsidP="00363142">
      <w:pPr>
        <w:spacing w:before="120" w:after="240" w:line="360" w:lineRule="auto"/>
        <w:jc w:val="both"/>
        <w:rPr>
          <w:color w:val="000000"/>
          <w:lang w:val="en-GB"/>
        </w:rPr>
      </w:pPr>
      <w:proofErr w:type="spellStart"/>
      <w:r w:rsidRPr="0013591A">
        <w:rPr>
          <w:color w:val="000000"/>
          <w:lang w:val="en-GB"/>
        </w:rPr>
        <w:t>Eicher</w:t>
      </w:r>
      <w:proofErr w:type="spellEnd"/>
      <w:r w:rsidRPr="0013591A">
        <w:rPr>
          <w:color w:val="000000"/>
          <w:lang w:val="en-GB"/>
        </w:rPr>
        <w:t xml:space="preserve"> – Schreiber (2010) in their dynamic panel regress GDP per capita growth on institutions for a period of 11 years. The institutional variable is constructed from the EBRD indicators. The authors find significant evidence that institutions influence economic growth per capita in transition. Moreover, by analyzing the dynamic </w:t>
      </w:r>
      <w:proofErr w:type="gramStart"/>
      <w:r w:rsidRPr="0013591A">
        <w:rPr>
          <w:color w:val="000000"/>
          <w:lang w:val="en-GB"/>
        </w:rPr>
        <w:t xml:space="preserve">contribution of institutions on growth, </w:t>
      </w:r>
      <w:proofErr w:type="spellStart"/>
      <w:r w:rsidRPr="0013591A">
        <w:rPr>
          <w:color w:val="000000"/>
          <w:lang w:val="en-GB"/>
        </w:rPr>
        <w:t>Eicher</w:t>
      </w:r>
      <w:proofErr w:type="spellEnd"/>
      <w:r w:rsidRPr="0013591A">
        <w:rPr>
          <w:color w:val="000000"/>
          <w:lang w:val="en-GB"/>
        </w:rPr>
        <w:t xml:space="preserve"> – Schreiber (2010) find</w:t>
      </w:r>
      <w:proofErr w:type="gramEnd"/>
      <w:r w:rsidRPr="0013591A">
        <w:rPr>
          <w:color w:val="000000"/>
          <w:lang w:val="en-GB"/>
        </w:rPr>
        <w:t xml:space="preserve"> that sustained institutional change is crucial for economic performance in transition. However, in this research the standard model diagnostics are not reported, thereby raising doubts concerning instrument validity, while their </w:t>
      </w:r>
      <w:proofErr w:type="spellStart"/>
      <w:r w:rsidRPr="0013591A">
        <w:rPr>
          <w:color w:val="000000"/>
          <w:lang w:val="en-GB"/>
        </w:rPr>
        <w:t>bivariate</w:t>
      </w:r>
      <w:proofErr w:type="spellEnd"/>
      <w:r w:rsidRPr="0013591A">
        <w:rPr>
          <w:color w:val="000000"/>
          <w:lang w:val="en-GB"/>
        </w:rPr>
        <w:t xml:space="preserve"> specification may give rise to omitted variables bias. A more developed specification is applied by </w:t>
      </w:r>
      <w:proofErr w:type="spellStart"/>
      <w:r w:rsidRPr="0013591A">
        <w:rPr>
          <w:color w:val="000000"/>
          <w:lang w:val="en-GB"/>
        </w:rPr>
        <w:t>Paakkonen</w:t>
      </w:r>
      <w:proofErr w:type="spellEnd"/>
      <w:r w:rsidRPr="0013591A">
        <w:rPr>
          <w:color w:val="000000"/>
          <w:lang w:val="en-GB"/>
        </w:rPr>
        <w:t xml:space="preserve"> (2009) and </w:t>
      </w:r>
      <w:proofErr w:type="spellStart"/>
      <w:r w:rsidRPr="0013591A">
        <w:rPr>
          <w:bCs/>
          <w:lang w:val="en-GB"/>
        </w:rPr>
        <w:t>Falcetti</w:t>
      </w:r>
      <w:proofErr w:type="spellEnd"/>
      <w:r w:rsidRPr="0013591A">
        <w:rPr>
          <w:bCs/>
          <w:lang w:val="en-GB"/>
        </w:rPr>
        <w:t xml:space="preserve"> et al. </w:t>
      </w:r>
      <w:r w:rsidRPr="0013591A">
        <w:rPr>
          <w:color w:val="000000"/>
          <w:lang w:val="en-GB"/>
        </w:rPr>
        <w:t xml:space="preserve">(2006) in which the authors, in addition to the (once) lagged dependent variable and an institutional proxy, use other explanatory variables such as investment and government consumption, and include the interaction of the institutional proxy with some of these variables. These specifications might be considered as more fully specified models. </w:t>
      </w:r>
      <w:proofErr w:type="spellStart"/>
      <w:r w:rsidRPr="0013591A">
        <w:rPr>
          <w:color w:val="000000"/>
          <w:lang w:val="en-GB"/>
        </w:rPr>
        <w:t>Paakkonen</w:t>
      </w:r>
      <w:proofErr w:type="spellEnd"/>
      <w:r w:rsidRPr="0013591A">
        <w:rPr>
          <w:color w:val="000000"/>
          <w:lang w:val="en-GB"/>
        </w:rPr>
        <w:t xml:space="preserve"> (2009) reports a positive effect of increasing economic freedom on economic growth over the period 1998-2005. </w:t>
      </w:r>
      <w:proofErr w:type="spellStart"/>
      <w:r w:rsidRPr="0013591A">
        <w:rPr>
          <w:bCs/>
          <w:lang w:val="en-GB"/>
        </w:rPr>
        <w:t>Falcetti</w:t>
      </w:r>
      <w:proofErr w:type="spellEnd"/>
      <w:r w:rsidRPr="0013591A">
        <w:rPr>
          <w:bCs/>
          <w:lang w:val="en-GB"/>
        </w:rPr>
        <w:t xml:space="preserve"> et al. </w:t>
      </w:r>
      <w:r w:rsidRPr="0013591A">
        <w:rPr>
          <w:color w:val="000000"/>
          <w:lang w:val="en-GB"/>
        </w:rPr>
        <w:t xml:space="preserve">(2006) employ the same proxy for institutions as </w:t>
      </w:r>
      <w:proofErr w:type="spellStart"/>
      <w:r w:rsidRPr="0013591A">
        <w:rPr>
          <w:color w:val="000000"/>
          <w:lang w:val="en-GB"/>
        </w:rPr>
        <w:t>Eicher</w:t>
      </w:r>
      <w:proofErr w:type="spellEnd"/>
      <w:r w:rsidRPr="0013591A">
        <w:rPr>
          <w:color w:val="000000"/>
          <w:lang w:val="en-GB"/>
        </w:rPr>
        <w:t xml:space="preserve"> – Schreiber (2010) and find that institutions are an important determinant of economic growth in transition. </w:t>
      </w:r>
    </w:p>
    <w:p w:rsidR="005D2586" w:rsidRPr="0013591A" w:rsidRDefault="005D2586" w:rsidP="00363142">
      <w:pPr>
        <w:spacing w:after="120" w:line="360" w:lineRule="auto"/>
        <w:jc w:val="both"/>
        <w:rPr>
          <w:color w:val="000000"/>
          <w:lang w:val="en-GB"/>
        </w:rPr>
      </w:pPr>
      <w:r w:rsidRPr="0013591A">
        <w:rPr>
          <w:color w:val="000000"/>
          <w:lang w:val="en-GB"/>
        </w:rPr>
        <w:t xml:space="preserve">However, none of these studies report the full range of model diagnostics, as recommended by </w:t>
      </w:r>
      <w:proofErr w:type="spellStart"/>
      <w:r w:rsidRPr="0013591A">
        <w:rPr>
          <w:color w:val="000000"/>
          <w:lang w:val="en-GB"/>
        </w:rPr>
        <w:t>Arrelano</w:t>
      </w:r>
      <w:proofErr w:type="spellEnd"/>
      <w:r w:rsidRPr="0013591A">
        <w:rPr>
          <w:color w:val="000000"/>
          <w:lang w:val="en-GB"/>
        </w:rPr>
        <w:t xml:space="preserve"> – Bond (1991</w:t>
      </w:r>
      <w:r w:rsidR="007A54EF" w:rsidRPr="0013591A">
        <w:rPr>
          <w:color w:val="000000"/>
          <w:lang w:val="en-GB"/>
        </w:rPr>
        <w:t xml:space="preserve">) </w:t>
      </w:r>
      <w:r w:rsidRPr="0013591A">
        <w:rPr>
          <w:color w:val="000000"/>
          <w:lang w:val="en-GB"/>
        </w:rPr>
        <w:t xml:space="preserve">and they leave some important aspects of dynamic panel modelling unexplored. Moreover, the potential effect of time-related shocks in transition is not investigated; the authors do not include all TCs in the sample; and the authors do not investigate the timing of short-run institutional effects. All these shortcomings will be addressed in our modelling procedure.  </w:t>
      </w:r>
    </w:p>
    <w:p w:rsidR="005D2586" w:rsidRPr="0013591A" w:rsidRDefault="005D2586" w:rsidP="00363142">
      <w:pPr>
        <w:spacing w:after="120" w:line="360" w:lineRule="auto"/>
        <w:jc w:val="both"/>
        <w:rPr>
          <w:color w:val="000000"/>
          <w:lang w:val="en-GB"/>
        </w:rPr>
      </w:pPr>
    </w:p>
    <w:p w:rsidR="005D2586" w:rsidRPr="0013591A" w:rsidRDefault="005D2586" w:rsidP="00363142">
      <w:pPr>
        <w:pStyle w:val="Heading1"/>
        <w:numPr>
          <w:ilvl w:val="1"/>
          <w:numId w:val="7"/>
        </w:numPr>
        <w:spacing w:after="240" w:line="360" w:lineRule="auto"/>
        <w:jc w:val="both"/>
        <w:rPr>
          <w:rFonts w:ascii="Times New Roman" w:hAnsi="Times New Roman" w:cs="Times New Roman"/>
          <w:sz w:val="24"/>
          <w:szCs w:val="24"/>
          <w:lang w:val="en-GB"/>
        </w:rPr>
      </w:pPr>
      <w:r w:rsidRPr="0013591A">
        <w:rPr>
          <w:color w:val="000000"/>
          <w:sz w:val="24"/>
          <w:szCs w:val="24"/>
          <w:lang w:val="en-GB"/>
        </w:rPr>
        <w:lastRenderedPageBreak/>
        <w:t xml:space="preserve"> </w:t>
      </w:r>
      <w:r w:rsidRPr="0013591A">
        <w:rPr>
          <w:rFonts w:ascii="Times New Roman" w:hAnsi="Times New Roman" w:cs="Times New Roman"/>
          <w:sz w:val="24"/>
          <w:szCs w:val="24"/>
          <w:lang w:val="en-GB"/>
        </w:rPr>
        <w:t xml:space="preserve">Addressing the potential </w:t>
      </w:r>
      <w:proofErr w:type="spellStart"/>
      <w:r w:rsidRPr="0013591A">
        <w:rPr>
          <w:rFonts w:ascii="Times New Roman" w:hAnsi="Times New Roman" w:cs="Times New Roman"/>
          <w:sz w:val="24"/>
          <w:szCs w:val="24"/>
          <w:lang w:val="en-GB"/>
        </w:rPr>
        <w:t>endogeneity</w:t>
      </w:r>
      <w:proofErr w:type="spellEnd"/>
      <w:r w:rsidRPr="0013591A">
        <w:rPr>
          <w:rFonts w:ascii="Times New Roman" w:hAnsi="Times New Roman" w:cs="Times New Roman"/>
          <w:sz w:val="24"/>
          <w:szCs w:val="24"/>
          <w:lang w:val="en-GB"/>
        </w:rPr>
        <w:t xml:space="preserve"> of institutional effects on economic performance in transition</w:t>
      </w:r>
    </w:p>
    <w:p w:rsidR="008003CB" w:rsidRPr="0013591A" w:rsidRDefault="008003CB" w:rsidP="00363142">
      <w:pPr>
        <w:spacing w:line="360" w:lineRule="auto"/>
        <w:jc w:val="both"/>
        <w:rPr>
          <w:lang w:val="en-GB" w:eastAsia="en-US"/>
        </w:rPr>
      </w:pPr>
    </w:p>
    <w:p w:rsidR="005D2586" w:rsidRPr="0013591A" w:rsidRDefault="005D2586" w:rsidP="00363142">
      <w:pPr>
        <w:spacing w:after="240" w:line="360" w:lineRule="auto"/>
        <w:jc w:val="both"/>
        <w:rPr>
          <w:color w:val="000000"/>
          <w:lang w:val="en-GB"/>
        </w:rPr>
      </w:pPr>
      <w:r w:rsidRPr="0013591A">
        <w:rPr>
          <w:color w:val="000000"/>
          <w:lang w:val="en-GB"/>
        </w:rPr>
        <w:t xml:space="preserve">The problem of the potential </w:t>
      </w:r>
      <w:proofErr w:type="spellStart"/>
      <w:r w:rsidRPr="0013591A">
        <w:rPr>
          <w:color w:val="000000"/>
          <w:lang w:val="en-GB"/>
        </w:rPr>
        <w:t>endogeneity</w:t>
      </w:r>
      <w:proofErr w:type="spellEnd"/>
      <w:r w:rsidRPr="0013591A">
        <w:rPr>
          <w:color w:val="000000"/>
          <w:lang w:val="en-GB"/>
        </w:rPr>
        <w:t xml:space="preserve"> of institutions is one of the most difficult in empirical institutional work (</w:t>
      </w:r>
      <w:proofErr w:type="spellStart"/>
      <w:r w:rsidRPr="0013591A">
        <w:rPr>
          <w:color w:val="000000"/>
          <w:lang w:val="en-GB"/>
        </w:rPr>
        <w:t>Ahlerup</w:t>
      </w:r>
      <w:proofErr w:type="spellEnd"/>
      <w:r w:rsidRPr="0013591A">
        <w:rPr>
          <w:color w:val="000000"/>
          <w:lang w:val="en-GB"/>
        </w:rPr>
        <w:t xml:space="preserve"> et al.</w:t>
      </w:r>
      <w:r w:rsidRPr="0013591A">
        <w:rPr>
          <w:i/>
          <w:color w:val="000000"/>
          <w:lang w:val="en-GB"/>
        </w:rPr>
        <w:t xml:space="preserve"> </w:t>
      </w:r>
      <w:r w:rsidRPr="0013591A">
        <w:rPr>
          <w:color w:val="000000"/>
          <w:lang w:val="en-GB"/>
        </w:rPr>
        <w:t xml:space="preserve">2009). </w:t>
      </w:r>
      <w:r w:rsidRPr="0013591A">
        <w:rPr>
          <w:lang w:val="en-GB"/>
        </w:rPr>
        <w:t xml:space="preserve">Although institutional economists generally recognize institutions as an endogenous factor in economics </w:t>
      </w:r>
      <w:r w:rsidRPr="0013591A">
        <w:rPr>
          <w:color w:val="000000"/>
          <w:lang w:val="en-GB"/>
        </w:rPr>
        <w:t xml:space="preserve">some empirical studies do not consider the potential </w:t>
      </w:r>
      <w:proofErr w:type="spellStart"/>
      <w:r w:rsidRPr="0013591A">
        <w:rPr>
          <w:color w:val="000000"/>
          <w:lang w:val="en-GB"/>
        </w:rPr>
        <w:t>endogeneity</w:t>
      </w:r>
      <w:proofErr w:type="spellEnd"/>
      <w:r w:rsidRPr="0013591A">
        <w:rPr>
          <w:color w:val="000000"/>
          <w:lang w:val="en-GB"/>
        </w:rPr>
        <w:t xml:space="preserve"> problem</w:t>
      </w:r>
      <w:r w:rsidRPr="0013591A">
        <w:rPr>
          <w:lang w:val="en-GB"/>
        </w:rPr>
        <w:t xml:space="preserve"> (in the transition context, this applies to </w:t>
      </w:r>
      <w:proofErr w:type="spellStart"/>
      <w:r w:rsidRPr="0013591A">
        <w:rPr>
          <w:lang w:val="en-GB"/>
        </w:rPr>
        <w:t>Havrylyshyn</w:t>
      </w:r>
      <w:proofErr w:type="spellEnd"/>
      <w:r w:rsidRPr="0013591A">
        <w:rPr>
          <w:lang w:val="en-GB"/>
        </w:rPr>
        <w:t xml:space="preserve"> – Van </w:t>
      </w:r>
      <w:proofErr w:type="spellStart"/>
      <w:r w:rsidRPr="0013591A">
        <w:rPr>
          <w:lang w:val="en-GB"/>
        </w:rPr>
        <w:t>Rooden</w:t>
      </w:r>
      <w:proofErr w:type="spellEnd"/>
      <w:r w:rsidRPr="0013591A">
        <w:rPr>
          <w:lang w:val="en-GB"/>
        </w:rPr>
        <w:t xml:space="preserve"> 2003; </w:t>
      </w:r>
      <w:proofErr w:type="spellStart"/>
      <w:r w:rsidRPr="0013591A">
        <w:rPr>
          <w:lang w:val="en-GB"/>
        </w:rPr>
        <w:t>Redek</w:t>
      </w:r>
      <w:proofErr w:type="spellEnd"/>
      <w:r w:rsidRPr="0013591A">
        <w:rPr>
          <w:lang w:val="en-GB"/>
        </w:rPr>
        <w:t xml:space="preserve"> – </w:t>
      </w:r>
      <w:proofErr w:type="spellStart"/>
      <w:r w:rsidRPr="0013591A">
        <w:rPr>
          <w:lang w:val="en-GB"/>
        </w:rPr>
        <w:t>Susjan</w:t>
      </w:r>
      <w:proofErr w:type="spellEnd"/>
      <w:r w:rsidRPr="0013591A">
        <w:rPr>
          <w:lang w:val="en-GB"/>
        </w:rPr>
        <w:t xml:space="preserve"> 2005; </w:t>
      </w:r>
      <w:proofErr w:type="spellStart"/>
      <w:r w:rsidRPr="0013591A">
        <w:rPr>
          <w:lang w:val="en-GB"/>
        </w:rPr>
        <w:t>Chousa</w:t>
      </w:r>
      <w:proofErr w:type="spellEnd"/>
      <w:r w:rsidRPr="0013591A">
        <w:rPr>
          <w:lang w:val="en-GB"/>
        </w:rPr>
        <w:t xml:space="preserve"> et al. 2005)</w:t>
      </w:r>
      <w:r w:rsidRPr="0013591A">
        <w:rPr>
          <w:color w:val="000000"/>
          <w:lang w:val="en-GB"/>
        </w:rPr>
        <w:t xml:space="preserve">. Yet Efendic et al. (2011) find that the conclusions of such studies should be treated with ‘great caution’, because of their potential overestimation of the institutional effect on economic performance. </w:t>
      </w:r>
    </w:p>
    <w:p w:rsidR="005D2586" w:rsidRPr="0013591A" w:rsidRDefault="005D2586" w:rsidP="00363142">
      <w:pPr>
        <w:spacing w:after="240" w:line="360" w:lineRule="auto"/>
        <w:jc w:val="both"/>
        <w:rPr>
          <w:color w:val="000000"/>
          <w:lang w:val="en-GB"/>
        </w:rPr>
      </w:pPr>
      <w:r w:rsidRPr="0013591A">
        <w:rPr>
          <w:color w:val="000000"/>
          <w:lang w:val="en-GB"/>
        </w:rPr>
        <w:t>T</w:t>
      </w:r>
      <w:r w:rsidRPr="0013591A">
        <w:rPr>
          <w:lang w:val="en-GB"/>
        </w:rPr>
        <w:t xml:space="preserve">he most widely recognized strategies for addressing the potential </w:t>
      </w:r>
      <w:proofErr w:type="spellStart"/>
      <w:r w:rsidRPr="0013591A">
        <w:rPr>
          <w:lang w:val="en-GB"/>
        </w:rPr>
        <w:t>endogeneity</w:t>
      </w:r>
      <w:proofErr w:type="spellEnd"/>
      <w:r w:rsidRPr="0013591A">
        <w:rPr>
          <w:lang w:val="en-GB"/>
        </w:rPr>
        <w:t xml:space="preserve"> of institutions are those that derive instruments from historical perspectives (</w:t>
      </w:r>
      <w:proofErr w:type="spellStart"/>
      <w:r w:rsidRPr="0013591A">
        <w:rPr>
          <w:lang w:val="en-GB"/>
        </w:rPr>
        <w:t>Acemoglu</w:t>
      </w:r>
      <w:proofErr w:type="spellEnd"/>
      <w:r w:rsidRPr="0013591A">
        <w:rPr>
          <w:lang w:val="en-GB"/>
        </w:rPr>
        <w:t xml:space="preserve"> et al. 2001), the geographical environment (</w:t>
      </w:r>
      <w:proofErr w:type="spellStart"/>
      <w:r w:rsidRPr="0013591A">
        <w:rPr>
          <w:lang w:val="en-GB"/>
        </w:rPr>
        <w:t>Rodrik</w:t>
      </w:r>
      <w:proofErr w:type="spellEnd"/>
      <w:r w:rsidRPr="0013591A">
        <w:rPr>
          <w:lang w:val="en-GB"/>
        </w:rPr>
        <w:t xml:space="preserve"> et al.</w:t>
      </w:r>
      <w:r w:rsidRPr="0013591A">
        <w:rPr>
          <w:i/>
          <w:lang w:val="en-GB"/>
        </w:rPr>
        <w:t xml:space="preserve"> </w:t>
      </w:r>
      <w:r w:rsidRPr="0013591A">
        <w:rPr>
          <w:lang w:val="en-GB"/>
        </w:rPr>
        <w:t>2004) or linguistic characteristics (Hall – Jones 1999). Yet these instruments developed for global samples typically cannot be applied to sub-samples of countries (</w:t>
      </w:r>
      <w:proofErr w:type="spellStart"/>
      <w:r w:rsidRPr="0013591A">
        <w:rPr>
          <w:lang w:val="en-GB"/>
        </w:rPr>
        <w:t>Eicher</w:t>
      </w:r>
      <w:proofErr w:type="spellEnd"/>
      <w:r w:rsidRPr="0013591A">
        <w:rPr>
          <w:lang w:val="en-GB"/>
        </w:rPr>
        <w:t xml:space="preserve"> – </w:t>
      </w:r>
      <w:proofErr w:type="spellStart"/>
      <w:r w:rsidRPr="0013591A">
        <w:rPr>
          <w:lang w:val="en-GB"/>
        </w:rPr>
        <w:t>Leukert</w:t>
      </w:r>
      <w:proofErr w:type="spellEnd"/>
      <w:r w:rsidRPr="0013591A">
        <w:rPr>
          <w:lang w:val="en-GB"/>
        </w:rPr>
        <w:t xml:space="preserve"> 2009), in particular to TCs. More promisingly, </w:t>
      </w:r>
      <w:proofErr w:type="spellStart"/>
      <w:r w:rsidRPr="0013591A">
        <w:rPr>
          <w:bCs/>
          <w:lang w:val="en-GB"/>
        </w:rPr>
        <w:t>Falcetti</w:t>
      </w:r>
      <w:proofErr w:type="spellEnd"/>
      <w:r w:rsidRPr="0013591A">
        <w:rPr>
          <w:bCs/>
          <w:lang w:val="en-GB"/>
        </w:rPr>
        <w:t xml:space="preserve"> et al. </w:t>
      </w:r>
      <w:r w:rsidRPr="0013591A">
        <w:rPr>
          <w:lang w:val="en-GB"/>
        </w:rPr>
        <w:t xml:space="preserve">(2006), </w:t>
      </w:r>
      <w:proofErr w:type="spellStart"/>
      <w:r w:rsidRPr="0013591A">
        <w:rPr>
          <w:lang w:val="en-GB"/>
        </w:rPr>
        <w:t>Paakkonen</w:t>
      </w:r>
      <w:proofErr w:type="spellEnd"/>
      <w:r w:rsidRPr="0013591A">
        <w:rPr>
          <w:lang w:val="en-GB"/>
        </w:rPr>
        <w:t xml:space="preserve"> (2009) and </w:t>
      </w:r>
      <w:proofErr w:type="spellStart"/>
      <w:r w:rsidRPr="0013591A">
        <w:rPr>
          <w:lang w:val="en-GB"/>
        </w:rPr>
        <w:t>Eicher</w:t>
      </w:r>
      <w:proofErr w:type="spellEnd"/>
      <w:r w:rsidRPr="0013591A">
        <w:rPr>
          <w:lang w:val="en-GB"/>
        </w:rPr>
        <w:t xml:space="preserve"> – Schreiber (2010) use internally generated instruments in the context of dynamic panel modelling.</w:t>
      </w:r>
      <w:r w:rsidRPr="0013591A">
        <w:rPr>
          <w:color w:val="000000"/>
          <w:lang w:val="en-GB"/>
        </w:rPr>
        <w:t xml:space="preserve"> Our modelling strategy builds upon this approach. </w:t>
      </w:r>
    </w:p>
    <w:p w:rsidR="00852F8F" w:rsidRPr="0013591A" w:rsidRDefault="00852F8F" w:rsidP="00363142">
      <w:pPr>
        <w:spacing w:after="240" w:line="360" w:lineRule="auto"/>
        <w:jc w:val="both"/>
        <w:rPr>
          <w:color w:val="000000"/>
          <w:lang w:val="en-GB"/>
        </w:rPr>
      </w:pPr>
    </w:p>
    <w:p w:rsidR="005D2586" w:rsidRPr="0013591A" w:rsidRDefault="005D2586" w:rsidP="00363142">
      <w:pPr>
        <w:pStyle w:val="Heading1"/>
        <w:numPr>
          <w:ilvl w:val="0"/>
          <w:numId w:val="7"/>
        </w:numPr>
        <w:spacing w:after="240" w:line="360" w:lineRule="auto"/>
        <w:jc w:val="center"/>
        <w:rPr>
          <w:rFonts w:ascii="Times New Roman" w:hAnsi="Times New Roman" w:cs="Times New Roman"/>
          <w:sz w:val="24"/>
          <w:szCs w:val="24"/>
          <w:lang w:val="en-GB"/>
        </w:rPr>
      </w:pPr>
      <w:r w:rsidRPr="0013591A">
        <w:rPr>
          <w:rFonts w:ascii="Times New Roman" w:hAnsi="Times New Roman" w:cs="Times New Roman"/>
          <w:sz w:val="24"/>
          <w:szCs w:val="24"/>
          <w:lang w:val="en-GB"/>
        </w:rPr>
        <w:t>EMPIRICAL MODELLING OF INSTITUTIONAL EFFECTS IN TRANSITION</w:t>
      </w:r>
    </w:p>
    <w:p w:rsidR="005D2586" w:rsidRPr="0013591A" w:rsidRDefault="005D2586" w:rsidP="00363142">
      <w:pPr>
        <w:spacing w:line="360" w:lineRule="auto"/>
        <w:jc w:val="both"/>
        <w:rPr>
          <w:lang w:val="en-GB" w:eastAsia="en-US"/>
        </w:rPr>
      </w:pPr>
      <w:r w:rsidRPr="0013591A">
        <w:rPr>
          <w:lang w:val="en-GB" w:eastAsia="en-US"/>
        </w:rPr>
        <w:t xml:space="preserve">From our literature review, we conclude that best practice in the investigation of institutional effects in transition is to model output levels rather than growth, to proxy institutional effects using some established index, to estimate a ‘fully-specified’ dynamic model and to address the potential </w:t>
      </w:r>
      <w:proofErr w:type="spellStart"/>
      <w:r w:rsidRPr="0013591A">
        <w:rPr>
          <w:lang w:val="en-GB" w:eastAsia="en-US"/>
        </w:rPr>
        <w:t>endogeneity</w:t>
      </w:r>
      <w:proofErr w:type="spellEnd"/>
      <w:r w:rsidRPr="0013591A">
        <w:rPr>
          <w:lang w:val="en-GB" w:eastAsia="en-US"/>
        </w:rPr>
        <w:t xml:space="preserve"> of institutions. In this section, we explain how our approach responds to these requirements. </w:t>
      </w:r>
    </w:p>
    <w:p w:rsidR="005D2586" w:rsidRPr="0013591A" w:rsidRDefault="005D2586" w:rsidP="00363142">
      <w:pPr>
        <w:spacing w:line="360" w:lineRule="auto"/>
        <w:jc w:val="both"/>
        <w:rPr>
          <w:lang w:val="en-GB" w:eastAsia="en-US"/>
        </w:rPr>
      </w:pPr>
    </w:p>
    <w:p w:rsidR="005D2586" w:rsidRPr="0013591A" w:rsidRDefault="005D2586" w:rsidP="00363142">
      <w:pPr>
        <w:pStyle w:val="ListParagraph"/>
        <w:keepNext/>
        <w:numPr>
          <w:ilvl w:val="0"/>
          <w:numId w:val="5"/>
        </w:numPr>
        <w:spacing w:before="240" w:after="60" w:line="360" w:lineRule="auto"/>
        <w:contextualSpacing w:val="0"/>
        <w:jc w:val="both"/>
        <w:outlineLvl w:val="0"/>
        <w:rPr>
          <w:rFonts w:ascii="Arial" w:hAnsi="Arial" w:cs="Arial"/>
          <w:b/>
          <w:bCs/>
          <w:vanish/>
          <w:kern w:val="32"/>
          <w:lang w:val="en-GB" w:eastAsia="en-US"/>
        </w:rPr>
      </w:pPr>
    </w:p>
    <w:p w:rsidR="005D2586" w:rsidRPr="0013591A" w:rsidRDefault="005D2586" w:rsidP="00363142">
      <w:pPr>
        <w:pStyle w:val="Heading1"/>
        <w:numPr>
          <w:ilvl w:val="1"/>
          <w:numId w:val="7"/>
        </w:numPr>
        <w:spacing w:line="360" w:lineRule="auto"/>
        <w:jc w:val="both"/>
        <w:rPr>
          <w:rFonts w:ascii="Times New Roman" w:hAnsi="Times New Roman" w:cs="Times New Roman"/>
          <w:sz w:val="24"/>
          <w:szCs w:val="24"/>
          <w:lang w:val="en-GB"/>
        </w:rPr>
      </w:pPr>
      <w:r w:rsidRPr="0013591A">
        <w:rPr>
          <w:rFonts w:ascii="Times New Roman" w:hAnsi="Times New Roman" w:cs="Times New Roman"/>
          <w:sz w:val="24"/>
          <w:szCs w:val="24"/>
          <w:lang w:val="en-GB"/>
        </w:rPr>
        <w:t xml:space="preserve"> Institutional proxy</w:t>
      </w:r>
    </w:p>
    <w:p w:rsidR="005D2586" w:rsidRPr="0013591A" w:rsidRDefault="005D2586" w:rsidP="00363142">
      <w:pPr>
        <w:spacing w:line="360" w:lineRule="auto"/>
        <w:jc w:val="both"/>
        <w:rPr>
          <w:lang w:val="en-GB" w:eastAsia="en-US"/>
        </w:rPr>
      </w:pPr>
    </w:p>
    <w:p w:rsidR="005D2586" w:rsidRPr="0013591A" w:rsidRDefault="005D2586" w:rsidP="00363142">
      <w:pPr>
        <w:tabs>
          <w:tab w:val="left" w:pos="3969"/>
        </w:tabs>
        <w:spacing w:after="120" w:line="360" w:lineRule="auto"/>
        <w:jc w:val="both"/>
        <w:rPr>
          <w:lang w:val="en-GB"/>
        </w:rPr>
      </w:pPr>
      <w:r w:rsidRPr="0013591A">
        <w:rPr>
          <w:lang w:val="en-GB"/>
        </w:rPr>
        <w:t>In establishing our proxy variable for institutional quality, we follow the mainstream transition literature and focus on a broad aggregated indicator of institutional change in transition, which is constructed from the EBRD indices of structural and institutional reforms. In general, this index ranks institutions in transition relative to the standards of the industrialized market economies. Justification for this approach is that transition is in essence a process of transformation from centrally planned towards market oriented economies. Raiser et al.</w:t>
      </w:r>
      <w:r w:rsidRPr="0013591A">
        <w:rPr>
          <w:color w:val="000000"/>
          <w:lang w:val="en-GB"/>
        </w:rPr>
        <w:t xml:space="preserve"> </w:t>
      </w:r>
      <w:r w:rsidRPr="0013591A">
        <w:rPr>
          <w:lang w:val="en-GB"/>
        </w:rPr>
        <w:t xml:space="preserve">(2001, p. 6) see the EBRD institutional indicators as ‘the best available data on institutional change in transition economies’. Arguably, the EBRD institutional indicators trump all other institutional indices that we have identified in the literature for at least two reasons. Firstly, </w:t>
      </w:r>
      <w:r w:rsidR="008003CB" w:rsidRPr="0013591A">
        <w:rPr>
          <w:lang w:val="en-GB"/>
        </w:rPr>
        <w:t>i</w:t>
      </w:r>
      <w:r w:rsidRPr="0013591A">
        <w:rPr>
          <w:lang w:val="en-GB"/>
        </w:rPr>
        <w:t xml:space="preserve">nstitutional reforms in transition include redefining the role of the state, market and business sectors, which this index is designed to capture. Secondly, observations are available annually from the beginning of transition enabling the longest time-span and the largest number of observations. </w:t>
      </w:r>
    </w:p>
    <w:p w:rsidR="005D2586" w:rsidRPr="0013591A" w:rsidRDefault="005D2586" w:rsidP="008003CB">
      <w:pPr>
        <w:spacing w:after="120" w:line="360" w:lineRule="auto"/>
        <w:jc w:val="both"/>
        <w:rPr>
          <w:color w:val="000000"/>
          <w:lang w:val="en-GB"/>
        </w:rPr>
      </w:pPr>
      <w:r w:rsidRPr="0013591A">
        <w:rPr>
          <w:lang w:val="en-GB"/>
        </w:rPr>
        <w:t>This (</w:t>
      </w:r>
      <w:proofErr w:type="spellStart"/>
      <w:r w:rsidRPr="0013591A">
        <w:rPr>
          <w:lang w:val="en-GB"/>
        </w:rPr>
        <w:t>unweighted</w:t>
      </w:r>
      <w:proofErr w:type="spellEnd"/>
      <w:r w:rsidRPr="0013591A">
        <w:rPr>
          <w:lang w:val="en-GB"/>
        </w:rPr>
        <w:t xml:space="preserve">) aggregated institutional EBRD index is scored from 1.0 (minimum) to 4.3 (maximum); we normalize it to a range from 0 to 1. </w:t>
      </w:r>
      <w:r w:rsidRPr="0013591A">
        <w:rPr>
          <w:color w:val="000000"/>
          <w:lang w:val="en-GB"/>
        </w:rPr>
        <w:t xml:space="preserve">In our initial checking procedure we found that almost all components of the EBRD index are highly correlated with each other, which most researchers also report (Di </w:t>
      </w:r>
      <w:proofErr w:type="spellStart"/>
      <w:r w:rsidRPr="0013591A">
        <w:rPr>
          <w:color w:val="000000"/>
          <w:lang w:val="en-GB"/>
        </w:rPr>
        <w:t>Tommaso</w:t>
      </w:r>
      <w:proofErr w:type="spellEnd"/>
      <w:r w:rsidRPr="0013591A">
        <w:rPr>
          <w:color w:val="000000"/>
          <w:lang w:val="en-GB"/>
        </w:rPr>
        <w:t xml:space="preserve"> et al. 2007; </w:t>
      </w:r>
      <w:proofErr w:type="spellStart"/>
      <w:r w:rsidRPr="0013591A">
        <w:rPr>
          <w:color w:val="000000"/>
          <w:lang w:val="en-GB"/>
        </w:rPr>
        <w:t>Eicher</w:t>
      </w:r>
      <w:proofErr w:type="spellEnd"/>
      <w:r w:rsidRPr="0013591A">
        <w:rPr>
          <w:color w:val="000000"/>
          <w:lang w:val="en-GB"/>
        </w:rPr>
        <w:t xml:space="preserve"> – Schreiber 2010; </w:t>
      </w:r>
      <w:proofErr w:type="spellStart"/>
      <w:r w:rsidRPr="0013591A">
        <w:rPr>
          <w:color w:val="000000"/>
          <w:lang w:val="en-GB"/>
        </w:rPr>
        <w:t>Bjornskov</w:t>
      </w:r>
      <w:proofErr w:type="spellEnd"/>
      <w:r w:rsidRPr="0013591A">
        <w:rPr>
          <w:color w:val="000000"/>
          <w:lang w:val="en-GB"/>
        </w:rPr>
        <w:t xml:space="preserve"> et al. 2010). </w:t>
      </w:r>
      <w:proofErr w:type="spellStart"/>
      <w:r w:rsidRPr="0013591A">
        <w:rPr>
          <w:color w:val="000000"/>
          <w:lang w:val="en-GB"/>
        </w:rPr>
        <w:t>Sobel</w:t>
      </w:r>
      <w:proofErr w:type="spellEnd"/>
      <w:r w:rsidRPr="0013591A">
        <w:rPr>
          <w:color w:val="000000"/>
          <w:lang w:val="en-GB"/>
        </w:rPr>
        <w:t xml:space="preserve"> and Coyne (2011) report that in </w:t>
      </w:r>
      <w:r w:rsidR="00852F8F" w:rsidRPr="0013591A">
        <w:rPr>
          <w:color w:val="000000"/>
          <w:lang w:val="en-GB"/>
        </w:rPr>
        <w:t>TCs</w:t>
      </w:r>
      <w:r w:rsidRPr="0013591A">
        <w:rPr>
          <w:color w:val="000000"/>
          <w:lang w:val="en-GB"/>
        </w:rPr>
        <w:t xml:space="preserve"> even minor reforms to one institution can be reinforcing and result in subsequent reforms to other institutions, suggesting that institutional changes and reforms are simultaneously and permanently maintained. </w:t>
      </w:r>
    </w:p>
    <w:p w:rsidR="005D2586" w:rsidRPr="0013591A" w:rsidRDefault="005D2586" w:rsidP="00363142">
      <w:pPr>
        <w:pStyle w:val="PlainText"/>
        <w:spacing w:line="360" w:lineRule="auto"/>
        <w:jc w:val="both"/>
        <w:rPr>
          <w:rFonts w:ascii="Times New Roman" w:hAnsi="Times New Roman"/>
          <w:color w:val="000000"/>
          <w:sz w:val="24"/>
          <w:szCs w:val="24"/>
          <w:lang w:val="en-GB"/>
        </w:rPr>
      </w:pPr>
    </w:p>
    <w:p w:rsidR="005D2586" w:rsidRPr="0013591A" w:rsidRDefault="005D2586" w:rsidP="008003CB">
      <w:pPr>
        <w:pStyle w:val="PlainText"/>
        <w:spacing w:line="360" w:lineRule="auto"/>
        <w:jc w:val="both"/>
        <w:rPr>
          <w:lang w:val="en-GB"/>
        </w:rPr>
      </w:pPr>
      <w:r w:rsidRPr="0013591A">
        <w:rPr>
          <w:rFonts w:ascii="Times New Roman" w:hAnsi="Times New Roman"/>
          <w:color w:val="000000"/>
          <w:sz w:val="24"/>
          <w:szCs w:val="24"/>
          <w:lang w:val="en-GB"/>
        </w:rPr>
        <w:t xml:space="preserve">Since these sub-indicators may capture similar information coming from different aspects of institutional change, these high correlations </w:t>
      </w:r>
      <w:proofErr w:type="gramStart"/>
      <w:r w:rsidRPr="0013591A">
        <w:rPr>
          <w:rFonts w:ascii="Times New Roman" w:hAnsi="Times New Roman"/>
          <w:color w:val="000000"/>
          <w:sz w:val="24"/>
          <w:szCs w:val="24"/>
          <w:lang w:val="en-GB"/>
        </w:rPr>
        <w:t>are</w:t>
      </w:r>
      <w:proofErr w:type="gramEnd"/>
      <w:r w:rsidRPr="0013591A">
        <w:rPr>
          <w:rFonts w:ascii="Times New Roman" w:hAnsi="Times New Roman"/>
          <w:color w:val="000000"/>
          <w:sz w:val="24"/>
          <w:szCs w:val="24"/>
          <w:lang w:val="en-GB"/>
        </w:rPr>
        <w:t xml:space="preserve"> not surprising (Di </w:t>
      </w:r>
      <w:proofErr w:type="spellStart"/>
      <w:r w:rsidRPr="0013591A">
        <w:rPr>
          <w:rFonts w:ascii="Times New Roman" w:hAnsi="Times New Roman"/>
          <w:color w:val="000000"/>
          <w:sz w:val="24"/>
          <w:szCs w:val="24"/>
          <w:lang w:val="en-GB"/>
        </w:rPr>
        <w:t>Tommaso</w:t>
      </w:r>
      <w:proofErr w:type="spellEnd"/>
      <w:r w:rsidRPr="0013591A">
        <w:rPr>
          <w:rFonts w:ascii="Times New Roman" w:hAnsi="Times New Roman"/>
          <w:color w:val="000000"/>
          <w:sz w:val="24"/>
          <w:szCs w:val="24"/>
          <w:lang w:val="en-GB"/>
        </w:rPr>
        <w:t xml:space="preserve"> et al. 2007, p. 873). </w:t>
      </w:r>
      <w:r w:rsidRPr="0013591A">
        <w:rPr>
          <w:rFonts w:ascii="Times New Roman" w:hAnsi="Times New Roman"/>
          <w:sz w:val="24"/>
          <w:szCs w:val="24"/>
          <w:lang w:val="en-GB"/>
        </w:rPr>
        <w:t xml:space="preserve">However, the choice of indicators that averaged and aggregated to one institutional proxy raises the question of ‘how to combine them in empirical research on institutional change as an underlying process rather than focussing on just one sub-dimension’ (Raiser et al. 2001, p. 4). Moreover, </w:t>
      </w:r>
      <w:proofErr w:type="spellStart"/>
      <w:r w:rsidRPr="0013591A">
        <w:rPr>
          <w:rFonts w:ascii="Times New Roman" w:hAnsi="Times New Roman"/>
          <w:sz w:val="24"/>
          <w:szCs w:val="24"/>
          <w:lang w:val="en-GB"/>
        </w:rPr>
        <w:lastRenderedPageBreak/>
        <w:t>multicollinearity</w:t>
      </w:r>
      <w:proofErr w:type="spellEnd"/>
      <w:r w:rsidRPr="0013591A">
        <w:rPr>
          <w:rFonts w:ascii="Times New Roman" w:hAnsi="Times New Roman"/>
          <w:sz w:val="24"/>
          <w:szCs w:val="24"/>
          <w:lang w:val="en-GB"/>
        </w:rPr>
        <w:t xml:space="preserve"> might be a serious issue in such analysis. Fortunately, Raiser et al. (2001) have exploited the Multiple Indicator Multiple Cause methodology to control for potential measurement errors in this multidimensional variable, as well as for the problem of aggregation of different components of the EBRD index. The authors find that averaging institutional sub-indices into one composite index is an appropriate measure of institutional change in transition.</w:t>
      </w:r>
      <w:r w:rsidRPr="0013591A">
        <w:rPr>
          <w:rFonts w:ascii="Times New Roman" w:hAnsi="Times New Roman"/>
          <w:color w:val="000000"/>
          <w:sz w:val="24"/>
          <w:szCs w:val="24"/>
          <w:lang w:val="en-GB"/>
        </w:rPr>
        <w:t xml:space="preserve"> As a check,</w:t>
      </w:r>
      <w:r w:rsidRPr="0013591A">
        <w:rPr>
          <w:rFonts w:ascii="Times New Roman" w:hAnsi="Times New Roman"/>
          <w:sz w:val="24"/>
          <w:szCs w:val="24"/>
          <w:lang w:val="en-US"/>
        </w:rPr>
        <w:t xml:space="preserve"> </w:t>
      </w:r>
      <w:r w:rsidRPr="0013591A">
        <w:rPr>
          <w:rFonts w:ascii="Times New Roman" w:hAnsi="Times New Roman"/>
          <w:color w:val="000000"/>
          <w:sz w:val="24"/>
          <w:szCs w:val="24"/>
          <w:lang w:val="en-GB"/>
        </w:rPr>
        <w:t xml:space="preserve">we calculated </w:t>
      </w:r>
      <w:proofErr w:type="spellStart"/>
      <w:r w:rsidRPr="0013591A">
        <w:rPr>
          <w:rFonts w:ascii="Times New Roman" w:hAnsi="Times New Roman"/>
          <w:color w:val="000000"/>
          <w:sz w:val="24"/>
          <w:szCs w:val="24"/>
          <w:lang w:val="en-US"/>
        </w:rPr>
        <w:t>Cronbach’s</w:t>
      </w:r>
      <w:proofErr w:type="spellEnd"/>
      <w:r w:rsidRPr="0013591A">
        <w:rPr>
          <w:rFonts w:ascii="Times New Roman" w:hAnsi="Times New Roman"/>
          <w:color w:val="000000"/>
          <w:sz w:val="24"/>
          <w:szCs w:val="24"/>
          <w:lang w:val="en-US"/>
        </w:rPr>
        <w:t xml:space="preserve"> Alpha</w:t>
      </w:r>
      <w:r w:rsidR="00852F8F" w:rsidRPr="0013591A">
        <w:rPr>
          <w:rFonts w:ascii="Times New Roman" w:hAnsi="Times New Roman"/>
          <w:color w:val="000000"/>
          <w:sz w:val="24"/>
          <w:szCs w:val="24"/>
          <w:lang w:val="en-US"/>
        </w:rPr>
        <w:t xml:space="preserve"> (CA)</w:t>
      </w:r>
      <w:r w:rsidRPr="0013591A">
        <w:rPr>
          <w:rFonts w:ascii="Times New Roman" w:hAnsi="Times New Roman"/>
          <w:color w:val="000000"/>
          <w:sz w:val="24"/>
          <w:szCs w:val="24"/>
          <w:lang w:val="en-US"/>
        </w:rPr>
        <w:t xml:space="preserve"> for the eight components of the EBRD index. With complete observations for each index, </w:t>
      </w:r>
      <w:r w:rsidR="00852F8F" w:rsidRPr="0013591A">
        <w:rPr>
          <w:rFonts w:ascii="Times New Roman" w:hAnsi="Times New Roman"/>
          <w:color w:val="000000"/>
          <w:sz w:val="24"/>
          <w:szCs w:val="24"/>
          <w:lang w:val="en-US"/>
        </w:rPr>
        <w:t>CA</w:t>
      </w:r>
      <w:r w:rsidRPr="0013591A">
        <w:rPr>
          <w:rFonts w:ascii="Times New Roman" w:hAnsi="Times New Roman"/>
          <w:color w:val="000000"/>
          <w:sz w:val="24"/>
          <w:szCs w:val="24"/>
          <w:lang w:val="en-US"/>
        </w:rPr>
        <w:t xml:space="preserve">=0.96, </w:t>
      </w:r>
      <w:r w:rsidRPr="0013591A">
        <w:rPr>
          <w:rFonts w:ascii="Times New Roman" w:hAnsi="Times New Roman"/>
          <w:sz w:val="24"/>
          <w:szCs w:val="24"/>
          <w:lang w:val="en-US"/>
        </w:rPr>
        <w:t xml:space="preserve">which suggests that the </w:t>
      </w:r>
      <w:r w:rsidRPr="0013591A">
        <w:rPr>
          <w:rFonts w:ascii="Times New Roman" w:hAnsi="Times New Roman"/>
          <w:color w:val="000000"/>
          <w:sz w:val="24"/>
          <w:szCs w:val="24"/>
          <w:lang w:val="en-US"/>
        </w:rPr>
        <w:t>aggregation of the EBRD indices is appropriate</w:t>
      </w:r>
      <w:r w:rsidRPr="0013591A">
        <w:rPr>
          <w:rFonts w:ascii="Times New Roman" w:hAnsi="Times New Roman"/>
          <w:color w:val="000000"/>
          <w:sz w:val="24"/>
          <w:szCs w:val="24"/>
          <w:lang w:val="en-GB"/>
        </w:rPr>
        <w:t xml:space="preserve"> for the data used in the regressions below.</w:t>
      </w:r>
      <w:r w:rsidRPr="0013591A">
        <w:rPr>
          <w:rFonts w:ascii="Times New Roman" w:hAnsi="Times New Roman"/>
          <w:sz w:val="24"/>
          <w:szCs w:val="24"/>
          <w:lang w:val="en-GB"/>
        </w:rPr>
        <w:t xml:space="preserve"> </w:t>
      </w:r>
    </w:p>
    <w:p w:rsidR="008003CB" w:rsidRPr="0013591A" w:rsidRDefault="008003CB" w:rsidP="008003CB">
      <w:pPr>
        <w:pStyle w:val="PlainText"/>
        <w:spacing w:line="360" w:lineRule="auto"/>
        <w:jc w:val="both"/>
        <w:rPr>
          <w:lang w:val="en-GB"/>
        </w:rPr>
      </w:pPr>
    </w:p>
    <w:p w:rsidR="005D2586" w:rsidRPr="0013591A" w:rsidRDefault="005D2586" w:rsidP="00363142">
      <w:pPr>
        <w:spacing w:line="360" w:lineRule="auto"/>
        <w:jc w:val="both"/>
        <w:rPr>
          <w:lang w:val="en-GB"/>
        </w:rPr>
      </w:pPr>
      <w:r w:rsidRPr="0013591A">
        <w:rPr>
          <w:color w:val="000000"/>
          <w:lang w:val="en-GB"/>
        </w:rPr>
        <w:t xml:space="preserve">An additional issue in defining the institutional variable of interest, which has not been properly addressed in the literature, is the timing of the institutional influence on economic performance. The majority of researchers model contemporaneous or short-run institutional effects (Sachs 1996; </w:t>
      </w:r>
      <w:proofErr w:type="spellStart"/>
      <w:r w:rsidRPr="0013591A">
        <w:rPr>
          <w:color w:val="000000"/>
          <w:lang w:val="en-GB"/>
        </w:rPr>
        <w:t>Redek</w:t>
      </w:r>
      <w:proofErr w:type="spellEnd"/>
      <w:r w:rsidRPr="0013591A">
        <w:rPr>
          <w:color w:val="000000"/>
          <w:lang w:val="en-GB"/>
        </w:rPr>
        <w:t xml:space="preserve"> – </w:t>
      </w:r>
      <w:proofErr w:type="spellStart"/>
      <w:r w:rsidRPr="0013591A">
        <w:rPr>
          <w:color w:val="000000"/>
          <w:lang w:val="en-GB"/>
        </w:rPr>
        <w:t>Susjan</w:t>
      </w:r>
      <w:proofErr w:type="spellEnd"/>
      <w:r w:rsidRPr="0013591A">
        <w:rPr>
          <w:color w:val="000000"/>
          <w:lang w:val="en-GB"/>
        </w:rPr>
        <w:t xml:space="preserve"> 2005) although some authors argue that the institutional influence might work with lags (</w:t>
      </w:r>
      <w:proofErr w:type="spellStart"/>
      <w:r w:rsidRPr="0013591A">
        <w:rPr>
          <w:color w:val="000000"/>
          <w:lang w:val="en-GB"/>
        </w:rPr>
        <w:t>Gwartney</w:t>
      </w:r>
      <w:proofErr w:type="spellEnd"/>
      <w:r w:rsidRPr="0013591A">
        <w:rPr>
          <w:color w:val="000000"/>
          <w:lang w:val="en-GB"/>
        </w:rPr>
        <w:t xml:space="preserve"> et al. 2004; Raiser et al. 2001). Accordingly, the timing of institutional effects in transition should be further investigated. To this end, we do not use </w:t>
      </w:r>
      <w:r w:rsidRPr="0013591A">
        <w:rPr>
          <w:lang w:val="en-GB"/>
        </w:rPr>
        <w:t xml:space="preserve">the current and/or lagged values of the proxy for institutions, which is the measure typically applied in previous studies. </w:t>
      </w:r>
      <w:proofErr w:type="spellStart"/>
      <w:r w:rsidRPr="0013591A">
        <w:rPr>
          <w:lang w:val="en-GB"/>
        </w:rPr>
        <w:t>Sobel</w:t>
      </w:r>
      <w:proofErr w:type="spellEnd"/>
      <w:r w:rsidRPr="0013591A">
        <w:rPr>
          <w:lang w:val="en-GB"/>
        </w:rPr>
        <w:t xml:space="preserve"> and Coyne (2011) report that institutional proxies, often being </w:t>
      </w:r>
      <w:proofErr w:type="spellStart"/>
      <w:r w:rsidRPr="0013591A">
        <w:rPr>
          <w:lang w:val="en-GB"/>
        </w:rPr>
        <w:t>nonstationary</w:t>
      </w:r>
      <w:proofErr w:type="spellEnd"/>
      <w:r w:rsidRPr="0013591A">
        <w:rPr>
          <w:lang w:val="en-GB"/>
        </w:rPr>
        <w:t>, should not be used in levels as independent variables explaining some (</w:t>
      </w:r>
      <w:proofErr w:type="spellStart"/>
      <w:r w:rsidRPr="0013591A">
        <w:rPr>
          <w:lang w:val="en-GB"/>
        </w:rPr>
        <w:t>nonstationary</w:t>
      </w:r>
      <w:proofErr w:type="spellEnd"/>
      <w:r w:rsidRPr="0013591A">
        <w:rPr>
          <w:lang w:val="en-GB"/>
        </w:rPr>
        <w:t>) measures of economic prosperity. Indeed, they should be investigated rather in the form of changes in the series, which is the approach that we apply. Accordingly, we use the change in institutional improvement over a five-year period (</w:t>
      </w:r>
      <w:r w:rsidRPr="0013591A">
        <w:rPr>
          <w:position w:val="-12"/>
          <w:lang w:val="en-GB"/>
        </w:rPr>
        <w:object w:dxaOrig="620" w:dyaOrig="360">
          <v:shape id="_x0000_i1026" type="#_x0000_t75" style="width:30.75pt;height:18pt" o:ole="">
            <v:imagedata r:id="rId13" o:title=""/>
          </v:shape>
          <o:OLEObject Type="Embed" ProgID="Equation.3" ShapeID="_x0000_i1026" DrawAspect="Content" ObjectID="_1504978234" r:id="rId14"/>
        </w:object>
      </w:r>
      <w:r w:rsidRPr="0013591A">
        <w:rPr>
          <w:lang w:val="en-GB"/>
        </w:rPr>
        <w:t>), which we characterise as an influence over the medium-term. This approach to estimating the influence of change in institutions (</w:t>
      </w:r>
      <w:proofErr w:type="spellStart"/>
      <w:r w:rsidRPr="0013591A">
        <w:rPr>
          <w:lang w:val="en-GB"/>
        </w:rPr>
        <w:t>Sobel</w:t>
      </w:r>
      <w:proofErr w:type="spellEnd"/>
      <w:r w:rsidRPr="0013591A">
        <w:rPr>
          <w:lang w:val="en-GB"/>
        </w:rPr>
        <w:t xml:space="preserve"> and Coyne 2011) over a longer period is recommended by </w:t>
      </w:r>
      <w:proofErr w:type="spellStart"/>
      <w:r w:rsidRPr="0013591A">
        <w:rPr>
          <w:color w:val="000000"/>
          <w:lang w:val="en-GB"/>
        </w:rPr>
        <w:t>Gwartney</w:t>
      </w:r>
      <w:proofErr w:type="spellEnd"/>
      <w:r w:rsidRPr="0013591A">
        <w:rPr>
          <w:color w:val="000000"/>
          <w:lang w:val="en-GB"/>
        </w:rPr>
        <w:t xml:space="preserve"> et al.</w:t>
      </w:r>
      <w:r w:rsidRPr="0013591A">
        <w:rPr>
          <w:lang w:val="en-GB"/>
        </w:rPr>
        <w:t xml:space="preserve"> (2004) and applied, for example, by </w:t>
      </w:r>
      <w:r w:rsidRPr="0013591A">
        <w:rPr>
          <w:color w:val="000000"/>
          <w:lang w:val="en-GB"/>
        </w:rPr>
        <w:t>Raiser et al. (2001)</w:t>
      </w:r>
      <w:r w:rsidRPr="0013591A">
        <w:rPr>
          <w:lang w:val="en-GB"/>
        </w:rPr>
        <w:t xml:space="preserve">. We follow this practice to allow for institutional influences on economic performance to take place when sustained over time. In the next section, we advance additional econometric reasons for this practice. </w:t>
      </w:r>
    </w:p>
    <w:p w:rsidR="005D2586" w:rsidRPr="0013591A" w:rsidRDefault="005D2586" w:rsidP="00363142">
      <w:pPr>
        <w:spacing w:line="360" w:lineRule="auto"/>
        <w:jc w:val="both"/>
        <w:rPr>
          <w:lang w:val="en-GB"/>
        </w:rPr>
      </w:pPr>
    </w:p>
    <w:p w:rsidR="005D2586" w:rsidRPr="0013591A" w:rsidRDefault="005D2586" w:rsidP="00363142">
      <w:pPr>
        <w:pStyle w:val="Heading1"/>
        <w:numPr>
          <w:ilvl w:val="1"/>
          <w:numId w:val="7"/>
        </w:numPr>
        <w:spacing w:after="240" w:line="360" w:lineRule="auto"/>
        <w:jc w:val="both"/>
        <w:rPr>
          <w:rFonts w:ascii="Times New Roman" w:hAnsi="Times New Roman" w:cs="Times New Roman"/>
          <w:sz w:val="24"/>
          <w:szCs w:val="24"/>
          <w:lang w:val="en-GB"/>
        </w:rPr>
      </w:pPr>
      <w:r w:rsidRPr="0013591A">
        <w:rPr>
          <w:rFonts w:ascii="Times New Roman" w:hAnsi="Times New Roman" w:cs="Times New Roman"/>
          <w:sz w:val="24"/>
          <w:szCs w:val="24"/>
          <w:lang w:val="en-GB"/>
        </w:rPr>
        <w:lastRenderedPageBreak/>
        <w:t xml:space="preserve"> Base model specification</w:t>
      </w:r>
    </w:p>
    <w:p w:rsidR="005D2586" w:rsidRPr="0013591A" w:rsidRDefault="005D2586" w:rsidP="00363142">
      <w:pPr>
        <w:spacing w:line="360" w:lineRule="auto"/>
        <w:jc w:val="both"/>
        <w:rPr>
          <w:lang w:val="en-GB" w:eastAsia="en-US"/>
        </w:rPr>
      </w:pPr>
    </w:p>
    <w:p w:rsidR="005D2586" w:rsidRPr="0013591A" w:rsidRDefault="005D2586" w:rsidP="00363142">
      <w:pPr>
        <w:spacing w:after="120" w:line="360" w:lineRule="auto"/>
        <w:jc w:val="both"/>
        <w:rPr>
          <w:lang w:val="en-GB"/>
        </w:rPr>
      </w:pPr>
      <w:r w:rsidRPr="0013591A">
        <w:rPr>
          <w:lang w:val="en-GB"/>
        </w:rPr>
        <w:t>We specify our base model to estimate the effect of changes in institutional quality on economic performance within a dynamic rather than a static framework. Sachs (2003) argues</w:t>
      </w:r>
      <w:r w:rsidR="007A6C1D" w:rsidRPr="0013591A">
        <w:rPr>
          <w:lang w:val="en-GB"/>
        </w:rPr>
        <w:t xml:space="preserve"> </w:t>
      </w:r>
      <w:r w:rsidRPr="0013591A">
        <w:rPr>
          <w:lang w:val="en-GB"/>
        </w:rPr>
        <w:t xml:space="preserve">that determination of per capita income should be specified in a dynamic model, not in the ‘oversimplified’ static model. Similarly, </w:t>
      </w:r>
      <w:proofErr w:type="spellStart"/>
      <w:r w:rsidRPr="0013591A">
        <w:rPr>
          <w:lang w:val="en-GB"/>
        </w:rPr>
        <w:t>Eicher</w:t>
      </w:r>
      <w:proofErr w:type="spellEnd"/>
      <w:r w:rsidRPr="0013591A">
        <w:rPr>
          <w:lang w:val="en-GB"/>
        </w:rPr>
        <w:t xml:space="preserve"> – Schreiber (2010) conclude that by exploring the time dimension in a dynamic panel, one can analyze how continuous institutional changes influence economic performance in transition. Consequently, in this dynamic model we allow current economic performance to be influenced by past economic performance, which is a well-known feature of economic processes. In a dynamic panel specification, lagged GDP per capita is an endogenous variable by definition. Hence, we control the </w:t>
      </w:r>
      <w:proofErr w:type="spellStart"/>
      <w:r w:rsidRPr="0013591A">
        <w:rPr>
          <w:lang w:val="en-GB"/>
        </w:rPr>
        <w:t>endogeneity</w:t>
      </w:r>
      <w:proofErr w:type="spellEnd"/>
      <w:r w:rsidRPr="0013591A">
        <w:rPr>
          <w:lang w:val="en-GB"/>
        </w:rPr>
        <w:t xml:space="preserve"> of this variable in its lagged form as a </w:t>
      </w:r>
      <w:proofErr w:type="spellStart"/>
      <w:r w:rsidRPr="0013591A">
        <w:rPr>
          <w:lang w:val="en-GB"/>
        </w:rPr>
        <w:t>regressor</w:t>
      </w:r>
      <w:proofErr w:type="spellEnd"/>
      <w:r w:rsidRPr="0013591A">
        <w:rPr>
          <w:lang w:val="en-GB"/>
        </w:rPr>
        <w:t xml:space="preserve"> by using internal instruments; namely, lagged levels and lagged differences. </w:t>
      </w:r>
    </w:p>
    <w:p w:rsidR="005D2586" w:rsidRPr="0013591A" w:rsidRDefault="005D2586" w:rsidP="00363142">
      <w:pPr>
        <w:spacing w:after="120" w:line="360" w:lineRule="auto"/>
        <w:jc w:val="both"/>
        <w:rPr>
          <w:lang w:val="en-GB"/>
        </w:rPr>
      </w:pPr>
      <w:r w:rsidRPr="0013591A">
        <w:rPr>
          <w:lang w:val="en-GB"/>
        </w:rPr>
        <w:t>To the economic reasons for specifying the institutional variable of interest as change in institutional improvement over a five-year period, we add two econometric reasons. Firstly, models in which institutional measures are from the current or lagged periods may give rise to spurious regression (</w:t>
      </w:r>
      <w:proofErr w:type="spellStart"/>
      <w:r w:rsidRPr="0013591A">
        <w:rPr>
          <w:lang w:val="en-GB"/>
        </w:rPr>
        <w:t>Falcetti</w:t>
      </w:r>
      <w:proofErr w:type="spellEnd"/>
      <w:r w:rsidRPr="0013591A">
        <w:rPr>
          <w:lang w:val="en-GB"/>
        </w:rPr>
        <w:t xml:space="preserve"> et al. 2006); conversely, our specification – as a stationary variable - should avoid this problem.</w:t>
      </w:r>
      <w:r w:rsidRPr="0013591A">
        <w:rPr>
          <w:rStyle w:val="FootnoteReference"/>
          <w:lang w:val="en-GB"/>
        </w:rPr>
        <w:footnoteReference w:id="2"/>
      </w:r>
      <w:r w:rsidRPr="0013591A">
        <w:rPr>
          <w:lang w:val="en-GB"/>
        </w:rPr>
        <w:t xml:space="preserve"> </w:t>
      </w:r>
      <w:r w:rsidRPr="0013591A">
        <w:rPr>
          <w:rStyle w:val="FootnoteReference"/>
          <w:lang w:val="en-GB"/>
        </w:rPr>
        <w:t xml:space="preserve"> </w:t>
      </w:r>
    </w:p>
    <w:p w:rsidR="005D2586" w:rsidRPr="0013591A" w:rsidRDefault="005D2586" w:rsidP="00363142">
      <w:pPr>
        <w:spacing w:after="120" w:line="360" w:lineRule="auto"/>
        <w:jc w:val="both"/>
        <w:rPr>
          <w:lang w:val="en-GB"/>
        </w:rPr>
      </w:pPr>
      <w:r w:rsidRPr="0013591A">
        <w:rPr>
          <w:lang w:val="en-GB"/>
        </w:rPr>
        <w:t xml:space="preserve">Secondly, the institutional proxy is constructed in such a way as to eliminate reverse causation and from this perspective may be treated as an exogenous variable. It is not likely that current economic performance may explain past institutional changes; moreover, using a longer period in measuring institutional performance is a good way of attenuating </w:t>
      </w:r>
      <w:proofErr w:type="spellStart"/>
      <w:r w:rsidRPr="0013591A">
        <w:rPr>
          <w:lang w:val="en-GB"/>
        </w:rPr>
        <w:t>endogeneity</w:t>
      </w:r>
      <w:proofErr w:type="spellEnd"/>
      <w:r w:rsidRPr="0013591A">
        <w:rPr>
          <w:lang w:val="en-GB"/>
        </w:rPr>
        <w:t xml:space="preserve"> (</w:t>
      </w:r>
      <w:proofErr w:type="spellStart"/>
      <w:r w:rsidRPr="0013591A">
        <w:rPr>
          <w:lang w:val="en-GB"/>
        </w:rPr>
        <w:t>Aron</w:t>
      </w:r>
      <w:proofErr w:type="spellEnd"/>
      <w:r w:rsidRPr="0013591A">
        <w:rPr>
          <w:lang w:val="en-GB"/>
        </w:rPr>
        <w:t xml:space="preserve"> 2000). </w:t>
      </w:r>
    </w:p>
    <w:p w:rsidR="005D2586" w:rsidRPr="0013591A" w:rsidRDefault="005D2586" w:rsidP="00363142">
      <w:pPr>
        <w:spacing w:after="120" w:line="360" w:lineRule="auto"/>
        <w:jc w:val="both"/>
        <w:rPr>
          <w:lang w:val="en-GB"/>
        </w:rPr>
      </w:pPr>
      <w:r w:rsidRPr="0013591A">
        <w:rPr>
          <w:lang w:val="en-GB"/>
        </w:rPr>
        <w:t xml:space="preserve">However, in a dynamic panel specification, </w:t>
      </w:r>
      <w:proofErr w:type="spellStart"/>
      <w:r w:rsidRPr="0013591A">
        <w:rPr>
          <w:lang w:val="en-GB"/>
        </w:rPr>
        <w:t>endogeneity</w:t>
      </w:r>
      <w:proofErr w:type="spellEnd"/>
      <w:r w:rsidRPr="0013591A">
        <w:rPr>
          <w:lang w:val="en-GB"/>
        </w:rPr>
        <w:t xml:space="preserve"> potentially also arises from correlation of institutional quality with unobservable time invariant influences on economic performance captured by the country-specific error terms (</w:t>
      </w:r>
      <w:proofErr w:type="gramStart"/>
      <w:r w:rsidRPr="0013591A">
        <w:rPr>
          <w:i/>
          <w:lang w:val="en-GB"/>
        </w:rPr>
        <w:t>v</w:t>
      </w:r>
      <w:r w:rsidRPr="0013591A">
        <w:rPr>
          <w:i/>
          <w:vertAlign w:val="subscript"/>
          <w:lang w:val="en-GB"/>
        </w:rPr>
        <w:t>i</w:t>
      </w:r>
      <w:proofErr w:type="gramEnd"/>
      <w:r w:rsidRPr="0013591A">
        <w:rPr>
          <w:lang w:val="en-GB"/>
        </w:rPr>
        <w:t xml:space="preserve">). Because not </w:t>
      </w:r>
      <w:r w:rsidRPr="0013591A">
        <w:rPr>
          <w:lang w:val="en-GB"/>
        </w:rPr>
        <w:lastRenderedPageBreak/>
        <w:t xml:space="preserve">all such unobserved variables can be identified (this depends on the state of theoretical understanding) or, even if identified, measured (this is subject to data limitations), we cannot with certainty control for all such potentially correlated variables. In this case, </w:t>
      </w:r>
      <w:proofErr w:type="spellStart"/>
      <w:r w:rsidRPr="0013591A">
        <w:rPr>
          <w:lang w:val="en-GB"/>
        </w:rPr>
        <w:t>endogeneity</w:t>
      </w:r>
      <w:proofErr w:type="spellEnd"/>
      <w:r w:rsidRPr="0013591A">
        <w:rPr>
          <w:lang w:val="en-GB"/>
        </w:rPr>
        <w:t xml:space="preserve"> may arise from omitted variables. Accordingly, although we have designed our institutional proxy to be free from simultaneity between economic performance and institutional quality as a source of </w:t>
      </w:r>
      <w:proofErr w:type="spellStart"/>
      <w:r w:rsidRPr="0013591A">
        <w:rPr>
          <w:lang w:val="en-GB"/>
        </w:rPr>
        <w:t>endogeneity</w:t>
      </w:r>
      <w:proofErr w:type="spellEnd"/>
      <w:r w:rsidRPr="0013591A">
        <w:rPr>
          <w:lang w:val="en-GB"/>
        </w:rPr>
        <w:t xml:space="preserve">, we do not assume that </w:t>
      </w:r>
      <w:r w:rsidRPr="0013591A">
        <w:rPr>
          <w:position w:val="-12"/>
          <w:lang w:val="en-GB"/>
        </w:rPr>
        <w:object w:dxaOrig="620" w:dyaOrig="360">
          <v:shape id="_x0000_i1027" type="#_x0000_t75" style="width:30.75pt;height:18pt" o:ole="">
            <v:imagedata r:id="rId13" o:title=""/>
          </v:shape>
          <o:OLEObject Type="Embed" ProgID="Equation.3" ShapeID="_x0000_i1027" DrawAspect="Content" ObjectID="_1504978235" r:id="rId15"/>
        </w:object>
      </w:r>
      <w:r w:rsidRPr="0013591A">
        <w:rPr>
          <w:lang w:val="en-GB"/>
        </w:rPr>
        <w:t xml:space="preserve">is exogenous. </w:t>
      </w:r>
    </w:p>
    <w:p w:rsidR="005D2586" w:rsidRPr="0013591A" w:rsidRDefault="005D2586" w:rsidP="00363142">
      <w:pPr>
        <w:spacing w:after="120" w:line="360" w:lineRule="auto"/>
        <w:jc w:val="both"/>
        <w:rPr>
          <w:lang w:val="en-GB"/>
        </w:rPr>
      </w:pPr>
      <w:r w:rsidRPr="0013591A">
        <w:rPr>
          <w:lang w:val="en-GB"/>
        </w:rPr>
        <w:t>Initial conditions in individual TCs were different. For both economic and econometric reasons we control for the potential impact of different starting positions on later economic performance. Controlling for initial conditions in regressions with either economic growth or the output level as the dependent variable is established practice (</w:t>
      </w:r>
      <w:proofErr w:type="spellStart"/>
      <w:r w:rsidRPr="0013591A">
        <w:rPr>
          <w:lang w:val="en-GB"/>
        </w:rPr>
        <w:t>Havrylyshyn</w:t>
      </w:r>
      <w:proofErr w:type="spellEnd"/>
      <w:r w:rsidRPr="0013591A">
        <w:rPr>
          <w:lang w:val="en-GB"/>
        </w:rPr>
        <w:t xml:space="preserve"> – Van </w:t>
      </w:r>
      <w:proofErr w:type="spellStart"/>
      <w:r w:rsidRPr="0013591A">
        <w:rPr>
          <w:lang w:val="en-GB"/>
        </w:rPr>
        <w:t>Rooden</w:t>
      </w:r>
      <w:proofErr w:type="spellEnd"/>
      <w:r w:rsidRPr="0013591A">
        <w:rPr>
          <w:lang w:val="en-GB"/>
        </w:rPr>
        <w:t xml:space="preserve"> 2003; Beck – </w:t>
      </w:r>
      <w:proofErr w:type="spellStart"/>
      <w:r w:rsidRPr="0013591A">
        <w:rPr>
          <w:lang w:val="en-GB"/>
        </w:rPr>
        <w:t>Laeven</w:t>
      </w:r>
      <w:proofErr w:type="spellEnd"/>
      <w:r w:rsidRPr="0013591A">
        <w:rPr>
          <w:lang w:val="en-GB"/>
        </w:rPr>
        <w:t xml:space="preserve"> 2006)</w:t>
      </w:r>
      <w:r w:rsidRPr="0013591A">
        <w:rPr>
          <w:color w:val="000000"/>
          <w:lang w:val="en-GB"/>
        </w:rPr>
        <w:t xml:space="preserve">. </w:t>
      </w:r>
      <w:r w:rsidRPr="0013591A">
        <w:rPr>
          <w:lang w:val="en-GB"/>
        </w:rPr>
        <w:t>We argue that controlling for initial conditions is important for four main reasons</w:t>
      </w:r>
      <w:r w:rsidR="008003CB" w:rsidRPr="0013591A">
        <w:rPr>
          <w:lang w:val="en-GB"/>
        </w:rPr>
        <w:t xml:space="preserve">, which </w:t>
      </w:r>
      <w:r w:rsidR="003B0F75" w:rsidRPr="0013591A">
        <w:rPr>
          <w:lang w:val="en-GB"/>
        </w:rPr>
        <w:t xml:space="preserve">are </w:t>
      </w:r>
      <w:r w:rsidR="008003CB" w:rsidRPr="0013591A">
        <w:rPr>
          <w:lang w:val="en-GB"/>
        </w:rPr>
        <w:t>explained in our on-line appendix</w:t>
      </w:r>
      <w:r w:rsidR="00666299" w:rsidRPr="0013591A">
        <w:rPr>
          <w:lang w:val="en-GB"/>
        </w:rPr>
        <w:t xml:space="preserve"> (Appendix 1)</w:t>
      </w:r>
      <w:r w:rsidRPr="0013591A">
        <w:rPr>
          <w:lang w:val="en-GB"/>
        </w:rPr>
        <w:t>.</w:t>
      </w:r>
      <w:r w:rsidR="008003CB" w:rsidRPr="0013591A">
        <w:rPr>
          <w:rStyle w:val="FootnoteReference"/>
          <w:lang w:val="en-GB"/>
        </w:rPr>
        <w:footnoteReference w:id="3"/>
      </w:r>
      <w:r w:rsidRPr="0013591A">
        <w:rPr>
          <w:lang w:val="en-GB"/>
        </w:rPr>
        <w:t xml:space="preserve"> </w:t>
      </w:r>
    </w:p>
    <w:p w:rsidR="005D2586" w:rsidRPr="0013591A" w:rsidRDefault="001F4ADE" w:rsidP="00363142">
      <w:pPr>
        <w:spacing w:after="120" w:line="360" w:lineRule="auto"/>
        <w:jc w:val="both"/>
        <w:rPr>
          <w:lang w:val="en-GB"/>
        </w:rPr>
      </w:pPr>
      <w:r w:rsidRPr="0013591A">
        <w:rPr>
          <w:lang w:val="en-GB"/>
        </w:rPr>
        <w:t>F</w:t>
      </w:r>
      <w:r w:rsidR="005D2586" w:rsidRPr="0013591A">
        <w:rPr>
          <w:lang w:val="en-GB"/>
        </w:rPr>
        <w:t xml:space="preserve">or </w:t>
      </w:r>
      <w:r w:rsidR="005D2586" w:rsidRPr="0013591A">
        <w:rPr>
          <w:color w:val="000000"/>
          <w:lang w:val="en-GB"/>
        </w:rPr>
        <w:t xml:space="preserve">similar reasons as apply to our institutional variable, </w:t>
      </w:r>
      <w:r w:rsidR="005D2586" w:rsidRPr="0013591A">
        <w:rPr>
          <w:lang w:val="en-GB"/>
        </w:rPr>
        <w:t xml:space="preserve">initial conditions </w:t>
      </w:r>
      <w:proofErr w:type="spellStart"/>
      <w:r w:rsidR="005D2586" w:rsidRPr="0013591A">
        <w:rPr>
          <w:lang w:val="en-GB"/>
        </w:rPr>
        <w:t>proxied</w:t>
      </w:r>
      <w:proofErr w:type="spellEnd"/>
      <w:r w:rsidR="005D2586" w:rsidRPr="0013591A">
        <w:rPr>
          <w:lang w:val="en-GB"/>
        </w:rPr>
        <w:t xml:space="preserve"> by per capita GDP from 1989 cannot be subject to </w:t>
      </w:r>
      <w:proofErr w:type="spellStart"/>
      <w:r w:rsidR="005D2586" w:rsidRPr="0013591A">
        <w:rPr>
          <w:lang w:val="en-GB"/>
        </w:rPr>
        <w:t>endogeneity</w:t>
      </w:r>
      <w:proofErr w:type="spellEnd"/>
      <w:r w:rsidR="005D2586" w:rsidRPr="0013591A">
        <w:rPr>
          <w:lang w:val="en-GB"/>
        </w:rPr>
        <w:t xml:space="preserve"> arising from simultaneity effects. By definition, our initial conditions predate the transition period. In addition, correlation between initial conditions and unobserved time invariant influences in the country-specific error terms (</w:t>
      </w:r>
      <w:proofErr w:type="gramStart"/>
      <w:r w:rsidR="005D2586" w:rsidRPr="0013591A">
        <w:rPr>
          <w:i/>
          <w:lang w:val="en-GB"/>
        </w:rPr>
        <w:t>v</w:t>
      </w:r>
      <w:r w:rsidR="005D2586" w:rsidRPr="0013591A">
        <w:rPr>
          <w:i/>
          <w:vertAlign w:val="subscript"/>
          <w:lang w:val="en-GB"/>
        </w:rPr>
        <w:t>i</w:t>
      </w:r>
      <w:proofErr w:type="gramEnd"/>
      <w:r w:rsidR="005D2586" w:rsidRPr="0013591A">
        <w:rPr>
          <w:lang w:val="en-GB"/>
        </w:rPr>
        <w:t xml:space="preserve">) is unlikely to be sufficiently substantial to give rise to </w:t>
      </w:r>
      <w:proofErr w:type="spellStart"/>
      <w:r w:rsidR="005D2586" w:rsidRPr="0013591A">
        <w:rPr>
          <w:lang w:val="en-GB"/>
        </w:rPr>
        <w:t>endogeneity</w:t>
      </w:r>
      <w:proofErr w:type="spellEnd"/>
      <w:r w:rsidR="005D2586" w:rsidRPr="0013591A">
        <w:rPr>
          <w:lang w:val="en-GB"/>
        </w:rPr>
        <w:t xml:space="preserve"> bias. Given that the purpose of transition was to bring about a profound structural break in economic, social and cultural development, we assume the pre-transition time invariant components of the country-specific error terms (</w:t>
      </w:r>
      <w:r w:rsidR="005D2586" w:rsidRPr="0013591A">
        <w:rPr>
          <w:i/>
          <w:lang w:val="en-GB"/>
        </w:rPr>
        <w:t>v</w:t>
      </w:r>
      <w:r w:rsidR="005D2586" w:rsidRPr="0013591A">
        <w:rPr>
          <w:i/>
          <w:vertAlign w:val="subscript"/>
          <w:lang w:val="en-GB"/>
        </w:rPr>
        <w:t>i</w:t>
      </w:r>
      <w:r w:rsidR="005D2586" w:rsidRPr="0013591A">
        <w:rPr>
          <w:lang w:val="en-GB"/>
        </w:rPr>
        <w:t xml:space="preserve">), with which initial conditions may have been correlated, to be sufficiently different from the post-transition components of the </w:t>
      </w:r>
      <w:r w:rsidR="005D2586" w:rsidRPr="0013591A">
        <w:rPr>
          <w:i/>
          <w:lang w:val="en-GB"/>
        </w:rPr>
        <w:t>v</w:t>
      </w:r>
      <w:r w:rsidR="005D2586" w:rsidRPr="0013591A">
        <w:rPr>
          <w:i/>
          <w:vertAlign w:val="subscript"/>
          <w:lang w:val="en-GB"/>
        </w:rPr>
        <w:t xml:space="preserve">i </w:t>
      </w:r>
      <w:r w:rsidR="005D2586" w:rsidRPr="0013591A">
        <w:rPr>
          <w:lang w:val="en-GB"/>
        </w:rPr>
        <w:t>for correlation between these and the initial conditions not to be a problem in practice. For example, many of the countries giving rise to pre-transition country-specific effects no longer exist. For this reason, we treat initial conditions as an exogenous variable.</w:t>
      </w:r>
    </w:p>
    <w:p w:rsidR="005D2586" w:rsidRPr="0013591A" w:rsidRDefault="005D2586" w:rsidP="00363142">
      <w:pPr>
        <w:spacing w:after="120" w:line="360" w:lineRule="auto"/>
        <w:jc w:val="both"/>
        <w:rPr>
          <w:lang w:val="en-GB"/>
        </w:rPr>
      </w:pPr>
      <w:r w:rsidRPr="0013591A">
        <w:rPr>
          <w:lang w:val="en-GB"/>
        </w:rPr>
        <w:t xml:space="preserve">We follow some authors and include variables commonly used to control for stabilization policies in transition, which may influence economic performance </w:t>
      </w:r>
      <w:r w:rsidRPr="0013591A">
        <w:rPr>
          <w:lang w:val="en-GB"/>
        </w:rPr>
        <w:lastRenderedPageBreak/>
        <w:t>(</w:t>
      </w:r>
      <w:proofErr w:type="spellStart"/>
      <w:r w:rsidRPr="0013591A">
        <w:rPr>
          <w:lang w:val="en-GB"/>
        </w:rPr>
        <w:t>Redek</w:t>
      </w:r>
      <w:proofErr w:type="spellEnd"/>
      <w:r w:rsidRPr="0013591A">
        <w:rPr>
          <w:lang w:val="en-GB"/>
        </w:rPr>
        <w:t xml:space="preserve"> – </w:t>
      </w:r>
      <w:proofErr w:type="spellStart"/>
      <w:r w:rsidRPr="0013591A">
        <w:rPr>
          <w:lang w:val="en-GB"/>
        </w:rPr>
        <w:t>Susjan</w:t>
      </w:r>
      <w:proofErr w:type="spellEnd"/>
      <w:r w:rsidRPr="0013591A">
        <w:rPr>
          <w:lang w:val="en-GB"/>
        </w:rPr>
        <w:t xml:space="preserve"> 2005; </w:t>
      </w:r>
      <w:proofErr w:type="spellStart"/>
      <w:r w:rsidRPr="0013591A">
        <w:rPr>
          <w:lang w:val="en-GB"/>
        </w:rPr>
        <w:t>Falcetti</w:t>
      </w:r>
      <w:proofErr w:type="spellEnd"/>
      <w:r w:rsidRPr="0013591A">
        <w:rPr>
          <w:lang w:val="en-GB"/>
        </w:rPr>
        <w:t xml:space="preserve"> et al. 2006; </w:t>
      </w:r>
      <w:proofErr w:type="spellStart"/>
      <w:r w:rsidRPr="0013591A">
        <w:rPr>
          <w:lang w:val="en-GB"/>
        </w:rPr>
        <w:t>Paakkonen</w:t>
      </w:r>
      <w:proofErr w:type="spellEnd"/>
      <w:r w:rsidRPr="0013591A">
        <w:rPr>
          <w:lang w:val="en-GB"/>
        </w:rPr>
        <w:t xml:space="preserve"> 2009): namely, inflation; the budget deficit; domestic investment; and foreign direct investment. In our specification, we treat these control variables as exogenous.</w:t>
      </w:r>
    </w:p>
    <w:p w:rsidR="005D2586" w:rsidRPr="0013591A" w:rsidRDefault="005D2586" w:rsidP="00363142">
      <w:pPr>
        <w:spacing w:after="120" w:line="360" w:lineRule="auto"/>
        <w:jc w:val="both"/>
        <w:rPr>
          <w:lang w:val="en-GB"/>
        </w:rPr>
      </w:pPr>
      <w:r w:rsidRPr="0013591A">
        <w:rPr>
          <w:lang w:val="en-GB"/>
        </w:rPr>
        <w:t xml:space="preserve">Over the last twenty years TCs have been going through similar reforms, although with different sequences and speeds. Hence, it is possible that those countries suffered some universal time-related shocks. Moreover, some TCs experienced economic, financial, and political integration or disintegration (particularly the </w:t>
      </w:r>
      <w:r w:rsidR="001F4ADE" w:rsidRPr="0013591A">
        <w:rPr>
          <w:lang w:val="en-GB"/>
        </w:rPr>
        <w:t xml:space="preserve">former </w:t>
      </w:r>
      <w:r w:rsidRPr="0013591A">
        <w:rPr>
          <w:lang w:val="en-GB"/>
        </w:rPr>
        <w:t>Yugoslavian transition economies), which implies possible time-related interdependencies between countries. Hence, we include in our specification time-dummy variables in order to control for potential common time-related shocks.</w:t>
      </w:r>
    </w:p>
    <w:p w:rsidR="005D2586" w:rsidRPr="0013591A" w:rsidRDefault="005D2586" w:rsidP="00363142">
      <w:pPr>
        <w:spacing w:after="120" w:line="360" w:lineRule="auto"/>
        <w:jc w:val="both"/>
        <w:rPr>
          <w:lang w:val="en-GB"/>
        </w:rPr>
      </w:pPr>
    </w:p>
    <w:p w:rsidR="005D2586" w:rsidRPr="0013591A" w:rsidRDefault="005D2586" w:rsidP="00363142">
      <w:pPr>
        <w:spacing w:after="120" w:line="360" w:lineRule="auto"/>
        <w:jc w:val="both"/>
        <w:rPr>
          <w:lang w:val="en-GB"/>
        </w:rPr>
      </w:pPr>
      <w:r w:rsidRPr="0013591A">
        <w:rPr>
          <w:lang w:val="en-GB"/>
        </w:rPr>
        <w:t xml:space="preserve">Hence, our model specification has the following form: </w:t>
      </w:r>
    </w:p>
    <w:p w:rsidR="005D2586" w:rsidRPr="0013591A" w:rsidRDefault="005D2586" w:rsidP="00363142">
      <w:pPr>
        <w:spacing w:after="120" w:line="360" w:lineRule="auto"/>
        <w:jc w:val="both"/>
        <w:rPr>
          <w:lang w:val="en-GB"/>
        </w:rPr>
      </w:pPr>
    </w:p>
    <w:p w:rsidR="005D2586" w:rsidRPr="0013591A" w:rsidRDefault="005D2586" w:rsidP="00363142">
      <w:pPr>
        <w:spacing w:after="120" w:line="360" w:lineRule="auto"/>
        <w:jc w:val="both"/>
        <w:rPr>
          <w:lang w:val="en-GB"/>
        </w:rPr>
      </w:pPr>
      <w:r w:rsidRPr="0013591A">
        <w:rPr>
          <w:position w:val="-32"/>
          <w:lang w:val="en-GB"/>
        </w:rPr>
        <w:object w:dxaOrig="5620" w:dyaOrig="760">
          <v:shape id="_x0000_i1028" type="#_x0000_t75" style="width:281.25pt;height:38.25pt" o:ole="">
            <v:imagedata r:id="rId16" o:title=""/>
          </v:shape>
          <o:OLEObject Type="Embed" ProgID="Equation.3" ShapeID="_x0000_i1028" DrawAspect="Content" ObjectID="_1504978236" r:id="rId17"/>
        </w:object>
      </w:r>
      <w:r w:rsidRPr="0013591A">
        <w:rPr>
          <w:lang w:val="en-GB"/>
        </w:rPr>
        <w:tab/>
        <w:t xml:space="preserve">        Specification (1)</w:t>
      </w:r>
    </w:p>
    <w:p w:rsidR="005D2586" w:rsidRPr="0013591A" w:rsidRDefault="005D2586" w:rsidP="00363142">
      <w:pPr>
        <w:spacing w:after="120" w:line="360" w:lineRule="auto"/>
        <w:jc w:val="both"/>
        <w:rPr>
          <w:lang w:val="en-GB"/>
        </w:rPr>
      </w:pPr>
    </w:p>
    <w:p w:rsidR="005D2586" w:rsidRPr="0013591A" w:rsidRDefault="005D2586" w:rsidP="00363142">
      <w:pPr>
        <w:autoSpaceDE w:val="0"/>
        <w:autoSpaceDN w:val="0"/>
        <w:adjustRightInd w:val="0"/>
        <w:spacing w:line="360" w:lineRule="auto"/>
        <w:jc w:val="both"/>
        <w:rPr>
          <w:color w:val="000000"/>
          <w:lang w:val="en-GB" w:eastAsia="en-US"/>
        </w:rPr>
      </w:pPr>
      <w:proofErr w:type="gramStart"/>
      <w:r w:rsidRPr="0013591A">
        <w:rPr>
          <w:lang w:val="en-GB"/>
        </w:rPr>
        <w:t>where</w:t>
      </w:r>
      <w:proofErr w:type="gramEnd"/>
      <w:r w:rsidRPr="0013591A">
        <w:rPr>
          <w:lang w:val="en-GB"/>
        </w:rPr>
        <w:t xml:space="preserve"> </w:t>
      </w:r>
      <w:proofErr w:type="spellStart"/>
      <w:r w:rsidRPr="0013591A">
        <w:rPr>
          <w:i/>
          <w:lang w:val="en-GB"/>
        </w:rPr>
        <w:t>i</w:t>
      </w:r>
      <w:proofErr w:type="spellEnd"/>
      <w:r w:rsidRPr="0013591A">
        <w:rPr>
          <w:lang w:val="en-GB"/>
        </w:rPr>
        <w:t xml:space="preserve">=1, . . . , 29 indexes the TCs and  </w:t>
      </w:r>
      <w:r w:rsidRPr="0013591A">
        <w:rPr>
          <w:i/>
          <w:lang w:val="en-GB"/>
        </w:rPr>
        <w:t>t</w:t>
      </w:r>
      <w:r w:rsidRPr="0013591A">
        <w:rPr>
          <w:lang w:val="en-GB"/>
        </w:rPr>
        <w:t>=1992, . . . , 2007 indexes the 16 years in the sample.</w:t>
      </w:r>
      <w:r w:rsidRPr="0013591A">
        <w:rPr>
          <w:rStyle w:val="FootnoteReference"/>
          <w:lang w:val="en-GB"/>
        </w:rPr>
        <w:footnoteReference w:id="4"/>
      </w:r>
      <w:r w:rsidRPr="0013591A">
        <w:rPr>
          <w:lang w:val="en-GB"/>
        </w:rPr>
        <w:t xml:space="preserve"> The dependent variable in Specification 1 is the natural logarithm of GDP per capita denoted as</w:t>
      </w:r>
      <w:r w:rsidRPr="0013591A">
        <w:rPr>
          <w:position w:val="-12"/>
          <w:lang w:val="en-GB"/>
        </w:rPr>
        <w:object w:dxaOrig="980" w:dyaOrig="360">
          <v:shape id="_x0000_i1029" type="#_x0000_t75" style="width:48.75pt;height:18pt" o:ole="">
            <v:imagedata r:id="rId18" o:title=""/>
          </v:shape>
          <o:OLEObject Type="Embed" ProgID="Equation.3" ShapeID="_x0000_i1029" DrawAspect="Content" ObjectID="_1504978237" r:id="rId19"/>
        </w:object>
      </w:r>
      <w:r w:rsidRPr="0013591A">
        <w:rPr>
          <w:lang w:val="en-GB"/>
        </w:rPr>
        <w:t xml:space="preserve">. </w:t>
      </w:r>
      <w:r w:rsidRPr="0013591A">
        <w:rPr>
          <w:position w:val="-12"/>
          <w:lang w:val="en-GB"/>
        </w:rPr>
        <w:object w:dxaOrig="1120" w:dyaOrig="360">
          <v:shape id="_x0000_i1030" type="#_x0000_t75" style="width:56.25pt;height:18pt" o:ole="">
            <v:imagedata r:id="rId20" o:title=""/>
          </v:shape>
          <o:OLEObject Type="Embed" ProgID="Equation.3" ShapeID="_x0000_i1030" DrawAspect="Content" ObjectID="_1504978238" r:id="rId21"/>
        </w:object>
      </w:r>
      <w:r w:rsidRPr="0013591A">
        <w:rPr>
          <w:lang w:val="en-GB"/>
        </w:rPr>
        <w:t xml:space="preserve"> </w:t>
      </w:r>
      <w:proofErr w:type="gramStart"/>
      <w:r w:rsidRPr="0013591A">
        <w:rPr>
          <w:lang w:val="en-GB"/>
        </w:rPr>
        <w:t>is</w:t>
      </w:r>
      <w:proofErr w:type="gramEnd"/>
      <w:r w:rsidRPr="0013591A">
        <w:rPr>
          <w:lang w:val="en-GB"/>
        </w:rPr>
        <w:t xml:space="preserve"> the dependent variable with a one-year lag while </w:t>
      </w:r>
      <w:r w:rsidRPr="0013591A">
        <w:rPr>
          <w:position w:val="-10"/>
          <w:lang w:val="en-GB"/>
        </w:rPr>
        <w:object w:dxaOrig="240" w:dyaOrig="380">
          <v:shape id="_x0000_i1031" type="#_x0000_t75" style="width:12pt;height:18.75pt" o:ole="">
            <v:imagedata r:id="rId22" o:title=""/>
          </v:shape>
          <o:OLEObject Type="Embed" ProgID="Equation.3" ShapeID="_x0000_i1031" DrawAspect="Content" ObjectID="_1504978239" r:id="rId23"/>
        </w:object>
      </w:r>
      <w:r w:rsidRPr="0013591A">
        <w:rPr>
          <w:lang w:val="en-GB"/>
        </w:rPr>
        <w:t xml:space="preserve"> estimates its effect on the current value of the dependent variable.</w:t>
      </w:r>
      <w:r w:rsidRPr="0013591A">
        <w:rPr>
          <w:position w:val="-6"/>
          <w:lang w:val="en-GB"/>
        </w:rPr>
        <w:object w:dxaOrig="240" w:dyaOrig="300">
          <v:shape id="_x0000_i1032" type="#_x0000_t75" style="width:12pt;height:15pt" o:ole="">
            <v:imagedata r:id="rId24" o:title=""/>
          </v:shape>
          <o:OLEObject Type="Embed" ProgID="Equation.3" ShapeID="_x0000_i1032" DrawAspect="Content" ObjectID="_1504978240" r:id="rId25"/>
        </w:object>
      </w:r>
      <w:proofErr w:type="gramStart"/>
      <w:r w:rsidRPr="0013591A">
        <w:rPr>
          <w:lang w:val="en-GB"/>
        </w:rPr>
        <w:t>is</w:t>
      </w:r>
      <w:proofErr w:type="gramEnd"/>
      <w:r w:rsidRPr="0013591A">
        <w:rPr>
          <w:lang w:val="en-GB"/>
        </w:rPr>
        <w:t xml:space="preserve"> the regression intercept; </w:t>
      </w:r>
      <w:r w:rsidRPr="0013591A">
        <w:rPr>
          <w:position w:val="-12"/>
          <w:lang w:val="en-GB"/>
        </w:rPr>
        <w:object w:dxaOrig="639" w:dyaOrig="360">
          <v:shape id="_x0000_i1033" type="#_x0000_t75" style="width:32.25pt;height:18pt" o:ole="">
            <v:imagedata r:id="rId26" o:title=""/>
          </v:shape>
          <o:OLEObject Type="Embed" ProgID="Equation.3" ShapeID="_x0000_i1033" DrawAspect="Content" ObjectID="_1504978241" r:id="rId27"/>
        </w:object>
      </w:r>
      <w:r w:rsidRPr="0013591A">
        <w:rPr>
          <w:lang w:val="en-GB"/>
        </w:rPr>
        <w:t xml:space="preserve">, the variable of interest is the difference in the institutional index over a five-year period where </w:t>
      </w:r>
      <w:r w:rsidRPr="0013591A">
        <w:rPr>
          <w:position w:val="-6"/>
          <w:lang w:val="en-GB"/>
        </w:rPr>
        <w:object w:dxaOrig="220" w:dyaOrig="340">
          <v:shape id="_x0000_i1034" type="#_x0000_t75" style="width:9.75pt;height:17.25pt" o:ole="">
            <v:imagedata r:id="rId28" o:title=""/>
          </v:shape>
          <o:OLEObject Type="Embed" ProgID="Equation.3" ShapeID="_x0000_i1034" DrawAspect="Content" ObjectID="_1504978242" r:id="rId29"/>
        </w:object>
      </w:r>
      <w:r w:rsidRPr="0013591A">
        <w:rPr>
          <w:lang w:val="en-GB"/>
        </w:rPr>
        <w:t xml:space="preserve"> measures the effect of institutions on the dependent variable.</w:t>
      </w:r>
      <w:r w:rsidRPr="0013591A">
        <w:rPr>
          <w:b/>
          <w:position w:val="-12"/>
          <w:lang w:val="en-GB"/>
        </w:rPr>
        <w:object w:dxaOrig="360" w:dyaOrig="360">
          <v:shape id="_x0000_i1035" type="#_x0000_t75" style="width:18pt;height:18pt" o:ole="">
            <v:imagedata r:id="rId30" o:title=""/>
          </v:shape>
          <o:OLEObject Type="Embed" ProgID="Equation.3" ShapeID="_x0000_i1035" DrawAspect="Content" ObjectID="_1504978243" r:id="rId31"/>
        </w:object>
      </w:r>
      <w:r w:rsidRPr="0013591A">
        <w:rPr>
          <w:lang w:val="en-GB"/>
        </w:rPr>
        <w:t xml:space="preserve"> is a 1</w:t>
      </w:r>
      <w:r w:rsidRPr="0013591A">
        <w:rPr>
          <w:lang w:val="en-GB"/>
        </w:rPr>
        <w:sym w:font="Symbol" w:char="F0B4"/>
      </w:r>
      <w:r w:rsidRPr="0013591A">
        <w:rPr>
          <w:i/>
          <w:lang w:val="en-GB"/>
        </w:rPr>
        <w:t>k</w:t>
      </w:r>
      <w:r w:rsidRPr="0013591A">
        <w:rPr>
          <w:lang w:val="en-GB"/>
        </w:rPr>
        <w:t xml:space="preserve"> vector of </w:t>
      </w:r>
      <w:r w:rsidRPr="0013591A">
        <w:rPr>
          <w:i/>
          <w:lang w:val="en-GB"/>
        </w:rPr>
        <w:t>k</w:t>
      </w:r>
      <w:r w:rsidRPr="0013591A">
        <w:rPr>
          <w:lang w:val="en-GB"/>
        </w:rPr>
        <w:t xml:space="preserve"> control </w:t>
      </w:r>
      <w:r w:rsidRPr="0013591A">
        <w:rPr>
          <w:lang w:val="en-GB"/>
        </w:rPr>
        <w:lastRenderedPageBreak/>
        <w:t xml:space="preserve">variables identified as important co-determinants of economic performance in transition, which includes: domestic investment </w:t>
      </w:r>
      <w:proofErr w:type="spellStart"/>
      <w:r w:rsidRPr="0013591A">
        <w:rPr>
          <w:lang w:val="en-GB"/>
        </w:rPr>
        <w:t>proxied</w:t>
      </w:r>
      <w:proofErr w:type="spellEnd"/>
      <w:r w:rsidRPr="0013591A">
        <w:rPr>
          <w:lang w:val="en-GB"/>
        </w:rPr>
        <w:t xml:space="preserve"> by the gross capital formation as a percentage of GDP (</w:t>
      </w:r>
      <w:r w:rsidRPr="0013591A">
        <w:rPr>
          <w:position w:val="-12"/>
          <w:lang w:val="en-GB"/>
        </w:rPr>
        <w:object w:dxaOrig="720" w:dyaOrig="360">
          <v:shape id="_x0000_i1036" type="#_x0000_t75" style="width:36pt;height:18pt" o:ole="">
            <v:imagedata r:id="rId32" o:title=""/>
          </v:shape>
          <o:OLEObject Type="Embed" ProgID="Equation.3" ShapeID="_x0000_i1036" DrawAspect="Content" ObjectID="_1504978244" r:id="rId33"/>
        </w:object>
      </w:r>
      <w:r w:rsidRPr="0013591A">
        <w:rPr>
          <w:lang w:val="en-GB"/>
        </w:rPr>
        <w:t>); foreign direct investment (FDI) inflow measured as a percentage of GDP (</w:t>
      </w:r>
      <w:r w:rsidRPr="0013591A">
        <w:rPr>
          <w:position w:val="-12"/>
          <w:lang w:val="en-GB"/>
        </w:rPr>
        <w:object w:dxaOrig="760" w:dyaOrig="360">
          <v:shape id="_x0000_i1037" type="#_x0000_t75" style="width:38.25pt;height:18pt" o:ole="">
            <v:imagedata r:id="rId34" o:title=""/>
          </v:shape>
          <o:OLEObject Type="Embed" ProgID="Equation.3" ShapeID="_x0000_i1037" DrawAspect="Content" ObjectID="_1504978245" r:id="rId35"/>
        </w:object>
      </w:r>
      <w:r w:rsidRPr="0013591A">
        <w:rPr>
          <w:lang w:val="en-GB"/>
        </w:rPr>
        <w:t>); budget balance measured as a percentage of GDP (</w:t>
      </w:r>
      <w:r w:rsidRPr="0013591A">
        <w:rPr>
          <w:position w:val="-12"/>
          <w:lang w:val="en-GB"/>
        </w:rPr>
        <w:object w:dxaOrig="820" w:dyaOrig="360">
          <v:shape id="_x0000_i1038" type="#_x0000_t75" style="width:41.25pt;height:18pt" o:ole="">
            <v:imagedata r:id="rId36" o:title=""/>
          </v:shape>
          <o:OLEObject Type="Embed" ProgID="Equation.3" ShapeID="_x0000_i1038" DrawAspect="Content" ObjectID="_1504978246" r:id="rId37"/>
        </w:object>
      </w:r>
      <w:r w:rsidRPr="0013591A">
        <w:rPr>
          <w:lang w:val="en-GB"/>
        </w:rPr>
        <w:t xml:space="preserve">); the inflation rate </w:t>
      </w:r>
      <w:proofErr w:type="spellStart"/>
      <w:r w:rsidRPr="0013591A">
        <w:rPr>
          <w:lang w:val="en-GB"/>
        </w:rPr>
        <w:t>proxied</w:t>
      </w:r>
      <w:proofErr w:type="spellEnd"/>
      <w:r w:rsidRPr="0013591A">
        <w:rPr>
          <w:lang w:val="en-GB"/>
        </w:rPr>
        <w:t xml:space="preserve"> by the annual rate of change of the consumer price index (</w:t>
      </w:r>
      <w:r w:rsidRPr="0013591A">
        <w:rPr>
          <w:position w:val="-12"/>
          <w:lang w:val="en-GB"/>
        </w:rPr>
        <w:object w:dxaOrig="460" w:dyaOrig="360">
          <v:shape id="_x0000_i1039" type="#_x0000_t75" style="width:23.25pt;height:18pt" o:ole="">
            <v:imagedata r:id="rId38" o:title=""/>
          </v:shape>
          <o:OLEObject Type="Embed" ProgID="Equation.3" ShapeID="_x0000_i1039" DrawAspect="Content" ObjectID="_1504978247" r:id="rId39"/>
        </w:object>
      </w:r>
      <w:r w:rsidRPr="0013591A">
        <w:rPr>
          <w:lang w:val="en-GB"/>
        </w:rPr>
        <w:t xml:space="preserve">); and, finally, initial conditions </w:t>
      </w:r>
      <w:proofErr w:type="spellStart"/>
      <w:r w:rsidRPr="0013591A">
        <w:rPr>
          <w:lang w:val="en-GB"/>
        </w:rPr>
        <w:t>proxied</w:t>
      </w:r>
      <w:proofErr w:type="spellEnd"/>
      <w:r w:rsidRPr="0013591A">
        <w:rPr>
          <w:lang w:val="en-GB"/>
        </w:rPr>
        <w:t xml:space="preserve"> by GDP per capita</w:t>
      </w:r>
      <w:r w:rsidRPr="0013591A">
        <w:rPr>
          <w:i/>
          <w:lang w:val="en-GB"/>
        </w:rPr>
        <w:t xml:space="preserve"> </w:t>
      </w:r>
      <w:r w:rsidRPr="0013591A">
        <w:rPr>
          <w:lang w:val="en-GB"/>
        </w:rPr>
        <w:t xml:space="preserve">(Purchasing Power Parity, income per capita in 1989 US dollars in logarithmic form: </w:t>
      </w:r>
      <w:r w:rsidRPr="0013591A">
        <w:rPr>
          <w:position w:val="-12"/>
          <w:lang w:val="en-GB"/>
        </w:rPr>
        <w:object w:dxaOrig="920" w:dyaOrig="360">
          <v:shape id="_x0000_i1040" type="#_x0000_t75" style="width:44.25pt;height:18pt" o:ole="">
            <v:imagedata r:id="rId40" o:title=""/>
          </v:shape>
          <o:OLEObject Type="Embed" ProgID="Equation.3" ShapeID="_x0000_i1040" DrawAspect="Content" ObjectID="_1504978248" r:id="rId41"/>
        </w:object>
      </w:r>
      <w:r w:rsidRPr="0013591A">
        <w:rPr>
          <w:lang w:val="en-GB"/>
        </w:rPr>
        <w:t>).</w:t>
      </w:r>
      <w:r w:rsidRPr="0013591A">
        <w:rPr>
          <w:position w:val="-6"/>
          <w:lang w:val="en-GB"/>
        </w:rPr>
        <w:object w:dxaOrig="220" w:dyaOrig="340">
          <v:shape id="_x0000_i1041" type="#_x0000_t75" style="width:11.25pt;height:17.25pt" o:ole="">
            <v:imagedata r:id="rId42" o:title=""/>
          </v:shape>
          <o:OLEObject Type="Embed" ProgID="Equation.3" ShapeID="_x0000_i1041" DrawAspect="Content" ObjectID="_1504978249" r:id="rId43"/>
        </w:object>
      </w:r>
      <w:proofErr w:type="gramStart"/>
      <w:r w:rsidRPr="0013591A">
        <w:rPr>
          <w:lang w:val="en-GB"/>
        </w:rPr>
        <w:t>is</w:t>
      </w:r>
      <w:proofErr w:type="gramEnd"/>
      <w:r w:rsidRPr="0013591A">
        <w:rPr>
          <w:lang w:val="en-GB"/>
        </w:rPr>
        <w:t xml:space="preserve"> a </w:t>
      </w:r>
      <w:r w:rsidRPr="0013591A">
        <w:rPr>
          <w:i/>
          <w:lang w:val="en-GB"/>
        </w:rPr>
        <w:t>k</w:t>
      </w:r>
      <w:r w:rsidRPr="0013591A">
        <w:rPr>
          <w:lang w:val="en-GB"/>
        </w:rPr>
        <w:sym w:font="Symbol" w:char="F0B4"/>
      </w:r>
      <w:r w:rsidRPr="0013591A">
        <w:rPr>
          <w:lang w:val="en-GB"/>
        </w:rPr>
        <w:t>1 vector of parameters to be estimated.</w:t>
      </w:r>
      <w:r w:rsidRPr="0013591A">
        <w:rPr>
          <w:position w:val="-12"/>
          <w:lang w:val="en-GB"/>
        </w:rPr>
        <w:object w:dxaOrig="240" w:dyaOrig="360">
          <v:shape id="_x0000_i1042" type="#_x0000_t75" style="width:12pt;height:18pt" o:ole="">
            <v:imagedata r:id="rId44" o:title=""/>
          </v:shape>
          <o:OLEObject Type="Embed" ProgID="Equation.3" ShapeID="_x0000_i1042" DrawAspect="Content" ObjectID="_1504978250" r:id="rId45"/>
        </w:object>
      </w:r>
      <w:proofErr w:type="gramStart"/>
      <w:r w:rsidRPr="0013591A">
        <w:rPr>
          <w:lang w:val="en-GB"/>
        </w:rPr>
        <w:t>is</w:t>
      </w:r>
      <w:proofErr w:type="gramEnd"/>
      <w:r w:rsidRPr="0013591A">
        <w:rPr>
          <w:lang w:val="en-GB"/>
        </w:rPr>
        <w:t xml:space="preserve"> a vector of time dummies to be estimated (</w:t>
      </w:r>
      <w:r w:rsidRPr="0013591A">
        <w:rPr>
          <w:i/>
          <w:lang w:val="en-GB"/>
        </w:rPr>
        <w:t>t</w:t>
      </w:r>
      <w:r w:rsidRPr="0013591A">
        <w:rPr>
          <w:lang w:val="en-GB"/>
        </w:rPr>
        <w:t xml:space="preserve">= 1993 . . . 2007). Finally, </w:t>
      </w:r>
      <w:proofErr w:type="spellStart"/>
      <w:r w:rsidRPr="0013591A">
        <w:rPr>
          <w:i/>
          <w:iCs/>
          <w:lang w:val="en-GB" w:eastAsia="en-US"/>
        </w:rPr>
        <w:t>u</w:t>
      </w:r>
      <w:r w:rsidRPr="0013591A">
        <w:rPr>
          <w:i/>
          <w:iCs/>
          <w:vertAlign w:val="subscript"/>
          <w:lang w:val="en-GB" w:eastAsia="en-US"/>
        </w:rPr>
        <w:t>it</w:t>
      </w:r>
      <w:proofErr w:type="spellEnd"/>
      <w:r w:rsidRPr="0013591A">
        <w:rPr>
          <w:i/>
          <w:iCs/>
          <w:vertAlign w:val="subscript"/>
          <w:lang w:val="en-GB" w:eastAsia="en-US"/>
        </w:rPr>
        <w:t xml:space="preserve">  </w:t>
      </w:r>
      <w:r w:rsidRPr="0013591A">
        <w:rPr>
          <w:lang w:val="en-GB" w:eastAsia="en-US"/>
        </w:rPr>
        <w:t xml:space="preserve">is a composed error term, made up of two components: </w:t>
      </w:r>
      <w:r w:rsidRPr="0013591A">
        <w:rPr>
          <w:i/>
          <w:iCs/>
          <w:lang w:val="en-GB" w:eastAsia="en-US"/>
        </w:rPr>
        <w:t>v</w:t>
      </w:r>
      <w:r w:rsidRPr="0013591A">
        <w:rPr>
          <w:i/>
          <w:iCs/>
          <w:vertAlign w:val="subscript"/>
          <w:lang w:val="en-GB" w:eastAsia="en-US"/>
        </w:rPr>
        <w:t xml:space="preserve">i  </w:t>
      </w:r>
      <w:r w:rsidRPr="0013591A">
        <w:rPr>
          <w:lang w:val="en-GB" w:eastAsia="en-US"/>
        </w:rPr>
        <w:t xml:space="preserve">the group-level effects, which control for all unobserved influences on countries’ economic performance that can be assumed constant (or, at least, slowly moving) over the sample period; and </w:t>
      </w:r>
      <w:r w:rsidRPr="0013591A">
        <w:rPr>
          <w:position w:val="-12"/>
          <w:lang w:val="en-GB"/>
        </w:rPr>
        <w:object w:dxaOrig="279" w:dyaOrig="360">
          <v:shape id="_x0000_i1043" type="#_x0000_t75" style="width:14.25pt;height:18pt" o:ole="">
            <v:imagedata r:id="rId46" o:title=""/>
          </v:shape>
          <o:OLEObject Type="Embed" ProgID="Equation.3" ShapeID="_x0000_i1043" DrawAspect="Content" ObjectID="_1504978251" r:id="rId47"/>
        </w:object>
      </w:r>
      <w:r w:rsidRPr="0013591A">
        <w:rPr>
          <w:lang w:val="en-GB" w:eastAsia="en-US"/>
        </w:rPr>
        <w:t xml:space="preserve">the observation-specific error term. The strategy of specifying independent variables as percentage changes or as ratios to GDP ensures their </w:t>
      </w:r>
      <w:proofErr w:type="spellStart"/>
      <w:r w:rsidRPr="0013591A">
        <w:rPr>
          <w:lang w:val="en-GB" w:eastAsia="en-US"/>
        </w:rPr>
        <w:t>stationarity</w:t>
      </w:r>
      <w:proofErr w:type="spellEnd"/>
      <w:r w:rsidRPr="0013591A">
        <w:rPr>
          <w:lang w:val="en-GB" w:eastAsia="en-US"/>
        </w:rPr>
        <w:t xml:space="preserve"> and thus precludes spurious regression (</w:t>
      </w:r>
      <w:proofErr w:type="spellStart"/>
      <w:r w:rsidRPr="0013591A">
        <w:rPr>
          <w:lang w:val="en-GB" w:eastAsia="en-US"/>
        </w:rPr>
        <w:t>Redek</w:t>
      </w:r>
      <w:proofErr w:type="spellEnd"/>
      <w:r w:rsidRPr="0013591A">
        <w:rPr>
          <w:lang w:val="en-GB" w:eastAsia="en-US"/>
        </w:rPr>
        <w:t xml:space="preserve"> and </w:t>
      </w:r>
      <w:proofErr w:type="spellStart"/>
      <w:r w:rsidRPr="0013591A">
        <w:rPr>
          <w:lang w:val="en-GB" w:eastAsia="en-US"/>
        </w:rPr>
        <w:t>Susjan</w:t>
      </w:r>
      <w:proofErr w:type="spellEnd"/>
      <w:r w:rsidRPr="0013591A">
        <w:rPr>
          <w:lang w:val="en-GB" w:eastAsia="en-US"/>
        </w:rPr>
        <w:t xml:space="preserve"> 2005). </w:t>
      </w:r>
      <w:r w:rsidRPr="0013591A">
        <w:rPr>
          <w:lang w:val="en-GB"/>
        </w:rPr>
        <w:t>Further explanation of the variables, including data sources, is available in</w:t>
      </w:r>
      <w:r w:rsidR="00666299" w:rsidRPr="0013591A">
        <w:rPr>
          <w:lang w:val="en-GB"/>
        </w:rPr>
        <w:t xml:space="preserve"> </w:t>
      </w:r>
      <w:r w:rsidR="00675C48" w:rsidRPr="0013591A">
        <w:rPr>
          <w:lang w:val="en-GB"/>
        </w:rPr>
        <w:t xml:space="preserve">an </w:t>
      </w:r>
      <w:r w:rsidR="00666299" w:rsidRPr="0013591A">
        <w:rPr>
          <w:lang w:val="en-GB"/>
        </w:rPr>
        <w:t>on-line appendix (</w:t>
      </w:r>
      <w:r w:rsidRPr="0013591A">
        <w:rPr>
          <w:lang w:val="en-GB"/>
        </w:rPr>
        <w:t xml:space="preserve">Appendix </w:t>
      </w:r>
      <w:r w:rsidR="00666299" w:rsidRPr="0013591A">
        <w:rPr>
          <w:lang w:val="en-GB"/>
        </w:rPr>
        <w:t>2)</w:t>
      </w:r>
      <w:r w:rsidR="00675C48" w:rsidRPr="0013591A">
        <w:rPr>
          <w:lang w:val="en-GB"/>
        </w:rPr>
        <w:t>.</w:t>
      </w:r>
      <w:r w:rsidR="00666299" w:rsidRPr="0013591A">
        <w:rPr>
          <w:rStyle w:val="FootnoteReference"/>
          <w:lang w:val="en-GB"/>
        </w:rPr>
        <w:footnoteReference w:id="5"/>
      </w:r>
      <w:r w:rsidRPr="0013591A">
        <w:rPr>
          <w:lang w:val="en-GB"/>
        </w:rPr>
        <w:t xml:space="preserve"> </w:t>
      </w:r>
    </w:p>
    <w:p w:rsidR="005D2586" w:rsidRPr="0013591A" w:rsidRDefault="005D2586" w:rsidP="00363142">
      <w:pPr>
        <w:autoSpaceDE w:val="0"/>
        <w:autoSpaceDN w:val="0"/>
        <w:adjustRightInd w:val="0"/>
        <w:spacing w:line="360" w:lineRule="auto"/>
        <w:jc w:val="both"/>
        <w:rPr>
          <w:color w:val="000000"/>
          <w:lang w:val="en-GB" w:eastAsia="en-US"/>
        </w:rPr>
      </w:pPr>
    </w:p>
    <w:p w:rsidR="005D2586" w:rsidRPr="0013591A" w:rsidRDefault="005D2586" w:rsidP="00363142">
      <w:pPr>
        <w:spacing w:line="360" w:lineRule="auto"/>
        <w:jc w:val="both"/>
        <w:rPr>
          <w:lang w:val="en-GB"/>
        </w:rPr>
      </w:pPr>
      <w:r w:rsidRPr="0013591A">
        <w:rPr>
          <w:lang w:val="en-GB"/>
        </w:rPr>
        <w:t xml:space="preserve">In addition to the econometric advantages discussed below, we argue that a dynamic specification is particularly well suited to analyse the impact on per capita GDP of institutional reform under transition. Our dynamic model estimates the short-run effect on economic performance of the most recent medium-term changes in institutional quality </w:t>
      </w:r>
      <w:r w:rsidRPr="0013591A">
        <w:rPr>
          <w:i/>
          <w:lang w:val="en-GB"/>
        </w:rPr>
        <w:t>conditional on the effects of the entire history of institutional reform under transition</w:t>
      </w:r>
      <w:r w:rsidRPr="0013591A">
        <w:rPr>
          <w:lang w:val="en-GB"/>
        </w:rPr>
        <w:t xml:space="preserve">. We demonstrate this feature by simplifying our specification, while preserving essentials: in equation 2, </w:t>
      </w:r>
      <m:oMath>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m:t>
            </m:r>
          </m:sub>
        </m:sSub>
      </m:oMath>
      <w:r w:rsidRPr="0013591A">
        <w:rPr>
          <w:lang w:val="en-GB"/>
        </w:rPr>
        <w:t xml:space="preserve"> is the level of per capita GDP of country </w:t>
      </w:r>
      <w:proofErr w:type="spellStart"/>
      <w:r w:rsidRPr="0013591A">
        <w:rPr>
          <w:i/>
          <w:lang w:val="en-GB"/>
        </w:rPr>
        <w:t>i</w:t>
      </w:r>
      <w:proofErr w:type="spellEnd"/>
      <w:r w:rsidRPr="0013591A">
        <w:rPr>
          <w:lang w:val="en-GB"/>
        </w:rPr>
        <w:t xml:space="preserve"> in year </w:t>
      </w:r>
      <w:r w:rsidRPr="0013591A">
        <w:rPr>
          <w:i/>
          <w:lang w:val="en-GB"/>
        </w:rPr>
        <w:t>t</w:t>
      </w:r>
      <w:r w:rsidRPr="0013591A">
        <w:rPr>
          <w:lang w:val="en-GB"/>
        </w:rPr>
        <w:t xml:space="preserve">, </w:t>
      </w:r>
      <m:oMath>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m:t>
            </m:r>
          </m:sub>
        </m:sSub>
      </m:oMath>
      <w:r w:rsidRPr="0013591A">
        <w:rPr>
          <w:lang w:val="en-GB"/>
        </w:rPr>
        <w:t xml:space="preserve"> </w:t>
      </w:r>
      <w:proofErr w:type="gramStart"/>
      <w:r w:rsidRPr="0013591A">
        <w:rPr>
          <w:lang w:val="en-GB"/>
        </w:rPr>
        <w:t>is</w:t>
      </w:r>
      <w:proofErr w:type="gramEnd"/>
      <w:r w:rsidRPr="0013591A">
        <w:rPr>
          <w:lang w:val="en-GB"/>
        </w:rPr>
        <w:t xml:space="preserve"> the change in institutional quality in the previous five years, and </w:t>
      </w:r>
      <m:oMath>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m:t>
            </m:r>
          </m:sub>
        </m:sSub>
      </m:oMath>
      <w:r w:rsidRPr="0013591A">
        <w:rPr>
          <w:lang w:val="en-GB"/>
        </w:rPr>
        <w:t xml:space="preserve"> is the usual error term. Starting with our simplified specification in equation 2, we repeatedly substitute for the lagged dependent variable.</w:t>
      </w:r>
    </w:p>
    <w:p w:rsidR="005D2586" w:rsidRPr="0013591A" w:rsidRDefault="005D2586" w:rsidP="0025068A">
      <w:pPr>
        <w:jc w:val="both"/>
        <w:rPr>
          <w:lang w:val="en-GB"/>
        </w:rPr>
      </w:pPr>
    </w:p>
    <w:p w:rsidR="005D2586" w:rsidRPr="0013591A" w:rsidRDefault="005D2586" w:rsidP="0025068A">
      <w:pPr>
        <w:jc w:val="both"/>
        <w:rPr>
          <w:lang w:val="en-GB"/>
        </w:rPr>
      </w:pPr>
      <w:r w:rsidRPr="0013591A">
        <w:rPr>
          <w:lang w:val="en-GB"/>
        </w:rPr>
        <w:t xml:space="preserve">Substitute for </w:t>
      </w:r>
      <m:oMath>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it-1</m:t>
            </m:r>
          </m:sub>
        </m:sSub>
      </m:oMath>
      <w:r w:rsidRPr="0013591A">
        <w:rPr>
          <w:lang w:val="en-GB"/>
        </w:rPr>
        <w:t>in (2):</w:t>
      </w:r>
    </w:p>
    <w:p w:rsidR="005D2586" w:rsidRPr="0013591A" w:rsidRDefault="005D2586" w:rsidP="0025068A">
      <w:pPr>
        <w:jc w:val="both"/>
        <w:rPr>
          <w:lang w:val="en-GB"/>
        </w:rPr>
      </w:pPr>
    </w:p>
    <w:p w:rsidR="005D2586" w:rsidRPr="0013591A" w:rsidRDefault="005019F2" w:rsidP="0025068A">
      <w:pPr>
        <w:jc w:val="both"/>
        <w:rPr>
          <w:rFonts w:ascii="Calibri" w:hAnsi="Calibri"/>
          <w:lang w:val="en-GB"/>
        </w:rPr>
      </w:pPr>
      <m:oMathPara>
        <m:oMath>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λ</m:t>
              </m:r>
            </m:e>
          </m:acc>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it-1</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m:t>
              </m:r>
            </m:sub>
          </m:sSub>
          <m:r>
            <w:rPr>
              <w:rFonts w:ascii="Cambria Math" w:hAnsi="Cambria Math"/>
              <w:lang w:val="en-GB"/>
            </w:rPr>
            <m:t>+</m:t>
          </m:r>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m:t>
              </m:r>
            </m:sub>
          </m:sSub>
          <m:r>
            <w:rPr>
              <w:rFonts w:ascii="Cambria Math" w:hAnsi="Cambria Math"/>
              <w:lang w:val="en-GB"/>
            </w:rPr>
            <m:t xml:space="preserve">                                                                                (2)</m:t>
          </m:r>
        </m:oMath>
      </m:oMathPara>
    </w:p>
    <w:p w:rsidR="005D2586" w:rsidRPr="0013591A" w:rsidRDefault="005019F2" w:rsidP="0025068A">
      <w:pPr>
        <w:jc w:val="both"/>
        <w:rPr>
          <w:lang w:val="en-GB"/>
        </w:rPr>
      </w:pPr>
      <m:oMathPara>
        <m:oMath>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it-1</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λ</m:t>
              </m:r>
            </m:e>
          </m:acc>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it-2</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it-1</m:t>
              </m:r>
            </m:sub>
          </m:sSub>
          <m:r>
            <w:rPr>
              <w:rFonts w:ascii="Cambria Math" w:hAnsi="Cambria Math"/>
              <w:lang w:val="en-GB"/>
            </w:rPr>
            <m:t>+</m:t>
          </m:r>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it-1</m:t>
              </m:r>
            </m:sub>
          </m:sSub>
          <m:r>
            <w:rPr>
              <w:rFonts w:ascii="Cambria Math" w:hAnsi="Cambria Math"/>
              <w:lang w:val="en-GB"/>
            </w:rPr>
            <m:t xml:space="preserve">                                                                     (3)</m:t>
          </m:r>
        </m:oMath>
      </m:oMathPara>
    </w:p>
    <w:p w:rsidR="005D2586" w:rsidRPr="0013591A" w:rsidRDefault="005D2586" w:rsidP="0025068A">
      <w:pPr>
        <w:jc w:val="both"/>
        <w:rPr>
          <w:lang w:val="en-GB"/>
        </w:rPr>
      </w:pPr>
    </w:p>
    <w:p w:rsidR="005D2586" w:rsidRPr="0013591A" w:rsidRDefault="005D2586" w:rsidP="0025068A">
      <w:pPr>
        <w:jc w:val="both"/>
        <w:rPr>
          <w:lang w:val="en-GB"/>
        </w:rPr>
      </w:pPr>
      <w:r w:rsidRPr="0013591A">
        <w:rPr>
          <w:lang w:val="en-GB"/>
        </w:rPr>
        <w:t>Substitute (3) into (2)</w:t>
      </w:r>
    </w:p>
    <w:p w:rsidR="005D2586" w:rsidRPr="0013591A" w:rsidRDefault="005D2586" w:rsidP="0025068A">
      <w:pPr>
        <w:jc w:val="both"/>
        <w:rPr>
          <w:lang w:val="en-GB"/>
        </w:rPr>
      </w:pPr>
    </w:p>
    <w:p w:rsidR="005D2586" w:rsidRPr="0013591A" w:rsidRDefault="005019F2" w:rsidP="0025068A">
      <w:pPr>
        <w:jc w:val="both"/>
        <w:rPr>
          <w:lang w:val="en-GB"/>
        </w:rPr>
      </w:pPr>
      <m:oMathPara>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it</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λ</m:t>
              </m:r>
            </m:e>
          </m:acc>
          <m:d>
            <m:dPr>
              <m:ctrlPr>
                <w:rPr>
                  <w:rFonts w:ascii="Cambria Math" w:hAnsi="Cambria Math"/>
                  <w:i/>
                  <w:lang w:val="en-GB"/>
                </w:rPr>
              </m:ctrlPr>
            </m:dPr>
            <m:e>
              <m:acc>
                <m:accPr>
                  <m:ctrlPr>
                    <w:rPr>
                      <w:rFonts w:ascii="Cambria Math" w:eastAsia="Calibri" w:hAnsi="Cambria Math"/>
                      <w:i/>
                      <w:lang w:val="en-GB" w:eastAsia="en-US"/>
                    </w:rPr>
                  </m:ctrlPr>
                </m:accPr>
                <m:e>
                  <m:r>
                    <w:rPr>
                      <w:rFonts w:ascii="Cambria Math" w:hAnsi="Cambria Math"/>
                      <w:lang w:val="en-GB"/>
                    </w:rPr>
                    <m:t>λ</m:t>
                  </m:r>
                </m:e>
              </m:acc>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it-2</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β</m:t>
                  </m:r>
                </m:e>
              </m:acc>
              <m:r>
                <w:rPr>
                  <w:rFonts w:ascii="Cambria Math" w:hAnsi="Cambria Math"/>
                  <w:lang w:val="en-GB"/>
                </w:rPr>
                <m:t>Δ</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it-1</m:t>
                  </m:r>
                </m:sub>
              </m:sSub>
            </m:e>
          </m:d>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β</m:t>
              </m:r>
            </m:e>
          </m:acc>
          <m:r>
            <w:rPr>
              <w:rFonts w:ascii="Cambria Math" w:hAnsi="Cambria Math"/>
              <w:lang w:val="en-GB"/>
            </w:rPr>
            <m:t>Δ</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u</m:t>
              </m:r>
            </m:e>
            <m:sub>
              <m:r>
                <w:rPr>
                  <w:rFonts w:ascii="Cambria Math" w:hAnsi="Cambria Math"/>
                  <w:lang w:val="en-GB"/>
                </w:rPr>
                <m:t>it</m:t>
              </m:r>
            </m:sub>
          </m:sSub>
          <m:r>
            <w:rPr>
              <w:rFonts w:ascii="Cambria Math" w:hAnsi="Cambria Math"/>
              <w:lang w:val="en-GB"/>
            </w:rPr>
            <m:t xml:space="preserve">                                       (4</m:t>
          </m:r>
          <m:r>
            <m:rPr>
              <m:sty m:val="p"/>
            </m:rPr>
            <w:rPr>
              <w:rFonts w:ascii="Cambria Math" w:hAnsi="Cambria Math"/>
              <w:lang w:val="en-GB"/>
            </w:rPr>
            <m:t>)</m:t>
          </m:r>
        </m:oMath>
      </m:oMathPara>
    </w:p>
    <w:p w:rsidR="005D2586" w:rsidRPr="0013591A" w:rsidRDefault="005D2586" w:rsidP="0025068A">
      <w:pPr>
        <w:jc w:val="both"/>
        <w:rPr>
          <w:lang w:val="en-GB"/>
        </w:rPr>
      </w:pPr>
    </w:p>
    <w:p w:rsidR="005D2586" w:rsidRPr="0013591A" w:rsidRDefault="005D2586" w:rsidP="0025068A">
      <w:pPr>
        <w:jc w:val="both"/>
        <w:rPr>
          <w:lang w:val="en-GB"/>
        </w:rPr>
      </w:pPr>
      <w:r w:rsidRPr="0013591A">
        <w:rPr>
          <w:lang w:val="en-GB"/>
        </w:rPr>
        <w:t xml:space="preserve">Substitute for </w:t>
      </w:r>
      <m:oMath>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it-2</m:t>
            </m:r>
          </m:sub>
        </m:sSub>
      </m:oMath>
      <w:r w:rsidRPr="0013591A">
        <w:rPr>
          <w:lang w:val="en-GB"/>
        </w:rPr>
        <w:t xml:space="preserve"> in (4):</w:t>
      </w:r>
    </w:p>
    <w:p w:rsidR="005D2586" w:rsidRPr="0013591A" w:rsidRDefault="005D2586" w:rsidP="0025068A">
      <w:pPr>
        <w:jc w:val="both"/>
        <w:rPr>
          <w:lang w:val="en-GB"/>
        </w:rPr>
      </w:pPr>
    </w:p>
    <w:p w:rsidR="005D2586" w:rsidRPr="0013591A" w:rsidRDefault="005019F2" w:rsidP="0025068A">
      <w:pPr>
        <w:jc w:val="both"/>
        <w:rPr>
          <w:lang w:val="en-GB"/>
        </w:rPr>
      </w:pPr>
      <m:oMathPara>
        <m:oMath>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it-2</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λ</m:t>
              </m:r>
            </m:e>
          </m:acc>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it-3</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it-2</m:t>
              </m:r>
            </m:sub>
          </m:sSub>
          <m:r>
            <w:rPr>
              <w:rFonts w:ascii="Cambria Math" w:hAnsi="Cambria Math"/>
              <w:lang w:val="en-GB"/>
            </w:rPr>
            <m:t>+</m:t>
          </m:r>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it-2</m:t>
              </m:r>
            </m:sub>
          </m:sSub>
          <m:r>
            <w:rPr>
              <w:rFonts w:ascii="Cambria Math" w:hAnsi="Cambria Math"/>
              <w:lang w:val="en-GB"/>
            </w:rPr>
            <m:t xml:space="preserve">                                                                     (5)</m:t>
          </m:r>
        </m:oMath>
      </m:oMathPara>
    </w:p>
    <w:p w:rsidR="005D2586" w:rsidRPr="0013591A" w:rsidRDefault="005D2586" w:rsidP="0025068A">
      <w:pPr>
        <w:jc w:val="both"/>
        <w:rPr>
          <w:lang w:val="en-GB"/>
        </w:rPr>
      </w:pPr>
    </w:p>
    <w:p w:rsidR="005D2586" w:rsidRPr="0013591A" w:rsidRDefault="005D2586" w:rsidP="0025068A">
      <w:pPr>
        <w:jc w:val="both"/>
        <w:rPr>
          <w:lang w:val="en-GB"/>
        </w:rPr>
      </w:pPr>
      <w:r w:rsidRPr="0013591A">
        <w:rPr>
          <w:lang w:val="en-GB"/>
        </w:rPr>
        <w:t>Substitute (5) into (4)</w:t>
      </w:r>
    </w:p>
    <w:p w:rsidR="005D2586" w:rsidRPr="0013591A" w:rsidRDefault="005D2586" w:rsidP="0025068A">
      <w:pPr>
        <w:jc w:val="both"/>
        <w:rPr>
          <w:lang w:val="en-GB"/>
        </w:rPr>
      </w:pPr>
    </w:p>
    <w:p w:rsidR="005D2586" w:rsidRPr="0013591A" w:rsidRDefault="005019F2" w:rsidP="0025068A">
      <w:pPr>
        <w:jc w:val="both"/>
        <w:rPr>
          <w:rFonts w:ascii="Calibri" w:hAnsi="Calibri"/>
          <w:lang w:val="en-GB"/>
        </w:rPr>
      </w:pPr>
      <m:oMathPara>
        <m:oMath>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λ</m:t>
              </m:r>
            </m:e>
          </m:acc>
          <m:d>
            <m:dPr>
              <m:ctrlPr>
                <w:rPr>
                  <w:rFonts w:ascii="Cambria Math" w:eastAsia="Calibri" w:hAnsi="Cambria Math"/>
                  <w:i/>
                  <w:lang w:val="en-GB" w:eastAsia="en-US"/>
                </w:rPr>
              </m:ctrlPr>
            </m:dPr>
            <m:e>
              <m:acc>
                <m:accPr>
                  <m:ctrlPr>
                    <w:rPr>
                      <w:rFonts w:ascii="Cambria Math" w:eastAsia="Calibri" w:hAnsi="Cambria Math"/>
                      <w:i/>
                      <w:lang w:val="en-GB" w:eastAsia="en-US"/>
                    </w:rPr>
                  </m:ctrlPr>
                </m:accPr>
                <m:e>
                  <m:r>
                    <w:rPr>
                      <w:rFonts w:ascii="Cambria Math" w:hAnsi="Cambria Math"/>
                      <w:lang w:val="en-GB"/>
                    </w:rPr>
                    <m:t>λ</m:t>
                  </m:r>
                </m:e>
              </m:acc>
              <m:d>
                <m:dPr>
                  <m:begChr m:val="["/>
                  <m:endChr m:val="]"/>
                  <m:ctrlPr>
                    <w:rPr>
                      <w:rFonts w:ascii="Cambria Math" w:eastAsia="Calibri" w:hAnsi="Cambria Math"/>
                      <w:i/>
                      <w:lang w:val="en-GB" w:eastAsia="en-US"/>
                    </w:rPr>
                  </m:ctrlPr>
                </m:dPr>
                <m:e>
                  <m:acc>
                    <m:accPr>
                      <m:ctrlPr>
                        <w:rPr>
                          <w:rFonts w:ascii="Cambria Math" w:eastAsia="Calibri" w:hAnsi="Cambria Math"/>
                          <w:i/>
                          <w:lang w:val="en-GB" w:eastAsia="en-US"/>
                        </w:rPr>
                      </m:ctrlPr>
                    </m:accPr>
                    <m:e>
                      <m:r>
                        <w:rPr>
                          <w:rFonts w:ascii="Cambria Math" w:hAnsi="Cambria Math"/>
                          <w:lang w:val="en-GB"/>
                        </w:rPr>
                        <m:t>λ</m:t>
                      </m:r>
                    </m:e>
                  </m:acc>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it-3</m:t>
                      </m:r>
                    </m:sub>
                  </m:sSub>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it-2</m:t>
                      </m:r>
                    </m:sub>
                  </m:sSub>
                  <m:r>
                    <w:rPr>
                      <w:rFonts w:ascii="Cambria Math" w:hAnsi="Cambria Math"/>
                      <w:lang w:val="en-GB"/>
                    </w:rPr>
                    <m:t>+</m:t>
                  </m:r>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it-2</m:t>
                      </m:r>
                    </m:sub>
                  </m:sSub>
                </m:e>
              </m:d>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it-1</m:t>
                  </m:r>
                </m:sub>
              </m:sSub>
              <m:r>
                <w:rPr>
                  <w:rFonts w:ascii="Cambria Math" w:hAnsi="Cambria Math"/>
                  <w:lang w:val="en-GB"/>
                </w:rPr>
                <m:t>+</m:t>
              </m:r>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it-1</m:t>
                  </m:r>
                </m:sub>
              </m:sSub>
            </m:e>
          </m:d>
          <m:r>
            <w:rPr>
              <w:rFonts w:ascii="Cambria Math" w:hAnsi="Cambria Math"/>
              <w:lang w:val="en-GB"/>
            </w:rPr>
            <m:t>+</m:t>
          </m:r>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m:t>
              </m:r>
            </m:sub>
          </m:sSub>
          <m:r>
            <w:rPr>
              <w:rFonts w:ascii="Cambria Math" w:hAnsi="Cambria Math"/>
              <w:lang w:val="en-GB"/>
            </w:rPr>
            <m:t>+</m:t>
          </m:r>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m:t>
              </m:r>
            </m:sub>
          </m:sSub>
          <m:r>
            <w:rPr>
              <w:rFonts w:ascii="Cambria Math" w:hAnsi="Cambria Math"/>
              <w:lang w:val="en-GB"/>
            </w:rPr>
            <m:t xml:space="preserve">                                                                                            </m:t>
          </m:r>
        </m:oMath>
      </m:oMathPara>
    </w:p>
    <w:p w:rsidR="005D2586" w:rsidRPr="0013591A" w:rsidRDefault="005D2586" w:rsidP="0025068A">
      <w:pPr>
        <w:jc w:val="both"/>
        <w:rPr>
          <w:lang w:val="en-GB"/>
        </w:rPr>
      </w:pPr>
      <w:r w:rsidRPr="0013591A">
        <w:rPr>
          <w:lang w:val="en-GB"/>
        </w:rPr>
        <w:t>Gather terms</w:t>
      </w:r>
    </w:p>
    <w:p w:rsidR="005D2586" w:rsidRPr="0013591A" w:rsidRDefault="005D2586" w:rsidP="0025068A">
      <w:pPr>
        <w:jc w:val="both"/>
        <w:rPr>
          <w:lang w:val="en-GB"/>
        </w:rPr>
      </w:pPr>
    </w:p>
    <w:p w:rsidR="005D2586" w:rsidRPr="0013591A" w:rsidRDefault="005019F2" w:rsidP="0025068A">
      <w:pPr>
        <w:jc w:val="both"/>
        <w:rPr>
          <w:lang w:val="en-GB"/>
        </w:rPr>
      </w:pPr>
      <m:oMathPara>
        <m:oMath>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m:t>
              </m:r>
            </m:sub>
          </m:sSub>
          <m:r>
            <w:rPr>
              <w:rFonts w:ascii="Cambria Math" w:hAnsi="Cambria Math"/>
              <w:lang w:val="en-GB"/>
            </w:rPr>
            <m:t>=</m:t>
          </m:r>
          <m:sSup>
            <m:sSupPr>
              <m:ctrlPr>
                <w:rPr>
                  <w:rFonts w:ascii="Cambria Math" w:eastAsia="Calibri" w:hAnsi="Cambria Math"/>
                  <w:i/>
                  <w:lang w:val="en-GB" w:eastAsia="en-US"/>
                </w:rPr>
              </m:ctrlPr>
            </m:sSupPr>
            <m:e>
              <m:acc>
                <m:accPr>
                  <m:ctrlPr>
                    <w:rPr>
                      <w:rFonts w:ascii="Cambria Math" w:eastAsia="Calibri" w:hAnsi="Cambria Math"/>
                      <w:i/>
                      <w:lang w:val="en-GB" w:eastAsia="en-US"/>
                    </w:rPr>
                  </m:ctrlPr>
                </m:accPr>
                <m:e>
                  <m:r>
                    <w:rPr>
                      <w:rFonts w:ascii="Cambria Math" w:hAnsi="Cambria Math"/>
                      <w:lang w:val="en-GB"/>
                    </w:rPr>
                    <m:t>λ</m:t>
                  </m:r>
                </m:e>
              </m:acc>
            </m:e>
            <m:sup>
              <m:r>
                <w:rPr>
                  <w:rFonts w:ascii="Cambria Math" w:hAnsi="Cambria Math"/>
                  <w:lang w:val="en-GB"/>
                </w:rPr>
                <m:t>3</m:t>
              </m:r>
            </m:sup>
          </m:sSup>
          <m:sSub>
            <m:sSubPr>
              <m:ctrlPr>
                <w:rPr>
                  <w:rFonts w:ascii="Cambria Math" w:eastAsia="Calibri" w:hAnsi="Cambria Math"/>
                  <w:i/>
                  <w:lang w:val="en-GB" w:eastAsia="en-US"/>
                </w:rPr>
              </m:ctrlPr>
            </m:sSubPr>
            <m:e>
              <m:r>
                <w:rPr>
                  <w:rFonts w:ascii="Cambria Math" w:hAnsi="Cambria Math"/>
                  <w:lang w:val="en-GB"/>
                </w:rPr>
                <m:t>y</m:t>
              </m:r>
            </m:e>
            <m:sub>
              <m:r>
                <w:rPr>
                  <w:rFonts w:ascii="Cambria Math" w:hAnsi="Cambria Math"/>
                  <w:lang w:val="en-GB"/>
                </w:rPr>
                <m:t>it-3</m:t>
              </m:r>
            </m:sub>
          </m:sSub>
          <m:r>
            <w:rPr>
              <w:rFonts w:ascii="Cambria Math" w:hAnsi="Cambria Math"/>
              <w:lang w:val="en-GB"/>
            </w:rPr>
            <m:t xml:space="preserve">+ </m:t>
          </m:r>
          <m:sSup>
            <m:sSupPr>
              <m:ctrlPr>
                <w:rPr>
                  <w:rFonts w:ascii="Cambria Math" w:eastAsia="Calibri" w:hAnsi="Cambria Math"/>
                  <w:i/>
                  <w:lang w:val="en-GB" w:eastAsia="en-US"/>
                </w:rPr>
              </m:ctrlPr>
            </m:sSupPr>
            <m:e>
              <m:acc>
                <m:accPr>
                  <m:ctrlPr>
                    <w:rPr>
                      <w:rFonts w:ascii="Cambria Math" w:eastAsia="Calibri" w:hAnsi="Cambria Math"/>
                      <w:i/>
                      <w:lang w:val="en-GB" w:eastAsia="en-US"/>
                    </w:rPr>
                  </m:ctrlPr>
                </m:accPr>
                <m:e>
                  <m:r>
                    <w:rPr>
                      <w:rFonts w:ascii="Cambria Math" w:hAnsi="Cambria Math"/>
                      <w:lang w:val="en-GB"/>
                    </w:rPr>
                    <m:t>λ</m:t>
                  </m:r>
                </m:e>
              </m:acc>
            </m:e>
            <m:sup>
              <m:r>
                <w:rPr>
                  <w:rFonts w:ascii="Cambria Math" w:hAnsi="Cambria Math"/>
                  <w:lang w:val="en-GB"/>
                </w:rPr>
                <m:t>2</m:t>
              </m:r>
            </m:sup>
          </m:sSup>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it-2</m:t>
              </m:r>
            </m:sub>
          </m:sSub>
          <m:r>
            <w:rPr>
              <w:rFonts w:ascii="Cambria Math" w:hAnsi="Cambria Math"/>
              <w:lang w:val="en-GB"/>
            </w:rPr>
            <m:t xml:space="preserve">+  </m:t>
          </m:r>
          <m:acc>
            <m:accPr>
              <m:ctrlPr>
                <w:rPr>
                  <w:rFonts w:ascii="Cambria Math" w:eastAsia="Calibri" w:hAnsi="Cambria Math"/>
                  <w:i/>
                  <w:lang w:val="en-GB" w:eastAsia="en-US"/>
                </w:rPr>
              </m:ctrlPr>
            </m:accPr>
            <m:e>
              <m:r>
                <w:rPr>
                  <w:rFonts w:ascii="Cambria Math" w:hAnsi="Cambria Math"/>
                  <w:lang w:val="en-GB"/>
                </w:rPr>
                <m:t>λ</m:t>
              </m:r>
            </m:e>
          </m:acc>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it-1</m:t>
              </m:r>
            </m:sub>
          </m:sSub>
          <m:r>
            <w:rPr>
              <w:rFonts w:ascii="Cambria Math" w:hAnsi="Cambria Math"/>
              <w:lang w:val="en-GB"/>
            </w:rPr>
            <m:t xml:space="preserve">+ </m:t>
          </m:r>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m:t>
              </m:r>
            </m:sub>
          </m:sSub>
          <m:r>
            <w:rPr>
              <w:rFonts w:ascii="Cambria Math" w:hAnsi="Cambria Math"/>
              <w:lang w:val="en-GB"/>
            </w:rPr>
            <m:t xml:space="preserve">+  </m:t>
          </m:r>
          <m:sSup>
            <m:sSupPr>
              <m:ctrlPr>
                <w:rPr>
                  <w:rFonts w:ascii="Cambria Math" w:eastAsia="Calibri" w:hAnsi="Cambria Math"/>
                  <w:i/>
                  <w:lang w:val="en-GB" w:eastAsia="en-US"/>
                </w:rPr>
              </m:ctrlPr>
            </m:sSupPr>
            <m:e>
              <m:acc>
                <m:accPr>
                  <m:ctrlPr>
                    <w:rPr>
                      <w:rFonts w:ascii="Cambria Math" w:eastAsia="Calibri" w:hAnsi="Cambria Math"/>
                      <w:i/>
                      <w:lang w:val="en-GB" w:eastAsia="en-US"/>
                    </w:rPr>
                  </m:ctrlPr>
                </m:accPr>
                <m:e>
                  <m:r>
                    <w:rPr>
                      <w:rFonts w:ascii="Cambria Math" w:hAnsi="Cambria Math"/>
                      <w:lang w:val="en-GB"/>
                    </w:rPr>
                    <m:t>λ</m:t>
                  </m:r>
                </m:e>
              </m:acc>
            </m:e>
            <m:sup>
              <m:r>
                <w:rPr>
                  <w:rFonts w:ascii="Cambria Math" w:hAnsi="Cambria Math"/>
                  <w:lang w:val="en-GB"/>
                </w:rPr>
                <m:t>2</m:t>
              </m:r>
            </m:sup>
          </m:sSup>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it-2</m:t>
              </m:r>
            </m:sub>
          </m:sSub>
          <m:r>
            <w:rPr>
              <w:rFonts w:ascii="Cambria Math" w:hAnsi="Cambria Math"/>
              <w:lang w:val="en-GB"/>
            </w:rPr>
            <m:t xml:space="preserve">+ </m:t>
          </m:r>
          <m:acc>
            <m:accPr>
              <m:ctrlPr>
                <w:rPr>
                  <w:rFonts w:ascii="Cambria Math" w:eastAsia="Calibri" w:hAnsi="Cambria Math"/>
                  <w:i/>
                  <w:lang w:val="en-GB" w:eastAsia="en-US"/>
                </w:rPr>
              </m:ctrlPr>
            </m:accPr>
            <m:e>
              <m:r>
                <w:rPr>
                  <w:rFonts w:ascii="Cambria Math" w:hAnsi="Cambria Math"/>
                  <w:lang w:val="en-GB"/>
                </w:rPr>
                <m:t>λ</m:t>
              </m:r>
            </m:e>
          </m:acc>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it-1</m:t>
              </m:r>
            </m:sub>
          </m:sSub>
          <m:r>
            <w:rPr>
              <w:rFonts w:ascii="Cambria Math" w:hAnsi="Cambria Math"/>
              <w:lang w:val="en-GB"/>
            </w:rPr>
            <m:t xml:space="preserve">+   </m:t>
          </m:r>
          <m:sSub>
            <m:sSubPr>
              <m:ctrlPr>
                <w:rPr>
                  <w:rFonts w:ascii="Cambria Math" w:eastAsia="Calibri" w:hAnsi="Cambria Math"/>
                  <w:i/>
                  <w:lang w:val="en-GB" w:eastAsia="en-US"/>
                </w:rPr>
              </m:ctrlPr>
            </m:sSubPr>
            <m:e>
              <m:r>
                <w:rPr>
                  <w:rFonts w:ascii="Cambria Math" w:hAnsi="Cambria Math"/>
                  <w:lang w:val="en-GB"/>
                </w:rPr>
                <m:t>u</m:t>
              </m:r>
            </m:e>
            <m:sub>
              <m:r>
                <w:rPr>
                  <w:rFonts w:ascii="Cambria Math" w:hAnsi="Cambria Math"/>
                  <w:lang w:val="en-GB"/>
                </w:rPr>
                <m:t>it</m:t>
              </m:r>
            </m:sub>
          </m:sSub>
        </m:oMath>
      </m:oMathPara>
    </w:p>
    <w:p w:rsidR="005D2586" w:rsidRPr="0013591A" w:rsidRDefault="00287D93" w:rsidP="0025068A">
      <w:pPr>
        <w:jc w:val="both"/>
        <w:rPr>
          <w:rFonts w:ascii="Calibri" w:hAnsi="Calibri"/>
          <w:lang w:val="en-GB"/>
        </w:rPr>
      </w:pPr>
      <m:oMathPara>
        <m:oMath>
          <m:r>
            <w:rPr>
              <w:rFonts w:ascii="Cambria Math" w:hAnsi="Cambria Math"/>
              <w:lang w:val="en-GB"/>
            </w:rPr>
            <m:t xml:space="preserve">                                                                                                                                 (6')</m:t>
          </m:r>
        </m:oMath>
      </m:oMathPara>
    </w:p>
    <w:p w:rsidR="005D2586" w:rsidRPr="0013591A" w:rsidRDefault="005D2586" w:rsidP="0025068A">
      <w:pPr>
        <w:jc w:val="both"/>
        <w:rPr>
          <w:lang w:val="en-GB"/>
        </w:rPr>
      </w:pPr>
    </w:p>
    <w:p w:rsidR="005D2586" w:rsidRPr="0013591A" w:rsidRDefault="005D2586" w:rsidP="0025068A">
      <w:pPr>
        <w:jc w:val="both"/>
        <w:rPr>
          <w:lang w:val="en-GB"/>
        </w:rPr>
      </w:pPr>
      <w:r w:rsidRPr="0013591A">
        <w:rPr>
          <w:lang w:val="en-GB"/>
        </w:rPr>
        <w:t xml:space="preserve">… </w:t>
      </w:r>
      <w:proofErr w:type="gramStart"/>
      <w:r w:rsidRPr="0013591A">
        <w:rPr>
          <w:lang w:val="en-GB"/>
        </w:rPr>
        <w:t>and</w:t>
      </w:r>
      <w:proofErr w:type="gramEnd"/>
      <w:r w:rsidRPr="0013591A">
        <w:rPr>
          <w:lang w:val="en-GB"/>
        </w:rPr>
        <w:t xml:space="preserve"> so on.</w:t>
      </w:r>
    </w:p>
    <w:p w:rsidR="005D2586" w:rsidRPr="0013591A" w:rsidRDefault="005D2586" w:rsidP="0025068A">
      <w:pPr>
        <w:jc w:val="both"/>
        <w:rPr>
          <w:lang w:val="en-GB"/>
        </w:rPr>
      </w:pPr>
    </w:p>
    <w:p w:rsidR="005D2586" w:rsidRPr="0013591A" w:rsidRDefault="005D2586" w:rsidP="00363142">
      <w:pPr>
        <w:spacing w:line="360" w:lineRule="auto"/>
        <w:jc w:val="both"/>
        <w:rPr>
          <w:lang w:val="en-GB"/>
        </w:rPr>
      </w:pPr>
      <w:r w:rsidRPr="0013591A">
        <w:rPr>
          <w:lang w:val="en-GB"/>
        </w:rPr>
        <w:t>By repeated substitution, we demonstrate that dynamic specifications, through the lagged dependent variable, contain the entire history of the independent variables. In equation 6’, we find that current GDP per capita is influenced not only by the most recent institutional changes (</w:t>
      </w:r>
      <m:oMath>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m:t>
            </m:r>
          </m:sub>
        </m:sSub>
      </m:oMath>
      <w:r w:rsidRPr="0013591A">
        <w:rPr>
          <w:lang w:val="en-GB"/>
        </w:rPr>
        <w:t>) but also by the cumulated effects from institutional changes one period back (</w:t>
      </w:r>
      <m:oMath>
        <m:acc>
          <m:accPr>
            <m:ctrlPr>
              <w:rPr>
                <w:rFonts w:ascii="Cambria Math" w:eastAsia="Calibri" w:hAnsi="Cambria Math"/>
                <w:i/>
                <w:lang w:val="en-GB" w:eastAsia="en-US"/>
              </w:rPr>
            </m:ctrlPr>
          </m:accPr>
          <m:e>
            <m:r>
              <w:rPr>
                <w:rFonts w:ascii="Cambria Math" w:hAnsi="Cambria Math"/>
                <w:lang w:val="en-GB"/>
              </w:rPr>
              <m:t>λ</m:t>
            </m:r>
          </m:e>
        </m:acc>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it-1</m:t>
            </m:r>
          </m:sub>
        </m:sSub>
      </m:oMath>
      <w:r w:rsidRPr="0013591A">
        <w:rPr>
          <w:lang w:val="en-GB"/>
        </w:rPr>
        <w:t>) and two periods back (</w:t>
      </w:r>
      <m:oMath>
        <m:sSup>
          <m:sSupPr>
            <m:ctrlPr>
              <w:rPr>
                <w:rFonts w:ascii="Cambria Math" w:eastAsia="Calibri" w:hAnsi="Cambria Math"/>
                <w:i/>
                <w:lang w:val="en-GB" w:eastAsia="en-US"/>
              </w:rPr>
            </m:ctrlPr>
          </m:sSupPr>
          <m:e>
            <m:acc>
              <m:accPr>
                <m:ctrlPr>
                  <w:rPr>
                    <w:rFonts w:ascii="Cambria Math" w:eastAsia="Calibri" w:hAnsi="Cambria Math"/>
                    <w:i/>
                    <w:lang w:val="en-GB" w:eastAsia="en-US"/>
                  </w:rPr>
                </m:ctrlPr>
              </m:accPr>
              <m:e>
                <m:r>
                  <w:rPr>
                    <w:rFonts w:ascii="Cambria Math" w:hAnsi="Cambria Math"/>
                    <w:lang w:val="en-GB"/>
                  </w:rPr>
                  <m:t>λ</m:t>
                </m:r>
              </m:e>
            </m:acc>
          </m:e>
          <m:sup>
            <m:r>
              <w:rPr>
                <w:rFonts w:ascii="Cambria Math" w:hAnsi="Cambria Math"/>
                <w:lang w:val="en-GB"/>
              </w:rPr>
              <m:t>2</m:t>
            </m:r>
          </m:sup>
        </m:sSup>
        <m:acc>
          <m:accPr>
            <m:ctrlPr>
              <w:rPr>
                <w:rFonts w:ascii="Cambria Math" w:eastAsia="Calibri" w:hAnsi="Cambria Math"/>
                <w:i/>
                <w:lang w:val="en-GB" w:eastAsia="en-US"/>
              </w:rPr>
            </m:ctrlPr>
          </m:accPr>
          <m:e>
            <m:r>
              <w:rPr>
                <w:rFonts w:ascii="Cambria Math" w:hAnsi="Cambria Math"/>
                <w:lang w:val="en-GB"/>
              </w:rPr>
              <m:t>β</m:t>
            </m:r>
          </m:e>
        </m:acc>
        <m:r>
          <m:rPr>
            <m:sty m:val="p"/>
          </m:rPr>
          <w:rPr>
            <w:rFonts w:ascii="Cambria Math" w:hAnsi="Cambria Math"/>
            <w:lang w:val="en-GB"/>
          </w:rPr>
          <m:t>Δ</m:t>
        </m:r>
        <m:sSub>
          <m:sSubPr>
            <m:ctrlPr>
              <w:rPr>
                <w:rFonts w:ascii="Cambria Math" w:eastAsia="Calibri" w:hAnsi="Cambria Math"/>
                <w:i/>
                <w:lang w:val="en-GB" w:eastAsia="en-US"/>
              </w:rPr>
            </m:ctrlPr>
          </m:sSubPr>
          <m:e>
            <m:r>
              <w:rPr>
                <w:rFonts w:ascii="Cambria Math" w:hAnsi="Cambria Math"/>
                <w:lang w:val="en-GB"/>
              </w:rPr>
              <m:t>x</m:t>
            </m:r>
          </m:e>
          <m:sub>
            <m:r>
              <w:rPr>
                <w:rFonts w:ascii="Cambria Math" w:hAnsi="Cambria Math"/>
                <w:lang w:val="en-GB"/>
              </w:rPr>
              <m:t>it-2</m:t>
            </m:r>
          </m:sub>
        </m:sSub>
      </m:oMath>
      <w:r w:rsidRPr="0013591A">
        <w:rPr>
          <w:lang w:val="en-GB"/>
        </w:rPr>
        <w:t xml:space="preserve">), although these persistence effects attenuate the more remote the period (shown by the increasing exponent </w:t>
      </w:r>
      <w:proofErr w:type="gramStart"/>
      <w:r w:rsidRPr="0013591A">
        <w:rPr>
          <w:lang w:val="en-GB"/>
        </w:rPr>
        <w:t xml:space="preserve">on </w:t>
      </w:r>
      <m:oMath>
        <w:proofErr w:type="gramEnd"/>
        <m:acc>
          <m:accPr>
            <m:ctrlPr>
              <w:rPr>
                <w:rFonts w:ascii="Cambria Math" w:eastAsia="Calibri" w:hAnsi="Cambria Math"/>
                <w:i/>
                <w:lang w:val="en-GB" w:eastAsia="en-US"/>
              </w:rPr>
            </m:ctrlPr>
          </m:accPr>
          <m:e>
            <m:r>
              <w:rPr>
                <w:rFonts w:ascii="Cambria Math" w:hAnsi="Cambria Math"/>
                <w:lang w:val="en-GB"/>
              </w:rPr>
              <m:t>λ</m:t>
            </m:r>
          </m:e>
        </m:acc>
      </m:oMath>
      <w:r w:rsidRPr="0013591A">
        <w:rPr>
          <w:lang w:val="en-GB"/>
        </w:rPr>
        <w:t>). Further substitutions demonstrate that our dynamic specification includes the whole histo</w:t>
      </w:r>
      <w:proofErr w:type="spellStart"/>
      <w:r w:rsidRPr="0013591A">
        <w:rPr>
          <w:lang w:val="en-GB"/>
        </w:rPr>
        <w:t>ry</w:t>
      </w:r>
      <w:proofErr w:type="spellEnd"/>
      <w:r w:rsidRPr="0013591A">
        <w:rPr>
          <w:lang w:val="en-GB"/>
        </w:rPr>
        <w:t xml:space="preserve"> of institutional reform that influences the current level of per capita GDP. By taking this history into account, we are able to identify the additional short-run effects on per capita GDP of recent - medium-term -institutional changes. In turn, these are informative about the process of adjustment of per capita GDP to institutional change. By taking account of the effects of all past institutional changes (reforms) together with estimating the effect of current adjustment to the most recent change, our dynamic model enables the level of per capita GDP to be explained by changes in institutional quality, which is consistent with our earlier discussion motivating the choice of level of per capita GDP as our measure of economic performance. To anticipate the estimates reported below, because the effects of current adjustment do not induce further rounds of effects </w:t>
      </w:r>
      <w:r w:rsidRPr="0013591A">
        <w:rPr>
          <w:lang w:val="en-GB"/>
        </w:rPr>
        <w:lastRenderedPageBreak/>
        <w:t>through time (shown by the non-significance of the long-run coefficient on institutional change), the effects of institutional change on per capita GDP are fully accounted for by the history of institutional change and current adjustment.</w:t>
      </w:r>
    </w:p>
    <w:p w:rsidR="005D2586" w:rsidRPr="0013591A" w:rsidRDefault="005D2586" w:rsidP="00363142">
      <w:pPr>
        <w:autoSpaceDE w:val="0"/>
        <w:autoSpaceDN w:val="0"/>
        <w:adjustRightInd w:val="0"/>
        <w:spacing w:line="360" w:lineRule="auto"/>
        <w:jc w:val="both"/>
        <w:rPr>
          <w:lang w:val="en-GB"/>
        </w:rPr>
      </w:pPr>
    </w:p>
    <w:p w:rsidR="005D2586" w:rsidRPr="0013591A" w:rsidRDefault="005D2586" w:rsidP="00363142">
      <w:pPr>
        <w:spacing w:after="120" w:line="360" w:lineRule="auto"/>
        <w:jc w:val="both"/>
        <w:rPr>
          <w:color w:val="000000"/>
          <w:lang w:val="en-GB"/>
        </w:rPr>
      </w:pPr>
      <w:r w:rsidRPr="0013591A">
        <w:rPr>
          <w:color w:val="000000"/>
          <w:lang w:val="en-GB"/>
        </w:rPr>
        <w:t xml:space="preserve">Finally, following good practice guidelines suggested by a number of authors, in </w:t>
      </w:r>
      <w:r w:rsidR="006024BC" w:rsidRPr="0013591A">
        <w:rPr>
          <w:color w:val="000000"/>
          <w:lang w:val="en-GB"/>
        </w:rPr>
        <w:t>on-line appendix</w:t>
      </w:r>
      <w:r w:rsidRPr="0013591A">
        <w:rPr>
          <w:color w:val="000000"/>
          <w:lang w:val="en-GB"/>
        </w:rPr>
        <w:t xml:space="preserve"> we explain our preference for a dynamic panel model estimated by the System General Method of Moments (SGMM)</w:t>
      </w:r>
      <w:r w:rsidR="006024BC" w:rsidRPr="0013591A">
        <w:rPr>
          <w:color w:val="000000"/>
          <w:lang w:val="en-GB"/>
        </w:rPr>
        <w:t xml:space="preserve">, including also discussion of the model diagnostics and how we address potential </w:t>
      </w:r>
      <w:proofErr w:type="spellStart"/>
      <w:r w:rsidR="006024BC" w:rsidRPr="0013591A">
        <w:rPr>
          <w:color w:val="000000"/>
          <w:lang w:val="en-GB"/>
        </w:rPr>
        <w:t>endogeneity</w:t>
      </w:r>
      <w:proofErr w:type="spellEnd"/>
      <w:r w:rsidR="006024BC" w:rsidRPr="0013591A">
        <w:rPr>
          <w:color w:val="000000"/>
          <w:lang w:val="en-GB"/>
        </w:rPr>
        <w:t xml:space="preserve"> in the model</w:t>
      </w:r>
      <w:r w:rsidR="00666299" w:rsidRPr="0013591A">
        <w:rPr>
          <w:color w:val="000000"/>
          <w:lang w:val="en-GB"/>
        </w:rPr>
        <w:t xml:space="preserve"> (Appendix 3)</w:t>
      </w:r>
      <w:r w:rsidR="001F4ADE" w:rsidRPr="0013591A">
        <w:rPr>
          <w:color w:val="000000"/>
          <w:lang w:val="en-GB"/>
        </w:rPr>
        <w:t>.</w:t>
      </w:r>
      <w:r w:rsidR="006024BC" w:rsidRPr="0013591A">
        <w:rPr>
          <w:rStyle w:val="FootnoteReference"/>
          <w:color w:val="000000"/>
          <w:lang w:val="en-GB"/>
        </w:rPr>
        <w:footnoteReference w:id="6"/>
      </w:r>
      <w:r w:rsidR="006024BC" w:rsidRPr="0013591A">
        <w:rPr>
          <w:color w:val="000000"/>
          <w:lang w:val="en-GB"/>
        </w:rPr>
        <w:t xml:space="preserve"> </w:t>
      </w:r>
    </w:p>
    <w:p w:rsidR="007A6C1D" w:rsidRPr="0013591A" w:rsidRDefault="007A6C1D" w:rsidP="00363142">
      <w:pPr>
        <w:spacing w:after="120" w:line="360" w:lineRule="auto"/>
        <w:jc w:val="both"/>
        <w:rPr>
          <w:color w:val="000000"/>
          <w:lang w:val="en-GB"/>
        </w:rPr>
      </w:pPr>
    </w:p>
    <w:p w:rsidR="005D2586" w:rsidRPr="0013591A" w:rsidRDefault="005D2586" w:rsidP="00363142">
      <w:pPr>
        <w:pStyle w:val="Heading1"/>
        <w:numPr>
          <w:ilvl w:val="0"/>
          <w:numId w:val="7"/>
        </w:numPr>
        <w:spacing w:line="360" w:lineRule="auto"/>
        <w:jc w:val="center"/>
        <w:rPr>
          <w:rFonts w:ascii="Times New Roman" w:hAnsi="Times New Roman" w:cs="Times New Roman"/>
          <w:sz w:val="24"/>
          <w:szCs w:val="24"/>
          <w:lang w:val="en-GB"/>
        </w:rPr>
      </w:pPr>
      <w:r w:rsidRPr="0013591A">
        <w:rPr>
          <w:rFonts w:ascii="Times New Roman" w:hAnsi="Times New Roman" w:cs="Times New Roman"/>
          <w:sz w:val="24"/>
          <w:szCs w:val="24"/>
          <w:lang w:val="en-GB"/>
        </w:rPr>
        <w:t>EMPIRICAL FINDINGS</w:t>
      </w:r>
    </w:p>
    <w:p w:rsidR="005D2586" w:rsidRPr="0013591A" w:rsidRDefault="005D2586" w:rsidP="00363142">
      <w:pPr>
        <w:spacing w:line="360" w:lineRule="auto"/>
        <w:rPr>
          <w:lang w:val="en-GB" w:eastAsia="en-US"/>
        </w:rPr>
      </w:pPr>
    </w:p>
    <w:p w:rsidR="005D2586" w:rsidRPr="0013591A" w:rsidRDefault="005D2586" w:rsidP="00363142">
      <w:pPr>
        <w:pStyle w:val="ListParagraph"/>
        <w:keepNext/>
        <w:numPr>
          <w:ilvl w:val="0"/>
          <w:numId w:val="5"/>
        </w:numPr>
        <w:spacing w:before="240" w:after="60" w:line="360" w:lineRule="auto"/>
        <w:contextualSpacing w:val="0"/>
        <w:jc w:val="both"/>
        <w:outlineLvl w:val="0"/>
        <w:rPr>
          <w:b/>
          <w:bCs/>
          <w:vanish/>
          <w:kern w:val="32"/>
          <w:lang w:val="en-GB" w:eastAsia="en-US"/>
        </w:rPr>
      </w:pPr>
    </w:p>
    <w:p w:rsidR="005D2586" w:rsidRPr="0013591A" w:rsidRDefault="005D2586" w:rsidP="00363142">
      <w:pPr>
        <w:spacing w:line="360" w:lineRule="auto"/>
        <w:jc w:val="center"/>
        <w:rPr>
          <w:lang w:val="en-GB"/>
        </w:rPr>
      </w:pPr>
      <w:r w:rsidRPr="0013591A">
        <w:rPr>
          <w:lang w:val="en-GB"/>
        </w:rPr>
        <w:t>(Table 1 here)</w:t>
      </w:r>
    </w:p>
    <w:p w:rsidR="005D2586" w:rsidRPr="0013591A" w:rsidRDefault="005D2586" w:rsidP="00363142">
      <w:pPr>
        <w:spacing w:line="360" w:lineRule="auto"/>
        <w:jc w:val="center"/>
        <w:rPr>
          <w:lang w:val="en-GB" w:eastAsia="hr-HR"/>
        </w:rPr>
      </w:pPr>
    </w:p>
    <w:p w:rsidR="005D2586" w:rsidRPr="0013591A" w:rsidRDefault="005D2586" w:rsidP="00363142">
      <w:pPr>
        <w:spacing w:line="360" w:lineRule="auto"/>
        <w:jc w:val="both"/>
        <w:rPr>
          <w:lang w:val="en-GB" w:eastAsia="en-US"/>
        </w:rPr>
      </w:pPr>
      <w:r w:rsidRPr="0013591A">
        <w:rPr>
          <w:lang w:val="en-GB" w:eastAsia="en-US"/>
        </w:rPr>
        <w:t>The estimated model suggests that per capita GDP is strongly autoregressive. In other words, the main determinant of per capita GDP in the current period is per capita GDP in the previous period (</w:t>
      </w:r>
      <w:r w:rsidRPr="0013591A">
        <w:rPr>
          <w:i/>
          <w:lang w:val="en-GB" w:eastAsia="en-US"/>
        </w:rPr>
        <w:t>LngdppcL1</w:t>
      </w:r>
      <w:r w:rsidRPr="0013591A">
        <w:rPr>
          <w:lang w:val="en-GB" w:eastAsia="en-US"/>
        </w:rPr>
        <w:t>).</w:t>
      </w:r>
      <w:r w:rsidRPr="0013591A">
        <w:rPr>
          <w:rStyle w:val="FootnoteReference"/>
          <w:lang w:val="en-GB" w:eastAsia="en-US"/>
        </w:rPr>
        <w:footnoteReference w:id="7"/>
      </w:r>
      <w:r w:rsidRPr="0013591A">
        <w:rPr>
          <w:rStyle w:val="FootnoteReference"/>
          <w:lang w:val="en-GB" w:eastAsia="en-US"/>
        </w:rPr>
        <w:t xml:space="preserve"> </w:t>
      </w:r>
      <w:r w:rsidRPr="0013591A">
        <w:rPr>
          <w:lang w:val="en-GB" w:eastAsia="en-US"/>
        </w:rPr>
        <w:t>The size of the estimated persistence effect (0.913) together with its high level of statistical significance suggest that the current level of per capita GDP reflects the entire history of the process by which it is determined, which includes all previous institutional developments (Greene 2008, p. 469).</w:t>
      </w:r>
      <w:r w:rsidRPr="0013591A">
        <w:rPr>
          <w:rStyle w:val="FootnoteReference"/>
          <w:lang w:val="en-GB" w:eastAsia="en-US"/>
        </w:rPr>
        <w:footnoteReference w:id="8"/>
      </w:r>
      <w:r w:rsidRPr="0013591A">
        <w:rPr>
          <w:lang w:val="en-GB" w:eastAsia="en-US"/>
        </w:rPr>
        <w:t xml:space="preserve"> Conversely, the estimated models reported in Table 1 suggest that the impact of current developments on current per capita GDP is limited. However, recent institutional improvement is an exception; this does have an effect on current per capita GDP. </w:t>
      </w:r>
    </w:p>
    <w:p w:rsidR="005D2586" w:rsidRPr="0013591A" w:rsidRDefault="005D2586" w:rsidP="00363142">
      <w:pPr>
        <w:spacing w:line="360" w:lineRule="auto"/>
        <w:jc w:val="both"/>
        <w:rPr>
          <w:lang w:val="en-GB" w:eastAsia="en-US"/>
        </w:rPr>
      </w:pPr>
    </w:p>
    <w:p w:rsidR="005D2586" w:rsidRPr="0013591A" w:rsidRDefault="005D2586" w:rsidP="00363142">
      <w:pPr>
        <w:spacing w:after="120" w:line="360" w:lineRule="auto"/>
        <w:jc w:val="both"/>
        <w:rPr>
          <w:lang w:val="en-GB"/>
        </w:rPr>
      </w:pPr>
      <w:r w:rsidRPr="0013591A">
        <w:rPr>
          <w:lang w:val="en-GB"/>
        </w:rPr>
        <w:lastRenderedPageBreak/>
        <w:t>Our variable of interest (i</w:t>
      </w:r>
      <w:r w:rsidRPr="0013591A">
        <w:rPr>
          <w:i/>
          <w:lang w:val="en-GB"/>
        </w:rPr>
        <w:t>nst5</w:t>
      </w:r>
      <w:r w:rsidRPr="0013591A">
        <w:rPr>
          <w:lang w:val="en-GB"/>
        </w:rPr>
        <w:t xml:space="preserve">) is statistically significant and exerts an economically substantial influence on economic performance. We estimate a dynamic panel model in a Log-Lin </w:t>
      </w:r>
      <w:r w:rsidRPr="0013591A">
        <w:rPr>
          <w:bCs/>
          <w:lang w:val="en-GB"/>
        </w:rPr>
        <w:t xml:space="preserve">form. </w:t>
      </w:r>
      <w:r w:rsidRPr="0013591A">
        <w:rPr>
          <w:lang w:val="en-GB"/>
        </w:rPr>
        <w:t xml:space="preserve">Hence, a ten percent improvement in institutions over the period of five years is associated, on average, with a 4.03 percent increase in the current GDP per capita level. This implies that as institutions improve so increasingly large absolute improvements are needed to yield a given increase in GDP per capita. For example, very poor institutions with an index of 0.1 require an absolute improvement of only 0.01 to give a percentage improvement of 10 per cent, while excellent institutions with an index of 0.9 require an absolute improvement of 0.09 – i.e. almost to “perfection” – to give a similar percentage improvement. In other words, absolute improvements in institutional quality are subject to diminishing returns. Indeed, intuitively, this must be the case; for as institutional quality approaches the ceiling of one, so the potential for institutional improvement to raise economic performance is reduced.  </w:t>
      </w:r>
    </w:p>
    <w:p w:rsidR="00852F8F" w:rsidRPr="0013591A" w:rsidRDefault="00852F8F" w:rsidP="00363142">
      <w:pPr>
        <w:spacing w:after="120" w:line="360" w:lineRule="auto"/>
        <w:jc w:val="both"/>
        <w:rPr>
          <w:lang w:val="en-GB"/>
        </w:rPr>
      </w:pPr>
    </w:p>
    <w:p w:rsidR="00852F8F" w:rsidRPr="0013591A" w:rsidRDefault="00852F8F" w:rsidP="00852F8F">
      <w:pPr>
        <w:jc w:val="center"/>
        <w:rPr>
          <w:lang w:val="en-GB"/>
        </w:rPr>
      </w:pPr>
      <w:r w:rsidRPr="0013591A">
        <w:rPr>
          <w:lang w:val="en-GB"/>
        </w:rPr>
        <w:t>(</w:t>
      </w:r>
      <w:bookmarkStart w:id="14" w:name="_GoBack"/>
      <w:r w:rsidRPr="0013591A">
        <w:rPr>
          <w:lang w:val="en-GB"/>
        </w:rPr>
        <w:t>Table</w:t>
      </w:r>
      <w:bookmarkEnd w:id="14"/>
      <w:r w:rsidRPr="0013591A">
        <w:rPr>
          <w:lang w:val="en-GB"/>
        </w:rPr>
        <w:t xml:space="preserve"> 2 here)</w:t>
      </w:r>
    </w:p>
    <w:p w:rsidR="00852F8F" w:rsidRPr="0013591A" w:rsidRDefault="00852F8F" w:rsidP="00363142">
      <w:pPr>
        <w:spacing w:after="120" w:line="360" w:lineRule="auto"/>
        <w:jc w:val="both"/>
        <w:rPr>
          <w:lang w:val="en-GB"/>
        </w:rPr>
      </w:pPr>
    </w:p>
    <w:p w:rsidR="005D2586" w:rsidRPr="0013591A" w:rsidRDefault="005D2586" w:rsidP="00363142">
      <w:pPr>
        <w:spacing w:after="120" w:line="360" w:lineRule="auto"/>
        <w:jc w:val="both"/>
        <w:rPr>
          <w:lang w:val="en-GB"/>
        </w:rPr>
      </w:pPr>
      <w:r w:rsidRPr="0013591A">
        <w:rPr>
          <w:lang w:val="en-GB"/>
        </w:rPr>
        <w:t xml:space="preserve">It is instructive to compare the estimated short-run impact effect reported in Table 1 and the long-run cumulated impact reported in Table 2. The former is statistically significant whereas the latter is not. This suggests that recent institutional improvement sustained over the medium term (five years) </w:t>
      </w:r>
      <w:proofErr w:type="gramStart"/>
      <w:r w:rsidRPr="0013591A">
        <w:rPr>
          <w:lang w:val="en-GB"/>
        </w:rPr>
        <w:t>adds</w:t>
      </w:r>
      <w:proofErr w:type="gramEnd"/>
      <w:r w:rsidRPr="0013591A">
        <w:rPr>
          <w:lang w:val="en-GB"/>
        </w:rPr>
        <w:t xml:space="preserve"> to current per capita GDP but that this is a current impact effect only, hence does not cumulate thereafter into a larger long-term effect. After five years, the effects of institutional improvement are </w:t>
      </w:r>
      <w:proofErr w:type="spellStart"/>
      <w:r w:rsidRPr="0013591A">
        <w:rPr>
          <w:lang w:val="en-GB"/>
        </w:rPr>
        <w:t>discernable</w:t>
      </w:r>
      <w:proofErr w:type="spellEnd"/>
      <w:r w:rsidRPr="0013591A">
        <w:rPr>
          <w:lang w:val="en-GB"/>
        </w:rPr>
        <w:t xml:space="preserve"> – in our sample – in a higher level of per capita GDP and thus a higher platform for all future economic activity. In that sense, the benefits of institutional improvement are long-run (indeed, permanent). However, the combination of a statistically significant short-run (impact) coefficient and an insignificant long-run coefficient suggests a once-and-for-all economic performance effect from institutional improvement over the medium term. In sum, institutional change previously sustained over the medium term changes the current level of GDP per capita and thus sets a new starting level for the future evolution of GDP per capita.</w:t>
      </w:r>
    </w:p>
    <w:p w:rsidR="005D2586" w:rsidRPr="0013591A" w:rsidRDefault="005D2586" w:rsidP="00363142">
      <w:pPr>
        <w:spacing w:after="120" w:line="360" w:lineRule="auto"/>
        <w:jc w:val="both"/>
        <w:rPr>
          <w:lang w:val="en-GB"/>
        </w:rPr>
      </w:pPr>
      <w:r w:rsidRPr="0013591A">
        <w:rPr>
          <w:lang w:val="en-GB"/>
        </w:rPr>
        <w:lastRenderedPageBreak/>
        <w:t xml:space="preserve">The coefficient on the lagged dependent variable captures the entire historical process, including institutional development, culminating in the current level of per capita GDP. The coefficient on the institutional change variable measures the additional impact of recent medium-term changes in institutional quality on current GDP. Accordingly, our model encompasses </w:t>
      </w:r>
      <w:r w:rsidRPr="0013591A">
        <w:rPr>
          <w:i/>
          <w:lang w:val="en-GB"/>
        </w:rPr>
        <w:t xml:space="preserve">both </w:t>
      </w:r>
      <w:r w:rsidRPr="0013591A">
        <w:rPr>
          <w:lang w:val="en-GB"/>
        </w:rPr>
        <w:t xml:space="preserve">the effects of institutional reform on per capita GDP during the history of transition </w:t>
      </w:r>
      <w:r w:rsidRPr="0013591A">
        <w:rPr>
          <w:i/>
          <w:lang w:val="en-GB"/>
        </w:rPr>
        <w:t>and</w:t>
      </w:r>
      <w:r w:rsidRPr="0013591A">
        <w:rPr>
          <w:lang w:val="en-GB"/>
        </w:rPr>
        <w:t xml:space="preserve"> the additional effects of the most recent changes. </w:t>
      </w:r>
    </w:p>
    <w:p w:rsidR="005D2586" w:rsidRPr="0013591A" w:rsidRDefault="005D2586" w:rsidP="00363142">
      <w:pPr>
        <w:spacing w:after="120" w:line="360" w:lineRule="auto"/>
        <w:jc w:val="both"/>
        <w:rPr>
          <w:lang w:val="en-GB"/>
        </w:rPr>
      </w:pPr>
      <w:r w:rsidRPr="0013591A">
        <w:rPr>
          <w:lang w:val="en-GB"/>
        </w:rPr>
        <w:t>In comparison to some other transition panel models (</w:t>
      </w:r>
      <w:proofErr w:type="spellStart"/>
      <w:r w:rsidRPr="0013591A">
        <w:rPr>
          <w:lang w:val="en-GB"/>
        </w:rPr>
        <w:t>Redek</w:t>
      </w:r>
      <w:proofErr w:type="spellEnd"/>
      <w:r w:rsidRPr="0013591A">
        <w:rPr>
          <w:lang w:val="en-GB"/>
        </w:rPr>
        <w:t xml:space="preserve"> – </w:t>
      </w:r>
      <w:proofErr w:type="spellStart"/>
      <w:r w:rsidRPr="0013591A">
        <w:rPr>
          <w:lang w:val="en-GB"/>
        </w:rPr>
        <w:t>Susjan</w:t>
      </w:r>
      <w:proofErr w:type="spellEnd"/>
      <w:r w:rsidRPr="0013591A">
        <w:rPr>
          <w:lang w:val="en-GB"/>
        </w:rPr>
        <w:t xml:space="preserve"> 2005; </w:t>
      </w:r>
      <w:proofErr w:type="spellStart"/>
      <w:r w:rsidRPr="0013591A">
        <w:rPr>
          <w:lang w:val="en-GB"/>
        </w:rPr>
        <w:t>Falcetti</w:t>
      </w:r>
      <w:proofErr w:type="spellEnd"/>
      <w:r w:rsidRPr="0013591A">
        <w:rPr>
          <w:lang w:val="en-GB"/>
        </w:rPr>
        <w:t xml:space="preserve"> et al. 2006; </w:t>
      </w:r>
      <w:proofErr w:type="spellStart"/>
      <w:r w:rsidRPr="0013591A">
        <w:rPr>
          <w:lang w:val="en-GB"/>
        </w:rPr>
        <w:t>Eicher</w:t>
      </w:r>
      <w:proofErr w:type="spellEnd"/>
      <w:r w:rsidRPr="0013591A">
        <w:rPr>
          <w:lang w:val="en-GB"/>
        </w:rPr>
        <w:t xml:space="preserve"> – Schreiber 2010), in our model the institutional variable in the current or previous period does not appear as significant, suggesting that if institutional change does influence economic performance then it does so only when sustained over a longer – but medium-term - period. In other words, the time-horizon over which institutions act in transition does matter. Hence, an improvement of institutions in transition would not come as a stimulus to economic performance overnight. Similar findings are presented by </w:t>
      </w:r>
      <w:proofErr w:type="spellStart"/>
      <w:r w:rsidRPr="0013591A">
        <w:rPr>
          <w:lang w:val="en-GB"/>
        </w:rPr>
        <w:t>Gwartney</w:t>
      </w:r>
      <w:proofErr w:type="spellEnd"/>
      <w:r w:rsidRPr="0013591A">
        <w:rPr>
          <w:lang w:val="en-GB"/>
        </w:rPr>
        <w:t xml:space="preserve"> et al. (2004, p. 231) in their </w:t>
      </w:r>
      <w:r w:rsidR="00610A6B" w:rsidRPr="0013591A">
        <w:rPr>
          <w:lang w:val="en-GB"/>
        </w:rPr>
        <w:t>non-transition</w:t>
      </w:r>
      <w:r w:rsidRPr="0013591A">
        <w:rPr>
          <w:lang w:val="en-GB"/>
        </w:rPr>
        <w:t xml:space="preserve"> research, according to whom  a time period of 5 to 10 years is necessary for the effects of an improvement in the quality of a country’s institutions to be registered fully. </w:t>
      </w:r>
    </w:p>
    <w:p w:rsidR="005D2586" w:rsidRPr="0013591A" w:rsidRDefault="005D2586" w:rsidP="00363142">
      <w:pPr>
        <w:spacing w:after="120" w:line="360" w:lineRule="auto"/>
        <w:jc w:val="both"/>
        <w:rPr>
          <w:lang w:val="en-GB"/>
        </w:rPr>
      </w:pPr>
      <w:r w:rsidRPr="0013591A">
        <w:rPr>
          <w:lang w:val="en-GB"/>
        </w:rPr>
        <w:t xml:space="preserve">The time-dummy variables used to capture universal time related shocks in transition over the observed period are mainly significant. We do not attempt to explain the reasons for such results, since this is not a primary interest. However, mainly significant time dummies do suggest the presence of time-related cross-country shocks – although these may not be specific to transition – </w:t>
      </w:r>
      <w:r w:rsidR="00610A6B" w:rsidRPr="0013591A">
        <w:rPr>
          <w:lang w:val="en-GB"/>
        </w:rPr>
        <w:t>which otherwise would induce</w:t>
      </w:r>
      <w:r w:rsidRPr="0013591A">
        <w:rPr>
          <w:lang w:val="en-GB"/>
        </w:rPr>
        <w:t xml:space="preserve"> cross-sectional dependence in the residuals.</w:t>
      </w:r>
      <w:r w:rsidR="00610A6B" w:rsidRPr="0013591A">
        <w:rPr>
          <w:lang w:val="en-GB"/>
        </w:rPr>
        <w:t xml:space="preserve"> (This is why panel models should be specified with time dummies.)</w:t>
      </w:r>
    </w:p>
    <w:p w:rsidR="005D2586" w:rsidRPr="0013591A" w:rsidRDefault="005D2586" w:rsidP="00363142">
      <w:pPr>
        <w:spacing w:line="360" w:lineRule="auto"/>
        <w:jc w:val="both"/>
        <w:rPr>
          <w:lang w:val="en-GB"/>
        </w:rPr>
      </w:pPr>
      <w:r w:rsidRPr="0013591A">
        <w:rPr>
          <w:lang w:val="en-GB"/>
        </w:rPr>
        <w:t>Since the other variables in the model are not our primary interest and are not estimated with conventionally acceptable levels of precision we will just briefly comment on them. FDI inflow as a percentage of GDP in per capita terms (</w:t>
      </w:r>
      <w:proofErr w:type="spellStart"/>
      <w:r w:rsidRPr="0013591A">
        <w:rPr>
          <w:i/>
          <w:lang w:val="en-GB"/>
        </w:rPr>
        <w:t>fdiper</w:t>
      </w:r>
      <w:proofErr w:type="spellEnd"/>
      <w:r w:rsidRPr="0013591A">
        <w:rPr>
          <w:lang w:val="en-GB"/>
        </w:rPr>
        <w:t>) has a negative effect on GDP per capita in the current year, while domestic investment (</w:t>
      </w:r>
      <w:r w:rsidRPr="0013591A">
        <w:rPr>
          <w:i/>
          <w:lang w:val="en-GB"/>
        </w:rPr>
        <w:t>invest</w:t>
      </w:r>
      <w:r w:rsidRPr="0013591A">
        <w:rPr>
          <w:lang w:val="en-GB"/>
        </w:rPr>
        <w:t xml:space="preserve">) </w:t>
      </w:r>
      <w:proofErr w:type="spellStart"/>
      <w:r w:rsidRPr="0013591A">
        <w:rPr>
          <w:lang w:val="en-GB"/>
        </w:rPr>
        <w:t>proxied</w:t>
      </w:r>
      <w:proofErr w:type="spellEnd"/>
      <w:r w:rsidRPr="0013591A">
        <w:rPr>
          <w:lang w:val="en-GB"/>
        </w:rPr>
        <w:t xml:space="preserve"> by gross fixed capital formation appears as a positive influence on GDP. However, if we allow FDI or domestic investment to influence </w:t>
      </w:r>
      <w:r w:rsidRPr="0013591A">
        <w:rPr>
          <w:lang w:val="en-GB"/>
        </w:rPr>
        <w:lastRenderedPageBreak/>
        <w:t>economic performance with two lags, they appear as significant and positive influences on economic performance. In these models, the institutional variable remains statistically significant with almost the same magnitude, although the model diagnostics substantially worsen (most likely reflecting degrees of freedom lost by lagging these variables). Since, these variables are not of primary interest, we report only the base specification with better model diagnostics. Finally, better initial conditions (</w:t>
      </w:r>
      <w:proofErr w:type="spellStart"/>
      <w:r w:rsidRPr="0013591A">
        <w:rPr>
          <w:i/>
          <w:lang w:val="en-GB"/>
        </w:rPr>
        <w:t>lninitial</w:t>
      </w:r>
      <w:proofErr w:type="spellEnd"/>
      <w:r w:rsidRPr="0013591A">
        <w:rPr>
          <w:lang w:val="en-GB"/>
        </w:rPr>
        <w:t xml:space="preserve">) in 1989 have a positive sign suggesting an advantage for those TCs with higher GDP per capita in 1989. Our findings on the non significance of budget balance, inflation and inward FDI are similar to those of </w:t>
      </w:r>
      <w:proofErr w:type="spellStart"/>
      <w:r w:rsidRPr="0013591A">
        <w:rPr>
          <w:lang w:val="en-GB"/>
        </w:rPr>
        <w:t>Redek</w:t>
      </w:r>
      <w:proofErr w:type="spellEnd"/>
      <w:r w:rsidRPr="0013591A">
        <w:rPr>
          <w:lang w:val="en-GB"/>
        </w:rPr>
        <w:t xml:space="preserve"> – </w:t>
      </w:r>
      <w:proofErr w:type="spellStart"/>
      <w:r w:rsidRPr="0013591A">
        <w:rPr>
          <w:lang w:val="en-GB"/>
        </w:rPr>
        <w:t>Susjan</w:t>
      </w:r>
      <w:proofErr w:type="spellEnd"/>
      <w:r w:rsidRPr="0013591A">
        <w:rPr>
          <w:lang w:val="en-GB"/>
        </w:rPr>
        <w:t xml:space="preserve"> (2005); the finding on FDI inflow is also consistent with </w:t>
      </w:r>
      <w:proofErr w:type="spellStart"/>
      <w:r w:rsidRPr="0013591A">
        <w:rPr>
          <w:lang w:val="en-GB"/>
        </w:rPr>
        <w:t>Carkovic</w:t>
      </w:r>
      <w:proofErr w:type="spellEnd"/>
      <w:r w:rsidRPr="0013591A">
        <w:rPr>
          <w:lang w:val="en-GB"/>
        </w:rPr>
        <w:t xml:space="preserve"> – Levine (2005).</w:t>
      </w:r>
    </w:p>
    <w:p w:rsidR="005D2586" w:rsidRPr="0013591A" w:rsidRDefault="005D2586" w:rsidP="0050719E">
      <w:pPr>
        <w:jc w:val="both"/>
        <w:rPr>
          <w:lang w:val="en-GB"/>
        </w:rPr>
      </w:pPr>
    </w:p>
    <w:p w:rsidR="005D2586" w:rsidRPr="0013591A" w:rsidRDefault="005D2586" w:rsidP="0050719E">
      <w:pPr>
        <w:jc w:val="both"/>
        <w:rPr>
          <w:lang w:val="en-GB"/>
        </w:rPr>
      </w:pPr>
    </w:p>
    <w:p w:rsidR="005D2586" w:rsidRPr="0013591A" w:rsidRDefault="005D2586" w:rsidP="00363142">
      <w:pPr>
        <w:spacing w:after="120" w:line="360" w:lineRule="auto"/>
        <w:jc w:val="both"/>
        <w:rPr>
          <w:lang w:val="en-GB"/>
        </w:rPr>
      </w:pPr>
      <w:r w:rsidRPr="0013591A">
        <w:rPr>
          <w:lang w:val="en-GB"/>
        </w:rPr>
        <w:t xml:space="preserve">We conducted a range of robustness checks. These checks investigate the sensitivity of our results to: different time-horizons over which recent institutional changes influence economic performance; the inclusion of dummy variables for EU integration and different groups of TCs; the use of ‘external’ instruments for institutional influence; different </w:t>
      </w:r>
      <w:proofErr w:type="spellStart"/>
      <w:r w:rsidRPr="0013591A">
        <w:rPr>
          <w:lang w:val="en-GB"/>
        </w:rPr>
        <w:t>endogeneity</w:t>
      </w:r>
      <w:proofErr w:type="spellEnd"/>
      <w:r w:rsidRPr="0013591A">
        <w:rPr>
          <w:lang w:val="en-GB"/>
        </w:rPr>
        <w:t xml:space="preserve"> assumptions, including a systematic robustness analysis of the chosen specification</w:t>
      </w:r>
      <w:r w:rsidR="00666299" w:rsidRPr="0013591A">
        <w:rPr>
          <w:lang w:val="en-GB"/>
        </w:rPr>
        <w:t xml:space="preserve"> implemented through a simple variant of extreme abound analysis</w:t>
      </w:r>
      <w:r w:rsidRPr="0013591A">
        <w:rPr>
          <w:lang w:val="en-GB"/>
        </w:rPr>
        <w:t xml:space="preserve">. Since we are limited with respect to space, we report the main findings </w:t>
      </w:r>
      <w:r w:rsidR="008E6F43" w:rsidRPr="0013591A">
        <w:rPr>
          <w:lang w:val="en-GB"/>
        </w:rPr>
        <w:t>in on-line appendix</w:t>
      </w:r>
      <w:r w:rsidR="00666299" w:rsidRPr="0013591A">
        <w:rPr>
          <w:lang w:val="en-GB"/>
        </w:rPr>
        <w:t xml:space="preserve"> (Appendix 5)</w:t>
      </w:r>
      <w:r w:rsidR="001F4ADE" w:rsidRPr="0013591A">
        <w:rPr>
          <w:lang w:val="en-GB"/>
        </w:rPr>
        <w:t>.</w:t>
      </w:r>
      <w:r w:rsidR="008E6F43" w:rsidRPr="0013591A">
        <w:rPr>
          <w:rStyle w:val="FootnoteReference"/>
          <w:lang w:val="en-GB"/>
        </w:rPr>
        <w:footnoteReference w:id="9"/>
      </w:r>
      <w:r w:rsidRPr="0013591A">
        <w:rPr>
          <w:lang w:val="en-GB"/>
        </w:rPr>
        <w:t xml:space="preserve"> </w:t>
      </w:r>
    </w:p>
    <w:p w:rsidR="00666299" w:rsidRPr="0013591A" w:rsidRDefault="00666299" w:rsidP="00363142">
      <w:pPr>
        <w:spacing w:after="120" w:line="360" w:lineRule="auto"/>
        <w:jc w:val="both"/>
        <w:rPr>
          <w:lang w:val="en-GB"/>
        </w:rPr>
      </w:pPr>
    </w:p>
    <w:p w:rsidR="005D2586" w:rsidRPr="0013591A" w:rsidRDefault="005D2586" w:rsidP="00363142">
      <w:pPr>
        <w:pStyle w:val="Heading1"/>
        <w:numPr>
          <w:ilvl w:val="0"/>
          <w:numId w:val="7"/>
        </w:numPr>
        <w:spacing w:before="0" w:after="240" w:line="360" w:lineRule="auto"/>
        <w:ind w:left="714" w:hanging="357"/>
        <w:jc w:val="center"/>
        <w:rPr>
          <w:rFonts w:ascii="Times New Roman" w:hAnsi="Times New Roman" w:cs="Times New Roman"/>
          <w:sz w:val="24"/>
          <w:szCs w:val="24"/>
          <w:lang w:val="en-GB"/>
        </w:rPr>
      </w:pPr>
      <w:r w:rsidRPr="0013591A">
        <w:rPr>
          <w:rFonts w:ascii="Times New Roman" w:hAnsi="Times New Roman" w:cs="Times New Roman"/>
          <w:sz w:val="24"/>
          <w:szCs w:val="24"/>
          <w:lang w:val="en-GB"/>
        </w:rPr>
        <w:t>CONCLUSIONS</w:t>
      </w:r>
    </w:p>
    <w:p w:rsidR="005D2586" w:rsidRPr="0013591A" w:rsidRDefault="005D2586" w:rsidP="00363142">
      <w:pPr>
        <w:spacing w:after="120" w:line="360" w:lineRule="auto"/>
        <w:jc w:val="both"/>
        <w:rPr>
          <w:lang w:val="en-GB"/>
        </w:rPr>
      </w:pPr>
      <w:r w:rsidRPr="0013591A">
        <w:rPr>
          <w:lang w:val="en-GB"/>
        </w:rPr>
        <w:t xml:space="preserve">The relationship between institutions and economic performance in transition has attracted significant attention among applied economists in recent years. Most findings suggest that improving institutions in TCs does influence economic performance significantly and positively. Our study </w:t>
      </w:r>
      <w:r w:rsidRPr="0013591A">
        <w:rPr>
          <w:i/>
          <w:lang w:val="en-GB"/>
        </w:rPr>
        <w:t xml:space="preserve">confirms the economic importance of institutions </w:t>
      </w:r>
      <w:r w:rsidRPr="0013591A">
        <w:rPr>
          <w:lang w:val="en-GB"/>
        </w:rPr>
        <w:t xml:space="preserve">and adds some new findings to be considered by applied economists and policy makers in transition. </w:t>
      </w:r>
    </w:p>
    <w:p w:rsidR="005D2586" w:rsidRPr="0013591A" w:rsidRDefault="005D2586" w:rsidP="00363142">
      <w:pPr>
        <w:spacing w:after="120" w:line="360" w:lineRule="auto"/>
        <w:jc w:val="both"/>
        <w:rPr>
          <w:lang w:val="en-GB"/>
        </w:rPr>
      </w:pPr>
      <w:r w:rsidRPr="0013591A">
        <w:rPr>
          <w:lang w:val="en-GB"/>
        </w:rPr>
        <w:t xml:space="preserve">Firstly, we find that </w:t>
      </w:r>
      <w:r w:rsidRPr="0013591A">
        <w:rPr>
          <w:i/>
          <w:lang w:val="en-GB"/>
        </w:rPr>
        <w:t xml:space="preserve">per capita GDP is determined by the entire history of institutional reform under transition and that, conditional on this history, per capita </w:t>
      </w:r>
      <w:r w:rsidRPr="0013591A">
        <w:rPr>
          <w:i/>
          <w:lang w:val="en-GB"/>
        </w:rPr>
        <w:lastRenderedPageBreak/>
        <w:t>GDP adjusts in addition to recent or medium-term institutional changes</w:t>
      </w:r>
      <w:r w:rsidRPr="0013591A">
        <w:rPr>
          <w:lang w:val="en-GB"/>
        </w:rPr>
        <w:t xml:space="preserve">. Moreover, we find that </w:t>
      </w:r>
      <w:r w:rsidRPr="0013591A">
        <w:rPr>
          <w:i/>
          <w:lang w:val="en-GB"/>
        </w:rPr>
        <w:t>the time-horizon over which we measure institutional performance matters</w:t>
      </w:r>
      <w:r w:rsidRPr="0013591A">
        <w:rPr>
          <w:lang w:val="en-GB"/>
        </w:rPr>
        <w:t xml:space="preserve">. We could identify neither a statistically significant contemporaneous influence of improving institutions on economic output nor a significant effect arising from institutional changes measured over periods longer than five years. Instead, we were able to identify positive and significant effects most robustly when these arose from five-year differences in our measure of institutional quality. This relationship is quite strong: a ten percent increase in the quality of institutions over the previous five years increases GDP per capita in transition countries by four per cent, on average. We also find that absolute improvements in institutional quality are subject to diminishing returns. As institutional quality approaches the ceiling of index equal to one, so the potential for institutional improvement to raise economic performance is reduced. </w:t>
      </w:r>
    </w:p>
    <w:p w:rsidR="005D2586" w:rsidRPr="0013591A" w:rsidRDefault="005D2586" w:rsidP="00363142">
      <w:pPr>
        <w:spacing w:after="120" w:line="360" w:lineRule="auto"/>
        <w:jc w:val="both"/>
        <w:rPr>
          <w:lang w:val="en-GB"/>
        </w:rPr>
      </w:pPr>
      <w:r w:rsidRPr="0013591A">
        <w:rPr>
          <w:lang w:val="en-GB"/>
        </w:rPr>
        <w:t>Our model takes into account the long term. Our estimated institutional effects are conditional on the entire history of institutional improvement (and, indeed, of all of the independent variables). However, we find that the response of economic performance to institutional improvement is a medium-term effect. Institutional change previously sustained over the medium term changes the current level of GDP per capita and thus sets a new starting level for the future evolution of GDP per capita. Moreover, this institutional effect is realised once-and-for-all, because it does not cumulate into a larger effect over time. In sum, our model estimates</w:t>
      </w:r>
      <w:r w:rsidRPr="0013591A">
        <w:rPr>
          <w:i/>
          <w:lang w:val="en-GB"/>
        </w:rPr>
        <w:t xml:space="preserve"> the current effect of recent medium-term institutional improvement on economic performance</w:t>
      </w:r>
      <w:r w:rsidRPr="0013591A">
        <w:rPr>
          <w:lang w:val="en-GB"/>
        </w:rPr>
        <w:t xml:space="preserve"> over and above the effects of the previous history of institutional improvement. </w:t>
      </w:r>
    </w:p>
    <w:p w:rsidR="001F4ADE" w:rsidRPr="0013591A" w:rsidRDefault="005D2586" w:rsidP="00363142">
      <w:pPr>
        <w:spacing w:after="120" w:line="360" w:lineRule="auto"/>
        <w:jc w:val="both"/>
        <w:rPr>
          <w:lang w:val="en-GB"/>
        </w:rPr>
      </w:pPr>
      <w:r w:rsidRPr="0013591A">
        <w:rPr>
          <w:lang w:val="en-GB"/>
        </w:rPr>
        <w:t xml:space="preserve">Secondly, the findings suggest that TCs as a whole suffered from universal time related shocks captured by period (year) dummy variables. An implication of this finding is that models omitting period dummies are </w:t>
      </w:r>
      <w:proofErr w:type="spellStart"/>
      <w:r w:rsidRPr="0013591A">
        <w:rPr>
          <w:lang w:val="en-GB"/>
        </w:rPr>
        <w:t>misspecified</w:t>
      </w:r>
      <w:proofErr w:type="spellEnd"/>
      <w:r w:rsidRPr="0013591A">
        <w:rPr>
          <w:lang w:val="en-GB"/>
        </w:rPr>
        <w:t xml:space="preserve">. </w:t>
      </w:r>
    </w:p>
    <w:p w:rsidR="005D2586" w:rsidRPr="0013591A" w:rsidRDefault="005D2586" w:rsidP="00363142">
      <w:pPr>
        <w:spacing w:after="120" w:line="360" w:lineRule="auto"/>
        <w:jc w:val="both"/>
        <w:rPr>
          <w:lang w:val="en-GB"/>
        </w:rPr>
      </w:pPr>
      <w:r w:rsidRPr="0013591A">
        <w:rPr>
          <w:lang w:val="en-GB"/>
        </w:rPr>
        <w:t xml:space="preserve">In the course of this study, we attempt to set out some </w:t>
      </w:r>
      <w:r w:rsidRPr="0013591A">
        <w:rPr>
          <w:i/>
          <w:lang w:val="en-GB"/>
        </w:rPr>
        <w:t>features of good practice in the study of institutional effects on economic performance</w:t>
      </w:r>
      <w:r w:rsidRPr="0013591A">
        <w:rPr>
          <w:lang w:val="en-GB"/>
        </w:rPr>
        <w:t xml:space="preserve">. We advance three practices to increase the validity of reported results: (1) in the absence of precise guidance from institutional theory on model specification, we consult meta-analysis of the literature for guidance on the implications of competing specification choices; </w:t>
      </w:r>
      <w:r w:rsidRPr="0013591A">
        <w:rPr>
          <w:lang w:val="en-GB"/>
        </w:rPr>
        <w:lastRenderedPageBreak/>
        <w:t>(2) we endorse dynamic panel modelling as the preferred approach to identifying institutional effects on economic performance, and of a SGMM approach to estimation, while insisting more than do previous studies on the importance of model diagnostic tests and checks; and (3) a further corollary of lack of guidance from theory on model specification is the requirement to conduct systematic checking of the robustness of reported results by comparison with results from competing specifications, to which end we propose a variant of extreme bounds analysis designed to check the robustness of dynamic panel estimates.</w:t>
      </w:r>
      <w:r w:rsidR="00011A83" w:rsidRPr="0013591A">
        <w:rPr>
          <w:lang w:val="en-GB"/>
        </w:rPr>
        <w:t xml:space="preserve"> (These features of good practice are all reported and discussed in the on-line Appendix accompanying this article: </w:t>
      </w:r>
      <w:hyperlink r:id="rId48" w:history="1">
        <w:r w:rsidR="00011A83" w:rsidRPr="0013591A">
          <w:rPr>
            <w:rStyle w:val="Hyperlink"/>
            <w:lang w:val="en-GB"/>
          </w:rPr>
          <w:t>www.efsa.unsa.ba/adnan.efendic</w:t>
        </w:r>
      </w:hyperlink>
      <w:r w:rsidR="00011A83" w:rsidRPr="0013591A">
        <w:rPr>
          <w:lang w:val="en-GB"/>
        </w:rPr>
        <w:t xml:space="preserve">.)  </w:t>
      </w:r>
    </w:p>
    <w:p w:rsidR="005D2586" w:rsidRPr="0013591A" w:rsidRDefault="005D2586" w:rsidP="00363142">
      <w:pPr>
        <w:spacing w:line="360" w:lineRule="auto"/>
        <w:jc w:val="both"/>
        <w:rPr>
          <w:b/>
          <w:lang w:val="en-GB"/>
        </w:rPr>
      </w:pPr>
      <w:r w:rsidRPr="0013591A">
        <w:rPr>
          <w:lang w:val="en-GB"/>
        </w:rPr>
        <w:t xml:space="preserve">Finally, from the perspective of </w:t>
      </w:r>
      <w:r w:rsidRPr="0013591A">
        <w:rPr>
          <w:i/>
          <w:lang w:val="en-GB"/>
        </w:rPr>
        <w:t>political decision-makers</w:t>
      </w:r>
      <w:r w:rsidRPr="0013591A">
        <w:rPr>
          <w:lang w:val="en-GB"/>
        </w:rPr>
        <w:t xml:space="preserve">, the preferred results are probably not very ‘encouraging’, because the effects of institutional improvement appear to work over longer time horizons than the typical electoral cycle. This may point to an inconsistency between policy-makers’ short-run priorities and sound policies for the medium and/or long run. This adds to the better understanding of lagging institutional reforms and improvements in some TCs, and so may help to inform potential strategies for maintaining and/or renewing impetus to institutional reform. </w:t>
      </w:r>
      <w:bookmarkStart w:id="15" w:name="_Toc182204629"/>
      <w:bookmarkStart w:id="16" w:name="_Toc239959133"/>
      <w:bookmarkStart w:id="17" w:name="_Toc240022832"/>
      <w:bookmarkStart w:id="18" w:name="_Toc240135415"/>
      <w:bookmarkStart w:id="19" w:name="_Toc240442371"/>
      <w:bookmarkStart w:id="20" w:name="_Toc240442817"/>
      <w:bookmarkStart w:id="21" w:name="_Toc240442900"/>
      <w:bookmarkStart w:id="22" w:name="_Toc240442983"/>
      <w:bookmarkStart w:id="23" w:name="_Toc292132647"/>
      <w:bookmarkEnd w:id="1"/>
      <w:bookmarkEnd w:id="2"/>
      <w:bookmarkEnd w:id="3"/>
      <w:bookmarkEnd w:id="4"/>
      <w:bookmarkEnd w:id="5"/>
      <w:bookmarkEnd w:id="6"/>
      <w:bookmarkEnd w:id="7"/>
      <w:bookmarkEnd w:id="8"/>
      <w:bookmarkEnd w:id="9"/>
      <w:bookmarkEnd w:id="10"/>
      <w:bookmarkEnd w:id="11"/>
      <w:bookmarkEnd w:id="12"/>
      <w:bookmarkEnd w:id="13"/>
    </w:p>
    <w:p w:rsidR="008D423E" w:rsidRPr="0013591A" w:rsidRDefault="008D423E" w:rsidP="00363142">
      <w:pPr>
        <w:spacing w:line="360" w:lineRule="auto"/>
        <w:jc w:val="both"/>
        <w:rPr>
          <w:b/>
          <w:lang w:val="en-GB"/>
        </w:rPr>
      </w:pPr>
    </w:p>
    <w:p w:rsidR="005D2586" w:rsidRPr="0013591A" w:rsidRDefault="005D2586" w:rsidP="008C310A">
      <w:pPr>
        <w:jc w:val="center"/>
        <w:rPr>
          <w:b/>
          <w:lang w:val="en-GB"/>
        </w:rPr>
      </w:pPr>
      <w:r w:rsidRPr="0013591A">
        <w:rPr>
          <w:b/>
          <w:lang w:val="en-GB"/>
        </w:rPr>
        <w:t>REFERENCES</w:t>
      </w:r>
      <w:bookmarkEnd w:id="15"/>
      <w:bookmarkEnd w:id="16"/>
      <w:bookmarkEnd w:id="17"/>
      <w:bookmarkEnd w:id="18"/>
      <w:bookmarkEnd w:id="19"/>
      <w:bookmarkEnd w:id="20"/>
      <w:bookmarkEnd w:id="21"/>
      <w:bookmarkEnd w:id="22"/>
      <w:bookmarkEnd w:id="23"/>
    </w:p>
    <w:p w:rsidR="005D2586" w:rsidRPr="0013591A" w:rsidRDefault="005D2586" w:rsidP="0025068A">
      <w:pPr>
        <w:spacing w:after="120"/>
        <w:jc w:val="both"/>
        <w:rPr>
          <w:lang w:val="en-GB"/>
        </w:rPr>
      </w:pPr>
    </w:p>
    <w:p w:rsidR="005D2586" w:rsidRPr="0013591A" w:rsidRDefault="005D2586" w:rsidP="00666299">
      <w:pPr>
        <w:spacing w:after="40" w:line="360" w:lineRule="auto"/>
        <w:jc w:val="both"/>
        <w:rPr>
          <w:lang w:val="en-GB"/>
        </w:rPr>
      </w:pPr>
      <w:proofErr w:type="spellStart"/>
      <w:r w:rsidRPr="0013591A">
        <w:rPr>
          <w:lang w:val="en-GB"/>
        </w:rPr>
        <w:t>Acemoglu</w:t>
      </w:r>
      <w:proofErr w:type="spellEnd"/>
      <w:r w:rsidRPr="0013591A">
        <w:rPr>
          <w:lang w:val="en-GB"/>
        </w:rPr>
        <w:t xml:space="preserve">, D. – Johnson, S. – Robinson, J. A. (2001): The colonial origins of comparative development: an empirical investigation. </w:t>
      </w:r>
      <w:r w:rsidRPr="0013591A">
        <w:rPr>
          <w:i/>
          <w:iCs/>
          <w:lang w:val="en-GB"/>
        </w:rPr>
        <w:t>The American Economic Review</w:t>
      </w:r>
      <w:r w:rsidRPr="0013591A">
        <w:rPr>
          <w:lang w:val="en-GB"/>
        </w:rPr>
        <w:t>, 91: 1369-1401.</w:t>
      </w:r>
    </w:p>
    <w:p w:rsidR="005D2586" w:rsidRPr="0013591A" w:rsidRDefault="005D2586" w:rsidP="00666299">
      <w:pPr>
        <w:spacing w:after="40" w:line="360" w:lineRule="auto"/>
        <w:jc w:val="both"/>
        <w:rPr>
          <w:lang w:val="en-GB"/>
        </w:rPr>
      </w:pPr>
      <w:proofErr w:type="spellStart"/>
      <w:r w:rsidRPr="0013591A">
        <w:rPr>
          <w:lang w:val="en-GB"/>
        </w:rPr>
        <w:t>Ahlerup</w:t>
      </w:r>
      <w:proofErr w:type="spellEnd"/>
      <w:r w:rsidRPr="0013591A">
        <w:rPr>
          <w:lang w:val="en-GB"/>
        </w:rPr>
        <w:t xml:space="preserve">, P. – Olsson, O. – </w:t>
      </w:r>
      <w:proofErr w:type="spellStart"/>
      <w:r w:rsidRPr="0013591A">
        <w:rPr>
          <w:lang w:val="en-GB"/>
        </w:rPr>
        <w:t>Yanagizawa</w:t>
      </w:r>
      <w:proofErr w:type="spellEnd"/>
      <w:r w:rsidRPr="0013591A">
        <w:rPr>
          <w:lang w:val="en-GB"/>
        </w:rPr>
        <w:t xml:space="preserve">, D. (2009): Social capital </w:t>
      </w:r>
      <w:proofErr w:type="spellStart"/>
      <w:r w:rsidRPr="0013591A">
        <w:rPr>
          <w:lang w:val="en-GB"/>
        </w:rPr>
        <w:t>vs</w:t>
      </w:r>
      <w:proofErr w:type="spellEnd"/>
      <w:r w:rsidRPr="0013591A">
        <w:rPr>
          <w:lang w:val="en-GB"/>
        </w:rPr>
        <w:t xml:space="preserve"> institutions in the growth process. </w:t>
      </w:r>
      <w:r w:rsidRPr="0013591A">
        <w:rPr>
          <w:i/>
          <w:iCs/>
          <w:lang w:val="en-GB"/>
        </w:rPr>
        <w:t>European Journal of Political Economy</w:t>
      </w:r>
      <w:r w:rsidRPr="0013591A">
        <w:rPr>
          <w:lang w:val="en-GB"/>
        </w:rPr>
        <w:t>, 25: 1-14.</w:t>
      </w:r>
    </w:p>
    <w:p w:rsidR="005D2586" w:rsidRPr="0013591A" w:rsidRDefault="005D2586" w:rsidP="00666299">
      <w:pPr>
        <w:spacing w:after="40" w:line="360" w:lineRule="auto"/>
        <w:jc w:val="both"/>
        <w:rPr>
          <w:lang w:val="en-GB"/>
        </w:rPr>
      </w:pPr>
      <w:proofErr w:type="spellStart"/>
      <w:r w:rsidRPr="0013591A">
        <w:rPr>
          <w:lang w:val="en-GB"/>
        </w:rPr>
        <w:t>Aron</w:t>
      </w:r>
      <w:proofErr w:type="spellEnd"/>
      <w:r w:rsidRPr="0013591A">
        <w:rPr>
          <w:lang w:val="en-GB"/>
        </w:rPr>
        <w:t xml:space="preserve">, J. (2000): Growth and institutions: a review of the evidence. </w:t>
      </w:r>
      <w:r w:rsidRPr="0013591A">
        <w:rPr>
          <w:i/>
          <w:iCs/>
          <w:lang w:val="en-GB"/>
        </w:rPr>
        <w:t>The World Bank Research Observer</w:t>
      </w:r>
      <w:r w:rsidRPr="0013591A">
        <w:rPr>
          <w:lang w:val="en-GB"/>
        </w:rPr>
        <w:t>, 15: 99-135.</w:t>
      </w:r>
    </w:p>
    <w:p w:rsidR="005D2586" w:rsidRPr="0013591A" w:rsidRDefault="005D2586" w:rsidP="00666299">
      <w:pPr>
        <w:spacing w:after="40" w:line="360" w:lineRule="auto"/>
        <w:jc w:val="both"/>
        <w:rPr>
          <w:lang w:val="en-GB"/>
        </w:rPr>
      </w:pPr>
      <w:proofErr w:type="spellStart"/>
      <w:r w:rsidRPr="0013591A">
        <w:rPr>
          <w:lang w:val="en-GB"/>
        </w:rPr>
        <w:t>Arrelano</w:t>
      </w:r>
      <w:proofErr w:type="spellEnd"/>
      <w:r w:rsidRPr="0013591A">
        <w:rPr>
          <w:lang w:val="en-GB"/>
        </w:rPr>
        <w:t xml:space="preserve">, M. – Bond, S. (1991): Some tests of specification in panel data: Monte Carlo evidence and an application to employment equations. </w:t>
      </w:r>
      <w:r w:rsidRPr="0013591A">
        <w:rPr>
          <w:i/>
          <w:iCs/>
          <w:lang w:val="en-GB"/>
        </w:rPr>
        <w:t>Review of Economics and Statistics</w:t>
      </w:r>
      <w:r w:rsidRPr="0013591A">
        <w:rPr>
          <w:lang w:val="en-GB"/>
        </w:rPr>
        <w:t>, 58: 277-297.</w:t>
      </w:r>
    </w:p>
    <w:p w:rsidR="005D2586" w:rsidRPr="0013591A" w:rsidRDefault="005D2586" w:rsidP="00666299">
      <w:pPr>
        <w:spacing w:after="40" w:line="360" w:lineRule="auto"/>
        <w:jc w:val="both"/>
        <w:rPr>
          <w:color w:val="000000"/>
          <w:lang w:val="en-GB"/>
        </w:rPr>
      </w:pPr>
      <w:proofErr w:type="spellStart"/>
      <w:r w:rsidRPr="0013591A">
        <w:rPr>
          <w:color w:val="000000"/>
          <w:lang w:val="en-GB"/>
        </w:rPr>
        <w:lastRenderedPageBreak/>
        <w:t>Basu</w:t>
      </w:r>
      <w:proofErr w:type="spellEnd"/>
      <w:r w:rsidRPr="0013591A">
        <w:rPr>
          <w:color w:val="000000"/>
          <w:lang w:val="en-GB"/>
        </w:rPr>
        <w:t xml:space="preserve"> S. R. (2008): A new way to link development to institutions, policies and geography. </w:t>
      </w:r>
      <w:r w:rsidRPr="0013591A">
        <w:rPr>
          <w:i/>
          <w:iCs/>
          <w:color w:val="000000"/>
          <w:lang w:val="en-GB"/>
        </w:rPr>
        <w:t>UNCTAD Policy Issues in International Trade and Commodities Study Series</w:t>
      </w:r>
      <w:r w:rsidRPr="0013591A">
        <w:rPr>
          <w:color w:val="000000"/>
          <w:lang w:val="en-GB"/>
        </w:rPr>
        <w:t xml:space="preserve">, No. 37. </w:t>
      </w:r>
    </w:p>
    <w:p w:rsidR="005D2586" w:rsidRPr="0013591A" w:rsidRDefault="005D2586" w:rsidP="00666299">
      <w:pPr>
        <w:spacing w:after="40" w:line="360" w:lineRule="auto"/>
        <w:jc w:val="both"/>
        <w:rPr>
          <w:color w:val="000000"/>
          <w:lang w:val="en-GB"/>
        </w:rPr>
      </w:pPr>
      <w:r w:rsidRPr="0013591A">
        <w:rPr>
          <w:color w:val="000000"/>
          <w:lang w:val="en-GB"/>
        </w:rPr>
        <w:t xml:space="preserve">Beck, T. – </w:t>
      </w:r>
      <w:proofErr w:type="spellStart"/>
      <w:r w:rsidRPr="0013591A">
        <w:rPr>
          <w:color w:val="000000"/>
          <w:lang w:val="en-GB"/>
        </w:rPr>
        <w:t>Laeven</w:t>
      </w:r>
      <w:proofErr w:type="spellEnd"/>
      <w:r w:rsidRPr="0013591A">
        <w:rPr>
          <w:color w:val="000000"/>
          <w:lang w:val="en-GB"/>
        </w:rPr>
        <w:t xml:space="preserve">, L. (2006): Institution building and growth in transition economies. </w:t>
      </w:r>
      <w:r w:rsidRPr="0013591A">
        <w:rPr>
          <w:i/>
          <w:iCs/>
          <w:color w:val="000000"/>
          <w:lang w:val="en-GB"/>
        </w:rPr>
        <w:t>Journal of Economic Growth</w:t>
      </w:r>
      <w:r w:rsidRPr="0013591A">
        <w:rPr>
          <w:color w:val="000000"/>
          <w:lang w:val="en-GB"/>
        </w:rPr>
        <w:t>, 11: 157-186.</w:t>
      </w:r>
    </w:p>
    <w:p w:rsidR="005D2586" w:rsidRPr="0013591A" w:rsidRDefault="005D2586" w:rsidP="00666299">
      <w:pPr>
        <w:spacing w:after="40" w:line="360" w:lineRule="auto"/>
        <w:jc w:val="both"/>
        <w:rPr>
          <w:lang w:val="en-GB"/>
        </w:rPr>
      </w:pPr>
      <w:proofErr w:type="spellStart"/>
      <w:r w:rsidRPr="0013591A">
        <w:rPr>
          <w:lang w:val="en-GB"/>
        </w:rPr>
        <w:t>Bjornskov</w:t>
      </w:r>
      <w:proofErr w:type="spellEnd"/>
      <w:r w:rsidRPr="0013591A">
        <w:rPr>
          <w:lang w:val="en-GB"/>
        </w:rPr>
        <w:t xml:space="preserve">, C. – </w:t>
      </w:r>
      <w:proofErr w:type="spellStart"/>
      <w:r w:rsidRPr="0013591A">
        <w:rPr>
          <w:lang w:val="en-GB"/>
        </w:rPr>
        <w:t>Dreher</w:t>
      </w:r>
      <w:proofErr w:type="spellEnd"/>
      <w:r w:rsidRPr="0013591A">
        <w:rPr>
          <w:lang w:val="en-GB"/>
        </w:rPr>
        <w:t xml:space="preserve">, A. – Fischer, A. V. (2010): Formal institutions and subjective well-being: revisiting the cross-country evidence. </w:t>
      </w:r>
      <w:r w:rsidRPr="0013591A">
        <w:rPr>
          <w:i/>
          <w:iCs/>
          <w:lang w:val="en-GB"/>
        </w:rPr>
        <w:t>European Journal of Political Economy</w:t>
      </w:r>
      <w:r w:rsidRPr="0013591A">
        <w:rPr>
          <w:lang w:val="en-GB"/>
        </w:rPr>
        <w:t>, 26: 419-430.</w:t>
      </w:r>
    </w:p>
    <w:p w:rsidR="005D2586" w:rsidRPr="0013591A" w:rsidRDefault="005D2586" w:rsidP="00666299">
      <w:pPr>
        <w:spacing w:after="40" w:line="360" w:lineRule="auto"/>
        <w:jc w:val="both"/>
        <w:rPr>
          <w:lang w:val="en-GB"/>
        </w:rPr>
      </w:pPr>
      <w:r w:rsidRPr="0013591A">
        <w:rPr>
          <w:lang w:val="en-GB"/>
        </w:rPr>
        <w:t xml:space="preserve">Blundell, R. – Bond, S. (1998): Initial conditions and moment restrictions in dynamic panel data models. </w:t>
      </w:r>
      <w:r w:rsidRPr="0013591A">
        <w:rPr>
          <w:i/>
          <w:iCs/>
          <w:lang w:val="en-GB"/>
        </w:rPr>
        <w:t>Journal of Econometrics</w:t>
      </w:r>
      <w:r w:rsidRPr="0013591A">
        <w:rPr>
          <w:lang w:val="en-GB"/>
        </w:rPr>
        <w:t>, 87: 11-143.</w:t>
      </w:r>
    </w:p>
    <w:p w:rsidR="005D2586" w:rsidRPr="0013591A" w:rsidRDefault="005D2586" w:rsidP="00666299">
      <w:pPr>
        <w:spacing w:after="40" w:line="360" w:lineRule="auto"/>
        <w:jc w:val="both"/>
        <w:rPr>
          <w:lang w:val="en-GB"/>
        </w:rPr>
      </w:pPr>
      <w:proofErr w:type="spellStart"/>
      <w:r w:rsidRPr="0013591A">
        <w:rPr>
          <w:lang w:val="en-GB"/>
        </w:rPr>
        <w:t>Busse</w:t>
      </w:r>
      <w:proofErr w:type="spellEnd"/>
      <w:r w:rsidRPr="0013591A">
        <w:rPr>
          <w:lang w:val="en-GB"/>
        </w:rPr>
        <w:t xml:space="preserve">, M. – </w:t>
      </w:r>
      <w:proofErr w:type="spellStart"/>
      <w:r w:rsidRPr="0013591A">
        <w:rPr>
          <w:lang w:val="en-GB"/>
        </w:rPr>
        <w:t>Hefeker</w:t>
      </w:r>
      <w:proofErr w:type="spellEnd"/>
      <w:r w:rsidRPr="0013591A">
        <w:rPr>
          <w:lang w:val="en-GB"/>
        </w:rPr>
        <w:t xml:space="preserve">, C. (2007): Political risk, institutions and foreign direct investment. </w:t>
      </w:r>
      <w:r w:rsidRPr="0013591A">
        <w:rPr>
          <w:i/>
          <w:iCs/>
          <w:lang w:val="en-GB"/>
        </w:rPr>
        <w:t>European Journal of Political Economy</w:t>
      </w:r>
      <w:r w:rsidRPr="0013591A">
        <w:rPr>
          <w:lang w:val="en-GB"/>
        </w:rPr>
        <w:t xml:space="preserve">, 23: 397-415. </w:t>
      </w:r>
    </w:p>
    <w:p w:rsidR="005D2586" w:rsidRPr="00363142" w:rsidRDefault="005D2586" w:rsidP="00666299">
      <w:pPr>
        <w:spacing w:after="40" w:line="360" w:lineRule="auto"/>
        <w:jc w:val="both"/>
        <w:rPr>
          <w:lang w:val="en-GB"/>
        </w:rPr>
      </w:pPr>
      <w:proofErr w:type="spellStart"/>
      <w:r w:rsidRPr="0013591A">
        <w:rPr>
          <w:lang w:val="en-GB"/>
        </w:rPr>
        <w:t>Carkovic</w:t>
      </w:r>
      <w:proofErr w:type="spellEnd"/>
      <w:r w:rsidRPr="0013591A">
        <w:rPr>
          <w:lang w:val="en-GB"/>
        </w:rPr>
        <w:t>, M. V. – Levine, R. (2005): Does foreign direct investment accelerate economic growth</w:t>
      </w:r>
      <w:proofErr w:type="gramStart"/>
      <w:r w:rsidRPr="0013591A">
        <w:rPr>
          <w:lang w:val="en-GB"/>
        </w:rPr>
        <w:t>?.</w:t>
      </w:r>
      <w:proofErr w:type="gramEnd"/>
      <w:r w:rsidRPr="0013591A">
        <w:rPr>
          <w:lang w:val="en-GB"/>
        </w:rPr>
        <w:t xml:space="preserve"> In: Moran, T. H. – Graham, E. M. – </w:t>
      </w:r>
      <w:proofErr w:type="spellStart"/>
      <w:r w:rsidRPr="0013591A">
        <w:rPr>
          <w:lang w:val="en-GB"/>
        </w:rPr>
        <w:t>Blomstrom</w:t>
      </w:r>
      <w:proofErr w:type="spellEnd"/>
      <w:r w:rsidRPr="0013591A">
        <w:rPr>
          <w:lang w:val="en-GB"/>
        </w:rPr>
        <w:t>, M. (</w:t>
      </w:r>
      <w:proofErr w:type="spellStart"/>
      <w:r w:rsidRPr="0013591A">
        <w:rPr>
          <w:lang w:val="en-GB"/>
        </w:rPr>
        <w:t>eds</w:t>
      </w:r>
      <w:proofErr w:type="spellEnd"/>
      <w:r w:rsidRPr="0013591A">
        <w:rPr>
          <w:lang w:val="en-GB"/>
        </w:rPr>
        <w:t xml:space="preserve">): </w:t>
      </w:r>
      <w:r w:rsidRPr="0013591A">
        <w:rPr>
          <w:bCs/>
          <w:i/>
          <w:iCs/>
          <w:lang w:val="en-GB"/>
        </w:rPr>
        <w:t>Does foreign direct investment promote development</w:t>
      </w:r>
      <w:proofErr w:type="gramStart"/>
      <w:r w:rsidRPr="0013591A">
        <w:rPr>
          <w:bCs/>
          <w:i/>
          <w:iCs/>
          <w:lang w:val="en-GB"/>
        </w:rPr>
        <w:t>?</w:t>
      </w:r>
      <w:r w:rsidRPr="0013591A">
        <w:rPr>
          <w:lang w:val="en-GB"/>
        </w:rPr>
        <w:t>.</w:t>
      </w:r>
      <w:proofErr w:type="gramEnd"/>
      <w:r w:rsidRPr="0013591A">
        <w:rPr>
          <w:lang w:val="en-GB"/>
        </w:rPr>
        <w:t xml:space="preserve"> </w:t>
      </w:r>
      <w:r w:rsidRPr="0013591A">
        <w:rPr>
          <w:bCs/>
          <w:lang w:val="en-GB"/>
        </w:rPr>
        <w:t>Washington: Institute for International Economics</w:t>
      </w:r>
      <w:r w:rsidRPr="0013591A">
        <w:rPr>
          <w:lang w:val="en-GB"/>
        </w:rPr>
        <w:t>, 195-220.</w:t>
      </w:r>
    </w:p>
    <w:p w:rsidR="005D2586" w:rsidRPr="00363142" w:rsidRDefault="005D2586" w:rsidP="00666299">
      <w:pPr>
        <w:spacing w:after="40" w:line="360" w:lineRule="auto"/>
        <w:jc w:val="both"/>
        <w:rPr>
          <w:color w:val="000000"/>
          <w:lang w:val="en-GB"/>
        </w:rPr>
      </w:pPr>
      <w:proofErr w:type="spellStart"/>
      <w:r w:rsidRPr="00363142">
        <w:rPr>
          <w:color w:val="000000"/>
          <w:lang w:val="en-GB"/>
        </w:rPr>
        <w:t>Chousa</w:t>
      </w:r>
      <w:proofErr w:type="spellEnd"/>
      <w:r w:rsidRPr="00363142">
        <w:rPr>
          <w:color w:val="000000"/>
          <w:lang w:val="en-GB"/>
        </w:rPr>
        <w:t xml:space="preserve">, J. P. – Khan, H. A. – </w:t>
      </w:r>
      <w:proofErr w:type="spellStart"/>
      <w:r w:rsidRPr="00363142">
        <w:rPr>
          <w:color w:val="000000"/>
          <w:lang w:val="en-GB"/>
        </w:rPr>
        <w:t>Melikyan</w:t>
      </w:r>
      <w:proofErr w:type="spellEnd"/>
      <w:r w:rsidRPr="00363142">
        <w:rPr>
          <w:color w:val="000000"/>
          <w:lang w:val="en-GB"/>
        </w:rPr>
        <w:t xml:space="preserve">, D. – </w:t>
      </w:r>
      <w:proofErr w:type="spellStart"/>
      <w:r w:rsidRPr="00363142">
        <w:rPr>
          <w:color w:val="000000"/>
          <w:lang w:val="en-GB"/>
        </w:rPr>
        <w:t>Tamazian</w:t>
      </w:r>
      <w:proofErr w:type="spellEnd"/>
      <w:r w:rsidRPr="00363142">
        <w:rPr>
          <w:color w:val="000000"/>
          <w:lang w:val="en-GB"/>
        </w:rPr>
        <w:t xml:space="preserve">, A. (2005): Assessing institutional efficiency, growth and integration. </w:t>
      </w:r>
      <w:proofErr w:type="gramStart"/>
      <w:r w:rsidRPr="00363142">
        <w:rPr>
          <w:i/>
          <w:iCs/>
          <w:color w:val="000000"/>
          <w:lang w:val="en-GB"/>
        </w:rPr>
        <w:t>Emerging Markets Review</w:t>
      </w:r>
      <w:r w:rsidRPr="00363142">
        <w:rPr>
          <w:color w:val="000000"/>
          <w:lang w:val="en-GB"/>
        </w:rPr>
        <w:t>, 6: 69-84.</w:t>
      </w:r>
      <w:proofErr w:type="gramEnd"/>
    </w:p>
    <w:p w:rsidR="005D2586" w:rsidRPr="00363142" w:rsidRDefault="005D2586" w:rsidP="00666299">
      <w:pPr>
        <w:spacing w:after="40" w:line="360" w:lineRule="auto"/>
        <w:jc w:val="both"/>
        <w:rPr>
          <w:lang w:val="en-GB"/>
        </w:rPr>
      </w:pPr>
      <w:r w:rsidRPr="00363142">
        <w:rPr>
          <w:lang w:val="en-GB"/>
        </w:rPr>
        <w:t xml:space="preserve">Di </w:t>
      </w:r>
      <w:proofErr w:type="spellStart"/>
      <w:r w:rsidRPr="00363142">
        <w:rPr>
          <w:lang w:val="en-GB"/>
        </w:rPr>
        <w:t>Tommaso</w:t>
      </w:r>
      <w:proofErr w:type="spellEnd"/>
      <w:r w:rsidRPr="00363142">
        <w:rPr>
          <w:lang w:val="en-GB"/>
        </w:rPr>
        <w:t xml:space="preserve">, M. L. – Raiser, M. – Weeks, M. (2007): Home grown or imported? </w:t>
      </w:r>
      <w:proofErr w:type="gramStart"/>
      <w:r w:rsidRPr="00363142">
        <w:rPr>
          <w:lang w:val="en-GB"/>
        </w:rPr>
        <w:t>Initial conditions, external anchors and the determinants of institutional reform in the transition economies.</w:t>
      </w:r>
      <w:proofErr w:type="gramEnd"/>
      <w:r w:rsidRPr="00363142">
        <w:rPr>
          <w:lang w:val="en-GB"/>
        </w:rPr>
        <w:t xml:space="preserve"> </w:t>
      </w:r>
      <w:r w:rsidRPr="00363142">
        <w:rPr>
          <w:i/>
          <w:iCs/>
          <w:lang w:val="en-GB"/>
        </w:rPr>
        <w:t>The Economic Journal</w:t>
      </w:r>
      <w:r w:rsidRPr="00363142">
        <w:rPr>
          <w:lang w:val="en-GB"/>
        </w:rPr>
        <w:t xml:space="preserve">, 117: 858-881. </w:t>
      </w:r>
    </w:p>
    <w:p w:rsidR="005D2586" w:rsidRPr="00363142" w:rsidRDefault="005D2586" w:rsidP="00666299">
      <w:pPr>
        <w:spacing w:after="40" w:line="360" w:lineRule="auto"/>
        <w:jc w:val="both"/>
        <w:rPr>
          <w:bCs/>
          <w:lang w:val="en-GB"/>
        </w:rPr>
      </w:pPr>
      <w:r w:rsidRPr="00363142">
        <w:rPr>
          <w:lang w:val="en-GB"/>
        </w:rPr>
        <w:t xml:space="preserve">Easterly, W. (2009): The anarchy of success. </w:t>
      </w:r>
      <w:r w:rsidRPr="00363142">
        <w:rPr>
          <w:i/>
          <w:iCs/>
          <w:lang w:val="en-GB"/>
        </w:rPr>
        <w:t>The New York Review of Books</w:t>
      </w:r>
      <w:r w:rsidRPr="00363142">
        <w:rPr>
          <w:lang w:val="en-GB"/>
        </w:rPr>
        <w:t>, 56: 28–30.</w:t>
      </w:r>
    </w:p>
    <w:p w:rsidR="005D2586" w:rsidRPr="00363142" w:rsidRDefault="005D2586" w:rsidP="00666299">
      <w:pPr>
        <w:tabs>
          <w:tab w:val="num" w:pos="720"/>
        </w:tabs>
        <w:spacing w:after="40" w:line="360" w:lineRule="auto"/>
        <w:jc w:val="both"/>
        <w:rPr>
          <w:iCs/>
          <w:lang w:val="en-GB"/>
        </w:rPr>
      </w:pPr>
      <w:r w:rsidRPr="00363142">
        <w:rPr>
          <w:lang w:val="en-GB"/>
        </w:rPr>
        <w:t xml:space="preserve">Efendic, A. – Pugh, G. – </w:t>
      </w:r>
      <w:proofErr w:type="spellStart"/>
      <w:r w:rsidRPr="00363142">
        <w:rPr>
          <w:lang w:val="en-GB"/>
        </w:rPr>
        <w:t>Adnett</w:t>
      </w:r>
      <w:proofErr w:type="spellEnd"/>
      <w:r w:rsidRPr="00363142">
        <w:rPr>
          <w:lang w:val="en-GB"/>
        </w:rPr>
        <w:t xml:space="preserve">, N. (2011): </w:t>
      </w:r>
      <w:r w:rsidRPr="00363142">
        <w:rPr>
          <w:iCs/>
          <w:lang w:val="en-GB"/>
        </w:rPr>
        <w:t xml:space="preserve">Institutions and economic performance: a meta-regression analysis. </w:t>
      </w:r>
      <w:r w:rsidRPr="00363142">
        <w:rPr>
          <w:i/>
          <w:lang w:val="en-GB"/>
        </w:rPr>
        <w:t>European Journal of Political Economy</w:t>
      </w:r>
      <w:r w:rsidRPr="00363142">
        <w:rPr>
          <w:iCs/>
          <w:lang w:val="en-GB"/>
        </w:rPr>
        <w:t xml:space="preserve">, 27: 586-599. </w:t>
      </w:r>
    </w:p>
    <w:p w:rsidR="005D2586" w:rsidRPr="00363142" w:rsidRDefault="005D2586" w:rsidP="00666299">
      <w:pPr>
        <w:tabs>
          <w:tab w:val="num" w:pos="720"/>
        </w:tabs>
        <w:spacing w:after="40" w:line="360" w:lineRule="auto"/>
        <w:jc w:val="both"/>
        <w:rPr>
          <w:iCs/>
          <w:lang w:val="en-GB"/>
        </w:rPr>
      </w:pPr>
      <w:r w:rsidRPr="00363142">
        <w:rPr>
          <w:lang w:val="en-GB"/>
        </w:rPr>
        <w:t xml:space="preserve">Efendic, A. – Pugh, G. – </w:t>
      </w:r>
      <w:proofErr w:type="spellStart"/>
      <w:r w:rsidRPr="00363142">
        <w:rPr>
          <w:lang w:val="en-GB"/>
        </w:rPr>
        <w:t>Adnett</w:t>
      </w:r>
      <w:proofErr w:type="spellEnd"/>
      <w:r w:rsidRPr="00363142">
        <w:rPr>
          <w:lang w:val="en-GB"/>
        </w:rPr>
        <w:t xml:space="preserve">, N. (2011a): </w:t>
      </w:r>
      <w:r w:rsidRPr="00363142">
        <w:rPr>
          <w:iCs/>
          <w:lang w:val="en-GB"/>
        </w:rPr>
        <w:t xml:space="preserve"> Confidence in formal institutions and reliance on informal institutions in Bosnia and Herzegovina: an empirical investigation using survey data. </w:t>
      </w:r>
      <w:r w:rsidRPr="00363142">
        <w:rPr>
          <w:i/>
          <w:iCs/>
          <w:lang w:val="en-GB"/>
        </w:rPr>
        <w:t>Economics of Transition</w:t>
      </w:r>
      <w:r w:rsidRPr="00363142">
        <w:rPr>
          <w:iCs/>
          <w:lang w:val="en-GB"/>
        </w:rPr>
        <w:t>, 19: 521-540.</w:t>
      </w:r>
    </w:p>
    <w:p w:rsidR="005D2586" w:rsidRDefault="005D2586" w:rsidP="00666299">
      <w:pPr>
        <w:tabs>
          <w:tab w:val="num" w:pos="720"/>
        </w:tabs>
        <w:spacing w:after="40" w:line="360" w:lineRule="auto"/>
        <w:jc w:val="both"/>
        <w:rPr>
          <w:lang w:val="bs-Latn-BA"/>
        </w:rPr>
      </w:pPr>
      <w:r w:rsidRPr="00363142">
        <w:rPr>
          <w:lang w:val="en-GB"/>
        </w:rPr>
        <w:t xml:space="preserve">Efendic, A. – Mickiewicz, T. – </w:t>
      </w:r>
      <w:proofErr w:type="spellStart"/>
      <w:r w:rsidRPr="00363142">
        <w:rPr>
          <w:lang w:val="en-GB"/>
        </w:rPr>
        <w:t>Rebmann</w:t>
      </w:r>
      <w:proofErr w:type="spellEnd"/>
      <w:r w:rsidRPr="00363142">
        <w:rPr>
          <w:lang w:val="en-GB"/>
        </w:rPr>
        <w:t>, A. (2014): Growth aspirations and social capital: young firms in a post-conflict environment</w:t>
      </w:r>
      <w:r w:rsidRPr="00363142">
        <w:rPr>
          <w:i/>
          <w:lang w:val="en-GB"/>
        </w:rPr>
        <w:t>. International Small Business Journal</w:t>
      </w:r>
      <w:r w:rsidRPr="00363142">
        <w:rPr>
          <w:lang w:val="en-GB"/>
        </w:rPr>
        <w:t xml:space="preserve">, </w:t>
      </w:r>
      <w:r w:rsidR="0091411E">
        <w:rPr>
          <w:lang w:val="bs-Latn-BA"/>
        </w:rPr>
        <w:t>33: 537-561.</w:t>
      </w:r>
    </w:p>
    <w:p w:rsidR="00852F8F" w:rsidRPr="00363142" w:rsidRDefault="00852F8F" w:rsidP="00666299">
      <w:pPr>
        <w:tabs>
          <w:tab w:val="num" w:pos="720"/>
        </w:tabs>
        <w:spacing w:after="40" w:line="360" w:lineRule="auto"/>
        <w:jc w:val="both"/>
        <w:rPr>
          <w:iCs/>
          <w:lang w:val="bs-Latn-BA"/>
        </w:rPr>
      </w:pPr>
      <w:r>
        <w:rPr>
          <w:lang w:val="bs-Latn-BA"/>
        </w:rPr>
        <w:lastRenderedPageBreak/>
        <w:t>Efendic,</w:t>
      </w:r>
      <w:r w:rsidR="004306D7">
        <w:rPr>
          <w:lang w:val="bs-Latn-BA"/>
        </w:rPr>
        <w:t xml:space="preserve"> </w:t>
      </w:r>
      <w:r>
        <w:rPr>
          <w:lang w:val="bs-Latn-BA"/>
        </w:rPr>
        <w:t xml:space="preserve">A. (2010): </w:t>
      </w:r>
      <w:r w:rsidRPr="00852F8F">
        <w:rPr>
          <w:i/>
          <w:lang w:val="bs-Latn-BA"/>
        </w:rPr>
        <w:t>Institutions and economic performance in transition with special reference to Bosnia and Herzegovina.</w:t>
      </w:r>
      <w:r>
        <w:rPr>
          <w:lang w:val="bs-Latn-BA"/>
        </w:rPr>
        <w:t xml:space="preserve"> LAP: Saarbrucken. </w:t>
      </w:r>
    </w:p>
    <w:p w:rsidR="005D2586" w:rsidRPr="00363142" w:rsidRDefault="005D2586" w:rsidP="00666299">
      <w:pPr>
        <w:spacing w:after="40" w:line="360" w:lineRule="auto"/>
        <w:jc w:val="both"/>
        <w:rPr>
          <w:lang w:val="en-GB"/>
        </w:rPr>
      </w:pPr>
      <w:proofErr w:type="spellStart"/>
      <w:r w:rsidRPr="00363142">
        <w:rPr>
          <w:lang w:val="en-GB"/>
        </w:rPr>
        <w:t>Eicher</w:t>
      </w:r>
      <w:proofErr w:type="spellEnd"/>
      <w:r w:rsidRPr="00363142">
        <w:rPr>
          <w:lang w:val="en-GB"/>
        </w:rPr>
        <w:t xml:space="preserve">, T. – </w:t>
      </w:r>
      <w:proofErr w:type="spellStart"/>
      <w:r w:rsidRPr="00363142">
        <w:rPr>
          <w:lang w:val="en-GB"/>
        </w:rPr>
        <w:t>Leukert</w:t>
      </w:r>
      <w:proofErr w:type="spellEnd"/>
      <w:r w:rsidRPr="00363142">
        <w:rPr>
          <w:lang w:val="en-GB"/>
        </w:rPr>
        <w:t xml:space="preserve">, A. (2009): Institutions and economic performance: </w:t>
      </w:r>
      <w:proofErr w:type="spellStart"/>
      <w:r w:rsidRPr="00363142">
        <w:rPr>
          <w:lang w:val="en-GB"/>
        </w:rPr>
        <w:t>endogeneity</w:t>
      </w:r>
      <w:proofErr w:type="spellEnd"/>
      <w:r w:rsidRPr="00363142">
        <w:rPr>
          <w:lang w:val="en-GB"/>
        </w:rPr>
        <w:t xml:space="preserve"> and parameter heterogeneity. </w:t>
      </w:r>
      <w:r w:rsidRPr="00363142">
        <w:rPr>
          <w:i/>
          <w:iCs/>
          <w:lang w:val="en-GB"/>
        </w:rPr>
        <w:t>Journal of Money, Credit and Banking</w:t>
      </w:r>
      <w:r w:rsidRPr="00363142">
        <w:rPr>
          <w:lang w:val="en-GB"/>
        </w:rPr>
        <w:t>, 41: 197-219.</w:t>
      </w:r>
    </w:p>
    <w:p w:rsidR="005D2586" w:rsidRPr="00363142" w:rsidRDefault="005D2586" w:rsidP="00666299">
      <w:pPr>
        <w:spacing w:after="40" w:line="360" w:lineRule="auto"/>
        <w:jc w:val="both"/>
        <w:rPr>
          <w:bCs/>
          <w:lang w:val="en-GB"/>
        </w:rPr>
      </w:pPr>
      <w:proofErr w:type="spellStart"/>
      <w:r w:rsidRPr="00363142">
        <w:rPr>
          <w:bCs/>
          <w:lang w:val="en-GB"/>
        </w:rPr>
        <w:t>Eicher</w:t>
      </w:r>
      <w:proofErr w:type="spellEnd"/>
      <w:r w:rsidRPr="00363142">
        <w:rPr>
          <w:bCs/>
          <w:lang w:val="en-GB"/>
        </w:rPr>
        <w:t xml:space="preserve">, T. – Schreiber, T. (2010): Structural policies and growth: time series evidence from natural experiments. </w:t>
      </w:r>
      <w:r w:rsidRPr="00363142">
        <w:rPr>
          <w:bCs/>
          <w:i/>
          <w:iCs/>
          <w:lang w:val="en-GB"/>
        </w:rPr>
        <w:t>Journal of Development Economics</w:t>
      </w:r>
      <w:r w:rsidRPr="00363142">
        <w:rPr>
          <w:bCs/>
          <w:lang w:val="en-GB"/>
        </w:rPr>
        <w:t>, 91: 169-179.</w:t>
      </w:r>
    </w:p>
    <w:p w:rsidR="005D2586" w:rsidRPr="00363142" w:rsidRDefault="005D2586" w:rsidP="00666299">
      <w:pPr>
        <w:spacing w:after="40" w:line="360" w:lineRule="auto"/>
        <w:jc w:val="both"/>
        <w:rPr>
          <w:lang w:val="en-GB"/>
        </w:rPr>
      </w:pPr>
      <w:proofErr w:type="spellStart"/>
      <w:r w:rsidRPr="00363142">
        <w:rPr>
          <w:lang w:val="en-GB"/>
        </w:rPr>
        <w:t>Falcetti</w:t>
      </w:r>
      <w:proofErr w:type="spellEnd"/>
      <w:r w:rsidRPr="00363142">
        <w:rPr>
          <w:lang w:val="en-GB"/>
        </w:rPr>
        <w:t xml:space="preserve">, E. – Lysenko, T. – </w:t>
      </w:r>
      <w:proofErr w:type="spellStart"/>
      <w:r w:rsidRPr="00363142">
        <w:rPr>
          <w:lang w:val="en-GB"/>
        </w:rPr>
        <w:t>Sanfey</w:t>
      </w:r>
      <w:proofErr w:type="spellEnd"/>
      <w:r w:rsidRPr="00363142">
        <w:rPr>
          <w:lang w:val="en-GB"/>
        </w:rPr>
        <w:t xml:space="preserve">, P. (2006): Reforms and growth in transition: re-examining the evidence. </w:t>
      </w:r>
      <w:r w:rsidRPr="00363142">
        <w:rPr>
          <w:i/>
          <w:iCs/>
          <w:lang w:val="en-GB"/>
        </w:rPr>
        <w:t>Journal of Comparative Economics</w:t>
      </w:r>
      <w:r w:rsidRPr="00363142">
        <w:rPr>
          <w:lang w:val="en-GB"/>
        </w:rPr>
        <w:t>, 34: 421-445.</w:t>
      </w:r>
    </w:p>
    <w:p w:rsidR="005D2586" w:rsidRPr="00363142" w:rsidRDefault="005D2586" w:rsidP="00666299">
      <w:pPr>
        <w:spacing w:after="40" w:line="360" w:lineRule="auto"/>
        <w:jc w:val="both"/>
        <w:rPr>
          <w:bCs/>
          <w:color w:val="000000"/>
          <w:lang w:val="en-GB"/>
        </w:rPr>
      </w:pPr>
      <w:proofErr w:type="spellStart"/>
      <w:r w:rsidRPr="00363142">
        <w:rPr>
          <w:color w:val="000000"/>
          <w:lang w:val="en-GB"/>
        </w:rPr>
        <w:t>Glaeser</w:t>
      </w:r>
      <w:proofErr w:type="spellEnd"/>
      <w:r w:rsidRPr="00363142">
        <w:rPr>
          <w:color w:val="000000"/>
          <w:lang w:val="en-GB"/>
        </w:rPr>
        <w:t xml:space="preserve">, E. L. – La </w:t>
      </w:r>
      <w:proofErr w:type="spellStart"/>
      <w:r w:rsidRPr="00363142">
        <w:rPr>
          <w:color w:val="000000"/>
          <w:lang w:val="en-GB"/>
        </w:rPr>
        <w:t>Porta</w:t>
      </w:r>
      <w:proofErr w:type="spellEnd"/>
      <w:r w:rsidRPr="00363142">
        <w:rPr>
          <w:color w:val="000000"/>
          <w:lang w:val="en-GB"/>
        </w:rPr>
        <w:t>, R. – Lopez-de-</w:t>
      </w:r>
      <w:proofErr w:type="spellStart"/>
      <w:r w:rsidRPr="00363142">
        <w:rPr>
          <w:color w:val="000000"/>
          <w:lang w:val="en-GB"/>
        </w:rPr>
        <w:t>Silanes</w:t>
      </w:r>
      <w:proofErr w:type="spellEnd"/>
      <w:r w:rsidRPr="00363142">
        <w:rPr>
          <w:color w:val="000000"/>
          <w:lang w:val="en-GB"/>
        </w:rPr>
        <w:t xml:space="preserve">, F. – </w:t>
      </w:r>
      <w:proofErr w:type="spellStart"/>
      <w:r w:rsidRPr="00363142">
        <w:rPr>
          <w:color w:val="000000"/>
          <w:lang w:val="en-GB"/>
        </w:rPr>
        <w:t>Shleifer</w:t>
      </w:r>
      <w:proofErr w:type="spellEnd"/>
      <w:r w:rsidRPr="00363142">
        <w:rPr>
          <w:color w:val="000000"/>
          <w:lang w:val="en-GB"/>
        </w:rPr>
        <w:t>, A. (2004): Do institutions cause growth</w:t>
      </w:r>
      <w:proofErr w:type="gramStart"/>
      <w:r w:rsidRPr="00363142">
        <w:rPr>
          <w:color w:val="000000"/>
          <w:lang w:val="en-GB"/>
        </w:rPr>
        <w:t>?.</w:t>
      </w:r>
      <w:proofErr w:type="gramEnd"/>
      <w:r w:rsidRPr="00363142">
        <w:rPr>
          <w:color w:val="000000"/>
          <w:lang w:val="en-GB"/>
        </w:rPr>
        <w:t xml:space="preserve"> </w:t>
      </w:r>
      <w:r w:rsidRPr="00363142">
        <w:rPr>
          <w:bCs/>
          <w:i/>
          <w:iCs/>
          <w:color w:val="000000"/>
          <w:lang w:val="en-GB"/>
        </w:rPr>
        <w:t>Journal of Economic Growth</w:t>
      </w:r>
      <w:r w:rsidRPr="00363142">
        <w:rPr>
          <w:bCs/>
          <w:color w:val="000000"/>
          <w:lang w:val="en-GB"/>
        </w:rPr>
        <w:t>, 9: 271-303.</w:t>
      </w:r>
    </w:p>
    <w:p w:rsidR="005D2586" w:rsidRPr="00363142" w:rsidRDefault="005D2586" w:rsidP="00666299">
      <w:pPr>
        <w:tabs>
          <w:tab w:val="num" w:pos="540"/>
        </w:tabs>
        <w:spacing w:after="40" w:line="360" w:lineRule="auto"/>
        <w:jc w:val="both"/>
        <w:rPr>
          <w:color w:val="000000"/>
          <w:lang w:val="en-GB"/>
        </w:rPr>
      </w:pPr>
      <w:r w:rsidRPr="00363142">
        <w:rPr>
          <w:color w:val="000000"/>
          <w:lang w:val="en-GB"/>
        </w:rPr>
        <w:t xml:space="preserve">Greene, W. H. (2008): </w:t>
      </w:r>
      <w:r w:rsidRPr="00363142">
        <w:rPr>
          <w:i/>
          <w:color w:val="000000"/>
          <w:lang w:val="en-GB"/>
        </w:rPr>
        <w:t>Econometric analysis</w:t>
      </w:r>
      <w:r w:rsidRPr="00363142">
        <w:rPr>
          <w:iCs/>
          <w:color w:val="000000"/>
          <w:lang w:val="en-GB"/>
        </w:rPr>
        <w:t xml:space="preserve">. </w:t>
      </w:r>
      <w:r w:rsidRPr="00363142">
        <w:rPr>
          <w:color w:val="000000"/>
          <w:lang w:val="en-GB"/>
        </w:rPr>
        <w:t>New Jersey: Pearson International River.</w:t>
      </w:r>
    </w:p>
    <w:p w:rsidR="005D2586" w:rsidRPr="00363142" w:rsidRDefault="005D2586" w:rsidP="00666299">
      <w:pPr>
        <w:spacing w:after="40" w:line="360" w:lineRule="auto"/>
        <w:jc w:val="both"/>
        <w:rPr>
          <w:lang w:val="en-GB"/>
        </w:rPr>
      </w:pPr>
      <w:proofErr w:type="spellStart"/>
      <w:r w:rsidRPr="00363142">
        <w:rPr>
          <w:lang w:val="en-GB"/>
        </w:rPr>
        <w:t>Gwartney</w:t>
      </w:r>
      <w:proofErr w:type="spellEnd"/>
      <w:r w:rsidRPr="00363142">
        <w:rPr>
          <w:lang w:val="en-GB"/>
        </w:rPr>
        <w:t xml:space="preserve">, J. D. – Holcombe, R. G. – Lawson, R. A. (2004): Economic freedom, institutional quality, and cross-country differences in income and growth. </w:t>
      </w:r>
      <w:r w:rsidRPr="00363142">
        <w:rPr>
          <w:i/>
          <w:iCs/>
          <w:lang w:val="en-GB"/>
        </w:rPr>
        <w:t>Cato Journal</w:t>
      </w:r>
      <w:r w:rsidRPr="00363142">
        <w:rPr>
          <w:lang w:val="en-GB"/>
        </w:rPr>
        <w:t>, 24: 205-233.</w:t>
      </w:r>
    </w:p>
    <w:p w:rsidR="005D2586" w:rsidRPr="00363142" w:rsidRDefault="005D2586" w:rsidP="00666299">
      <w:pPr>
        <w:spacing w:after="40" w:line="360" w:lineRule="auto"/>
        <w:jc w:val="both"/>
        <w:rPr>
          <w:color w:val="000000"/>
          <w:lang w:val="en-GB"/>
        </w:rPr>
      </w:pPr>
      <w:r w:rsidRPr="00363142">
        <w:rPr>
          <w:color w:val="000000"/>
          <w:lang w:val="en-GB"/>
        </w:rPr>
        <w:t>Hall, R. E. – Jones, C. I. (1999): Why do some countries produce so much more output per worker than others</w:t>
      </w:r>
      <w:proofErr w:type="gramStart"/>
      <w:r w:rsidRPr="00363142">
        <w:rPr>
          <w:color w:val="000000"/>
          <w:lang w:val="en-GB"/>
        </w:rPr>
        <w:t>?.</w:t>
      </w:r>
      <w:proofErr w:type="gramEnd"/>
      <w:r w:rsidRPr="00363142">
        <w:rPr>
          <w:color w:val="000000"/>
          <w:lang w:val="en-GB"/>
        </w:rPr>
        <w:t xml:space="preserve"> </w:t>
      </w:r>
      <w:r w:rsidRPr="00363142">
        <w:rPr>
          <w:i/>
          <w:iCs/>
          <w:color w:val="000000"/>
          <w:lang w:val="en-GB"/>
        </w:rPr>
        <w:t>Quarterly Journal of Economics,</w:t>
      </w:r>
      <w:r w:rsidRPr="00363142">
        <w:rPr>
          <w:color w:val="000000"/>
          <w:lang w:val="en-GB"/>
        </w:rPr>
        <w:t xml:space="preserve"> 114: 83-116.</w:t>
      </w:r>
    </w:p>
    <w:p w:rsidR="005D2586" w:rsidRPr="00363142" w:rsidRDefault="005D2586" w:rsidP="00666299">
      <w:pPr>
        <w:spacing w:after="40" w:line="360" w:lineRule="auto"/>
        <w:jc w:val="both"/>
        <w:rPr>
          <w:lang w:val="en-GB"/>
        </w:rPr>
      </w:pPr>
      <w:proofErr w:type="spellStart"/>
      <w:r w:rsidRPr="00363142">
        <w:rPr>
          <w:lang w:val="en-GB"/>
        </w:rPr>
        <w:t>Havrylyshyn</w:t>
      </w:r>
      <w:proofErr w:type="spellEnd"/>
      <w:r w:rsidRPr="00363142">
        <w:rPr>
          <w:lang w:val="en-GB"/>
        </w:rPr>
        <w:t xml:space="preserve">, O. – Van </w:t>
      </w:r>
      <w:proofErr w:type="spellStart"/>
      <w:r w:rsidRPr="00363142">
        <w:rPr>
          <w:lang w:val="en-GB"/>
        </w:rPr>
        <w:t>Rooden</w:t>
      </w:r>
      <w:proofErr w:type="spellEnd"/>
      <w:r w:rsidRPr="00363142">
        <w:rPr>
          <w:lang w:val="en-GB"/>
        </w:rPr>
        <w:t xml:space="preserve">, R. (2003): Institutions matter in transition, but so do policies. </w:t>
      </w:r>
      <w:r w:rsidRPr="00363142">
        <w:rPr>
          <w:i/>
          <w:iCs/>
          <w:lang w:val="en-GB"/>
        </w:rPr>
        <w:t>Comparative Economic Studies</w:t>
      </w:r>
      <w:r w:rsidRPr="00363142">
        <w:rPr>
          <w:lang w:val="en-GB"/>
        </w:rPr>
        <w:t>, 45: 2-24.</w:t>
      </w:r>
    </w:p>
    <w:p w:rsidR="005D2586" w:rsidRPr="00363142" w:rsidRDefault="005D2586" w:rsidP="00666299">
      <w:pPr>
        <w:spacing w:after="40" w:line="360" w:lineRule="auto"/>
        <w:jc w:val="both"/>
        <w:rPr>
          <w:lang w:val="en-GB"/>
        </w:rPr>
      </w:pPr>
      <w:r w:rsidRPr="00363142">
        <w:rPr>
          <w:lang w:val="en-GB"/>
        </w:rPr>
        <w:t xml:space="preserve">Keefer, P. – Knack, S. (1997): Why don’t poor countries catch up? </w:t>
      </w:r>
      <w:proofErr w:type="gramStart"/>
      <w:r w:rsidRPr="00363142">
        <w:rPr>
          <w:lang w:val="en-GB"/>
        </w:rPr>
        <w:t>A cross-national test of an institutional explanation.</w:t>
      </w:r>
      <w:proofErr w:type="gramEnd"/>
      <w:r w:rsidRPr="00363142">
        <w:rPr>
          <w:lang w:val="en-GB"/>
        </w:rPr>
        <w:t xml:space="preserve"> </w:t>
      </w:r>
      <w:r w:rsidRPr="00363142">
        <w:rPr>
          <w:i/>
          <w:iCs/>
          <w:lang w:val="en-GB"/>
        </w:rPr>
        <w:t>Economic Inquiry</w:t>
      </w:r>
      <w:r w:rsidRPr="00363142">
        <w:rPr>
          <w:lang w:val="en-GB"/>
        </w:rPr>
        <w:t>, 35: 590-602.</w:t>
      </w:r>
    </w:p>
    <w:p w:rsidR="005D2586" w:rsidRPr="00363142" w:rsidRDefault="005D2586" w:rsidP="00666299">
      <w:pPr>
        <w:tabs>
          <w:tab w:val="num" w:pos="540"/>
        </w:tabs>
        <w:spacing w:after="40" w:line="360" w:lineRule="auto"/>
        <w:jc w:val="both"/>
        <w:rPr>
          <w:lang w:val="en-GB"/>
        </w:rPr>
      </w:pPr>
      <w:proofErr w:type="spellStart"/>
      <w:r w:rsidRPr="00363142">
        <w:rPr>
          <w:lang w:val="en-GB"/>
        </w:rPr>
        <w:t>Leamer</w:t>
      </w:r>
      <w:proofErr w:type="spellEnd"/>
      <w:r w:rsidRPr="00363142">
        <w:rPr>
          <w:lang w:val="en-GB"/>
        </w:rPr>
        <w:t xml:space="preserve">, E. E. (1983): Let’s take the con out of econometrics. </w:t>
      </w:r>
      <w:r w:rsidRPr="00363142">
        <w:rPr>
          <w:i/>
          <w:iCs/>
          <w:lang w:val="en-GB"/>
        </w:rPr>
        <w:t>The American Economic Review</w:t>
      </w:r>
      <w:r w:rsidRPr="00363142">
        <w:rPr>
          <w:lang w:val="en-GB"/>
        </w:rPr>
        <w:t>, 73: 31-43.</w:t>
      </w:r>
    </w:p>
    <w:p w:rsidR="005D2586" w:rsidRPr="00363142" w:rsidRDefault="005D2586" w:rsidP="00666299">
      <w:pPr>
        <w:spacing w:after="40" w:line="360" w:lineRule="auto"/>
        <w:jc w:val="both"/>
        <w:rPr>
          <w:color w:val="000000"/>
          <w:lang w:val="en-GB"/>
        </w:rPr>
      </w:pPr>
      <w:r w:rsidRPr="00363142">
        <w:rPr>
          <w:color w:val="000000"/>
          <w:lang w:val="en-GB"/>
        </w:rPr>
        <w:t xml:space="preserve">Mauro, P. (1995): Corruption and growth. </w:t>
      </w:r>
      <w:r w:rsidRPr="00363142">
        <w:rPr>
          <w:i/>
          <w:iCs/>
          <w:color w:val="000000"/>
          <w:lang w:val="en-GB"/>
        </w:rPr>
        <w:t>The Quarterly Journal of Economics</w:t>
      </w:r>
      <w:r w:rsidRPr="00363142">
        <w:rPr>
          <w:color w:val="000000"/>
          <w:lang w:val="en-GB"/>
        </w:rPr>
        <w:t>, 110: 681-712.</w:t>
      </w:r>
    </w:p>
    <w:p w:rsidR="005D2586" w:rsidRPr="00363142" w:rsidRDefault="005D2586" w:rsidP="00666299">
      <w:pPr>
        <w:tabs>
          <w:tab w:val="num" w:pos="540"/>
        </w:tabs>
        <w:spacing w:after="40" w:line="360" w:lineRule="auto"/>
        <w:jc w:val="both"/>
        <w:rPr>
          <w:color w:val="000000"/>
          <w:lang w:val="en-GB"/>
        </w:rPr>
      </w:pPr>
      <w:r w:rsidRPr="00363142">
        <w:rPr>
          <w:color w:val="000000"/>
          <w:lang w:val="en-GB"/>
        </w:rPr>
        <w:t xml:space="preserve">North, D. C. (1990): </w:t>
      </w:r>
      <w:r w:rsidRPr="00363142">
        <w:rPr>
          <w:i/>
          <w:iCs/>
          <w:color w:val="000000"/>
          <w:lang w:val="en-GB"/>
        </w:rPr>
        <w:t>Institutions, institutional change and economic performance</w:t>
      </w:r>
      <w:r w:rsidRPr="00363142">
        <w:rPr>
          <w:color w:val="000000"/>
          <w:lang w:val="en-GB"/>
        </w:rPr>
        <w:t>.  Cambridge:  Cambridge University Press.</w:t>
      </w:r>
    </w:p>
    <w:p w:rsidR="005D2586" w:rsidRPr="00363142" w:rsidRDefault="005D2586" w:rsidP="00666299">
      <w:pPr>
        <w:spacing w:after="40" w:line="360" w:lineRule="auto"/>
        <w:jc w:val="both"/>
        <w:rPr>
          <w:lang w:val="en-GB"/>
        </w:rPr>
      </w:pPr>
      <w:proofErr w:type="spellStart"/>
      <w:r w:rsidRPr="00363142">
        <w:rPr>
          <w:lang w:val="en-GB"/>
        </w:rPr>
        <w:t>Ostrom</w:t>
      </w:r>
      <w:proofErr w:type="spellEnd"/>
      <w:r w:rsidRPr="00363142">
        <w:rPr>
          <w:lang w:val="en-GB"/>
        </w:rPr>
        <w:t xml:space="preserve">, E. (2005): </w:t>
      </w:r>
      <w:r w:rsidRPr="00363142">
        <w:rPr>
          <w:i/>
          <w:iCs/>
          <w:lang w:val="en-GB"/>
        </w:rPr>
        <w:t>Understanding institutional diversity</w:t>
      </w:r>
      <w:r w:rsidRPr="00363142">
        <w:rPr>
          <w:lang w:val="en-GB"/>
        </w:rPr>
        <w:t xml:space="preserve">. </w:t>
      </w:r>
      <w:proofErr w:type="gramStart"/>
      <w:r w:rsidRPr="00363142">
        <w:rPr>
          <w:lang w:val="en-GB"/>
        </w:rPr>
        <w:t>Princeton University Press, Princeton and Oxford.</w:t>
      </w:r>
      <w:proofErr w:type="gramEnd"/>
    </w:p>
    <w:p w:rsidR="005D2586" w:rsidRPr="00363142" w:rsidRDefault="005D2586" w:rsidP="00666299">
      <w:pPr>
        <w:spacing w:after="40" w:line="360" w:lineRule="auto"/>
        <w:jc w:val="both"/>
        <w:rPr>
          <w:lang w:val="en-GB"/>
        </w:rPr>
      </w:pPr>
      <w:proofErr w:type="spellStart"/>
      <w:r w:rsidRPr="00363142">
        <w:rPr>
          <w:lang w:val="en-GB"/>
        </w:rPr>
        <w:lastRenderedPageBreak/>
        <w:t>Paakkonen</w:t>
      </w:r>
      <w:proofErr w:type="spellEnd"/>
      <w:r w:rsidRPr="00363142">
        <w:rPr>
          <w:lang w:val="en-GB"/>
        </w:rPr>
        <w:t xml:space="preserve">, J. (2009): Economic freedom as a driver for growth in transition. </w:t>
      </w:r>
      <w:proofErr w:type="gramStart"/>
      <w:r w:rsidRPr="00363142">
        <w:rPr>
          <w:i/>
          <w:iCs/>
          <w:lang w:val="en-GB"/>
        </w:rPr>
        <w:t>BOFIT Discussion Papers</w:t>
      </w:r>
      <w:r w:rsidRPr="00363142">
        <w:rPr>
          <w:lang w:val="en-GB"/>
        </w:rPr>
        <w:t>, No. 1/2009.</w:t>
      </w:r>
      <w:proofErr w:type="gramEnd"/>
    </w:p>
    <w:p w:rsidR="005D2586" w:rsidRPr="00363142" w:rsidRDefault="005D2586" w:rsidP="00666299">
      <w:pPr>
        <w:tabs>
          <w:tab w:val="num" w:pos="540"/>
        </w:tabs>
        <w:spacing w:after="40" w:line="360" w:lineRule="auto"/>
        <w:jc w:val="both"/>
        <w:rPr>
          <w:color w:val="000000"/>
          <w:lang w:val="en-GB"/>
        </w:rPr>
      </w:pPr>
      <w:r w:rsidRPr="00363142">
        <w:rPr>
          <w:color w:val="000000"/>
          <w:lang w:val="en-GB"/>
        </w:rPr>
        <w:t xml:space="preserve">Raiser, M. – Di </w:t>
      </w:r>
      <w:proofErr w:type="spellStart"/>
      <w:r w:rsidRPr="00363142">
        <w:rPr>
          <w:color w:val="000000"/>
          <w:lang w:val="en-GB"/>
        </w:rPr>
        <w:t>Tommaso</w:t>
      </w:r>
      <w:proofErr w:type="spellEnd"/>
      <w:r w:rsidRPr="00363142">
        <w:rPr>
          <w:color w:val="000000"/>
          <w:lang w:val="en-GB"/>
        </w:rPr>
        <w:t xml:space="preserve">, M. L. – Weeks, M. (2001): The measurement and determinants of institutional change: evidence from transition economies. </w:t>
      </w:r>
      <w:proofErr w:type="gramStart"/>
      <w:r w:rsidRPr="00363142">
        <w:rPr>
          <w:i/>
          <w:iCs/>
          <w:color w:val="000000"/>
          <w:lang w:val="en-GB"/>
        </w:rPr>
        <w:t>EBRD Working Paper</w:t>
      </w:r>
      <w:r w:rsidRPr="00363142">
        <w:rPr>
          <w:color w:val="000000"/>
          <w:lang w:val="en-GB"/>
        </w:rPr>
        <w:t>, No. 60.</w:t>
      </w:r>
      <w:proofErr w:type="gramEnd"/>
      <w:r w:rsidRPr="00363142">
        <w:rPr>
          <w:color w:val="000000"/>
          <w:lang w:val="en-GB"/>
        </w:rPr>
        <w:t xml:space="preserve"> </w:t>
      </w:r>
    </w:p>
    <w:p w:rsidR="005D2586" w:rsidRPr="00363142" w:rsidRDefault="005D2586" w:rsidP="00666299">
      <w:pPr>
        <w:spacing w:after="40" w:line="360" w:lineRule="auto"/>
        <w:jc w:val="both"/>
        <w:rPr>
          <w:color w:val="000000"/>
          <w:lang w:val="en-GB"/>
        </w:rPr>
      </w:pPr>
      <w:proofErr w:type="spellStart"/>
      <w:r w:rsidRPr="00363142">
        <w:rPr>
          <w:color w:val="000000"/>
          <w:lang w:val="en-GB"/>
        </w:rPr>
        <w:t>Redek</w:t>
      </w:r>
      <w:proofErr w:type="spellEnd"/>
      <w:r w:rsidRPr="00363142">
        <w:rPr>
          <w:color w:val="000000"/>
          <w:lang w:val="en-GB"/>
        </w:rPr>
        <w:t xml:space="preserve">, T. – </w:t>
      </w:r>
      <w:proofErr w:type="spellStart"/>
      <w:r w:rsidRPr="00363142">
        <w:rPr>
          <w:color w:val="000000"/>
          <w:lang w:val="en-GB"/>
        </w:rPr>
        <w:t>Susjan</w:t>
      </w:r>
      <w:proofErr w:type="spellEnd"/>
      <w:r w:rsidRPr="00363142">
        <w:rPr>
          <w:color w:val="000000"/>
          <w:lang w:val="en-GB"/>
        </w:rPr>
        <w:t xml:space="preserve">, A. (2005): The impact of institutions on economic growth: the case of transition economies. </w:t>
      </w:r>
      <w:r w:rsidRPr="00363142">
        <w:rPr>
          <w:i/>
          <w:iCs/>
          <w:color w:val="000000"/>
          <w:lang w:val="en-GB"/>
        </w:rPr>
        <w:t>Journal of Economic Issues</w:t>
      </w:r>
      <w:r w:rsidRPr="00363142">
        <w:rPr>
          <w:color w:val="000000"/>
          <w:lang w:val="en-GB"/>
        </w:rPr>
        <w:t>, 39: 995-1027.</w:t>
      </w:r>
    </w:p>
    <w:p w:rsidR="005D2586" w:rsidRPr="00363142" w:rsidRDefault="005D2586" w:rsidP="00666299">
      <w:pPr>
        <w:spacing w:after="40" w:line="360" w:lineRule="auto"/>
        <w:jc w:val="both"/>
        <w:rPr>
          <w:color w:val="000000"/>
          <w:lang w:val="en-GB"/>
        </w:rPr>
      </w:pPr>
      <w:proofErr w:type="spellStart"/>
      <w:r w:rsidRPr="00363142">
        <w:rPr>
          <w:color w:val="000000"/>
          <w:lang w:val="en-GB"/>
        </w:rPr>
        <w:t>Rodrik</w:t>
      </w:r>
      <w:proofErr w:type="spellEnd"/>
      <w:r w:rsidRPr="00363142">
        <w:rPr>
          <w:color w:val="000000"/>
          <w:lang w:val="en-GB"/>
        </w:rPr>
        <w:t xml:space="preserve">, D. – Subramanian, A. – </w:t>
      </w:r>
      <w:proofErr w:type="spellStart"/>
      <w:r w:rsidRPr="00363142">
        <w:rPr>
          <w:color w:val="000000"/>
          <w:lang w:val="en-GB"/>
        </w:rPr>
        <w:t>Trebbi</w:t>
      </w:r>
      <w:proofErr w:type="spellEnd"/>
      <w:r w:rsidRPr="00363142">
        <w:rPr>
          <w:color w:val="000000"/>
          <w:lang w:val="en-GB"/>
        </w:rPr>
        <w:t xml:space="preserve">, F. (2004): Institutions rule: the primacy of institutions over integration and geography in economic development. </w:t>
      </w:r>
      <w:r w:rsidRPr="00363142">
        <w:rPr>
          <w:i/>
          <w:iCs/>
          <w:color w:val="000000"/>
          <w:lang w:val="en-GB"/>
        </w:rPr>
        <w:t>Journal of Economic Growth</w:t>
      </w:r>
      <w:r w:rsidRPr="00363142">
        <w:rPr>
          <w:color w:val="000000"/>
          <w:lang w:val="en-GB"/>
        </w:rPr>
        <w:t>, 9: 131-165.</w:t>
      </w:r>
    </w:p>
    <w:p w:rsidR="005D2586" w:rsidRPr="00363142" w:rsidRDefault="005D2586" w:rsidP="00666299">
      <w:pPr>
        <w:spacing w:after="40" w:line="360" w:lineRule="auto"/>
        <w:jc w:val="both"/>
        <w:rPr>
          <w:color w:val="000000"/>
          <w:lang w:val="en-GB"/>
        </w:rPr>
      </w:pPr>
      <w:r w:rsidRPr="00363142">
        <w:rPr>
          <w:color w:val="000000"/>
          <w:lang w:val="en-GB"/>
        </w:rPr>
        <w:t xml:space="preserve">Sachs, J. D. (1996): The transition at mid decade. </w:t>
      </w:r>
      <w:r w:rsidRPr="00363142">
        <w:rPr>
          <w:i/>
          <w:iCs/>
          <w:color w:val="000000"/>
          <w:lang w:val="en-GB"/>
        </w:rPr>
        <w:t>American Economic Review</w:t>
      </w:r>
      <w:r w:rsidRPr="00363142">
        <w:rPr>
          <w:color w:val="000000"/>
          <w:lang w:val="en-GB"/>
        </w:rPr>
        <w:t>, 86: 128-133.</w:t>
      </w:r>
    </w:p>
    <w:p w:rsidR="005D2586" w:rsidRDefault="005D2586" w:rsidP="00666299">
      <w:pPr>
        <w:spacing w:after="40" w:line="360" w:lineRule="auto"/>
        <w:jc w:val="both"/>
        <w:rPr>
          <w:color w:val="000000"/>
          <w:lang w:val="en-GB"/>
        </w:rPr>
      </w:pPr>
      <w:r w:rsidRPr="00363142">
        <w:rPr>
          <w:color w:val="000000"/>
          <w:lang w:val="en-GB"/>
        </w:rPr>
        <w:t xml:space="preserve">Sachs, J. D. (2003): Institutions don’t rule: direct effects of geography on per capita income. </w:t>
      </w:r>
      <w:proofErr w:type="gramStart"/>
      <w:r w:rsidRPr="00363142">
        <w:rPr>
          <w:i/>
          <w:iCs/>
          <w:color w:val="000000"/>
          <w:lang w:val="en-GB"/>
        </w:rPr>
        <w:t>NBER Working Paper</w:t>
      </w:r>
      <w:r w:rsidRPr="00363142">
        <w:rPr>
          <w:color w:val="000000"/>
          <w:lang w:val="en-GB"/>
        </w:rPr>
        <w:t>, No. 9490.</w:t>
      </w:r>
      <w:proofErr w:type="gramEnd"/>
    </w:p>
    <w:p w:rsidR="008D423E" w:rsidRPr="008D423E" w:rsidRDefault="008D423E" w:rsidP="008D423E">
      <w:pPr>
        <w:spacing w:after="40" w:line="360" w:lineRule="auto"/>
        <w:jc w:val="both"/>
        <w:rPr>
          <w:color w:val="000000"/>
          <w:lang w:val="en-GB"/>
        </w:rPr>
      </w:pPr>
      <w:r w:rsidRPr="008D423E">
        <w:rPr>
          <w:color w:val="000000"/>
          <w:lang w:val="en-GB"/>
        </w:rPr>
        <w:t xml:space="preserve">Shirley, M. M. (2008): Institutions and development. Cheltenham, UK and Northampton, MA, USA: Edward Elgar Publishing Limited. </w:t>
      </w:r>
    </w:p>
    <w:p w:rsidR="005D2586" w:rsidRPr="00363142" w:rsidRDefault="005D2586" w:rsidP="00666299">
      <w:pPr>
        <w:tabs>
          <w:tab w:val="num" w:pos="540"/>
        </w:tabs>
        <w:spacing w:after="40" w:line="360" w:lineRule="auto"/>
        <w:jc w:val="both"/>
        <w:rPr>
          <w:color w:val="000000"/>
          <w:lang w:val="en-GB"/>
        </w:rPr>
      </w:pPr>
      <w:proofErr w:type="spellStart"/>
      <w:r w:rsidRPr="00363142">
        <w:rPr>
          <w:color w:val="000000"/>
          <w:lang w:val="en-GB"/>
        </w:rPr>
        <w:t>Sobel</w:t>
      </w:r>
      <w:proofErr w:type="spellEnd"/>
      <w:r w:rsidRPr="00363142">
        <w:rPr>
          <w:color w:val="000000"/>
          <w:lang w:val="en-GB"/>
        </w:rPr>
        <w:t xml:space="preserve">, R. S. and Coyne, C. J. (2011): </w:t>
      </w:r>
      <w:proofErr w:type="spellStart"/>
      <w:r w:rsidRPr="00363142">
        <w:rPr>
          <w:color w:val="000000"/>
          <w:lang w:val="en-GB"/>
        </w:rPr>
        <w:t>Cointegrating</w:t>
      </w:r>
      <w:proofErr w:type="spellEnd"/>
      <w:r w:rsidRPr="00363142">
        <w:rPr>
          <w:color w:val="000000"/>
          <w:lang w:val="en-GB"/>
        </w:rPr>
        <w:t xml:space="preserve"> institutions: the time-series properties of country institutional measures. </w:t>
      </w:r>
      <w:r w:rsidRPr="00363142">
        <w:rPr>
          <w:i/>
          <w:color w:val="000000"/>
          <w:lang w:val="en-GB"/>
        </w:rPr>
        <w:t>The Journal of Law and Economics</w:t>
      </w:r>
      <w:r w:rsidRPr="00363142">
        <w:rPr>
          <w:color w:val="000000"/>
          <w:lang w:val="en-GB"/>
        </w:rPr>
        <w:t>, 54: 111-134.</w:t>
      </w:r>
    </w:p>
    <w:p w:rsidR="005D2586" w:rsidRDefault="005D2586" w:rsidP="00666299">
      <w:pPr>
        <w:tabs>
          <w:tab w:val="num" w:pos="540"/>
        </w:tabs>
        <w:spacing w:after="40" w:line="360" w:lineRule="auto"/>
        <w:jc w:val="both"/>
        <w:rPr>
          <w:color w:val="000000"/>
          <w:lang w:val="en-GB"/>
        </w:rPr>
      </w:pPr>
      <w:r w:rsidRPr="00363142">
        <w:rPr>
          <w:color w:val="000000"/>
          <w:lang w:val="en-GB"/>
        </w:rPr>
        <w:t xml:space="preserve">Williamson, O. E. (2000): The new institutional economics: taking stock, looking ahead. </w:t>
      </w:r>
      <w:r w:rsidRPr="00363142">
        <w:rPr>
          <w:i/>
          <w:iCs/>
          <w:color w:val="000000"/>
          <w:lang w:val="en-GB"/>
        </w:rPr>
        <w:t>Journal of Economic Literature</w:t>
      </w:r>
      <w:r w:rsidRPr="00363142">
        <w:rPr>
          <w:color w:val="000000"/>
          <w:lang w:val="en-GB"/>
        </w:rPr>
        <w:t>, 38: 595-613.</w:t>
      </w:r>
    </w:p>
    <w:p w:rsidR="008D423E" w:rsidRDefault="008D423E" w:rsidP="00DA0FF1">
      <w:pPr>
        <w:rPr>
          <w:i/>
          <w:lang w:val="bs-Latn-BA"/>
        </w:rPr>
      </w:pPr>
    </w:p>
    <w:p w:rsidR="008D423E" w:rsidRDefault="008D423E"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852F8F" w:rsidRDefault="00852F8F" w:rsidP="00DA0FF1">
      <w:pPr>
        <w:rPr>
          <w:i/>
          <w:lang w:val="bs-Latn-BA"/>
        </w:rPr>
      </w:pPr>
    </w:p>
    <w:p w:rsidR="005D2586" w:rsidRPr="00363142" w:rsidRDefault="005D2586" w:rsidP="00DA0FF1">
      <w:pPr>
        <w:rPr>
          <w:i/>
        </w:rPr>
      </w:pPr>
      <w:r w:rsidRPr="00363142">
        <w:rPr>
          <w:i/>
        </w:rPr>
        <w:lastRenderedPageBreak/>
        <w:t xml:space="preserve">Table 1 Base model - SGMM dynamic panel – two-step robust estimate </w:t>
      </w:r>
    </w:p>
    <w:p w:rsidR="005D2586" w:rsidRPr="00363142" w:rsidRDefault="005D2586" w:rsidP="00666299">
      <w:pPr>
        <w:pStyle w:val="TABLES"/>
        <w:spacing w:line="240" w:lineRule="auto"/>
        <w:rPr>
          <w:i w:val="0"/>
        </w:rPr>
      </w:pP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4"/>
        <w:gridCol w:w="1865"/>
        <w:gridCol w:w="1877"/>
      </w:tblGrid>
      <w:tr w:rsidR="005D2586" w:rsidRPr="00363142" w:rsidTr="00B4054F">
        <w:trPr>
          <w:jc w:val="center"/>
        </w:trPr>
        <w:tc>
          <w:tcPr>
            <w:tcW w:w="4354" w:type="dxa"/>
          </w:tcPr>
          <w:p w:rsidR="005D2586" w:rsidRPr="00363142" w:rsidRDefault="005D2586" w:rsidP="00666299">
            <w:pPr>
              <w:jc w:val="both"/>
              <w:rPr>
                <w:sz w:val="20"/>
                <w:szCs w:val="20"/>
                <w:lang w:val="en-GB"/>
              </w:rPr>
            </w:pPr>
            <w:r w:rsidRPr="00363142">
              <w:rPr>
                <w:sz w:val="20"/>
                <w:szCs w:val="20"/>
                <w:lang w:val="en-GB"/>
              </w:rPr>
              <w:t>The dependent variable is the natural logarithm of GDP per capita in current US$ (</w:t>
            </w:r>
            <w:proofErr w:type="spellStart"/>
            <w:r w:rsidRPr="00363142">
              <w:rPr>
                <w:i/>
                <w:sz w:val="20"/>
                <w:szCs w:val="20"/>
                <w:lang w:val="en-GB"/>
              </w:rPr>
              <w:t>Lngdppc</w:t>
            </w:r>
            <w:proofErr w:type="spellEnd"/>
            <w:r w:rsidRPr="00363142">
              <w:rPr>
                <w:sz w:val="20"/>
                <w:szCs w:val="20"/>
                <w:lang w:val="en-GB"/>
              </w:rPr>
              <w:t>)</w:t>
            </w:r>
          </w:p>
          <w:p w:rsidR="005D2586" w:rsidRPr="00363142" w:rsidRDefault="005D2586" w:rsidP="00666299">
            <w:pPr>
              <w:jc w:val="both"/>
              <w:rPr>
                <w:sz w:val="20"/>
                <w:szCs w:val="20"/>
                <w:lang w:val="en-GB"/>
              </w:rPr>
            </w:pPr>
          </w:p>
        </w:tc>
        <w:tc>
          <w:tcPr>
            <w:tcW w:w="1865" w:type="dxa"/>
          </w:tcPr>
          <w:p w:rsidR="005D2586" w:rsidRPr="00363142" w:rsidRDefault="005D2586" w:rsidP="00666299">
            <w:pPr>
              <w:ind w:right="-108"/>
              <w:jc w:val="both"/>
              <w:rPr>
                <w:sz w:val="20"/>
                <w:szCs w:val="20"/>
                <w:lang w:val="en-GB"/>
              </w:rPr>
            </w:pPr>
            <w:r w:rsidRPr="00363142">
              <w:rPr>
                <w:sz w:val="20"/>
                <w:szCs w:val="20"/>
                <w:lang w:val="en-GB"/>
              </w:rPr>
              <w:t>PREFERRED</w:t>
            </w:r>
          </w:p>
          <w:p w:rsidR="005D2586" w:rsidRPr="00363142" w:rsidRDefault="005D2586" w:rsidP="00666299">
            <w:pPr>
              <w:ind w:right="-108"/>
              <w:jc w:val="both"/>
              <w:rPr>
                <w:sz w:val="20"/>
                <w:szCs w:val="20"/>
                <w:lang w:val="en-GB"/>
              </w:rPr>
            </w:pPr>
            <w:r w:rsidRPr="00363142">
              <w:rPr>
                <w:sz w:val="20"/>
                <w:szCs w:val="20"/>
                <w:lang w:val="en-GB"/>
              </w:rPr>
              <w:t>MODEL:</w:t>
            </w:r>
          </w:p>
          <w:p w:rsidR="005D2586" w:rsidRPr="00363142" w:rsidRDefault="005D2586" w:rsidP="00666299">
            <w:pPr>
              <w:ind w:right="-108"/>
              <w:jc w:val="both"/>
              <w:rPr>
                <w:sz w:val="20"/>
                <w:szCs w:val="20"/>
                <w:lang w:val="en-GB"/>
              </w:rPr>
            </w:pPr>
            <w:r w:rsidRPr="00363142">
              <w:rPr>
                <w:i/>
                <w:sz w:val="20"/>
                <w:szCs w:val="20"/>
                <w:lang w:val="en-GB"/>
              </w:rPr>
              <w:t>inst5</w:t>
            </w:r>
            <w:r w:rsidRPr="00363142">
              <w:rPr>
                <w:sz w:val="20"/>
                <w:szCs w:val="20"/>
                <w:lang w:val="en-GB"/>
              </w:rPr>
              <w:t xml:space="preserve"> exogenous</w:t>
            </w:r>
          </w:p>
        </w:tc>
        <w:tc>
          <w:tcPr>
            <w:tcW w:w="1877" w:type="dxa"/>
          </w:tcPr>
          <w:p w:rsidR="005D2586" w:rsidRPr="00363142" w:rsidRDefault="005D2586" w:rsidP="00666299">
            <w:pPr>
              <w:jc w:val="both"/>
              <w:rPr>
                <w:sz w:val="20"/>
                <w:szCs w:val="20"/>
                <w:lang w:val="en-GB"/>
              </w:rPr>
            </w:pPr>
            <w:r w:rsidRPr="00363142">
              <w:rPr>
                <w:sz w:val="20"/>
                <w:szCs w:val="20"/>
                <w:lang w:val="en-GB"/>
              </w:rPr>
              <w:t>ALTERNATIVE MODEL:</w:t>
            </w:r>
          </w:p>
          <w:p w:rsidR="005D2586" w:rsidRPr="00363142" w:rsidRDefault="005D2586" w:rsidP="00666299">
            <w:pPr>
              <w:jc w:val="both"/>
              <w:rPr>
                <w:sz w:val="20"/>
                <w:szCs w:val="20"/>
                <w:lang w:val="en-GB"/>
              </w:rPr>
            </w:pPr>
            <w:r w:rsidRPr="00363142">
              <w:rPr>
                <w:i/>
                <w:sz w:val="20"/>
                <w:szCs w:val="20"/>
                <w:lang w:val="en-GB"/>
              </w:rPr>
              <w:t>inst5</w:t>
            </w:r>
            <w:r w:rsidRPr="00363142">
              <w:rPr>
                <w:sz w:val="20"/>
                <w:szCs w:val="20"/>
                <w:lang w:val="en-GB"/>
              </w:rPr>
              <w:t xml:space="preserve"> endogenous</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variables</w:t>
            </w:r>
          </w:p>
          <w:p w:rsidR="005D2586" w:rsidRPr="00363142" w:rsidRDefault="005D2586" w:rsidP="00666299">
            <w:pPr>
              <w:jc w:val="both"/>
              <w:rPr>
                <w:sz w:val="20"/>
                <w:szCs w:val="20"/>
                <w:lang w:val="en-GB"/>
              </w:rPr>
            </w:pPr>
            <w:r w:rsidRPr="00363142">
              <w:rPr>
                <w:sz w:val="20"/>
                <w:szCs w:val="20"/>
                <w:lang w:val="en-GB"/>
              </w:rPr>
              <w:t>(SHORT EXPLANATION OF VARIABLE)</w:t>
            </w:r>
          </w:p>
        </w:tc>
        <w:tc>
          <w:tcPr>
            <w:tcW w:w="1865" w:type="dxa"/>
          </w:tcPr>
          <w:p w:rsidR="005D2586" w:rsidRPr="00363142" w:rsidRDefault="005D2586" w:rsidP="00666299">
            <w:pPr>
              <w:ind w:right="-108"/>
              <w:jc w:val="both"/>
              <w:rPr>
                <w:b/>
                <w:sz w:val="20"/>
                <w:szCs w:val="20"/>
                <w:lang w:val="en-GB"/>
              </w:rPr>
            </w:pPr>
            <w:r w:rsidRPr="00363142">
              <w:rPr>
                <w:b/>
                <w:sz w:val="20"/>
                <w:szCs w:val="20"/>
                <w:lang w:val="en-GB"/>
              </w:rPr>
              <w:t>COEFFICIENTS</w:t>
            </w:r>
          </w:p>
        </w:tc>
        <w:tc>
          <w:tcPr>
            <w:tcW w:w="1877" w:type="dxa"/>
          </w:tcPr>
          <w:p w:rsidR="005D2586" w:rsidRPr="00363142" w:rsidRDefault="005D2586" w:rsidP="00666299">
            <w:pPr>
              <w:jc w:val="both"/>
              <w:rPr>
                <w:b/>
                <w:sz w:val="20"/>
                <w:szCs w:val="20"/>
                <w:lang w:val="en-GB"/>
              </w:rPr>
            </w:pPr>
            <w:r w:rsidRPr="00363142">
              <w:rPr>
                <w:b/>
                <w:sz w:val="20"/>
                <w:szCs w:val="20"/>
                <w:lang w:val="en-GB"/>
              </w:rPr>
              <w:t>COEFFICIENTS</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 xml:space="preserve">constant </w:t>
            </w:r>
          </w:p>
          <w:p w:rsidR="005D2586" w:rsidRPr="00363142" w:rsidRDefault="005D2586" w:rsidP="00666299">
            <w:pPr>
              <w:jc w:val="both"/>
              <w:rPr>
                <w:sz w:val="20"/>
                <w:szCs w:val="20"/>
                <w:lang w:val="en-GB"/>
              </w:rPr>
            </w:pPr>
            <w:r w:rsidRPr="00363142">
              <w:rPr>
                <w:sz w:val="20"/>
                <w:szCs w:val="20"/>
                <w:lang w:val="en-GB"/>
              </w:rPr>
              <w:t>(INTERCEPT TERM)</w:t>
            </w:r>
          </w:p>
        </w:tc>
        <w:tc>
          <w:tcPr>
            <w:tcW w:w="1865" w:type="dxa"/>
          </w:tcPr>
          <w:p w:rsidR="005D2586" w:rsidRPr="00363142" w:rsidRDefault="005D2586" w:rsidP="00666299">
            <w:pPr>
              <w:jc w:val="both"/>
              <w:rPr>
                <w:sz w:val="20"/>
                <w:szCs w:val="20"/>
                <w:lang w:val="en-GB"/>
              </w:rPr>
            </w:pPr>
            <w:r w:rsidRPr="00363142">
              <w:rPr>
                <w:sz w:val="20"/>
                <w:szCs w:val="20"/>
                <w:lang w:val="en-GB"/>
              </w:rPr>
              <w:t>-0.220</w:t>
            </w:r>
          </w:p>
          <w:p w:rsidR="005D2586" w:rsidRPr="00363142" w:rsidRDefault="005D2586" w:rsidP="00666299">
            <w:pPr>
              <w:jc w:val="both"/>
              <w:rPr>
                <w:sz w:val="20"/>
                <w:szCs w:val="20"/>
                <w:lang w:val="en-GB"/>
              </w:rPr>
            </w:pPr>
            <w:r w:rsidRPr="00363142">
              <w:rPr>
                <w:sz w:val="20"/>
                <w:szCs w:val="20"/>
                <w:lang w:val="en-GB"/>
              </w:rPr>
              <w:t>(-0.59)</w:t>
            </w:r>
          </w:p>
        </w:tc>
        <w:tc>
          <w:tcPr>
            <w:tcW w:w="1877" w:type="dxa"/>
          </w:tcPr>
          <w:p w:rsidR="005D2586" w:rsidRPr="00363142" w:rsidRDefault="005D2586" w:rsidP="00666299">
            <w:pPr>
              <w:jc w:val="both"/>
              <w:rPr>
                <w:sz w:val="20"/>
                <w:szCs w:val="20"/>
                <w:lang w:val="en-GB"/>
              </w:rPr>
            </w:pPr>
            <w:r w:rsidRPr="00363142">
              <w:rPr>
                <w:sz w:val="20"/>
                <w:szCs w:val="20"/>
                <w:lang w:val="en-GB"/>
              </w:rPr>
              <w:t>-0.488</w:t>
            </w:r>
          </w:p>
          <w:p w:rsidR="005D2586" w:rsidRPr="00363142" w:rsidRDefault="005D2586" w:rsidP="00666299">
            <w:pPr>
              <w:jc w:val="both"/>
              <w:rPr>
                <w:sz w:val="20"/>
                <w:szCs w:val="20"/>
                <w:lang w:val="en-GB"/>
              </w:rPr>
            </w:pPr>
            <w:r w:rsidRPr="00363142">
              <w:rPr>
                <w:sz w:val="20"/>
                <w:szCs w:val="20"/>
                <w:lang w:val="en-GB"/>
              </w:rPr>
              <w:t>(-0.89)</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lngdppcL1.</w:t>
            </w:r>
          </w:p>
          <w:p w:rsidR="005D2586" w:rsidRPr="00363142" w:rsidRDefault="005D2586" w:rsidP="00666299">
            <w:pPr>
              <w:jc w:val="both"/>
              <w:rPr>
                <w:sz w:val="20"/>
                <w:szCs w:val="20"/>
                <w:lang w:val="en-GB"/>
              </w:rPr>
            </w:pPr>
            <w:r w:rsidRPr="00363142">
              <w:rPr>
                <w:sz w:val="20"/>
                <w:szCs w:val="20"/>
                <w:lang w:val="en-GB"/>
              </w:rPr>
              <w:t>(LAGGED DEPENDENT VARIABLE, 1</w:t>
            </w:r>
            <w:r w:rsidRPr="00363142">
              <w:rPr>
                <w:sz w:val="20"/>
                <w:szCs w:val="20"/>
                <w:vertAlign w:val="superscript"/>
                <w:lang w:val="en-GB"/>
              </w:rPr>
              <w:t>st</w:t>
            </w:r>
            <w:r w:rsidRPr="00363142">
              <w:rPr>
                <w:sz w:val="20"/>
                <w:szCs w:val="20"/>
                <w:lang w:val="en-GB"/>
              </w:rPr>
              <w:t xml:space="preserve"> LAG)</w:t>
            </w:r>
          </w:p>
        </w:tc>
        <w:tc>
          <w:tcPr>
            <w:tcW w:w="1865" w:type="dxa"/>
          </w:tcPr>
          <w:p w:rsidR="005D2586" w:rsidRPr="00363142" w:rsidRDefault="005D2586" w:rsidP="00666299">
            <w:pPr>
              <w:jc w:val="both"/>
              <w:rPr>
                <w:sz w:val="20"/>
                <w:szCs w:val="20"/>
                <w:lang w:val="en-GB"/>
              </w:rPr>
            </w:pPr>
            <w:r w:rsidRPr="00363142">
              <w:rPr>
                <w:sz w:val="20"/>
                <w:szCs w:val="20"/>
                <w:lang w:val="en-GB"/>
              </w:rPr>
              <w:t>0.913 ***</w:t>
            </w:r>
          </w:p>
          <w:p w:rsidR="005D2586" w:rsidRPr="00363142" w:rsidRDefault="005D2586" w:rsidP="00666299">
            <w:pPr>
              <w:jc w:val="both"/>
              <w:rPr>
                <w:sz w:val="20"/>
                <w:szCs w:val="20"/>
                <w:lang w:val="en-GB"/>
              </w:rPr>
            </w:pPr>
            <w:r w:rsidRPr="00363142">
              <w:rPr>
                <w:sz w:val="20"/>
                <w:szCs w:val="20"/>
                <w:lang w:val="en-GB"/>
              </w:rPr>
              <w:t>(10.88)</w:t>
            </w:r>
          </w:p>
        </w:tc>
        <w:tc>
          <w:tcPr>
            <w:tcW w:w="1877" w:type="dxa"/>
          </w:tcPr>
          <w:p w:rsidR="005D2586" w:rsidRPr="00363142" w:rsidRDefault="005D2586" w:rsidP="00666299">
            <w:pPr>
              <w:jc w:val="both"/>
              <w:rPr>
                <w:sz w:val="20"/>
                <w:szCs w:val="20"/>
                <w:lang w:val="en-GB"/>
              </w:rPr>
            </w:pPr>
            <w:r w:rsidRPr="00363142">
              <w:rPr>
                <w:sz w:val="20"/>
                <w:szCs w:val="20"/>
                <w:lang w:val="en-GB"/>
              </w:rPr>
              <w:t>0.880 ***</w:t>
            </w:r>
          </w:p>
          <w:p w:rsidR="005D2586" w:rsidRPr="00363142" w:rsidRDefault="005D2586" w:rsidP="00666299">
            <w:pPr>
              <w:jc w:val="both"/>
              <w:rPr>
                <w:sz w:val="20"/>
                <w:szCs w:val="20"/>
                <w:lang w:val="en-GB"/>
              </w:rPr>
            </w:pPr>
            <w:r w:rsidRPr="00363142">
              <w:rPr>
                <w:sz w:val="20"/>
                <w:szCs w:val="20"/>
                <w:lang w:val="en-GB"/>
              </w:rPr>
              <w:t>(9.69)</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inst5</w:t>
            </w:r>
          </w:p>
          <w:p w:rsidR="005D2586" w:rsidRPr="00363142" w:rsidRDefault="005D2586" w:rsidP="00666299">
            <w:pPr>
              <w:jc w:val="both"/>
              <w:rPr>
                <w:sz w:val="20"/>
                <w:szCs w:val="20"/>
                <w:lang w:val="en-GB"/>
              </w:rPr>
            </w:pPr>
            <w:r w:rsidRPr="00363142">
              <w:rPr>
                <w:sz w:val="20"/>
                <w:szCs w:val="20"/>
                <w:lang w:val="en-GB"/>
              </w:rPr>
              <w:t>(INSTITUTIONS, 5 YEAR DIFFERENCE)</w:t>
            </w:r>
          </w:p>
        </w:tc>
        <w:tc>
          <w:tcPr>
            <w:tcW w:w="1865" w:type="dxa"/>
          </w:tcPr>
          <w:p w:rsidR="005D2586" w:rsidRPr="00363142" w:rsidRDefault="005D2586" w:rsidP="00666299">
            <w:pPr>
              <w:jc w:val="both"/>
              <w:rPr>
                <w:sz w:val="20"/>
                <w:szCs w:val="20"/>
                <w:lang w:val="en-GB"/>
              </w:rPr>
            </w:pPr>
            <w:r w:rsidRPr="00363142">
              <w:rPr>
                <w:sz w:val="20"/>
                <w:szCs w:val="20"/>
                <w:lang w:val="en-GB"/>
              </w:rPr>
              <w:t>0.403 **</w:t>
            </w:r>
          </w:p>
          <w:p w:rsidR="005D2586" w:rsidRPr="00363142" w:rsidRDefault="005D2586" w:rsidP="00666299">
            <w:pPr>
              <w:jc w:val="both"/>
              <w:rPr>
                <w:sz w:val="20"/>
                <w:szCs w:val="20"/>
                <w:lang w:val="en-GB"/>
              </w:rPr>
            </w:pPr>
            <w:r w:rsidRPr="00363142">
              <w:rPr>
                <w:sz w:val="20"/>
                <w:szCs w:val="20"/>
                <w:lang w:val="en-GB"/>
              </w:rPr>
              <w:t>(2.28)</w:t>
            </w:r>
          </w:p>
        </w:tc>
        <w:tc>
          <w:tcPr>
            <w:tcW w:w="1877" w:type="dxa"/>
          </w:tcPr>
          <w:p w:rsidR="005D2586" w:rsidRPr="00363142" w:rsidRDefault="005D2586" w:rsidP="00666299">
            <w:pPr>
              <w:jc w:val="both"/>
              <w:rPr>
                <w:sz w:val="20"/>
                <w:szCs w:val="20"/>
                <w:lang w:val="en-GB"/>
              </w:rPr>
            </w:pPr>
            <w:r w:rsidRPr="00363142">
              <w:rPr>
                <w:sz w:val="20"/>
                <w:szCs w:val="20"/>
                <w:lang w:val="en-GB"/>
              </w:rPr>
              <w:t>0.438 **</w:t>
            </w:r>
          </w:p>
          <w:p w:rsidR="005D2586" w:rsidRPr="00363142" w:rsidRDefault="005D2586" w:rsidP="00666299">
            <w:pPr>
              <w:jc w:val="both"/>
              <w:rPr>
                <w:sz w:val="20"/>
                <w:szCs w:val="20"/>
                <w:lang w:val="en-GB"/>
              </w:rPr>
            </w:pPr>
            <w:r w:rsidRPr="00363142">
              <w:rPr>
                <w:sz w:val="20"/>
                <w:szCs w:val="20"/>
                <w:lang w:val="en-GB"/>
              </w:rPr>
              <w:t>(2.04)</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proofErr w:type="spellStart"/>
            <w:r w:rsidRPr="00363142">
              <w:rPr>
                <w:i/>
                <w:sz w:val="20"/>
                <w:szCs w:val="20"/>
                <w:lang w:val="en-GB"/>
              </w:rPr>
              <w:t>cpi</w:t>
            </w:r>
            <w:proofErr w:type="spellEnd"/>
          </w:p>
          <w:p w:rsidR="005D2586" w:rsidRPr="00363142" w:rsidRDefault="005D2586" w:rsidP="00666299">
            <w:pPr>
              <w:jc w:val="both"/>
              <w:rPr>
                <w:sz w:val="20"/>
                <w:szCs w:val="20"/>
                <w:lang w:val="en-GB"/>
              </w:rPr>
            </w:pPr>
            <w:r w:rsidRPr="00363142">
              <w:rPr>
                <w:sz w:val="20"/>
                <w:szCs w:val="20"/>
                <w:lang w:val="en-GB"/>
              </w:rPr>
              <w:t>(INFLATION, ANNUAL AVERAGE IN %)</w:t>
            </w:r>
          </w:p>
        </w:tc>
        <w:tc>
          <w:tcPr>
            <w:tcW w:w="1865" w:type="dxa"/>
          </w:tcPr>
          <w:p w:rsidR="005D2586" w:rsidRPr="00363142" w:rsidRDefault="005D2586" w:rsidP="00666299">
            <w:pPr>
              <w:jc w:val="both"/>
              <w:rPr>
                <w:sz w:val="20"/>
                <w:szCs w:val="20"/>
                <w:lang w:val="en-GB"/>
              </w:rPr>
            </w:pPr>
            <w:r w:rsidRPr="00363142">
              <w:rPr>
                <w:sz w:val="20"/>
                <w:szCs w:val="20"/>
                <w:lang w:val="en-GB"/>
              </w:rPr>
              <w:t>-0.001</w:t>
            </w:r>
          </w:p>
          <w:p w:rsidR="005D2586" w:rsidRPr="00363142" w:rsidRDefault="005D2586" w:rsidP="00666299">
            <w:pPr>
              <w:jc w:val="both"/>
              <w:rPr>
                <w:sz w:val="20"/>
                <w:szCs w:val="20"/>
                <w:lang w:val="en-GB"/>
              </w:rPr>
            </w:pPr>
            <w:r w:rsidRPr="00363142">
              <w:rPr>
                <w:sz w:val="20"/>
                <w:szCs w:val="20"/>
                <w:lang w:val="en-GB"/>
              </w:rPr>
              <w:t>(-0.78)</w:t>
            </w:r>
          </w:p>
        </w:tc>
        <w:tc>
          <w:tcPr>
            <w:tcW w:w="1877" w:type="dxa"/>
          </w:tcPr>
          <w:p w:rsidR="005D2586" w:rsidRPr="00363142" w:rsidRDefault="005D2586" w:rsidP="00666299">
            <w:pPr>
              <w:jc w:val="both"/>
              <w:rPr>
                <w:sz w:val="20"/>
                <w:szCs w:val="20"/>
                <w:lang w:val="en-GB"/>
              </w:rPr>
            </w:pPr>
            <w:r w:rsidRPr="00363142">
              <w:rPr>
                <w:sz w:val="20"/>
                <w:szCs w:val="20"/>
                <w:lang w:val="en-GB"/>
              </w:rPr>
              <w:t>-0.0001</w:t>
            </w:r>
          </w:p>
          <w:p w:rsidR="005D2586" w:rsidRPr="00363142" w:rsidRDefault="005D2586" w:rsidP="00666299">
            <w:pPr>
              <w:jc w:val="both"/>
              <w:rPr>
                <w:sz w:val="20"/>
                <w:szCs w:val="20"/>
                <w:lang w:val="en-GB"/>
              </w:rPr>
            </w:pPr>
            <w:r w:rsidRPr="00363142">
              <w:rPr>
                <w:sz w:val="20"/>
                <w:szCs w:val="20"/>
                <w:lang w:val="en-GB"/>
              </w:rPr>
              <w:t>(-0.59)</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budget</w:t>
            </w:r>
          </w:p>
          <w:p w:rsidR="005D2586" w:rsidRPr="00363142" w:rsidRDefault="005D2586" w:rsidP="00666299">
            <w:pPr>
              <w:jc w:val="both"/>
              <w:rPr>
                <w:sz w:val="20"/>
                <w:szCs w:val="20"/>
                <w:lang w:val="en-GB"/>
              </w:rPr>
            </w:pPr>
            <w:r w:rsidRPr="00363142">
              <w:rPr>
                <w:sz w:val="20"/>
                <w:szCs w:val="20"/>
                <w:lang w:val="en-GB"/>
              </w:rPr>
              <w:t>(BUDGET DEFICIT, % GDP)</w:t>
            </w:r>
          </w:p>
        </w:tc>
        <w:tc>
          <w:tcPr>
            <w:tcW w:w="1865" w:type="dxa"/>
          </w:tcPr>
          <w:p w:rsidR="005D2586" w:rsidRPr="00363142" w:rsidRDefault="005D2586" w:rsidP="00666299">
            <w:pPr>
              <w:jc w:val="both"/>
              <w:rPr>
                <w:sz w:val="20"/>
                <w:szCs w:val="20"/>
                <w:lang w:val="en-GB"/>
              </w:rPr>
            </w:pPr>
            <w:r w:rsidRPr="00363142">
              <w:rPr>
                <w:sz w:val="20"/>
                <w:szCs w:val="20"/>
                <w:lang w:val="en-GB"/>
              </w:rPr>
              <w:t>0.001</w:t>
            </w:r>
          </w:p>
          <w:p w:rsidR="005D2586" w:rsidRPr="00363142" w:rsidRDefault="005D2586" w:rsidP="00666299">
            <w:pPr>
              <w:jc w:val="both"/>
              <w:rPr>
                <w:sz w:val="20"/>
                <w:szCs w:val="20"/>
                <w:lang w:val="en-GB"/>
              </w:rPr>
            </w:pPr>
            <w:r w:rsidRPr="00363142">
              <w:rPr>
                <w:sz w:val="20"/>
                <w:szCs w:val="20"/>
                <w:lang w:val="en-GB"/>
              </w:rPr>
              <w:t>(0.14)</w:t>
            </w:r>
          </w:p>
        </w:tc>
        <w:tc>
          <w:tcPr>
            <w:tcW w:w="1877" w:type="dxa"/>
          </w:tcPr>
          <w:p w:rsidR="005D2586" w:rsidRPr="00363142" w:rsidRDefault="005D2586" w:rsidP="00666299">
            <w:pPr>
              <w:jc w:val="both"/>
              <w:rPr>
                <w:sz w:val="20"/>
                <w:szCs w:val="20"/>
                <w:lang w:val="en-GB"/>
              </w:rPr>
            </w:pPr>
            <w:r w:rsidRPr="00363142">
              <w:rPr>
                <w:sz w:val="20"/>
                <w:szCs w:val="20"/>
                <w:lang w:val="en-GB"/>
              </w:rPr>
              <w:t>-0.001</w:t>
            </w:r>
          </w:p>
          <w:p w:rsidR="005D2586" w:rsidRPr="00363142" w:rsidRDefault="005D2586" w:rsidP="00666299">
            <w:pPr>
              <w:jc w:val="both"/>
              <w:rPr>
                <w:sz w:val="20"/>
                <w:szCs w:val="20"/>
                <w:lang w:val="en-GB"/>
              </w:rPr>
            </w:pPr>
            <w:r w:rsidRPr="00363142">
              <w:rPr>
                <w:sz w:val="20"/>
                <w:szCs w:val="20"/>
                <w:lang w:val="en-GB"/>
              </w:rPr>
              <w:t>(-0.14)</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proofErr w:type="spellStart"/>
            <w:r w:rsidRPr="00363142">
              <w:rPr>
                <w:i/>
                <w:sz w:val="20"/>
                <w:szCs w:val="20"/>
                <w:lang w:val="en-GB"/>
              </w:rPr>
              <w:t>fdiper</w:t>
            </w:r>
            <w:proofErr w:type="spellEnd"/>
          </w:p>
          <w:p w:rsidR="005D2586" w:rsidRPr="00363142" w:rsidRDefault="005D2586" w:rsidP="00666299">
            <w:pPr>
              <w:jc w:val="both"/>
              <w:rPr>
                <w:sz w:val="20"/>
                <w:szCs w:val="20"/>
                <w:lang w:val="en-GB"/>
              </w:rPr>
            </w:pPr>
            <w:r w:rsidRPr="00363142">
              <w:rPr>
                <w:sz w:val="20"/>
                <w:szCs w:val="20"/>
                <w:lang w:val="en-GB"/>
              </w:rPr>
              <w:t>(FDI INFLOW, % GDP)</w:t>
            </w:r>
          </w:p>
        </w:tc>
        <w:tc>
          <w:tcPr>
            <w:tcW w:w="1865" w:type="dxa"/>
          </w:tcPr>
          <w:p w:rsidR="005D2586" w:rsidRPr="00363142" w:rsidRDefault="005D2586" w:rsidP="00666299">
            <w:pPr>
              <w:jc w:val="both"/>
              <w:rPr>
                <w:sz w:val="20"/>
                <w:szCs w:val="20"/>
                <w:lang w:val="en-GB"/>
              </w:rPr>
            </w:pPr>
            <w:r w:rsidRPr="00363142">
              <w:rPr>
                <w:sz w:val="20"/>
                <w:szCs w:val="20"/>
                <w:lang w:val="en-GB"/>
              </w:rPr>
              <w:t>-0.003</w:t>
            </w:r>
          </w:p>
          <w:p w:rsidR="005D2586" w:rsidRPr="00363142" w:rsidRDefault="005D2586" w:rsidP="00666299">
            <w:pPr>
              <w:jc w:val="both"/>
              <w:rPr>
                <w:sz w:val="20"/>
                <w:szCs w:val="20"/>
                <w:lang w:val="en-GB"/>
              </w:rPr>
            </w:pPr>
            <w:r w:rsidRPr="00363142">
              <w:rPr>
                <w:sz w:val="20"/>
                <w:szCs w:val="20"/>
                <w:lang w:val="en-GB"/>
              </w:rPr>
              <w:t>(-1.57)</w:t>
            </w:r>
          </w:p>
        </w:tc>
        <w:tc>
          <w:tcPr>
            <w:tcW w:w="1877" w:type="dxa"/>
          </w:tcPr>
          <w:p w:rsidR="005D2586" w:rsidRPr="00363142" w:rsidRDefault="005D2586" w:rsidP="00666299">
            <w:pPr>
              <w:jc w:val="both"/>
              <w:rPr>
                <w:sz w:val="20"/>
                <w:szCs w:val="20"/>
                <w:lang w:val="en-GB"/>
              </w:rPr>
            </w:pPr>
            <w:r w:rsidRPr="00363142">
              <w:rPr>
                <w:sz w:val="20"/>
                <w:szCs w:val="20"/>
                <w:lang w:val="en-GB"/>
              </w:rPr>
              <w:t>-0.003</w:t>
            </w:r>
          </w:p>
          <w:p w:rsidR="005D2586" w:rsidRPr="00363142" w:rsidRDefault="005D2586" w:rsidP="00666299">
            <w:pPr>
              <w:jc w:val="both"/>
              <w:rPr>
                <w:sz w:val="20"/>
                <w:szCs w:val="20"/>
                <w:lang w:val="en-GB"/>
              </w:rPr>
            </w:pPr>
            <w:r w:rsidRPr="00363142">
              <w:rPr>
                <w:sz w:val="20"/>
                <w:szCs w:val="20"/>
                <w:lang w:val="en-GB"/>
              </w:rPr>
              <w:t>(-1.61)</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invest</w:t>
            </w:r>
          </w:p>
          <w:p w:rsidR="005D2586" w:rsidRPr="00363142" w:rsidRDefault="005D2586" w:rsidP="00666299">
            <w:pPr>
              <w:jc w:val="both"/>
              <w:rPr>
                <w:sz w:val="20"/>
                <w:szCs w:val="20"/>
                <w:lang w:val="en-GB"/>
              </w:rPr>
            </w:pPr>
            <w:r w:rsidRPr="00363142">
              <w:rPr>
                <w:sz w:val="20"/>
                <w:szCs w:val="20"/>
                <w:lang w:val="en-GB"/>
              </w:rPr>
              <w:t>(DOMESTIC INVESTMENT, % GDP)</w:t>
            </w:r>
          </w:p>
        </w:tc>
        <w:tc>
          <w:tcPr>
            <w:tcW w:w="1865" w:type="dxa"/>
          </w:tcPr>
          <w:p w:rsidR="005D2586" w:rsidRPr="00363142" w:rsidRDefault="005D2586" w:rsidP="00666299">
            <w:pPr>
              <w:jc w:val="both"/>
              <w:rPr>
                <w:sz w:val="20"/>
                <w:szCs w:val="20"/>
                <w:lang w:val="en-GB"/>
              </w:rPr>
            </w:pPr>
            <w:r w:rsidRPr="00363142">
              <w:rPr>
                <w:sz w:val="20"/>
                <w:szCs w:val="20"/>
                <w:lang w:val="en-GB"/>
              </w:rPr>
              <w:t>0.003</w:t>
            </w:r>
          </w:p>
          <w:p w:rsidR="005D2586" w:rsidRPr="00363142" w:rsidRDefault="005D2586" w:rsidP="00666299">
            <w:pPr>
              <w:jc w:val="both"/>
              <w:rPr>
                <w:sz w:val="20"/>
                <w:szCs w:val="20"/>
                <w:lang w:val="en-GB"/>
              </w:rPr>
            </w:pPr>
            <w:r w:rsidRPr="00363142">
              <w:rPr>
                <w:sz w:val="20"/>
                <w:szCs w:val="20"/>
                <w:lang w:val="en-GB"/>
              </w:rPr>
              <w:t>(1.37)</w:t>
            </w:r>
          </w:p>
        </w:tc>
        <w:tc>
          <w:tcPr>
            <w:tcW w:w="1877" w:type="dxa"/>
          </w:tcPr>
          <w:p w:rsidR="005D2586" w:rsidRPr="00363142" w:rsidRDefault="005D2586" w:rsidP="00666299">
            <w:pPr>
              <w:jc w:val="both"/>
              <w:rPr>
                <w:sz w:val="20"/>
                <w:szCs w:val="20"/>
                <w:lang w:val="en-GB"/>
              </w:rPr>
            </w:pPr>
            <w:r w:rsidRPr="00363142">
              <w:rPr>
                <w:sz w:val="20"/>
                <w:szCs w:val="20"/>
                <w:lang w:val="en-GB"/>
              </w:rPr>
              <w:t>0.003</w:t>
            </w:r>
          </w:p>
          <w:p w:rsidR="005D2586" w:rsidRPr="00363142" w:rsidRDefault="005D2586" w:rsidP="00666299">
            <w:pPr>
              <w:jc w:val="both"/>
              <w:rPr>
                <w:sz w:val="20"/>
                <w:szCs w:val="20"/>
                <w:lang w:val="en-GB"/>
              </w:rPr>
            </w:pPr>
            <w:r w:rsidRPr="00363142">
              <w:rPr>
                <w:sz w:val="20"/>
                <w:szCs w:val="20"/>
                <w:lang w:val="en-GB"/>
              </w:rPr>
              <w:t>(1.12)</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proofErr w:type="spellStart"/>
            <w:r w:rsidRPr="00363142">
              <w:rPr>
                <w:i/>
                <w:sz w:val="20"/>
                <w:szCs w:val="20"/>
                <w:lang w:val="en-GB"/>
              </w:rPr>
              <w:t>lninitial</w:t>
            </w:r>
            <w:proofErr w:type="spellEnd"/>
          </w:p>
          <w:p w:rsidR="005D2586" w:rsidRPr="00363142" w:rsidRDefault="005D2586" w:rsidP="00666299">
            <w:pPr>
              <w:jc w:val="both"/>
              <w:rPr>
                <w:i/>
                <w:sz w:val="20"/>
                <w:szCs w:val="20"/>
                <w:lang w:val="en-GB"/>
              </w:rPr>
            </w:pPr>
            <w:r w:rsidRPr="00363142">
              <w:rPr>
                <w:i/>
                <w:sz w:val="20"/>
                <w:szCs w:val="20"/>
                <w:lang w:val="en-GB"/>
              </w:rPr>
              <w:t>(INITIAL CONDITIONS, GDP PPP 1989)</w:t>
            </w:r>
          </w:p>
        </w:tc>
        <w:tc>
          <w:tcPr>
            <w:tcW w:w="1865" w:type="dxa"/>
          </w:tcPr>
          <w:p w:rsidR="005D2586" w:rsidRPr="00363142" w:rsidRDefault="005D2586" w:rsidP="00666299">
            <w:pPr>
              <w:jc w:val="both"/>
              <w:rPr>
                <w:sz w:val="20"/>
                <w:szCs w:val="20"/>
                <w:lang w:val="en-GB"/>
              </w:rPr>
            </w:pPr>
            <w:r w:rsidRPr="00363142">
              <w:rPr>
                <w:sz w:val="20"/>
                <w:szCs w:val="20"/>
                <w:lang w:val="en-GB"/>
              </w:rPr>
              <w:t>0.129</w:t>
            </w:r>
          </w:p>
          <w:p w:rsidR="005D2586" w:rsidRPr="00363142" w:rsidRDefault="005D2586" w:rsidP="00666299">
            <w:pPr>
              <w:jc w:val="both"/>
              <w:rPr>
                <w:sz w:val="20"/>
                <w:szCs w:val="20"/>
                <w:lang w:val="en-GB"/>
              </w:rPr>
            </w:pPr>
            <w:r w:rsidRPr="00363142">
              <w:rPr>
                <w:sz w:val="20"/>
                <w:szCs w:val="20"/>
                <w:lang w:val="en-GB"/>
              </w:rPr>
              <w:t>(1.10)</w:t>
            </w:r>
          </w:p>
        </w:tc>
        <w:tc>
          <w:tcPr>
            <w:tcW w:w="1877" w:type="dxa"/>
          </w:tcPr>
          <w:p w:rsidR="005D2586" w:rsidRPr="00363142" w:rsidRDefault="005D2586" w:rsidP="00666299">
            <w:pPr>
              <w:jc w:val="both"/>
              <w:rPr>
                <w:sz w:val="20"/>
                <w:szCs w:val="20"/>
                <w:lang w:val="en-GB"/>
              </w:rPr>
            </w:pPr>
            <w:r w:rsidRPr="00363142">
              <w:rPr>
                <w:sz w:val="20"/>
                <w:szCs w:val="20"/>
                <w:lang w:val="en-GB"/>
              </w:rPr>
              <w:t>0.193</w:t>
            </w:r>
          </w:p>
          <w:p w:rsidR="005D2586" w:rsidRPr="00363142" w:rsidRDefault="005D2586" w:rsidP="00666299">
            <w:pPr>
              <w:jc w:val="both"/>
              <w:rPr>
                <w:sz w:val="20"/>
                <w:szCs w:val="20"/>
                <w:lang w:val="en-GB"/>
              </w:rPr>
            </w:pPr>
            <w:r w:rsidRPr="00363142">
              <w:rPr>
                <w:sz w:val="20"/>
                <w:szCs w:val="20"/>
                <w:lang w:val="en-GB"/>
              </w:rPr>
              <w:t>(1.34)</w:t>
            </w:r>
          </w:p>
        </w:tc>
      </w:tr>
      <w:tr w:rsidR="005D2586" w:rsidRPr="00363142" w:rsidTr="00B4054F">
        <w:trPr>
          <w:jc w:val="center"/>
        </w:trPr>
        <w:tc>
          <w:tcPr>
            <w:tcW w:w="4354" w:type="dxa"/>
          </w:tcPr>
          <w:p w:rsidR="005D2586" w:rsidRPr="00363142" w:rsidRDefault="005D2586" w:rsidP="00666299">
            <w:pPr>
              <w:jc w:val="both"/>
              <w:rPr>
                <w:sz w:val="20"/>
                <w:szCs w:val="20"/>
                <w:lang w:val="en-GB"/>
              </w:rPr>
            </w:pPr>
            <w:r w:rsidRPr="00363142">
              <w:rPr>
                <w:sz w:val="20"/>
                <w:szCs w:val="20"/>
                <w:lang w:val="en-GB"/>
              </w:rPr>
              <w:t xml:space="preserve">Year dummies for 1996 to 2007: </w:t>
            </w:r>
          </w:p>
        </w:tc>
        <w:tc>
          <w:tcPr>
            <w:tcW w:w="1865" w:type="dxa"/>
          </w:tcPr>
          <w:p w:rsidR="005D2586" w:rsidRPr="00363142" w:rsidRDefault="005D2586" w:rsidP="00666299">
            <w:pPr>
              <w:jc w:val="both"/>
              <w:rPr>
                <w:sz w:val="20"/>
                <w:szCs w:val="20"/>
                <w:lang w:val="en-GB"/>
              </w:rPr>
            </w:pPr>
          </w:p>
        </w:tc>
        <w:tc>
          <w:tcPr>
            <w:tcW w:w="1877" w:type="dxa"/>
          </w:tcPr>
          <w:p w:rsidR="005D2586" w:rsidRPr="00363142" w:rsidRDefault="005D2586" w:rsidP="00666299">
            <w:pPr>
              <w:jc w:val="both"/>
              <w:rPr>
                <w:sz w:val="20"/>
                <w:szCs w:val="20"/>
                <w:lang w:val="en-GB"/>
              </w:rPr>
            </w:pPr>
          </w:p>
        </w:tc>
      </w:tr>
      <w:tr w:rsidR="005D2586" w:rsidRPr="00363142" w:rsidTr="00B4054F">
        <w:trPr>
          <w:jc w:val="center"/>
        </w:trPr>
        <w:tc>
          <w:tcPr>
            <w:tcW w:w="4354" w:type="dxa"/>
          </w:tcPr>
          <w:p w:rsidR="005D2586" w:rsidRPr="00363142" w:rsidRDefault="005D2586" w:rsidP="00666299">
            <w:pPr>
              <w:jc w:val="both"/>
              <w:rPr>
                <w:sz w:val="20"/>
                <w:szCs w:val="20"/>
                <w:lang w:val="en-GB"/>
              </w:rPr>
            </w:pPr>
            <w:r w:rsidRPr="00363142">
              <w:rPr>
                <w:sz w:val="20"/>
                <w:szCs w:val="20"/>
                <w:lang w:val="en-GB"/>
              </w:rPr>
              <w:t>_Iyear_1996</w:t>
            </w:r>
          </w:p>
        </w:tc>
        <w:tc>
          <w:tcPr>
            <w:tcW w:w="1865" w:type="dxa"/>
          </w:tcPr>
          <w:p w:rsidR="005D2586" w:rsidRPr="00363142" w:rsidRDefault="005D2586" w:rsidP="00666299">
            <w:pPr>
              <w:jc w:val="both"/>
              <w:rPr>
                <w:sz w:val="20"/>
                <w:szCs w:val="20"/>
                <w:lang w:val="en-GB"/>
              </w:rPr>
            </w:pPr>
            <w:r w:rsidRPr="00363142">
              <w:rPr>
                <w:sz w:val="20"/>
                <w:szCs w:val="20"/>
                <w:lang w:val="en-GB"/>
              </w:rPr>
              <w:t>-.253 **</w:t>
            </w:r>
          </w:p>
          <w:p w:rsidR="005D2586" w:rsidRPr="00363142" w:rsidRDefault="005D2586" w:rsidP="00666299">
            <w:pPr>
              <w:jc w:val="both"/>
              <w:rPr>
                <w:sz w:val="20"/>
                <w:szCs w:val="20"/>
                <w:lang w:val="en-GB"/>
              </w:rPr>
            </w:pPr>
            <w:r w:rsidRPr="00363142">
              <w:rPr>
                <w:sz w:val="20"/>
                <w:szCs w:val="20"/>
                <w:lang w:val="en-GB"/>
              </w:rPr>
              <w:t>(-2.61)</w:t>
            </w:r>
          </w:p>
        </w:tc>
        <w:tc>
          <w:tcPr>
            <w:tcW w:w="1877" w:type="dxa"/>
          </w:tcPr>
          <w:p w:rsidR="005D2586" w:rsidRPr="00363142" w:rsidRDefault="005D2586" w:rsidP="00666299">
            <w:pPr>
              <w:jc w:val="both"/>
              <w:rPr>
                <w:sz w:val="20"/>
                <w:szCs w:val="20"/>
                <w:lang w:val="en-GB"/>
              </w:rPr>
            </w:pPr>
            <w:r w:rsidRPr="00363142">
              <w:rPr>
                <w:sz w:val="20"/>
                <w:szCs w:val="20"/>
                <w:lang w:val="en-GB"/>
              </w:rPr>
              <w:t>-0.347 **</w:t>
            </w:r>
          </w:p>
          <w:p w:rsidR="005D2586" w:rsidRPr="00363142" w:rsidRDefault="005D2586" w:rsidP="00666299">
            <w:pPr>
              <w:jc w:val="both"/>
              <w:rPr>
                <w:sz w:val="20"/>
                <w:szCs w:val="20"/>
                <w:lang w:val="en-GB"/>
              </w:rPr>
            </w:pPr>
            <w:r w:rsidRPr="00363142">
              <w:rPr>
                <w:sz w:val="20"/>
                <w:szCs w:val="20"/>
                <w:lang w:val="en-GB"/>
              </w:rPr>
              <w:t>(-2.31)</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_Iyear_1997</w:t>
            </w:r>
          </w:p>
        </w:tc>
        <w:tc>
          <w:tcPr>
            <w:tcW w:w="1865" w:type="dxa"/>
          </w:tcPr>
          <w:p w:rsidR="005D2586" w:rsidRPr="00363142" w:rsidRDefault="005D2586" w:rsidP="00666299">
            <w:pPr>
              <w:jc w:val="both"/>
              <w:rPr>
                <w:sz w:val="20"/>
                <w:szCs w:val="20"/>
                <w:lang w:val="en-GB"/>
              </w:rPr>
            </w:pPr>
            <w:r w:rsidRPr="00363142">
              <w:rPr>
                <w:sz w:val="20"/>
                <w:szCs w:val="20"/>
                <w:lang w:val="en-GB"/>
              </w:rPr>
              <w:t>-.351 ***</w:t>
            </w:r>
          </w:p>
          <w:p w:rsidR="005D2586" w:rsidRPr="00363142" w:rsidRDefault="005D2586" w:rsidP="00666299">
            <w:pPr>
              <w:jc w:val="both"/>
              <w:rPr>
                <w:sz w:val="20"/>
                <w:szCs w:val="20"/>
                <w:lang w:val="en-GB"/>
              </w:rPr>
            </w:pPr>
            <w:r w:rsidRPr="00363142">
              <w:rPr>
                <w:sz w:val="20"/>
                <w:szCs w:val="20"/>
                <w:lang w:val="en-GB"/>
              </w:rPr>
              <w:t xml:space="preserve">(-3.84)  </w:t>
            </w:r>
          </w:p>
        </w:tc>
        <w:tc>
          <w:tcPr>
            <w:tcW w:w="1877" w:type="dxa"/>
          </w:tcPr>
          <w:p w:rsidR="005D2586" w:rsidRPr="00363142" w:rsidRDefault="005D2586" w:rsidP="00666299">
            <w:pPr>
              <w:jc w:val="both"/>
              <w:rPr>
                <w:sz w:val="20"/>
                <w:szCs w:val="20"/>
                <w:lang w:val="en-GB"/>
              </w:rPr>
            </w:pPr>
            <w:r w:rsidRPr="00363142">
              <w:rPr>
                <w:sz w:val="20"/>
                <w:szCs w:val="20"/>
                <w:lang w:val="en-GB"/>
              </w:rPr>
              <w:t>-0.380 ***</w:t>
            </w:r>
          </w:p>
          <w:p w:rsidR="005D2586" w:rsidRPr="00363142" w:rsidRDefault="005D2586" w:rsidP="00666299">
            <w:pPr>
              <w:jc w:val="both"/>
              <w:rPr>
                <w:sz w:val="20"/>
                <w:szCs w:val="20"/>
                <w:lang w:val="en-GB"/>
              </w:rPr>
            </w:pPr>
            <w:r w:rsidRPr="00363142">
              <w:rPr>
                <w:sz w:val="20"/>
                <w:szCs w:val="20"/>
                <w:lang w:val="en-GB"/>
              </w:rPr>
              <w:t>(-3.56)</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_Iyear_1998</w:t>
            </w:r>
          </w:p>
        </w:tc>
        <w:tc>
          <w:tcPr>
            <w:tcW w:w="1865" w:type="dxa"/>
          </w:tcPr>
          <w:p w:rsidR="005D2586" w:rsidRPr="00363142" w:rsidRDefault="005D2586" w:rsidP="00666299">
            <w:pPr>
              <w:jc w:val="both"/>
              <w:rPr>
                <w:sz w:val="20"/>
                <w:szCs w:val="20"/>
                <w:lang w:val="en-GB"/>
              </w:rPr>
            </w:pPr>
            <w:r w:rsidRPr="00363142">
              <w:rPr>
                <w:sz w:val="20"/>
                <w:szCs w:val="20"/>
                <w:lang w:val="en-GB"/>
              </w:rPr>
              <w:t>-.331 ***</w:t>
            </w:r>
          </w:p>
          <w:p w:rsidR="005D2586" w:rsidRPr="00363142" w:rsidRDefault="005D2586" w:rsidP="00666299">
            <w:pPr>
              <w:jc w:val="both"/>
              <w:rPr>
                <w:sz w:val="20"/>
                <w:szCs w:val="20"/>
                <w:lang w:val="en-GB"/>
              </w:rPr>
            </w:pPr>
            <w:r w:rsidRPr="00363142">
              <w:rPr>
                <w:sz w:val="20"/>
                <w:szCs w:val="20"/>
                <w:lang w:val="en-GB"/>
              </w:rPr>
              <w:t>(-3.22)</w:t>
            </w:r>
          </w:p>
        </w:tc>
        <w:tc>
          <w:tcPr>
            <w:tcW w:w="1877" w:type="dxa"/>
          </w:tcPr>
          <w:p w:rsidR="005D2586" w:rsidRPr="00363142" w:rsidRDefault="005D2586" w:rsidP="00666299">
            <w:pPr>
              <w:jc w:val="both"/>
              <w:rPr>
                <w:sz w:val="20"/>
                <w:szCs w:val="20"/>
                <w:lang w:val="en-GB"/>
              </w:rPr>
            </w:pPr>
            <w:r w:rsidRPr="00363142">
              <w:rPr>
                <w:sz w:val="20"/>
                <w:szCs w:val="20"/>
                <w:lang w:val="en-GB"/>
              </w:rPr>
              <w:t>-0.341 **</w:t>
            </w:r>
          </w:p>
          <w:p w:rsidR="005D2586" w:rsidRPr="00363142" w:rsidRDefault="005D2586" w:rsidP="00666299">
            <w:pPr>
              <w:jc w:val="both"/>
              <w:rPr>
                <w:sz w:val="20"/>
                <w:szCs w:val="20"/>
                <w:lang w:val="en-GB"/>
              </w:rPr>
            </w:pPr>
            <w:r w:rsidRPr="00363142">
              <w:rPr>
                <w:sz w:val="20"/>
                <w:szCs w:val="20"/>
                <w:lang w:val="en-GB"/>
              </w:rPr>
              <w:t>(-2.66)</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_Iyear_1999</w:t>
            </w:r>
          </w:p>
        </w:tc>
        <w:tc>
          <w:tcPr>
            <w:tcW w:w="1865" w:type="dxa"/>
          </w:tcPr>
          <w:p w:rsidR="005D2586" w:rsidRPr="00363142" w:rsidRDefault="005D2586" w:rsidP="00666299">
            <w:pPr>
              <w:jc w:val="both"/>
              <w:rPr>
                <w:sz w:val="20"/>
                <w:szCs w:val="20"/>
                <w:lang w:val="en-GB"/>
              </w:rPr>
            </w:pPr>
            <w:r w:rsidRPr="00363142">
              <w:rPr>
                <w:sz w:val="20"/>
                <w:szCs w:val="20"/>
                <w:lang w:val="en-GB"/>
              </w:rPr>
              <w:t>-.420 ***</w:t>
            </w:r>
          </w:p>
          <w:p w:rsidR="005D2586" w:rsidRPr="00363142" w:rsidRDefault="005D2586" w:rsidP="00666299">
            <w:pPr>
              <w:jc w:val="both"/>
              <w:rPr>
                <w:sz w:val="20"/>
                <w:szCs w:val="20"/>
                <w:lang w:val="en-GB"/>
              </w:rPr>
            </w:pPr>
            <w:r w:rsidRPr="00363142">
              <w:rPr>
                <w:sz w:val="20"/>
                <w:szCs w:val="20"/>
                <w:lang w:val="en-GB"/>
              </w:rPr>
              <w:t>(-3.90)</w:t>
            </w:r>
          </w:p>
        </w:tc>
        <w:tc>
          <w:tcPr>
            <w:tcW w:w="1877" w:type="dxa"/>
          </w:tcPr>
          <w:p w:rsidR="005D2586" w:rsidRPr="00363142" w:rsidRDefault="005D2586" w:rsidP="00666299">
            <w:pPr>
              <w:jc w:val="both"/>
              <w:rPr>
                <w:sz w:val="20"/>
                <w:szCs w:val="20"/>
                <w:lang w:val="en-GB"/>
              </w:rPr>
            </w:pPr>
            <w:r w:rsidRPr="00363142">
              <w:rPr>
                <w:sz w:val="20"/>
                <w:szCs w:val="20"/>
                <w:lang w:val="en-GB"/>
              </w:rPr>
              <w:t>-0.435 ***</w:t>
            </w:r>
          </w:p>
          <w:p w:rsidR="005D2586" w:rsidRPr="00363142" w:rsidRDefault="005D2586" w:rsidP="00666299">
            <w:pPr>
              <w:jc w:val="both"/>
              <w:rPr>
                <w:sz w:val="20"/>
                <w:szCs w:val="20"/>
                <w:lang w:val="en-GB"/>
              </w:rPr>
            </w:pPr>
            <w:r w:rsidRPr="00363142">
              <w:rPr>
                <w:sz w:val="20"/>
                <w:szCs w:val="20"/>
                <w:lang w:val="en-GB"/>
              </w:rPr>
              <w:t>(-3.78)</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_Iyear_2000</w:t>
            </w:r>
          </w:p>
        </w:tc>
        <w:tc>
          <w:tcPr>
            <w:tcW w:w="1865" w:type="dxa"/>
          </w:tcPr>
          <w:p w:rsidR="005D2586" w:rsidRPr="00363142" w:rsidRDefault="005D2586" w:rsidP="00666299">
            <w:pPr>
              <w:jc w:val="both"/>
              <w:rPr>
                <w:sz w:val="20"/>
                <w:szCs w:val="20"/>
                <w:lang w:val="en-GB"/>
              </w:rPr>
            </w:pPr>
            <w:r w:rsidRPr="00363142">
              <w:rPr>
                <w:sz w:val="20"/>
                <w:szCs w:val="20"/>
                <w:lang w:val="en-GB"/>
              </w:rPr>
              <w:t>-.290 **</w:t>
            </w:r>
          </w:p>
          <w:p w:rsidR="005D2586" w:rsidRPr="00363142" w:rsidRDefault="005D2586" w:rsidP="00666299">
            <w:pPr>
              <w:jc w:val="both"/>
              <w:rPr>
                <w:sz w:val="20"/>
                <w:szCs w:val="20"/>
                <w:lang w:val="en-GB"/>
              </w:rPr>
            </w:pPr>
            <w:r w:rsidRPr="00363142">
              <w:rPr>
                <w:sz w:val="20"/>
                <w:szCs w:val="20"/>
                <w:lang w:val="en-GB"/>
              </w:rPr>
              <w:t>(-2.69)</w:t>
            </w:r>
          </w:p>
        </w:tc>
        <w:tc>
          <w:tcPr>
            <w:tcW w:w="1877" w:type="dxa"/>
          </w:tcPr>
          <w:p w:rsidR="005D2586" w:rsidRPr="00363142" w:rsidRDefault="005D2586" w:rsidP="00666299">
            <w:pPr>
              <w:jc w:val="both"/>
              <w:rPr>
                <w:sz w:val="20"/>
                <w:szCs w:val="20"/>
                <w:lang w:val="en-GB"/>
              </w:rPr>
            </w:pPr>
            <w:r w:rsidRPr="00363142">
              <w:rPr>
                <w:sz w:val="20"/>
                <w:szCs w:val="20"/>
                <w:lang w:val="en-GB"/>
              </w:rPr>
              <w:t>-0.349 ***</w:t>
            </w:r>
          </w:p>
          <w:p w:rsidR="005D2586" w:rsidRPr="00363142" w:rsidRDefault="005D2586" w:rsidP="00666299">
            <w:pPr>
              <w:jc w:val="both"/>
              <w:rPr>
                <w:sz w:val="20"/>
                <w:szCs w:val="20"/>
                <w:lang w:val="en-GB"/>
              </w:rPr>
            </w:pPr>
            <w:r w:rsidRPr="00363142">
              <w:rPr>
                <w:sz w:val="20"/>
                <w:szCs w:val="20"/>
                <w:lang w:val="en-GB"/>
              </w:rPr>
              <w:t>(-2.98)</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_Iyear_2001</w:t>
            </w:r>
          </w:p>
        </w:tc>
        <w:tc>
          <w:tcPr>
            <w:tcW w:w="1865" w:type="dxa"/>
          </w:tcPr>
          <w:p w:rsidR="005D2586" w:rsidRPr="00363142" w:rsidRDefault="005D2586" w:rsidP="00666299">
            <w:pPr>
              <w:jc w:val="both"/>
              <w:rPr>
                <w:sz w:val="20"/>
                <w:szCs w:val="20"/>
                <w:lang w:val="en-GB"/>
              </w:rPr>
            </w:pPr>
            <w:r w:rsidRPr="00363142">
              <w:rPr>
                <w:sz w:val="20"/>
                <w:szCs w:val="20"/>
                <w:lang w:val="en-GB"/>
              </w:rPr>
              <w:t>-.225 **</w:t>
            </w:r>
          </w:p>
          <w:p w:rsidR="005D2586" w:rsidRPr="00363142" w:rsidRDefault="005D2586" w:rsidP="00666299">
            <w:pPr>
              <w:jc w:val="both"/>
              <w:rPr>
                <w:sz w:val="20"/>
                <w:szCs w:val="20"/>
                <w:lang w:val="en-GB"/>
              </w:rPr>
            </w:pPr>
            <w:r w:rsidRPr="00363142">
              <w:rPr>
                <w:sz w:val="20"/>
                <w:szCs w:val="20"/>
                <w:lang w:val="en-GB"/>
              </w:rPr>
              <w:t>(-2.31)</w:t>
            </w:r>
          </w:p>
        </w:tc>
        <w:tc>
          <w:tcPr>
            <w:tcW w:w="1877" w:type="dxa"/>
          </w:tcPr>
          <w:p w:rsidR="005D2586" w:rsidRPr="00363142" w:rsidRDefault="005D2586" w:rsidP="00666299">
            <w:pPr>
              <w:jc w:val="both"/>
              <w:rPr>
                <w:sz w:val="20"/>
                <w:szCs w:val="20"/>
                <w:lang w:val="en-GB"/>
              </w:rPr>
            </w:pPr>
            <w:r w:rsidRPr="00363142">
              <w:rPr>
                <w:sz w:val="20"/>
                <w:szCs w:val="20"/>
                <w:lang w:val="en-GB"/>
              </w:rPr>
              <w:t>-0.268 ***</w:t>
            </w:r>
          </w:p>
          <w:p w:rsidR="005D2586" w:rsidRPr="00363142" w:rsidRDefault="005D2586" w:rsidP="00666299">
            <w:pPr>
              <w:jc w:val="both"/>
              <w:rPr>
                <w:sz w:val="20"/>
                <w:szCs w:val="20"/>
                <w:lang w:val="en-GB"/>
              </w:rPr>
            </w:pPr>
            <w:r w:rsidRPr="00363142">
              <w:rPr>
                <w:sz w:val="20"/>
                <w:szCs w:val="20"/>
                <w:lang w:val="en-GB"/>
              </w:rPr>
              <w:t>(-2.78)</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_Iyear_2002</w:t>
            </w:r>
          </w:p>
        </w:tc>
        <w:tc>
          <w:tcPr>
            <w:tcW w:w="1865" w:type="dxa"/>
          </w:tcPr>
          <w:p w:rsidR="005D2586" w:rsidRPr="00363142" w:rsidRDefault="005D2586" w:rsidP="00666299">
            <w:pPr>
              <w:jc w:val="both"/>
              <w:rPr>
                <w:sz w:val="20"/>
                <w:szCs w:val="20"/>
                <w:lang w:val="en-GB"/>
              </w:rPr>
            </w:pPr>
            <w:r w:rsidRPr="00363142">
              <w:rPr>
                <w:sz w:val="20"/>
                <w:szCs w:val="20"/>
                <w:lang w:val="en-GB"/>
              </w:rPr>
              <w:t>-.196 **</w:t>
            </w:r>
          </w:p>
          <w:p w:rsidR="005D2586" w:rsidRPr="00363142" w:rsidRDefault="005D2586" w:rsidP="00666299">
            <w:pPr>
              <w:jc w:val="both"/>
              <w:rPr>
                <w:sz w:val="20"/>
                <w:szCs w:val="20"/>
                <w:lang w:val="en-GB"/>
              </w:rPr>
            </w:pPr>
            <w:r w:rsidRPr="00363142">
              <w:rPr>
                <w:sz w:val="20"/>
                <w:szCs w:val="20"/>
                <w:lang w:val="en-GB"/>
              </w:rPr>
              <w:t>(-2.15)</w:t>
            </w:r>
          </w:p>
        </w:tc>
        <w:tc>
          <w:tcPr>
            <w:tcW w:w="1877" w:type="dxa"/>
          </w:tcPr>
          <w:p w:rsidR="005D2586" w:rsidRPr="00363142" w:rsidRDefault="005D2586" w:rsidP="00666299">
            <w:pPr>
              <w:jc w:val="both"/>
              <w:rPr>
                <w:sz w:val="20"/>
                <w:szCs w:val="20"/>
                <w:lang w:val="en-GB"/>
              </w:rPr>
            </w:pPr>
            <w:r w:rsidRPr="00363142">
              <w:rPr>
                <w:sz w:val="20"/>
                <w:szCs w:val="20"/>
                <w:lang w:val="en-GB"/>
              </w:rPr>
              <w:t>-0.216 **</w:t>
            </w:r>
          </w:p>
          <w:p w:rsidR="005D2586" w:rsidRPr="00363142" w:rsidRDefault="005D2586" w:rsidP="00666299">
            <w:pPr>
              <w:jc w:val="both"/>
              <w:rPr>
                <w:sz w:val="20"/>
                <w:szCs w:val="20"/>
                <w:lang w:val="en-GB"/>
              </w:rPr>
            </w:pPr>
            <w:r w:rsidRPr="00363142">
              <w:rPr>
                <w:sz w:val="20"/>
                <w:szCs w:val="20"/>
                <w:lang w:val="en-GB"/>
              </w:rPr>
              <w:t>(-2.28)</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_Iyear_2003</w:t>
            </w:r>
          </w:p>
        </w:tc>
        <w:tc>
          <w:tcPr>
            <w:tcW w:w="1865" w:type="dxa"/>
          </w:tcPr>
          <w:p w:rsidR="005D2586" w:rsidRPr="00363142" w:rsidRDefault="005D2586" w:rsidP="00666299">
            <w:pPr>
              <w:jc w:val="both"/>
              <w:rPr>
                <w:sz w:val="20"/>
                <w:szCs w:val="20"/>
                <w:lang w:val="en-GB"/>
              </w:rPr>
            </w:pPr>
            <w:r w:rsidRPr="00363142">
              <w:rPr>
                <w:sz w:val="20"/>
                <w:szCs w:val="20"/>
                <w:lang w:val="en-GB"/>
              </w:rPr>
              <w:t>-.115</w:t>
            </w:r>
          </w:p>
          <w:p w:rsidR="005D2586" w:rsidRPr="00363142" w:rsidRDefault="005D2586" w:rsidP="00666299">
            <w:pPr>
              <w:jc w:val="both"/>
              <w:rPr>
                <w:sz w:val="20"/>
                <w:szCs w:val="20"/>
                <w:lang w:val="en-GB"/>
              </w:rPr>
            </w:pPr>
            <w:r w:rsidRPr="00363142">
              <w:rPr>
                <w:sz w:val="20"/>
                <w:szCs w:val="20"/>
                <w:lang w:val="en-GB"/>
              </w:rPr>
              <w:t>(-1.45)</w:t>
            </w:r>
          </w:p>
        </w:tc>
        <w:tc>
          <w:tcPr>
            <w:tcW w:w="1877" w:type="dxa"/>
          </w:tcPr>
          <w:p w:rsidR="005D2586" w:rsidRPr="00363142" w:rsidRDefault="005D2586" w:rsidP="00666299">
            <w:pPr>
              <w:jc w:val="both"/>
              <w:rPr>
                <w:sz w:val="20"/>
                <w:szCs w:val="20"/>
                <w:lang w:val="en-GB"/>
              </w:rPr>
            </w:pPr>
            <w:r w:rsidRPr="00363142">
              <w:rPr>
                <w:sz w:val="20"/>
                <w:szCs w:val="20"/>
                <w:lang w:val="en-GB"/>
              </w:rPr>
              <w:t>-0.131</w:t>
            </w:r>
          </w:p>
          <w:p w:rsidR="005D2586" w:rsidRPr="00363142" w:rsidRDefault="005D2586" w:rsidP="00666299">
            <w:pPr>
              <w:jc w:val="both"/>
              <w:rPr>
                <w:sz w:val="20"/>
                <w:szCs w:val="20"/>
                <w:lang w:val="en-GB"/>
              </w:rPr>
            </w:pPr>
            <w:r w:rsidRPr="00363142">
              <w:rPr>
                <w:sz w:val="20"/>
                <w:szCs w:val="20"/>
                <w:lang w:val="en-GB"/>
              </w:rPr>
              <w:t>(-1.53)</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_Iyear_2004</w:t>
            </w:r>
          </w:p>
        </w:tc>
        <w:tc>
          <w:tcPr>
            <w:tcW w:w="1865" w:type="dxa"/>
          </w:tcPr>
          <w:p w:rsidR="005D2586" w:rsidRPr="00363142" w:rsidRDefault="005D2586" w:rsidP="00666299">
            <w:pPr>
              <w:jc w:val="both"/>
              <w:rPr>
                <w:sz w:val="20"/>
                <w:szCs w:val="20"/>
                <w:lang w:val="en-GB"/>
              </w:rPr>
            </w:pPr>
            <w:r w:rsidRPr="00363142">
              <w:rPr>
                <w:sz w:val="20"/>
                <w:szCs w:val="20"/>
                <w:lang w:val="en-GB"/>
              </w:rPr>
              <w:t>-.087</w:t>
            </w:r>
          </w:p>
          <w:p w:rsidR="005D2586" w:rsidRPr="00363142" w:rsidRDefault="005D2586" w:rsidP="00666299">
            <w:pPr>
              <w:jc w:val="both"/>
              <w:rPr>
                <w:sz w:val="20"/>
                <w:szCs w:val="20"/>
                <w:lang w:val="en-GB"/>
              </w:rPr>
            </w:pPr>
            <w:r w:rsidRPr="00363142">
              <w:rPr>
                <w:sz w:val="20"/>
                <w:szCs w:val="20"/>
                <w:lang w:val="en-GB"/>
              </w:rPr>
              <w:t>(-1.45)</w:t>
            </w:r>
          </w:p>
        </w:tc>
        <w:tc>
          <w:tcPr>
            <w:tcW w:w="1877" w:type="dxa"/>
          </w:tcPr>
          <w:p w:rsidR="005D2586" w:rsidRPr="00363142" w:rsidRDefault="005D2586" w:rsidP="00666299">
            <w:pPr>
              <w:jc w:val="both"/>
              <w:rPr>
                <w:sz w:val="20"/>
                <w:szCs w:val="20"/>
                <w:lang w:val="en-GB"/>
              </w:rPr>
            </w:pPr>
            <w:r w:rsidRPr="00363142">
              <w:rPr>
                <w:sz w:val="20"/>
                <w:szCs w:val="20"/>
                <w:lang w:val="en-GB"/>
              </w:rPr>
              <w:t>-0.109 *</w:t>
            </w:r>
          </w:p>
          <w:p w:rsidR="005D2586" w:rsidRPr="00363142" w:rsidRDefault="005D2586" w:rsidP="00666299">
            <w:pPr>
              <w:jc w:val="both"/>
              <w:rPr>
                <w:sz w:val="20"/>
                <w:szCs w:val="20"/>
                <w:lang w:val="en-GB"/>
              </w:rPr>
            </w:pPr>
            <w:r w:rsidRPr="00363142">
              <w:rPr>
                <w:sz w:val="20"/>
                <w:szCs w:val="20"/>
                <w:lang w:val="en-GB"/>
              </w:rPr>
              <w:t>(-1.76)</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_Iyear_2005</w:t>
            </w:r>
          </w:p>
        </w:tc>
        <w:tc>
          <w:tcPr>
            <w:tcW w:w="1865" w:type="dxa"/>
          </w:tcPr>
          <w:p w:rsidR="005D2586" w:rsidRPr="00363142" w:rsidRDefault="005D2586" w:rsidP="00666299">
            <w:pPr>
              <w:jc w:val="both"/>
              <w:rPr>
                <w:sz w:val="20"/>
                <w:szCs w:val="20"/>
                <w:lang w:val="en-GB"/>
              </w:rPr>
            </w:pPr>
            <w:r w:rsidRPr="00363142">
              <w:rPr>
                <w:sz w:val="20"/>
                <w:szCs w:val="20"/>
                <w:lang w:val="en-GB"/>
              </w:rPr>
              <w:t>-.086 **</w:t>
            </w:r>
          </w:p>
          <w:p w:rsidR="005D2586" w:rsidRPr="00363142" w:rsidRDefault="005D2586" w:rsidP="00666299">
            <w:pPr>
              <w:jc w:val="both"/>
              <w:rPr>
                <w:sz w:val="20"/>
                <w:szCs w:val="20"/>
                <w:lang w:val="en-GB"/>
              </w:rPr>
            </w:pPr>
            <w:r w:rsidRPr="00363142">
              <w:rPr>
                <w:sz w:val="20"/>
                <w:szCs w:val="20"/>
                <w:lang w:val="en-GB"/>
              </w:rPr>
              <w:t>(-2.13)</w:t>
            </w:r>
          </w:p>
        </w:tc>
        <w:tc>
          <w:tcPr>
            <w:tcW w:w="1877" w:type="dxa"/>
          </w:tcPr>
          <w:p w:rsidR="005D2586" w:rsidRPr="00363142" w:rsidRDefault="005D2586" w:rsidP="00666299">
            <w:pPr>
              <w:jc w:val="both"/>
              <w:rPr>
                <w:sz w:val="20"/>
                <w:szCs w:val="20"/>
                <w:lang w:val="en-GB"/>
              </w:rPr>
            </w:pPr>
            <w:r w:rsidRPr="00363142">
              <w:rPr>
                <w:sz w:val="20"/>
                <w:szCs w:val="20"/>
                <w:lang w:val="en-GB"/>
              </w:rPr>
              <w:t>-0.111 **</w:t>
            </w:r>
          </w:p>
          <w:p w:rsidR="005D2586" w:rsidRPr="00363142" w:rsidRDefault="005D2586" w:rsidP="00666299">
            <w:pPr>
              <w:jc w:val="both"/>
              <w:rPr>
                <w:sz w:val="20"/>
                <w:szCs w:val="20"/>
                <w:lang w:val="en-GB"/>
              </w:rPr>
            </w:pPr>
            <w:r w:rsidRPr="00363142">
              <w:rPr>
                <w:sz w:val="20"/>
                <w:szCs w:val="20"/>
                <w:lang w:val="en-GB"/>
              </w:rPr>
              <w:t>(-2.66)</w:t>
            </w:r>
          </w:p>
        </w:tc>
      </w:tr>
      <w:tr w:rsidR="005D2586" w:rsidRPr="00363142" w:rsidTr="00B4054F">
        <w:trPr>
          <w:jc w:val="center"/>
        </w:trPr>
        <w:tc>
          <w:tcPr>
            <w:tcW w:w="4354" w:type="dxa"/>
          </w:tcPr>
          <w:p w:rsidR="005D2586" w:rsidRPr="00363142" w:rsidRDefault="005D2586" w:rsidP="00666299">
            <w:pPr>
              <w:jc w:val="both"/>
              <w:rPr>
                <w:i/>
                <w:sz w:val="20"/>
                <w:szCs w:val="20"/>
                <w:lang w:val="en-GB"/>
              </w:rPr>
            </w:pPr>
            <w:r w:rsidRPr="00363142">
              <w:rPr>
                <w:i/>
                <w:sz w:val="20"/>
                <w:szCs w:val="20"/>
                <w:lang w:val="en-GB"/>
              </w:rPr>
              <w:t>_Iyear_2006</w:t>
            </w:r>
          </w:p>
        </w:tc>
        <w:tc>
          <w:tcPr>
            <w:tcW w:w="1865" w:type="dxa"/>
          </w:tcPr>
          <w:p w:rsidR="005D2586" w:rsidRPr="00363142" w:rsidRDefault="005D2586" w:rsidP="00666299">
            <w:pPr>
              <w:jc w:val="both"/>
              <w:rPr>
                <w:sz w:val="20"/>
                <w:szCs w:val="20"/>
                <w:lang w:val="en-GB"/>
              </w:rPr>
            </w:pPr>
            <w:r w:rsidRPr="00363142">
              <w:rPr>
                <w:sz w:val="20"/>
                <w:szCs w:val="20"/>
                <w:lang w:val="en-GB"/>
              </w:rPr>
              <w:t>-.067 **</w:t>
            </w:r>
          </w:p>
          <w:p w:rsidR="005D2586" w:rsidRPr="00363142" w:rsidRDefault="005D2586" w:rsidP="00666299">
            <w:pPr>
              <w:jc w:val="both"/>
              <w:rPr>
                <w:sz w:val="20"/>
                <w:szCs w:val="20"/>
                <w:lang w:val="en-GB"/>
              </w:rPr>
            </w:pPr>
            <w:r w:rsidRPr="00363142">
              <w:rPr>
                <w:sz w:val="20"/>
                <w:szCs w:val="20"/>
                <w:lang w:val="en-GB"/>
              </w:rPr>
              <w:t>(-2.51)</w:t>
            </w:r>
          </w:p>
        </w:tc>
        <w:tc>
          <w:tcPr>
            <w:tcW w:w="1877" w:type="dxa"/>
          </w:tcPr>
          <w:p w:rsidR="005D2586" w:rsidRPr="00363142" w:rsidRDefault="005D2586" w:rsidP="00666299">
            <w:pPr>
              <w:jc w:val="both"/>
              <w:rPr>
                <w:sz w:val="20"/>
                <w:szCs w:val="20"/>
                <w:lang w:val="en-GB"/>
              </w:rPr>
            </w:pPr>
            <w:r w:rsidRPr="00363142">
              <w:rPr>
                <w:sz w:val="20"/>
                <w:szCs w:val="20"/>
                <w:lang w:val="en-GB"/>
              </w:rPr>
              <w:t>-0.089 ***</w:t>
            </w:r>
          </w:p>
          <w:p w:rsidR="005D2586" w:rsidRPr="00363142" w:rsidRDefault="005D2586" w:rsidP="00666299">
            <w:pPr>
              <w:jc w:val="both"/>
              <w:rPr>
                <w:sz w:val="20"/>
                <w:szCs w:val="20"/>
                <w:lang w:val="en-GB"/>
              </w:rPr>
            </w:pPr>
            <w:r w:rsidRPr="00363142">
              <w:rPr>
                <w:sz w:val="20"/>
                <w:szCs w:val="20"/>
                <w:lang w:val="en-GB"/>
              </w:rPr>
              <w:t>(-3.22)</w:t>
            </w:r>
          </w:p>
        </w:tc>
      </w:tr>
      <w:tr w:rsidR="005D2586" w:rsidRPr="00363142" w:rsidTr="00B4054F">
        <w:trPr>
          <w:jc w:val="center"/>
        </w:trPr>
        <w:tc>
          <w:tcPr>
            <w:tcW w:w="8096" w:type="dxa"/>
            <w:gridSpan w:val="3"/>
          </w:tcPr>
          <w:p w:rsidR="005D2586" w:rsidRPr="00363142" w:rsidRDefault="005D2586" w:rsidP="00666299">
            <w:pPr>
              <w:jc w:val="both"/>
              <w:rPr>
                <w:sz w:val="20"/>
                <w:szCs w:val="20"/>
                <w:lang w:val="en-GB"/>
              </w:rPr>
            </w:pPr>
            <w:r w:rsidRPr="00363142">
              <w:rPr>
                <w:i/>
                <w:sz w:val="20"/>
                <w:szCs w:val="20"/>
                <w:lang w:val="en-GB"/>
              </w:rPr>
              <w:t>Notes</w:t>
            </w:r>
            <w:r w:rsidRPr="00363142">
              <w:rPr>
                <w:sz w:val="20"/>
                <w:szCs w:val="20"/>
                <w:lang w:val="en-GB"/>
              </w:rPr>
              <w:t xml:space="preserve">: *; **; *** denotes test statistic significance at the 10%, 5% and 1% levels respectively. T-statistics (in parentheses) computed from cluster-robust SEs. </w:t>
            </w:r>
            <w:r w:rsidRPr="00363142">
              <w:rPr>
                <w:i/>
                <w:sz w:val="20"/>
                <w:szCs w:val="20"/>
                <w:lang w:val="en-GB"/>
              </w:rPr>
              <w:t xml:space="preserve">Source: </w:t>
            </w:r>
            <w:r w:rsidRPr="00363142">
              <w:rPr>
                <w:sz w:val="20"/>
                <w:szCs w:val="20"/>
                <w:lang w:val="en-GB"/>
              </w:rPr>
              <w:t>Authors’ calculations using STATA 10.</w:t>
            </w:r>
          </w:p>
        </w:tc>
      </w:tr>
    </w:tbl>
    <w:p w:rsidR="00DA0FF1" w:rsidRPr="00363142" w:rsidRDefault="00DA0FF1" w:rsidP="00666299">
      <w:pPr>
        <w:jc w:val="both"/>
        <w:rPr>
          <w:b/>
          <w:lang w:val="en-GB"/>
        </w:rPr>
      </w:pPr>
    </w:p>
    <w:p w:rsidR="004306D7" w:rsidRDefault="004306D7" w:rsidP="00666299">
      <w:pPr>
        <w:jc w:val="both"/>
        <w:rPr>
          <w:lang w:val="en-GB"/>
        </w:rPr>
      </w:pPr>
    </w:p>
    <w:p w:rsidR="004306D7" w:rsidRDefault="004306D7" w:rsidP="00666299">
      <w:pPr>
        <w:jc w:val="both"/>
        <w:rPr>
          <w:lang w:val="en-GB"/>
        </w:rPr>
      </w:pPr>
    </w:p>
    <w:p w:rsidR="004306D7" w:rsidRDefault="004306D7" w:rsidP="00666299">
      <w:pPr>
        <w:jc w:val="both"/>
        <w:rPr>
          <w:lang w:val="en-GB"/>
        </w:rPr>
      </w:pPr>
    </w:p>
    <w:p w:rsidR="004306D7" w:rsidRDefault="004306D7" w:rsidP="00666299">
      <w:pPr>
        <w:jc w:val="both"/>
        <w:rPr>
          <w:lang w:val="en-GB"/>
        </w:rPr>
      </w:pPr>
    </w:p>
    <w:p w:rsidR="004306D7" w:rsidRDefault="004306D7" w:rsidP="00666299">
      <w:pPr>
        <w:jc w:val="both"/>
        <w:rPr>
          <w:lang w:val="en-GB"/>
        </w:rPr>
      </w:pPr>
    </w:p>
    <w:p w:rsidR="005D2586" w:rsidRDefault="005D2586" w:rsidP="00666299">
      <w:pPr>
        <w:jc w:val="both"/>
        <w:rPr>
          <w:lang w:val="en-GB"/>
        </w:rPr>
      </w:pPr>
      <w:r w:rsidRPr="00363142">
        <w:rPr>
          <w:lang w:val="en-GB"/>
        </w:rPr>
        <w:lastRenderedPageBreak/>
        <w:t>Model diagnostics</w:t>
      </w:r>
    </w:p>
    <w:p w:rsidR="00DA0FF1" w:rsidRPr="00363142" w:rsidRDefault="00DA0FF1" w:rsidP="00666299">
      <w:pPr>
        <w:jc w:val="both"/>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8"/>
        <w:gridCol w:w="1866"/>
        <w:gridCol w:w="1841"/>
      </w:tblGrid>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Number of observations</w:t>
            </w:r>
          </w:p>
        </w:tc>
        <w:tc>
          <w:tcPr>
            <w:tcW w:w="1866" w:type="dxa"/>
          </w:tcPr>
          <w:p w:rsidR="005D2586" w:rsidRPr="00363142" w:rsidRDefault="005D2586" w:rsidP="00666299">
            <w:pPr>
              <w:jc w:val="both"/>
              <w:rPr>
                <w:sz w:val="20"/>
                <w:szCs w:val="20"/>
                <w:lang w:val="en-GB"/>
              </w:rPr>
            </w:pPr>
            <w:r w:rsidRPr="00363142">
              <w:rPr>
                <w:sz w:val="20"/>
                <w:szCs w:val="20"/>
                <w:lang w:val="en-GB"/>
              </w:rPr>
              <w:t>325</w:t>
            </w:r>
          </w:p>
        </w:tc>
        <w:tc>
          <w:tcPr>
            <w:tcW w:w="1841" w:type="dxa"/>
          </w:tcPr>
          <w:p w:rsidR="005D2586" w:rsidRPr="00363142" w:rsidRDefault="005D2586" w:rsidP="00666299">
            <w:pPr>
              <w:jc w:val="both"/>
              <w:rPr>
                <w:sz w:val="20"/>
                <w:szCs w:val="20"/>
                <w:lang w:val="en-GB"/>
              </w:rPr>
            </w:pPr>
            <w:r w:rsidRPr="00363142">
              <w:rPr>
                <w:sz w:val="20"/>
                <w:szCs w:val="20"/>
                <w:lang w:val="en-GB"/>
              </w:rPr>
              <w:t>325</w:t>
            </w: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Number of groups (countries)</w:t>
            </w:r>
          </w:p>
        </w:tc>
        <w:tc>
          <w:tcPr>
            <w:tcW w:w="1866" w:type="dxa"/>
          </w:tcPr>
          <w:p w:rsidR="005D2586" w:rsidRPr="00363142" w:rsidRDefault="005D2586" w:rsidP="00666299">
            <w:pPr>
              <w:jc w:val="both"/>
              <w:rPr>
                <w:sz w:val="20"/>
                <w:szCs w:val="20"/>
                <w:lang w:val="en-GB"/>
              </w:rPr>
            </w:pPr>
            <w:r w:rsidRPr="00363142">
              <w:rPr>
                <w:sz w:val="20"/>
                <w:szCs w:val="20"/>
                <w:lang w:val="en-GB"/>
              </w:rPr>
              <w:t>29</w:t>
            </w:r>
          </w:p>
        </w:tc>
        <w:tc>
          <w:tcPr>
            <w:tcW w:w="1841" w:type="dxa"/>
          </w:tcPr>
          <w:p w:rsidR="005D2586" w:rsidRPr="00363142" w:rsidRDefault="005D2586" w:rsidP="00666299">
            <w:pPr>
              <w:jc w:val="both"/>
              <w:rPr>
                <w:sz w:val="20"/>
                <w:szCs w:val="20"/>
                <w:lang w:val="en-GB"/>
              </w:rPr>
            </w:pPr>
            <w:r w:rsidRPr="00363142">
              <w:rPr>
                <w:sz w:val="20"/>
                <w:szCs w:val="20"/>
                <w:lang w:val="en-GB"/>
              </w:rPr>
              <w:t>29</w:t>
            </w: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Number of instruments</w:t>
            </w:r>
          </w:p>
        </w:tc>
        <w:tc>
          <w:tcPr>
            <w:tcW w:w="1866" w:type="dxa"/>
          </w:tcPr>
          <w:p w:rsidR="005D2586" w:rsidRPr="00363142" w:rsidRDefault="005D2586" w:rsidP="00666299">
            <w:pPr>
              <w:jc w:val="both"/>
              <w:rPr>
                <w:sz w:val="20"/>
                <w:szCs w:val="20"/>
                <w:lang w:val="en-GB"/>
              </w:rPr>
            </w:pPr>
            <w:r w:rsidRPr="00363142">
              <w:rPr>
                <w:sz w:val="20"/>
                <w:szCs w:val="20"/>
                <w:lang w:val="en-GB"/>
              </w:rPr>
              <w:t>41</w:t>
            </w:r>
          </w:p>
        </w:tc>
        <w:tc>
          <w:tcPr>
            <w:tcW w:w="1841" w:type="dxa"/>
          </w:tcPr>
          <w:p w:rsidR="005D2586" w:rsidRPr="00363142" w:rsidRDefault="005D2586" w:rsidP="00666299">
            <w:pPr>
              <w:jc w:val="both"/>
              <w:rPr>
                <w:sz w:val="20"/>
                <w:szCs w:val="20"/>
                <w:lang w:val="en-GB"/>
              </w:rPr>
            </w:pPr>
            <w:r w:rsidRPr="00363142">
              <w:rPr>
                <w:sz w:val="20"/>
                <w:szCs w:val="20"/>
                <w:lang w:val="en-GB"/>
              </w:rPr>
              <w:t>56</w:t>
            </w:r>
          </w:p>
        </w:tc>
      </w:tr>
      <w:tr w:rsidR="005D2586" w:rsidRPr="00363142" w:rsidTr="00B4054F">
        <w:trPr>
          <w:jc w:val="center"/>
        </w:trPr>
        <w:tc>
          <w:tcPr>
            <w:tcW w:w="4388" w:type="dxa"/>
          </w:tcPr>
          <w:p w:rsidR="005D2586" w:rsidRPr="009E5EB2" w:rsidRDefault="005D2586" w:rsidP="00666299">
            <w:pPr>
              <w:jc w:val="both"/>
              <w:rPr>
                <w:sz w:val="20"/>
                <w:szCs w:val="20"/>
                <w:lang w:val="en-GB"/>
              </w:rPr>
            </w:pPr>
            <w:r w:rsidRPr="009E5EB2">
              <w:rPr>
                <w:sz w:val="20"/>
                <w:szCs w:val="20"/>
                <w:lang w:val="en-GB"/>
              </w:rPr>
              <w:t>F- test of joint significance:</w:t>
            </w:r>
          </w:p>
          <w:p w:rsidR="005D2586" w:rsidRPr="009E5EB2" w:rsidRDefault="005D2586" w:rsidP="00666299">
            <w:pPr>
              <w:jc w:val="both"/>
              <w:rPr>
                <w:sz w:val="20"/>
                <w:szCs w:val="20"/>
                <w:lang w:val="en-GB"/>
              </w:rPr>
            </w:pPr>
            <w:r w:rsidRPr="009E5EB2">
              <w:rPr>
                <w:sz w:val="20"/>
                <w:szCs w:val="20"/>
                <w:lang w:val="en-GB"/>
              </w:rPr>
              <w:t>Ho:</w:t>
            </w:r>
            <w:r w:rsidRPr="009E5EB2">
              <w:rPr>
                <w:i/>
                <w:sz w:val="20"/>
                <w:szCs w:val="20"/>
                <w:lang w:val="en-GB"/>
              </w:rPr>
              <w:t xml:space="preserve"> </w:t>
            </w:r>
            <w:r w:rsidRPr="009E5EB2">
              <w:rPr>
                <w:sz w:val="20"/>
                <w:szCs w:val="20"/>
                <w:lang w:val="en-GB"/>
              </w:rPr>
              <w:t>The estimated coefficients on the independent variables are jointly equal to zero</w:t>
            </w:r>
          </w:p>
        </w:tc>
        <w:tc>
          <w:tcPr>
            <w:tcW w:w="1866" w:type="dxa"/>
          </w:tcPr>
          <w:p w:rsidR="005D2586" w:rsidRPr="009E5EB2" w:rsidRDefault="005D2586" w:rsidP="00666299">
            <w:pPr>
              <w:jc w:val="both"/>
              <w:rPr>
                <w:sz w:val="20"/>
                <w:szCs w:val="20"/>
                <w:lang w:val="en-GB"/>
              </w:rPr>
            </w:pPr>
            <w:r w:rsidRPr="009E5EB2">
              <w:rPr>
                <w:sz w:val="20"/>
                <w:szCs w:val="20"/>
                <w:lang w:val="en-GB"/>
              </w:rPr>
              <w:t xml:space="preserve">F (18, 28)  = 2,310 </w:t>
            </w:r>
          </w:p>
          <w:p w:rsidR="005D2586" w:rsidRPr="009E5EB2" w:rsidRDefault="005D2586" w:rsidP="00666299">
            <w:pPr>
              <w:jc w:val="both"/>
              <w:rPr>
                <w:sz w:val="20"/>
                <w:szCs w:val="20"/>
                <w:lang w:val="en-GB"/>
              </w:rPr>
            </w:pPr>
            <w:proofErr w:type="spellStart"/>
            <w:r w:rsidRPr="009E5EB2">
              <w:rPr>
                <w:sz w:val="20"/>
                <w:szCs w:val="20"/>
                <w:lang w:val="en-GB"/>
              </w:rPr>
              <w:t>Prob</w:t>
            </w:r>
            <w:proofErr w:type="spellEnd"/>
            <w:r w:rsidRPr="009E5EB2">
              <w:rPr>
                <w:sz w:val="20"/>
                <w:szCs w:val="20"/>
                <w:lang w:val="en-GB"/>
              </w:rPr>
              <w:t xml:space="preserve"> &gt; F    =     0.000</w:t>
            </w:r>
          </w:p>
        </w:tc>
        <w:tc>
          <w:tcPr>
            <w:tcW w:w="1841" w:type="dxa"/>
          </w:tcPr>
          <w:p w:rsidR="005D2586" w:rsidRPr="009E5EB2" w:rsidRDefault="005D2586" w:rsidP="00666299">
            <w:pPr>
              <w:jc w:val="both"/>
              <w:rPr>
                <w:sz w:val="20"/>
                <w:szCs w:val="20"/>
                <w:lang w:val="en-GB"/>
              </w:rPr>
            </w:pPr>
            <w:r w:rsidRPr="009E5EB2">
              <w:rPr>
                <w:sz w:val="20"/>
                <w:szCs w:val="20"/>
                <w:lang w:val="en-GB"/>
              </w:rPr>
              <w:t xml:space="preserve">F (18, 28)  = 2,775 </w:t>
            </w:r>
          </w:p>
          <w:p w:rsidR="005D2586" w:rsidRPr="00363142" w:rsidRDefault="005D2586" w:rsidP="00666299">
            <w:pPr>
              <w:jc w:val="both"/>
              <w:rPr>
                <w:sz w:val="20"/>
                <w:szCs w:val="20"/>
                <w:lang w:val="en-GB"/>
              </w:rPr>
            </w:pPr>
            <w:proofErr w:type="spellStart"/>
            <w:r w:rsidRPr="009E5EB2">
              <w:rPr>
                <w:sz w:val="20"/>
                <w:szCs w:val="20"/>
                <w:lang w:val="en-GB"/>
              </w:rPr>
              <w:t>Prob</w:t>
            </w:r>
            <w:proofErr w:type="spellEnd"/>
            <w:r w:rsidRPr="009E5EB2">
              <w:rPr>
                <w:sz w:val="20"/>
                <w:szCs w:val="20"/>
                <w:lang w:val="en-GB"/>
              </w:rPr>
              <w:t xml:space="preserve"> &gt; F    =     0.000</w:t>
            </w: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 xml:space="preserve">Arellano-Bond test for AR(1) in first differences: </w:t>
            </w:r>
          </w:p>
          <w:p w:rsidR="005D2586" w:rsidRPr="00363142" w:rsidRDefault="005D2586" w:rsidP="00666299">
            <w:pPr>
              <w:jc w:val="both"/>
              <w:rPr>
                <w:i/>
                <w:sz w:val="20"/>
                <w:szCs w:val="20"/>
                <w:lang w:val="en-GB"/>
              </w:rPr>
            </w:pPr>
            <w:r w:rsidRPr="00363142">
              <w:rPr>
                <w:sz w:val="20"/>
                <w:szCs w:val="20"/>
                <w:lang w:val="en-GB"/>
              </w:rPr>
              <w:t>H</w:t>
            </w:r>
            <w:r w:rsidRPr="00363142">
              <w:rPr>
                <w:sz w:val="20"/>
                <w:szCs w:val="20"/>
                <w:vertAlign w:val="subscript"/>
                <w:lang w:val="en-GB"/>
              </w:rPr>
              <w:t>0</w:t>
            </w:r>
            <w:r w:rsidRPr="00363142">
              <w:rPr>
                <w:sz w:val="20"/>
                <w:szCs w:val="20"/>
                <w:lang w:val="en-GB"/>
              </w:rPr>
              <w:t>:</w:t>
            </w:r>
            <w:r w:rsidRPr="00363142">
              <w:rPr>
                <w:i/>
                <w:sz w:val="20"/>
                <w:szCs w:val="20"/>
                <w:lang w:val="en-GB"/>
              </w:rPr>
              <w:t xml:space="preserve"> </w:t>
            </w:r>
            <w:r w:rsidRPr="00363142">
              <w:rPr>
                <w:sz w:val="20"/>
                <w:szCs w:val="20"/>
                <w:lang w:val="en-GB"/>
              </w:rPr>
              <w:t>There is no first-order serial correlation in residuals</w:t>
            </w:r>
          </w:p>
        </w:tc>
        <w:tc>
          <w:tcPr>
            <w:tcW w:w="1866" w:type="dxa"/>
          </w:tcPr>
          <w:p w:rsidR="005D2586" w:rsidRPr="00363142" w:rsidRDefault="005D2586" w:rsidP="00666299">
            <w:pPr>
              <w:jc w:val="both"/>
              <w:rPr>
                <w:sz w:val="20"/>
                <w:szCs w:val="20"/>
                <w:lang w:val="en-GB"/>
              </w:rPr>
            </w:pPr>
            <w:r w:rsidRPr="00363142">
              <w:rPr>
                <w:sz w:val="20"/>
                <w:szCs w:val="20"/>
                <w:lang w:val="en-GB"/>
              </w:rPr>
              <w:t xml:space="preserve">z =  -2.67  </w:t>
            </w:r>
          </w:p>
          <w:p w:rsidR="005D2586" w:rsidRPr="00363142" w:rsidRDefault="005D2586" w:rsidP="00666299">
            <w:pPr>
              <w:jc w:val="both"/>
              <w:rPr>
                <w:sz w:val="20"/>
                <w:szCs w:val="20"/>
                <w:lang w:val="en-GB"/>
              </w:rPr>
            </w:pPr>
            <w:r w:rsidRPr="00363142">
              <w:rPr>
                <w:sz w:val="20"/>
                <w:szCs w:val="20"/>
                <w:lang w:val="en-GB"/>
              </w:rPr>
              <w:t>Pr &gt; z =  0.008</w:t>
            </w:r>
          </w:p>
        </w:tc>
        <w:tc>
          <w:tcPr>
            <w:tcW w:w="1841" w:type="dxa"/>
          </w:tcPr>
          <w:p w:rsidR="005D2586" w:rsidRPr="00363142" w:rsidRDefault="005D2586" w:rsidP="00666299">
            <w:pPr>
              <w:jc w:val="both"/>
              <w:rPr>
                <w:sz w:val="20"/>
                <w:szCs w:val="20"/>
                <w:lang w:val="en-GB"/>
              </w:rPr>
            </w:pPr>
            <w:r w:rsidRPr="00363142">
              <w:rPr>
                <w:sz w:val="20"/>
                <w:szCs w:val="20"/>
                <w:lang w:val="en-GB"/>
              </w:rPr>
              <w:t xml:space="preserve">z =  -2.48  </w:t>
            </w:r>
          </w:p>
          <w:p w:rsidR="005D2586" w:rsidRPr="00363142" w:rsidRDefault="005D2586" w:rsidP="00666299">
            <w:pPr>
              <w:jc w:val="both"/>
              <w:rPr>
                <w:sz w:val="20"/>
                <w:szCs w:val="20"/>
                <w:lang w:val="en-GB"/>
              </w:rPr>
            </w:pPr>
            <w:r w:rsidRPr="00363142">
              <w:rPr>
                <w:sz w:val="20"/>
                <w:szCs w:val="20"/>
                <w:lang w:val="en-GB"/>
              </w:rPr>
              <w:t>Pr &gt; z =  0.013</w:t>
            </w: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Arellano-Bond test for AR(2) in first differences:</w:t>
            </w:r>
          </w:p>
          <w:p w:rsidR="005D2586" w:rsidRPr="00363142" w:rsidRDefault="005D2586" w:rsidP="00666299">
            <w:pPr>
              <w:jc w:val="both"/>
              <w:rPr>
                <w:sz w:val="20"/>
                <w:szCs w:val="20"/>
                <w:lang w:val="en-GB"/>
              </w:rPr>
            </w:pPr>
            <w:r w:rsidRPr="00363142">
              <w:rPr>
                <w:sz w:val="20"/>
                <w:szCs w:val="20"/>
                <w:lang w:val="en-GB"/>
              </w:rPr>
              <w:t>Ho: There is no second-order serial correlation in residuals</w:t>
            </w:r>
          </w:p>
        </w:tc>
        <w:tc>
          <w:tcPr>
            <w:tcW w:w="1866"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 xml:space="preserve">z =  -1.78 </w:t>
            </w:r>
          </w:p>
          <w:p w:rsidR="005D2586" w:rsidRPr="00363142" w:rsidRDefault="005D2586" w:rsidP="00666299">
            <w:pPr>
              <w:jc w:val="both"/>
              <w:rPr>
                <w:sz w:val="20"/>
                <w:szCs w:val="20"/>
                <w:lang w:val="en-GB"/>
              </w:rPr>
            </w:pPr>
            <w:r w:rsidRPr="00363142">
              <w:rPr>
                <w:sz w:val="20"/>
                <w:szCs w:val="20"/>
                <w:lang w:val="en-GB"/>
              </w:rPr>
              <w:t xml:space="preserve"> Pr &gt; z =  0.075</w:t>
            </w:r>
          </w:p>
        </w:tc>
        <w:tc>
          <w:tcPr>
            <w:tcW w:w="1841"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 xml:space="preserve">z =  -1.72 </w:t>
            </w:r>
          </w:p>
          <w:p w:rsidR="005D2586" w:rsidRPr="00363142" w:rsidRDefault="005D2586" w:rsidP="00666299">
            <w:pPr>
              <w:jc w:val="both"/>
              <w:rPr>
                <w:sz w:val="20"/>
                <w:szCs w:val="20"/>
                <w:lang w:val="en-GB"/>
              </w:rPr>
            </w:pPr>
            <w:r w:rsidRPr="00363142">
              <w:rPr>
                <w:sz w:val="20"/>
                <w:szCs w:val="20"/>
                <w:lang w:val="en-GB"/>
              </w:rPr>
              <w:t xml:space="preserve"> Pr &gt; z =  0.085</w:t>
            </w: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 xml:space="preserve">Hansen J-test of </w:t>
            </w:r>
            <w:proofErr w:type="spellStart"/>
            <w:r w:rsidRPr="00363142">
              <w:rPr>
                <w:sz w:val="20"/>
                <w:szCs w:val="20"/>
                <w:lang w:val="en-GB"/>
              </w:rPr>
              <w:t>overidentifying</w:t>
            </w:r>
            <w:proofErr w:type="spellEnd"/>
            <w:r w:rsidRPr="00363142">
              <w:rPr>
                <w:sz w:val="20"/>
                <w:szCs w:val="20"/>
                <w:lang w:val="en-GB"/>
              </w:rPr>
              <w:t xml:space="preserve"> restrictions (a check that the overall model specification is valid):</w:t>
            </w:r>
          </w:p>
          <w:p w:rsidR="005D2586" w:rsidRPr="00363142" w:rsidRDefault="005D2586" w:rsidP="00666299">
            <w:pPr>
              <w:jc w:val="both"/>
              <w:rPr>
                <w:sz w:val="20"/>
                <w:szCs w:val="20"/>
                <w:lang w:val="en-GB"/>
              </w:rPr>
            </w:pPr>
            <w:r w:rsidRPr="00363142">
              <w:rPr>
                <w:sz w:val="20"/>
                <w:szCs w:val="20"/>
                <w:lang w:val="en-GB"/>
              </w:rPr>
              <w:t>H</w:t>
            </w:r>
            <w:r w:rsidRPr="00363142">
              <w:rPr>
                <w:sz w:val="20"/>
                <w:szCs w:val="20"/>
                <w:vertAlign w:val="subscript"/>
                <w:lang w:val="en-GB"/>
              </w:rPr>
              <w:t>0</w:t>
            </w:r>
            <w:r w:rsidRPr="00363142">
              <w:rPr>
                <w:sz w:val="20"/>
                <w:szCs w:val="20"/>
                <w:lang w:val="en-GB"/>
              </w:rPr>
              <w:t xml:space="preserve">: all </w:t>
            </w:r>
            <w:proofErr w:type="spellStart"/>
            <w:r w:rsidRPr="00363142">
              <w:rPr>
                <w:sz w:val="20"/>
                <w:szCs w:val="20"/>
                <w:lang w:val="en-GB"/>
              </w:rPr>
              <w:t>overidentifying</w:t>
            </w:r>
            <w:proofErr w:type="spellEnd"/>
            <w:r w:rsidRPr="00363142">
              <w:rPr>
                <w:sz w:val="20"/>
                <w:szCs w:val="20"/>
                <w:lang w:val="en-GB"/>
              </w:rPr>
              <w:t xml:space="preserve"> restrictions (all </w:t>
            </w:r>
            <w:proofErr w:type="spellStart"/>
            <w:r w:rsidRPr="00363142">
              <w:rPr>
                <w:sz w:val="20"/>
                <w:szCs w:val="20"/>
                <w:lang w:val="en-GB"/>
              </w:rPr>
              <w:t>overidentified</w:t>
            </w:r>
            <w:proofErr w:type="spellEnd"/>
            <w:r w:rsidRPr="00363142">
              <w:rPr>
                <w:sz w:val="20"/>
                <w:szCs w:val="20"/>
                <w:lang w:val="en-GB"/>
              </w:rPr>
              <w:t xml:space="preserve"> instruments) are valid (exogenous) </w:t>
            </w:r>
          </w:p>
        </w:tc>
        <w:tc>
          <w:tcPr>
            <w:tcW w:w="1866"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 xml:space="preserve">chi2 (22)   =  14.44  </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0.885</w:t>
            </w:r>
          </w:p>
        </w:tc>
        <w:tc>
          <w:tcPr>
            <w:tcW w:w="1841"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chi2 (37)   =  14.57</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1.000</w:t>
            </w:r>
          </w:p>
        </w:tc>
      </w:tr>
      <w:tr w:rsidR="005D2586" w:rsidRPr="00363142" w:rsidTr="00B4054F">
        <w:trPr>
          <w:jc w:val="center"/>
        </w:trPr>
        <w:tc>
          <w:tcPr>
            <w:tcW w:w="8095" w:type="dxa"/>
            <w:gridSpan w:val="3"/>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 xml:space="preserve">Difference-in-Hansen tests of </w:t>
            </w:r>
            <w:proofErr w:type="spellStart"/>
            <w:r w:rsidRPr="00363142">
              <w:rPr>
                <w:sz w:val="20"/>
                <w:szCs w:val="20"/>
                <w:lang w:val="en-GB"/>
              </w:rPr>
              <w:t>exogeneity</w:t>
            </w:r>
            <w:proofErr w:type="spellEnd"/>
            <w:r w:rsidRPr="00363142">
              <w:rPr>
                <w:sz w:val="20"/>
                <w:szCs w:val="20"/>
                <w:lang w:val="en-GB"/>
              </w:rPr>
              <w:t xml:space="preserve"> of GMM instrument subsets: </w:t>
            </w:r>
          </w:p>
          <w:p w:rsidR="005D2586" w:rsidRPr="00363142" w:rsidRDefault="005D2586" w:rsidP="00666299">
            <w:pPr>
              <w:jc w:val="both"/>
              <w:rPr>
                <w:sz w:val="20"/>
                <w:szCs w:val="20"/>
                <w:lang w:val="en-GB"/>
              </w:rPr>
            </w:pPr>
            <w:r w:rsidRPr="00363142">
              <w:rPr>
                <w:sz w:val="20"/>
                <w:szCs w:val="20"/>
                <w:lang w:val="en-GB"/>
              </w:rPr>
              <w:t xml:space="preserve">  </w:t>
            </w: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Hansen test excluding the differenced instruments on the levels equation –  a test of the validity of the instruments on the differenced equation:</w:t>
            </w:r>
          </w:p>
          <w:p w:rsidR="005D2586" w:rsidRPr="00363142" w:rsidRDefault="005D2586" w:rsidP="00666299">
            <w:pPr>
              <w:jc w:val="both"/>
              <w:rPr>
                <w:sz w:val="20"/>
                <w:szCs w:val="20"/>
                <w:lang w:val="en-GB"/>
              </w:rPr>
            </w:pPr>
            <w:r w:rsidRPr="00363142">
              <w:rPr>
                <w:sz w:val="20"/>
                <w:szCs w:val="20"/>
                <w:lang w:val="en-GB"/>
              </w:rPr>
              <w:t>H</w:t>
            </w:r>
            <w:r w:rsidRPr="00363142">
              <w:rPr>
                <w:sz w:val="20"/>
                <w:szCs w:val="20"/>
                <w:vertAlign w:val="subscript"/>
                <w:lang w:val="en-GB"/>
              </w:rPr>
              <w:t>0</w:t>
            </w:r>
            <w:r w:rsidRPr="00363142">
              <w:rPr>
                <w:sz w:val="20"/>
                <w:szCs w:val="20"/>
                <w:lang w:val="en-GB"/>
              </w:rPr>
              <w:t>:</w:t>
            </w:r>
            <w:r w:rsidRPr="00363142">
              <w:rPr>
                <w:i/>
                <w:sz w:val="20"/>
                <w:szCs w:val="20"/>
                <w:lang w:val="en-GB"/>
              </w:rPr>
              <w:t xml:space="preserve"> </w:t>
            </w:r>
            <w:r w:rsidRPr="00363142">
              <w:rPr>
                <w:sz w:val="20"/>
                <w:szCs w:val="20"/>
                <w:lang w:val="en-GB"/>
              </w:rPr>
              <w:t>instruments on the differenced equation are exogenous (valid)</w:t>
            </w:r>
          </w:p>
        </w:tc>
        <w:tc>
          <w:tcPr>
            <w:tcW w:w="1866"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 xml:space="preserve">chi2 (10)   =  12.32 </w:t>
            </w:r>
          </w:p>
          <w:p w:rsidR="005D2586" w:rsidRPr="00363142" w:rsidRDefault="005D2586" w:rsidP="00666299">
            <w:pPr>
              <w:jc w:val="both"/>
              <w:rPr>
                <w:sz w:val="20"/>
                <w:szCs w:val="20"/>
                <w:lang w:val="en-GB"/>
              </w:rPr>
            </w:pPr>
            <w:r w:rsidRPr="00363142">
              <w:rPr>
                <w:sz w:val="20"/>
                <w:szCs w:val="20"/>
                <w:lang w:val="en-GB"/>
              </w:rPr>
              <w:t xml:space="preserve"> </w:t>
            </w:r>
            <w:proofErr w:type="spellStart"/>
            <w:r w:rsidRPr="00363142">
              <w:rPr>
                <w:sz w:val="20"/>
                <w:szCs w:val="20"/>
                <w:lang w:val="en-GB"/>
              </w:rPr>
              <w:t>Prob</w:t>
            </w:r>
            <w:proofErr w:type="spellEnd"/>
            <w:r w:rsidRPr="00363142">
              <w:rPr>
                <w:sz w:val="20"/>
                <w:szCs w:val="20"/>
                <w:lang w:val="en-GB"/>
              </w:rPr>
              <w:t xml:space="preserve"> &gt; chi2 =  0.265</w:t>
            </w:r>
          </w:p>
        </w:tc>
        <w:tc>
          <w:tcPr>
            <w:tcW w:w="1841"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chi2 (26)   =  10.80</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0.996</w:t>
            </w: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Hansen test excluding SGMM instruments (the differenced instruments on the levels equation); in effect, a test of system versus difference GMM:</w:t>
            </w:r>
          </w:p>
          <w:p w:rsidR="005D2586" w:rsidRPr="00363142" w:rsidRDefault="005D2586" w:rsidP="00666299">
            <w:pPr>
              <w:jc w:val="both"/>
              <w:rPr>
                <w:i/>
                <w:sz w:val="20"/>
                <w:szCs w:val="20"/>
                <w:lang w:val="en-GB"/>
              </w:rPr>
            </w:pPr>
            <w:r w:rsidRPr="00363142">
              <w:rPr>
                <w:sz w:val="20"/>
                <w:szCs w:val="20"/>
                <w:lang w:val="en-GB"/>
              </w:rPr>
              <w:t>H</w:t>
            </w:r>
            <w:r w:rsidRPr="00363142">
              <w:rPr>
                <w:sz w:val="20"/>
                <w:szCs w:val="20"/>
                <w:vertAlign w:val="subscript"/>
                <w:lang w:val="en-GB"/>
              </w:rPr>
              <w:t>0</w:t>
            </w:r>
            <w:r w:rsidRPr="00363142">
              <w:rPr>
                <w:sz w:val="20"/>
                <w:szCs w:val="20"/>
                <w:lang w:val="en-GB"/>
              </w:rPr>
              <w:t>:</w:t>
            </w:r>
            <w:r w:rsidRPr="00363142">
              <w:rPr>
                <w:i/>
                <w:sz w:val="20"/>
                <w:szCs w:val="20"/>
                <w:lang w:val="en-GB"/>
              </w:rPr>
              <w:t xml:space="preserve"> </w:t>
            </w:r>
            <w:r w:rsidRPr="00363142">
              <w:rPr>
                <w:sz w:val="20"/>
                <w:szCs w:val="20"/>
                <w:lang w:val="en-GB"/>
              </w:rPr>
              <w:t>GMM differenced-instruments on the levels equation are exogenous</w:t>
            </w:r>
            <w:r w:rsidRPr="00363142">
              <w:rPr>
                <w:i/>
                <w:sz w:val="20"/>
                <w:szCs w:val="20"/>
                <w:lang w:val="en-GB"/>
              </w:rPr>
              <w:t xml:space="preserve"> </w:t>
            </w:r>
          </w:p>
        </w:tc>
        <w:tc>
          <w:tcPr>
            <w:tcW w:w="1866"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 xml:space="preserve">chi2 (12)   =  2.12 </w:t>
            </w:r>
          </w:p>
          <w:p w:rsidR="005D2586" w:rsidRPr="00363142" w:rsidRDefault="005D2586" w:rsidP="00666299">
            <w:pPr>
              <w:jc w:val="both"/>
              <w:rPr>
                <w:sz w:val="20"/>
                <w:szCs w:val="20"/>
                <w:lang w:val="en-GB"/>
              </w:rPr>
            </w:pPr>
            <w:r w:rsidRPr="00363142">
              <w:rPr>
                <w:sz w:val="20"/>
                <w:szCs w:val="20"/>
                <w:lang w:val="en-GB"/>
              </w:rPr>
              <w:t xml:space="preserve"> </w:t>
            </w:r>
            <w:proofErr w:type="spellStart"/>
            <w:r w:rsidRPr="00363142">
              <w:rPr>
                <w:sz w:val="20"/>
                <w:szCs w:val="20"/>
                <w:lang w:val="en-GB"/>
              </w:rPr>
              <w:t>Prob</w:t>
            </w:r>
            <w:proofErr w:type="spellEnd"/>
            <w:r w:rsidRPr="00363142">
              <w:rPr>
                <w:sz w:val="20"/>
                <w:szCs w:val="20"/>
                <w:lang w:val="en-GB"/>
              </w:rPr>
              <w:t xml:space="preserve"> &gt; chi2 =  0.999</w:t>
            </w:r>
          </w:p>
        </w:tc>
        <w:tc>
          <w:tcPr>
            <w:tcW w:w="1841"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chi2 (11)   =  3.77</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0.976</w:t>
            </w: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Hansen test excluding the instruments on the lagged dependent variable:</w:t>
            </w:r>
          </w:p>
          <w:p w:rsidR="005D2586" w:rsidRPr="00363142" w:rsidRDefault="005D2586" w:rsidP="00666299">
            <w:pPr>
              <w:jc w:val="both"/>
              <w:rPr>
                <w:i/>
                <w:sz w:val="20"/>
                <w:szCs w:val="20"/>
                <w:lang w:val="en-GB"/>
              </w:rPr>
            </w:pPr>
            <w:r w:rsidRPr="00363142">
              <w:rPr>
                <w:sz w:val="20"/>
                <w:szCs w:val="20"/>
                <w:lang w:val="en-GB"/>
              </w:rPr>
              <w:t>H</w:t>
            </w:r>
            <w:r w:rsidRPr="00363142">
              <w:rPr>
                <w:sz w:val="20"/>
                <w:szCs w:val="20"/>
                <w:vertAlign w:val="subscript"/>
                <w:lang w:val="en-GB"/>
              </w:rPr>
              <w:t>0</w:t>
            </w:r>
            <w:r w:rsidRPr="00363142">
              <w:rPr>
                <w:sz w:val="20"/>
                <w:szCs w:val="20"/>
                <w:lang w:val="en-GB"/>
              </w:rPr>
              <w:t>:</w:t>
            </w:r>
            <w:r w:rsidRPr="00363142">
              <w:rPr>
                <w:i/>
                <w:sz w:val="20"/>
                <w:szCs w:val="20"/>
                <w:lang w:val="en-GB"/>
              </w:rPr>
              <w:t xml:space="preserve"> </w:t>
            </w:r>
            <w:r w:rsidRPr="00363142">
              <w:rPr>
                <w:sz w:val="20"/>
                <w:szCs w:val="20"/>
                <w:lang w:val="en-GB"/>
              </w:rPr>
              <w:t>all other instruments –</w:t>
            </w:r>
            <w:r w:rsidRPr="00363142">
              <w:rPr>
                <w:i/>
                <w:sz w:val="20"/>
                <w:szCs w:val="20"/>
                <w:lang w:val="en-GB"/>
              </w:rPr>
              <w:t>inst5</w:t>
            </w:r>
            <w:r w:rsidRPr="00363142">
              <w:rPr>
                <w:sz w:val="20"/>
                <w:szCs w:val="20"/>
                <w:lang w:val="en-GB"/>
              </w:rPr>
              <w:t xml:space="preserve"> and the exogenous variables – are exogenous (valid)</w:t>
            </w:r>
            <w:r w:rsidRPr="00363142">
              <w:rPr>
                <w:sz w:val="20"/>
                <w:szCs w:val="20"/>
                <w:lang w:val="en-GB" w:eastAsia="en-GB"/>
              </w:rPr>
              <w:t xml:space="preserve"> </w:t>
            </w:r>
          </w:p>
        </w:tc>
        <w:tc>
          <w:tcPr>
            <w:tcW w:w="1866"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Not applicable</w:t>
            </w:r>
          </w:p>
        </w:tc>
        <w:tc>
          <w:tcPr>
            <w:tcW w:w="1841" w:type="dxa"/>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Chi2 (36) = 16.51</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0.998</w:t>
            </w:r>
          </w:p>
        </w:tc>
      </w:tr>
      <w:tr w:rsidR="005D2586" w:rsidRPr="00363142" w:rsidTr="00B4054F">
        <w:trPr>
          <w:jc w:val="center"/>
        </w:trPr>
        <w:tc>
          <w:tcPr>
            <w:tcW w:w="8095" w:type="dxa"/>
            <w:gridSpan w:val="3"/>
          </w:tcPr>
          <w:p w:rsidR="005D2586" w:rsidRPr="00363142" w:rsidRDefault="005D2586" w:rsidP="00666299">
            <w:pPr>
              <w:jc w:val="both"/>
              <w:rPr>
                <w:sz w:val="20"/>
                <w:szCs w:val="20"/>
                <w:lang w:val="en-GB"/>
              </w:rPr>
            </w:pPr>
          </w:p>
          <w:p w:rsidR="005D2586" w:rsidRPr="00363142" w:rsidRDefault="005D2586" w:rsidP="00666299">
            <w:pPr>
              <w:jc w:val="both"/>
              <w:rPr>
                <w:sz w:val="20"/>
                <w:szCs w:val="20"/>
                <w:lang w:val="en-GB"/>
              </w:rPr>
            </w:pPr>
            <w:r w:rsidRPr="00363142">
              <w:rPr>
                <w:sz w:val="20"/>
                <w:szCs w:val="20"/>
                <w:lang w:val="en-GB"/>
              </w:rPr>
              <w:t xml:space="preserve">Difference-in-Hansen tests of </w:t>
            </w:r>
            <w:proofErr w:type="spellStart"/>
            <w:r w:rsidRPr="00363142">
              <w:rPr>
                <w:sz w:val="20"/>
                <w:szCs w:val="20"/>
                <w:lang w:val="en-GB"/>
              </w:rPr>
              <w:t>exogeneity</w:t>
            </w:r>
            <w:proofErr w:type="spellEnd"/>
            <w:r w:rsidRPr="00363142">
              <w:rPr>
                <w:sz w:val="20"/>
                <w:szCs w:val="20"/>
                <w:lang w:val="en-GB"/>
              </w:rPr>
              <w:t xml:space="preserve"> of standard IV instrument subsets:</w:t>
            </w:r>
          </w:p>
          <w:p w:rsidR="005D2586" w:rsidRPr="00363142" w:rsidRDefault="005D2586" w:rsidP="00666299">
            <w:pPr>
              <w:jc w:val="both"/>
              <w:rPr>
                <w:sz w:val="20"/>
                <w:szCs w:val="20"/>
                <w:lang w:val="en-GB"/>
              </w:rPr>
            </w:pPr>
          </w:p>
        </w:tc>
      </w:tr>
      <w:tr w:rsidR="005D2586" w:rsidRPr="00363142" w:rsidTr="00B4054F">
        <w:trPr>
          <w:jc w:val="center"/>
        </w:trPr>
        <w:tc>
          <w:tcPr>
            <w:tcW w:w="4388" w:type="dxa"/>
          </w:tcPr>
          <w:p w:rsidR="005D2586" w:rsidRPr="00363142" w:rsidRDefault="005D2586" w:rsidP="00666299">
            <w:pPr>
              <w:jc w:val="both"/>
              <w:rPr>
                <w:sz w:val="20"/>
                <w:szCs w:val="20"/>
                <w:lang w:val="en-GB"/>
              </w:rPr>
            </w:pPr>
            <w:r w:rsidRPr="00363142">
              <w:rPr>
                <w:sz w:val="20"/>
                <w:szCs w:val="20"/>
                <w:lang w:val="en-GB"/>
              </w:rPr>
              <w:t>Test of the joint validity of all GMM instruments:</w:t>
            </w:r>
          </w:p>
          <w:p w:rsidR="005D2586" w:rsidRPr="00363142" w:rsidRDefault="005D2586" w:rsidP="00666299">
            <w:pPr>
              <w:jc w:val="both"/>
              <w:rPr>
                <w:i/>
                <w:sz w:val="20"/>
                <w:szCs w:val="20"/>
                <w:lang w:val="en-GB"/>
              </w:rPr>
            </w:pPr>
            <w:r w:rsidRPr="00363142">
              <w:rPr>
                <w:sz w:val="20"/>
                <w:szCs w:val="20"/>
                <w:lang w:val="en-GB"/>
              </w:rPr>
              <w:t>H</w:t>
            </w:r>
            <w:r w:rsidRPr="00363142">
              <w:rPr>
                <w:sz w:val="20"/>
                <w:szCs w:val="20"/>
                <w:vertAlign w:val="subscript"/>
                <w:lang w:val="en-GB"/>
              </w:rPr>
              <w:t>0</w:t>
            </w:r>
            <w:r w:rsidRPr="00363142">
              <w:rPr>
                <w:sz w:val="20"/>
                <w:szCs w:val="20"/>
                <w:lang w:val="en-GB"/>
              </w:rPr>
              <w:t>:</w:t>
            </w:r>
            <w:r w:rsidRPr="00363142">
              <w:rPr>
                <w:i/>
                <w:sz w:val="20"/>
                <w:szCs w:val="20"/>
                <w:lang w:val="en-GB"/>
              </w:rPr>
              <w:t xml:space="preserve"> </w:t>
            </w:r>
            <w:r w:rsidRPr="00363142">
              <w:rPr>
                <w:sz w:val="20"/>
                <w:szCs w:val="20"/>
                <w:lang w:val="en-GB"/>
              </w:rPr>
              <w:t>GMM instruments without ”IV” instruments are exogenous</w:t>
            </w:r>
            <w:r w:rsidRPr="00363142">
              <w:rPr>
                <w:i/>
                <w:sz w:val="20"/>
                <w:szCs w:val="20"/>
                <w:lang w:val="en-GB"/>
              </w:rPr>
              <w:t xml:space="preserve"> </w:t>
            </w:r>
          </w:p>
        </w:tc>
        <w:tc>
          <w:tcPr>
            <w:tcW w:w="1866" w:type="dxa"/>
          </w:tcPr>
          <w:p w:rsidR="005D2586" w:rsidRPr="00363142" w:rsidRDefault="005D2586" w:rsidP="00666299">
            <w:pPr>
              <w:jc w:val="both"/>
              <w:rPr>
                <w:sz w:val="20"/>
                <w:szCs w:val="20"/>
                <w:lang w:val="en-GB"/>
              </w:rPr>
            </w:pPr>
            <w:r w:rsidRPr="00363142">
              <w:rPr>
                <w:sz w:val="20"/>
                <w:szCs w:val="20"/>
                <w:lang w:val="en-GB"/>
              </w:rPr>
              <w:t xml:space="preserve">Chi2 (4)    =   4.21  </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0.378</w:t>
            </w:r>
          </w:p>
        </w:tc>
        <w:tc>
          <w:tcPr>
            <w:tcW w:w="1841" w:type="dxa"/>
          </w:tcPr>
          <w:p w:rsidR="005D2586" w:rsidRPr="00363142" w:rsidRDefault="005D2586" w:rsidP="00666299">
            <w:pPr>
              <w:jc w:val="both"/>
              <w:rPr>
                <w:sz w:val="20"/>
                <w:szCs w:val="20"/>
                <w:lang w:val="en-GB"/>
              </w:rPr>
            </w:pPr>
            <w:r w:rsidRPr="00363142">
              <w:rPr>
                <w:sz w:val="20"/>
                <w:szCs w:val="20"/>
                <w:lang w:val="en-GB"/>
              </w:rPr>
              <w:t xml:space="preserve">Chi2 (20)    =   14.54  </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0.802</w:t>
            </w:r>
          </w:p>
        </w:tc>
      </w:tr>
      <w:tr w:rsidR="005D2586" w:rsidRPr="00363142" w:rsidTr="00B4054F">
        <w:trPr>
          <w:jc w:val="center"/>
        </w:trPr>
        <w:tc>
          <w:tcPr>
            <w:tcW w:w="4388" w:type="dxa"/>
          </w:tcPr>
          <w:p w:rsidR="005D2586" w:rsidRPr="00363142" w:rsidRDefault="005D2586" w:rsidP="00666299">
            <w:pPr>
              <w:jc w:val="both"/>
              <w:rPr>
                <w:i/>
                <w:sz w:val="20"/>
                <w:szCs w:val="20"/>
                <w:lang w:val="en-GB"/>
              </w:rPr>
            </w:pPr>
            <w:r w:rsidRPr="00363142">
              <w:rPr>
                <w:sz w:val="20"/>
                <w:szCs w:val="20"/>
                <w:lang w:val="en-GB"/>
              </w:rPr>
              <w:t>H</w:t>
            </w:r>
            <w:r w:rsidRPr="00363142">
              <w:rPr>
                <w:sz w:val="20"/>
                <w:szCs w:val="20"/>
                <w:vertAlign w:val="subscript"/>
                <w:lang w:val="en-GB"/>
              </w:rPr>
              <w:t>0</w:t>
            </w:r>
            <w:r w:rsidRPr="00363142">
              <w:rPr>
                <w:sz w:val="20"/>
                <w:szCs w:val="20"/>
                <w:lang w:val="en-GB"/>
              </w:rPr>
              <w:t>:</w:t>
            </w:r>
            <w:r w:rsidRPr="00363142">
              <w:rPr>
                <w:i/>
                <w:sz w:val="20"/>
                <w:szCs w:val="20"/>
                <w:lang w:val="en-GB"/>
              </w:rPr>
              <w:t xml:space="preserve"> </w:t>
            </w:r>
            <w:r w:rsidRPr="00363142">
              <w:rPr>
                <w:sz w:val="20"/>
                <w:szCs w:val="20"/>
                <w:lang w:val="en-GB"/>
              </w:rPr>
              <w:t>Standard ‘IV’ instruments are exogenous and they increase the Hansen J-test</w:t>
            </w:r>
          </w:p>
        </w:tc>
        <w:tc>
          <w:tcPr>
            <w:tcW w:w="1866" w:type="dxa"/>
          </w:tcPr>
          <w:p w:rsidR="005D2586" w:rsidRPr="00363142" w:rsidRDefault="005D2586" w:rsidP="00666299">
            <w:pPr>
              <w:jc w:val="both"/>
              <w:rPr>
                <w:sz w:val="20"/>
                <w:szCs w:val="20"/>
                <w:lang w:val="en-GB"/>
              </w:rPr>
            </w:pPr>
            <w:r w:rsidRPr="00363142">
              <w:rPr>
                <w:sz w:val="20"/>
                <w:szCs w:val="20"/>
                <w:lang w:val="en-GB"/>
              </w:rPr>
              <w:t xml:space="preserve">chi2 (18)   =  10.22  </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0.924</w:t>
            </w:r>
          </w:p>
        </w:tc>
        <w:tc>
          <w:tcPr>
            <w:tcW w:w="1841" w:type="dxa"/>
          </w:tcPr>
          <w:p w:rsidR="005D2586" w:rsidRPr="00363142" w:rsidRDefault="005D2586" w:rsidP="00666299">
            <w:pPr>
              <w:jc w:val="both"/>
              <w:rPr>
                <w:sz w:val="20"/>
                <w:szCs w:val="20"/>
                <w:lang w:val="en-GB"/>
              </w:rPr>
            </w:pPr>
            <w:r w:rsidRPr="00363142">
              <w:rPr>
                <w:sz w:val="20"/>
                <w:szCs w:val="20"/>
                <w:lang w:val="en-GB"/>
              </w:rPr>
              <w:t xml:space="preserve">chi2 (17)   =  0.03  </w:t>
            </w:r>
          </w:p>
          <w:p w:rsidR="005D2586" w:rsidRPr="00363142" w:rsidRDefault="005D2586" w:rsidP="00666299">
            <w:pPr>
              <w:jc w:val="both"/>
              <w:rPr>
                <w:sz w:val="20"/>
                <w:szCs w:val="20"/>
                <w:lang w:val="en-GB"/>
              </w:rPr>
            </w:pPr>
            <w:proofErr w:type="spellStart"/>
            <w:r w:rsidRPr="00363142">
              <w:rPr>
                <w:sz w:val="20"/>
                <w:szCs w:val="20"/>
                <w:lang w:val="en-GB"/>
              </w:rPr>
              <w:t>Prob</w:t>
            </w:r>
            <w:proofErr w:type="spellEnd"/>
            <w:r w:rsidRPr="00363142">
              <w:rPr>
                <w:sz w:val="20"/>
                <w:szCs w:val="20"/>
                <w:lang w:val="en-GB"/>
              </w:rPr>
              <w:t xml:space="preserve"> &gt; chi2 =  1.000</w:t>
            </w:r>
          </w:p>
        </w:tc>
      </w:tr>
      <w:tr w:rsidR="005D2586" w:rsidRPr="00363142" w:rsidTr="00B4054F">
        <w:trPr>
          <w:jc w:val="center"/>
        </w:trPr>
        <w:tc>
          <w:tcPr>
            <w:tcW w:w="8095" w:type="dxa"/>
            <w:gridSpan w:val="3"/>
          </w:tcPr>
          <w:p w:rsidR="005D2586" w:rsidRPr="00363142" w:rsidRDefault="005D2586" w:rsidP="00666299">
            <w:pPr>
              <w:jc w:val="both"/>
              <w:rPr>
                <w:i/>
                <w:sz w:val="20"/>
                <w:szCs w:val="20"/>
                <w:lang w:val="en-GB"/>
              </w:rPr>
            </w:pPr>
            <w:r w:rsidRPr="00363142">
              <w:rPr>
                <w:i/>
                <w:sz w:val="20"/>
                <w:szCs w:val="20"/>
                <w:lang w:val="en-GB"/>
              </w:rPr>
              <w:t xml:space="preserve">Source: </w:t>
            </w:r>
            <w:r w:rsidRPr="00363142">
              <w:rPr>
                <w:sz w:val="20"/>
                <w:szCs w:val="20"/>
                <w:lang w:val="en-GB"/>
              </w:rPr>
              <w:t>Authors’ calculations using STATA 12.</w:t>
            </w:r>
          </w:p>
        </w:tc>
      </w:tr>
    </w:tbl>
    <w:p w:rsidR="005D2586" w:rsidRPr="00363142" w:rsidRDefault="005D2586" w:rsidP="00666299">
      <w:pPr>
        <w:spacing w:after="120"/>
        <w:jc w:val="both"/>
        <w:rPr>
          <w:lang w:val="en-GB"/>
        </w:rPr>
      </w:pPr>
    </w:p>
    <w:p w:rsidR="005D2586" w:rsidRPr="00363142" w:rsidRDefault="005D2586" w:rsidP="00666299">
      <w:pPr>
        <w:pStyle w:val="TABLES"/>
        <w:spacing w:after="120" w:line="240" w:lineRule="auto"/>
        <w:rPr>
          <w:i w:val="0"/>
        </w:rPr>
      </w:pPr>
    </w:p>
    <w:p w:rsidR="005D2586" w:rsidRPr="00363142" w:rsidRDefault="005D2586" w:rsidP="00666299">
      <w:pPr>
        <w:pStyle w:val="TABLES"/>
        <w:spacing w:after="120" w:line="240" w:lineRule="auto"/>
        <w:rPr>
          <w:i w:val="0"/>
        </w:rPr>
      </w:pPr>
      <w:r w:rsidRPr="00363142">
        <w:rPr>
          <w:i w:val="0"/>
        </w:rPr>
        <w:t>Table 2 Long-run effect of changes in institutions on economic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4"/>
        <w:gridCol w:w="2651"/>
        <w:gridCol w:w="1265"/>
        <w:gridCol w:w="1265"/>
        <w:gridCol w:w="947"/>
      </w:tblGrid>
      <w:tr w:rsidR="005D2586" w:rsidRPr="00363142" w:rsidTr="00B4054F">
        <w:trPr>
          <w:jc w:val="center"/>
        </w:trPr>
        <w:tc>
          <w:tcPr>
            <w:tcW w:w="1264" w:type="dxa"/>
          </w:tcPr>
          <w:p w:rsidR="005D2586" w:rsidRPr="00363142" w:rsidRDefault="005D2586" w:rsidP="00666299">
            <w:pPr>
              <w:jc w:val="both"/>
              <w:rPr>
                <w:lang w:val="en-GB"/>
              </w:rPr>
            </w:pPr>
            <w:r w:rsidRPr="00363142">
              <w:rPr>
                <w:lang w:val="en-GB"/>
              </w:rPr>
              <w:t xml:space="preserve"> Variable</w:t>
            </w:r>
          </w:p>
        </w:tc>
        <w:tc>
          <w:tcPr>
            <w:tcW w:w="2651" w:type="dxa"/>
          </w:tcPr>
          <w:p w:rsidR="005D2586" w:rsidRPr="00363142" w:rsidRDefault="005D2586" w:rsidP="00666299">
            <w:pPr>
              <w:jc w:val="both"/>
              <w:rPr>
                <w:lang w:val="en-GB"/>
              </w:rPr>
            </w:pPr>
            <w:r w:rsidRPr="00363142">
              <w:rPr>
                <w:lang w:val="en-GB"/>
              </w:rPr>
              <w:t>Long-run coefficient</w:t>
            </w:r>
          </w:p>
        </w:tc>
        <w:tc>
          <w:tcPr>
            <w:tcW w:w="1265" w:type="dxa"/>
          </w:tcPr>
          <w:p w:rsidR="005D2586" w:rsidRPr="00363142" w:rsidRDefault="005D2586" w:rsidP="00666299">
            <w:pPr>
              <w:jc w:val="both"/>
              <w:rPr>
                <w:lang w:val="en-GB"/>
              </w:rPr>
            </w:pPr>
            <w:r w:rsidRPr="00363142">
              <w:rPr>
                <w:lang w:val="en-GB"/>
              </w:rPr>
              <w:t>SE</w:t>
            </w:r>
          </w:p>
        </w:tc>
        <w:tc>
          <w:tcPr>
            <w:tcW w:w="1265" w:type="dxa"/>
          </w:tcPr>
          <w:p w:rsidR="005D2586" w:rsidRPr="00363142" w:rsidRDefault="005D2586" w:rsidP="00666299">
            <w:pPr>
              <w:jc w:val="both"/>
              <w:rPr>
                <w:lang w:val="en-GB"/>
              </w:rPr>
            </w:pPr>
            <w:r w:rsidRPr="00363142">
              <w:rPr>
                <w:lang w:val="en-GB"/>
              </w:rPr>
              <w:t>t-statistic</w:t>
            </w:r>
          </w:p>
        </w:tc>
        <w:tc>
          <w:tcPr>
            <w:tcW w:w="947" w:type="dxa"/>
          </w:tcPr>
          <w:p w:rsidR="005D2586" w:rsidRPr="00363142" w:rsidRDefault="005D2586" w:rsidP="00666299">
            <w:pPr>
              <w:jc w:val="both"/>
              <w:rPr>
                <w:lang w:val="en-GB"/>
              </w:rPr>
            </w:pPr>
            <w:r w:rsidRPr="00363142">
              <w:rPr>
                <w:lang w:val="en-GB"/>
              </w:rPr>
              <w:t>P&gt;|t|</w:t>
            </w:r>
          </w:p>
        </w:tc>
      </w:tr>
      <w:tr w:rsidR="005D2586" w:rsidRPr="00363142" w:rsidTr="00B4054F">
        <w:trPr>
          <w:jc w:val="center"/>
        </w:trPr>
        <w:tc>
          <w:tcPr>
            <w:tcW w:w="1264" w:type="dxa"/>
          </w:tcPr>
          <w:p w:rsidR="005D2586" w:rsidRPr="00363142" w:rsidRDefault="005D2586" w:rsidP="00666299">
            <w:pPr>
              <w:jc w:val="both"/>
              <w:rPr>
                <w:i/>
                <w:lang w:val="en-GB"/>
              </w:rPr>
            </w:pPr>
            <w:r w:rsidRPr="00363142">
              <w:rPr>
                <w:i/>
                <w:lang w:val="en-GB"/>
              </w:rPr>
              <w:t>inst5</w:t>
            </w:r>
          </w:p>
        </w:tc>
        <w:tc>
          <w:tcPr>
            <w:tcW w:w="2651" w:type="dxa"/>
          </w:tcPr>
          <w:p w:rsidR="005D2586" w:rsidRPr="00363142" w:rsidRDefault="005D2586" w:rsidP="00666299">
            <w:pPr>
              <w:jc w:val="both"/>
              <w:rPr>
                <w:lang w:val="en-GB"/>
              </w:rPr>
            </w:pPr>
            <w:r w:rsidRPr="00363142">
              <w:rPr>
                <w:lang w:val="en-GB"/>
              </w:rPr>
              <w:t>4.64</w:t>
            </w:r>
          </w:p>
        </w:tc>
        <w:tc>
          <w:tcPr>
            <w:tcW w:w="1265" w:type="dxa"/>
          </w:tcPr>
          <w:p w:rsidR="005D2586" w:rsidRPr="00363142" w:rsidRDefault="005D2586" w:rsidP="00666299">
            <w:pPr>
              <w:jc w:val="both"/>
              <w:rPr>
                <w:lang w:val="en-GB"/>
              </w:rPr>
            </w:pPr>
            <w:r w:rsidRPr="00363142">
              <w:rPr>
                <w:lang w:val="en-GB"/>
              </w:rPr>
              <w:t>5.80</w:t>
            </w:r>
          </w:p>
        </w:tc>
        <w:tc>
          <w:tcPr>
            <w:tcW w:w="1265" w:type="dxa"/>
          </w:tcPr>
          <w:p w:rsidR="005D2586" w:rsidRPr="00363142" w:rsidRDefault="005D2586" w:rsidP="00666299">
            <w:pPr>
              <w:jc w:val="both"/>
              <w:rPr>
                <w:lang w:val="en-GB"/>
              </w:rPr>
            </w:pPr>
            <w:r w:rsidRPr="00363142">
              <w:rPr>
                <w:lang w:val="en-GB"/>
              </w:rPr>
              <w:t>0.80</w:t>
            </w:r>
          </w:p>
        </w:tc>
        <w:tc>
          <w:tcPr>
            <w:tcW w:w="947" w:type="dxa"/>
          </w:tcPr>
          <w:p w:rsidR="005D2586" w:rsidRPr="00363142" w:rsidRDefault="005D2586" w:rsidP="00666299">
            <w:pPr>
              <w:jc w:val="both"/>
              <w:rPr>
                <w:lang w:val="en-GB"/>
              </w:rPr>
            </w:pPr>
            <w:r w:rsidRPr="00363142">
              <w:rPr>
                <w:lang w:val="en-GB"/>
              </w:rPr>
              <w:t>0.431</w:t>
            </w:r>
          </w:p>
        </w:tc>
      </w:tr>
      <w:tr w:rsidR="005D2586" w:rsidRPr="00363142" w:rsidTr="00B4054F">
        <w:trPr>
          <w:jc w:val="center"/>
        </w:trPr>
        <w:tc>
          <w:tcPr>
            <w:tcW w:w="7392" w:type="dxa"/>
            <w:gridSpan w:val="5"/>
          </w:tcPr>
          <w:p w:rsidR="005D2586" w:rsidRPr="00363142" w:rsidRDefault="005D2586" w:rsidP="00666299">
            <w:pPr>
              <w:jc w:val="both"/>
              <w:rPr>
                <w:i/>
                <w:lang w:val="en-GB"/>
              </w:rPr>
            </w:pPr>
            <w:r w:rsidRPr="00363142">
              <w:rPr>
                <w:i/>
                <w:lang w:val="en-GB"/>
              </w:rPr>
              <w:t xml:space="preserve">Source: </w:t>
            </w:r>
            <w:r w:rsidRPr="00363142">
              <w:rPr>
                <w:lang w:val="en-GB"/>
              </w:rPr>
              <w:t xml:space="preserve">Authors’ calculations in </w:t>
            </w:r>
            <w:proofErr w:type="spellStart"/>
            <w:r w:rsidRPr="00363142">
              <w:rPr>
                <w:lang w:val="en-GB"/>
              </w:rPr>
              <w:t>Stata</w:t>
            </w:r>
            <w:proofErr w:type="spellEnd"/>
            <w:r w:rsidRPr="00363142">
              <w:rPr>
                <w:lang w:val="en-GB"/>
              </w:rPr>
              <w:t xml:space="preserve"> 10</w:t>
            </w:r>
          </w:p>
        </w:tc>
      </w:tr>
    </w:tbl>
    <w:p w:rsidR="005D2586" w:rsidRPr="00363142" w:rsidRDefault="005D2586" w:rsidP="00666299">
      <w:pPr>
        <w:spacing w:after="120"/>
        <w:ind w:left="360"/>
        <w:jc w:val="both"/>
        <w:rPr>
          <w:lang w:val="en-GB"/>
        </w:rPr>
      </w:pPr>
    </w:p>
    <w:sectPr w:rsidR="005D2586" w:rsidRPr="00363142" w:rsidSect="00EF1C02">
      <w:footerReference w:type="even" r:id="rId49"/>
      <w:footerReference w:type="default" r:id="rId50"/>
      <w:type w:val="continuous"/>
      <w:pgSz w:w="12240" w:h="15840"/>
      <w:pgMar w:top="1440" w:right="1797" w:bottom="993"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55B" w:rsidRDefault="00B2655B">
      <w:r>
        <w:separator/>
      </w:r>
    </w:p>
  </w:endnote>
  <w:endnote w:type="continuationSeparator" w:id="0">
    <w:p w:rsidR="00B2655B" w:rsidRDefault="00B26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49" w:rsidRDefault="005019F2" w:rsidP="00532750">
    <w:pPr>
      <w:pStyle w:val="Footer"/>
      <w:framePr w:wrap="around" w:vAnchor="text" w:hAnchor="margin" w:xAlign="right" w:y="1"/>
      <w:rPr>
        <w:rStyle w:val="PageNumber"/>
      </w:rPr>
    </w:pPr>
    <w:r>
      <w:rPr>
        <w:rStyle w:val="PageNumber"/>
      </w:rPr>
      <w:fldChar w:fldCharType="begin"/>
    </w:r>
    <w:r w:rsidR="00FF5449">
      <w:rPr>
        <w:rStyle w:val="PageNumber"/>
      </w:rPr>
      <w:instrText xml:space="preserve">PAGE  </w:instrText>
    </w:r>
    <w:r>
      <w:rPr>
        <w:rStyle w:val="PageNumber"/>
      </w:rPr>
      <w:fldChar w:fldCharType="end"/>
    </w:r>
  </w:p>
  <w:p w:rsidR="00FF5449" w:rsidRDefault="00FF5449" w:rsidP="008E53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49" w:rsidRDefault="005019F2" w:rsidP="00532750">
    <w:pPr>
      <w:pStyle w:val="Footer"/>
      <w:framePr w:wrap="around" w:vAnchor="text" w:hAnchor="margin" w:xAlign="right" w:y="1"/>
      <w:rPr>
        <w:rStyle w:val="PageNumber"/>
      </w:rPr>
    </w:pPr>
    <w:r>
      <w:rPr>
        <w:rStyle w:val="PageNumber"/>
      </w:rPr>
      <w:fldChar w:fldCharType="begin"/>
    </w:r>
    <w:r w:rsidR="00FF5449">
      <w:rPr>
        <w:rStyle w:val="PageNumber"/>
      </w:rPr>
      <w:instrText xml:space="preserve">PAGE  </w:instrText>
    </w:r>
    <w:r>
      <w:rPr>
        <w:rStyle w:val="PageNumber"/>
      </w:rPr>
      <w:fldChar w:fldCharType="separate"/>
    </w:r>
    <w:r w:rsidR="009E5EB2">
      <w:rPr>
        <w:rStyle w:val="PageNumber"/>
        <w:noProof/>
      </w:rPr>
      <w:t>2</w:t>
    </w:r>
    <w:r>
      <w:rPr>
        <w:rStyle w:val="PageNumber"/>
      </w:rPr>
      <w:fldChar w:fldCharType="end"/>
    </w:r>
  </w:p>
  <w:p w:rsidR="00FF5449" w:rsidRDefault="00FF5449" w:rsidP="008E53C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49" w:rsidRDefault="005019F2" w:rsidP="00532750">
    <w:pPr>
      <w:pStyle w:val="Footer"/>
      <w:framePr w:wrap="around" w:vAnchor="text" w:hAnchor="margin" w:xAlign="right" w:y="1"/>
      <w:rPr>
        <w:rStyle w:val="PageNumber"/>
      </w:rPr>
    </w:pPr>
    <w:r>
      <w:rPr>
        <w:rStyle w:val="PageNumber"/>
      </w:rPr>
      <w:fldChar w:fldCharType="begin"/>
    </w:r>
    <w:r w:rsidR="00FF5449">
      <w:rPr>
        <w:rStyle w:val="PageNumber"/>
      </w:rPr>
      <w:instrText xml:space="preserve">PAGE  </w:instrText>
    </w:r>
    <w:r>
      <w:rPr>
        <w:rStyle w:val="PageNumber"/>
      </w:rPr>
      <w:fldChar w:fldCharType="end"/>
    </w:r>
  </w:p>
  <w:p w:rsidR="00FF5449" w:rsidRDefault="00FF5449" w:rsidP="008E53C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49" w:rsidRDefault="005019F2" w:rsidP="00532750">
    <w:pPr>
      <w:pStyle w:val="Footer"/>
      <w:framePr w:wrap="around" w:vAnchor="text" w:hAnchor="margin" w:xAlign="right" w:y="1"/>
      <w:rPr>
        <w:rStyle w:val="PageNumber"/>
      </w:rPr>
    </w:pPr>
    <w:r>
      <w:rPr>
        <w:rStyle w:val="PageNumber"/>
      </w:rPr>
      <w:fldChar w:fldCharType="begin"/>
    </w:r>
    <w:r w:rsidR="00FF5449">
      <w:rPr>
        <w:rStyle w:val="PageNumber"/>
      </w:rPr>
      <w:instrText xml:space="preserve">PAGE  </w:instrText>
    </w:r>
    <w:r>
      <w:rPr>
        <w:rStyle w:val="PageNumber"/>
      </w:rPr>
      <w:fldChar w:fldCharType="separate"/>
    </w:r>
    <w:r w:rsidR="009E5EB2">
      <w:rPr>
        <w:rStyle w:val="PageNumber"/>
        <w:noProof/>
      </w:rPr>
      <w:t>26</w:t>
    </w:r>
    <w:r>
      <w:rPr>
        <w:rStyle w:val="PageNumber"/>
      </w:rPr>
      <w:fldChar w:fldCharType="end"/>
    </w:r>
  </w:p>
  <w:p w:rsidR="00FF5449" w:rsidRDefault="00FF5449" w:rsidP="008E53C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55B" w:rsidRDefault="00B2655B">
      <w:r>
        <w:separator/>
      </w:r>
    </w:p>
  </w:footnote>
  <w:footnote w:type="continuationSeparator" w:id="0">
    <w:p w:rsidR="00B2655B" w:rsidRDefault="00B2655B">
      <w:r>
        <w:continuationSeparator/>
      </w:r>
    </w:p>
  </w:footnote>
  <w:footnote w:id="1">
    <w:p w:rsidR="00FF5449" w:rsidRDefault="00FF5449">
      <w:pPr>
        <w:pStyle w:val="FootnoteText"/>
      </w:pPr>
      <w:r w:rsidRPr="0013591A">
        <w:rPr>
          <w:rStyle w:val="FootnoteReference"/>
        </w:rPr>
        <w:footnoteRef/>
      </w:r>
      <w:r w:rsidRPr="0013591A">
        <w:t xml:space="preserve"> For the last sentence we thank an anonymous referee.</w:t>
      </w:r>
    </w:p>
  </w:footnote>
  <w:footnote w:id="2">
    <w:p w:rsidR="00FF5449" w:rsidRDefault="00FF5449" w:rsidP="0025068A">
      <w:pPr>
        <w:pStyle w:val="FootnoteText"/>
        <w:jc w:val="both"/>
      </w:pPr>
      <w:r>
        <w:rPr>
          <w:rStyle w:val="FootnoteReference"/>
        </w:rPr>
        <w:footnoteRef/>
      </w:r>
      <w:r>
        <w:t xml:space="preserve"> </w:t>
      </w:r>
      <w:r w:rsidRPr="000B52B0">
        <w:rPr>
          <w:lang w:val="en-GB"/>
        </w:rPr>
        <w:t xml:space="preserve">The </w:t>
      </w:r>
      <w:proofErr w:type="spellStart"/>
      <w:r w:rsidRPr="000B52B0">
        <w:rPr>
          <w:lang w:val="en-GB"/>
        </w:rPr>
        <w:t>Im</w:t>
      </w:r>
      <w:proofErr w:type="spellEnd"/>
      <w:r w:rsidRPr="000B52B0">
        <w:rPr>
          <w:lang w:val="en-GB"/>
        </w:rPr>
        <w:t xml:space="preserve">, </w:t>
      </w:r>
      <w:proofErr w:type="spellStart"/>
      <w:r w:rsidRPr="000B52B0">
        <w:rPr>
          <w:lang w:val="en-GB"/>
        </w:rPr>
        <w:t>Pesaran</w:t>
      </w:r>
      <w:proofErr w:type="spellEnd"/>
      <w:r w:rsidRPr="000B52B0">
        <w:rPr>
          <w:lang w:val="en-GB"/>
        </w:rPr>
        <w:t xml:space="preserve"> and Shin panel unit root test confirmed that our dependent variable (</w:t>
      </w:r>
      <w:proofErr w:type="spellStart"/>
      <w:r w:rsidRPr="000B52B0">
        <w:rPr>
          <w:i/>
          <w:lang w:val="en-GB"/>
        </w:rPr>
        <w:t>lngdppc</w:t>
      </w:r>
      <w:proofErr w:type="spellEnd"/>
      <w:r w:rsidRPr="000B52B0">
        <w:rPr>
          <w:lang w:val="en-GB"/>
        </w:rPr>
        <w:t>) is a trended variable, integrated of order one (the null that this variable contains a unit root in all panels cannot be rejected; p=1.000) and that our independent variable of interest (</w:t>
      </w:r>
      <w:r w:rsidRPr="000B52B0">
        <w:rPr>
          <w:i/>
          <w:lang w:val="en-GB"/>
        </w:rPr>
        <w:t>inst5</w:t>
      </w:r>
      <w:r w:rsidRPr="000B52B0">
        <w:rPr>
          <w:lang w:val="en-GB"/>
        </w:rPr>
        <w:t>) is stationary (the null being rejected; p=0.000). This precludes spurious correlation via common statistical generating mechanisms.</w:t>
      </w:r>
    </w:p>
  </w:footnote>
  <w:footnote w:id="3">
    <w:p w:rsidR="00FF5449" w:rsidRPr="008003CB" w:rsidRDefault="00FF5449">
      <w:pPr>
        <w:pStyle w:val="FootnoteText"/>
        <w:rPr>
          <w:lang w:val="bs-Latn-BA"/>
        </w:rPr>
      </w:pPr>
      <w:r>
        <w:rPr>
          <w:rStyle w:val="FootnoteReference"/>
        </w:rPr>
        <w:footnoteRef/>
      </w:r>
      <w:r>
        <w:t xml:space="preserve"> </w:t>
      </w:r>
      <w:hyperlink r:id="rId1" w:history="1">
        <w:r w:rsidRPr="007258F3">
          <w:rPr>
            <w:rStyle w:val="Hyperlink"/>
            <w:lang w:val="bs-Latn-BA"/>
          </w:rPr>
          <w:t>www.efsa.unsa.ba/adnan.efendic</w:t>
        </w:r>
      </w:hyperlink>
      <w:r>
        <w:rPr>
          <w:lang w:val="bs-Latn-BA"/>
        </w:rPr>
        <w:t xml:space="preserve"> </w:t>
      </w:r>
    </w:p>
  </w:footnote>
  <w:footnote w:id="4">
    <w:p w:rsidR="00FF5449" w:rsidRDefault="00FF5449" w:rsidP="0050719E">
      <w:pPr>
        <w:pStyle w:val="FootnoteText"/>
        <w:jc w:val="both"/>
      </w:pPr>
      <w:r>
        <w:rPr>
          <w:rStyle w:val="FootnoteReference"/>
        </w:rPr>
        <w:footnoteRef/>
      </w:r>
      <w:r>
        <w:t xml:space="preserve"> </w:t>
      </w:r>
      <w:r w:rsidRPr="000B52B0">
        <w:t>An important issue</w:t>
      </w:r>
      <w:r w:rsidRPr="000B52B0">
        <w:rPr>
          <w:lang w:val="bs-Latn-BA"/>
        </w:rPr>
        <w:t xml:space="preserve"> </w:t>
      </w:r>
      <w:r w:rsidRPr="000B52B0">
        <w:rPr>
          <w:lang w:val="bs-Latn-BA"/>
        </w:rPr>
        <w:t xml:space="preserve">in any transition research is the observed time period, hence, sample size. </w:t>
      </w:r>
      <w:r w:rsidRPr="000B52B0">
        <w:rPr>
          <w:lang w:val="en-GB"/>
        </w:rPr>
        <w:t xml:space="preserve">Some authors, for example </w:t>
      </w:r>
      <w:proofErr w:type="spellStart"/>
      <w:r w:rsidRPr="000B52B0">
        <w:rPr>
          <w:lang w:val="en-GB"/>
        </w:rPr>
        <w:t>Falcetti</w:t>
      </w:r>
      <w:proofErr w:type="spellEnd"/>
      <w:r>
        <w:rPr>
          <w:lang w:val="en-GB"/>
        </w:rPr>
        <w:t xml:space="preserve"> et al.</w:t>
      </w:r>
      <w:r w:rsidRPr="000B52B0">
        <w:rPr>
          <w:lang w:val="en-GB"/>
        </w:rPr>
        <w:t xml:space="preserve"> (2006), estimate their models starting from an earlier period of transition (1989) but not with the full sample (3 SEE countries are omitted). The supporting argument is that some countries (Central European) made significant progress in transition reforms during the initial period (1989-1992). However, the data for this initial period are not reliable and not available for all transition economies. Accordingly, we follow the advice of other authors (Beck </w:t>
      </w:r>
      <w:r>
        <w:rPr>
          <w:lang w:val="en-GB"/>
        </w:rPr>
        <w:t>–</w:t>
      </w:r>
      <w:r w:rsidRPr="000B52B0">
        <w:rPr>
          <w:lang w:val="en-GB"/>
        </w:rPr>
        <w:t xml:space="preserve"> </w:t>
      </w:r>
      <w:proofErr w:type="spellStart"/>
      <w:r w:rsidRPr="000B52B0">
        <w:rPr>
          <w:lang w:val="en-GB"/>
        </w:rPr>
        <w:t>Laeven</w:t>
      </w:r>
      <w:proofErr w:type="spellEnd"/>
      <w:r w:rsidRPr="000B52B0">
        <w:rPr>
          <w:lang w:val="en-GB"/>
        </w:rPr>
        <w:t xml:space="preserve"> 2006) and rely on data from a more stable period of transition (1992-2007), which entails the advantage that our model can be estimated for the full sample of transition countries (29) with correspondingly more observations (325).</w:t>
      </w:r>
    </w:p>
  </w:footnote>
  <w:footnote w:id="5">
    <w:p w:rsidR="00FF5449" w:rsidRPr="00666299" w:rsidRDefault="00FF5449">
      <w:pPr>
        <w:pStyle w:val="FootnoteText"/>
        <w:rPr>
          <w:lang w:val="bs-Latn-BA"/>
        </w:rPr>
      </w:pPr>
      <w:r>
        <w:rPr>
          <w:rStyle w:val="FootnoteReference"/>
        </w:rPr>
        <w:footnoteRef/>
      </w:r>
      <w:r>
        <w:t xml:space="preserve"> </w:t>
      </w:r>
      <w:hyperlink r:id="rId2" w:history="1">
        <w:r w:rsidRPr="004976D3">
          <w:rPr>
            <w:rStyle w:val="Hyperlink"/>
            <w:lang w:val="bs-Latn-BA"/>
          </w:rPr>
          <w:t>www.efsa.unsa.ba/adnan.efendic</w:t>
        </w:r>
      </w:hyperlink>
      <w:r>
        <w:rPr>
          <w:lang w:val="bs-Latn-BA"/>
        </w:rPr>
        <w:t xml:space="preserve"> </w:t>
      </w:r>
    </w:p>
  </w:footnote>
  <w:footnote w:id="6">
    <w:p w:rsidR="00FF5449" w:rsidRPr="006024BC" w:rsidRDefault="00FF5449">
      <w:pPr>
        <w:pStyle w:val="FootnoteText"/>
        <w:rPr>
          <w:lang w:val="bs-Latn-BA"/>
        </w:rPr>
      </w:pPr>
      <w:r>
        <w:rPr>
          <w:rStyle w:val="FootnoteReference"/>
        </w:rPr>
        <w:footnoteRef/>
      </w:r>
      <w:r>
        <w:t xml:space="preserve"> </w:t>
      </w:r>
      <w:hyperlink r:id="rId3" w:history="1">
        <w:r w:rsidRPr="004976D3">
          <w:rPr>
            <w:rStyle w:val="Hyperlink"/>
            <w:lang w:val="bs-Latn-BA"/>
          </w:rPr>
          <w:t>www.efsa.unsa.ba/adnan.efendic</w:t>
        </w:r>
      </w:hyperlink>
      <w:r>
        <w:rPr>
          <w:lang w:val="bs-Latn-BA"/>
        </w:rPr>
        <w:t xml:space="preserve"> </w:t>
      </w:r>
    </w:p>
  </w:footnote>
  <w:footnote w:id="7">
    <w:p w:rsidR="00FF5449" w:rsidRDefault="00FF5449">
      <w:pPr>
        <w:pStyle w:val="FootnoteText"/>
      </w:pPr>
      <w:r>
        <w:rPr>
          <w:rStyle w:val="FootnoteReference"/>
        </w:rPr>
        <w:footnoteRef/>
      </w:r>
      <w:r>
        <w:t xml:space="preserve"> </w:t>
      </w:r>
      <w:r w:rsidRPr="000B52B0">
        <w:rPr>
          <w:lang w:val="en-GB"/>
        </w:rPr>
        <w:t>Deeper lags of the dependent variable proved to be insignificant.</w:t>
      </w:r>
    </w:p>
  </w:footnote>
  <w:footnote w:id="8">
    <w:p w:rsidR="00FF5449" w:rsidRDefault="00FF5449">
      <w:pPr>
        <w:pStyle w:val="FootnoteText"/>
      </w:pPr>
      <w:r>
        <w:rPr>
          <w:rStyle w:val="FootnoteReference"/>
        </w:rPr>
        <w:footnoteRef/>
      </w:r>
      <w:r>
        <w:t xml:space="preserve"> </w:t>
      </w:r>
      <w:r w:rsidRPr="000B52B0">
        <w:t>Greene is definitive on this point (2008, p.</w:t>
      </w:r>
      <w:r w:rsidRPr="000B52B0">
        <w:rPr>
          <w:lang w:val="bs-Latn-BA"/>
        </w:rPr>
        <w:t xml:space="preserve"> </w:t>
      </w:r>
      <w:r w:rsidRPr="000B52B0">
        <w:t xml:space="preserve">469): </w:t>
      </w:r>
      <w:r>
        <w:t>‘</w:t>
      </w:r>
      <w:r w:rsidRPr="000B52B0">
        <w:rPr>
          <w:lang w:val="en-GB"/>
        </w:rPr>
        <w:t xml:space="preserve">Adding dynamics to a model … creates a major change in the interpretation of the equation. Without the lagged variable, the “independent variables” represent the full set of information that produce observed outcome </w:t>
      </w:r>
      <w:proofErr w:type="spellStart"/>
      <w:r w:rsidRPr="000B52B0">
        <w:rPr>
          <w:i/>
          <w:lang w:val="en-GB"/>
        </w:rPr>
        <w:t>y</w:t>
      </w:r>
      <w:r w:rsidRPr="000B52B0">
        <w:rPr>
          <w:i/>
          <w:vertAlign w:val="subscript"/>
          <w:lang w:val="en-GB"/>
        </w:rPr>
        <w:t>it</w:t>
      </w:r>
      <w:proofErr w:type="spellEnd"/>
      <w:r w:rsidRPr="000B52B0">
        <w:rPr>
          <w:lang w:val="en-GB"/>
        </w:rPr>
        <w:t xml:space="preserve">. With the lagged variable, we now have in the equation the entire history of the right-hand-side variables, </w:t>
      </w:r>
      <w:r w:rsidRPr="000B52B0">
        <w:rPr>
          <w:i/>
          <w:lang w:val="en-GB"/>
        </w:rPr>
        <w:t>so that any measured influence is conditional on this history</w:t>
      </w:r>
      <w:r w:rsidRPr="000B52B0">
        <w:rPr>
          <w:lang w:val="en-GB"/>
        </w:rPr>
        <w:t xml:space="preserve">; in this case, any impact of (the independent variables) </w:t>
      </w:r>
      <w:proofErr w:type="spellStart"/>
      <w:r w:rsidRPr="000B52B0">
        <w:rPr>
          <w:b/>
          <w:i/>
          <w:lang w:val="en-GB"/>
        </w:rPr>
        <w:t>x</w:t>
      </w:r>
      <w:r w:rsidRPr="000B52B0">
        <w:rPr>
          <w:b/>
          <w:i/>
          <w:vertAlign w:val="subscript"/>
          <w:lang w:val="en-GB"/>
        </w:rPr>
        <w:t>it</w:t>
      </w:r>
      <w:proofErr w:type="spellEnd"/>
      <w:r w:rsidRPr="000B52B0">
        <w:rPr>
          <w:lang w:val="en-GB"/>
        </w:rPr>
        <w:t xml:space="preserve"> represents the effect of </w:t>
      </w:r>
      <w:r w:rsidRPr="000B52B0">
        <w:rPr>
          <w:i/>
          <w:lang w:val="en-GB"/>
        </w:rPr>
        <w:t>new</w:t>
      </w:r>
      <w:r w:rsidRPr="000B52B0">
        <w:rPr>
          <w:lang w:val="en-GB"/>
        </w:rPr>
        <w:t xml:space="preserve"> information</w:t>
      </w:r>
      <w:r>
        <w:rPr>
          <w:lang w:val="en-GB"/>
        </w:rPr>
        <w:t>.’</w:t>
      </w:r>
    </w:p>
  </w:footnote>
  <w:footnote w:id="9">
    <w:p w:rsidR="00FF5449" w:rsidRPr="008E6F43" w:rsidRDefault="00FF5449">
      <w:pPr>
        <w:pStyle w:val="FootnoteText"/>
        <w:rPr>
          <w:lang w:val="bs-Latn-BA"/>
        </w:rPr>
      </w:pPr>
      <w:r>
        <w:rPr>
          <w:rStyle w:val="FootnoteReference"/>
        </w:rPr>
        <w:footnoteRef/>
      </w:r>
      <w:r>
        <w:t xml:space="preserve"> </w:t>
      </w:r>
      <w:hyperlink r:id="rId4" w:history="1">
        <w:r w:rsidR="000727D9" w:rsidRPr="00FE0697">
          <w:rPr>
            <w:rStyle w:val="Hyperlink"/>
            <w:lang w:val="bs-Latn-BA"/>
          </w:rPr>
          <w:t>www.efsa.unsa.ba/adnan.efendic</w:t>
        </w:r>
      </w:hyperlink>
      <w:r w:rsidR="000727D9">
        <w:rPr>
          <w:lang w:val="bs-Latn-BA"/>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A2A"/>
    <w:multiLevelType w:val="multilevel"/>
    <w:tmpl w:val="3A2868F6"/>
    <w:styleLink w:val="Style1"/>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5BC2160"/>
    <w:multiLevelType w:val="hybridMultilevel"/>
    <w:tmpl w:val="11AC3F14"/>
    <w:lvl w:ilvl="0" w:tplc="141A0017">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D1F0044"/>
    <w:multiLevelType w:val="hybridMultilevel"/>
    <w:tmpl w:val="CA52303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99939BC"/>
    <w:multiLevelType w:val="hybridMultilevel"/>
    <w:tmpl w:val="0F487A24"/>
    <w:lvl w:ilvl="0" w:tplc="04090017">
      <w:start w:val="1"/>
      <w:numFmt w:val="lowerLetter"/>
      <w:lvlText w:val="%1)"/>
      <w:lvlJc w:val="left"/>
      <w:pPr>
        <w:tabs>
          <w:tab w:val="num" w:pos="720"/>
        </w:tabs>
        <w:ind w:left="720" w:hanging="360"/>
      </w:pPr>
      <w:rPr>
        <w:rFonts w:cs="Times New Roman"/>
      </w:rPr>
    </w:lvl>
    <w:lvl w:ilvl="1" w:tplc="04090017">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C3254F4"/>
    <w:multiLevelType w:val="multilevel"/>
    <w:tmpl w:val="3A2868F6"/>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51B01E83"/>
    <w:multiLevelType w:val="multilevel"/>
    <w:tmpl w:val="987A06E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704E31D0"/>
    <w:multiLevelType w:val="multilevel"/>
    <w:tmpl w:val="CF36F610"/>
    <w:lvl w:ilvl="0">
      <w:start w:val="1"/>
      <w:numFmt w:val="decimal"/>
      <w:lvlText w:val="%1."/>
      <w:lvlJc w:val="righ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77D44221"/>
    <w:multiLevelType w:val="hybridMultilevel"/>
    <w:tmpl w:val="389C2E5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7"/>
  </w:num>
  <w:num w:numId="4">
    <w:abstractNumId w:val="1"/>
  </w:num>
  <w:num w:numId="5">
    <w:abstractNumId w:val="4"/>
  </w:num>
  <w:num w:numId="6">
    <w:abstractNumId w:val="0"/>
  </w:num>
  <w:num w:numId="7">
    <w:abstractNumId w:val="6"/>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rsids>
    <w:rsidRoot w:val="002851EC"/>
    <w:rsid w:val="00000361"/>
    <w:rsid w:val="0000076C"/>
    <w:rsid w:val="0000167D"/>
    <w:rsid w:val="000019A7"/>
    <w:rsid w:val="0000272D"/>
    <w:rsid w:val="000031C6"/>
    <w:rsid w:val="00004508"/>
    <w:rsid w:val="00004D04"/>
    <w:rsid w:val="00005662"/>
    <w:rsid w:val="00005E96"/>
    <w:rsid w:val="00006755"/>
    <w:rsid w:val="000077C9"/>
    <w:rsid w:val="00011A83"/>
    <w:rsid w:val="00014A1F"/>
    <w:rsid w:val="0001604A"/>
    <w:rsid w:val="0001659C"/>
    <w:rsid w:val="0002323A"/>
    <w:rsid w:val="00025A11"/>
    <w:rsid w:val="00025C1A"/>
    <w:rsid w:val="0002631C"/>
    <w:rsid w:val="00026385"/>
    <w:rsid w:val="000267D2"/>
    <w:rsid w:val="00026C1D"/>
    <w:rsid w:val="0003110D"/>
    <w:rsid w:val="00032C21"/>
    <w:rsid w:val="00033614"/>
    <w:rsid w:val="000339B0"/>
    <w:rsid w:val="00037BDC"/>
    <w:rsid w:val="00042A52"/>
    <w:rsid w:val="00042ECD"/>
    <w:rsid w:val="00043275"/>
    <w:rsid w:val="000446A9"/>
    <w:rsid w:val="00047432"/>
    <w:rsid w:val="0004767A"/>
    <w:rsid w:val="00053CC5"/>
    <w:rsid w:val="000542F5"/>
    <w:rsid w:val="00055479"/>
    <w:rsid w:val="000564BE"/>
    <w:rsid w:val="00057C03"/>
    <w:rsid w:val="00060794"/>
    <w:rsid w:val="00064743"/>
    <w:rsid w:val="000727D9"/>
    <w:rsid w:val="00077FEC"/>
    <w:rsid w:val="000811D9"/>
    <w:rsid w:val="00081ED0"/>
    <w:rsid w:val="00083321"/>
    <w:rsid w:val="00084333"/>
    <w:rsid w:val="00084CF7"/>
    <w:rsid w:val="00085582"/>
    <w:rsid w:val="000862FE"/>
    <w:rsid w:val="0009184B"/>
    <w:rsid w:val="00091D13"/>
    <w:rsid w:val="00093F64"/>
    <w:rsid w:val="00095270"/>
    <w:rsid w:val="000958BF"/>
    <w:rsid w:val="00097C9A"/>
    <w:rsid w:val="000A040B"/>
    <w:rsid w:val="000A08EF"/>
    <w:rsid w:val="000A3F11"/>
    <w:rsid w:val="000A46DC"/>
    <w:rsid w:val="000A47B3"/>
    <w:rsid w:val="000A621C"/>
    <w:rsid w:val="000A6809"/>
    <w:rsid w:val="000B2DEF"/>
    <w:rsid w:val="000B4C67"/>
    <w:rsid w:val="000B52B0"/>
    <w:rsid w:val="000B7C4D"/>
    <w:rsid w:val="000C017B"/>
    <w:rsid w:val="000C03B3"/>
    <w:rsid w:val="000C279F"/>
    <w:rsid w:val="000D2A90"/>
    <w:rsid w:val="000D5348"/>
    <w:rsid w:val="000D5609"/>
    <w:rsid w:val="000D734B"/>
    <w:rsid w:val="000E0E26"/>
    <w:rsid w:val="000E5332"/>
    <w:rsid w:val="000E57F3"/>
    <w:rsid w:val="000E5C42"/>
    <w:rsid w:val="000E683D"/>
    <w:rsid w:val="000E788F"/>
    <w:rsid w:val="000F0FE4"/>
    <w:rsid w:val="000F356E"/>
    <w:rsid w:val="000F424E"/>
    <w:rsid w:val="000F6175"/>
    <w:rsid w:val="000F777C"/>
    <w:rsid w:val="0010123F"/>
    <w:rsid w:val="0010157B"/>
    <w:rsid w:val="00101E5C"/>
    <w:rsid w:val="00105291"/>
    <w:rsid w:val="0010688A"/>
    <w:rsid w:val="00107DAB"/>
    <w:rsid w:val="001104B0"/>
    <w:rsid w:val="0011287A"/>
    <w:rsid w:val="0011443E"/>
    <w:rsid w:val="00117B3A"/>
    <w:rsid w:val="00117F55"/>
    <w:rsid w:val="00121B51"/>
    <w:rsid w:val="00122EB7"/>
    <w:rsid w:val="00123540"/>
    <w:rsid w:val="001241A5"/>
    <w:rsid w:val="0012426E"/>
    <w:rsid w:val="001252F5"/>
    <w:rsid w:val="00125C24"/>
    <w:rsid w:val="001262C2"/>
    <w:rsid w:val="00126732"/>
    <w:rsid w:val="00126994"/>
    <w:rsid w:val="00126F7E"/>
    <w:rsid w:val="001307C6"/>
    <w:rsid w:val="00130CF6"/>
    <w:rsid w:val="00131823"/>
    <w:rsid w:val="0013591A"/>
    <w:rsid w:val="00137273"/>
    <w:rsid w:val="001376B3"/>
    <w:rsid w:val="0014132A"/>
    <w:rsid w:val="00144DC5"/>
    <w:rsid w:val="00145220"/>
    <w:rsid w:val="00153025"/>
    <w:rsid w:val="001542A4"/>
    <w:rsid w:val="00156444"/>
    <w:rsid w:val="001567AE"/>
    <w:rsid w:val="001605DB"/>
    <w:rsid w:val="0016164F"/>
    <w:rsid w:val="00161BC4"/>
    <w:rsid w:val="001654FB"/>
    <w:rsid w:val="00166CFD"/>
    <w:rsid w:val="00166DA1"/>
    <w:rsid w:val="001709DC"/>
    <w:rsid w:val="00171AAD"/>
    <w:rsid w:val="00172BC2"/>
    <w:rsid w:val="00172EF4"/>
    <w:rsid w:val="001736FD"/>
    <w:rsid w:val="001739D8"/>
    <w:rsid w:val="00173B1B"/>
    <w:rsid w:val="00173C5E"/>
    <w:rsid w:val="00175669"/>
    <w:rsid w:val="00180E37"/>
    <w:rsid w:val="00181EB9"/>
    <w:rsid w:val="001861B0"/>
    <w:rsid w:val="0019101C"/>
    <w:rsid w:val="0019156C"/>
    <w:rsid w:val="00193CB6"/>
    <w:rsid w:val="001942F9"/>
    <w:rsid w:val="0019480D"/>
    <w:rsid w:val="0019756F"/>
    <w:rsid w:val="001975F3"/>
    <w:rsid w:val="001A04D6"/>
    <w:rsid w:val="001A1A10"/>
    <w:rsid w:val="001A6510"/>
    <w:rsid w:val="001A6F59"/>
    <w:rsid w:val="001B03E6"/>
    <w:rsid w:val="001B0BB6"/>
    <w:rsid w:val="001B108D"/>
    <w:rsid w:val="001B1C88"/>
    <w:rsid w:val="001B4023"/>
    <w:rsid w:val="001B413E"/>
    <w:rsid w:val="001C02D9"/>
    <w:rsid w:val="001C0B62"/>
    <w:rsid w:val="001C1320"/>
    <w:rsid w:val="001C24D5"/>
    <w:rsid w:val="001C3C08"/>
    <w:rsid w:val="001C511D"/>
    <w:rsid w:val="001C5D0F"/>
    <w:rsid w:val="001C5EBB"/>
    <w:rsid w:val="001C6DEC"/>
    <w:rsid w:val="001C6E7F"/>
    <w:rsid w:val="001D05E2"/>
    <w:rsid w:val="001D1E29"/>
    <w:rsid w:val="001D4AAE"/>
    <w:rsid w:val="001D4FB2"/>
    <w:rsid w:val="001D6424"/>
    <w:rsid w:val="001E22D0"/>
    <w:rsid w:val="001E28F2"/>
    <w:rsid w:val="001E315E"/>
    <w:rsid w:val="001E3C87"/>
    <w:rsid w:val="001E518E"/>
    <w:rsid w:val="001E59BE"/>
    <w:rsid w:val="001E5FB6"/>
    <w:rsid w:val="001E66A7"/>
    <w:rsid w:val="001F069D"/>
    <w:rsid w:val="001F0729"/>
    <w:rsid w:val="001F0BD1"/>
    <w:rsid w:val="001F0CD8"/>
    <w:rsid w:val="001F1475"/>
    <w:rsid w:val="001F1892"/>
    <w:rsid w:val="001F1BD7"/>
    <w:rsid w:val="001F36AB"/>
    <w:rsid w:val="001F40DA"/>
    <w:rsid w:val="001F4840"/>
    <w:rsid w:val="001F4ADE"/>
    <w:rsid w:val="00200A29"/>
    <w:rsid w:val="002011F7"/>
    <w:rsid w:val="0020216B"/>
    <w:rsid w:val="002110E2"/>
    <w:rsid w:val="002118E2"/>
    <w:rsid w:val="0021223E"/>
    <w:rsid w:val="00213806"/>
    <w:rsid w:val="00215085"/>
    <w:rsid w:val="00215EDE"/>
    <w:rsid w:val="00217DB9"/>
    <w:rsid w:val="00220225"/>
    <w:rsid w:val="002204C3"/>
    <w:rsid w:val="0022083B"/>
    <w:rsid w:val="00220899"/>
    <w:rsid w:val="00222E13"/>
    <w:rsid w:val="00224356"/>
    <w:rsid w:val="0022593A"/>
    <w:rsid w:val="00225A60"/>
    <w:rsid w:val="00230973"/>
    <w:rsid w:val="002309F4"/>
    <w:rsid w:val="00231E13"/>
    <w:rsid w:val="002322BF"/>
    <w:rsid w:val="002338CC"/>
    <w:rsid w:val="00233AE6"/>
    <w:rsid w:val="00234F10"/>
    <w:rsid w:val="0023516B"/>
    <w:rsid w:val="00235EE3"/>
    <w:rsid w:val="002369D5"/>
    <w:rsid w:val="002422C6"/>
    <w:rsid w:val="00242F75"/>
    <w:rsid w:val="00247B3B"/>
    <w:rsid w:val="00247BFA"/>
    <w:rsid w:val="00250442"/>
    <w:rsid w:val="00250526"/>
    <w:rsid w:val="0025068A"/>
    <w:rsid w:val="002518D6"/>
    <w:rsid w:val="002524D1"/>
    <w:rsid w:val="0025358E"/>
    <w:rsid w:val="0025385D"/>
    <w:rsid w:val="00253AF2"/>
    <w:rsid w:val="00256242"/>
    <w:rsid w:val="002564C7"/>
    <w:rsid w:val="00256782"/>
    <w:rsid w:val="00257F4F"/>
    <w:rsid w:val="002625C8"/>
    <w:rsid w:val="002626BB"/>
    <w:rsid w:val="00267922"/>
    <w:rsid w:val="00267DB1"/>
    <w:rsid w:val="00270F51"/>
    <w:rsid w:val="00271375"/>
    <w:rsid w:val="00276327"/>
    <w:rsid w:val="002768AE"/>
    <w:rsid w:val="00276F0B"/>
    <w:rsid w:val="00280312"/>
    <w:rsid w:val="0028100E"/>
    <w:rsid w:val="00282B8E"/>
    <w:rsid w:val="002831CE"/>
    <w:rsid w:val="00284516"/>
    <w:rsid w:val="002851EC"/>
    <w:rsid w:val="002854D6"/>
    <w:rsid w:val="00285872"/>
    <w:rsid w:val="00286B2A"/>
    <w:rsid w:val="00287D93"/>
    <w:rsid w:val="00291FE8"/>
    <w:rsid w:val="00292A7E"/>
    <w:rsid w:val="002931F1"/>
    <w:rsid w:val="00294007"/>
    <w:rsid w:val="00294F68"/>
    <w:rsid w:val="00295D30"/>
    <w:rsid w:val="00295D5D"/>
    <w:rsid w:val="00295E4E"/>
    <w:rsid w:val="002A001D"/>
    <w:rsid w:val="002A40CC"/>
    <w:rsid w:val="002A47DB"/>
    <w:rsid w:val="002A50E8"/>
    <w:rsid w:val="002A6767"/>
    <w:rsid w:val="002A6A1B"/>
    <w:rsid w:val="002A6ACD"/>
    <w:rsid w:val="002B0C6E"/>
    <w:rsid w:val="002B0DCB"/>
    <w:rsid w:val="002B2F2A"/>
    <w:rsid w:val="002B352C"/>
    <w:rsid w:val="002B4374"/>
    <w:rsid w:val="002B555D"/>
    <w:rsid w:val="002B63EB"/>
    <w:rsid w:val="002B6492"/>
    <w:rsid w:val="002B6D82"/>
    <w:rsid w:val="002C01FE"/>
    <w:rsid w:val="002C125C"/>
    <w:rsid w:val="002C512A"/>
    <w:rsid w:val="002C6427"/>
    <w:rsid w:val="002C7034"/>
    <w:rsid w:val="002C719A"/>
    <w:rsid w:val="002C7BC7"/>
    <w:rsid w:val="002D47F4"/>
    <w:rsid w:val="002D4E93"/>
    <w:rsid w:val="002D566F"/>
    <w:rsid w:val="002D5F9A"/>
    <w:rsid w:val="002E0D15"/>
    <w:rsid w:val="002E4CA8"/>
    <w:rsid w:val="002E55EC"/>
    <w:rsid w:val="002E72E3"/>
    <w:rsid w:val="002E7F89"/>
    <w:rsid w:val="002F0BD5"/>
    <w:rsid w:val="002F2129"/>
    <w:rsid w:val="002F43CC"/>
    <w:rsid w:val="002F4518"/>
    <w:rsid w:val="002F7B74"/>
    <w:rsid w:val="00301BBC"/>
    <w:rsid w:val="00302417"/>
    <w:rsid w:val="00303D8F"/>
    <w:rsid w:val="0030413F"/>
    <w:rsid w:val="003041E7"/>
    <w:rsid w:val="003053FF"/>
    <w:rsid w:val="00305B63"/>
    <w:rsid w:val="003063C1"/>
    <w:rsid w:val="00306E9D"/>
    <w:rsid w:val="0030774D"/>
    <w:rsid w:val="003102A4"/>
    <w:rsid w:val="00311739"/>
    <w:rsid w:val="00313907"/>
    <w:rsid w:val="00314393"/>
    <w:rsid w:val="00314B81"/>
    <w:rsid w:val="00315A5D"/>
    <w:rsid w:val="00315D38"/>
    <w:rsid w:val="00315FB1"/>
    <w:rsid w:val="00316643"/>
    <w:rsid w:val="00317BBA"/>
    <w:rsid w:val="00317D39"/>
    <w:rsid w:val="00317F10"/>
    <w:rsid w:val="00320B92"/>
    <w:rsid w:val="00323936"/>
    <w:rsid w:val="00323B85"/>
    <w:rsid w:val="00324062"/>
    <w:rsid w:val="003244A1"/>
    <w:rsid w:val="00325D05"/>
    <w:rsid w:val="0032639F"/>
    <w:rsid w:val="0033011D"/>
    <w:rsid w:val="00331758"/>
    <w:rsid w:val="0033238D"/>
    <w:rsid w:val="003326C8"/>
    <w:rsid w:val="00337951"/>
    <w:rsid w:val="00337B22"/>
    <w:rsid w:val="00340222"/>
    <w:rsid w:val="003404F2"/>
    <w:rsid w:val="00340C4B"/>
    <w:rsid w:val="0034145E"/>
    <w:rsid w:val="00344384"/>
    <w:rsid w:val="00346A5B"/>
    <w:rsid w:val="00351F49"/>
    <w:rsid w:val="00355F54"/>
    <w:rsid w:val="0035683A"/>
    <w:rsid w:val="00356D51"/>
    <w:rsid w:val="003577ED"/>
    <w:rsid w:val="0036075A"/>
    <w:rsid w:val="00360AAD"/>
    <w:rsid w:val="00360D02"/>
    <w:rsid w:val="003620CE"/>
    <w:rsid w:val="00363142"/>
    <w:rsid w:val="00363225"/>
    <w:rsid w:val="00364370"/>
    <w:rsid w:val="003649F2"/>
    <w:rsid w:val="00364A3C"/>
    <w:rsid w:val="00365F98"/>
    <w:rsid w:val="00370212"/>
    <w:rsid w:val="0037036B"/>
    <w:rsid w:val="003708F2"/>
    <w:rsid w:val="0037094B"/>
    <w:rsid w:val="00371515"/>
    <w:rsid w:val="0037198A"/>
    <w:rsid w:val="00371D59"/>
    <w:rsid w:val="0037239A"/>
    <w:rsid w:val="003728DA"/>
    <w:rsid w:val="00374E15"/>
    <w:rsid w:val="003773C7"/>
    <w:rsid w:val="0038085B"/>
    <w:rsid w:val="003819EB"/>
    <w:rsid w:val="00383EDF"/>
    <w:rsid w:val="003856B4"/>
    <w:rsid w:val="00386C9A"/>
    <w:rsid w:val="00387806"/>
    <w:rsid w:val="0039076F"/>
    <w:rsid w:val="003908FE"/>
    <w:rsid w:val="003914A6"/>
    <w:rsid w:val="003915F6"/>
    <w:rsid w:val="00392B8D"/>
    <w:rsid w:val="003930CC"/>
    <w:rsid w:val="003943C6"/>
    <w:rsid w:val="00396EA3"/>
    <w:rsid w:val="00397DF4"/>
    <w:rsid w:val="003A0698"/>
    <w:rsid w:val="003A1A1E"/>
    <w:rsid w:val="003A1B4C"/>
    <w:rsid w:val="003A1FA6"/>
    <w:rsid w:val="003A3899"/>
    <w:rsid w:val="003A3DE7"/>
    <w:rsid w:val="003A6F37"/>
    <w:rsid w:val="003A7C0F"/>
    <w:rsid w:val="003B0F75"/>
    <w:rsid w:val="003B3088"/>
    <w:rsid w:val="003B79D8"/>
    <w:rsid w:val="003C1546"/>
    <w:rsid w:val="003C253D"/>
    <w:rsid w:val="003C2841"/>
    <w:rsid w:val="003C3596"/>
    <w:rsid w:val="003C54DB"/>
    <w:rsid w:val="003C561C"/>
    <w:rsid w:val="003C7FE4"/>
    <w:rsid w:val="003D00D9"/>
    <w:rsid w:val="003D3972"/>
    <w:rsid w:val="003D64F8"/>
    <w:rsid w:val="003D6614"/>
    <w:rsid w:val="003D762E"/>
    <w:rsid w:val="003E0237"/>
    <w:rsid w:val="003E19FB"/>
    <w:rsid w:val="003E1E5D"/>
    <w:rsid w:val="003E2827"/>
    <w:rsid w:val="003E2EBC"/>
    <w:rsid w:val="003E4D82"/>
    <w:rsid w:val="003E5242"/>
    <w:rsid w:val="003E724B"/>
    <w:rsid w:val="003E73B8"/>
    <w:rsid w:val="003E77BF"/>
    <w:rsid w:val="003E782C"/>
    <w:rsid w:val="003F0EC4"/>
    <w:rsid w:val="003F143C"/>
    <w:rsid w:val="003F1511"/>
    <w:rsid w:val="003F67BA"/>
    <w:rsid w:val="003F6DFC"/>
    <w:rsid w:val="00400700"/>
    <w:rsid w:val="004036C3"/>
    <w:rsid w:val="00404CD0"/>
    <w:rsid w:val="0040637B"/>
    <w:rsid w:val="00410FFC"/>
    <w:rsid w:val="0041168E"/>
    <w:rsid w:val="00415995"/>
    <w:rsid w:val="004162F0"/>
    <w:rsid w:val="0041670B"/>
    <w:rsid w:val="0041746C"/>
    <w:rsid w:val="00421F63"/>
    <w:rsid w:val="0042350C"/>
    <w:rsid w:val="0042352D"/>
    <w:rsid w:val="00424533"/>
    <w:rsid w:val="00424535"/>
    <w:rsid w:val="00424F8B"/>
    <w:rsid w:val="00425616"/>
    <w:rsid w:val="004306D7"/>
    <w:rsid w:val="004326B5"/>
    <w:rsid w:val="004338A5"/>
    <w:rsid w:val="00433AEA"/>
    <w:rsid w:val="00433BA0"/>
    <w:rsid w:val="00434A41"/>
    <w:rsid w:val="00435357"/>
    <w:rsid w:val="00436F8A"/>
    <w:rsid w:val="0044067A"/>
    <w:rsid w:val="00444046"/>
    <w:rsid w:val="004453E4"/>
    <w:rsid w:val="00446734"/>
    <w:rsid w:val="00446898"/>
    <w:rsid w:val="0045086E"/>
    <w:rsid w:val="00453578"/>
    <w:rsid w:val="004535B1"/>
    <w:rsid w:val="00453C8E"/>
    <w:rsid w:val="004551E7"/>
    <w:rsid w:val="00455554"/>
    <w:rsid w:val="004555DB"/>
    <w:rsid w:val="004611A6"/>
    <w:rsid w:val="00464DC3"/>
    <w:rsid w:val="00465723"/>
    <w:rsid w:val="00466526"/>
    <w:rsid w:val="004677AE"/>
    <w:rsid w:val="004718BC"/>
    <w:rsid w:val="00472A6A"/>
    <w:rsid w:val="004737F6"/>
    <w:rsid w:val="00475162"/>
    <w:rsid w:val="00475B28"/>
    <w:rsid w:val="00480C98"/>
    <w:rsid w:val="00481770"/>
    <w:rsid w:val="00481821"/>
    <w:rsid w:val="004843A5"/>
    <w:rsid w:val="004864AB"/>
    <w:rsid w:val="00486CF8"/>
    <w:rsid w:val="0048705B"/>
    <w:rsid w:val="004870CE"/>
    <w:rsid w:val="00491648"/>
    <w:rsid w:val="00492497"/>
    <w:rsid w:val="00494F5A"/>
    <w:rsid w:val="004967E2"/>
    <w:rsid w:val="004A31CF"/>
    <w:rsid w:val="004A3D15"/>
    <w:rsid w:val="004A421A"/>
    <w:rsid w:val="004A42B4"/>
    <w:rsid w:val="004B1DA6"/>
    <w:rsid w:val="004B201E"/>
    <w:rsid w:val="004B3E73"/>
    <w:rsid w:val="004B5C65"/>
    <w:rsid w:val="004B626B"/>
    <w:rsid w:val="004B6C24"/>
    <w:rsid w:val="004B70FB"/>
    <w:rsid w:val="004B71FE"/>
    <w:rsid w:val="004C0AFA"/>
    <w:rsid w:val="004C5A68"/>
    <w:rsid w:val="004C6827"/>
    <w:rsid w:val="004D27D2"/>
    <w:rsid w:val="004D2C85"/>
    <w:rsid w:val="004D30F4"/>
    <w:rsid w:val="004D3E0B"/>
    <w:rsid w:val="004D56A3"/>
    <w:rsid w:val="004D6020"/>
    <w:rsid w:val="004E1666"/>
    <w:rsid w:val="004E169E"/>
    <w:rsid w:val="004E379B"/>
    <w:rsid w:val="004E6497"/>
    <w:rsid w:val="004E78E4"/>
    <w:rsid w:val="004F01D7"/>
    <w:rsid w:val="004F3B51"/>
    <w:rsid w:val="004F3F7C"/>
    <w:rsid w:val="004F62BD"/>
    <w:rsid w:val="004F689D"/>
    <w:rsid w:val="004F6A0D"/>
    <w:rsid w:val="0050081D"/>
    <w:rsid w:val="00500F7A"/>
    <w:rsid w:val="005014EB"/>
    <w:rsid w:val="005019F2"/>
    <w:rsid w:val="005023A3"/>
    <w:rsid w:val="00502437"/>
    <w:rsid w:val="00505A5D"/>
    <w:rsid w:val="00505F1C"/>
    <w:rsid w:val="0050719E"/>
    <w:rsid w:val="00511749"/>
    <w:rsid w:val="00513A7F"/>
    <w:rsid w:val="005151A8"/>
    <w:rsid w:val="005168C7"/>
    <w:rsid w:val="00520CA6"/>
    <w:rsid w:val="0052326A"/>
    <w:rsid w:val="00523D28"/>
    <w:rsid w:val="0052417C"/>
    <w:rsid w:val="005247DB"/>
    <w:rsid w:val="00527BAC"/>
    <w:rsid w:val="00531077"/>
    <w:rsid w:val="00531B04"/>
    <w:rsid w:val="00532750"/>
    <w:rsid w:val="0053408C"/>
    <w:rsid w:val="00534871"/>
    <w:rsid w:val="00535E0D"/>
    <w:rsid w:val="00536E4F"/>
    <w:rsid w:val="00537E6A"/>
    <w:rsid w:val="00543265"/>
    <w:rsid w:val="0054395D"/>
    <w:rsid w:val="00546B6E"/>
    <w:rsid w:val="00547B63"/>
    <w:rsid w:val="005510E2"/>
    <w:rsid w:val="0055485B"/>
    <w:rsid w:val="00555CBE"/>
    <w:rsid w:val="00560720"/>
    <w:rsid w:val="005641E1"/>
    <w:rsid w:val="0056460E"/>
    <w:rsid w:val="00566AA4"/>
    <w:rsid w:val="005670D0"/>
    <w:rsid w:val="00571899"/>
    <w:rsid w:val="005764FB"/>
    <w:rsid w:val="00580611"/>
    <w:rsid w:val="00581E99"/>
    <w:rsid w:val="00585079"/>
    <w:rsid w:val="005859BF"/>
    <w:rsid w:val="0059030C"/>
    <w:rsid w:val="005907F3"/>
    <w:rsid w:val="00590DD4"/>
    <w:rsid w:val="00592A87"/>
    <w:rsid w:val="00593CC3"/>
    <w:rsid w:val="0059534E"/>
    <w:rsid w:val="005972AB"/>
    <w:rsid w:val="00597A86"/>
    <w:rsid w:val="005A0DB8"/>
    <w:rsid w:val="005A12AF"/>
    <w:rsid w:val="005A145F"/>
    <w:rsid w:val="005A2F58"/>
    <w:rsid w:val="005A361E"/>
    <w:rsid w:val="005A3B85"/>
    <w:rsid w:val="005A53C6"/>
    <w:rsid w:val="005A549E"/>
    <w:rsid w:val="005A5B49"/>
    <w:rsid w:val="005B2403"/>
    <w:rsid w:val="005B3B4E"/>
    <w:rsid w:val="005B48D1"/>
    <w:rsid w:val="005B60B4"/>
    <w:rsid w:val="005B65F4"/>
    <w:rsid w:val="005B6C25"/>
    <w:rsid w:val="005B70FE"/>
    <w:rsid w:val="005C3EBF"/>
    <w:rsid w:val="005C487D"/>
    <w:rsid w:val="005C564C"/>
    <w:rsid w:val="005C7214"/>
    <w:rsid w:val="005D2586"/>
    <w:rsid w:val="005D26B0"/>
    <w:rsid w:val="005D31A8"/>
    <w:rsid w:val="005D3987"/>
    <w:rsid w:val="005E2EB6"/>
    <w:rsid w:val="005E31B6"/>
    <w:rsid w:val="005E38D8"/>
    <w:rsid w:val="005E5570"/>
    <w:rsid w:val="005E5BD2"/>
    <w:rsid w:val="005E69C4"/>
    <w:rsid w:val="005E6BCF"/>
    <w:rsid w:val="005E71CC"/>
    <w:rsid w:val="005F08E0"/>
    <w:rsid w:val="005F10AC"/>
    <w:rsid w:val="005F1479"/>
    <w:rsid w:val="005F2792"/>
    <w:rsid w:val="005F2869"/>
    <w:rsid w:val="005F2A37"/>
    <w:rsid w:val="005F3756"/>
    <w:rsid w:val="005F539C"/>
    <w:rsid w:val="005F62DC"/>
    <w:rsid w:val="005F7ABD"/>
    <w:rsid w:val="0060011A"/>
    <w:rsid w:val="00600F3E"/>
    <w:rsid w:val="006024BC"/>
    <w:rsid w:val="006044F6"/>
    <w:rsid w:val="00604F85"/>
    <w:rsid w:val="0060509F"/>
    <w:rsid w:val="006056D3"/>
    <w:rsid w:val="0060621A"/>
    <w:rsid w:val="00610819"/>
    <w:rsid w:val="00610A33"/>
    <w:rsid w:val="00610A6B"/>
    <w:rsid w:val="00611C7E"/>
    <w:rsid w:val="006120B5"/>
    <w:rsid w:val="00612B49"/>
    <w:rsid w:val="0061320C"/>
    <w:rsid w:val="006133D8"/>
    <w:rsid w:val="00613CF3"/>
    <w:rsid w:val="0061524B"/>
    <w:rsid w:val="006179BC"/>
    <w:rsid w:val="00620503"/>
    <w:rsid w:val="00620991"/>
    <w:rsid w:val="006213D6"/>
    <w:rsid w:val="00622597"/>
    <w:rsid w:val="00622EE0"/>
    <w:rsid w:val="0062387F"/>
    <w:rsid w:val="006258DF"/>
    <w:rsid w:val="00625C04"/>
    <w:rsid w:val="00631DC8"/>
    <w:rsid w:val="00632A42"/>
    <w:rsid w:val="0063354B"/>
    <w:rsid w:val="00635013"/>
    <w:rsid w:val="00636096"/>
    <w:rsid w:val="0063648D"/>
    <w:rsid w:val="00636D2E"/>
    <w:rsid w:val="00637602"/>
    <w:rsid w:val="00640632"/>
    <w:rsid w:val="006406EF"/>
    <w:rsid w:val="00640BA3"/>
    <w:rsid w:val="00643291"/>
    <w:rsid w:val="00644790"/>
    <w:rsid w:val="00647EB5"/>
    <w:rsid w:val="006555FD"/>
    <w:rsid w:val="006556A0"/>
    <w:rsid w:val="00656B4C"/>
    <w:rsid w:val="00662B16"/>
    <w:rsid w:val="00663B84"/>
    <w:rsid w:val="006642E6"/>
    <w:rsid w:val="00666299"/>
    <w:rsid w:val="006663F5"/>
    <w:rsid w:val="00667905"/>
    <w:rsid w:val="00667B53"/>
    <w:rsid w:val="006710BC"/>
    <w:rsid w:val="00672061"/>
    <w:rsid w:val="00673560"/>
    <w:rsid w:val="00675C48"/>
    <w:rsid w:val="006762CC"/>
    <w:rsid w:val="00676B67"/>
    <w:rsid w:val="00677519"/>
    <w:rsid w:val="00677F3B"/>
    <w:rsid w:val="00681A95"/>
    <w:rsid w:val="00681E40"/>
    <w:rsid w:val="00683FA5"/>
    <w:rsid w:val="00685478"/>
    <w:rsid w:val="00686B7F"/>
    <w:rsid w:val="00686CFB"/>
    <w:rsid w:val="00687F11"/>
    <w:rsid w:val="00691C6F"/>
    <w:rsid w:val="00694A8B"/>
    <w:rsid w:val="00695E7F"/>
    <w:rsid w:val="00696147"/>
    <w:rsid w:val="00696971"/>
    <w:rsid w:val="0069780F"/>
    <w:rsid w:val="00697977"/>
    <w:rsid w:val="006A056A"/>
    <w:rsid w:val="006A1183"/>
    <w:rsid w:val="006A23FC"/>
    <w:rsid w:val="006A25B7"/>
    <w:rsid w:val="006A3A26"/>
    <w:rsid w:val="006A6EB6"/>
    <w:rsid w:val="006A705C"/>
    <w:rsid w:val="006B01E2"/>
    <w:rsid w:val="006B10B0"/>
    <w:rsid w:val="006B203C"/>
    <w:rsid w:val="006B3FA3"/>
    <w:rsid w:val="006B4A5A"/>
    <w:rsid w:val="006C062E"/>
    <w:rsid w:val="006C09A1"/>
    <w:rsid w:val="006C1104"/>
    <w:rsid w:val="006C2A23"/>
    <w:rsid w:val="006C36A9"/>
    <w:rsid w:val="006C4031"/>
    <w:rsid w:val="006C49B7"/>
    <w:rsid w:val="006C6066"/>
    <w:rsid w:val="006C6840"/>
    <w:rsid w:val="006C6B6B"/>
    <w:rsid w:val="006C6D44"/>
    <w:rsid w:val="006D1C72"/>
    <w:rsid w:val="006D1CD0"/>
    <w:rsid w:val="006D47EB"/>
    <w:rsid w:val="006D5333"/>
    <w:rsid w:val="006E1DEE"/>
    <w:rsid w:val="006E209F"/>
    <w:rsid w:val="006E509E"/>
    <w:rsid w:val="006E63F5"/>
    <w:rsid w:val="006F01BD"/>
    <w:rsid w:val="006F026F"/>
    <w:rsid w:val="006F13EE"/>
    <w:rsid w:val="006F1A99"/>
    <w:rsid w:val="006F259D"/>
    <w:rsid w:val="006F413C"/>
    <w:rsid w:val="006F5532"/>
    <w:rsid w:val="006F5AED"/>
    <w:rsid w:val="006F77B2"/>
    <w:rsid w:val="00700B61"/>
    <w:rsid w:val="00701724"/>
    <w:rsid w:val="00704B58"/>
    <w:rsid w:val="007079E9"/>
    <w:rsid w:val="00713FE2"/>
    <w:rsid w:val="0071448C"/>
    <w:rsid w:val="007150A7"/>
    <w:rsid w:val="00716586"/>
    <w:rsid w:val="007170BE"/>
    <w:rsid w:val="00717A07"/>
    <w:rsid w:val="00717A99"/>
    <w:rsid w:val="00717F2A"/>
    <w:rsid w:val="0072125A"/>
    <w:rsid w:val="0072527C"/>
    <w:rsid w:val="0072557D"/>
    <w:rsid w:val="00726088"/>
    <w:rsid w:val="00731F41"/>
    <w:rsid w:val="007328CF"/>
    <w:rsid w:val="00733282"/>
    <w:rsid w:val="007333E2"/>
    <w:rsid w:val="00734582"/>
    <w:rsid w:val="007351B3"/>
    <w:rsid w:val="007359CD"/>
    <w:rsid w:val="00736DA5"/>
    <w:rsid w:val="00741826"/>
    <w:rsid w:val="00742736"/>
    <w:rsid w:val="00743A8E"/>
    <w:rsid w:val="00745CA5"/>
    <w:rsid w:val="00745F32"/>
    <w:rsid w:val="007461A0"/>
    <w:rsid w:val="00746BF1"/>
    <w:rsid w:val="0075169E"/>
    <w:rsid w:val="007530AD"/>
    <w:rsid w:val="00753CFD"/>
    <w:rsid w:val="00755ED8"/>
    <w:rsid w:val="00757134"/>
    <w:rsid w:val="007577DF"/>
    <w:rsid w:val="007608C2"/>
    <w:rsid w:val="00763013"/>
    <w:rsid w:val="007633B6"/>
    <w:rsid w:val="00764D00"/>
    <w:rsid w:val="00766B2A"/>
    <w:rsid w:val="00767155"/>
    <w:rsid w:val="00767D85"/>
    <w:rsid w:val="00772EA7"/>
    <w:rsid w:val="00773C9E"/>
    <w:rsid w:val="00773D4C"/>
    <w:rsid w:val="00774845"/>
    <w:rsid w:val="0077539E"/>
    <w:rsid w:val="00776F97"/>
    <w:rsid w:val="0078344F"/>
    <w:rsid w:val="007836FE"/>
    <w:rsid w:val="00783FB0"/>
    <w:rsid w:val="00785713"/>
    <w:rsid w:val="007868D2"/>
    <w:rsid w:val="007869A8"/>
    <w:rsid w:val="00786D11"/>
    <w:rsid w:val="007875A1"/>
    <w:rsid w:val="00790075"/>
    <w:rsid w:val="007909AD"/>
    <w:rsid w:val="00790EC0"/>
    <w:rsid w:val="007916F1"/>
    <w:rsid w:val="00792033"/>
    <w:rsid w:val="00797B0B"/>
    <w:rsid w:val="007A11A3"/>
    <w:rsid w:val="007A2801"/>
    <w:rsid w:val="007A54EF"/>
    <w:rsid w:val="007A678F"/>
    <w:rsid w:val="007A6C1D"/>
    <w:rsid w:val="007B0649"/>
    <w:rsid w:val="007B0964"/>
    <w:rsid w:val="007B32BD"/>
    <w:rsid w:val="007B3B30"/>
    <w:rsid w:val="007B3B6F"/>
    <w:rsid w:val="007B40A2"/>
    <w:rsid w:val="007B6B61"/>
    <w:rsid w:val="007B7BAC"/>
    <w:rsid w:val="007C11CC"/>
    <w:rsid w:val="007C18E0"/>
    <w:rsid w:val="007C2350"/>
    <w:rsid w:val="007C2949"/>
    <w:rsid w:val="007C31E8"/>
    <w:rsid w:val="007C3738"/>
    <w:rsid w:val="007C3DD8"/>
    <w:rsid w:val="007C5535"/>
    <w:rsid w:val="007C6228"/>
    <w:rsid w:val="007D02BF"/>
    <w:rsid w:val="007D0BB0"/>
    <w:rsid w:val="007D2FDA"/>
    <w:rsid w:val="007D3D5A"/>
    <w:rsid w:val="007D41B2"/>
    <w:rsid w:val="007D5AA2"/>
    <w:rsid w:val="007D6B0E"/>
    <w:rsid w:val="007D6B3A"/>
    <w:rsid w:val="007D7EDC"/>
    <w:rsid w:val="007D7F11"/>
    <w:rsid w:val="007E0CD4"/>
    <w:rsid w:val="007E1935"/>
    <w:rsid w:val="007E3C04"/>
    <w:rsid w:val="007E5D55"/>
    <w:rsid w:val="007F2A94"/>
    <w:rsid w:val="007F37B2"/>
    <w:rsid w:val="007F690D"/>
    <w:rsid w:val="007F7684"/>
    <w:rsid w:val="008003CB"/>
    <w:rsid w:val="0080170C"/>
    <w:rsid w:val="008019FB"/>
    <w:rsid w:val="00802E36"/>
    <w:rsid w:val="00803F75"/>
    <w:rsid w:val="00803FF7"/>
    <w:rsid w:val="0080436E"/>
    <w:rsid w:val="008058F9"/>
    <w:rsid w:val="00805AC0"/>
    <w:rsid w:val="00805B82"/>
    <w:rsid w:val="0080611E"/>
    <w:rsid w:val="00807507"/>
    <w:rsid w:val="008102EC"/>
    <w:rsid w:val="0081244A"/>
    <w:rsid w:val="00812489"/>
    <w:rsid w:val="00813885"/>
    <w:rsid w:val="00814043"/>
    <w:rsid w:val="008147B5"/>
    <w:rsid w:val="008153A1"/>
    <w:rsid w:val="00815428"/>
    <w:rsid w:val="0081637E"/>
    <w:rsid w:val="00816C1B"/>
    <w:rsid w:val="008223BE"/>
    <w:rsid w:val="00822FA3"/>
    <w:rsid w:val="00823527"/>
    <w:rsid w:val="00823C0A"/>
    <w:rsid w:val="0082458D"/>
    <w:rsid w:val="00826B5F"/>
    <w:rsid w:val="00826C76"/>
    <w:rsid w:val="00830394"/>
    <w:rsid w:val="00831E55"/>
    <w:rsid w:val="00833A9B"/>
    <w:rsid w:val="00833F29"/>
    <w:rsid w:val="00836B9F"/>
    <w:rsid w:val="00840123"/>
    <w:rsid w:val="0084074E"/>
    <w:rsid w:val="00841FD0"/>
    <w:rsid w:val="008431C7"/>
    <w:rsid w:val="00845005"/>
    <w:rsid w:val="00850279"/>
    <w:rsid w:val="00850ACE"/>
    <w:rsid w:val="00852769"/>
    <w:rsid w:val="00852F8F"/>
    <w:rsid w:val="00854473"/>
    <w:rsid w:val="00861844"/>
    <w:rsid w:val="00862406"/>
    <w:rsid w:val="00862571"/>
    <w:rsid w:val="0086653F"/>
    <w:rsid w:val="008677F5"/>
    <w:rsid w:val="00867975"/>
    <w:rsid w:val="00870C30"/>
    <w:rsid w:val="00871606"/>
    <w:rsid w:val="00872169"/>
    <w:rsid w:val="00873440"/>
    <w:rsid w:val="00875088"/>
    <w:rsid w:val="00881709"/>
    <w:rsid w:val="00884A4E"/>
    <w:rsid w:val="0088560E"/>
    <w:rsid w:val="00885EA7"/>
    <w:rsid w:val="0088615E"/>
    <w:rsid w:val="00886B02"/>
    <w:rsid w:val="00890666"/>
    <w:rsid w:val="00890A58"/>
    <w:rsid w:val="00891496"/>
    <w:rsid w:val="00891610"/>
    <w:rsid w:val="00891CB9"/>
    <w:rsid w:val="00891F3C"/>
    <w:rsid w:val="00892485"/>
    <w:rsid w:val="00892C5B"/>
    <w:rsid w:val="0089358A"/>
    <w:rsid w:val="00893A0C"/>
    <w:rsid w:val="00893B6E"/>
    <w:rsid w:val="008947DC"/>
    <w:rsid w:val="00894A07"/>
    <w:rsid w:val="0089736A"/>
    <w:rsid w:val="008A03D7"/>
    <w:rsid w:val="008A200B"/>
    <w:rsid w:val="008A43BA"/>
    <w:rsid w:val="008B08FE"/>
    <w:rsid w:val="008B118A"/>
    <w:rsid w:val="008B1444"/>
    <w:rsid w:val="008B145D"/>
    <w:rsid w:val="008B1A83"/>
    <w:rsid w:val="008B28E9"/>
    <w:rsid w:val="008B2C64"/>
    <w:rsid w:val="008B2EB2"/>
    <w:rsid w:val="008B3FB3"/>
    <w:rsid w:val="008C070E"/>
    <w:rsid w:val="008C310A"/>
    <w:rsid w:val="008C4115"/>
    <w:rsid w:val="008C6EB3"/>
    <w:rsid w:val="008D3396"/>
    <w:rsid w:val="008D423E"/>
    <w:rsid w:val="008D7617"/>
    <w:rsid w:val="008D7AEF"/>
    <w:rsid w:val="008E0305"/>
    <w:rsid w:val="008E06BB"/>
    <w:rsid w:val="008E451C"/>
    <w:rsid w:val="008E53CE"/>
    <w:rsid w:val="008E6273"/>
    <w:rsid w:val="008E6F43"/>
    <w:rsid w:val="008F0006"/>
    <w:rsid w:val="008F1819"/>
    <w:rsid w:val="008F1977"/>
    <w:rsid w:val="008F1F9E"/>
    <w:rsid w:val="008F426F"/>
    <w:rsid w:val="008F6BAF"/>
    <w:rsid w:val="00900321"/>
    <w:rsid w:val="00900594"/>
    <w:rsid w:val="00901E59"/>
    <w:rsid w:val="0090367E"/>
    <w:rsid w:val="00903E71"/>
    <w:rsid w:val="009051D4"/>
    <w:rsid w:val="00905301"/>
    <w:rsid w:val="009057F9"/>
    <w:rsid w:val="00906EE3"/>
    <w:rsid w:val="0090745C"/>
    <w:rsid w:val="009112D6"/>
    <w:rsid w:val="00912E8E"/>
    <w:rsid w:val="0091411E"/>
    <w:rsid w:val="009150B4"/>
    <w:rsid w:val="00916162"/>
    <w:rsid w:val="0091778F"/>
    <w:rsid w:val="00917D5A"/>
    <w:rsid w:val="00920985"/>
    <w:rsid w:val="00920C7B"/>
    <w:rsid w:val="00923E6E"/>
    <w:rsid w:val="00923ED5"/>
    <w:rsid w:val="0092430E"/>
    <w:rsid w:val="0092588F"/>
    <w:rsid w:val="009265A4"/>
    <w:rsid w:val="00926E97"/>
    <w:rsid w:val="00930846"/>
    <w:rsid w:val="009313FC"/>
    <w:rsid w:val="009324DA"/>
    <w:rsid w:val="0093289E"/>
    <w:rsid w:val="00934301"/>
    <w:rsid w:val="00934814"/>
    <w:rsid w:val="00935E16"/>
    <w:rsid w:val="0093665C"/>
    <w:rsid w:val="00936F33"/>
    <w:rsid w:val="00937018"/>
    <w:rsid w:val="00937989"/>
    <w:rsid w:val="009409F9"/>
    <w:rsid w:val="009410CB"/>
    <w:rsid w:val="0094240E"/>
    <w:rsid w:val="00943412"/>
    <w:rsid w:val="00943ED5"/>
    <w:rsid w:val="009456DC"/>
    <w:rsid w:val="00945800"/>
    <w:rsid w:val="0094746B"/>
    <w:rsid w:val="0094761A"/>
    <w:rsid w:val="009504F6"/>
    <w:rsid w:val="00950D71"/>
    <w:rsid w:val="009510B4"/>
    <w:rsid w:val="009517C2"/>
    <w:rsid w:val="00952889"/>
    <w:rsid w:val="00952FB5"/>
    <w:rsid w:val="00955D7D"/>
    <w:rsid w:val="00957FC6"/>
    <w:rsid w:val="009610F4"/>
    <w:rsid w:val="009626AA"/>
    <w:rsid w:val="0096270D"/>
    <w:rsid w:val="00963154"/>
    <w:rsid w:val="009638E7"/>
    <w:rsid w:val="0096394F"/>
    <w:rsid w:val="0096436F"/>
    <w:rsid w:val="00964A08"/>
    <w:rsid w:val="009655B4"/>
    <w:rsid w:val="00970D35"/>
    <w:rsid w:val="0097356C"/>
    <w:rsid w:val="009751DD"/>
    <w:rsid w:val="00975B11"/>
    <w:rsid w:val="0097615D"/>
    <w:rsid w:val="00976FA2"/>
    <w:rsid w:val="00977191"/>
    <w:rsid w:val="009773C6"/>
    <w:rsid w:val="00977C80"/>
    <w:rsid w:val="0098009B"/>
    <w:rsid w:val="00982042"/>
    <w:rsid w:val="009825BB"/>
    <w:rsid w:val="00986BE9"/>
    <w:rsid w:val="00987A78"/>
    <w:rsid w:val="00987F65"/>
    <w:rsid w:val="009945B4"/>
    <w:rsid w:val="00995DBA"/>
    <w:rsid w:val="00996C67"/>
    <w:rsid w:val="009A0BCA"/>
    <w:rsid w:val="009A0E4E"/>
    <w:rsid w:val="009A56D7"/>
    <w:rsid w:val="009A6BA5"/>
    <w:rsid w:val="009A6C28"/>
    <w:rsid w:val="009B3DC8"/>
    <w:rsid w:val="009B49C9"/>
    <w:rsid w:val="009B4F62"/>
    <w:rsid w:val="009B6100"/>
    <w:rsid w:val="009B6987"/>
    <w:rsid w:val="009C0F57"/>
    <w:rsid w:val="009C1582"/>
    <w:rsid w:val="009C1BC1"/>
    <w:rsid w:val="009C659B"/>
    <w:rsid w:val="009C7D6C"/>
    <w:rsid w:val="009D08AB"/>
    <w:rsid w:val="009D1D78"/>
    <w:rsid w:val="009D1DDC"/>
    <w:rsid w:val="009D3202"/>
    <w:rsid w:val="009D41B7"/>
    <w:rsid w:val="009D4DFD"/>
    <w:rsid w:val="009D5135"/>
    <w:rsid w:val="009D5365"/>
    <w:rsid w:val="009D59B9"/>
    <w:rsid w:val="009D7710"/>
    <w:rsid w:val="009E08B7"/>
    <w:rsid w:val="009E09B8"/>
    <w:rsid w:val="009E5EB2"/>
    <w:rsid w:val="009E710D"/>
    <w:rsid w:val="009E7489"/>
    <w:rsid w:val="009F0223"/>
    <w:rsid w:val="009F146F"/>
    <w:rsid w:val="009F21D9"/>
    <w:rsid w:val="009F4DCA"/>
    <w:rsid w:val="009F5538"/>
    <w:rsid w:val="009F78DA"/>
    <w:rsid w:val="009F7D8F"/>
    <w:rsid w:val="00A0234E"/>
    <w:rsid w:val="00A02B1D"/>
    <w:rsid w:val="00A03105"/>
    <w:rsid w:val="00A0405D"/>
    <w:rsid w:val="00A0499A"/>
    <w:rsid w:val="00A0598D"/>
    <w:rsid w:val="00A06578"/>
    <w:rsid w:val="00A075D3"/>
    <w:rsid w:val="00A07D0E"/>
    <w:rsid w:val="00A106BA"/>
    <w:rsid w:val="00A11835"/>
    <w:rsid w:val="00A1220C"/>
    <w:rsid w:val="00A12B07"/>
    <w:rsid w:val="00A12B41"/>
    <w:rsid w:val="00A14150"/>
    <w:rsid w:val="00A14949"/>
    <w:rsid w:val="00A156BD"/>
    <w:rsid w:val="00A16E52"/>
    <w:rsid w:val="00A17D19"/>
    <w:rsid w:val="00A2137B"/>
    <w:rsid w:val="00A225CE"/>
    <w:rsid w:val="00A23076"/>
    <w:rsid w:val="00A23C78"/>
    <w:rsid w:val="00A257BD"/>
    <w:rsid w:val="00A258D1"/>
    <w:rsid w:val="00A26FBA"/>
    <w:rsid w:val="00A27C0D"/>
    <w:rsid w:val="00A27CED"/>
    <w:rsid w:val="00A302B1"/>
    <w:rsid w:val="00A309B7"/>
    <w:rsid w:val="00A32F6F"/>
    <w:rsid w:val="00A339AF"/>
    <w:rsid w:val="00A33F2A"/>
    <w:rsid w:val="00A3703B"/>
    <w:rsid w:val="00A41868"/>
    <w:rsid w:val="00A42834"/>
    <w:rsid w:val="00A42D29"/>
    <w:rsid w:val="00A45101"/>
    <w:rsid w:val="00A4675D"/>
    <w:rsid w:val="00A4707B"/>
    <w:rsid w:val="00A47B5E"/>
    <w:rsid w:val="00A50237"/>
    <w:rsid w:val="00A50D86"/>
    <w:rsid w:val="00A53A8B"/>
    <w:rsid w:val="00A54680"/>
    <w:rsid w:val="00A54BF2"/>
    <w:rsid w:val="00A56BD1"/>
    <w:rsid w:val="00A64917"/>
    <w:rsid w:val="00A655F5"/>
    <w:rsid w:val="00A662A0"/>
    <w:rsid w:val="00A667B5"/>
    <w:rsid w:val="00A66DAA"/>
    <w:rsid w:val="00A7074F"/>
    <w:rsid w:val="00A70902"/>
    <w:rsid w:val="00A71D2A"/>
    <w:rsid w:val="00A73D7D"/>
    <w:rsid w:val="00A76A56"/>
    <w:rsid w:val="00A7709A"/>
    <w:rsid w:val="00A81B71"/>
    <w:rsid w:val="00A83A7B"/>
    <w:rsid w:val="00A84EF4"/>
    <w:rsid w:val="00A850A9"/>
    <w:rsid w:val="00A855ED"/>
    <w:rsid w:val="00A92C24"/>
    <w:rsid w:val="00A9401F"/>
    <w:rsid w:val="00A941C4"/>
    <w:rsid w:val="00A95179"/>
    <w:rsid w:val="00A95CFF"/>
    <w:rsid w:val="00A97163"/>
    <w:rsid w:val="00AA029C"/>
    <w:rsid w:val="00AA04E5"/>
    <w:rsid w:val="00AA0F30"/>
    <w:rsid w:val="00AA1DB1"/>
    <w:rsid w:val="00AA1F39"/>
    <w:rsid w:val="00AA40EA"/>
    <w:rsid w:val="00AA42AE"/>
    <w:rsid w:val="00AB0C28"/>
    <w:rsid w:val="00AB0E59"/>
    <w:rsid w:val="00AB1374"/>
    <w:rsid w:val="00AB13E6"/>
    <w:rsid w:val="00AB1EC7"/>
    <w:rsid w:val="00AB51B6"/>
    <w:rsid w:val="00AB5F62"/>
    <w:rsid w:val="00AB7756"/>
    <w:rsid w:val="00AC40AF"/>
    <w:rsid w:val="00AC52A5"/>
    <w:rsid w:val="00AC6D54"/>
    <w:rsid w:val="00AD08B9"/>
    <w:rsid w:val="00AD261E"/>
    <w:rsid w:val="00AD2880"/>
    <w:rsid w:val="00AD3AFB"/>
    <w:rsid w:val="00AD4F55"/>
    <w:rsid w:val="00AD5670"/>
    <w:rsid w:val="00AE0F77"/>
    <w:rsid w:val="00AE7D43"/>
    <w:rsid w:val="00AF4B27"/>
    <w:rsid w:val="00AF558F"/>
    <w:rsid w:val="00B00B7A"/>
    <w:rsid w:val="00B01862"/>
    <w:rsid w:val="00B03520"/>
    <w:rsid w:val="00B03EA8"/>
    <w:rsid w:val="00B06940"/>
    <w:rsid w:val="00B07C8B"/>
    <w:rsid w:val="00B10F9A"/>
    <w:rsid w:val="00B11017"/>
    <w:rsid w:val="00B11486"/>
    <w:rsid w:val="00B12023"/>
    <w:rsid w:val="00B12159"/>
    <w:rsid w:val="00B1537B"/>
    <w:rsid w:val="00B174A0"/>
    <w:rsid w:val="00B2214C"/>
    <w:rsid w:val="00B223D0"/>
    <w:rsid w:val="00B23900"/>
    <w:rsid w:val="00B23E59"/>
    <w:rsid w:val="00B2655B"/>
    <w:rsid w:val="00B27703"/>
    <w:rsid w:val="00B27829"/>
    <w:rsid w:val="00B27C7B"/>
    <w:rsid w:val="00B3049D"/>
    <w:rsid w:val="00B3061F"/>
    <w:rsid w:val="00B31F85"/>
    <w:rsid w:val="00B34C12"/>
    <w:rsid w:val="00B3530D"/>
    <w:rsid w:val="00B35CA4"/>
    <w:rsid w:val="00B37D35"/>
    <w:rsid w:val="00B402CF"/>
    <w:rsid w:val="00B40537"/>
    <w:rsid w:val="00B4054F"/>
    <w:rsid w:val="00B41C15"/>
    <w:rsid w:val="00B44DEA"/>
    <w:rsid w:val="00B4597B"/>
    <w:rsid w:val="00B462D7"/>
    <w:rsid w:val="00B5068A"/>
    <w:rsid w:val="00B50956"/>
    <w:rsid w:val="00B50D9B"/>
    <w:rsid w:val="00B5381D"/>
    <w:rsid w:val="00B53E9E"/>
    <w:rsid w:val="00B55C33"/>
    <w:rsid w:val="00B5697C"/>
    <w:rsid w:val="00B56AE0"/>
    <w:rsid w:val="00B56CBF"/>
    <w:rsid w:val="00B61E70"/>
    <w:rsid w:val="00B62A01"/>
    <w:rsid w:val="00B63705"/>
    <w:rsid w:val="00B64557"/>
    <w:rsid w:val="00B6464B"/>
    <w:rsid w:val="00B6505D"/>
    <w:rsid w:val="00B65F68"/>
    <w:rsid w:val="00B66549"/>
    <w:rsid w:val="00B66623"/>
    <w:rsid w:val="00B6694F"/>
    <w:rsid w:val="00B67738"/>
    <w:rsid w:val="00B70026"/>
    <w:rsid w:val="00B70C3C"/>
    <w:rsid w:val="00B72645"/>
    <w:rsid w:val="00B73F49"/>
    <w:rsid w:val="00B75F0F"/>
    <w:rsid w:val="00B767CD"/>
    <w:rsid w:val="00B76AA1"/>
    <w:rsid w:val="00B77CEA"/>
    <w:rsid w:val="00B80131"/>
    <w:rsid w:val="00B81008"/>
    <w:rsid w:val="00B83D12"/>
    <w:rsid w:val="00B85FA2"/>
    <w:rsid w:val="00B866AC"/>
    <w:rsid w:val="00B875A2"/>
    <w:rsid w:val="00B918FE"/>
    <w:rsid w:val="00B91BA6"/>
    <w:rsid w:val="00B9302D"/>
    <w:rsid w:val="00B95CAC"/>
    <w:rsid w:val="00B9750D"/>
    <w:rsid w:val="00BA0844"/>
    <w:rsid w:val="00BA2701"/>
    <w:rsid w:val="00BA28C7"/>
    <w:rsid w:val="00BA2EF9"/>
    <w:rsid w:val="00BA410D"/>
    <w:rsid w:val="00BA4219"/>
    <w:rsid w:val="00BA5755"/>
    <w:rsid w:val="00BB06D2"/>
    <w:rsid w:val="00BB0E88"/>
    <w:rsid w:val="00BB5E1F"/>
    <w:rsid w:val="00BB6873"/>
    <w:rsid w:val="00BB6C58"/>
    <w:rsid w:val="00BB7100"/>
    <w:rsid w:val="00BC0CB3"/>
    <w:rsid w:val="00BC1708"/>
    <w:rsid w:val="00BC40DA"/>
    <w:rsid w:val="00BC571E"/>
    <w:rsid w:val="00BC6EF5"/>
    <w:rsid w:val="00BD1169"/>
    <w:rsid w:val="00BD232C"/>
    <w:rsid w:val="00BD367F"/>
    <w:rsid w:val="00BD3DD4"/>
    <w:rsid w:val="00BD4073"/>
    <w:rsid w:val="00BD42E3"/>
    <w:rsid w:val="00BD5EFA"/>
    <w:rsid w:val="00BD6D7F"/>
    <w:rsid w:val="00BD6E10"/>
    <w:rsid w:val="00BD737C"/>
    <w:rsid w:val="00BD7673"/>
    <w:rsid w:val="00BD7694"/>
    <w:rsid w:val="00BE1AAB"/>
    <w:rsid w:val="00BE56C6"/>
    <w:rsid w:val="00BE61FE"/>
    <w:rsid w:val="00BE6672"/>
    <w:rsid w:val="00BF06F1"/>
    <w:rsid w:val="00BF15DE"/>
    <w:rsid w:val="00BF2002"/>
    <w:rsid w:val="00BF35A6"/>
    <w:rsid w:val="00BF36DD"/>
    <w:rsid w:val="00BF3B82"/>
    <w:rsid w:val="00BF4428"/>
    <w:rsid w:val="00BF558B"/>
    <w:rsid w:val="00BF7D81"/>
    <w:rsid w:val="00C004A4"/>
    <w:rsid w:val="00C00E9C"/>
    <w:rsid w:val="00C016E8"/>
    <w:rsid w:val="00C03058"/>
    <w:rsid w:val="00C03952"/>
    <w:rsid w:val="00C05B13"/>
    <w:rsid w:val="00C064FE"/>
    <w:rsid w:val="00C07124"/>
    <w:rsid w:val="00C11407"/>
    <w:rsid w:val="00C126DC"/>
    <w:rsid w:val="00C1301E"/>
    <w:rsid w:val="00C1578F"/>
    <w:rsid w:val="00C16D5B"/>
    <w:rsid w:val="00C20622"/>
    <w:rsid w:val="00C22BFB"/>
    <w:rsid w:val="00C248BE"/>
    <w:rsid w:val="00C259EB"/>
    <w:rsid w:val="00C25D06"/>
    <w:rsid w:val="00C32E13"/>
    <w:rsid w:val="00C332E6"/>
    <w:rsid w:val="00C33A09"/>
    <w:rsid w:val="00C347FE"/>
    <w:rsid w:val="00C36F8C"/>
    <w:rsid w:val="00C411EB"/>
    <w:rsid w:val="00C41282"/>
    <w:rsid w:val="00C41CD3"/>
    <w:rsid w:val="00C430D6"/>
    <w:rsid w:val="00C4438F"/>
    <w:rsid w:val="00C44643"/>
    <w:rsid w:val="00C44C21"/>
    <w:rsid w:val="00C44F7C"/>
    <w:rsid w:val="00C45549"/>
    <w:rsid w:val="00C4689E"/>
    <w:rsid w:val="00C5286C"/>
    <w:rsid w:val="00C55634"/>
    <w:rsid w:val="00C5586F"/>
    <w:rsid w:val="00C55885"/>
    <w:rsid w:val="00C572AB"/>
    <w:rsid w:val="00C60B93"/>
    <w:rsid w:val="00C6453E"/>
    <w:rsid w:val="00C668D3"/>
    <w:rsid w:val="00C67325"/>
    <w:rsid w:val="00C673AC"/>
    <w:rsid w:val="00C70253"/>
    <w:rsid w:val="00C71518"/>
    <w:rsid w:val="00C71FD3"/>
    <w:rsid w:val="00C71FFF"/>
    <w:rsid w:val="00C72B65"/>
    <w:rsid w:val="00C72D60"/>
    <w:rsid w:val="00C72E24"/>
    <w:rsid w:val="00C72F6D"/>
    <w:rsid w:val="00C731B0"/>
    <w:rsid w:val="00C7337C"/>
    <w:rsid w:val="00C73961"/>
    <w:rsid w:val="00C81B04"/>
    <w:rsid w:val="00C82363"/>
    <w:rsid w:val="00C82FA2"/>
    <w:rsid w:val="00C83464"/>
    <w:rsid w:val="00C90FA1"/>
    <w:rsid w:val="00C924D5"/>
    <w:rsid w:val="00C9282A"/>
    <w:rsid w:val="00C9307B"/>
    <w:rsid w:val="00C940B4"/>
    <w:rsid w:val="00C94112"/>
    <w:rsid w:val="00C94B72"/>
    <w:rsid w:val="00C94BCC"/>
    <w:rsid w:val="00C95594"/>
    <w:rsid w:val="00CA24BC"/>
    <w:rsid w:val="00CA39F7"/>
    <w:rsid w:val="00CA5A60"/>
    <w:rsid w:val="00CB0063"/>
    <w:rsid w:val="00CB1209"/>
    <w:rsid w:val="00CB1668"/>
    <w:rsid w:val="00CB3E48"/>
    <w:rsid w:val="00CB5543"/>
    <w:rsid w:val="00CB59DE"/>
    <w:rsid w:val="00CB7FDB"/>
    <w:rsid w:val="00CC0F3F"/>
    <w:rsid w:val="00CC130B"/>
    <w:rsid w:val="00CC16E6"/>
    <w:rsid w:val="00CC1741"/>
    <w:rsid w:val="00CC1C3F"/>
    <w:rsid w:val="00CC2B43"/>
    <w:rsid w:val="00CC457E"/>
    <w:rsid w:val="00CC5A4B"/>
    <w:rsid w:val="00CC62B7"/>
    <w:rsid w:val="00CC7BE3"/>
    <w:rsid w:val="00CD0EE6"/>
    <w:rsid w:val="00CD2182"/>
    <w:rsid w:val="00CD75DE"/>
    <w:rsid w:val="00CE1069"/>
    <w:rsid w:val="00CE255B"/>
    <w:rsid w:val="00CE29EE"/>
    <w:rsid w:val="00CE50A0"/>
    <w:rsid w:val="00CE5F33"/>
    <w:rsid w:val="00CE6730"/>
    <w:rsid w:val="00CE7199"/>
    <w:rsid w:val="00CE7E80"/>
    <w:rsid w:val="00CF04A5"/>
    <w:rsid w:val="00CF2CA0"/>
    <w:rsid w:val="00CF5028"/>
    <w:rsid w:val="00CF598F"/>
    <w:rsid w:val="00CF671E"/>
    <w:rsid w:val="00CF7554"/>
    <w:rsid w:val="00D00D1B"/>
    <w:rsid w:val="00D00FB8"/>
    <w:rsid w:val="00D01A4F"/>
    <w:rsid w:val="00D02F7C"/>
    <w:rsid w:val="00D06413"/>
    <w:rsid w:val="00D069B1"/>
    <w:rsid w:val="00D1085B"/>
    <w:rsid w:val="00D11290"/>
    <w:rsid w:val="00D15F3B"/>
    <w:rsid w:val="00D16279"/>
    <w:rsid w:val="00D172F2"/>
    <w:rsid w:val="00D214E7"/>
    <w:rsid w:val="00D21F14"/>
    <w:rsid w:val="00D22D5F"/>
    <w:rsid w:val="00D23420"/>
    <w:rsid w:val="00D249C9"/>
    <w:rsid w:val="00D264BD"/>
    <w:rsid w:val="00D268E8"/>
    <w:rsid w:val="00D3032A"/>
    <w:rsid w:val="00D30523"/>
    <w:rsid w:val="00D30A0D"/>
    <w:rsid w:val="00D30BFB"/>
    <w:rsid w:val="00D330AB"/>
    <w:rsid w:val="00D3337E"/>
    <w:rsid w:val="00D352AA"/>
    <w:rsid w:val="00D3679A"/>
    <w:rsid w:val="00D36823"/>
    <w:rsid w:val="00D36E08"/>
    <w:rsid w:val="00D42DA4"/>
    <w:rsid w:val="00D43B32"/>
    <w:rsid w:val="00D43DB1"/>
    <w:rsid w:val="00D4405F"/>
    <w:rsid w:val="00D4425F"/>
    <w:rsid w:val="00D45797"/>
    <w:rsid w:val="00D45B45"/>
    <w:rsid w:val="00D470A5"/>
    <w:rsid w:val="00D528C4"/>
    <w:rsid w:val="00D52B98"/>
    <w:rsid w:val="00D54B39"/>
    <w:rsid w:val="00D63122"/>
    <w:rsid w:val="00D637AE"/>
    <w:rsid w:val="00D63FAA"/>
    <w:rsid w:val="00D64468"/>
    <w:rsid w:val="00D647DD"/>
    <w:rsid w:val="00D64E04"/>
    <w:rsid w:val="00D65C58"/>
    <w:rsid w:val="00D66AFA"/>
    <w:rsid w:val="00D66ECA"/>
    <w:rsid w:val="00D6773C"/>
    <w:rsid w:val="00D67CF7"/>
    <w:rsid w:val="00D706DA"/>
    <w:rsid w:val="00D70E22"/>
    <w:rsid w:val="00D71DE9"/>
    <w:rsid w:val="00D7213E"/>
    <w:rsid w:val="00D723FD"/>
    <w:rsid w:val="00D733FE"/>
    <w:rsid w:val="00D7490A"/>
    <w:rsid w:val="00D753DE"/>
    <w:rsid w:val="00D75969"/>
    <w:rsid w:val="00D763D0"/>
    <w:rsid w:val="00D768F0"/>
    <w:rsid w:val="00D77279"/>
    <w:rsid w:val="00D77717"/>
    <w:rsid w:val="00D80A2B"/>
    <w:rsid w:val="00D815A2"/>
    <w:rsid w:val="00D82263"/>
    <w:rsid w:val="00D82E6A"/>
    <w:rsid w:val="00D84AEA"/>
    <w:rsid w:val="00D8543E"/>
    <w:rsid w:val="00D90948"/>
    <w:rsid w:val="00D90CEC"/>
    <w:rsid w:val="00D93A16"/>
    <w:rsid w:val="00D97C41"/>
    <w:rsid w:val="00DA0812"/>
    <w:rsid w:val="00DA0FF1"/>
    <w:rsid w:val="00DA18D1"/>
    <w:rsid w:val="00DA2F7D"/>
    <w:rsid w:val="00DA6460"/>
    <w:rsid w:val="00DA6759"/>
    <w:rsid w:val="00DA7560"/>
    <w:rsid w:val="00DB0344"/>
    <w:rsid w:val="00DB15B7"/>
    <w:rsid w:val="00DB32C9"/>
    <w:rsid w:val="00DB3F62"/>
    <w:rsid w:val="00DB49E7"/>
    <w:rsid w:val="00DB7A7C"/>
    <w:rsid w:val="00DC000E"/>
    <w:rsid w:val="00DC1CFD"/>
    <w:rsid w:val="00DC3121"/>
    <w:rsid w:val="00DC50CA"/>
    <w:rsid w:val="00DC6A68"/>
    <w:rsid w:val="00DC6C2D"/>
    <w:rsid w:val="00DC7805"/>
    <w:rsid w:val="00DC7F76"/>
    <w:rsid w:val="00DD028D"/>
    <w:rsid w:val="00DD3396"/>
    <w:rsid w:val="00DD366A"/>
    <w:rsid w:val="00DD380C"/>
    <w:rsid w:val="00DD39D6"/>
    <w:rsid w:val="00DD3D95"/>
    <w:rsid w:val="00DD447D"/>
    <w:rsid w:val="00DD5E90"/>
    <w:rsid w:val="00DD7CFD"/>
    <w:rsid w:val="00DE0287"/>
    <w:rsid w:val="00DE12A1"/>
    <w:rsid w:val="00DE1C13"/>
    <w:rsid w:val="00DE1D5F"/>
    <w:rsid w:val="00DE2771"/>
    <w:rsid w:val="00DE32DC"/>
    <w:rsid w:val="00DE3D01"/>
    <w:rsid w:val="00DE49D0"/>
    <w:rsid w:val="00DE557D"/>
    <w:rsid w:val="00DE6CAA"/>
    <w:rsid w:val="00DF0208"/>
    <w:rsid w:val="00DF14C4"/>
    <w:rsid w:val="00DF3183"/>
    <w:rsid w:val="00DF406F"/>
    <w:rsid w:val="00DF5E2B"/>
    <w:rsid w:val="00DF694C"/>
    <w:rsid w:val="00DF795D"/>
    <w:rsid w:val="00DF7A91"/>
    <w:rsid w:val="00E00577"/>
    <w:rsid w:val="00E035B0"/>
    <w:rsid w:val="00E04625"/>
    <w:rsid w:val="00E04F4F"/>
    <w:rsid w:val="00E05060"/>
    <w:rsid w:val="00E0544B"/>
    <w:rsid w:val="00E060A1"/>
    <w:rsid w:val="00E06808"/>
    <w:rsid w:val="00E0716B"/>
    <w:rsid w:val="00E07509"/>
    <w:rsid w:val="00E07532"/>
    <w:rsid w:val="00E07CDC"/>
    <w:rsid w:val="00E1092F"/>
    <w:rsid w:val="00E11A3D"/>
    <w:rsid w:val="00E130CC"/>
    <w:rsid w:val="00E133B8"/>
    <w:rsid w:val="00E142ED"/>
    <w:rsid w:val="00E144D1"/>
    <w:rsid w:val="00E15998"/>
    <w:rsid w:val="00E17DB7"/>
    <w:rsid w:val="00E208B9"/>
    <w:rsid w:val="00E219FB"/>
    <w:rsid w:val="00E2364C"/>
    <w:rsid w:val="00E270BE"/>
    <w:rsid w:val="00E31BB4"/>
    <w:rsid w:val="00E32942"/>
    <w:rsid w:val="00E334DA"/>
    <w:rsid w:val="00E34DC0"/>
    <w:rsid w:val="00E34FFC"/>
    <w:rsid w:val="00E3525C"/>
    <w:rsid w:val="00E37628"/>
    <w:rsid w:val="00E42738"/>
    <w:rsid w:val="00E4317B"/>
    <w:rsid w:val="00E4498A"/>
    <w:rsid w:val="00E44CFA"/>
    <w:rsid w:val="00E45B6D"/>
    <w:rsid w:val="00E46BDB"/>
    <w:rsid w:val="00E47D77"/>
    <w:rsid w:val="00E47F23"/>
    <w:rsid w:val="00E531ED"/>
    <w:rsid w:val="00E53A1C"/>
    <w:rsid w:val="00E553AE"/>
    <w:rsid w:val="00E55D8C"/>
    <w:rsid w:val="00E64115"/>
    <w:rsid w:val="00E67526"/>
    <w:rsid w:val="00E71CB5"/>
    <w:rsid w:val="00E743EF"/>
    <w:rsid w:val="00E76633"/>
    <w:rsid w:val="00E8008A"/>
    <w:rsid w:val="00E82703"/>
    <w:rsid w:val="00E860E4"/>
    <w:rsid w:val="00E8673D"/>
    <w:rsid w:val="00E87205"/>
    <w:rsid w:val="00E8759E"/>
    <w:rsid w:val="00E914A5"/>
    <w:rsid w:val="00E91832"/>
    <w:rsid w:val="00E924E8"/>
    <w:rsid w:val="00E92CAE"/>
    <w:rsid w:val="00E93A2E"/>
    <w:rsid w:val="00E93CC1"/>
    <w:rsid w:val="00E950ED"/>
    <w:rsid w:val="00E956C3"/>
    <w:rsid w:val="00E962F1"/>
    <w:rsid w:val="00EA16E3"/>
    <w:rsid w:val="00EA3485"/>
    <w:rsid w:val="00EA34F4"/>
    <w:rsid w:val="00EA49E0"/>
    <w:rsid w:val="00EA6366"/>
    <w:rsid w:val="00EA73AC"/>
    <w:rsid w:val="00EB0005"/>
    <w:rsid w:val="00EB0615"/>
    <w:rsid w:val="00EB0920"/>
    <w:rsid w:val="00EB13BF"/>
    <w:rsid w:val="00EB17A1"/>
    <w:rsid w:val="00EB4284"/>
    <w:rsid w:val="00EB6314"/>
    <w:rsid w:val="00EB6EDE"/>
    <w:rsid w:val="00EC16C0"/>
    <w:rsid w:val="00EC1856"/>
    <w:rsid w:val="00EC37E7"/>
    <w:rsid w:val="00EC4485"/>
    <w:rsid w:val="00EC4F91"/>
    <w:rsid w:val="00EC5C5B"/>
    <w:rsid w:val="00EC5C74"/>
    <w:rsid w:val="00EC7DE1"/>
    <w:rsid w:val="00ED0F68"/>
    <w:rsid w:val="00ED15D2"/>
    <w:rsid w:val="00ED41B3"/>
    <w:rsid w:val="00ED4204"/>
    <w:rsid w:val="00ED5DAA"/>
    <w:rsid w:val="00ED6A91"/>
    <w:rsid w:val="00ED7E87"/>
    <w:rsid w:val="00EE15EE"/>
    <w:rsid w:val="00EE529F"/>
    <w:rsid w:val="00EE76D3"/>
    <w:rsid w:val="00EF0105"/>
    <w:rsid w:val="00EF0CC1"/>
    <w:rsid w:val="00EF1C02"/>
    <w:rsid w:val="00EF2615"/>
    <w:rsid w:val="00EF27FB"/>
    <w:rsid w:val="00EF40F4"/>
    <w:rsid w:val="00EF636D"/>
    <w:rsid w:val="00EF6E97"/>
    <w:rsid w:val="00F00816"/>
    <w:rsid w:val="00F03922"/>
    <w:rsid w:val="00F05CE6"/>
    <w:rsid w:val="00F05EEC"/>
    <w:rsid w:val="00F072EF"/>
    <w:rsid w:val="00F07527"/>
    <w:rsid w:val="00F1376A"/>
    <w:rsid w:val="00F140C7"/>
    <w:rsid w:val="00F14758"/>
    <w:rsid w:val="00F1584D"/>
    <w:rsid w:val="00F178AE"/>
    <w:rsid w:val="00F2195E"/>
    <w:rsid w:val="00F21BE8"/>
    <w:rsid w:val="00F21F03"/>
    <w:rsid w:val="00F23EF7"/>
    <w:rsid w:val="00F24A6F"/>
    <w:rsid w:val="00F26626"/>
    <w:rsid w:val="00F32B3C"/>
    <w:rsid w:val="00F32E24"/>
    <w:rsid w:val="00F341B8"/>
    <w:rsid w:val="00F34A95"/>
    <w:rsid w:val="00F372CC"/>
    <w:rsid w:val="00F420C8"/>
    <w:rsid w:val="00F456E2"/>
    <w:rsid w:val="00F4781E"/>
    <w:rsid w:val="00F537F6"/>
    <w:rsid w:val="00F53F15"/>
    <w:rsid w:val="00F54760"/>
    <w:rsid w:val="00F57DC8"/>
    <w:rsid w:val="00F609F7"/>
    <w:rsid w:val="00F62819"/>
    <w:rsid w:val="00F634B6"/>
    <w:rsid w:val="00F661E7"/>
    <w:rsid w:val="00F66A53"/>
    <w:rsid w:val="00F66F93"/>
    <w:rsid w:val="00F70904"/>
    <w:rsid w:val="00F71023"/>
    <w:rsid w:val="00F72020"/>
    <w:rsid w:val="00F76B65"/>
    <w:rsid w:val="00F77EA1"/>
    <w:rsid w:val="00F82F7F"/>
    <w:rsid w:val="00F840B6"/>
    <w:rsid w:val="00F840D0"/>
    <w:rsid w:val="00F8724D"/>
    <w:rsid w:val="00F907F7"/>
    <w:rsid w:val="00F91333"/>
    <w:rsid w:val="00F92067"/>
    <w:rsid w:val="00F936F8"/>
    <w:rsid w:val="00F95EBF"/>
    <w:rsid w:val="00F96CD1"/>
    <w:rsid w:val="00F96F0C"/>
    <w:rsid w:val="00FA161F"/>
    <w:rsid w:val="00FA1E14"/>
    <w:rsid w:val="00FA7FC5"/>
    <w:rsid w:val="00FB0251"/>
    <w:rsid w:val="00FB084E"/>
    <w:rsid w:val="00FB1253"/>
    <w:rsid w:val="00FB1B1C"/>
    <w:rsid w:val="00FB2871"/>
    <w:rsid w:val="00FB4620"/>
    <w:rsid w:val="00FB4D2A"/>
    <w:rsid w:val="00FB7BB0"/>
    <w:rsid w:val="00FC2766"/>
    <w:rsid w:val="00FC4111"/>
    <w:rsid w:val="00FD0654"/>
    <w:rsid w:val="00FE073A"/>
    <w:rsid w:val="00FE0C9D"/>
    <w:rsid w:val="00FE2255"/>
    <w:rsid w:val="00FE2644"/>
    <w:rsid w:val="00FE3199"/>
    <w:rsid w:val="00FE48CE"/>
    <w:rsid w:val="00FF0060"/>
    <w:rsid w:val="00FF026E"/>
    <w:rsid w:val="00FF1B66"/>
    <w:rsid w:val="00FF32D0"/>
    <w:rsid w:val="00FF4530"/>
    <w:rsid w:val="00FF50CF"/>
    <w:rsid w:val="00FF5449"/>
    <w:rsid w:val="00FF5A7F"/>
    <w:rsid w:val="00FF5BD8"/>
    <w:rsid w:val="00FF6805"/>
    <w:rsid w:val="00FF6904"/>
    <w:rsid w:val="00FF69BC"/>
    <w:rsid w:val="00FF6FDC"/>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EC"/>
    <w:rPr>
      <w:sz w:val="24"/>
      <w:szCs w:val="24"/>
      <w:lang w:val="ru-RU" w:eastAsia="ru-RU"/>
    </w:rPr>
  </w:style>
  <w:style w:type="paragraph" w:styleId="Heading1">
    <w:name w:val="heading 1"/>
    <w:basedOn w:val="Normal"/>
    <w:next w:val="Normal"/>
    <w:link w:val="Heading1Char"/>
    <w:uiPriority w:val="99"/>
    <w:qFormat/>
    <w:rsid w:val="002851EC"/>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uiPriority w:val="99"/>
    <w:qFormat/>
    <w:rsid w:val="002851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93A0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51EC"/>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semiHidden/>
    <w:locked/>
    <w:rsid w:val="005E38D8"/>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5E38D8"/>
    <w:rPr>
      <w:rFonts w:ascii="Cambria" w:hAnsi="Cambria" w:cs="Times New Roman"/>
      <w:b/>
      <w:bCs/>
      <w:sz w:val="26"/>
      <w:szCs w:val="26"/>
      <w:lang w:val="ru-RU" w:eastAsia="ru-RU"/>
    </w:rPr>
  </w:style>
  <w:style w:type="paragraph" w:styleId="BalloonText">
    <w:name w:val="Balloon Text"/>
    <w:basedOn w:val="Normal"/>
    <w:link w:val="BalloonTextChar"/>
    <w:uiPriority w:val="99"/>
    <w:rsid w:val="0012426E"/>
    <w:rPr>
      <w:rFonts w:ascii="Tahoma" w:hAnsi="Tahoma" w:cs="Tahoma"/>
      <w:sz w:val="16"/>
      <w:szCs w:val="16"/>
    </w:rPr>
  </w:style>
  <w:style w:type="character" w:customStyle="1" w:styleId="BalloonTextChar">
    <w:name w:val="Balloon Text Char"/>
    <w:basedOn w:val="DefaultParagraphFont"/>
    <w:link w:val="BalloonText"/>
    <w:uiPriority w:val="99"/>
    <w:locked/>
    <w:rsid w:val="0012426E"/>
    <w:rPr>
      <w:rFonts w:ascii="Tahoma" w:hAnsi="Tahoma" w:cs="Tahoma"/>
      <w:sz w:val="16"/>
      <w:szCs w:val="16"/>
      <w:lang w:val="ru-RU" w:eastAsia="ru-RU"/>
    </w:rPr>
  </w:style>
  <w:style w:type="paragraph" w:styleId="FootnoteText">
    <w:name w:val="footnote text"/>
    <w:basedOn w:val="Normal"/>
    <w:link w:val="FootnoteTextChar"/>
    <w:uiPriority w:val="99"/>
    <w:semiHidden/>
    <w:rsid w:val="002851EC"/>
    <w:rPr>
      <w:sz w:val="20"/>
      <w:szCs w:val="20"/>
      <w:lang w:val="en-US" w:eastAsia="en-US"/>
    </w:rPr>
  </w:style>
  <w:style w:type="character" w:customStyle="1" w:styleId="FootnoteTextChar">
    <w:name w:val="Footnote Text Char"/>
    <w:basedOn w:val="DefaultParagraphFont"/>
    <w:link w:val="FootnoteText"/>
    <w:uiPriority w:val="99"/>
    <w:semiHidden/>
    <w:locked/>
    <w:rsid w:val="005E38D8"/>
    <w:rPr>
      <w:rFonts w:cs="Times New Roman"/>
      <w:sz w:val="20"/>
      <w:szCs w:val="20"/>
      <w:lang w:val="ru-RU" w:eastAsia="ru-RU"/>
    </w:rPr>
  </w:style>
  <w:style w:type="character" w:styleId="FootnoteReference">
    <w:name w:val="footnote reference"/>
    <w:basedOn w:val="DefaultParagraphFont"/>
    <w:uiPriority w:val="99"/>
    <w:semiHidden/>
    <w:rsid w:val="002851EC"/>
    <w:rPr>
      <w:rFonts w:cs="Times New Roman"/>
      <w:vertAlign w:val="superscript"/>
    </w:rPr>
  </w:style>
  <w:style w:type="paragraph" w:customStyle="1" w:styleId="FIGURES">
    <w:name w:val="FIGURES"/>
    <w:basedOn w:val="TableofFigures"/>
    <w:link w:val="FIGURESChar"/>
    <w:uiPriority w:val="99"/>
    <w:rsid w:val="002851EC"/>
    <w:rPr>
      <w:b/>
      <w:lang w:val="en-US" w:eastAsia="en-US"/>
    </w:rPr>
  </w:style>
  <w:style w:type="table" w:styleId="TableSimple1">
    <w:name w:val="Table Simple 1"/>
    <w:basedOn w:val="TableNormal"/>
    <w:uiPriority w:val="99"/>
    <w:rsid w:val="002851EC"/>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TABLES">
    <w:name w:val="TABLES"/>
    <w:basedOn w:val="Normal"/>
    <w:uiPriority w:val="99"/>
    <w:rsid w:val="002851EC"/>
    <w:pPr>
      <w:spacing w:line="480" w:lineRule="auto"/>
      <w:jc w:val="both"/>
    </w:pPr>
    <w:rPr>
      <w:i/>
      <w:lang w:val="en-GB" w:eastAsia="hr-HR"/>
    </w:rPr>
  </w:style>
  <w:style w:type="character" w:customStyle="1" w:styleId="FIGURESChar">
    <w:name w:val="FIGURES Char"/>
    <w:basedOn w:val="DefaultParagraphFont"/>
    <w:link w:val="FIGURES"/>
    <w:uiPriority w:val="99"/>
    <w:locked/>
    <w:rsid w:val="002851EC"/>
    <w:rPr>
      <w:rFonts w:cs="Times New Roman"/>
      <w:b/>
      <w:sz w:val="24"/>
      <w:szCs w:val="24"/>
      <w:lang w:val="en-US" w:eastAsia="en-US" w:bidi="ar-SA"/>
    </w:rPr>
  </w:style>
  <w:style w:type="paragraph" w:styleId="TableofFigures">
    <w:name w:val="table of figures"/>
    <w:basedOn w:val="Normal"/>
    <w:next w:val="Normal"/>
    <w:uiPriority w:val="99"/>
    <w:semiHidden/>
    <w:rsid w:val="002851EC"/>
  </w:style>
  <w:style w:type="paragraph" w:styleId="TOC1">
    <w:name w:val="toc 1"/>
    <w:basedOn w:val="Normal"/>
    <w:next w:val="Normal"/>
    <w:autoRedefine/>
    <w:uiPriority w:val="99"/>
    <w:semiHidden/>
    <w:rsid w:val="003A6F37"/>
    <w:pPr>
      <w:spacing w:before="120"/>
    </w:pPr>
    <w:rPr>
      <w:b/>
      <w:bCs/>
      <w:i/>
      <w:iCs/>
    </w:rPr>
  </w:style>
  <w:style w:type="character" w:styleId="Hyperlink">
    <w:name w:val="Hyperlink"/>
    <w:basedOn w:val="DefaultParagraphFont"/>
    <w:uiPriority w:val="99"/>
    <w:rsid w:val="002851EC"/>
    <w:rPr>
      <w:rFonts w:cs="Times New Roman"/>
      <w:color w:val="0000FF"/>
      <w:u w:val="single"/>
    </w:rPr>
  </w:style>
  <w:style w:type="paragraph" w:styleId="Footer">
    <w:name w:val="footer"/>
    <w:basedOn w:val="Normal"/>
    <w:link w:val="FooterChar"/>
    <w:uiPriority w:val="99"/>
    <w:rsid w:val="008E53CE"/>
    <w:pPr>
      <w:tabs>
        <w:tab w:val="center" w:pos="4320"/>
        <w:tab w:val="right" w:pos="8640"/>
      </w:tabs>
    </w:pPr>
  </w:style>
  <w:style w:type="character" w:customStyle="1" w:styleId="FooterChar">
    <w:name w:val="Footer Char"/>
    <w:basedOn w:val="DefaultParagraphFont"/>
    <w:link w:val="Footer"/>
    <w:uiPriority w:val="99"/>
    <w:semiHidden/>
    <w:locked/>
    <w:rsid w:val="005E38D8"/>
    <w:rPr>
      <w:rFonts w:cs="Times New Roman"/>
      <w:sz w:val="24"/>
      <w:szCs w:val="24"/>
      <w:lang w:val="ru-RU" w:eastAsia="ru-RU"/>
    </w:rPr>
  </w:style>
  <w:style w:type="character" w:styleId="PageNumber">
    <w:name w:val="page number"/>
    <w:basedOn w:val="DefaultParagraphFont"/>
    <w:uiPriority w:val="99"/>
    <w:rsid w:val="008E53CE"/>
    <w:rPr>
      <w:rFonts w:cs="Times New Roman"/>
    </w:rPr>
  </w:style>
  <w:style w:type="paragraph" w:styleId="TOC2">
    <w:name w:val="toc 2"/>
    <w:basedOn w:val="Normal"/>
    <w:next w:val="Normal"/>
    <w:autoRedefine/>
    <w:uiPriority w:val="99"/>
    <w:semiHidden/>
    <w:rsid w:val="003A6F37"/>
    <w:pPr>
      <w:spacing w:before="120"/>
      <w:ind w:left="240"/>
    </w:pPr>
    <w:rPr>
      <w:b/>
      <w:bCs/>
      <w:sz w:val="22"/>
      <w:szCs w:val="22"/>
    </w:rPr>
  </w:style>
  <w:style w:type="paragraph" w:styleId="TOC3">
    <w:name w:val="toc 3"/>
    <w:basedOn w:val="Normal"/>
    <w:next w:val="Normal"/>
    <w:autoRedefine/>
    <w:uiPriority w:val="99"/>
    <w:semiHidden/>
    <w:rsid w:val="005C564C"/>
    <w:pPr>
      <w:ind w:left="480"/>
    </w:pPr>
    <w:rPr>
      <w:sz w:val="20"/>
      <w:szCs w:val="20"/>
    </w:rPr>
  </w:style>
  <w:style w:type="paragraph" w:styleId="TOC4">
    <w:name w:val="toc 4"/>
    <w:basedOn w:val="Normal"/>
    <w:next w:val="Normal"/>
    <w:autoRedefine/>
    <w:uiPriority w:val="99"/>
    <w:semiHidden/>
    <w:rsid w:val="005C564C"/>
    <w:pPr>
      <w:ind w:left="720"/>
    </w:pPr>
    <w:rPr>
      <w:sz w:val="20"/>
      <w:szCs w:val="20"/>
    </w:rPr>
  </w:style>
  <w:style w:type="paragraph" w:styleId="TOC5">
    <w:name w:val="toc 5"/>
    <w:basedOn w:val="Normal"/>
    <w:next w:val="Normal"/>
    <w:autoRedefine/>
    <w:uiPriority w:val="99"/>
    <w:semiHidden/>
    <w:rsid w:val="005C564C"/>
    <w:pPr>
      <w:ind w:left="960"/>
    </w:pPr>
    <w:rPr>
      <w:sz w:val="20"/>
      <w:szCs w:val="20"/>
    </w:rPr>
  </w:style>
  <w:style w:type="paragraph" w:styleId="TOC6">
    <w:name w:val="toc 6"/>
    <w:basedOn w:val="Normal"/>
    <w:next w:val="Normal"/>
    <w:autoRedefine/>
    <w:uiPriority w:val="99"/>
    <w:semiHidden/>
    <w:rsid w:val="005C564C"/>
    <w:pPr>
      <w:ind w:left="1200"/>
    </w:pPr>
    <w:rPr>
      <w:sz w:val="20"/>
      <w:szCs w:val="20"/>
    </w:rPr>
  </w:style>
  <w:style w:type="paragraph" w:styleId="TOC7">
    <w:name w:val="toc 7"/>
    <w:basedOn w:val="Normal"/>
    <w:next w:val="Normal"/>
    <w:autoRedefine/>
    <w:uiPriority w:val="99"/>
    <w:semiHidden/>
    <w:rsid w:val="005C564C"/>
    <w:pPr>
      <w:ind w:left="1440"/>
    </w:pPr>
    <w:rPr>
      <w:sz w:val="20"/>
      <w:szCs w:val="20"/>
    </w:rPr>
  </w:style>
  <w:style w:type="paragraph" w:styleId="TOC8">
    <w:name w:val="toc 8"/>
    <w:basedOn w:val="Normal"/>
    <w:next w:val="Normal"/>
    <w:autoRedefine/>
    <w:uiPriority w:val="99"/>
    <w:semiHidden/>
    <w:rsid w:val="005C564C"/>
    <w:pPr>
      <w:ind w:left="1680"/>
    </w:pPr>
    <w:rPr>
      <w:sz w:val="20"/>
      <w:szCs w:val="20"/>
    </w:rPr>
  </w:style>
  <w:style w:type="paragraph" w:styleId="TOC9">
    <w:name w:val="toc 9"/>
    <w:basedOn w:val="Normal"/>
    <w:next w:val="Normal"/>
    <w:autoRedefine/>
    <w:uiPriority w:val="99"/>
    <w:semiHidden/>
    <w:rsid w:val="005C564C"/>
    <w:pPr>
      <w:ind w:left="1920"/>
    </w:pPr>
    <w:rPr>
      <w:sz w:val="20"/>
      <w:szCs w:val="20"/>
    </w:rPr>
  </w:style>
  <w:style w:type="paragraph" w:styleId="Title">
    <w:name w:val="Title"/>
    <w:basedOn w:val="Normal"/>
    <w:link w:val="TitleChar"/>
    <w:uiPriority w:val="99"/>
    <w:qFormat/>
    <w:rsid w:val="00466526"/>
    <w:pPr>
      <w:ind w:left="360"/>
      <w:jc w:val="center"/>
    </w:pPr>
    <w:rPr>
      <w:b/>
      <w:bCs/>
      <w:lang w:val="en-AU" w:eastAsia="tr-TR"/>
    </w:rPr>
  </w:style>
  <w:style w:type="character" w:customStyle="1" w:styleId="TitleChar">
    <w:name w:val="Title Char"/>
    <w:basedOn w:val="DefaultParagraphFont"/>
    <w:link w:val="Title"/>
    <w:uiPriority w:val="99"/>
    <w:locked/>
    <w:rsid w:val="005E38D8"/>
    <w:rPr>
      <w:rFonts w:ascii="Cambria" w:hAnsi="Cambria" w:cs="Times New Roman"/>
      <w:b/>
      <w:bCs/>
      <w:kern w:val="28"/>
      <w:sz w:val="32"/>
      <w:szCs w:val="32"/>
      <w:lang w:val="ru-RU" w:eastAsia="ru-RU"/>
    </w:rPr>
  </w:style>
  <w:style w:type="character" w:styleId="HTMLCite">
    <w:name w:val="HTML Cite"/>
    <w:basedOn w:val="DefaultParagraphFont"/>
    <w:uiPriority w:val="99"/>
    <w:rsid w:val="00466526"/>
    <w:rPr>
      <w:rFonts w:cs="Times New Roman"/>
      <w:i/>
      <w:iCs/>
    </w:rPr>
  </w:style>
  <w:style w:type="paragraph" w:customStyle="1" w:styleId="APPENDIX">
    <w:name w:val="APPENDIX"/>
    <w:basedOn w:val="Normal"/>
    <w:link w:val="APPENDIXChar"/>
    <w:uiPriority w:val="99"/>
    <w:rsid w:val="00126994"/>
    <w:rPr>
      <w:b/>
      <w:lang w:val="en-GB" w:eastAsia="hr-HR"/>
    </w:rPr>
  </w:style>
  <w:style w:type="character" w:customStyle="1" w:styleId="APPENDIXChar">
    <w:name w:val="APPENDIX Char"/>
    <w:basedOn w:val="DefaultParagraphFont"/>
    <w:link w:val="APPENDIX"/>
    <w:uiPriority w:val="99"/>
    <w:locked/>
    <w:rsid w:val="00126994"/>
    <w:rPr>
      <w:rFonts w:cs="Times New Roman"/>
      <w:b/>
      <w:sz w:val="24"/>
      <w:szCs w:val="24"/>
      <w:lang w:val="en-GB" w:eastAsia="hr-HR" w:bidi="ar-SA"/>
    </w:rPr>
  </w:style>
  <w:style w:type="character" w:styleId="CommentReference">
    <w:name w:val="annotation reference"/>
    <w:basedOn w:val="DefaultParagraphFont"/>
    <w:uiPriority w:val="99"/>
    <w:rsid w:val="0012426E"/>
    <w:rPr>
      <w:rFonts w:cs="Times New Roman"/>
      <w:sz w:val="16"/>
      <w:szCs w:val="16"/>
    </w:rPr>
  </w:style>
  <w:style w:type="paragraph" w:styleId="CommentText">
    <w:name w:val="annotation text"/>
    <w:basedOn w:val="Normal"/>
    <w:link w:val="CommentTextChar"/>
    <w:uiPriority w:val="99"/>
    <w:rsid w:val="0012426E"/>
    <w:rPr>
      <w:sz w:val="20"/>
      <w:szCs w:val="20"/>
    </w:rPr>
  </w:style>
  <w:style w:type="character" w:customStyle="1" w:styleId="CommentTextChar">
    <w:name w:val="Comment Text Char"/>
    <w:basedOn w:val="DefaultParagraphFont"/>
    <w:link w:val="CommentText"/>
    <w:uiPriority w:val="99"/>
    <w:locked/>
    <w:rsid w:val="0012426E"/>
    <w:rPr>
      <w:rFonts w:cs="Times New Roman"/>
      <w:lang w:val="ru-RU" w:eastAsia="ru-RU"/>
    </w:rPr>
  </w:style>
  <w:style w:type="paragraph" w:styleId="CommentSubject">
    <w:name w:val="annotation subject"/>
    <w:basedOn w:val="CommentText"/>
    <w:next w:val="CommentText"/>
    <w:link w:val="CommentSubjectChar"/>
    <w:uiPriority w:val="99"/>
    <w:rsid w:val="0012426E"/>
    <w:rPr>
      <w:b/>
      <w:bCs/>
    </w:rPr>
  </w:style>
  <w:style w:type="character" w:customStyle="1" w:styleId="CommentSubjectChar">
    <w:name w:val="Comment Subject Char"/>
    <w:basedOn w:val="CommentTextChar"/>
    <w:link w:val="CommentSubject"/>
    <w:uiPriority w:val="99"/>
    <w:locked/>
    <w:rsid w:val="0012426E"/>
    <w:rPr>
      <w:rFonts w:cs="Times New Roman"/>
      <w:b/>
      <w:bCs/>
      <w:lang w:val="ru-RU" w:eastAsia="ru-RU"/>
    </w:rPr>
  </w:style>
  <w:style w:type="paragraph" w:styleId="ListParagraph">
    <w:name w:val="List Paragraph"/>
    <w:basedOn w:val="Normal"/>
    <w:uiPriority w:val="99"/>
    <w:qFormat/>
    <w:rsid w:val="00731F41"/>
    <w:pPr>
      <w:ind w:left="720"/>
      <w:contextualSpacing/>
    </w:pPr>
  </w:style>
  <w:style w:type="character" w:customStyle="1" w:styleId="medium-font">
    <w:name w:val="medium-font"/>
    <w:basedOn w:val="DefaultParagraphFont"/>
    <w:uiPriority w:val="99"/>
    <w:rsid w:val="00A23076"/>
    <w:rPr>
      <w:rFonts w:cs="Times New Roman"/>
    </w:rPr>
  </w:style>
  <w:style w:type="paragraph" w:styleId="PlainText">
    <w:name w:val="Plain Text"/>
    <w:basedOn w:val="Normal"/>
    <w:link w:val="PlainTextChar"/>
    <w:uiPriority w:val="99"/>
    <w:rsid w:val="00D82E6A"/>
    <w:rPr>
      <w:rFonts w:ascii="Consolas" w:hAnsi="Consolas"/>
      <w:sz w:val="21"/>
      <w:szCs w:val="21"/>
      <w:lang w:val="bs-Latn-BA" w:eastAsia="en-US"/>
    </w:rPr>
  </w:style>
  <w:style w:type="character" w:customStyle="1" w:styleId="PlainTextChar">
    <w:name w:val="Plain Text Char"/>
    <w:basedOn w:val="DefaultParagraphFont"/>
    <w:link w:val="PlainText"/>
    <w:uiPriority w:val="99"/>
    <w:locked/>
    <w:rsid w:val="00D82E6A"/>
    <w:rPr>
      <w:rFonts w:ascii="Consolas" w:hAnsi="Consolas" w:cs="Times New Roman"/>
      <w:sz w:val="21"/>
      <w:szCs w:val="21"/>
      <w:lang w:val="bs-Latn-BA"/>
    </w:rPr>
  </w:style>
  <w:style w:type="character" w:styleId="Strong">
    <w:name w:val="Strong"/>
    <w:basedOn w:val="DefaultParagraphFont"/>
    <w:uiPriority w:val="99"/>
    <w:qFormat/>
    <w:locked/>
    <w:rsid w:val="00E142ED"/>
    <w:rPr>
      <w:rFonts w:cs="Times New Roman"/>
      <w:b/>
      <w:bCs/>
    </w:rPr>
  </w:style>
  <w:style w:type="numbering" w:customStyle="1" w:styleId="Style1">
    <w:name w:val="Style1"/>
    <w:rsid w:val="00333650"/>
    <w:pPr>
      <w:numPr>
        <w:numId w:val="6"/>
      </w:numPr>
    </w:pPr>
  </w:style>
  <w:style w:type="character" w:styleId="FollowedHyperlink">
    <w:name w:val="FollowedHyperlink"/>
    <w:basedOn w:val="DefaultParagraphFont"/>
    <w:uiPriority w:val="99"/>
    <w:semiHidden/>
    <w:unhideWhenUsed/>
    <w:locked/>
    <w:rsid w:val="00011A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9877726">
      <w:marLeft w:val="0"/>
      <w:marRight w:val="0"/>
      <w:marTop w:val="0"/>
      <w:marBottom w:val="0"/>
      <w:divBdr>
        <w:top w:val="none" w:sz="0" w:space="0" w:color="auto"/>
        <w:left w:val="none" w:sz="0" w:space="0" w:color="auto"/>
        <w:bottom w:val="none" w:sz="0" w:space="0" w:color="auto"/>
        <w:right w:val="none" w:sz="0" w:space="0" w:color="auto"/>
      </w:divBdr>
    </w:div>
    <w:div w:id="1569877727">
      <w:marLeft w:val="0"/>
      <w:marRight w:val="0"/>
      <w:marTop w:val="0"/>
      <w:marBottom w:val="0"/>
      <w:divBdr>
        <w:top w:val="none" w:sz="0" w:space="0" w:color="auto"/>
        <w:left w:val="none" w:sz="0" w:space="0" w:color="auto"/>
        <w:bottom w:val="none" w:sz="0" w:space="0" w:color="auto"/>
        <w:right w:val="none" w:sz="0" w:space="0" w:color="auto"/>
      </w:divBdr>
    </w:div>
    <w:div w:id="1569877728">
      <w:marLeft w:val="0"/>
      <w:marRight w:val="0"/>
      <w:marTop w:val="0"/>
      <w:marBottom w:val="0"/>
      <w:divBdr>
        <w:top w:val="none" w:sz="0" w:space="0" w:color="auto"/>
        <w:left w:val="none" w:sz="0" w:space="0" w:color="auto"/>
        <w:bottom w:val="none" w:sz="0" w:space="0" w:color="auto"/>
        <w:right w:val="none" w:sz="0" w:space="0" w:color="auto"/>
      </w:divBdr>
    </w:div>
    <w:div w:id="1569877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9.bin"/><Relationship Id="rId50" Type="http://schemas.openxmlformats.org/officeDocument/2006/relationships/footer" Target="footer4.xml"/><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footer" Target="footer3.xml"/><Relationship Id="rId10" Type="http://schemas.openxmlformats.org/officeDocument/2006/relationships/footer" Target="footer2.xml"/><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hyperlink" Target="http://www.efsa.unsa.ba/adnan.efendic" TargetMode="External"/><Relationship Id="rId8" Type="http://schemas.openxmlformats.org/officeDocument/2006/relationships/hyperlink" Target="mailto:g.t.pugh@staffs.ac.uk"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fsa.unsa.ba/adnan.efendic" TargetMode="External"/><Relationship Id="rId2" Type="http://schemas.openxmlformats.org/officeDocument/2006/relationships/hyperlink" Target="http://www.efsa.unsa.ba/adnan.efendic" TargetMode="External"/><Relationship Id="rId1" Type="http://schemas.openxmlformats.org/officeDocument/2006/relationships/hyperlink" Target="http://www.efsa.unsa.ba/adnan.efendic" TargetMode="External"/><Relationship Id="rId4" Type="http://schemas.openxmlformats.org/officeDocument/2006/relationships/hyperlink" Target="http://www.efsa.unsa.ba/adnan.efen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2E67F-5F48-42B4-8CFD-03EAFAB2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8166</Words>
  <Characters>46551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INSTITUTIONS AND ECONOMIC PERFORMANCE IN TRANSITION</vt:lpstr>
    </vt:vector>
  </TitlesOfParts>
  <Company>Microsoft</Company>
  <LinksUpToDate>false</LinksUpToDate>
  <CharactersWithSpaces>54608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INSTITUTIONS AND ECONOMIC PERFORMANCE IN TRANSITION</dc:title>
  <dc:creator>Dell</dc:creator>
  <cp:lastModifiedBy>Inspiron</cp:lastModifiedBy>
  <cp:revision>10</cp:revision>
  <cp:lastPrinted>2015-09-28T10:26:00Z</cp:lastPrinted>
  <dcterms:created xsi:type="dcterms:W3CDTF">2015-09-28T17:10:00Z</dcterms:created>
  <dcterms:modified xsi:type="dcterms:W3CDTF">2015-09-28T18:44:00Z</dcterms:modified>
</cp:coreProperties>
</file>