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D37B8" w14:textId="77777777" w:rsidR="00C82090" w:rsidRDefault="00C37608">
      <w:pPr>
        <w:spacing w:after="0" w:line="240" w:lineRule="auto"/>
        <w:jc w:val="center"/>
      </w:pPr>
      <w:r>
        <w:rPr>
          <w:rFonts w:ascii="Arial" w:hAnsi="Arial" w:cs="Arial"/>
          <w:b/>
          <w:sz w:val="32"/>
        </w:rPr>
        <w:t>Surface and geometry changes during a surge of Kverkjökull, central Iceland</w:t>
      </w:r>
    </w:p>
    <w:p w14:paraId="021F83B6" w14:textId="77777777" w:rsidR="00C82090" w:rsidRDefault="00C82090">
      <w:pPr>
        <w:spacing w:after="0" w:line="240" w:lineRule="auto"/>
        <w:jc w:val="center"/>
        <w:rPr>
          <w:b/>
          <w:sz w:val="12"/>
          <w:szCs w:val="12"/>
        </w:rPr>
      </w:pPr>
    </w:p>
    <w:p w14:paraId="0E0C85E2" w14:textId="77777777" w:rsidR="00C82090" w:rsidRDefault="00C37608">
      <w:pPr>
        <w:pStyle w:val="BodyText21"/>
        <w:spacing w:after="0" w:line="240" w:lineRule="auto"/>
      </w:pPr>
      <w:r>
        <w:t>Jonathan L. Carrivick</w:t>
      </w:r>
      <w:r>
        <w:rPr>
          <w:vertAlign w:val="superscript"/>
        </w:rPr>
        <w:t>1</w:t>
      </w:r>
      <w:r>
        <w:t>, Fiona S. Tweed</w:t>
      </w:r>
      <w:r>
        <w:rPr>
          <w:vertAlign w:val="superscript"/>
        </w:rPr>
        <w:t>2</w:t>
      </w:r>
      <w:r>
        <w:t>,</w:t>
      </w:r>
      <w:r>
        <w:rPr>
          <w:vertAlign w:val="superscript"/>
        </w:rPr>
        <w:t xml:space="preserve"> </w:t>
      </w:r>
      <w:r>
        <w:t>William M. James</w:t>
      </w:r>
      <w:r>
        <w:rPr>
          <w:vertAlign w:val="superscript"/>
        </w:rPr>
        <w:t>1</w:t>
      </w:r>
      <w:r>
        <w:t>, Tómas Jóhannesson</w:t>
      </w:r>
      <w:r>
        <w:rPr>
          <w:vertAlign w:val="superscript"/>
        </w:rPr>
        <w:t>3</w:t>
      </w:r>
    </w:p>
    <w:p w14:paraId="1178DB64" w14:textId="77777777" w:rsidR="00C82090" w:rsidRDefault="00C82090">
      <w:pPr>
        <w:spacing w:after="0" w:line="240" w:lineRule="auto"/>
        <w:rPr>
          <w:sz w:val="18"/>
          <w:vertAlign w:val="superscript"/>
        </w:rPr>
      </w:pPr>
    </w:p>
    <w:p w14:paraId="64853CDB" w14:textId="77777777" w:rsidR="00C82090" w:rsidRDefault="00C37608">
      <w:pPr>
        <w:spacing w:after="0" w:line="240" w:lineRule="auto"/>
        <w:jc w:val="center"/>
      </w:pPr>
      <w:r>
        <w:rPr>
          <w:sz w:val="18"/>
          <w:vertAlign w:val="superscript"/>
        </w:rPr>
        <w:t>1</w:t>
      </w:r>
      <w:r>
        <w:rPr>
          <w:sz w:val="18"/>
        </w:rPr>
        <w:t>School of Geography, University of Leeds, Woodhouse Lane, Leeds, West Yorkshire, LS2 9JT, UK.</w:t>
      </w:r>
    </w:p>
    <w:p w14:paraId="667C79DE" w14:textId="77777777" w:rsidR="00C82090" w:rsidRDefault="00C37608">
      <w:pPr>
        <w:spacing w:after="0" w:line="240" w:lineRule="auto"/>
        <w:jc w:val="center"/>
      </w:pPr>
      <w:r>
        <w:rPr>
          <w:sz w:val="18"/>
          <w:vertAlign w:val="superscript"/>
        </w:rPr>
        <w:t>2</w:t>
      </w:r>
      <w:r>
        <w:rPr>
          <w:sz w:val="18"/>
        </w:rPr>
        <w:t>Geography, Staffordshire University, Leek Road, Stoke-on-Trent, Staffordshire, ST4 2DF, UK.</w:t>
      </w:r>
    </w:p>
    <w:p w14:paraId="505C3175" w14:textId="77777777" w:rsidR="00C82090" w:rsidRDefault="00C37608">
      <w:pPr>
        <w:spacing w:after="0" w:line="240" w:lineRule="auto"/>
        <w:jc w:val="center"/>
      </w:pPr>
      <w:r>
        <w:rPr>
          <w:sz w:val="18"/>
          <w:vertAlign w:val="superscript"/>
        </w:rPr>
        <w:t>3</w:t>
      </w:r>
      <w:r>
        <w:rPr>
          <w:sz w:val="18"/>
        </w:rPr>
        <w:t>Icelandic Meteorological Office, Bústaðavegi 9, 150 Reykjavík, Iceland.</w:t>
      </w:r>
    </w:p>
    <w:p w14:paraId="7BE24059" w14:textId="77777777" w:rsidR="00C82090" w:rsidRDefault="00C82090">
      <w:pPr>
        <w:spacing w:after="0" w:line="240" w:lineRule="auto"/>
        <w:rPr>
          <w:sz w:val="12"/>
          <w:szCs w:val="12"/>
        </w:rPr>
      </w:pPr>
    </w:p>
    <w:p w14:paraId="31CB9749" w14:textId="77777777" w:rsidR="00C82090" w:rsidRDefault="00C37608">
      <w:pPr>
        <w:spacing w:after="0" w:line="240" w:lineRule="auto"/>
      </w:pPr>
      <w:r>
        <w:t xml:space="preserve">Correspondence to: </w:t>
      </w:r>
    </w:p>
    <w:p w14:paraId="6A779639" w14:textId="77777777" w:rsidR="00C82090" w:rsidRDefault="00C37608">
      <w:pPr>
        <w:spacing w:after="0" w:line="240" w:lineRule="auto"/>
      </w:pPr>
      <w:r>
        <w:t xml:space="preserve">Dr. Jonathan Carrivick, </w:t>
      </w:r>
    </w:p>
    <w:p w14:paraId="08CAE639" w14:textId="77777777" w:rsidR="00C82090" w:rsidRDefault="00C37608">
      <w:pPr>
        <w:spacing w:after="0" w:line="240" w:lineRule="auto"/>
      </w:pPr>
      <w:r>
        <w:rPr>
          <w:sz w:val="20"/>
          <w:szCs w:val="20"/>
        </w:rPr>
        <w:t xml:space="preserve">Email: </w:t>
      </w:r>
      <w:hyperlink r:id="rId7" w:history="1">
        <w:r>
          <w:rPr>
            <w:rStyle w:val="Hyperlink"/>
            <w:sz w:val="20"/>
            <w:szCs w:val="20"/>
          </w:rPr>
          <w:t>j.l.carrivick@leeds.ac.uk</w:t>
        </w:r>
      </w:hyperlink>
      <w:r>
        <w:rPr>
          <w:sz w:val="20"/>
          <w:szCs w:val="20"/>
        </w:rPr>
        <w:t xml:space="preserve"> </w:t>
      </w:r>
    </w:p>
    <w:p w14:paraId="6AEEC031" w14:textId="77777777" w:rsidR="00C82090" w:rsidRDefault="00C37608">
      <w:pPr>
        <w:spacing w:after="0" w:line="240" w:lineRule="auto"/>
      </w:pPr>
      <w:r>
        <w:t>Tel.: 0113 343 3324</w:t>
      </w:r>
    </w:p>
    <w:p w14:paraId="64500D70" w14:textId="77777777" w:rsidR="00C82090" w:rsidRDefault="00C82090">
      <w:pPr>
        <w:pStyle w:val="Heading1"/>
      </w:pPr>
    </w:p>
    <w:p w14:paraId="6E20626B" w14:textId="77777777" w:rsidR="00C82090" w:rsidRDefault="00C37608">
      <w:pPr>
        <w:pStyle w:val="Heading2"/>
      </w:pPr>
      <w:r>
        <w:t xml:space="preserve">ABSTRACT </w:t>
      </w:r>
    </w:p>
    <w:p w14:paraId="6B6C8FD1" w14:textId="5AF8EC17" w:rsidR="00C82090" w:rsidRDefault="00C37608">
      <w:bookmarkStart w:id="0" w:name="_GoBack"/>
      <w:r>
        <w:rPr>
          <w:bCs/>
          <w:sz w:val="24"/>
          <w:szCs w:val="24"/>
          <w:lang w:eastAsia="en-US"/>
        </w:rPr>
        <w:t xml:space="preserve">Glacier surges are events of enhanced ice flow during which ice previously stored at elevation is rapidly discharged down glacier. Surges are important agents of erosion and deposition, they affect the timing and magnitude of meltwater runoff and in areas where surging is common, </w:t>
      </w:r>
      <w:r w:rsidRPr="00A22170">
        <w:rPr>
          <w:bCs/>
          <w:i/>
          <w:iCs/>
          <w:sz w:val="24"/>
          <w:szCs w:val="24"/>
          <w:lang w:eastAsia="en-US"/>
        </w:rPr>
        <w:t>e.g.</w:t>
      </w:r>
      <w:r>
        <w:rPr>
          <w:bCs/>
          <w:sz w:val="24"/>
          <w:szCs w:val="24"/>
          <w:lang w:eastAsia="en-US"/>
        </w:rPr>
        <w:t xml:space="preserve"> Iceland and Svalbard, they represent an important mechanism of glacier mass transfer. Glacier surges may usually be recognised by their distinctive surface morphological expression, and where appropriate data are available, by changes in terminus position, surface velocity and glacier surface elevation. However, many surge-type glaciers remain unrecognised because surge events can be short-lived and are rarely captured by satellite or field data. This study reports the first documented surge of Kverkjökull, central Iceland, adding a relatively short, narrow, steep and alpine outlet glacier from the Vatnajökull ice cap to the known surge-type glaciers in Iceland. The surge occurred after decades of persistent and recently accelerated terminus retreat. </w:t>
      </w:r>
      <w:r>
        <w:rPr>
          <w:sz w:val="24"/>
          <w:szCs w:val="24"/>
          <w:lang w:eastAsia="en-US"/>
        </w:rPr>
        <w:t xml:space="preserve">The surge initiated after 2008 and immediately preceded drainage of the Gengissig geothermal lake and the subsequent jökulhlaup in 2013. The surge was still in progress in 2013. </w:t>
      </w:r>
      <w:r>
        <w:rPr>
          <w:bCs/>
          <w:sz w:val="24"/>
          <w:szCs w:val="24"/>
          <w:lang w:eastAsia="en-US"/>
        </w:rPr>
        <w:t>It</w:t>
      </w:r>
      <w:r>
        <w:rPr>
          <w:sz w:val="24"/>
          <w:szCs w:val="24"/>
          <w:lang w:eastAsia="en-US"/>
        </w:rPr>
        <w:t xml:space="preserve"> caused vertical surface displacements of up to 20 m that were most prominent in parts of the glacier &gt;100 m thick. The magnitude of surface elevation changes, terminus advance and ice surface velocity changes probably reflect only a single surge phase. Asymmetry in the response of the glacier terminus to the surge front suggests interaction with near-stagnant ice but otherwise the trigger and mechanism of the Kverkjökull surge remain unexplained.</w:t>
      </w:r>
      <w:bookmarkEnd w:id="0"/>
      <w:r>
        <w:rPr>
          <w:sz w:val="24"/>
          <w:szCs w:val="24"/>
          <w:lang w:eastAsia="en-US"/>
        </w:rPr>
        <w:t xml:space="preserve"> </w:t>
      </w:r>
    </w:p>
    <w:p w14:paraId="3ED622F6" w14:textId="77777777" w:rsidR="00C82090" w:rsidRDefault="00C82090">
      <w:pPr>
        <w:rPr>
          <w:lang w:eastAsia="en-US"/>
        </w:rPr>
      </w:pPr>
    </w:p>
    <w:p w14:paraId="38080FB5" w14:textId="77777777" w:rsidR="00C82090" w:rsidRDefault="00C37608">
      <w:r>
        <w:rPr>
          <w:b/>
          <w:sz w:val="24"/>
          <w:szCs w:val="24"/>
          <w:lang w:eastAsia="en-US"/>
        </w:rPr>
        <w:t xml:space="preserve">KEYWORDS </w:t>
      </w:r>
      <w:r>
        <w:rPr>
          <w:sz w:val="24"/>
          <w:szCs w:val="24"/>
          <w:lang w:eastAsia="en-US"/>
        </w:rPr>
        <w:t>glacier surge;</w:t>
      </w:r>
      <w:r>
        <w:rPr>
          <w:b/>
          <w:sz w:val="24"/>
          <w:szCs w:val="24"/>
          <w:lang w:eastAsia="en-US"/>
        </w:rPr>
        <w:t xml:space="preserve"> </w:t>
      </w:r>
      <w:r>
        <w:rPr>
          <w:sz w:val="24"/>
          <w:szCs w:val="24"/>
          <w:lang w:eastAsia="en-US"/>
        </w:rPr>
        <w:t>lidar; airborne laser scanning</w:t>
      </w:r>
    </w:p>
    <w:p w14:paraId="284F7284" w14:textId="77777777" w:rsidR="00C82090" w:rsidRDefault="00C37608">
      <w:pPr>
        <w:pStyle w:val="Heading2"/>
      </w:pPr>
      <w:r>
        <w:lastRenderedPageBreak/>
        <w:t xml:space="preserve">INTRODUCTION </w:t>
      </w:r>
    </w:p>
    <w:p w14:paraId="0AE8EAAD" w14:textId="1A860EF1" w:rsidR="00C82090" w:rsidRDefault="00C37608">
      <w:pPr>
        <w:spacing w:after="0"/>
      </w:pPr>
      <w:r>
        <w:rPr>
          <w:bCs/>
          <w:sz w:val="24"/>
          <w:szCs w:val="24"/>
          <w:lang w:eastAsia="en-US"/>
        </w:rPr>
        <w:t xml:space="preserve">The flow of a surge-type glacier is periodically interrupted by suddenly-enhanced ice-flow velocities for months or years (Meier and Post, 1969; Thórarinsson, 1969). This behaviour is apparently unrelated to climate change although climate may play a role in determining the periodicity of surges and whether or not a glacier will surge (Sharp, 1988). Surging glaciers tend to cluster in a few geographical areas such as Alaska, Yukon (especially the St. Elias Range), British Columbia, Svalbard, Andes, Caucasus, Karakoram, Pamirs, Tien Shan, and Iceland (Sevestre and Benn, 2015). In contrast, the European Alps, Scandinavia and the Rocky Mountains have very few surging glaciers. Understanding glacier surges is important because they can cause considerable and widespread landscaping (Sharp, 1988) and they affect meltwater runoff regimes, especially notably in Iceland (Björnsson </w:t>
      </w:r>
      <w:r>
        <w:rPr>
          <w:bCs/>
          <w:i/>
          <w:iCs/>
          <w:sz w:val="24"/>
          <w:szCs w:val="24"/>
          <w:lang w:eastAsia="en-US"/>
        </w:rPr>
        <w:t>et al.</w:t>
      </w:r>
      <w:r>
        <w:rPr>
          <w:bCs/>
          <w:sz w:val="24"/>
          <w:szCs w:val="24"/>
          <w:lang w:eastAsia="en-US"/>
        </w:rPr>
        <w:t>, 2003). Furthermore, surges can account for significant glacier mass transport. For example, surges have contributed at least 10% to the total ice transport to the ablation areas of Europe’s largest ice mass; Vatnajökull, during the 20</w:t>
      </w:r>
      <w:r>
        <w:rPr>
          <w:bCs/>
          <w:sz w:val="24"/>
          <w:szCs w:val="24"/>
          <w:vertAlign w:val="superscript"/>
          <w:lang w:eastAsia="en-US"/>
        </w:rPr>
        <w:t>th</w:t>
      </w:r>
      <w:r>
        <w:rPr>
          <w:bCs/>
          <w:sz w:val="24"/>
          <w:szCs w:val="24"/>
          <w:lang w:eastAsia="en-US"/>
        </w:rPr>
        <w:t xml:space="preserve"> Century (Björnsson and Pálsson, 2008). Understanding of surges is key to understanding glacier dynamics; they can yield important insights into basal processes through the analysis of surface velocity and geometry changes (e.g. Quincey </w:t>
      </w:r>
      <w:r>
        <w:rPr>
          <w:bCs/>
          <w:i/>
          <w:iCs/>
          <w:sz w:val="24"/>
          <w:szCs w:val="24"/>
          <w:lang w:eastAsia="en-US"/>
        </w:rPr>
        <w:t>et al.</w:t>
      </w:r>
      <w:r>
        <w:rPr>
          <w:bCs/>
          <w:sz w:val="24"/>
          <w:szCs w:val="24"/>
          <w:lang w:eastAsia="en-US"/>
        </w:rPr>
        <w:t xml:space="preserve">, 2011, 2015) and improved understanding of surges may shed light on velocity variations of the large ice sheets of Greenland and Antarctica where large variations of ice flow velocity have attracted increasing attention in recent years (Rignot and Kanagaratnam, 2006; Rignot </w:t>
      </w:r>
      <w:r>
        <w:rPr>
          <w:bCs/>
          <w:i/>
          <w:iCs/>
          <w:sz w:val="24"/>
          <w:szCs w:val="24"/>
          <w:lang w:eastAsia="en-US"/>
        </w:rPr>
        <w:t>et al.</w:t>
      </w:r>
      <w:r>
        <w:rPr>
          <w:bCs/>
          <w:sz w:val="24"/>
          <w:szCs w:val="24"/>
          <w:lang w:eastAsia="en-US"/>
        </w:rPr>
        <w:t>, 2011).</w:t>
      </w:r>
    </w:p>
    <w:p w14:paraId="247FB595" w14:textId="77777777" w:rsidR="00C82090" w:rsidRDefault="00C82090">
      <w:pPr>
        <w:spacing w:after="0"/>
        <w:rPr>
          <w:sz w:val="24"/>
          <w:szCs w:val="24"/>
          <w:lang w:eastAsia="en-US"/>
        </w:rPr>
      </w:pPr>
    </w:p>
    <w:p w14:paraId="5265DA96" w14:textId="77777777" w:rsidR="00C82090" w:rsidRDefault="00C37608">
      <w:pPr>
        <w:spacing w:after="0"/>
      </w:pPr>
      <w:r>
        <w:rPr>
          <w:sz w:val="24"/>
          <w:szCs w:val="24"/>
          <w:lang w:eastAsia="en-US"/>
        </w:rPr>
        <w:t>Identification of glacier surges tends to focus on rapid terminus position advances (</w:t>
      </w:r>
      <w:r w:rsidRPr="00A22170">
        <w:rPr>
          <w:i/>
          <w:iCs/>
          <w:sz w:val="24"/>
          <w:szCs w:val="24"/>
          <w:lang w:eastAsia="en-US"/>
        </w:rPr>
        <w:t>e.g.</w:t>
      </w:r>
      <w:r>
        <w:rPr>
          <w:sz w:val="24"/>
          <w:szCs w:val="24"/>
          <w:lang w:eastAsia="en-US"/>
        </w:rPr>
        <w:t xml:space="preserve"> Meier and Post, 1969; Hewitt, 1998; Björnsson </w:t>
      </w:r>
      <w:r>
        <w:rPr>
          <w:i/>
          <w:iCs/>
          <w:sz w:val="24"/>
          <w:szCs w:val="24"/>
          <w:lang w:eastAsia="en-US"/>
        </w:rPr>
        <w:t>et al.</w:t>
      </w:r>
      <w:r>
        <w:rPr>
          <w:sz w:val="24"/>
          <w:szCs w:val="24"/>
          <w:lang w:eastAsia="en-US"/>
        </w:rPr>
        <w:t xml:space="preserve">, 2003) and on surface morphology that is indicative of a surge such as looped medial moraines, looped debris bands, contorted longitudinal foliation, and intense and chaotic crevassing (e.g. Barrand and Murray, 2006; Hewitt, 2007; Copland </w:t>
      </w:r>
      <w:r>
        <w:rPr>
          <w:i/>
          <w:iCs/>
          <w:sz w:val="24"/>
          <w:szCs w:val="24"/>
          <w:lang w:eastAsia="en-US"/>
        </w:rPr>
        <w:t>et al.</w:t>
      </w:r>
      <w:r>
        <w:rPr>
          <w:sz w:val="24"/>
          <w:szCs w:val="24"/>
          <w:lang w:eastAsia="en-US"/>
        </w:rPr>
        <w:t xml:space="preserve">, 2011; King </w:t>
      </w:r>
      <w:r>
        <w:rPr>
          <w:i/>
          <w:iCs/>
          <w:sz w:val="24"/>
          <w:szCs w:val="24"/>
          <w:lang w:eastAsia="en-US"/>
        </w:rPr>
        <w:t>et al.</w:t>
      </w:r>
      <w:r>
        <w:rPr>
          <w:sz w:val="24"/>
          <w:szCs w:val="24"/>
          <w:lang w:eastAsia="en-US"/>
        </w:rPr>
        <w:t>, 2015; Paul, 2015). Characterisation of glacier surges and interpretation of surge mechanisms usually comes from analyses of surface velocity where dramatic speed-ups and slow-downs and zones of high velocity propagating both up-glacier and down-glacier have been quantified (</w:t>
      </w:r>
      <w:r>
        <w:rPr>
          <w:i/>
          <w:iCs/>
          <w:sz w:val="24"/>
          <w:szCs w:val="24"/>
          <w:lang w:eastAsia="en-US"/>
        </w:rPr>
        <w:t>e.g.</w:t>
      </w:r>
      <w:r>
        <w:rPr>
          <w:sz w:val="24"/>
          <w:szCs w:val="24"/>
          <w:lang w:eastAsia="en-US"/>
        </w:rPr>
        <w:t xml:space="preserve"> Raymond and Malone, 1986; Kamb and Engelhardt, 1986; Pritchard </w:t>
      </w:r>
      <w:r>
        <w:rPr>
          <w:i/>
          <w:iCs/>
          <w:sz w:val="24"/>
          <w:szCs w:val="24"/>
          <w:lang w:eastAsia="en-US"/>
        </w:rPr>
        <w:t>et al.</w:t>
      </w:r>
      <w:r>
        <w:rPr>
          <w:sz w:val="24"/>
          <w:szCs w:val="24"/>
          <w:lang w:eastAsia="en-US"/>
        </w:rPr>
        <w:t xml:space="preserve">, 2003; Fischer </w:t>
      </w:r>
      <w:r>
        <w:rPr>
          <w:i/>
          <w:iCs/>
          <w:sz w:val="24"/>
          <w:szCs w:val="24"/>
          <w:lang w:eastAsia="en-US"/>
        </w:rPr>
        <w:t>et al.,</w:t>
      </w:r>
      <w:r>
        <w:rPr>
          <w:sz w:val="24"/>
          <w:szCs w:val="24"/>
          <w:lang w:eastAsia="en-US"/>
        </w:rPr>
        <w:t xml:space="preserve"> 2003; Kotlyakov </w:t>
      </w:r>
      <w:r>
        <w:rPr>
          <w:i/>
          <w:iCs/>
          <w:sz w:val="24"/>
          <w:szCs w:val="24"/>
          <w:lang w:eastAsia="en-US"/>
        </w:rPr>
        <w:t>et al.</w:t>
      </w:r>
      <w:r>
        <w:rPr>
          <w:sz w:val="24"/>
          <w:szCs w:val="24"/>
          <w:lang w:eastAsia="en-US"/>
        </w:rPr>
        <w:t xml:space="preserve">, 2008; Quincey </w:t>
      </w:r>
      <w:r>
        <w:rPr>
          <w:i/>
          <w:iCs/>
          <w:sz w:val="24"/>
          <w:szCs w:val="24"/>
          <w:lang w:eastAsia="en-US"/>
        </w:rPr>
        <w:t>et al.</w:t>
      </w:r>
      <w:r>
        <w:rPr>
          <w:sz w:val="24"/>
          <w:szCs w:val="24"/>
          <w:lang w:eastAsia="en-US"/>
        </w:rPr>
        <w:t xml:space="preserve">, 2011; 2015; Copland </w:t>
      </w:r>
      <w:r>
        <w:rPr>
          <w:i/>
          <w:iCs/>
          <w:sz w:val="24"/>
          <w:szCs w:val="24"/>
          <w:lang w:eastAsia="en-US"/>
        </w:rPr>
        <w:t>et al.</w:t>
      </w:r>
      <w:r>
        <w:rPr>
          <w:sz w:val="24"/>
          <w:szCs w:val="24"/>
          <w:lang w:eastAsia="en-US"/>
        </w:rPr>
        <w:t xml:space="preserve">, 2009; Heid and Kääb, 2012; Burgess </w:t>
      </w:r>
      <w:r>
        <w:rPr>
          <w:i/>
          <w:iCs/>
          <w:sz w:val="24"/>
          <w:szCs w:val="24"/>
          <w:lang w:eastAsia="en-US"/>
        </w:rPr>
        <w:t>et al.</w:t>
      </w:r>
      <w:r>
        <w:rPr>
          <w:sz w:val="24"/>
          <w:szCs w:val="24"/>
          <w:lang w:eastAsia="en-US"/>
        </w:rPr>
        <w:t xml:space="preserve">, 2012; Rankl </w:t>
      </w:r>
      <w:r>
        <w:rPr>
          <w:i/>
          <w:iCs/>
          <w:sz w:val="24"/>
          <w:szCs w:val="24"/>
          <w:lang w:eastAsia="en-US"/>
        </w:rPr>
        <w:t>et al.</w:t>
      </w:r>
      <w:r>
        <w:rPr>
          <w:sz w:val="24"/>
          <w:szCs w:val="24"/>
          <w:lang w:eastAsia="en-US"/>
        </w:rPr>
        <w:t>, 2014; Dunse et al., 2015).</w:t>
      </w:r>
    </w:p>
    <w:p w14:paraId="287F94F2" w14:textId="77777777" w:rsidR="00C82090" w:rsidRDefault="00C82090">
      <w:pPr>
        <w:spacing w:after="0"/>
        <w:rPr>
          <w:b/>
          <w:sz w:val="24"/>
          <w:szCs w:val="24"/>
          <w:lang w:eastAsia="en-US"/>
        </w:rPr>
      </w:pPr>
    </w:p>
    <w:p w14:paraId="4181C355" w14:textId="77777777" w:rsidR="00C82090" w:rsidRDefault="00C37608">
      <w:pPr>
        <w:spacing w:after="0"/>
      </w:pPr>
      <w:r>
        <w:rPr>
          <w:sz w:val="24"/>
          <w:szCs w:val="24"/>
          <w:lang w:eastAsia="en-US"/>
        </w:rPr>
        <w:t xml:space="preserve">In contrast, measurements of surface elevation changes during glacier surges have been more limited, which is primarily due to poor data availability. This is unfortunate because the surface </w:t>
      </w:r>
      <w:r>
        <w:rPr>
          <w:sz w:val="24"/>
          <w:szCs w:val="24"/>
          <w:lang w:eastAsia="en-US"/>
        </w:rPr>
        <w:lastRenderedPageBreak/>
        <w:t xml:space="preserve">elevation evolution of surging glaciers is important for understanding surge mechanisms (Meier and Post, 1969; Sund </w:t>
      </w:r>
      <w:r>
        <w:rPr>
          <w:i/>
          <w:iCs/>
          <w:sz w:val="24"/>
          <w:szCs w:val="24"/>
          <w:lang w:eastAsia="en-US"/>
        </w:rPr>
        <w:t>et al.</w:t>
      </w:r>
      <w:r>
        <w:rPr>
          <w:sz w:val="24"/>
          <w:szCs w:val="24"/>
          <w:lang w:eastAsia="en-US"/>
        </w:rPr>
        <w:t>, 2009). To date, measurements of 3D geometry changes of surges have either been (i) restricted to a few along-track profiles from altimetry data (</w:t>
      </w:r>
      <w:r>
        <w:rPr>
          <w:i/>
          <w:iCs/>
          <w:sz w:val="24"/>
          <w:szCs w:val="24"/>
          <w:lang w:eastAsia="en-US"/>
        </w:rPr>
        <w:t>e.g.</w:t>
      </w:r>
      <w:r>
        <w:rPr>
          <w:sz w:val="24"/>
          <w:szCs w:val="24"/>
          <w:lang w:eastAsia="en-US"/>
        </w:rPr>
        <w:t xml:space="preserve"> Muskett </w:t>
      </w:r>
      <w:r>
        <w:rPr>
          <w:i/>
          <w:iCs/>
          <w:sz w:val="24"/>
          <w:szCs w:val="24"/>
          <w:lang w:eastAsia="en-US"/>
        </w:rPr>
        <w:t>et al.</w:t>
      </w:r>
      <w:r>
        <w:rPr>
          <w:sz w:val="24"/>
          <w:szCs w:val="24"/>
          <w:lang w:eastAsia="en-US"/>
        </w:rPr>
        <w:t xml:space="preserve">, 2009; Burgess </w:t>
      </w:r>
      <w:r>
        <w:rPr>
          <w:i/>
          <w:iCs/>
          <w:sz w:val="24"/>
          <w:szCs w:val="24"/>
          <w:lang w:eastAsia="en-US"/>
        </w:rPr>
        <w:t>et al.</w:t>
      </w:r>
      <w:r>
        <w:rPr>
          <w:sz w:val="24"/>
          <w:szCs w:val="24"/>
          <w:lang w:eastAsia="en-US"/>
        </w:rPr>
        <w:t xml:space="preserve">, 2012; Herzfeld </w:t>
      </w:r>
      <w:r>
        <w:rPr>
          <w:i/>
          <w:iCs/>
          <w:sz w:val="24"/>
          <w:szCs w:val="24"/>
          <w:lang w:eastAsia="en-US"/>
        </w:rPr>
        <w:t>et al.</w:t>
      </w:r>
      <w:r>
        <w:rPr>
          <w:sz w:val="24"/>
          <w:szCs w:val="24"/>
          <w:lang w:eastAsia="en-US"/>
        </w:rPr>
        <w:t>, 2013), which has good vertical accuracy (typically ~1 m) or (ii) of medium (&gt;10 m but usually 25 m or 30 m) spatial resolution (</w:t>
      </w:r>
      <w:r>
        <w:rPr>
          <w:i/>
          <w:iCs/>
          <w:sz w:val="24"/>
          <w:szCs w:val="24"/>
          <w:lang w:eastAsia="en-US"/>
        </w:rPr>
        <w:t>e.g.</w:t>
      </w:r>
      <w:r>
        <w:rPr>
          <w:sz w:val="24"/>
          <w:szCs w:val="24"/>
          <w:lang w:eastAsia="en-US"/>
        </w:rPr>
        <w:t xml:space="preserve"> Muskett </w:t>
      </w:r>
      <w:r>
        <w:rPr>
          <w:i/>
          <w:iCs/>
          <w:sz w:val="24"/>
          <w:szCs w:val="24"/>
          <w:lang w:eastAsia="en-US"/>
        </w:rPr>
        <w:t>et al.</w:t>
      </w:r>
      <w:r>
        <w:rPr>
          <w:sz w:val="24"/>
          <w:szCs w:val="24"/>
          <w:lang w:eastAsia="en-US"/>
        </w:rPr>
        <w:t xml:space="preserve">, 2008, Shugar </w:t>
      </w:r>
      <w:r>
        <w:rPr>
          <w:i/>
          <w:iCs/>
          <w:sz w:val="24"/>
          <w:szCs w:val="24"/>
          <w:lang w:eastAsia="en-US"/>
        </w:rPr>
        <w:t>et al.</w:t>
      </w:r>
      <w:r>
        <w:rPr>
          <w:sz w:val="24"/>
          <w:szCs w:val="24"/>
          <w:lang w:eastAsia="en-US"/>
        </w:rPr>
        <w:t xml:space="preserve">, 2010; </w:t>
      </w:r>
      <w:r>
        <w:rPr>
          <w:sz w:val="24"/>
          <w:szCs w:val="24"/>
        </w:rPr>
        <w:t>Kristensen</w:t>
      </w:r>
      <w:r>
        <w:rPr>
          <w:sz w:val="24"/>
          <w:szCs w:val="24"/>
          <w:lang w:eastAsia="en-US"/>
        </w:rPr>
        <w:t xml:space="preserve"> and Benn, 2012; Gardelle </w:t>
      </w:r>
      <w:r>
        <w:rPr>
          <w:i/>
          <w:iCs/>
          <w:sz w:val="24"/>
          <w:szCs w:val="24"/>
          <w:lang w:eastAsia="en-US"/>
        </w:rPr>
        <w:t>et al.</w:t>
      </w:r>
      <w:r>
        <w:rPr>
          <w:sz w:val="24"/>
          <w:szCs w:val="24"/>
          <w:lang w:eastAsia="en-US"/>
        </w:rPr>
        <w:t xml:space="preserve">, 2013; Rankl </w:t>
      </w:r>
      <w:r>
        <w:rPr>
          <w:i/>
          <w:iCs/>
          <w:sz w:val="24"/>
          <w:szCs w:val="24"/>
          <w:lang w:eastAsia="en-US"/>
        </w:rPr>
        <w:t>et al.</w:t>
      </w:r>
      <w:r>
        <w:rPr>
          <w:sz w:val="24"/>
          <w:szCs w:val="24"/>
          <w:lang w:eastAsia="en-US"/>
        </w:rPr>
        <w:t xml:space="preserve">, 2014; Pitte </w:t>
      </w:r>
      <w:r>
        <w:rPr>
          <w:i/>
          <w:iCs/>
          <w:sz w:val="24"/>
          <w:szCs w:val="24"/>
          <w:lang w:eastAsia="en-US"/>
        </w:rPr>
        <w:t>et al.</w:t>
      </w:r>
      <w:r>
        <w:rPr>
          <w:sz w:val="24"/>
          <w:szCs w:val="24"/>
          <w:lang w:eastAsia="en-US"/>
        </w:rPr>
        <w:t xml:space="preserve">, 2016) and consequently with poorer vertical accuracy (typically ~10 m). Thus, these medium spatial resolution analyses have focussed on longitudinal changes in glacier elevation profiles with some notable exceptions from studies in Iceland where spatially-distributed elevation changes have been reported including the country-wide studies of Björnsson </w:t>
      </w:r>
      <w:r>
        <w:rPr>
          <w:i/>
          <w:iCs/>
          <w:sz w:val="24"/>
          <w:szCs w:val="24"/>
          <w:lang w:eastAsia="en-US"/>
        </w:rPr>
        <w:t>et al.</w:t>
      </w:r>
      <w:r>
        <w:rPr>
          <w:sz w:val="24"/>
          <w:szCs w:val="24"/>
          <w:lang w:eastAsia="en-US"/>
        </w:rPr>
        <w:t xml:space="preserve"> (2003), on the northern margin of Vatnajökull at Dyngjujökull, Aðalgeirsdóttir </w:t>
      </w:r>
      <w:r>
        <w:rPr>
          <w:i/>
          <w:iCs/>
          <w:sz w:val="24"/>
          <w:szCs w:val="24"/>
          <w:lang w:eastAsia="en-US"/>
        </w:rPr>
        <w:t>et al.</w:t>
      </w:r>
      <w:r>
        <w:rPr>
          <w:sz w:val="24"/>
          <w:szCs w:val="24"/>
          <w:lang w:eastAsia="en-US"/>
        </w:rPr>
        <w:t xml:space="preserve"> (2005), around Vatnajökull by Magnússon </w:t>
      </w:r>
      <w:r>
        <w:rPr>
          <w:i/>
          <w:iCs/>
          <w:sz w:val="24"/>
          <w:szCs w:val="24"/>
          <w:lang w:eastAsia="en-US"/>
        </w:rPr>
        <w:t>et al.</w:t>
      </w:r>
      <w:r>
        <w:rPr>
          <w:sz w:val="24"/>
          <w:szCs w:val="24"/>
          <w:lang w:eastAsia="en-US"/>
        </w:rPr>
        <w:t xml:space="preserve"> (2005), and at Drangajökull by Magnússon </w:t>
      </w:r>
      <w:r>
        <w:rPr>
          <w:i/>
          <w:iCs/>
          <w:sz w:val="24"/>
          <w:szCs w:val="24"/>
          <w:lang w:eastAsia="en-US"/>
        </w:rPr>
        <w:t>et al.</w:t>
      </w:r>
      <w:r>
        <w:rPr>
          <w:sz w:val="24"/>
          <w:szCs w:val="24"/>
          <w:lang w:eastAsia="en-US"/>
        </w:rPr>
        <w:t xml:space="preserve"> (2016). Globally, measure</w:t>
      </w:r>
      <w:r>
        <w:rPr>
          <w:sz w:val="24"/>
          <w:szCs w:val="24"/>
          <w:lang w:eastAsia="en-US"/>
        </w:rPr>
        <w:softHyphen/>
        <w:t xml:space="preserve">ments of 3D geometry changes of surging glaciers have been focussed on tidewater glaciers rather than on land-terminating glaciers. </w:t>
      </w:r>
    </w:p>
    <w:p w14:paraId="2A2F6F4B" w14:textId="77777777" w:rsidR="00C82090" w:rsidRDefault="00C82090">
      <w:pPr>
        <w:spacing w:after="0"/>
        <w:rPr>
          <w:sz w:val="24"/>
          <w:szCs w:val="24"/>
          <w:lang w:eastAsia="en-US"/>
        </w:rPr>
      </w:pPr>
    </w:p>
    <w:p w14:paraId="78CD5ACC" w14:textId="77777777" w:rsidR="00C82090" w:rsidRDefault="00C37608">
      <w:pPr>
        <w:spacing w:after="0"/>
      </w:pPr>
      <w:r>
        <w:rPr>
          <w:sz w:val="24"/>
          <w:szCs w:val="24"/>
          <w:lang w:eastAsia="en-US"/>
        </w:rPr>
        <w:t>Studies that have obtained high-resolution surface elevation measurements of surging glaciers have done so typically with ~10 m grid cell size photogrametrically-derived digital elevation models (DEMs) (</w:t>
      </w:r>
      <w:r>
        <w:rPr>
          <w:i/>
          <w:iCs/>
          <w:sz w:val="24"/>
          <w:szCs w:val="24"/>
          <w:lang w:eastAsia="en-US"/>
        </w:rPr>
        <w:t>e.g.</w:t>
      </w:r>
      <w:r>
        <w:rPr>
          <w:sz w:val="24"/>
          <w:szCs w:val="24"/>
          <w:lang w:eastAsia="en-US"/>
        </w:rPr>
        <w:t xml:space="preserve"> Murray </w:t>
      </w:r>
      <w:r>
        <w:rPr>
          <w:i/>
          <w:iCs/>
          <w:sz w:val="24"/>
          <w:szCs w:val="24"/>
          <w:lang w:eastAsia="en-US"/>
        </w:rPr>
        <w:t>et al.</w:t>
      </w:r>
      <w:r>
        <w:rPr>
          <w:sz w:val="24"/>
          <w:szCs w:val="24"/>
          <w:lang w:eastAsia="en-US"/>
        </w:rPr>
        <w:t xml:space="preserve">, 2012; King </w:t>
      </w:r>
      <w:r>
        <w:rPr>
          <w:i/>
          <w:iCs/>
          <w:sz w:val="24"/>
          <w:szCs w:val="24"/>
          <w:lang w:eastAsia="en-US"/>
        </w:rPr>
        <w:t>et al.</w:t>
      </w:r>
      <w:r>
        <w:rPr>
          <w:sz w:val="24"/>
          <w:szCs w:val="24"/>
          <w:lang w:eastAsia="en-US"/>
        </w:rPr>
        <w:t>, 2015) or else with ~2 m resolution Airborne Laser Scanning (ALS) data but only for a single time frame only (</w:t>
      </w:r>
      <w:r>
        <w:rPr>
          <w:i/>
          <w:iCs/>
          <w:sz w:val="24"/>
          <w:szCs w:val="24"/>
          <w:lang w:eastAsia="en-US"/>
        </w:rPr>
        <w:t>e.g.</w:t>
      </w:r>
      <w:r>
        <w:rPr>
          <w:sz w:val="24"/>
          <w:szCs w:val="24"/>
          <w:lang w:eastAsia="en-US"/>
        </w:rPr>
        <w:t xml:space="preserve"> Murray </w:t>
      </w:r>
      <w:r>
        <w:rPr>
          <w:i/>
          <w:iCs/>
          <w:sz w:val="24"/>
          <w:szCs w:val="24"/>
          <w:lang w:eastAsia="en-US"/>
        </w:rPr>
        <w:t>et al.</w:t>
      </w:r>
      <w:r>
        <w:rPr>
          <w:sz w:val="24"/>
          <w:szCs w:val="24"/>
          <w:lang w:eastAsia="en-US"/>
        </w:rPr>
        <w:t xml:space="preserve">, 2012). These studies have demonstrated the utility of these high-resolution data for (i) quantifying spatially-distributed (longitudinal and lateral) variability in ice surface elevation, structure and morphology during surges, (ii) computing volume and mass displacements, and (iii) thereby assessing hypotheses of surge mechanisms. The work of Pitte </w:t>
      </w:r>
      <w:r>
        <w:rPr>
          <w:i/>
          <w:iCs/>
          <w:sz w:val="24"/>
          <w:szCs w:val="24"/>
          <w:lang w:eastAsia="en-US"/>
        </w:rPr>
        <w:t>et al.</w:t>
      </w:r>
      <w:r>
        <w:rPr>
          <w:sz w:val="24"/>
          <w:szCs w:val="24"/>
          <w:lang w:eastAsia="en-US"/>
        </w:rPr>
        <w:t xml:space="preserve"> (2016) is notable because it is the only study to date to have explicitly quantified and fully analysed the 3D geometry changes of a surging land-terminating glacier (</w:t>
      </w:r>
      <w:r>
        <w:rPr>
          <w:color w:val="0070C0"/>
          <w:sz w:val="24"/>
          <w:szCs w:val="24"/>
          <w:lang w:eastAsia="en-US"/>
        </w:rPr>
        <w:t>Table 1</w:t>
      </w:r>
      <w:r>
        <w:rPr>
          <w:sz w:val="24"/>
          <w:szCs w:val="24"/>
          <w:lang w:eastAsia="en-US"/>
        </w:rPr>
        <w:t xml:space="preserve">), perhaps made possible by focussing in detail on just one surging glacier rather than on an analysis of multiple surging glaciers. Sund </w:t>
      </w:r>
      <w:r>
        <w:rPr>
          <w:i/>
          <w:iCs/>
          <w:sz w:val="24"/>
          <w:szCs w:val="24"/>
          <w:lang w:eastAsia="en-US"/>
        </w:rPr>
        <w:t>et al.</w:t>
      </w:r>
      <w:r>
        <w:rPr>
          <w:sz w:val="24"/>
          <w:szCs w:val="24"/>
          <w:lang w:eastAsia="en-US"/>
        </w:rPr>
        <w:t xml:space="preserve"> (2009) examined elevation changes of surging glaciers in Svalbard, 72% of which were land-terminating. They identified up to +40 m elevation changes due to the surges and, having examined multiple glaciers, identified three stages in the surge development.</w:t>
      </w:r>
    </w:p>
    <w:p w14:paraId="79213A0B" w14:textId="77777777" w:rsidR="00C82090" w:rsidRDefault="00C82090">
      <w:pPr>
        <w:spacing w:after="0"/>
        <w:rPr>
          <w:sz w:val="24"/>
          <w:szCs w:val="24"/>
          <w:lang w:eastAsia="en-US"/>
        </w:rPr>
      </w:pPr>
    </w:p>
    <w:p w14:paraId="0ABCB49B" w14:textId="77777777" w:rsidR="00C82090" w:rsidRDefault="00C37608">
      <w:pPr>
        <w:spacing w:after="0"/>
      </w:pPr>
      <w:r>
        <w:rPr>
          <w:sz w:val="24"/>
          <w:szCs w:val="24"/>
          <w:lang w:eastAsia="en-US"/>
        </w:rPr>
        <w:t xml:space="preserve">In Alaska, 8% of the land-terminating glaciers studied by Arendt </w:t>
      </w:r>
      <w:r>
        <w:rPr>
          <w:i/>
          <w:iCs/>
          <w:sz w:val="24"/>
          <w:szCs w:val="24"/>
          <w:lang w:eastAsia="en-US"/>
        </w:rPr>
        <w:t>et al.</w:t>
      </w:r>
      <w:r>
        <w:rPr>
          <w:sz w:val="24"/>
          <w:szCs w:val="24"/>
          <w:lang w:eastAsia="en-US"/>
        </w:rPr>
        <w:t xml:space="preserve"> (2002) for their elevation changes were identified as surging, but the elevation values for individual glaciers were not </w:t>
      </w:r>
      <w:r>
        <w:rPr>
          <w:sz w:val="24"/>
          <w:szCs w:val="24"/>
          <w:lang w:eastAsia="en-US"/>
        </w:rPr>
        <w:lastRenderedPageBreak/>
        <w:t>reported (</w:t>
      </w:r>
      <w:r>
        <w:rPr>
          <w:color w:val="0070C0"/>
          <w:sz w:val="24"/>
          <w:szCs w:val="24"/>
          <w:lang w:eastAsia="en-US"/>
        </w:rPr>
        <w:t>Table 1</w:t>
      </w:r>
      <w:r>
        <w:rPr>
          <w:sz w:val="24"/>
          <w:szCs w:val="24"/>
          <w:lang w:eastAsia="en-US"/>
        </w:rPr>
        <w:t xml:space="preserve">). In the Karakorum, there are 101 documented surge-type glaciers (Rankl </w:t>
      </w:r>
      <w:r>
        <w:rPr>
          <w:i/>
          <w:iCs/>
          <w:sz w:val="24"/>
          <w:szCs w:val="24"/>
          <w:lang w:eastAsia="en-US"/>
        </w:rPr>
        <w:t>et al.</w:t>
      </w:r>
      <w:r>
        <w:rPr>
          <w:sz w:val="24"/>
          <w:szCs w:val="24"/>
          <w:lang w:eastAsia="en-US"/>
        </w:rPr>
        <w:t xml:space="preserve">, 2014), which constitute ~13% of all Karakorum glaciers (Barrand and Murray, 2006). Only Gardelle </w:t>
      </w:r>
      <w:r>
        <w:rPr>
          <w:i/>
          <w:iCs/>
          <w:sz w:val="24"/>
          <w:szCs w:val="24"/>
          <w:lang w:eastAsia="en-US"/>
        </w:rPr>
        <w:t>et al.</w:t>
      </w:r>
      <w:r>
        <w:rPr>
          <w:sz w:val="24"/>
          <w:szCs w:val="24"/>
          <w:lang w:eastAsia="en-US"/>
        </w:rPr>
        <w:t xml:space="preserve"> (2013) have quantified elevation changes of those land-terminating surging glaciers, finding equal thinning and thickening rates of ~16 m yr</w:t>
      </w:r>
      <w:r>
        <w:rPr>
          <w:sz w:val="24"/>
          <w:szCs w:val="24"/>
          <w:vertAlign w:val="superscript"/>
          <w:lang w:eastAsia="en-US"/>
        </w:rPr>
        <w:t>–1</w:t>
      </w:r>
      <w:r>
        <w:rPr>
          <w:sz w:val="24"/>
          <w:szCs w:val="24"/>
          <w:lang w:eastAsia="en-US"/>
        </w:rPr>
        <w:t xml:space="preserve"> in reservoir and receiving zones (</w:t>
      </w:r>
      <w:r>
        <w:rPr>
          <w:color w:val="0070C0"/>
          <w:sz w:val="24"/>
          <w:szCs w:val="24"/>
          <w:lang w:eastAsia="en-US"/>
        </w:rPr>
        <w:t>Table 1</w:t>
      </w:r>
      <w:r>
        <w:rPr>
          <w:sz w:val="24"/>
          <w:szCs w:val="24"/>
          <w:lang w:eastAsia="en-US"/>
        </w:rPr>
        <w:t xml:space="preserve">). In Iceland, all the 26 surging glaciers that have been identified (Björnsson </w:t>
      </w:r>
      <w:r>
        <w:rPr>
          <w:i/>
          <w:iCs/>
          <w:sz w:val="24"/>
          <w:szCs w:val="24"/>
          <w:lang w:eastAsia="en-US"/>
        </w:rPr>
        <w:t>et al.</w:t>
      </w:r>
      <w:r>
        <w:rPr>
          <w:sz w:val="24"/>
          <w:szCs w:val="24"/>
          <w:lang w:eastAsia="en-US"/>
        </w:rPr>
        <w:t xml:space="preserve">, 2003; Björnsson and Pálsson, 2008) are land-terminating, although some of them end in pro-glacial lakes along a part of the terminus, and spatially-distributed elevation changes during several surges of the lobate type Vatnajökull outlet glaciers have been mapped (Björnsson </w:t>
      </w:r>
      <w:r>
        <w:rPr>
          <w:i/>
          <w:iCs/>
          <w:sz w:val="24"/>
          <w:szCs w:val="24"/>
          <w:lang w:eastAsia="en-US"/>
        </w:rPr>
        <w:t>et al.</w:t>
      </w:r>
      <w:r>
        <w:rPr>
          <w:sz w:val="24"/>
          <w:szCs w:val="24"/>
          <w:lang w:eastAsia="en-US"/>
        </w:rPr>
        <w:t xml:space="preserve">, 2003; Aðalgeirsdóttir </w:t>
      </w:r>
      <w:r>
        <w:rPr>
          <w:i/>
          <w:iCs/>
          <w:sz w:val="24"/>
          <w:szCs w:val="24"/>
          <w:lang w:eastAsia="en-US"/>
        </w:rPr>
        <w:t>et al.</w:t>
      </w:r>
      <w:r>
        <w:rPr>
          <w:sz w:val="24"/>
          <w:szCs w:val="24"/>
          <w:lang w:eastAsia="en-US"/>
        </w:rPr>
        <w:t xml:space="preserve">, 2005). </w:t>
      </w:r>
    </w:p>
    <w:p w14:paraId="0469547C" w14:textId="77777777" w:rsidR="00C82090" w:rsidRDefault="00C82090">
      <w:pPr>
        <w:spacing w:after="0"/>
        <w:rPr>
          <w:b/>
          <w:sz w:val="24"/>
          <w:szCs w:val="24"/>
          <w:lang w:eastAsia="en-US"/>
        </w:rPr>
      </w:pPr>
    </w:p>
    <w:p w14:paraId="57DAD909" w14:textId="77777777" w:rsidR="00C82090" w:rsidRDefault="00C37608">
      <w:pPr>
        <w:spacing w:after="0"/>
      </w:pPr>
      <w:r>
        <w:rPr>
          <w:sz w:val="24"/>
          <w:szCs w:val="24"/>
          <w:lang w:eastAsia="en-US"/>
        </w:rPr>
        <w:t>The aims of this study are therefore to (i) analyse in unprecedented spatial detail the surface elevation changes of a land-terminating glacier during an active surge and (ii) use these measurements, in conjunction with terminus position, surface morphology and surface velocity observations, to interpret the likely timing and duration of the surge, and to speculate on the surge mechanism(s).</w:t>
      </w:r>
    </w:p>
    <w:p w14:paraId="01C50CC2" w14:textId="77777777" w:rsidR="00C82090" w:rsidRDefault="00C82090">
      <w:pPr>
        <w:spacing w:after="0"/>
        <w:rPr>
          <w:sz w:val="24"/>
          <w:szCs w:val="24"/>
          <w:lang w:eastAsia="en-US"/>
        </w:rPr>
      </w:pPr>
    </w:p>
    <w:p w14:paraId="7F8723D2" w14:textId="77777777" w:rsidR="00C82090" w:rsidRDefault="00C37608">
      <w:pPr>
        <w:pStyle w:val="Heading2"/>
      </w:pPr>
      <w:r>
        <w:t>STUDY SITE</w:t>
      </w:r>
    </w:p>
    <w:p w14:paraId="7E763C14" w14:textId="77777777" w:rsidR="00C82090" w:rsidRDefault="00C37608">
      <w:pPr>
        <w:spacing w:after="0"/>
      </w:pPr>
      <w:r>
        <w:rPr>
          <w:sz w:val="24"/>
          <w:szCs w:val="24"/>
        </w:rPr>
        <w:t>The Kverkfjöll central volcano on the northern margin of the Vatnajökull ice cap is a mountain massif with a relief of ~1200 m in central Iceland (</w:t>
      </w:r>
      <w:r>
        <w:rPr>
          <w:color w:val="0070C0"/>
          <w:sz w:val="24"/>
          <w:szCs w:val="24"/>
        </w:rPr>
        <w:t>Fig. 1</w:t>
      </w:r>
      <w:r>
        <w:rPr>
          <w:sz w:val="24"/>
          <w:szCs w:val="24"/>
        </w:rPr>
        <w:t xml:space="preserve">). Kverkfjöll is situated within the Northern Volcanic Zone (NVZ), which marks the mid-Atlantic plate boundary (Jóhannesson and Sæmundsson, 1998; Hjartardóttir and Einarsson, 2012; Hjartardóttir </w:t>
      </w:r>
      <w:r>
        <w:rPr>
          <w:i/>
          <w:iCs/>
          <w:sz w:val="24"/>
          <w:szCs w:val="24"/>
        </w:rPr>
        <w:t>et al.</w:t>
      </w:r>
      <w:r>
        <w:rPr>
          <w:sz w:val="24"/>
          <w:szCs w:val="24"/>
        </w:rPr>
        <w:t>, 2015). The southern part of the Kverkfjöll Volcanic System is mostly ice covered and includes two calderas (</w:t>
      </w:r>
      <w:r>
        <w:rPr>
          <w:color w:val="0070C0"/>
          <w:sz w:val="24"/>
          <w:szCs w:val="24"/>
        </w:rPr>
        <w:t>Fig. 1</w:t>
      </w:r>
      <w:r>
        <w:rPr>
          <w:sz w:val="24"/>
          <w:szCs w:val="24"/>
        </w:rPr>
        <w:t xml:space="preserve">) and extensive geothermal areas around the northern caldera rim, particularly at Hveradalur (Ármannsson </w:t>
      </w:r>
      <w:r>
        <w:rPr>
          <w:i/>
          <w:iCs/>
          <w:sz w:val="24"/>
          <w:szCs w:val="24"/>
        </w:rPr>
        <w:t>et al.</w:t>
      </w:r>
      <w:r>
        <w:rPr>
          <w:sz w:val="24"/>
          <w:szCs w:val="24"/>
        </w:rPr>
        <w:t xml:space="preserve">, 2000; Ólafsson </w:t>
      </w:r>
      <w:r>
        <w:rPr>
          <w:i/>
          <w:iCs/>
          <w:sz w:val="24"/>
          <w:szCs w:val="24"/>
        </w:rPr>
        <w:t>et al.</w:t>
      </w:r>
      <w:r>
        <w:rPr>
          <w:sz w:val="24"/>
          <w:szCs w:val="24"/>
        </w:rPr>
        <w:t xml:space="preserve">, 2000; Cousins </w:t>
      </w:r>
      <w:r>
        <w:rPr>
          <w:i/>
          <w:iCs/>
          <w:sz w:val="24"/>
          <w:szCs w:val="24"/>
        </w:rPr>
        <w:t>et al.</w:t>
      </w:r>
      <w:r>
        <w:rPr>
          <w:sz w:val="24"/>
          <w:szCs w:val="24"/>
        </w:rPr>
        <w:t>, 2013) (</w:t>
      </w:r>
      <w:r>
        <w:rPr>
          <w:color w:val="0070C0"/>
          <w:sz w:val="24"/>
          <w:szCs w:val="24"/>
        </w:rPr>
        <w:t>Fig. 1</w:t>
      </w:r>
      <w:r>
        <w:rPr>
          <w:sz w:val="24"/>
          <w:szCs w:val="24"/>
        </w:rPr>
        <w:t xml:space="preserve">). </w:t>
      </w:r>
    </w:p>
    <w:p w14:paraId="18EBC7B9" w14:textId="77777777" w:rsidR="00C82090" w:rsidRDefault="00C82090">
      <w:pPr>
        <w:spacing w:after="0"/>
        <w:rPr>
          <w:sz w:val="24"/>
          <w:szCs w:val="24"/>
        </w:rPr>
      </w:pPr>
    </w:p>
    <w:p w14:paraId="2859D2CF" w14:textId="77777777" w:rsidR="00C82090" w:rsidRDefault="00C37608">
      <w:pPr>
        <w:spacing w:after="0"/>
      </w:pPr>
      <w:r>
        <w:rPr>
          <w:sz w:val="24"/>
          <w:szCs w:val="24"/>
        </w:rPr>
        <w:t>The glacier Kverkjökull flows through an 800 m wide gap – the ‘Kverk’ – in the northern caldera rim. Kverkjökull is ~10 km long, ~18.5 km</w:t>
      </w:r>
      <w:r>
        <w:rPr>
          <w:sz w:val="24"/>
          <w:szCs w:val="24"/>
          <w:vertAlign w:val="superscript"/>
        </w:rPr>
        <w:t>2</w:t>
      </w:r>
      <w:r>
        <w:rPr>
          <w:sz w:val="24"/>
          <w:szCs w:val="24"/>
        </w:rPr>
        <w:t xml:space="preserve"> in area, and extends from ~1880 m asl. to ~950 m asl. Thus, the glacier is generally narrow and steep and ‘alpine’ in contrast to the other lobate outlets of northern Vatnajökull. The terminus of Kverkjökull has had several periods of minor advances both in the 1970s and the 1980s (Sigurðsson, 1998) but has overall retreated by 56 m from 1963 to 1971, 18 m from 1971 to 1993 and by 266 m between 1995 and 2012 (Sigurðsson and Einarsson, 2014), leaving a series of sub-parallel ~1 m high small (~1 m local relief) moraines that approximate annual terminus positions. It is now ~1 km behind its Little Ice Age (LIA) position (</w:t>
      </w:r>
      <w:r>
        <w:rPr>
          <w:color w:val="0070C0"/>
          <w:sz w:val="24"/>
          <w:szCs w:val="24"/>
        </w:rPr>
        <w:t>Fig. 1</w:t>
      </w:r>
      <w:r>
        <w:rPr>
          <w:sz w:val="24"/>
          <w:szCs w:val="24"/>
        </w:rPr>
        <w:t xml:space="preserve">). The terminus supports an ice cave which remains open all year </w:t>
      </w:r>
      <w:r>
        <w:rPr>
          <w:sz w:val="24"/>
          <w:szCs w:val="24"/>
        </w:rPr>
        <w:lastRenderedPageBreak/>
        <w:t>round because the Volga river is partially fed by hydrothermal outflow from Gengissig, which is a geothermal lake situated on the western margin of the glacier accumulation area (</w:t>
      </w:r>
      <w:r>
        <w:rPr>
          <w:color w:val="0070C0"/>
          <w:sz w:val="24"/>
          <w:szCs w:val="24"/>
        </w:rPr>
        <w:t>Fig. 1</w:t>
      </w:r>
      <w:r>
        <w:rPr>
          <w:sz w:val="24"/>
          <w:szCs w:val="24"/>
        </w:rPr>
        <w:t>). An extensive area of ice-cored moraine lies within the proglacial area and immediately to the north of the contemporary outwash plain (</w:t>
      </w:r>
      <w:r>
        <w:rPr>
          <w:color w:val="0070C0"/>
          <w:sz w:val="24"/>
          <w:szCs w:val="24"/>
        </w:rPr>
        <w:t>Fig. 1</w:t>
      </w:r>
      <w:r>
        <w:rPr>
          <w:sz w:val="24"/>
          <w:szCs w:val="24"/>
        </w:rPr>
        <w:t xml:space="preserve">). This ice-cored moraine is conspicuous for its extent, which corresponds to that of the LIA moraines, and for its high debris content in comparison to the contemporary surface of Kverkjökull. </w:t>
      </w:r>
    </w:p>
    <w:p w14:paraId="18F9176F" w14:textId="77777777" w:rsidR="00C82090" w:rsidRDefault="00C82090">
      <w:pPr>
        <w:spacing w:after="0"/>
        <w:rPr>
          <w:sz w:val="24"/>
          <w:szCs w:val="24"/>
        </w:rPr>
      </w:pPr>
    </w:p>
    <w:p w14:paraId="2704B4B3" w14:textId="77777777" w:rsidR="00C82090" w:rsidRDefault="00C37608">
      <w:pPr>
        <w:spacing w:after="0"/>
      </w:pPr>
      <w:r>
        <w:rPr>
          <w:sz w:val="24"/>
          <w:szCs w:val="24"/>
        </w:rPr>
        <w:t xml:space="preserve">The wider proglacial area of Kverkfjöll; ‘Kverkfjallarani’, holds abundant geomorphological and sedimentological evidence of Holocene jökulhlaups (Carrivick </w:t>
      </w:r>
      <w:r>
        <w:rPr>
          <w:i/>
          <w:iCs/>
          <w:sz w:val="24"/>
          <w:szCs w:val="24"/>
        </w:rPr>
        <w:t>et al.</w:t>
      </w:r>
      <w:r>
        <w:rPr>
          <w:sz w:val="24"/>
          <w:szCs w:val="24"/>
        </w:rPr>
        <w:t xml:space="preserve">, 2004a,b; Carrivick and Twigg, 2005; Carrivick, 2007) and other examples of ice-volcano interactions that together suggest a deglacial control on volcanism (Carrivick </w:t>
      </w:r>
      <w:r>
        <w:rPr>
          <w:i/>
          <w:iCs/>
          <w:sz w:val="24"/>
          <w:szCs w:val="24"/>
        </w:rPr>
        <w:t>et al.</w:t>
      </w:r>
      <w:r>
        <w:rPr>
          <w:sz w:val="24"/>
          <w:szCs w:val="24"/>
        </w:rPr>
        <w:t xml:space="preserve">, 2009). Historically, jökulhlaups from Kverkfjöll have occurred in 1959 (Jóhannsson, 1959), 1985, 1987, 1993, 1997, January 2002 (Sigurðsson and Jónsson, 1999; Sigurðsson </w:t>
      </w:r>
      <w:r>
        <w:rPr>
          <w:i/>
          <w:iCs/>
          <w:sz w:val="24"/>
          <w:szCs w:val="24"/>
        </w:rPr>
        <w:t>et al</w:t>
      </w:r>
      <w:r>
        <w:rPr>
          <w:sz w:val="24"/>
          <w:szCs w:val="24"/>
        </w:rPr>
        <w:t xml:space="preserve">., 2002; Sigurðsson and Einarssson, 2005; Rushmer, 2006; Guðmundsson and Högnadóttir, 2009) and August 2013 (Guðmundsson </w:t>
      </w:r>
      <w:r>
        <w:rPr>
          <w:i/>
          <w:iCs/>
          <w:sz w:val="24"/>
          <w:szCs w:val="24"/>
        </w:rPr>
        <w:t>et al.</w:t>
      </w:r>
      <w:r>
        <w:rPr>
          <w:sz w:val="24"/>
          <w:szCs w:val="24"/>
        </w:rPr>
        <w:t xml:space="preserve">, 2013), and at least the more recent of these events have been due to the drainage of Gengissig (Rushmer, 2006; Guðmundsson </w:t>
      </w:r>
      <w:r>
        <w:rPr>
          <w:i/>
          <w:iCs/>
          <w:sz w:val="24"/>
          <w:szCs w:val="24"/>
        </w:rPr>
        <w:t>et al.</w:t>
      </w:r>
      <w:r>
        <w:rPr>
          <w:sz w:val="24"/>
          <w:szCs w:val="24"/>
        </w:rPr>
        <w:t>, 2013). In both the proglacial zone and in Kverkfjallarani there is no geomorphological or sedimentological evidence that has been attributed to previous surges of Kverkjökull.</w:t>
      </w:r>
    </w:p>
    <w:p w14:paraId="7A94F36B" w14:textId="77777777" w:rsidR="00C82090" w:rsidRDefault="00C82090">
      <w:pPr>
        <w:spacing w:after="0"/>
        <w:rPr>
          <w:sz w:val="24"/>
          <w:szCs w:val="24"/>
        </w:rPr>
      </w:pPr>
    </w:p>
    <w:p w14:paraId="3F4B3925" w14:textId="77777777" w:rsidR="00C82090" w:rsidRDefault="00C37608">
      <w:pPr>
        <w:spacing w:after="0"/>
      </w:pPr>
      <w:r>
        <w:rPr>
          <w:b/>
          <w:sz w:val="24"/>
          <w:szCs w:val="24"/>
        </w:rPr>
        <w:t>METHODS</w:t>
      </w:r>
    </w:p>
    <w:p w14:paraId="43DC2239" w14:textId="77777777" w:rsidR="00C82090" w:rsidRDefault="00C37608">
      <w:pPr>
        <w:spacing w:after="0"/>
      </w:pPr>
      <w:r>
        <w:rPr>
          <w:b/>
          <w:i/>
          <w:sz w:val="24"/>
          <w:szCs w:val="24"/>
        </w:rPr>
        <w:t>Spot elevation measurements</w:t>
      </w:r>
    </w:p>
    <w:p w14:paraId="6F19C01E" w14:textId="77777777" w:rsidR="00C82090" w:rsidRDefault="00C37608">
      <w:pPr>
        <w:spacing w:after="0"/>
      </w:pPr>
      <w:r>
        <w:rPr>
          <w:sz w:val="24"/>
          <w:szCs w:val="24"/>
        </w:rPr>
        <w:t>A Leica</w:t>
      </w:r>
      <w:r>
        <w:rPr>
          <w:b/>
          <w:i/>
          <w:sz w:val="24"/>
          <w:szCs w:val="24"/>
        </w:rPr>
        <w:t xml:space="preserve"> </w:t>
      </w:r>
      <w:r>
        <w:rPr>
          <w:sz w:val="24"/>
          <w:szCs w:val="24"/>
        </w:rPr>
        <w:t xml:space="preserve">GPS500 differential Global Positioning System (dGPS) was used to collect spot elevation measurements in August 2007 and in August 2008. Specifically, a base station receiver was set up on an arbitrary point, and continuously recorded its 3D position at 1 s intervals for up to 8 hrs per day. These 3D positions were post-processed relative to data from permanent Icelandic geodetic dGPS receivers at Kárahnjúkar and Höfn and an average position, accurate to </w:t>
      </w:r>
      <w:r>
        <w:rPr>
          <w:rFonts w:ascii="Ubuntu" w:hAnsi="Ubuntu" w:cs="Ubuntu"/>
          <w:sz w:val="24"/>
          <w:szCs w:val="24"/>
        </w:rPr>
        <w:t>±</w:t>
      </w:r>
      <w:r>
        <w:rPr>
          <w:sz w:val="24"/>
          <w:szCs w:val="24"/>
        </w:rPr>
        <w:t xml:space="preserve">0.005 m was computed for the base station. A rover receiver was used in Real Time Kinematic (RTK) mode to collect 3D positions of our points of interest; </w:t>
      </w:r>
      <w:r>
        <w:rPr>
          <w:i/>
          <w:iCs/>
          <w:sz w:val="24"/>
          <w:szCs w:val="24"/>
        </w:rPr>
        <w:t>i.e.</w:t>
      </w:r>
      <w:r>
        <w:rPr>
          <w:sz w:val="24"/>
          <w:szCs w:val="24"/>
        </w:rPr>
        <w:t xml:space="preserve"> the 3D positions were calculated and differentially corrected in real time with base station data, the base and rover being linked by a radio. Rover 3D points include the 2007 and 2008 ice margin, transects of elevation of the glacier across the terminus area, and some control points and transects along relatively stable terrain in the proglacial area. They all have a 3D accuracy of </w:t>
      </w:r>
      <w:r>
        <w:rPr>
          <w:rFonts w:ascii="Ubuntu" w:hAnsi="Ubuntu" w:cs="Ubuntu"/>
          <w:sz w:val="24"/>
          <w:szCs w:val="24"/>
        </w:rPr>
        <w:t>±</w:t>
      </w:r>
      <w:r>
        <w:rPr>
          <w:sz w:val="24"/>
          <w:szCs w:val="24"/>
        </w:rPr>
        <w:t>10 cm owing to the rover moving (mounted on a back pack) during the survey.</w:t>
      </w:r>
    </w:p>
    <w:p w14:paraId="49EC2FD1" w14:textId="77777777" w:rsidR="00C82090" w:rsidRDefault="00C82090">
      <w:pPr>
        <w:spacing w:after="0"/>
        <w:rPr>
          <w:b/>
          <w:i/>
          <w:sz w:val="24"/>
          <w:szCs w:val="24"/>
        </w:rPr>
      </w:pPr>
    </w:p>
    <w:p w14:paraId="04F33494" w14:textId="77777777" w:rsidR="00C82090" w:rsidRDefault="00C37608">
      <w:pPr>
        <w:spacing w:after="0"/>
      </w:pPr>
      <w:r>
        <w:rPr>
          <w:b/>
          <w:i/>
          <w:sz w:val="24"/>
          <w:szCs w:val="24"/>
        </w:rPr>
        <w:lastRenderedPageBreak/>
        <w:t>Digital elevation models</w:t>
      </w:r>
    </w:p>
    <w:p w14:paraId="0134C878" w14:textId="77777777" w:rsidR="00C82090" w:rsidRDefault="00C37608">
      <w:pPr>
        <w:spacing w:after="0"/>
      </w:pPr>
      <w:r>
        <w:rPr>
          <w:sz w:val="24"/>
          <w:szCs w:val="24"/>
        </w:rPr>
        <w:t>A Digital Elevation Model (DEM) was produced using georeferenced Airborne Laser Scanning (ALS) data obtained on 6</w:t>
      </w:r>
      <w:r>
        <w:rPr>
          <w:sz w:val="24"/>
          <w:szCs w:val="24"/>
          <w:vertAlign w:val="superscript"/>
        </w:rPr>
        <w:t>th</w:t>
      </w:r>
      <w:r>
        <w:rPr>
          <w:sz w:val="24"/>
          <w:szCs w:val="24"/>
        </w:rPr>
        <w:t xml:space="preserve"> August 2007 (</w:t>
      </w:r>
      <w:r>
        <w:rPr>
          <w:color w:val="0070C0"/>
          <w:sz w:val="24"/>
          <w:szCs w:val="24"/>
        </w:rPr>
        <w:t>Fig. 2A</w:t>
      </w:r>
      <w:r>
        <w:rPr>
          <w:sz w:val="24"/>
          <w:szCs w:val="24"/>
        </w:rPr>
        <w:t>). Georeferencing of the ALS data was achieved via the base station receiver data as described above being post-processed against the GPS receiver and Inertial Measurement Unit (IMU) data from those instruments onboard the survey aircraft and linked in real time to the ALS system. The 2007 ALS data have mean point density of 0.8 per m</w:t>
      </w:r>
      <w:r>
        <w:rPr>
          <w:sz w:val="24"/>
          <w:szCs w:val="24"/>
          <w:vertAlign w:val="superscript"/>
        </w:rPr>
        <w:t>2</w:t>
      </w:r>
      <w:r>
        <w:rPr>
          <w:sz w:val="24"/>
          <w:szCs w:val="24"/>
        </w:rPr>
        <w:t xml:space="preserve"> and they were aggregated using Inverse Distance Weighting (IDW) onto a regular 3 x 3 m grid with an estimated vertical accuracy of ±0.1 m.</w:t>
      </w:r>
    </w:p>
    <w:p w14:paraId="60FB47A2" w14:textId="77777777" w:rsidR="00C82090" w:rsidRDefault="00C82090">
      <w:pPr>
        <w:spacing w:after="0"/>
        <w:rPr>
          <w:sz w:val="24"/>
          <w:szCs w:val="24"/>
        </w:rPr>
      </w:pPr>
    </w:p>
    <w:p w14:paraId="22F7F9DB" w14:textId="77777777" w:rsidR="00C82090" w:rsidRDefault="00C37608">
      <w:pPr>
        <w:spacing w:after="0"/>
      </w:pPr>
      <w:r>
        <w:rPr>
          <w:sz w:val="24"/>
          <w:szCs w:val="24"/>
        </w:rPr>
        <w:t>The 2011 ALS measurements were carried out on 10</w:t>
      </w:r>
      <w:r>
        <w:rPr>
          <w:sz w:val="24"/>
          <w:szCs w:val="24"/>
          <w:vertAlign w:val="superscript"/>
        </w:rPr>
        <w:t>th</w:t>
      </w:r>
      <w:r>
        <w:rPr>
          <w:sz w:val="24"/>
          <w:szCs w:val="24"/>
        </w:rPr>
        <w:t xml:space="preserve"> September 2011. They have a mean point  density of 0.3 per m</w:t>
      </w:r>
      <w:r>
        <w:rPr>
          <w:sz w:val="24"/>
          <w:szCs w:val="24"/>
          <w:vertAlign w:val="superscript"/>
        </w:rPr>
        <w:t>2</w:t>
      </w:r>
      <w:r>
        <w:rPr>
          <w:sz w:val="24"/>
          <w:szCs w:val="24"/>
        </w:rPr>
        <w:t xml:space="preserve"> and were aggregated onto a 5 x 5 m regular grid based on the mean point density being slightly lower than that for the 2007 ALS data (Icelandic Meteoro</w:t>
      </w:r>
      <w:r>
        <w:rPr>
          <w:sz w:val="24"/>
          <w:szCs w:val="24"/>
        </w:rPr>
        <w:softHyphen/>
        <w:t xml:space="preserve">logical Office and Institute of Earth Sciences, University of Iceland, 2013: DEMs of Icelandic glaciers; Jóhannesson </w:t>
      </w:r>
      <w:r>
        <w:rPr>
          <w:i/>
          <w:iCs/>
          <w:sz w:val="24"/>
          <w:szCs w:val="24"/>
        </w:rPr>
        <w:t>et al.</w:t>
      </w:r>
      <w:r>
        <w:rPr>
          <w:sz w:val="24"/>
          <w:szCs w:val="24"/>
        </w:rPr>
        <w:t>, 2013). The absolute vertical accuracy of the 2011 DEM is estimated to be better than 0.5 m but the relative accuracy may be expected to be similar to the 2007 DEM.</w:t>
      </w:r>
    </w:p>
    <w:p w14:paraId="1E3909FF" w14:textId="77777777" w:rsidR="00C82090" w:rsidRDefault="00C82090">
      <w:pPr>
        <w:spacing w:after="0"/>
        <w:rPr>
          <w:sz w:val="24"/>
          <w:szCs w:val="24"/>
        </w:rPr>
      </w:pPr>
    </w:p>
    <w:p w14:paraId="0D414166" w14:textId="2113EA47" w:rsidR="00C82090" w:rsidRDefault="00C37608">
      <w:pPr>
        <w:spacing w:after="0"/>
      </w:pPr>
      <w:r>
        <w:rPr>
          <w:sz w:val="24"/>
          <w:szCs w:val="24"/>
        </w:rPr>
        <w:t xml:space="preserve">The 2011 DEM </w:t>
      </w:r>
      <w:r>
        <w:rPr>
          <w:color w:val="0070C0"/>
          <w:sz w:val="24"/>
          <w:szCs w:val="24"/>
        </w:rPr>
        <w:t>(Fig. 2B</w:t>
      </w:r>
      <w:r>
        <w:rPr>
          <w:sz w:val="24"/>
          <w:szCs w:val="24"/>
        </w:rPr>
        <w:t>) was corrected vertically for the geoid height using the NKG96 geoid model for Iceland which is practically identical to the more recent 2011 geoid model (National Land Survey of Iceland</w:t>
      </w:r>
      <w:r>
        <w:rPr>
          <w:sz w:val="24"/>
          <w:szCs w:val="24"/>
          <w:lang w:eastAsia="en-US"/>
        </w:rPr>
        <w:t>, 2016). In contrast, the absolute vertical positioning of the 2007 DEM was derived on the basis of the calculated altitude above sea-level of the base dGPS station (see above). In order to eliminate possible vertical biases,</w:t>
      </w:r>
      <w:r>
        <w:rPr>
          <w:sz w:val="24"/>
          <w:szCs w:val="24"/>
        </w:rPr>
        <w:t xml:space="preserve"> the 2011 DEM was shifted vertically bas</w:t>
      </w:r>
      <w:r w:rsidR="0010152E">
        <w:rPr>
          <w:sz w:val="24"/>
          <w:szCs w:val="24"/>
        </w:rPr>
        <w:t xml:space="preserve">ed on elevation differences in </w:t>
      </w:r>
      <w:r>
        <w:rPr>
          <w:sz w:val="24"/>
          <w:szCs w:val="24"/>
        </w:rPr>
        <w:t xml:space="preserve">130 random points off-glacier, snowfields and ice-cored moraines (yellow triangles in </w:t>
      </w:r>
      <w:r>
        <w:rPr>
          <w:color w:val="0070C0"/>
          <w:sz w:val="24"/>
          <w:szCs w:val="24"/>
        </w:rPr>
        <w:t>Fig. 2A</w:t>
      </w:r>
      <w:r>
        <w:rPr>
          <w:sz w:val="24"/>
          <w:szCs w:val="24"/>
        </w:rPr>
        <w:t>).</w:t>
      </w:r>
      <w:r>
        <w:rPr>
          <w:sz w:val="24"/>
          <w:szCs w:val="24"/>
          <w:lang w:eastAsia="en-US"/>
        </w:rPr>
        <w:t xml:space="preserve"> W</w:t>
      </w:r>
      <w:r>
        <w:rPr>
          <w:sz w:val="24"/>
          <w:szCs w:val="24"/>
        </w:rPr>
        <w:t>e interpolated a surface through our points of difference and found no spatial pattern, suggesting that both ALS datasets are spatially coherent and indeed uniform in tilt and pitch and yaw (</w:t>
      </w:r>
      <w:r w:rsidRPr="00A22170">
        <w:rPr>
          <w:i/>
          <w:iCs/>
          <w:sz w:val="24"/>
          <w:szCs w:val="24"/>
        </w:rPr>
        <w:t>i.e.</w:t>
      </w:r>
      <w:r>
        <w:rPr>
          <w:sz w:val="24"/>
          <w:szCs w:val="24"/>
        </w:rPr>
        <w:t xml:space="preserve"> IMU) corrections.  </w:t>
      </w:r>
      <w:r w:rsidR="00E11FB6">
        <w:rPr>
          <w:sz w:val="24"/>
          <w:szCs w:val="24"/>
        </w:rPr>
        <w:t xml:space="preserve">Since the grid cell size of each DEM is greater than the point accuracy of our dGPS points, and the rough nature of parts of the surface under investigation, the absolute accuracy of our DEMs can be assessed with consideration of the variance of these two random variables, i.e. the RMS of grid cell differences / </w:t>
      </w:r>
      <w:r w:rsidR="00E11FB6" w:rsidRPr="00E11FB6">
        <w:rPr>
          <w:sz w:val="24"/>
          <w:szCs w:val="24"/>
        </w:rPr>
        <w:t>√</w:t>
      </w:r>
      <w:r w:rsidR="00E11FB6">
        <w:rPr>
          <w:sz w:val="24"/>
          <w:szCs w:val="24"/>
        </w:rPr>
        <w:t xml:space="preserve"> 2, which </w:t>
      </w:r>
      <w:r w:rsidR="0010152E">
        <w:rPr>
          <w:sz w:val="24"/>
          <w:szCs w:val="24"/>
        </w:rPr>
        <w:t xml:space="preserve">based on our 130 random points </w:t>
      </w:r>
      <w:r w:rsidR="00E11FB6">
        <w:rPr>
          <w:sz w:val="24"/>
          <w:szCs w:val="24"/>
        </w:rPr>
        <w:t>we found to be</w:t>
      </w:r>
      <w:r w:rsidR="00225303">
        <w:rPr>
          <w:sz w:val="24"/>
          <w:szCs w:val="24"/>
        </w:rPr>
        <w:t xml:space="preserve"> 5.</w:t>
      </w:r>
      <w:r w:rsidR="00984918">
        <w:rPr>
          <w:sz w:val="24"/>
          <w:szCs w:val="24"/>
        </w:rPr>
        <w:t>6</w:t>
      </w:r>
      <w:r w:rsidR="00225303">
        <w:rPr>
          <w:sz w:val="24"/>
          <w:szCs w:val="24"/>
        </w:rPr>
        <w:t xml:space="preserve"> m.</w:t>
      </w:r>
    </w:p>
    <w:p w14:paraId="1B769DA7" w14:textId="77777777" w:rsidR="00C82090" w:rsidRDefault="00C82090">
      <w:pPr>
        <w:spacing w:after="0"/>
        <w:rPr>
          <w:sz w:val="24"/>
          <w:szCs w:val="24"/>
        </w:rPr>
      </w:pPr>
    </w:p>
    <w:p w14:paraId="308AE0F7" w14:textId="77777777" w:rsidR="00C82090" w:rsidRDefault="00C37608">
      <w:pPr>
        <w:spacing w:after="0"/>
      </w:pPr>
      <w:r>
        <w:rPr>
          <w:sz w:val="24"/>
          <w:szCs w:val="24"/>
        </w:rPr>
        <w:t>The 2007 and 2011 DEMs were each hillshaded to produce a 3D visual impression of the glacier surface with unprecedented spatial resolution when compared to other analyses of glacier surges.</w:t>
      </w:r>
      <w:r>
        <w:rPr>
          <w:sz w:val="24"/>
          <w:szCs w:val="24"/>
          <w:lang w:eastAsia="en-US"/>
        </w:rPr>
        <w:t xml:space="preserve"> Each DEM was analysed for its representation of ice surface texture, specifically by (i) simply using a local (between adjacent grid cells) slope, and (ii) calculating local </w:t>
      </w:r>
      <w:r>
        <w:rPr>
          <w:sz w:val="24"/>
          <w:szCs w:val="24"/>
          <w:lang w:eastAsia="en-US"/>
        </w:rPr>
        <w:lastRenderedPageBreak/>
        <w:t>roughness as the elevation range between adjacent cells in a detrended elevation grid. Elevation in each DEM was detrended by subtracting the local (per grid cell) elevation from a surface calculated of mean elevation within a 4 x 4 cell (</w:t>
      </w:r>
      <w:r w:rsidRPr="00A22170">
        <w:rPr>
          <w:i/>
          <w:iCs/>
          <w:sz w:val="24"/>
          <w:szCs w:val="24"/>
          <w:lang w:eastAsia="en-US"/>
        </w:rPr>
        <w:t>i.e.</w:t>
      </w:r>
      <w:r>
        <w:rPr>
          <w:sz w:val="24"/>
          <w:szCs w:val="24"/>
          <w:lang w:eastAsia="en-US"/>
        </w:rPr>
        <w:t xml:space="preserve"> 20 m) moving window. The local relief of crevasses and seracs was quantified by calculating the difference in elevation between adjacent detrended grid cells, </w:t>
      </w:r>
      <w:r w:rsidRPr="00A22170">
        <w:rPr>
          <w:i/>
          <w:iCs/>
          <w:sz w:val="24"/>
          <w:szCs w:val="24"/>
          <w:lang w:eastAsia="en-US"/>
        </w:rPr>
        <w:t>i.e.</w:t>
      </w:r>
      <w:r>
        <w:rPr>
          <w:sz w:val="24"/>
          <w:szCs w:val="24"/>
          <w:lang w:eastAsia="en-US"/>
        </w:rPr>
        <w:t xml:space="preserve"> over a horizontal distance of 10 m.</w:t>
      </w:r>
    </w:p>
    <w:p w14:paraId="5AE540A4" w14:textId="77777777" w:rsidR="00C82090" w:rsidRDefault="00C82090">
      <w:pPr>
        <w:spacing w:after="0"/>
        <w:rPr>
          <w:sz w:val="24"/>
          <w:szCs w:val="24"/>
          <w:lang w:eastAsia="en-US"/>
        </w:rPr>
      </w:pPr>
    </w:p>
    <w:p w14:paraId="27EDB669" w14:textId="77777777" w:rsidR="00C82090" w:rsidRDefault="00C37608">
      <w:pPr>
        <w:spacing w:after="0"/>
      </w:pPr>
      <w:r>
        <w:rPr>
          <w:sz w:val="24"/>
          <w:szCs w:val="24"/>
          <w:lang w:eastAsia="en-US"/>
        </w:rPr>
        <w:t>A</w:t>
      </w:r>
      <w:r>
        <w:rPr>
          <w:sz w:val="24"/>
          <w:szCs w:val="24"/>
        </w:rPr>
        <w:t>fter the vertical shifting of the 2011 DEM, the DEMs were subtracted on a cell-by-cell basis to give a new grid: a DEM of difference (DoD) where positive values represent an increase in elevation between August 2007 and August 2011, and negative values represent a decrease in elevation between those dates (</w:t>
      </w:r>
      <w:r>
        <w:rPr>
          <w:color w:val="0070C0"/>
          <w:sz w:val="24"/>
          <w:szCs w:val="24"/>
        </w:rPr>
        <w:t>Fig. 2B</w:t>
      </w:r>
      <w:r>
        <w:rPr>
          <w:sz w:val="24"/>
          <w:szCs w:val="24"/>
        </w:rPr>
        <w:t>).</w:t>
      </w:r>
    </w:p>
    <w:p w14:paraId="657BA406" w14:textId="77777777" w:rsidR="00C82090" w:rsidRDefault="00C82090">
      <w:pPr>
        <w:spacing w:after="0"/>
        <w:rPr>
          <w:sz w:val="24"/>
          <w:szCs w:val="24"/>
        </w:rPr>
      </w:pPr>
    </w:p>
    <w:p w14:paraId="535057C4" w14:textId="77777777" w:rsidR="00C82090" w:rsidRDefault="00C37608">
      <w:pPr>
        <w:spacing w:after="0"/>
      </w:pPr>
      <w:r>
        <w:rPr>
          <w:b/>
          <w:i/>
          <w:sz w:val="24"/>
          <w:szCs w:val="24"/>
        </w:rPr>
        <w:t>Satellite images</w:t>
      </w:r>
    </w:p>
    <w:p w14:paraId="4C43CF06" w14:textId="77777777" w:rsidR="00C82090" w:rsidRDefault="00C37608">
      <w:pPr>
        <w:spacing w:after="0"/>
      </w:pPr>
      <w:r>
        <w:rPr>
          <w:sz w:val="24"/>
          <w:szCs w:val="24"/>
        </w:rPr>
        <w:t>We checked Loftmyndir ehf. (loftmyndir.is) for aerial photographs and they had no imagery of Kverkjökull for the time period 2007 to 2011. We therefore obtained WorldView imagery (</w:t>
      </w:r>
      <w:r>
        <w:rPr>
          <w:color w:val="0070C0"/>
          <w:sz w:val="24"/>
          <w:szCs w:val="24"/>
        </w:rPr>
        <w:t>Table 2</w:t>
      </w:r>
      <w:r>
        <w:rPr>
          <w:sz w:val="24"/>
          <w:szCs w:val="24"/>
        </w:rPr>
        <w:t>) that were resampled to a common 0.5 m grid cell size for efficiency of data management purposes. Our georeferencing of the WorldView images could only be to ~2 m via co-registration to the ALS data and orthorectification was not possible because the images have a very oblique view and belong to a slightly different strip and to a different time of day (</w:t>
      </w:r>
      <w:r>
        <w:rPr>
          <w:color w:val="0070C0"/>
          <w:sz w:val="24"/>
          <w:szCs w:val="24"/>
        </w:rPr>
        <w:t>Table 2</w:t>
      </w:r>
      <w:r>
        <w:rPr>
          <w:sz w:val="24"/>
          <w:szCs w:val="24"/>
        </w:rPr>
        <w:t>), which together cause long and deep shadows. The images are from single strips and are not stereo-pairs so they could not be used photogrammetrically. Nonetheless, the WorldView images could be used for manual measurement of planform and surface texture changes via on-screen digitising, both at an unprecedented spatial resolution for glacier surge analyses.</w:t>
      </w:r>
    </w:p>
    <w:p w14:paraId="6069E455" w14:textId="77777777" w:rsidR="00C82090" w:rsidRDefault="00C82090">
      <w:pPr>
        <w:spacing w:after="0"/>
        <w:rPr>
          <w:b/>
          <w:i/>
          <w:sz w:val="24"/>
          <w:szCs w:val="24"/>
        </w:rPr>
      </w:pPr>
    </w:p>
    <w:p w14:paraId="596971D6" w14:textId="77777777" w:rsidR="00C82090" w:rsidRDefault="00C37608">
      <w:pPr>
        <w:spacing w:after="0"/>
      </w:pPr>
      <w:r>
        <w:rPr>
          <w:b/>
          <w:i/>
          <w:sz w:val="24"/>
          <w:szCs w:val="24"/>
        </w:rPr>
        <w:t xml:space="preserve">Bed topography and ice thickness </w:t>
      </w:r>
    </w:p>
    <w:p w14:paraId="3D40FA3B" w14:textId="77777777" w:rsidR="00C82090" w:rsidRDefault="00C37608">
      <w:pPr>
        <w:spacing w:after="0"/>
      </w:pPr>
      <w:r>
        <w:rPr>
          <w:sz w:val="24"/>
          <w:szCs w:val="24"/>
        </w:rPr>
        <w:t xml:space="preserve">Bed topography and ice thickness are not usually known for surging glaciers outside of Iceland but Murray </w:t>
      </w:r>
      <w:r>
        <w:rPr>
          <w:i/>
          <w:iCs/>
          <w:sz w:val="24"/>
          <w:szCs w:val="24"/>
        </w:rPr>
        <w:t>et al.</w:t>
      </w:r>
      <w:r>
        <w:rPr>
          <w:sz w:val="24"/>
          <w:szCs w:val="24"/>
        </w:rPr>
        <w:t xml:space="preserve"> (2012) have reported measurements of ice thickness in their surge analysis. In Iceland, many subglacial bed profiles have been interpolated to estimate subglacial bed topography (Björnsson, 1988; Björnsson </w:t>
      </w:r>
      <w:r>
        <w:rPr>
          <w:i/>
          <w:iCs/>
          <w:sz w:val="24"/>
          <w:szCs w:val="24"/>
        </w:rPr>
        <w:t>et al.</w:t>
      </w:r>
      <w:r>
        <w:rPr>
          <w:sz w:val="24"/>
          <w:szCs w:val="24"/>
        </w:rPr>
        <w:t xml:space="preserve">, 2003; Aðalgeirsdóttir </w:t>
      </w:r>
      <w:r>
        <w:rPr>
          <w:i/>
          <w:iCs/>
          <w:sz w:val="24"/>
          <w:szCs w:val="24"/>
        </w:rPr>
        <w:t>et al.</w:t>
      </w:r>
      <w:r>
        <w:rPr>
          <w:sz w:val="24"/>
          <w:szCs w:val="24"/>
        </w:rPr>
        <w:t xml:space="preserve">, 2005). However, bed elevation has not been measured along the main trunk of Kverkjökull. The only bed elevation measurements that exist in the Kverkfjöll area are; (i) with uncertainty of </w:t>
      </w:r>
      <w:r>
        <w:rPr>
          <w:rFonts w:ascii="Ubuntu" w:hAnsi="Ubuntu" w:cs="Ubuntu"/>
          <w:sz w:val="24"/>
          <w:szCs w:val="24"/>
        </w:rPr>
        <w:t>±</w:t>
      </w:r>
      <w:r>
        <w:rPr>
          <w:sz w:val="24"/>
          <w:szCs w:val="24"/>
        </w:rPr>
        <w:t xml:space="preserve">50 m elevation and from a single traverse made in 1988 across the southern rim of the northern caldera that identified ice thickness of ~200 m (Finnur Pálsson pers. comm.; Björnsson and Einarsson, 1990), and (ii) in the immediate vicinity of Gengissig (Montanaro </w:t>
      </w:r>
      <w:r>
        <w:rPr>
          <w:i/>
          <w:iCs/>
          <w:sz w:val="24"/>
          <w:szCs w:val="24"/>
        </w:rPr>
        <w:t>et al.</w:t>
      </w:r>
      <w:r>
        <w:rPr>
          <w:sz w:val="24"/>
          <w:szCs w:val="24"/>
        </w:rPr>
        <w:t>, 2016).</w:t>
      </w:r>
    </w:p>
    <w:p w14:paraId="00CC7AF6" w14:textId="77777777" w:rsidR="00C82090" w:rsidRDefault="00C82090">
      <w:pPr>
        <w:spacing w:after="0"/>
        <w:rPr>
          <w:sz w:val="24"/>
          <w:szCs w:val="24"/>
        </w:rPr>
      </w:pPr>
    </w:p>
    <w:p w14:paraId="3F95D475" w14:textId="77777777" w:rsidR="00C82090" w:rsidRDefault="00C37608">
      <w:pPr>
        <w:spacing w:after="0"/>
      </w:pPr>
      <w:r>
        <w:rPr>
          <w:sz w:val="24"/>
          <w:szCs w:val="24"/>
        </w:rPr>
        <w:t xml:space="preserve">Therefore, in this study we have estimated the bed elevation of Kverkjökull by application of a simple steady state ‘perfectly plasticity’ one-dimensional (1D) model applied along a centreline profile of the glacier surface as represented in the 2007 DEM, and extrapolated in 3D across the 2007 glacier area, following the workflow of James and Carrivick (2016). Specifically, we used a valley-wide yield stress of </w:t>
      </w:r>
      <w:r>
        <w:t>τ</w:t>
      </w:r>
      <w:r>
        <w:rPr>
          <w:sz w:val="24"/>
          <w:szCs w:val="24"/>
        </w:rPr>
        <w:t xml:space="preserve"> = 130 kPa for the model, as suggested by Hoelzle et al. (2007), from Haeberli and Hoelzle (1995), as representative of alpine (European Alps) glaciers and including consideration of a shape factor, </w:t>
      </w:r>
      <w:r>
        <w:rPr>
          <w:i/>
          <w:sz w:val="24"/>
          <w:szCs w:val="24"/>
        </w:rPr>
        <w:t>f</w:t>
      </w:r>
      <w:r>
        <w:rPr>
          <w:sz w:val="24"/>
          <w:szCs w:val="24"/>
        </w:rPr>
        <w:t xml:space="preserve"> (James and Carrivick, 2016). We interpolated our bed elevation from along the centreline over the entire area of the glacier using the ANUDEM algorithm (Hutchinson, 1989), which is an interpolation routine designed to generate hydrologically-correct surfaces from surrounding elevation data and which is commonly applied to reconstructing subglacial bed topography (James and Carrivick, 2016). </w:t>
      </w:r>
    </w:p>
    <w:p w14:paraId="720462F8" w14:textId="77777777" w:rsidR="00C82090" w:rsidRDefault="00C82090">
      <w:pPr>
        <w:spacing w:after="0"/>
        <w:rPr>
          <w:sz w:val="24"/>
          <w:szCs w:val="24"/>
        </w:rPr>
      </w:pPr>
    </w:p>
    <w:p w14:paraId="2D55C0ED" w14:textId="77777777" w:rsidR="00C82090" w:rsidRDefault="00C37608">
      <w:pPr>
        <w:spacing w:after="0"/>
      </w:pPr>
      <w:r>
        <w:rPr>
          <w:sz w:val="24"/>
          <w:szCs w:val="24"/>
        </w:rPr>
        <w:t>This bed elevation estimate must be considered as a first-order estimate only and it will not represent possible near flow-parallel features that may be present in the bed geometry. In terms of the applicability of this model, in lieu of any other suitable data for making bed elevation estimates, we considered firstly that a visual inspection of the 2007 DEM (</w:t>
      </w:r>
      <w:r>
        <w:rPr>
          <w:color w:val="0070C0"/>
          <w:sz w:val="24"/>
          <w:szCs w:val="24"/>
        </w:rPr>
        <w:t>Fig. 2A</w:t>
      </w:r>
      <w:r>
        <w:rPr>
          <w:sz w:val="24"/>
          <w:szCs w:val="24"/>
        </w:rPr>
        <w:t xml:space="preserve">) showed no evidence of the onset of a surge, such as a bulge as reported at other glaciers by (Clarke </w:t>
      </w:r>
      <w:r>
        <w:rPr>
          <w:i/>
          <w:iCs/>
          <w:sz w:val="24"/>
          <w:szCs w:val="24"/>
        </w:rPr>
        <w:t>et al.</w:t>
      </w:r>
      <w:r>
        <w:rPr>
          <w:sz w:val="24"/>
          <w:szCs w:val="24"/>
        </w:rPr>
        <w:t>, 1984, for example), or crevassing indicative of recently enhanced ice flow such as shearing of ice along the glacier margins or longitudinal crevassing (</w:t>
      </w:r>
      <w:r>
        <w:rPr>
          <w:i/>
          <w:iCs/>
          <w:sz w:val="24"/>
          <w:szCs w:val="24"/>
        </w:rPr>
        <w:t>c.f.</w:t>
      </w:r>
      <w:r>
        <w:rPr>
          <w:sz w:val="24"/>
          <w:szCs w:val="24"/>
        </w:rPr>
        <w:t xml:space="preserve"> King </w:t>
      </w:r>
      <w:r>
        <w:rPr>
          <w:i/>
          <w:iCs/>
          <w:sz w:val="24"/>
          <w:szCs w:val="24"/>
        </w:rPr>
        <w:t>et al.</w:t>
      </w:r>
      <w:r>
        <w:rPr>
          <w:sz w:val="24"/>
          <w:szCs w:val="24"/>
        </w:rPr>
        <w:t>, 2015). Secondly, quantitative comparison of the contours generated from the 2007 DEM with contours from other (lower resolution) mapping efforts (see Carrivick and Twigg, 2005) show good agreement between the two datasets. Thirdly, the Kverkjökull surge (as we have measured it between the 2007 and the 2011 DEMs) only constitutes elevation changes of up to a few tens of metres (</w:t>
      </w:r>
      <w:r>
        <w:rPr>
          <w:color w:val="0070C0"/>
          <w:sz w:val="24"/>
          <w:szCs w:val="24"/>
        </w:rPr>
        <w:t>Fig. 2C</w:t>
      </w:r>
      <w:r>
        <w:rPr>
          <w:sz w:val="24"/>
          <w:szCs w:val="24"/>
        </w:rPr>
        <w:t>). Fourthly, we note that the surface elevation at the margin of Kverkjökull next to lateral moraines in 2007 was typically just ~50 m lower than the crests of LIA lateral moraines and thus has apparently changed little over the past one hundred years or so, although we accept that the lateral moraine is probably ice-cored and could have lowered as well. These four sets of observations in combination lead us to regard that the 2007 DEM represents a glacier in a non-surge state. We assumed that the bed elevation as estimated from the 2007 data was the same in 2011 and thus permitted calculations of ice thickness in 2007 and in 2011 as well as an evaluation of the change in driving stress, τ:</w:t>
      </w:r>
    </w:p>
    <w:p w14:paraId="4DD70F40" w14:textId="77777777" w:rsidR="00C82090" w:rsidRDefault="00C37608">
      <w:pPr>
        <w:spacing w:after="0"/>
        <w:jc w:val="center"/>
      </w:pPr>
      <w:r>
        <w:rPr>
          <w:rFonts w:ascii="Ubuntu" w:hAnsi="Ubuntu" w:cs="Ubuntu"/>
          <w:sz w:val="24"/>
          <w:szCs w:val="24"/>
        </w:rPr>
        <w:t>Δ</w:t>
      </w:r>
      <w:r>
        <w:rPr>
          <w:sz w:val="24"/>
          <w:szCs w:val="24"/>
        </w:rPr>
        <w:t>τ</w:t>
      </w:r>
      <w:r>
        <w:rPr>
          <w:i/>
          <w:iCs/>
          <w:sz w:val="24"/>
          <w:szCs w:val="24"/>
        </w:rPr>
        <w:t xml:space="preserve"> </w:t>
      </w:r>
      <w:r>
        <w:rPr>
          <w:i/>
          <w:sz w:val="24"/>
          <w:szCs w:val="24"/>
        </w:rPr>
        <w:t xml:space="preserve">= </w:t>
      </w:r>
      <w:r>
        <w:rPr>
          <w:rFonts w:ascii="Ubuntu" w:hAnsi="Ubuntu" w:cs="Ubuntu"/>
          <w:sz w:val="24"/>
          <w:szCs w:val="24"/>
        </w:rPr>
        <w:t>ρ</w:t>
      </w:r>
      <w:r>
        <w:rPr>
          <w:i/>
          <w:sz w:val="24"/>
          <w:szCs w:val="24"/>
        </w:rPr>
        <w:t>gH</w:t>
      </w:r>
      <w:r>
        <w:rPr>
          <w:i/>
          <w:sz w:val="24"/>
          <w:szCs w:val="24"/>
          <w:vertAlign w:val="subscript"/>
        </w:rPr>
        <w:t>2</w:t>
      </w:r>
      <w:r>
        <w:rPr>
          <w:sz w:val="24"/>
          <w:szCs w:val="24"/>
        </w:rPr>
        <w:t>tanα</w:t>
      </w:r>
      <w:r>
        <w:rPr>
          <w:sz w:val="24"/>
          <w:szCs w:val="24"/>
          <w:vertAlign w:val="subscript"/>
        </w:rPr>
        <w:t>2</w:t>
      </w:r>
      <w:r>
        <w:rPr>
          <w:i/>
          <w:sz w:val="24"/>
          <w:szCs w:val="24"/>
        </w:rPr>
        <w:t xml:space="preserve"> – </w:t>
      </w:r>
      <w:r>
        <w:rPr>
          <w:rFonts w:ascii="Ubuntu" w:hAnsi="Ubuntu" w:cs="Ubuntu"/>
          <w:sz w:val="24"/>
          <w:szCs w:val="24"/>
        </w:rPr>
        <w:t>ρ</w:t>
      </w:r>
      <w:r>
        <w:rPr>
          <w:i/>
          <w:sz w:val="24"/>
          <w:szCs w:val="24"/>
        </w:rPr>
        <w:t>gH</w:t>
      </w:r>
      <w:r>
        <w:rPr>
          <w:i/>
          <w:sz w:val="24"/>
          <w:szCs w:val="24"/>
          <w:vertAlign w:val="subscript"/>
        </w:rPr>
        <w:t>1</w:t>
      </w:r>
      <w:r>
        <w:rPr>
          <w:sz w:val="24"/>
          <w:szCs w:val="24"/>
        </w:rPr>
        <w:t>tanα</w:t>
      </w:r>
      <w:r>
        <w:rPr>
          <w:sz w:val="24"/>
          <w:szCs w:val="24"/>
          <w:vertAlign w:val="subscript"/>
        </w:rPr>
        <w:t>1</w:t>
      </w:r>
    </w:p>
    <w:p w14:paraId="4E70EB35" w14:textId="77777777" w:rsidR="00C82090" w:rsidRDefault="00C37608">
      <w:pPr>
        <w:spacing w:after="0"/>
      </w:pPr>
      <w:r>
        <w:rPr>
          <w:sz w:val="24"/>
          <w:szCs w:val="24"/>
        </w:rPr>
        <w:t xml:space="preserve">where </w:t>
      </w:r>
      <w:r>
        <w:rPr>
          <w:rFonts w:ascii="Ubuntu" w:hAnsi="Ubuntu" w:cs="Ubuntu"/>
          <w:sz w:val="24"/>
          <w:szCs w:val="24"/>
        </w:rPr>
        <w:t>ρ</w:t>
      </w:r>
      <w:r>
        <w:rPr>
          <w:sz w:val="24"/>
          <w:szCs w:val="24"/>
        </w:rPr>
        <w:t xml:space="preserve"> is the density of ice, 900 kg m</w:t>
      </w:r>
      <w:r>
        <w:rPr>
          <w:sz w:val="24"/>
          <w:szCs w:val="24"/>
          <w:vertAlign w:val="superscript"/>
        </w:rPr>
        <w:t>–3</w:t>
      </w:r>
      <w:r>
        <w:rPr>
          <w:sz w:val="24"/>
          <w:szCs w:val="24"/>
        </w:rPr>
        <w:t xml:space="preserve">, </w:t>
      </w:r>
      <w:r>
        <w:rPr>
          <w:i/>
          <w:sz w:val="24"/>
          <w:szCs w:val="24"/>
        </w:rPr>
        <w:t>g</w:t>
      </w:r>
      <w:r>
        <w:rPr>
          <w:sz w:val="24"/>
          <w:szCs w:val="24"/>
        </w:rPr>
        <w:t xml:space="preserve"> is gravitational acceleration, 9.82 m s</w:t>
      </w:r>
      <w:r>
        <w:rPr>
          <w:sz w:val="24"/>
          <w:szCs w:val="24"/>
          <w:vertAlign w:val="superscript"/>
        </w:rPr>
        <w:t>–2</w:t>
      </w:r>
      <w:r>
        <w:rPr>
          <w:sz w:val="24"/>
          <w:szCs w:val="24"/>
        </w:rPr>
        <w:t xml:space="preserve">, </w:t>
      </w:r>
      <w:r>
        <w:rPr>
          <w:i/>
          <w:sz w:val="24"/>
          <w:szCs w:val="24"/>
        </w:rPr>
        <w:t>H</w:t>
      </w:r>
      <w:r>
        <w:rPr>
          <w:sz w:val="24"/>
          <w:szCs w:val="24"/>
          <w:vertAlign w:val="subscript"/>
        </w:rPr>
        <w:t>1</w:t>
      </w:r>
      <w:r>
        <w:rPr>
          <w:sz w:val="24"/>
          <w:szCs w:val="24"/>
        </w:rPr>
        <w:t xml:space="preserve"> and </w:t>
      </w:r>
      <w:r>
        <w:rPr>
          <w:i/>
          <w:sz w:val="24"/>
          <w:szCs w:val="24"/>
        </w:rPr>
        <w:t>H</w:t>
      </w:r>
      <w:r>
        <w:rPr>
          <w:sz w:val="24"/>
          <w:szCs w:val="24"/>
          <w:vertAlign w:val="subscript"/>
        </w:rPr>
        <w:t>2</w:t>
      </w:r>
      <w:r>
        <w:rPr>
          <w:sz w:val="24"/>
          <w:szCs w:val="24"/>
        </w:rPr>
        <w:t xml:space="preserve"> </w:t>
      </w:r>
      <w:r>
        <w:rPr>
          <w:sz w:val="24"/>
          <w:szCs w:val="24"/>
        </w:rPr>
        <w:lastRenderedPageBreak/>
        <w:t>are ice thickness in time 1 (2007) and time 2 (2011), respectively, and α</w:t>
      </w:r>
      <w:r>
        <w:rPr>
          <w:sz w:val="24"/>
          <w:szCs w:val="24"/>
          <w:vertAlign w:val="subscript"/>
        </w:rPr>
        <w:t>1</w:t>
      </w:r>
      <w:r>
        <w:rPr>
          <w:sz w:val="24"/>
          <w:szCs w:val="24"/>
        </w:rPr>
        <w:t xml:space="preserve"> and α</w:t>
      </w:r>
      <w:r>
        <w:rPr>
          <w:sz w:val="24"/>
          <w:szCs w:val="24"/>
          <w:vertAlign w:val="subscript"/>
        </w:rPr>
        <w:t>2</w:t>
      </w:r>
      <w:r>
        <w:rPr>
          <w:sz w:val="24"/>
          <w:szCs w:val="24"/>
        </w:rPr>
        <w:t xml:space="preserve"> are the corresponding surface slopes. For this change in driving stress calculation, we resampled surface slope from 5 m to 20 m grid cell size to avoid locally high slope values due to crevasses.</w:t>
      </w:r>
    </w:p>
    <w:p w14:paraId="5CFC2BBD" w14:textId="77777777" w:rsidR="00C82090" w:rsidRDefault="00C82090">
      <w:pPr>
        <w:spacing w:after="0"/>
        <w:rPr>
          <w:sz w:val="24"/>
          <w:szCs w:val="24"/>
        </w:rPr>
      </w:pPr>
    </w:p>
    <w:p w14:paraId="5126E98B" w14:textId="77777777" w:rsidR="00C82090" w:rsidRDefault="00C37608">
      <w:pPr>
        <w:spacing w:after="0"/>
      </w:pPr>
      <w:r>
        <w:rPr>
          <w:b/>
          <w:i/>
          <w:sz w:val="24"/>
          <w:szCs w:val="24"/>
        </w:rPr>
        <w:t>River discharge</w:t>
      </w:r>
    </w:p>
    <w:p w14:paraId="5CDA6B50" w14:textId="23F7EC33" w:rsidR="00C82090" w:rsidRDefault="00C37608">
      <w:pPr>
        <w:spacing w:after="0"/>
      </w:pPr>
      <w:r>
        <w:rPr>
          <w:sz w:val="24"/>
          <w:szCs w:val="24"/>
        </w:rPr>
        <w:t>River discharge data was gained via the Icelandic Meteorological Office from continuous river stage recorders on the Kreppa River at Lónshnjúkur, and on the Jökulsá á Fjöllum at Upptyppingar. These two rivers both originate from the northern margin of Vatnajökull in the vicinity of Kverkfjöll so will both reflect changes in glacier mass balance. However, only the Upptypingar site receives meltwater directly from Kverkfjöll so the pair of sites together provide a useful assessment of whether meltwater runoff from Kverkfjöll catchment is unusual.</w:t>
      </w:r>
    </w:p>
    <w:p w14:paraId="4253B288" w14:textId="77777777" w:rsidR="00C82090" w:rsidRDefault="00C82090">
      <w:pPr>
        <w:spacing w:after="0"/>
        <w:rPr>
          <w:sz w:val="24"/>
          <w:szCs w:val="24"/>
        </w:rPr>
      </w:pPr>
    </w:p>
    <w:p w14:paraId="1FF4D669" w14:textId="77777777" w:rsidR="00C82090" w:rsidRDefault="00C37608">
      <w:pPr>
        <w:pStyle w:val="Heading2"/>
      </w:pPr>
      <w:r>
        <w:t>RESULTS AND INTERPRETATION</w:t>
      </w:r>
    </w:p>
    <w:p w14:paraId="0ED24D2B" w14:textId="77777777" w:rsidR="00C82090" w:rsidRDefault="00C37608">
      <w:pPr>
        <w:spacing w:after="0"/>
      </w:pPr>
      <w:r>
        <w:rPr>
          <w:sz w:val="24"/>
          <w:szCs w:val="24"/>
          <w:lang w:eastAsia="en-US"/>
        </w:rPr>
        <w:t>The hill-shaded DEMs revealed considerable structure, mainly crevasses, on the ice surface, because snow cover on the glacier is either absent or relatively thin, at least below ~1500 m asl. (</w:t>
      </w:r>
      <w:r>
        <w:rPr>
          <w:color w:val="0070C0"/>
          <w:sz w:val="24"/>
          <w:szCs w:val="24"/>
          <w:lang w:eastAsia="en-US"/>
        </w:rPr>
        <w:t>Fig. 2A</w:t>
      </w:r>
      <w:r>
        <w:rPr>
          <w:sz w:val="24"/>
          <w:szCs w:val="24"/>
          <w:lang w:eastAsia="en-US"/>
        </w:rPr>
        <w:t>) due to the late summer data acquisition. Additionally, the hill-shaded DEMs indicated roughening of the ice surface due to increased crevassing, notwithstanding the possibility of more snow on the surface in 2011 than in 2007, and expansion laterally of the lower parts of the glacier against lateral moraines and cliffs (</w:t>
      </w:r>
      <w:r>
        <w:rPr>
          <w:color w:val="0070C0"/>
          <w:sz w:val="24"/>
          <w:szCs w:val="24"/>
          <w:lang w:eastAsia="en-US"/>
        </w:rPr>
        <w:t>Fig. 2B</w:t>
      </w:r>
      <w:r>
        <w:rPr>
          <w:sz w:val="24"/>
          <w:szCs w:val="24"/>
          <w:lang w:eastAsia="en-US"/>
        </w:rPr>
        <w:t>). The DoD (</w:t>
      </w:r>
      <w:r>
        <w:rPr>
          <w:color w:val="0070C0"/>
          <w:sz w:val="24"/>
          <w:szCs w:val="24"/>
          <w:lang w:eastAsia="en-US"/>
        </w:rPr>
        <w:t>Fig. 2C</w:t>
      </w:r>
      <w:r>
        <w:rPr>
          <w:sz w:val="24"/>
          <w:szCs w:val="24"/>
          <w:lang w:eastAsia="en-US"/>
        </w:rPr>
        <w:t>) showed a pattern of surface elevation changes between 2007 and 2011 that was negative at higher elevation and positive at lower elevation, which is remarkable because it is the opposite of what could be expected due to an overall negative mass balance regime of a normal glacier and ice dynamics. The magnitude of these surface elevation changes; tens of metres, and most importantly the spatial pattern of elevation changes along the glacier, cannot be explained by snow cover being thicker in one year or the other. Based on these variations in surface topography we infer that Kverkjökull surged during the 2007 to 2011 period. The boundary between the reservoir and receiving zones, which can be identified by a zero elevation change isoline, was complex and ranged from 1400 to 1528 m asl. and outlines at least three lobate-shaped areas of the glacier (</w:t>
      </w:r>
      <w:r>
        <w:rPr>
          <w:color w:val="0070C0"/>
          <w:sz w:val="24"/>
          <w:szCs w:val="24"/>
          <w:lang w:eastAsia="en-US"/>
        </w:rPr>
        <w:t>Fig. 2C</w:t>
      </w:r>
      <w:r>
        <w:rPr>
          <w:sz w:val="24"/>
          <w:szCs w:val="24"/>
          <w:lang w:eastAsia="en-US"/>
        </w:rPr>
        <w:t>).</w:t>
      </w:r>
    </w:p>
    <w:p w14:paraId="34E727FD" w14:textId="77777777" w:rsidR="00C82090" w:rsidRDefault="00C82090">
      <w:pPr>
        <w:spacing w:after="0"/>
        <w:rPr>
          <w:sz w:val="24"/>
          <w:szCs w:val="24"/>
          <w:lang w:eastAsia="en-US"/>
        </w:rPr>
      </w:pPr>
    </w:p>
    <w:p w14:paraId="22F5E5AF" w14:textId="77777777" w:rsidR="00C82090" w:rsidRDefault="00C37608">
      <w:pPr>
        <w:spacing w:after="0"/>
      </w:pPr>
      <w:r>
        <w:rPr>
          <w:sz w:val="24"/>
          <w:szCs w:val="24"/>
          <w:lang w:eastAsia="en-US"/>
        </w:rPr>
        <w:t>Comparison of our dGPS measurements of spot elevations in 2007 with the ALS-derived DEM of 2007 have excellent agreement, and comparison of our 2008 dGPS elevations with the 2007 ALS data show little change (</w:t>
      </w:r>
      <w:r>
        <w:rPr>
          <w:color w:val="0070C0"/>
          <w:sz w:val="24"/>
          <w:szCs w:val="24"/>
          <w:lang w:eastAsia="en-US"/>
        </w:rPr>
        <w:t>Fig. 3</w:t>
      </w:r>
      <w:r>
        <w:rPr>
          <w:sz w:val="24"/>
          <w:szCs w:val="24"/>
          <w:lang w:eastAsia="en-US"/>
        </w:rPr>
        <w:t>), together giving us confidence that the surge had not yet started, or at least not reached the terminus, in August 2008. Furthermore, com</w:t>
      </w:r>
      <w:r>
        <w:rPr>
          <w:sz w:val="24"/>
          <w:szCs w:val="24"/>
          <w:lang w:eastAsia="en-US"/>
        </w:rPr>
        <w:softHyphen/>
        <w:t xml:space="preserve">parison between </w:t>
      </w:r>
      <w:r>
        <w:rPr>
          <w:sz w:val="24"/>
          <w:szCs w:val="24"/>
          <w:lang w:eastAsia="en-US"/>
        </w:rPr>
        <w:lastRenderedPageBreak/>
        <w:t>our dGPS measured elevation and those in the 2008 and the 2011 DEM demon</w:t>
      </w:r>
      <w:r>
        <w:rPr>
          <w:sz w:val="24"/>
          <w:szCs w:val="24"/>
          <w:lang w:eastAsia="en-US"/>
        </w:rPr>
        <w:softHyphen/>
        <w:t xml:space="preserve">strate that by 2011 the north-eastern and south-western portions of the Kverkjökull terminus were behaving differently. Specifically, the north-eastern part of the glacier showed surface lowering, </w:t>
      </w:r>
      <w:r>
        <w:rPr>
          <w:i/>
          <w:iCs/>
          <w:sz w:val="24"/>
          <w:szCs w:val="24"/>
          <w:lang w:eastAsia="en-US"/>
        </w:rPr>
        <w:t>i.e.</w:t>
      </w:r>
      <w:r>
        <w:rPr>
          <w:sz w:val="24"/>
          <w:szCs w:val="24"/>
          <w:lang w:eastAsia="en-US"/>
        </w:rPr>
        <w:t xml:space="preserve"> thinning, as would be expected due to a negative mass balance, or during the quiescence period of a surge-type glacier, whereas the south-western portion of the terminus had thickened, with the greatest thickening towards the terminus, as indicative of the passage of a surge front (</w:t>
      </w:r>
      <w:r>
        <w:rPr>
          <w:color w:val="0070C0"/>
          <w:sz w:val="24"/>
          <w:szCs w:val="24"/>
          <w:lang w:eastAsia="en-US"/>
        </w:rPr>
        <w:t>Fig. 2C</w:t>
      </w:r>
      <w:r>
        <w:rPr>
          <w:sz w:val="24"/>
          <w:szCs w:val="24"/>
          <w:lang w:eastAsia="en-US"/>
        </w:rPr>
        <w:t>).</w:t>
      </w:r>
    </w:p>
    <w:p w14:paraId="4E793D12" w14:textId="77777777" w:rsidR="00C82090" w:rsidRDefault="00C82090">
      <w:pPr>
        <w:spacing w:after="0"/>
        <w:rPr>
          <w:sz w:val="24"/>
          <w:szCs w:val="24"/>
          <w:lang w:eastAsia="en-US"/>
        </w:rPr>
      </w:pPr>
    </w:p>
    <w:p w14:paraId="1C28B4DB" w14:textId="514AE835" w:rsidR="00C82090" w:rsidRDefault="00C37608">
      <w:pPr>
        <w:spacing w:after="0"/>
      </w:pPr>
      <w:r>
        <w:rPr>
          <w:sz w:val="24"/>
          <w:szCs w:val="24"/>
          <w:lang w:eastAsia="en-US"/>
        </w:rPr>
        <w:t>The asymmetric impact of the surge on ice surface elevations in the terminus area was conspicuous and warranted further investigation. Firstly, although our overall pattern of estimated ice thickness, based on a one-dimensional centreline flow model, looks reasonable (</w:t>
      </w:r>
      <w:r>
        <w:rPr>
          <w:color w:val="0070C0"/>
          <w:sz w:val="24"/>
          <w:szCs w:val="24"/>
          <w:lang w:eastAsia="en-US"/>
        </w:rPr>
        <w:t>Fig. 4</w:t>
      </w:r>
      <w:r>
        <w:rPr>
          <w:sz w:val="24"/>
          <w:szCs w:val="24"/>
          <w:lang w:eastAsia="en-US"/>
        </w:rPr>
        <w:t>) we have no direct measurements of the detailed form of the bed geometry. The increased crevassing and amplified hummocky ice-surface undulations in the 2011 DEM (</w:t>
      </w:r>
      <w:r>
        <w:rPr>
          <w:color w:val="0070C0"/>
          <w:sz w:val="24"/>
          <w:szCs w:val="24"/>
          <w:lang w:eastAsia="en-US"/>
        </w:rPr>
        <w:t>Fig. 2A,B</w:t>
      </w:r>
      <w:r w:rsidR="00A22170">
        <w:rPr>
          <w:sz w:val="24"/>
          <w:szCs w:val="24"/>
          <w:lang w:eastAsia="en-US"/>
        </w:rPr>
        <w:t>)</w:t>
      </w:r>
      <w:r>
        <w:rPr>
          <w:sz w:val="24"/>
          <w:szCs w:val="24"/>
          <w:lang w:eastAsia="en-US"/>
        </w:rPr>
        <w:t xml:space="preserve"> </w:t>
      </w:r>
      <w:r w:rsidR="00A22170">
        <w:rPr>
          <w:sz w:val="24"/>
          <w:szCs w:val="24"/>
          <w:lang w:eastAsia="en-US"/>
        </w:rPr>
        <w:t xml:space="preserve">that </w:t>
      </w:r>
      <w:r>
        <w:rPr>
          <w:sz w:val="24"/>
          <w:szCs w:val="24"/>
          <w:lang w:eastAsia="en-US"/>
        </w:rPr>
        <w:t>extend from the centre of the terminus in a south-easterly</w:t>
      </w:r>
      <w:r w:rsidR="00A22170">
        <w:rPr>
          <w:sz w:val="24"/>
          <w:szCs w:val="24"/>
          <w:lang w:eastAsia="en-US"/>
        </w:rPr>
        <w:t xml:space="preserve"> direction</w:t>
      </w:r>
      <w:r>
        <w:rPr>
          <w:sz w:val="24"/>
          <w:szCs w:val="24"/>
          <w:lang w:eastAsia="en-US"/>
        </w:rPr>
        <w:t xml:space="preserve"> may be interpreted as the manifestation of subglacial </w:t>
      </w:r>
      <w:r w:rsidR="008F3E31">
        <w:rPr>
          <w:sz w:val="24"/>
          <w:szCs w:val="24"/>
          <w:lang w:eastAsia="en-US"/>
        </w:rPr>
        <w:t>topography but we note that ice-free topography has ridges exclusively aligned SW-NE, so not along the boundary splitting the surge-affected and non surge-affected parts of the terminus</w:t>
      </w:r>
      <w:r>
        <w:rPr>
          <w:sz w:val="24"/>
          <w:szCs w:val="24"/>
          <w:lang w:eastAsia="en-US"/>
        </w:rPr>
        <w:t>. It is possible that the surge only affected the south-westerly part of the terminus region for some dynamical reason and that the increased crevassing and amplified hummocky ice-surface undulations are formed at the boundary between ice affected and unaffected by the surge. There are many examples in Iceland of surges affecting only a part of the corresponding ice-flow basin as further discussed below.</w:t>
      </w:r>
    </w:p>
    <w:p w14:paraId="60AEFCD0" w14:textId="77777777" w:rsidR="00C82090" w:rsidRDefault="00C82090">
      <w:pPr>
        <w:spacing w:after="0"/>
        <w:rPr>
          <w:sz w:val="24"/>
          <w:szCs w:val="24"/>
          <w:lang w:eastAsia="en-US"/>
        </w:rPr>
      </w:pPr>
    </w:p>
    <w:p w14:paraId="3425ADCD" w14:textId="41BB08FA" w:rsidR="00C82090" w:rsidRDefault="00C37608">
      <w:pPr>
        <w:spacing w:after="0"/>
      </w:pPr>
      <w:r>
        <w:rPr>
          <w:sz w:val="24"/>
          <w:szCs w:val="24"/>
          <w:lang w:eastAsia="en-US"/>
        </w:rPr>
        <w:t>Therefore, we contend that the asymmetric pattern of surface elevation changes in the terminus area of Kverkjökull between 2007 and 2011 is best explained by a hypothesis of a different speed of surge front propagation between the north-eastern and south-western portions of the terminus. The surface expression of this more rapid front propagation in the south-western part of the terminus area is more widespread and more intensely hummocky surface texture of the 2011 DEM, as depicted in slope maps (</w:t>
      </w:r>
      <w:r>
        <w:rPr>
          <w:color w:val="0070C0"/>
          <w:sz w:val="24"/>
          <w:szCs w:val="24"/>
          <w:lang w:eastAsia="en-US"/>
        </w:rPr>
        <w:t>Fig. 5A</w:t>
      </w:r>
      <w:r>
        <w:rPr>
          <w:sz w:val="24"/>
          <w:szCs w:val="24"/>
          <w:lang w:eastAsia="en-US"/>
        </w:rPr>
        <w:t>) and elevation range maps (</w:t>
      </w:r>
      <w:r>
        <w:rPr>
          <w:color w:val="0070C0"/>
          <w:sz w:val="24"/>
          <w:szCs w:val="24"/>
          <w:lang w:eastAsia="en-US"/>
        </w:rPr>
        <w:t>Fig. 6</w:t>
      </w:r>
      <w:r>
        <w:rPr>
          <w:sz w:val="24"/>
          <w:szCs w:val="24"/>
          <w:lang w:eastAsia="en-US"/>
        </w:rPr>
        <w:t>), and field photographs (</w:t>
      </w:r>
      <w:r>
        <w:rPr>
          <w:color w:val="0070C0"/>
          <w:sz w:val="24"/>
          <w:szCs w:val="24"/>
          <w:lang w:eastAsia="en-US"/>
        </w:rPr>
        <w:t>Fig. 7</w:t>
      </w:r>
      <w:r>
        <w:rPr>
          <w:sz w:val="24"/>
          <w:szCs w:val="24"/>
          <w:lang w:eastAsia="en-US"/>
        </w:rPr>
        <w:t>), as well as increased depth of crevasses and height of seracs. Quantitatively, crevasses and seracs had local relief in adjacent grid cells (</w:t>
      </w:r>
      <w:r>
        <w:rPr>
          <w:i/>
          <w:iCs/>
          <w:sz w:val="24"/>
          <w:szCs w:val="24"/>
          <w:lang w:eastAsia="en-US"/>
        </w:rPr>
        <w:t>i.e.</w:t>
      </w:r>
      <w:r>
        <w:rPr>
          <w:sz w:val="24"/>
          <w:szCs w:val="24"/>
          <w:lang w:eastAsia="en-US"/>
        </w:rPr>
        <w:t xml:space="preserve"> over 10 m horizontal distance) of &lt; 8 m in 2007 but up to 18 m in 2011, and local relief of &gt; 5 m is found over 80 % of the example transects in 2011 compared with &lt; 10 % in 2007 (</w:t>
      </w:r>
      <w:r>
        <w:rPr>
          <w:color w:val="0070C0"/>
          <w:sz w:val="24"/>
          <w:szCs w:val="24"/>
          <w:lang w:eastAsia="en-US"/>
        </w:rPr>
        <w:t>Fig. 6</w:t>
      </w:r>
      <w:r>
        <w:rPr>
          <w:sz w:val="24"/>
          <w:szCs w:val="24"/>
          <w:lang w:eastAsia="en-US"/>
        </w:rPr>
        <w:t>).</w:t>
      </w:r>
      <w:r>
        <w:rPr>
          <w:color w:val="FF0000"/>
          <w:sz w:val="24"/>
          <w:szCs w:val="24"/>
          <w:lang w:eastAsia="en-US"/>
        </w:rPr>
        <w:t xml:space="preserve"> </w:t>
      </w:r>
      <w:r>
        <w:rPr>
          <w:sz w:val="24"/>
          <w:szCs w:val="24"/>
          <w:lang w:eastAsia="en-US"/>
        </w:rPr>
        <w:t>In the field, those accessible had the form of stacked thrust blocks revealed by exposed thrust planes between relatively ‘clean’ and ‘dirty’ ice (</w:t>
      </w:r>
      <w:r>
        <w:rPr>
          <w:color w:val="0070C0"/>
          <w:sz w:val="24"/>
          <w:szCs w:val="24"/>
          <w:lang w:eastAsia="en-US"/>
        </w:rPr>
        <w:t>Fig. 7</w:t>
      </w:r>
      <w:r>
        <w:rPr>
          <w:sz w:val="24"/>
          <w:szCs w:val="24"/>
          <w:lang w:eastAsia="en-US"/>
        </w:rPr>
        <w:t xml:space="preserve">). The combination of changing slope gradient </w:t>
      </w:r>
      <w:r>
        <w:rPr>
          <w:sz w:val="24"/>
          <w:szCs w:val="24"/>
          <w:lang w:eastAsia="en-US"/>
        </w:rPr>
        <w:lastRenderedPageBreak/>
        <w:t>(</w:t>
      </w:r>
      <w:r>
        <w:rPr>
          <w:color w:val="0070C0"/>
          <w:sz w:val="24"/>
          <w:szCs w:val="24"/>
          <w:lang w:eastAsia="en-US"/>
        </w:rPr>
        <w:t>Fig. 5A</w:t>
      </w:r>
      <w:r>
        <w:rPr>
          <w:sz w:val="24"/>
          <w:szCs w:val="24"/>
          <w:lang w:eastAsia="en-US"/>
        </w:rPr>
        <w:t>) and changing ice thickness produced a change in the driving stress with a relatively complicated pattern, which can be interpreted to have zones of relatively high and low changes in driving stress (</w:t>
      </w:r>
      <w:r>
        <w:rPr>
          <w:color w:val="0070C0"/>
          <w:sz w:val="24"/>
          <w:szCs w:val="24"/>
          <w:lang w:eastAsia="en-US"/>
        </w:rPr>
        <w:t>Fig. 5B</w:t>
      </w:r>
      <w:r>
        <w:rPr>
          <w:sz w:val="24"/>
          <w:szCs w:val="24"/>
          <w:lang w:eastAsia="en-US"/>
        </w:rPr>
        <w:t xml:space="preserve">). Notably, a ‘corridor’ of relatively little change in driving stress, labelled ‘L’ in </w:t>
      </w:r>
      <w:r>
        <w:rPr>
          <w:color w:val="0070C0"/>
          <w:sz w:val="24"/>
          <w:szCs w:val="24"/>
          <w:lang w:eastAsia="en-US"/>
        </w:rPr>
        <w:t>Figure 5B</w:t>
      </w:r>
      <w:r>
        <w:rPr>
          <w:sz w:val="24"/>
          <w:szCs w:val="24"/>
          <w:lang w:eastAsia="en-US"/>
        </w:rPr>
        <w:t>, exists from the vicinity of Gengissig towards the mid-reaches of the glacier.</w:t>
      </w:r>
    </w:p>
    <w:p w14:paraId="24895D14" w14:textId="77777777" w:rsidR="00C82090" w:rsidRDefault="00C82090">
      <w:pPr>
        <w:spacing w:after="0"/>
        <w:rPr>
          <w:sz w:val="24"/>
          <w:szCs w:val="24"/>
          <w:lang w:eastAsia="en-US"/>
        </w:rPr>
      </w:pPr>
    </w:p>
    <w:p w14:paraId="44C4864E" w14:textId="77777777" w:rsidR="00C82090" w:rsidRDefault="00C37608">
      <w:pPr>
        <w:spacing w:after="0"/>
      </w:pPr>
      <w:r>
        <w:rPr>
          <w:sz w:val="24"/>
          <w:szCs w:val="24"/>
          <w:lang w:eastAsia="en-US"/>
        </w:rPr>
        <w:t xml:space="preserve">The area of the glacier with negative surface elevation changes, </w:t>
      </w:r>
      <w:r>
        <w:rPr>
          <w:i/>
          <w:iCs/>
          <w:sz w:val="24"/>
          <w:szCs w:val="24"/>
          <w:lang w:eastAsia="en-US"/>
        </w:rPr>
        <w:t>i.e.</w:t>
      </w:r>
      <w:r>
        <w:rPr>
          <w:sz w:val="24"/>
          <w:szCs w:val="24"/>
          <w:lang w:eastAsia="en-US"/>
        </w:rPr>
        <w:t xml:space="preserve"> thinning, between 2007 and 2011 was 7.4 km</w:t>
      </w:r>
      <w:r>
        <w:rPr>
          <w:sz w:val="24"/>
          <w:szCs w:val="24"/>
          <w:vertAlign w:val="superscript"/>
          <w:lang w:eastAsia="en-US"/>
        </w:rPr>
        <w:t>2</w:t>
      </w:r>
      <w:r>
        <w:rPr>
          <w:sz w:val="24"/>
          <w:szCs w:val="24"/>
          <w:lang w:eastAsia="en-US"/>
        </w:rPr>
        <w:t>, and this related to a volume decrease across this area of 0.05 km</w:t>
      </w:r>
      <w:r>
        <w:rPr>
          <w:sz w:val="24"/>
          <w:szCs w:val="24"/>
          <w:vertAlign w:val="superscript"/>
          <w:lang w:eastAsia="en-US"/>
        </w:rPr>
        <w:t>3</w:t>
      </w:r>
      <w:r>
        <w:rPr>
          <w:sz w:val="24"/>
          <w:szCs w:val="24"/>
          <w:lang w:eastAsia="en-US"/>
        </w:rPr>
        <w:t>. The area of the glacier experiencing gains in elevation was 5.3 km</w:t>
      </w:r>
      <w:r>
        <w:rPr>
          <w:sz w:val="24"/>
          <w:szCs w:val="24"/>
          <w:vertAlign w:val="superscript"/>
          <w:lang w:eastAsia="en-US"/>
        </w:rPr>
        <w:t>2</w:t>
      </w:r>
      <w:r>
        <w:rPr>
          <w:sz w:val="24"/>
          <w:szCs w:val="24"/>
          <w:lang w:eastAsia="en-US"/>
        </w:rPr>
        <w:t xml:space="preserve"> and across this area there was 0.04 km</w:t>
      </w:r>
      <w:r>
        <w:rPr>
          <w:sz w:val="24"/>
          <w:szCs w:val="24"/>
          <w:vertAlign w:val="superscript"/>
          <w:lang w:eastAsia="en-US"/>
        </w:rPr>
        <w:t>3</w:t>
      </w:r>
      <w:r>
        <w:rPr>
          <w:sz w:val="24"/>
          <w:szCs w:val="24"/>
          <w:lang w:eastAsia="en-US"/>
        </w:rPr>
        <w:t xml:space="preserve"> more ice in 2011 than in 2007. Thus the surge was characterised by a simple translation of mass from higher to lower elevations. The 0.01 km</w:t>
      </w:r>
      <w:r>
        <w:rPr>
          <w:sz w:val="24"/>
          <w:szCs w:val="24"/>
          <w:vertAlign w:val="superscript"/>
          <w:lang w:eastAsia="en-US"/>
        </w:rPr>
        <w:t>3</w:t>
      </w:r>
      <w:r>
        <w:rPr>
          <w:sz w:val="24"/>
          <w:szCs w:val="24"/>
          <w:lang w:eastAsia="en-US"/>
        </w:rPr>
        <w:t xml:space="preserve"> discrepancy in reservoir and receiving volumes is rather low to be due to normal ice wastage due to negative glacier mass balance. Part of the increased volume in the receiving area may be due to the increased crevassing and this may in part explain the relatively small reduction in ice volume over the period 2008 to 2011.</w:t>
      </w:r>
    </w:p>
    <w:p w14:paraId="42614776" w14:textId="77777777" w:rsidR="00C82090" w:rsidRDefault="00C82090">
      <w:pPr>
        <w:spacing w:after="0"/>
        <w:rPr>
          <w:sz w:val="24"/>
          <w:szCs w:val="24"/>
          <w:lang w:eastAsia="en-US"/>
        </w:rPr>
      </w:pPr>
    </w:p>
    <w:p w14:paraId="28FF4DA4" w14:textId="77777777" w:rsidR="00C82090" w:rsidRDefault="00C37608">
      <w:pPr>
        <w:spacing w:after="0"/>
      </w:pPr>
      <w:r>
        <w:rPr>
          <w:sz w:val="24"/>
          <w:szCs w:val="24"/>
          <w:lang w:eastAsia="en-US"/>
        </w:rPr>
        <w:t>Scrutiny of WorldView images using manual feature tracking of points, such as the junction of major crevasses, and linear features such as longitudinal foliation and major dirt band edges,  revealed horizontal surface velocities of up to ~80 m yr</w:t>
      </w:r>
      <w:r>
        <w:rPr>
          <w:sz w:val="24"/>
          <w:szCs w:val="24"/>
          <w:vertAlign w:val="superscript"/>
          <w:lang w:eastAsia="en-US"/>
        </w:rPr>
        <w:t>–1</w:t>
      </w:r>
      <w:r>
        <w:rPr>
          <w:sz w:val="24"/>
          <w:szCs w:val="24"/>
          <w:lang w:eastAsia="en-US"/>
        </w:rPr>
        <w:t xml:space="preserve"> in the terminus area (</w:t>
      </w:r>
      <w:r>
        <w:rPr>
          <w:color w:val="0070C0"/>
          <w:sz w:val="24"/>
          <w:szCs w:val="24"/>
          <w:lang w:eastAsia="en-US"/>
        </w:rPr>
        <w:t>Fig. 8</w:t>
      </w:r>
      <w:r>
        <w:rPr>
          <w:sz w:val="24"/>
          <w:szCs w:val="24"/>
          <w:lang w:eastAsia="en-US"/>
        </w:rPr>
        <w:t>). However, whilst the direction of these surface velocities in the terminus area was spatially concordant, the magnitude of the velocities had no clear pattern (</w:t>
      </w:r>
      <w:r>
        <w:rPr>
          <w:color w:val="0070C0"/>
          <w:sz w:val="24"/>
          <w:szCs w:val="24"/>
          <w:lang w:eastAsia="en-US"/>
        </w:rPr>
        <w:t>Fig. 8</w:t>
      </w:r>
      <w:r>
        <w:rPr>
          <w:sz w:val="24"/>
          <w:szCs w:val="24"/>
          <w:lang w:eastAsia="en-US"/>
        </w:rPr>
        <w:t>).</w:t>
      </w:r>
      <w:r>
        <w:rPr>
          <w:b/>
          <w:sz w:val="24"/>
          <w:szCs w:val="24"/>
          <w:lang w:eastAsia="en-US"/>
        </w:rPr>
        <w:t xml:space="preserve"> </w:t>
      </w:r>
      <w:r>
        <w:rPr>
          <w:sz w:val="24"/>
          <w:szCs w:val="24"/>
          <w:lang w:eastAsia="en-US"/>
        </w:rPr>
        <w:t>Whilst most surface velocities had significantly reduced in 2012 to 2013, in comparison with 2011 to 2012 (</w:t>
      </w:r>
      <w:r>
        <w:rPr>
          <w:color w:val="0070C0"/>
          <w:sz w:val="24"/>
          <w:szCs w:val="24"/>
          <w:lang w:eastAsia="en-US"/>
        </w:rPr>
        <w:t>Figs. 8 and 9</w:t>
      </w:r>
      <w:r>
        <w:rPr>
          <w:sz w:val="24"/>
          <w:szCs w:val="24"/>
          <w:lang w:eastAsia="en-US"/>
        </w:rPr>
        <w:t>), the terminus was still advancing between 2012 and 2013, with horizontal displacements of up to 79 m (</w:t>
      </w:r>
      <w:r>
        <w:rPr>
          <w:color w:val="0070C0"/>
          <w:sz w:val="24"/>
          <w:szCs w:val="24"/>
          <w:lang w:eastAsia="en-US"/>
        </w:rPr>
        <w:t>Fig. 8</w:t>
      </w:r>
      <w:r>
        <w:rPr>
          <w:sz w:val="24"/>
          <w:szCs w:val="24"/>
          <w:lang w:eastAsia="en-US"/>
        </w:rPr>
        <w:t>), suggesting that the surge was not completely over. No manual feature tracking could be performed on images one year apart for the margins of the glacier due to horizontal shifts in surface features being too large and too variable in orient</w:t>
      </w:r>
      <w:r>
        <w:rPr>
          <w:sz w:val="24"/>
          <w:szCs w:val="24"/>
          <w:lang w:eastAsia="en-US"/>
        </w:rPr>
        <w:softHyphen/>
        <w:t>ation to confidently detect the same feature in successive images (</w:t>
      </w:r>
      <w:r>
        <w:rPr>
          <w:color w:val="0070C0"/>
          <w:sz w:val="24"/>
          <w:szCs w:val="24"/>
          <w:lang w:eastAsia="en-US"/>
        </w:rPr>
        <w:t>Fig. 8B</w:t>
      </w:r>
      <w:r>
        <w:rPr>
          <w:sz w:val="24"/>
          <w:szCs w:val="24"/>
          <w:lang w:eastAsia="en-US"/>
        </w:rPr>
        <w:t>). On the eastern margin of the glacier in its mid-section, near the Kverk or gap, ice surface features in images with an annual interval could not be manually tracked, but images at monthly intervals illustrated surface displacements of up to 21 m over 30 days (tentatively extrapolated to 250 m yr</w:t>
      </w:r>
      <w:r>
        <w:rPr>
          <w:sz w:val="24"/>
          <w:szCs w:val="24"/>
          <w:vertAlign w:val="superscript"/>
          <w:lang w:eastAsia="en-US"/>
        </w:rPr>
        <w:t>–1</w:t>
      </w:r>
      <w:r>
        <w:rPr>
          <w:sz w:val="24"/>
          <w:szCs w:val="24"/>
          <w:lang w:eastAsia="en-US"/>
        </w:rPr>
        <w:t>) in the horizontal (</w:t>
      </w:r>
      <w:r>
        <w:rPr>
          <w:color w:val="0070C0"/>
          <w:sz w:val="24"/>
          <w:szCs w:val="24"/>
          <w:lang w:eastAsia="en-US"/>
        </w:rPr>
        <w:t>Fig. 9</w:t>
      </w:r>
      <w:r>
        <w:rPr>
          <w:sz w:val="24"/>
          <w:szCs w:val="24"/>
          <w:lang w:eastAsia="en-US"/>
        </w:rPr>
        <w:t xml:space="preserve">). </w:t>
      </w:r>
    </w:p>
    <w:p w14:paraId="655242E6" w14:textId="77777777" w:rsidR="00C82090" w:rsidRDefault="00C82090">
      <w:pPr>
        <w:spacing w:after="0"/>
        <w:rPr>
          <w:sz w:val="24"/>
          <w:szCs w:val="24"/>
          <w:lang w:eastAsia="en-US"/>
        </w:rPr>
      </w:pPr>
    </w:p>
    <w:p w14:paraId="1FDD65D8" w14:textId="3F5442DA" w:rsidR="00C82090" w:rsidRDefault="00C37608">
      <w:pPr>
        <w:spacing w:after="0"/>
      </w:pPr>
      <w:r>
        <w:rPr>
          <w:sz w:val="24"/>
          <w:szCs w:val="24"/>
          <w:lang w:eastAsia="en-US"/>
        </w:rPr>
        <w:t xml:space="preserve">For comparison, </w:t>
      </w:r>
      <w:r>
        <w:rPr>
          <w:sz w:val="24"/>
          <w:szCs w:val="24"/>
        </w:rPr>
        <w:t xml:space="preserve">application of a simple ‘flux gate’ calculation, whereby the ice volume discharged from the reservoir to the receiving areas is compared with the product the velocity </w:t>
      </w:r>
      <w:r>
        <w:rPr>
          <w:sz w:val="24"/>
          <w:szCs w:val="24"/>
        </w:rPr>
        <w:lastRenderedPageBreak/>
        <w:t xml:space="preserve">of ice, </w:t>
      </w:r>
      <w:r>
        <w:rPr>
          <w:i/>
          <w:sz w:val="24"/>
          <w:szCs w:val="24"/>
        </w:rPr>
        <w:t>v</w:t>
      </w:r>
      <w:r>
        <w:rPr>
          <w:sz w:val="24"/>
          <w:szCs w:val="24"/>
        </w:rPr>
        <w:t xml:space="preserve">, flowing through a cross-section with an area, </w:t>
      </w:r>
      <w:r>
        <w:rPr>
          <w:i/>
          <w:sz w:val="24"/>
          <w:szCs w:val="24"/>
        </w:rPr>
        <w:t>A</w:t>
      </w:r>
      <w:r>
        <w:rPr>
          <w:sz w:val="24"/>
          <w:szCs w:val="24"/>
        </w:rPr>
        <w:t xml:space="preserve"> (for a parabola </w:t>
      </w:r>
      <w:r>
        <w:rPr>
          <w:i/>
          <w:sz w:val="24"/>
          <w:szCs w:val="24"/>
        </w:rPr>
        <w:t>A</w:t>
      </w:r>
      <w:r>
        <w:rPr>
          <w:sz w:val="24"/>
          <w:szCs w:val="24"/>
        </w:rPr>
        <w:t xml:space="preserve"> = 2/3 x width x depth) over the duration of the surge, </w:t>
      </w:r>
      <w:r>
        <w:rPr>
          <w:i/>
          <w:iCs/>
          <w:sz w:val="24"/>
          <w:szCs w:val="24"/>
        </w:rPr>
        <w:t>T</w:t>
      </w:r>
      <w:r>
        <w:rPr>
          <w:sz w:val="24"/>
          <w:szCs w:val="24"/>
        </w:rPr>
        <w:t xml:space="preserve"> (here assumed to be one year), in the vicinity of the net zero elevation change isoline (</w:t>
      </w:r>
      <w:r>
        <w:rPr>
          <w:color w:val="0070C0"/>
          <w:sz w:val="24"/>
          <w:szCs w:val="24"/>
        </w:rPr>
        <w:t>Figure 2C</w:t>
      </w:r>
      <w:r>
        <w:rPr>
          <w:sz w:val="24"/>
          <w:szCs w:val="24"/>
        </w:rPr>
        <w:t xml:space="preserve">), produces a depth-averaged and cross-sectionally averaged velocity, </w:t>
      </w:r>
      <w:r>
        <w:rPr>
          <w:i/>
          <w:sz w:val="24"/>
          <w:szCs w:val="24"/>
        </w:rPr>
        <w:t>v</w:t>
      </w:r>
      <w:r>
        <w:rPr>
          <w:sz w:val="24"/>
          <w:szCs w:val="24"/>
        </w:rPr>
        <w:t>, of ~200 m yr</w:t>
      </w:r>
      <w:r>
        <w:rPr>
          <w:sz w:val="24"/>
          <w:szCs w:val="24"/>
          <w:vertAlign w:val="superscript"/>
          <w:lang w:eastAsia="en-US"/>
        </w:rPr>
        <w:t>–</w:t>
      </w:r>
      <w:r>
        <w:rPr>
          <w:sz w:val="24"/>
          <w:szCs w:val="24"/>
          <w:vertAlign w:val="superscript"/>
        </w:rPr>
        <w:t>1</w:t>
      </w:r>
      <w:r>
        <w:rPr>
          <w:sz w:val="24"/>
          <w:szCs w:val="24"/>
        </w:rPr>
        <w:t>. This is only an indication of the order-of-magnitude of the velocity. The ice-flow velocities could have been much higher for shorter periods.</w:t>
      </w:r>
    </w:p>
    <w:p w14:paraId="0B98E5B7" w14:textId="77777777" w:rsidR="00C82090" w:rsidRDefault="00C82090">
      <w:pPr>
        <w:spacing w:after="0"/>
        <w:rPr>
          <w:sz w:val="24"/>
          <w:szCs w:val="24"/>
        </w:rPr>
      </w:pPr>
    </w:p>
    <w:p w14:paraId="03B15395" w14:textId="77777777" w:rsidR="00C82090" w:rsidRDefault="00C37608">
      <w:pPr>
        <w:spacing w:after="0"/>
      </w:pPr>
      <w:r>
        <w:rPr>
          <w:sz w:val="24"/>
          <w:szCs w:val="24"/>
        </w:rPr>
        <w:t>Runoff in the Jökulsá á Fjöllum river, which includes input from Kverkfjöll, was statistically higher (ANOVA p value &lt; 0.01) in the years 2010 to 2013 compared to 2008, 2009 and 2014 (</w:t>
      </w:r>
      <w:r>
        <w:rPr>
          <w:color w:val="0070C0"/>
          <w:sz w:val="24"/>
          <w:szCs w:val="24"/>
        </w:rPr>
        <w:t>Fig. 10</w:t>
      </w:r>
      <w:r>
        <w:rPr>
          <w:sz w:val="24"/>
          <w:szCs w:val="24"/>
        </w:rPr>
        <w:t>). In contrast for the same years, the Kreppa discharge, though visually raised was not statistically higher (</w:t>
      </w:r>
      <w:r>
        <w:rPr>
          <w:color w:val="0070C0"/>
          <w:sz w:val="24"/>
          <w:szCs w:val="24"/>
        </w:rPr>
        <w:t>Fig. 10</w:t>
      </w:r>
      <w:r>
        <w:rPr>
          <w:sz w:val="24"/>
          <w:szCs w:val="24"/>
        </w:rPr>
        <w:t xml:space="preserve">). The difference between the runoff recorded at the two sites in those two sets of years is even more obvious if the volume of water is considered by integrating the discharge through time. </w:t>
      </w:r>
    </w:p>
    <w:p w14:paraId="44E03426" w14:textId="77777777" w:rsidR="00C82090" w:rsidRDefault="00C82090">
      <w:pPr>
        <w:spacing w:after="0"/>
        <w:rPr>
          <w:sz w:val="24"/>
          <w:szCs w:val="24"/>
          <w:lang w:eastAsia="en-US"/>
        </w:rPr>
      </w:pPr>
    </w:p>
    <w:p w14:paraId="683D7868" w14:textId="77777777" w:rsidR="00C82090" w:rsidRDefault="00C37608">
      <w:pPr>
        <w:pStyle w:val="Heading2"/>
      </w:pPr>
      <w:r>
        <w:t>DISCUSSION</w:t>
      </w:r>
    </w:p>
    <w:p w14:paraId="19412F7C" w14:textId="77777777" w:rsidR="00C82090" w:rsidRDefault="00C37608">
      <w:pPr>
        <w:spacing w:after="0"/>
      </w:pPr>
      <w:r>
        <w:rPr>
          <w:b/>
          <w:i/>
          <w:sz w:val="24"/>
          <w:szCs w:val="24"/>
          <w:lang w:eastAsia="en-US"/>
        </w:rPr>
        <w:t>Glacier geometry changes</w:t>
      </w:r>
    </w:p>
    <w:p w14:paraId="74C76BA1" w14:textId="77777777" w:rsidR="00C82090" w:rsidRDefault="00C37608">
      <w:pPr>
        <w:spacing w:after="0"/>
      </w:pPr>
      <w:r>
        <w:rPr>
          <w:sz w:val="24"/>
          <w:szCs w:val="24"/>
          <w:lang w:eastAsia="en-US"/>
        </w:rPr>
        <w:t xml:space="preserve">To have two airborne laser scan (ALS) surveys of a single glacier is unusual. For two ALS surveys to span the timeframe of a surge is extremely fortuitous. In general the </w:t>
      </w:r>
      <w:r>
        <w:rPr>
          <w:i/>
          <w:sz w:val="24"/>
          <w:szCs w:val="24"/>
          <w:lang w:eastAsia="en-US"/>
        </w:rPr>
        <w:t xml:space="preserve">pattern </w:t>
      </w:r>
      <w:r>
        <w:rPr>
          <w:sz w:val="24"/>
          <w:szCs w:val="24"/>
          <w:lang w:eastAsia="en-US"/>
        </w:rPr>
        <w:t>of surface elevation changes on Kverkjökull as revealed by the difference between the two ALS surveys demonstrates the discharge of ice from within the northern-most caldera of Kverk</w:t>
      </w:r>
      <w:r>
        <w:rPr>
          <w:sz w:val="24"/>
          <w:szCs w:val="24"/>
          <w:lang w:eastAsia="en-US"/>
        </w:rPr>
        <w:softHyphen/>
        <w:t>fjöll and this mass transport pattern (</w:t>
      </w:r>
      <w:r>
        <w:rPr>
          <w:color w:val="0070C0"/>
          <w:sz w:val="24"/>
          <w:szCs w:val="24"/>
          <w:lang w:eastAsia="en-US"/>
        </w:rPr>
        <w:t>Fig. 2C</w:t>
      </w:r>
      <w:r>
        <w:rPr>
          <w:sz w:val="24"/>
          <w:szCs w:val="24"/>
          <w:lang w:eastAsia="en-US"/>
        </w:rPr>
        <w:t>) is typical of surges in land-terminating temp</w:t>
      </w:r>
      <w:r>
        <w:rPr>
          <w:sz w:val="24"/>
          <w:szCs w:val="24"/>
          <w:lang w:eastAsia="en-US"/>
        </w:rPr>
        <w:softHyphen/>
        <w:t xml:space="preserve">erate glaciers (Murray </w:t>
      </w:r>
      <w:r>
        <w:rPr>
          <w:i/>
          <w:iCs/>
          <w:sz w:val="24"/>
          <w:szCs w:val="24"/>
          <w:lang w:eastAsia="en-US"/>
        </w:rPr>
        <w:t>et al.</w:t>
      </w:r>
      <w:r>
        <w:rPr>
          <w:sz w:val="24"/>
          <w:szCs w:val="24"/>
          <w:lang w:eastAsia="en-US"/>
        </w:rPr>
        <w:t xml:space="preserve">, 2003; Murray </w:t>
      </w:r>
      <w:r>
        <w:rPr>
          <w:i/>
          <w:iCs/>
          <w:sz w:val="24"/>
          <w:szCs w:val="24"/>
          <w:lang w:eastAsia="en-US"/>
        </w:rPr>
        <w:t>et al.</w:t>
      </w:r>
      <w:r>
        <w:rPr>
          <w:sz w:val="24"/>
          <w:szCs w:val="24"/>
          <w:lang w:eastAsia="en-US"/>
        </w:rPr>
        <w:t xml:space="preserve">, 2012). The </w:t>
      </w:r>
      <w:r>
        <w:rPr>
          <w:i/>
          <w:sz w:val="24"/>
          <w:szCs w:val="24"/>
          <w:lang w:eastAsia="en-US"/>
        </w:rPr>
        <w:t>magnitude</w:t>
      </w:r>
      <w:r>
        <w:rPr>
          <w:sz w:val="24"/>
          <w:szCs w:val="24"/>
          <w:lang w:eastAsia="en-US"/>
        </w:rPr>
        <w:t xml:space="preserve"> of surface elevation changes that we have detected of up to +20 m (</w:t>
      </w:r>
      <w:r>
        <w:rPr>
          <w:color w:val="0070C0"/>
          <w:sz w:val="24"/>
          <w:szCs w:val="24"/>
          <w:lang w:eastAsia="en-US"/>
        </w:rPr>
        <w:t>Fig. 2C</w:t>
      </w:r>
      <w:r>
        <w:rPr>
          <w:sz w:val="24"/>
          <w:szCs w:val="24"/>
          <w:lang w:eastAsia="en-US"/>
        </w:rPr>
        <w:t xml:space="preserve">) are modest when compared to the more spectacular elevation shifts of ~100 m in tidewater glacier surges (see Table 2 of King </w:t>
      </w:r>
      <w:r>
        <w:rPr>
          <w:i/>
          <w:iCs/>
          <w:sz w:val="24"/>
          <w:szCs w:val="24"/>
          <w:lang w:eastAsia="en-US"/>
        </w:rPr>
        <w:t>et al.</w:t>
      </w:r>
      <w:r>
        <w:rPr>
          <w:sz w:val="24"/>
          <w:szCs w:val="24"/>
          <w:lang w:eastAsia="en-US"/>
        </w:rPr>
        <w:t xml:space="preserve">, 2015) and are low in comparison with what has been mapped of elevation changes in other surging land-terminating glaciers in Iceland (Björnsson </w:t>
      </w:r>
      <w:r>
        <w:rPr>
          <w:i/>
          <w:iCs/>
          <w:sz w:val="24"/>
          <w:szCs w:val="24"/>
          <w:lang w:eastAsia="en-US"/>
        </w:rPr>
        <w:t>et al.</w:t>
      </w:r>
      <w:r>
        <w:rPr>
          <w:sz w:val="24"/>
          <w:szCs w:val="24"/>
          <w:lang w:eastAsia="en-US"/>
        </w:rPr>
        <w:t>, 2003; Magnús</w:t>
      </w:r>
      <w:r>
        <w:rPr>
          <w:sz w:val="24"/>
          <w:szCs w:val="24"/>
          <w:lang w:eastAsia="en-US"/>
        </w:rPr>
        <w:softHyphen/>
        <w:t xml:space="preserve">son </w:t>
      </w:r>
      <w:r>
        <w:rPr>
          <w:i/>
          <w:iCs/>
          <w:sz w:val="24"/>
          <w:szCs w:val="24"/>
          <w:lang w:eastAsia="en-US"/>
        </w:rPr>
        <w:t>et al.</w:t>
      </w:r>
      <w:r>
        <w:rPr>
          <w:sz w:val="24"/>
          <w:szCs w:val="24"/>
          <w:lang w:eastAsia="en-US"/>
        </w:rPr>
        <w:t xml:space="preserve">, 2005;  Aðalgeirsdóttir </w:t>
      </w:r>
      <w:r>
        <w:rPr>
          <w:i/>
          <w:iCs/>
          <w:sz w:val="24"/>
          <w:szCs w:val="24"/>
          <w:lang w:eastAsia="en-US"/>
        </w:rPr>
        <w:t>et al.</w:t>
      </w:r>
      <w:r>
        <w:rPr>
          <w:sz w:val="24"/>
          <w:szCs w:val="24"/>
          <w:lang w:eastAsia="en-US"/>
        </w:rPr>
        <w:t xml:space="preserve">, 2005; Magnússon </w:t>
      </w:r>
      <w:r>
        <w:rPr>
          <w:i/>
          <w:iCs/>
          <w:sz w:val="24"/>
          <w:szCs w:val="24"/>
          <w:lang w:eastAsia="en-US"/>
        </w:rPr>
        <w:t>et al.</w:t>
      </w:r>
      <w:r>
        <w:rPr>
          <w:sz w:val="24"/>
          <w:szCs w:val="24"/>
          <w:lang w:eastAsia="en-US"/>
        </w:rPr>
        <w:t>, 2016), on Svalbard (</w:t>
      </w:r>
      <w:r>
        <w:rPr>
          <w:i/>
          <w:iCs/>
          <w:sz w:val="24"/>
          <w:szCs w:val="24"/>
          <w:lang w:eastAsia="en-US"/>
        </w:rPr>
        <w:t>e.g.</w:t>
      </w:r>
      <w:r>
        <w:rPr>
          <w:sz w:val="24"/>
          <w:szCs w:val="24"/>
          <w:lang w:eastAsia="en-US"/>
        </w:rPr>
        <w:t xml:space="preserve"> Kroppbreen: 40 m, Sund </w:t>
      </w:r>
      <w:r>
        <w:rPr>
          <w:i/>
          <w:iCs/>
          <w:sz w:val="24"/>
          <w:szCs w:val="24"/>
          <w:lang w:eastAsia="en-US"/>
        </w:rPr>
        <w:t>et al.</w:t>
      </w:r>
      <w:r>
        <w:rPr>
          <w:sz w:val="24"/>
          <w:szCs w:val="24"/>
          <w:lang w:eastAsia="en-US"/>
        </w:rPr>
        <w:t xml:space="preserve">, 2009), in the Karakoram (Gardelle </w:t>
      </w:r>
      <w:r>
        <w:rPr>
          <w:i/>
          <w:iCs/>
          <w:sz w:val="24"/>
          <w:szCs w:val="24"/>
          <w:lang w:eastAsia="en-US"/>
        </w:rPr>
        <w:t>et al.</w:t>
      </w:r>
      <w:r>
        <w:rPr>
          <w:sz w:val="24"/>
          <w:szCs w:val="24"/>
          <w:lang w:eastAsia="en-US"/>
        </w:rPr>
        <w:t xml:space="preserve">, 2013), but comparable to the vertical changes of a surging land-terminating glacier of up to +30 m on the Horcones Inferior Glacier, Argentina (Pitte </w:t>
      </w:r>
      <w:r>
        <w:rPr>
          <w:i/>
          <w:iCs/>
          <w:sz w:val="24"/>
          <w:szCs w:val="24"/>
          <w:lang w:eastAsia="en-US"/>
        </w:rPr>
        <w:t>et al.</w:t>
      </w:r>
      <w:r>
        <w:rPr>
          <w:sz w:val="24"/>
          <w:szCs w:val="24"/>
          <w:lang w:eastAsia="en-US"/>
        </w:rPr>
        <w:t xml:space="preserve">, 2016). </w:t>
      </w:r>
    </w:p>
    <w:p w14:paraId="2178F98C" w14:textId="77777777" w:rsidR="00C82090" w:rsidRDefault="00C37608">
      <w:pPr>
        <w:spacing w:after="0"/>
      </w:pPr>
      <w:r>
        <w:rPr>
          <w:sz w:val="24"/>
          <w:szCs w:val="24"/>
          <w:lang w:eastAsia="en-US"/>
        </w:rPr>
        <w:t xml:space="preserve">  </w:t>
      </w:r>
    </w:p>
    <w:p w14:paraId="390A45A7" w14:textId="4978E6FF" w:rsidR="00C82090" w:rsidRDefault="00C37608">
      <w:pPr>
        <w:spacing w:after="0"/>
      </w:pPr>
      <w:r>
        <w:rPr>
          <w:sz w:val="24"/>
          <w:szCs w:val="24"/>
          <w:lang w:eastAsia="en-US"/>
        </w:rPr>
        <w:t>The asymmetry of elevation changes in the terminus area of Kverkjökull (</w:t>
      </w:r>
      <w:r>
        <w:rPr>
          <w:color w:val="0070C0"/>
          <w:sz w:val="24"/>
          <w:szCs w:val="24"/>
          <w:lang w:eastAsia="en-US"/>
        </w:rPr>
        <w:t>Fig. 2C</w:t>
      </w:r>
      <w:r>
        <w:rPr>
          <w:sz w:val="24"/>
          <w:szCs w:val="24"/>
          <w:lang w:eastAsia="en-US"/>
        </w:rPr>
        <w:t xml:space="preserve">) is remarkable. A possible </w:t>
      </w:r>
      <w:r w:rsidR="008F3E31">
        <w:rPr>
          <w:sz w:val="24"/>
          <w:szCs w:val="24"/>
          <w:lang w:eastAsia="en-US"/>
        </w:rPr>
        <w:t>physical reason for the differing</w:t>
      </w:r>
      <w:r>
        <w:rPr>
          <w:sz w:val="24"/>
          <w:szCs w:val="24"/>
          <w:lang w:eastAsia="en-US"/>
        </w:rPr>
        <w:t xml:space="preserve"> propagation of </w:t>
      </w:r>
      <w:r w:rsidR="008F3E31">
        <w:rPr>
          <w:sz w:val="24"/>
          <w:szCs w:val="24"/>
          <w:lang w:eastAsia="en-US"/>
        </w:rPr>
        <w:t xml:space="preserve">the </w:t>
      </w:r>
      <w:r>
        <w:rPr>
          <w:sz w:val="24"/>
          <w:szCs w:val="24"/>
          <w:lang w:eastAsia="en-US"/>
        </w:rPr>
        <w:t xml:space="preserve">surge </w:t>
      </w:r>
      <w:r w:rsidR="008F3E31">
        <w:rPr>
          <w:sz w:val="24"/>
          <w:szCs w:val="24"/>
          <w:lang w:eastAsia="en-US"/>
        </w:rPr>
        <w:t>between the</w:t>
      </w:r>
      <w:r>
        <w:rPr>
          <w:sz w:val="24"/>
          <w:szCs w:val="24"/>
          <w:lang w:eastAsia="en-US"/>
        </w:rPr>
        <w:t xml:space="preserve"> north and </w:t>
      </w:r>
      <w:r w:rsidR="008F3E31">
        <w:rPr>
          <w:sz w:val="24"/>
          <w:szCs w:val="24"/>
          <w:lang w:eastAsia="en-US"/>
        </w:rPr>
        <w:t xml:space="preserve">south parts of the terminus is unlikely to be due to subglacial topography, as based on our observations of the topographic pattern of the surrounding ice-free terrain and of our </w:t>
      </w:r>
      <w:r w:rsidR="008F3E31">
        <w:rPr>
          <w:sz w:val="24"/>
          <w:szCs w:val="24"/>
          <w:lang w:eastAsia="en-US"/>
        </w:rPr>
        <w:lastRenderedPageBreak/>
        <w:t>crude estimate of ice bed</w:t>
      </w:r>
      <w:r w:rsidR="00A22170">
        <w:rPr>
          <w:sz w:val="24"/>
          <w:szCs w:val="24"/>
          <w:lang w:eastAsia="en-US"/>
        </w:rPr>
        <w:t xml:space="preserve"> topography pattern via ice thi</w:t>
      </w:r>
      <w:r w:rsidR="008F3E31">
        <w:rPr>
          <w:sz w:val="24"/>
          <w:szCs w:val="24"/>
          <w:lang w:eastAsia="en-US"/>
        </w:rPr>
        <w:t xml:space="preserve">ckness estimations. Therefore the differing surge progression </w:t>
      </w:r>
      <w:r>
        <w:rPr>
          <w:sz w:val="24"/>
          <w:szCs w:val="24"/>
          <w:lang w:eastAsia="en-US"/>
        </w:rPr>
        <w:t>could also be caused by some internal dynamics of the surge as mentioned previously. We note that there are many examples of surges that only activated a part of the corresponding ice-flow basin such as at Þjórsárjökull, Hofsjökull ice cap, in 1991 and 1994, and surge fronts that did not reach the glacier margin as at Western-Haga</w:t>
      </w:r>
      <w:r>
        <w:rPr>
          <w:sz w:val="24"/>
          <w:szCs w:val="24"/>
          <w:lang w:eastAsia="en-US"/>
        </w:rPr>
        <w:softHyphen/>
        <w:t>fells</w:t>
      </w:r>
      <w:r>
        <w:rPr>
          <w:sz w:val="24"/>
          <w:szCs w:val="24"/>
          <w:lang w:eastAsia="en-US"/>
        </w:rPr>
        <w:softHyphen/>
        <w:t>jökull, Lang</w:t>
      </w:r>
      <w:r>
        <w:rPr>
          <w:sz w:val="24"/>
          <w:szCs w:val="24"/>
          <w:lang w:eastAsia="en-US"/>
        </w:rPr>
        <w:softHyphen/>
        <w:t xml:space="preserve">jökull ice cap, 1997–1998 (Björnsson </w:t>
      </w:r>
      <w:r>
        <w:rPr>
          <w:i/>
          <w:iCs/>
          <w:sz w:val="24"/>
          <w:szCs w:val="24"/>
          <w:lang w:eastAsia="en-US"/>
        </w:rPr>
        <w:t>et al.</w:t>
      </w:r>
      <w:r>
        <w:rPr>
          <w:sz w:val="24"/>
          <w:szCs w:val="24"/>
          <w:lang w:eastAsia="en-US"/>
        </w:rPr>
        <w:t>, 2003). The north-eastern-most portion of the terminus area appears to have become progressively less active, prior to the surge, as evidenced by the lack of any significant surface morphology in the form of crevasses and longitudinal foliation, and indeed the rather smooth texture of that portion of the terminus in comparison with the south-western-most portion (</w:t>
      </w:r>
      <w:r>
        <w:rPr>
          <w:color w:val="0070C0"/>
          <w:sz w:val="24"/>
          <w:szCs w:val="24"/>
          <w:lang w:eastAsia="en-US"/>
        </w:rPr>
        <w:t>Figs. 2A</w:t>
      </w:r>
      <w:r>
        <w:rPr>
          <w:sz w:val="24"/>
          <w:szCs w:val="24"/>
          <w:lang w:eastAsia="en-US"/>
        </w:rPr>
        <w:t>). Relatively intense longitudinal compression was thus caused as the surge wave encountered slow, if not near-stagnant ice, in the north-eastern part of the terminus area.</w:t>
      </w:r>
    </w:p>
    <w:p w14:paraId="5A1EF0AE" w14:textId="77777777" w:rsidR="00C82090" w:rsidRDefault="00C82090">
      <w:pPr>
        <w:spacing w:after="0"/>
        <w:rPr>
          <w:sz w:val="24"/>
          <w:szCs w:val="24"/>
          <w:lang w:eastAsia="en-US"/>
        </w:rPr>
      </w:pPr>
    </w:p>
    <w:p w14:paraId="70043B52" w14:textId="77777777" w:rsidR="00C82090" w:rsidRDefault="00C37608">
      <w:pPr>
        <w:spacing w:after="0"/>
      </w:pPr>
      <w:r>
        <w:rPr>
          <w:b/>
          <w:i/>
          <w:sz w:val="24"/>
          <w:szCs w:val="24"/>
          <w:lang w:eastAsia="en-US"/>
        </w:rPr>
        <w:t>Glacier surface morphology</w:t>
      </w:r>
    </w:p>
    <w:p w14:paraId="6D649925" w14:textId="77777777" w:rsidR="00C82090" w:rsidRDefault="00C37608">
      <w:pPr>
        <w:spacing w:after="0"/>
      </w:pPr>
      <w:r>
        <w:rPr>
          <w:sz w:val="24"/>
          <w:szCs w:val="24"/>
        </w:rPr>
        <w:t>Surge-type glaciers in Iceland are characterized by gently sloping (&lt;4</w:t>
      </w:r>
      <w:r>
        <w:rPr>
          <w:sz w:val="24"/>
          <w:szCs w:val="24"/>
          <w:vertAlign w:val="superscript"/>
        </w:rPr>
        <w:t>o</w:t>
      </w:r>
      <w:r>
        <w:rPr>
          <w:sz w:val="24"/>
          <w:szCs w:val="24"/>
        </w:rPr>
        <w:t>) ice surfaces although the maximum slope of a surging glacier in Iceland is 14</w:t>
      </w:r>
      <w:r>
        <w:rPr>
          <w:sz w:val="24"/>
          <w:szCs w:val="24"/>
          <w:vertAlign w:val="superscript"/>
        </w:rPr>
        <w:t>o</w:t>
      </w:r>
      <w:r>
        <w:rPr>
          <w:sz w:val="24"/>
          <w:szCs w:val="24"/>
        </w:rPr>
        <w:t xml:space="preserve"> (Björnsson </w:t>
      </w:r>
      <w:r>
        <w:rPr>
          <w:i/>
          <w:iCs/>
          <w:sz w:val="24"/>
          <w:szCs w:val="24"/>
        </w:rPr>
        <w:t>et al.</w:t>
      </w:r>
      <w:r>
        <w:rPr>
          <w:sz w:val="24"/>
          <w:szCs w:val="24"/>
        </w:rPr>
        <w:t>, 2003; Björnsson and Pálsson, 2008). Since the vast majority of the surface of Kverkjökull is &gt;4</w:t>
      </w:r>
      <w:r>
        <w:rPr>
          <w:sz w:val="24"/>
          <w:szCs w:val="24"/>
          <w:vertAlign w:val="superscript"/>
        </w:rPr>
        <w:t>o</w:t>
      </w:r>
      <w:r>
        <w:rPr>
          <w:sz w:val="24"/>
          <w:szCs w:val="24"/>
        </w:rPr>
        <w:t>, a surge there not typical in an Icelandic context. Furthermore, none of the glaciers mentioned in Table 1 are generally steeper than 4</w:t>
      </w:r>
      <w:r>
        <w:rPr>
          <w:sz w:val="24"/>
          <w:szCs w:val="24"/>
          <w:vertAlign w:val="superscript"/>
        </w:rPr>
        <w:t>o</w:t>
      </w:r>
      <w:r>
        <w:rPr>
          <w:sz w:val="24"/>
          <w:szCs w:val="24"/>
        </w:rPr>
        <w:t xml:space="preserve"> except perhaps in small localised parts. The exception is the surge of Horcones Inferior glacier because that glacier is steep and fed by ice falls (Pitte </w:t>
      </w:r>
      <w:r>
        <w:rPr>
          <w:i/>
          <w:iCs/>
          <w:sz w:val="24"/>
          <w:szCs w:val="24"/>
        </w:rPr>
        <w:t>et al.</w:t>
      </w:r>
      <w:r>
        <w:rPr>
          <w:sz w:val="24"/>
          <w:szCs w:val="24"/>
        </w:rPr>
        <w:t xml:space="preserve">, 2015). The surging glaciers in the Karakoram are also generally low angle in their ablation areas but with steep ice falls to connect with accumulation areas. </w:t>
      </w:r>
    </w:p>
    <w:p w14:paraId="4754110F" w14:textId="77777777" w:rsidR="00C82090" w:rsidRDefault="00C82090">
      <w:pPr>
        <w:spacing w:after="0"/>
        <w:rPr>
          <w:sz w:val="24"/>
          <w:szCs w:val="24"/>
        </w:rPr>
      </w:pPr>
    </w:p>
    <w:p w14:paraId="7F1F4696" w14:textId="3E429842" w:rsidR="00C82090" w:rsidRDefault="00C37608">
      <w:pPr>
        <w:spacing w:after="0"/>
      </w:pPr>
      <w:r>
        <w:rPr>
          <w:sz w:val="24"/>
          <w:szCs w:val="24"/>
        </w:rPr>
        <w:t>The orientation of crevasses is normally dependent on the direction of maximum extending strain-rates, with a fracture typically forming perpendicular to the maximum extending strain-rate (Cuffey and Paterson, 2010). In our data, crevassing in 2007 was generally restricted to the margins of the glacier and to a few centrally-situated zones associated with proximity to bedrock outcrops (</w:t>
      </w:r>
      <w:r>
        <w:rPr>
          <w:color w:val="0070C0"/>
          <w:sz w:val="24"/>
          <w:szCs w:val="24"/>
        </w:rPr>
        <w:t>Fig. 2A</w:t>
      </w:r>
      <w:r>
        <w:rPr>
          <w:sz w:val="24"/>
          <w:szCs w:val="24"/>
        </w:rPr>
        <w:t>). In contrast, in 2011 crevassing extended throughout the central portion of the glacier and was intense along the eastern margin and in the south-western part of the terminus region (</w:t>
      </w:r>
      <w:r>
        <w:rPr>
          <w:color w:val="0070C0"/>
          <w:sz w:val="24"/>
          <w:szCs w:val="24"/>
        </w:rPr>
        <w:t>Fig. 2B</w:t>
      </w:r>
      <w:r>
        <w:rPr>
          <w:sz w:val="24"/>
          <w:szCs w:val="24"/>
        </w:rPr>
        <w:t>). Between 2008 and 2011, the evolving orientation of the crevasses close to the centreline of Kverkjökull demonstrates differential flow between the middle of the glacier and its margins. Longitudinally compressive stresses are interpreted in the highly-crevassed central lobe, whereas longitudinal extension is prevalent in the reservoir zone in the upper glacier.</w:t>
      </w:r>
    </w:p>
    <w:p w14:paraId="6DE3D609" w14:textId="77777777" w:rsidR="00C82090" w:rsidRDefault="00C82090">
      <w:pPr>
        <w:pStyle w:val="Heading2"/>
      </w:pPr>
    </w:p>
    <w:p w14:paraId="589706B0" w14:textId="1BD7EABB" w:rsidR="00C82090" w:rsidRDefault="00C37608">
      <w:pPr>
        <w:spacing w:after="0"/>
      </w:pPr>
      <w:r>
        <w:rPr>
          <w:sz w:val="24"/>
          <w:szCs w:val="24"/>
          <w:lang w:eastAsia="en-US"/>
        </w:rPr>
        <w:t>Our surface velocities derived from manual feature tracking in the terminus area (</w:t>
      </w:r>
      <w:r>
        <w:rPr>
          <w:color w:val="0070C0"/>
          <w:sz w:val="24"/>
          <w:szCs w:val="24"/>
          <w:lang w:eastAsia="en-US"/>
        </w:rPr>
        <w:t>Fig. 8</w:t>
      </w:r>
      <w:r>
        <w:rPr>
          <w:sz w:val="24"/>
          <w:szCs w:val="24"/>
          <w:lang w:eastAsia="en-US"/>
        </w:rPr>
        <w:t>) and in the mid-elevation parts of the glacier near the Kverk (</w:t>
      </w:r>
      <w:r>
        <w:rPr>
          <w:color w:val="0070C0"/>
          <w:sz w:val="24"/>
          <w:szCs w:val="24"/>
          <w:lang w:eastAsia="en-US"/>
        </w:rPr>
        <w:t>Fig. 9</w:t>
      </w:r>
      <w:r>
        <w:rPr>
          <w:sz w:val="24"/>
          <w:szCs w:val="24"/>
          <w:lang w:eastAsia="en-US"/>
        </w:rPr>
        <w:t>) both suggest a deceleration of the glacier between 2012 and 2013 of ~20 to 25%. This slowdown is from velocities of up to 80 m yr</w:t>
      </w:r>
      <w:r>
        <w:rPr>
          <w:sz w:val="24"/>
          <w:szCs w:val="24"/>
          <w:vertAlign w:val="superscript"/>
          <w:lang w:eastAsia="en-US"/>
        </w:rPr>
        <w:t>–1</w:t>
      </w:r>
      <w:r>
        <w:rPr>
          <w:sz w:val="24"/>
          <w:szCs w:val="24"/>
          <w:lang w:eastAsia="en-US"/>
        </w:rPr>
        <w:t xml:space="preserve"> (</w:t>
      </w:r>
      <w:r>
        <w:rPr>
          <w:color w:val="0070C0"/>
          <w:sz w:val="24"/>
          <w:szCs w:val="24"/>
          <w:lang w:eastAsia="en-US"/>
        </w:rPr>
        <w:t>Fig. 8</w:t>
      </w:r>
      <w:r>
        <w:rPr>
          <w:sz w:val="24"/>
          <w:szCs w:val="24"/>
          <w:lang w:eastAsia="en-US"/>
        </w:rPr>
        <w:t>) but the fastest sections of the glacier are probably those most crevassed and they were moving so quickly that our imagery did not have sufficient temporal resolution to confidently track features (</w:t>
      </w:r>
      <w:r>
        <w:rPr>
          <w:color w:val="0070C0"/>
          <w:sz w:val="24"/>
          <w:szCs w:val="24"/>
          <w:lang w:eastAsia="en-US"/>
        </w:rPr>
        <w:t>Fig. 8</w:t>
      </w:r>
      <w:r>
        <w:rPr>
          <w:sz w:val="24"/>
          <w:szCs w:val="24"/>
          <w:lang w:eastAsia="en-US"/>
        </w:rPr>
        <w:t>). The fastest velocities that we could measure relate to a 21 m displacement over 30 days in 2012 (</w:t>
      </w:r>
      <w:r>
        <w:rPr>
          <w:color w:val="0070C0"/>
          <w:sz w:val="24"/>
          <w:szCs w:val="24"/>
          <w:lang w:eastAsia="en-US"/>
        </w:rPr>
        <w:t>Fig. 9</w:t>
      </w:r>
      <w:r>
        <w:rPr>
          <w:sz w:val="24"/>
          <w:szCs w:val="24"/>
          <w:lang w:eastAsia="en-US"/>
        </w:rPr>
        <w:t>), equivalent to 0.7 m day</w:t>
      </w:r>
      <w:r>
        <w:rPr>
          <w:sz w:val="24"/>
          <w:szCs w:val="24"/>
          <w:vertAlign w:val="superscript"/>
          <w:lang w:eastAsia="en-US"/>
        </w:rPr>
        <w:t>–1</w:t>
      </w:r>
      <w:r>
        <w:rPr>
          <w:sz w:val="24"/>
          <w:szCs w:val="24"/>
          <w:lang w:eastAsia="en-US"/>
        </w:rPr>
        <w:t>, which is not uncommon for ‘normal’ (non-surge) ice flow. The bias in our velocity measurements towards slower velocities probably explains why the surface speeds that we have measured are low in comparison to the surface velocity of land-terminating surging glaciers elsewhere (</w:t>
      </w:r>
      <w:r>
        <w:rPr>
          <w:color w:val="0070C0"/>
          <w:sz w:val="24"/>
          <w:szCs w:val="24"/>
          <w:lang w:eastAsia="en-US"/>
        </w:rPr>
        <w:t>Table 1</w:t>
      </w:r>
      <w:r>
        <w:rPr>
          <w:sz w:val="24"/>
          <w:szCs w:val="24"/>
          <w:lang w:eastAsia="en-US"/>
        </w:rPr>
        <w:t>),</w:t>
      </w:r>
      <w:r>
        <w:t xml:space="preserve"> </w:t>
      </w:r>
      <w:r>
        <w:rPr>
          <w:sz w:val="24"/>
          <w:szCs w:val="24"/>
          <w:lang w:eastAsia="en-US"/>
        </w:rPr>
        <w:t>but might also be an indication that we are measuring the final stages of the surge.</w:t>
      </w:r>
    </w:p>
    <w:p w14:paraId="34E86BAC" w14:textId="77777777" w:rsidR="00C82090" w:rsidRDefault="00C82090">
      <w:pPr>
        <w:pStyle w:val="ListParagraph"/>
        <w:spacing w:after="0"/>
        <w:rPr>
          <w:sz w:val="24"/>
          <w:szCs w:val="24"/>
          <w:lang w:eastAsia="en-US"/>
        </w:rPr>
      </w:pPr>
    </w:p>
    <w:p w14:paraId="5377883D" w14:textId="77777777" w:rsidR="00C82090" w:rsidRDefault="00C37608">
      <w:pPr>
        <w:spacing w:after="0"/>
      </w:pPr>
      <w:r>
        <w:rPr>
          <w:sz w:val="24"/>
          <w:szCs w:val="24"/>
          <w:lang w:eastAsia="en-US"/>
        </w:rPr>
        <w:t xml:space="preserve">Our surface observations did not reveal any change in the number or position of glacier river outlets, which have been noted to commonly occur during other Icelandic glacier surges (Björnsson, 1998; Björnsson </w:t>
      </w:r>
      <w:r>
        <w:rPr>
          <w:i/>
          <w:iCs/>
          <w:sz w:val="24"/>
          <w:szCs w:val="24"/>
          <w:lang w:eastAsia="en-US"/>
        </w:rPr>
        <w:t>et al.</w:t>
      </w:r>
      <w:r>
        <w:rPr>
          <w:sz w:val="24"/>
          <w:szCs w:val="24"/>
          <w:lang w:eastAsia="en-US"/>
        </w:rPr>
        <w:t>, 2003).</w:t>
      </w:r>
    </w:p>
    <w:p w14:paraId="2BB27570" w14:textId="77777777" w:rsidR="00C82090" w:rsidRDefault="00C82090">
      <w:pPr>
        <w:pStyle w:val="ListParagraph"/>
        <w:spacing w:after="0"/>
        <w:rPr>
          <w:sz w:val="24"/>
          <w:szCs w:val="24"/>
          <w:lang w:eastAsia="en-US"/>
        </w:rPr>
      </w:pPr>
    </w:p>
    <w:p w14:paraId="78500507" w14:textId="77777777" w:rsidR="00C82090" w:rsidRDefault="00C37608">
      <w:pPr>
        <w:spacing w:after="0"/>
      </w:pPr>
      <w:r>
        <w:rPr>
          <w:b/>
          <w:i/>
          <w:sz w:val="24"/>
          <w:szCs w:val="24"/>
          <w:lang w:eastAsia="en-US"/>
        </w:rPr>
        <w:t xml:space="preserve">Surge timing and duration </w:t>
      </w:r>
    </w:p>
    <w:p w14:paraId="30DDD85A" w14:textId="29AFC214" w:rsidR="00C82090" w:rsidRDefault="00C37608">
      <w:pPr>
        <w:spacing w:after="0"/>
      </w:pPr>
      <w:r>
        <w:rPr>
          <w:sz w:val="24"/>
          <w:szCs w:val="24"/>
          <w:lang w:eastAsia="en-US"/>
        </w:rPr>
        <w:t>We are limited by data availability for determining exactly when the Kverkjökull surge started and how long it lasted. However, we can say that it started after 2008 (</w:t>
      </w:r>
      <w:r>
        <w:rPr>
          <w:color w:val="0070C0"/>
          <w:sz w:val="24"/>
          <w:szCs w:val="24"/>
          <w:lang w:eastAsia="en-US"/>
        </w:rPr>
        <w:t>Fig. 3</w:t>
      </w:r>
      <w:r>
        <w:rPr>
          <w:sz w:val="24"/>
          <w:szCs w:val="24"/>
          <w:lang w:eastAsia="en-US"/>
        </w:rPr>
        <w:t>) and before 2011. The surge front was well progressed by 2009 (</w:t>
      </w:r>
      <w:r>
        <w:rPr>
          <w:color w:val="0070C0"/>
          <w:sz w:val="24"/>
          <w:szCs w:val="24"/>
          <w:lang w:eastAsia="en-US"/>
        </w:rPr>
        <w:t>Fig. 7</w:t>
      </w:r>
      <w:r>
        <w:rPr>
          <w:sz w:val="24"/>
          <w:szCs w:val="24"/>
          <w:lang w:eastAsia="en-US"/>
        </w:rPr>
        <w:t xml:space="preserve">) and had </w:t>
      </w:r>
      <w:r w:rsidR="00A23F12">
        <w:rPr>
          <w:sz w:val="24"/>
          <w:szCs w:val="24"/>
          <w:lang w:eastAsia="en-US"/>
        </w:rPr>
        <w:t xml:space="preserve">not </w:t>
      </w:r>
      <w:r>
        <w:rPr>
          <w:sz w:val="24"/>
          <w:szCs w:val="24"/>
          <w:lang w:eastAsia="en-US"/>
        </w:rPr>
        <w:t xml:space="preserve">reached the glacier terminus </w:t>
      </w:r>
      <w:r w:rsidR="00A23F12">
        <w:rPr>
          <w:sz w:val="24"/>
          <w:szCs w:val="24"/>
          <w:lang w:eastAsia="en-US"/>
        </w:rPr>
        <w:t xml:space="preserve">in 2010 (Fig. 6) but had </w:t>
      </w:r>
      <w:r>
        <w:rPr>
          <w:sz w:val="24"/>
          <w:szCs w:val="24"/>
          <w:lang w:eastAsia="en-US"/>
        </w:rPr>
        <w:t>by 2011 (</w:t>
      </w:r>
      <w:r>
        <w:rPr>
          <w:color w:val="0070C0"/>
          <w:sz w:val="24"/>
          <w:szCs w:val="24"/>
          <w:lang w:eastAsia="en-US"/>
        </w:rPr>
        <w:t>Fig. 2C</w:t>
      </w:r>
      <w:r w:rsidR="00A23F12">
        <w:rPr>
          <w:sz w:val="24"/>
          <w:szCs w:val="24"/>
          <w:lang w:eastAsia="en-US"/>
        </w:rPr>
        <w:t>). T</w:t>
      </w:r>
      <w:r>
        <w:rPr>
          <w:sz w:val="24"/>
          <w:szCs w:val="24"/>
          <w:lang w:eastAsia="en-US"/>
        </w:rPr>
        <w:t>he terminus continued to advance through 2013 (</w:t>
      </w:r>
      <w:r>
        <w:rPr>
          <w:color w:val="0070C0"/>
          <w:sz w:val="24"/>
          <w:szCs w:val="24"/>
          <w:lang w:eastAsia="en-US"/>
        </w:rPr>
        <w:t>Fig. 8</w:t>
      </w:r>
      <w:r>
        <w:rPr>
          <w:sz w:val="24"/>
          <w:szCs w:val="24"/>
          <w:lang w:eastAsia="en-US"/>
        </w:rPr>
        <w:t>). Ice surface velocities apparently slowed between 2012 and 2013 (</w:t>
      </w:r>
      <w:r>
        <w:rPr>
          <w:color w:val="0070C0"/>
          <w:sz w:val="24"/>
          <w:szCs w:val="24"/>
          <w:lang w:eastAsia="en-US"/>
        </w:rPr>
        <w:t>Figs. 8 and 9</w:t>
      </w:r>
      <w:r>
        <w:rPr>
          <w:sz w:val="24"/>
          <w:szCs w:val="24"/>
          <w:lang w:eastAsia="en-US"/>
        </w:rPr>
        <w:t xml:space="preserve">). The discrepancy between the daily discharge and seasonal volume of meltwater runoff between the years 2008, 2009 and 2014, and the years 2010, 2011, 2012 and 2013, in the </w:t>
      </w:r>
      <w:r>
        <w:rPr>
          <w:sz w:val="24"/>
          <w:szCs w:val="24"/>
        </w:rPr>
        <w:t xml:space="preserve">Jökulsá á Fjöllum </w:t>
      </w:r>
      <w:r>
        <w:rPr>
          <w:sz w:val="24"/>
          <w:szCs w:val="24"/>
          <w:lang w:eastAsia="en-US"/>
        </w:rPr>
        <w:t xml:space="preserve">and the Kreppa suggest that the </w:t>
      </w:r>
      <w:r>
        <w:rPr>
          <w:sz w:val="24"/>
          <w:szCs w:val="24"/>
        </w:rPr>
        <w:t>Jökulsá á Fjöllum river</w:t>
      </w:r>
      <w:r>
        <w:rPr>
          <w:sz w:val="24"/>
          <w:szCs w:val="24"/>
          <w:lang w:eastAsia="en-US"/>
        </w:rPr>
        <w:t xml:space="preserve"> received an unusual amount of meltwater that was not seen in neighbouring catchments and so unlikely to be due to climate. Considering these observations together, the timing and duration of the surge of Kverkjökull might therefore be tentatively put at 2009 to 2013, and 4 years, respectively. </w:t>
      </w:r>
    </w:p>
    <w:p w14:paraId="49C1C372" w14:textId="77777777" w:rsidR="00C82090" w:rsidRDefault="00C82090">
      <w:pPr>
        <w:spacing w:after="0"/>
      </w:pPr>
    </w:p>
    <w:p w14:paraId="2973C295" w14:textId="4554B7BD" w:rsidR="00C82090" w:rsidRDefault="00C37608">
      <w:pPr>
        <w:spacing w:after="0"/>
      </w:pPr>
      <w:r>
        <w:rPr>
          <w:sz w:val="24"/>
          <w:szCs w:val="24"/>
          <w:lang w:eastAsia="en-US"/>
        </w:rPr>
        <w:t xml:space="preserve">The duration of the Kverkjökull surge is longer than those at many temperate surge-type glaciers in regions such as Alaska, which typically surge for 1 to 2 years (Jiskoot </w:t>
      </w:r>
      <w:r>
        <w:rPr>
          <w:i/>
          <w:iCs/>
          <w:sz w:val="24"/>
          <w:szCs w:val="24"/>
          <w:lang w:eastAsia="en-US"/>
        </w:rPr>
        <w:t>et al.</w:t>
      </w:r>
      <w:r>
        <w:rPr>
          <w:sz w:val="24"/>
          <w:szCs w:val="24"/>
          <w:lang w:eastAsia="en-US"/>
        </w:rPr>
        <w:t xml:space="preserve">, 2000). Other Icelandic glaciers that surge typically do so over ‘several years’ (Björnsson </w:t>
      </w:r>
      <w:r>
        <w:rPr>
          <w:i/>
          <w:iCs/>
          <w:sz w:val="24"/>
          <w:szCs w:val="24"/>
          <w:lang w:eastAsia="en-US"/>
        </w:rPr>
        <w:t>et al.</w:t>
      </w:r>
      <w:r>
        <w:rPr>
          <w:sz w:val="24"/>
          <w:szCs w:val="24"/>
          <w:lang w:eastAsia="en-US"/>
        </w:rPr>
        <w:t>, 2003). The Kverkjökull surge is, however, apparently rather short in duration in com</w:t>
      </w:r>
      <w:r>
        <w:rPr>
          <w:sz w:val="24"/>
          <w:szCs w:val="24"/>
          <w:lang w:eastAsia="en-US"/>
        </w:rPr>
        <w:softHyphen/>
        <w:t xml:space="preserve">parison with some </w:t>
      </w:r>
      <w:r w:rsidR="00EE5446">
        <w:rPr>
          <w:sz w:val="24"/>
          <w:szCs w:val="24"/>
          <w:lang w:eastAsia="en-US"/>
        </w:rPr>
        <w:lastRenderedPageBreak/>
        <w:t>other</w:t>
      </w:r>
      <w:r>
        <w:rPr>
          <w:sz w:val="24"/>
          <w:szCs w:val="24"/>
          <w:lang w:eastAsia="en-US"/>
        </w:rPr>
        <w:t xml:space="preserve"> high-latitude and polythermal glacier surges, such as those in Alaska, Svalbard and Green</w:t>
      </w:r>
      <w:r>
        <w:rPr>
          <w:sz w:val="24"/>
          <w:szCs w:val="24"/>
          <w:lang w:eastAsia="en-US"/>
        </w:rPr>
        <w:softHyphen/>
        <w:t xml:space="preserve">land, which often last 10 to 15 years (Jiskoot </w:t>
      </w:r>
      <w:r>
        <w:rPr>
          <w:i/>
          <w:iCs/>
          <w:sz w:val="24"/>
          <w:szCs w:val="24"/>
          <w:lang w:eastAsia="en-US"/>
        </w:rPr>
        <w:t>et al.</w:t>
      </w:r>
      <w:r>
        <w:rPr>
          <w:sz w:val="24"/>
          <w:szCs w:val="24"/>
          <w:lang w:eastAsia="en-US"/>
        </w:rPr>
        <w:t>, 1998; 2000) and even several decades (</w:t>
      </w:r>
      <w:r>
        <w:rPr>
          <w:i/>
          <w:iCs/>
          <w:sz w:val="24"/>
          <w:szCs w:val="24"/>
          <w:lang w:eastAsia="en-US"/>
        </w:rPr>
        <w:t>e.g.</w:t>
      </w:r>
      <w:r>
        <w:rPr>
          <w:sz w:val="24"/>
          <w:szCs w:val="24"/>
          <w:lang w:eastAsia="en-US"/>
        </w:rPr>
        <w:t xml:space="preserve"> Frappé and Clarke, 2007). The part of a surge that is recognised in terminus position advance lasted &gt;3 years at Kverkjökull (</w:t>
      </w:r>
      <w:r>
        <w:rPr>
          <w:color w:val="0070C0"/>
          <w:sz w:val="24"/>
          <w:szCs w:val="24"/>
          <w:lang w:eastAsia="en-US"/>
        </w:rPr>
        <w:t>Fig. 8</w:t>
      </w:r>
      <w:r>
        <w:rPr>
          <w:sz w:val="24"/>
          <w:szCs w:val="24"/>
          <w:lang w:eastAsia="en-US"/>
        </w:rPr>
        <w:t xml:space="preserve">) and this is much longer than the 2 to 3 months typical of terminus advances during many other Icelandic glacier surges (Björnsson </w:t>
      </w:r>
      <w:r>
        <w:rPr>
          <w:i/>
          <w:iCs/>
          <w:sz w:val="24"/>
          <w:szCs w:val="24"/>
          <w:lang w:eastAsia="en-US"/>
        </w:rPr>
        <w:t>et al.</w:t>
      </w:r>
      <w:r>
        <w:rPr>
          <w:sz w:val="24"/>
          <w:szCs w:val="24"/>
          <w:lang w:eastAsia="en-US"/>
        </w:rPr>
        <w:t xml:space="preserve">, 2003) although we note that the annual records by Sigurðsson published in </w:t>
      </w:r>
      <w:r>
        <w:rPr>
          <w:i/>
          <w:sz w:val="24"/>
          <w:szCs w:val="24"/>
          <w:lang w:eastAsia="en-US"/>
        </w:rPr>
        <w:t>Jökull</w:t>
      </w:r>
      <w:r>
        <w:rPr>
          <w:sz w:val="24"/>
          <w:szCs w:val="24"/>
          <w:lang w:eastAsia="en-US"/>
        </w:rPr>
        <w:t xml:space="preserve"> show that some surging glaciers in Iceland, such as the outlets of Drangajökull in the 1930s and 1990s and Búrfellsjökull in 2002–2005 have advanced for &gt;3 years in relation to surges. </w:t>
      </w:r>
    </w:p>
    <w:p w14:paraId="58FCA39F" w14:textId="77777777" w:rsidR="00C82090" w:rsidRDefault="00C82090">
      <w:pPr>
        <w:spacing w:after="0"/>
        <w:rPr>
          <w:sz w:val="24"/>
          <w:szCs w:val="24"/>
          <w:lang w:eastAsia="en-US"/>
        </w:rPr>
      </w:pPr>
    </w:p>
    <w:p w14:paraId="6F1DEE44" w14:textId="5E19A327" w:rsidR="00C82090" w:rsidRDefault="00C37608">
      <w:pPr>
        <w:spacing w:after="0"/>
      </w:pPr>
      <w:r>
        <w:rPr>
          <w:sz w:val="24"/>
          <w:szCs w:val="24"/>
          <w:lang w:eastAsia="en-US"/>
        </w:rPr>
        <w:t>The surge of Kverkjökull preceded a partial drainage (~30 m lake level draw down) of the geothermal lake Gengissig (</w:t>
      </w:r>
      <w:r>
        <w:rPr>
          <w:color w:val="0070C0"/>
          <w:sz w:val="24"/>
          <w:szCs w:val="24"/>
          <w:lang w:eastAsia="en-US"/>
        </w:rPr>
        <w:t>Fig. 1</w:t>
      </w:r>
      <w:r>
        <w:rPr>
          <w:sz w:val="24"/>
          <w:szCs w:val="24"/>
          <w:lang w:eastAsia="en-US"/>
        </w:rPr>
        <w:t>; Montanaro et al., 2016) in August 2013. That drainage initiated a small glacier outburst flood, or ‘jökulhlaup’ that routed subglacially for 7.5 km along the length of Kverkjökull and exited the glacier terminus from the Volga ice cave (</w:t>
      </w:r>
      <w:r>
        <w:rPr>
          <w:color w:val="0070C0"/>
          <w:sz w:val="24"/>
          <w:szCs w:val="24"/>
          <w:lang w:eastAsia="en-US"/>
        </w:rPr>
        <w:t>Fig. 1</w:t>
      </w:r>
      <w:r>
        <w:rPr>
          <w:sz w:val="24"/>
          <w:szCs w:val="24"/>
          <w:lang w:eastAsia="en-US"/>
        </w:rPr>
        <w:t>). The close coincidence of these events means that it could be speculated as to whether thinning of the ice in the vicinity of Gengissig, in the reservoir area of the surge (</w:t>
      </w:r>
      <w:r>
        <w:rPr>
          <w:color w:val="0070C0"/>
          <w:sz w:val="24"/>
          <w:szCs w:val="24"/>
          <w:lang w:eastAsia="en-US"/>
        </w:rPr>
        <w:t>Fig. 2C</w:t>
      </w:r>
      <w:r>
        <w:rPr>
          <w:sz w:val="24"/>
          <w:szCs w:val="24"/>
          <w:lang w:eastAsia="en-US"/>
        </w:rPr>
        <w:t>), was sufficient to encourage the water in Gengissig to escape subglacially, although there have been many outbursts of water from Gengissig that have not asscociated with a surge.</w:t>
      </w:r>
    </w:p>
    <w:p w14:paraId="6A4A88EF" w14:textId="77777777" w:rsidR="00C82090" w:rsidRDefault="00C82090">
      <w:pPr>
        <w:spacing w:after="0"/>
        <w:rPr>
          <w:sz w:val="24"/>
          <w:szCs w:val="24"/>
          <w:lang w:eastAsia="en-US"/>
        </w:rPr>
      </w:pPr>
    </w:p>
    <w:p w14:paraId="487417C2" w14:textId="77777777" w:rsidR="00C82090" w:rsidRDefault="00C37608">
      <w:pPr>
        <w:spacing w:after="0"/>
      </w:pPr>
      <w:r>
        <w:rPr>
          <w:b/>
          <w:i/>
          <w:sz w:val="24"/>
          <w:szCs w:val="24"/>
          <w:lang w:eastAsia="en-US"/>
        </w:rPr>
        <w:t>Surge mechanism</w:t>
      </w:r>
    </w:p>
    <w:p w14:paraId="28C04CA3" w14:textId="77777777" w:rsidR="00C82090" w:rsidRDefault="00C37608">
      <w:pPr>
        <w:spacing w:after="0"/>
        <w:rPr>
          <w:sz w:val="24"/>
          <w:szCs w:val="24"/>
          <w:lang w:eastAsia="en-US"/>
        </w:rPr>
      </w:pPr>
      <w:r>
        <w:rPr>
          <w:sz w:val="24"/>
          <w:szCs w:val="24"/>
          <w:lang w:eastAsia="en-US"/>
        </w:rPr>
        <w:t>Given the glacier geometry changes, surface morphology changes and the timing and duration of the surge as described above, and our knowledge of the study site, we can speculatively consider the mechanism(s) of the Kverkjökull surge. A hydrological mechanism of surging associated with ‘a thick low gradient temperate glacier that can have large englacial storage’ (Lingle and Fatland, 2003) or of ‘longer, wider, lower-gradient glaciers’ (Clarke, 1991) are not present at Kverkjökull. Our observations do not, however, rule out a hydrological surge mechanism of some sort as subglacial hydrology may be expected to play a major role in all dynamical ice flow variations in the temperate environment of Kverkjökull.</w:t>
      </w:r>
    </w:p>
    <w:p w14:paraId="1894F2AD" w14:textId="77777777" w:rsidR="00A22170" w:rsidRDefault="00A22170">
      <w:pPr>
        <w:spacing w:after="0"/>
      </w:pPr>
    </w:p>
    <w:p w14:paraId="7448D6EA" w14:textId="77777777" w:rsidR="00C82090" w:rsidRDefault="00C37608">
      <w:pPr>
        <w:spacing w:after="0"/>
      </w:pPr>
      <w:r>
        <w:rPr>
          <w:sz w:val="24"/>
          <w:szCs w:val="24"/>
        </w:rPr>
        <w:t>T</w:t>
      </w:r>
      <w:r>
        <w:rPr>
          <w:sz w:val="24"/>
          <w:szCs w:val="24"/>
          <w:lang w:eastAsia="en-US"/>
        </w:rPr>
        <w:t xml:space="preserve">he magnitude of the surge in terms of elevation changes, terminus position changes, volume changes and surface velocity changes probably reflect just a single phase of a surge. Phases of surges have been described for Trapridge Glacier in Alaska by Kamb and Engelhardt (1987) and for Ryder Glacier in Greenland by Joughin </w:t>
      </w:r>
      <w:r>
        <w:rPr>
          <w:i/>
          <w:iCs/>
          <w:sz w:val="24"/>
          <w:szCs w:val="24"/>
          <w:lang w:eastAsia="en-US"/>
        </w:rPr>
        <w:t>et al.</w:t>
      </w:r>
      <w:r>
        <w:rPr>
          <w:sz w:val="24"/>
          <w:szCs w:val="24"/>
          <w:lang w:eastAsia="en-US"/>
        </w:rPr>
        <w:t xml:space="preserve"> (1996). Some mini-surges may be distinct events or precede a full surge (Raymond and Malone, 1986; Kamb </w:t>
      </w:r>
      <w:r>
        <w:rPr>
          <w:i/>
          <w:iCs/>
          <w:sz w:val="24"/>
          <w:szCs w:val="24"/>
          <w:lang w:eastAsia="en-US"/>
        </w:rPr>
        <w:t>et al.</w:t>
      </w:r>
      <w:r>
        <w:rPr>
          <w:sz w:val="24"/>
          <w:szCs w:val="24"/>
          <w:lang w:eastAsia="en-US"/>
        </w:rPr>
        <w:t xml:space="preserve">, 1985; Kamb and Engelhardt, 1987). </w:t>
      </w:r>
    </w:p>
    <w:p w14:paraId="2969B6B6" w14:textId="77777777" w:rsidR="00C82090" w:rsidRDefault="00C82090">
      <w:pPr>
        <w:spacing w:after="0"/>
        <w:rPr>
          <w:color w:val="FF0000"/>
          <w:sz w:val="24"/>
          <w:szCs w:val="24"/>
          <w:lang w:eastAsia="en-US"/>
        </w:rPr>
      </w:pPr>
    </w:p>
    <w:p w14:paraId="57932694" w14:textId="77777777" w:rsidR="00C82090" w:rsidRDefault="00C37608">
      <w:pPr>
        <w:pStyle w:val="Heading2"/>
      </w:pPr>
      <w:r>
        <w:t>CONCLUSIONS</w:t>
      </w:r>
    </w:p>
    <w:p w14:paraId="433BDA07" w14:textId="06BF5558" w:rsidR="00C82090" w:rsidRDefault="00C37608">
      <w:pPr>
        <w:spacing w:after="0"/>
      </w:pPr>
      <w:r>
        <w:rPr>
          <w:bCs/>
          <w:sz w:val="24"/>
          <w:szCs w:val="24"/>
          <w:lang w:eastAsia="en-US"/>
        </w:rPr>
        <w:t xml:space="preserve">This study has described the first documented surge of the glacier Kverkjökull. A surge of Kverkjökull is conspicious in an Icelandic context and also to a lesser degree in a global context because it is a rather steep alpine glacier. The surge occurred after decades of persistent and recently accelerated glacier terminus retreat. </w:t>
      </w:r>
      <w:r>
        <w:rPr>
          <w:sz w:val="24"/>
          <w:szCs w:val="24"/>
          <w:lang w:eastAsia="en-US"/>
        </w:rPr>
        <w:t>The surge initiated after 2008 and was still in progress in 2013, immediately preceding the drainage of the Gengissig geo</w:t>
      </w:r>
      <w:r>
        <w:rPr>
          <w:sz w:val="24"/>
          <w:szCs w:val="24"/>
          <w:lang w:eastAsia="en-US"/>
        </w:rPr>
        <w:softHyphen/>
        <w:t xml:space="preserve">thermal lake and the subsequent jökulhlaup in 2013. </w:t>
      </w:r>
      <w:r>
        <w:rPr>
          <w:bCs/>
          <w:sz w:val="24"/>
          <w:szCs w:val="24"/>
          <w:lang w:eastAsia="en-US"/>
        </w:rPr>
        <w:t>The Kverkjökull s</w:t>
      </w:r>
      <w:r>
        <w:rPr>
          <w:sz w:val="24"/>
          <w:szCs w:val="24"/>
          <w:lang w:eastAsia="en-US"/>
        </w:rPr>
        <w:t xml:space="preserve">urge comprised a simple transfer of mass from a higher elevation reservoir area to a lower receiving area and caused vertical surface displacements that were most prominent in parts of the glacier &gt;100 m thick. Asymmetry in the response of the glacier terminus to the surge front may be due to the </w:t>
      </w:r>
      <w:r w:rsidR="00EE5446">
        <w:rPr>
          <w:sz w:val="24"/>
          <w:szCs w:val="24"/>
          <w:lang w:eastAsia="en-US"/>
        </w:rPr>
        <w:t xml:space="preserve">(unresolved) </w:t>
      </w:r>
      <w:r>
        <w:rPr>
          <w:sz w:val="24"/>
          <w:szCs w:val="24"/>
          <w:lang w:eastAsia="en-US"/>
        </w:rPr>
        <w:t>internal dynamics of the surge. The surge at Kverkjökull remains unexplained in terms of mechanism.</w:t>
      </w:r>
    </w:p>
    <w:p w14:paraId="6A280559" w14:textId="77777777" w:rsidR="00C82090" w:rsidRDefault="00C82090">
      <w:pPr>
        <w:spacing w:after="0"/>
        <w:rPr>
          <w:sz w:val="24"/>
          <w:szCs w:val="24"/>
          <w:lang w:eastAsia="en-US"/>
        </w:rPr>
      </w:pPr>
    </w:p>
    <w:p w14:paraId="1C621A20" w14:textId="1B2AB13A" w:rsidR="00C82090" w:rsidRDefault="00C37608">
      <w:pPr>
        <w:spacing w:after="0"/>
      </w:pPr>
      <w:r>
        <w:rPr>
          <w:sz w:val="24"/>
          <w:szCs w:val="24"/>
          <w:lang w:eastAsia="en-US"/>
        </w:rPr>
        <w:t>More widely, this study has shown the utility of high-resolution airborne laser scanner (ALS) surveys and very high-resolution satellite images for making novel observations and quantification of 3D geometry changes on glaciers</w:t>
      </w:r>
      <w:r w:rsidR="007B35D3">
        <w:rPr>
          <w:sz w:val="24"/>
          <w:szCs w:val="24"/>
          <w:lang w:eastAsia="en-US"/>
        </w:rPr>
        <w:t>.</w:t>
      </w:r>
      <w:r>
        <w:rPr>
          <w:sz w:val="24"/>
          <w:szCs w:val="24"/>
          <w:lang w:eastAsia="en-US"/>
        </w:rPr>
        <w:t xml:space="preserve"> </w:t>
      </w:r>
      <w:r w:rsidR="007B35D3">
        <w:rPr>
          <w:sz w:val="24"/>
          <w:szCs w:val="24"/>
          <w:lang w:eastAsia="en-US"/>
        </w:rPr>
        <w:t>These data</w:t>
      </w:r>
      <w:r>
        <w:rPr>
          <w:sz w:val="24"/>
          <w:szCs w:val="24"/>
          <w:lang w:eastAsia="en-US"/>
        </w:rPr>
        <w:t xml:space="preserve"> have high vertical accuracy permitting quantifications in this case of the lateral asymmetry of surge front propagation, distributed surface elevation changes and local relief, and hence distributed changes in driving stress.</w:t>
      </w:r>
      <w:r w:rsidR="007B35D3">
        <w:rPr>
          <w:sz w:val="24"/>
          <w:szCs w:val="24"/>
          <w:lang w:eastAsia="en-US"/>
        </w:rPr>
        <w:t xml:space="preserve"> We speculate that without such high-resolution data other minor surges of other glaciers may not have been recognised.</w:t>
      </w:r>
    </w:p>
    <w:p w14:paraId="7A90FB96" w14:textId="77777777" w:rsidR="00C82090" w:rsidRDefault="00C82090">
      <w:pPr>
        <w:spacing w:after="0"/>
        <w:rPr>
          <w:sz w:val="24"/>
          <w:szCs w:val="24"/>
          <w:lang w:eastAsia="en-US"/>
        </w:rPr>
      </w:pPr>
    </w:p>
    <w:p w14:paraId="2710B203" w14:textId="77777777" w:rsidR="00C82090" w:rsidRDefault="00C37608">
      <w:pPr>
        <w:pStyle w:val="Heading2"/>
      </w:pPr>
      <w:r>
        <w:t>ACKNOWLEDGEMENTS</w:t>
      </w:r>
    </w:p>
    <w:p w14:paraId="4689F521" w14:textId="7539C2CB" w:rsidR="00C82090" w:rsidRDefault="00C37608">
      <w:pPr>
        <w:spacing w:after="0"/>
      </w:pPr>
      <w:r>
        <w:rPr>
          <w:sz w:val="24"/>
          <w:szCs w:val="24"/>
        </w:rPr>
        <w:t>The ALS data of August 2008 was collected and processed by the Natural Environment Research Council (NERC) Airborne Research Survey Facility via a grant to JLC. The 2011 lidar mapping of Kverkjökull was part of lidar mapping of glaciers in Iceland with financial support provided by the Icelandic Research Fund (Rannís), the Landsvirkjun (the National Power Company of Iceland) Research Fund, the Icelandic Road Administration, the Reykja</w:t>
      </w:r>
      <w:r>
        <w:rPr>
          <w:sz w:val="24"/>
          <w:szCs w:val="24"/>
        </w:rPr>
        <w:softHyphen/>
        <w:t>vík Energy Environmental and Energy Research Fund, the National Land Survey of Iceland, the Icelandic Meteorological Office, the Vatnajökull National Park, Friends of Vatnajökull and the Klima- og Luft</w:t>
      </w:r>
      <w:r>
        <w:rPr>
          <w:sz w:val="24"/>
          <w:szCs w:val="24"/>
        </w:rPr>
        <w:softHyphen/>
        <w:t>gruppen (KoL) research fund of the Nordic Council of Ministers. Matthew Roberts is thanked for his provision of data from the IMO. WorldView satellite images are courtesy of the DigitalGlobe Foundation via a grant to JLC. Duncan Quincey, Owen King and Oddur Sigurðsson kindly read a draft of this manuscript and it was improved with the thoughtful and constructive advice from two anonymous reviewers.</w:t>
      </w:r>
    </w:p>
    <w:p w14:paraId="1E6D365E" w14:textId="77777777" w:rsidR="00C82090" w:rsidRDefault="00C37608">
      <w:pPr>
        <w:pStyle w:val="Heading2"/>
      </w:pPr>
      <w:r>
        <w:lastRenderedPageBreak/>
        <w:t>REFERENCES</w:t>
      </w:r>
    </w:p>
    <w:p w14:paraId="5ECB7961" w14:textId="77777777" w:rsidR="00C82090" w:rsidRDefault="00C37608">
      <w:pPr>
        <w:spacing w:after="0" w:line="240" w:lineRule="auto"/>
        <w:ind w:left="340" w:hanging="340"/>
      </w:pPr>
      <w:r>
        <w:rPr>
          <w:color w:val="222222"/>
          <w:sz w:val="20"/>
          <w:szCs w:val="20"/>
        </w:rPr>
        <w:t xml:space="preserve">Arendt, A. A., K. A. Echelmeyer, W. D. Harrison, C. S. Lingle and V. B. Valentine 2002. Rapid wastage of Alaska glaciers and their contribution to rising sea level. </w:t>
      </w:r>
      <w:r>
        <w:rPr>
          <w:i/>
          <w:iCs/>
          <w:color w:val="222222"/>
          <w:sz w:val="20"/>
          <w:szCs w:val="20"/>
        </w:rPr>
        <w:t>Science</w:t>
      </w:r>
      <w:r>
        <w:rPr>
          <w:color w:val="222222"/>
          <w:sz w:val="20"/>
          <w:szCs w:val="20"/>
        </w:rPr>
        <w:t xml:space="preserve"> 297(5580), 382–386.</w:t>
      </w:r>
    </w:p>
    <w:p w14:paraId="3EFC7826" w14:textId="77777777" w:rsidR="00C82090" w:rsidRDefault="00C37608">
      <w:pPr>
        <w:spacing w:after="0" w:line="240" w:lineRule="auto"/>
        <w:ind w:left="340" w:hanging="340"/>
      </w:pPr>
      <w:r>
        <w:rPr>
          <w:color w:val="222222"/>
          <w:sz w:val="20"/>
          <w:szCs w:val="20"/>
        </w:rPr>
        <w:t xml:space="preserve">Ármannsson, H., H. Kristmannsdóttir, H. Torfason and M. Ólafsson 2000. Natural changes in unexploited high-temperature geothermal areas in Iceland. </w:t>
      </w:r>
      <w:r>
        <w:rPr>
          <w:i/>
          <w:iCs/>
          <w:color w:val="222222"/>
          <w:sz w:val="20"/>
          <w:szCs w:val="20"/>
        </w:rPr>
        <w:t xml:space="preserve">Proc. World Geoth. Congr. </w:t>
      </w:r>
      <w:r>
        <w:rPr>
          <w:color w:val="222222"/>
          <w:sz w:val="20"/>
          <w:szCs w:val="20"/>
        </w:rPr>
        <w:t>2000, 521–526.</w:t>
      </w:r>
    </w:p>
    <w:p w14:paraId="769A1195" w14:textId="77777777" w:rsidR="00C82090" w:rsidRDefault="00C37608">
      <w:pPr>
        <w:spacing w:after="0" w:line="240" w:lineRule="auto"/>
        <w:ind w:left="340" w:hanging="340"/>
      </w:pPr>
      <w:r>
        <w:rPr>
          <w:color w:val="222222"/>
          <w:sz w:val="20"/>
          <w:szCs w:val="20"/>
        </w:rPr>
        <w:t xml:space="preserve">Ađalgeirsdóttir, G., H. Björnsson, F. Pálsson and E. Magnússon 2005. Analyses of a surging outlet glacier of Vatnajökull ice cap, Iceland. </w:t>
      </w:r>
      <w:r>
        <w:rPr>
          <w:i/>
          <w:iCs/>
          <w:color w:val="222222"/>
          <w:sz w:val="20"/>
          <w:szCs w:val="20"/>
        </w:rPr>
        <w:t>Ann. Glaciol.</w:t>
      </w:r>
      <w:r>
        <w:rPr>
          <w:color w:val="222222"/>
          <w:sz w:val="20"/>
          <w:szCs w:val="20"/>
        </w:rPr>
        <w:t>, 42(1), 23–28.</w:t>
      </w:r>
    </w:p>
    <w:p w14:paraId="0FA181C9" w14:textId="77777777" w:rsidR="00C82090" w:rsidRDefault="00C37608">
      <w:pPr>
        <w:spacing w:after="0" w:line="240" w:lineRule="auto"/>
        <w:ind w:left="340" w:hanging="340"/>
      </w:pPr>
      <w:r>
        <w:rPr>
          <w:color w:val="222222"/>
          <w:sz w:val="20"/>
          <w:szCs w:val="20"/>
        </w:rPr>
        <w:t xml:space="preserve">Barrand, N. E., and T. Murray 2006. Multivariate controls on the incidence of glacier surging in the Karakoram Himalaya. </w:t>
      </w:r>
      <w:r>
        <w:rPr>
          <w:i/>
          <w:iCs/>
          <w:color w:val="222222"/>
          <w:sz w:val="20"/>
          <w:szCs w:val="20"/>
        </w:rPr>
        <w:t>Arct. Antarct. Alp. Res.</w:t>
      </w:r>
      <w:r>
        <w:rPr>
          <w:color w:val="222222"/>
          <w:sz w:val="20"/>
          <w:szCs w:val="20"/>
        </w:rPr>
        <w:t xml:space="preserve"> 38, 489–498.</w:t>
      </w:r>
    </w:p>
    <w:p w14:paraId="41FCAADA" w14:textId="77777777" w:rsidR="00C82090" w:rsidRDefault="00C37608">
      <w:pPr>
        <w:spacing w:after="0" w:line="240" w:lineRule="auto"/>
        <w:ind w:left="340" w:hanging="340"/>
      </w:pPr>
      <w:r>
        <w:rPr>
          <w:color w:val="222222"/>
          <w:sz w:val="20"/>
          <w:szCs w:val="20"/>
        </w:rPr>
        <w:t xml:space="preserve">Björnsson, H. 1988. </w:t>
      </w:r>
      <w:r>
        <w:rPr>
          <w:i/>
          <w:iCs/>
          <w:color w:val="222222"/>
          <w:sz w:val="20"/>
          <w:szCs w:val="20"/>
        </w:rPr>
        <w:t>Hydrology of ice caps in volcanic regions</w:t>
      </w:r>
      <w:r>
        <w:rPr>
          <w:color w:val="222222"/>
          <w:sz w:val="20"/>
          <w:szCs w:val="20"/>
        </w:rPr>
        <w:t>. Reykjavík, Soc. Sci. Isl., 45, 139 pp.</w:t>
      </w:r>
    </w:p>
    <w:p w14:paraId="153334D4" w14:textId="77777777" w:rsidR="00C82090" w:rsidRDefault="00C37608">
      <w:pPr>
        <w:spacing w:after="0" w:line="240" w:lineRule="auto"/>
        <w:ind w:left="340" w:hanging="340"/>
      </w:pPr>
      <w:r>
        <w:rPr>
          <w:color w:val="222222"/>
          <w:sz w:val="20"/>
          <w:szCs w:val="20"/>
        </w:rPr>
        <w:t xml:space="preserve">Björnsson, H. 1998. Hydrological characteristics of the drainage system beneath a surging glacier. </w:t>
      </w:r>
      <w:r>
        <w:rPr>
          <w:i/>
          <w:iCs/>
          <w:color w:val="222222"/>
          <w:sz w:val="20"/>
          <w:szCs w:val="20"/>
        </w:rPr>
        <w:t>Nature</w:t>
      </w:r>
      <w:r>
        <w:rPr>
          <w:color w:val="222222"/>
          <w:sz w:val="20"/>
          <w:szCs w:val="20"/>
        </w:rPr>
        <w:t xml:space="preserve"> 395(6704), 771–774.</w:t>
      </w:r>
    </w:p>
    <w:p w14:paraId="687E755E" w14:textId="77777777" w:rsidR="00C82090" w:rsidRDefault="00C37608">
      <w:pPr>
        <w:spacing w:after="0" w:line="240" w:lineRule="auto"/>
        <w:ind w:left="340" w:hanging="340"/>
      </w:pPr>
      <w:r>
        <w:rPr>
          <w:color w:val="222222"/>
          <w:sz w:val="20"/>
          <w:szCs w:val="20"/>
        </w:rPr>
        <w:t xml:space="preserve">Björnsson, H., and P. Einarsson 1990. Volcanoes beneath Vatnajökull, Iceland: Evidence from radio echo-sounding, earthquakes and jökulhlaups. </w:t>
      </w:r>
      <w:r>
        <w:rPr>
          <w:i/>
          <w:iCs/>
          <w:color w:val="222222"/>
          <w:sz w:val="20"/>
          <w:szCs w:val="20"/>
        </w:rPr>
        <w:t>Jökull</w:t>
      </w:r>
      <w:r>
        <w:rPr>
          <w:color w:val="222222"/>
          <w:sz w:val="20"/>
          <w:szCs w:val="20"/>
        </w:rPr>
        <w:t xml:space="preserve"> 40, 147–168.</w:t>
      </w:r>
    </w:p>
    <w:p w14:paraId="56697482" w14:textId="77777777" w:rsidR="00C82090" w:rsidRDefault="00C37608">
      <w:pPr>
        <w:spacing w:after="0" w:line="240" w:lineRule="auto"/>
        <w:ind w:left="340" w:hanging="340"/>
      </w:pPr>
      <w:r>
        <w:rPr>
          <w:color w:val="222222"/>
          <w:sz w:val="20"/>
          <w:szCs w:val="20"/>
        </w:rPr>
        <w:t xml:space="preserve">Björnsson, H., and F. Pálsson 2008. Icelandic glaciers. </w:t>
      </w:r>
      <w:r>
        <w:rPr>
          <w:i/>
          <w:iCs/>
          <w:color w:val="222222"/>
          <w:sz w:val="20"/>
          <w:szCs w:val="20"/>
        </w:rPr>
        <w:t>Jökull</w:t>
      </w:r>
      <w:r>
        <w:rPr>
          <w:color w:val="222222"/>
          <w:sz w:val="20"/>
          <w:szCs w:val="20"/>
        </w:rPr>
        <w:t xml:space="preserve"> 58, 365–386.</w:t>
      </w:r>
    </w:p>
    <w:p w14:paraId="26A78581" w14:textId="77777777" w:rsidR="00C82090" w:rsidRDefault="00C37608">
      <w:pPr>
        <w:spacing w:after="0" w:line="240" w:lineRule="auto"/>
        <w:ind w:left="340" w:hanging="340"/>
      </w:pPr>
      <w:r>
        <w:rPr>
          <w:color w:val="222222"/>
          <w:sz w:val="20"/>
          <w:szCs w:val="20"/>
        </w:rPr>
        <w:t xml:space="preserve">Björnsson, H., F. Pálsson, O. Sigurðsson and G. E. Flowers 2003. Surges of glaciers in Iceland. </w:t>
      </w:r>
      <w:r>
        <w:rPr>
          <w:i/>
          <w:iCs/>
          <w:color w:val="222222"/>
          <w:sz w:val="20"/>
          <w:szCs w:val="20"/>
        </w:rPr>
        <w:t>Ann. Glaciol.</w:t>
      </w:r>
      <w:r>
        <w:rPr>
          <w:color w:val="222222"/>
          <w:sz w:val="20"/>
          <w:szCs w:val="20"/>
        </w:rPr>
        <w:t xml:space="preserve"> 36(1), 82–90.</w:t>
      </w:r>
    </w:p>
    <w:p w14:paraId="03B97D62" w14:textId="77777777" w:rsidR="00C82090" w:rsidRDefault="00C37608">
      <w:pPr>
        <w:spacing w:after="0" w:line="240" w:lineRule="auto"/>
        <w:ind w:left="340" w:hanging="340"/>
      </w:pPr>
      <w:r>
        <w:rPr>
          <w:color w:val="222222"/>
          <w:sz w:val="20"/>
          <w:szCs w:val="20"/>
        </w:rPr>
        <w:t xml:space="preserve">Burgess, E. W., R. R. Forster, C. F. Larsen and M. Braun 2012. Surge dynamics on Bering Glacier, Alaska, in 2008–2011. </w:t>
      </w:r>
      <w:r>
        <w:rPr>
          <w:i/>
          <w:iCs/>
          <w:color w:val="222222"/>
          <w:sz w:val="20"/>
          <w:szCs w:val="20"/>
        </w:rPr>
        <w:t>The Cryosph.</w:t>
      </w:r>
      <w:r>
        <w:rPr>
          <w:color w:val="222222"/>
          <w:sz w:val="20"/>
          <w:szCs w:val="20"/>
        </w:rPr>
        <w:t xml:space="preserve"> 6(6), 1251–1262.</w:t>
      </w:r>
    </w:p>
    <w:p w14:paraId="7E0BD211" w14:textId="77777777" w:rsidR="00C82090" w:rsidRDefault="00C37608">
      <w:pPr>
        <w:spacing w:after="0" w:line="240" w:lineRule="auto"/>
        <w:ind w:left="340" w:hanging="340"/>
      </w:pPr>
      <w:r>
        <w:rPr>
          <w:color w:val="222222"/>
          <w:sz w:val="20"/>
          <w:szCs w:val="20"/>
        </w:rPr>
        <w:t>Carrivick, J. L. 2004. Characteristics and impacts of jökulhlaups (glacial outburst floods) from Kverkfjöll, Iceland. Doctoral thesis: University of Keele.</w:t>
      </w:r>
    </w:p>
    <w:p w14:paraId="2686E298" w14:textId="77777777" w:rsidR="00C82090" w:rsidRDefault="00C37608">
      <w:pPr>
        <w:spacing w:after="0" w:line="240" w:lineRule="auto"/>
        <w:ind w:left="340" w:hanging="340"/>
      </w:pPr>
      <w:r>
        <w:rPr>
          <w:color w:val="222222"/>
          <w:sz w:val="20"/>
          <w:szCs w:val="20"/>
        </w:rPr>
        <w:t xml:space="preserve">Carrivick, J. L. 2007. Modelling coupled hydraulics and sediment transport and geomorphology of a high-magnitude outburst flood. </w:t>
      </w:r>
      <w:r>
        <w:rPr>
          <w:i/>
          <w:iCs/>
          <w:color w:val="222222"/>
          <w:sz w:val="20"/>
          <w:szCs w:val="20"/>
        </w:rPr>
        <w:t>Ann. Glaciol.</w:t>
      </w:r>
      <w:r>
        <w:rPr>
          <w:color w:val="222222"/>
          <w:sz w:val="20"/>
          <w:szCs w:val="20"/>
        </w:rPr>
        <w:t xml:space="preserve"> 44, 143–154.</w:t>
      </w:r>
    </w:p>
    <w:p w14:paraId="1FAFA3FB" w14:textId="77777777" w:rsidR="00C82090" w:rsidRDefault="00C37608">
      <w:pPr>
        <w:spacing w:after="0" w:line="240" w:lineRule="auto"/>
        <w:ind w:left="340" w:hanging="340"/>
      </w:pPr>
      <w:r>
        <w:rPr>
          <w:color w:val="222222"/>
          <w:sz w:val="20"/>
          <w:szCs w:val="20"/>
        </w:rPr>
        <w:t xml:space="preserve">Carrivick, J. L., and D. R. Twigg 2005. Jökulhlaup-influenced topography and geomorphology at Kverkfjöll, Iceland. </w:t>
      </w:r>
      <w:r>
        <w:rPr>
          <w:i/>
          <w:iCs/>
          <w:color w:val="222222"/>
          <w:sz w:val="20"/>
          <w:szCs w:val="20"/>
        </w:rPr>
        <w:t>J. Maps</w:t>
      </w:r>
      <w:r>
        <w:rPr>
          <w:color w:val="222222"/>
          <w:sz w:val="20"/>
          <w:szCs w:val="20"/>
        </w:rPr>
        <w:t xml:space="preserve"> 1(1), 7–17.</w:t>
      </w:r>
    </w:p>
    <w:p w14:paraId="3032A7F4" w14:textId="77777777" w:rsidR="00C82090" w:rsidRDefault="00C37608">
      <w:pPr>
        <w:spacing w:after="0" w:line="240" w:lineRule="auto"/>
        <w:ind w:left="340" w:hanging="340"/>
      </w:pPr>
      <w:r>
        <w:rPr>
          <w:color w:val="222222"/>
          <w:sz w:val="20"/>
          <w:szCs w:val="20"/>
        </w:rPr>
        <w:t xml:space="preserve">Carrivick, J. L., A. J. Russell and F. S. Tweed 2004a. Geomorphological evidence for jökulhlaups from Kverkfjöll volcano, Iceland. </w:t>
      </w:r>
      <w:r>
        <w:rPr>
          <w:i/>
          <w:iCs/>
          <w:color w:val="222222"/>
          <w:sz w:val="20"/>
          <w:szCs w:val="20"/>
        </w:rPr>
        <w:t>Geomorphology</w:t>
      </w:r>
      <w:r>
        <w:rPr>
          <w:color w:val="222222"/>
          <w:sz w:val="20"/>
          <w:szCs w:val="20"/>
        </w:rPr>
        <w:t xml:space="preserve"> 63(1), 81–102.</w:t>
      </w:r>
    </w:p>
    <w:p w14:paraId="22621854" w14:textId="77777777" w:rsidR="00C82090" w:rsidRDefault="00C37608">
      <w:pPr>
        <w:spacing w:after="0" w:line="240" w:lineRule="auto"/>
        <w:ind w:left="340" w:hanging="340"/>
      </w:pPr>
      <w:r>
        <w:rPr>
          <w:color w:val="222222"/>
          <w:sz w:val="20"/>
          <w:szCs w:val="20"/>
        </w:rPr>
        <w:t xml:space="preserve">Carrivick, J. L., A. J. Russell, F. S. Tweed and D. Twigg 2004b. Palaeohydrology and sedimentary impacts of jökulhlaups from Kverkfjöll, Iceland. </w:t>
      </w:r>
      <w:r>
        <w:rPr>
          <w:i/>
          <w:iCs/>
          <w:color w:val="222222"/>
          <w:sz w:val="20"/>
          <w:szCs w:val="20"/>
        </w:rPr>
        <w:t>Sediment. Geol.</w:t>
      </w:r>
      <w:r>
        <w:rPr>
          <w:color w:val="222222"/>
          <w:sz w:val="20"/>
          <w:szCs w:val="20"/>
        </w:rPr>
        <w:t xml:space="preserve"> 172(1), 19–40.</w:t>
      </w:r>
    </w:p>
    <w:p w14:paraId="284C1C71" w14:textId="77777777" w:rsidR="00C82090" w:rsidRDefault="00C37608">
      <w:pPr>
        <w:spacing w:after="0" w:line="240" w:lineRule="auto"/>
        <w:ind w:left="340" w:hanging="340"/>
      </w:pPr>
      <w:r>
        <w:rPr>
          <w:color w:val="222222"/>
          <w:sz w:val="20"/>
          <w:szCs w:val="20"/>
        </w:rPr>
        <w:t>Carrivick, J. L., A. J. Russell, E. L. Rushmer, F. S. Tweed, P. M. Marren, H. Deeming and O. J. Lowe 2009. Geomorphological evidence towards a de</w:t>
      </w:r>
      <w:r>
        <w:rPr>
          <w:rFonts w:ascii="Cambria Math" w:hAnsi="Cambria Math" w:cs="Cambria Math"/>
          <w:color w:val="222222"/>
          <w:sz w:val="20"/>
          <w:szCs w:val="20"/>
        </w:rPr>
        <w:t>‐</w:t>
      </w:r>
      <w:r>
        <w:rPr>
          <w:color w:val="222222"/>
          <w:sz w:val="20"/>
          <w:szCs w:val="20"/>
        </w:rPr>
        <w:t xml:space="preserve">glacial control on volcanism. </w:t>
      </w:r>
      <w:r>
        <w:rPr>
          <w:i/>
          <w:iCs/>
          <w:color w:val="222222"/>
          <w:sz w:val="20"/>
          <w:szCs w:val="20"/>
        </w:rPr>
        <w:t>Earth Surf. Proc. Land.</w:t>
      </w:r>
      <w:r>
        <w:rPr>
          <w:color w:val="222222"/>
          <w:sz w:val="20"/>
          <w:szCs w:val="20"/>
        </w:rPr>
        <w:t xml:space="preserve"> 34(8), 1164–1178.</w:t>
      </w:r>
    </w:p>
    <w:p w14:paraId="0AEBF14C" w14:textId="77777777" w:rsidR="00C82090" w:rsidRDefault="00C37608">
      <w:pPr>
        <w:spacing w:after="0" w:line="240" w:lineRule="auto"/>
        <w:ind w:left="340" w:hanging="340"/>
      </w:pPr>
      <w:r>
        <w:rPr>
          <w:color w:val="222222"/>
          <w:sz w:val="20"/>
          <w:szCs w:val="20"/>
        </w:rPr>
        <w:t xml:space="preserve">Clarke, G. K. C., S. G. Collins and D. E. Thompson 1984. Flow, thermal structure, and subglacial conditions of a surge-type glacier. </w:t>
      </w:r>
      <w:r>
        <w:rPr>
          <w:i/>
          <w:iCs/>
          <w:color w:val="222222"/>
          <w:sz w:val="20"/>
          <w:szCs w:val="20"/>
        </w:rPr>
        <w:t>Can. J. Earth Sci.</w:t>
      </w:r>
      <w:r>
        <w:rPr>
          <w:color w:val="222222"/>
          <w:sz w:val="20"/>
          <w:szCs w:val="20"/>
        </w:rPr>
        <w:t xml:space="preserve"> 21(2), 232-240. </w:t>
      </w:r>
    </w:p>
    <w:p w14:paraId="1894A6B6" w14:textId="77777777" w:rsidR="00C82090" w:rsidRDefault="00C37608">
      <w:pPr>
        <w:spacing w:after="0" w:line="240" w:lineRule="auto"/>
        <w:ind w:left="340" w:hanging="340"/>
      </w:pPr>
      <w:r>
        <w:rPr>
          <w:color w:val="222222"/>
          <w:sz w:val="20"/>
          <w:szCs w:val="20"/>
        </w:rPr>
        <w:t xml:space="preserve">Clarke, G. C. K. (1991). Length, width and slope influences on glacier surging. </w:t>
      </w:r>
      <w:r>
        <w:rPr>
          <w:i/>
          <w:iCs/>
          <w:color w:val="222222"/>
          <w:sz w:val="20"/>
          <w:szCs w:val="20"/>
        </w:rPr>
        <w:t>J. Glaciol.</w:t>
      </w:r>
      <w:r>
        <w:rPr>
          <w:color w:val="222222"/>
          <w:sz w:val="20"/>
          <w:szCs w:val="20"/>
        </w:rPr>
        <w:t xml:space="preserve"> 37(126), 236–246.</w:t>
      </w:r>
    </w:p>
    <w:p w14:paraId="19CC4D24" w14:textId="77777777" w:rsidR="00C82090" w:rsidRDefault="00C37608">
      <w:pPr>
        <w:spacing w:after="0" w:line="240" w:lineRule="auto"/>
        <w:ind w:left="340" w:hanging="340"/>
      </w:pPr>
      <w:r>
        <w:rPr>
          <w:color w:val="222222"/>
          <w:sz w:val="20"/>
          <w:szCs w:val="20"/>
        </w:rPr>
        <w:t xml:space="preserve">Copland, L.,  S. Pope, M. P. Bishop, J. F. Shroder, Jr, P. Clendon, A. Bush, U. Kamp, Y. B. Seong, L. A. Owen 2009. Glacier velocities across the central Karakoram. </w:t>
      </w:r>
      <w:r>
        <w:rPr>
          <w:i/>
          <w:iCs/>
          <w:color w:val="222222"/>
          <w:sz w:val="20"/>
          <w:szCs w:val="20"/>
        </w:rPr>
        <w:t>Ann. Glaciol.</w:t>
      </w:r>
      <w:r>
        <w:rPr>
          <w:color w:val="222222"/>
          <w:sz w:val="20"/>
          <w:szCs w:val="20"/>
        </w:rPr>
        <w:t xml:space="preserve"> 50(52), 41–49.</w:t>
      </w:r>
    </w:p>
    <w:p w14:paraId="4DB81A52" w14:textId="77777777" w:rsidR="00C82090" w:rsidRDefault="00C37608">
      <w:pPr>
        <w:spacing w:after="0" w:line="240" w:lineRule="auto"/>
        <w:ind w:left="340" w:hanging="340"/>
      </w:pPr>
      <w:r>
        <w:rPr>
          <w:color w:val="222222"/>
          <w:sz w:val="20"/>
          <w:szCs w:val="20"/>
        </w:rPr>
        <w:t xml:space="preserve">Copland, L., T. Sylvestre, M. P. Bishop, J. F. Shroder, Y. B. Seong, L. A. Owen, A. Bush and U. Kamp 2011. Expanded and recently increased glacier surging in the Karakoram. </w:t>
      </w:r>
      <w:r>
        <w:rPr>
          <w:i/>
          <w:iCs/>
          <w:color w:val="222222"/>
          <w:sz w:val="20"/>
          <w:szCs w:val="20"/>
        </w:rPr>
        <w:t>Arct. Antarct. Alp. Res.</w:t>
      </w:r>
      <w:r>
        <w:rPr>
          <w:color w:val="222222"/>
          <w:sz w:val="20"/>
          <w:szCs w:val="20"/>
        </w:rPr>
        <w:t xml:space="preserve"> 43(4), 503–516.</w:t>
      </w:r>
    </w:p>
    <w:p w14:paraId="2AD69721" w14:textId="77777777" w:rsidR="00C82090" w:rsidRDefault="00C37608">
      <w:pPr>
        <w:spacing w:after="0" w:line="240" w:lineRule="auto"/>
        <w:ind w:left="340" w:hanging="340"/>
      </w:pPr>
      <w:r>
        <w:rPr>
          <w:color w:val="222222"/>
          <w:sz w:val="20"/>
          <w:szCs w:val="20"/>
        </w:rPr>
        <w:t xml:space="preserve">Cousins, C. R., I. A. Crawford, J. L. Carrivick, M. Gunn, J. Harris, T. P. Kee, M. Karlson, L. Carmody, C. Cockell, B. Herschy and K. H. Joy 2013. Glaciovolcanic hydrothermal environments in Iceland and implications for their detection on Mars. </w:t>
      </w:r>
      <w:r>
        <w:rPr>
          <w:i/>
          <w:iCs/>
          <w:color w:val="222222"/>
          <w:sz w:val="20"/>
          <w:szCs w:val="20"/>
        </w:rPr>
        <w:t>J. Volcanol. Geoth. Res.</w:t>
      </w:r>
      <w:r>
        <w:rPr>
          <w:color w:val="222222"/>
          <w:sz w:val="20"/>
          <w:szCs w:val="20"/>
        </w:rPr>
        <w:t xml:space="preserve"> 256, 61–77.</w:t>
      </w:r>
    </w:p>
    <w:p w14:paraId="05709094" w14:textId="77777777" w:rsidR="00C82090" w:rsidRDefault="00C37608">
      <w:pPr>
        <w:spacing w:after="0" w:line="240" w:lineRule="auto"/>
        <w:ind w:left="340" w:hanging="340"/>
      </w:pPr>
      <w:r>
        <w:rPr>
          <w:color w:val="222222"/>
          <w:sz w:val="20"/>
          <w:szCs w:val="20"/>
        </w:rPr>
        <w:t xml:space="preserve">Cuffey, K. M., and W. S. B. Paterson 2010. </w:t>
      </w:r>
      <w:r>
        <w:rPr>
          <w:i/>
          <w:iCs/>
          <w:color w:val="222222"/>
          <w:sz w:val="20"/>
          <w:szCs w:val="20"/>
        </w:rPr>
        <w:t>The physics of glaciers</w:t>
      </w:r>
      <w:r>
        <w:rPr>
          <w:color w:val="222222"/>
          <w:sz w:val="20"/>
          <w:szCs w:val="20"/>
        </w:rPr>
        <w:t>. Academic Press.</w:t>
      </w:r>
    </w:p>
    <w:p w14:paraId="4A672B19" w14:textId="77777777" w:rsidR="00C82090" w:rsidRDefault="00C37608">
      <w:pPr>
        <w:spacing w:after="0" w:line="240" w:lineRule="auto"/>
        <w:ind w:left="340" w:hanging="340"/>
      </w:pPr>
      <w:r>
        <w:rPr>
          <w:color w:val="222222"/>
          <w:sz w:val="20"/>
          <w:szCs w:val="20"/>
        </w:rPr>
        <w:t xml:space="preserve">Dolgushin, L. D., and G. B. Osipova 1975. Glacier surges and the problem of their forecast. In: </w:t>
      </w:r>
      <w:r>
        <w:rPr>
          <w:i/>
          <w:iCs/>
          <w:color w:val="222222"/>
          <w:sz w:val="20"/>
          <w:szCs w:val="20"/>
        </w:rPr>
        <w:t>Symposium on Snow and Ice in Mountain Regions, IUGG, IAHS Commission of Snow and Ice, XVth General Assembly, Moscow, 1971</w:t>
      </w:r>
      <w:r>
        <w:rPr>
          <w:color w:val="222222"/>
          <w:sz w:val="20"/>
          <w:szCs w:val="20"/>
        </w:rPr>
        <w:t>. IAHS Pub. 104, 292–304.</w:t>
      </w:r>
    </w:p>
    <w:p w14:paraId="72ED33CC" w14:textId="77777777" w:rsidR="00C82090" w:rsidRDefault="00C37608">
      <w:pPr>
        <w:spacing w:after="0" w:line="240" w:lineRule="auto"/>
        <w:ind w:left="340" w:hanging="340"/>
      </w:pPr>
      <w:r>
        <w:rPr>
          <w:color w:val="222222"/>
          <w:sz w:val="20"/>
          <w:szCs w:val="20"/>
        </w:rPr>
        <w:t xml:space="preserve">Dunse, T., T. Schellenberger, J. O. Hagen, A. Kääb, T. V. Schuler and C. H. Reijmer 2015. Glacier-surge mechanisms promoted by a hydro-thermodynamic feedback to summer melt. </w:t>
      </w:r>
      <w:r>
        <w:rPr>
          <w:i/>
          <w:iCs/>
          <w:color w:val="222222"/>
          <w:sz w:val="20"/>
          <w:szCs w:val="20"/>
        </w:rPr>
        <w:t>The Cryosph.</w:t>
      </w:r>
      <w:r>
        <w:rPr>
          <w:color w:val="222222"/>
          <w:sz w:val="20"/>
          <w:szCs w:val="20"/>
        </w:rPr>
        <w:t xml:space="preserve"> 9, 197–215, doi:10.5194/tc-9-197-2015.</w:t>
      </w:r>
    </w:p>
    <w:p w14:paraId="10E91186" w14:textId="77777777" w:rsidR="00C82090" w:rsidRDefault="00C37608">
      <w:pPr>
        <w:spacing w:after="0" w:line="240" w:lineRule="auto"/>
        <w:ind w:left="340" w:hanging="340"/>
      </w:pPr>
      <w:r>
        <w:rPr>
          <w:color w:val="222222"/>
          <w:sz w:val="20"/>
          <w:szCs w:val="20"/>
        </w:rPr>
        <w:t xml:space="preserve">Fischer, A., H. Rott and H. Björnsson 2003. Observation of recent surges of Vatnajökull, Iceland, by means of ERS SAR interferometry. </w:t>
      </w:r>
      <w:r>
        <w:rPr>
          <w:i/>
          <w:iCs/>
          <w:color w:val="222222"/>
          <w:sz w:val="20"/>
          <w:szCs w:val="20"/>
        </w:rPr>
        <w:t>Ann. Glaciol.</w:t>
      </w:r>
      <w:r>
        <w:rPr>
          <w:color w:val="222222"/>
          <w:sz w:val="20"/>
          <w:szCs w:val="20"/>
        </w:rPr>
        <w:t xml:space="preserve"> 37, 69–76.</w:t>
      </w:r>
    </w:p>
    <w:p w14:paraId="5851F142" w14:textId="77777777" w:rsidR="00C82090" w:rsidRDefault="00C37608">
      <w:pPr>
        <w:spacing w:after="0" w:line="240" w:lineRule="auto"/>
        <w:ind w:left="340" w:hanging="340"/>
      </w:pPr>
      <w:r>
        <w:rPr>
          <w:color w:val="222222"/>
          <w:sz w:val="20"/>
          <w:szCs w:val="20"/>
        </w:rPr>
        <w:t xml:space="preserve">Frappé, T. P., and G. K. C. Clarke 2007. Slow surge of Trapridge Glacier, Yukon Territory, Canada. </w:t>
      </w:r>
      <w:r>
        <w:rPr>
          <w:i/>
          <w:iCs/>
          <w:color w:val="222222"/>
          <w:sz w:val="20"/>
          <w:szCs w:val="20"/>
        </w:rPr>
        <w:t>J. Geophys. Res. Earth</w:t>
      </w:r>
      <w:r>
        <w:rPr>
          <w:color w:val="222222"/>
          <w:sz w:val="20"/>
          <w:szCs w:val="20"/>
        </w:rPr>
        <w:t xml:space="preserve"> 112, F03S32, doi:10.1029/2006JF000607.</w:t>
      </w:r>
    </w:p>
    <w:p w14:paraId="5AA157ED" w14:textId="77777777" w:rsidR="00C82090" w:rsidRDefault="00C37608">
      <w:pPr>
        <w:spacing w:after="0" w:line="240" w:lineRule="auto"/>
        <w:ind w:left="340" w:hanging="340"/>
      </w:pPr>
      <w:r>
        <w:rPr>
          <w:color w:val="222222"/>
          <w:sz w:val="20"/>
          <w:szCs w:val="20"/>
        </w:rPr>
        <w:t xml:space="preserve">Gardelle, J., E. Berthier, Y. Arnaud and A. Kääb 2013. Region-wide glacier mass balances over the Pamir-Karakoram-Himalaya during 1999–2011. </w:t>
      </w:r>
      <w:r>
        <w:rPr>
          <w:i/>
          <w:iCs/>
          <w:color w:val="222222"/>
          <w:sz w:val="20"/>
          <w:szCs w:val="20"/>
        </w:rPr>
        <w:t>The Cryosp.</w:t>
      </w:r>
      <w:r>
        <w:rPr>
          <w:color w:val="222222"/>
          <w:sz w:val="20"/>
          <w:szCs w:val="20"/>
        </w:rPr>
        <w:t xml:space="preserve"> 7, 1263–1286.</w:t>
      </w:r>
    </w:p>
    <w:p w14:paraId="7AB70EF6" w14:textId="77777777" w:rsidR="00C82090" w:rsidRDefault="00C37608">
      <w:pPr>
        <w:spacing w:after="0" w:line="240" w:lineRule="auto"/>
        <w:ind w:left="340" w:hanging="340"/>
      </w:pPr>
      <w:r>
        <w:rPr>
          <w:color w:val="222222"/>
          <w:sz w:val="20"/>
          <w:szCs w:val="20"/>
        </w:rPr>
        <w:t xml:space="preserve">Guðmundsson, M.T., and Th. Högnadóttir 2009. </w:t>
      </w:r>
      <w:r>
        <w:rPr>
          <w:i/>
          <w:iCs/>
          <w:color w:val="222222"/>
          <w:sz w:val="20"/>
          <w:szCs w:val="20"/>
        </w:rPr>
        <w:t>Jökullón í Vestari Kverkfjöllum, þróun og jökulhlaupahætta</w:t>
      </w:r>
      <w:r>
        <w:rPr>
          <w:color w:val="222222"/>
          <w:sz w:val="20"/>
          <w:szCs w:val="20"/>
        </w:rPr>
        <w:t xml:space="preserve"> (in Icelandic). Report for the Icelandic Road Administration.</w:t>
      </w:r>
    </w:p>
    <w:p w14:paraId="5BC5FAD6" w14:textId="77777777" w:rsidR="00C82090" w:rsidRDefault="00C37608">
      <w:pPr>
        <w:spacing w:after="0" w:line="240" w:lineRule="auto"/>
        <w:ind w:left="340" w:hanging="340"/>
      </w:pPr>
      <w:r>
        <w:rPr>
          <w:color w:val="222222"/>
          <w:sz w:val="20"/>
          <w:szCs w:val="20"/>
        </w:rPr>
        <w:t xml:space="preserve">Guðmundsson, M.T., B. Einarsson and B. Oddsson 2013. Hlaup og gufusprengingar (jökulhlaup and phreatic explosions) í Kverkfjöllum í ágúst 2013. </w:t>
      </w:r>
      <w:r>
        <w:rPr>
          <w:i/>
          <w:iCs/>
          <w:color w:val="222222"/>
          <w:sz w:val="20"/>
          <w:szCs w:val="20"/>
        </w:rPr>
        <w:t>Jökull</w:t>
      </w:r>
      <w:r>
        <w:rPr>
          <w:color w:val="222222"/>
          <w:sz w:val="20"/>
          <w:szCs w:val="20"/>
        </w:rPr>
        <w:t xml:space="preserve"> 63, 149–151.</w:t>
      </w:r>
    </w:p>
    <w:p w14:paraId="5534CD2A" w14:textId="77777777" w:rsidR="00C82090" w:rsidRDefault="00C37608">
      <w:pPr>
        <w:spacing w:after="0" w:line="240" w:lineRule="auto"/>
        <w:ind w:left="340" w:hanging="340"/>
      </w:pPr>
      <w:r>
        <w:rPr>
          <w:color w:val="222222"/>
          <w:sz w:val="20"/>
          <w:szCs w:val="20"/>
        </w:rPr>
        <w:lastRenderedPageBreak/>
        <w:t xml:space="preserve">Haeberli, W., and M. Hoelzle 1995. Application of inventory data for estimating characteristics of and regional climate-change effects on mountain glaciers: a pilot study with the European Alps. </w:t>
      </w:r>
      <w:r>
        <w:rPr>
          <w:i/>
          <w:iCs/>
          <w:color w:val="222222"/>
          <w:sz w:val="20"/>
          <w:szCs w:val="20"/>
        </w:rPr>
        <w:t>Ann. Glaciol.</w:t>
      </w:r>
      <w:r>
        <w:rPr>
          <w:color w:val="222222"/>
          <w:sz w:val="20"/>
          <w:szCs w:val="20"/>
        </w:rPr>
        <w:t xml:space="preserve"> 21, 206–212.</w:t>
      </w:r>
    </w:p>
    <w:p w14:paraId="65AFB3E6" w14:textId="77777777" w:rsidR="00C82090" w:rsidRDefault="00C37608">
      <w:pPr>
        <w:spacing w:after="0" w:line="240" w:lineRule="auto"/>
        <w:ind w:left="340" w:hanging="340"/>
      </w:pPr>
      <w:r>
        <w:rPr>
          <w:color w:val="222222"/>
          <w:sz w:val="20"/>
          <w:szCs w:val="20"/>
        </w:rPr>
        <w:t xml:space="preserve">Harrison, W. D., and A. S. Post 2003. How much do we really know about glacier surging? </w:t>
      </w:r>
      <w:r>
        <w:rPr>
          <w:i/>
          <w:iCs/>
          <w:color w:val="222222"/>
          <w:sz w:val="20"/>
          <w:szCs w:val="20"/>
        </w:rPr>
        <w:t>Ann. Glaciol.</w:t>
      </w:r>
      <w:r>
        <w:rPr>
          <w:color w:val="222222"/>
          <w:sz w:val="20"/>
          <w:szCs w:val="20"/>
        </w:rPr>
        <w:t xml:space="preserve"> 36, 1–6.</w:t>
      </w:r>
    </w:p>
    <w:p w14:paraId="2095711F" w14:textId="77777777" w:rsidR="00C82090" w:rsidRDefault="00C37608">
      <w:pPr>
        <w:spacing w:after="0" w:line="240" w:lineRule="auto"/>
        <w:ind w:left="340" w:hanging="340"/>
      </w:pPr>
      <w:r>
        <w:rPr>
          <w:color w:val="222222"/>
          <w:sz w:val="20"/>
          <w:szCs w:val="20"/>
        </w:rPr>
        <w:t xml:space="preserve">Heid, T., and A. Kääb 2012. Repeat optical satellite images reveal widespread and long term decrease in land-terminating glacier speeds. </w:t>
      </w:r>
      <w:r>
        <w:rPr>
          <w:i/>
          <w:iCs/>
          <w:color w:val="222222"/>
          <w:sz w:val="20"/>
          <w:szCs w:val="20"/>
        </w:rPr>
        <w:t>The Cryosp.</w:t>
      </w:r>
      <w:r>
        <w:rPr>
          <w:color w:val="222222"/>
          <w:sz w:val="20"/>
          <w:szCs w:val="20"/>
        </w:rPr>
        <w:t xml:space="preserve"> 6(2), 467–478.</w:t>
      </w:r>
    </w:p>
    <w:p w14:paraId="202181B0" w14:textId="77777777" w:rsidR="00C82090" w:rsidRDefault="00C37608">
      <w:pPr>
        <w:spacing w:after="0" w:line="240" w:lineRule="auto"/>
        <w:ind w:left="340" w:hanging="340"/>
      </w:pPr>
      <w:r>
        <w:rPr>
          <w:color w:val="222222"/>
          <w:sz w:val="20"/>
          <w:szCs w:val="20"/>
        </w:rPr>
        <w:t xml:space="preserve">Herzfeld, U. C., B. McDonald, M. Stachura, R. G. Hale, P. Chen and T. Trantow 2013. Bering Glacier surge 2011: analysis of laser altimeter data. </w:t>
      </w:r>
      <w:r>
        <w:rPr>
          <w:i/>
          <w:iCs/>
          <w:color w:val="222222"/>
          <w:sz w:val="20"/>
          <w:szCs w:val="20"/>
        </w:rPr>
        <w:t>Ann. Glaciol.</w:t>
      </w:r>
      <w:r>
        <w:rPr>
          <w:color w:val="222222"/>
          <w:sz w:val="20"/>
          <w:szCs w:val="20"/>
        </w:rPr>
        <w:t xml:space="preserve"> 54(63), 158–170.</w:t>
      </w:r>
    </w:p>
    <w:p w14:paraId="40790518" w14:textId="77777777" w:rsidR="00C82090" w:rsidRDefault="00C37608">
      <w:pPr>
        <w:spacing w:after="0" w:line="240" w:lineRule="auto"/>
        <w:ind w:left="340" w:hanging="340"/>
      </w:pPr>
      <w:r>
        <w:rPr>
          <w:color w:val="222222"/>
          <w:sz w:val="20"/>
          <w:szCs w:val="20"/>
        </w:rPr>
        <w:t xml:space="preserve">Hewitt, K. 1998. Glaciers receive a surge of attention in the Karakoram Himalaya. </w:t>
      </w:r>
      <w:r>
        <w:rPr>
          <w:i/>
          <w:iCs/>
          <w:color w:val="222222"/>
          <w:sz w:val="20"/>
          <w:szCs w:val="20"/>
        </w:rPr>
        <w:t xml:space="preserve">EOS T.  Am. Geophys. Un. </w:t>
      </w:r>
      <w:r>
        <w:rPr>
          <w:color w:val="222222"/>
          <w:sz w:val="20"/>
          <w:szCs w:val="20"/>
        </w:rPr>
        <w:t>79(8), 104–106.</w:t>
      </w:r>
    </w:p>
    <w:p w14:paraId="7DC5407B" w14:textId="77777777" w:rsidR="00C82090" w:rsidRDefault="00C37608">
      <w:pPr>
        <w:spacing w:after="0" w:line="240" w:lineRule="auto"/>
        <w:ind w:left="340" w:hanging="340"/>
      </w:pPr>
      <w:r>
        <w:rPr>
          <w:color w:val="222222"/>
          <w:sz w:val="20"/>
          <w:szCs w:val="20"/>
        </w:rPr>
        <w:t xml:space="preserve">Hewitt, K. 2007. Tributary glacier surges: An exceptional concentration at Panmah Glacier, Karakoram Himalaya. </w:t>
      </w:r>
      <w:r>
        <w:rPr>
          <w:i/>
          <w:iCs/>
          <w:color w:val="222222"/>
          <w:sz w:val="20"/>
          <w:szCs w:val="20"/>
        </w:rPr>
        <w:t>J. Glaciol.</w:t>
      </w:r>
      <w:r>
        <w:rPr>
          <w:color w:val="222222"/>
          <w:sz w:val="20"/>
          <w:szCs w:val="20"/>
        </w:rPr>
        <w:t xml:space="preserve"> 53, 181–188.</w:t>
      </w:r>
    </w:p>
    <w:p w14:paraId="1347BBED" w14:textId="77777777" w:rsidR="00C82090" w:rsidRDefault="00C37608">
      <w:pPr>
        <w:spacing w:after="0" w:line="240" w:lineRule="auto"/>
        <w:ind w:left="340" w:hanging="340"/>
      </w:pPr>
      <w:r>
        <w:rPr>
          <w:color w:val="222222"/>
          <w:sz w:val="20"/>
          <w:szCs w:val="20"/>
        </w:rPr>
        <w:t xml:space="preserve">Hjartardóttir, Á. R., and P. Einarsson 2012. The Kverkfjöll fissure swarm and the eastern boundary of the Northern Volcanic Rift Zone, Iceland. </w:t>
      </w:r>
      <w:r>
        <w:rPr>
          <w:i/>
          <w:iCs/>
          <w:color w:val="222222"/>
          <w:sz w:val="20"/>
          <w:szCs w:val="20"/>
        </w:rPr>
        <w:t>B. Volcanol.</w:t>
      </w:r>
      <w:r>
        <w:rPr>
          <w:color w:val="222222"/>
          <w:sz w:val="20"/>
          <w:szCs w:val="20"/>
        </w:rPr>
        <w:t xml:space="preserve"> 74, 143–162.</w:t>
      </w:r>
    </w:p>
    <w:p w14:paraId="420135B6" w14:textId="77777777" w:rsidR="00C82090" w:rsidRDefault="00C37608">
      <w:pPr>
        <w:spacing w:after="0" w:line="240" w:lineRule="auto"/>
        <w:ind w:left="340" w:hanging="340"/>
      </w:pPr>
      <w:r>
        <w:rPr>
          <w:color w:val="222222"/>
          <w:sz w:val="20"/>
          <w:szCs w:val="20"/>
        </w:rPr>
        <w:t xml:space="preserve">Hjartardóttir, Á. R., P. Einarsson, S. Magnúsdóttir, Th. Björnsdóttir and B. Brandsdóttir 2015. Fracture systems of the Northern Volcanic Rift Zone, Iceland: an onshore part of the Mid-Atlantic plate boundary. </w:t>
      </w:r>
      <w:r>
        <w:rPr>
          <w:i/>
          <w:iCs/>
          <w:color w:val="222222"/>
          <w:sz w:val="20"/>
          <w:szCs w:val="20"/>
        </w:rPr>
        <w:t>Geol. Soc. London, Spec. Publ.</w:t>
      </w:r>
      <w:r>
        <w:rPr>
          <w:color w:val="222222"/>
          <w:sz w:val="20"/>
          <w:szCs w:val="20"/>
        </w:rPr>
        <w:t xml:space="preserve"> </w:t>
      </w:r>
      <w:r>
        <w:rPr>
          <w:i/>
          <w:iCs/>
          <w:color w:val="222222"/>
          <w:sz w:val="20"/>
          <w:szCs w:val="20"/>
        </w:rPr>
        <w:t>420</w:t>
      </w:r>
      <w:r>
        <w:rPr>
          <w:color w:val="222222"/>
          <w:sz w:val="20"/>
          <w:szCs w:val="20"/>
        </w:rPr>
        <w:t>, SP420-1.</w:t>
      </w:r>
    </w:p>
    <w:p w14:paraId="43764CF3" w14:textId="77777777" w:rsidR="00C82090" w:rsidRDefault="00C37608">
      <w:pPr>
        <w:spacing w:after="0" w:line="240" w:lineRule="auto"/>
        <w:ind w:left="340" w:hanging="340"/>
      </w:pPr>
      <w:r>
        <w:rPr>
          <w:color w:val="222222"/>
          <w:sz w:val="20"/>
          <w:szCs w:val="20"/>
        </w:rPr>
        <w:t xml:space="preserve">Hoelzle, M.,T. Chinn, D. Stumm, F. Paul, M. Zemp and W. Haeberli 2007. The application of glacier inventory data for estimating past climate change effects on mountain glaciers: A comparison between the European Alps and the Southern Alps of New Zealand. </w:t>
      </w:r>
      <w:r>
        <w:rPr>
          <w:i/>
          <w:iCs/>
          <w:color w:val="222222"/>
          <w:sz w:val="20"/>
          <w:szCs w:val="20"/>
        </w:rPr>
        <w:t>Global Planet. Change</w:t>
      </w:r>
      <w:r>
        <w:rPr>
          <w:color w:val="222222"/>
          <w:sz w:val="20"/>
          <w:szCs w:val="20"/>
        </w:rPr>
        <w:t xml:space="preserve"> 56, 69–82.</w:t>
      </w:r>
    </w:p>
    <w:p w14:paraId="2C72EB35" w14:textId="77777777" w:rsidR="00C82090" w:rsidRDefault="00C37608">
      <w:pPr>
        <w:spacing w:after="0" w:line="240" w:lineRule="auto"/>
        <w:ind w:left="340" w:hanging="340"/>
      </w:pPr>
      <w:r>
        <w:rPr>
          <w:color w:val="222222"/>
          <w:sz w:val="20"/>
          <w:szCs w:val="20"/>
        </w:rPr>
        <w:t xml:space="preserve">Hutchinson, M. 1989. A new procedure for gridding elevation and streamline data with automatic removal of spurious pits. </w:t>
      </w:r>
      <w:r>
        <w:rPr>
          <w:i/>
          <w:iCs/>
          <w:color w:val="222222"/>
          <w:sz w:val="20"/>
          <w:szCs w:val="20"/>
        </w:rPr>
        <w:t>J. Hydrol.</w:t>
      </w:r>
      <w:r>
        <w:rPr>
          <w:color w:val="222222"/>
          <w:sz w:val="20"/>
          <w:szCs w:val="20"/>
        </w:rPr>
        <w:t xml:space="preserve"> 106(3), 211–232.</w:t>
      </w:r>
    </w:p>
    <w:p w14:paraId="4FB61D6E" w14:textId="77777777" w:rsidR="00C82090" w:rsidRDefault="00C37608">
      <w:pPr>
        <w:spacing w:after="0" w:line="240" w:lineRule="auto"/>
        <w:ind w:left="340" w:hanging="340"/>
      </w:pPr>
      <w:r>
        <w:rPr>
          <w:color w:val="222222"/>
          <w:sz w:val="20"/>
          <w:szCs w:val="20"/>
        </w:rPr>
        <w:t xml:space="preserve">James, W. H., and J. L. Carrivick 2016. Automated modelling of spatially-distributed glacier ice thickness and volume. </w:t>
      </w:r>
      <w:r>
        <w:rPr>
          <w:i/>
          <w:iCs/>
          <w:color w:val="222222"/>
          <w:sz w:val="20"/>
          <w:szCs w:val="20"/>
        </w:rPr>
        <w:t>Comput. Geos.</w:t>
      </w:r>
      <w:r>
        <w:rPr>
          <w:color w:val="222222"/>
          <w:sz w:val="20"/>
          <w:szCs w:val="20"/>
        </w:rPr>
        <w:t xml:space="preserve"> 92(C), 90–103.</w:t>
      </w:r>
    </w:p>
    <w:p w14:paraId="1893E240" w14:textId="77777777" w:rsidR="00C82090" w:rsidRDefault="00C37608">
      <w:pPr>
        <w:spacing w:after="0" w:line="240" w:lineRule="auto"/>
        <w:ind w:left="340" w:hanging="340"/>
      </w:pPr>
      <w:r>
        <w:rPr>
          <w:color w:val="222222"/>
          <w:sz w:val="20"/>
          <w:szCs w:val="20"/>
        </w:rPr>
        <w:t xml:space="preserve">Jiskoot, H., P. Boyle and T. Murray 1998. The incidence of glacier surging in Svalbard: evidence from multivariate statistics, </w:t>
      </w:r>
      <w:r>
        <w:rPr>
          <w:i/>
          <w:color w:val="222222"/>
          <w:sz w:val="20"/>
          <w:szCs w:val="20"/>
        </w:rPr>
        <w:t>Comp. Geos.</w:t>
      </w:r>
      <w:r>
        <w:rPr>
          <w:color w:val="222222"/>
          <w:sz w:val="20"/>
          <w:szCs w:val="20"/>
        </w:rPr>
        <w:t xml:space="preserve"> 24(4), 387–399.</w:t>
      </w:r>
    </w:p>
    <w:p w14:paraId="7C5B6A31" w14:textId="77777777" w:rsidR="00C82090" w:rsidRDefault="00C37608">
      <w:pPr>
        <w:spacing w:after="0" w:line="240" w:lineRule="auto"/>
        <w:ind w:left="340" w:hanging="340"/>
      </w:pPr>
      <w:r>
        <w:rPr>
          <w:color w:val="222222"/>
          <w:sz w:val="20"/>
          <w:szCs w:val="20"/>
        </w:rPr>
        <w:t xml:space="preserve">Jiskoot, H., T. Murray and P. Boyle 2000. Controls on the distribution of surge-type glaciers in Svalbard. </w:t>
      </w:r>
      <w:r>
        <w:rPr>
          <w:i/>
          <w:iCs/>
          <w:color w:val="222222"/>
          <w:sz w:val="20"/>
          <w:szCs w:val="20"/>
        </w:rPr>
        <w:t>J. Glaciol.</w:t>
      </w:r>
      <w:r>
        <w:rPr>
          <w:color w:val="222222"/>
          <w:sz w:val="20"/>
          <w:szCs w:val="20"/>
        </w:rPr>
        <w:t xml:space="preserve"> 46(154), 412–422.</w:t>
      </w:r>
    </w:p>
    <w:p w14:paraId="5A05DBCD" w14:textId="77777777" w:rsidR="00C82090" w:rsidRDefault="00C37608">
      <w:pPr>
        <w:spacing w:after="0" w:line="240" w:lineRule="auto"/>
        <w:ind w:left="340" w:hanging="340"/>
      </w:pPr>
      <w:r>
        <w:rPr>
          <w:color w:val="222222"/>
          <w:sz w:val="20"/>
          <w:szCs w:val="20"/>
        </w:rPr>
        <w:t xml:space="preserve">Joughin, I., S. Tulaczyk, M. Fahnestock and R. Kwok 1996. A mini-surge on the Ryder glacier, Greenland, observed by satellite radar interferometry. </w:t>
      </w:r>
      <w:r>
        <w:rPr>
          <w:i/>
          <w:iCs/>
          <w:color w:val="222222"/>
          <w:sz w:val="20"/>
          <w:szCs w:val="20"/>
        </w:rPr>
        <w:t>Science</w:t>
      </w:r>
      <w:r>
        <w:rPr>
          <w:color w:val="222222"/>
          <w:sz w:val="20"/>
          <w:szCs w:val="20"/>
        </w:rPr>
        <w:t xml:space="preserve"> 274(5285), 228–230.</w:t>
      </w:r>
    </w:p>
    <w:p w14:paraId="2DCE2702" w14:textId="77777777" w:rsidR="00C82090" w:rsidRDefault="00C37608">
      <w:pPr>
        <w:spacing w:after="0" w:line="240" w:lineRule="auto"/>
        <w:ind w:left="340" w:hanging="340"/>
      </w:pPr>
      <w:r>
        <w:rPr>
          <w:color w:val="222222"/>
          <w:sz w:val="20"/>
          <w:szCs w:val="20"/>
        </w:rPr>
        <w:t xml:space="preserve">Jóhannsson, M. 1959. Haustferð á Vatnajökul 1959 (in Icelandic). </w:t>
      </w:r>
      <w:r>
        <w:rPr>
          <w:i/>
          <w:color w:val="222222"/>
          <w:sz w:val="20"/>
          <w:szCs w:val="20"/>
        </w:rPr>
        <w:t>Jökull</w:t>
      </w:r>
      <w:r>
        <w:rPr>
          <w:color w:val="222222"/>
          <w:sz w:val="20"/>
          <w:szCs w:val="20"/>
        </w:rPr>
        <w:t xml:space="preserve"> 9, 41–42.</w:t>
      </w:r>
    </w:p>
    <w:p w14:paraId="58BB41E8" w14:textId="77777777" w:rsidR="00C82090" w:rsidRDefault="00C37608">
      <w:pPr>
        <w:spacing w:after="0" w:line="240" w:lineRule="auto"/>
        <w:ind w:left="340" w:hanging="340"/>
      </w:pPr>
      <w:r>
        <w:rPr>
          <w:color w:val="222222"/>
          <w:sz w:val="20"/>
          <w:szCs w:val="20"/>
        </w:rPr>
        <w:t xml:space="preserve">Jóhannesson, H., and K. Sæmundsson 1998. </w:t>
      </w:r>
      <w:r>
        <w:rPr>
          <w:i/>
          <w:iCs/>
          <w:color w:val="222222"/>
          <w:sz w:val="20"/>
          <w:szCs w:val="20"/>
        </w:rPr>
        <w:t>Geological map of Iceland, 1: 500.000. Tectonics</w:t>
      </w:r>
      <w:r>
        <w:rPr>
          <w:color w:val="222222"/>
          <w:sz w:val="20"/>
          <w:szCs w:val="20"/>
        </w:rPr>
        <w:t>. Icelandic Institute of Natural History, Reykjavík.</w:t>
      </w:r>
    </w:p>
    <w:p w14:paraId="22DC3461" w14:textId="77777777" w:rsidR="00C82090" w:rsidRDefault="00C37608">
      <w:pPr>
        <w:spacing w:after="0" w:line="240" w:lineRule="auto"/>
        <w:ind w:left="340" w:hanging="340"/>
      </w:pPr>
      <w:r>
        <w:rPr>
          <w:color w:val="222222"/>
          <w:sz w:val="20"/>
          <w:szCs w:val="20"/>
        </w:rPr>
        <w:t xml:space="preserve">Jóhannesson, T., H. Björnsson, E. Magnússon, S. Guðmundsson, F. Pálsson, O. Sigurðsson. Th. Thorsteinsson and E. Berthier. 2013. Ice-volume changes, bias estimation of mass-balance measurements and changes in subglacial lakes derived by lidar mapping of the surface of Icelandic glaciers. </w:t>
      </w:r>
      <w:r>
        <w:rPr>
          <w:i/>
          <w:iCs/>
          <w:color w:val="222222"/>
          <w:sz w:val="20"/>
          <w:szCs w:val="20"/>
        </w:rPr>
        <w:t>Ann. Glaciol.</w:t>
      </w:r>
      <w:r>
        <w:rPr>
          <w:color w:val="222222"/>
          <w:sz w:val="20"/>
          <w:szCs w:val="20"/>
        </w:rPr>
        <w:t xml:space="preserve"> 63, 63–74, 10.3189/2013AoG63A422.</w:t>
      </w:r>
    </w:p>
    <w:p w14:paraId="74D23192" w14:textId="77777777" w:rsidR="00C82090" w:rsidRDefault="00C37608">
      <w:pPr>
        <w:spacing w:after="0" w:line="240" w:lineRule="auto"/>
        <w:ind w:left="340" w:hanging="340"/>
      </w:pPr>
      <w:r>
        <w:rPr>
          <w:color w:val="222222"/>
          <w:sz w:val="20"/>
          <w:szCs w:val="20"/>
        </w:rPr>
        <w:t xml:space="preserve">Kamb, B., and H. Engelhardt (1987). Waves of accelerated motion in a glacier approaching surge: the mini-surges of Variegated Glacier, Alaska, USA. </w:t>
      </w:r>
      <w:r>
        <w:rPr>
          <w:i/>
          <w:iCs/>
          <w:color w:val="222222"/>
          <w:sz w:val="20"/>
          <w:szCs w:val="20"/>
        </w:rPr>
        <w:t>J. Glaciol.</w:t>
      </w:r>
      <w:r>
        <w:rPr>
          <w:color w:val="222222"/>
          <w:sz w:val="20"/>
          <w:szCs w:val="20"/>
        </w:rPr>
        <w:t xml:space="preserve"> 33(113), 27–46.</w:t>
      </w:r>
    </w:p>
    <w:p w14:paraId="3EC4A10E" w14:textId="77777777" w:rsidR="00C82090" w:rsidRDefault="00C37608">
      <w:pPr>
        <w:spacing w:after="0" w:line="240" w:lineRule="auto"/>
        <w:ind w:left="340" w:hanging="340"/>
      </w:pPr>
      <w:r>
        <w:rPr>
          <w:color w:val="222222"/>
          <w:sz w:val="20"/>
          <w:szCs w:val="20"/>
        </w:rPr>
        <w:t xml:space="preserve">Kamb, B., C. F. Raymond, W. D. Harrison, H. Engelhardt, K. A. Echelmeyer, N. Humphrey, M. M. Brugman and T. Pfeffer 1985. Glacier surge mechanism: 1982–1983 surge of Variegated Glacier, Alaska. </w:t>
      </w:r>
      <w:r>
        <w:rPr>
          <w:i/>
          <w:iCs/>
          <w:color w:val="222222"/>
          <w:sz w:val="20"/>
          <w:szCs w:val="20"/>
        </w:rPr>
        <w:t>Science</w:t>
      </w:r>
      <w:r>
        <w:rPr>
          <w:color w:val="222222"/>
          <w:sz w:val="20"/>
          <w:szCs w:val="20"/>
        </w:rPr>
        <w:t xml:space="preserve"> 227(4686), 469–479.</w:t>
      </w:r>
    </w:p>
    <w:p w14:paraId="18636909" w14:textId="77777777" w:rsidR="00C82090" w:rsidRDefault="00C37608">
      <w:pPr>
        <w:spacing w:after="0" w:line="240" w:lineRule="auto"/>
        <w:ind w:left="340" w:hanging="340"/>
      </w:pPr>
      <w:r>
        <w:rPr>
          <w:color w:val="222222"/>
          <w:sz w:val="20"/>
          <w:szCs w:val="20"/>
        </w:rPr>
        <w:t>King, O., M. J. Hambrey, T. D. Irvine</w:t>
      </w:r>
      <w:r>
        <w:rPr>
          <w:rFonts w:ascii="Cambria Math" w:hAnsi="Cambria Math" w:cs="Cambria Math"/>
          <w:color w:val="222222"/>
          <w:sz w:val="20"/>
          <w:szCs w:val="20"/>
        </w:rPr>
        <w:t>‐</w:t>
      </w:r>
      <w:r>
        <w:rPr>
          <w:color w:val="222222"/>
          <w:sz w:val="20"/>
          <w:szCs w:val="20"/>
        </w:rPr>
        <w:t>Fynn and T. O. Holt 2015. The structural, geometric and volumetric changes of a poly</w:t>
      </w:r>
      <w:r>
        <w:rPr>
          <w:color w:val="222222"/>
          <w:sz w:val="20"/>
          <w:szCs w:val="20"/>
        </w:rPr>
        <w:softHyphen/>
        <w:t xml:space="preserve">thermal Arctic glacier during a surge cycle: Comfortlessbreen, Svalbard. </w:t>
      </w:r>
      <w:r>
        <w:rPr>
          <w:i/>
          <w:iCs/>
          <w:color w:val="222222"/>
          <w:sz w:val="20"/>
          <w:szCs w:val="20"/>
        </w:rPr>
        <w:t>Earth Surf. Proc. Land.</w:t>
      </w:r>
      <w:r>
        <w:rPr>
          <w:color w:val="222222"/>
          <w:sz w:val="20"/>
          <w:szCs w:val="20"/>
        </w:rPr>
        <w:t xml:space="preserve"> 41(2), 162–177.</w:t>
      </w:r>
    </w:p>
    <w:p w14:paraId="38C134AB" w14:textId="77777777" w:rsidR="00C82090" w:rsidRDefault="00C37608">
      <w:pPr>
        <w:spacing w:after="0" w:line="240" w:lineRule="auto"/>
        <w:ind w:left="340" w:hanging="340"/>
      </w:pPr>
      <w:r>
        <w:rPr>
          <w:color w:val="222222"/>
          <w:sz w:val="20"/>
          <w:szCs w:val="20"/>
        </w:rPr>
        <w:t xml:space="preserve">Kotlyakov, V. M., G. B. Osipova and D. G.Tsvetkov 2008. Monitoring surging glaciers of the Pamirs, central Asia, from space. </w:t>
      </w:r>
      <w:r>
        <w:rPr>
          <w:i/>
          <w:color w:val="222222"/>
          <w:sz w:val="20"/>
          <w:szCs w:val="20"/>
        </w:rPr>
        <w:t>Ann. Glaciol.</w:t>
      </w:r>
      <w:r>
        <w:rPr>
          <w:color w:val="222222"/>
          <w:sz w:val="20"/>
          <w:szCs w:val="20"/>
        </w:rPr>
        <w:t xml:space="preserve"> 48(1), 125–134.</w:t>
      </w:r>
    </w:p>
    <w:p w14:paraId="670E5903" w14:textId="77777777" w:rsidR="00C82090" w:rsidRDefault="00C37608">
      <w:pPr>
        <w:spacing w:after="0" w:line="240" w:lineRule="auto"/>
        <w:ind w:left="340" w:hanging="340"/>
      </w:pPr>
      <w:r>
        <w:rPr>
          <w:color w:val="222222"/>
          <w:sz w:val="20"/>
          <w:szCs w:val="20"/>
        </w:rPr>
        <w:t xml:space="preserve">Kristensen, L., and D. I. Benn 2012. A surge of the glaciers Skobreen–Paulabreen, Svalbard, observed by time-lapse photographs and remote sensing data. </w:t>
      </w:r>
      <w:r>
        <w:rPr>
          <w:i/>
          <w:color w:val="222222"/>
          <w:sz w:val="20"/>
          <w:szCs w:val="20"/>
        </w:rPr>
        <w:t>Polar Research</w:t>
      </w:r>
      <w:r>
        <w:rPr>
          <w:color w:val="222222"/>
          <w:sz w:val="20"/>
          <w:szCs w:val="20"/>
        </w:rPr>
        <w:t xml:space="preserve"> 31, 11106.</w:t>
      </w:r>
    </w:p>
    <w:p w14:paraId="2C79C093" w14:textId="77777777" w:rsidR="00C82090" w:rsidRDefault="00C37608">
      <w:pPr>
        <w:spacing w:after="0" w:line="240" w:lineRule="auto"/>
        <w:ind w:left="340" w:hanging="340"/>
      </w:pPr>
      <w:r>
        <w:rPr>
          <w:color w:val="222222"/>
          <w:sz w:val="20"/>
          <w:szCs w:val="20"/>
        </w:rPr>
        <w:t xml:space="preserve">Lingle, C. S., and D. R. Fatland 2003. Does englacial water storage drive temperate glacier surges? </w:t>
      </w:r>
      <w:r>
        <w:rPr>
          <w:i/>
          <w:iCs/>
          <w:color w:val="222222"/>
          <w:sz w:val="20"/>
          <w:szCs w:val="20"/>
        </w:rPr>
        <w:t>Ann. Glaciol.</w:t>
      </w:r>
      <w:r>
        <w:rPr>
          <w:color w:val="222222"/>
          <w:sz w:val="20"/>
          <w:szCs w:val="20"/>
        </w:rPr>
        <w:t xml:space="preserve"> 36, 14–20.</w:t>
      </w:r>
    </w:p>
    <w:p w14:paraId="55DDA43D" w14:textId="77777777" w:rsidR="00C82090" w:rsidRDefault="00C37608">
      <w:pPr>
        <w:spacing w:after="0" w:line="240" w:lineRule="auto"/>
        <w:ind w:left="340" w:hanging="340"/>
      </w:pPr>
      <w:r>
        <w:rPr>
          <w:sz w:val="20"/>
          <w:szCs w:val="20"/>
          <w:lang w:eastAsia="en-US"/>
        </w:rPr>
        <w:t xml:space="preserve">Magnússon, E., H. Björnsson, J. Dall and F. Pálsson 2005. Volume changes of Vatnajökull ice cap, Iceland, due to surface mass balance, ice flow, and subglacial melting at geothermal areas. </w:t>
      </w:r>
      <w:r>
        <w:rPr>
          <w:i/>
          <w:iCs/>
          <w:sz w:val="20"/>
          <w:szCs w:val="20"/>
          <w:lang w:eastAsia="en-US"/>
        </w:rPr>
        <w:t>Geophys. Res. Lett.</w:t>
      </w:r>
      <w:r>
        <w:rPr>
          <w:sz w:val="20"/>
          <w:szCs w:val="20"/>
          <w:lang w:eastAsia="en-US"/>
        </w:rPr>
        <w:t xml:space="preserve"> 32, L05504.</w:t>
      </w:r>
    </w:p>
    <w:p w14:paraId="32F29406" w14:textId="77777777" w:rsidR="00C82090" w:rsidRDefault="00C37608">
      <w:pPr>
        <w:spacing w:after="0" w:line="240" w:lineRule="auto"/>
        <w:ind w:left="340" w:hanging="340"/>
      </w:pPr>
      <w:r>
        <w:rPr>
          <w:sz w:val="20"/>
          <w:szCs w:val="20"/>
          <w:lang w:eastAsia="en-US"/>
        </w:rPr>
        <w:t xml:space="preserve">Magnússon, E., J. Muñoz-Cobo Belart, F. Pálsson, H. Ágústsson and P. Crochet 2016. Geodetic mass balance record with rigorous uncertainty estimates deduced from aerial photographs and lidar data – Case study from Drangajökull ice cap, NW Iceland. </w:t>
      </w:r>
      <w:r>
        <w:rPr>
          <w:i/>
          <w:iCs/>
          <w:sz w:val="20"/>
          <w:szCs w:val="20"/>
          <w:lang w:eastAsia="en-US"/>
        </w:rPr>
        <w:t>The Cryosph.</w:t>
      </w:r>
      <w:r>
        <w:rPr>
          <w:sz w:val="20"/>
          <w:szCs w:val="20"/>
          <w:lang w:eastAsia="en-US"/>
        </w:rPr>
        <w:t>, 10, 159</w:t>
      </w:r>
      <w:r>
        <w:rPr>
          <w:color w:val="222222"/>
          <w:sz w:val="20"/>
          <w:szCs w:val="20"/>
          <w:lang w:eastAsia="en-US"/>
        </w:rPr>
        <w:t>–</w:t>
      </w:r>
      <w:r>
        <w:rPr>
          <w:sz w:val="20"/>
          <w:szCs w:val="20"/>
          <w:lang w:eastAsia="en-US"/>
        </w:rPr>
        <w:t>177.</w:t>
      </w:r>
    </w:p>
    <w:p w14:paraId="1F25782F" w14:textId="77777777" w:rsidR="00C82090" w:rsidRDefault="00C37608">
      <w:pPr>
        <w:spacing w:after="0" w:line="240" w:lineRule="auto"/>
        <w:ind w:left="340" w:hanging="340"/>
      </w:pPr>
      <w:r>
        <w:rPr>
          <w:sz w:val="20"/>
          <w:szCs w:val="20"/>
          <w:lang w:eastAsia="en-US"/>
        </w:rPr>
        <w:t xml:space="preserve">Meier, M. F., and A. Post 1969. What are glacier surges? </w:t>
      </w:r>
      <w:r>
        <w:rPr>
          <w:i/>
          <w:iCs/>
          <w:sz w:val="20"/>
          <w:szCs w:val="20"/>
          <w:lang w:eastAsia="en-US"/>
        </w:rPr>
        <w:t>Can. J. Earth Sci.</w:t>
      </w:r>
      <w:r>
        <w:rPr>
          <w:sz w:val="20"/>
          <w:szCs w:val="20"/>
          <w:lang w:eastAsia="en-US"/>
        </w:rPr>
        <w:t xml:space="preserve"> 6(4), 807</w:t>
      </w:r>
      <w:r>
        <w:rPr>
          <w:color w:val="222222"/>
          <w:sz w:val="20"/>
          <w:szCs w:val="20"/>
          <w:lang w:eastAsia="en-US"/>
        </w:rPr>
        <w:t>–</w:t>
      </w:r>
      <w:r>
        <w:rPr>
          <w:sz w:val="20"/>
          <w:szCs w:val="20"/>
          <w:lang w:eastAsia="en-US"/>
        </w:rPr>
        <w:t>817.</w:t>
      </w:r>
    </w:p>
    <w:p w14:paraId="7B8059EB" w14:textId="77777777" w:rsidR="00C82090" w:rsidRDefault="00C37608">
      <w:pPr>
        <w:spacing w:after="0" w:line="240" w:lineRule="auto"/>
        <w:ind w:left="340" w:hanging="340"/>
      </w:pPr>
      <w:r>
        <w:rPr>
          <w:sz w:val="20"/>
          <w:szCs w:val="20"/>
          <w:lang w:eastAsia="en-US"/>
        </w:rPr>
        <w:t xml:space="preserve">Montanaro, C., B. Scheu, M. T. Guðmundsson, K. Vogfjörd, H. I. Reynolds, T. Dürig, K. Strehlow, S. Rott, T. Reuschlé and D. B. Dingwell 2016. Multidisciplinary constraints of hydrothermal explosions based on the </w:t>
      </w:r>
      <w:r>
        <w:rPr>
          <w:sz w:val="20"/>
          <w:szCs w:val="20"/>
          <w:lang w:eastAsia="en-US"/>
        </w:rPr>
        <w:lastRenderedPageBreak/>
        <w:t xml:space="preserve">2013 Gengissig lake events, Kverkfjöll volcano, Iceland. </w:t>
      </w:r>
      <w:r>
        <w:rPr>
          <w:i/>
          <w:sz w:val="20"/>
          <w:szCs w:val="20"/>
          <w:lang w:eastAsia="en-US"/>
        </w:rPr>
        <w:t>Earth Planet. Sc. Lett.</w:t>
      </w:r>
      <w:r>
        <w:rPr>
          <w:sz w:val="20"/>
          <w:szCs w:val="20"/>
          <w:lang w:eastAsia="en-US"/>
        </w:rPr>
        <w:t xml:space="preserve"> 434, 308</w:t>
      </w:r>
      <w:r>
        <w:rPr>
          <w:color w:val="222222"/>
          <w:sz w:val="20"/>
          <w:szCs w:val="20"/>
          <w:lang w:eastAsia="en-US"/>
        </w:rPr>
        <w:t>–</w:t>
      </w:r>
      <w:r>
        <w:rPr>
          <w:sz w:val="20"/>
          <w:szCs w:val="20"/>
          <w:lang w:eastAsia="en-US"/>
        </w:rPr>
        <w:t>319.</w:t>
      </w:r>
    </w:p>
    <w:p w14:paraId="06068B14" w14:textId="77777777" w:rsidR="00C82090" w:rsidRDefault="00C37608">
      <w:pPr>
        <w:spacing w:after="0" w:line="240" w:lineRule="auto"/>
        <w:ind w:left="340" w:hanging="340"/>
      </w:pPr>
      <w:r>
        <w:rPr>
          <w:sz w:val="20"/>
          <w:szCs w:val="20"/>
          <w:lang w:eastAsia="en-US"/>
        </w:rPr>
        <w:t xml:space="preserve">Murray T., T. Strozzi, A. Luckman, H. Jiskoot and P. Christakos 2003. Is there a single surge mechanism? Contrasts in dynamics between glacier surges in Svalbard and other regions. </w:t>
      </w:r>
      <w:r>
        <w:rPr>
          <w:i/>
          <w:iCs/>
          <w:sz w:val="20"/>
          <w:szCs w:val="20"/>
          <w:lang w:eastAsia="en-US"/>
        </w:rPr>
        <w:t>J. Geophys. Res.</w:t>
      </w:r>
      <w:r>
        <w:rPr>
          <w:sz w:val="20"/>
          <w:szCs w:val="20"/>
          <w:lang w:eastAsia="en-US"/>
        </w:rPr>
        <w:t>, 108(B5), 2237, doi:10.1029/2002JB001906.</w:t>
      </w:r>
    </w:p>
    <w:p w14:paraId="441237BC" w14:textId="77777777" w:rsidR="00C82090" w:rsidRDefault="00C37608">
      <w:pPr>
        <w:spacing w:after="0" w:line="240" w:lineRule="auto"/>
        <w:ind w:left="340" w:hanging="340"/>
      </w:pPr>
      <w:r>
        <w:rPr>
          <w:sz w:val="20"/>
          <w:szCs w:val="20"/>
          <w:lang w:eastAsia="en-US"/>
        </w:rPr>
        <w:t xml:space="preserve">Murray, T., T. D. James, Y. Macheret, I. Lavrentiev, A. Glazovsky and H. Sykes 2012. Geometric changes in a tidewater glacier in Svalbard during its surge cycle. </w:t>
      </w:r>
      <w:r>
        <w:rPr>
          <w:i/>
          <w:iCs/>
          <w:color w:val="222222"/>
          <w:sz w:val="20"/>
          <w:szCs w:val="20"/>
          <w:lang w:eastAsia="en-US"/>
        </w:rPr>
        <w:t>Arct. Antarct. Alp. Res.</w:t>
      </w:r>
      <w:r>
        <w:rPr>
          <w:sz w:val="20"/>
          <w:szCs w:val="20"/>
          <w:lang w:eastAsia="en-US"/>
        </w:rPr>
        <w:t xml:space="preserve"> 44(3), 359</w:t>
      </w:r>
      <w:r>
        <w:rPr>
          <w:color w:val="222222"/>
          <w:sz w:val="20"/>
          <w:szCs w:val="20"/>
          <w:lang w:eastAsia="en-US"/>
        </w:rPr>
        <w:t>–</w:t>
      </w:r>
      <w:r>
        <w:rPr>
          <w:sz w:val="20"/>
          <w:szCs w:val="20"/>
          <w:lang w:eastAsia="en-US"/>
        </w:rPr>
        <w:t>367.</w:t>
      </w:r>
    </w:p>
    <w:p w14:paraId="09F10D5A" w14:textId="77777777" w:rsidR="00C82090" w:rsidRDefault="00C37608">
      <w:pPr>
        <w:spacing w:after="0" w:line="240" w:lineRule="auto"/>
        <w:ind w:left="340" w:hanging="340"/>
      </w:pPr>
      <w:r>
        <w:rPr>
          <w:sz w:val="20"/>
          <w:szCs w:val="20"/>
          <w:lang w:eastAsia="en-US"/>
        </w:rPr>
        <w:t xml:space="preserve">Muskett, R. R., C. S. Lingle, J. M. Sauber, A. S. Post, W. V. Tangborn and B. T. Rabus 2008. Surging, accelerating surface lowering and volume reduction of the Malaspina Glacier system, Alaska, USA, and Yukon, Canada, from 1972 to 2006. </w:t>
      </w:r>
      <w:r>
        <w:rPr>
          <w:i/>
          <w:iCs/>
          <w:sz w:val="20"/>
          <w:szCs w:val="20"/>
          <w:lang w:eastAsia="en-US"/>
        </w:rPr>
        <w:t>J. Glaciol.</w:t>
      </w:r>
      <w:r>
        <w:rPr>
          <w:sz w:val="20"/>
          <w:szCs w:val="20"/>
          <w:lang w:eastAsia="en-US"/>
        </w:rPr>
        <w:t>, 54(188), 788</w:t>
      </w:r>
      <w:r>
        <w:rPr>
          <w:color w:val="222222"/>
          <w:sz w:val="20"/>
          <w:szCs w:val="20"/>
          <w:lang w:eastAsia="en-US"/>
        </w:rPr>
        <w:t>–</w:t>
      </w:r>
      <w:r>
        <w:rPr>
          <w:sz w:val="20"/>
          <w:szCs w:val="20"/>
          <w:lang w:eastAsia="en-US"/>
        </w:rPr>
        <w:t>800.</w:t>
      </w:r>
    </w:p>
    <w:p w14:paraId="7F99F84E" w14:textId="77777777" w:rsidR="00C82090" w:rsidRDefault="00C37608">
      <w:pPr>
        <w:spacing w:after="0" w:line="240" w:lineRule="auto"/>
        <w:ind w:left="340" w:hanging="340"/>
      </w:pPr>
      <w:r>
        <w:rPr>
          <w:sz w:val="20"/>
          <w:szCs w:val="20"/>
          <w:lang w:eastAsia="en-US"/>
        </w:rPr>
        <w:t xml:space="preserve">Muskett, R. R., C. S. Lingle, J. Sauber, A. S. Post, W. V. Tangborn, B. T. Rabus and K. A. Echelmeyer 2009. Airborne and spaceborne DEM-and laser altimetry-derived surface elevation and volume changes of the Bering Glacier system, Alaska, USA, and Yukon, Canada, 1972–2006. </w:t>
      </w:r>
      <w:r>
        <w:rPr>
          <w:i/>
          <w:iCs/>
          <w:sz w:val="20"/>
          <w:szCs w:val="20"/>
          <w:lang w:eastAsia="en-US"/>
        </w:rPr>
        <w:t>J. Glaciol.</w:t>
      </w:r>
      <w:r>
        <w:rPr>
          <w:sz w:val="20"/>
          <w:szCs w:val="20"/>
          <w:lang w:eastAsia="en-US"/>
        </w:rPr>
        <w:t xml:space="preserve"> 55(190), 316</w:t>
      </w:r>
      <w:r>
        <w:rPr>
          <w:color w:val="222222"/>
          <w:sz w:val="20"/>
          <w:szCs w:val="20"/>
          <w:lang w:eastAsia="en-US"/>
        </w:rPr>
        <w:t>–</w:t>
      </w:r>
      <w:r>
        <w:rPr>
          <w:sz w:val="20"/>
          <w:szCs w:val="20"/>
          <w:lang w:eastAsia="en-US"/>
        </w:rPr>
        <w:t>326.</w:t>
      </w:r>
    </w:p>
    <w:p w14:paraId="50D7B488" w14:textId="77777777" w:rsidR="00C82090" w:rsidRDefault="00C37608">
      <w:pPr>
        <w:spacing w:after="0" w:line="240" w:lineRule="auto"/>
        <w:ind w:left="340" w:hanging="340"/>
      </w:pPr>
      <w:r>
        <w:rPr>
          <w:sz w:val="20"/>
          <w:szCs w:val="20"/>
          <w:lang w:eastAsia="en-US"/>
        </w:rPr>
        <w:t xml:space="preserve">National Land Survey of Iceland. </w:t>
      </w:r>
      <w:r>
        <w:rPr>
          <w:i/>
          <w:iCs/>
          <w:sz w:val="20"/>
          <w:szCs w:val="20"/>
          <w:lang w:eastAsia="en-US"/>
        </w:rPr>
        <w:t>A new geoid for Iceland</w:t>
      </w:r>
      <w:r>
        <w:rPr>
          <w:sz w:val="20"/>
          <w:szCs w:val="20"/>
          <w:lang w:eastAsia="en-US"/>
        </w:rPr>
        <w:t xml:space="preserve">. </w:t>
      </w:r>
      <w:hyperlink r:id="rId8" w:history="1">
        <w:r>
          <w:rPr>
            <w:rStyle w:val="Hyperlink"/>
            <w:sz w:val="20"/>
            <w:szCs w:val="20"/>
            <w:lang w:eastAsia="en-US"/>
          </w:rPr>
          <w:t>http://www.lmi.is/en/ny-geoida-fyrir-island/</w:t>
        </w:r>
      </w:hyperlink>
      <w:r>
        <w:rPr>
          <w:sz w:val="20"/>
          <w:szCs w:val="20"/>
          <w:lang w:eastAsia="en-US"/>
        </w:rPr>
        <w:t xml:space="preserve"> last visited 10/01/2016.</w:t>
      </w:r>
    </w:p>
    <w:p w14:paraId="7E35AA55" w14:textId="77777777" w:rsidR="00C82090" w:rsidRDefault="00C37608">
      <w:pPr>
        <w:spacing w:after="0" w:line="240" w:lineRule="auto"/>
        <w:ind w:left="340" w:hanging="340"/>
      </w:pPr>
      <w:r>
        <w:rPr>
          <w:sz w:val="20"/>
          <w:szCs w:val="20"/>
          <w:lang w:eastAsia="en-US"/>
        </w:rPr>
        <w:t xml:space="preserve">Ólafsson, M., H. Torfason and K. Grönvold 2000. Surface exploration and monitoring of geothermal activity in the Kverkfjöll geothermal area, central Iceland. </w:t>
      </w:r>
      <w:r>
        <w:rPr>
          <w:i/>
          <w:iCs/>
          <w:sz w:val="20"/>
          <w:szCs w:val="20"/>
          <w:lang w:eastAsia="en-US"/>
        </w:rPr>
        <w:t>Proc. World Geoth. Congr. 2000</w:t>
      </w:r>
      <w:r>
        <w:rPr>
          <w:sz w:val="20"/>
          <w:szCs w:val="20"/>
          <w:lang w:eastAsia="en-US"/>
        </w:rPr>
        <w:t>, 1539</w:t>
      </w:r>
      <w:r>
        <w:rPr>
          <w:color w:val="222222"/>
          <w:sz w:val="20"/>
          <w:szCs w:val="20"/>
          <w:lang w:eastAsia="en-US"/>
        </w:rPr>
        <w:t>–</w:t>
      </w:r>
      <w:r>
        <w:rPr>
          <w:sz w:val="20"/>
          <w:szCs w:val="20"/>
          <w:lang w:eastAsia="en-US"/>
        </w:rPr>
        <w:t>1545.</w:t>
      </w:r>
    </w:p>
    <w:p w14:paraId="6BD4726A" w14:textId="77777777" w:rsidR="00C82090" w:rsidRDefault="00C37608">
      <w:pPr>
        <w:spacing w:after="0" w:line="240" w:lineRule="auto"/>
        <w:ind w:left="340" w:hanging="340"/>
      </w:pPr>
      <w:r>
        <w:rPr>
          <w:sz w:val="20"/>
          <w:szCs w:val="20"/>
          <w:lang w:eastAsia="en-US"/>
        </w:rPr>
        <w:t xml:space="preserve">Paul, F. 2015. Revealing glacier flow and surge dynamics from animated satellite image sequences: examples from the Karakoram. </w:t>
      </w:r>
      <w:r>
        <w:rPr>
          <w:i/>
          <w:iCs/>
          <w:sz w:val="20"/>
          <w:szCs w:val="20"/>
          <w:lang w:eastAsia="en-US"/>
        </w:rPr>
        <w:t>The Cryosph.</w:t>
      </w:r>
      <w:r>
        <w:rPr>
          <w:sz w:val="20"/>
          <w:szCs w:val="20"/>
          <w:lang w:eastAsia="en-US"/>
        </w:rPr>
        <w:t xml:space="preserve"> 9(6), 2201</w:t>
      </w:r>
      <w:r>
        <w:rPr>
          <w:color w:val="222222"/>
          <w:sz w:val="20"/>
          <w:szCs w:val="20"/>
          <w:lang w:eastAsia="en-US"/>
        </w:rPr>
        <w:t>–</w:t>
      </w:r>
      <w:r>
        <w:rPr>
          <w:sz w:val="20"/>
          <w:szCs w:val="20"/>
          <w:lang w:eastAsia="en-US"/>
        </w:rPr>
        <w:t>2214.</w:t>
      </w:r>
    </w:p>
    <w:p w14:paraId="5036504E" w14:textId="77777777" w:rsidR="00C82090" w:rsidRDefault="00C37608">
      <w:pPr>
        <w:spacing w:after="0" w:line="240" w:lineRule="auto"/>
        <w:ind w:left="340" w:hanging="340"/>
      </w:pPr>
      <w:r>
        <w:rPr>
          <w:color w:val="222222"/>
          <w:sz w:val="20"/>
          <w:szCs w:val="20"/>
        </w:rPr>
        <w:t xml:space="preserve">Pitte, P., E. Berthier, M. H. Masiokas, V. Cabot, L. Ruiz, L. Ferri Hidalgo, H. Gargantini and L. Zalazar 2016. Geometric evolution of the Horcones Inferior Glacier (Mount Aconcagua, Central Andes) during the 2002–2006 surge, </w:t>
      </w:r>
      <w:r>
        <w:rPr>
          <w:i/>
          <w:iCs/>
          <w:color w:val="222222"/>
          <w:sz w:val="20"/>
          <w:szCs w:val="20"/>
        </w:rPr>
        <w:t>J. Geophys. Res. Earth</w:t>
      </w:r>
      <w:r>
        <w:rPr>
          <w:color w:val="222222"/>
          <w:sz w:val="20"/>
          <w:szCs w:val="20"/>
        </w:rPr>
        <w:t xml:space="preserve"> 121, 111–127.</w:t>
      </w:r>
    </w:p>
    <w:p w14:paraId="4EB3ADA8" w14:textId="77777777" w:rsidR="00C82090" w:rsidRDefault="00C37608">
      <w:pPr>
        <w:spacing w:after="0" w:line="240" w:lineRule="auto"/>
        <w:ind w:left="340" w:hanging="340"/>
      </w:pPr>
      <w:r>
        <w:rPr>
          <w:color w:val="222222"/>
          <w:sz w:val="20"/>
          <w:szCs w:val="20"/>
        </w:rPr>
        <w:t xml:space="preserve">Pritchard, H., T. Murray, T. Strozzi, S. Barr and A. Luckman 2003. Surge-related topographic change of the glacier Sortebræ, East Greenland, derived from synthetic aperture radar interferometry. </w:t>
      </w:r>
      <w:r>
        <w:rPr>
          <w:i/>
          <w:iCs/>
          <w:color w:val="222222"/>
          <w:sz w:val="20"/>
          <w:szCs w:val="20"/>
        </w:rPr>
        <w:t>J. Glaciol.</w:t>
      </w:r>
      <w:r>
        <w:rPr>
          <w:color w:val="222222"/>
          <w:sz w:val="20"/>
          <w:szCs w:val="20"/>
        </w:rPr>
        <w:t xml:space="preserve"> 49(166), 381–390.</w:t>
      </w:r>
    </w:p>
    <w:p w14:paraId="5E19E065" w14:textId="77777777" w:rsidR="00C82090" w:rsidRDefault="00C37608">
      <w:pPr>
        <w:spacing w:after="0" w:line="240" w:lineRule="auto"/>
        <w:ind w:left="340" w:hanging="340"/>
      </w:pPr>
      <w:r>
        <w:rPr>
          <w:sz w:val="20"/>
          <w:szCs w:val="20"/>
          <w:lang w:eastAsia="en-US"/>
        </w:rPr>
        <w:t xml:space="preserve">Quincey, D. J., M. Braun, N. F. Glasser, M. P. Bishop, K. Hewitt and A. Luckman 2011. Karakoram glacier surge dynamics. </w:t>
      </w:r>
      <w:r>
        <w:rPr>
          <w:i/>
          <w:iCs/>
          <w:sz w:val="20"/>
          <w:szCs w:val="20"/>
          <w:lang w:eastAsia="en-US"/>
        </w:rPr>
        <w:t>Geophys. Res. Lett.</w:t>
      </w:r>
      <w:r>
        <w:rPr>
          <w:sz w:val="20"/>
          <w:szCs w:val="20"/>
          <w:lang w:eastAsia="en-US"/>
        </w:rPr>
        <w:t xml:space="preserve"> 38(18), doi:10.1029/2011GL049004.</w:t>
      </w:r>
    </w:p>
    <w:p w14:paraId="21C25EC8" w14:textId="77777777" w:rsidR="00C82090" w:rsidRDefault="00C37608">
      <w:pPr>
        <w:spacing w:after="0" w:line="240" w:lineRule="auto"/>
        <w:ind w:left="340" w:hanging="340"/>
      </w:pPr>
      <w:r>
        <w:rPr>
          <w:sz w:val="20"/>
          <w:szCs w:val="20"/>
          <w:lang w:eastAsia="en-US"/>
        </w:rPr>
        <w:t xml:space="preserve">Quincey, D. J., N. F. Glasser, S. J. Cook and A. Luckman 2015. Heterogeneity in Karakoram glacier surges. </w:t>
      </w:r>
      <w:r>
        <w:rPr>
          <w:i/>
          <w:iCs/>
          <w:sz w:val="20"/>
          <w:szCs w:val="20"/>
          <w:lang w:eastAsia="en-US"/>
        </w:rPr>
        <w:t>J. Geophys. Res. Earth</w:t>
      </w:r>
      <w:r>
        <w:rPr>
          <w:sz w:val="20"/>
          <w:szCs w:val="20"/>
          <w:lang w:eastAsia="en-US"/>
        </w:rPr>
        <w:t xml:space="preserve"> 120(7), 1288</w:t>
      </w:r>
      <w:r>
        <w:rPr>
          <w:color w:val="222222"/>
          <w:sz w:val="20"/>
          <w:szCs w:val="20"/>
          <w:lang w:eastAsia="en-US"/>
        </w:rPr>
        <w:t>–</w:t>
      </w:r>
      <w:r>
        <w:rPr>
          <w:sz w:val="20"/>
          <w:szCs w:val="20"/>
          <w:lang w:eastAsia="en-US"/>
        </w:rPr>
        <w:t>1300.</w:t>
      </w:r>
    </w:p>
    <w:p w14:paraId="38BADB33" w14:textId="77777777" w:rsidR="00C82090" w:rsidRDefault="00C37608">
      <w:pPr>
        <w:spacing w:after="0" w:line="240" w:lineRule="auto"/>
        <w:ind w:left="340" w:hanging="340"/>
      </w:pPr>
      <w:r>
        <w:rPr>
          <w:sz w:val="20"/>
          <w:szCs w:val="20"/>
          <w:lang w:eastAsia="en-US"/>
        </w:rPr>
        <w:t xml:space="preserve">Rankl, M., C. Kienholz and M. Braun 2014. Glacier changes in the Karakoram region mapped by multimission satellite imagery. </w:t>
      </w:r>
      <w:r>
        <w:rPr>
          <w:i/>
          <w:iCs/>
          <w:sz w:val="20"/>
          <w:szCs w:val="20"/>
          <w:lang w:eastAsia="en-US"/>
        </w:rPr>
        <w:t>The Cryosph.</w:t>
      </w:r>
      <w:r>
        <w:rPr>
          <w:sz w:val="20"/>
          <w:szCs w:val="20"/>
          <w:lang w:eastAsia="en-US"/>
        </w:rPr>
        <w:t xml:space="preserve"> 8, 977</w:t>
      </w:r>
      <w:r>
        <w:rPr>
          <w:color w:val="222222"/>
          <w:sz w:val="20"/>
          <w:szCs w:val="20"/>
          <w:lang w:eastAsia="en-US"/>
        </w:rPr>
        <w:t>–</w:t>
      </w:r>
      <w:r>
        <w:rPr>
          <w:sz w:val="20"/>
          <w:szCs w:val="20"/>
          <w:lang w:eastAsia="en-US"/>
        </w:rPr>
        <w:t>989, doi:10.5194/tc-8-977-2014.</w:t>
      </w:r>
    </w:p>
    <w:p w14:paraId="7378045F" w14:textId="77777777" w:rsidR="00C82090" w:rsidRDefault="00C37608">
      <w:pPr>
        <w:spacing w:after="0" w:line="240" w:lineRule="auto"/>
        <w:ind w:left="340" w:hanging="340"/>
      </w:pPr>
      <w:r>
        <w:rPr>
          <w:sz w:val="20"/>
          <w:szCs w:val="20"/>
          <w:lang w:eastAsia="en-US"/>
        </w:rPr>
        <w:t xml:space="preserve">Raymond, C. F., and S. Malone 1986. Propagating strain anomalies during mini-surges of Variegated glacier, Alaska, U.S.A. </w:t>
      </w:r>
      <w:r>
        <w:rPr>
          <w:i/>
          <w:iCs/>
          <w:sz w:val="20"/>
          <w:szCs w:val="20"/>
          <w:lang w:eastAsia="en-US"/>
        </w:rPr>
        <w:t>J. Glaciol.</w:t>
      </w:r>
      <w:r>
        <w:rPr>
          <w:sz w:val="20"/>
          <w:szCs w:val="20"/>
          <w:lang w:eastAsia="en-US"/>
        </w:rPr>
        <w:t xml:space="preserve"> 22(111), 178</w:t>
      </w:r>
      <w:r>
        <w:rPr>
          <w:color w:val="222222"/>
          <w:sz w:val="20"/>
          <w:szCs w:val="20"/>
          <w:lang w:eastAsia="en-US"/>
        </w:rPr>
        <w:t>–191.</w:t>
      </w:r>
    </w:p>
    <w:p w14:paraId="5E4CB056" w14:textId="77777777" w:rsidR="00C82090" w:rsidRDefault="00C37608">
      <w:pPr>
        <w:spacing w:after="0" w:line="240" w:lineRule="auto"/>
        <w:ind w:left="340" w:hanging="340"/>
      </w:pPr>
      <w:r>
        <w:rPr>
          <w:sz w:val="20"/>
          <w:szCs w:val="20"/>
          <w:lang w:eastAsia="en-US"/>
        </w:rPr>
        <w:t xml:space="preserve">Raymond, C. F. 1987. How do glaciers surge? A review. </w:t>
      </w:r>
      <w:r>
        <w:rPr>
          <w:i/>
          <w:iCs/>
          <w:sz w:val="20"/>
          <w:szCs w:val="20"/>
          <w:lang w:eastAsia="en-US"/>
        </w:rPr>
        <w:t>J. Geophys. Res. Sol. Earth</w:t>
      </w:r>
      <w:r>
        <w:rPr>
          <w:sz w:val="20"/>
          <w:szCs w:val="20"/>
          <w:lang w:eastAsia="en-US"/>
        </w:rPr>
        <w:t xml:space="preserve"> 92(B9), 9121–9134, doi:10.1029/JB092iB09p09121.</w:t>
      </w:r>
    </w:p>
    <w:p w14:paraId="3F15CEF3" w14:textId="77777777" w:rsidR="00C82090" w:rsidRDefault="00C37608">
      <w:pPr>
        <w:spacing w:after="0" w:line="240" w:lineRule="auto"/>
        <w:ind w:left="340" w:hanging="340"/>
      </w:pPr>
      <w:r>
        <w:rPr>
          <w:sz w:val="20"/>
          <w:szCs w:val="20"/>
          <w:lang w:eastAsia="en-US"/>
        </w:rPr>
        <w:t xml:space="preserve">Rignot, E., and P. Kanagaratnam 2006. Changes in the velocity structure of the Greenland Ice Sheet. </w:t>
      </w:r>
      <w:r>
        <w:rPr>
          <w:i/>
          <w:iCs/>
          <w:sz w:val="20"/>
          <w:szCs w:val="20"/>
          <w:lang w:eastAsia="en-US"/>
        </w:rPr>
        <w:t xml:space="preserve">Science </w:t>
      </w:r>
      <w:r>
        <w:rPr>
          <w:sz w:val="20"/>
          <w:szCs w:val="20"/>
          <w:lang w:eastAsia="en-US"/>
        </w:rPr>
        <w:t>311(5763), 986</w:t>
      </w:r>
      <w:r>
        <w:rPr>
          <w:color w:val="222222"/>
          <w:sz w:val="20"/>
          <w:szCs w:val="20"/>
          <w:lang w:eastAsia="en-US"/>
        </w:rPr>
        <w:t>–</w:t>
      </w:r>
      <w:r>
        <w:rPr>
          <w:sz w:val="20"/>
          <w:szCs w:val="20"/>
          <w:lang w:eastAsia="en-US"/>
        </w:rPr>
        <w:t>990.</w:t>
      </w:r>
    </w:p>
    <w:p w14:paraId="42B115D8" w14:textId="77777777" w:rsidR="00C82090" w:rsidRDefault="00C37608">
      <w:pPr>
        <w:spacing w:after="0" w:line="240" w:lineRule="auto"/>
        <w:ind w:left="340" w:hanging="340"/>
      </w:pPr>
      <w:r>
        <w:rPr>
          <w:sz w:val="20"/>
          <w:szCs w:val="20"/>
          <w:lang w:eastAsia="en-US"/>
        </w:rPr>
        <w:t xml:space="preserve">Rignot, E., I. Velicogna, M. R. van den Broeke, A. Monaghan and J. T. M Lenaerts 2011. Acceleration of the contribution of the Greenland and Antarctic ice. </w:t>
      </w:r>
      <w:r>
        <w:rPr>
          <w:i/>
          <w:iCs/>
          <w:sz w:val="20"/>
          <w:szCs w:val="20"/>
          <w:lang w:eastAsia="en-US"/>
        </w:rPr>
        <w:t>Geophys. Res. Lett.</w:t>
      </w:r>
      <w:r>
        <w:rPr>
          <w:sz w:val="20"/>
          <w:szCs w:val="20"/>
          <w:lang w:eastAsia="en-US"/>
        </w:rPr>
        <w:t xml:space="preserve"> 38, L05503, doi:10.1029/2011GL046583.</w:t>
      </w:r>
    </w:p>
    <w:p w14:paraId="1E9FE9F2" w14:textId="77777777" w:rsidR="00C82090" w:rsidRDefault="00C37608">
      <w:pPr>
        <w:spacing w:after="0" w:line="240" w:lineRule="auto"/>
        <w:ind w:left="340" w:hanging="340"/>
      </w:pPr>
      <w:r>
        <w:rPr>
          <w:sz w:val="20"/>
          <w:szCs w:val="20"/>
          <w:lang w:eastAsia="en-US"/>
        </w:rPr>
        <w:t xml:space="preserve">Rushmer, E. L. 2006. Sedimentological and geomorphological impacts of the jökulhlaup (glacial outburst flood) in January 2002 at Kverkfjöll, northern Iceland. </w:t>
      </w:r>
      <w:r>
        <w:rPr>
          <w:i/>
          <w:iCs/>
          <w:sz w:val="20"/>
          <w:szCs w:val="20"/>
          <w:lang w:eastAsia="en-US"/>
        </w:rPr>
        <w:t>Geogr. Ann. A</w:t>
      </w:r>
      <w:r>
        <w:rPr>
          <w:sz w:val="20"/>
          <w:szCs w:val="20"/>
          <w:lang w:eastAsia="en-US"/>
        </w:rPr>
        <w:t xml:space="preserve"> 88(1), 43</w:t>
      </w:r>
      <w:r>
        <w:rPr>
          <w:color w:val="222222"/>
          <w:sz w:val="20"/>
          <w:szCs w:val="20"/>
          <w:lang w:eastAsia="en-US"/>
        </w:rPr>
        <w:t>–</w:t>
      </w:r>
      <w:r>
        <w:rPr>
          <w:sz w:val="20"/>
          <w:szCs w:val="20"/>
          <w:lang w:eastAsia="en-US"/>
        </w:rPr>
        <w:t>53.</w:t>
      </w:r>
    </w:p>
    <w:p w14:paraId="77DEA0A8" w14:textId="77777777" w:rsidR="00C82090" w:rsidRDefault="00C37608">
      <w:pPr>
        <w:spacing w:after="0" w:line="240" w:lineRule="auto"/>
        <w:ind w:left="340" w:hanging="340"/>
      </w:pPr>
      <w:r>
        <w:rPr>
          <w:sz w:val="20"/>
          <w:szCs w:val="20"/>
          <w:lang w:eastAsia="en-US"/>
        </w:rPr>
        <w:t xml:space="preserve">Sevestre, H., and D. I. Benn 2015. Climatic and geometric controls on the global distribution of surge-type glaciers: implications for a unifying model of surging. </w:t>
      </w:r>
      <w:r>
        <w:rPr>
          <w:i/>
          <w:iCs/>
          <w:sz w:val="20"/>
          <w:szCs w:val="20"/>
          <w:lang w:eastAsia="en-US"/>
        </w:rPr>
        <w:t>J. Glaciol.</w:t>
      </w:r>
      <w:r>
        <w:rPr>
          <w:sz w:val="20"/>
          <w:szCs w:val="20"/>
          <w:lang w:eastAsia="en-US"/>
        </w:rPr>
        <w:t xml:space="preserve"> 61(228), 646</w:t>
      </w:r>
      <w:r>
        <w:rPr>
          <w:color w:val="222222"/>
          <w:sz w:val="20"/>
          <w:szCs w:val="20"/>
          <w:lang w:eastAsia="en-US"/>
        </w:rPr>
        <w:t>–</w:t>
      </w:r>
      <w:r>
        <w:rPr>
          <w:sz w:val="20"/>
          <w:szCs w:val="20"/>
          <w:lang w:eastAsia="en-US"/>
        </w:rPr>
        <w:t>662.</w:t>
      </w:r>
    </w:p>
    <w:p w14:paraId="32C652A1" w14:textId="77777777" w:rsidR="00C82090" w:rsidRDefault="00C37608">
      <w:pPr>
        <w:spacing w:after="0" w:line="240" w:lineRule="auto"/>
        <w:ind w:left="340" w:hanging="340"/>
      </w:pPr>
      <w:r>
        <w:rPr>
          <w:sz w:val="20"/>
          <w:szCs w:val="20"/>
          <w:lang w:eastAsia="en-US"/>
        </w:rPr>
        <w:t xml:space="preserve">Sharp, M. 1988. Surging glaciers geomorphic effects. </w:t>
      </w:r>
      <w:r>
        <w:rPr>
          <w:i/>
          <w:iCs/>
          <w:sz w:val="20"/>
          <w:szCs w:val="20"/>
          <w:lang w:eastAsia="en-US"/>
        </w:rPr>
        <w:t>Progr. Phys. Geog.</w:t>
      </w:r>
      <w:r>
        <w:rPr>
          <w:sz w:val="20"/>
          <w:szCs w:val="20"/>
          <w:lang w:eastAsia="en-US"/>
        </w:rPr>
        <w:t xml:space="preserve"> 12(4), 533</w:t>
      </w:r>
      <w:r>
        <w:rPr>
          <w:color w:val="222222"/>
          <w:sz w:val="20"/>
          <w:szCs w:val="20"/>
          <w:lang w:eastAsia="en-US"/>
        </w:rPr>
        <w:t>–</w:t>
      </w:r>
      <w:r>
        <w:rPr>
          <w:sz w:val="20"/>
          <w:szCs w:val="20"/>
          <w:lang w:eastAsia="en-US"/>
        </w:rPr>
        <w:t>559.</w:t>
      </w:r>
    </w:p>
    <w:p w14:paraId="7D5CBF3B" w14:textId="77777777" w:rsidR="00C82090" w:rsidRDefault="00C37608">
      <w:pPr>
        <w:spacing w:after="0" w:line="240" w:lineRule="auto"/>
        <w:ind w:left="340" w:hanging="340"/>
      </w:pPr>
      <w:r>
        <w:rPr>
          <w:sz w:val="20"/>
          <w:szCs w:val="20"/>
          <w:lang w:eastAsia="en-US"/>
        </w:rPr>
        <w:t xml:space="preserve">Shugar, D. H., B. T. Rabus and J. J. Clague 2010. Elevation changes (1949–1995) of Black Rapids Glacier, Alaska, derived from a multi-baseline InSAR DEM and historical maps. </w:t>
      </w:r>
      <w:r>
        <w:rPr>
          <w:i/>
          <w:iCs/>
          <w:sz w:val="20"/>
          <w:szCs w:val="20"/>
          <w:lang w:eastAsia="en-US"/>
        </w:rPr>
        <w:t>J. Glaciol.</w:t>
      </w:r>
      <w:r>
        <w:rPr>
          <w:sz w:val="20"/>
          <w:szCs w:val="20"/>
          <w:lang w:eastAsia="en-US"/>
        </w:rPr>
        <w:t xml:space="preserve"> 56(198), 625</w:t>
      </w:r>
      <w:r>
        <w:rPr>
          <w:color w:val="222222"/>
          <w:sz w:val="20"/>
          <w:szCs w:val="20"/>
          <w:lang w:eastAsia="en-US"/>
        </w:rPr>
        <w:t>–</w:t>
      </w:r>
      <w:r>
        <w:rPr>
          <w:sz w:val="20"/>
          <w:szCs w:val="20"/>
          <w:lang w:eastAsia="en-US"/>
        </w:rPr>
        <w:t>634.</w:t>
      </w:r>
    </w:p>
    <w:p w14:paraId="6A2124FB" w14:textId="3B2E3D5E" w:rsidR="00C82090" w:rsidRDefault="00C37608">
      <w:pPr>
        <w:spacing w:after="0" w:line="240" w:lineRule="auto"/>
        <w:ind w:left="340" w:hanging="340"/>
      </w:pPr>
      <w:r>
        <w:rPr>
          <w:sz w:val="20"/>
          <w:szCs w:val="20"/>
          <w:lang w:eastAsia="en-US"/>
        </w:rPr>
        <w:t xml:space="preserve">Sigurðsson, O. 1998. Glacier variations in Iceland 1930–1995. </w:t>
      </w:r>
      <w:r>
        <w:rPr>
          <w:i/>
          <w:iCs/>
          <w:sz w:val="20"/>
          <w:szCs w:val="20"/>
          <w:lang w:eastAsia="en-US"/>
        </w:rPr>
        <w:t>Jökull</w:t>
      </w:r>
      <w:r>
        <w:rPr>
          <w:sz w:val="20"/>
          <w:szCs w:val="20"/>
          <w:lang w:eastAsia="en-US"/>
        </w:rPr>
        <w:t xml:space="preserve"> 45, 3</w:t>
      </w:r>
      <w:r>
        <w:rPr>
          <w:color w:val="222222"/>
          <w:sz w:val="20"/>
          <w:szCs w:val="20"/>
          <w:lang w:eastAsia="en-US"/>
        </w:rPr>
        <w:t>–</w:t>
      </w:r>
      <w:r>
        <w:rPr>
          <w:sz w:val="20"/>
          <w:szCs w:val="20"/>
          <w:lang w:eastAsia="en-US"/>
        </w:rPr>
        <w:t>26.</w:t>
      </w:r>
    </w:p>
    <w:p w14:paraId="1494966A" w14:textId="77777777" w:rsidR="00C82090" w:rsidRDefault="00C37608">
      <w:pPr>
        <w:spacing w:after="0" w:line="240" w:lineRule="auto"/>
        <w:ind w:left="340" w:hanging="340"/>
      </w:pPr>
      <w:r>
        <w:rPr>
          <w:sz w:val="20"/>
          <w:szCs w:val="20"/>
          <w:lang w:eastAsia="en-US"/>
        </w:rPr>
        <w:t>Sigurðsson, O.,</w:t>
      </w:r>
      <w:r>
        <w:rPr>
          <w:i/>
          <w:iCs/>
          <w:sz w:val="20"/>
          <w:szCs w:val="20"/>
          <w:lang w:eastAsia="en-US"/>
        </w:rPr>
        <w:t xml:space="preserve"> Á. Snorrason and S. Zóphóníasson</w:t>
      </w:r>
      <w:r>
        <w:rPr>
          <w:sz w:val="20"/>
          <w:szCs w:val="20"/>
          <w:lang w:eastAsia="en-US"/>
        </w:rPr>
        <w:t xml:space="preserve"> 1992.</w:t>
      </w:r>
      <w:r>
        <w:rPr>
          <w:i/>
          <w:sz w:val="20"/>
          <w:szCs w:val="20"/>
          <w:lang w:eastAsia="en-US"/>
        </w:rPr>
        <w:t xml:space="preserve"> </w:t>
      </w:r>
      <w:r>
        <w:rPr>
          <w:sz w:val="20"/>
          <w:szCs w:val="20"/>
          <w:lang w:eastAsia="en-US"/>
        </w:rPr>
        <w:t xml:space="preserve">Jökulhlaupaannáll 1984–1988 (Jökulhlaup chronicle 1984–1988). </w:t>
      </w:r>
      <w:r>
        <w:rPr>
          <w:i/>
          <w:iCs/>
          <w:sz w:val="20"/>
          <w:szCs w:val="20"/>
          <w:lang w:eastAsia="en-US"/>
        </w:rPr>
        <w:t>Jökull</w:t>
      </w:r>
      <w:r>
        <w:rPr>
          <w:sz w:val="20"/>
          <w:szCs w:val="20"/>
          <w:lang w:eastAsia="en-US"/>
        </w:rPr>
        <w:t xml:space="preserve"> 42, 73–80.</w:t>
      </w:r>
    </w:p>
    <w:p w14:paraId="235B2332" w14:textId="77777777" w:rsidR="00C82090" w:rsidRDefault="00C37608">
      <w:pPr>
        <w:spacing w:after="0" w:line="240" w:lineRule="auto"/>
        <w:ind w:left="340" w:hanging="340"/>
      </w:pPr>
      <w:r>
        <w:rPr>
          <w:sz w:val="20"/>
          <w:szCs w:val="20"/>
          <w:lang w:eastAsia="en-US"/>
        </w:rPr>
        <w:t xml:space="preserve">Sigurðsson, O., and P. Jónsson 1999. </w:t>
      </w:r>
      <w:r>
        <w:rPr>
          <w:i/>
          <w:iCs/>
          <w:sz w:val="20"/>
          <w:szCs w:val="20"/>
          <w:lang w:eastAsia="en-US"/>
        </w:rPr>
        <w:t xml:space="preserve">Jökulhlaup í Kverká, Kreppu og Jökulsá á Fjöllum (Jökulhlaups in Kverká, Kreppu and Jökulsá á Fjöllum). </w:t>
      </w:r>
      <w:r>
        <w:rPr>
          <w:sz w:val="20"/>
          <w:szCs w:val="20"/>
          <w:lang w:eastAsia="en-US"/>
        </w:rPr>
        <w:t>National Energy Authority, Reykjavík, Int. Rep. Osig-PJ-99-04.</w:t>
      </w:r>
    </w:p>
    <w:p w14:paraId="7A6201F6" w14:textId="77777777" w:rsidR="00C82090" w:rsidRDefault="00C37608">
      <w:pPr>
        <w:spacing w:after="0" w:line="240" w:lineRule="auto"/>
        <w:ind w:left="340" w:hanging="340"/>
      </w:pPr>
      <w:r>
        <w:rPr>
          <w:sz w:val="20"/>
          <w:szCs w:val="20"/>
          <w:lang w:eastAsia="en-US"/>
        </w:rPr>
        <w:t xml:space="preserve">Sigurðsson, O., and B. Einarsson 2005. </w:t>
      </w:r>
      <w:r>
        <w:rPr>
          <w:i/>
          <w:iCs/>
          <w:sz w:val="20"/>
          <w:szCs w:val="20"/>
          <w:lang w:eastAsia="en-US"/>
        </w:rPr>
        <w:t>Jökulhlaupaannáll 1989–2004 (Jökulhlaup chronicle 1989–2004)</w:t>
      </w:r>
      <w:r>
        <w:rPr>
          <w:sz w:val="20"/>
          <w:szCs w:val="20"/>
          <w:lang w:eastAsia="en-US"/>
        </w:rPr>
        <w:t>. National Energy Authority, Reykjavík, Rep. OS-2005/031.</w:t>
      </w:r>
    </w:p>
    <w:p w14:paraId="1CF2418A" w14:textId="5738DAC9" w:rsidR="00C82090" w:rsidRDefault="00C37608">
      <w:pPr>
        <w:spacing w:after="0" w:line="240" w:lineRule="auto"/>
        <w:ind w:left="340" w:hanging="340"/>
      </w:pPr>
      <w:r>
        <w:rPr>
          <w:sz w:val="20"/>
          <w:szCs w:val="20"/>
          <w:lang w:eastAsia="en-US"/>
        </w:rPr>
        <w:t xml:space="preserve">Sigurðsson, O., and B. Einarsson 2014. Jöklabreytingar 1930–1970, 1970–1995, 1995–2012 og 2012–2013 (in Icelandic). </w:t>
      </w:r>
      <w:r>
        <w:rPr>
          <w:i/>
          <w:iCs/>
          <w:sz w:val="20"/>
          <w:szCs w:val="20"/>
          <w:lang w:eastAsia="en-US"/>
        </w:rPr>
        <w:t>Jökull</w:t>
      </w:r>
      <w:r>
        <w:rPr>
          <w:sz w:val="20"/>
          <w:szCs w:val="20"/>
          <w:lang w:eastAsia="en-US"/>
        </w:rPr>
        <w:t xml:space="preserve"> 64, 113</w:t>
      </w:r>
      <w:r>
        <w:rPr>
          <w:color w:val="222222"/>
          <w:sz w:val="20"/>
          <w:szCs w:val="20"/>
          <w:lang w:eastAsia="en-US"/>
        </w:rPr>
        <w:t>–</w:t>
      </w:r>
      <w:r>
        <w:rPr>
          <w:sz w:val="20"/>
          <w:szCs w:val="20"/>
          <w:lang w:eastAsia="en-US"/>
        </w:rPr>
        <w:t>117.</w:t>
      </w:r>
    </w:p>
    <w:p w14:paraId="14C918B0" w14:textId="77777777" w:rsidR="00C82090" w:rsidRDefault="00C37608">
      <w:pPr>
        <w:spacing w:after="0" w:line="240" w:lineRule="auto"/>
        <w:ind w:left="340" w:hanging="340"/>
      </w:pPr>
      <w:r>
        <w:rPr>
          <w:sz w:val="20"/>
          <w:szCs w:val="20"/>
          <w:lang w:eastAsia="en-US"/>
        </w:rPr>
        <w:t xml:space="preserve">Sund, M., T. Eiken, J. O. Hagen and A. Kääb 2009. Svalbard surge dynamics derived from geometric changes. </w:t>
      </w:r>
      <w:r>
        <w:rPr>
          <w:i/>
          <w:iCs/>
          <w:sz w:val="20"/>
          <w:szCs w:val="20"/>
          <w:lang w:eastAsia="en-US"/>
        </w:rPr>
        <w:t>Ann. Glaciol.</w:t>
      </w:r>
      <w:r>
        <w:rPr>
          <w:sz w:val="20"/>
          <w:szCs w:val="20"/>
          <w:lang w:eastAsia="en-US"/>
        </w:rPr>
        <w:t xml:space="preserve"> 50(52), 50</w:t>
      </w:r>
      <w:r>
        <w:rPr>
          <w:color w:val="222222"/>
          <w:sz w:val="20"/>
          <w:szCs w:val="20"/>
          <w:lang w:eastAsia="en-US"/>
        </w:rPr>
        <w:t>–</w:t>
      </w:r>
      <w:r>
        <w:rPr>
          <w:sz w:val="20"/>
          <w:szCs w:val="20"/>
          <w:lang w:eastAsia="en-US"/>
        </w:rPr>
        <w:t>60.</w:t>
      </w:r>
    </w:p>
    <w:p w14:paraId="01C4CB58" w14:textId="77777777" w:rsidR="00C82090" w:rsidRDefault="00C37608">
      <w:pPr>
        <w:spacing w:after="0" w:line="240" w:lineRule="auto"/>
        <w:ind w:left="340" w:hanging="340"/>
      </w:pPr>
      <w:r>
        <w:rPr>
          <w:sz w:val="20"/>
          <w:szCs w:val="20"/>
          <w:lang w:eastAsia="en-US"/>
        </w:rPr>
        <w:t xml:space="preserve">Thórarinsson, S. 1969. Glacier surges in Iceland with special reference to the surges of Brúarjökull. </w:t>
      </w:r>
      <w:r>
        <w:rPr>
          <w:i/>
          <w:iCs/>
          <w:sz w:val="20"/>
          <w:szCs w:val="20"/>
          <w:lang w:eastAsia="en-US"/>
        </w:rPr>
        <w:t>Can. J. Earth Sci.</w:t>
      </w:r>
      <w:r>
        <w:rPr>
          <w:sz w:val="20"/>
          <w:szCs w:val="20"/>
          <w:lang w:eastAsia="en-US"/>
        </w:rPr>
        <w:t xml:space="preserve"> 6(4), 875</w:t>
      </w:r>
      <w:r>
        <w:rPr>
          <w:color w:val="222222"/>
          <w:sz w:val="20"/>
          <w:szCs w:val="20"/>
          <w:lang w:eastAsia="en-US"/>
        </w:rPr>
        <w:t>–</w:t>
      </w:r>
      <w:r>
        <w:rPr>
          <w:sz w:val="20"/>
          <w:szCs w:val="20"/>
          <w:lang w:eastAsia="en-US"/>
        </w:rPr>
        <w:t>882.</w:t>
      </w:r>
    </w:p>
    <w:p w14:paraId="75B9934E" w14:textId="77777777" w:rsidR="00C82090" w:rsidRDefault="00C82090">
      <w:pPr>
        <w:spacing w:after="0" w:line="240" w:lineRule="auto"/>
        <w:ind w:left="340" w:hanging="340"/>
        <w:rPr>
          <w:sz w:val="24"/>
          <w:szCs w:val="24"/>
          <w:lang w:eastAsia="en-US"/>
        </w:rPr>
      </w:pPr>
    </w:p>
    <w:p w14:paraId="6B551B36" w14:textId="77777777" w:rsidR="00C82090" w:rsidRDefault="00C82090">
      <w:pPr>
        <w:spacing w:after="0" w:line="240" w:lineRule="auto"/>
        <w:rPr>
          <w:sz w:val="24"/>
          <w:szCs w:val="24"/>
          <w:lang w:eastAsia="en-US"/>
        </w:rPr>
      </w:pPr>
    </w:p>
    <w:p w14:paraId="2D9692D8" w14:textId="77777777" w:rsidR="00C82090" w:rsidRDefault="00C37608">
      <w:pPr>
        <w:pageBreakBefore/>
        <w:spacing w:after="0" w:line="240" w:lineRule="auto"/>
      </w:pPr>
      <w:r>
        <w:rPr>
          <w:b/>
          <w:sz w:val="24"/>
          <w:szCs w:val="24"/>
          <w:lang w:eastAsia="en-US"/>
        </w:rPr>
        <w:lastRenderedPageBreak/>
        <w:t>TABLES</w:t>
      </w:r>
    </w:p>
    <w:p w14:paraId="048C3D71" w14:textId="77777777" w:rsidR="00C82090" w:rsidRDefault="00C82090">
      <w:pPr>
        <w:spacing w:after="0" w:line="240" w:lineRule="auto"/>
      </w:pPr>
    </w:p>
    <w:p w14:paraId="131DCAC8" w14:textId="77777777" w:rsidR="00C82090" w:rsidRDefault="00C82090">
      <w:pPr>
        <w:spacing w:after="0"/>
        <w:rPr>
          <w:rFonts w:ascii="Arial" w:hAnsi="Arial" w:cs="Arial"/>
          <w:sz w:val="16"/>
          <w:szCs w:val="16"/>
          <w:lang w:eastAsia="en-US"/>
        </w:rPr>
      </w:pPr>
    </w:p>
    <w:tbl>
      <w:tblPr>
        <w:tblW w:w="0" w:type="auto"/>
        <w:tblInd w:w="-30" w:type="dxa"/>
        <w:tblLayout w:type="fixed"/>
        <w:tblCellMar>
          <w:left w:w="113" w:type="dxa"/>
        </w:tblCellMar>
        <w:tblLook w:val="0000" w:firstRow="0" w:lastRow="0" w:firstColumn="0" w:lastColumn="0" w:noHBand="0" w:noVBand="0"/>
      </w:tblPr>
      <w:tblGrid>
        <w:gridCol w:w="1071"/>
        <w:gridCol w:w="898"/>
        <w:gridCol w:w="935"/>
        <w:gridCol w:w="1234"/>
        <w:gridCol w:w="976"/>
        <w:gridCol w:w="771"/>
        <w:gridCol w:w="1138"/>
        <w:gridCol w:w="988"/>
      </w:tblGrid>
      <w:tr w:rsidR="007B35D3" w14:paraId="0F47E6D5" w14:textId="77777777">
        <w:trPr>
          <w:cantSplit/>
          <w:trHeight w:hRule="exact" w:val="1477"/>
        </w:trPr>
        <w:tc>
          <w:tcPr>
            <w:tcW w:w="1071" w:type="dxa"/>
            <w:tcBorders>
              <w:top w:val="single" w:sz="4" w:space="0" w:color="00000A"/>
              <w:left w:val="single" w:sz="4" w:space="0" w:color="00000A"/>
              <w:bottom w:val="single" w:sz="4" w:space="0" w:color="00000A"/>
            </w:tcBorders>
            <w:shd w:val="clear" w:color="auto" w:fill="FFFFFF"/>
            <w:textDirection w:val="btLr"/>
            <w:vAlign w:val="center"/>
          </w:tcPr>
          <w:p w14:paraId="78F90D01" w14:textId="77777777" w:rsidR="007B35D3" w:rsidRDefault="007B35D3">
            <w:pPr>
              <w:spacing w:after="0" w:line="240" w:lineRule="auto"/>
              <w:ind w:left="113" w:right="113"/>
              <w:jc w:val="center"/>
            </w:pPr>
            <w:r>
              <w:rPr>
                <w:rFonts w:ascii="Arial" w:hAnsi="Arial" w:cs="Arial"/>
                <w:sz w:val="16"/>
                <w:szCs w:val="16"/>
                <w:lang w:eastAsia="en-US"/>
              </w:rPr>
              <w:t>Glacier</w:t>
            </w:r>
          </w:p>
        </w:tc>
        <w:tc>
          <w:tcPr>
            <w:tcW w:w="898" w:type="dxa"/>
            <w:tcBorders>
              <w:top w:val="single" w:sz="4" w:space="0" w:color="00000A"/>
              <w:left w:val="single" w:sz="4" w:space="0" w:color="00000A"/>
              <w:bottom w:val="single" w:sz="4" w:space="0" w:color="00000A"/>
            </w:tcBorders>
            <w:shd w:val="clear" w:color="auto" w:fill="FFFFFF"/>
            <w:textDirection w:val="btLr"/>
            <w:vAlign w:val="center"/>
          </w:tcPr>
          <w:p w14:paraId="0574E1F8" w14:textId="77777777" w:rsidR="007B35D3" w:rsidRDefault="007B35D3">
            <w:pPr>
              <w:spacing w:after="0" w:line="240" w:lineRule="auto"/>
              <w:ind w:left="113" w:right="113"/>
              <w:jc w:val="center"/>
            </w:pPr>
            <w:r>
              <w:rPr>
                <w:rFonts w:ascii="Arial" w:hAnsi="Arial" w:cs="Arial"/>
                <w:sz w:val="16"/>
                <w:szCs w:val="16"/>
                <w:lang w:eastAsia="en-US"/>
              </w:rPr>
              <w:t>Timing / Duration</w:t>
            </w:r>
          </w:p>
        </w:tc>
        <w:tc>
          <w:tcPr>
            <w:tcW w:w="935" w:type="dxa"/>
            <w:tcBorders>
              <w:top w:val="single" w:sz="4" w:space="0" w:color="00000A"/>
              <w:left w:val="single" w:sz="4" w:space="0" w:color="00000A"/>
              <w:bottom w:val="single" w:sz="4" w:space="0" w:color="00000A"/>
            </w:tcBorders>
            <w:shd w:val="clear" w:color="auto" w:fill="FFFFFF"/>
            <w:textDirection w:val="btLr"/>
            <w:vAlign w:val="center"/>
          </w:tcPr>
          <w:p w14:paraId="700D8B48" w14:textId="77777777" w:rsidR="007B35D3" w:rsidRDefault="007B35D3">
            <w:pPr>
              <w:spacing w:after="0" w:line="240" w:lineRule="auto"/>
              <w:ind w:left="113" w:right="113"/>
              <w:jc w:val="center"/>
            </w:pPr>
            <w:r>
              <w:rPr>
                <w:rFonts w:ascii="Arial" w:hAnsi="Arial" w:cs="Arial"/>
                <w:sz w:val="16"/>
                <w:szCs w:val="16"/>
                <w:lang w:eastAsia="en-US"/>
              </w:rPr>
              <w:t>Terminus position change (km)</w:t>
            </w:r>
          </w:p>
        </w:tc>
        <w:tc>
          <w:tcPr>
            <w:tcW w:w="1234" w:type="dxa"/>
            <w:tcBorders>
              <w:top w:val="single" w:sz="4" w:space="0" w:color="00000A"/>
              <w:left w:val="single" w:sz="4" w:space="0" w:color="00000A"/>
              <w:bottom w:val="single" w:sz="4" w:space="0" w:color="00000A"/>
            </w:tcBorders>
            <w:shd w:val="clear" w:color="auto" w:fill="FFFFFF"/>
            <w:textDirection w:val="btLr"/>
            <w:vAlign w:val="center"/>
          </w:tcPr>
          <w:p w14:paraId="44BF26D4" w14:textId="77777777" w:rsidR="007B35D3" w:rsidRDefault="007B35D3">
            <w:pPr>
              <w:spacing w:after="0" w:line="240" w:lineRule="auto"/>
              <w:ind w:left="113" w:right="113"/>
              <w:jc w:val="center"/>
            </w:pPr>
            <w:r>
              <w:rPr>
                <w:rFonts w:ascii="Arial" w:hAnsi="Arial" w:cs="Arial"/>
                <w:sz w:val="16"/>
                <w:szCs w:val="16"/>
                <w:lang w:eastAsia="en-US"/>
              </w:rPr>
              <w:t>Max. elevation changes (m) in reservoir and receiving zones</w:t>
            </w:r>
            <w:r>
              <w:rPr>
                <w:rFonts w:ascii="Arial" w:hAnsi="Arial" w:cs="Arial"/>
                <w:sz w:val="16"/>
                <w:szCs w:val="16"/>
                <w:vertAlign w:val="superscript"/>
                <w:lang w:eastAsia="en-US"/>
              </w:rPr>
              <w:t>++</w:t>
            </w:r>
          </w:p>
        </w:tc>
        <w:tc>
          <w:tcPr>
            <w:tcW w:w="976" w:type="dxa"/>
            <w:tcBorders>
              <w:top w:val="single" w:sz="4" w:space="0" w:color="00000A"/>
              <w:left w:val="single" w:sz="4" w:space="0" w:color="00000A"/>
              <w:bottom w:val="single" w:sz="4" w:space="0" w:color="00000A"/>
            </w:tcBorders>
            <w:shd w:val="clear" w:color="auto" w:fill="FFFFFF"/>
            <w:textDirection w:val="btLr"/>
            <w:vAlign w:val="center"/>
          </w:tcPr>
          <w:p w14:paraId="74417265" w14:textId="77F50BA6" w:rsidR="007B35D3" w:rsidRDefault="007B35D3">
            <w:pPr>
              <w:spacing w:after="0" w:line="240" w:lineRule="auto"/>
              <w:ind w:left="113" w:right="113"/>
              <w:jc w:val="center"/>
            </w:pPr>
            <w:r>
              <w:rPr>
                <w:rFonts w:ascii="Arial" w:hAnsi="Arial" w:cs="Arial"/>
                <w:sz w:val="16"/>
                <w:szCs w:val="16"/>
                <w:lang w:eastAsia="en-US"/>
              </w:rPr>
              <w:t>Volume displ.</w:t>
            </w:r>
          </w:p>
          <w:p w14:paraId="0DCE95AA" w14:textId="77777777" w:rsidR="007B35D3" w:rsidRDefault="007B35D3">
            <w:pPr>
              <w:spacing w:after="0" w:line="240" w:lineRule="auto"/>
              <w:ind w:left="113" w:right="113"/>
              <w:jc w:val="center"/>
            </w:pPr>
            <w:r>
              <w:rPr>
                <w:rFonts w:ascii="Arial" w:hAnsi="Arial" w:cs="Arial"/>
                <w:sz w:val="16"/>
                <w:szCs w:val="16"/>
                <w:lang w:eastAsia="en-US"/>
              </w:rPr>
              <w:t>(km</w:t>
            </w:r>
            <w:r>
              <w:rPr>
                <w:rFonts w:ascii="Arial" w:hAnsi="Arial" w:cs="Arial"/>
                <w:sz w:val="16"/>
                <w:szCs w:val="16"/>
                <w:vertAlign w:val="superscript"/>
                <w:lang w:eastAsia="en-US"/>
              </w:rPr>
              <w:t>3</w:t>
            </w:r>
            <w:r>
              <w:rPr>
                <w:rFonts w:ascii="Arial" w:hAnsi="Arial" w:cs="Arial"/>
                <w:sz w:val="16"/>
                <w:szCs w:val="16"/>
                <w:lang w:eastAsia="en-US"/>
              </w:rPr>
              <w:t>)</w:t>
            </w:r>
          </w:p>
        </w:tc>
        <w:tc>
          <w:tcPr>
            <w:tcW w:w="771" w:type="dxa"/>
            <w:tcBorders>
              <w:top w:val="single" w:sz="4" w:space="0" w:color="00000A"/>
              <w:left w:val="single" w:sz="4" w:space="0" w:color="00000A"/>
              <w:bottom w:val="single" w:sz="4" w:space="0" w:color="00000A"/>
            </w:tcBorders>
            <w:shd w:val="clear" w:color="auto" w:fill="FFFFFF"/>
            <w:textDirection w:val="btLr"/>
            <w:vAlign w:val="center"/>
          </w:tcPr>
          <w:p w14:paraId="49504FBB" w14:textId="77777777" w:rsidR="007B35D3" w:rsidRDefault="007B35D3">
            <w:pPr>
              <w:spacing w:after="0" w:line="240" w:lineRule="auto"/>
              <w:ind w:left="113" w:right="113"/>
              <w:jc w:val="center"/>
            </w:pPr>
            <w:r>
              <w:rPr>
                <w:rFonts w:ascii="Arial" w:hAnsi="Arial" w:cs="Arial"/>
                <w:sz w:val="16"/>
                <w:szCs w:val="16"/>
                <w:lang w:eastAsia="en-US"/>
              </w:rPr>
              <w:t>Max. surface velocity (m.day</w:t>
            </w:r>
            <w:r>
              <w:rPr>
                <w:rFonts w:ascii="Arial" w:hAnsi="Arial" w:cs="Arial"/>
                <w:sz w:val="16"/>
                <w:szCs w:val="16"/>
                <w:vertAlign w:val="superscript"/>
                <w:lang w:eastAsia="en-US"/>
              </w:rPr>
              <w:t>-1</w:t>
            </w:r>
            <w:r>
              <w:rPr>
                <w:rFonts w:ascii="Arial" w:hAnsi="Arial" w:cs="Arial"/>
                <w:sz w:val="16"/>
                <w:szCs w:val="16"/>
                <w:lang w:eastAsia="en-US"/>
              </w:rPr>
              <w:t>)</w:t>
            </w:r>
          </w:p>
        </w:tc>
        <w:tc>
          <w:tcPr>
            <w:tcW w:w="1138" w:type="dxa"/>
            <w:tcBorders>
              <w:top w:val="single" w:sz="4" w:space="0" w:color="00000A"/>
              <w:left w:val="single" w:sz="4" w:space="0" w:color="00000A"/>
              <w:bottom w:val="single" w:sz="4" w:space="0" w:color="00000A"/>
            </w:tcBorders>
            <w:shd w:val="clear" w:color="auto" w:fill="FFFFFF"/>
            <w:textDirection w:val="btLr"/>
            <w:vAlign w:val="center"/>
          </w:tcPr>
          <w:p w14:paraId="290FA2E2" w14:textId="77777777" w:rsidR="007B35D3" w:rsidRDefault="007B35D3">
            <w:pPr>
              <w:spacing w:after="0" w:line="240" w:lineRule="auto"/>
              <w:ind w:left="113" w:right="113"/>
              <w:jc w:val="center"/>
            </w:pPr>
            <w:r>
              <w:rPr>
                <w:rFonts w:ascii="Arial" w:hAnsi="Arial" w:cs="Arial"/>
                <w:sz w:val="16"/>
                <w:szCs w:val="16"/>
                <w:lang w:eastAsia="en-US"/>
              </w:rPr>
              <w:t>Surge mechanism</w:t>
            </w:r>
          </w:p>
        </w:tc>
        <w:tc>
          <w:tcPr>
            <w:tcW w:w="988" w:type="dxa"/>
            <w:tcBorders>
              <w:top w:val="single" w:sz="4" w:space="0" w:color="00000A"/>
              <w:left w:val="single" w:sz="4" w:space="0" w:color="00000A"/>
              <w:bottom w:val="single" w:sz="4" w:space="0" w:color="00000A"/>
              <w:right w:val="single" w:sz="4" w:space="0" w:color="00000A"/>
            </w:tcBorders>
            <w:shd w:val="clear" w:color="auto" w:fill="FFFFFF"/>
            <w:textDirection w:val="btLr"/>
            <w:vAlign w:val="center"/>
          </w:tcPr>
          <w:p w14:paraId="57E88BCC" w14:textId="77777777" w:rsidR="007B35D3" w:rsidRDefault="007B35D3">
            <w:pPr>
              <w:spacing w:after="0" w:line="240" w:lineRule="auto"/>
              <w:ind w:left="113" w:right="113"/>
              <w:jc w:val="center"/>
            </w:pPr>
            <w:r>
              <w:rPr>
                <w:rFonts w:ascii="Arial" w:hAnsi="Arial" w:cs="Arial"/>
                <w:sz w:val="16"/>
                <w:szCs w:val="16"/>
                <w:lang w:eastAsia="en-US"/>
              </w:rPr>
              <w:t>References</w:t>
            </w:r>
          </w:p>
        </w:tc>
      </w:tr>
      <w:tr w:rsidR="007B35D3" w14:paraId="47FC6906" w14:textId="77777777">
        <w:tc>
          <w:tcPr>
            <w:tcW w:w="1071" w:type="dxa"/>
            <w:tcBorders>
              <w:top w:val="single" w:sz="4" w:space="0" w:color="00000A"/>
              <w:left w:val="single" w:sz="4" w:space="0" w:color="00000A"/>
              <w:bottom w:val="single" w:sz="4" w:space="0" w:color="00000A"/>
            </w:tcBorders>
            <w:shd w:val="clear" w:color="auto" w:fill="FFFFFF"/>
            <w:vAlign w:val="center"/>
          </w:tcPr>
          <w:p w14:paraId="546F2510" w14:textId="77777777" w:rsidR="007B35D3" w:rsidRDefault="007B35D3">
            <w:pPr>
              <w:spacing w:after="0" w:line="240" w:lineRule="auto"/>
              <w:jc w:val="center"/>
            </w:pPr>
            <w:r>
              <w:rPr>
                <w:rFonts w:ascii="Arial" w:hAnsi="Arial" w:cs="Arial"/>
                <w:sz w:val="16"/>
                <w:szCs w:val="16"/>
                <w:lang w:eastAsia="en-US"/>
              </w:rPr>
              <w:t>Variegated glacier, Alaska</w:t>
            </w:r>
          </w:p>
        </w:tc>
        <w:tc>
          <w:tcPr>
            <w:tcW w:w="898" w:type="dxa"/>
            <w:tcBorders>
              <w:top w:val="single" w:sz="4" w:space="0" w:color="00000A"/>
              <w:left w:val="single" w:sz="4" w:space="0" w:color="00000A"/>
              <w:bottom w:val="single" w:sz="4" w:space="0" w:color="00000A"/>
            </w:tcBorders>
            <w:shd w:val="clear" w:color="auto" w:fill="FFFFFF"/>
            <w:vAlign w:val="center"/>
          </w:tcPr>
          <w:p w14:paraId="46EDACAE" w14:textId="77777777" w:rsidR="007B35D3" w:rsidRDefault="007B35D3">
            <w:pPr>
              <w:spacing w:after="0" w:line="240" w:lineRule="auto"/>
              <w:jc w:val="center"/>
            </w:pPr>
            <w:r>
              <w:rPr>
                <w:rFonts w:ascii="Arial" w:hAnsi="Arial" w:cs="Arial"/>
                <w:sz w:val="16"/>
                <w:szCs w:val="16"/>
                <w:lang w:eastAsia="en-US"/>
              </w:rPr>
              <w:t>1982 to 1983</w:t>
            </w:r>
          </w:p>
        </w:tc>
        <w:tc>
          <w:tcPr>
            <w:tcW w:w="935" w:type="dxa"/>
            <w:tcBorders>
              <w:top w:val="single" w:sz="4" w:space="0" w:color="00000A"/>
              <w:left w:val="single" w:sz="4" w:space="0" w:color="00000A"/>
              <w:bottom w:val="single" w:sz="4" w:space="0" w:color="00000A"/>
            </w:tcBorders>
            <w:shd w:val="clear" w:color="auto" w:fill="FFFFFF"/>
            <w:vAlign w:val="center"/>
          </w:tcPr>
          <w:p w14:paraId="27066F32" w14:textId="77777777" w:rsidR="007B35D3" w:rsidRDefault="007B35D3">
            <w:pPr>
              <w:snapToGrid w:val="0"/>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29AC8C1E" w14:textId="52F39C73" w:rsidR="007B35D3" w:rsidRDefault="007B35D3">
            <w:pPr>
              <w:snapToGrid w:val="0"/>
              <w:spacing w:after="0" w:line="240" w:lineRule="auto"/>
              <w:jc w:val="center"/>
            </w:pPr>
            <w:r>
              <w:rPr>
                <w:rFonts w:ascii="Arial" w:hAnsi="Arial" w:cs="Arial"/>
                <w:sz w:val="16"/>
                <w:szCs w:val="16"/>
                <w:lang w:eastAsia="en-US"/>
              </w:rPr>
              <w:t>110</w:t>
            </w:r>
          </w:p>
          <w:p w14:paraId="5B88217B" w14:textId="4B795DE1" w:rsidR="007B35D3" w:rsidRDefault="007B35D3">
            <w:pPr>
              <w:snapToGrid w:val="0"/>
              <w:spacing w:after="0" w:line="240" w:lineRule="auto"/>
              <w:jc w:val="center"/>
            </w:pPr>
            <w:r>
              <w:rPr>
                <w:rFonts w:ascii="Arial" w:eastAsia="Arial" w:hAnsi="Arial" w:cs="Arial"/>
                <w:sz w:val="16"/>
                <w:szCs w:val="16"/>
                <w:lang w:eastAsia="en-US"/>
              </w:rPr>
              <w:t>–</w:t>
            </w:r>
          </w:p>
        </w:tc>
        <w:tc>
          <w:tcPr>
            <w:tcW w:w="976" w:type="dxa"/>
            <w:tcBorders>
              <w:top w:val="single" w:sz="4" w:space="0" w:color="00000A"/>
              <w:left w:val="single" w:sz="4" w:space="0" w:color="00000A"/>
              <w:bottom w:val="single" w:sz="4" w:space="0" w:color="00000A"/>
            </w:tcBorders>
            <w:shd w:val="clear" w:color="auto" w:fill="FFFFFF"/>
            <w:vAlign w:val="center"/>
          </w:tcPr>
          <w:p w14:paraId="10794992" w14:textId="0A136D76" w:rsidR="007B35D3" w:rsidRDefault="007B35D3">
            <w:pPr>
              <w:snapToGrid w:val="0"/>
              <w:spacing w:after="0" w:line="240" w:lineRule="auto"/>
              <w:jc w:val="center"/>
            </w:pPr>
            <w:r>
              <w:rPr>
                <w:rFonts w:ascii="Ubuntu" w:eastAsia="Ubuntu" w:hAnsi="Ubuntu" w:cs="Ubuntu"/>
                <w:sz w:val="16"/>
                <w:szCs w:val="16"/>
                <w:lang w:eastAsia="en-US"/>
              </w:rPr>
              <w:t>≈5</w:t>
            </w:r>
            <w:r>
              <w:rPr>
                <w:rFonts w:ascii="Arial" w:eastAsia="Ubuntu" w:hAnsi="Arial" w:cs="Arial"/>
                <w:sz w:val="16"/>
                <w:szCs w:val="16"/>
                <w:lang w:eastAsia="en-US"/>
              </w:rPr>
              <w:t xml:space="preserve"> x </w:t>
            </w:r>
            <w:r>
              <w:rPr>
                <w:rFonts w:ascii="Arial" w:hAnsi="Arial" w:cs="Arial"/>
                <w:sz w:val="16"/>
                <w:szCs w:val="16"/>
                <w:lang w:eastAsia="en-US"/>
              </w:rPr>
              <w:t>10</w:t>
            </w:r>
            <w:r>
              <w:rPr>
                <w:rFonts w:ascii="Arial" w:hAnsi="Arial" w:cs="Arial"/>
                <w:sz w:val="16"/>
                <w:szCs w:val="16"/>
                <w:vertAlign w:val="superscript"/>
                <w:lang w:eastAsia="en-US"/>
              </w:rPr>
              <w:t>8</w:t>
            </w:r>
          </w:p>
        </w:tc>
        <w:tc>
          <w:tcPr>
            <w:tcW w:w="771" w:type="dxa"/>
            <w:tcBorders>
              <w:top w:val="single" w:sz="4" w:space="0" w:color="00000A"/>
              <w:left w:val="single" w:sz="4" w:space="0" w:color="00000A"/>
              <w:bottom w:val="single" w:sz="4" w:space="0" w:color="00000A"/>
            </w:tcBorders>
            <w:shd w:val="clear" w:color="auto" w:fill="FFFFFF"/>
            <w:vAlign w:val="center"/>
          </w:tcPr>
          <w:p w14:paraId="1808305F" w14:textId="265B10D9" w:rsidR="007B35D3" w:rsidRDefault="007B35D3">
            <w:pPr>
              <w:snapToGrid w:val="0"/>
              <w:spacing w:after="0" w:line="240" w:lineRule="auto"/>
              <w:jc w:val="center"/>
            </w:pPr>
            <w:r>
              <w:rPr>
                <w:rFonts w:ascii="Arial" w:hAnsi="Arial" w:cs="Arial"/>
                <w:sz w:val="16"/>
                <w:szCs w:val="16"/>
                <w:lang w:eastAsia="en-US"/>
              </w:rPr>
              <w:t>65</w:t>
            </w:r>
          </w:p>
        </w:tc>
        <w:tc>
          <w:tcPr>
            <w:tcW w:w="1138" w:type="dxa"/>
            <w:tcBorders>
              <w:top w:val="single" w:sz="4" w:space="0" w:color="00000A"/>
              <w:left w:val="single" w:sz="4" w:space="0" w:color="00000A"/>
              <w:bottom w:val="single" w:sz="4" w:space="0" w:color="00000A"/>
            </w:tcBorders>
            <w:shd w:val="clear" w:color="auto" w:fill="FFFFFF"/>
            <w:vAlign w:val="center"/>
          </w:tcPr>
          <w:p w14:paraId="0D34672F" w14:textId="77777777" w:rsidR="007B35D3" w:rsidRDefault="007B35D3">
            <w:pPr>
              <w:snapToGrid w:val="0"/>
              <w:spacing w:after="0" w:line="240" w:lineRule="auto"/>
              <w:jc w:val="center"/>
            </w:pPr>
            <w:r>
              <w:rPr>
                <w:rFonts w:ascii="Arial" w:hAnsi="Arial" w:cs="Arial"/>
                <w:sz w:val="16"/>
                <w:szCs w:val="16"/>
                <w:lang w:eastAsia="en-US"/>
              </w:rPr>
              <w:t>hydrological</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67322B" w14:textId="77777777" w:rsidR="007B35D3" w:rsidRDefault="007B35D3">
            <w:pPr>
              <w:spacing w:after="0" w:line="240" w:lineRule="auto"/>
              <w:jc w:val="center"/>
            </w:pPr>
            <w:r>
              <w:rPr>
                <w:rFonts w:ascii="Arial" w:hAnsi="Arial" w:cs="Arial"/>
                <w:sz w:val="16"/>
                <w:szCs w:val="16"/>
                <w:lang w:eastAsia="en-US"/>
              </w:rPr>
              <w:t xml:space="preserve">Kamb </w:t>
            </w:r>
            <w:r>
              <w:rPr>
                <w:rFonts w:ascii="Arial" w:hAnsi="Arial" w:cs="Arial"/>
                <w:i/>
                <w:iCs/>
                <w:sz w:val="16"/>
                <w:szCs w:val="16"/>
                <w:lang w:eastAsia="en-US"/>
              </w:rPr>
              <w:t>et al.</w:t>
            </w:r>
            <w:r>
              <w:rPr>
                <w:rFonts w:ascii="Arial" w:hAnsi="Arial" w:cs="Arial"/>
                <w:sz w:val="16"/>
                <w:szCs w:val="16"/>
                <w:lang w:eastAsia="en-US"/>
              </w:rPr>
              <w:t>, 1985; Raymond, 1987</w:t>
            </w:r>
          </w:p>
        </w:tc>
      </w:tr>
      <w:tr w:rsidR="007B35D3" w14:paraId="3372C337" w14:textId="77777777">
        <w:tc>
          <w:tcPr>
            <w:tcW w:w="1071" w:type="dxa"/>
            <w:tcBorders>
              <w:left w:val="single" w:sz="4" w:space="0" w:color="00000A"/>
              <w:bottom w:val="single" w:sz="4" w:space="0" w:color="00000A"/>
            </w:tcBorders>
            <w:shd w:val="clear" w:color="auto" w:fill="FFFFFF"/>
            <w:vAlign w:val="center"/>
          </w:tcPr>
          <w:p w14:paraId="3955D702" w14:textId="77777777" w:rsidR="007B35D3" w:rsidRDefault="007B35D3">
            <w:pPr>
              <w:spacing w:after="0" w:line="240" w:lineRule="auto"/>
              <w:jc w:val="center"/>
            </w:pPr>
            <w:r>
              <w:rPr>
                <w:rFonts w:ascii="Arial" w:hAnsi="Arial" w:cs="Arial"/>
                <w:sz w:val="16"/>
                <w:szCs w:val="16"/>
                <w:lang w:eastAsia="en-US"/>
              </w:rPr>
              <w:t>Metvezhiy glacier, Pamir</w:t>
            </w:r>
          </w:p>
        </w:tc>
        <w:tc>
          <w:tcPr>
            <w:tcW w:w="898" w:type="dxa"/>
            <w:tcBorders>
              <w:left w:val="single" w:sz="4" w:space="0" w:color="00000A"/>
              <w:bottom w:val="single" w:sz="4" w:space="0" w:color="00000A"/>
            </w:tcBorders>
            <w:shd w:val="clear" w:color="auto" w:fill="FFFFFF"/>
            <w:vAlign w:val="center"/>
          </w:tcPr>
          <w:p w14:paraId="2D263AAC" w14:textId="77777777" w:rsidR="007B35D3" w:rsidRDefault="007B35D3">
            <w:pPr>
              <w:spacing w:after="0" w:line="240" w:lineRule="auto"/>
              <w:jc w:val="center"/>
            </w:pPr>
            <w:r>
              <w:rPr>
                <w:rFonts w:ascii="Arial" w:hAnsi="Arial" w:cs="Arial"/>
                <w:sz w:val="16"/>
                <w:szCs w:val="16"/>
                <w:lang w:eastAsia="en-US"/>
              </w:rPr>
              <w:t>1963 and 1973</w:t>
            </w:r>
          </w:p>
        </w:tc>
        <w:tc>
          <w:tcPr>
            <w:tcW w:w="935" w:type="dxa"/>
            <w:tcBorders>
              <w:left w:val="single" w:sz="4" w:space="0" w:color="00000A"/>
              <w:bottom w:val="single" w:sz="4" w:space="0" w:color="00000A"/>
            </w:tcBorders>
            <w:shd w:val="clear" w:color="auto" w:fill="FFFFFF"/>
            <w:vAlign w:val="center"/>
          </w:tcPr>
          <w:p w14:paraId="2EA5B53F" w14:textId="77777777" w:rsidR="007B35D3" w:rsidRDefault="007B35D3">
            <w:pPr>
              <w:spacing w:after="0" w:line="240" w:lineRule="auto"/>
              <w:jc w:val="center"/>
            </w:pPr>
            <w:r>
              <w:rPr>
                <w:rFonts w:ascii="Arial" w:hAnsi="Arial" w:cs="Arial"/>
                <w:sz w:val="16"/>
                <w:szCs w:val="16"/>
                <w:lang w:eastAsia="en-US"/>
              </w:rPr>
              <w:t>NA</w:t>
            </w:r>
          </w:p>
        </w:tc>
        <w:tc>
          <w:tcPr>
            <w:tcW w:w="1234" w:type="dxa"/>
            <w:tcBorders>
              <w:left w:val="single" w:sz="4" w:space="0" w:color="00000A"/>
              <w:bottom w:val="single" w:sz="4" w:space="0" w:color="00000A"/>
            </w:tcBorders>
            <w:shd w:val="clear" w:color="auto" w:fill="FFFFFF"/>
            <w:vAlign w:val="center"/>
          </w:tcPr>
          <w:p w14:paraId="423BF8C7" w14:textId="77777777" w:rsidR="007B35D3" w:rsidRDefault="007B35D3">
            <w:pPr>
              <w:spacing w:after="0" w:line="240" w:lineRule="auto"/>
              <w:jc w:val="center"/>
            </w:pPr>
            <w:r>
              <w:rPr>
                <w:rFonts w:ascii="Arial" w:hAnsi="Arial" w:cs="Arial"/>
                <w:sz w:val="16"/>
                <w:szCs w:val="16"/>
                <w:lang w:eastAsia="en-US"/>
              </w:rPr>
              <w:t>120</w:t>
            </w:r>
          </w:p>
        </w:tc>
        <w:tc>
          <w:tcPr>
            <w:tcW w:w="976" w:type="dxa"/>
            <w:tcBorders>
              <w:left w:val="single" w:sz="4" w:space="0" w:color="00000A"/>
              <w:bottom w:val="single" w:sz="4" w:space="0" w:color="00000A"/>
            </w:tcBorders>
            <w:shd w:val="clear" w:color="auto" w:fill="FFFFFF"/>
            <w:vAlign w:val="center"/>
          </w:tcPr>
          <w:p w14:paraId="11C3C722" w14:textId="77777777" w:rsidR="007B35D3" w:rsidRDefault="007B35D3">
            <w:pPr>
              <w:spacing w:after="0" w:line="240" w:lineRule="auto"/>
              <w:jc w:val="center"/>
            </w:pPr>
            <w:r>
              <w:rPr>
                <w:rFonts w:ascii="Arial" w:hAnsi="Arial" w:cs="Arial"/>
                <w:sz w:val="16"/>
                <w:szCs w:val="16"/>
                <w:lang w:eastAsia="en-US"/>
              </w:rPr>
              <w:t>NA</w:t>
            </w:r>
          </w:p>
        </w:tc>
        <w:tc>
          <w:tcPr>
            <w:tcW w:w="771" w:type="dxa"/>
            <w:tcBorders>
              <w:left w:val="single" w:sz="4" w:space="0" w:color="00000A"/>
              <w:bottom w:val="single" w:sz="4" w:space="0" w:color="00000A"/>
            </w:tcBorders>
            <w:shd w:val="clear" w:color="auto" w:fill="FFFFFF"/>
            <w:vAlign w:val="center"/>
          </w:tcPr>
          <w:p w14:paraId="1EBB18DA" w14:textId="77777777" w:rsidR="007B35D3" w:rsidRDefault="007B35D3">
            <w:pPr>
              <w:spacing w:after="0" w:line="240" w:lineRule="auto"/>
              <w:jc w:val="center"/>
            </w:pPr>
            <w:r>
              <w:rPr>
                <w:rFonts w:ascii="Arial" w:hAnsi="Arial" w:cs="Arial"/>
                <w:sz w:val="16"/>
                <w:szCs w:val="16"/>
                <w:lang w:eastAsia="en-US"/>
              </w:rPr>
              <w:t>100</w:t>
            </w:r>
          </w:p>
        </w:tc>
        <w:tc>
          <w:tcPr>
            <w:tcW w:w="1138" w:type="dxa"/>
            <w:tcBorders>
              <w:left w:val="single" w:sz="4" w:space="0" w:color="00000A"/>
              <w:bottom w:val="single" w:sz="4" w:space="0" w:color="00000A"/>
            </w:tcBorders>
            <w:shd w:val="clear" w:color="auto" w:fill="FFFFFF"/>
            <w:vAlign w:val="center"/>
          </w:tcPr>
          <w:p w14:paraId="0AB53133" w14:textId="77777777" w:rsidR="007B35D3" w:rsidRDefault="007B35D3">
            <w:pPr>
              <w:snapToGrid w:val="0"/>
              <w:spacing w:after="0" w:line="240" w:lineRule="auto"/>
              <w:jc w:val="center"/>
            </w:pPr>
            <w:r>
              <w:rPr>
                <w:rFonts w:ascii="Arial" w:hAnsi="Arial" w:cs="Arial"/>
                <w:sz w:val="16"/>
                <w:szCs w:val="16"/>
                <w:lang w:eastAsia="en-US"/>
              </w:rPr>
              <w:t>hydrological?</w:t>
            </w:r>
          </w:p>
        </w:tc>
        <w:tc>
          <w:tcPr>
            <w:tcW w:w="988" w:type="dxa"/>
            <w:tcBorders>
              <w:left w:val="single" w:sz="4" w:space="0" w:color="00000A"/>
              <w:bottom w:val="single" w:sz="4" w:space="0" w:color="00000A"/>
              <w:right w:val="single" w:sz="4" w:space="0" w:color="00000A"/>
            </w:tcBorders>
            <w:shd w:val="clear" w:color="auto" w:fill="FFFFFF"/>
            <w:vAlign w:val="center"/>
          </w:tcPr>
          <w:p w14:paraId="642D285F" w14:textId="77777777" w:rsidR="007B35D3" w:rsidRDefault="007B35D3">
            <w:pPr>
              <w:spacing w:after="0" w:line="240" w:lineRule="auto"/>
            </w:pPr>
            <w:r>
              <w:rPr>
                <w:rFonts w:ascii="Arial" w:hAnsi="Arial" w:cs="Arial"/>
                <w:sz w:val="16"/>
                <w:szCs w:val="16"/>
                <w:lang w:eastAsia="en-US"/>
              </w:rPr>
              <w:t>Dolgushi and Osipova, 1975</w:t>
            </w:r>
          </w:p>
        </w:tc>
      </w:tr>
      <w:tr w:rsidR="007B35D3" w14:paraId="135052B1" w14:textId="77777777">
        <w:tc>
          <w:tcPr>
            <w:tcW w:w="1071" w:type="dxa"/>
            <w:tcBorders>
              <w:left w:val="single" w:sz="4" w:space="0" w:color="00000A"/>
              <w:bottom w:val="single" w:sz="4" w:space="0" w:color="00000A"/>
            </w:tcBorders>
            <w:shd w:val="clear" w:color="auto" w:fill="FFFFFF"/>
            <w:vAlign w:val="center"/>
          </w:tcPr>
          <w:p w14:paraId="54B7F4BD" w14:textId="77777777" w:rsidR="007B35D3" w:rsidRDefault="007B35D3">
            <w:pPr>
              <w:spacing w:after="0" w:line="240" w:lineRule="auto"/>
              <w:jc w:val="center"/>
            </w:pPr>
            <w:r>
              <w:rPr>
                <w:rFonts w:ascii="Arial" w:hAnsi="Arial" w:cs="Arial"/>
                <w:sz w:val="16"/>
                <w:szCs w:val="16"/>
                <w:lang w:eastAsia="en-US"/>
              </w:rPr>
              <w:t>Horcones Inferior Glacier, Argentina</w:t>
            </w:r>
          </w:p>
        </w:tc>
        <w:tc>
          <w:tcPr>
            <w:tcW w:w="898" w:type="dxa"/>
            <w:tcBorders>
              <w:left w:val="single" w:sz="4" w:space="0" w:color="00000A"/>
              <w:bottom w:val="single" w:sz="4" w:space="0" w:color="00000A"/>
            </w:tcBorders>
            <w:shd w:val="clear" w:color="auto" w:fill="FFFFFF"/>
            <w:vAlign w:val="center"/>
          </w:tcPr>
          <w:p w14:paraId="3034D5BF" w14:textId="77777777" w:rsidR="007B35D3" w:rsidRDefault="007B35D3">
            <w:pPr>
              <w:spacing w:after="0" w:line="240" w:lineRule="auto"/>
              <w:jc w:val="center"/>
            </w:pPr>
            <w:r>
              <w:rPr>
                <w:rFonts w:ascii="Arial" w:hAnsi="Arial" w:cs="Arial"/>
                <w:sz w:val="16"/>
                <w:szCs w:val="16"/>
                <w:lang w:eastAsia="en-US"/>
              </w:rPr>
              <w:t>2002 to 2006</w:t>
            </w:r>
          </w:p>
        </w:tc>
        <w:tc>
          <w:tcPr>
            <w:tcW w:w="935" w:type="dxa"/>
            <w:tcBorders>
              <w:left w:val="single" w:sz="4" w:space="0" w:color="00000A"/>
              <w:bottom w:val="single" w:sz="4" w:space="0" w:color="00000A"/>
            </w:tcBorders>
            <w:shd w:val="clear" w:color="auto" w:fill="FFFFFF"/>
            <w:vAlign w:val="center"/>
          </w:tcPr>
          <w:p w14:paraId="75F8C71E" w14:textId="77777777" w:rsidR="007B35D3" w:rsidRDefault="007B35D3">
            <w:pPr>
              <w:spacing w:after="0" w:line="240" w:lineRule="auto"/>
              <w:jc w:val="center"/>
            </w:pPr>
            <w:r>
              <w:rPr>
                <w:rFonts w:ascii="Arial" w:hAnsi="Arial" w:cs="Arial"/>
                <w:sz w:val="16"/>
                <w:szCs w:val="16"/>
                <w:lang w:eastAsia="en-US"/>
              </w:rPr>
              <w:t>+3.1</w:t>
            </w:r>
          </w:p>
        </w:tc>
        <w:tc>
          <w:tcPr>
            <w:tcW w:w="1234" w:type="dxa"/>
            <w:tcBorders>
              <w:left w:val="single" w:sz="4" w:space="0" w:color="00000A"/>
              <w:bottom w:val="single" w:sz="4" w:space="0" w:color="00000A"/>
            </w:tcBorders>
            <w:shd w:val="clear" w:color="auto" w:fill="FFFFFF"/>
            <w:vAlign w:val="center"/>
          </w:tcPr>
          <w:p w14:paraId="4A773C5E" w14:textId="77777777" w:rsidR="007B35D3" w:rsidRDefault="007B35D3">
            <w:pPr>
              <w:spacing w:after="0" w:line="240" w:lineRule="auto"/>
              <w:jc w:val="center"/>
            </w:pPr>
            <w:r>
              <w:rPr>
                <w:rFonts w:ascii="Arial" w:hAnsi="Arial" w:cs="Arial"/>
                <w:sz w:val="16"/>
                <w:szCs w:val="16"/>
                <w:lang w:eastAsia="en-US"/>
              </w:rPr>
              <w:t>+36</w:t>
            </w:r>
          </w:p>
          <w:p w14:paraId="5B53CAE6" w14:textId="0EA22B87" w:rsidR="007B35D3" w:rsidRDefault="007B35D3">
            <w:pPr>
              <w:spacing w:after="0" w:line="240" w:lineRule="auto"/>
              <w:jc w:val="center"/>
            </w:pPr>
            <w:r>
              <w:rPr>
                <w:rFonts w:ascii="Arial" w:eastAsia="Arial" w:hAnsi="Arial" w:cs="Arial"/>
                <w:sz w:val="16"/>
                <w:szCs w:val="16"/>
                <w:lang w:eastAsia="en-US"/>
              </w:rPr>
              <w:t>–</w:t>
            </w:r>
            <w:r>
              <w:rPr>
                <w:rFonts w:ascii="Arial" w:hAnsi="Arial" w:cs="Arial"/>
                <w:sz w:val="16"/>
                <w:szCs w:val="16"/>
                <w:lang w:eastAsia="en-US"/>
              </w:rPr>
              <w:t>72</w:t>
            </w:r>
          </w:p>
        </w:tc>
        <w:tc>
          <w:tcPr>
            <w:tcW w:w="976" w:type="dxa"/>
            <w:tcBorders>
              <w:left w:val="single" w:sz="4" w:space="0" w:color="00000A"/>
              <w:bottom w:val="single" w:sz="4" w:space="0" w:color="00000A"/>
            </w:tcBorders>
            <w:shd w:val="clear" w:color="auto" w:fill="FFFFFF"/>
            <w:vAlign w:val="center"/>
          </w:tcPr>
          <w:p w14:paraId="389BB0D9" w14:textId="77777777" w:rsidR="007B35D3" w:rsidRDefault="007B35D3">
            <w:pPr>
              <w:spacing w:after="0" w:line="240" w:lineRule="auto"/>
              <w:jc w:val="center"/>
            </w:pPr>
            <w:r>
              <w:rPr>
                <w:rFonts w:ascii="Arial" w:eastAsia="Arial" w:hAnsi="Arial" w:cs="Arial"/>
                <w:sz w:val="16"/>
                <w:szCs w:val="16"/>
                <w:lang w:eastAsia="en-US"/>
              </w:rPr>
              <w:t>–</w:t>
            </w:r>
            <w:r>
              <w:rPr>
                <w:rFonts w:ascii="Arial" w:hAnsi="Arial" w:cs="Arial"/>
                <w:sz w:val="16"/>
                <w:szCs w:val="16"/>
                <w:lang w:eastAsia="en-US"/>
              </w:rPr>
              <w:t>1.1 x 10</w:t>
            </w:r>
            <w:r>
              <w:rPr>
                <w:rFonts w:ascii="Arial" w:hAnsi="Arial" w:cs="Arial"/>
                <w:sz w:val="16"/>
                <w:szCs w:val="16"/>
                <w:vertAlign w:val="superscript"/>
                <w:lang w:eastAsia="en-US"/>
              </w:rPr>
              <w:t>8</w:t>
            </w:r>
          </w:p>
          <w:p w14:paraId="47DC3FC3" w14:textId="77777777" w:rsidR="007B35D3" w:rsidRDefault="007B35D3">
            <w:pPr>
              <w:spacing w:after="0" w:line="240" w:lineRule="auto"/>
              <w:jc w:val="center"/>
            </w:pPr>
            <w:r>
              <w:rPr>
                <w:rFonts w:ascii="Arial" w:hAnsi="Arial" w:cs="Arial"/>
                <w:sz w:val="16"/>
                <w:szCs w:val="16"/>
                <w:vertAlign w:val="superscript"/>
                <w:lang w:eastAsia="en-US"/>
              </w:rPr>
              <w:t>+</w:t>
            </w:r>
            <w:r>
              <w:rPr>
                <w:rFonts w:ascii="Arial" w:hAnsi="Arial" w:cs="Arial"/>
                <w:sz w:val="16"/>
                <w:szCs w:val="16"/>
                <w:lang w:eastAsia="en-US"/>
              </w:rPr>
              <w:t>1 x 10</w:t>
            </w:r>
            <w:r>
              <w:rPr>
                <w:rFonts w:ascii="Arial" w:hAnsi="Arial" w:cs="Arial"/>
                <w:sz w:val="16"/>
                <w:szCs w:val="16"/>
                <w:vertAlign w:val="superscript"/>
                <w:lang w:eastAsia="en-US"/>
              </w:rPr>
              <w:t>8</w:t>
            </w:r>
          </w:p>
        </w:tc>
        <w:tc>
          <w:tcPr>
            <w:tcW w:w="771" w:type="dxa"/>
            <w:tcBorders>
              <w:left w:val="single" w:sz="4" w:space="0" w:color="00000A"/>
              <w:bottom w:val="single" w:sz="4" w:space="0" w:color="00000A"/>
            </w:tcBorders>
            <w:shd w:val="clear" w:color="auto" w:fill="FFFFFF"/>
            <w:vAlign w:val="center"/>
          </w:tcPr>
          <w:p w14:paraId="6786E7E4" w14:textId="77777777" w:rsidR="007B35D3" w:rsidRDefault="007B35D3">
            <w:pPr>
              <w:spacing w:after="0" w:line="240" w:lineRule="auto"/>
              <w:jc w:val="center"/>
            </w:pPr>
            <w:r>
              <w:rPr>
                <w:rFonts w:ascii="Arial" w:hAnsi="Arial" w:cs="Arial"/>
                <w:sz w:val="16"/>
                <w:szCs w:val="16"/>
                <w:lang w:eastAsia="en-US"/>
              </w:rPr>
              <w:t>14</w:t>
            </w:r>
          </w:p>
        </w:tc>
        <w:tc>
          <w:tcPr>
            <w:tcW w:w="1138" w:type="dxa"/>
            <w:tcBorders>
              <w:left w:val="single" w:sz="4" w:space="0" w:color="00000A"/>
              <w:bottom w:val="single" w:sz="4" w:space="0" w:color="00000A"/>
            </w:tcBorders>
            <w:shd w:val="clear" w:color="auto" w:fill="FFFFFF"/>
            <w:vAlign w:val="center"/>
          </w:tcPr>
          <w:p w14:paraId="3D7AFDAE" w14:textId="77777777" w:rsidR="007B35D3" w:rsidRDefault="007B35D3">
            <w:pPr>
              <w:spacing w:after="0" w:line="240" w:lineRule="auto"/>
              <w:jc w:val="center"/>
            </w:pPr>
            <w:r>
              <w:rPr>
                <w:rFonts w:ascii="Arial" w:hAnsi="Arial" w:cs="Arial"/>
                <w:sz w:val="16"/>
                <w:szCs w:val="16"/>
                <w:lang w:eastAsia="en-US"/>
              </w:rPr>
              <w:t>hydrological</w:t>
            </w:r>
          </w:p>
        </w:tc>
        <w:tc>
          <w:tcPr>
            <w:tcW w:w="988" w:type="dxa"/>
            <w:tcBorders>
              <w:left w:val="single" w:sz="4" w:space="0" w:color="00000A"/>
              <w:bottom w:val="single" w:sz="4" w:space="0" w:color="00000A"/>
              <w:right w:val="single" w:sz="4" w:space="0" w:color="00000A"/>
            </w:tcBorders>
            <w:shd w:val="clear" w:color="auto" w:fill="FFFFFF"/>
            <w:vAlign w:val="center"/>
          </w:tcPr>
          <w:p w14:paraId="3262CC9C" w14:textId="77777777" w:rsidR="007B35D3" w:rsidRDefault="007B35D3">
            <w:pPr>
              <w:spacing w:after="0" w:line="240" w:lineRule="auto"/>
              <w:jc w:val="center"/>
            </w:pPr>
            <w:r>
              <w:rPr>
                <w:rFonts w:ascii="Arial" w:hAnsi="Arial" w:cs="Arial"/>
                <w:sz w:val="16"/>
                <w:szCs w:val="16"/>
                <w:lang w:eastAsia="en-US"/>
              </w:rPr>
              <w:t xml:space="preserve">Pitte </w:t>
            </w:r>
            <w:r>
              <w:rPr>
                <w:rFonts w:ascii="Arial" w:hAnsi="Arial" w:cs="Arial"/>
                <w:i/>
                <w:iCs/>
                <w:sz w:val="16"/>
                <w:szCs w:val="16"/>
                <w:lang w:eastAsia="en-US"/>
              </w:rPr>
              <w:t>et al.</w:t>
            </w:r>
            <w:r>
              <w:rPr>
                <w:rFonts w:ascii="Arial" w:hAnsi="Arial" w:cs="Arial"/>
                <w:sz w:val="16"/>
                <w:szCs w:val="16"/>
                <w:lang w:eastAsia="en-US"/>
              </w:rPr>
              <w:t>, 2016</w:t>
            </w:r>
          </w:p>
        </w:tc>
      </w:tr>
      <w:tr w:rsidR="007B35D3" w14:paraId="3ED22A39" w14:textId="77777777">
        <w:tc>
          <w:tcPr>
            <w:tcW w:w="1071" w:type="dxa"/>
            <w:tcBorders>
              <w:top w:val="single" w:sz="4" w:space="0" w:color="00000A"/>
              <w:left w:val="single" w:sz="4" w:space="0" w:color="00000A"/>
              <w:bottom w:val="single" w:sz="4" w:space="0" w:color="00000A"/>
            </w:tcBorders>
            <w:shd w:val="clear" w:color="auto" w:fill="FFFFFF"/>
            <w:vAlign w:val="center"/>
          </w:tcPr>
          <w:p w14:paraId="0B8117DC" w14:textId="77777777" w:rsidR="007B35D3" w:rsidRDefault="007B35D3">
            <w:pPr>
              <w:spacing w:after="0" w:line="240" w:lineRule="auto"/>
              <w:jc w:val="center"/>
            </w:pPr>
            <w:r>
              <w:rPr>
                <w:rFonts w:ascii="Arial" w:hAnsi="Arial" w:cs="Arial"/>
                <w:sz w:val="16"/>
                <w:szCs w:val="16"/>
                <w:lang w:eastAsia="en-US"/>
              </w:rPr>
              <w:t>8 Karakorum glaciers</w:t>
            </w:r>
          </w:p>
        </w:tc>
        <w:tc>
          <w:tcPr>
            <w:tcW w:w="898" w:type="dxa"/>
            <w:tcBorders>
              <w:top w:val="single" w:sz="4" w:space="0" w:color="00000A"/>
              <w:left w:val="single" w:sz="4" w:space="0" w:color="00000A"/>
              <w:bottom w:val="single" w:sz="4" w:space="0" w:color="00000A"/>
            </w:tcBorders>
            <w:shd w:val="clear" w:color="auto" w:fill="FFFFFF"/>
            <w:vAlign w:val="center"/>
          </w:tcPr>
          <w:p w14:paraId="727D184D" w14:textId="77777777" w:rsidR="007B35D3" w:rsidRDefault="007B35D3">
            <w:pPr>
              <w:spacing w:after="0" w:line="240" w:lineRule="auto"/>
              <w:jc w:val="center"/>
            </w:pPr>
            <w:r>
              <w:rPr>
                <w:rFonts w:ascii="Arial" w:hAnsi="Arial" w:cs="Arial"/>
                <w:sz w:val="16"/>
                <w:szCs w:val="16"/>
                <w:lang w:eastAsia="en-US"/>
              </w:rPr>
              <w:t>various</w:t>
            </w:r>
          </w:p>
        </w:tc>
        <w:tc>
          <w:tcPr>
            <w:tcW w:w="935" w:type="dxa"/>
            <w:tcBorders>
              <w:top w:val="single" w:sz="4" w:space="0" w:color="00000A"/>
              <w:left w:val="single" w:sz="4" w:space="0" w:color="00000A"/>
              <w:bottom w:val="single" w:sz="4" w:space="0" w:color="00000A"/>
            </w:tcBorders>
            <w:shd w:val="clear" w:color="auto" w:fill="FFFFFF"/>
            <w:vAlign w:val="center"/>
          </w:tcPr>
          <w:p w14:paraId="441A49D1" w14:textId="77777777" w:rsidR="007B35D3" w:rsidRDefault="007B35D3">
            <w:pPr>
              <w:spacing w:after="0" w:line="240" w:lineRule="auto"/>
              <w:jc w:val="center"/>
            </w:pPr>
            <w:r>
              <w:rPr>
                <w:rFonts w:ascii="Arial" w:hAnsi="Arial" w:cs="Arial"/>
                <w:sz w:val="16"/>
                <w:szCs w:val="16"/>
                <w:lang w:eastAsia="en-US"/>
              </w:rPr>
              <w:t>up to +2.4</w:t>
            </w:r>
          </w:p>
        </w:tc>
        <w:tc>
          <w:tcPr>
            <w:tcW w:w="1234" w:type="dxa"/>
            <w:tcBorders>
              <w:top w:val="single" w:sz="4" w:space="0" w:color="00000A"/>
              <w:left w:val="single" w:sz="4" w:space="0" w:color="00000A"/>
              <w:bottom w:val="single" w:sz="4" w:space="0" w:color="00000A"/>
            </w:tcBorders>
            <w:shd w:val="clear" w:color="auto" w:fill="FFFFFF"/>
            <w:vAlign w:val="center"/>
          </w:tcPr>
          <w:p w14:paraId="05E69048" w14:textId="77777777" w:rsidR="007B35D3" w:rsidRDefault="007B35D3">
            <w:pPr>
              <w:spacing w:after="0" w:line="240" w:lineRule="auto"/>
              <w:jc w:val="center"/>
            </w:pPr>
            <w:r>
              <w:rPr>
                <w:rFonts w:ascii="Arial" w:hAnsi="Arial" w:cs="Arial"/>
                <w:sz w:val="16"/>
                <w:szCs w:val="16"/>
                <w:lang w:eastAsia="en-US"/>
              </w:rPr>
              <w:t>NA</w:t>
            </w:r>
          </w:p>
        </w:tc>
        <w:tc>
          <w:tcPr>
            <w:tcW w:w="976" w:type="dxa"/>
            <w:tcBorders>
              <w:top w:val="single" w:sz="4" w:space="0" w:color="00000A"/>
              <w:left w:val="single" w:sz="4" w:space="0" w:color="00000A"/>
              <w:bottom w:val="single" w:sz="4" w:space="0" w:color="00000A"/>
            </w:tcBorders>
            <w:shd w:val="clear" w:color="auto" w:fill="FFFFFF"/>
            <w:vAlign w:val="center"/>
          </w:tcPr>
          <w:p w14:paraId="7939C47D"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3833E14D" w14:textId="77777777" w:rsidR="007B35D3" w:rsidRDefault="007B35D3">
            <w:pPr>
              <w:spacing w:after="0" w:line="240" w:lineRule="auto"/>
              <w:jc w:val="center"/>
            </w:pPr>
            <w:r>
              <w:rPr>
                <w:rFonts w:ascii="Arial" w:hAnsi="Arial" w:cs="Arial"/>
                <w:sz w:val="16"/>
                <w:szCs w:val="16"/>
                <w:lang w:eastAsia="en-US"/>
              </w:rPr>
              <w:t>5.5</w:t>
            </w:r>
          </w:p>
          <w:p w14:paraId="39572469" w14:textId="77777777" w:rsidR="007B35D3" w:rsidRDefault="007B35D3">
            <w:pPr>
              <w:spacing w:after="0" w:line="240" w:lineRule="auto"/>
              <w:jc w:val="center"/>
              <w:rPr>
                <w:rFonts w:ascii="Arial" w:hAnsi="Arial" w:cs="Arial"/>
                <w:sz w:val="16"/>
                <w:szCs w:val="16"/>
                <w:lang w:eastAsia="en-US"/>
              </w:rPr>
            </w:pPr>
          </w:p>
          <w:p w14:paraId="5F1C9706" w14:textId="77777777" w:rsidR="007B35D3" w:rsidRDefault="007B35D3">
            <w:pPr>
              <w:spacing w:after="0" w:line="240" w:lineRule="auto"/>
              <w:jc w:val="center"/>
            </w:pPr>
            <w:r>
              <w:rPr>
                <w:rFonts w:ascii="Arial" w:hAnsi="Arial" w:cs="Arial"/>
                <w:sz w:val="16"/>
                <w:szCs w:val="16"/>
                <w:lang w:eastAsia="en-US"/>
              </w:rPr>
              <w:t>[from max. of 2000 m yr</w:t>
            </w:r>
            <w:r>
              <w:rPr>
                <w:rFonts w:ascii="Arial" w:hAnsi="Arial" w:cs="Arial"/>
                <w:sz w:val="16"/>
                <w:szCs w:val="16"/>
                <w:vertAlign w:val="superscript"/>
                <w:lang w:eastAsia="en-US"/>
              </w:rPr>
              <w:t>–1</w:t>
            </w:r>
            <w:r>
              <w:rPr>
                <w:rFonts w:ascii="Arial" w:hAnsi="Arial" w:cs="Arial"/>
                <w:sz w:val="16"/>
                <w:szCs w:val="16"/>
                <w:lang w:eastAsia="en-US"/>
              </w:rPr>
              <w:t>]</w:t>
            </w:r>
          </w:p>
        </w:tc>
        <w:tc>
          <w:tcPr>
            <w:tcW w:w="1138" w:type="dxa"/>
            <w:tcBorders>
              <w:top w:val="single" w:sz="4" w:space="0" w:color="00000A"/>
              <w:left w:val="single" w:sz="4" w:space="0" w:color="00000A"/>
              <w:bottom w:val="single" w:sz="4" w:space="0" w:color="00000A"/>
            </w:tcBorders>
            <w:shd w:val="clear" w:color="auto" w:fill="FFFFFF"/>
            <w:vAlign w:val="center"/>
          </w:tcPr>
          <w:p w14:paraId="66DABAF0" w14:textId="77777777" w:rsidR="007B35D3" w:rsidRDefault="007B35D3">
            <w:pPr>
              <w:spacing w:after="0" w:line="240" w:lineRule="auto"/>
              <w:jc w:val="center"/>
            </w:pPr>
            <w:r>
              <w:rPr>
                <w:rFonts w:ascii="Arial" w:hAnsi="Arial" w:cs="Arial"/>
                <w:sz w:val="16"/>
                <w:szCs w:val="16"/>
                <w:lang w:eastAsia="en-US"/>
              </w:rPr>
              <w:t>thermal</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426965" w14:textId="77777777" w:rsidR="007B35D3" w:rsidRDefault="007B35D3">
            <w:pPr>
              <w:spacing w:after="0" w:line="240" w:lineRule="auto"/>
              <w:jc w:val="center"/>
            </w:pPr>
            <w:r>
              <w:rPr>
                <w:rFonts w:ascii="Arial" w:hAnsi="Arial" w:cs="Arial"/>
                <w:sz w:val="16"/>
                <w:szCs w:val="16"/>
                <w:lang w:eastAsia="en-US"/>
              </w:rPr>
              <w:t xml:space="preserve">Quincey </w:t>
            </w:r>
            <w:r>
              <w:rPr>
                <w:rFonts w:ascii="Arial" w:hAnsi="Arial" w:cs="Arial"/>
                <w:i/>
                <w:iCs/>
                <w:sz w:val="16"/>
                <w:szCs w:val="16"/>
                <w:lang w:eastAsia="en-US"/>
              </w:rPr>
              <w:t>et al.</w:t>
            </w:r>
            <w:r>
              <w:rPr>
                <w:rFonts w:ascii="Arial" w:hAnsi="Arial" w:cs="Arial"/>
                <w:sz w:val="16"/>
                <w:szCs w:val="16"/>
                <w:lang w:eastAsia="en-US"/>
              </w:rPr>
              <w:t>, 2011, 2015</w:t>
            </w:r>
          </w:p>
        </w:tc>
      </w:tr>
      <w:tr w:rsidR="007B35D3" w14:paraId="1817FA1C" w14:textId="77777777">
        <w:tc>
          <w:tcPr>
            <w:tcW w:w="1071" w:type="dxa"/>
            <w:tcBorders>
              <w:top w:val="single" w:sz="4" w:space="0" w:color="00000A"/>
              <w:left w:val="single" w:sz="4" w:space="0" w:color="00000A"/>
              <w:bottom w:val="single" w:sz="4" w:space="0" w:color="00000A"/>
            </w:tcBorders>
            <w:shd w:val="clear" w:color="auto" w:fill="FFFFFF"/>
            <w:vAlign w:val="center"/>
          </w:tcPr>
          <w:p w14:paraId="1FAAA127" w14:textId="77777777" w:rsidR="007B35D3" w:rsidRDefault="007B35D3">
            <w:pPr>
              <w:spacing w:after="0" w:line="240" w:lineRule="auto"/>
              <w:jc w:val="center"/>
            </w:pPr>
            <w:r>
              <w:rPr>
                <w:rFonts w:ascii="Arial" w:hAnsi="Arial" w:cs="Arial"/>
                <w:sz w:val="16"/>
                <w:szCs w:val="16"/>
                <w:lang w:eastAsia="en-US"/>
              </w:rPr>
              <w:t>Karakorum</w:t>
            </w:r>
          </w:p>
        </w:tc>
        <w:tc>
          <w:tcPr>
            <w:tcW w:w="898" w:type="dxa"/>
            <w:tcBorders>
              <w:top w:val="single" w:sz="4" w:space="0" w:color="00000A"/>
              <w:left w:val="single" w:sz="4" w:space="0" w:color="00000A"/>
              <w:bottom w:val="single" w:sz="4" w:space="0" w:color="00000A"/>
            </w:tcBorders>
            <w:shd w:val="clear" w:color="auto" w:fill="FFFFFF"/>
            <w:vAlign w:val="center"/>
          </w:tcPr>
          <w:p w14:paraId="6FF523D7" w14:textId="77777777" w:rsidR="007B35D3" w:rsidRDefault="007B35D3">
            <w:pPr>
              <w:spacing w:after="0" w:line="240" w:lineRule="auto"/>
              <w:jc w:val="center"/>
            </w:pPr>
            <w:r>
              <w:rPr>
                <w:rFonts w:ascii="Arial" w:hAnsi="Arial" w:cs="Arial"/>
                <w:sz w:val="16"/>
                <w:szCs w:val="16"/>
                <w:lang w:eastAsia="en-US"/>
              </w:rPr>
              <w:t>NA</w:t>
            </w:r>
          </w:p>
        </w:tc>
        <w:tc>
          <w:tcPr>
            <w:tcW w:w="935" w:type="dxa"/>
            <w:tcBorders>
              <w:top w:val="single" w:sz="4" w:space="0" w:color="00000A"/>
              <w:left w:val="single" w:sz="4" w:space="0" w:color="00000A"/>
              <w:bottom w:val="single" w:sz="4" w:space="0" w:color="00000A"/>
            </w:tcBorders>
            <w:shd w:val="clear" w:color="auto" w:fill="FFFFFF"/>
            <w:vAlign w:val="center"/>
          </w:tcPr>
          <w:p w14:paraId="2A6CE4AB" w14:textId="77777777" w:rsidR="007B35D3" w:rsidRDefault="007B35D3">
            <w:pPr>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7DEEE84B" w14:textId="77777777" w:rsidR="007B35D3" w:rsidRDefault="007B35D3">
            <w:pPr>
              <w:spacing w:after="0" w:line="240" w:lineRule="auto"/>
              <w:jc w:val="center"/>
            </w:pPr>
            <w:r>
              <w:rPr>
                <w:rFonts w:ascii="Arial" w:hAnsi="Arial" w:cs="Arial"/>
                <w:sz w:val="16"/>
                <w:szCs w:val="16"/>
                <w:lang w:eastAsia="en-US"/>
              </w:rPr>
              <w:t>+16m yr</w:t>
            </w:r>
            <w:r>
              <w:rPr>
                <w:rFonts w:ascii="Arial" w:hAnsi="Arial" w:cs="Arial"/>
                <w:sz w:val="16"/>
                <w:szCs w:val="16"/>
                <w:vertAlign w:val="superscript"/>
                <w:lang w:eastAsia="en-US"/>
              </w:rPr>
              <w:t>-1</w:t>
            </w:r>
          </w:p>
          <w:p w14:paraId="51528D3D" w14:textId="77777777" w:rsidR="007B35D3" w:rsidRDefault="007B35D3">
            <w:pPr>
              <w:spacing w:after="0" w:line="240" w:lineRule="auto"/>
              <w:jc w:val="center"/>
            </w:pPr>
            <w:r>
              <w:rPr>
                <w:rFonts w:ascii="Arial" w:eastAsia="Arial" w:hAnsi="Arial" w:cs="Arial"/>
                <w:sz w:val="16"/>
                <w:szCs w:val="16"/>
                <w:lang w:eastAsia="en-US"/>
              </w:rPr>
              <w:t>–</w:t>
            </w:r>
            <w:r>
              <w:rPr>
                <w:rFonts w:ascii="Arial" w:hAnsi="Arial" w:cs="Arial"/>
                <w:sz w:val="16"/>
                <w:szCs w:val="16"/>
                <w:lang w:eastAsia="en-US"/>
              </w:rPr>
              <w:t>16m yr</w:t>
            </w:r>
            <w:r>
              <w:rPr>
                <w:rFonts w:ascii="Arial" w:hAnsi="Arial" w:cs="Arial"/>
                <w:sz w:val="16"/>
                <w:szCs w:val="16"/>
                <w:vertAlign w:val="superscript"/>
                <w:lang w:eastAsia="en-US"/>
              </w:rPr>
              <w:t>-1</w:t>
            </w:r>
          </w:p>
        </w:tc>
        <w:tc>
          <w:tcPr>
            <w:tcW w:w="976" w:type="dxa"/>
            <w:tcBorders>
              <w:top w:val="single" w:sz="4" w:space="0" w:color="00000A"/>
              <w:left w:val="single" w:sz="4" w:space="0" w:color="00000A"/>
              <w:bottom w:val="single" w:sz="4" w:space="0" w:color="00000A"/>
            </w:tcBorders>
            <w:shd w:val="clear" w:color="auto" w:fill="FFFFFF"/>
            <w:vAlign w:val="center"/>
          </w:tcPr>
          <w:p w14:paraId="67015112"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38901FAB" w14:textId="77777777" w:rsidR="007B35D3" w:rsidRDefault="007B35D3">
            <w:pPr>
              <w:spacing w:after="0" w:line="240" w:lineRule="auto"/>
              <w:jc w:val="center"/>
            </w:pPr>
            <w:r>
              <w:rPr>
                <w:rFonts w:ascii="Arial" w:hAnsi="Arial" w:cs="Arial"/>
                <w:sz w:val="16"/>
                <w:szCs w:val="16"/>
                <w:lang w:eastAsia="en-US"/>
              </w:rPr>
              <w:t>NA</w:t>
            </w:r>
          </w:p>
        </w:tc>
        <w:tc>
          <w:tcPr>
            <w:tcW w:w="1138" w:type="dxa"/>
            <w:tcBorders>
              <w:top w:val="single" w:sz="4" w:space="0" w:color="00000A"/>
              <w:left w:val="single" w:sz="4" w:space="0" w:color="00000A"/>
              <w:bottom w:val="single" w:sz="4" w:space="0" w:color="00000A"/>
            </w:tcBorders>
            <w:shd w:val="clear" w:color="auto" w:fill="FFFFFF"/>
            <w:vAlign w:val="center"/>
          </w:tcPr>
          <w:p w14:paraId="0C1BADD4" w14:textId="77777777" w:rsidR="007B35D3" w:rsidRDefault="007B35D3">
            <w:pPr>
              <w:spacing w:after="0" w:line="240" w:lineRule="auto"/>
              <w:jc w:val="center"/>
            </w:pPr>
            <w:r>
              <w:rPr>
                <w:rFonts w:ascii="Arial" w:hAnsi="Arial" w:cs="Arial"/>
                <w:sz w:val="16"/>
                <w:szCs w:val="16"/>
                <w:lang w:eastAsia="en-US"/>
              </w:rPr>
              <w:t>NA</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E8552A" w14:textId="77777777" w:rsidR="007B35D3" w:rsidRDefault="007B35D3">
            <w:pPr>
              <w:spacing w:after="0" w:line="240" w:lineRule="auto"/>
              <w:jc w:val="center"/>
            </w:pPr>
            <w:r>
              <w:rPr>
                <w:rFonts w:ascii="Arial" w:hAnsi="Arial" w:cs="Arial"/>
                <w:sz w:val="16"/>
                <w:szCs w:val="16"/>
                <w:lang w:eastAsia="en-US"/>
              </w:rPr>
              <w:t xml:space="preserve">Gardelle </w:t>
            </w:r>
            <w:r>
              <w:rPr>
                <w:rFonts w:ascii="Arial" w:hAnsi="Arial" w:cs="Arial"/>
                <w:i/>
                <w:iCs/>
                <w:sz w:val="16"/>
                <w:szCs w:val="16"/>
                <w:lang w:eastAsia="en-US"/>
              </w:rPr>
              <w:t>et al.</w:t>
            </w:r>
            <w:r>
              <w:rPr>
                <w:rFonts w:ascii="Arial" w:hAnsi="Arial" w:cs="Arial"/>
                <w:sz w:val="16"/>
                <w:szCs w:val="16"/>
                <w:lang w:eastAsia="en-US"/>
              </w:rPr>
              <w:t>, 2013</w:t>
            </w:r>
          </w:p>
        </w:tc>
      </w:tr>
      <w:tr w:rsidR="007B35D3" w14:paraId="53540D25" w14:textId="77777777">
        <w:tc>
          <w:tcPr>
            <w:tcW w:w="1071" w:type="dxa"/>
            <w:tcBorders>
              <w:top w:val="single" w:sz="4" w:space="0" w:color="00000A"/>
              <w:left w:val="single" w:sz="4" w:space="0" w:color="00000A"/>
              <w:bottom w:val="single" w:sz="4" w:space="0" w:color="00000A"/>
            </w:tcBorders>
            <w:shd w:val="clear" w:color="auto" w:fill="FFFFFF"/>
            <w:vAlign w:val="center"/>
          </w:tcPr>
          <w:p w14:paraId="6AE2D372" w14:textId="77777777" w:rsidR="007B35D3" w:rsidRDefault="007B35D3">
            <w:pPr>
              <w:spacing w:after="0" w:line="240" w:lineRule="auto"/>
              <w:jc w:val="center"/>
            </w:pPr>
            <w:r>
              <w:rPr>
                <w:rFonts w:ascii="Arial" w:hAnsi="Arial" w:cs="Arial"/>
                <w:sz w:val="16"/>
                <w:szCs w:val="16"/>
                <w:lang w:eastAsia="en-US"/>
              </w:rPr>
              <w:t>Black Rapids Glacier, Alaska</w:t>
            </w:r>
          </w:p>
        </w:tc>
        <w:tc>
          <w:tcPr>
            <w:tcW w:w="898" w:type="dxa"/>
            <w:tcBorders>
              <w:top w:val="single" w:sz="4" w:space="0" w:color="00000A"/>
              <w:left w:val="single" w:sz="4" w:space="0" w:color="00000A"/>
              <w:bottom w:val="single" w:sz="4" w:space="0" w:color="00000A"/>
            </w:tcBorders>
            <w:shd w:val="clear" w:color="auto" w:fill="FFFFFF"/>
            <w:vAlign w:val="center"/>
          </w:tcPr>
          <w:p w14:paraId="1AD69D00" w14:textId="77777777" w:rsidR="007B35D3" w:rsidRDefault="007B35D3">
            <w:pPr>
              <w:spacing w:after="0" w:line="240" w:lineRule="auto"/>
              <w:jc w:val="center"/>
            </w:pPr>
            <w:r>
              <w:rPr>
                <w:rFonts w:ascii="Arial" w:hAnsi="Arial" w:cs="Arial"/>
                <w:sz w:val="16"/>
                <w:szCs w:val="16"/>
                <w:lang w:eastAsia="en-US"/>
              </w:rPr>
              <w:t>between 1949 and 1995</w:t>
            </w:r>
          </w:p>
        </w:tc>
        <w:tc>
          <w:tcPr>
            <w:tcW w:w="935" w:type="dxa"/>
            <w:tcBorders>
              <w:top w:val="single" w:sz="4" w:space="0" w:color="00000A"/>
              <w:left w:val="single" w:sz="4" w:space="0" w:color="00000A"/>
              <w:bottom w:val="single" w:sz="4" w:space="0" w:color="00000A"/>
            </w:tcBorders>
            <w:shd w:val="clear" w:color="auto" w:fill="FFFFFF"/>
            <w:vAlign w:val="center"/>
          </w:tcPr>
          <w:p w14:paraId="3651C1B9" w14:textId="77777777" w:rsidR="007B35D3" w:rsidRDefault="007B35D3">
            <w:pPr>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7C6E8F02" w14:textId="77777777" w:rsidR="007B35D3" w:rsidRDefault="007B35D3">
            <w:pPr>
              <w:spacing w:after="0" w:line="240" w:lineRule="auto"/>
              <w:jc w:val="center"/>
            </w:pPr>
            <w:r>
              <w:rPr>
                <w:rFonts w:ascii="Arial" w:eastAsia="Arial" w:hAnsi="Arial" w:cs="Arial"/>
                <w:sz w:val="16"/>
                <w:szCs w:val="16"/>
                <w:lang w:eastAsia="en-US"/>
              </w:rPr>
              <w:t>−</w:t>
            </w:r>
            <w:r>
              <w:rPr>
                <w:rFonts w:ascii="Arial" w:hAnsi="Arial" w:cs="Arial"/>
                <w:sz w:val="16"/>
                <w:szCs w:val="16"/>
                <w:lang w:eastAsia="en-US"/>
              </w:rPr>
              <w:t>249 m*</w:t>
            </w:r>
          </w:p>
          <w:p w14:paraId="38712841" w14:textId="19F1F981" w:rsidR="007B35D3" w:rsidRDefault="00682694">
            <w:pPr>
              <w:spacing w:after="0" w:line="240" w:lineRule="auto"/>
              <w:jc w:val="center"/>
            </w:pPr>
            <w:r>
              <w:rPr>
                <w:rFonts w:ascii="Arial" w:hAnsi="Arial" w:cs="Arial"/>
                <w:sz w:val="16"/>
                <w:szCs w:val="16"/>
                <w:lang w:eastAsia="en-US"/>
              </w:rPr>
              <w:t>+63 m*</w:t>
            </w:r>
          </w:p>
        </w:tc>
        <w:tc>
          <w:tcPr>
            <w:tcW w:w="976" w:type="dxa"/>
            <w:tcBorders>
              <w:top w:val="single" w:sz="4" w:space="0" w:color="00000A"/>
              <w:left w:val="single" w:sz="4" w:space="0" w:color="00000A"/>
              <w:bottom w:val="single" w:sz="4" w:space="0" w:color="00000A"/>
            </w:tcBorders>
            <w:shd w:val="clear" w:color="auto" w:fill="FFFFFF"/>
            <w:vAlign w:val="center"/>
          </w:tcPr>
          <w:p w14:paraId="68220813"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7C9C9F29" w14:textId="77777777" w:rsidR="007B35D3" w:rsidRDefault="007B35D3">
            <w:pPr>
              <w:spacing w:after="0" w:line="240" w:lineRule="auto"/>
              <w:jc w:val="center"/>
            </w:pPr>
            <w:r>
              <w:rPr>
                <w:rFonts w:ascii="Arial" w:hAnsi="Arial" w:cs="Arial"/>
                <w:sz w:val="16"/>
                <w:szCs w:val="16"/>
                <w:lang w:eastAsia="en-US"/>
              </w:rPr>
              <w:t>NA</w:t>
            </w:r>
          </w:p>
        </w:tc>
        <w:tc>
          <w:tcPr>
            <w:tcW w:w="1138" w:type="dxa"/>
            <w:tcBorders>
              <w:top w:val="single" w:sz="4" w:space="0" w:color="00000A"/>
              <w:left w:val="single" w:sz="4" w:space="0" w:color="00000A"/>
              <w:bottom w:val="single" w:sz="4" w:space="0" w:color="00000A"/>
            </w:tcBorders>
            <w:shd w:val="clear" w:color="auto" w:fill="FFFFFF"/>
            <w:vAlign w:val="center"/>
          </w:tcPr>
          <w:p w14:paraId="1F92D511" w14:textId="77777777" w:rsidR="007B35D3" w:rsidRDefault="007B35D3">
            <w:pPr>
              <w:spacing w:after="0" w:line="240" w:lineRule="auto"/>
              <w:jc w:val="center"/>
            </w:pPr>
            <w:r>
              <w:rPr>
                <w:rFonts w:ascii="Arial" w:hAnsi="Arial" w:cs="Arial"/>
                <w:sz w:val="16"/>
                <w:szCs w:val="16"/>
                <w:lang w:eastAsia="en-US"/>
              </w:rPr>
              <w:t>NA</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04B9AD" w14:textId="77777777" w:rsidR="007B35D3" w:rsidRDefault="007B35D3">
            <w:pPr>
              <w:spacing w:after="0" w:line="240" w:lineRule="auto"/>
              <w:jc w:val="center"/>
            </w:pPr>
            <w:r>
              <w:rPr>
                <w:rFonts w:ascii="Arial" w:hAnsi="Arial" w:cs="Arial"/>
                <w:sz w:val="16"/>
                <w:szCs w:val="16"/>
                <w:lang w:eastAsia="en-US"/>
              </w:rPr>
              <w:t xml:space="preserve">Shugar </w:t>
            </w:r>
            <w:r>
              <w:rPr>
                <w:rFonts w:ascii="Arial" w:hAnsi="Arial" w:cs="Arial"/>
                <w:i/>
                <w:iCs/>
                <w:sz w:val="16"/>
                <w:szCs w:val="16"/>
                <w:lang w:eastAsia="en-US"/>
              </w:rPr>
              <w:t>et al.</w:t>
            </w:r>
            <w:r>
              <w:rPr>
                <w:rFonts w:ascii="Arial" w:hAnsi="Arial" w:cs="Arial"/>
                <w:sz w:val="16"/>
                <w:szCs w:val="16"/>
                <w:lang w:eastAsia="en-US"/>
              </w:rPr>
              <w:t>, 2010</w:t>
            </w:r>
          </w:p>
        </w:tc>
      </w:tr>
      <w:tr w:rsidR="007B35D3" w14:paraId="30399875" w14:textId="77777777">
        <w:tc>
          <w:tcPr>
            <w:tcW w:w="1071" w:type="dxa"/>
            <w:tcBorders>
              <w:top w:val="single" w:sz="4" w:space="0" w:color="00000A"/>
              <w:left w:val="single" w:sz="4" w:space="0" w:color="00000A"/>
              <w:bottom w:val="single" w:sz="4" w:space="0" w:color="00000A"/>
            </w:tcBorders>
            <w:shd w:val="clear" w:color="auto" w:fill="FFFFFF"/>
            <w:vAlign w:val="center"/>
          </w:tcPr>
          <w:p w14:paraId="5A89227A" w14:textId="77777777" w:rsidR="007B35D3" w:rsidRDefault="007B35D3">
            <w:pPr>
              <w:spacing w:after="0" w:line="240" w:lineRule="auto"/>
              <w:jc w:val="center"/>
            </w:pPr>
            <w:r>
              <w:rPr>
                <w:rFonts w:ascii="Arial" w:hAnsi="Arial" w:cs="Arial"/>
                <w:sz w:val="16"/>
                <w:szCs w:val="16"/>
                <w:lang w:eastAsia="en-US"/>
              </w:rPr>
              <w:t>central Yulinchuan glacier, Tibet</w:t>
            </w:r>
          </w:p>
        </w:tc>
        <w:tc>
          <w:tcPr>
            <w:tcW w:w="898" w:type="dxa"/>
            <w:tcBorders>
              <w:top w:val="single" w:sz="4" w:space="0" w:color="00000A"/>
              <w:left w:val="single" w:sz="4" w:space="0" w:color="00000A"/>
              <w:bottom w:val="single" w:sz="4" w:space="0" w:color="00000A"/>
            </w:tcBorders>
            <w:shd w:val="clear" w:color="auto" w:fill="FFFFFF"/>
            <w:vAlign w:val="center"/>
          </w:tcPr>
          <w:p w14:paraId="59FC7A96" w14:textId="77777777" w:rsidR="007B35D3" w:rsidRDefault="007B35D3">
            <w:pPr>
              <w:spacing w:after="0" w:line="240" w:lineRule="auto"/>
              <w:jc w:val="center"/>
            </w:pPr>
            <w:r>
              <w:rPr>
                <w:rFonts w:ascii="Arial" w:hAnsi="Arial" w:cs="Arial"/>
                <w:sz w:val="16"/>
                <w:szCs w:val="16"/>
                <w:lang w:eastAsia="en-US"/>
              </w:rPr>
              <w:t>2008 to 2009</w:t>
            </w:r>
          </w:p>
        </w:tc>
        <w:tc>
          <w:tcPr>
            <w:tcW w:w="935" w:type="dxa"/>
            <w:tcBorders>
              <w:top w:val="single" w:sz="4" w:space="0" w:color="00000A"/>
              <w:left w:val="single" w:sz="4" w:space="0" w:color="00000A"/>
              <w:bottom w:val="single" w:sz="4" w:space="0" w:color="00000A"/>
            </w:tcBorders>
            <w:shd w:val="clear" w:color="auto" w:fill="FFFFFF"/>
            <w:vAlign w:val="center"/>
          </w:tcPr>
          <w:p w14:paraId="45F7A548" w14:textId="77777777" w:rsidR="007B35D3" w:rsidRDefault="007B35D3">
            <w:pPr>
              <w:spacing w:after="0" w:line="240" w:lineRule="auto"/>
              <w:jc w:val="center"/>
            </w:pPr>
            <w:r>
              <w:rPr>
                <w:rFonts w:ascii="Arial" w:hAnsi="Arial" w:cs="Arial"/>
                <w:sz w:val="16"/>
                <w:szCs w:val="16"/>
                <w:lang w:eastAsia="en-US"/>
              </w:rPr>
              <w:t>0.59</w:t>
            </w:r>
          </w:p>
        </w:tc>
        <w:tc>
          <w:tcPr>
            <w:tcW w:w="1234" w:type="dxa"/>
            <w:tcBorders>
              <w:top w:val="single" w:sz="4" w:space="0" w:color="00000A"/>
              <w:left w:val="single" w:sz="4" w:space="0" w:color="00000A"/>
              <w:bottom w:val="single" w:sz="4" w:space="0" w:color="00000A"/>
            </w:tcBorders>
            <w:shd w:val="clear" w:color="auto" w:fill="FFFFFF"/>
            <w:vAlign w:val="center"/>
          </w:tcPr>
          <w:p w14:paraId="55A41C24" w14:textId="77777777" w:rsidR="007B35D3" w:rsidRDefault="007B35D3">
            <w:pPr>
              <w:spacing w:after="0" w:line="240" w:lineRule="auto"/>
              <w:jc w:val="center"/>
            </w:pPr>
            <w:r>
              <w:rPr>
                <w:rFonts w:ascii="Arial" w:hAnsi="Arial" w:cs="Arial"/>
                <w:sz w:val="16"/>
                <w:szCs w:val="16"/>
                <w:lang w:eastAsia="en-US"/>
              </w:rPr>
              <w:t>Not studied</w:t>
            </w:r>
          </w:p>
        </w:tc>
        <w:tc>
          <w:tcPr>
            <w:tcW w:w="976" w:type="dxa"/>
            <w:tcBorders>
              <w:top w:val="single" w:sz="4" w:space="0" w:color="00000A"/>
              <w:left w:val="single" w:sz="4" w:space="0" w:color="00000A"/>
              <w:bottom w:val="single" w:sz="4" w:space="0" w:color="00000A"/>
            </w:tcBorders>
            <w:shd w:val="clear" w:color="auto" w:fill="FFFFFF"/>
            <w:vAlign w:val="center"/>
          </w:tcPr>
          <w:p w14:paraId="13D8806D"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73C385EC" w14:textId="77777777" w:rsidR="007B35D3" w:rsidRDefault="007B35D3">
            <w:pPr>
              <w:spacing w:after="0" w:line="240" w:lineRule="auto"/>
              <w:jc w:val="center"/>
            </w:pPr>
            <w:r>
              <w:rPr>
                <w:rFonts w:ascii="Arial" w:hAnsi="Arial" w:cs="Arial"/>
                <w:sz w:val="16"/>
                <w:szCs w:val="16"/>
                <w:lang w:eastAsia="en-US"/>
              </w:rPr>
              <w:t>13</w:t>
            </w:r>
          </w:p>
        </w:tc>
        <w:tc>
          <w:tcPr>
            <w:tcW w:w="1138" w:type="dxa"/>
            <w:tcBorders>
              <w:top w:val="single" w:sz="4" w:space="0" w:color="00000A"/>
              <w:left w:val="single" w:sz="4" w:space="0" w:color="00000A"/>
              <w:bottom w:val="single" w:sz="4" w:space="0" w:color="00000A"/>
            </w:tcBorders>
            <w:shd w:val="clear" w:color="auto" w:fill="FFFFFF"/>
            <w:vAlign w:val="center"/>
          </w:tcPr>
          <w:p w14:paraId="2EF5B502" w14:textId="77777777" w:rsidR="007B35D3" w:rsidRDefault="007B35D3">
            <w:pPr>
              <w:spacing w:after="0" w:line="240" w:lineRule="auto"/>
              <w:jc w:val="center"/>
            </w:pPr>
            <w:r>
              <w:rPr>
                <w:rFonts w:ascii="Arial" w:hAnsi="Arial" w:cs="Arial"/>
                <w:sz w:val="16"/>
                <w:szCs w:val="16"/>
                <w:lang w:eastAsia="en-US"/>
              </w:rPr>
              <w:t>NA</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2DD463" w14:textId="77777777" w:rsidR="007B35D3" w:rsidRDefault="007B35D3">
            <w:pPr>
              <w:spacing w:after="0" w:line="240" w:lineRule="auto"/>
              <w:jc w:val="center"/>
            </w:pPr>
            <w:r>
              <w:rPr>
                <w:rFonts w:ascii="Arial" w:hAnsi="Arial" w:cs="Arial"/>
                <w:sz w:val="16"/>
                <w:szCs w:val="16"/>
                <w:lang w:eastAsia="en-US"/>
              </w:rPr>
              <w:t xml:space="preserve">Guo </w:t>
            </w:r>
            <w:r>
              <w:rPr>
                <w:rFonts w:ascii="Arial" w:hAnsi="Arial" w:cs="Arial"/>
                <w:i/>
                <w:iCs/>
                <w:sz w:val="16"/>
                <w:szCs w:val="16"/>
                <w:lang w:eastAsia="en-US"/>
              </w:rPr>
              <w:t>et al.</w:t>
            </w:r>
            <w:r>
              <w:rPr>
                <w:rFonts w:ascii="Arial" w:hAnsi="Arial" w:cs="Arial"/>
                <w:sz w:val="16"/>
                <w:szCs w:val="16"/>
                <w:lang w:eastAsia="en-US"/>
              </w:rPr>
              <w:t>, 2013</w:t>
            </w:r>
          </w:p>
        </w:tc>
      </w:tr>
      <w:tr w:rsidR="007B35D3" w14:paraId="7CF701C0" w14:textId="77777777">
        <w:tc>
          <w:tcPr>
            <w:tcW w:w="1071" w:type="dxa"/>
            <w:tcBorders>
              <w:top w:val="single" w:sz="4" w:space="0" w:color="00000A"/>
              <w:left w:val="single" w:sz="4" w:space="0" w:color="00000A"/>
              <w:bottom w:val="single" w:sz="4" w:space="0" w:color="00000A"/>
            </w:tcBorders>
            <w:shd w:val="clear" w:color="auto" w:fill="FFFFFF"/>
            <w:vAlign w:val="center"/>
          </w:tcPr>
          <w:p w14:paraId="2C9A86B7" w14:textId="77777777" w:rsidR="007B35D3" w:rsidRDefault="007B35D3">
            <w:pPr>
              <w:spacing w:after="0" w:line="240" w:lineRule="auto"/>
              <w:jc w:val="center"/>
            </w:pPr>
            <w:r>
              <w:rPr>
                <w:rFonts w:ascii="Arial" w:hAnsi="Arial" w:cs="Arial"/>
                <w:sz w:val="16"/>
                <w:szCs w:val="16"/>
                <w:lang w:eastAsia="en-US"/>
              </w:rPr>
              <w:t>36 of 50 glaciers on Svalbard</w:t>
            </w:r>
          </w:p>
        </w:tc>
        <w:tc>
          <w:tcPr>
            <w:tcW w:w="898" w:type="dxa"/>
            <w:tcBorders>
              <w:top w:val="single" w:sz="4" w:space="0" w:color="00000A"/>
              <w:left w:val="single" w:sz="4" w:space="0" w:color="00000A"/>
              <w:bottom w:val="single" w:sz="4" w:space="0" w:color="00000A"/>
            </w:tcBorders>
            <w:shd w:val="clear" w:color="auto" w:fill="FFFFFF"/>
            <w:vAlign w:val="center"/>
          </w:tcPr>
          <w:p w14:paraId="3F2ED586" w14:textId="77777777" w:rsidR="007B35D3" w:rsidRDefault="007B35D3">
            <w:pPr>
              <w:spacing w:after="0" w:line="240" w:lineRule="auto"/>
              <w:jc w:val="center"/>
            </w:pPr>
            <w:r>
              <w:rPr>
                <w:rFonts w:ascii="Arial" w:hAnsi="Arial" w:cs="Arial"/>
                <w:sz w:val="16"/>
                <w:szCs w:val="16"/>
                <w:lang w:eastAsia="en-US"/>
              </w:rPr>
              <w:t>various</w:t>
            </w:r>
          </w:p>
        </w:tc>
        <w:tc>
          <w:tcPr>
            <w:tcW w:w="935" w:type="dxa"/>
            <w:tcBorders>
              <w:top w:val="single" w:sz="4" w:space="0" w:color="00000A"/>
              <w:left w:val="single" w:sz="4" w:space="0" w:color="00000A"/>
              <w:bottom w:val="single" w:sz="4" w:space="0" w:color="00000A"/>
            </w:tcBorders>
            <w:shd w:val="clear" w:color="auto" w:fill="FFFFFF"/>
            <w:vAlign w:val="center"/>
          </w:tcPr>
          <w:p w14:paraId="02C2549E" w14:textId="77777777" w:rsidR="007B35D3" w:rsidRDefault="007B35D3">
            <w:pPr>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2D094DDE" w14:textId="7E6C9396" w:rsidR="007B35D3" w:rsidRDefault="007B35D3">
            <w:pPr>
              <w:spacing w:after="0" w:line="240" w:lineRule="auto"/>
              <w:jc w:val="center"/>
            </w:pPr>
            <w:r>
              <w:rPr>
                <w:rFonts w:ascii="Arial" w:hAnsi="Arial" w:cs="Arial"/>
                <w:sz w:val="16"/>
                <w:szCs w:val="16"/>
                <w:lang w:eastAsia="en-US"/>
              </w:rPr>
              <w:t>e.g. +40 m for Kroppbreen</w:t>
            </w:r>
          </w:p>
        </w:tc>
        <w:tc>
          <w:tcPr>
            <w:tcW w:w="976" w:type="dxa"/>
            <w:tcBorders>
              <w:top w:val="single" w:sz="4" w:space="0" w:color="00000A"/>
              <w:left w:val="single" w:sz="4" w:space="0" w:color="00000A"/>
              <w:bottom w:val="single" w:sz="4" w:space="0" w:color="00000A"/>
            </w:tcBorders>
            <w:shd w:val="clear" w:color="auto" w:fill="FFFFFF"/>
            <w:vAlign w:val="center"/>
          </w:tcPr>
          <w:p w14:paraId="58FD15FD"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00416AAC" w14:textId="77777777" w:rsidR="007B35D3" w:rsidRDefault="007B35D3">
            <w:pPr>
              <w:spacing w:after="0" w:line="240" w:lineRule="auto"/>
              <w:jc w:val="center"/>
            </w:pPr>
            <w:r>
              <w:rPr>
                <w:rFonts w:ascii="Arial" w:hAnsi="Arial" w:cs="Arial"/>
                <w:sz w:val="16"/>
                <w:szCs w:val="16"/>
                <w:lang w:eastAsia="en-US"/>
              </w:rPr>
              <w:t>NA</w:t>
            </w:r>
          </w:p>
        </w:tc>
        <w:tc>
          <w:tcPr>
            <w:tcW w:w="1138" w:type="dxa"/>
            <w:tcBorders>
              <w:top w:val="single" w:sz="4" w:space="0" w:color="00000A"/>
              <w:left w:val="single" w:sz="4" w:space="0" w:color="00000A"/>
              <w:bottom w:val="single" w:sz="4" w:space="0" w:color="00000A"/>
            </w:tcBorders>
            <w:shd w:val="clear" w:color="auto" w:fill="FFFFFF"/>
            <w:vAlign w:val="center"/>
          </w:tcPr>
          <w:p w14:paraId="68A60134" w14:textId="77777777" w:rsidR="007B35D3" w:rsidRDefault="007B35D3">
            <w:pPr>
              <w:spacing w:after="0" w:line="240" w:lineRule="auto"/>
              <w:jc w:val="center"/>
            </w:pPr>
            <w:r>
              <w:rPr>
                <w:rFonts w:ascii="Arial" w:hAnsi="Arial" w:cs="Arial"/>
                <w:sz w:val="16"/>
                <w:szCs w:val="16"/>
                <w:lang w:eastAsia="en-US"/>
              </w:rPr>
              <w:t>NA</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8914FD" w14:textId="77777777" w:rsidR="007B35D3" w:rsidRDefault="007B35D3">
            <w:pPr>
              <w:spacing w:after="0" w:line="240" w:lineRule="auto"/>
              <w:jc w:val="center"/>
            </w:pPr>
            <w:r>
              <w:rPr>
                <w:rFonts w:ascii="Arial" w:hAnsi="Arial" w:cs="Arial"/>
                <w:sz w:val="16"/>
                <w:szCs w:val="16"/>
                <w:lang w:eastAsia="en-US"/>
              </w:rPr>
              <w:t xml:space="preserve">Sund </w:t>
            </w:r>
            <w:r>
              <w:rPr>
                <w:rFonts w:ascii="Arial" w:hAnsi="Arial" w:cs="Arial"/>
                <w:i/>
                <w:iCs/>
                <w:sz w:val="16"/>
                <w:szCs w:val="16"/>
                <w:lang w:eastAsia="en-US"/>
              </w:rPr>
              <w:t>et al.</w:t>
            </w:r>
            <w:r>
              <w:rPr>
                <w:rFonts w:ascii="Arial" w:hAnsi="Arial" w:cs="Arial"/>
                <w:sz w:val="16"/>
                <w:szCs w:val="16"/>
                <w:lang w:eastAsia="en-US"/>
              </w:rPr>
              <w:t>, 2009</w:t>
            </w:r>
          </w:p>
        </w:tc>
      </w:tr>
      <w:tr w:rsidR="007B35D3" w14:paraId="64FEB3B0" w14:textId="77777777">
        <w:tc>
          <w:tcPr>
            <w:tcW w:w="1071" w:type="dxa"/>
            <w:tcBorders>
              <w:top w:val="single" w:sz="4" w:space="0" w:color="00000A"/>
              <w:left w:val="single" w:sz="4" w:space="0" w:color="00000A"/>
              <w:bottom w:val="single" w:sz="4" w:space="0" w:color="00000A"/>
            </w:tcBorders>
            <w:shd w:val="clear" w:color="auto" w:fill="FFFFFF"/>
            <w:vAlign w:val="center"/>
          </w:tcPr>
          <w:p w14:paraId="2B0B2CC5" w14:textId="77777777" w:rsidR="007B35D3" w:rsidRDefault="007B35D3">
            <w:pPr>
              <w:spacing w:after="0" w:line="240" w:lineRule="auto"/>
              <w:jc w:val="center"/>
            </w:pPr>
            <w:r>
              <w:rPr>
                <w:rFonts w:ascii="Arial" w:hAnsi="Arial" w:cs="Arial"/>
                <w:sz w:val="16"/>
                <w:szCs w:val="16"/>
                <w:lang w:eastAsia="en-US"/>
              </w:rPr>
              <w:t>3 of 50 land-terminating glaciers studied in Alaska</w:t>
            </w:r>
          </w:p>
        </w:tc>
        <w:tc>
          <w:tcPr>
            <w:tcW w:w="898" w:type="dxa"/>
            <w:tcBorders>
              <w:top w:val="single" w:sz="4" w:space="0" w:color="00000A"/>
              <w:left w:val="single" w:sz="4" w:space="0" w:color="00000A"/>
              <w:bottom w:val="single" w:sz="4" w:space="0" w:color="00000A"/>
            </w:tcBorders>
            <w:shd w:val="clear" w:color="auto" w:fill="FFFFFF"/>
            <w:vAlign w:val="center"/>
          </w:tcPr>
          <w:p w14:paraId="66C14B85" w14:textId="77777777" w:rsidR="007B35D3" w:rsidRDefault="007B35D3">
            <w:pPr>
              <w:spacing w:after="0" w:line="240" w:lineRule="auto"/>
              <w:jc w:val="center"/>
            </w:pPr>
            <w:r>
              <w:rPr>
                <w:rFonts w:ascii="Arial" w:hAnsi="Arial" w:cs="Arial"/>
                <w:sz w:val="16"/>
                <w:szCs w:val="16"/>
                <w:lang w:eastAsia="en-US"/>
              </w:rPr>
              <w:t>NA</w:t>
            </w:r>
          </w:p>
        </w:tc>
        <w:tc>
          <w:tcPr>
            <w:tcW w:w="935" w:type="dxa"/>
            <w:tcBorders>
              <w:top w:val="single" w:sz="4" w:space="0" w:color="00000A"/>
              <w:left w:val="single" w:sz="4" w:space="0" w:color="00000A"/>
              <w:bottom w:val="single" w:sz="4" w:space="0" w:color="00000A"/>
            </w:tcBorders>
            <w:shd w:val="clear" w:color="auto" w:fill="FFFFFF"/>
            <w:vAlign w:val="center"/>
          </w:tcPr>
          <w:p w14:paraId="207B11DF" w14:textId="77777777" w:rsidR="007B35D3" w:rsidRDefault="007B35D3">
            <w:pPr>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62E2D9A5" w14:textId="77777777" w:rsidR="007B35D3" w:rsidRDefault="007B35D3">
            <w:pPr>
              <w:spacing w:after="0" w:line="240" w:lineRule="auto"/>
              <w:jc w:val="center"/>
            </w:pPr>
            <w:r>
              <w:rPr>
                <w:rFonts w:ascii="Arial" w:hAnsi="Arial" w:cs="Arial"/>
                <w:sz w:val="16"/>
                <w:szCs w:val="16"/>
                <w:lang w:eastAsia="en-US"/>
              </w:rPr>
              <w:t>NA</w:t>
            </w:r>
          </w:p>
        </w:tc>
        <w:tc>
          <w:tcPr>
            <w:tcW w:w="976" w:type="dxa"/>
            <w:tcBorders>
              <w:top w:val="single" w:sz="4" w:space="0" w:color="00000A"/>
              <w:left w:val="single" w:sz="4" w:space="0" w:color="00000A"/>
              <w:bottom w:val="single" w:sz="4" w:space="0" w:color="00000A"/>
            </w:tcBorders>
            <w:shd w:val="clear" w:color="auto" w:fill="FFFFFF"/>
            <w:vAlign w:val="center"/>
          </w:tcPr>
          <w:p w14:paraId="33C46C61"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117E8C20" w14:textId="77777777" w:rsidR="007B35D3" w:rsidRDefault="007B35D3">
            <w:pPr>
              <w:spacing w:after="0" w:line="240" w:lineRule="auto"/>
              <w:jc w:val="center"/>
            </w:pPr>
            <w:r>
              <w:rPr>
                <w:rFonts w:ascii="Arial" w:hAnsi="Arial" w:cs="Arial"/>
                <w:sz w:val="16"/>
                <w:szCs w:val="16"/>
                <w:lang w:eastAsia="en-US"/>
              </w:rPr>
              <w:t>NA</w:t>
            </w:r>
          </w:p>
        </w:tc>
        <w:tc>
          <w:tcPr>
            <w:tcW w:w="1138" w:type="dxa"/>
            <w:tcBorders>
              <w:top w:val="single" w:sz="4" w:space="0" w:color="00000A"/>
              <w:left w:val="single" w:sz="4" w:space="0" w:color="00000A"/>
              <w:bottom w:val="single" w:sz="4" w:space="0" w:color="00000A"/>
            </w:tcBorders>
            <w:shd w:val="clear" w:color="auto" w:fill="FFFFFF"/>
            <w:vAlign w:val="center"/>
          </w:tcPr>
          <w:p w14:paraId="3ED254A8" w14:textId="77777777" w:rsidR="007B35D3" w:rsidRDefault="007B35D3">
            <w:pPr>
              <w:spacing w:after="0" w:line="240" w:lineRule="auto"/>
              <w:jc w:val="center"/>
            </w:pPr>
            <w:r>
              <w:rPr>
                <w:rFonts w:ascii="Arial" w:hAnsi="Arial" w:cs="Arial"/>
                <w:sz w:val="16"/>
                <w:szCs w:val="16"/>
                <w:lang w:eastAsia="en-US"/>
              </w:rPr>
              <w:t>NA</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06913E" w14:textId="77777777" w:rsidR="007B35D3" w:rsidRDefault="007B35D3">
            <w:pPr>
              <w:spacing w:after="0" w:line="240" w:lineRule="auto"/>
              <w:jc w:val="center"/>
            </w:pPr>
            <w:r>
              <w:rPr>
                <w:rFonts w:ascii="Arial" w:hAnsi="Arial" w:cs="Arial"/>
                <w:sz w:val="16"/>
                <w:szCs w:val="16"/>
                <w:lang w:eastAsia="en-US"/>
              </w:rPr>
              <w:t xml:space="preserve">Arendt </w:t>
            </w:r>
            <w:r>
              <w:rPr>
                <w:rFonts w:ascii="Arial" w:hAnsi="Arial" w:cs="Arial"/>
                <w:i/>
                <w:iCs/>
                <w:sz w:val="16"/>
                <w:szCs w:val="16"/>
                <w:lang w:eastAsia="en-US"/>
              </w:rPr>
              <w:t>et al.</w:t>
            </w:r>
            <w:r>
              <w:rPr>
                <w:rFonts w:ascii="Arial" w:hAnsi="Arial" w:cs="Arial"/>
                <w:sz w:val="16"/>
                <w:szCs w:val="16"/>
                <w:lang w:eastAsia="en-US"/>
              </w:rPr>
              <w:t>, 2002</w:t>
            </w:r>
          </w:p>
        </w:tc>
      </w:tr>
      <w:tr w:rsidR="007B35D3" w14:paraId="613AC17D" w14:textId="77777777">
        <w:tc>
          <w:tcPr>
            <w:tcW w:w="1071" w:type="dxa"/>
            <w:tcBorders>
              <w:top w:val="single" w:sz="4" w:space="0" w:color="00000A"/>
              <w:left w:val="single" w:sz="4" w:space="0" w:color="00000A"/>
              <w:bottom w:val="single" w:sz="4" w:space="0" w:color="00000A"/>
            </w:tcBorders>
            <w:shd w:val="clear" w:color="auto" w:fill="FFFFFF"/>
            <w:vAlign w:val="center"/>
          </w:tcPr>
          <w:p w14:paraId="1A4061AC" w14:textId="77777777" w:rsidR="007B35D3" w:rsidRDefault="007B35D3">
            <w:pPr>
              <w:spacing w:after="0" w:line="240" w:lineRule="auto"/>
              <w:jc w:val="center"/>
            </w:pPr>
            <w:r>
              <w:rPr>
                <w:rFonts w:ascii="Arial" w:hAnsi="Arial" w:cs="Arial"/>
                <w:sz w:val="16"/>
                <w:szCs w:val="16"/>
                <w:lang w:eastAsia="en-US"/>
              </w:rPr>
              <w:t>31 glaciers in Iceland</w:t>
            </w:r>
          </w:p>
        </w:tc>
        <w:tc>
          <w:tcPr>
            <w:tcW w:w="898" w:type="dxa"/>
            <w:tcBorders>
              <w:top w:val="single" w:sz="4" w:space="0" w:color="00000A"/>
              <w:left w:val="single" w:sz="4" w:space="0" w:color="00000A"/>
              <w:bottom w:val="single" w:sz="4" w:space="0" w:color="00000A"/>
            </w:tcBorders>
            <w:shd w:val="clear" w:color="auto" w:fill="FFFFFF"/>
            <w:vAlign w:val="center"/>
          </w:tcPr>
          <w:p w14:paraId="32EFCB31" w14:textId="77777777" w:rsidR="007B35D3" w:rsidRDefault="007B35D3">
            <w:pPr>
              <w:spacing w:after="0" w:line="240" w:lineRule="auto"/>
              <w:jc w:val="center"/>
            </w:pPr>
            <w:r>
              <w:rPr>
                <w:rFonts w:ascii="Arial" w:hAnsi="Arial" w:cs="Arial"/>
                <w:sz w:val="16"/>
                <w:szCs w:val="16"/>
                <w:lang w:eastAsia="en-US"/>
              </w:rPr>
              <w:t>various</w:t>
            </w:r>
          </w:p>
        </w:tc>
        <w:tc>
          <w:tcPr>
            <w:tcW w:w="935" w:type="dxa"/>
            <w:tcBorders>
              <w:top w:val="single" w:sz="4" w:space="0" w:color="00000A"/>
              <w:left w:val="single" w:sz="4" w:space="0" w:color="00000A"/>
              <w:bottom w:val="single" w:sz="4" w:space="0" w:color="00000A"/>
            </w:tcBorders>
            <w:shd w:val="clear" w:color="auto" w:fill="FFFFFF"/>
            <w:vAlign w:val="center"/>
          </w:tcPr>
          <w:p w14:paraId="3452EA1F" w14:textId="77777777" w:rsidR="007B35D3" w:rsidRDefault="007B35D3">
            <w:pPr>
              <w:spacing w:after="0" w:line="240" w:lineRule="auto"/>
              <w:jc w:val="center"/>
            </w:pPr>
            <w:r>
              <w:rPr>
                <w:rFonts w:ascii="Arial" w:hAnsi="Arial" w:cs="Arial"/>
                <w:sz w:val="16"/>
                <w:szCs w:val="16"/>
                <w:lang w:eastAsia="en-US"/>
              </w:rPr>
              <w:t>NA</w:t>
            </w:r>
          </w:p>
        </w:tc>
        <w:tc>
          <w:tcPr>
            <w:tcW w:w="1234" w:type="dxa"/>
            <w:tcBorders>
              <w:top w:val="single" w:sz="4" w:space="0" w:color="00000A"/>
              <w:left w:val="single" w:sz="4" w:space="0" w:color="00000A"/>
              <w:bottom w:val="single" w:sz="4" w:space="0" w:color="00000A"/>
            </w:tcBorders>
            <w:shd w:val="clear" w:color="auto" w:fill="FFFFFF"/>
            <w:vAlign w:val="center"/>
          </w:tcPr>
          <w:p w14:paraId="6B0A9526" w14:textId="77777777" w:rsidR="007B35D3" w:rsidRDefault="007B35D3">
            <w:pPr>
              <w:spacing w:after="0" w:line="240" w:lineRule="auto"/>
              <w:jc w:val="center"/>
            </w:pPr>
            <w:r>
              <w:rPr>
                <w:rFonts w:ascii="Arial" w:hAnsi="Arial" w:cs="Arial"/>
                <w:sz w:val="16"/>
                <w:szCs w:val="16"/>
                <w:lang w:eastAsia="en-US"/>
              </w:rPr>
              <w:t>NA</w:t>
            </w:r>
          </w:p>
        </w:tc>
        <w:tc>
          <w:tcPr>
            <w:tcW w:w="976" w:type="dxa"/>
            <w:tcBorders>
              <w:top w:val="single" w:sz="4" w:space="0" w:color="00000A"/>
              <w:left w:val="single" w:sz="4" w:space="0" w:color="00000A"/>
              <w:bottom w:val="single" w:sz="4" w:space="0" w:color="00000A"/>
            </w:tcBorders>
            <w:shd w:val="clear" w:color="auto" w:fill="FFFFFF"/>
            <w:vAlign w:val="center"/>
          </w:tcPr>
          <w:p w14:paraId="1008CD51" w14:textId="77777777" w:rsidR="007B35D3" w:rsidRDefault="007B35D3">
            <w:pPr>
              <w:spacing w:after="0" w:line="240" w:lineRule="auto"/>
              <w:jc w:val="center"/>
            </w:pPr>
            <w:r>
              <w:rPr>
                <w:rFonts w:ascii="Arial" w:hAnsi="Arial" w:cs="Arial"/>
                <w:sz w:val="16"/>
                <w:szCs w:val="16"/>
                <w:lang w:eastAsia="en-US"/>
              </w:rPr>
              <w:t>NA</w:t>
            </w:r>
          </w:p>
        </w:tc>
        <w:tc>
          <w:tcPr>
            <w:tcW w:w="771" w:type="dxa"/>
            <w:tcBorders>
              <w:top w:val="single" w:sz="4" w:space="0" w:color="00000A"/>
              <w:left w:val="single" w:sz="4" w:space="0" w:color="00000A"/>
              <w:bottom w:val="single" w:sz="4" w:space="0" w:color="00000A"/>
            </w:tcBorders>
            <w:shd w:val="clear" w:color="auto" w:fill="FFFFFF"/>
            <w:vAlign w:val="center"/>
          </w:tcPr>
          <w:p w14:paraId="3CB94F4D" w14:textId="77777777" w:rsidR="007B35D3" w:rsidRDefault="007B35D3">
            <w:pPr>
              <w:spacing w:after="0" w:line="240" w:lineRule="auto"/>
              <w:jc w:val="center"/>
            </w:pPr>
            <w:r>
              <w:rPr>
                <w:rFonts w:ascii="Arial" w:hAnsi="Arial" w:cs="Arial"/>
                <w:sz w:val="16"/>
                <w:szCs w:val="16"/>
                <w:lang w:eastAsia="en-US"/>
              </w:rPr>
              <w:t>NA</w:t>
            </w:r>
          </w:p>
        </w:tc>
        <w:tc>
          <w:tcPr>
            <w:tcW w:w="1138" w:type="dxa"/>
            <w:tcBorders>
              <w:top w:val="single" w:sz="4" w:space="0" w:color="00000A"/>
              <w:left w:val="single" w:sz="4" w:space="0" w:color="00000A"/>
              <w:bottom w:val="single" w:sz="4" w:space="0" w:color="00000A"/>
            </w:tcBorders>
            <w:shd w:val="clear" w:color="auto" w:fill="FFFFFF"/>
            <w:vAlign w:val="center"/>
          </w:tcPr>
          <w:p w14:paraId="2C2423A0" w14:textId="77777777" w:rsidR="007B35D3" w:rsidRDefault="007B35D3">
            <w:pPr>
              <w:spacing w:after="0" w:line="240" w:lineRule="auto"/>
              <w:jc w:val="center"/>
            </w:pPr>
            <w:r>
              <w:rPr>
                <w:rFonts w:ascii="Arial" w:hAnsi="Arial" w:cs="Arial"/>
                <w:sz w:val="16"/>
                <w:szCs w:val="16"/>
                <w:lang w:eastAsia="en-US"/>
              </w:rPr>
              <w:t>hydrological</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778520" w14:textId="77777777" w:rsidR="007B35D3" w:rsidRDefault="007B35D3">
            <w:pPr>
              <w:spacing w:after="0" w:line="240" w:lineRule="auto"/>
              <w:jc w:val="center"/>
            </w:pPr>
            <w:r>
              <w:rPr>
                <w:rFonts w:ascii="Arial" w:hAnsi="Arial" w:cs="Arial"/>
                <w:sz w:val="16"/>
                <w:szCs w:val="16"/>
                <w:lang w:eastAsia="en-US"/>
              </w:rPr>
              <w:t xml:space="preserve">Björnsson </w:t>
            </w:r>
            <w:r>
              <w:rPr>
                <w:rFonts w:ascii="Arial" w:hAnsi="Arial" w:cs="Arial"/>
                <w:i/>
                <w:iCs/>
                <w:sz w:val="16"/>
                <w:szCs w:val="16"/>
                <w:lang w:eastAsia="en-US"/>
              </w:rPr>
              <w:t>et al.</w:t>
            </w:r>
            <w:r>
              <w:rPr>
                <w:rFonts w:ascii="Arial" w:hAnsi="Arial" w:cs="Arial"/>
                <w:sz w:val="16"/>
                <w:szCs w:val="16"/>
                <w:lang w:eastAsia="en-US"/>
              </w:rPr>
              <w:t>, 2003</w:t>
            </w:r>
          </w:p>
        </w:tc>
      </w:tr>
      <w:tr w:rsidR="007B35D3" w14:paraId="7B77C968" w14:textId="77777777">
        <w:tc>
          <w:tcPr>
            <w:tcW w:w="1071" w:type="dxa"/>
            <w:tcBorders>
              <w:left w:val="single" w:sz="4" w:space="0" w:color="00000A"/>
              <w:bottom w:val="single" w:sz="4" w:space="0" w:color="00000A"/>
            </w:tcBorders>
            <w:shd w:val="clear" w:color="auto" w:fill="FFFFFF"/>
            <w:vAlign w:val="center"/>
          </w:tcPr>
          <w:p w14:paraId="261DC057" w14:textId="77777777" w:rsidR="007B35D3" w:rsidRDefault="007B35D3">
            <w:pPr>
              <w:spacing w:after="0" w:line="240" w:lineRule="auto"/>
              <w:jc w:val="center"/>
            </w:pPr>
            <w:r>
              <w:rPr>
                <w:rFonts w:ascii="Arial" w:hAnsi="Arial" w:cs="Arial"/>
                <w:sz w:val="16"/>
                <w:szCs w:val="16"/>
                <w:lang w:eastAsia="en-US"/>
              </w:rPr>
              <w:t>Kverkjökull</w:t>
            </w:r>
          </w:p>
        </w:tc>
        <w:tc>
          <w:tcPr>
            <w:tcW w:w="898" w:type="dxa"/>
            <w:tcBorders>
              <w:left w:val="single" w:sz="4" w:space="0" w:color="00000A"/>
              <w:bottom w:val="single" w:sz="4" w:space="0" w:color="00000A"/>
            </w:tcBorders>
            <w:shd w:val="clear" w:color="auto" w:fill="FFFFFF"/>
            <w:vAlign w:val="center"/>
          </w:tcPr>
          <w:p w14:paraId="5E688612" w14:textId="77777777" w:rsidR="007B35D3" w:rsidRDefault="007B35D3">
            <w:pPr>
              <w:spacing w:after="0" w:line="240" w:lineRule="auto"/>
              <w:jc w:val="center"/>
            </w:pPr>
            <w:r>
              <w:rPr>
                <w:rFonts w:ascii="Arial" w:hAnsi="Arial" w:cs="Arial"/>
                <w:sz w:val="16"/>
                <w:szCs w:val="16"/>
                <w:lang w:eastAsia="en-US"/>
              </w:rPr>
              <w:t>2009?</w:t>
            </w:r>
            <w:r>
              <w:rPr>
                <w:rFonts w:ascii="Arial" w:eastAsia="Arial" w:hAnsi="Arial" w:cs="Arial"/>
                <w:sz w:val="16"/>
                <w:szCs w:val="16"/>
                <w:lang w:eastAsia="en-US"/>
              </w:rPr>
              <w:t>–2013</w:t>
            </w:r>
          </w:p>
        </w:tc>
        <w:tc>
          <w:tcPr>
            <w:tcW w:w="935" w:type="dxa"/>
            <w:tcBorders>
              <w:left w:val="single" w:sz="4" w:space="0" w:color="00000A"/>
              <w:bottom w:val="single" w:sz="4" w:space="0" w:color="00000A"/>
            </w:tcBorders>
            <w:shd w:val="clear" w:color="auto" w:fill="FFFFFF"/>
            <w:vAlign w:val="center"/>
          </w:tcPr>
          <w:p w14:paraId="6AEC50C8" w14:textId="77777777" w:rsidR="007B35D3" w:rsidRDefault="007B35D3">
            <w:pPr>
              <w:spacing w:after="0" w:line="240" w:lineRule="auto"/>
              <w:jc w:val="center"/>
            </w:pPr>
            <w:r>
              <w:rPr>
                <w:rFonts w:ascii="Arial" w:hAnsi="Arial" w:cs="Arial"/>
                <w:sz w:val="16"/>
                <w:szCs w:val="16"/>
                <w:lang w:eastAsia="en-US"/>
              </w:rPr>
              <w:t xml:space="preserve">? </w:t>
            </w:r>
          </w:p>
        </w:tc>
        <w:tc>
          <w:tcPr>
            <w:tcW w:w="1234" w:type="dxa"/>
            <w:tcBorders>
              <w:left w:val="single" w:sz="4" w:space="0" w:color="00000A"/>
              <w:bottom w:val="single" w:sz="4" w:space="0" w:color="00000A"/>
            </w:tcBorders>
            <w:shd w:val="clear" w:color="auto" w:fill="FFFFFF"/>
            <w:vAlign w:val="center"/>
          </w:tcPr>
          <w:p w14:paraId="7004AD6A" w14:textId="77777777" w:rsidR="007B35D3" w:rsidRDefault="007B35D3">
            <w:pPr>
              <w:spacing w:after="0" w:line="240" w:lineRule="auto"/>
              <w:jc w:val="center"/>
            </w:pPr>
            <w:r>
              <w:rPr>
                <w:rFonts w:ascii="Arial" w:hAnsi="Arial" w:cs="Arial"/>
                <w:sz w:val="16"/>
                <w:szCs w:val="16"/>
                <w:lang w:eastAsia="en-US"/>
              </w:rPr>
              <w:t>+20</w:t>
            </w:r>
          </w:p>
          <w:p w14:paraId="7E7DB3FD" w14:textId="77777777" w:rsidR="007B35D3" w:rsidRDefault="007B35D3">
            <w:pPr>
              <w:spacing w:after="0" w:line="240" w:lineRule="auto"/>
              <w:jc w:val="center"/>
            </w:pPr>
            <w:r>
              <w:rPr>
                <w:rFonts w:ascii="Arial" w:eastAsia="Arial" w:hAnsi="Arial" w:cs="Arial"/>
                <w:sz w:val="16"/>
                <w:szCs w:val="16"/>
                <w:lang w:eastAsia="en-US"/>
              </w:rPr>
              <w:t>–20?</w:t>
            </w:r>
          </w:p>
        </w:tc>
        <w:tc>
          <w:tcPr>
            <w:tcW w:w="976" w:type="dxa"/>
            <w:tcBorders>
              <w:left w:val="single" w:sz="4" w:space="0" w:color="00000A"/>
              <w:bottom w:val="single" w:sz="4" w:space="0" w:color="00000A"/>
            </w:tcBorders>
            <w:shd w:val="clear" w:color="auto" w:fill="FFFFFF"/>
            <w:vAlign w:val="center"/>
          </w:tcPr>
          <w:p w14:paraId="376EF41C" w14:textId="77777777" w:rsidR="007B35D3" w:rsidRDefault="007B35D3">
            <w:pPr>
              <w:snapToGrid w:val="0"/>
              <w:spacing w:after="0" w:line="240" w:lineRule="auto"/>
              <w:jc w:val="center"/>
            </w:pPr>
            <w:r>
              <w:rPr>
                <w:rFonts w:ascii="Ubuntu" w:eastAsia="Ubuntu" w:hAnsi="Ubuntu" w:cs="Ubuntu"/>
                <w:sz w:val="16"/>
                <w:szCs w:val="16"/>
                <w:lang w:eastAsia="en-US"/>
              </w:rPr>
              <w:t>5</w:t>
            </w:r>
            <w:r>
              <w:rPr>
                <w:rFonts w:ascii="Arial" w:eastAsia="Ubuntu" w:hAnsi="Arial" w:cs="Arial"/>
                <w:sz w:val="16"/>
                <w:szCs w:val="16"/>
                <w:lang w:eastAsia="en-US"/>
              </w:rPr>
              <w:t xml:space="preserve"> x </w:t>
            </w:r>
            <w:r>
              <w:rPr>
                <w:rFonts w:ascii="Arial" w:hAnsi="Arial" w:cs="Arial"/>
                <w:sz w:val="16"/>
                <w:szCs w:val="16"/>
                <w:lang w:eastAsia="en-US"/>
              </w:rPr>
              <w:t>10</w:t>
            </w:r>
            <w:r>
              <w:rPr>
                <w:rFonts w:ascii="Arial" w:hAnsi="Arial" w:cs="Arial"/>
                <w:sz w:val="16"/>
                <w:szCs w:val="16"/>
                <w:vertAlign w:val="superscript"/>
                <w:lang w:eastAsia="en-US"/>
              </w:rPr>
              <w:t>7</w:t>
            </w:r>
          </w:p>
        </w:tc>
        <w:tc>
          <w:tcPr>
            <w:tcW w:w="771" w:type="dxa"/>
            <w:tcBorders>
              <w:left w:val="single" w:sz="4" w:space="0" w:color="00000A"/>
              <w:bottom w:val="single" w:sz="4" w:space="0" w:color="00000A"/>
            </w:tcBorders>
            <w:shd w:val="clear" w:color="auto" w:fill="FFFFFF"/>
            <w:vAlign w:val="center"/>
          </w:tcPr>
          <w:p w14:paraId="3697B21C" w14:textId="77777777" w:rsidR="007B35D3" w:rsidRDefault="007B35D3">
            <w:pPr>
              <w:spacing w:after="0" w:line="240" w:lineRule="auto"/>
              <w:jc w:val="center"/>
            </w:pPr>
            <w:r>
              <w:rPr>
                <w:rFonts w:ascii="Arial" w:hAnsi="Arial" w:cs="Arial"/>
                <w:sz w:val="16"/>
                <w:szCs w:val="16"/>
                <w:lang w:eastAsia="en-US"/>
              </w:rPr>
              <w:t>1?</w:t>
            </w:r>
          </w:p>
        </w:tc>
        <w:tc>
          <w:tcPr>
            <w:tcW w:w="1138" w:type="dxa"/>
            <w:tcBorders>
              <w:left w:val="single" w:sz="4" w:space="0" w:color="00000A"/>
              <w:bottom w:val="single" w:sz="4" w:space="0" w:color="00000A"/>
            </w:tcBorders>
            <w:shd w:val="clear" w:color="auto" w:fill="FFFFFF"/>
            <w:vAlign w:val="center"/>
          </w:tcPr>
          <w:p w14:paraId="7498B123" w14:textId="77777777" w:rsidR="007B35D3" w:rsidRDefault="007B35D3">
            <w:pPr>
              <w:spacing w:after="0" w:line="240" w:lineRule="auto"/>
              <w:jc w:val="center"/>
            </w:pPr>
            <w:r>
              <w:rPr>
                <w:rFonts w:ascii="Arial" w:hAnsi="Arial" w:cs="Arial"/>
                <w:sz w:val="16"/>
                <w:szCs w:val="16"/>
                <w:lang w:eastAsia="en-US"/>
              </w:rPr>
              <w:t>hydrological</w:t>
            </w:r>
          </w:p>
        </w:tc>
        <w:tc>
          <w:tcPr>
            <w:tcW w:w="988" w:type="dxa"/>
            <w:tcBorders>
              <w:left w:val="single" w:sz="4" w:space="0" w:color="00000A"/>
              <w:bottom w:val="single" w:sz="4" w:space="0" w:color="00000A"/>
              <w:right w:val="single" w:sz="4" w:space="0" w:color="00000A"/>
            </w:tcBorders>
            <w:shd w:val="clear" w:color="auto" w:fill="FFFFFF"/>
            <w:vAlign w:val="center"/>
          </w:tcPr>
          <w:p w14:paraId="20D08B2C" w14:textId="77777777" w:rsidR="007B35D3" w:rsidRDefault="007B35D3">
            <w:pPr>
              <w:spacing w:after="0" w:line="240" w:lineRule="auto"/>
              <w:jc w:val="center"/>
            </w:pPr>
            <w:r>
              <w:rPr>
                <w:rFonts w:ascii="Arial" w:hAnsi="Arial" w:cs="Arial"/>
                <w:sz w:val="16"/>
                <w:szCs w:val="16"/>
                <w:lang w:eastAsia="en-US"/>
              </w:rPr>
              <w:t>this paper</w:t>
            </w:r>
          </w:p>
        </w:tc>
      </w:tr>
    </w:tbl>
    <w:p w14:paraId="3D76A45A" w14:textId="77777777" w:rsidR="00C82090" w:rsidRDefault="00C82090">
      <w:pPr>
        <w:spacing w:after="0"/>
        <w:rPr>
          <w:lang w:eastAsia="en-US"/>
        </w:rPr>
      </w:pPr>
    </w:p>
    <w:p w14:paraId="0B8BD70E" w14:textId="1C810BEA" w:rsidR="00C82090" w:rsidRDefault="00C37608">
      <w:pPr>
        <w:spacing w:after="0" w:line="240" w:lineRule="auto"/>
      </w:pPr>
      <w:r>
        <w:rPr>
          <w:b/>
          <w:lang w:eastAsia="en-US"/>
        </w:rPr>
        <w:t>Table 1.</w:t>
      </w:r>
      <w:r>
        <w:rPr>
          <w:lang w:eastAsia="en-US"/>
        </w:rPr>
        <w:t xml:space="preserve"> A summary of the quantified geometry changes during surges of land-terminating glaciers. For interest and comparison, King </w:t>
      </w:r>
      <w:r w:rsidRPr="00A22170">
        <w:rPr>
          <w:i/>
          <w:iCs/>
          <w:lang w:eastAsia="en-US"/>
        </w:rPr>
        <w:t>et al.</w:t>
      </w:r>
      <w:r>
        <w:rPr>
          <w:lang w:eastAsia="en-US"/>
        </w:rPr>
        <w:t xml:space="preserve"> (2015) tabulate similar parameters of surges of ocean-terminating glaciers.</w:t>
      </w:r>
      <w:r>
        <w:rPr>
          <w:vertAlign w:val="superscript"/>
          <w:lang w:eastAsia="en-US"/>
        </w:rPr>
        <w:t>++</w:t>
      </w:r>
      <w:r w:rsidR="00682694">
        <w:rPr>
          <w:vertAlign w:val="superscript"/>
          <w:lang w:eastAsia="en-US"/>
        </w:rPr>
        <w:t xml:space="preserve"> </w:t>
      </w:r>
      <w:r w:rsidR="00682694" w:rsidRPr="00682694">
        <w:rPr>
          <w:lang w:eastAsia="en-US"/>
        </w:rPr>
        <w:t>note that</w:t>
      </w:r>
      <w:r w:rsidR="00682694">
        <w:rPr>
          <w:vertAlign w:val="superscript"/>
          <w:lang w:eastAsia="en-US"/>
        </w:rPr>
        <w:t xml:space="preserve"> </w:t>
      </w:r>
      <w:r>
        <w:rPr>
          <w:lang w:eastAsia="en-US"/>
        </w:rPr>
        <w:t>elevation changes occur over different time periods,*</w:t>
      </w:r>
      <w:r w:rsidR="00682694">
        <w:rPr>
          <w:lang w:eastAsia="en-US"/>
        </w:rPr>
        <w:t xml:space="preserve"> note that </w:t>
      </w:r>
      <w:r w:rsidRPr="00682694">
        <w:rPr>
          <w:lang w:eastAsia="en-US"/>
        </w:rPr>
        <w:t xml:space="preserve">elevation changes reported </w:t>
      </w:r>
      <w:r w:rsidR="00682694">
        <w:rPr>
          <w:lang w:eastAsia="en-US"/>
        </w:rPr>
        <w:t>probably include a time period of quiescence as well as the surge</w:t>
      </w:r>
    </w:p>
    <w:p w14:paraId="0EC5FD12" w14:textId="77777777" w:rsidR="00C82090" w:rsidRDefault="00C82090">
      <w:pPr>
        <w:spacing w:after="0" w:line="240" w:lineRule="auto"/>
        <w:rPr>
          <w:lang w:eastAsia="en-US"/>
        </w:rPr>
      </w:pPr>
    </w:p>
    <w:p w14:paraId="5C8A4BDE" w14:textId="77777777" w:rsidR="00C82090" w:rsidRDefault="00C82090">
      <w:pPr>
        <w:spacing w:after="0" w:line="240" w:lineRule="auto"/>
        <w:rPr>
          <w:lang w:eastAsia="en-US"/>
        </w:rPr>
      </w:pPr>
    </w:p>
    <w:p w14:paraId="408D638F" w14:textId="77777777" w:rsidR="00C82090" w:rsidRDefault="00C82090">
      <w:pPr>
        <w:spacing w:after="0" w:line="240" w:lineRule="auto"/>
        <w:rPr>
          <w:lang w:eastAsia="en-US"/>
        </w:rPr>
      </w:pPr>
    </w:p>
    <w:p w14:paraId="0B312B9C" w14:textId="77777777" w:rsidR="00C82090" w:rsidRDefault="00C82090">
      <w:pPr>
        <w:spacing w:after="0" w:line="240" w:lineRule="auto"/>
        <w:rPr>
          <w:lang w:eastAsia="en-US"/>
        </w:rPr>
      </w:pPr>
    </w:p>
    <w:p w14:paraId="7862BE29" w14:textId="77777777" w:rsidR="00C82090" w:rsidRDefault="00C82090">
      <w:pPr>
        <w:spacing w:after="0" w:line="240" w:lineRule="auto"/>
        <w:rPr>
          <w:lang w:eastAsia="en-US"/>
        </w:rPr>
      </w:pPr>
    </w:p>
    <w:p w14:paraId="7F261776" w14:textId="77777777" w:rsidR="00C82090" w:rsidRDefault="00C82090">
      <w:pPr>
        <w:spacing w:after="0" w:line="240" w:lineRule="auto"/>
        <w:rPr>
          <w:lang w:eastAsia="en-US"/>
        </w:rPr>
      </w:pPr>
    </w:p>
    <w:p w14:paraId="735F11B6" w14:textId="77777777" w:rsidR="00C82090" w:rsidRDefault="00C82090">
      <w:pPr>
        <w:spacing w:after="0" w:line="240" w:lineRule="auto"/>
        <w:rPr>
          <w:lang w:eastAsia="en-US"/>
        </w:rPr>
      </w:pPr>
    </w:p>
    <w:p w14:paraId="21375919" w14:textId="77777777" w:rsidR="00C82090" w:rsidRDefault="00C82090">
      <w:pPr>
        <w:spacing w:after="0" w:line="240" w:lineRule="auto"/>
        <w:rPr>
          <w:lang w:eastAsia="en-US"/>
        </w:rPr>
      </w:pPr>
    </w:p>
    <w:p w14:paraId="6361CFCC" w14:textId="77777777" w:rsidR="00C82090" w:rsidRDefault="00C82090">
      <w:pPr>
        <w:spacing w:after="0" w:line="240" w:lineRule="auto"/>
        <w:rPr>
          <w:lang w:eastAsia="en-US"/>
        </w:rPr>
      </w:pPr>
    </w:p>
    <w:p w14:paraId="3A6DBC65" w14:textId="77777777" w:rsidR="00C82090" w:rsidRDefault="00C82090">
      <w:pPr>
        <w:spacing w:after="0" w:line="240" w:lineRule="auto"/>
        <w:rPr>
          <w:lang w:eastAsia="en-US"/>
        </w:rPr>
      </w:pPr>
    </w:p>
    <w:p w14:paraId="3B91781A" w14:textId="77777777" w:rsidR="00C82090" w:rsidRDefault="00C82090">
      <w:pPr>
        <w:spacing w:after="0" w:line="240" w:lineRule="auto"/>
        <w:rPr>
          <w:sz w:val="24"/>
          <w:szCs w:val="24"/>
          <w:lang w:eastAsia="en-US"/>
        </w:rPr>
      </w:pPr>
    </w:p>
    <w:tbl>
      <w:tblPr>
        <w:tblW w:w="0" w:type="auto"/>
        <w:tblInd w:w="-20" w:type="dxa"/>
        <w:tblLayout w:type="fixed"/>
        <w:tblCellMar>
          <w:left w:w="113" w:type="dxa"/>
        </w:tblCellMar>
        <w:tblLook w:val="0000" w:firstRow="0" w:lastRow="0" w:firstColumn="0" w:lastColumn="0" w:noHBand="0" w:noVBand="0"/>
      </w:tblPr>
      <w:tblGrid>
        <w:gridCol w:w="1823"/>
        <w:gridCol w:w="729"/>
        <w:gridCol w:w="761"/>
        <w:gridCol w:w="1222"/>
        <w:gridCol w:w="993"/>
        <w:gridCol w:w="717"/>
        <w:gridCol w:w="844"/>
        <w:gridCol w:w="708"/>
        <w:gridCol w:w="710"/>
        <w:gridCol w:w="709"/>
        <w:gridCol w:w="876"/>
      </w:tblGrid>
      <w:tr w:rsidR="00C82090" w14:paraId="56836560" w14:textId="77777777">
        <w:trPr>
          <w:cantSplit/>
          <w:trHeight w:hRule="exact" w:val="1692"/>
        </w:trPr>
        <w:tc>
          <w:tcPr>
            <w:tcW w:w="1823" w:type="dxa"/>
            <w:tcBorders>
              <w:top w:val="single" w:sz="4" w:space="0" w:color="00000A"/>
              <w:left w:val="single" w:sz="4" w:space="0" w:color="00000A"/>
              <w:bottom w:val="single" w:sz="4" w:space="0" w:color="00000A"/>
            </w:tcBorders>
            <w:shd w:val="clear" w:color="auto" w:fill="auto"/>
            <w:textDirection w:val="btLr"/>
            <w:vAlign w:val="center"/>
          </w:tcPr>
          <w:p w14:paraId="56B94633" w14:textId="77777777" w:rsidR="00C82090" w:rsidRDefault="00C37608">
            <w:pPr>
              <w:spacing w:after="0" w:line="240" w:lineRule="auto"/>
              <w:ind w:left="113" w:right="113"/>
              <w:jc w:val="center"/>
            </w:pPr>
            <w:r>
              <w:rPr>
                <w:rFonts w:ascii="Arial" w:hAnsi="Arial" w:cs="Arial"/>
                <w:bCs/>
                <w:color w:val="000000"/>
                <w:sz w:val="16"/>
                <w:szCs w:val="16"/>
              </w:rPr>
              <w:t>Catalogue Id.</w:t>
            </w:r>
          </w:p>
        </w:tc>
        <w:tc>
          <w:tcPr>
            <w:tcW w:w="729" w:type="dxa"/>
            <w:tcBorders>
              <w:top w:val="single" w:sz="4" w:space="0" w:color="00000A"/>
              <w:left w:val="single" w:sz="4" w:space="0" w:color="00000A"/>
              <w:bottom w:val="single" w:sz="4" w:space="0" w:color="00000A"/>
            </w:tcBorders>
            <w:shd w:val="clear" w:color="auto" w:fill="auto"/>
            <w:textDirection w:val="btLr"/>
            <w:vAlign w:val="center"/>
          </w:tcPr>
          <w:p w14:paraId="1CC6FAAE" w14:textId="77777777" w:rsidR="00C82090" w:rsidRDefault="00C37608">
            <w:pPr>
              <w:spacing w:after="0" w:line="240" w:lineRule="auto"/>
              <w:ind w:left="113" w:right="113"/>
              <w:jc w:val="center"/>
            </w:pPr>
            <w:r>
              <w:rPr>
                <w:rFonts w:ascii="Arial" w:hAnsi="Arial" w:cs="Arial"/>
                <w:bCs/>
                <w:color w:val="000000"/>
                <w:sz w:val="16"/>
                <w:szCs w:val="16"/>
              </w:rPr>
              <w:t>Imaging Bands</w:t>
            </w:r>
          </w:p>
        </w:tc>
        <w:tc>
          <w:tcPr>
            <w:tcW w:w="761" w:type="dxa"/>
            <w:tcBorders>
              <w:top w:val="single" w:sz="4" w:space="0" w:color="00000A"/>
              <w:left w:val="single" w:sz="4" w:space="0" w:color="00000A"/>
              <w:bottom w:val="single" w:sz="4" w:space="0" w:color="00000A"/>
            </w:tcBorders>
            <w:shd w:val="clear" w:color="auto" w:fill="auto"/>
            <w:textDirection w:val="btLr"/>
            <w:vAlign w:val="center"/>
          </w:tcPr>
          <w:p w14:paraId="188BAB1F" w14:textId="77777777" w:rsidR="00C82090" w:rsidRDefault="00C37608">
            <w:pPr>
              <w:spacing w:after="0" w:line="240" w:lineRule="auto"/>
              <w:ind w:left="113" w:right="113"/>
              <w:jc w:val="center"/>
            </w:pPr>
            <w:r>
              <w:rPr>
                <w:rFonts w:ascii="Arial" w:hAnsi="Arial" w:cs="Arial"/>
                <w:bCs/>
                <w:color w:val="000000"/>
                <w:sz w:val="16"/>
                <w:szCs w:val="16"/>
              </w:rPr>
              <w:t>Spacecraft</w:t>
            </w:r>
          </w:p>
        </w:tc>
        <w:tc>
          <w:tcPr>
            <w:tcW w:w="1222" w:type="dxa"/>
            <w:tcBorders>
              <w:top w:val="single" w:sz="4" w:space="0" w:color="00000A"/>
              <w:left w:val="single" w:sz="4" w:space="0" w:color="00000A"/>
              <w:bottom w:val="single" w:sz="4" w:space="0" w:color="00000A"/>
            </w:tcBorders>
            <w:shd w:val="clear" w:color="auto" w:fill="auto"/>
            <w:textDirection w:val="btLr"/>
            <w:vAlign w:val="center"/>
          </w:tcPr>
          <w:p w14:paraId="413089CC" w14:textId="77777777" w:rsidR="00C82090" w:rsidRDefault="00C37608">
            <w:pPr>
              <w:spacing w:after="0" w:line="240" w:lineRule="auto"/>
              <w:ind w:left="113" w:right="113"/>
              <w:jc w:val="center"/>
            </w:pPr>
            <w:r>
              <w:rPr>
                <w:rFonts w:ascii="Arial" w:hAnsi="Arial" w:cs="Arial"/>
                <w:bCs/>
                <w:color w:val="000000"/>
                <w:sz w:val="16"/>
                <w:szCs w:val="16"/>
              </w:rPr>
              <w:t>Acquisition Date</w:t>
            </w:r>
          </w:p>
        </w:tc>
        <w:tc>
          <w:tcPr>
            <w:tcW w:w="993" w:type="dxa"/>
            <w:tcBorders>
              <w:top w:val="single" w:sz="4" w:space="0" w:color="00000A"/>
              <w:left w:val="single" w:sz="4" w:space="0" w:color="00000A"/>
              <w:bottom w:val="single" w:sz="4" w:space="0" w:color="00000A"/>
            </w:tcBorders>
            <w:shd w:val="clear" w:color="auto" w:fill="auto"/>
            <w:textDirection w:val="btLr"/>
            <w:vAlign w:val="center"/>
          </w:tcPr>
          <w:p w14:paraId="7E232029" w14:textId="77777777" w:rsidR="00C82090" w:rsidRDefault="00C37608">
            <w:pPr>
              <w:spacing w:after="0" w:line="240" w:lineRule="auto"/>
              <w:ind w:left="113" w:right="113"/>
              <w:jc w:val="center"/>
            </w:pPr>
            <w:r>
              <w:rPr>
                <w:rFonts w:ascii="Arial" w:hAnsi="Arial" w:cs="Arial"/>
                <w:bCs/>
                <w:color w:val="000000"/>
                <w:sz w:val="16"/>
                <w:szCs w:val="16"/>
              </w:rPr>
              <w:t>Total Max Off Nadir Angle (</w:t>
            </w:r>
            <w:r>
              <w:rPr>
                <w:rFonts w:ascii="Arial" w:hAnsi="Arial" w:cs="Arial"/>
                <w:bCs/>
                <w:color w:val="000000"/>
                <w:sz w:val="16"/>
                <w:szCs w:val="16"/>
                <w:vertAlign w:val="superscript"/>
              </w:rPr>
              <w:t>o</w:t>
            </w:r>
            <w:r>
              <w:rPr>
                <w:rFonts w:ascii="Arial" w:hAnsi="Arial" w:cs="Arial"/>
                <w:bCs/>
                <w:color w:val="000000"/>
                <w:sz w:val="16"/>
                <w:szCs w:val="16"/>
              </w:rPr>
              <w:t>)</w:t>
            </w:r>
          </w:p>
        </w:tc>
        <w:tc>
          <w:tcPr>
            <w:tcW w:w="717" w:type="dxa"/>
            <w:tcBorders>
              <w:top w:val="single" w:sz="4" w:space="0" w:color="00000A"/>
              <w:left w:val="single" w:sz="4" w:space="0" w:color="00000A"/>
              <w:bottom w:val="single" w:sz="4" w:space="0" w:color="00000A"/>
            </w:tcBorders>
            <w:shd w:val="clear" w:color="auto" w:fill="auto"/>
            <w:textDirection w:val="btLr"/>
            <w:vAlign w:val="center"/>
          </w:tcPr>
          <w:p w14:paraId="2495C8EC" w14:textId="77777777" w:rsidR="00C82090" w:rsidRDefault="00C37608">
            <w:pPr>
              <w:spacing w:after="0" w:line="240" w:lineRule="auto"/>
              <w:ind w:left="113" w:right="113"/>
              <w:jc w:val="center"/>
            </w:pPr>
            <w:r>
              <w:rPr>
                <w:rFonts w:ascii="Arial" w:hAnsi="Arial" w:cs="Arial"/>
                <w:bCs/>
                <w:color w:val="000000"/>
                <w:sz w:val="16"/>
                <w:szCs w:val="16"/>
              </w:rPr>
              <w:t>Area Max Off Nadir Angle (</w:t>
            </w:r>
            <w:r>
              <w:rPr>
                <w:rFonts w:ascii="Arial" w:hAnsi="Arial" w:cs="Arial"/>
                <w:bCs/>
                <w:color w:val="000000"/>
                <w:sz w:val="16"/>
                <w:szCs w:val="16"/>
                <w:vertAlign w:val="superscript"/>
              </w:rPr>
              <w:t>o</w:t>
            </w:r>
            <w:r>
              <w:rPr>
                <w:rFonts w:ascii="Arial" w:hAnsi="Arial" w:cs="Arial"/>
                <w:bCs/>
                <w:color w:val="000000"/>
                <w:sz w:val="16"/>
                <w:szCs w:val="16"/>
              </w:rPr>
              <w:t>)</w:t>
            </w:r>
          </w:p>
        </w:tc>
        <w:tc>
          <w:tcPr>
            <w:tcW w:w="844" w:type="dxa"/>
            <w:tcBorders>
              <w:top w:val="single" w:sz="4" w:space="0" w:color="00000A"/>
              <w:left w:val="single" w:sz="4" w:space="0" w:color="00000A"/>
              <w:bottom w:val="single" w:sz="4" w:space="0" w:color="00000A"/>
            </w:tcBorders>
            <w:shd w:val="clear" w:color="auto" w:fill="auto"/>
            <w:textDirection w:val="btLr"/>
            <w:vAlign w:val="center"/>
          </w:tcPr>
          <w:p w14:paraId="2149BB4F" w14:textId="77777777" w:rsidR="00C82090" w:rsidRDefault="00C37608">
            <w:pPr>
              <w:spacing w:after="0" w:line="240" w:lineRule="auto"/>
              <w:ind w:left="113" w:right="113"/>
              <w:jc w:val="center"/>
            </w:pPr>
            <w:r>
              <w:rPr>
                <w:rFonts w:ascii="Arial" w:hAnsi="Arial" w:cs="Arial"/>
                <w:bCs/>
                <w:color w:val="000000"/>
                <w:sz w:val="16"/>
                <w:szCs w:val="16"/>
              </w:rPr>
              <w:t>Area Min Sun Elevation (km</w:t>
            </w:r>
            <w:r>
              <w:rPr>
                <w:rFonts w:ascii="Arial" w:hAnsi="Arial" w:cs="Arial"/>
                <w:bCs/>
                <w:color w:val="000000"/>
                <w:sz w:val="16"/>
                <w:szCs w:val="16"/>
                <w:vertAlign w:val="superscript"/>
              </w:rPr>
              <w:t>2</w:t>
            </w:r>
            <w:r>
              <w:rPr>
                <w:rFonts w:ascii="Arial" w:hAnsi="Arial" w:cs="Arial"/>
                <w:bCs/>
                <w:color w:val="000000"/>
                <w:sz w:val="16"/>
                <w:szCs w:val="16"/>
              </w:rPr>
              <w:t>)</w:t>
            </w:r>
          </w:p>
        </w:tc>
        <w:tc>
          <w:tcPr>
            <w:tcW w:w="708" w:type="dxa"/>
            <w:tcBorders>
              <w:top w:val="single" w:sz="4" w:space="0" w:color="00000A"/>
              <w:left w:val="single" w:sz="4" w:space="0" w:color="00000A"/>
              <w:bottom w:val="single" w:sz="4" w:space="0" w:color="00000A"/>
            </w:tcBorders>
            <w:shd w:val="clear" w:color="auto" w:fill="auto"/>
            <w:textDirection w:val="btLr"/>
            <w:vAlign w:val="center"/>
          </w:tcPr>
          <w:p w14:paraId="24A39AAB" w14:textId="77777777" w:rsidR="00C82090" w:rsidRDefault="00C37608">
            <w:pPr>
              <w:spacing w:after="0" w:line="240" w:lineRule="auto"/>
              <w:ind w:left="113" w:right="113"/>
              <w:jc w:val="center"/>
            </w:pPr>
            <w:r>
              <w:rPr>
                <w:rFonts w:ascii="Arial" w:hAnsi="Arial" w:cs="Arial"/>
                <w:bCs/>
                <w:color w:val="000000"/>
                <w:sz w:val="16"/>
                <w:szCs w:val="16"/>
              </w:rPr>
              <w:t>Area Max GSD (km</w:t>
            </w:r>
            <w:r>
              <w:rPr>
                <w:rFonts w:ascii="Arial" w:hAnsi="Arial" w:cs="Arial"/>
                <w:bCs/>
                <w:color w:val="000000"/>
                <w:sz w:val="16"/>
                <w:szCs w:val="16"/>
                <w:vertAlign w:val="superscript"/>
              </w:rPr>
              <w:t>2</w:t>
            </w:r>
            <w:r>
              <w:rPr>
                <w:rFonts w:ascii="Arial" w:hAnsi="Arial" w:cs="Arial"/>
                <w:bCs/>
                <w:color w:val="000000"/>
                <w:sz w:val="16"/>
                <w:szCs w:val="16"/>
              </w:rPr>
              <w:t>)</w:t>
            </w:r>
          </w:p>
        </w:tc>
        <w:tc>
          <w:tcPr>
            <w:tcW w:w="710" w:type="dxa"/>
            <w:tcBorders>
              <w:top w:val="single" w:sz="4" w:space="0" w:color="00000A"/>
              <w:left w:val="single" w:sz="4" w:space="0" w:color="00000A"/>
              <w:bottom w:val="single" w:sz="4" w:space="0" w:color="00000A"/>
            </w:tcBorders>
            <w:shd w:val="clear" w:color="auto" w:fill="auto"/>
            <w:textDirection w:val="btLr"/>
            <w:vAlign w:val="center"/>
          </w:tcPr>
          <w:p w14:paraId="33716B36" w14:textId="77777777" w:rsidR="00C82090" w:rsidRDefault="00C37608">
            <w:pPr>
              <w:spacing w:after="0" w:line="240" w:lineRule="auto"/>
              <w:ind w:left="113" w:right="113"/>
              <w:jc w:val="center"/>
            </w:pPr>
            <w:r>
              <w:rPr>
                <w:rFonts w:ascii="Arial" w:hAnsi="Arial" w:cs="Arial"/>
                <w:bCs/>
                <w:color w:val="000000"/>
                <w:sz w:val="16"/>
                <w:szCs w:val="16"/>
              </w:rPr>
              <w:t>Total Cloud Cover (%)</w:t>
            </w:r>
          </w:p>
        </w:tc>
        <w:tc>
          <w:tcPr>
            <w:tcW w:w="709" w:type="dxa"/>
            <w:tcBorders>
              <w:top w:val="single" w:sz="4" w:space="0" w:color="00000A"/>
              <w:left w:val="single" w:sz="4" w:space="0" w:color="00000A"/>
              <w:bottom w:val="single" w:sz="4" w:space="0" w:color="00000A"/>
            </w:tcBorders>
            <w:shd w:val="clear" w:color="auto" w:fill="auto"/>
            <w:textDirection w:val="btLr"/>
            <w:vAlign w:val="center"/>
          </w:tcPr>
          <w:p w14:paraId="212ACF56" w14:textId="77777777" w:rsidR="00C82090" w:rsidRDefault="00C37608">
            <w:pPr>
              <w:spacing w:after="0" w:line="240" w:lineRule="auto"/>
              <w:ind w:left="113" w:right="113"/>
              <w:jc w:val="center"/>
            </w:pPr>
            <w:r>
              <w:rPr>
                <w:rFonts w:ascii="Arial" w:hAnsi="Arial" w:cs="Arial"/>
                <w:bCs/>
                <w:color w:val="000000"/>
                <w:sz w:val="16"/>
                <w:szCs w:val="16"/>
              </w:rPr>
              <w:t>Area Cloud Cover (%)</w:t>
            </w:r>
          </w:p>
        </w:tc>
        <w:tc>
          <w:tcPr>
            <w:tcW w:w="876" w:type="dxa"/>
            <w:tcBorders>
              <w:top w:val="single" w:sz="4" w:space="0" w:color="00000A"/>
              <w:left w:val="single" w:sz="4" w:space="0" w:color="00000A"/>
              <w:bottom w:val="single" w:sz="4" w:space="0" w:color="00000A"/>
              <w:right w:val="single" w:sz="4" w:space="0" w:color="00000A"/>
            </w:tcBorders>
            <w:shd w:val="clear" w:color="auto" w:fill="auto"/>
            <w:textDirection w:val="btLr"/>
            <w:vAlign w:val="center"/>
          </w:tcPr>
          <w:p w14:paraId="0260CC1F" w14:textId="77777777" w:rsidR="00C82090" w:rsidRDefault="00C37608">
            <w:pPr>
              <w:spacing w:after="0" w:line="240" w:lineRule="auto"/>
              <w:ind w:left="113" w:right="113"/>
              <w:jc w:val="center"/>
            </w:pPr>
            <w:r>
              <w:rPr>
                <w:rFonts w:ascii="Arial" w:hAnsi="Arial" w:cs="Arial"/>
                <w:bCs/>
                <w:color w:val="000000"/>
                <w:sz w:val="16"/>
                <w:szCs w:val="16"/>
              </w:rPr>
              <w:t>Resolution after resampling (m)</w:t>
            </w:r>
          </w:p>
        </w:tc>
      </w:tr>
      <w:tr w:rsidR="00C82090" w14:paraId="6BF10406" w14:textId="77777777">
        <w:tc>
          <w:tcPr>
            <w:tcW w:w="1823" w:type="dxa"/>
            <w:tcBorders>
              <w:top w:val="single" w:sz="4" w:space="0" w:color="00000A"/>
              <w:left w:val="single" w:sz="4" w:space="0" w:color="00000A"/>
              <w:bottom w:val="single" w:sz="4" w:space="0" w:color="00000A"/>
            </w:tcBorders>
            <w:shd w:val="clear" w:color="auto" w:fill="auto"/>
            <w:vAlign w:val="center"/>
          </w:tcPr>
          <w:p w14:paraId="09D502DA" w14:textId="77777777" w:rsidR="00C82090" w:rsidRDefault="00C37608">
            <w:pPr>
              <w:spacing w:after="0" w:line="240" w:lineRule="auto"/>
              <w:jc w:val="center"/>
            </w:pPr>
            <w:r>
              <w:rPr>
                <w:rFonts w:ascii="Arial" w:eastAsia="Arial" w:hAnsi="Arial" w:cs="Arial"/>
                <w:sz w:val="16"/>
                <w:szCs w:val="16"/>
              </w:rPr>
              <w:t xml:space="preserve"> </w:t>
            </w:r>
            <w:r>
              <w:rPr>
                <w:rFonts w:ascii="Arial" w:hAnsi="Arial" w:cs="Arial"/>
                <w:sz w:val="16"/>
                <w:szCs w:val="16"/>
              </w:rPr>
              <w:t>1020010016648200</w:t>
            </w:r>
          </w:p>
        </w:tc>
        <w:tc>
          <w:tcPr>
            <w:tcW w:w="729" w:type="dxa"/>
            <w:tcBorders>
              <w:top w:val="single" w:sz="4" w:space="0" w:color="00000A"/>
              <w:left w:val="single" w:sz="4" w:space="0" w:color="00000A"/>
              <w:bottom w:val="single" w:sz="4" w:space="0" w:color="00000A"/>
            </w:tcBorders>
            <w:shd w:val="clear" w:color="auto" w:fill="auto"/>
            <w:vAlign w:val="center"/>
          </w:tcPr>
          <w:p w14:paraId="4BDB09AF" w14:textId="77777777" w:rsidR="00C82090" w:rsidRDefault="00C37608">
            <w:pPr>
              <w:spacing w:after="0" w:line="240" w:lineRule="auto"/>
              <w:jc w:val="center"/>
            </w:pPr>
            <w:r>
              <w:rPr>
                <w:rFonts w:ascii="Arial" w:hAnsi="Arial" w:cs="Arial"/>
                <w:sz w:val="16"/>
                <w:szCs w:val="16"/>
              </w:rPr>
              <w:t>Pan</w:t>
            </w:r>
          </w:p>
        </w:tc>
        <w:tc>
          <w:tcPr>
            <w:tcW w:w="761" w:type="dxa"/>
            <w:tcBorders>
              <w:top w:val="single" w:sz="4" w:space="0" w:color="00000A"/>
              <w:left w:val="single" w:sz="4" w:space="0" w:color="00000A"/>
              <w:bottom w:val="single" w:sz="4" w:space="0" w:color="00000A"/>
            </w:tcBorders>
            <w:shd w:val="clear" w:color="auto" w:fill="auto"/>
            <w:vAlign w:val="center"/>
          </w:tcPr>
          <w:p w14:paraId="2D0F6A06" w14:textId="77777777" w:rsidR="00C82090" w:rsidRDefault="00C37608">
            <w:pPr>
              <w:spacing w:after="0" w:line="240" w:lineRule="auto"/>
              <w:jc w:val="center"/>
            </w:pPr>
            <w:r>
              <w:rPr>
                <w:rFonts w:ascii="Arial" w:hAnsi="Arial" w:cs="Arial"/>
                <w:sz w:val="16"/>
                <w:szCs w:val="16"/>
              </w:rPr>
              <w:t>WV01</w:t>
            </w:r>
          </w:p>
        </w:tc>
        <w:tc>
          <w:tcPr>
            <w:tcW w:w="1222" w:type="dxa"/>
            <w:tcBorders>
              <w:top w:val="single" w:sz="4" w:space="0" w:color="00000A"/>
              <w:left w:val="single" w:sz="4" w:space="0" w:color="00000A"/>
              <w:bottom w:val="single" w:sz="4" w:space="0" w:color="00000A"/>
            </w:tcBorders>
            <w:shd w:val="clear" w:color="auto" w:fill="auto"/>
            <w:vAlign w:val="center"/>
          </w:tcPr>
          <w:p w14:paraId="43632DCA" w14:textId="77777777" w:rsidR="00C82090" w:rsidRDefault="00C37608">
            <w:pPr>
              <w:spacing w:after="0" w:line="240" w:lineRule="auto"/>
              <w:jc w:val="center"/>
            </w:pPr>
            <w:r>
              <w:rPr>
                <w:rFonts w:ascii="Arial" w:hAnsi="Arial" w:cs="Arial"/>
                <w:sz w:val="16"/>
                <w:szCs w:val="16"/>
              </w:rPr>
              <w:t>22</w:t>
            </w:r>
            <w:r>
              <w:rPr>
                <w:rFonts w:ascii="Arial" w:hAnsi="Arial" w:cs="Arial"/>
                <w:sz w:val="16"/>
                <w:szCs w:val="16"/>
                <w:vertAlign w:val="superscript"/>
              </w:rPr>
              <w:t>nd</w:t>
            </w:r>
            <w:r>
              <w:rPr>
                <w:rFonts w:ascii="Arial" w:hAnsi="Arial" w:cs="Arial"/>
                <w:sz w:val="16"/>
                <w:szCs w:val="16"/>
              </w:rPr>
              <w:t xml:space="preserve"> September 2011</w:t>
            </w:r>
          </w:p>
        </w:tc>
        <w:tc>
          <w:tcPr>
            <w:tcW w:w="993" w:type="dxa"/>
            <w:tcBorders>
              <w:top w:val="single" w:sz="4" w:space="0" w:color="00000A"/>
              <w:left w:val="single" w:sz="4" w:space="0" w:color="00000A"/>
              <w:bottom w:val="single" w:sz="4" w:space="0" w:color="00000A"/>
            </w:tcBorders>
            <w:shd w:val="clear" w:color="auto" w:fill="auto"/>
            <w:vAlign w:val="center"/>
          </w:tcPr>
          <w:p w14:paraId="4EE06E68" w14:textId="77777777" w:rsidR="00C82090" w:rsidRDefault="00C37608">
            <w:pPr>
              <w:spacing w:after="0" w:line="240" w:lineRule="auto"/>
              <w:jc w:val="center"/>
            </w:pPr>
            <w:r>
              <w:rPr>
                <w:rFonts w:ascii="Arial" w:hAnsi="Arial" w:cs="Arial"/>
                <w:sz w:val="16"/>
                <w:szCs w:val="16"/>
              </w:rPr>
              <w:t>18.68</w:t>
            </w:r>
          </w:p>
        </w:tc>
        <w:tc>
          <w:tcPr>
            <w:tcW w:w="717" w:type="dxa"/>
            <w:tcBorders>
              <w:top w:val="single" w:sz="4" w:space="0" w:color="00000A"/>
              <w:left w:val="single" w:sz="4" w:space="0" w:color="00000A"/>
              <w:bottom w:val="single" w:sz="4" w:space="0" w:color="00000A"/>
            </w:tcBorders>
            <w:shd w:val="clear" w:color="auto" w:fill="auto"/>
            <w:vAlign w:val="center"/>
          </w:tcPr>
          <w:p w14:paraId="12F86553" w14:textId="77777777" w:rsidR="00C82090" w:rsidRDefault="00C37608">
            <w:pPr>
              <w:spacing w:after="0" w:line="240" w:lineRule="auto"/>
              <w:jc w:val="center"/>
            </w:pPr>
            <w:r>
              <w:rPr>
                <w:rFonts w:ascii="Arial" w:hAnsi="Arial" w:cs="Arial"/>
                <w:sz w:val="16"/>
                <w:szCs w:val="16"/>
              </w:rPr>
              <w:t>18.04</w:t>
            </w:r>
          </w:p>
        </w:tc>
        <w:tc>
          <w:tcPr>
            <w:tcW w:w="844" w:type="dxa"/>
            <w:tcBorders>
              <w:top w:val="single" w:sz="4" w:space="0" w:color="00000A"/>
              <w:left w:val="single" w:sz="4" w:space="0" w:color="00000A"/>
              <w:bottom w:val="single" w:sz="4" w:space="0" w:color="00000A"/>
            </w:tcBorders>
            <w:shd w:val="clear" w:color="auto" w:fill="auto"/>
            <w:vAlign w:val="center"/>
          </w:tcPr>
          <w:p w14:paraId="5E53D6F3" w14:textId="77777777" w:rsidR="00C82090" w:rsidRDefault="00C37608">
            <w:pPr>
              <w:spacing w:after="0" w:line="240" w:lineRule="auto"/>
              <w:jc w:val="center"/>
            </w:pPr>
            <w:r>
              <w:rPr>
                <w:rFonts w:ascii="Arial" w:hAnsi="Arial" w:cs="Arial"/>
                <w:sz w:val="16"/>
                <w:szCs w:val="16"/>
              </w:rPr>
              <w:t>25.50</w:t>
            </w:r>
          </w:p>
        </w:tc>
        <w:tc>
          <w:tcPr>
            <w:tcW w:w="708" w:type="dxa"/>
            <w:tcBorders>
              <w:top w:val="single" w:sz="4" w:space="0" w:color="00000A"/>
              <w:left w:val="single" w:sz="4" w:space="0" w:color="00000A"/>
              <w:bottom w:val="single" w:sz="4" w:space="0" w:color="00000A"/>
            </w:tcBorders>
            <w:shd w:val="clear" w:color="auto" w:fill="auto"/>
            <w:vAlign w:val="center"/>
          </w:tcPr>
          <w:p w14:paraId="516A1226" w14:textId="77777777" w:rsidR="00C82090" w:rsidRDefault="00C37608">
            <w:pPr>
              <w:spacing w:after="0" w:line="240" w:lineRule="auto"/>
              <w:jc w:val="center"/>
            </w:pPr>
            <w:r>
              <w:rPr>
                <w:rFonts w:ascii="Arial" w:hAnsi="Arial" w:cs="Arial"/>
                <w:sz w:val="16"/>
                <w:szCs w:val="16"/>
              </w:rPr>
              <w:t>0.55</w:t>
            </w:r>
          </w:p>
        </w:tc>
        <w:tc>
          <w:tcPr>
            <w:tcW w:w="710" w:type="dxa"/>
            <w:tcBorders>
              <w:top w:val="single" w:sz="4" w:space="0" w:color="00000A"/>
              <w:left w:val="single" w:sz="4" w:space="0" w:color="00000A"/>
              <w:bottom w:val="single" w:sz="4" w:space="0" w:color="00000A"/>
            </w:tcBorders>
            <w:shd w:val="clear" w:color="auto" w:fill="auto"/>
            <w:vAlign w:val="center"/>
          </w:tcPr>
          <w:p w14:paraId="6D472EE4" w14:textId="77777777" w:rsidR="00C82090" w:rsidRDefault="00C37608">
            <w:pPr>
              <w:spacing w:after="0" w:line="240" w:lineRule="auto"/>
              <w:jc w:val="center"/>
            </w:pPr>
            <w:r>
              <w:rPr>
                <w:rFonts w:ascii="Arial" w:hAnsi="Arial" w:cs="Arial"/>
                <w:sz w:val="16"/>
                <w:szCs w:val="16"/>
              </w:rPr>
              <w:t>1</w:t>
            </w:r>
          </w:p>
        </w:tc>
        <w:tc>
          <w:tcPr>
            <w:tcW w:w="709" w:type="dxa"/>
            <w:tcBorders>
              <w:top w:val="single" w:sz="4" w:space="0" w:color="00000A"/>
              <w:left w:val="single" w:sz="4" w:space="0" w:color="00000A"/>
              <w:bottom w:val="single" w:sz="4" w:space="0" w:color="00000A"/>
            </w:tcBorders>
            <w:shd w:val="clear" w:color="auto" w:fill="auto"/>
            <w:vAlign w:val="center"/>
          </w:tcPr>
          <w:p w14:paraId="5EDEE107" w14:textId="77777777" w:rsidR="00C82090" w:rsidRDefault="00C37608">
            <w:pPr>
              <w:spacing w:after="0" w:line="240" w:lineRule="auto"/>
              <w:jc w:val="center"/>
            </w:pPr>
            <w:r>
              <w:rPr>
                <w:rFonts w:ascii="Arial" w:hAnsi="Arial" w:cs="Arial"/>
                <w:sz w:val="16"/>
                <w:szCs w:val="16"/>
              </w:rPr>
              <w:t>1</w:t>
            </w:r>
          </w:p>
        </w:tc>
        <w:tc>
          <w:tcPr>
            <w:tcW w:w="8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BC1A8" w14:textId="77777777" w:rsidR="00C82090" w:rsidRDefault="00C37608">
            <w:pPr>
              <w:spacing w:after="0" w:line="240" w:lineRule="auto"/>
              <w:jc w:val="center"/>
            </w:pPr>
            <w:r>
              <w:rPr>
                <w:rFonts w:ascii="Arial" w:hAnsi="Arial" w:cs="Arial"/>
                <w:sz w:val="16"/>
                <w:szCs w:val="16"/>
                <w:lang w:eastAsia="en-US"/>
              </w:rPr>
              <w:t>0.5</w:t>
            </w:r>
          </w:p>
        </w:tc>
      </w:tr>
      <w:tr w:rsidR="00C82090" w14:paraId="18E66A92" w14:textId="77777777">
        <w:tc>
          <w:tcPr>
            <w:tcW w:w="1823" w:type="dxa"/>
            <w:tcBorders>
              <w:top w:val="single" w:sz="4" w:space="0" w:color="00000A"/>
              <w:left w:val="single" w:sz="4" w:space="0" w:color="00000A"/>
              <w:bottom w:val="single" w:sz="4" w:space="0" w:color="00000A"/>
            </w:tcBorders>
            <w:shd w:val="clear" w:color="auto" w:fill="auto"/>
            <w:vAlign w:val="center"/>
          </w:tcPr>
          <w:p w14:paraId="18344AA6" w14:textId="77777777" w:rsidR="00C82090" w:rsidRDefault="00C37608">
            <w:pPr>
              <w:spacing w:after="0" w:line="240" w:lineRule="auto"/>
              <w:jc w:val="center"/>
            </w:pPr>
            <w:r>
              <w:rPr>
                <w:rFonts w:ascii="Arial" w:hAnsi="Arial" w:cs="Arial"/>
                <w:sz w:val="16"/>
                <w:szCs w:val="16"/>
              </w:rPr>
              <w:t>103001001A4FCF00</w:t>
            </w:r>
          </w:p>
        </w:tc>
        <w:tc>
          <w:tcPr>
            <w:tcW w:w="729" w:type="dxa"/>
            <w:tcBorders>
              <w:top w:val="single" w:sz="4" w:space="0" w:color="00000A"/>
              <w:left w:val="single" w:sz="4" w:space="0" w:color="00000A"/>
              <w:bottom w:val="single" w:sz="4" w:space="0" w:color="00000A"/>
            </w:tcBorders>
            <w:shd w:val="clear" w:color="auto" w:fill="auto"/>
            <w:vAlign w:val="center"/>
          </w:tcPr>
          <w:p w14:paraId="29208E82" w14:textId="77777777" w:rsidR="00C82090" w:rsidRDefault="00C37608">
            <w:pPr>
              <w:spacing w:after="0" w:line="240" w:lineRule="auto"/>
              <w:jc w:val="center"/>
            </w:pPr>
            <w:r>
              <w:rPr>
                <w:rFonts w:ascii="Arial" w:hAnsi="Arial" w:cs="Arial"/>
                <w:sz w:val="16"/>
                <w:szCs w:val="16"/>
              </w:rPr>
              <w:t>Pan</w:t>
            </w:r>
          </w:p>
          <w:p w14:paraId="6107E0A6" w14:textId="77777777" w:rsidR="00C82090" w:rsidRDefault="00C37608">
            <w:pPr>
              <w:spacing w:after="0" w:line="240" w:lineRule="auto"/>
              <w:jc w:val="center"/>
            </w:pPr>
            <w:r>
              <w:rPr>
                <w:rFonts w:ascii="Arial" w:hAnsi="Arial" w:cs="Arial"/>
                <w:sz w:val="16"/>
                <w:szCs w:val="16"/>
              </w:rPr>
              <w:t>MS1</w:t>
            </w:r>
          </w:p>
          <w:p w14:paraId="06422ED4" w14:textId="77777777" w:rsidR="00C82090" w:rsidRDefault="00C37608">
            <w:pPr>
              <w:spacing w:after="0" w:line="240" w:lineRule="auto"/>
              <w:jc w:val="center"/>
            </w:pPr>
            <w:r>
              <w:rPr>
                <w:rFonts w:ascii="Arial" w:hAnsi="Arial" w:cs="Arial"/>
                <w:sz w:val="16"/>
                <w:szCs w:val="16"/>
              </w:rPr>
              <w:t>MS2</w:t>
            </w:r>
          </w:p>
        </w:tc>
        <w:tc>
          <w:tcPr>
            <w:tcW w:w="761" w:type="dxa"/>
            <w:tcBorders>
              <w:top w:val="single" w:sz="4" w:space="0" w:color="00000A"/>
              <w:left w:val="single" w:sz="4" w:space="0" w:color="00000A"/>
              <w:bottom w:val="single" w:sz="4" w:space="0" w:color="00000A"/>
            </w:tcBorders>
            <w:shd w:val="clear" w:color="auto" w:fill="auto"/>
            <w:vAlign w:val="center"/>
          </w:tcPr>
          <w:p w14:paraId="340B2B6C" w14:textId="77777777" w:rsidR="00C82090" w:rsidRDefault="00C37608">
            <w:pPr>
              <w:spacing w:after="0" w:line="240" w:lineRule="auto"/>
              <w:jc w:val="center"/>
            </w:pPr>
            <w:r>
              <w:rPr>
                <w:rFonts w:ascii="Arial" w:hAnsi="Arial" w:cs="Arial"/>
                <w:sz w:val="16"/>
                <w:szCs w:val="16"/>
              </w:rPr>
              <w:t>WV02</w:t>
            </w:r>
          </w:p>
        </w:tc>
        <w:tc>
          <w:tcPr>
            <w:tcW w:w="1222" w:type="dxa"/>
            <w:tcBorders>
              <w:top w:val="single" w:sz="4" w:space="0" w:color="00000A"/>
              <w:left w:val="single" w:sz="4" w:space="0" w:color="00000A"/>
              <w:bottom w:val="single" w:sz="4" w:space="0" w:color="00000A"/>
            </w:tcBorders>
            <w:shd w:val="clear" w:color="auto" w:fill="auto"/>
            <w:vAlign w:val="center"/>
          </w:tcPr>
          <w:p w14:paraId="2B8D8EC0" w14:textId="77777777" w:rsidR="00C82090" w:rsidRDefault="00C37608">
            <w:pPr>
              <w:spacing w:after="0" w:line="240" w:lineRule="auto"/>
              <w:jc w:val="center"/>
            </w:pPr>
            <w:r>
              <w:rPr>
                <w:rFonts w:ascii="Arial" w:hAnsi="Arial" w:cs="Arial"/>
                <w:sz w:val="16"/>
                <w:szCs w:val="16"/>
              </w:rPr>
              <w:t>2</w:t>
            </w:r>
            <w:r>
              <w:rPr>
                <w:rFonts w:ascii="Arial" w:hAnsi="Arial" w:cs="Arial"/>
                <w:sz w:val="16"/>
                <w:szCs w:val="16"/>
                <w:vertAlign w:val="superscript"/>
              </w:rPr>
              <w:t>nd</w:t>
            </w:r>
          </w:p>
          <w:p w14:paraId="70AA1E49" w14:textId="77777777" w:rsidR="00C82090" w:rsidRDefault="00C37608">
            <w:pPr>
              <w:spacing w:after="0" w:line="240" w:lineRule="auto"/>
              <w:jc w:val="center"/>
            </w:pPr>
            <w:r>
              <w:rPr>
                <w:rFonts w:ascii="Arial" w:hAnsi="Arial" w:cs="Arial"/>
                <w:sz w:val="16"/>
                <w:szCs w:val="16"/>
              </w:rPr>
              <w:t xml:space="preserve">August </w:t>
            </w:r>
          </w:p>
          <w:p w14:paraId="4958BBBF" w14:textId="77777777" w:rsidR="00C82090" w:rsidRDefault="00C37608">
            <w:pPr>
              <w:spacing w:after="0" w:line="240" w:lineRule="auto"/>
              <w:jc w:val="center"/>
            </w:pPr>
            <w:r>
              <w:rPr>
                <w:rFonts w:ascii="Arial" w:hAnsi="Arial" w:cs="Arial"/>
                <w:sz w:val="16"/>
                <w:szCs w:val="16"/>
              </w:rPr>
              <w:t>2012</w:t>
            </w:r>
          </w:p>
        </w:tc>
        <w:tc>
          <w:tcPr>
            <w:tcW w:w="993" w:type="dxa"/>
            <w:tcBorders>
              <w:top w:val="single" w:sz="4" w:space="0" w:color="00000A"/>
              <w:left w:val="single" w:sz="4" w:space="0" w:color="00000A"/>
              <w:bottom w:val="single" w:sz="4" w:space="0" w:color="00000A"/>
            </w:tcBorders>
            <w:shd w:val="clear" w:color="auto" w:fill="auto"/>
            <w:vAlign w:val="center"/>
          </w:tcPr>
          <w:p w14:paraId="6C277782" w14:textId="77777777" w:rsidR="00C82090" w:rsidRDefault="00C37608">
            <w:pPr>
              <w:spacing w:after="0" w:line="240" w:lineRule="auto"/>
              <w:jc w:val="center"/>
            </w:pPr>
            <w:r>
              <w:rPr>
                <w:rFonts w:ascii="Arial" w:hAnsi="Arial" w:cs="Arial"/>
                <w:sz w:val="16"/>
                <w:szCs w:val="16"/>
              </w:rPr>
              <w:t>14.14</w:t>
            </w:r>
          </w:p>
        </w:tc>
        <w:tc>
          <w:tcPr>
            <w:tcW w:w="717" w:type="dxa"/>
            <w:tcBorders>
              <w:top w:val="single" w:sz="4" w:space="0" w:color="00000A"/>
              <w:left w:val="single" w:sz="4" w:space="0" w:color="00000A"/>
              <w:bottom w:val="single" w:sz="4" w:space="0" w:color="00000A"/>
            </w:tcBorders>
            <w:shd w:val="clear" w:color="auto" w:fill="auto"/>
            <w:vAlign w:val="center"/>
          </w:tcPr>
          <w:p w14:paraId="4120B05C" w14:textId="77777777" w:rsidR="00C82090" w:rsidRDefault="00C37608">
            <w:pPr>
              <w:spacing w:after="0" w:line="240" w:lineRule="auto"/>
              <w:jc w:val="center"/>
            </w:pPr>
            <w:r>
              <w:rPr>
                <w:rFonts w:ascii="Arial" w:hAnsi="Arial" w:cs="Arial"/>
                <w:sz w:val="16"/>
                <w:szCs w:val="16"/>
              </w:rPr>
              <w:t>10.86</w:t>
            </w:r>
          </w:p>
        </w:tc>
        <w:tc>
          <w:tcPr>
            <w:tcW w:w="844" w:type="dxa"/>
            <w:tcBorders>
              <w:top w:val="single" w:sz="4" w:space="0" w:color="00000A"/>
              <w:left w:val="single" w:sz="4" w:space="0" w:color="00000A"/>
              <w:bottom w:val="single" w:sz="4" w:space="0" w:color="00000A"/>
            </w:tcBorders>
            <w:shd w:val="clear" w:color="auto" w:fill="auto"/>
            <w:vAlign w:val="center"/>
          </w:tcPr>
          <w:p w14:paraId="1E1A9643" w14:textId="77777777" w:rsidR="00C82090" w:rsidRDefault="00C37608">
            <w:pPr>
              <w:spacing w:after="0" w:line="240" w:lineRule="auto"/>
              <w:jc w:val="center"/>
            </w:pPr>
            <w:r>
              <w:rPr>
                <w:rFonts w:ascii="Arial" w:hAnsi="Arial" w:cs="Arial"/>
                <w:sz w:val="16"/>
                <w:szCs w:val="16"/>
              </w:rPr>
              <w:t>42.80</w:t>
            </w:r>
          </w:p>
        </w:tc>
        <w:tc>
          <w:tcPr>
            <w:tcW w:w="708" w:type="dxa"/>
            <w:tcBorders>
              <w:top w:val="single" w:sz="4" w:space="0" w:color="00000A"/>
              <w:left w:val="single" w:sz="4" w:space="0" w:color="00000A"/>
              <w:bottom w:val="single" w:sz="4" w:space="0" w:color="00000A"/>
            </w:tcBorders>
            <w:shd w:val="clear" w:color="auto" w:fill="auto"/>
            <w:vAlign w:val="center"/>
          </w:tcPr>
          <w:p w14:paraId="7D033DD6" w14:textId="77777777" w:rsidR="00C82090" w:rsidRDefault="00C37608">
            <w:pPr>
              <w:spacing w:after="0" w:line="240" w:lineRule="auto"/>
              <w:jc w:val="center"/>
            </w:pPr>
            <w:r>
              <w:rPr>
                <w:rFonts w:ascii="Arial" w:hAnsi="Arial" w:cs="Arial"/>
                <w:sz w:val="16"/>
                <w:szCs w:val="16"/>
              </w:rPr>
              <w:t>0.48</w:t>
            </w:r>
          </w:p>
        </w:tc>
        <w:tc>
          <w:tcPr>
            <w:tcW w:w="710" w:type="dxa"/>
            <w:tcBorders>
              <w:top w:val="single" w:sz="4" w:space="0" w:color="00000A"/>
              <w:left w:val="single" w:sz="4" w:space="0" w:color="00000A"/>
              <w:bottom w:val="single" w:sz="4" w:space="0" w:color="00000A"/>
            </w:tcBorders>
            <w:shd w:val="clear" w:color="auto" w:fill="auto"/>
            <w:vAlign w:val="center"/>
          </w:tcPr>
          <w:p w14:paraId="00682F1C" w14:textId="77777777" w:rsidR="00C82090" w:rsidRDefault="00C37608">
            <w:pPr>
              <w:spacing w:after="0" w:line="240" w:lineRule="auto"/>
              <w:jc w:val="center"/>
            </w:pPr>
            <w:r>
              <w:rPr>
                <w:rFonts w:ascii="Arial" w:hAnsi="Arial" w:cs="Arial"/>
                <w:sz w:val="16"/>
                <w:szCs w:val="16"/>
              </w:rPr>
              <w:t>22</w:t>
            </w:r>
          </w:p>
        </w:tc>
        <w:tc>
          <w:tcPr>
            <w:tcW w:w="709" w:type="dxa"/>
            <w:tcBorders>
              <w:top w:val="single" w:sz="4" w:space="0" w:color="00000A"/>
              <w:left w:val="single" w:sz="4" w:space="0" w:color="00000A"/>
              <w:bottom w:val="single" w:sz="4" w:space="0" w:color="00000A"/>
            </w:tcBorders>
            <w:shd w:val="clear" w:color="auto" w:fill="auto"/>
            <w:vAlign w:val="center"/>
          </w:tcPr>
          <w:p w14:paraId="37E3FC18" w14:textId="77777777" w:rsidR="00C82090" w:rsidRDefault="00C37608">
            <w:pPr>
              <w:spacing w:after="0" w:line="240" w:lineRule="auto"/>
              <w:jc w:val="center"/>
            </w:pPr>
            <w:r>
              <w:rPr>
                <w:rFonts w:ascii="Arial" w:hAnsi="Arial" w:cs="Arial"/>
                <w:sz w:val="16"/>
                <w:szCs w:val="16"/>
              </w:rPr>
              <w:t>0</w:t>
            </w:r>
          </w:p>
        </w:tc>
        <w:tc>
          <w:tcPr>
            <w:tcW w:w="8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B0408" w14:textId="77777777" w:rsidR="00C82090" w:rsidRDefault="00C37608">
            <w:pPr>
              <w:spacing w:after="0" w:line="240" w:lineRule="auto"/>
              <w:jc w:val="center"/>
            </w:pPr>
            <w:r>
              <w:rPr>
                <w:rFonts w:ascii="Arial" w:hAnsi="Arial" w:cs="Arial"/>
                <w:sz w:val="16"/>
                <w:szCs w:val="16"/>
                <w:lang w:eastAsia="en-US"/>
              </w:rPr>
              <w:t>0.5</w:t>
            </w:r>
          </w:p>
        </w:tc>
      </w:tr>
      <w:tr w:rsidR="00C82090" w14:paraId="0B8BD0D6" w14:textId="77777777">
        <w:tc>
          <w:tcPr>
            <w:tcW w:w="1823" w:type="dxa"/>
            <w:tcBorders>
              <w:top w:val="single" w:sz="4" w:space="0" w:color="00000A"/>
              <w:left w:val="single" w:sz="4" w:space="0" w:color="00000A"/>
              <w:bottom w:val="single" w:sz="4" w:space="0" w:color="00000A"/>
            </w:tcBorders>
            <w:shd w:val="clear" w:color="auto" w:fill="auto"/>
            <w:vAlign w:val="center"/>
          </w:tcPr>
          <w:p w14:paraId="5A931756" w14:textId="77777777" w:rsidR="00C82090" w:rsidRDefault="00C37608">
            <w:pPr>
              <w:spacing w:after="0" w:line="240" w:lineRule="auto"/>
              <w:jc w:val="center"/>
            </w:pPr>
            <w:r>
              <w:rPr>
                <w:rFonts w:ascii="Arial" w:hAnsi="Arial" w:cs="Arial"/>
                <w:sz w:val="16"/>
                <w:szCs w:val="16"/>
              </w:rPr>
              <w:t>103001001B396A00</w:t>
            </w:r>
          </w:p>
        </w:tc>
        <w:tc>
          <w:tcPr>
            <w:tcW w:w="729" w:type="dxa"/>
            <w:tcBorders>
              <w:top w:val="single" w:sz="4" w:space="0" w:color="00000A"/>
              <w:left w:val="single" w:sz="4" w:space="0" w:color="00000A"/>
              <w:bottom w:val="single" w:sz="4" w:space="0" w:color="00000A"/>
            </w:tcBorders>
            <w:shd w:val="clear" w:color="auto" w:fill="auto"/>
            <w:vAlign w:val="center"/>
          </w:tcPr>
          <w:p w14:paraId="57F33634" w14:textId="77777777" w:rsidR="00C82090" w:rsidRDefault="00C37608">
            <w:pPr>
              <w:spacing w:after="0" w:line="240" w:lineRule="auto"/>
              <w:jc w:val="center"/>
            </w:pPr>
            <w:r>
              <w:rPr>
                <w:rFonts w:ascii="Arial" w:hAnsi="Arial" w:cs="Arial"/>
                <w:sz w:val="16"/>
                <w:szCs w:val="16"/>
              </w:rPr>
              <w:t>Pan</w:t>
            </w:r>
          </w:p>
          <w:p w14:paraId="28733B50" w14:textId="77777777" w:rsidR="00C82090" w:rsidRDefault="00C37608">
            <w:pPr>
              <w:spacing w:after="0" w:line="240" w:lineRule="auto"/>
              <w:jc w:val="center"/>
            </w:pPr>
            <w:r>
              <w:rPr>
                <w:rFonts w:ascii="Arial" w:hAnsi="Arial" w:cs="Arial"/>
                <w:sz w:val="16"/>
                <w:szCs w:val="16"/>
              </w:rPr>
              <w:t>MS1</w:t>
            </w:r>
          </w:p>
          <w:p w14:paraId="67B73E68" w14:textId="77777777" w:rsidR="00C82090" w:rsidRDefault="00C37608">
            <w:pPr>
              <w:spacing w:after="0" w:line="240" w:lineRule="auto"/>
              <w:jc w:val="center"/>
            </w:pPr>
            <w:r>
              <w:rPr>
                <w:rFonts w:ascii="Arial" w:hAnsi="Arial" w:cs="Arial"/>
                <w:sz w:val="16"/>
                <w:szCs w:val="16"/>
              </w:rPr>
              <w:t>MS2</w:t>
            </w:r>
          </w:p>
        </w:tc>
        <w:tc>
          <w:tcPr>
            <w:tcW w:w="761" w:type="dxa"/>
            <w:tcBorders>
              <w:top w:val="single" w:sz="4" w:space="0" w:color="00000A"/>
              <w:left w:val="single" w:sz="4" w:space="0" w:color="00000A"/>
              <w:bottom w:val="single" w:sz="4" w:space="0" w:color="00000A"/>
            </w:tcBorders>
            <w:shd w:val="clear" w:color="auto" w:fill="auto"/>
            <w:vAlign w:val="center"/>
          </w:tcPr>
          <w:p w14:paraId="7BE20D85" w14:textId="77777777" w:rsidR="00C82090" w:rsidRDefault="00C37608">
            <w:pPr>
              <w:spacing w:after="0" w:line="240" w:lineRule="auto"/>
              <w:jc w:val="center"/>
            </w:pPr>
            <w:r>
              <w:rPr>
                <w:rFonts w:ascii="Arial" w:hAnsi="Arial" w:cs="Arial"/>
                <w:sz w:val="16"/>
                <w:szCs w:val="16"/>
              </w:rPr>
              <w:t>WV02</w:t>
            </w:r>
          </w:p>
        </w:tc>
        <w:tc>
          <w:tcPr>
            <w:tcW w:w="1222" w:type="dxa"/>
            <w:tcBorders>
              <w:top w:val="single" w:sz="4" w:space="0" w:color="00000A"/>
              <w:left w:val="single" w:sz="4" w:space="0" w:color="00000A"/>
              <w:bottom w:val="single" w:sz="4" w:space="0" w:color="00000A"/>
            </w:tcBorders>
            <w:shd w:val="clear" w:color="auto" w:fill="auto"/>
            <w:vAlign w:val="center"/>
          </w:tcPr>
          <w:p w14:paraId="2A2D9D2E" w14:textId="77777777" w:rsidR="00C82090" w:rsidRDefault="00C37608">
            <w:pPr>
              <w:spacing w:after="0" w:line="240" w:lineRule="auto"/>
              <w:jc w:val="center"/>
            </w:pPr>
            <w:r>
              <w:rPr>
                <w:rFonts w:ascii="Arial" w:hAnsi="Arial" w:cs="Arial"/>
                <w:sz w:val="16"/>
                <w:szCs w:val="16"/>
              </w:rPr>
              <w:t>7</w:t>
            </w:r>
            <w:r>
              <w:rPr>
                <w:rFonts w:ascii="Arial" w:hAnsi="Arial" w:cs="Arial"/>
                <w:sz w:val="16"/>
                <w:szCs w:val="16"/>
                <w:vertAlign w:val="superscript"/>
              </w:rPr>
              <w:t>th</w:t>
            </w:r>
          </w:p>
          <w:p w14:paraId="32F3BCE9" w14:textId="77777777" w:rsidR="00C82090" w:rsidRDefault="00C37608">
            <w:pPr>
              <w:spacing w:after="0" w:line="240" w:lineRule="auto"/>
              <w:jc w:val="center"/>
            </w:pPr>
            <w:r>
              <w:rPr>
                <w:rFonts w:ascii="Arial" w:hAnsi="Arial" w:cs="Arial"/>
                <w:sz w:val="16"/>
                <w:szCs w:val="16"/>
              </w:rPr>
              <w:t>September</w:t>
            </w:r>
          </w:p>
          <w:p w14:paraId="4BA31042" w14:textId="77777777" w:rsidR="00C82090" w:rsidRDefault="00C37608">
            <w:pPr>
              <w:spacing w:after="0" w:line="240" w:lineRule="auto"/>
              <w:jc w:val="center"/>
            </w:pPr>
            <w:r>
              <w:rPr>
                <w:rFonts w:ascii="Arial" w:hAnsi="Arial" w:cs="Arial"/>
                <w:sz w:val="16"/>
                <w:szCs w:val="16"/>
              </w:rPr>
              <w:t>2012</w:t>
            </w:r>
          </w:p>
        </w:tc>
        <w:tc>
          <w:tcPr>
            <w:tcW w:w="993" w:type="dxa"/>
            <w:tcBorders>
              <w:top w:val="single" w:sz="4" w:space="0" w:color="00000A"/>
              <w:left w:val="single" w:sz="4" w:space="0" w:color="00000A"/>
              <w:bottom w:val="single" w:sz="4" w:space="0" w:color="00000A"/>
            </w:tcBorders>
            <w:shd w:val="clear" w:color="auto" w:fill="auto"/>
            <w:vAlign w:val="center"/>
          </w:tcPr>
          <w:p w14:paraId="49B3971B" w14:textId="77777777" w:rsidR="00C82090" w:rsidRDefault="00C37608">
            <w:pPr>
              <w:spacing w:after="0" w:line="240" w:lineRule="auto"/>
              <w:jc w:val="center"/>
            </w:pPr>
            <w:r>
              <w:rPr>
                <w:rFonts w:ascii="Arial" w:hAnsi="Arial" w:cs="Arial"/>
                <w:sz w:val="16"/>
                <w:szCs w:val="16"/>
              </w:rPr>
              <w:t>15.13</w:t>
            </w:r>
          </w:p>
        </w:tc>
        <w:tc>
          <w:tcPr>
            <w:tcW w:w="717" w:type="dxa"/>
            <w:tcBorders>
              <w:top w:val="single" w:sz="4" w:space="0" w:color="00000A"/>
              <w:left w:val="single" w:sz="4" w:space="0" w:color="00000A"/>
              <w:bottom w:val="single" w:sz="4" w:space="0" w:color="00000A"/>
            </w:tcBorders>
            <w:shd w:val="clear" w:color="auto" w:fill="auto"/>
            <w:vAlign w:val="center"/>
          </w:tcPr>
          <w:p w14:paraId="09B8CC91" w14:textId="77777777" w:rsidR="00C82090" w:rsidRDefault="00C37608">
            <w:pPr>
              <w:spacing w:after="0" w:line="240" w:lineRule="auto"/>
              <w:jc w:val="center"/>
            </w:pPr>
            <w:r>
              <w:rPr>
                <w:rFonts w:ascii="Arial" w:hAnsi="Arial" w:cs="Arial"/>
                <w:sz w:val="16"/>
                <w:szCs w:val="16"/>
              </w:rPr>
              <w:t>14.90</w:t>
            </w:r>
          </w:p>
        </w:tc>
        <w:tc>
          <w:tcPr>
            <w:tcW w:w="844" w:type="dxa"/>
            <w:tcBorders>
              <w:top w:val="single" w:sz="4" w:space="0" w:color="00000A"/>
              <w:left w:val="single" w:sz="4" w:space="0" w:color="00000A"/>
              <w:bottom w:val="single" w:sz="4" w:space="0" w:color="00000A"/>
            </w:tcBorders>
            <w:shd w:val="clear" w:color="auto" w:fill="auto"/>
            <w:vAlign w:val="center"/>
          </w:tcPr>
          <w:p w14:paraId="118C7D6B" w14:textId="77777777" w:rsidR="00C82090" w:rsidRDefault="00C37608">
            <w:pPr>
              <w:spacing w:after="0" w:line="240" w:lineRule="auto"/>
              <w:jc w:val="center"/>
            </w:pPr>
            <w:r>
              <w:rPr>
                <w:rFonts w:ascii="Arial" w:hAnsi="Arial" w:cs="Arial"/>
                <w:sz w:val="16"/>
                <w:szCs w:val="16"/>
              </w:rPr>
              <w:t>31.01</w:t>
            </w:r>
          </w:p>
        </w:tc>
        <w:tc>
          <w:tcPr>
            <w:tcW w:w="708" w:type="dxa"/>
            <w:tcBorders>
              <w:top w:val="single" w:sz="4" w:space="0" w:color="00000A"/>
              <w:left w:val="single" w:sz="4" w:space="0" w:color="00000A"/>
              <w:bottom w:val="single" w:sz="4" w:space="0" w:color="00000A"/>
            </w:tcBorders>
            <w:shd w:val="clear" w:color="auto" w:fill="auto"/>
            <w:vAlign w:val="center"/>
          </w:tcPr>
          <w:p w14:paraId="55B421D3" w14:textId="77777777" w:rsidR="00C82090" w:rsidRDefault="00C37608">
            <w:pPr>
              <w:spacing w:after="0" w:line="240" w:lineRule="auto"/>
              <w:jc w:val="center"/>
            </w:pPr>
            <w:r>
              <w:rPr>
                <w:rFonts w:ascii="Arial" w:hAnsi="Arial" w:cs="Arial"/>
                <w:sz w:val="16"/>
                <w:szCs w:val="16"/>
              </w:rPr>
              <w:t>0.50</w:t>
            </w:r>
          </w:p>
        </w:tc>
        <w:tc>
          <w:tcPr>
            <w:tcW w:w="710" w:type="dxa"/>
            <w:tcBorders>
              <w:top w:val="single" w:sz="4" w:space="0" w:color="00000A"/>
              <w:left w:val="single" w:sz="4" w:space="0" w:color="00000A"/>
              <w:bottom w:val="single" w:sz="4" w:space="0" w:color="00000A"/>
            </w:tcBorders>
            <w:shd w:val="clear" w:color="auto" w:fill="auto"/>
            <w:vAlign w:val="center"/>
          </w:tcPr>
          <w:p w14:paraId="7A827F14" w14:textId="77777777" w:rsidR="00C82090" w:rsidRDefault="00C37608">
            <w:pPr>
              <w:spacing w:after="0" w:line="240" w:lineRule="auto"/>
              <w:jc w:val="center"/>
            </w:pPr>
            <w:r>
              <w:rPr>
                <w:rFonts w:ascii="Arial" w:hAnsi="Arial" w:cs="Arial"/>
                <w:sz w:val="16"/>
                <w:szCs w:val="16"/>
              </w:rPr>
              <w:t>1</w:t>
            </w:r>
          </w:p>
        </w:tc>
        <w:tc>
          <w:tcPr>
            <w:tcW w:w="709" w:type="dxa"/>
            <w:tcBorders>
              <w:top w:val="single" w:sz="4" w:space="0" w:color="00000A"/>
              <w:left w:val="single" w:sz="4" w:space="0" w:color="00000A"/>
              <w:bottom w:val="single" w:sz="4" w:space="0" w:color="00000A"/>
            </w:tcBorders>
            <w:shd w:val="clear" w:color="auto" w:fill="auto"/>
            <w:vAlign w:val="center"/>
          </w:tcPr>
          <w:p w14:paraId="7B5223E3" w14:textId="77777777" w:rsidR="00C82090" w:rsidRDefault="00C37608">
            <w:pPr>
              <w:spacing w:after="0" w:line="240" w:lineRule="auto"/>
              <w:jc w:val="center"/>
            </w:pPr>
            <w:r>
              <w:rPr>
                <w:rFonts w:ascii="Arial" w:hAnsi="Arial" w:cs="Arial"/>
                <w:sz w:val="16"/>
                <w:szCs w:val="16"/>
              </w:rPr>
              <w:t>2</w:t>
            </w:r>
          </w:p>
        </w:tc>
        <w:tc>
          <w:tcPr>
            <w:tcW w:w="8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7C4F6" w14:textId="77777777" w:rsidR="00C82090" w:rsidRDefault="00C37608">
            <w:pPr>
              <w:spacing w:after="0" w:line="240" w:lineRule="auto"/>
              <w:jc w:val="center"/>
            </w:pPr>
            <w:r>
              <w:rPr>
                <w:rFonts w:ascii="Arial" w:hAnsi="Arial" w:cs="Arial"/>
                <w:sz w:val="16"/>
                <w:szCs w:val="16"/>
                <w:lang w:eastAsia="en-US"/>
              </w:rPr>
              <w:t>0.5</w:t>
            </w:r>
          </w:p>
        </w:tc>
      </w:tr>
      <w:tr w:rsidR="00C82090" w14:paraId="17E3C246" w14:textId="77777777">
        <w:tc>
          <w:tcPr>
            <w:tcW w:w="1823" w:type="dxa"/>
            <w:tcBorders>
              <w:top w:val="single" w:sz="4" w:space="0" w:color="00000A"/>
              <w:left w:val="single" w:sz="4" w:space="0" w:color="00000A"/>
              <w:bottom w:val="single" w:sz="4" w:space="0" w:color="00000A"/>
            </w:tcBorders>
            <w:shd w:val="clear" w:color="auto" w:fill="auto"/>
            <w:vAlign w:val="center"/>
          </w:tcPr>
          <w:p w14:paraId="0DD74F74" w14:textId="77777777" w:rsidR="00C82090" w:rsidRDefault="00C37608">
            <w:pPr>
              <w:spacing w:after="0" w:line="240" w:lineRule="auto"/>
              <w:jc w:val="center"/>
            </w:pPr>
            <w:r>
              <w:rPr>
                <w:rFonts w:ascii="Arial" w:hAnsi="Arial" w:cs="Arial"/>
                <w:sz w:val="16"/>
                <w:szCs w:val="16"/>
              </w:rPr>
              <w:t>1020010023C5D200</w:t>
            </w:r>
          </w:p>
        </w:tc>
        <w:tc>
          <w:tcPr>
            <w:tcW w:w="729" w:type="dxa"/>
            <w:tcBorders>
              <w:top w:val="single" w:sz="4" w:space="0" w:color="00000A"/>
              <w:left w:val="single" w:sz="4" w:space="0" w:color="00000A"/>
              <w:bottom w:val="single" w:sz="4" w:space="0" w:color="00000A"/>
            </w:tcBorders>
            <w:shd w:val="clear" w:color="auto" w:fill="auto"/>
            <w:vAlign w:val="center"/>
          </w:tcPr>
          <w:p w14:paraId="180FC0FA" w14:textId="77777777" w:rsidR="00C82090" w:rsidRDefault="00C37608">
            <w:pPr>
              <w:spacing w:after="0" w:line="240" w:lineRule="auto"/>
              <w:jc w:val="center"/>
            </w:pPr>
            <w:r>
              <w:rPr>
                <w:rFonts w:ascii="Arial" w:hAnsi="Arial" w:cs="Arial"/>
                <w:sz w:val="16"/>
                <w:szCs w:val="16"/>
              </w:rPr>
              <w:t>Pan</w:t>
            </w:r>
          </w:p>
        </w:tc>
        <w:tc>
          <w:tcPr>
            <w:tcW w:w="761" w:type="dxa"/>
            <w:tcBorders>
              <w:top w:val="single" w:sz="4" w:space="0" w:color="00000A"/>
              <w:left w:val="single" w:sz="4" w:space="0" w:color="00000A"/>
              <w:bottom w:val="single" w:sz="4" w:space="0" w:color="00000A"/>
            </w:tcBorders>
            <w:shd w:val="clear" w:color="auto" w:fill="auto"/>
            <w:vAlign w:val="center"/>
          </w:tcPr>
          <w:p w14:paraId="2F6AF443" w14:textId="77777777" w:rsidR="00C82090" w:rsidRDefault="00C37608">
            <w:pPr>
              <w:spacing w:after="0" w:line="240" w:lineRule="auto"/>
              <w:jc w:val="center"/>
            </w:pPr>
            <w:r>
              <w:rPr>
                <w:rFonts w:ascii="Arial" w:hAnsi="Arial" w:cs="Arial"/>
                <w:sz w:val="16"/>
                <w:szCs w:val="16"/>
              </w:rPr>
              <w:t>WV01</w:t>
            </w:r>
          </w:p>
        </w:tc>
        <w:tc>
          <w:tcPr>
            <w:tcW w:w="1222" w:type="dxa"/>
            <w:tcBorders>
              <w:top w:val="single" w:sz="4" w:space="0" w:color="00000A"/>
              <w:left w:val="single" w:sz="4" w:space="0" w:color="00000A"/>
              <w:bottom w:val="single" w:sz="4" w:space="0" w:color="00000A"/>
            </w:tcBorders>
            <w:shd w:val="clear" w:color="auto" w:fill="auto"/>
            <w:vAlign w:val="center"/>
          </w:tcPr>
          <w:p w14:paraId="35298615" w14:textId="77777777" w:rsidR="00C82090" w:rsidRDefault="00C37608">
            <w:pPr>
              <w:spacing w:after="0" w:line="240" w:lineRule="auto"/>
              <w:jc w:val="center"/>
            </w:pPr>
            <w:r>
              <w:rPr>
                <w:rFonts w:ascii="Arial" w:hAnsi="Arial" w:cs="Arial"/>
                <w:sz w:val="16"/>
                <w:szCs w:val="16"/>
              </w:rPr>
              <w:t>25</w:t>
            </w:r>
            <w:r>
              <w:rPr>
                <w:rFonts w:ascii="Arial" w:hAnsi="Arial" w:cs="Arial"/>
                <w:sz w:val="16"/>
                <w:szCs w:val="16"/>
                <w:vertAlign w:val="superscript"/>
              </w:rPr>
              <w:t>th</w:t>
            </w:r>
          </w:p>
          <w:p w14:paraId="1509A202" w14:textId="77777777" w:rsidR="00C82090" w:rsidRDefault="00C37608">
            <w:pPr>
              <w:spacing w:after="0" w:line="240" w:lineRule="auto"/>
              <w:jc w:val="center"/>
            </w:pPr>
            <w:r>
              <w:rPr>
                <w:rFonts w:ascii="Arial" w:hAnsi="Arial" w:cs="Arial"/>
                <w:sz w:val="16"/>
                <w:szCs w:val="16"/>
              </w:rPr>
              <w:t>July</w:t>
            </w:r>
          </w:p>
          <w:p w14:paraId="2D98DA0E" w14:textId="77777777" w:rsidR="00C82090" w:rsidRDefault="00C37608">
            <w:pPr>
              <w:spacing w:after="0" w:line="240" w:lineRule="auto"/>
              <w:jc w:val="center"/>
            </w:pPr>
            <w:r>
              <w:rPr>
                <w:rFonts w:ascii="Arial" w:hAnsi="Arial" w:cs="Arial"/>
                <w:sz w:val="16"/>
                <w:szCs w:val="16"/>
              </w:rPr>
              <w:t>2013</w:t>
            </w:r>
          </w:p>
        </w:tc>
        <w:tc>
          <w:tcPr>
            <w:tcW w:w="993" w:type="dxa"/>
            <w:tcBorders>
              <w:top w:val="single" w:sz="4" w:space="0" w:color="00000A"/>
              <w:left w:val="single" w:sz="4" w:space="0" w:color="00000A"/>
              <w:bottom w:val="single" w:sz="4" w:space="0" w:color="00000A"/>
            </w:tcBorders>
            <w:shd w:val="clear" w:color="auto" w:fill="auto"/>
            <w:vAlign w:val="center"/>
          </w:tcPr>
          <w:p w14:paraId="5BF20ED2" w14:textId="77777777" w:rsidR="00C82090" w:rsidRDefault="00C37608">
            <w:pPr>
              <w:spacing w:after="0" w:line="240" w:lineRule="auto"/>
              <w:jc w:val="center"/>
            </w:pPr>
            <w:r>
              <w:rPr>
                <w:rFonts w:ascii="Arial" w:hAnsi="Arial" w:cs="Arial"/>
                <w:sz w:val="16"/>
                <w:szCs w:val="16"/>
              </w:rPr>
              <w:t>27.19</w:t>
            </w:r>
          </w:p>
        </w:tc>
        <w:tc>
          <w:tcPr>
            <w:tcW w:w="717" w:type="dxa"/>
            <w:tcBorders>
              <w:top w:val="single" w:sz="4" w:space="0" w:color="00000A"/>
              <w:left w:val="single" w:sz="4" w:space="0" w:color="00000A"/>
              <w:bottom w:val="single" w:sz="4" w:space="0" w:color="00000A"/>
            </w:tcBorders>
            <w:shd w:val="clear" w:color="auto" w:fill="auto"/>
            <w:vAlign w:val="center"/>
          </w:tcPr>
          <w:p w14:paraId="702F6FEB" w14:textId="77777777" w:rsidR="00C82090" w:rsidRDefault="00C37608">
            <w:pPr>
              <w:spacing w:after="0" w:line="240" w:lineRule="auto"/>
              <w:jc w:val="center"/>
            </w:pPr>
            <w:r>
              <w:rPr>
                <w:rFonts w:ascii="Arial" w:hAnsi="Arial" w:cs="Arial"/>
                <w:sz w:val="16"/>
                <w:szCs w:val="16"/>
              </w:rPr>
              <w:t>24.25</w:t>
            </w:r>
          </w:p>
        </w:tc>
        <w:tc>
          <w:tcPr>
            <w:tcW w:w="844" w:type="dxa"/>
            <w:tcBorders>
              <w:top w:val="single" w:sz="4" w:space="0" w:color="00000A"/>
              <w:left w:val="single" w:sz="4" w:space="0" w:color="00000A"/>
              <w:bottom w:val="single" w:sz="4" w:space="0" w:color="00000A"/>
            </w:tcBorders>
            <w:shd w:val="clear" w:color="auto" w:fill="auto"/>
            <w:vAlign w:val="center"/>
          </w:tcPr>
          <w:p w14:paraId="66E57E35" w14:textId="77777777" w:rsidR="00C82090" w:rsidRDefault="00C37608">
            <w:pPr>
              <w:spacing w:after="0" w:line="240" w:lineRule="auto"/>
              <w:jc w:val="center"/>
            </w:pPr>
            <w:r>
              <w:rPr>
                <w:rFonts w:ascii="Arial" w:hAnsi="Arial" w:cs="Arial"/>
                <w:sz w:val="16"/>
                <w:szCs w:val="16"/>
              </w:rPr>
              <w:t>44.21</w:t>
            </w:r>
          </w:p>
        </w:tc>
        <w:tc>
          <w:tcPr>
            <w:tcW w:w="708" w:type="dxa"/>
            <w:tcBorders>
              <w:top w:val="single" w:sz="4" w:space="0" w:color="00000A"/>
              <w:left w:val="single" w:sz="4" w:space="0" w:color="00000A"/>
              <w:bottom w:val="single" w:sz="4" w:space="0" w:color="00000A"/>
            </w:tcBorders>
            <w:shd w:val="clear" w:color="auto" w:fill="auto"/>
            <w:vAlign w:val="center"/>
          </w:tcPr>
          <w:p w14:paraId="0D27B091" w14:textId="77777777" w:rsidR="00C82090" w:rsidRDefault="00C37608">
            <w:pPr>
              <w:spacing w:after="0" w:line="240" w:lineRule="auto"/>
              <w:jc w:val="center"/>
            </w:pPr>
            <w:r>
              <w:rPr>
                <w:rFonts w:ascii="Arial" w:hAnsi="Arial" w:cs="Arial"/>
                <w:sz w:val="16"/>
                <w:szCs w:val="16"/>
              </w:rPr>
              <w:t>0.59</w:t>
            </w:r>
          </w:p>
        </w:tc>
        <w:tc>
          <w:tcPr>
            <w:tcW w:w="710" w:type="dxa"/>
            <w:tcBorders>
              <w:top w:val="single" w:sz="4" w:space="0" w:color="00000A"/>
              <w:left w:val="single" w:sz="4" w:space="0" w:color="00000A"/>
              <w:bottom w:val="single" w:sz="4" w:space="0" w:color="00000A"/>
            </w:tcBorders>
            <w:shd w:val="clear" w:color="auto" w:fill="auto"/>
            <w:vAlign w:val="center"/>
          </w:tcPr>
          <w:p w14:paraId="46AD6113" w14:textId="77777777" w:rsidR="00C82090" w:rsidRDefault="00C37608">
            <w:pPr>
              <w:spacing w:after="0" w:line="240" w:lineRule="auto"/>
              <w:jc w:val="center"/>
            </w:pPr>
            <w:r>
              <w:rPr>
                <w:rFonts w:ascii="Arial" w:hAnsi="Arial" w:cs="Arial"/>
                <w:sz w:val="16"/>
                <w:szCs w:val="16"/>
              </w:rPr>
              <w:t>16</w:t>
            </w:r>
          </w:p>
        </w:tc>
        <w:tc>
          <w:tcPr>
            <w:tcW w:w="709" w:type="dxa"/>
            <w:tcBorders>
              <w:top w:val="single" w:sz="4" w:space="0" w:color="00000A"/>
              <w:left w:val="single" w:sz="4" w:space="0" w:color="00000A"/>
              <w:bottom w:val="single" w:sz="4" w:space="0" w:color="00000A"/>
            </w:tcBorders>
            <w:shd w:val="clear" w:color="auto" w:fill="auto"/>
            <w:vAlign w:val="center"/>
          </w:tcPr>
          <w:p w14:paraId="0471EACD" w14:textId="77777777" w:rsidR="00C82090" w:rsidRDefault="00C37608">
            <w:pPr>
              <w:spacing w:after="0" w:line="240" w:lineRule="auto"/>
              <w:jc w:val="center"/>
            </w:pPr>
            <w:r>
              <w:rPr>
                <w:rFonts w:ascii="Arial" w:hAnsi="Arial" w:cs="Arial"/>
                <w:sz w:val="16"/>
                <w:szCs w:val="16"/>
              </w:rPr>
              <w:t>0</w:t>
            </w:r>
          </w:p>
        </w:tc>
        <w:tc>
          <w:tcPr>
            <w:tcW w:w="8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49663C" w14:textId="77777777" w:rsidR="00C82090" w:rsidRDefault="00C37608">
            <w:pPr>
              <w:spacing w:after="0" w:line="240" w:lineRule="auto"/>
              <w:jc w:val="center"/>
            </w:pPr>
            <w:r>
              <w:rPr>
                <w:rFonts w:ascii="Arial" w:hAnsi="Arial" w:cs="Arial"/>
                <w:sz w:val="16"/>
                <w:szCs w:val="16"/>
                <w:lang w:eastAsia="en-US"/>
              </w:rPr>
              <w:t>0.5</w:t>
            </w:r>
          </w:p>
        </w:tc>
      </w:tr>
      <w:tr w:rsidR="00C82090" w14:paraId="2B2143FE" w14:textId="77777777">
        <w:tc>
          <w:tcPr>
            <w:tcW w:w="1823" w:type="dxa"/>
            <w:tcBorders>
              <w:top w:val="single" w:sz="4" w:space="0" w:color="00000A"/>
              <w:left w:val="single" w:sz="4" w:space="0" w:color="00000A"/>
              <w:bottom w:val="single" w:sz="4" w:space="0" w:color="00000A"/>
            </w:tcBorders>
            <w:shd w:val="clear" w:color="auto" w:fill="auto"/>
            <w:vAlign w:val="center"/>
          </w:tcPr>
          <w:p w14:paraId="17A0ACEE" w14:textId="77777777" w:rsidR="00C82090" w:rsidRDefault="00C37608">
            <w:pPr>
              <w:spacing w:after="0" w:line="240" w:lineRule="auto"/>
              <w:jc w:val="center"/>
            </w:pPr>
            <w:r>
              <w:rPr>
                <w:rFonts w:ascii="Arial" w:hAnsi="Arial" w:cs="Arial"/>
                <w:sz w:val="16"/>
                <w:szCs w:val="16"/>
              </w:rPr>
              <w:t>1020010023851F00</w:t>
            </w:r>
          </w:p>
        </w:tc>
        <w:tc>
          <w:tcPr>
            <w:tcW w:w="729" w:type="dxa"/>
            <w:tcBorders>
              <w:top w:val="single" w:sz="4" w:space="0" w:color="00000A"/>
              <w:left w:val="single" w:sz="4" w:space="0" w:color="00000A"/>
              <w:bottom w:val="single" w:sz="4" w:space="0" w:color="00000A"/>
            </w:tcBorders>
            <w:shd w:val="clear" w:color="auto" w:fill="auto"/>
            <w:vAlign w:val="center"/>
          </w:tcPr>
          <w:p w14:paraId="0A16F477" w14:textId="77777777" w:rsidR="00C82090" w:rsidRDefault="00C37608">
            <w:pPr>
              <w:spacing w:after="0" w:line="240" w:lineRule="auto"/>
              <w:jc w:val="center"/>
            </w:pPr>
            <w:r>
              <w:rPr>
                <w:rFonts w:ascii="Arial" w:hAnsi="Arial" w:cs="Arial"/>
                <w:sz w:val="16"/>
                <w:szCs w:val="16"/>
              </w:rPr>
              <w:t>Pan</w:t>
            </w:r>
          </w:p>
        </w:tc>
        <w:tc>
          <w:tcPr>
            <w:tcW w:w="761" w:type="dxa"/>
            <w:tcBorders>
              <w:top w:val="single" w:sz="4" w:space="0" w:color="00000A"/>
              <w:left w:val="single" w:sz="4" w:space="0" w:color="00000A"/>
              <w:bottom w:val="single" w:sz="4" w:space="0" w:color="00000A"/>
            </w:tcBorders>
            <w:shd w:val="clear" w:color="auto" w:fill="auto"/>
            <w:vAlign w:val="center"/>
          </w:tcPr>
          <w:p w14:paraId="2DAD3014" w14:textId="77777777" w:rsidR="00C82090" w:rsidRDefault="00C37608">
            <w:pPr>
              <w:spacing w:after="0" w:line="240" w:lineRule="auto"/>
              <w:jc w:val="center"/>
            </w:pPr>
            <w:r>
              <w:rPr>
                <w:rFonts w:ascii="Arial" w:hAnsi="Arial" w:cs="Arial"/>
                <w:sz w:val="16"/>
                <w:szCs w:val="16"/>
              </w:rPr>
              <w:t>WV01</w:t>
            </w:r>
          </w:p>
        </w:tc>
        <w:tc>
          <w:tcPr>
            <w:tcW w:w="1222" w:type="dxa"/>
            <w:tcBorders>
              <w:top w:val="single" w:sz="4" w:space="0" w:color="00000A"/>
              <w:left w:val="single" w:sz="4" w:space="0" w:color="00000A"/>
              <w:bottom w:val="single" w:sz="4" w:space="0" w:color="00000A"/>
            </w:tcBorders>
            <w:shd w:val="clear" w:color="auto" w:fill="auto"/>
            <w:vAlign w:val="center"/>
          </w:tcPr>
          <w:p w14:paraId="681A479B" w14:textId="77777777" w:rsidR="00C82090" w:rsidRDefault="00C37608">
            <w:pPr>
              <w:spacing w:after="0" w:line="240" w:lineRule="auto"/>
              <w:jc w:val="center"/>
            </w:pPr>
            <w:r>
              <w:rPr>
                <w:rFonts w:ascii="Arial" w:hAnsi="Arial" w:cs="Arial"/>
                <w:sz w:val="16"/>
                <w:szCs w:val="16"/>
              </w:rPr>
              <w:t>19</w:t>
            </w:r>
            <w:r>
              <w:rPr>
                <w:rFonts w:ascii="Arial" w:hAnsi="Arial" w:cs="Arial"/>
                <w:sz w:val="16"/>
                <w:szCs w:val="16"/>
                <w:vertAlign w:val="superscript"/>
              </w:rPr>
              <w:t>th</w:t>
            </w:r>
            <w:r>
              <w:rPr>
                <w:rFonts w:ascii="Arial" w:hAnsi="Arial" w:cs="Arial"/>
                <w:sz w:val="16"/>
                <w:szCs w:val="16"/>
              </w:rPr>
              <w:t xml:space="preserve">  </w:t>
            </w:r>
          </w:p>
          <w:p w14:paraId="5339E511" w14:textId="77777777" w:rsidR="00C82090" w:rsidRDefault="00C37608">
            <w:pPr>
              <w:spacing w:after="0" w:line="240" w:lineRule="auto"/>
              <w:jc w:val="center"/>
            </w:pPr>
            <w:r>
              <w:rPr>
                <w:rFonts w:ascii="Arial" w:hAnsi="Arial" w:cs="Arial"/>
                <w:sz w:val="16"/>
                <w:szCs w:val="16"/>
              </w:rPr>
              <w:t xml:space="preserve">August </w:t>
            </w:r>
          </w:p>
          <w:p w14:paraId="6F159C42" w14:textId="77777777" w:rsidR="00C82090" w:rsidRDefault="00C37608">
            <w:pPr>
              <w:spacing w:after="0" w:line="240" w:lineRule="auto"/>
              <w:jc w:val="center"/>
            </w:pPr>
            <w:r>
              <w:rPr>
                <w:rFonts w:ascii="Arial" w:hAnsi="Arial" w:cs="Arial"/>
                <w:sz w:val="16"/>
                <w:szCs w:val="16"/>
              </w:rPr>
              <w:t>2013</w:t>
            </w:r>
          </w:p>
        </w:tc>
        <w:tc>
          <w:tcPr>
            <w:tcW w:w="993" w:type="dxa"/>
            <w:tcBorders>
              <w:top w:val="single" w:sz="4" w:space="0" w:color="00000A"/>
              <w:left w:val="single" w:sz="4" w:space="0" w:color="00000A"/>
              <w:bottom w:val="single" w:sz="4" w:space="0" w:color="00000A"/>
            </w:tcBorders>
            <w:shd w:val="clear" w:color="auto" w:fill="auto"/>
            <w:vAlign w:val="center"/>
          </w:tcPr>
          <w:p w14:paraId="2B187D13" w14:textId="77777777" w:rsidR="00C82090" w:rsidRDefault="00C37608">
            <w:pPr>
              <w:spacing w:after="0" w:line="240" w:lineRule="auto"/>
              <w:jc w:val="center"/>
            </w:pPr>
            <w:r>
              <w:rPr>
                <w:rFonts w:ascii="Arial" w:hAnsi="Arial" w:cs="Arial"/>
                <w:sz w:val="16"/>
                <w:szCs w:val="16"/>
              </w:rPr>
              <w:t>24.37</w:t>
            </w:r>
          </w:p>
        </w:tc>
        <w:tc>
          <w:tcPr>
            <w:tcW w:w="717" w:type="dxa"/>
            <w:tcBorders>
              <w:top w:val="single" w:sz="4" w:space="0" w:color="00000A"/>
              <w:left w:val="single" w:sz="4" w:space="0" w:color="00000A"/>
              <w:bottom w:val="single" w:sz="4" w:space="0" w:color="00000A"/>
            </w:tcBorders>
            <w:shd w:val="clear" w:color="auto" w:fill="auto"/>
            <w:vAlign w:val="center"/>
          </w:tcPr>
          <w:p w14:paraId="6583075C" w14:textId="77777777" w:rsidR="00C82090" w:rsidRDefault="00C37608">
            <w:pPr>
              <w:spacing w:after="0" w:line="240" w:lineRule="auto"/>
              <w:jc w:val="center"/>
            </w:pPr>
            <w:r>
              <w:rPr>
                <w:rFonts w:ascii="Arial" w:hAnsi="Arial" w:cs="Arial"/>
                <w:sz w:val="16"/>
                <w:szCs w:val="16"/>
              </w:rPr>
              <w:t>19.54</w:t>
            </w:r>
          </w:p>
        </w:tc>
        <w:tc>
          <w:tcPr>
            <w:tcW w:w="844" w:type="dxa"/>
            <w:tcBorders>
              <w:top w:val="single" w:sz="4" w:space="0" w:color="00000A"/>
              <w:left w:val="single" w:sz="4" w:space="0" w:color="00000A"/>
              <w:bottom w:val="single" w:sz="4" w:space="0" w:color="00000A"/>
            </w:tcBorders>
            <w:shd w:val="clear" w:color="auto" w:fill="auto"/>
            <w:vAlign w:val="center"/>
          </w:tcPr>
          <w:p w14:paraId="6EBE3CDF" w14:textId="77777777" w:rsidR="00C82090" w:rsidRDefault="00C37608">
            <w:pPr>
              <w:spacing w:after="0" w:line="240" w:lineRule="auto"/>
              <w:jc w:val="center"/>
            </w:pPr>
            <w:r>
              <w:rPr>
                <w:rFonts w:ascii="Arial" w:hAnsi="Arial" w:cs="Arial"/>
                <w:sz w:val="16"/>
                <w:szCs w:val="16"/>
              </w:rPr>
              <w:t>37.67</w:t>
            </w:r>
          </w:p>
        </w:tc>
        <w:tc>
          <w:tcPr>
            <w:tcW w:w="708" w:type="dxa"/>
            <w:tcBorders>
              <w:top w:val="single" w:sz="4" w:space="0" w:color="00000A"/>
              <w:left w:val="single" w:sz="4" w:space="0" w:color="00000A"/>
              <w:bottom w:val="single" w:sz="4" w:space="0" w:color="00000A"/>
            </w:tcBorders>
            <w:shd w:val="clear" w:color="auto" w:fill="auto"/>
            <w:vAlign w:val="center"/>
          </w:tcPr>
          <w:p w14:paraId="133218CC" w14:textId="77777777" w:rsidR="00C82090" w:rsidRDefault="00C37608">
            <w:pPr>
              <w:spacing w:after="0" w:line="240" w:lineRule="auto"/>
              <w:jc w:val="center"/>
            </w:pPr>
            <w:r>
              <w:rPr>
                <w:rFonts w:ascii="Arial" w:hAnsi="Arial" w:cs="Arial"/>
                <w:sz w:val="16"/>
                <w:szCs w:val="16"/>
              </w:rPr>
              <w:t>0.56</w:t>
            </w:r>
          </w:p>
        </w:tc>
        <w:tc>
          <w:tcPr>
            <w:tcW w:w="710" w:type="dxa"/>
            <w:tcBorders>
              <w:top w:val="single" w:sz="4" w:space="0" w:color="00000A"/>
              <w:left w:val="single" w:sz="4" w:space="0" w:color="00000A"/>
              <w:bottom w:val="single" w:sz="4" w:space="0" w:color="00000A"/>
            </w:tcBorders>
            <w:shd w:val="clear" w:color="auto" w:fill="auto"/>
            <w:vAlign w:val="center"/>
          </w:tcPr>
          <w:p w14:paraId="03EDFF3D" w14:textId="77777777" w:rsidR="00C82090" w:rsidRDefault="00C37608">
            <w:pPr>
              <w:spacing w:after="0" w:line="240" w:lineRule="auto"/>
              <w:jc w:val="center"/>
            </w:pPr>
            <w:r>
              <w:rPr>
                <w:rFonts w:ascii="Arial" w:hAnsi="Arial" w:cs="Arial"/>
                <w:sz w:val="16"/>
                <w:szCs w:val="16"/>
              </w:rPr>
              <w:t>26</w:t>
            </w:r>
          </w:p>
        </w:tc>
        <w:tc>
          <w:tcPr>
            <w:tcW w:w="709" w:type="dxa"/>
            <w:tcBorders>
              <w:top w:val="single" w:sz="4" w:space="0" w:color="00000A"/>
              <w:left w:val="single" w:sz="4" w:space="0" w:color="00000A"/>
              <w:bottom w:val="single" w:sz="4" w:space="0" w:color="00000A"/>
            </w:tcBorders>
            <w:shd w:val="clear" w:color="auto" w:fill="auto"/>
            <w:vAlign w:val="center"/>
          </w:tcPr>
          <w:p w14:paraId="5C657251" w14:textId="77777777" w:rsidR="00C82090" w:rsidRDefault="00C37608">
            <w:pPr>
              <w:spacing w:after="0" w:line="240" w:lineRule="auto"/>
              <w:jc w:val="center"/>
            </w:pPr>
            <w:r>
              <w:rPr>
                <w:rFonts w:ascii="Arial" w:hAnsi="Arial" w:cs="Arial"/>
                <w:sz w:val="16"/>
                <w:szCs w:val="16"/>
              </w:rPr>
              <w:t>19</w:t>
            </w:r>
          </w:p>
        </w:tc>
        <w:tc>
          <w:tcPr>
            <w:tcW w:w="8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F7F3E" w14:textId="77777777" w:rsidR="00C82090" w:rsidRDefault="00C37608">
            <w:pPr>
              <w:spacing w:after="0" w:line="240" w:lineRule="auto"/>
              <w:jc w:val="center"/>
            </w:pPr>
            <w:r>
              <w:rPr>
                <w:rFonts w:ascii="Arial" w:hAnsi="Arial" w:cs="Arial"/>
                <w:sz w:val="16"/>
                <w:szCs w:val="16"/>
                <w:lang w:eastAsia="en-US"/>
              </w:rPr>
              <w:t>0.5</w:t>
            </w:r>
          </w:p>
        </w:tc>
      </w:tr>
    </w:tbl>
    <w:p w14:paraId="363A3247" w14:textId="77777777" w:rsidR="00C82090" w:rsidRDefault="00C82090">
      <w:pPr>
        <w:spacing w:after="0" w:line="240" w:lineRule="auto"/>
        <w:rPr>
          <w:b/>
          <w:sz w:val="24"/>
          <w:szCs w:val="24"/>
          <w:lang w:eastAsia="en-US"/>
        </w:rPr>
      </w:pPr>
    </w:p>
    <w:p w14:paraId="71A7A0D0" w14:textId="77777777" w:rsidR="00C82090" w:rsidRDefault="00C37608">
      <w:pPr>
        <w:spacing w:after="0" w:line="240" w:lineRule="auto"/>
      </w:pPr>
      <w:r>
        <w:rPr>
          <w:b/>
          <w:sz w:val="24"/>
          <w:szCs w:val="24"/>
          <w:lang w:eastAsia="en-US"/>
        </w:rPr>
        <w:t>Table 2.</w:t>
      </w:r>
      <w:r>
        <w:rPr>
          <w:sz w:val="24"/>
          <w:szCs w:val="24"/>
          <w:lang w:eastAsia="en-US"/>
        </w:rPr>
        <w:t xml:space="preserve"> WorldView imagery used in this project.</w:t>
      </w:r>
    </w:p>
    <w:p w14:paraId="46D12F4B" w14:textId="77777777" w:rsidR="00C82090" w:rsidRDefault="00C82090">
      <w:pPr>
        <w:spacing w:after="0" w:line="240" w:lineRule="auto"/>
        <w:rPr>
          <w:sz w:val="24"/>
          <w:szCs w:val="24"/>
          <w:lang w:eastAsia="en-US"/>
        </w:rPr>
      </w:pPr>
    </w:p>
    <w:p w14:paraId="62102118" w14:textId="77777777" w:rsidR="00C82090" w:rsidRDefault="00C82090">
      <w:pPr>
        <w:spacing w:after="0" w:line="240" w:lineRule="auto"/>
        <w:rPr>
          <w:b/>
          <w:sz w:val="24"/>
          <w:szCs w:val="24"/>
          <w:lang w:eastAsia="en-US"/>
        </w:rPr>
      </w:pPr>
    </w:p>
    <w:p w14:paraId="7291B710" w14:textId="77777777" w:rsidR="007B35D3" w:rsidRDefault="007B35D3" w:rsidP="007B35D3">
      <w:pPr>
        <w:spacing w:after="0" w:line="240" w:lineRule="auto"/>
        <w:rPr>
          <w:b/>
          <w:sz w:val="24"/>
          <w:szCs w:val="24"/>
          <w:lang w:eastAsia="en-US"/>
        </w:rPr>
      </w:pPr>
    </w:p>
    <w:p w14:paraId="5B28D88C" w14:textId="77777777" w:rsidR="007B35D3" w:rsidRDefault="007B35D3" w:rsidP="007B35D3">
      <w:pPr>
        <w:spacing w:after="0" w:line="240" w:lineRule="auto"/>
        <w:rPr>
          <w:b/>
          <w:sz w:val="24"/>
          <w:szCs w:val="24"/>
          <w:lang w:eastAsia="en-US"/>
        </w:rPr>
      </w:pPr>
    </w:p>
    <w:p w14:paraId="490856E3" w14:textId="77777777" w:rsidR="007B35D3" w:rsidRDefault="007B35D3" w:rsidP="007B35D3">
      <w:pPr>
        <w:spacing w:after="0" w:line="240" w:lineRule="auto"/>
        <w:rPr>
          <w:b/>
          <w:sz w:val="24"/>
          <w:szCs w:val="24"/>
          <w:lang w:eastAsia="en-US"/>
        </w:rPr>
      </w:pPr>
    </w:p>
    <w:p w14:paraId="5FFA2F1C" w14:textId="77777777" w:rsidR="007B35D3" w:rsidRDefault="007B35D3" w:rsidP="007B35D3">
      <w:pPr>
        <w:spacing w:after="0" w:line="240" w:lineRule="auto"/>
        <w:rPr>
          <w:b/>
          <w:sz w:val="24"/>
          <w:szCs w:val="24"/>
          <w:lang w:eastAsia="en-US"/>
        </w:rPr>
      </w:pPr>
    </w:p>
    <w:p w14:paraId="1BEE2D8D" w14:textId="77777777" w:rsidR="007B35D3" w:rsidRDefault="007B35D3" w:rsidP="007B35D3">
      <w:pPr>
        <w:spacing w:after="0" w:line="240" w:lineRule="auto"/>
        <w:rPr>
          <w:b/>
          <w:sz w:val="24"/>
          <w:szCs w:val="24"/>
          <w:lang w:eastAsia="en-US"/>
        </w:rPr>
      </w:pPr>
    </w:p>
    <w:p w14:paraId="1B562EAD" w14:textId="77777777" w:rsidR="007B35D3" w:rsidRDefault="007B35D3" w:rsidP="007B35D3">
      <w:pPr>
        <w:spacing w:after="0" w:line="240" w:lineRule="auto"/>
        <w:rPr>
          <w:b/>
          <w:sz w:val="24"/>
          <w:szCs w:val="24"/>
          <w:lang w:eastAsia="en-US"/>
        </w:rPr>
      </w:pPr>
    </w:p>
    <w:p w14:paraId="54495C04" w14:textId="77777777" w:rsidR="007B35D3" w:rsidRDefault="007B35D3" w:rsidP="007B35D3">
      <w:pPr>
        <w:spacing w:after="0" w:line="240" w:lineRule="auto"/>
        <w:rPr>
          <w:b/>
          <w:sz w:val="24"/>
          <w:szCs w:val="24"/>
          <w:lang w:eastAsia="en-US"/>
        </w:rPr>
      </w:pPr>
    </w:p>
    <w:p w14:paraId="1D5BF5FF" w14:textId="77777777" w:rsidR="007B35D3" w:rsidRDefault="007B35D3" w:rsidP="007B35D3">
      <w:pPr>
        <w:spacing w:after="0" w:line="240" w:lineRule="auto"/>
        <w:rPr>
          <w:b/>
          <w:sz w:val="24"/>
          <w:szCs w:val="24"/>
          <w:lang w:eastAsia="en-US"/>
        </w:rPr>
      </w:pPr>
    </w:p>
    <w:p w14:paraId="6BF90ABB" w14:textId="77777777" w:rsidR="007B35D3" w:rsidRDefault="007B35D3" w:rsidP="007B35D3">
      <w:pPr>
        <w:spacing w:after="0" w:line="240" w:lineRule="auto"/>
        <w:rPr>
          <w:b/>
          <w:sz w:val="24"/>
          <w:szCs w:val="24"/>
          <w:lang w:eastAsia="en-US"/>
        </w:rPr>
      </w:pPr>
    </w:p>
    <w:p w14:paraId="4C1D92A2" w14:textId="77777777" w:rsidR="007B35D3" w:rsidRDefault="007B35D3" w:rsidP="007B35D3">
      <w:pPr>
        <w:spacing w:after="0" w:line="240" w:lineRule="auto"/>
        <w:rPr>
          <w:b/>
          <w:sz w:val="24"/>
          <w:szCs w:val="24"/>
          <w:lang w:eastAsia="en-US"/>
        </w:rPr>
      </w:pPr>
    </w:p>
    <w:p w14:paraId="258F1D81" w14:textId="77777777" w:rsidR="007B35D3" w:rsidRDefault="007B35D3" w:rsidP="007B35D3">
      <w:pPr>
        <w:spacing w:after="0" w:line="240" w:lineRule="auto"/>
        <w:rPr>
          <w:b/>
          <w:sz w:val="24"/>
          <w:szCs w:val="24"/>
          <w:lang w:eastAsia="en-US"/>
        </w:rPr>
      </w:pPr>
    </w:p>
    <w:p w14:paraId="7E6BB0BB" w14:textId="77777777" w:rsidR="007B35D3" w:rsidRDefault="007B35D3" w:rsidP="007B35D3">
      <w:pPr>
        <w:spacing w:after="0" w:line="240" w:lineRule="auto"/>
        <w:rPr>
          <w:b/>
          <w:sz w:val="24"/>
          <w:szCs w:val="24"/>
          <w:lang w:eastAsia="en-US"/>
        </w:rPr>
      </w:pPr>
    </w:p>
    <w:p w14:paraId="0467F218" w14:textId="77777777" w:rsidR="007B35D3" w:rsidRDefault="007B35D3" w:rsidP="007B35D3">
      <w:pPr>
        <w:spacing w:after="0" w:line="240" w:lineRule="auto"/>
        <w:rPr>
          <w:b/>
          <w:sz w:val="24"/>
          <w:szCs w:val="24"/>
          <w:lang w:eastAsia="en-US"/>
        </w:rPr>
      </w:pPr>
    </w:p>
    <w:p w14:paraId="22BF3573" w14:textId="77777777" w:rsidR="007B35D3" w:rsidRDefault="007B35D3" w:rsidP="007B35D3">
      <w:pPr>
        <w:spacing w:after="0" w:line="240" w:lineRule="auto"/>
        <w:rPr>
          <w:b/>
          <w:sz w:val="24"/>
          <w:szCs w:val="24"/>
          <w:lang w:eastAsia="en-US"/>
        </w:rPr>
      </w:pPr>
    </w:p>
    <w:p w14:paraId="1C722F22" w14:textId="77777777" w:rsidR="007B35D3" w:rsidRDefault="007B35D3" w:rsidP="007B35D3">
      <w:pPr>
        <w:spacing w:after="0" w:line="240" w:lineRule="auto"/>
        <w:rPr>
          <w:b/>
          <w:sz w:val="24"/>
          <w:szCs w:val="24"/>
          <w:lang w:eastAsia="en-US"/>
        </w:rPr>
      </w:pPr>
    </w:p>
    <w:p w14:paraId="6386E139" w14:textId="77777777" w:rsidR="007B35D3" w:rsidRDefault="007B35D3" w:rsidP="007B35D3">
      <w:pPr>
        <w:spacing w:after="0" w:line="240" w:lineRule="auto"/>
        <w:rPr>
          <w:b/>
          <w:sz w:val="24"/>
          <w:szCs w:val="24"/>
          <w:lang w:eastAsia="en-US"/>
        </w:rPr>
      </w:pPr>
    </w:p>
    <w:p w14:paraId="487B388D" w14:textId="77777777" w:rsidR="007B35D3" w:rsidRDefault="007B35D3" w:rsidP="007B35D3">
      <w:pPr>
        <w:spacing w:after="0" w:line="240" w:lineRule="auto"/>
        <w:rPr>
          <w:b/>
          <w:sz w:val="24"/>
          <w:szCs w:val="24"/>
          <w:lang w:eastAsia="en-US"/>
        </w:rPr>
      </w:pPr>
    </w:p>
    <w:p w14:paraId="3A3541D4" w14:textId="77777777" w:rsidR="007B35D3" w:rsidRDefault="007B35D3" w:rsidP="007B35D3">
      <w:pPr>
        <w:spacing w:after="0" w:line="240" w:lineRule="auto"/>
        <w:rPr>
          <w:b/>
          <w:sz w:val="24"/>
          <w:szCs w:val="24"/>
          <w:lang w:eastAsia="en-US"/>
        </w:rPr>
      </w:pPr>
    </w:p>
    <w:p w14:paraId="282B3C3B" w14:textId="77777777" w:rsidR="007B35D3" w:rsidRDefault="007B35D3" w:rsidP="007B35D3">
      <w:pPr>
        <w:spacing w:after="0" w:line="240" w:lineRule="auto"/>
        <w:rPr>
          <w:b/>
          <w:sz w:val="24"/>
          <w:szCs w:val="24"/>
          <w:lang w:eastAsia="en-US"/>
        </w:rPr>
      </w:pPr>
    </w:p>
    <w:p w14:paraId="1DB27196" w14:textId="77777777" w:rsidR="007B35D3" w:rsidRDefault="007B35D3" w:rsidP="007B35D3">
      <w:pPr>
        <w:spacing w:after="0" w:line="240" w:lineRule="auto"/>
        <w:rPr>
          <w:b/>
          <w:sz w:val="24"/>
          <w:szCs w:val="24"/>
          <w:lang w:eastAsia="en-US"/>
        </w:rPr>
      </w:pPr>
    </w:p>
    <w:p w14:paraId="61BC4C46" w14:textId="77777777" w:rsidR="007B35D3" w:rsidRDefault="007B35D3" w:rsidP="007B35D3">
      <w:pPr>
        <w:spacing w:after="0" w:line="240" w:lineRule="auto"/>
        <w:rPr>
          <w:b/>
          <w:sz w:val="24"/>
          <w:szCs w:val="24"/>
          <w:lang w:eastAsia="en-US"/>
        </w:rPr>
      </w:pPr>
    </w:p>
    <w:p w14:paraId="0FC70FE5" w14:textId="77777777" w:rsidR="007B35D3" w:rsidRDefault="007B35D3" w:rsidP="007B35D3">
      <w:pPr>
        <w:spacing w:after="0" w:line="240" w:lineRule="auto"/>
        <w:rPr>
          <w:b/>
          <w:sz w:val="24"/>
          <w:szCs w:val="24"/>
          <w:lang w:eastAsia="en-US"/>
        </w:rPr>
      </w:pPr>
    </w:p>
    <w:p w14:paraId="62B97E55" w14:textId="77777777" w:rsidR="007B35D3" w:rsidRDefault="007B35D3" w:rsidP="007B35D3">
      <w:pPr>
        <w:spacing w:after="0" w:line="240" w:lineRule="auto"/>
        <w:rPr>
          <w:b/>
          <w:sz w:val="24"/>
          <w:szCs w:val="24"/>
          <w:lang w:eastAsia="en-US"/>
        </w:rPr>
      </w:pPr>
    </w:p>
    <w:p w14:paraId="01308149" w14:textId="77777777" w:rsidR="007B35D3" w:rsidRDefault="007B35D3" w:rsidP="007B35D3">
      <w:pPr>
        <w:spacing w:after="0" w:line="240" w:lineRule="auto"/>
        <w:rPr>
          <w:b/>
          <w:sz w:val="24"/>
          <w:szCs w:val="24"/>
          <w:lang w:eastAsia="en-US"/>
        </w:rPr>
      </w:pPr>
    </w:p>
    <w:p w14:paraId="23509EE9" w14:textId="77777777" w:rsidR="007B35D3" w:rsidRDefault="007B35D3" w:rsidP="007B35D3">
      <w:pPr>
        <w:spacing w:after="0" w:line="240" w:lineRule="auto"/>
        <w:jc w:val="center"/>
        <w:rPr>
          <w:sz w:val="24"/>
          <w:szCs w:val="24"/>
          <w:lang w:eastAsia="en-US"/>
        </w:rPr>
      </w:pPr>
      <w:r>
        <w:rPr>
          <w:noProof/>
          <w:sz w:val="24"/>
          <w:szCs w:val="24"/>
        </w:rPr>
        <w:lastRenderedPageBreak/>
        <w:drawing>
          <wp:inline distT="0" distB="0" distL="0" distR="0" wp14:anchorId="1A80604A" wp14:editId="49FAB30D">
            <wp:extent cx="5002879" cy="76866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983" cy="7688371"/>
                    </a:xfrm>
                    <a:prstGeom prst="rect">
                      <a:avLst/>
                    </a:prstGeom>
                  </pic:spPr>
                </pic:pic>
              </a:graphicData>
            </a:graphic>
          </wp:inline>
        </w:drawing>
      </w:r>
    </w:p>
    <w:p w14:paraId="66ED1A5F" w14:textId="77777777" w:rsidR="007B35D3" w:rsidRDefault="007B35D3" w:rsidP="007B35D3">
      <w:pPr>
        <w:spacing w:after="0" w:line="240" w:lineRule="auto"/>
        <w:rPr>
          <w:sz w:val="24"/>
          <w:szCs w:val="24"/>
          <w:lang w:eastAsia="en-US"/>
        </w:rPr>
      </w:pPr>
    </w:p>
    <w:p w14:paraId="3119A486" w14:textId="77777777" w:rsidR="007B35D3" w:rsidRDefault="007B35D3" w:rsidP="007B35D3">
      <w:pPr>
        <w:spacing w:after="0" w:line="240" w:lineRule="auto"/>
      </w:pPr>
      <w:r>
        <w:rPr>
          <w:b/>
          <w:sz w:val="24"/>
          <w:szCs w:val="24"/>
          <w:lang w:eastAsia="en-US"/>
        </w:rPr>
        <w:t>Figure 1.</w:t>
      </w:r>
      <w:r>
        <w:rPr>
          <w:sz w:val="24"/>
          <w:szCs w:val="24"/>
          <w:lang w:eastAsia="en-US"/>
        </w:rPr>
        <w:t xml:space="preserve"> Location of Kverkfjöll in Iceland and sites mentioned in the text, detailing topography, large-scale geological structure: curved white dashed lines approximate the caldera rim (Jóhannesson and Sæmundsson, 1998) and straight white dashed lines depict major fissure lines – structural fault lines (Carrivick, 2004). The hill-shaded digital elevation model is that from September 2011 ALS data.</w:t>
      </w:r>
    </w:p>
    <w:p w14:paraId="3FC985BE" w14:textId="5FA23F80" w:rsidR="007B35D3" w:rsidRDefault="00432AAF" w:rsidP="007B35D3">
      <w:pPr>
        <w:spacing w:after="0" w:line="240" w:lineRule="auto"/>
        <w:rPr>
          <w:sz w:val="24"/>
          <w:szCs w:val="24"/>
          <w:lang w:eastAsia="en-US"/>
        </w:rPr>
      </w:pPr>
      <w:r>
        <w:rPr>
          <w:noProof/>
          <w:sz w:val="24"/>
          <w:szCs w:val="24"/>
        </w:rPr>
        <w:lastRenderedPageBreak/>
        <w:drawing>
          <wp:inline distT="0" distB="0" distL="0" distR="0" wp14:anchorId="6E6B0CE8" wp14:editId="7FB3C501">
            <wp:extent cx="7428840" cy="5767104"/>
            <wp:effectExtent l="0" t="762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432076" cy="5769616"/>
                    </a:xfrm>
                    <a:prstGeom prst="rect">
                      <a:avLst/>
                    </a:prstGeom>
                  </pic:spPr>
                </pic:pic>
              </a:graphicData>
            </a:graphic>
          </wp:inline>
        </w:drawing>
      </w:r>
    </w:p>
    <w:p w14:paraId="311C946E" w14:textId="77777777" w:rsidR="007B35D3" w:rsidRDefault="007B35D3" w:rsidP="007B35D3">
      <w:pPr>
        <w:spacing w:after="0" w:line="240" w:lineRule="auto"/>
        <w:rPr>
          <w:sz w:val="24"/>
          <w:szCs w:val="24"/>
          <w:lang w:eastAsia="en-US"/>
        </w:rPr>
      </w:pPr>
    </w:p>
    <w:p w14:paraId="30770199" w14:textId="77777777" w:rsidR="007B35D3" w:rsidRDefault="007B35D3" w:rsidP="007B35D3">
      <w:pPr>
        <w:spacing w:after="0" w:line="240" w:lineRule="auto"/>
        <w:rPr>
          <w:sz w:val="24"/>
          <w:szCs w:val="24"/>
          <w:lang w:eastAsia="en-US"/>
        </w:rPr>
      </w:pPr>
    </w:p>
    <w:p w14:paraId="608528EA" w14:textId="2E99AC67" w:rsidR="007B35D3" w:rsidRDefault="007B35D3" w:rsidP="007B35D3">
      <w:pPr>
        <w:spacing w:after="0" w:line="240" w:lineRule="auto"/>
        <w:rPr>
          <w:sz w:val="24"/>
          <w:szCs w:val="24"/>
          <w:lang w:eastAsia="en-US"/>
        </w:rPr>
      </w:pPr>
      <w:r w:rsidRPr="00E45B40">
        <w:rPr>
          <w:b/>
          <w:sz w:val="24"/>
          <w:szCs w:val="24"/>
          <w:lang w:eastAsia="en-US"/>
        </w:rPr>
        <w:t>Figure 2.</w:t>
      </w:r>
      <w:r>
        <w:rPr>
          <w:sz w:val="24"/>
          <w:szCs w:val="24"/>
          <w:lang w:eastAsia="en-US"/>
        </w:rPr>
        <w:t xml:space="preserve"> Hillshaded Digital Elevation Models (DEMs) for 2007 (A) and 2011 (B) and DEM of difference (DoD) between 2007 and 2011 (C). Yellow triangles are randomly placed points for comparing elevation values of grid cells in the 2007 and 2011 ALS datasets </w:t>
      </w:r>
      <w:r w:rsidRPr="00432AAF">
        <w:rPr>
          <w:sz w:val="24"/>
          <w:szCs w:val="24"/>
          <w:lang w:eastAsia="en-US"/>
        </w:rPr>
        <w:t>before</w:t>
      </w:r>
      <w:r w:rsidRPr="00146CA9">
        <w:rPr>
          <w:i/>
          <w:sz w:val="24"/>
          <w:szCs w:val="24"/>
          <w:lang w:eastAsia="en-US"/>
        </w:rPr>
        <w:t xml:space="preserve"> </w:t>
      </w:r>
      <w:r>
        <w:rPr>
          <w:sz w:val="24"/>
          <w:szCs w:val="24"/>
          <w:lang w:eastAsia="en-US"/>
        </w:rPr>
        <w:t>geoid correction. White dashed lines in C are isolines of zero elevation change. Enlarged panel in each highlights roughening ice surface, and expanding and thickening of ice margin against lateral moraine and cliffs.</w:t>
      </w:r>
    </w:p>
    <w:p w14:paraId="6F7F8D25" w14:textId="77777777" w:rsidR="007B35D3" w:rsidRDefault="007B35D3" w:rsidP="007B35D3">
      <w:pPr>
        <w:spacing w:after="0" w:line="240" w:lineRule="auto"/>
        <w:rPr>
          <w:sz w:val="24"/>
          <w:szCs w:val="24"/>
          <w:lang w:eastAsia="en-US"/>
        </w:rPr>
      </w:pPr>
      <w:r>
        <w:rPr>
          <w:noProof/>
          <w:sz w:val="24"/>
          <w:szCs w:val="24"/>
        </w:rPr>
        <w:lastRenderedPageBreak/>
        <w:drawing>
          <wp:inline distT="0" distB="0" distL="0" distR="0" wp14:anchorId="5592C6EB" wp14:editId="7AE5FE9B">
            <wp:extent cx="5731510" cy="41687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68775"/>
                    </a:xfrm>
                    <a:prstGeom prst="rect">
                      <a:avLst/>
                    </a:prstGeom>
                  </pic:spPr>
                </pic:pic>
              </a:graphicData>
            </a:graphic>
          </wp:inline>
        </w:drawing>
      </w:r>
    </w:p>
    <w:p w14:paraId="0B56B31D" w14:textId="77777777" w:rsidR="007B35D3" w:rsidRDefault="007B35D3" w:rsidP="007B35D3">
      <w:pPr>
        <w:spacing w:after="0" w:line="240" w:lineRule="auto"/>
        <w:rPr>
          <w:sz w:val="24"/>
          <w:szCs w:val="24"/>
          <w:lang w:eastAsia="en-US"/>
        </w:rPr>
      </w:pPr>
    </w:p>
    <w:p w14:paraId="18221DF4" w14:textId="77777777" w:rsidR="007B35D3" w:rsidRDefault="007B35D3" w:rsidP="007B35D3">
      <w:pPr>
        <w:spacing w:after="0" w:line="240" w:lineRule="auto"/>
        <w:rPr>
          <w:b/>
          <w:sz w:val="24"/>
          <w:szCs w:val="24"/>
          <w:lang w:eastAsia="en-US"/>
        </w:rPr>
      </w:pPr>
    </w:p>
    <w:p w14:paraId="6FE3D8E1" w14:textId="77777777" w:rsidR="007B35D3" w:rsidRDefault="007B35D3" w:rsidP="007B35D3">
      <w:pPr>
        <w:spacing w:after="0" w:line="240" w:lineRule="auto"/>
        <w:rPr>
          <w:b/>
          <w:sz w:val="24"/>
          <w:szCs w:val="24"/>
          <w:lang w:eastAsia="en-US"/>
        </w:rPr>
      </w:pPr>
    </w:p>
    <w:p w14:paraId="13041545" w14:textId="77777777" w:rsidR="007B35D3" w:rsidRDefault="007B35D3" w:rsidP="007B35D3">
      <w:pPr>
        <w:spacing w:after="0" w:line="240" w:lineRule="auto"/>
        <w:rPr>
          <w:b/>
          <w:sz w:val="24"/>
          <w:szCs w:val="24"/>
          <w:lang w:eastAsia="en-US"/>
        </w:rPr>
      </w:pPr>
    </w:p>
    <w:p w14:paraId="1EB0B057" w14:textId="77777777" w:rsidR="007B35D3" w:rsidRDefault="007B35D3" w:rsidP="007B35D3">
      <w:pPr>
        <w:spacing w:after="0" w:line="240" w:lineRule="auto"/>
        <w:rPr>
          <w:b/>
          <w:sz w:val="24"/>
          <w:szCs w:val="24"/>
          <w:lang w:eastAsia="en-US"/>
        </w:rPr>
      </w:pPr>
    </w:p>
    <w:p w14:paraId="7B69BCE3" w14:textId="77777777" w:rsidR="007B35D3" w:rsidRDefault="007B35D3" w:rsidP="007B35D3">
      <w:pPr>
        <w:spacing w:after="0" w:line="240" w:lineRule="auto"/>
        <w:rPr>
          <w:b/>
          <w:sz w:val="24"/>
          <w:szCs w:val="24"/>
          <w:lang w:eastAsia="en-US"/>
        </w:rPr>
      </w:pPr>
    </w:p>
    <w:p w14:paraId="22805504" w14:textId="77777777" w:rsidR="007B35D3" w:rsidRDefault="007B35D3" w:rsidP="007B35D3">
      <w:pPr>
        <w:spacing w:after="0" w:line="240" w:lineRule="auto"/>
        <w:rPr>
          <w:b/>
          <w:sz w:val="24"/>
          <w:szCs w:val="24"/>
          <w:lang w:eastAsia="en-US"/>
        </w:rPr>
      </w:pPr>
    </w:p>
    <w:p w14:paraId="304A3A5E" w14:textId="77777777" w:rsidR="007B35D3" w:rsidRDefault="007B35D3" w:rsidP="007B35D3">
      <w:pPr>
        <w:spacing w:after="0" w:line="240" w:lineRule="auto"/>
        <w:rPr>
          <w:b/>
          <w:sz w:val="24"/>
          <w:szCs w:val="24"/>
          <w:lang w:eastAsia="en-US"/>
        </w:rPr>
      </w:pPr>
    </w:p>
    <w:p w14:paraId="2AADFFAB" w14:textId="77777777" w:rsidR="007B35D3" w:rsidRDefault="007B35D3" w:rsidP="007B35D3">
      <w:pPr>
        <w:spacing w:after="0" w:line="240" w:lineRule="auto"/>
        <w:rPr>
          <w:b/>
          <w:sz w:val="24"/>
          <w:szCs w:val="24"/>
          <w:lang w:eastAsia="en-US"/>
        </w:rPr>
      </w:pPr>
    </w:p>
    <w:p w14:paraId="7035FC97" w14:textId="77777777" w:rsidR="007B35D3" w:rsidRDefault="007B35D3" w:rsidP="007B35D3">
      <w:pPr>
        <w:spacing w:after="0" w:line="240" w:lineRule="auto"/>
        <w:rPr>
          <w:b/>
          <w:sz w:val="24"/>
          <w:szCs w:val="24"/>
          <w:lang w:eastAsia="en-US"/>
        </w:rPr>
      </w:pPr>
    </w:p>
    <w:p w14:paraId="622812E8" w14:textId="77777777" w:rsidR="007B35D3" w:rsidRDefault="007B35D3" w:rsidP="007B35D3">
      <w:pPr>
        <w:spacing w:after="0" w:line="240" w:lineRule="auto"/>
        <w:rPr>
          <w:b/>
          <w:sz w:val="24"/>
          <w:szCs w:val="24"/>
          <w:lang w:eastAsia="en-US"/>
        </w:rPr>
      </w:pPr>
    </w:p>
    <w:p w14:paraId="366A3768" w14:textId="77777777" w:rsidR="007B35D3" w:rsidRDefault="007B35D3" w:rsidP="007B35D3">
      <w:pPr>
        <w:spacing w:after="0" w:line="240" w:lineRule="auto"/>
        <w:rPr>
          <w:b/>
          <w:sz w:val="24"/>
          <w:szCs w:val="24"/>
          <w:lang w:eastAsia="en-US"/>
        </w:rPr>
      </w:pPr>
    </w:p>
    <w:p w14:paraId="23DC648E" w14:textId="77777777" w:rsidR="007B35D3" w:rsidRDefault="007B35D3" w:rsidP="007B35D3">
      <w:pPr>
        <w:spacing w:after="0" w:line="240" w:lineRule="auto"/>
        <w:rPr>
          <w:b/>
          <w:sz w:val="24"/>
          <w:szCs w:val="24"/>
          <w:lang w:eastAsia="en-US"/>
        </w:rPr>
      </w:pPr>
    </w:p>
    <w:p w14:paraId="590A51E8" w14:textId="77777777" w:rsidR="007B35D3" w:rsidRDefault="007B35D3" w:rsidP="007B35D3">
      <w:pPr>
        <w:spacing w:after="0" w:line="240" w:lineRule="auto"/>
        <w:rPr>
          <w:b/>
          <w:sz w:val="24"/>
          <w:szCs w:val="24"/>
          <w:lang w:eastAsia="en-US"/>
        </w:rPr>
      </w:pPr>
    </w:p>
    <w:p w14:paraId="7BF52591" w14:textId="77777777" w:rsidR="007B35D3" w:rsidRDefault="007B35D3" w:rsidP="007B35D3">
      <w:pPr>
        <w:spacing w:after="0" w:line="240" w:lineRule="auto"/>
        <w:rPr>
          <w:b/>
          <w:sz w:val="24"/>
          <w:szCs w:val="24"/>
          <w:lang w:eastAsia="en-US"/>
        </w:rPr>
      </w:pPr>
    </w:p>
    <w:p w14:paraId="06AF2849" w14:textId="77777777" w:rsidR="007B35D3" w:rsidRDefault="007B35D3" w:rsidP="007B35D3">
      <w:pPr>
        <w:spacing w:after="0" w:line="240" w:lineRule="auto"/>
        <w:rPr>
          <w:b/>
          <w:sz w:val="24"/>
          <w:szCs w:val="24"/>
          <w:lang w:eastAsia="en-US"/>
        </w:rPr>
      </w:pPr>
    </w:p>
    <w:p w14:paraId="08A92EB2" w14:textId="77777777" w:rsidR="007B35D3" w:rsidRDefault="007B35D3" w:rsidP="007B35D3">
      <w:pPr>
        <w:spacing w:after="0" w:line="240" w:lineRule="auto"/>
        <w:rPr>
          <w:b/>
          <w:sz w:val="24"/>
          <w:szCs w:val="24"/>
          <w:lang w:eastAsia="en-US"/>
        </w:rPr>
      </w:pPr>
    </w:p>
    <w:p w14:paraId="5D7122A7" w14:textId="77777777" w:rsidR="007B35D3" w:rsidRDefault="007B35D3" w:rsidP="007B35D3">
      <w:pPr>
        <w:spacing w:after="0" w:line="240" w:lineRule="auto"/>
        <w:rPr>
          <w:b/>
          <w:sz w:val="24"/>
          <w:szCs w:val="24"/>
          <w:lang w:eastAsia="en-US"/>
        </w:rPr>
      </w:pPr>
    </w:p>
    <w:p w14:paraId="584B3F27" w14:textId="77777777" w:rsidR="007B35D3" w:rsidRDefault="007B35D3" w:rsidP="007B35D3">
      <w:pPr>
        <w:spacing w:after="0" w:line="240" w:lineRule="auto"/>
        <w:rPr>
          <w:b/>
          <w:sz w:val="24"/>
          <w:szCs w:val="24"/>
          <w:lang w:eastAsia="en-US"/>
        </w:rPr>
      </w:pPr>
    </w:p>
    <w:p w14:paraId="59C296E1" w14:textId="77777777" w:rsidR="007B35D3" w:rsidRDefault="007B35D3" w:rsidP="007B35D3">
      <w:pPr>
        <w:spacing w:after="0" w:line="240" w:lineRule="auto"/>
        <w:rPr>
          <w:b/>
          <w:sz w:val="24"/>
          <w:szCs w:val="24"/>
          <w:lang w:eastAsia="en-US"/>
        </w:rPr>
      </w:pPr>
    </w:p>
    <w:p w14:paraId="19231C2B" w14:textId="77777777" w:rsidR="007B35D3" w:rsidRDefault="007B35D3" w:rsidP="007B35D3">
      <w:pPr>
        <w:spacing w:after="0" w:line="240" w:lineRule="auto"/>
        <w:rPr>
          <w:b/>
          <w:sz w:val="24"/>
          <w:szCs w:val="24"/>
          <w:lang w:eastAsia="en-US"/>
        </w:rPr>
      </w:pPr>
    </w:p>
    <w:p w14:paraId="72FC5CB5" w14:textId="77777777" w:rsidR="007B35D3" w:rsidRDefault="007B35D3" w:rsidP="007B35D3">
      <w:pPr>
        <w:spacing w:after="0" w:line="240" w:lineRule="auto"/>
      </w:pPr>
      <w:r>
        <w:rPr>
          <w:b/>
          <w:sz w:val="24"/>
          <w:szCs w:val="24"/>
          <w:lang w:eastAsia="en-US"/>
        </w:rPr>
        <w:t>Figure 3.</w:t>
      </w:r>
      <w:r>
        <w:rPr>
          <w:sz w:val="24"/>
          <w:szCs w:val="24"/>
          <w:lang w:eastAsia="en-US"/>
        </w:rPr>
        <w:t xml:space="preserve"> Difference in elevation at points measured for 3D position in 2008 with dGPS between those points and the 2007 ALS (A) and the 2011 ALS (B). A vertical transect between X’ and Y’ is depicted in panel C. All panels together evidence that the surge of Kverkjökull had not started, or at least reached the terminus, in 2008, and that by 2011 the north-eastern and south-western portions of the terminus were behaving differently.</w:t>
      </w:r>
    </w:p>
    <w:p w14:paraId="567D89B5" w14:textId="77777777" w:rsidR="007B35D3" w:rsidRDefault="007B35D3" w:rsidP="007B35D3">
      <w:pPr>
        <w:spacing w:after="0" w:line="240" w:lineRule="auto"/>
        <w:jc w:val="center"/>
        <w:rPr>
          <w:sz w:val="24"/>
          <w:szCs w:val="24"/>
          <w:lang w:eastAsia="en-US"/>
        </w:rPr>
      </w:pPr>
      <w:r>
        <w:rPr>
          <w:noProof/>
          <w:sz w:val="24"/>
          <w:szCs w:val="24"/>
        </w:rPr>
        <w:lastRenderedPageBreak/>
        <w:drawing>
          <wp:inline distT="0" distB="0" distL="0" distR="0" wp14:anchorId="64658D52" wp14:editId="26EB7D4C">
            <wp:extent cx="2705100" cy="377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6731" cy="3778984"/>
                    </a:xfrm>
                    <a:prstGeom prst="rect">
                      <a:avLst/>
                    </a:prstGeom>
                  </pic:spPr>
                </pic:pic>
              </a:graphicData>
            </a:graphic>
          </wp:inline>
        </w:drawing>
      </w:r>
    </w:p>
    <w:p w14:paraId="2918CBA2" w14:textId="77777777" w:rsidR="007B35D3" w:rsidRDefault="007B35D3" w:rsidP="007B35D3">
      <w:pPr>
        <w:spacing w:after="0" w:line="240" w:lineRule="auto"/>
        <w:jc w:val="center"/>
        <w:rPr>
          <w:sz w:val="24"/>
          <w:szCs w:val="24"/>
          <w:lang w:eastAsia="en-US"/>
        </w:rPr>
      </w:pPr>
    </w:p>
    <w:p w14:paraId="3748C864" w14:textId="77777777" w:rsidR="007B35D3" w:rsidRDefault="007B35D3" w:rsidP="007B35D3">
      <w:pPr>
        <w:spacing w:after="0" w:line="240" w:lineRule="auto"/>
        <w:jc w:val="left"/>
        <w:rPr>
          <w:b/>
          <w:sz w:val="24"/>
          <w:szCs w:val="24"/>
          <w:lang w:eastAsia="en-US"/>
        </w:rPr>
      </w:pPr>
    </w:p>
    <w:p w14:paraId="7E3C6331" w14:textId="77777777" w:rsidR="007B35D3" w:rsidRDefault="007B35D3" w:rsidP="007B35D3">
      <w:pPr>
        <w:spacing w:after="0" w:line="240" w:lineRule="auto"/>
        <w:jc w:val="left"/>
        <w:rPr>
          <w:b/>
          <w:sz w:val="24"/>
          <w:szCs w:val="24"/>
          <w:lang w:eastAsia="en-US"/>
        </w:rPr>
      </w:pPr>
    </w:p>
    <w:p w14:paraId="6DB637D9" w14:textId="77777777" w:rsidR="007B35D3" w:rsidRDefault="007B35D3" w:rsidP="007B35D3">
      <w:pPr>
        <w:spacing w:after="0" w:line="240" w:lineRule="auto"/>
        <w:jc w:val="left"/>
        <w:rPr>
          <w:b/>
          <w:sz w:val="24"/>
          <w:szCs w:val="24"/>
          <w:lang w:eastAsia="en-US"/>
        </w:rPr>
      </w:pPr>
    </w:p>
    <w:p w14:paraId="02897327" w14:textId="77777777" w:rsidR="007B35D3" w:rsidRDefault="007B35D3" w:rsidP="007B35D3">
      <w:pPr>
        <w:spacing w:after="0" w:line="240" w:lineRule="auto"/>
        <w:jc w:val="left"/>
        <w:rPr>
          <w:b/>
          <w:sz w:val="24"/>
          <w:szCs w:val="24"/>
          <w:lang w:eastAsia="en-US"/>
        </w:rPr>
      </w:pPr>
    </w:p>
    <w:p w14:paraId="6E134142" w14:textId="77777777" w:rsidR="007B35D3" w:rsidRDefault="007B35D3" w:rsidP="007B35D3">
      <w:pPr>
        <w:spacing w:after="0" w:line="240" w:lineRule="auto"/>
        <w:jc w:val="left"/>
        <w:rPr>
          <w:b/>
          <w:sz w:val="24"/>
          <w:szCs w:val="24"/>
          <w:lang w:eastAsia="en-US"/>
        </w:rPr>
      </w:pPr>
    </w:p>
    <w:p w14:paraId="73BB739E" w14:textId="77777777" w:rsidR="007B35D3" w:rsidRDefault="007B35D3" w:rsidP="007B35D3">
      <w:pPr>
        <w:spacing w:after="0" w:line="240" w:lineRule="auto"/>
        <w:jc w:val="left"/>
        <w:rPr>
          <w:b/>
          <w:sz w:val="24"/>
          <w:szCs w:val="24"/>
          <w:lang w:eastAsia="en-US"/>
        </w:rPr>
      </w:pPr>
    </w:p>
    <w:p w14:paraId="794F61DE" w14:textId="77777777" w:rsidR="007B35D3" w:rsidRDefault="007B35D3" w:rsidP="007B35D3">
      <w:pPr>
        <w:spacing w:after="0" w:line="240" w:lineRule="auto"/>
        <w:jc w:val="left"/>
        <w:rPr>
          <w:b/>
          <w:sz w:val="24"/>
          <w:szCs w:val="24"/>
          <w:lang w:eastAsia="en-US"/>
        </w:rPr>
      </w:pPr>
    </w:p>
    <w:p w14:paraId="756A6A05" w14:textId="77777777" w:rsidR="007B35D3" w:rsidRDefault="007B35D3" w:rsidP="007B35D3">
      <w:pPr>
        <w:spacing w:after="0" w:line="240" w:lineRule="auto"/>
        <w:jc w:val="left"/>
        <w:rPr>
          <w:b/>
          <w:sz w:val="24"/>
          <w:szCs w:val="24"/>
          <w:lang w:eastAsia="en-US"/>
        </w:rPr>
      </w:pPr>
    </w:p>
    <w:p w14:paraId="0E724312" w14:textId="77777777" w:rsidR="007B35D3" w:rsidRDefault="007B35D3" w:rsidP="007B35D3">
      <w:pPr>
        <w:spacing w:after="0" w:line="240" w:lineRule="auto"/>
        <w:jc w:val="left"/>
        <w:rPr>
          <w:b/>
          <w:sz w:val="24"/>
          <w:szCs w:val="24"/>
          <w:lang w:eastAsia="en-US"/>
        </w:rPr>
      </w:pPr>
    </w:p>
    <w:p w14:paraId="5083C9C0" w14:textId="77777777" w:rsidR="007B35D3" w:rsidRDefault="007B35D3" w:rsidP="007B35D3">
      <w:pPr>
        <w:spacing w:after="0" w:line="240" w:lineRule="auto"/>
        <w:jc w:val="left"/>
        <w:rPr>
          <w:b/>
          <w:sz w:val="24"/>
          <w:szCs w:val="24"/>
          <w:lang w:eastAsia="en-US"/>
        </w:rPr>
      </w:pPr>
    </w:p>
    <w:p w14:paraId="6ADFBE23" w14:textId="77777777" w:rsidR="007B35D3" w:rsidRDefault="007B35D3" w:rsidP="007B35D3">
      <w:pPr>
        <w:spacing w:after="0" w:line="240" w:lineRule="auto"/>
        <w:jc w:val="left"/>
        <w:rPr>
          <w:b/>
          <w:sz w:val="24"/>
          <w:szCs w:val="24"/>
          <w:lang w:eastAsia="en-US"/>
        </w:rPr>
      </w:pPr>
    </w:p>
    <w:p w14:paraId="248E3A6E" w14:textId="77777777" w:rsidR="007B35D3" w:rsidRDefault="007B35D3" w:rsidP="007B35D3">
      <w:pPr>
        <w:spacing w:after="0" w:line="240" w:lineRule="auto"/>
        <w:jc w:val="left"/>
        <w:rPr>
          <w:b/>
          <w:sz w:val="24"/>
          <w:szCs w:val="24"/>
          <w:lang w:eastAsia="en-US"/>
        </w:rPr>
      </w:pPr>
    </w:p>
    <w:p w14:paraId="7F644F38" w14:textId="77777777" w:rsidR="007B35D3" w:rsidRDefault="007B35D3" w:rsidP="007B35D3">
      <w:pPr>
        <w:spacing w:after="0" w:line="240" w:lineRule="auto"/>
        <w:jc w:val="left"/>
        <w:rPr>
          <w:b/>
          <w:sz w:val="24"/>
          <w:szCs w:val="24"/>
          <w:lang w:eastAsia="en-US"/>
        </w:rPr>
      </w:pPr>
    </w:p>
    <w:p w14:paraId="46401F90" w14:textId="77777777" w:rsidR="007B35D3" w:rsidRDefault="007B35D3" w:rsidP="007B35D3">
      <w:pPr>
        <w:spacing w:after="0" w:line="240" w:lineRule="auto"/>
        <w:jc w:val="left"/>
        <w:rPr>
          <w:b/>
          <w:sz w:val="24"/>
          <w:szCs w:val="24"/>
          <w:lang w:eastAsia="en-US"/>
        </w:rPr>
      </w:pPr>
    </w:p>
    <w:p w14:paraId="2507B9D8" w14:textId="77777777" w:rsidR="007B35D3" w:rsidRDefault="007B35D3" w:rsidP="007B35D3">
      <w:pPr>
        <w:spacing w:after="0" w:line="240" w:lineRule="auto"/>
        <w:jc w:val="left"/>
        <w:rPr>
          <w:b/>
          <w:sz w:val="24"/>
          <w:szCs w:val="24"/>
          <w:lang w:eastAsia="en-US"/>
        </w:rPr>
      </w:pPr>
    </w:p>
    <w:p w14:paraId="347167D7" w14:textId="77777777" w:rsidR="007B35D3" w:rsidRDefault="007B35D3" w:rsidP="007B35D3">
      <w:pPr>
        <w:spacing w:after="0" w:line="240" w:lineRule="auto"/>
        <w:jc w:val="left"/>
        <w:rPr>
          <w:b/>
          <w:sz w:val="24"/>
          <w:szCs w:val="24"/>
          <w:lang w:eastAsia="en-US"/>
        </w:rPr>
      </w:pPr>
    </w:p>
    <w:p w14:paraId="7DA96ACF" w14:textId="77777777" w:rsidR="007B35D3" w:rsidRDefault="007B35D3" w:rsidP="007B35D3">
      <w:pPr>
        <w:spacing w:after="0" w:line="240" w:lineRule="auto"/>
        <w:jc w:val="left"/>
        <w:rPr>
          <w:b/>
          <w:sz w:val="24"/>
          <w:szCs w:val="24"/>
          <w:lang w:eastAsia="en-US"/>
        </w:rPr>
      </w:pPr>
    </w:p>
    <w:p w14:paraId="677380E1" w14:textId="77777777" w:rsidR="007B35D3" w:rsidRDefault="007B35D3" w:rsidP="007B35D3">
      <w:pPr>
        <w:spacing w:after="0" w:line="240" w:lineRule="auto"/>
        <w:jc w:val="left"/>
        <w:rPr>
          <w:b/>
          <w:sz w:val="24"/>
          <w:szCs w:val="24"/>
          <w:lang w:eastAsia="en-US"/>
        </w:rPr>
      </w:pPr>
    </w:p>
    <w:p w14:paraId="55243757" w14:textId="77777777" w:rsidR="007B35D3" w:rsidRDefault="007B35D3" w:rsidP="007B35D3">
      <w:pPr>
        <w:spacing w:after="0" w:line="240" w:lineRule="auto"/>
        <w:jc w:val="left"/>
        <w:rPr>
          <w:b/>
          <w:sz w:val="24"/>
          <w:szCs w:val="24"/>
          <w:lang w:eastAsia="en-US"/>
        </w:rPr>
      </w:pPr>
    </w:p>
    <w:p w14:paraId="696BEB41" w14:textId="77777777" w:rsidR="007B35D3" w:rsidRDefault="007B35D3" w:rsidP="007B35D3">
      <w:pPr>
        <w:spacing w:after="0" w:line="240" w:lineRule="auto"/>
        <w:jc w:val="left"/>
        <w:rPr>
          <w:b/>
          <w:sz w:val="24"/>
          <w:szCs w:val="24"/>
          <w:lang w:eastAsia="en-US"/>
        </w:rPr>
      </w:pPr>
    </w:p>
    <w:p w14:paraId="6C2D16F8" w14:textId="77777777" w:rsidR="007B35D3" w:rsidRDefault="007B35D3" w:rsidP="007B35D3">
      <w:pPr>
        <w:spacing w:after="0" w:line="240" w:lineRule="auto"/>
        <w:jc w:val="left"/>
        <w:rPr>
          <w:b/>
          <w:sz w:val="24"/>
          <w:szCs w:val="24"/>
          <w:lang w:eastAsia="en-US"/>
        </w:rPr>
      </w:pPr>
    </w:p>
    <w:p w14:paraId="18D719B0" w14:textId="77777777" w:rsidR="007B35D3" w:rsidRDefault="007B35D3" w:rsidP="007B35D3">
      <w:pPr>
        <w:spacing w:after="0" w:line="240" w:lineRule="auto"/>
        <w:jc w:val="left"/>
        <w:rPr>
          <w:b/>
          <w:sz w:val="24"/>
          <w:szCs w:val="24"/>
          <w:lang w:eastAsia="en-US"/>
        </w:rPr>
      </w:pPr>
    </w:p>
    <w:p w14:paraId="0F013681" w14:textId="77777777" w:rsidR="007B35D3" w:rsidRDefault="007B35D3" w:rsidP="007B35D3">
      <w:pPr>
        <w:spacing w:after="0" w:line="240" w:lineRule="auto"/>
        <w:jc w:val="left"/>
        <w:rPr>
          <w:sz w:val="24"/>
          <w:szCs w:val="24"/>
          <w:lang w:eastAsia="en-US"/>
        </w:rPr>
      </w:pPr>
      <w:r w:rsidRPr="00372B2C">
        <w:rPr>
          <w:b/>
          <w:sz w:val="24"/>
          <w:szCs w:val="24"/>
          <w:lang w:eastAsia="en-US"/>
        </w:rPr>
        <w:t>Figure 4.</w:t>
      </w:r>
      <w:r>
        <w:rPr>
          <w:sz w:val="24"/>
          <w:szCs w:val="24"/>
          <w:lang w:eastAsia="en-US"/>
        </w:rPr>
        <w:t xml:space="preserve"> Ice thickness estimated via a 1D steady state ‘perfect-plasticity’ model.</w:t>
      </w:r>
    </w:p>
    <w:p w14:paraId="3C94A3DE" w14:textId="77777777" w:rsidR="007B35D3" w:rsidRDefault="007B35D3" w:rsidP="007B35D3">
      <w:pPr>
        <w:spacing w:after="0" w:line="240" w:lineRule="auto"/>
        <w:jc w:val="left"/>
        <w:rPr>
          <w:sz w:val="24"/>
          <w:szCs w:val="24"/>
          <w:lang w:eastAsia="en-US"/>
        </w:rPr>
      </w:pPr>
    </w:p>
    <w:p w14:paraId="2D5F4D8C" w14:textId="77777777" w:rsidR="007B35D3" w:rsidRDefault="007B35D3" w:rsidP="007B35D3">
      <w:pPr>
        <w:spacing w:after="0" w:line="240" w:lineRule="auto"/>
        <w:jc w:val="left"/>
        <w:rPr>
          <w:sz w:val="24"/>
          <w:szCs w:val="24"/>
          <w:lang w:eastAsia="en-US"/>
        </w:rPr>
      </w:pPr>
    </w:p>
    <w:p w14:paraId="3C2EBBCB" w14:textId="77777777" w:rsidR="007B35D3" w:rsidRDefault="007B35D3" w:rsidP="007B35D3">
      <w:pPr>
        <w:spacing w:after="0" w:line="240" w:lineRule="auto"/>
        <w:jc w:val="left"/>
        <w:rPr>
          <w:sz w:val="24"/>
          <w:szCs w:val="24"/>
          <w:lang w:eastAsia="en-US"/>
        </w:rPr>
      </w:pPr>
    </w:p>
    <w:p w14:paraId="67E71C9B" w14:textId="77777777" w:rsidR="007B35D3" w:rsidRDefault="007B35D3" w:rsidP="007B35D3">
      <w:pPr>
        <w:spacing w:after="0" w:line="240" w:lineRule="auto"/>
        <w:jc w:val="left"/>
        <w:rPr>
          <w:sz w:val="24"/>
          <w:szCs w:val="24"/>
          <w:lang w:eastAsia="en-US"/>
        </w:rPr>
      </w:pPr>
    </w:p>
    <w:p w14:paraId="2841598D" w14:textId="77777777" w:rsidR="007B35D3" w:rsidRDefault="007B35D3" w:rsidP="007B35D3">
      <w:pPr>
        <w:spacing w:after="0" w:line="240" w:lineRule="auto"/>
        <w:jc w:val="left"/>
        <w:rPr>
          <w:sz w:val="24"/>
          <w:szCs w:val="24"/>
          <w:lang w:eastAsia="en-US"/>
        </w:rPr>
      </w:pPr>
    </w:p>
    <w:p w14:paraId="6E1537A2" w14:textId="77777777" w:rsidR="007B35D3" w:rsidRDefault="007B35D3" w:rsidP="007B35D3">
      <w:pPr>
        <w:spacing w:after="0" w:line="240" w:lineRule="auto"/>
        <w:jc w:val="left"/>
        <w:rPr>
          <w:sz w:val="24"/>
          <w:szCs w:val="24"/>
          <w:lang w:eastAsia="en-US"/>
        </w:rPr>
      </w:pPr>
      <w:r>
        <w:rPr>
          <w:noProof/>
          <w:sz w:val="24"/>
          <w:szCs w:val="24"/>
        </w:rPr>
        <w:lastRenderedPageBreak/>
        <w:drawing>
          <wp:inline distT="0" distB="0" distL="0" distR="0" wp14:anchorId="3332A5C6" wp14:editId="390E7C9D">
            <wp:extent cx="5731510" cy="26968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96845"/>
                    </a:xfrm>
                    <a:prstGeom prst="rect">
                      <a:avLst/>
                    </a:prstGeom>
                  </pic:spPr>
                </pic:pic>
              </a:graphicData>
            </a:graphic>
          </wp:inline>
        </w:drawing>
      </w:r>
    </w:p>
    <w:p w14:paraId="3F0431A5" w14:textId="77777777" w:rsidR="007B35D3" w:rsidRDefault="007B35D3" w:rsidP="007B35D3">
      <w:pPr>
        <w:spacing w:after="0" w:line="240" w:lineRule="auto"/>
        <w:jc w:val="left"/>
        <w:rPr>
          <w:sz w:val="24"/>
          <w:szCs w:val="24"/>
          <w:lang w:eastAsia="en-US"/>
        </w:rPr>
      </w:pPr>
    </w:p>
    <w:p w14:paraId="1EF16115" w14:textId="77777777" w:rsidR="007B35D3" w:rsidRDefault="007B35D3" w:rsidP="007B35D3">
      <w:pPr>
        <w:spacing w:after="0" w:line="240" w:lineRule="auto"/>
        <w:jc w:val="left"/>
        <w:rPr>
          <w:sz w:val="24"/>
          <w:szCs w:val="24"/>
          <w:lang w:eastAsia="en-US"/>
        </w:rPr>
      </w:pPr>
    </w:p>
    <w:p w14:paraId="2D2629D0" w14:textId="77777777" w:rsidR="007B35D3" w:rsidRDefault="007B35D3" w:rsidP="007B35D3">
      <w:pPr>
        <w:spacing w:after="0" w:line="240" w:lineRule="auto"/>
        <w:jc w:val="left"/>
        <w:rPr>
          <w:b/>
          <w:sz w:val="24"/>
          <w:szCs w:val="24"/>
          <w:lang w:eastAsia="en-US"/>
        </w:rPr>
      </w:pPr>
    </w:p>
    <w:p w14:paraId="2C1ED978" w14:textId="77777777" w:rsidR="007B35D3" w:rsidRDefault="007B35D3" w:rsidP="007B35D3">
      <w:pPr>
        <w:spacing w:after="0" w:line="240" w:lineRule="auto"/>
        <w:jc w:val="left"/>
        <w:rPr>
          <w:b/>
          <w:sz w:val="24"/>
          <w:szCs w:val="24"/>
          <w:lang w:eastAsia="en-US"/>
        </w:rPr>
      </w:pPr>
    </w:p>
    <w:p w14:paraId="3689A051" w14:textId="77777777" w:rsidR="007B35D3" w:rsidRDefault="007B35D3" w:rsidP="007B35D3">
      <w:pPr>
        <w:spacing w:after="0" w:line="240" w:lineRule="auto"/>
        <w:jc w:val="left"/>
        <w:rPr>
          <w:b/>
          <w:sz w:val="24"/>
          <w:szCs w:val="24"/>
          <w:lang w:eastAsia="en-US"/>
        </w:rPr>
      </w:pPr>
    </w:p>
    <w:p w14:paraId="58D82774" w14:textId="77777777" w:rsidR="007B35D3" w:rsidRDefault="007B35D3" w:rsidP="007B35D3">
      <w:pPr>
        <w:spacing w:after="0" w:line="240" w:lineRule="auto"/>
        <w:jc w:val="left"/>
        <w:rPr>
          <w:b/>
          <w:sz w:val="24"/>
          <w:szCs w:val="24"/>
          <w:lang w:eastAsia="en-US"/>
        </w:rPr>
      </w:pPr>
    </w:p>
    <w:p w14:paraId="776E79C9" w14:textId="77777777" w:rsidR="007B35D3" w:rsidRDefault="007B35D3" w:rsidP="007B35D3">
      <w:pPr>
        <w:spacing w:after="0" w:line="240" w:lineRule="auto"/>
        <w:jc w:val="left"/>
        <w:rPr>
          <w:b/>
          <w:sz w:val="24"/>
          <w:szCs w:val="24"/>
          <w:lang w:eastAsia="en-US"/>
        </w:rPr>
      </w:pPr>
    </w:p>
    <w:p w14:paraId="6442FC65" w14:textId="77777777" w:rsidR="007B35D3" w:rsidRDefault="007B35D3" w:rsidP="007B35D3">
      <w:pPr>
        <w:spacing w:after="0" w:line="240" w:lineRule="auto"/>
        <w:jc w:val="left"/>
        <w:rPr>
          <w:b/>
          <w:sz w:val="24"/>
          <w:szCs w:val="24"/>
          <w:lang w:eastAsia="en-US"/>
        </w:rPr>
      </w:pPr>
    </w:p>
    <w:p w14:paraId="78D98994" w14:textId="77777777" w:rsidR="007B35D3" w:rsidRDefault="007B35D3" w:rsidP="007B35D3">
      <w:pPr>
        <w:spacing w:after="0" w:line="240" w:lineRule="auto"/>
        <w:jc w:val="left"/>
        <w:rPr>
          <w:b/>
          <w:sz w:val="24"/>
          <w:szCs w:val="24"/>
          <w:lang w:eastAsia="en-US"/>
        </w:rPr>
      </w:pPr>
    </w:p>
    <w:p w14:paraId="4C7FD944" w14:textId="77777777" w:rsidR="007B35D3" w:rsidRDefault="007B35D3" w:rsidP="007B35D3">
      <w:pPr>
        <w:spacing w:after="0" w:line="240" w:lineRule="auto"/>
        <w:jc w:val="left"/>
        <w:rPr>
          <w:b/>
          <w:sz w:val="24"/>
          <w:szCs w:val="24"/>
          <w:lang w:eastAsia="en-US"/>
        </w:rPr>
      </w:pPr>
    </w:p>
    <w:p w14:paraId="5FBEF21F" w14:textId="77777777" w:rsidR="007B35D3" w:rsidRDefault="007B35D3" w:rsidP="007B35D3">
      <w:pPr>
        <w:spacing w:after="0" w:line="240" w:lineRule="auto"/>
        <w:jc w:val="left"/>
        <w:rPr>
          <w:b/>
          <w:sz w:val="24"/>
          <w:szCs w:val="24"/>
          <w:lang w:eastAsia="en-US"/>
        </w:rPr>
      </w:pPr>
    </w:p>
    <w:p w14:paraId="3B5B8919" w14:textId="77777777" w:rsidR="007B35D3" w:rsidRDefault="007B35D3" w:rsidP="007B35D3">
      <w:pPr>
        <w:spacing w:after="0" w:line="240" w:lineRule="auto"/>
        <w:jc w:val="left"/>
        <w:rPr>
          <w:b/>
          <w:sz w:val="24"/>
          <w:szCs w:val="24"/>
          <w:lang w:eastAsia="en-US"/>
        </w:rPr>
      </w:pPr>
    </w:p>
    <w:p w14:paraId="41A744E5" w14:textId="77777777" w:rsidR="007B35D3" w:rsidRDefault="007B35D3" w:rsidP="007B35D3">
      <w:pPr>
        <w:spacing w:after="0" w:line="240" w:lineRule="auto"/>
        <w:jc w:val="left"/>
        <w:rPr>
          <w:b/>
          <w:sz w:val="24"/>
          <w:szCs w:val="24"/>
          <w:lang w:eastAsia="en-US"/>
        </w:rPr>
      </w:pPr>
    </w:p>
    <w:p w14:paraId="490AE39A" w14:textId="77777777" w:rsidR="007B35D3" w:rsidRDefault="007B35D3" w:rsidP="007B35D3">
      <w:pPr>
        <w:spacing w:after="0" w:line="240" w:lineRule="auto"/>
        <w:jc w:val="left"/>
        <w:rPr>
          <w:b/>
          <w:sz w:val="24"/>
          <w:szCs w:val="24"/>
          <w:lang w:eastAsia="en-US"/>
        </w:rPr>
      </w:pPr>
    </w:p>
    <w:p w14:paraId="41CA5FB0" w14:textId="77777777" w:rsidR="007B35D3" w:rsidRDefault="007B35D3" w:rsidP="007B35D3">
      <w:pPr>
        <w:spacing w:after="0" w:line="240" w:lineRule="auto"/>
        <w:jc w:val="left"/>
        <w:rPr>
          <w:b/>
          <w:sz w:val="24"/>
          <w:szCs w:val="24"/>
          <w:lang w:eastAsia="en-US"/>
        </w:rPr>
      </w:pPr>
    </w:p>
    <w:p w14:paraId="0BC5CD7D" w14:textId="77777777" w:rsidR="007B35D3" w:rsidRDefault="007B35D3" w:rsidP="007B35D3">
      <w:pPr>
        <w:spacing w:after="0" w:line="240" w:lineRule="auto"/>
        <w:jc w:val="left"/>
        <w:rPr>
          <w:b/>
          <w:sz w:val="24"/>
          <w:szCs w:val="24"/>
          <w:lang w:eastAsia="en-US"/>
        </w:rPr>
      </w:pPr>
    </w:p>
    <w:p w14:paraId="3E68F320" w14:textId="77777777" w:rsidR="007B35D3" w:rsidRDefault="007B35D3" w:rsidP="007B35D3">
      <w:pPr>
        <w:spacing w:after="0" w:line="240" w:lineRule="auto"/>
        <w:jc w:val="left"/>
        <w:rPr>
          <w:b/>
          <w:sz w:val="24"/>
          <w:szCs w:val="24"/>
          <w:lang w:eastAsia="en-US"/>
        </w:rPr>
      </w:pPr>
    </w:p>
    <w:p w14:paraId="5B43EDBD" w14:textId="77777777" w:rsidR="007B35D3" w:rsidRDefault="007B35D3" w:rsidP="007B35D3">
      <w:pPr>
        <w:spacing w:after="0" w:line="240" w:lineRule="auto"/>
        <w:jc w:val="left"/>
        <w:rPr>
          <w:b/>
          <w:sz w:val="24"/>
          <w:szCs w:val="24"/>
          <w:lang w:eastAsia="en-US"/>
        </w:rPr>
      </w:pPr>
    </w:p>
    <w:p w14:paraId="580440B4" w14:textId="77777777" w:rsidR="007B35D3" w:rsidRDefault="007B35D3" w:rsidP="007B35D3">
      <w:pPr>
        <w:spacing w:after="0" w:line="240" w:lineRule="auto"/>
        <w:jc w:val="left"/>
        <w:rPr>
          <w:b/>
          <w:sz w:val="24"/>
          <w:szCs w:val="24"/>
          <w:lang w:eastAsia="en-US"/>
        </w:rPr>
      </w:pPr>
    </w:p>
    <w:p w14:paraId="36331973" w14:textId="77777777" w:rsidR="007B35D3" w:rsidRDefault="007B35D3" w:rsidP="007B35D3">
      <w:pPr>
        <w:spacing w:after="0" w:line="240" w:lineRule="auto"/>
        <w:jc w:val="left"/>
        <w:rPr>
          <w:b/>
          <w:sz w:val="24"/>
          <w:szCs w:val="24"/>
          <w:lang w:eastAsia="en-US"/>
        </w:rPr>
      </w:pPr>
    </w:p>
    <w:p w14:paraId="6164255F" w14:textId="77777777" w:rsidR="007B35D3" w:rsidRDefault="007B35D3" w:rsidP="007B35D3">
      <w:pPr>
        <w:spacing w:after="0" w:line="240" w:lineRule="auto"/>
        <w:jc w:val="left"/>
        <w:rPr>
          <w:b/>
          <w:sz w:val="24"/>
          <w:szCs w:val="24"/>
          <w:lang w:eastAsia="en-US"/>
        </w:rPr>
      </w:pPr>
    </w:p>
    <w:p w14:paraId="59FA8A1F" w14:textId="77777777" w:rsidR="007B35D3" w:rsidRDefault="007B35D3" w:rsidP="007B35D3">
      <w:pPr>
        <w:spacing w:after="0" w:line="240" w:lineRule="auto"/>
        <w:jc w:val="left"/>
        <w:rPr>
          <w:b/>
          <w:sz w:val="24"/>
          <w:szCs w:val="24"/>
          <w:lang w:eastAsia="en-US"/>
        </w:rPr>
      </w:pPr>
    </w:p>
    <w:p w14:paraId="7B91B494" w14:textId="77777777" w:rsidR="007B35D3" w:rsidRDefault="007B35D3" w:rsidP="007B35D3">
      <w:pPr>
        <w:spacing w:after="0" w:line="240" w:lineRule="auto"/>
        <w:jc w:val="left"/>
        <w:rPr>
          <w:b/>
          <w:sz w:val="24"/>
          <w:szCs w:val="24"/>
          <w:lang w:eastAsia="en-US"/>
        </w:rPr>
      </w:pPr>
    </w:p>
    <w:p w14:paraId="1FC9927F" w14:textId="77777777" w:rsidR="007B35D3" w:rsidRDefault="007B35D3" w:rsidP="007B35D3">
      <w:pPr>
        <w:spacing w:after="0" w:line="240" w:lineRule="auto"/>
        <w:jc w:val="left"/>
        <w:rPr>
          <w:b/>
          <w:sz w:val="24"/>
          <w:szCs w:val="24"/>
          <w:lang w:eastAsia="en-US"/>
        </w:rPr>
      </w:pPr>
    </w:p>
    <w:p w14:paraId="1305C803" w14:textId="77777777" w:rsidR="007B35D3" w:rsidRDefault="007B35D3" w:rsidP="007B35D3">
      <w:pPr>
        <w:spacing w:after="0" w:line="240" w:lineRule="auto"/>
        <w:jc w:val="left"/>
        <w:rPr>
          <w:b/>
          <w:sz w:val="24"/>
          <w:szCs w:val="24"/>
          <w:lang w:eastAsia="en-US"/>
        </w:rPr>
      </w:pPr>
    </w:p>
    <w:p w14:paraId="5FD6E591" w14:textId="77777777" w:rsidR="007B35D3" w:rsidRDefault="007B35D3" w:rsidP="007B35D3">
      <w:pPr>
        <w:spacing w:after="0" w:line="240" w:lineRule="auto"/>
        <w:jc w:val="left"/>
        <w:rPr>
          <w:b/>
          <w:sz w:val="24"/>
          <w:szCs w:val="24"/>
          <w:lang w:eastAsia="en-US"/>
        </w:rPr>
      </w:pPr>
    </w:p>
    <w:p w14:paraId="5231DAA5" w14:textId="77777777" w:rsidR="007B35D3" w:rsidRDefault="007B35D3" w:rsidP="007B35D3">
      <w:pPr>
        <w:spacing w:after="0" w:line="240" w:lineRule="auto"/>
        <w:jc w:val="left"/>
        <w:rPr>
          <w:b/>
          <w:sz w:val="24"/>
          <w:szCs w:val="24"/>
          <w:lang w:eastAsia="en-US"/>
        </w:rPr>
      </w:pPr>
    </w:p>
    <w:p w14:paraId="5D9DC627" w14:textId="77777777" w:rsidR="007B35D3" w:rsidRDefault="007B35D3" w:rsidP="007B35D3">
      <w:pPr>
        <w:spacing w:after="0" w:line="240" w:lineRule="auto"/>
        <w:jc w:val="left"/>
        <w:rPr>
          <w:b/>
          <w:sz w:val="24"/>
          <w:szCs w:val="24"/>
          <w:lang w:eastAsia="en-US"/>
        </w:rPr>
      </w:pPr>
    </w:p>
    <w:p w14:paraId="08C7BAAF" w14:textId="77777777" w:rsidR="007B35D3" w:rsidRDefault="007B35D3" w:rsidP="007B35D3">
      <w:pPr>
        <w:spacing w:after="0" w:line="240" w:lineRule="auto"/>
        <w:jc w:val="left"/>
      </w:pPr>
      <w:r>
        <w:rPr>
          <w:b/>
          <w:sz w:val="24"/>
          <w:szCs w:val="24"/>
          <w:lang w:eastAsia="en-US"/>
        </w:rPr>
        <w:t>Figure 5.</w:t>
      </w:r>
      <w:r>
        <w:rPr>
          <w:sz w:val="24"/>
          <w:szCs w:val="24"/>
          <w:lang w:eastAsia="en-US"/>
        </w:rPr>
        <w:t xml:space="preserve"> Slope maps (A) for 2007 and 2011 both depicting increased crevassing and serac formation in 2011 compared to 2007. The leading edge of the most chaotic ice surface is outlined with a white dashed line in A and forms a coherent lobe shape. The combination of changing slope and changing ice thickness produced a change in driving stress (B). In B, note the spatial pattern and zones of low (L), medium (M) and high (H) relative changes in driving stress as annotated and delimited by dashed white lines.</w:t>
      </w:r>
    </w:p>
    <w:p w14:paraId="7151905B" w14:textId="77777777" w:rsidR="007B35D3" w:rsidRDefault="007B35D3" w:rsidP="007B35D3">
      <w:pPr>
        <w:spacing w:after="0" w:line="240" w:lineRule="auto"/>
        <w:jc w:val="left"/>
        <w:rPr>
          <w:sz w:val="24"/>
          <w:szCs w:val="24"/>
          <w:lang w:eastAsia="en-US"/>
        </w:rPr>
      </w:pPr>
    </w:p>
    <w:p w14:paraId="611BE985" w14:textId="77777777" w:rsidR="007B35D3" w:rsidRDefault="007B35D3" w:rsidP="007B35D3">
      <w:pPr>
        <w:spacing w:after="0" w:line="240" w:lineRule="auto"/>
        <w:jc w:val="left"/>
        <w:rPr>
          <w:sz w:val="24"/>
          <w:szCs w:val="24"/>
          <w:lang w:eastAsia="en-US"/>
        </w:rPr>
      </w:pPr>
    </w:p>
    <w:p w14:paraId="06DA73E7" w14:textId="77777777" w:rsidR="007B35D3" w:rsidRDefault="007B35D3" w:rsidP="007B35D3">
      <w:pPr>
        <w:spacing w:after="0" w:line="240" w:lineRule="auto"/>
        <w:jc w:val="center"/>
        <w:rPr>
          <w:sz w:val="24"/>
          <w:szCs w:val="24"/>
          <w:lang w:eastAsia="en-US"/>
        </w:rPr>
      </w:pPr>
      <w:r>
        <w:rPr>
          <w:noProof/>
          <w:sz w:val="24"/>
          <w:szCs w:val="24"/>
        </w:rPr>
        <w:drawing>
          <wp:inline distT="0" distB="0" distL="0" distR="0" wp14:anchorId="7BCF6B26" wp14:editId="5F4E8205">
            <wp:extent cx="4426719" cy="599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9576" cy="5995092"/>
                    </a:xfrm>
                    <a:prstGeom prst="rect">
                      <a:avLst/>
                    </a:prstGeom>
                  </pic:spPr>
                </pic:pic>
              </a:graphicData>
            </a:graphic>
          </wp:inline>
        </w:drawing>
      </w:r>
    </w:p>
    <w:p w14:paraId="059D1D91" w14:textId="77777777" w:rsidR="007B35D3" w:rsidRDefault="007B35D3" w:rsidP="007B35D3">
      <w:pPr>
        <w:spacing w:after="0" w:line="240" w:lineRule="auto"/>
        <w:jc w:val="left"/>
        <w:rPr>
          <w:sz w:val="24"/>
          <w:szCs w:val="24"/>
          <w:lang w:eastAsia="en-US"/>
        </w:rPr>
      </w:pPr>
    </w:p>
    <w:p w14:paraId="77840370" w14:textId="77777777" w:rsidR="007B35D3" w:rsidRDefault="007B35D3" w:rsidP="007B35D3">
      <w:pPr>
        <w:spacing w:after="0" w:line="240" w:lineRule="auto"/>
        <w:jc w:val="left"/>
        <w:rPr>
          <w:sz w:val="24"/>
          <w:szCs w:val="24"/>
          <w:lang w:eastAsia="en-US"/>
        </w:rPr>
      </w:pPr>
    </w:p>
    <w:p w14:paraId="1E84CFA2" w14:textId="77777777" w:rsidR="007B35D3" w:rsidRDefault="007B35D3" w:rsidP="007B35D3">
      <w:pPr>
        <w:spacing w:after="0" w:line="240" w:lineRule="auto"/>
        <w:jc w:val="left"/>
        <w:rPr>
          <w:sz w:val="24"/>
          <w:szCs w:val="24"/>
          <w:lang w:eastAsia="en-US"/>
        </w:rPr>
      </w:pPr>
    </w:p>
    <w:p w14:paraId="681E3BB6" w14:textId="77777777" w:rsidR="007B35D3" w:rsidRDefault="007B35D3" w:rsidP="007B35D3">
      <w:pPr>
        <w:spacing w:after="0" w:line="240" w:lineRule="auto"/>
        <w:jc w:val="left"/>
        <w:rPr>
          <w:sz w:val="24"/>
          <w:szCs w:val="24"/>
          <w:lang w:eastAsia="en-US"/>
        </w:rPr>
      </w:pPr>
    </w:p>
    <w:p w14:paraId="6AE5A85B" w14:textId="77777777" w:rsidR="007B35D3" w:rsidRDefault="007B35D3" w:rsidP="007B35D3">
      <w:pPr>
        <w:spacing w:after="0" w:line="240" w:lineRule="auto"/>
        <w:jc w:val="left"/>
        <w:rPr>
          <w:sz w:val="24"/>
          <w:szCs w:val="24"/>
          <w:lang w:eastAsia="en-US"/>
        </w:rPr>
      </w:pPr>
    </w:p>
    <w:p w14:paraId="077892D7" w14:textId="77777777" w:rsidR="007B35D3" w:rsidRDefault="007B35D3" w:rsidP="007B35D3">
      <w:pPr>
        <w:spacing w:after="0" w:line="240" w:lineRule="auto"/>
        <w:jc w:val="left"/>
        <w:rPr>
          <w:sz w:val="24"/>
          <w:szCs w:val="24"/>
          <w:lang w:eastAsia="en-US"/>
        </w:rPr>
      </w:pPr>
    </w:p>
    <w:p w14:paraId="37A5E53F" w14:textId="77777777" w:rsidR="007B35D3" w:rsidRDefault="007B35D3" w:rsidP="007B35D3">
      <w:pPr>
        <w:spacing w:after="0" w:line="240" w:lineRule="auto"/>
        <w:jc w:val="left"/>
        <w:rPr>
          <w:sz w:val="24"/>
          <w:szCs w:val="24"/>
          <w:lang w:eastAsia="en-US"/>
        </w:rPr>
      </w:pPr>
    </w:p>
    <w:p w14:paraId="725882FE" w14:textId="77777777" w:rsidR="007B35D3" w:rsidRDefault="007B35D3" w:rsidP="007B35D3">
      <w:pPr>
        <w:spacing w:after="0" w:line="240" w:lineRule="auto"/>
        <w:jc w:val="left"/>
        <w:rPr>
          <w:sz w:val="24"/>
          <w:szCs w:val="24"/>
          <w:lang w:eastAsia="en-US"/>
        </w:rPr>
      </w:pPr>
    </w:p>
    <w:p w14:paraId="48A633B3" w14:textId="77777777" w:rsidR="007B35D3" w:rsidRDefault="007B35D3" w:rsidP="007B35D3">
      <w:pPr>
        <w:spacing w:after="0" w:line="240" w:lineRule="auto"/>
        <w:jc w:val="left"/>
        <w:rPr>
          <w:sz w:val="24"/>
          <w:szCs w:val="24"/>
          <w:lang w:eastAsia="en-US"/>
        </w:rPr>
      </w:pPr>
    </w:p>
    <w:p w14:paraId="2B1A2362" w14:textId="77777777" w:rsidR="007B35D3" w:rsidRDefault="007B35D3" w:rsidP="007B35D3">
      <w:pPr>
        <w:spacing w:after="0" w:line="240" w:lineRule="auto"/>
        <w:jc w:val="left"/>
        <w:rPr>
          <w:sz w:val="24"/>
          <w:szCs w:val="24"/>
          <w:lang w:eastAsia="en-US"/>
        </w:rPr>
      </w:pPr>
    </w:p>
    <w:p w14:paraId="24CC39C6" w14:textId="77777777" w:rsidR="007B35D3" w:rsidRDefault="007B35D3" w:rsidP="007B35D3">
      <w:pPr>
        <w:spacing w:after="0" w:line="240" w:lineRule="auto"/>
        <w:jc w:val="left"/>
        <w:rPr>
          <w:sz w:val="24"/>
          <w:szCs w:val="24"/>
          <w:lang w:eastAsia="en-US"/>
        </w:rPr>
      </w:pPr>
    </w:p>
    <w:p w14:paraId="49D12C3B" w14:textId="77777777" w:rsidR="007B35D3" w:rsidRDefault="007B35D3" w:rsidP="007B35D3">
      <w:pPr>
        <w:spacing w:after="0" w:line="240" w:lineRule="auto"/>
        <w:jc w:val="left"/>
        <w:rPr>
          <w:sz w:val="24"/>
          <w:szCs w:val="24"/>
          <w:lang w:eastAsia="en-US"/>
        </w:rPr>
      </w:pPr>
    </w:p>
    <w:p w14:paraId="789AC253" w14:textId="77777777" w:rsidR="007B35D3" w:rsidRDefault="007B35D3" w:rsidP="007B35D3">
      <w:pPr>
        <w:spacing w:after="0" w:line="240" w:lineRule="auto"/>
        <w:jc w:val="left"/>
      </w:pPr>
      <w:r>
        <w:rPr>
          <w:b/>
          <w:sz w:val="24"/>
          <w:szCs w:val="24"/>
          <w:lang w:eastAsia="en-US"/>
        </w:rPr>
        <w:t>Figure 6.</w:t>
      </w:r>
      <w:r>
        <w:rPr>
          <w:sz w:val="24"/>
          <w:szCs w:val="24"/>
          <w:lang w:eastAsia="en-US"/>
        </w:rPr>
        <w:t xml:space="preserve"> Local relief, as calculated by the difference in elevation of adjacent grid cells, </w:t>
      </w:r>
      <w:r w:rsidRPr="001375D5">
        <w:rPr>
          <w:i/>
          <w:iCs/>
          <w:sz w:val="24"/>
          <w:szCs w:val="24"/>
          <w:lang w:eastAsia="en-US"/>
        </w:rPr>
        <w:t>i.e.</w:t>
      </w:r>
      <w:r>
        <w:rPr>
          <w:sz w:val="24"/>
          <w:szCs w:val="24"/>
          <w:lang w:eastAsia="en-US"/>
        </w:rPr>
        <w:t xml:space="preserve"> over 10 m distance, in a detrended surface for 2007 and for 2011 and with a longitudinal (N–S) and lateral (W–E) transect of this local roughness graphed.</w:t>
      </w:r>
    </w:p>
    <w:p w14:paraId="641DE3C2" w14:textId="44A5DB08" w:rsidR="007B35D3" w:rsidRDefault="00FD7ADA" w:rsidP="007B35D3">
      <w:pPr>
        <w:spacing w:after="0" w:line="240" w:lineRule="auto"/>
        <w:jc w:val="center"/>
        <w:rPr>
          <w:sz w:val="24"/>
          <w:szCs w:val="24"/>
          <w:lang w:eastAsia="en-US"/>
        </w:rPr>
      </w:pPr>
      <w:r>
        <w:rPr>
          <w:noProof/>
          <w:sz w:val="24"/>
          <w:szCs w:val="24"/>
        </w:rPr>
        <w:lastRenderedPageBreak/>
        <w:drawing>
          <wp:inline distT="0" distB="0" distL="0" distR="0" wp14:anchorId="29D0A6D6" wp14:editId="1BD7E521">
            <wp:extent cx="3424848" cy="7248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_fieldphot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795" cy="7258996"/>
                    </a:xfrm>
                    <a:prstGeom prst="rect">
                      <a:avLst/>
                    </a:prstGeom>
                  </pic:spPr>
                </pic:pic>
              </a:graphicData>
            </a:graphic>
          </wp:inline>
        </w:drawing>
      </w:r>
    </w:p>
    <w:p w14:paraId="69B7822F" w14:textId="77777777" w:rsidR="007B35D3" w:rsidRDefault="007B35D3" w:rsidP="007B35D3">
      <w:pPr>
        <w:spacing w:after="0" w:line="240" w:lineRule="auto"/>
        <w:jc w:val="left"/>
        <w:rPr>
          <w:sz w:val="24"/>
          <w:szCs w:val="24"/>
          <w:lang w:eastAsia="en-US"/>
        </w:rPr>
      </w:pPr>
    </w:p>
    <w:p w14:paraId="400A36D1" w14:textId="5AB79FB6" w:rsidR="007B35D3" w:rsidRDefault="007B35D3" w:rsidP="007B35D3">
      <w:pPr>
        <w:spacing w:after="0" w:line="240" w:lineRule="auto"/>
        <w:jc w:val="left"/>
        <w:rPr>
          <w:sz w:val="24"/>
          <w:szCs w:val="24"/>
          <w:lang w:eastAsia="en-US"/>
        </w:rPr>
      </w:pPr>
      <w:r w:rsidRPr="009F1E12">
        <w:rPr>
          <w:b/>
          <w:sz w:val="24"/>
          <w:szCs w:val="24"/>
          <w:lang w:eastAsia="en-US"/>
        </w:rPr>
        <w:t>Figure 7.</w:t>
      </w:r>
      <w:r>
        <w:rPr>
          <w:sz w:val="24"/>
          <w:szCs w:val="24"/>
          <w:lang w:eastAsia="en-US"/>
        </w:rPr>
        <w:t xml:space="preserve"> Local reli</w:t>
      </w:r>
      <w:r w:rsidR="00FD7ADA">
        <w:rPr>
          <w:sz w:val="24"/>
          <w:szCs w:val="24"/>
          <w:lang w:eastAsia="en-US"/>
        </w:rPr>
        <w:t xml:space="preserve">ef as seen in the field in 2007, </w:t>
      </w:r>
      <w:r>
        <w:rPr>
          <w:sz w:val="24"/>
          <w:szCs w:val="24"/>
          <w:lang w:eastAsia="en-US"/>
        </w:rPr>
        <w:t>2009</w:t>
      </w:r>
      <w:r w:rsidR="00FD7ADA">
        <w:rPr>
          <w:sz w:val="24"/>
          <w:szCs w:val="24"/>
          <w:lang w:eastAsia="en-US"/>
        </w:rPr>
        <w:t xml:space="preserve"> and 2010</w:t>
      </w:r>
      <w:r>
        <w:rPr>
          <w:sz w:val="24"/>
          <w:szCs w:val="24"/>
          <w:lang w:eastAsia="en-US"/>
        </w:rPr>
        <w:t xml:space="preserve">. The orientation of the camera in </w:t>
      </w:r>
      <w:r w:rsidR="00FD7ADA">
        <w:rPr>
          <w:sz w:val="24"/>
          <w:szCs w:val="24"/>
          <w:lang w:eastAsia="en-US"/>
        </w:rPr>
        <w:t>2007 and 2009</w:t>
      </w:r>
      <w:r>
        <w:rPr>
          <w:sz w:val="24"/>
          <w:szCs w:val="24"/>
          <w:lang w:eastAsia="en-US"/>
        </w:rPr>
        <w:t xml:space="preserve"> is near-identical and is depicted in Figure 3B, but view in 2007 is more distant from the glacier than in 2009. </w:t>
      </w:r>
      <w:r w:rsidR="00FD7ADA">
        <w:rPr>
          <w:sz w:val="24"/>
          <w:szCs w:val="24"/>
          <w:lang w:eastAsia="en-US"/>
        </w:rPr>
        <w:t xml:space="preserve">View in 2010 is of eastern part of the terminus. </w:t>
      </w:r>
      <w:r>
        <w:rPr>
          <w:sz w:val="24"/>
          <w:szCs w:val="24"/>
          <w:lang w:eastAsia="en-US"/>
        </w:rPr>
        <w:t>Note more chaotic surface in 2009 with local relief in inset image of up to 20 m. Inset image view is directly up-glacier and reveals exposed structure of ice with evidence of vertical compression in the form of stacked thrust planes.</w:t>
      </w:r>
      <w:r w:rsidR="00FD7ADA">
        <w:rPr>
          <w:sz w:val="24"/>
          <w:szCs w:val="24"/>
          <w:lang w:eastAsia="en-US"/>
        </w:rPr>
        <w:t xml:space="preserve"> In 2010 heavy crevassing is visible just back from the terminus, which shows no signs of advance at that time.</w:t>
      </w:r>
      <w:r w:rsidR="00630D61">
        <w:rPr>
          <w:sz w:val="24"/>
          <w:szCs w:val="24"/>
          <w:lang w:eastAsia="en-US"/>
        </w:rPr>
        <w:t xml:space="preserve"> Image from 2010 is courtesy of </w:t>
      </w:r>
      <w:r w:rsidR="00630D61">
        <w:rPr>
          <w:color w:val="000000"/>
        </w:rPr>
        <w:t>Jónas Helgason.</w:t>
      </w:r>
    </w:p>
    <w:p w14:paraId="62E5BF6C" w14:textId="77777777" w:rsidR="007B35D3" w:rsidRDefault="007B35D3" w:rsidP="007B35D3">
      <w:pPr>
        <w:spacing w:after="0" w:line="240" w:lineRule="auto"/>
        <w:jc w:val="left"/>
        <w:rPr>
          <w:sz w:val="24"/>
          <w:szCs w:val="24"/>
          <w:lang w:eastAsia="en-US"/>
        </w:rPr>
      </w:pPr>
      <w:r>
        <w:rPr>
          <w:noProof/>
          <w:sz w:val="24"/>
          <w:szCs w:val="24"/>
        </w:rPr>
        <w:lastRenderedPageBreak/>
        <w:drawing>
          <wp:inline distT="0" distB="0" distL="0" distR="0" wp14:anchorId="0B4D61FB" wp14:editId="48A66518">
            <wp:extent cx="7454273" cy="5439159"/>
            <wp:effectExtent l="0" t="190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_WVimagesZoomed.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458938" cy="5442563"/>
                    </a:xfrm>
                    <a:prstGeom prst="rect">
                      <a:avLst/>
                    </a:prstGeom>
                  </pic:spPr>
                </pic:pic>
              </a:graphicData>
            </a:graphic>
          </wp:inline>
        </w:drawing>
      </w:r>
    </w:p>
    <w:p w14:paraId="22ED87B9" w14:textId="77777777" w:rsidR="007B35D3" w:rsidRDefault="007B35D3" w:rsidP="007B35D3">
      <w:pPr>
        <w:spacing w:after="0" w:line="240" w:lineRule="auto"/>
        <w:jc w:val="left"/>
        <w:rPr>
          <w:sz w:val="24"/>
          <w:szCs w:val="24"/>
          <w:lang w:eastAsia="en-US"/>
        </w:rPr>
      </w:pPr>
    </w:p>
    <w:p w14:paraId="7FB41071" w14:textId="78235DF6" w:rsidR="007B35D3" w:rsidRDefault="007B35D3" w:rsidP="007B35D3">
      <w:pPr>
        <w:spacing w:after="0" w:line="240" w:lineRule="auto"/>
        <w:jc w:val="left"/>
        <w:rPr>
          <w:sz w:val="24"/>
          <w:szCs w:val="24"/>
          <w:lang w:eastAsia="en-US"/>
        </w:rPr>
      </w:pPr>
      <w:r>
        <w:rPr>
          <w:b/>
          <w:sz w:val="24"/>
          <w:szCs w:val="24"/>
          <w:lang w:eastAsia="en-US"/>
        </w:rPr>
        <w:t>Figure 8.</w:t>
      </w:r>
      <w:r>
        <w:rPr>
          <w:sz w:val="24"/>
          <w:szCs w:val="24"/>
          <w:lang w:eastAsia="en-US"/>
        </w:rPr>
        <w:t xml:space="preserve"> Analysis of surface horizontal motion by manual feature-tracking</w:t>
      </w:r>
      <w:r w:rsidR="00682694">
        <w:rPr>
          <w:sz w:val="24"/>
          <w:szCs w:val="24"/>
          <w:lang w:eastAsia="en-US"/>
        </w:rPr>
        <w:t xml:space="preserve"> of selected points</w:t>
      </w:r>
      <w:r>
        <w:rPr>
          <w:sz w:val="24"/>
          <w:szCs w:val="24"/>
          <w:lang w:eastAsia="en-US"/>
        </w:rPr>
        <w:t xml:space="preserve">. Annotations denote most major horizontal shifts only for clarity and </w:t>
      </w:r>
      <w:r w:rsidRPr="008410F8">
        <w:rPr>
          <w:sz w:val="24"/>
          <w:szCs w:val="24"/>
          <w:lang w:eastAsia="en-US"/>
        </w:rPr>
        <w:t>have units of metres since previous image</w:t>
      </w:r>
      <w:r>
        <w:rPr>
          <w:sz w:val="24"/>
          <w:szCs w:val="24"/>
          <w:lang w:eastAsia="en-US"/>
        </w:rPr>
        <w:t>. The location of these panels is indicated in Figure 1.</w:t>
      </w:r>
      <w:r w:rsidR="00682694">
        <w:rPr>
          <w:sz w:val="24"/>
          <w:szCs w:val="24"/>
          <w:lang w:eastAsia="en-US"/>
        </w:rPr>
        <w:t xml:space="preserve"> Panels in A focus on the western part of the terminus where manual feature tracking worked well, whereas panels in B focus on a part of the western flank margin that is too chaotic and apparently moving too fast for confidence in finding the same features in successive images. </w:t>
      </w:r>
    </w:p>
    <w:p w14:paraId="04BD26C9" w14:textId="77777777" w:rsidR="00682694" w:rsidRDefault="00682694" w:rsidP="007B35D3">
      <w:pPr>
        <w:spacing w:after="0" w:line="240" w:lineRule="auto"/>
        <w:jc w:val="left"/>
      </w:pPr>
    </w:p>
    <w:p w14:paraId="39E7CACB" w14:textId="77777777" w:rsidR="007B35D3" w:rsidRDefault="007B35D3" w:rsidP="007B35D3">
      <w:pPr>
        <w:spacing w:after="0" w:line="240" w:lineRule="auto"/>
        <w:jc w:val="left"/>
        <w:rPr>
          <w:sz w:val="24"/>
          <w:szCs w:val="24"/>
          <w:lang w:eastAsia="en-US"/>
        </w:rPr>
      </w:pPr>
      <w:r>
        <w:rPr>
          <w:noProof/>
          <w:sz w:val="24"/>
          <w:szCs w:val="24"/>
        </w:rPr>
        <w:lastRenderedPageBreak/>
        <w:drawing>
          <wp:inline distT="0" distB="0" distL="0" distR="0" wp14:anchorId="53AE3DF0" wp14:editId="58B8BBA9">
            <wp:extent cx="7580750" cy="4557185"/>
            <wp:effectExtent l="6985"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9_WVimagesZoomed.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595330" cy="4565950"/>
                    </a:xfrm>
                    <a:prstGeom prst="rect">
                      <a:avLst/>
                    </a:prstGeom>
                  </pic:spPr>
                </pic:pic>
              </a:graphicData>
            </a:graphic>
          </wp:inline>
        </w:drawing>
      </w:r>
    </w:p>
    <w:p w14:paraId="0C5B9E73" w14:textId="77777777" w:rsidR="007B35D3" w:rsidRDefault="007B35D3" w:rsidP="007B35D3">
      <w:pPr>
        <w:spacing w:after="0" w:line="240" w:lineRule="auto"/>
        <w:jc w:val="left"/>
        <w:rPr>
          <w:sz w:val="24"/>
          <w:szCs w:val="24"/>
          <w:lang w:eastAsia="en-US"/>
        </w:rPr>
      </w:pPr>
    </w:p>
    <w:p w14:paraId="31DA46F1" w14:textId="7A666827" w:rsidR="007B35D3" w:rsidRDefault="007B35D3" w:rsidP="007B35D3">
      <w:pPr>
        <w:spacing w:after="0" w:line="240" w:lineRule="auto"/>
        <w:jc w:val="left"/>
        <w:rPr>
          <w:sz w:val="24"/>
          <w:szCs w:val="24"/>
          <w:lang w:eastAsia="en-US"/>
        </w:rPr>
      </w:pPr>
      <w:r>
        <w:rPr>
          <w:b/>
          <w:sz w:val="24"/>
          <w:szCs w:val="24"/>
          <w:lang w:eastAsia="en-US"/>
        </w:rPr>
        <w:t>Figure 9.</w:t>
      </w:r>
      <w:r>
        <w:rPr>
          <w:sz w:val="24"/>
          <w:szCs w:val="24"/>
          <w:lang w:eastAsia="en-US"/>
        </w:rPr>
        <w:t xml:space="preserve"> Analysis of surface horizontal motion by manual feature-tracking</w:t>
      </w:r>
      <w:r w:rsidR="00682694">
        <w:rPr>
          <w:sz w:val="24"/>
          <w:szCs w:val="24"/>
          <w:lang w:eastAsia="en-US"/>
        </w:rPr>
        <w:t xml:space="preserve"> of a common line of features, such as the end of major crevasses</w:t>
      </w:r>
      <w:r>
        <w:rPr>
          <w:sz w:val="24"/>
          <w:szCs w:val="24"/>
          <w:lang w:eastAsia="en-US"/>
        </w:rPr>
        <w:t xml:space="preserve">. </w:t>
      </w:r>
      <w:r w:rsidR="00682694">
        <w:rPr>
          <w:sz w:val="24"/>
          <w:szCs w:val="24"/>
          <w:lang w:eastAsia="en-US"/>
        </w:rPr>
        <w:t xml:space="preserve">Usage of these ‘lines’ mitigated problems with finding exact points to track. </w:t>
      </w:r>
      <w:r>
        <w:rPr>
          <w:sz w:val="24"/>
          <w:szCs w:val="24"/>
          <w:lang w:eastAsia="en-US"/>
        </w:rPr>
        <w:t xml:space="preserve">Annotations denote most major horizontal shifts only for clarity and have units of metres since previous image. Note that </w:t>
      </w:r>
      <w:r w:rsidR="00682694">
        <w:rPr>
          <w:sz w:val="24"/>
          <w:szCs w:val="24"/>
          <w:lang w:eastAsia="en-US"/>
        </w:rPr>
        <w:t xml:space="preserve">only </w:t>
      </w:r>
      <w:r>
        <w:rPr>
          <w:sz w:val="24"/>
          <w:szCs w:val="24"/>
          <w:lang w:eastAsia="en-US"/>
        </w:rPr>
        <w:t xml:space="preserve">changes </w:t>
      </w:r>
      <w:r w:rsidR="00682694">
        <w:rPr>
          <w:sz w:val="24"/>
          <w:szCs w:val="24"/>
          <w:lang w:eastAsia="en-US"/>
        </w:rPr>
        <w:t xml:space="preserve">within a year could be resolved: </w:t>
      </w:r>
      <w:r>
        <w:rPr>
          <w:sz w:val="24"/>
          <w:szCs w:val="24"/>
          <w:lang w:eastAsia="en-US"/>
        </w:rPr>
        <w:t xml:space="preserve">between years horizontal displacement </w:t>
      </w:r>
      <w:r w:rsidR="00682694">
        <w:rPr>
          <w:sz w:val="24"/>
          <w:szCs w:val="24"/>
          <w:lang w:eastAsia="en-US"/>
        </w:rPr>
        <w:t>wa</w:t>
      </w:r>
      <w:r>
        <w:rPr>
          <w:sz w:val="24"/>
          <w:szCs w:val="24"/>
          <w:lang w:eastAsia="en-US"/>
        </w:rPr>
        <w:t>s too large</w:t>
      </w:r>
      <w:r w:rsidR="00682694">
        <w:rPr>
          <w:sz w:val="24"/>
          <w:szCs w:val="24"/>
          <w:lang w:eastAsia="en-US"/>
        </w:rPr>
        <w:t xml:space="preserve"> to confidently see the same feature</w:t>
      </w:r>
      <w:r>
        <w:rPr>
          <w:sz w:val="24"/>
          <w:szCs w:val="24"/>
          <w:lang w:eastAsia="en-US"/>
        </w:rPr>
        <w:t>. The location of these panels is indicated in figure 1.</w:t>
      </w:r>
    </w:p>
    <w:p w14:paraId="1DE068FD" w14:textId="77777777" w:rsidR="007B35D3" w:rsidRDefault="007B35D3" w:rsidP="007B35D3">
      <w:pPr>
        <w:spacing w:after="0" w:line="240" w:lineRule="auto"/>
        <w:jc w:val="left"/>
        <w:rPr>
          <w:sz w:val="24"/>
          <w:szCs w:val="24"/>
          <w:lang w:eastAsia="en-US"/>
        </w:rPr>
      </w:pPr>
      <w:r>
        <w:rPr>
          <w:noProof/>
          <w:sz w:val="24"/>
          <w:szCs w:val="24"/>
        </w:rPr>
        <w:lastRenderedPageBreak/>
        <w:drawing>
          <wp:inline distT="0" distB="0" distL="0" distR="0" wp14:anchorId="13F7581B" wp14:editId="12FBCC0B">
            <wp:extent cx="5731510" cy="15214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0_hydrograph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521460"/>
                    </a:xfrm>
                    <a:prstGeom prst="rect">
                      <a:avLst/>
                    </a:prstGeom>
                  </pic:spPr>
                </pic:pic>
              </a:graphicData>
            </a:graphic>
          </wp:inline>
        </w:drawing>
      </w:r>
    </w:p>
    <w:p w14:paraId="452878CB" w14:textId="77777777" w:rsidR="007B35D3" w:rsidRDefault="007B35D3" w:rsidP="007B35D3">
      <w:pPr>
        <w:spacing w:after="0" w:line="240" w:lineRule="auto"/>
        <w:jc w:val="left"/>
        <w:rPr>
          <w:sz w:val="24"/>
          <w:szCs w:val="24"/>
          <w:lang w:eastAsia="en-US"/>
        </w:rPr>
      </w:pPr>
    </w:p>
    <w:p w14:paraId="3CAED724" w14:textId="77777777" w:rsidR="007B35D3" w:rsidRPr="00955B2F" w:rsidRDefault="007B35D3" w:rsidP="007B35D3">
      <w:pPr>
        <w:spacing w:after="0" w:line="240" w:lineRule="auto"/>
        <w:jc w:val="left"/>
        <w:rPr>
          <w:sz w:val="24"/>
          <w:szCs w:val="24"/>
          <w:lang w:eastAsia="en-US"/>
        </w:rPr>
      </w:pPr>
      <w:r w:rsidRPr="00222A42">
        <w:rPr>
          <w:b/>
          <w:sz w:val="24"/>
          <w:szCs w:val="24"/>
          <w:lang w:eastAsia="en-US"/>
        </w:rPr>
        <w:t>Figure 10.</w:t>
      </w:r>
      <w:r>
        <w:rPr>
          <w:sz w:val="24"/>
          <w:szCs w:val="24"/>
          <w:lang w:eastAsia="en-US"/>
        </w:rPr>
        <w:t xml:space="preserve"> Discharge as derived from continuous stage records for two rivers draining from northern Vatnajökull in the vicinity of Kverkfjöll. Only the </w:t>
      </w:r>
      <w:r>
        <w:rPr>
          <w:sz w:val="24"/>
          <w:szCs w:val="24"/>
        </w:rPr>
        <w:t>Jökulsá á Fjöllum receives meltwater directly from Kverkfjöll and has statistically higher discharge and seasonal volume of runoff in the years 2010, 2011, 2012 and 2013, in comparison to the years 2008, 2009 and 2014.</w:t>
      </w:r>
    </w:p>
    <w:p w14:paraId="22A4E3E3" w14:textId="267506C7" w:rsidR="00C37608" w:rsidRDefault="00C37608" w:rsidP="007B35D3">
      <w:pPr>
        <w:spacing w:after="0" w:line="240" w:lineRule="auto"/>
      </w:pPr>
    </w:p>
    <w:sectPr w:rsidR="00C37608">
      <w:headerReference w:type="default" r:id="rId19"/>
      <w:footerReference w:type="default" r:id="rId20"/>
      <w:headerReference w:type="first" r:id="rId21"/>
      <w:footerReference w:type="first" r:id="rId22"/>
      <w:pgSz w:w="11906" w:h="16838"/>
      <w:pgMar w:top="1440" w:right="1440" w:bottom="1440" w:left="1440" w:header="708" w:footer="708" w:gutter="0"/>
      <w:cols w:space="72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363F1" w14:textId="77777777" w:rsidR="000C6D7E" w:rsidRDefault="000C6D7E">
      <w:pPr>
        <w:spacing w:after="0" w:line="240" w:lineRule="auto"/>
      </w:pPr>
      <w:r>
        <w:separator/>
      </w:r>
    </w:p>
  </w:endnote>
  <w:endnote w:type="continuationSeparator" w:id="0">
    <w:p w14:paraId="4FDA06CA" w14:textId="77777777" w:rsidR="000C6D7E" w:rsidRDefault="000C6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473">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font>
  <w:font w:name="Noto Sans CJK SC Regular">
    <w:charset w:val="00"/>
    <w:family w:val="auto"/>
    <w:pitch w:val="variable"/>
  </w:font>
  <w:font w:name="FreeSans">
    <w:altName w:val="Arial Unicode MS"/>
    <w:charset w:val="00"/>
    <w:family w:val="swiss"/>
    <w:pitch w:val="variable"/>
    <w:sig w:usb0="00000000" w:usb1="5007F9FB" w:usb2="000000A0" w:usb3="00000000" w:csb0="000200BF" w:csb1="00000000"/>
  </w:font>
  <w:font w:name="Calibri">
    <w:panose1 w:val="020F0502020204030204"/>
    <w:charset w:val="00"/>
    <w:family w:val="swiss"/>
    <w:pitch w:val="variable"/>
    <w:sig w:usb0="E00002FF" w:usb1="4000ACFF" w:usb2="00000001" w:usb3="00000000" w:csb0="0000019F" w:csb1="00000000"/>
  </w:font>
  <w:font w:name="Ubuntu">
    <w:altName w:val="Times New Roman"/>
    <w:panose1 w:val="020B0504030602030204"/>
    <w:charset w:val="00"/>
    <w:family w:val="swiss"/>
    <w:pitch w:val="variable"/>
    <w:sig w:usb0="E00002F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1B4D4" w14:textId="5E67841F" w:rsidR="00C82090" w:rsidRDefault="00C37608">
    <w:pPr>
      <w:pStyle w:val="Footer"/>
      <w:jc w:val="right"/>
    </w:pPr>
    <w:r>
      <w:fldChar w:fldCharType="begin"/>
    </w:r>
    <w:r>
      <w:instrText xml:space="preserve"> PAGE </w:instrText>
    </w:r>
    <w:r>
      <w:fldChar w:fldCharType="separate"/>
    </w:r>
    <w:r w:rsidR="00362E74">
      <w:rPr>
        <w:noProof/>
      </w:rPr>
      <w:t>1</w:t>
    </w:r>
    <w:r>
      <w:fldChar w:fldCharType="end"/>
    </w:r>
  </w:p>
  <w:p w14:paraId="3B032F96" w14:textId="77777777" w:rsidR="00C82090" w:rsidRDefault="00C82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FFDB" w14:textId="77777777" w:rsidR="00C82090" w:rsidRDefault="00C8209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5E7BD" w14:textId="77777777" w:rsidR="000C6D7E" w:rsidRDefault="000C6D7E">
      <w:pPr>
        <w:spacing w:after="0" w:line="240" w:lineRule="auto"/>
      </w:pPr>
      <w:r>
        <w:separator/>
      </w:r>
    </w:p>
  </w:footnote>
  <w:footnote w:type="continuationSeparator" w:id="0">
    <w:p w14:paraId="6B326372" w14:textId="77777777" w:rsidR="000C6D7E" w:rsidRDefault="000C6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5DA6" w14:textId="77777777" w:rsidR="00C82090" w:rsidRDefault="00C37608">
    <w:pPr>
      <w:pStyle w:val="Header"/>
    </w:pPr>
    <w:r>
      <w:t>[Type text]</w:t>
    </w:r>
    <w:r>
      <w:tab/>
      <w:t>[Type text]</w:t>
    </w:r>
    <w:r>
      <w:rPr>
        <w:i/>
        <w:sz w:val="18"/>
        <w:szCs w:val="18"/>
      </w:rPr>
      <w:tab/>
      <w:t>manuscript submitted to Jökull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6A8C" w14:textId="77777777" w:rsidR="00C82090" w:rsidRDefault="00C82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E31"/>
    <w:rsid w:val="000C6D7E"/>
    <w:rsid w:val="0010152E"/>
    <w:rsid w:val="00225303"/>
    <w:rsid w:val="00362E74"/>
    <w:rsid w:val="004120B4"/>
    <w:rsid w:val="00432AAF"/>
    <w:rsid w:val="00630D61"/>
    <w:rsid w:val="00682694"/>
    <w:rsid w:val="007B35D3"/>
    <w:rsid w:val="008F3E31"/>
    <w:rsid w:val="00984918"/>
    <w:rsid w:val="00A22170"/>
    <w:rsid w:val="00A23F12"/>
    <w:rsid w:val="00BA213F"/>
    <w:rsid w:val="00C37608"/>
    <w:rsid w:val="00C82090"/>
    <w:rsid w:val="00D00ED7"/>
    <w:rsid w:val="00E11FB6"/>
    <w:rsid w:val="00EE5446"/>
    <w:rsid w:val="00FD7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95803C"/>
  <w15:chartTrackingRefBased/>
  <w15:docId w15:val="{3F35B303-BC10-4091-A7A3-C90C9B75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after="240" w:line="360" w:lineRule="auto"/>
      <w:jc w:val="both"/>
      <w:textAlignment w:val="baseline"/>
    </w:pPr>
    <w:rPr>
      <w:kern w:val="1"/>
      <w:sz w:val="22"/>
      <w:szCs w:val="22"/>
    </w:rPr>
  </w:style>
  <w:style w:type="paragraph" w:styleId="Heading1">
    <w:name w:val="heading 1"/>
    <w:basedOn w:val="Normal"/>
    <w:next w:val="Normal"/>
    <w:qFormat/>
    <w:pPr>
      <w:keepNext/>
      <w:keepLines/>
      <w:widowControl/>
      <w:numPr>
        <w:numId w:val="1"/>
      </w:numPr>
      <w:spacing w:before="120" w:after="0" w:line="276" w:lineRule="auto"/>
      <w:jc w:val="left"/>
      <w:textAlignment w:val="auto"/>
      <w:outlineLvl w:val="0"/>
    </w:pPr>
    <w:rPr>
      <w:rFonts w:ascii="Arial" w:eastAsia="font473" w:hAnsi="Arial" w:cs="Arial"/>
      <w:b/>
      <w:bCs/>
      <w:sz w:val="36"/>
      <w:szCs w:val="28"/>
      <w:lang w:eastAsia="en-US"/>
    </w:rPr>
  </w:style>
  <w:style w:type="paragraph" w:styleId="Heading2">
    <w:name w:val="heading 2"/>
    <w:basedOn w:val="Normal"/>
    <w:next w:val="Normal"/>
    <w:qFormat/>
    <w:pPr>
      <w:keepNext/>
      <w:keepLines/>
      <w:widowControl/>
      <w:numPr>
        <w:ilvl w:val="1"/>
        <w:numId w:val="1"/>
      </w:numPr>
      <w:spacing w:after="0"/>
      <w:textAlignment w:val="auto"/>
      <w:outlineLvl w:val="1"/>
    </w:pPr>
    <w:rPr>
      <w:b/>
      <w:bCs/>
      <w:sz w:val="24"/>
      <w:szCs w:val="24"/>
      <w:lang w:eastAsia="en-US"/>
    </w:rPr>
  </w:style>
  <w:style w:type="paragraph" w:styleId="Heading3">
    <w:name w:val="heading 3"/>
    <w:basedOn w:val="Normal"/>
    <w:next w:val="Normal"/>
    <w:qFormat/>
    <w:pPr>
      <w:keepNext/>
      <w:keepLines/>
      <w:widowControl/>
      <w:numPr>
        <w:ilvl w:val="2"/>
        <w:numId w:val="1"/>
      </w:numPr>
      <w:spacing w:before="240" w:after="120" w:line="276" w:lineRule="auto"/>
      <w:jc w:val="left"/>
      <w:textAlignment w:val="auto"/>
      <w:outlineLvl w:val="2"/>
    </w:pPr>
    <w:rPr>
      <w:rFonts w:ascii="Arial" w:eastAsia="font473" w:hAnsi="Arial" w:cs="Arial"/>
      <w:b/>
      <w:bCs/>
      <w:sz w:val="24"/>
      <w:szCs w:val="24"/>
      <w:lang w:eastAsia="en-US"/>
    </w:rPr>
  </w:style>
  <w:style w:type="paragraph" w:styleId="Heading4">
    <w:name w:val="heading 4"/>
    <w:basedOn w:val="Normal"/>
    <w:next w:val="Normal"/>
    <w:qFormat/>
    <w:pPr>
      <w:keepNext/>
      <w:keepLines/>
      <w:widowControl/>
      <w:numPr>
        <w:ilvl w:val="3"/>
        <w:numId w:val="1"/>
      </w:numPr>
      <w:spacing w:before="240" w:after="120" w:line="276" w:lineRule="auto"/>
      <w:jc w:val="left"/>
      <w:textAlignment w:val="auto"/>
      <w:outlineLvl w:val="3"/>
    </w:pPr>
    <w:rPr>
      <w:rFonts w:ascii="Arial" w:eastAsia="font473" w:hAnsi="Arial" w:cs="Arial"/>
      <w:b/>
      <w:bCs/>
      <w:iCs/>
      <w:sz w:val="24"/>
      <w:szCs w:val="24"/>
      <w:lang w:eastAsia="en-US"/>
    </w:rPr>
  </w:style>
  <w:style w:type="paragraph" w:styleId="Heading5">
    <w:name w:val="heading 5"/>
    <w:basedOn w:val="Normal"/>
    <w:next w:val="Normal"/>
    <w:qFormat/>
    <w:pPr>
      <w:keepNext/>
      <w:keepLines/>
      <w:widowControl/>
      <w:numPr>
        <w:ilvl w:val="4"/>
        <w:numId w:val="1"/>
      </w:numPr>
      <w:spacing w:before="240" w:after="120" w:line="276" w:lineRule="auto"/>
      <w:jc w:val="left"/>
      <w:textAlignment w:val="auto"/>
      <w:outlineLvl w:val="4"/>
    </w:pPr>
    <w:rPr>
      <w:rFonts w:ascii="Arial" w:eastAsia="font473" w:hAnsi="Arial" w:cs="Arial"/>
      <w:b/>
      <w:sz w:val="24"/>
      <w:szCs w:val="24"/>
      <w:lang w:eastAsia="en-US"/>
    </w:rPr>
  </w:style>
  <w:style w:type="paragraph" w:styleId="Heading6">
    <w:name w:val="heading 6"/>
    <w:basedOn w:val="Normal"/>
    <w:next w:val="Normal"/>
    <w:qFormat/>
    <w:pPr>
      <w:keepNext/>
      <w:keepLines/>
      <w:widowControl/>
      <w:numPr>
        <w:ilvl w:val="5"/>
        <w:numId w:val="1"/>
      </w:numPr>
      <w:spacing w:before="240" w:after="120" w:line="276" w:lineRule="auto"/>
      <w:jc w:val="left"/>
      <w:textAlignment w:val="auto"/>
      <w:outlineLvl w:val="5"/>
    </w:pPr>
    <w:rPr>
      <w:rFonts w:ascii="Arial" w:eastAsia="font473" w:hAnsi="Arial" w:cs="Arial"/>
      <w:b/>
      <w:iCs/>
      <w:sz w:val="24"/>
      <w:szCs w:val="24"/>
      <w:lang w:eastAsia="en-US"/>
    </w:rPr>
  </w:style>
  <w:style w:type="paragraph" w:styleId="Heading7">
    <w:name w:val="heading 7"/>
    <w:basedOn w:val="Normal"/>
    <w:next w:val="Normal"/>
    <w:qFormat/>
    <w:pPr>
      <w:keepNext/>
      <w:keepLines/>
      <w:widowControl/>
      <w:numPr>
        <w:ilvl w:val="6"/>
        <w:numId w:val="1"/>
      </w:numPr>
      <w:spacing w:before="240" w:after="120" w:line="276" w:lineRule="auto"/>
      <w:jc w:val="left"/>
      <w:textAlignment w:val="auto"/>
      <w:outlineLvl w:val="6"/>
    </w:pPr>
    <w:rPr>
      <w:rFonts w:ascii="Arial" w:eastAsia="font473" w:hAnsi="Arial" w:cs="font473"/>
      <w:b/>
      <w:i/>
      <w:iCs/>
      <w:sz w:val="24"/>
      <w:szCs w:val="24"/>
      <w:lang w:eastAsia="en-US"/>
    </w:rPr>
  </w:style>
  <w:style w:type="paragraph" w:styleId="Heading8">
    <w:name w:val="heading 8"/>
    <w:basedOn w:val="Normal"/>
    <w:next w:val="Normal"/>
    <w:qFormat/>
    <w:pPr>
      <w:keepNext/>
      <w:keepLines/>
      <w:widowControl/>
      <w:numPr>
        <w:ilvl w:val="7"/>
        <w:numId w:val="1"/>
      </w:numPr>
      <w:spacing w:before="240" w:after="120" w:line="276" w:lineRule="auto"/>
      <w:jc w:val="left"/>
      <w:textAlignment w:val="auto"/>
      <w:outlineLvl w:val="7"/>
    </w:pPr>
    <w:rPr>
      <w:rFonts w:ascii="Arial" w:eastAsia="font473" w:hAnsi="Arial" w:cs="font473"/>
      <w:sz w:val="24"/>
      <w:szCs w:val="20"/>
      <w:lang w:eastAsia="en-US"/>
    </w:rPr>
  </w:style>
  <w:style w:type="paragraph" w:styleId="Heading9">
    <w:name w:val="heading 9"/>
    <w:basedOn w:val="Normal"/>
    <w:next w:val="Normal"/>
    <w:qFormat/>
    <w:pPr>
      <w:keepNext/>
      <w:keepLines/>
      <w:widowControl/>
      <w:numPr>
        <w:ilvl w:val="8"/>
        <w:numId w:val="1"/>
      </w:numPr>
      <w:spacing w:before="240" w:after="120" w:line="276" w:lineRule="auto"/>
      <w:jc w:val="left"/>
      <w:textAlignment w:val="auto"/>
      <w:outlineLvl w:val="8"/>
    </w:pPr>
    <w:rPr>
      <w:rFonts w:ascii="Arial" w:eastAsia="font473" w:hAnsi="Arial" w:cs="font473"/>
      <w:i/>
      <w:i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SubheadingChar">
    <w:name w:val="Subheading Char"/>
    <w:basedOn w:val="DefaultParagraphFont"/>
    <w:rPr>
      <w:rFonts w:ascii="Arial" w:hAnsi="Arial" w:cs="Arial"/>
      <w:b/>
      <w:sz w:val="28"/>
    </w:rPr>
  </w:style>
  <w:style w:type="character" w:customStyle="1" w:styleId="TitleChar">
    <w:name w:val="Title Char"/>
    <w:basedOn w:val="DefaultParagraphFont"/>
    <w:rPr>
      <w:rFonts w:eastAsia="font473"/>
      <w:b/>
      <w:spacing w:val="5"/>
      <w:sz w:val="36"/>
      <w:szCs w:val="52"/>
    </w:rPr>
  </w:style>
  <w:style w:type="character" w:customStyle="1" w:styleId="SubtitleChar">
    <w:name w:val="Subtitle Char"/>
    <w:basedOn w:val="DefaultParagraphFont"/>
    <w:rPr>
      <w:rFonts w:ascii="Arial" w:eastAsia="font473" w:hAnsi="Arial" w:cs="Arial"/>
      <w:iCs/>
      <w:spacing w:val="15"/>
      <w:sz w:val="28"/>
      <w:szCs w:val="24"/>
    </w:rPr>
  </w:style>
  <w:style w:type="character" w:customStyle="1" w:styleId="Heading1Char">
    <w:name w:val="Heading 1 Char"/>
    <w:basedOn w:val="DefaultParagraphFont"/>
    <w:rPr>
      <w:rFonts w:ascii="Arial" w:eastAsia="font473" w:hAnsi="Arial" w:cs="Arial"/>
      <w:b/>
      <w:bCs/>
      <w:sz w:val="36"/>
      <w:szCs w:val="28"/>
    </w:rPr>
  </w:style>
  <w:style w:type="character" w:customStyle="1" w:styleId="Heading2Char">
    <w:name w:val="Heading 2 Char"/>
    <w:basedOn w:val="DefaultParagraphFont"/>
    <w:rPr>
      <w:rFonts w:ascii="Times New Roman" w:eastAsia="Times New Roman" w:hAnsi="Times New Roman" w:cs="Times New Roman"/>
      <w:b/>
      <w:bCs/>
    </w:rPr>
  </w:style>
  <w:style w:type="character" w:customStyle="1" w:styleId="Heading3Char">
    <w:name w:val="Heading 3 Char"/>
    <w:basedOn w:val="DefaultParagraphFont"/>
    <w:rPr>
      <w:rFonts w:ascii="Arial" w:eastAsia="font473" w:hAnsi="Arial" w:cs="Arial"/>
      <w:b/>
      <w:bCs/>
      <w:sz w:val="24"/>
    </w:rPr>
  </w:style>
  <w:style w:type="character" w:customStyle="1" w:styleId="Heading4Char">
    <w:name w:val="Heading 4 Char"/>
    <w:basedOn w:val="DefaultParagraphFont"/>
    <w:rPr>
      <w:rFonts w:ascii="Arial" w:eastAsia="font473" w:hAnsi="Arial" w:cs="Arial"/>
      <w:b/>
      <w:bCs/>
      <w:iCs/>
      <w:sz w:val="24"/>
    </w:rPr>
  </w:style>
  <w:style w:type="character" w:customStyle="1" w:styleId="Heading5Char">
    <w:name w:val="Heading 5 Char"/>
    <w:basedOn w:val="DefaultParagraphFont"/>
    <w:rPr>
      <w:rFonts w:ascii="Arial" w:eastAsia="font473" w:hAnsi="Arial" w:cs="Arial"/>
      <w:b/>
      <w:sz w:val="24"/>
    </w:rPr>
  </w:style>
  <w:style w:type="character" w:customStyle="1" w:styleId="Heading6Char">
    <w:name w:val="Heading 6 Char"/>
    <w:basedOn w:val="DefaultParagraphFont"/>
    <w:rPr>
      <w:rFonts w:ascii="Arial" w:eastAsia="font473" w:hAnsi="Arial" w:cs="Arial"/>
      <w:b/>
      <w:iCs/>
      <w:sz w:val="24"/>
    </w:rPr>
  </w:style>
  <w:style w:type="character" w:customStyle="1" w:styleId="QuoteChar">
    <w:name w:val="Quote Char"/>
    <w:basedOn w:val="DefaultParagraphFont"/>
    <w:rPr>
      <w:rFonts w:ascii="Arial" w:hAnsi="Arial" w:cs="Arial"/>
      <w:i/>
      <w:iCs/>
      <w:color w:val="000000"/>
      <w:sz w:val="28"/>
    </w:rPr>
  </w:style>
  <w:style w:type="character" w:customStyle="1" w:styleId="QuoteChar1">
    <w:name w:val="Quote Char1"/>
    <w:basedOn w:val="DefaultParagraphFont"/>
    <w:rPr>
      <w:i/>
      <w:iCs/>
    </w:rPr>
  </w:style>
  <w:style w:type="character" w:styleId="IntenseEmphasis">
    <w:name w:val="Intense Emphasis"/>
    <w:basedOn w:val="DefaultParagraphFont"/>
    <w:qFormat/>
    <w:rPr>
      <w:b/>
      <w:bCs/>
      <w:i/>
      <w:iCs/>
      <w:color w:val="00000A"/>
    </w:rPr>
  </w:style>
  <w:style w:type="character" w:customStyle="1" w:styleId="IntenseQuoteChar">
    <w:name w:val="Intense Quote Char"/>
    <w:basedOn w:val="DefaultParagraphFont"/>
    <w:rPr>
      <w:rFonts w:ascii="Arial" w:hAnsi="Arial" w:cs="Arial"/>
      <w:b/>
      <w:bCs/>
      <w:i/>
      <w:iCs/>
      <w:sz w:val="24"/>
    </w:rPr>
  </w:style>
  <w:style w:type="character" w:styleId="SubtleReference">
    <w:name w:val="Subtle Reference"/>
    <w:basedOn w:val="DefaultParagraphFont"/>
    <w:qFormat/>
    <w:rPr>
      <w:smallCaps/>
      <w:color w:val="00000A"/>
      <w:u w:val="single"/>
    </w:rPr>
  </w:style>
  <w:style w:type="character" w:customStyle="1" w:styleId="Heading7Char">
    <w:name w:val="Heading 7 Char"/>
    <w:basedOn w:val="DefaultParagraphFont"/>
    <w:rPr>
      <w:rFonts w:ascii="Arial" w:eastAsia="font473" w:hAnsi="Arial" w:cs="font473"/>
      <w:b/>
      <w:i/>
      <w:iCs/>
      <w:sz w:val="24"/>
    </w:rPr>
  </w:style>
  <w:style w:type="character" w:customStyle="1" w:styleId="Heading8Char">
    <w:name w:val="Heading 8 Char"/>
    <w:basedOn w:val="DefaultParagraphFont"/>
    <w:rPr>
      <w:rFonts w:ascii="Arial" w:eastAsia="font473" w:hAnsi="Arial" w:cs="font473"/>
      <w:sz w:val="24"/>
      <w:szCs w:val="20"/>
    </w:rPr>
  </w:style>
  <w:style w:type="character" w:customStyle="1" w:styleId="Heading9Char">
    <w:name w:val="Heading 9 Char"/>
    <w:basedOn w:val="DefaultParagraphFont"/>
    <w:rPr>
      <w:rFonts w:ascii="Arial" w:eastAsia="font473" w:hAnsi="Arial" w:cs="font473"/>
      <w:i/>
      <w:iCs/>
      <w:sz w:val="24"/>
      <w:szCs w:val="20"/>
    </w:rPr>
  </w:style>
  <w:style w:type="character" w:styleId="IntenseReference">
    <w:name w:val="Intense Reference"/>
    <w:basedOn w:val="DefaultParagraphFont"/>
    <w:qFormat/>
    <w:rPr>
      <w:b/>
      <w:bCs/>
      <w:smallCaps/>
      <w:color w:val="00000A"/>
      <w:spacing w:val="5"/>
      <w:u w:val="single"/>
    </w:rPr>
  </w:style>
  <w:style w:type="character" w:styleId="PlaceholderText">
    <w:name w:val="Placeholder Text"/>
    <w:basedOn w:val="DefaultParagraphFont"/>
    <w:rPr>
      <w:color w:val="00000A"/>
    </w:rPr>
  </w:style>
  <w:style w:type="character" w:customStyle="1" w:styleId="PlainTextChar">
    <w:name w:val="Plain Text Char"/>
    <w:basedOn w:val="DefaultParagraphFont"/>
    <w:rPr>
      <w:rFonts w:ascii="Consolas" w:hAnsi="Consolas" w:cs="Consolas"/>
      <w:szCs w:val="21"/>
    </w:rPr>
  </w:style>
  <w:style w:type="character" w:customStyle="1" w:styleId="BodyText3Char">
    <w:name w:val="Body Text 3 Char"/>
    <w:basedOn w:val="DefaultParagraphFont"/>
    <w:rPr>
      <w:sz w:val="20"/>
      <w:szCs w:val="16"/>
    </w:rPr>
  </w:style>
  <w:style w:type="character" w:customStyle="1" w:styleId="BodyTextChar">
    <w:name w:val="Body Text Char"/>
    <w:basedOn w:val="DefaultParagraphFont"/>
  </w:style>
  <w:style w:type="character" w:customStyle="1" w:styleId="BodyTextFirstIndentChar">
    <w:name w:val="Body Text First Indent Char"/>
    <w:basedOn w:val="BodyTextChar"/>
  </w:style>
  <w:style w:type="character" w:customStyle="1" w:styleId="BodyTextIndent3Char">
    <w:name w:val="Body Text Indent 3 Char"/>
    <w:basedOn w:val="DefaultParagraphFont"/>
    <w:rPr>
      <w:sz w:val="20"/>
      <w:szCs w:val="16"/>
    </w:rPr>
  </w:style>
  <w:style w:type="character" w:customStyle="1" w:styleId="DocumentMapChar">
    <w:name w:val="Document Map Char"/>
    <w:basedOn w:val="DefaultParagraphFont"/>
    <w:rPr>
      <w:rFonts w:cs="Tahoma"/>
      <w:szCs w:val="16"/>
    </w:rPr>
  </w:style>
  <w:style w:type="character" w:customStyle="1" w:styleId="EndnoteTextChar">
    <w:name w:val="Endnote Text Char"/>
    <w:basedOn w:val="DefaultParagraphFont"/>
    <w:rPr>
      <w:szCs w:val="20"/>
    </w:rPr>
  </w:style>
  <w:style w:type="character" w:styleId="Emphasis">
    <w:name w:val="Emphasis"/>
    <w:basedOn w:val="DefaultParagraphFont"/>
    <w:qFormat/>
    <w:rPr>
      <w:i/>
      <w:iCs/>
    </w:rPr>
  </w:style>
  <w:style w:type="character" w:customStyle="1" w:styleId="MessageHeaderChar">
    <w:name w:val="Message Header Char"/>
    <w:basedOn w:val="DefaultParagraphFont"/>
    <w:rPr>
      <w:rFonts w:eastAsia="font473" w:cs="font473"/>
      <w:shd w:val="clear" w:color="auto" w:fill="CCCCCC"/>
    </w:rPr>
  </w:style>
  <w:style w:type="character" w:styleId="Hyperlink">
    <w:name w:val="Hyperlink"/>
    <w:rPr>
      <w:rFonts w:cs="Times New Roman"/>
      <w:color w:val="0000FF"/>
      <w:u w:val="single"/>
    </w:rPr>
  </w:style>
  <w:style w:type="character" w:customStyle="1" w:styleId="HeaderChar">
    <w:name w:val="Header Char"/>
    <w:basedOn w:val="DefaultParagraphFont"/>
    <w:rPr>
      <w:rFonts w:ascii="Times New Roman" w:eastAsia="Times New Roman" w:hAnsi="Times New Roman" w:cs="Times New Roman"/>
      <w:sz w:val="22"/>
      <w:szCs w:val="22"/>
      <w:lang w:eastAsia="en-GB"/>
    </w:rPr>
  </w:style>
  <w:style w:type="character" w:customStyle="1" w:styleId="FooterChar">
    <w:name w:val="Footer Char"/>
    <w:basedOn w:val="DefaultParagraphFont"/>
    <w:rPr>
      <w:rFonts w:ascii="Times New Roman" w:eastAsia="Times New Roman" w:hAnsi="Times New Roman" w:cs="Times New Roman"/>
      <w:sz w:val="22"/>
      <w:szCs w:val="22"/>
      <w:lang w:eastAsia="en-GB"/>
    </w:rPr>
  </w:style>
  <w:style w:type="character" w:customStyle="1" w:styleId="BalloonTextChar">
    <w:name w:val="Balloon Text Char"/>
    <w:basedOn w:val="DefaultParagraphFont"/>
    <w:rPr>
      <w:rFonts w:ascii="Tahoma" w:eastAsia="Times New Roman" w:hAnsi="Tahoma" w:cs="Tahoma"/>
      <w:sz w:val="16"/>
      <w:szCs w:val="16"/>
      <w:lang w:eastAsia="en-GB"/>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GB"/>
    </w:rPr>
  </w:style>
  <w:style w:type="character" w:styleId="FollowedHyperlink">
    <w:name w:val="FollowedHyperlink"/>
    <w:basedOn w:val="DefaultParagraphFont"/>
    <w:rPr>
      <w:color w:val="800080"/>
      <w:u w:val="single"/>
    </w:rPr>
  </w:style>
  <w:style w:type="character" w:customStyle="1" w:styleId="LineNumber1">
    <w:name w:val="Line Number1"/>
    <w:basedOn w:val="DefaultParagraphFont"/>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styleId="LineNumber">
    <w:name w:val="line numbe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widowControl/>
      <w:spacing w:before="120" w:after="120" w:line="276" w:lineRule="auto"/>
      <w:jc w:val="left"/>
      <w:textAlignment w:val="auto"/>
    </w:pPr>
    <w:rPr>
      <w:rFonts w:ascii="Arial" w:eastAsia="Calibri" w:hAnsi="Arial" w:cs="Arial"/>
      <w:sz w:val="24"/>
      <w:szCs w:val="24"/>
      <w:lang w:eastAsia="en-US"/>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Subheading">
    <w:name w:val="Subheading"/>
    <w:basedOn w:val="Normal"/>
    <w:next w:val="Normal"/>
    <w:pPr>
      <w:keepNext/>
      <w:widowControl/>
      <w:spacing w:before="120" w:after="0" w:line="276" w:lineRule="auto"/>
      <w:jc w:val="left"/>
      <w:textAlignment w:val="auto"/>
    </w:pPr>
    <w:rPr>
      <w:rFonts w:ascii="Arial" w:eastAsia="Calibri" w:hAnsi="Arial" w:cs="Arial"/>
      <w:b/>
      <w:sz w:val="24"/>
      <w:szCs w:val="24"/>
      <w:lang w:eastAsia="en-US"/>
    </w:rPr>
  </w:style>
  <w:style w:type="paragraph" w:customStyle="1" w:styleId="Caption1">
    <w:name w:val="Caption1"/>
    <w:basedOn w:val="Normal"/>
    <w:next w:val="Normal"/>
    <w:pPr>
      <w:widowControl/>
      <w:spacing w:before="120" w:after="0" w:line="240" w:lineRule="auto"/>
      <w:jc w:val="left"/>
      <w:textAlignment w:val="auto"/>
    </w:pPr>
    <w:rPr>
      <w:rFonts w:ascii="Arial" w:eastAsia="Calibri" w:hAnsi="Arial" w:cs="Arial"/>
      <w:b/>
      <w:bCs/>
      <w:sz w:val="24"/>
      <w:szCs w:val="18"/>
      <w:lang w:eastAsia="en-US"/>
    </w:rPr>
  </w:style>
  <w:style w:type="paragraph" w:styleId="Title">
    <w:name w:val="Title"/>
    <w:basedOn w:val="Normal"/>
    <w:next w:val="Normal"/>
    <w:qFormat/>
    <w:pPr>
      <w:keepNext/>
      <w:widowControl/>
      <w:pBdr>
        <w:top w:val="none" w:sz="0" w:space="0" w:color="000000"/>
        <w:left w:val="none" w:sz="0" w:space="0" w:color="000000"/>
        <w:bottom w:val="single" w:sz="8" w:space="4" w:color="00000A"/>
        <w:right w:val="none" w:sz="0" w:space="0" w:color="000000"/>
      </w:pBdr>
      <w:spacing w:before="240" w:after="120" w:line="240" w:lineRule="auto"/>
      <w:contextualSpacing/>
      <w:jc w:val="left"/>
      <w:textAlignment w:val="auto"/>
    </w:pPr>
    <w:rPr>
      <w:rFonts w:ascii="Arial" w:eastAsia="font473" w:hAnsi="Arial" w:cs="Arial"/>
      <w:b/>
      <w:spacing w:val="5"/>
      <w:sz w:val="36"/>
      <w:szCs w:val="52"/>
      <w:lang w:eastAsia="en-US"/>
    </w:rPr>
  </w:style>
  <w:style w:type="paragraph" w:styleId="Subtitle">
    <w:name w:val="Subtitle"/>
    <w:basedOn w:val="Normal"/>
    <w:next w:val="Normal"/>
    <w:qFormat/>
    <w:pPr>
      <w:keepNext/>
      <w:widowControl/>
      <w:spacing w:before="120" w:after="0" w:line="276" w:lineRule="auto"/>
      <w:jc w:val="left"/>
      <w:textAlignment w:val="auto"/>
    </w:pPr>
    <w:rPr>
      <w:rFonts w:ascii="Arial" w:eastAsia="font473" w:hAnsi="Arial" w:cs="Arial"/>
      <w:iCs/>
      <w:spacing w:val="15"/>
      <w:sz w:val="28"/>
      <w:szCs w:val="24"/>
      <w:lang w:eastAsia="en-US"/>
    </w:rPr>
  </w:style>
  <w:style w:type="paragraph" w:styleId="Quote">
    <w:name w:val="Quote"/>
    <w:basedOn w:val="Normal"/>
    <w:next w:val="Normal"/>
    <w:qFormat/>
    <w:pPr>
      <w:widowControl/>
      <w:spacing w:before="120" w:after="0" w:line="276" w:lineRule="auto"/>
      <w:ind w:left="794" w:right="794"/>
      <w:jc w:val="left"/>
      <w:textAlignment w:val="auto"/>
    </w:pPr>
    <w:rPr>
      <w:rFonts w:ascii="Arial" w:eastAsia="Calibri" w:hAnsi="Arial" w:cs="Arial"/>
      <w:i/>
      <w:iCs/>
      <w:sz w:val="24"/>
      <w:szCs w:val="24"/>
      <w:lang w:eastAsia="en-US"/>
    </w:rPr>
  </w:style>
  <w:style w:type="paragraph" w:styleId="ListBullet">
    <w:name w:val="List Bullet"/>
    <w:basedOn w:val="Normal"/>
    <w:pPr>
      <w:widowControl/>
      <w:spacing w:before="120" w:after="0" w:line="276" w:lineRule="auto"/>
      <w:contextualSpacing/>
      <w:jc w:val="left"/>
      <w:textAlignment w:val="auto"/>
    </w:pPr>
    <w:rPr>
      <w:rFonts w:ascii="Arial" w:eastAsia="Calibri" w:hAnsi="Arial" w:cs="Arial"/>
      <w:sz w:val="24"/>
      <w:szCs w:val="24"/>
      <w:lang w:eastAsia="en-US"/>
    </w:rPr>
  </w:style>
  <w:style w:type="paragraph" w:styleId="ListNumber">
    <w:name w:val="List Number"/>
    <w:basedOn w:val="Normal"/>
    <w:pPr>
      <w:widowControl/>
      <w:spacing w:before="120" w:after="0" w:line="276" w:lineRule="auto"/>
      <w:contextualSpacing/>
      <w:jc w:val="left"/>
      <w:textAlignment w:val="auto"/>
    </w:pPr>
    <w:rPr>
      <w:rFonts w:ascii="Arial" w:eastAsia="Calibri" w:hAnsi="Arial" w:cs="Arial"/>
      <w:sz w:val="24"/>
      <w:szCs w:val="24"/>
      <w:lang w:eastAsia="en-US"/>
    </w:rPr>
  </w:style>
  <w:style w:type="paragraph" w:customStyle="1" w:styleId="TableofFigures1">
    <w:name w:val="Table of Figures1"/>
    <w:basedOn w:val="Normal"/>
    <w:next w:val="Normal"/>
    <w:pPr>
      <w:widowControl/>
      <w:spacing w:before="120" w:after="0" w:line="276" w:lineRule="auto"/>
      <w:jc w:val="left"/>
      <w:textAlignment w:val="auto"/>
    </w:pPr>
    <w:rPr>
      <w:rFonts w:ascii="Arial" w:eastAsia="Calibri" w:hAnsi="Arial" w:cs="Arial"/>
      <w:sz w:val="24"/>
      <w:szCs w:val="24"/>
      <w:lang w:eastAsia="en-US"/>
    </w:rPr>
  </w:style>
  <w:style w:type="paragraph" w:styleId="IntenseQuote">
    <w:name w:val="Intense Quote"/>
    <w:basedOn w:val="Normal"/>
    <w:next w:val="Normal"/>
    <w:qFormat/>
    <w:pPr>
      <w:widowControl/>
      <w:pBdr>
        <w:top w:val="none" w:sz="0" w:space="0" w:color="000000"/>
        <w:left w:val="none" w:sz="0" w:space="0" w:color="000000"/>
        <w:bottom w:val="single" w:sz="4" w:space="4" w:color="4F81BD"/>
        <w:right w:val="none" w:sz="0" w:space="0" w:color="000000"/>
      </w:pBdr>
      <w:spacing w:before="200" w:after="280" w:line="276" w:lineRule="auto"/>
      <w:ind w:left="936" w:right="936"/>
      <w:jc w:val="left"/>
      <w:textAlignment w:val="auto"/>
    </w:pPr>
    <w:rPr>
      <w:rFonts w:ascii="Arial" w:eastAsia="Calibri" w:hAnsi="Arial" w:cs="Arial"/>
      <w:b/>
      <w:bCs/>
      <w:i/>
      <w:iCs/>
      <w:sz w:val="24"/>
      <w:szCs w:val="24"/>
      <w:lang w:eastAsia="en-US"/>
    </w:rPr>
  </w:style>
  <w:style w:type="paragraph" w:styleId="TOCHeading">
    <w:name w:val="TOC Heading"/>
    <w:basedOn w:val="Heading1"/>
    <w:next w:val="Normal"/>
    <w:qFormat/>
    <w:pPr>
      <w:numPr>
        <w:numId w:val="0"/>
      </w:numPr>
      <w:spacing w:before="480"/>
    </w:pPr>
    <w:rPr>
      <w:rFonts w:cs="font473"/>
      <w:sz w:val="28"/>
    </w:rPr>
  </w:style>
  <w:style w:type="paragraph" w:styleId="BlockText">
    <w:name w:val="Block Text"/>
    <w:basedOn w:val="Normal"/>
    <w:pPr>
      <w:widowControl/>
      <w:pBdr>
        <w:top w:val="single" w:sz="2" w:space="10" w:color="00000A" w:shadow="1"/>
        <w:left w:val="single" w:sz="2" w:space="10" w:color="00000A" w:shadow="1"/>
        <w:bottom w:val="single" w:sz="2" w:space="10" w:color="00000A" w:shadow="1"/>
        <w:right w:val="single" w:sz="2" w:space="10" w:color="00000A" w:shadow="1"/>
      </w:pBdr>
      <w:spacing w:before="120" w:after="0" w:line="276" w:lineRule="auto"/>
      <w:ind w:left="1152" w:right="1152"/>
      <w:jc w:val="left"/>
      <w:textAlignment w:val="auto"/>
    </w:pPr>
    <w:rPr>
      <w:rFonts w:ascii="Arial" w:eastAsia="font473" w:hAnsi="Arial" w:cs="font473"/>
      <w:i/>
      <w:iCs/>
      <w:sz w:val="24"/>
      <w:szCs w:val="24"/>
      <w:lang w:eastAsia="en-US"/>
    </w:rPr>
  </w:style>
  <w:style w:type="paragraph" w:customStyle="1" w:styleId="TOAHeading1">
    <w:name w:val="TOA Heading1"/>
    <w:basedOn w:val="Normal"/>
    <w:next w:val="Normal"/>
    <w:pPr>
      <w:widowControl/>
      <w:spacing w:before="120" w:after="0" w:line="276" w:lineRule="auto"/>
      <w:jc w:val="left"/>
      <w:textAlignment w:val="auto"/>
    </w:pPr>
    <w:rPr>
      <w:rFonts w:ascii="Arial" w:eastAsia="font473" w:hAnsi="Arial" w:cs="font473"/>
      <w:b/>
      <w:bCs/>
      <w:sz w:val="28"/>
      <w:szCs w:val="24"/>
      <w:lang w:eastAsia="en-US"/>
    </w:rPr>
  </w:style>
  <w:style w:type="paragraph" w:styleId="PlainText">
    <w:name w:val="Plain Text"/>
    <w:basedOn w:val="Normal"/>
    <w:pPr>
      <w:widowControl/>
      <w:spacing w:after="0" w:line="240" w:lineRule="auto"/>
      <w:jc w:val="left"/>
      <w:textAlignment w:val="auto"/>
    </w:pPr>
    <w:rPr>
      <w:rFonts w:ascii="Consolas" w:eastAsia="Calibri" w:hAnsi="Consolas" w:cs="Arial"/>
      <w:sz w:val="24"/>
      <w:szCs w:val="21"/>
      <w:lang w:eastAsia="en-US"/>
    </w:rPr>
  </w:style>
  <w:style w:type="paragraph" w:styleId="BodyText3">
    <w:name w:val="Body Text 3"/>
    <w:basedOn w:val="Normal"/>
    <w:pPr>
      <w:widowControl/>
      <w:spacing w:before="120" w:after="120" w:line="276" w:lineRule="auto"/>
      <w:jc w:val="left"/>
      <w:textAlignment w:val="auto"/>
    </w:pPr>
    <w:rPr>
      <w:rFonts w:ascii="Arial" w:eastAsia="Calibri" w:hAnsi="Arial" w:cs="Arial"/>
      <w:sz w:val="20"/>
      <w:szCs w:val="16"/>
      <w:lang w:eastAsia="en-US"/>
    </w:rPr>
  </w:style>
  <w:style w:type="paragraph" w:styleId="BodyTextIndent">
    <w:name w:val="Body Text Indent"/>
    <w:basedOn w:val="BodyText"/>
    <w:pPr>
      <w:spacing w:after="320"/>
      <w:ind w:firstLine="360"/>
    </w:pPr>
  </w:style>
  <w:style w:type="paragraph" w:styleId="BodyTextIndent3">
    <w:name w:val="Body Text Indent 3"/>
    <w:basedOn w:val="Normal"/>
    <w:pPr>
      <w:widowControl/>
      <w:spacing w:before="120" w:after="120" w:line="276" w:lineRule="auto"/>
      <w:ind w:left="283"/>
      <w:jc w:val="left"/>
      <w:textAlignment w:val="auto"/>
    </w:pPr>
    <w:rPr>
      <w:rFonts w:ascii="Arial" w:eastAsia="Calibri" w:hAnsi="Arial" w:cs="Arial"/>
      <w:sz w:val="20"/>
      <w:szCs w:val="16"/>
      <w:lang w:eastAsia="en-US"/>
    </w:rPr>
  </w:style>
  <w:style w:type="paragraph" w:styleId="DocumentMap">
    <w:name w:val="Document Map"/>
    <w:basedOn w:val="Normal"/>
    <w:pPr>
      <w:widowControl/>
      <w:spacing w:after="0" w:line="240" w:lineRule="auto"/>
      <w:jc w:val="left"/>
      <w:textAlignment w:val="auto"/>
    </w:pPr>
    <w:rPr>
      <w:rFonts w:ascii="Arial" w:eastAsia="Calibri" w:hAnsi="Arial" w:cs="Tahoma"/>
      <w:sz w:val="24"/>
      <w:szCs w:val="16"/>
      <w:lang w:eastAsia="en-US"/>
    </w:rPr>
  </w:style>
  <w:style w:type="paragraph" w:customStyle="1" w:styleId="EndnoteText1">
    <w:name w:val="Endnote Text1"/>
    <w:basedOn w:val="Normal"/>
    <w:pPr>
      <w:widowControl/>
      <w:spacing w:after="0" w:line="240" w:lineRule="auto"/>
      <w:jc w:val="left"/>
      <w:textAlignment w:val="auto"/>
    </w:pPr>
    <w:rPr>
      <w:rFonts w:ascii="Arial" w:eastAsia="Calibri" w:hAnsi="Arial" w:cs="Arial"/>
      <w:sz w:val="24"/>
      <w:szCs w:val="20"/>
      <w:lang w:eastAsia="en-US"/>
    </w:rPr>
  </w:style>
  <w:style w:type="paragraph" w:customStyle="1" w:styleId="EnvelopeReturn1">
    <w:name w:val="Envelope Return1"/>
    <w:basedOn w:val="Normal"/>
    <w:pPr>
      <w:widowControl/>
      <w:spacing w:after="0" w:line="240" w:lineRule="auto"/>
      <w:jc w:val="left"/>
      <w:textAlignment w:val="auto"/>
    </w:pPr>
    <w:rPr>
      <w:rFonts w:ascii="Arial" w:eastAsia="font473" w:hAnsi="Arial" w:cs="font473"/>
      <w:sz w:val="24"/>
      <w:szCs w:val="20"/>
      <w:lang w:eastAsia="en-US"/>
    </w:rPr>
  </w:style>
  <w:style w:type="paragraph" w:styleId="MessageHeader">
    <w:name w:val="Message Header"/>
    <w:basedOn w:val="Normal"/>
    <w:pPr>
      <w:widowControl/>
      <w:pBdr>
        <w:top w:val="single" w:sz="6" w:space="1" w:color="00000A"/>
        <w:left w:val="single" w:sz="6" w:space="1" w:color="00000A"/>
        <w:bottom w:val="single" w:sz="6" w:space="1" w:color="00000A"/>
        <w:right w:val="single" w:sz="6" w:space="1" w:color="00000A"/>
      </w:pBdr>
      <w:shd w:val="clear" w:color="auto" w:fill="CCCCCC"/>
      <w:spacing w:after="0" w:line="240" w:lineRule="auto"/>
      <w:ind w:left="1134" w:hanging="1134"/>
      <w:jc w:val="left"/>
      <w:textAlignment w:val="auto"/>
    </w:pPr>
    <w:rPr>
      <w:rFonts w:ascii="Arial" w:eastAsia="font473" w:hAnsi="Arial" w:cs="font473"/>
      <w:sz w:val="24"/>
      <w:szCs w:val="24"/>
      <w:lang w:eastAsia="en-US"/>
    </w:rPr>
  </w:style>
  <w:style w:type="paragraph" w:styleId="NoSpacing">
    <w:name w:val="No Spacing"/>
    <w:qFormat/>
    <w:pPr>
      <w:suppressAutoHyphens/>
    </w:pPr>
    <w:rPr>
      <w:rFonts w:ascii="Arial" w:eastAsia="Calibri" w:hAnsi="Arial" w:cs="Arial"/>
      <w:kern w:val="1"/>
      <w:sz w:val="22"/>
      <w:szCs w:val="24"/>
      <w:lang w:eastAsia="en-US"/>
    </w:rPr>
  </w:style>
  <w:style w:type="paragraph" w:styleId="NormalWeb">
    <w:name w:val="Normal (Web)"/>
    <w:basedOn w:val="Normal"/>
    <w:pPr>
      <w:widowControl/>
      <w:spacing w:before="120" w:after="0" w:line="276" w:lineRule="auto"/>
      <w:jc w:val="left"/>
      <w:textAlignment w:val="auto"/>
    </w:pPr>
    <w:rPr>
      <w:rFonts w:ascii="Arial" w:eastAsia="Calibri" w:hAnsi="Arial" w:cs="Arial"/>
      <w:sz w:val="24"/>
      <w:szCs w:val="24"/>
      <w:lang w:eastAsia="en-US"/>
    </w:rPr>
  </w:style>
  <w:style w:type="paragraph" w:customStyle="1" w:styleId="Index11">
    <w:name w:val="Index 11"/>
    <w:basedOn w:val="Normal"/>
    <w:next w:val="Normal"/>
    <w:pPr>
      <w:widowControl/>
      <w:spacing w:after="0" w:line="240" w:lineRule="auto"/>
      <w:ind w:left="240" w:hanging="240"/>
      <w:jc w:val="left"/>
      <w:textAlignment w:val="auto"/>
    </w:pPr>
    <w:rPr>
      <w:rFonts w:ascii="Arial" w:eastAsia="Calibri" w:hAnsi="Arial" w:cs="Arial"/>
      <w:sz w:val="24"/>
      <w:szCs w:val="24"/>
      <w:lang w:eastAsia="en-US"/>
    </w:rPr>
  </w:style>
  <w:style w:type="paragraph" w:customStyle="1" w:styleId="IndexHeading1">
    <w:name w:val="Index Heading1"/>
    <w:basedOn w:val="Normal"/>
    <w:pPr>
      <w:widowControl/>
      <w:spacing w:before="120" w:after="0" w:line="276" w:lineRule="auto"/>
      <w:jc w:val="left"/>
      <w:textAlignment w:val="auto"/>
    </w:pPr>
    <w:rPr>
      <w:rFonts w:ascii="Arial" w:eastAsia="font473" w:hAnsi="Arial" w:cs="font473"/>
      <w:b/>
      <w:bCs/>
      <w:sz w:val="24"/>
      <w:szCs w:val="24"/>
      <w:lang w:eastAsia="en-US"/>
    </w:rPr>
  </w:style>
  <w:style w:type="paragraph" w:customStyle="1" w:styleId="BodyText21">
    <w:name w:val="Body Text 21"/>
    <w:basedOn w:val="Normal"/>
    <w:pPr>
      <w:spacing w:line="360" w:lineRule="atLeast"/>
      <w:jc w:val="center"/>
    </w:pPr>
    <w:rPr>
      <w:rFonts w:ascii="Arial" w:hAnsi="Arial" w:cs="Arial"/>
      <w:sz w:val="24"/>
    </w:rPr>
  </w:style>
  <w:style w:type="paragraph" w:styleId="ListParagraph">
    <w:name w:val="List Paragraph"/>
    <w:basedOn w:val="Normal"/>
    <w:qFormat/>
    <w:pPr>
      <w:ind w:left="720"/>
      <w:contextualSpacing/>
    </w:pPr>
  </w:style>
  <w:style w:type="paragraph" w:styleId="Header">
    <w:name w:val="header"/>
    <w:basedOn w:val="Normal"/>
    <w:pPr>
      <w:suppressLineNumbers/>
      <w:tabs>
        <w:tab w:val="center" w:pos="4513"/>
        <w:tab w:val="right" w:pos="9026"/>
      </w:tabs>
      <w:spacing w:after="0" w:line="240" w:lineRule="auto"/>
    </w:pPr>
  </w:style>
  <w:style w:type="paragraph" w:styleId="Footer">
    <w:name w:val="footer"/>
    <w:basedOn w:val="Normal"/>
    <w:pPr>
      <w:suppressLineNumbers/>
      <w:tabs>
        <w:tab w:val="center" w:pos="4513"/>
        <w:tab w:val="right" w:pos="9026"/>
      </w:tabs>
      <w:spacing w:after="0" w:line="240" w:lineRule="auto"/>
    </w:pPr>
  </w:style>
  <w:style w:type="paragraph" w:styleId="BalloonText">
    <w:name w:val="Balloon Text"/>
    <w:basedOn w:val="Normal"/>
    <w:pPr>
      <w:spacing w:after="0" w:line="240" w:lineRule="auto"/>
    </w:pPr>
    <w:rPr>
      <w:rFonts w:ascii="Tahoma" w:hAnsi="Tahoma" w:cs="Tahoma"/>
      <w:sz w:val="16"/>
      <w:szCs w:val="16"/>
    </w:rPr>
  </w:style>
  <w:style w:type="paragraph" w:customStyle="1" w:styleId="CommentText1">
    <w:name w:val="Comment Text1"/>
    <w:basedOn w:val="Normal"/>
    <w:pPr>
      <w:spacing w:line="240" w:lineRule="auto"/>
    </w:pPr>
    <w:rPr>
      <w:sz w:val="20"/>
      <w:szCs w:val="20"/>
    </w:rPr>
  </w:style>
  <w:style w:type="paragraph" w:customStyle="1" w:styleId="CommentSubject1">
    <w:name w:val="Comment Subject1"/>
    <w:basedOn w:val="CommentText1"/>
    <w:rPr>
      <w:b/>
      <w:bCs/>
    </w:rPr>
  </w:style>
  <w:style w:type="paragraph" w:styleId="Revision">
    <w:name w:val="Revision"/>
    <w:pPr>
      <w:suppressAutoHyphens/>
    </w:pPr>
    <w:rPr>
      <w:kern w:val="1"/>
      <w:sz w:val="22"/>
      <w:szCs w:val="22"/>
    </w:rPr>
  </w:style>
  <w:style w:type="paragraph" w:customStyle="1" w:styleId="Default">
    <w:name w:val="Default"/>
    <w:pPr>
      <w:suppressAutoHyphens/>
    </w:pPr>
    <w:rPr>
      <w:rFonts w:eastAsia="Calibri"/>
      <w:color w:val="000000"/>
      <w:kern w:val="1"/>
      <w:sz w:val="22"/>
      <w:szCs w:val="24"/>
      <w:lang w:eastAsia="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basedOn w:val="DefaultParagraphFont"/>
    <w:uiPriority w:val="99"/>
    <w:semiHidden/>
    <w:unhideWhenUsed/>
    <w:rsid w:val="007B35D3"/>
    <w:rPr>
      <w:sz w:val="16"/>
      <w:szCs w:val="16"/>
    </w:rPr>
  </w:style>
  <w:style w:type="paragraph" w:styleId="CommentText">
    <w:name w:val="annotation text"/>
    <w:basedOn w:val="Normal"/>
    <w:link w:val="CommentTextChar1"/>
    <w:uiPriority w:val="99"/>
    <w:semiHidden/>
    <w:unhideWhenUsed/>
    <w:rsid w:val="007B35D3"/>
    <w:pPr>
      <w:spacing w:line="240" w:lineRule="auto"/>
    </w:pPr>
    <w:rPr>
      <w:sz w:val="20"/>
      <w:szCs w:val="20"/>
    </w:rPr>
  </w:style>
  <w:style w:type="character" w:customStyle="1" w:styleId="CommentTextChar1">
    <w:name w:val="Comment Text Char1"/>
    <w:basedOn w:val="DefaultParagraphFont"/>
    <w:link w:val="CommentText"/>
    <w:uiPriority w:val="99"/>
    <w:semiHidden/>
    <w:rsid w:val="007B35D3"/>
    <w:rPr>
      <w:kern w:val="1"/>
    </w:rPr>
  </w:style>
  <w:style w:type="paragraph" w:styleId="CommentSubject">
    <w:name w:val="annotation subject"/>
    <w:basedOn w:val="CommentText"/>
    <w:next w:val="CommentText"/>
    <w:link w:val="CommentSubjectChar1"/>
    <w:uiPriority w:val="99"/>
    <w:semiHidden/>
    <w:unhideWhenUsed/>
    <w:rsid w:val="007B35D3"/>
    <w:rPr>
      <w:b/>
      <w:bCs/>
    </w:rPr>
  </w:style>
  <w:style w:type="character" w:customStyle="1" w:styleId="CommentSubjectChar1">
    <w:name w:val="Comment Subject Char1"/>
    <w:basedOn w:val="CommentTextChar1"/>
    <w:link w:val="CommentSubject"/>
    <w:uiPriority w:val="99"/>
    <w:semiHidden/>
    <w:rsid w:val="007B35D3"/>
    <w:rPr>
      <w:b/>
      <w:bC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mi.is/en/ny-geoida-fyrir-islan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j.l.carrivick@leeds.ac.uk"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9586</Words>
  <Characters>54644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Carrivick</dc:creator>
  <cp:keywords/>
  <dc:description/>
  <cp:lastModifiedBy>JOHNSON Paul</cp:lastModifiedBy>
  <cp:revision>2</cp:revision>
  <cp:lastPrinted>1900-01-01T00:00:00Z</cp:lastPrinted>
  <dcterms:created xsi:type="dcterms:W3CDTF">2017-02-07T14:27:00Z</dcterms:created>
  <dcterms:modified xsi:type="dcterms:W3CDTF">2017-02-07T14:27:00Z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Leeds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