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3B0" w:rsidRPr="00F77F70" w:rsidRDefault="008F13B0" w:rsidP="00E168B5">
      <w:pPr>
        <w:spacing w:line="360" w:lineRule="auto"/>
        <w:jc w:val="both"/>
        <w:rPr>
          <w:b/>
          <w:bCs/>
          <w:sz w:val="24"/>
          <w:szCs w:val="24"/>
        </w:rPr>
      </w:pPr>
      <w:r w:rsidRPr="00F77F70">
        <w:rPr>
          <w:b/>
          <w:bCs/>
          <w:sz w:val="24"/>
          <w:szCs w:val="24"/>
        </w:rPr>
        <w:t xml:space="preserve">Article type:  Nutrition in clinical care </w:t>
      </w:r>
    </w:p>
    <w:p w:rsidR="008F13B0" w:rsidRPr="00F77F70" w:rsidRDefault="008F13B0" w:rsidP="00D1500E">
      <w:pPr>
        <w:spacing w:line="360" w:lineRule="auto"/>
        <w:jc w:val="center"/>
        <w:rPr>
          <w:b/>
          <w:bCs/>
          <w:sz w:val="24"/>
          <w:szCs w:val="24"/>
        </w:rPr>
      </w:pPr>
      <w:r w:rsidRPr="00F77F70">
        <w:rPr>
          <w:b/>
          <w:bCs/>
          <w:sz w:val="24"/>
          <w:szCs w:val="24"/>
        </w:rPr>
        <w:t>Does adipose tissue mass positively or negatively influence bone mass in an overweight or obese population? A syst</w:t>
      </w:r>
      <w:r w:rsidR="002309EB">
        <w:rPr>
          <w:b/>
          <w:bCs/>
          <w:sz w:val="24"/>
          <w:szCs w:val="24"/>
        </w:rPr>
        <w:t>ematic review and meta-analysis</w:t>
      </w:r>
    </w:p>
    <w:p w:rsidR="008F13B0" w:rsidRPr="00F77F70" w:rsidRDefault="008F13B0" w:rsidP="00D1500E">
      <w:pPr>
        <w:spacing w:line="360" w:lineRule="auto"/>
        <w:jc w:val="center"/>
        <w:rPr>
          <w:i/>
          <w:iCs/>
          <w:sz w:val="24"/>
          <w:szCs w:val="24"/>
        </w:rPr>
      </w:pPr>
      <w:proofErr w:type="spellStart"/>
      <w:r w:rsidRPr="00F77F70">
        <w:rPr>
          <w:i/>
          <w:iCs/>
          <w:sz w:val="24"/>
          <w:szCs w:val="24"/>
        </w:rPr>
        <w:t>Eimear</w:t>
      </w:r>
      <w:proofErr w:type="spellEnd"/>
      <w:r w:rsidRPr="00F77F70">
        <w:rPr>
          <w:i/>
          <w:iCs/>
          <w:sz w:val="24"/>
          <w:szCs w:val="24"/>
        </w:rPr>
        <w:t xml:space="preserve"> Dolan</w:t>
      </w:r>
      <w:r w:rsidRPr="00F77F70">
        <w:rPr>
          <w:i/>
          <w:iCs/>
          <w:sz w:val="24"/>
          <w:szCs w:val="24"/>
          <w:vertAlign w:val="superscript"/>
        </w:rPr>
        <w:t>1</w:t>
      </w:r>
      <w:r w:rsidRPr="00F77F70">
        <w:rPr>
          <w:i/>
          <w:iCs/>
          <w:sz w:val="24"/>
          <w:szCs w:val="24"/>
        </w:rPr>
        <w:t>,</w:t>
      </w:r>
      <w:r w:rsidR="00ED706F" w:rsidRPr="00ED706F">
        <w:rPr>
          <w:i/>
          <w:iCs/>
          <w:sz w:val="24"/>
          <w:szCs w:val="24"/>
        </w:rPr>
        <w:t xml:space="preserve"> </w:t>
      </w:r>
      <w:r w:rsidR="00ED706F">
        <w:rPr>
          <w:i/>
          <w:iCs/>
          <w:sz w:val="24"/>
          <w:szCs w:val="24"/>
        </w:rPr>
        <w:t>Paul A. Swinton</w:t>
      </w:r>
      <w:r w:rsidR="00ED706F">
        <w:rPr>
          <w:i/>
          <w:iCs/>
          <w:sz w:val="24"/>
          <w:szCs w:val="24"/>
          <w:vertAlign w:val="superscript"/>
        </w:rPr>
        <w:t>2</w:t>
      </w:r>
      <w:r w:rsidR="00ED706F">
        <w:rPr>
          <w:i/>
          <w:iCs/>
          <w:sz w:val="24"/>
          <w:szCs w:val="24"/>
        </w:rPr>
        <w:t>, Craig Sale</w:t>
      </w:r>
      <w:r w:rsidR="00ED706F" w:rsidRPr="00ED706F">
        <w:rPr>
          <w:i/>
          <w:iCs/>
          <w:sz w:val="24"/>
          <w:szCs w:val="24"/>
          <w:vertAlign w:val="superscript"/>
        </w:rPr>
        <w:t>3</w:t>
      </w:r>
      <w:r w:rsidR="00ED706F">
        <w:rPr>
          <w:i/>
          <w:iCs/>
          <w:sz w:val="24"/>
          <w:szCs w:val="24"/>
        </w:rPr>
        <w:t xml:space="preserve">, </w:t>
      </w:r>
      <w:proofErr w:type="spellStart"/>
      <w:r w:rsidRPr="00F77F70">
        <w:rPr>
          <w:i/>
          <w:iCs/>
          <w:sz w:val="24"/>
          <w:szCs w:val="24"/>
        </w:rPr>
        <w:t>Aoife</w:t>
      </w:r>
      <w:proofErr w:type="spellEnd"/>
      <w:r w:rsidRPr="00F77F70">
        <w:rPr>
          <w:i/>
          <w:iCs/>
          <w:sz w:val="24"/>
          <w:szCs w:val="24"/>
        </w:rPr>
        <w:t xml:space="preserve"> Healy</w:t>
      </w:r>
      <w:r w:rsidR="00ED706F">
        <w:rPr>
          <w:i/>
          <w:iCs/>
          <w:sz w:val="24"/>
          <w:szCs w:val="24"/>
          <w:vertAlign w:val="superscript"/>
        </w:rPr>
        <w:t>4</w:t>
      </w:r>
      <w:r w:rsidRPr="00F77F70">
        <w:rPr>
          <w:i/>
          <w:iCs/>
          <w:sz w:val="24"/>
          <w:szCs w:val="24"/>
        </w:rPr>
        <w:t xml:space="preserve">, John </w:t>
      </w:r>
      <w:proofErr w:type="gramStart"/>
      <w:r w:rsidRPr="00F77F70">
        <w:rPr>
          <w:i/>
          <w:iCs/>
          <w:sz w:val="24"/>
          <w:szCs w:val="24"/>
        </w:rPr>
        <w:t>O’Reilly</w:t>
      </w:r>
      <w:r w:rsidR="00ED706F">
        <w:rPr>
          <w:i/>
          <w:iCs/>
          <w:sz w:val="24"/>
          <w:szCs w:val="24"/>
          <w:vertAlign w:val="superscript"/>
        </w:rPr>
        <w:t>5</w:t>
      </w:r>
      <w:proofErr w:type="gramEnd"/>
      <w:r w:rsidRPr="00F77F70">
        <w:rPr>
          <w:i/>
          <w:iCs/>
          <w:sz w:val="24"/>
          <w:szCs w:val="24"/>
        </w:rPr>
        <w:t xml:space="preserve"> </w:t>
      </w:r>
    </w:p>
    <w:p w:rsidR="008F13B0" w:rsidRDefault="00ED706F" w:rsidP="00ED706F">
      <w:pPr>
        <w:spacing w:line="360" w:lineRule="auto"/>
        <w:rPr>
          <w:sz w:val="24"/>
          <w:szCs w:val="24"/>
        </w:rPr>
      </w:pPr>
      <w:r>
        <w:rPr>
          <w:sz w:val="24"/>
          <w:szCs w:val="24"/>
        </w:rPr>
        <w:t xml:space="preserve">1: </w:t>
      </w:r>
      <w:r w:rsidR="008F13B0" w:rsidRPr="00F77F70">
        <w:rPr>
          <w:sz w:val="24"/>
          <w:szCs w:val="24"/>
        </w:rPr>
        <w:t xml:space="preserve">Applied Physiology &amp; Nutrition Research Group, University of </w:t>
      </w:r>
      <w:r w:rsidR="00E74B16" w:rsidRPr="00E74B16">
        <w:rPr>
          <w:rStyle w:val="Emphasis"/>
          <w:rFonts w:asciiTheme="minorHAnsi" w:hAnsiTheme="minorHAnsi" w:cstheme="minorHAnsi"/>
          <w:bCs/>
          <w:i w:val="0"/>
          <w:iCs w:val="0"/>
          <w:sz w:val="24"/>
          <w:szCs w:val="24"/>
          <w:shd w:val="clear" w:color="auto" w:fill="FFFFFF"/>
        </w:rPr>
        <w:t>São Paulo</w:t>
      </w:r>
      <w:r w:rsidR="008F13B0" w:rsidRPr="00F77F70">
        <w:rPr>
          <w:sz w:val="24"/>
          <w:szCs w:val="24"/>
        </w:rPr>
        <w:t xml:space="preserve">, </w:t>
      </w:r>
      <w:r w:rsidR="00E74B16" w:rsidRPr="00E74B16">
        <w:rPr>
          <w:rStyle w:val="Emphasis"/>
          <w:rFonts w:asciiTheme="minorHAnsi" w:hAnsiTheme="minorHAnsi" w:cstheme="minorHAnsi"/>
          <w:bCs/>
          <w:i w:val="0"/>
          <w:iCs w:val="0"/>
          <w:sz w:val="24"/>
          <w:szCs w:val="24"/>
          <w:shd w:val="clear" w:color="auto" w:fill="FFFFFF"/>
        </w:rPr>
        <w:t>São Paulo</w:t>
      </w:r>
      <w:r w:rsidR="008F13B0" w:rsidRPr="00F77F70">
        <w:rPr>
          <w:sz w:val="24"/>
          <w:szCs w:val="24"/>
        </w:rPr>
        <w:t xml:space="preserve">, Brazil. </w:t>
      </w:r>
    </w:p>
    <w:p w:rsidR="00ED706F" w:rsidRPr="00F77F70" w:rsidRDefault="00ED706F" w:rsidP="00ED706F">
      <w:pPr>
        <w:spacing w:line="360" w:lineRule="auto"/>
        <w:rPr>
          <w:sz w:val="24"/>
          <w:szCs w:val="24"/>
        </w:rPr>
      </w:pPr>
      <w:r>
        <w:rPr>
          <w:sz w:val="24"/>
          <w:szCs w:val="24"/>
        </w:rPr>
        <w:t xml:space="preserve">2: </w:t>
      </w:r>
      <w:r w:rsidRPr="00F77F70">
        <w:rPr>
          <w:sz w:val="24"/>
          <w:szCs w:val="24"/>
        </w:rPr>
        <w:t xml:space="preserve">School of Health Sciences, Robert Gordon University, Aberdeen, UK. </w:t>
      </w:r>
    </w:p>
    <w:p w:rsidR="00ED706F" w:rsidRPr="00F77F70" w:rsidRDefault="00ED706F" w:rsidP="00ED706F">
      <w:pPr>
        <w:spacing w:line="360" w:lineRule="auto"/>
        <w:rPr>
          <w:sz w:val="24"/>
          <w:szCs w:val="24"/>
        </w:rPr>
      </w:pPr>
      <w:r>
        <w:rPr>
          <w:sz w:val="24"/>
          <w:szCs w:val="24"/>
        </w:rPr>
        <w:t xml:space="preserve">3: </w:t>
      </w:r>
      <w:r w:rsidRPr="00F77F70">
        <w:rPr>
          <w:color w:val="000000"/>
          <w:sz w:val="24"/>
          <w:szCs w:val="24"/>
          <w:shd w:val="clear" w:color="auto" w:fill="FFFFFF"/>
        </w:rPr>
        <w:t>Sport, Health and Performance Enhancement Research Centre, School of Science and Technology, Nottingham Trent University Nottingham, UK</w:t>
      </w:r>
      <w:r w:rsidRPr="00F77F70">
        <w:rPr>
          <w:sz w:val="24"/>
          <w:szCs w:val="24"/>
        </w:rPr>
        <w:t>.</w:t>
      </w:r>
    </w:p>
    <w:p w:rsidR="008F13B0" w:rsidRPr="00F77F70" w:rsidRDefault="00ED706F" w:rsidP="00ED706F">
      <w:pPr>
        <w:spacing w:line="360" w:lineRule="auto"/>
        <w:rPr>
          <w:sz w:val="24"/>
          <w:szCs w:val="24"/>
        </w:rPr>
      </w:pPr>
      <w:r>
        <w:rPr>
          <w:sz w:val="24"/>
          <w:szCs w:val="24"/>
        </w:rPr>
        <w:t xml:space="preserve">4: </w:t>
      </w:r>
      <w:r w:rsidR="008F13B0" w:rsidRPr="00F77F70">
        <w:rPr>
          <w:sz w:val="24"/>
          <w:szCs w:val="24"/>
        </w:rPr>
        <w:t xml:space="preserve">CSHER, </w:t>
      </w:r>
      <w:r w:rsidR="00AC21A8">
        <w:rPr>
          <w:sz w:val="24"/>
          <w:szCs w:val="24"/>
        </w:rPr>
        <w:t>School of Life Sciences and Education</w:t>
      </w:r>
      <w:r w:rsidR="008F13B0" w:rsidRPr="00F77F70">
        <w:rPr>
          <w:sz w:val="24"/>
          <w:szCs w:val="24"/>
        </w:rPr>
        <w:t>, Staffordshire University, Stoke on Trent, UK.</w:t>
      </w:r>
    </w:p>
    <w:p w:rsidR="008F13B0" w:rsidRPr="00F77F70" w:rsidRDefault="00ED706F" w:rsidP="00ED706F">
      <w:pPr>
        <w:spacing w:line="360" w:lineRule="auto"/>
        <w:rPr>
          <w:sz w:val="24"/>
          <w:szCs w:val="24"/>
        </w:rPr>
      </w:pPr>
      <w:r>
        <w:rPr>
          <w:sz w:val="24"/>
          <w:szCs w:val="24"/>
        </w:rPr>
        <w:t>5:</w:t>
      </w:r>
      <w:r w:rsidR="008F13B0" w:rsidRPr="00F77F70">
        <w:rPr>
          <w:sz w:val="24"/>
          <w:szCs w:val="24"/>
        </w:rPr>
        <w:t xml:space="preserve"> Department of Sport Science and Physical Education, Chinese University of Hong Kong, Hong Kong.</w:t>
      </w:r>
    </w:p>
    <w:p w:rsidR="008F13B0" w:rsidRPr="00F77F70" w:rsidRDefault="008F13B0" w:rsidP="00D1500E">
      <w:pPr>
        <w:spacing w:line="360" w:lineRule="auto"/>
        <w:jc w:val="both"/>
        <w:rPr>
          <w:sz w:val="24"/>
          <w:szCs w:val="24"/>
        </w:rPr>
      </w:pPr>
      <w:r w:rsidRPr="00F77F70">
        <w:rPr>
          <w:b/>
          <w:bCs/>
          <w:sz w:val="24"/>
          <w:szCs w:val="24"/>
        </w:rPr>
        <w:t>Running Title:</w:t>
      </w:r>
      <w:r w:rsidRPr="00F77F70">
        <w:rPr>
          <w:sz w:val="24"/>
          <w:szCs w:val="24"/>
        </w:rPr>
        <w:t xml:space="preserve"> Adiposity and Bone</w:t>
      </w:r>
    </w:p>
    <w:p w:rsidR="008F13B0" w:rsidRPr="00F77F70" w:rsidRDefault="008F13B0" w:rsidP="00D1500E">
      <w:pPr>
        <w:spacing w:line="360" w:lineRule="auto"/>
        <w:jc w:val="both"/>
        <w:rPr>
          <w:b/>
          <w:bCs/>
          <w:sz w:val="24"/>
          <w:szCs w:val="24"/>
        </w:rPr>
      </w:pPr>
      <w:r w:rsidRPr="00F77F70">
        <w:rPr>
          <w:b/>
          <w:bCs/>
          <w:sz w:val="24"/>
          <w:szCs w:val="24"/>
        </w:rPr>
        <w:t xml:space="preserve">Corresponding Author: </w:t>
      </w:r>
    </w:p>
    <w:p w:rsidR="008F13B0" w:rsidRPr="00F77F70" w:rsidRDefault="008F13B0" w:rsidP="00D1500E">
      <w:pPr>
        <w:spacing w:line="360" w:lineRule="auto"/>
        <w:jc w:val="both"/>
        <w:rPr>
          <w:sz w:val="24"/>
          <w:szCs w:val="24"/>
        </w:rPr>
      </w:pPr>
      <w:r w:rsidRPr="00F77F70">
        <w:rPr>
          <w:sz w:val="24"/>
          <w:szCs w:val="24"/>
        </w:rPr>
        <w:t xml:space="preserve">Dr. </w:t>
      </w:r>
      <w:proofErr w:type="spellStart"/>
      <w:r w:rsidRPr="00F77F70">
        <w:rPr>
          <w:sz w:val="24"/>
          <w:szCs w:val="24"/>
        </w:rPr>
        <w:t>Eimear</w:t>
      </w:r>
      <w:proofErr w:type="spellEnd"/>
      <w:r w:rsidRPr="00F77F70">
        <w:rPr>
          <w:sz w:val="24"/>
          <w:szCs w:val="24"/>
        </w:rPr>
        <w:t xml:space="preserve"> Dolan: Postdoctoral Research </w:t>
      </w:r>
      <w:proofErr w:type="gramStart"/>
      <w:r w:rsidRPr="00F77F70">
        <w:rPr>
          <w:sz w:val="24"/>
          <w:szCs w:val="24"/>
        </w:rPr>
        <w:t>Fellow,</w:t>
      </w:r>
      <w:proofErr w:type="gramEnd"/>
      <w:r w:rsidRPr="00F77F70">
        <w:rPr>
          <w:sz w:val="24"/>
          <w:szCs w:val="24"/>
        </w:rPr>
        <w:t xml:space="preserve"> Applied Physiology &amp; Nutrition Research Group, University of </w:t>
      </w:r>
      <w:r w:rsidR="00C940D2" w:rsidRPr="00E74B16">
        <w:rPr>
          <w:rStyle w:val="Emphasis"/>
          <w:rFonts w:asciiTheme="minorHAnsi" w:hAnsiTheme="minorHAnsi" w:cstheme="minorHAnsi"/>
          <w:bCs/>
          <w:i w:val="0"/>
          <w:iCs w:val="0"/>
          <w:sz w:val="24"/>
          <w:szCs w:val="24"/>
          <w:shd w:val="clear" w:color="auto" w:fill="FFFFFF"/>
        </w:rPr>
        <w:t>São Paulo</w:t>
      </w:r>
      <w:r w:rsidRPr="00F77F70">
        <w:rPr>
          <w:sz w:val="24"/>
          <w:szCs w:val="24"/>
        </w:rPr>
        <w:t xml:space="preserve">, </w:t>
      </w:r>
      <w:r w:rsidR="00C940D2" w:rsidRPr="00E74B16">
        <w:rPr>
          <w:rStyle w:val="Emphasis"/>
          <w:rFonts w:asciiTheme="minorHAnsi" w:hAnsiTheme="minorHAnsi" w:cstheme="minorHAnsi"/>
          <w:bCs/>
          <w:i w:val="0"/>
          <w:iCs w:val="0"/>
          <w:sz w:val="24"/>
          <w:szCs w:val="24"/>
          <w:shd w:val="clear" w:color="auto" w:fill="FFFFFF"/>
        </w:rPr>
        <w:t>São Paulo</w:t>
      </w:r>
      <w:r w:rsidRPr="00F77F70">
        <w:rPr>
          <w:sz w:val="24"/>
          <w:szCs w:val="24"/>
        </w:rPr>
        <w:t xml:space="preserve">, Brazil. </w:t>
      </w:r>
      <w:r w:rsidRPr="00F77F70">
        <w:rPr>
          <w:b/>
          <w:bCs/>
          <w:sz w:val="24"/>
          <w:szCs w:val="24"/>
        </w:rPr>
        <w:t>Email:</w:t>
      </w:r>
      <w:r w:rsidRPr="00F77F70">
        <w:rPr>
          <w:sz w:val="24"/>
          <w:szCs w:val="24"/>
        </w:rPr>
        <w:t xml:space="preserve"> eimeardol@gmail.com</w:t>
      </w:r>
    </w:p>
    <w:p w:rsidR="008F13B0" w:rsidRPr="00F77F70" w:rsidRDefault="008F13B0" w:rsidP="00D1500E">
      <w:pPr>
        <w:spacing w:line="360" w:lineRule="auto"/>
        <w:jc w:val="both"/>
        <w:rPr>
          <w:b/>
          <w:bCs/>
          <w:sz w:val="24"/>
          <w:szCs w:val="24"/>
        </w:rPr>
      </w:pPr>
    </w:p>
    <w:p w:rsidR="008F13B0" w:rsidRPr="00F77F70" w:rsidRDefault="008F13B0" w:rsidP="00D1500E">
      <w:pPr>
        <w:spacing w:line="360" w:lineRule="auto"/>
        <w:jc w:val="both"/>
        <w:rPr>
          <w:b/>
          <w:bCs/>
          <w:sz w:val="24"/>
          <w:szCs w:val="24"/>
        </w:rPr>
      </w:pPr>
    </w:p>
    <w:p w:rsidR="008F13B0" w:rsidRPr="00F77F70" w:rsidRDefault="008F13B0" w:rsidP="00D1500E">
      <w:pPr>
        <w:spacing w:line="360" w:lineRule="auto"/>
        <w:jc w:val="both"/>
        <w:rPr>
          <w:b/>
          <w:bCs/>
          <w:sz w:val="24"/>
          <w:szCs w:val="24"/>
        </w:rPr>
      </w:pPr>
    </w:p>
    <w:p w:rsidR="008F13B0" w:rsidRPr="00F77F70" w:rsidRDefault="008F13B0" w:rsidP="00D1500E">
      <w:pPr>
        <w:spacing w:line="360" w:lineRule="auto"/>
        <w:jc w:val="both"/>
        <w:rPr>
          <w:b/>
          <w:bCs/>
          <w:sz w:val="24"/>
          <w:szCs w:val="24"/>
        </w:rPr>
      </w:pPr>
    </w:p>
    <w:p w:rsidR="008F13B0" w:rsidRPr="00F77F70" w:rsidRDefault="008F13B0" w:rsidP="00D1500E">
      <w:pPr>
        <w:spacing w:line="360" w:lineRule="auto"/>
        <w:jc w:val="both"/>
        <w:rPr>
          <w:b/>
          <w:bCs/>
          <w:sz w:val="24"/>
          <w:szCs w:val="24"/>
        </w:rPr>
      </w:pPr>
    </w:p>
    <w:p w:rsidR="00ED706F" w:rsidRDefault="00ED706F" w:rsidP="00D1500E">
      <w:pPr>
        <w:spacing w:line="360" w:lineRule="auto"/>
        <w:jc w:val="both"/>
        <w:rPr>
          <w:b/>
          <w:bCs/>
          <w:sz w:val="24"/>
          <w:szCs w:val="24"/>
        </w:rPr>
      </w:pPr>
    </w:p>
    <w:p w:rsidR="00ED706F" w:rsidRDefault="00ED706F" w:rsidP="00D1500E">
      <w:pPr>
        <w:spacing w:line="360" w:lineRule="auto"/>
        <w:jc w:val="both"/>
        <w:rPr>
          <w:b/>
          <w:bCs/>
          <w:sz w:val="24"/>
          <w:szCs w:val="24"/>
        </w:rPr>
      </w:pPr>
    </w:p>
    <w:p w:rsidR="008F13B0" w:rsidRPr="00F77F70" w:rsidRDefault="008F13B0" w:rsidP="00D1500E">
      <w:pPr>
        <w:spacing w:line="360" w:lineRule="auto"/>
        <w:jc w:val="both"/>
        <w:rPr>
          <w:b/>
          <w:bCs/>
          <w:sz w:val="24"/>
          <w:szCs w:val="24"/>
        </w:rPr>
      </w:pPr>
      <w:r w:rsidRPr="00F77F70">
        <w:rPr>
          <w:b/>
          <w:bCs/>
          <w:sz w:val="24"/>
          <w:szCs w:val="24"/>
        </w:rPr>
        <w:lastRenderedPageBreak/>
        <w:t>ABSTRACT:</w:t>
      </w:r>
    </w:p>
    <w:p w:rsidR="008F13B0" w:rsidRPr="00F77F70" w:rsidRDefault="0036552A" w:rsidP="00D1500E">
      <w:pPr>
        <w:spacing w:line="360" w:lineRule="auto"/>
        <w:jc w:val="both"/>
        <w:rPr>
          <w:sz w:val="24"/>
          <w:szCs w:val="24"/>
        </w:rPr>
      </w:pPr>
      <w:r>
        <w:rPr>
          <w:b/>
          <w:bCs/>
          <w:sz w:val="24"/>
          <w:szCs w:val="24"/>
        </w:rPr>
        <w:t xml:space="preserve">Context: </w:t>
      </w:r>
      <w:r>
        <w:rPr>
          <w:bCs/>
          <w:sz w:val="24"/>
          <w:szCs w:val="24"/>
        </w:rPr>
        <w:t xml:space="preserve">Conflicting evidence about the relationship between adiposity and bone in overweight and obese populations exists. </w:t>
      </w:r>
      <w:r w:rsidR="008F13B0" w:rsidRPr="00F77F70">
        <w:rPr>
          <w:b/>
          <w:bCs/>
          <w:sz w:val="24"/>
          <w:szCs w:val="24"/>
        </w:rPr>
        <w:t>Objective:</w:t>
      </w:r>
      <w:r w:rsidR="008F13B0" w:rsidRPr="00F77F70">
        <w:rPr>
          <w:sz w:val="24"/>
          <w:szCs w:val="24"/>
        </w:rPr>
        <w:t xml:space="preserve"> To quantify the correlation between adipose mass (absolute and relative) and bone mineral density (BMD) in over-weight and obese populations. </w:t>
      </w:r>
      <w:r w:rsidR="00997A8B">
        <w:rPr>
          <w:b/>
          <w:bCs/>
          <w:sz w:val="24"/>
          <w:szCs w:val="24"/>
        </w:rPr>
        <w:t>Data Source</w:t>
      </w:r>
      <w:r w:rsidR="008F13B0" w:rsidRPr="00F77F70">
        <w:rPr>
          <w:b/>
          <w:bCs/>
          <w:sz w:val="24"/>
          <w:szCs w:val="24"/>
        </w:rPr>
        <w:t>s</w:t>
      </w:r>
      <w:r w:rsidR="0010699F">
        <w:rPr>
          <w:b/>
          <w:bCs/>
          <w:sz w:val="24"/>
          <w:szCs w:val="24"/>
        </w:rPr>
        <w:t xml:space="preserve"> and Extraction</w:t>
      </w:r>
      <w:r w:rsidR="008F13B0" w:rsidRPr="00F77F70">
        <w:rPr>
          <w:b/>
          <w:bCs/>
          <w:sz w:val="24"/>
          <w:szCs w:val="24"/>
        </w:rPr>
        <w:t>:</w:t>
      </w:r>
      <w:r w:rsidR="008F13B0" w:rsidRPr="00F77F70">
        <w:rPr>
          <w:sz w:val="24"/>
          <w:szCs w:val="24"/>
        </w:rPr>
        <w:t xml:space="preserve"> An electronic search of the literature was undertaken using three databases and supplemented through screening the reference lists of relevant articles.</w:t>
      </w:r>
      <w:r w:rsidR="00997A8B">
        <w:rPr>
          <w:sz w:val="24"/>
          <w:szCs w:val="24"/>
        </w:rPr>
        <w:t xml:space="preserve"> </w:t>
      </w:r>
      <w:r w:rsidR="0010699F">
        <w:rPr>
          <w:sz w:val="24"/>
          <w:szCs w:val="24"/>
        </w:rPr>
        <w:t>Data</w:t>
      </w:r>
      <w:r w:rsidR="004703E3">
        <w:rPr>
          <w:sz w:val="24"/>
          <w:szCs w:val="24"/>
        </w:rPr>
        <w:t xml:space="preserve"> were</w:t>
      </w:r>
      <w:r w:rsidR="0010699F">
        <w:rPr>
          <w:sz w:val="24"/>
          <w:szCs w:val="24"/>
        </w:rPr>
        <w:t xml:space="preserve"> extracted from 16</w:t>
      </w:r>
      <w:r w:rsidR="009D7FA7">
        <w:rPr>
          <w:sz w:val="24"/>
          <w:szCs w:val="24"/>
        </w:rPr>
        <w:t xml:space="preserve"> s</w:t>
      </w:r>
      <w:r w:rsidR="00997A8B">
        <w:rPr>
          <w:sz w:val="24"/>
          <w:szCs w:val="24"/>
        </w:rPr>
        <w:t>tudie</w:t>
      </w:r>
      <w:r w:rsidR="009D7FA7">
        <w:rPr>
          <w:sz w:val="24"/>
          <w:szCs w:val="24"/>
        </w:rPr>
        <w:t>s</w:t>
      </w:r>
      <w:r>
        <w:rPr>
          <w:sz w:val="24"/>
          <w:szCs w:val="24"/>
        </w:rPr>
        <w:t xml:space="preserve"> </w:t>
      </w:r>
      <w:r w:rsidR="009D7FA7">
        <w:rPr>
          <w:sz w:val="24"/>
          <w:szCs w:val="24"/>
        </w:rPr>
        <w:t>which reported</w:t>
      </w:r>
      <w:r w:rsidR="00997A8B">
        <w:rPr>
          <w:sz w:val="24"/>
          <w:szCs w:val="24"/>
        </w:rPr>
        <w:t xml:space="preserve"> a correlation between adipose mass (kg or </w:t>
      </w:r>
      <w:r w:rsidR="00997A8B" w:rsidRPr="00F77F70">
        <w:rPr>
          <w:sz w:val="24"/>
          <w:szCs w:val="24"/>
        </w:rPr>
        <w:t>%BM</w:t>
      </w:r>
      <w:r w:rsidR="00997A8B">
        <w:rPr>
          <w:sz w:val="24"/>
          <w:szCs w:val="24"/>
        </w:rPr>
        <w:t>) and BMD in overweight or obese individuals.</w:t>
      </w:r>
      <w:r w:rsidR="008F13B0" w:rsidRPr="00F77F70">
        <w:rPr>
          <w:sz w:val="24"/>
          <w:szCs w:val="24"/>
        </w:rPr>
        <w:t xml:space="preserve"> </w:t>
      </w:r>
      <w:r w:rsidR="003B5BE2">
        <w:rPr>
          <w:sz w:val="24"/>
          <w:szCs w:val="24"/>
        </w:rPr>
        <w:t xml:space="preserve">Data </w:t>
      </w:r>
      <w:r w:rsidR="008F13B0" w:rsidRPr="00F77F70">
        <w:rPr>
          <w:b/>
          <w:bCs/>
          <w:sz w:val="24"/>
          <w:szCs w:val="24"/>
        </w:rPr>
        <w:t>Synthesis:</w:t>
      </w:r>
      <w:r w:rsidR="003B5BE2">
        <w:rPr>
          <w:b/>
          <w:bCs/>
          <w:sz w:val="24"/>
          <w:szCs w:val="24"/>
        </w:rPr>
        <w:t xml:space="preserve"> </w:t>
      </w:r>
      <w:r w:rsidR="003B5BE2" w:rsidRPr="003B5BE2">
        <w:rPr>
          <w:bCs/>
          <w:sz w:val="24"/>
          <w:szCs w:val="24"/>
        </w:rPr>
        <w:t xml:space="preserve">Multi-level modelling </w:t>
      </w:r>
      <w:r w:rsidR="00C75D21" w:rsidRPr="003B5BE2">
        <w:rPr>
          <w:bCs/>
          <w:sz w:val="24"/>
          <w:szCs w:val="24"/>
        </w:rPr>
        <w:t>indicated</w:t>
      </w:r>
      <w:r w:rsidR="00C75D21">
        <w:rPr>
          <w:sz w:val="24"/>
          <w:szCs w:val="24"/>
        </w:rPr>
        <w:t xml:space="preserve"> </w:t>
      </w:r>
      <w:r w:rsidR="00C75D21" w:rsidRPr="00F77F70">
        <w:rPr>
          <w:sz w:val="24"/>
          <w:szCs w:val="24"/>
        </w:rPr>
        <w:t>opposing</w:t>
      </w:r>
      <w:r w:rsidR="008F13B0" w:rsidRPr="00F77F70">
        <w:rPr>
          <w:sz w:val="24"/>
          <w:szCs w:val="24"/>
        </w:rPr>
        <w:t xml:space="preserve"> relationships between BMD and adiposity, with absolute adiposity positively, and relative adiposity negatively correlated with BMD. Sex and age were the primary moderators of these relationships</w:t>
      </w:r>
      <w:r w:rsidR="0010699F">
        <w:rPr>
          <w:sz w:val="24"/>
          <w:szCs w:val="24"/>
        </w:rPr>
        <w:t>. S</w:t>
      </w:r>
      <w:r w:rsidR="008F13B0" w:rsidRPr="00F77F70">
        <w:rPr>
          <w:sz w:val="24"/>
          <w:szCs w:val="24"/>
        </w:rPr>
        <w:t xml:space="preserve">trong evidence was obtained supporting a negative relationship between relative adipose mass and BMD in men (R=-0.37; 95%CI: -0.57,-0.12) and those aged &lt;25 years (R=-0.28; 95%CI: -0.45,-0.08). </w:t>
      </w:r>
      <w:r w:rsidR="008F13B0" w:rsidRPr="00F77F70">
        <w:rPr>
          <w:b/>
          <w:bCs/>
          <w:sz w:val="24"/>
          <w:szCs w:val="24"/>
        </w:rPr>
        <w:t>Conclusion:</w:t>
      </w:r>
      <w:r w:rsidR="008F13B0" w:rsidRPr="00F77F70">
        <w:rPr>
          <w:sz w:val="24"/>
          <w:szCs w:val="24"/>
        </w:rPr>
        <w:t xml:space="preserve"> In order to protect bone mass in overweight and obese populations, </w:t>
      </w:r>
      <w:r w:rsidR="0009247E">
        <w:rPr>
          <w:sz w:val="24"/>
          <w:szCs w:val="24"/>
        </w:rPr>
        <w:t>nutrition and exercise</w:t>
      </w:r>
      <w:r w:rsidR="008F13B0" w:rsidRPr="00F77F70">
        <w:rPr>
          <w:sz w:val="24"/>
          <w:szCs w:val="24"/>
        </w:rPr>
        <w:t xml:space="preserve"> based interventions that focus on a controlled reduction of adipose mass with concomitant preservation of lean mass are </w:t>
      </w:r>
      <w:r w:rsidR="0010699F" w:rsidRPr="00F77F70">
        <w:rPr>
          <w:sz w:val="24"/>
          <w:szCs w:val="24"/>
        </w:rPr>
        <w:t>re</w:t>
      </w:r>
      <w:r w:rsidR="0010699F">
        <w:rPr>
          <w:sz w:val="24"/>
          <w:szCs w:val="24"/>
        </w:rPr>
        <w:t>commended</w:t>
      </w:r>
      <w:r w:rsidR="008F13B0" w:rsidRPr="00F77F70">
        <w:rPr>
          <w:sz w:val="24"/>
          <w:szCs w:val="24"/>
        </w:rPr>
        <w:t>.</w:t>
      </w:r>
      <w:r w:rsidR="0010699F">
        <w:rPr>
          <w:sz w:val="24"/>
          <w:szCs w:val="24"/>
        </w:rPr>
        <w:t xml:space="preserve"> </w:t>
      </w:r>
      <w:r w:rsidR="008F13B0" w:rsidRPr="00F77F70">
        <w:rPr>
          <w:sz w:val="24"/>
          <w:szCs w:val="24"/>
        </w:rPr>
        <w:t xml:space="preserve"> </w:t>
      </w:r>
    </w:p>
    <w:p w:rsidR="008F13B0" w:rsidRPr="00F77F70" w:rsidRDefault="008F13B0" w:rsidP="00D1500E">
      <w:pPr>
        <w:spacing w:line="360" w:lineRule="auto"/>
        <w:jc w:val="both"/>
        <w:rPr>
          <w:b/>
          <w:bCs/>
          <w:sz w:val="24"/>
          <w:szCs w:val="24"/>
        </w:rPr>
      </w:pPr>
    </w:p>
    <w:p w:rsidR="008F13B0" w:rsidRPr="00F77F70" w:rsidRDefault="008F13B0" w:rsidP="00D1500E">
      <w:pPr>
        <w:spacing w:line="360" w:lineRule="auto"/>
        <w:jc w:val="both"/>
        <w:rPr>
          <w:b/>
          <w:bCs/>
          <w:sz w:val="24"/>
          <w:szCs w:val="24"/>
        </w:rPr>
      </w:pPr>
    </w:p>
    <w:p w:rsidR="008F13B0" w:rsidRPr="00F77F70" w:rsidRDefault="008F13B0" w:rsidP="00D1500E">
      <w:pPr>
        <w:spacing w:line="360" w:lineRule="auto"/>
        <w:jc w:val="both"/>
        <w:rPr>
          <w:b/>
          <w:bCs/>
          <w:sz w:val="24"/>
          <w:szCs w:val="24"/>
        </w:rPr>
      </w:pPr>
    </w:p>
    <w:p w:rsidR="008F13B0" w:rsidRPr="00F77F70" w:rsidRDefault="008F13B0" w:rsidP="00D1500E">
      <w:pPr>
        <w:spacing w:line="360" w:lineRule="auto"/>
        <w:jc w:val="both"/>
        <w:rPr>
          <w:b/>
          <w:bCs/>
          <w:sz w:val="24"/>
          <w:szCs w:val="24"/>
        </w:rPr>
      </w:pPr>
    </w:p>
    <w:p w:rsidR="008F13B0" w:rsidRPr="00F77F70" w:rsidRDefault="008F13B0" w:rsidP="00D1500E">
      <w:pPr>
        <w:spacing w:line="360" w:lineRule="auto"/>
        <w:jc w:val="both"/>
        <w:rPr>
          <w:b/>
          <w:bCs/>
          <w:sz w:val="24"/>
          <w:szCs w:val="24"/>
        </w:rPr>
      </w:pPr>
    </w:p>
    <w:p w:rsidR="008F13B0" w:rsidRPr="00F77F70" w:rsidRDefault="008F13B0" w:rsidP="00D1500E">
      <w:pPr>
        <w:spacing w:line="360" w:lineRule="auto"/>
        <w:jc w:val="both"/>
        <w:rPr>
          <w:b/>
          <w:bCs/>
          <w:sz w:val="24"/>
          <w:szCs w:val="24"/>
        </w:rPr>
      </w:pPr>
    </w:p>
    <w:p w:rsidR="008F13B0" w:rsidRPr="00F77F70" w:rsidRDefault="008F13B0" w:rsidP="00D1500E">
      <w:pPr>
        <w:spacing w:line="360" w:lineRule="auto"/>
        <w:jc w:val="both"/>
        <w:rPr>
          <w:b/>
          <w:bCs/>
          <w:sz w:val="24"/>
          <w:szCs w:val="24"/>
        </w:rPr>
      </w:pPr>
    </w:p>
    <w:p w:rsidR="008F13B0" w:rsidRPr="00F77F70" w:rsidRDefault="008F13B0" w:rsidP="00D1500E">
      <w:pPr>
        <w:spacing w:line="360" w:lineRule="auto"/>
        <w:jc w:val="both"/>
        <w:rPr>
          <w:b/>
          <w:bCs/>
          <w:sz w:val="24"/>
          <w:szCs w:val="24"/>
        </w:rPr>
      </w:pPr>
    </w:p>
    <w:p w:rsidR="008F13B0" w:rsidRDefault="008F13B0" w:rsidP="00D1500E">
      <w:pPr>
        <w:spacing w:line="360" w:lineRule="auto"/>
        <w:jc w:val="both"/>
        <w:rPr>
          <w:b/>
          <w:bCs/>
          <w:sz w:val="24"/>
          <w:szCs w:val="24"/>
        </w:rPr>
      </w:pPr>
    </w:p>
    <w:p w:rsidR="008C4E36" w:rsidRPr="00F77F70" w:rsidRDefault="008C4E36" w:rsidP="00D1500E">
      <w:pPr>
        <w:spacing w:line="360" w:lineRule="auto"/>
        <w:jc w:val="both"/>
        <w:rPr>
          <w:b/>
          <w:bCs/>
          <w:sz w:val="24"/>
          <w:szCs w:val="24"/>
        </w:rPr>
      </w:pPr>
    </w:p>
    <w:p w:rsidR="008F13B0" w:rsidRPr="00F77F70" w:rsidRDefault="008F13B0" w:rsidP="00D1500E">
      <w:pPr>
        <w:spacing w:line="360" w:lineRule="auto"/>
        <w:jc w:val="both"/>
        <w:rPr>
          <w:b/>
          <w:bCs/>
          <w:sz w:val="24"/>
          <w:szCs w:val="24"/>
        </w:rPr>
      </w:pPr>
      <w:r w:rsidRPr="00F77F70">
        <w:rPr>
          <w:b/>
          <w:bCs/>
          <w:sz w:val="24"/>
          <w:szCs w:val="24"/>
        </w:rPr>
        <w:lastRenderedPageBreak/>
        <w:t>INTRODUCTION</w:t>
      </w:r>
    </w:p>
    <w:p w:rsidR="008F13B0" w:rsidRPr="00F77F70" w:rsidRDefault="008F13B0" w:rsidP="00D1500E">
      <w:pPr>
        <w:spacing w:line="360" w:lineRule="auto"/>
        <w:jc w:val="both"/>
        <w:rPr>
          <w:sz w:val="24"/>
          <w:szCs w:val="24"/>
        </w:rPr>
      </w:pPr>
      <w:r w:rsidRPr="00F77F70">
        <w:rPr>
          <w:sz w:val="24"/>
          <w:szCs w:val="24"/>
        </w:rPr>
        <w:t xml:space="preserve">Increasing obesity prevalence is a </w:t>
      </w:r>
      <w:r w:rsidR="0024089D">
        <w:rPr>
          <w:sz w:val="24"/>
          <w:szCs w:val="24"/>
        </w:rPr>
        <w:t>global</w:t>
      </w:r>
      <w:r w:rsidRPr="00F77F70">
        <w:rPr>
          <w:sz w:val="24"/>
          <w:szCs w:val="24"/>
        </w:rPr>
        <w:t xml:space="preserve"> health problem and</w:t>
      </w:r>
      <w:r w:rsidR="002B1719">
        <w:rPr>
          <w:sz w:val="24"/>
          <w:szCs w:val="24"/>
        </w:rPr>
        <w:t xml:space="preserve"> </w:t>
      </w:r>
      <w:r w:rsidR="004703E3">
        <w:rPr>
          <w:sz w:val="24"/>
          <w:szCs w:val="24"/>
        </w:rPr>
        <w:t xml:space="preserve">worldwide </w:t>
      </w:r>
      <w:r w:rsidR="002B1719">
        <w:rPr>
          <w:sz w:val="24"/>
          <w:szCs w:val="24"/>
        </w:rPr>
        <w:t xml:space="preserve">statistics have recently estimated that </w:t>
      </w:r>
      <w:r w:rsidRPr="00F77F70">
        <w:rPr>
          <w:sz w:val="24"/>
          <w:szCs w:val="24"/>
        </w:rPr>
        <w:t>38% of all adu</w:t>
      </w:r>
      <w:r w:rsidR="003C3008">
        <w:rPr>
          <w:sz w:val="24"/>
          <w:szCs w:val="24"/>
        </w:rPr>
        <w:t>lts are overweight, and 13% are</w:t>
      </w:r>
      <w:r w:rsidR="00705CF0">
        <w:rPr>
          <w:sz w:val="24"/>
          <w:szCs w:val="24"/>
        </w:rPr>
        <w:t xml:space="preserve"> obese</w:t>
      </w:r>
      <w:r w:rsidR="0081755B" w:rsidRPr="003C3008">
        <w:rPr>
          <w:sz w:val="24"/>
          <w:szCs w:val="24"/>
        </w:rPr>
        <w:t>.</w:t>
      </w:r>
      <w:r w:rsidR="003C3008">
        <w:rPr>
          <w:sz w:val="24"/>
          <w:szCs w:val="24"/>
        </w:rPr>
        <w:t xml:space="preserve"> </w:t>
      </w:r>
      <w:r w:rsidR="00156059">
        <w:rPr>
          <w:sz w:val="24"/>
          <w:szCs w:val="24"/>
        </w:rPr>
        <w:fldChar w:fldCharType="begin" w:fldLock="1"/>
      </w:r>
      <w:r w:rsidR="0075024E">
        <w:rPr>
          <w:sz w:val="24"/>
          <w:szCs w:val="24"/>
        </w:rPr>
        <w:instrText>ADDIN CSL_CITATION { "citationItems" : [ { "id" : "ITEM-1", "itemData" : { "URL" : "http://www.who.int/mediacentre/factsheets/fs311/en/", "author" : [ { "dropping-particle" : "", "family" : "World Health Organisation", "given" : "", "non-dropping-particle" : "", "parse-names" : false, "suffix" : "" } ], "id" : "ITEM-1", "issued" : { "date-parts" : [ [ "0" ] ] }, "page" : "Accessed on 25th January, 2016", "title" : "WHO. Obesity and overweight factsheet", "type" : "webpage" }, "uris" : [ "http://www.mendeley.com/documents/?uuid=d0dbcd61-47b1-4788-b222-41224f078581" ] } ], "mendeley" : { "formattedCitation" : "&lt;sup&gt;1&lt;/sup&gt;", "plainTextFormattedCitation" : "1", "previouslyFormattedCitation" : "&lt;sup&gt;1&lt;/sup&gt;"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1</w:t>
      </w:r>
      <w:r w:rsidR="00156059">
        <w:rPr>
          <w:sz w:val="24"/>
          <w:szCs w:val="24"/>
        </w:rPr>
        <w:fldChar w:fldCharType="end"/>
      </w:r>
      <w:r w:rsidRPr="00F77F70">
        <w:rPr>
          <w:sz w:val="24"/>
          <w:szCs w:val="24"/>
        </w:rPr>
        <w:t xml:space="preserve"> </w:t>
      </w:r>
      <w:r w:rsidR="00130CD3">
        <w:rPr>
          <w:sz w:val="24"/>
          <w:szCs w:val="24"/>
        </w:rPr>
        <w:t>In addition to the well-documented health consequences of increasing overweight and obesity levels</w:t>
      </w:r>
      <w:r w:rsidR="004C5442">
        <w:rPr>
          <w:sz w:val="24"/>
          <w:szCs w:val="24"/>
        </w:rPr>
        <w:t>,</w:t>
      </w:r>
      <w:r w:rsidR="003C3008">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"10.1016/j.ccm.2009.05.001", "ISBN" : "0272-5231", "ISSN" : "02725231", "PMID" : "19700042", "abstract" : "Obesity has reached epidemic proportions in the United States, with 35.1% of adults being classified as obese. Obesity affects every segment of the US population and continues to increase steadily, especially in children. Obesity increases the risk for many other chronic diseases, including diabetes mellitus, cardiovascular disease, and nonalcoholic fatty liver disease, and decreases overall quality of life. The current US generation may have a shorter life expectancy than their parents if the obesity epidemic is not controlled, and there is no indication that the prevalence of obesity is decreasing. Because of the complexity of obesity, it is likely to be one of the most difficult public health issues our society has faced. \u00a9 2009 Elsevier Inc. All rights reserved.", "author" : [ { "dropping-particle" : "", "family" : "Catenacci", "given" : "Victoria A.", "non-dropping-particle" : "", "parse-names" : false, "suffix" : "" }, { "dropping-particle" : "", "family" : "Hill", "given" : "James O.", "non-dropping-particle" : "", "parse-names" : false, "suffix" : "" }, { "dropping-particle" : "", "family" : "Wyatt", "given" : "Holly R.", "non-dropping-particle" : "", "parse-names" : false, "suffix" : "" } ], "container-title" : "Clinics in Chest Medicine", "id" : "ITEM-1", "issue" : "3", "issued" : { "date-parts" : [ [ "2009" ] ] }, "page" : "415-444", "publisher" : "Elsevier Ltd", "title" : "The Obesity Epidemic", "type" : "article-journal", "volume" : "30" }, "uris" : [ "http://www.mendeley.com/documents/?uuid=ad7ba943-2d8e-45b4-bf15-62eaae5b3d07" ] } ], "mendeley" : { "formattedCitation" : "&lt;sup&gt;2&lt;/sup&gt;", "plainTextFormattedCitation" : "2", "previouslyFormattedCitation" : "&lt;sup&gt;2&lt;/sup&gt;"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2</w:t>
      </w:r>
      <w:r w:rsidR="00156059">
        <w:rPr>
          <w:sz w:val="24"/>
          <w:szCs w:val="24"/>
        </w:rPr>
        <w:fldChar w:fldCharType="end"/>
      </w:r>
      <w:r w:rsidR="003C3008">
        <w:rPr>
          <w:sz w:val="24"/>
          <w:szCs w:val="24"/>
        </w:rPr>
        <w:t xml:space="preserve"> </w:t>
      </w:r>
      <w:r w:rsidR="00130CD3">
        <w:rPr>
          <w:sz w:val="24"/>
          <w:szCs w:val="24"/>
        </w:rPr>
        <w:t>obesity also represents a substantial social and economic burden, due to direct (</w:t>
      </w:r>
      <w:r w:rsidR="00EA77C3" w:rsidRPr="00EA77C3">
        <w:rPr>
          <w:i/>
          <w:sz w:val="24"/>
          <w:szCs w:val="24"/>
        </w:rPr>
        <w:t>e.g.</w:t>
      </w:r>
      <w:r w:rsidR="004703E3">
        <w:rPr>
          <w:i/>
          <w:sz w:val="24"/>
          <w:szCs w:val="24"/>
        </w:rPr>
        <w:t>,</w:t>
      </w:r>
      <w:r w:rsidR="00130CD3">
        <w:rPr>
          <w:sz w:val="24"/>
          <w:szCs w:val="24"/>
        </w:rPr>
        <w:t xml:space="preserve"> increased healthcare costs) and indirect (</w:t>
      </w:r>
      <w:r w:rsidR="00EA77C3" w:rsidRPr="00EA77C3">
        <w:rPr>
          <w:i/>
          <w:sz w:val="24"/>
          <w:szCs w:val="24"/>
        </w:rPr>
        <w:t>e.g.</w:t>
      </w:r>
      <w:r w:rsidR="004703E3">
        <w:rPr>
          <w:i/>
          <w:sz w:val="24"/>
          <w:szCs w:val="24"/>
        </w:rPr>
        <w:t>,</w:t>
      </w:r>
      <w:r w:rsidR="00130CD3">
        <w:rPr>
          <w:sz w:val="24"/>
          <w:szCs w:val="24"/>
        </w:rPr>
        <w:t xml:space="preserve"> higher dependence on welfare due to premature retirement and unemployment; increased sick leave) </w:t>
      </w:r>
      <w:r w:rsidR="00130CD3" w:rsidRPr="003C3008">
        <w:rPr>
          <w:sz w:val="24"/>
          <w:szCs w:val="24"/>
        </w:rPr>
        <w:t>costs</w:t>
      </w:r>
      <w:r w:rsidR="0081755B" w:rsidRPr="003C3008">
        <w:rPr>
          <w:sz w:val="24"/>
          <w:szCs w:val="24"/>
        </w:rPr>
        <w:t>.</w:t>
      </w:r>
      <w:r w:rsidR="003C3008" w:rsidRPr="003C3008">
        <w:rPr>
          <w:sz w:val="24"/>
          <w:szCs w:val="24"/>
        </w:rPr>
        <w:t xml:space="preserve"> </w:t>
      </w:r>
      <w:r w:rsidR="00156059" w:rsidRPr="003C3008">
        <w:rPr>
          <w:sz w:val="24"/>
          <w:szCs w:val="24"/>
        </w:rPr>
        <w:fldChar w:fldCharType="begin" w:fldLock="1"/>
      </w:r>
      <w:r w:rsidR="0075024E">
        <w:rPr>
          <w:sz w:val="24"/>
          <w:szCs w:val="24"/>
        </w:rPr>
        <w:instrText>ADDIN CSL_CITATION { "citationItems" : [ { "id" : "ITEM-1", "itemData" : { "DOI" : "10.1038/nm0306-367a", "ISBN" : "1078-8956 (Print)\\r1078-8956 (Linking)", "ISSN" : "1078-8956", "PMID" : "16397571", "abstract" : "Conclusion: The absence of definitive evidence of strategies that will work to reduce overweight and obesity should not delay action. When several Nordic countries as well as Canada, New Zealand and Singapore pioneered comprehensive tobacco control in the early 1970s, they relied on sound economic and consumer theory. Over time, their intuition that smokers would respond to price, marketing, access to treatment and ever- expanding education programs, has proven correct. Adapting these basic principles to the much more complex areas of food, nutri- tion and physical activity will be tougher and will require broader alliances between public, private and civil societies. The consequences of inaction-reversal of steady improvements in life expectancy, and rising costs should be sufficient motivation for urgent action.", "author" : [ { "dropping-particle" : "", "family" : "Yach", "given" : "Derek", "non-dropping-particle" : "", "parse-names" : false, "suffix" : "" }, { "dropping-particle" : "", "family" : "Stuckler", "given" : "David", "non-dropping-particle" : "", "parse-names" : false, "suffix" : "" }, { "dropping-particle" : "", "family" : "Brownell", "given" : "Kelly D", "non-dropping-particle" : "", "parse-names" : false, "suffix" : "" } ], "container-title" : "Nature medicine", "id" : "ITEM-1", "issue" : "1", "issued" : { "date-parts" : [ [ "2006" ] ] }, "page" : "62-66", "title" : "Epidemiologic and economic consequences of the global epidemics of obesity and diabetes.", "type" : "article-journal", "volume" : "12" }, "uris" : [ "http://www.mendeley.com/documents/?uuid=3fe0a134-8044-41bc-a2f0-51414458d31d" ] } ], "mendeley" : { "formattedCitation" : "&lt;sup&gt;3&lt;/sup&gt;", "plainTextFormattedCitation" : "3", "previouslyFormattedCitation" : "&lt;sup&gt;3&lt;/sup&gt;" }, "properties" : { "noteIndex" : 0 }, "schema" : "https://github.com/citation-style-language/schema/raw/master/csl-citation.json" }</w:instrText>
      </w:r>
      <w:r w:rsidR="00156059" w:rsidRPr="003C3008">
        <w:rPr>
          <w:sz w:val="24"/>
          <w:szCs w:val="24"/>
        </w:rPr>
        <w:fldChar w:fldCharType="separate"/>
      </w:r>
      <w:r w:rsidR="00AA43A0" w:rsidRPr="00AA43A0">
        <w:rPr>
          <w:noProof/>
          <w:sz w:val="24"/>
          <w:szCs w:val="24"/>
          <w:vertAlign w:val="superscript"/>
        </w:rPr>
        <w:t>3</w:t>
      </w:r>
      <w:r w:rsidR="00156059" w:rsidRPr="003C3008">
        <w:rPr>
          <w:sz w:val="24"/>
          <w:szCs w:val="24"/>
        </w:rPr>
        <w:fldChar w:fldCharType="end"/>
      </w:r>
      <w:r w:rsidR="00130CD3" w:rsidRPr="003C3008">
        <w:rPr>
          <w:sz w:val="24"/>
          <w:szCs w:val="24"/>
        </w:rPr>
        <w:t xml:space="preserve"> </w:t>
      </w:r>
      <w:r w:rsidRPr="00F77F70">
        <w:rPr>
          <w:sz w:val="24"/>
          <w:szCs w:val="24"/>
        </w:rPr>
        <w:t>Another worldwide health issue increasing in prevalence and with far-reaching social and economic consequences is osteoporosis.  It is estimated that worldwide, osteoporosis causes more than 8.9 million fractures annually</w:t>
      </w:r>
      <w:r>
        <w:rPr>
          <w:sz w:val="24"/>
          <w:szCs w:val="24"/>
        </w:rPr>
        <w:t>,</w:t>
      </w:r>
      <w:r w:rsidR="003C3008">
        <w:rPr>
          <w:sz w:val="24"/>
          <w:szCs w:val="24"/>
        </w:rPr>
        <w:t xml:space="preserve"> </w:t>
      </w:r>
      <w:r w:rsidR="00156059">
        <w:rPr>
          <w:sz w:val="24"/>
          <w:szCs w:val="24"/>
        </w:rPr>
        <w:fldChar w:fldCharType="begin" w:fldLock="1"/>
      </w:r>
      <w:r w:rsidR="0075024E">
        <w:rPr>
          <w:sz w:val="24"/>
          <w:szCs w:val="24"/>
        </w:rPr>
        <w:instrText>ADDIN CSL_CITATION { "citationItems" : [ { "id" : "ITEM-1", "itemData" : { "author" : [ { "dropping-particle" : "", "family" : "O. Johnell", "given" : "J.A. Kanis", "non-dropping-particle" : "", "parse-names" : false, "suffix" : "" } ], "container-title" : "Osteoporosis International", "id" : "ITEM-1", "issue" : "12", "issued" : { "date-parts" : [ [ "2006" ] ] }, "page" : "1726-33", "title" : "An estimate of the worldwide prevalence and disability associated with osteporotic fractures", "type" : "article-journal", "volume" : "17" }, "uris" : [ "http://www.mendeley.com/documents/?uuid=6ce5e458-fdb5-405a-91ce-df90e1580dc0" ] } ], "mendeley" : { "formattedCitation" : "&lt;sup&gt;4&lt;/sup&gt;", "plainTextFormattedCitation" : "4", "previouslyFormattedCitation" : "&lt;sup&gt;4&lt;/sup&gt;"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4</w:t>
      </w:r>
      <w:r w:rsidR="00156059">
        <w:rPr>
          <w:sz w:val="24"/>
          <w:szCs w:val="24"/>
        </w:rPr>
        <w:fldChar w:fldCharType="end"/>
      </w:r>
      <w:r>
        <w:rPr>
          <w:sz w:val="24"/>
          <w:szCs w:val="24"/>
        </w:rPr>
        <w:t xml:space="preserve"> </w:t>
      </w:r>
      <w:r w:rsidRPr="00F77F70">
        <w:rPr>
          <w:sz w:val="24"/>
          <w:szCs w:val="24"/>
        </w:rPr>
        <w:t xml:space="preserve">and the worldwide incidence of osteoporosis related hip fracture is predicted to increase by 310% in men, and 240% in women by the year 2050 </w:t>
      </w:r>
      <w:r>
        <w:rPr>
          <w:sz w:val="24"/>
          <w:szCs w:val="24"/>
        </w:rPr>
        <w:t>compared to 1990 statistics.</w:t>
      </w:r>
      <w:r w:rsidR="003C3008">
        <w:rPr>
          <w:sz w:val="24"/>
          <w:szCs w:val="24"/>
        </w:rPr>
        <w:t xml:space="preserve"> </w:t>
      </w:r>
      <w:r w:rsidR="00156059">
        <w:rPr>
          <w:sz w:val="24"/>
          <w:szCs w:val="24"/>
        </w:rPr>
        <w:fldChar w:fldCharType="begin" w:fldLock="1"/>
      </w:r>
      <w:r w:rsidR="0075024E">
        <w:rPr>
          <w:sz w:val="24"/>
          <w:szCs w:val="24"/>
        </w:rPr>
        <w:instrText>ADDIN CSL_CITATION { "citationItems" : [ { "id" : "ITEM-1", "itemData" : { "author" : [ { "dropping-particle" : "", "family" : "Gulberg", "given" : "B", "non-dropping-particle" : "", "parse-names" : false, "suffix" : "" }, { "dropping-particle" : "", "family" : "Johnell", "given" : "O", "non-dropping-particle" : "", "parse-names" : false, "suffix" : "" }, { "dropping-particle" : "", "family" : "Kanis", "given" : "JA", "non-dropping-particle" : "", "parse-names" : false, "suffix" : "" } ], "container-title" : "Osteoporosis International", "id" : "ITEM-1", "issue" : "5", "issued" : { "date-parts" : [ [ "1997" ] ] }, "page" : "407-13", "title" : "World-wide projections for hip fracture", "type" : "article-journal", "volume" : "7" }, "uris" : [ "http://www.mendeley.com/documents/?uuid=47ac87d0-47c9-47e0-b65f-99e9407467e2" ] } ], "mendeley" : { "formattedCitation" : "&lt;sup&gt;5&lt;/sup&gt;", "plainTextFormattedCitation" : "5", "previouslyFormattedCitation" : "&lt;sup&gt;5&lt;/sup&gt;"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5</w:t>
      </w:r>
      <w:r w:rsidR="00156059">
        <w:rPr>
          <w:sz w:val="24"/>
          <w:szCs w:val="24"/>
        </w:rPr>
        <w:fldChar w:fldCharType="end"/>
      </w:r>
      <w:r w:rsidRPr="00F77F70">
        <w:rPr>
          <w:sz w:val="24"/>
          <w:szCs w:val="24"/>
        </w:rPr>
        <w:t xml:space="preserve"> As such, optimal management of these two chronic lifestyle related and nutritionally modulated conditions is required to protect the long-term health of the world population</w:t>
      </w:r>
      <w:r w:rsidR="00871AA7">
        <w:rPr>
          <w:sz w:val="24"/>
          <w:szCs w:val="24"/>
        </w:rPr>
        <w:t>, and to decrease the</w:t>
      </w:r>
      <w:r w:rsidR="00BB300D">
        <w:rPr>
          <w:sz w:val="24"/>
          <w:szCs w:val="24"/>
        </w:rPr>
        <w:t>ir associated</w:t>
      </w:r>
      <w:r w:rsidR="00871AA7">
        <w:rPr>
          <w:sz w:val="24"/>
          <w:szCs w:val="24"/>
        </w:rPr>
        <w:t xml:space="preserve"> social and economic burden</w:t>
      </w:r>
      <w:r w:rsidR="00BB300D">
        <w:rPr>
          <w:sz w:val="24"/>
          <w:szCs w:val="24"/>
        </w:rPr>
        <w:t xml:space="preserve">. </w:t>
      </w:r>
    </w:p>
    <w:p w:rsidR="008F13B0" w:rsidRPr="00F77F70" w:rsidRDefault="008F13B0" w:rsidP="00D1500E">
      <w:pPr>
        <w:spacing w:line="360" w:lineRule="auto"/>
        <w:jc w:val="both"/>
        <w:rPr>
          <w:rStyle w:val="CommentReference"/>
          <w:sz w:val="24"/>
          <w:szCs w:val="24"/>
        </w:rPr>
      </w:pPr>
      <w:r w:rsidRPr="00F77F70">
        <w:rPr>
          <w:sz w:val="24"/>
          <w:szCs w:val="24"/>
        </w:rPr>
        <w:t xml:space="preserve">More complete understanding of the relationships between the adipose and bone compartments of body composition are essential to the development of management and treatment strategies for obesity and osteoporosis. Obesity has historically been considered to be protective of bone, which was thought to occur as a result of the increased loading afforded by a greater total body mass, mediated through the action of various </w:t>
      </w:r>
      <w:proofErr w:type="spellStart"/>
      <w:r w:rsidRPr="00F77F70">
        <w:rPr>
          <w:sz w:val="24"/>
          <w:szCs w:val="24"/>
        </w:rPr>
        <w:t>osteo</w:t>
      </w:r>
      <w:proofErr w:type="spellEnd"/>
      <w:r w:rsidRPr="00F77F70">
        <w:rPr>
          <w:sz w:val="24"/>
          <w:szCs w:val="24"/>
        </w:rPr>
        <w:t xml:space="preserve">, </w:t>
      </w:r>
      <w:proofErr w:type="spellStart"/>
      <w:r w:rsidRPr="00F77F70">
        <w:rPr>
          <w:sz w:val="24"/>
          <w:szCs w:val="24"/>
        </w:rPr>
        <w:t>adipo</w:t>
      </w:r>
      <w:proofErr w:type="spellEnd"/>
      <w:r w:rsidRPr="00F77F70">
        <w:rPr>
          <w:sz w:val="24"/>
          <w:szCs w:val="24"/>
        </w:rPr>
        <w:t xml:space="preserve"> and </w:t>
      </w:r>
      <w:proofErr w:type="spellStart"/>
      <w:r w:rsidRPr="00F77F70">
        <w:rPr>
          <w:sz w:val="24"/>
          <w:szCs w:val="24"/>
        </w:rPr>
        <w:t>myokines</w:t>
      </w:r>
      <w:proofErr w:type="spellEnd"/>
      <w:r>
        <w:rPr>
          <w:sz w:val="24"/>
          <w:szCs w:val="24"/>
        </w:rPr>
        <w:t>.</w:t>
      </w:r>
      <w:r w:rsidR="00636464">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"10.1007/s11695-008-9548-1", "ISBN" : "0960-8923 (Print)\\r0960-8923 (Linking)", "ISSN" : "09608923", "PMID" : "18563500", "abstract" : "Body fat and lean mass are correlated with bone mineral density, with obesity apparently exerting protection against osteoporosis. The pathophysiological relevance of adipose tissue in bone integrity resides in the participation of adipokines in bone remodeling through effects on deposition and resorption. On the other hand, the skeleton has recently emerged as an endocrine organ with effects on body weight control and glucose homeostasis through the actions of bone-derived factors such as osteocalcin and osteopontin. The cross-talk between adipose tissue and the skeleton constitutes a homeostatic feedback system with adipokines and molecules secreted by osteoblasts and osteoclasts representing the links of an active bone-adipose axis. Given the impact of bariatric surgery on absorption and the adipokine secretory pattern, to focus on the changes taking place following surgical-induced weight loss on this dynamic system merits detailed consideration.", "author" : [ { "dropping-particle" : "", "family" : "G\u00f3mez-Ambrosi", "given" : "J.", "non-dropping-particle" : "", "parse-names" : false, "suffix" : "" }, { "dropping-particle" : "", "family" : "Rodr\u00edguez", "given" : "A.", "non-dropping-particle" : "", "parse-names" : false, "suffix" : "" }, { "dropping-particle" : "", "family" : "Catal\u00e1n", "given" : "V.", "non-dropping-particle" : "", "parse-names" : false, "suffix" : "" }, { "dropping-particle" : "", "family" : "Fr\u00fchbeck", "given" : "G.", "non-dropping-particle" : "", "parse-names" : false, "suffix" : "" } ], "container-title" : "Obesity Surgery", "id" : "ITEM-1", "issue" : "9", "issued" : { "date-parts" : [ [ "2008" ] ] }, "page" : "1134-1143", "title" : "The bone-adipose axis in obesity and weight loss", "type" : "article-journal", "volume" : "18" }, "uris" : [ "http://www.mendeley.com/documents/?uuid=69c7f21c-1873-43d0-8e54-69930cfa8757" ] }, { "id" : "ITEM-2", "itemData" : { "author" : [ { "dropping-particle" : "", "family" : "MW Hamrick", "given" : "", "non-dropping-particle" : "", "parse-names" : false, "suffix" : "" } ], "container-title" : "Exercise and Sport Sciences Reviews", "id" : "ITEM-2", "issue" : "1", "issued" : { "date-parts" : [ [ "2011" ] ] }, "page" : "43-7", "title" : "A role for myokines in muscle-bone interactions", "type" : "article-journal", "volume" : "39" }, "uris" : [ "http://www.mendeley.com/documents/?uuid=11fb9ab0-ed67-4b73-8c19-4460d9abbe7f" ] } ], "mendeley" : { "formattedCitation" : "&lt;sup&gt;6,7&lt;/sup&gt;", "plainTextFormattedCitation" : "6,7", "previouslyFormattedCitation" : "&lt;sup&gt;6,7&lt;/sup&gt;"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6,7</w:t>
      </w:r>
      <w:r w:rsidR="00156059">
        <w:rPr>
          <w:sz w:val="24"/>
          <w:szCs w:val="24"/>
        </w:rPr>
        <w:fldChar w:fldCharType="end"/>
      </w:r>
      <w:r w:rsidR="003C3008">
        <w:rPr>
          <w:sz w:val="24"/>
          <w:szCs w:val="24"/>
        </w:rPr>
        <w:t xml:space="preserve"> </w:t>
      </w:r>
      <w:r w:rsidRPr="00F77F70">
        <w:rPr>
          <w:sz w:val="24"/>
          <w:szCs w:val="24"/>
        </w:rPr>
        <w:t>Absolute body mass</w:t>
      </w:r>
      <w:r w:rsidR="00636464">
        <w:rPr>
          <w:sz w:val="24"/>
          <w:szCs w:val="24"/>
        </w:rPr>
        <w:t xml:space="preserve"> </w:t>
      </w:r>
      <w:r w:rsidR="00156059">
        <w:rPr>
          <w:sz w:val="24"/>
          <w:szCs w:val="24"/>
        </w:rPr>
        <w:fldChar w:fldCharType="begin" w:fldLock="1"/>
      </w:r>
      <w:r w:rsidR="0075024E">
        <w:rPr>
          <w:sz w:val="24"/>
          <w:szCs w:val="24"/>
        </w:rPr>
        <w:instrText>ADDIN CSL_CITATION { "citationItems" : [ { "id" : "ITEM-1", "itemData" : { "author" : [ { "dropping-particle" : "", "family" : "Gerdhem", "given" : "P", "non-dropping-particle" : "", "parse-names" : false, "suffix" : "" }, { "dropping-particle" : "", "family" : "Ringsberg", "given" : "KA", "non-dropping-particle" : "", "parse-names" : false, "suffix" : "" }, { "dropping-particle" : "", "family" : "Akesson", "given" : "K", "non-dropping-particle" : "", "parse-names" : false, "suffix" : "" }, { "dropping-particle" : "", "family" : "Obrant KJ", "given" : "", "non-dropping-particle" : "", "parse-names" : false, "suffix" : "" } ], "container-title" : "Osteoporosis International", "id" : "ITEM-1", "issue" : "9", "issued" : { "date-parts" : [ [ "2003" ] ] }, "page" : "768-72", "title" : "Influence of muscle strength, physical activity and weight on bone mass in a population based sample of 1004 elderly women", "type" : "article-journal", "volume" : "14" }, "uris" : [ "http://www.mendeley.com/documents/?uuid=8b32ab82-9888-4bcc-92c5-02140b2d9a76" ] }, { "id" : "ITEM-2", "itemData" : { "author" : [ { "dropping-particle" : "", "family" : "Michaelsson", "given" : "K", "non-dropping-particle" : "", "parse-names" : false, "suffix" : "" }, { "dropping-particle" : "", "family" : "Bergstrom", "given" : "R", "non-dropping-particle" : "", "parse-names" : false, "suffix" : "" }, { "dropping-particle" : "", "family" : "Mallmin", "given" : "H", "non-dropping-particle" : "", "parse-names" : false, "suffix" : "" }, { "dropping-particle" : "", "family" : "Holmberg", "given" : "L", "non-dropping-particle" : "", "parse-names" : false, "suffix" : "" }, { "dropping-particle" : "", "family" : "Wolk", "given" : "A", "non-dropping-particle" : "", "parse-names" : false, "suffix" : "" }, { "dropping-particle" : "", "family" : "Ljunghall", "given" : "S", "non-dropping-particle" : "", "parse-names" : false, "suffix" : "" } ], "container-title" : "Osteoporosis International", "id" : "ITEM-2", "issue" : "2", "issued" : { "date-parts" : [ [ "1996" ] ] }, "page" : "120-6", "title" : "Screening for osteopenia and osteoporosis: Selection by body composition", "type" : "article-journal", "volume" : "6" }, "uris" : [ "http://www.mendeley.com/documents/?uuid=07e2e423-a3b9-476d-92a8-6d24e9393b05" ] }, { "id" : "ITEM-3", "itemData" : { "author" : [ { "dropping-particle" : "", "family" : "Semanick", "given" : "LM", "non-dropping-particle" : "", "parse-names" : false, "suffix" : "" }, { "dropping-particle" : "", "family" : "Beck", "given" : "TJ", "non-dropping-particle" : "", "parse-names" : false, "suffix" : "" }, { "dropping-particle" : "", "family" : "Cauley", "given" : "JA", "non-dropping-particle" : "", "parse-names" : false, "suffix" : "" }, { "dropping-particle" : "", "family" : "Wheeler", "given" : "VW", "non-dropping-particle" : "", "parse-names" : false, "suffix" : "" }, { "dropping-particle" : "", "family" : "Patrick", "given" : "AL", "non-dropping-particle" : "", "parse-names" : false, "suffix" : "" }, { "dropping-particle" : "", "family" : "Bunker", "given" : "CH", "non-dropping-particle" : "", "parse-names" : false, "suffix" : "" }, { "dropping-particle" : "", "family" : "Zmuda", "given" : "JM", "non-dropping-particle" : "", "parse-names" : false, "suffix" : "" } ], "container-title" : "Calcified Tissue International", "id" : "ITEM-3", "issue" : "3", "issued" : { "date-parts" : [ [ "2005" ] ] }, "page" : "160-6", "title" : "Association of body composition and physical activity with proximal femur geometry in middle-aged and elderly Afro-Caribbean men: the Tobago bone health study", "type" : "article-journal", "volume" : "77" }, "uris" : [ "http://www.mendeley.com/documents/?uuid=572a8396-4027-45e4-821f-82360430ab0d" ] } ], "mendeley" : { "formattedCitation" : "&lt;sup&gt;8\u201310&lt;/sup&gt;", "plainTextFormattedCitation" : "8\u201310", "previouslyFormattedCitation" : "&lt;sup&gt;8\u201310&lt;/sup&gt;"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8–10</w:t>
      </w:r>
      <w:r w:rsidR="00156059">
        <w:rPr>
          <w:sz w:val="24"/>
          <w:szCs w:val="24"/>
        </w:rPr>
        <w:fldChar w:fldCharType="end"/>
      </w:r>
      <w:r w:rsidR="003C3008">
        <w:rPr>
          <w:sz w:val="24"/>
          <w:szCs w:val="24"/>
        </w:rPr>
        <w:t xml:space="preserve"> </w:t>
      </w:r>
      <w:r w:rsidRPr="00F77F70">
        <w:rPr>
          <w:sz w:val="24"/>
          <w:szCs w:val="24"/>
        </w:rPr>
        <w:t>and lean mass in particular</w:t>
      </w:r>
      <w:r>
        <w:rPr>
          <w:sz w:val="24"/>
          <w:szCs w:val="24"/>
        </w:rPr>
        <w:t>,</w:t>
      </w:r>
      <w:r w:rsidR="003C3008">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"10.1210/jc.2013-3190", "ISSN" : "0021-972X", "PMID" : "24384013", "abstract" : "Context: Body weight is the most important anthropometric determinant of bone mineral density (BMD). Body weight is mainly made up of lean mass (LM) and fat mass (FM), and which component is more important to BMD has been a controversial issue. Objective: This study sought to compare the magnitude of association between LM, FM, and BMD by using a meta-analytic approach. Data Source: Using an electronic and manual search, we identified 44 studies that had examined the correlation between LM, FM, and BMD between 1989 and 2013. These studies involved 20 226 men and women (4966 men and 15 260 women) aged between 18 and 92 years. We extracted the correlations between LM, FM, and BMD at the lumbar spine, femoral neck, and whole body. The synthesis of correlation coefficients was done by the random-effects meta-analysis model. Results: The overall correlation between LM and femoral neck BMD (FNBMD) was 0.39 (95% confidence interval, 0.34 to 0.43), which was significantly higher than the correlation between FM an...", "author" : [ { "dropping-particle" : "", "family" : "Ho-Pham", "given" : "Lan T.", "non-dropping-particle" : "", "parse-names" : false, "suffix" : "" }, { "dropping-particle" : "", "family" : "Nguyen", "given" : "Uyen D. T.", "non-dropping-particle" : "", "parse-names" : false, "suffix" : "" }, { "dropping-particle" : "V.", "family" : "Nguyen", "given" : "Tuan", "non-dropping-particle" : "", "parse-names" : false, "suffix" : "" } ], "container-title" : "The Journal of Clinical Endocrinology &amp; Metabolism", "id" : "ITEM-1", "issue" : "1", "issued" : { "date-parts" : [ [ "2014" ] ] }, "page" : "30-38", "title" : "Association Between Lean Mass, Fat Mass, and Bone Mineral Density: A Meta-analysis", "type" : "article-journal", "volume" : "99" }, "uris" : [ "http://www.mendeley.com/documents/?uuid=438c3d61-06ae-4d8f-bfaa-38f4a9fa0e6f" ] } ], "mendeley" : { "formattedCitation" : "&lt;sup&gt;11&lt;/sup&gt;", "plainTextFormattedCitation" : "11", "previouslyFormattedCitation" : "&lt;sup&gt;11&lt;/sup&gt;"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11</w:t>
      </w:r>
      <w:r w:rsidR="00156059">
        <w:rPr>
          <w:sz w:val="24"/>
          <w:szCs w:val="24"/>
        </w:rPr>
        <w:fldChar w:fldCharType="end"/>
      </w:r>
      <w:r w:rsidR="003C3008">
        <w:rPr>
          <w:sz w:val="24"/>
          <w:szCs w:val="24"/>
        </w:rPr>
        <w:t xml:space="preserve"> </w:t>
      </w:r>
      <w:r w:rsidRPr="00F77F70">
        <w:rPr>
          <w:sz w:val="24"/>
          <w:szCs w:val="24"/>
        </w:rPr>
        <w:t xml:space="preserve">have been reported to be </w:t>
      </w:r>
      <w:r w:rsidRPr="00F77F70">
        <w:rPr>
          <w:rFonts w:eastAsia="PMingLiU"/>
          <w:sz w:val="24"/>
          <w:szCs w:val="24"/>
          <w:lang w:eastAsia="zh-HK"/>
        </w:rPr>
        <w:t>the strongest independent predictors of bone mineral density (BMD), which is the primary determinant in the diagnosis of osteoporosis.</w:t>
      </w:r>
      <w:r w:rsidRPr="00F77F70">
        <w:rPr>
          <w:sz w:val="24"/>
          <w:szCs w:val="24"/>
        </w:rPr>
        <w:t xml:space="preserve"> The relationship between adipose mass and BMD is more controversial however, with both positive and negative correlations reported</w:t>
      </w:r>
      <w:r>
        <w:rPr>
          <w:sz w:val="24"/>
          <w:szCs w:val="24"/>
        </w:rPr>
        <w:t>.</w:t>
      </w:r>
      <w:r w:rsidR="00636464">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"10.1016/j.bone.2014.04.027", "ISSN" : "87563282", "PMID" : "24792957", "abstract" : "Epidemiologic studies have found that higher body weight is associated with better bone health. Body weight consists of both fat mass (FM) and lean soft tissue mass (LSTM). Previous studies have examined the effects of FM levels during childhood on bone health, with conflicting results. In the present study, we investigated the independent contributions of FM to bone mass in Japanese adolescents. Subjects were 235 adolescents aged 15-18. years old in August 2010 and in August 2013 from the Kitakata Kids Health Study in Japan. We obtained cross-sectional data on body composition as well as bone mineral density (BMD). Body composition and BMD were measured using a dual-energy X-ray absorptiometry scanner. We found moderate and positive relationships between FM index and LSTM index (males, r= 0.69; females, r= 0.44). To verify a potentially additive effect of FM on the variance of bone variables beyond LSTM, we assessed the association between FM index and bone variables after stratification by tertiles of the LSTM index. In the lowest tertile of the LSTM index, FM index was significantly (P&lt;. 0.05) associated with both femoral neck BMD (males, ??= 0.48; females, ??= 0.33) and whole body BMC (males, ??= 0.41; females, ??= 0.25). On the other hand, we found no significant associations between FM index and bone variables in other tertiles of the LSTM index. These findings indicate that FM can influence how high bone mass is obtained among relatively thin adolescents, but not among those who are of normal weight or overweight. ?? 2014 Elsevier Inc.", "author" : [ { "dropping-particle" : "", "family" : "Kouda", "given" : "Katsuyasu", "non-dropping-particle" : "", "parse-names" : false, "suffix" : "" }, { "dropping-particle" : "", "family" : "Fujita", "given" : "Yuki", "non-dropping-particle" : "", "parse-names" : false, "suffix" : "" }, { "dropping-particle" : "", "family" : "Sato", "given" : "Yuho", "non-dropping-particle" : "", "parse-names" : false, "suffix" : "" }, { "dropping-particle" : "", "family" : "Ohara", "given" : "Kumiko", "non-dropping-particle" : "", "parse-names" : false, "suffix" : "" }, { "dropping-particle" : "", "family" : "Nakamura", "given" : "Harunobu", "non-dropping-particle" : "", "parse-names" : false, "suffix" : "" }, { "dropping-particle" : "", "family" : "Uenishi", "given" : "Kazuhiro", "non-dropping-particle" : "", "parse-names" : false, "suffix" : "" }, { "dropping-particle" : "", "family" : "Iki", "given" : "Masayuki", "non-dropping-particle" : "", "parse-names" : false, "suffix" : "" } ], "container-title" : "Bone", "id" : "ITEM-1", "issued" : { "date-parts" : [ [ "2014" ] ] }, "page" : "298-302", "publisher" : "Elsevier B.V.", "title" : "Fat mass is positively associated with bone mass in relatively thin adolescents: Data from the Kitakata kids health study", "type" : "article-journal", "volume" : "64" }, "uris" : [ "http://www.mendeley.com/documents/?uuid=5175cbf7-54ef-4457-b0c9-087d2c2a7c60" ] }, { "id" : "ITEM-2", "itemData" : { "author" : [ { "dropping-particle" : "", "family" : "Hsu", "given" : "YH", "non-dropping-particle" : "", "parse-names" : false, "suffix" : "" }, { "dropping-particle" : "", "family" : "Venners", "given" : "SA", "non-dropping-particle" : "", "parse-names" : false, "suffix" : "" }, { "dropping-particle" : "", "family" : "Terwedow", "given" : "HA", "non-dropping-particle" : "", "parse-names" : false, "suffix" : "" }, { "dropping-particle" : "", "family" : "Feng", "given" : "Y", "non-dropping-particle" : "", "parse-names" : false, "suffix" : "" }, { "dropping-particle" : "", "family" : "Niu", "given" : "T", "non-dropping-particle" : "", "parse-names" : false, "suffix" : "" }, { "dropping-particle" : "", "family" : "Li", "given" : "Z", "non-dropping-particle" : "", "parse-names" : false, "suffix" : "" }, { "dropping-particle" : "", "family" : "Laird", "given" : "N", "non-dropping-particle" : "", "parse-names" : false, "suffix" : "" }, { "dropping-particle" : "", "family" : "Brain", "given" : "JD", "non-dropping-particle" : "", "parse-names" : false, "suffix" : "" }, { "dropping-particle" : "", "family" : "Cummings", "given" : "SR", "non-dropping-particle" : "", "parse-names" : false, "suffix" : "" }, { "dropping-particle" : "", "family" : "Bouxsein", "given" : "ML", "non-dropping-particle" : "", "parse-names" : false, "suffix" : "" }, { "dropping-particle" : "", "family" : "Rosen", "given" : "CJ", "non-dropping-particle" : "", "parse-names" : false, "suffix" : "" }, { "dropping-particle" : "", "family" : "Xu", "given" : "X", "non-dropping-particle" : "", "parse-names" : false, "suffix" : "" } ], "container-title" : "The American journal of clinical nutrition", "id" : "ITEM-2", "issue" : "1", "issued" : { "date-parts" : [ [ "2006" ] ] }, "page" : "146-54", "title" : "Relation of body composition, fat mass, and serum lipids to osteoporotic fractures and bone mineral density in Chinese men and women", "type" : "article-journal", "volume" : "83" }, "uris" : [ "http://www.mendeley.com/documents/?uuid=e87efa29-903f-4339-8f71-8d9106975bbb" ] } ], "mendeley" : { "formattedCitation" : "&lt;sup&gt;12,13&lt;/sup&gt;", "plainTextFormattedCitation" : "12,13", "previouslyFormattedCitation" : "&lt;sup&gt;12,13&lt;/sup&gt;"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12,13</w:t>
      </w:r>
      <w:r w:rsidR="00156059">
        <w:rPr>
          <w:sz w:val="24"/>
          <w:szCs w:val="24"/>
        </w:rPr>
        <w:fldChar w:fldCharType="end"/>
      </w:r>
      <w:r w:rsidR="00636464">
        <w:rPr>
          <w:sz w:val="24"/>
          <w:szCs w:val="24"/>
        </w:rPr>
        <w:t xml:space="preserve"> </w:t>
      </w:r>
      <w:r w:rsidRPr="003C3008">
        <w:rPr>
          <w:sz w:val="24"/>
          <w:szCs w:val="24"/>
        </w:rPr>
        <w:t xml:space="preserve">A number of studies have </w:t>
      </w:r>
      <w:r w:rsidR="00AF4DD8">
        <w:rPr>
          <w:sz w:val="24"/>
          <w:szCs w:val="24"/>
        </w:rPr>
        <w:t>reported</w:t>
      </w:r>
      <w:r w:rsidRPr="003C3008">
        <w:rPr>
          <w:sz w:val="24"/>
          <w:szCs w:val="24"/>
        </w:rPr>
        <w:t xml:space="preserve"> higher BMD in obese populations, when compared to normal weight controls,</w:t>
      </w:r>
      <w:r w:rsidR="00636464">
        <w:rPr>
          <w:sz w:val="24"/>
          <w:szCs w:val="24"/>
        </w:rPr>
        <w:t xml:space="preserve"> </w:t>
      </w:r>
      <w:r w:rsidR="00156059">
        <w:rPr>
          <w:sz w:val="24"/>
          <w:szCs w:val="24"/>
        </w:rPr>
        <w:fldChar w:fldCharType="begin" w:fldLock="1"/>
      </w:r>
      <w:r w:rsidR="0075024E">
        <w:rPr>
          <w:sz w:val="24"/>
          <w:szCs w:val="24"/>
        </w:rPr>
        <w:instrText>ADDIN CSL_CITATION { "citationItems" : [ { "id" : "ITEM-1", "itemData" : { "author" : [ { "dropping-particle" : "", "family" : "Evans", "given" : "AL", "non-dropping-particle" : "", "parse-names" : false, "suffix" : "" }, { "dropping-particle" : "", "family" : "Paggiosi", "given" : "MA", "non-dropping-particle" : "", "parse-names" : false, "suffix" : "" }, { "dropping-particle" : "", "family" : "Eastell", "given" : "R", "non-dropping-particle" : "", "parse-names" : false, "suffix" : "" }, { "dropping-particle" : "", "family" : "Walsh", "given" : "JS", "non-dropping-particle" : "", "parse-names" : false, "suffix" : "" } ], "container-title" : "Journal of Bone and Mineral Research", "id" : "ITEM-1", "issue" : "5", "issued" : { "date-parts" : [ [ "2015" ] ] }, "page" : "920-8", "title" : "Bone density, microstructure and strength in obese and normal weight men and women in younger and older adulthood", "type" : "article-journal", "volume" : "30" }, "uris" : [ "http://www.mendeley.com/documents/?uuid=35c06cca-cf27-49a4-9176-2a31a06e4222" ] }, { "id" : "ITEM-2", "itemData" : { "author" : [ { "dropping-particle" : "", "family" : "Rocher", "given" : "E", "non-dropping-particle" : "", "parse-names" : false, "suffix" : "" }, { "dropping-particle" : "", "family" : "Hage", "given" : "R", "non-dropping-particle" : "El", "parse-names" : false, "suffix" : "" }, { "dropping-particle" : "", "family" : "Chappard", "given" : "C", "non-dropping-particle" : "", "parse-names" : false, "suffix" : "" }, { "dropping-particle" : "", "family" : "Portier", "given" : "H", "non-dropping-particle" : "", "parse-names" : false, "suffix" : "" }, { "dropping-particle" : "", "family" : "Rochefort", "given" : "GY", "non-dropping-particle" : "", "parse-names" : false, "suffix" : "" }, { "dropping-particle" : "", "family" : "Benhamou", "given" : "CL", "non-dropping-particle" : "", "parse-names" : false, "suffix" : "" } ], "container-title" : "Journal of Clinical Densitometry", "id" : "ITEM-2", "issue" : "2", "issued" : { "date-parts" : [ [ "2013" ] ] }, "page" : "244-9", "title" : "Bone mineral density, hip bone geometry, and calcaneus trabecular bone texture in obese and normal-weight children", "type" : "article-journal", "volume" : "16" }, "uris" : [ "http://www.mendeley.com/documents/?uuid=a2886a44-d3ad-4b01-b8de-bec5069576a8" ] } ], "mendeley" : { "formattedCitation" : "&lt;sup&gt;14,15&lt;/sup&gt;", "plainTextFormattedCitation" : "14,15", "previouslyFormattedCitation" : "&lt;sup&gt;14,15&lt;/sup&gt;"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14,15</w:t>
      </w:r>
      <w:r w:rsidR="00156059">
        <w:rPr>
          <w:sz w:val="24"/>
          <w:szCs w:val="24"/>
        </w:rPr>
        <w:fldChar w:fldCharType="end"/>
      </w:r>
      <w:r w:rsidR="003C3008">
        <w:rPr>
          <w:sz w:val="24"/>
          <w:szCs w:val="24"/>
        </w:rPr>
        <w:t xml:space="preserve"> </w:t>
      </w:r>
      <w:r w:rsidRPr="003C3008">
        <w:rPr>
          <w:sz w:val="24"/>
          <w:szCs w:val="24"/>
        </w:rPr>
        <w:t>and a recent meta-analysis conducted on the general population reported a positive correlation between adipose tissue mass and total body BMD (R = 0.28; 95%CI: 0.21, 0.31)</w:t>
      </w:r>
      <w:r w:rsidR="00705CF0">
        <w:rPr>
          <w:sz w:val="24"/>
          <w:szCs w:val="24"/>
        </w:rPr>
        <w:t>,</w:t>
      </w:r>
      <w:r w:rsidR="003C3008">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"10.1210/jc.2013-3190", "ISSN" : "0021-972X", "PMID" : "24384013", "abstract" : "Context: Body weight is the most important anthropometric determinant of bone mineral density (BMD). Body weight is mainly made up of lean mass (LM) and fat mass (FM), and which component is more important to BMD has been a controversial issue. Objective: This study sought to compare the magnitude of association between LM, FM, and BMD by using a meta-analytic approach. Data Source: Using an electronic and manual search, we identified 44 studies that had examined the correlation between LM, FM, and BMD between 1989 and 2013. These studies involved 20 226 men and women (4966 men and 15 260 women) aged between 18 and 92 years. We extracted the correlations between LM, FM, and BMD at the lumbar spine, femoral neck, and whole body. The synthesis of correlation coefficients was done by the random-effects meta-analysis model. Results: The overall correlation between LM and femoral neck BMD (FNBMD) was 0.39 (95% confidence interval, 0.34 to 0.43), which was significantly higher than the correlation between FM an...", "author" : [ { "dropping-particle" : "", "family" : "Ho-Pham", "given" : "Lan T.", "non-dropping-particle" : "", "parse-names" : false, "suffix" : "" }, { "dropping-particle" : "", "family" : "Nguyen", "given" : "Uyen D. T.", "non-dropping-particle" : "", "parse-names" : false, "suffix" : "" }, { "dropping-particle" : "V.", "family" : "Nguyen", "given" : "Tuan", "non-dropping-particle" : "", "parse-names" : false, "suffix" : "" } ], "container-title" : "The Journal of Clinical Endocrinology &amp; Metabolism", "id" : "ITEM-1", "issue" : "1", "issued" : { "date-parts" : [ [ "2014" ] ] }, "page" : "30-38", "title" : "Association Between Lean Mass, Fat Mass, and Bone Mineral Density: A Meta-analysis", "type" : "article-journal", "volume" : "99" }, "uris" : [ "http://www.mendeley.com/documents/?uuid=438c3d61-06ae-4d8f-bfaa-38f4a9fa0e6f" ] } ], "mendeley" : { "formattedCitation" : "&lt;sup&gt;11&lt;/sup&gt;", "plainTextFormattedCitation" : "11", "previouslyFormattedCitation" : "&lt;sup&gt;11&lt;/sup&gt;"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11</w:t>
      </w:r>
      <w:r w:rsidR="00156059">
        <w:rPr>
          <w:sz w:val="24"/>
          <w:szCs w:val="24"/>
        </w:rPr>
        <w:fldChar w:fldCharType="end"/>
      </w:r>
      <w:r w:rsidR="00742D59" w:rsidRPr="003C3008">
        <w:rPr>
          <w:sz w:val="24"/>
          <w:szCs w:val="24"/>
        </w:rPr>
        <w:t xml:space="preserve"> </w:t>
      </w:r>
      <w:r w:rsidRPr="003C3008">
        <w:rPr>
          <w:sz w:val="24"/>
          <w:szCs w:val="24"/>
        </w:rPr>
        <w:t xml:space="preserve">leading to the belief that adipose mass exerts a positive influence on </w:t>
      </w:r>
      <w:r w:rsidR="00AF4DD8">
        <w:rPr>
          <w:sz w:val="24"/>
          <w:szCs w:val="24"/>
        </w:rPr>
        <w:t>bone mass</w:t>
      </w:r>
      <w:r w:rsidRPr="003C3008">
        <w:rPr>
          <w:sz w:val="24"/>
          <w:szCs w:val="24"/>
        </w:rPr>
        <w:t xml:space="preserve">. </w:t>
      </w:r>
      <w:r w:rsidRPr="00F77F70">
        <w:rPr>
          <w:sz w:val="24"/>
          <w:szCs w:val="24"/>
        </w:rPr>
        <w:t xml:space="preserve">Conversely, evidence exists supporting a detrimental influence of excess adiposity on bone, </w:t>
      </w:r>
      <w:r w:rsidR="00705CF0">
        <w:rPr>
          <w:sz w:val="24"/>
          <w:szCs w:val="24"/>
        </w:rPr>
        <w:t xml:space="preserve">which is </w:t>
      </w:r>
      <w:r w:rsidRPr="00F77F70">
        <w:rPr>
          <w:sz w:val="24"/>
          <w:szCs w:val="24"/>
        </w:rPr>
        <w:t>thought to occur via a number of mechanisms</w:t>
      </w:r>
      <w:r w:rsidR="00742D59">
        <w:rPr>
          <w:sz w:val="24"/>
          <w:szCs w:val="24"/>
        </w:rPr>
        <w:t>.</w:t>
      </w:r>
      <w:r w:rsidR="003C3008">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"10.1016/j.arr.2014.02.007", "ISBN" : "1872-9649 (Electronic)\\r1568-1637 (Linking)", "ISSN" : "18729649", "PMID" : "24632496", "abstract" : "While sarcopenia and sarcopenic obesity have been recognized in the last decade, a combined concept to include decreased muscle mass and strength, as well as decreased bone mass with coexistence of adiposity is discussed here. We introduce a new term, osteopenic obesity, and operationalize its meaning within the context of osteopenia and obesity. Next, we consolidate osteopenic obesity with the already existing and more familiar term, sarcopenic obesity, and delineate the resulting combined condition assigning it the term osteosarcopenic obesity. Identification and possible diagnosis of each condition are discussed, as well as the interactions of muscle, fat and bone tissues on cellular level, considering their endocrine features. Special emphasis is placed on the mesenchymal stem cell commitment into osteoblastogenic, adipogenic and myogenic lineages and causes of its deregulation. Based on the presented evidence and as expounded within the text, it is reasonable to say that under certain conditions, osteoporosis and sarcopenia could be the obesity of bone and muscle, respectively, with the term osteosarcopenic obesity as an encompassment for all. ?? 2014.", "author" : [ { "dropping-particle" : "", "family" : "Ilich", "given" : "Jasminka Z.", "non-dropping-particle" : "", "parse-names" : false, "suffix" : "" }, { "dropping-particle" : "", "family" : "Kelly", "given" : "Owen J.", "non-dropping-particle" : "", "parse-names" : false, "suffix" : "" }, { "dropping-particle" : "", "family" : "Inglis", "given" : "Julia E.", "non-dropping-particle" : "", "parse-names" : false, "suffix" : "" }, { "dropping-particle" : "", "family" : "Panton", "given" : "Lynn B.", "non-dropping-particle" : "", "parse-names" : false, "suffix" : "" }, { "dropping-particle" : "", "family" : "Duque", "given" : "Gustavo", "non-dropping-particle" : "", "parse-names" : false, "suffix" : "" }, { "dropping-particle" : "", "family" : "Ormsbee", "given" : "Michael J.", "non-dropping-particle" : "", "parse-names" : false, "suffix" : "" } ], "container-title" : "Ageing Research Reviews", "id" : "ITEM-1", "issue" : "1", "issued" : { "date-parts" : [ [ "2014" ] ] }, "page" : "51-60", "publisher" : "Elsevier B.V.", "title" : "Interrelationship among muscle, fat, and bone: Connecting the dots on cellular, hormonal, and whole body levels", "type" : "article-journal", "volume" : "15" }, "uris" : [ "http://www.mendeley.com/documents/?uuid=bc2731b0-08e4-4d83-9f44-dc6830223566" ] }, { "id" : "ITEM-2", "itemData" : { "ISSN" : "1897-9483", "PMID" : "20864910", "abstract" : "The protective effect of obesity on bone tissue has not been unequivocally demonstrated. On one hand, it is known that obese people have a lower risk of osteoporotic fractures compared with normal-weight individuals. On the other hand, obese patients are characterized by disorders of calcium-phosphate homeostasis and bone metabolism. Moreover, it is not known whether it is fat or lean body mass that determines the development of bone mass. It can be assumed that adipose tissue exerts independent effects on bone remodeling by releasing a number of biologically active substances. Moreover, it seems that the main mechanism of action of these substances is closely related to the type and location of adipose tissue in the body. The present article describes the relationship between fat and bones, including the effect of body weight on bone tissue, the local mechanisms of osteoblast and adipocyte differentiation, and the hormonal activity of adipose tissue.", "author" : [ { "dropping-particle" : "", "family" : "Holecki", "given" : "Micha\u0142", "non-dropping-particle" : "", "parse-names" : false, "suffix" : "" }, { "dropping-particle" : "", "family" : "Wiecek", "given" : "Andrzej", "non-dropping-particle" : "", "parse-names" : false, "suffix" : "" } ], "container-title" : "Polskie archiwum medycyny wewnetrznej", "id" : "ITEM-2", "issue" : "9", "issued" : { "date-parts" : [ [ "2010" ] ] }, "page" : "361-367", "title" : "Relationship between body fat mass and bone metabolism.", "type" : "article-journal", "volume" : "120" }, "uris" : [ "http://www.mendeley.com/documents/?uuid=fd37138d-8f78-4cdb-be45-da0f65e822bc" ] }, { "id" : "ITEM-3", "itemData" : { "DOI" : "10.1186/1749-799X-6-30", "ISBN" : "1749-799X", "ISSN" : "1749-799X", "PMID" : "21676245", "abstract" : "Obesity is traditionally viewed to be beneficial to bone health because of well-established positive effect of mechanical loading conferred by body weight on bone formation, despite being a risk factor for many other chronic health disorders. Although body mass has a positive effect on bone formation, whether the mass derived from an obesity condition or excessive fat accumulation is beneficial to bone remains controversial. The underline pathophysiological relationship between obesity and bone is complex and continues to be an active research area. Recent data from epidemiological and animal studies strongly support that fat accumulation is detrimental to bone mass. To our knowledge, obesity possibly affects bone metabolism through several mechanisms. Because both adipocytes and osteoblasts are derived from a common multipotential mesenchymal stem cell, obesity may increase adipocyte differentiation and fat accumulation while decrease osteoblast differentiation and bone formation. Obesity is associated with chronic inflammation. The increased circulating and tissue proinflammatory cytokines in obesity may promote osteoclast activity and bone resorption through modifying the receptor activator of NF-\u03baB (RANK)/RANK ligand/osteoprotegerin pathway. Furthermore, the excessive secretion of leptin and/or decreased production of adiponectin by adipocytes in obesity may either directly affect bone formation or indirectly affect bone resorption through up-regulated proinflammatory cytokine production. Finally, high-fat intake may interfere with intestinal calcium absorption and therefore decrease calcium availability for bone formation. Unraveling the relationship between fat and bone metabolism at molecular level may help us to develop therapeutic agents to prevent or treat both obesity and osteoporosis. Obesity, defined as having a body mass index \u2265 30 kg/m2, is a condition in which excessive body fat accumulates to a degree that adversely affects health. The rates of obesity rates have doubled since 1980 and as of 2007, 33% of men and 35% of women in the US are obese. Obesity is positively associated to many chronic disorders such as hypertension, dyslipidemia, type 2 diabetes mellitus, coronary heart disease, and certain cancers. It is estimated that the direct medical cost associated with obesity in the United States is ~$100 billion per year.Bone mass and strength decrease during adulthood, especially in women after menopause. These changes can culminate i\u2026", "author" : [ { "dropping-particle" : "", "family" : "Cao", "given" : "Jay J", "non-dropping-particle" : "", "parse-names" : false, "suffix" : "" } ], "container-title" : "Journal of orthopaedic surgery and research", "id" : "ITEM-3", "issue" : "1", "issued" : { "date-parts" : [ [ "2011" ] ] }, "page" : "30", "publisher" : "BioMed Central Ltd", "title" : "Effects of obesity on bone metabolism.", "type" : "article-journal", "volume" : "6" }, "uris" : [ "http://www.mendeley.com/documents/?uuid=62f05452-7a6d-49c3-8a63-1fa9385f7bf0" ] }, { "id" : "ITEM-4", "itemData" : { "author" : [ { "dropping-particle" : "", "family" : "Wong", "given" : "SK", "non-dropping-particle" : "", "parse-names" : false, "suffix" : "" }, { "dropping-particle" : "", "family" : "Chin", "given" : "KY", "non-dropping-particle" : "", "parse-names" : false, "suffix" : "" }, { "dropping-particle" : "", "family" : "Suhaimi", "given" : "FH", "non-dropping-particle" : "", "parse-names" : false, "suffix" : "" }, { "dropping-particle" : "", "family" : "Ahmad", "given" : "F", "non-dropping-particle" : "", "parse-names" : false, "suffix" : "" }, { "dropping-particle" : "", "family" : "Ima-Nirwana", "given" : "S", "non-dropping-particle" : "", "parse-names" : false, "suffix" : "" } ], "container-title" : "Nutrients", "id" : "ITEM-4", "issue" : "6", "issued" : { "date-parts" : [ [ "2016" ] ] }, "page" : "E347", "title" : "The relationship between metabolic syndrome and osteoporosis: A review", "type" : "article-journal", "volume" : "8" }, "uris" : [ "http://www.mendeley.com/documents/?uuid=83110aae-fd5f-4471-89df-d2efaf8e896c" ] } ], "mendeley" : { "formattedCitation" : "&lt;sup&gt;16\u201319&lt;/sup&gt;", "plainTextFormattedCitation" : "16\u201319", "previouslyFormattedCitation" : "&lt;sup&gt;16\u201319&lt;/sup&gt;"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16–19</w:t>
      </w:r>
      <w:r w:rsidR="00156059">
        <w:rPr>
          <w:sz w:val="24"/>
          <w:szCs w:val="24"/>
        </w:rPr>
        <w:fldChar w:fldCharType="end"/>
      </w:r>
      <w:r w:rsidR="003C3008">
        <w:rPr>
          <w:sz w:val="24"/>
          <w:szCs w:val="24"/>
        </w:rPr>
        <w:t xml:space="preserve"> </w:t>
      </w:r>
      <w:r w:rsidRPr="003C3008">
        <w:rPr>
          <w:rFonts w:eastAsia="PMingLiU"/>
          <w:sz w:val="24"/>
          <w:szCs w:val="24"/>
          <w:lang w:eastAsia="zh-HK"/>
        </w:rPr>
        <w:t>For example, an</w:t>
      </w:r>
      <w:r w:rsidR="0036552A" w:rsidRPr="003C3008">
        <w:rPr>
          <w:rFonts w:eastAsia="PMingLiU"/>
          <w:sz w:val="24"/>
          <w:szCs w:val="24"/>
          <w:lang w:eastAsia="zh-HK"/>
        </w:rPr>
        <w:t xml:space="preserve"> </w:t>
      </w:r>
      <w:r w:rsidRPr="003C3008">
        <w:rPr>
          <w:rFonts w:eastAsia="PMingLiU"/>
          <w:sz w:val="24"/>
          <w:szCs w:val="24"/>
          <w:lang w:eastAsia="zh-HK"/>
        </w:rPr>
        <w:t>obese state is associated with increased oxidative stress,</w:t>
      </w:r>
      <w:r w:rsidR="003C3008" w:rsidRPr="003C3008">
        <w:rPr>
          <w:rFonts w:eastAsia="PMingLiU"/>
          <w:sz w:val="24"/>
          <w:szCs w:val="24"/>
          <w:lang w:eastAsia="zh-HK"/>
        </w:rPr>
        <w:t xml:space="preserve"> </w:t>
      </w:r>
      <w:r w:rsidR="00156059">
        <w:rPr>
          <w:rFonts w:eastAsia="PMingLiU"/>
          <w:sz w:val="24"/>
          <w:szCs w:val="24"/>
          <w:lang w:eastAsia="zh-HK"/>
        </w:rPr>
        <w:fldChar w:fldCharType="begin" w:fldLock="1"/>
      </w:r>
      <w:r w:rsidR="0075024E">
        <w:rPr>
          <w:rFonts w:eastAsia="PMingLiU"/>
          <w:sz w:val="24"/>
          <w:szCs w:val="24"/>
          <w:lang w:eastAsia="zh-HK"/>
        </w:rPr>
        <w:instrText>ADDIN CSL_CITATION { "citationItems" : [ { "id" : "ITEM-1", "itemData" : { "author" : [ { "dropping-particle" : "", "family" : "Vincent", "given" : "HK", "non-dropping-particle" : "", "parse-names" : false, "suffix" : "" }, { "dropping-particle" : "", "family" : "Taylor", "given" : "AG", "non-dropping-particle" : "", "parse-names" : false, "suffix" : "" } ], "container-title" : "INTERNATIONAL JOURNAL OF OBESITY", "id" : "ITEM-1", "issue" : "3", "issued" : { "date-parts" : [ [ "2006" ] ] }, "page" : "400-18", "title" : "Biomarkers and potential mechanisms of obesity-induced oxidant stress in humans", "type" : "article-journal", "volume" : "30" }, "uris" : [ "http://www.mendeley.com/documents/?uuid=a89e9476-12e7-4617-907f-894721e51bfb" ] } ], "mendeley" : { "formattedCitation" : "&lt;sup&gt;20&lt;/sup&gt;", "plainTextFormattedCitation" : "20", "previouslyFormattedCitation" : "&lt;sup&gt;20&lt;/sup&gt;" }, "properties" : { "noteIndex" : 0 }, "schema" : "https://github.com/citation-style-language/schema/raw/master/csl-citation.json" }</w:instrText>
      </w:r>
      <w:r w:rsidR="00156059">
        <w:rPr>
          <w:rFonts w:eastAsia="PMingLiU"/>
          <w:sz w:val="24"/>
          <w:szCs w:val="24"/>
          <w:lang w:eastAsia="zh-HK"/>
        </w:rPr>
        <w:fldChar w:fldCharType="separate"/>
      </w:r>
      <w:r w:rsidR="00AA43A0" w:rsidRPr="00AA43A0">
        <w:rPr>
          <w:rFonts w:eastAsia="PMingLiU"/>
          <w:noProof/>
          <w:sz w:val="24"/>
          <w:szCs w:val="24"/>
          <w:vertAlign w:val="superscript"/>
          <w:lang w:eastAsia="zh-HK"/>
        </w:rPr>
        <w:t>20</w:t>
      </w:r>
      <w:r w:rsidR="00156059">
        <w:rPr>
          <w:rFonts w:eastAsia="PMingLiU"/>
          <w:sz w:val="24"/>
          <w:szCs w:val="24"/>
          <w:lang w:eastAsia="zh-HK"/>
        </w:rPr>
        <w:fldChar w:fldCharType="end"/>
      </w:r>
      <w:r w:rsidR="00636464">
        <w:rPr>
          <w:rFonts w:eastAsia="PMingLiU"/>
          <w:sz w:val="24"/>
          <w:szCs w:val="24"/>
          <w:lang w:eastAsia="zh-HK"/>
        </w:rPr>
        <w:t xml:space="preserve"> </w:t>
      </w:r>
      <w:r w:rsidRPr="003C3008">
        <w:rPr>
          <w:rFonts w:eastAsia="PMingLiU"/>
          <w:sz w:val="24"/>
          <w:szCs w:val="24"/>
          <w:lang w:eastAsia="zh-HK"/>
        </w:rPr>
        <w:t xml:space="preserve">which has consequences for bone health. </w:t>
      </w:r>
      <w:r w:rsidRPr="00F77F70">
        <w:rPr>
          <w:rFonts w:eastAsia="PMingLiU"/>
          <w:sz w:val="24"/>
          <w:szCs w:val="24"/>
          <w:lang w:eastAsia="zh-HK"/>
        </w:rPr>
        <w:t xml:space="preserve">Reactive oxygen species (ROS) act as signalling </w:t>
      </w:r>
      <w:r w:rsidRPr="00F77F70">
        <w:rPr>
          <w:rFonts w:eastAsia="PMingLiU"/>
          <w:sz w:val="24"/>
          <w:szCs w:val="24"/>
          <w:lang w:eastAsia="zh-HK"/>
        </w:rPr>
        <w:lastRenderedPageBreak/>
        <w:t xml:space="preserve">molecules in the regulation of bone remodelling by mediating </w:t>
      </w:r>
      <w:proofErr w:type="spellStart"/>
      <w:r w:rsidRPr="00F77F70">
        <w:rPr>
          <w:rFonts w:eastAsia="PMingLiU"/>
          <w:sz w:val="24"/>
          <w:szCs w:val="24"/>
          <w:lang w:eastAsia="zh-HK"/>
        </w:rPr>
        <w:t>osteoclast</w:t>
      </w:r>
      <w:proofErr w:type="spellEnd"/>
      <w:r w:rsidRPr="00F77F70">
        <w:rPr>
          <w:rFonts w:eastAsia="PMingLiU"/>
          <w:sz w:val="24"/>
          <w:szCs w:val="24"/>
          <w:lang w:eastAsia="zh-HK"/>
        </w:rPr>
        <w:t xml:space="preserve"> differentiation</w:t>
      </w:r>
      <w:r w:rsidR="00636464">
        <w:rPr>
          <w:rFonts w:eastAsia="PMingLiU"/>
          <w:sz w:val="24"/>
          <w:szCs w:val="24"/>
          <w:lang w:eastAsia="zh-HK"/>
        </w:rPr>
        <w:t xml:space="preserve">. </w:t>
      </w:r>
      <w:r w:rsidR="00156059">
        <w:rPr>
          <w:rFonts w:eastAsia="PMingLiU"/>
          <w:sz w:val="24"/>
          <w:szCs w:val="24"/>
          <w:lang w:eastAsia="zh-HK"/>
        </w:rPr>
        <w:fldChar w:fldCharType="begin" w:fldLock="1"/>
      </w:r>
      <w:r w:rsidR="0075024E">
        <w:rPr>
          <w:rFonts w:eastAsia="PMingLiU"/>
          <w:sz w:val="24"/>
          <w:szCs w:val="24"/>
          <w:lang w:eastAsia="zh-HK"/>
        </w:rPr>
        <w:instrText>ADDIN CSL_CITATION { "citationItems" : [ { "id" : "ITEM-1", "itemData" : { "DOI" : "10.1016/j.yexcr.2004.07.035", "ISBN" : "0014-4827 (Print)\\r0014-4827 (Linking)", "ISSN" : "00144827", "PMID" : "15530848", "abstract" : "RANKL, a member of tumor necrosis factor (TNF) superfamily, regulates the differentiation, activation, and survival of osteoclasts through binding to its cognate receptor, RANK. RANK can interact with several TNF-receptor-associated factors (TRAFs) and activates signaling molecules including Akt, NF-??B, and MAPKs. Although the transient elevation of reactive oxygen species (ROS) by receptor activation has been shown to act as a cellular secondary messenger, the involvement of ROS in RANK signaling pathways has been not characterized. In this study, we found that RANKL stimulated ROS generation in osteoclasts. Pretreatment of osteoclasts with the antioxidants N-acetyl-l-cystein and glutathione reduced RANKL-induced Akt, NF-??B, and ERK activation. The reduced NF-??B activity by antioxidants was associated with decreased IKK activity and I??B?? phosphorylation. In contrast, antioxidants did not prevent TNF-??-induced Akt and NF-??B activation. Pretreatment with antioxidants also significantly reduced RANKL-induced actin ring formation, required for bone resorbing activity, and osteoclast survival. Taken together, our results suggest that ROS act as mediators in RANKL-induced signaling pathways and cellular events. ?? 2004 Elsevier Inc. All rights reserved.", "author" : [ { "dropping-particle" : "", "family" : "Ha", "given" : "Hyunil", "non-dropping-particle" : "", "parse-names" : false, "suffix" : "" }, { "dropping-particle" : "", "family" : "Bok Kwak", "given" : "Han", "non-dropping-particle" : "", "parse-names" : false, "suffix" : "" }, { "dropping-particle" : "", "family" : "Woong Lee", "given" : "Soo", "non-dropping-particle" : "", "parse-names" : false, "suffix" : "" }, { "dropping-particle" : "", "family" : "Mi Jin", "given" : "Hye", "non-dropping-particle" : "", "parse-names" : false, "suffix" : "" }, { "dropping-particle" : "", "family" : "Kim", "given" : "Hyun Man", "non-dropping-particle" : "", "parse-names" : false, "suffix" : "" }, { "dropping-particle" : "", "family" : "Kim", "given" : "Hong Hee", "non-dropping-particle" : "", "parse-names" : false, "suffix" : "" }, { "dropping-particle" : "", "family" : "Hee Lee", "given" : "Zang", "non-dropping-particle" : "", "parse-names" : false, "suffix" : "" } ], "container-title" : "Experimental Cell Research", "id" : "ITEM-1", "issue" : "2", "issued" : { "date-parts" : [ [ "2004" ] ] }, "page" : "119-127", "title" : "Reactive oxygen species mediate RANK signaling in osteoclasts", "type" : "article-journal", "volume" : "301" }, "uris" : [ "http://www.mendeley.com/documents/?uuid=f98cb404-8ce1-4a69-b2aa-1b94d74c0d94" ] }, { "id" : "ITEM-2", "itemData" : { "author" : [ { "dropping-particle" : "", "family" : "Lee", "given" : "NK", "non-dropping-particle" : "", "parse-names" : false, "suffix" : "" }, { "dropping-particle" : "", "family" : "Choi", "given" : "YG", "non-dropping-particle" : "", "parse-names" : false, "suffix" : "" }, { "dropping-particle" : "", "family" : "Baik", "given" : "JY", "non-dropping-particle" : "", "parse-names" : false, "suffix" : "" }, { "dropping-particle" : "", "family" : "Han", "given" : "SY", "non-dropping-particle" : "", "parse-names" : false, "suffix" : "" }, { "dropping-particle" : "", "family" : "Jeong", "given" : "DW", "non-dropping-particle" : "", "parse-names" : false, "suffix" : "" }, { "dropping-particle" : "", "family" : "Bae", "given" : "YS", "non-dropping-particle" : "", "parse-names" : false, "suffix" : "" }, { "dropping-particle" : "", "family" : "Kim", "given" : "N", "non-dropping-particle" : "", "parse-names" : false, "suffix" : "" }, { "dropping-particle" : "", "family" : "Lee", "given" : "SY", "non-dropping-particle" : "", "parse-names" : false, "suffix" : "" } ], "container-title" : "Blood", "id" : "ITEM-2", "issue" : "3", "issued" : { "date-parts" : [ [ "2005" ] ] }, "page" : "852-9", "title" : "A crucial role for reactive oxygen species in RANKL-induced osteoclast differentiation", "type" : "article-journal", "volume" : "106" }, "uris" : [ "http://www.mendeley.com/documents/?uuid=84c158e4-8bbb-4085-8ec7-9a28adf31f07" ] } ], "mendeley" : { "formattedCitation" : "&lt;sup&gt;21,22&lt;/sup&gt;", "plainTextFormattedCitation" : "21,22", "previouslyFormattedCitation" : "&lt;sup&gt;21,22&lt;/sup&gt;" }, "properties" : { "noteIndex" : 0 }, "schema" : "https://github.com/citation-style-language/schema/raw/master/csl-citation.json" }</w:instrText>
      </w:r>
      <w:r w:rsidR="00156059">
        <w:rPr>
          <w:rFonts w:eastAsia="PMingLiU"/>
          <w:sz w:val="24"/>
          <w:szCs w:val="24"/>
          <w:lang w:eastAsia="zh-HK"/>
        </w:rPr>
        <w:fldChar w:fldCharType="separate"/>
      </w:r>
      <w:r w:rsidR="00AA43A0" w:rsidRPr="00AA43A0">
        <w:rPr>
          <w:rFonts w:eastAsia="PMingLiU"/>
          <w:noProof/>
          <w:sz w:val="24"/>
          <w:szCs w:val="24"/>
          <w:vertAlign w:val="superscript"/>
          <w:lang w:eastAsia="zh-HK"/>
        </w:rPr>
        <w:t>21,22</w:t>
      </w:r>
      <w:r w:rsidR="00156059">
        <w:rPr>
          <w:rFonts w:eastAsia="PMingLiU"/>
          <w:sz w:val="24"/>
          <w:szCs w:val="24"/>
          <w:lang w:eastAsia="zh-HK"/>
        </w:rPr>
        <w:fldChar w:fldCharType="end"/>
      </w:r>
      <w:r w:rsidR="00636464">
        <w:rPr>
          <w:rFonts w:eastAsia="PMingLiU"/>
          <w:sz w:val="24"/>
          <w:szCs w:val="24"/>
          <w:lang w:eastAsia="zh-HK"/>
        </w:rPr>
        <w:t xml:space="preserve"> </w:t>
      </w:r>
      <w:r w:rsidRPr="00F77F70">
        <w:rPr>
          <w:rFonts w:eastAsia="PMingLiU"/>
          <w:sz w:val="24"/>
          <w:szCs w:val="24"/>
          <w:lang w:eastAsia="zh-HK"/>
        </w:rPr>
        <w:t>Elevated ROS, as occurs in a state of oxidative stress</w:t>
      </w:r>
      <w:r w:rsidR="00AF4DD8">
        <w:rPr>
          <w:rFonts w:eastAsia="PMingLiU"/>
          <w:sz w:val="24"/>
          <w:szCs w:val="24"/>
          <w:lang w:eastAsia="zh-HK"/>
        </w:rPr>
        <w:t xml:space="preserve"> however</w:t>
      </w:r>
      <w:r w:rsidRPr="00F77F70">
        <w:rPr>
          <w:rFonts w:eastAsia="PMingLiU"/>
          <w:sz w:val="24"/>
          <w:szCs w:val="24"/>
          <w:lang w:eastAsia="zh-HK"/>
        </w:rPr>
        <w:t xml:space="preserve">, could cause a disproportionate increase in bone </w:t>
      </w:r>
      <w:proofErr w:type="spellStart"/>
      <w:r w:rsidRPr="00F77F70">
        <w:rPr>
          <w:rFonts w:eastAsia="PMingLiU"/>
          <w:sz w:val="24"/>
          <w:szCs w:val="24"/>
          <w:lang w:eastAsia="zh-HK"/>
        </w:rPr>
        <w:t>resorption</w:t>
      </w:r>
      <w:proofErr w:type="spellEnd"/>
      <w:r w:rsidRPr="00F77F70">
        <w:rPr>
          <w:rFonts w:eastAsia="PMingLiU"/>
          <w:sz w:val="24"/>
          <w:szCs w:val="24"/>
          <w:lang w:eastAsia="zh-HK"/>
        </w:rPr>
        <w:t xml:space="preserve">, increasing the rate of bone loss and contributing to the </w:t>
      </w:r>
      <w:proofErr w:type="spellStart"/>
      <w:r w:rsidRPr="00F77F70">
        <w:rPr>
          <w:rFonts w:eastAsia="PMingLiU"/>
          <w:sz w:val="24"/>
          <w:szCs w:val="24"/>
          <w:lang w:eastAsia="zh-HK"/>
        </w:rPr>
        <w:t>pathophysiology</w:t>
      </w:r>
      <w:proofErr w:type="spellEnd"/>
      <w:r w:rsidRPr="00F77F70">
        <w:rPr>
          <w:rFonts w:eastAsia="PMingLiU"/>
          <w:sz w:val="24"/>
          <w:szCs w:val="24"/>
          <w:lang w:eastAsia="zh-HK"/>
        </w:rPr>
        <w:t xml:space="preserve"> of a number of bone disorders</w:t>
      </w:r>
      <w:r w:rsidR="00636464" w:rsidRPr="00636464">
        <w:rPr>
          <w:rFonts w:eastAsia="PMingLiU"/>
          <w:sz w:val="24"/>
          <w:szCs w:val="24"/>
          <w:lang w:eastAsia="zh-HK"/>
        </w:rPr>
        <w:t xml:space="preserve">. </w:t>
      </w:r>
      <w:r w:rsidR="00156059" w:rsidRPr="00636464">
        <w:rPr>
          <w:rFonts w:eastAsia="PMingLiU"/>
          <w:sz w:val="24"/>
          <w:szCs w:val="24"/>
          <w:lang w:eastAsia="zh-HK"/>
        </w:rPr>
        <w:fldChar w:fldCharType="begin" w:fldLock="1"/>
      </w:r>
      <w:r w:rsidR="0075024E">
        <w:rPr>
          <w:rFonts w:eastAsia="PMingLiU"/>
          <w:sz w:val="24"/>
          <w:szCs w:val="24"/>
          <w:lang w:eastAsia="zh-HK"/>
        </w:rPr>
        <w:instrText>ADDIN CSL_CITATION { "citationItems" : [ { "id" : "ITEM-1", "itemData" : { "DOI" : "10.1016/j.jbspin.2012.03.007", "ISBN" : "1297-319X", "ISSN" : "1297319X", "PMID" : "22578961", "abstract" : "Reactive oxygen species (ROS) are well recognised for playing a dual role as both deleterious and beneficial species. They are normally generated by tightly regulated enzymes. ROS overproduction arises either from mitochondrial electron transport chain or excessive stimulation of NAD(P)H resulting in oxidative stress, a deleterious process that can be an important mediator of damage to cell structures (lipids, membranes, proteins, and DNA). However, ROS could have a beneficial affect at low/moderate concentrations. Physiological roles in cellular responses to noxia have been reported, in defence against infectious agents, in the function of a number of cellular signalling pathways, and the induction of a mitogenic response. The role of ROS in bone metabolism is dual. It is a key modulator of bone cell function and also implicated in the pathophysiology of mineral tissues. Elevated production of ROS and/or depletion of antioxidants have also been observed in a variety of pathological conditions, including inflammatory joint diseases. Performing physical exercise is associated with numerous health benefits, playing a role especially in the prevention of bone loss. However, the production of ROS increases during demanding exercise. To explore this further, the aim of the present review was to examine bone remodelling in relation to oxidative stress and exercise. ?? 2012 Soci??t?? fran??aise de rhumatologie.", "author" : [ { "dropping-particle" : "", "family" : "Filaire", "given" : "Edith", "non-dropping-particle" : "", "parse-names" : false, "suffix" : "" }, { "dropping-particle" : "", "family" : "Toumi", "given" : "Hechmi", "non-dropping-particle" : "", "parse-names" : false, "suffix" : "" } ], "container-title" : "Joint Bone Spine", "id" : "ITEM-1", "issue" : "4", "issued" : { "date-parts" : [ [ "2012" ] ] }, "page" : "341-346", "title" : "Reactive oxygen species and exercise on bone metabolism: Friend or enemy?", "type" : "article-journal", "volume" : "79" }, "uris" : [ "http://www.mendeley.com/documents/?uuid=5629100e-bc54-451b-8d5a-1c4a482e61c3" ] }, { "id" : "ITEM-2", "itemData" : { "DOI" : "10.1016/j.molmed.2009.08.004", "ISBN" : "1471-499X (Electronic)\\n1471-4914 (Linking)", "ISSN" : "14714914", "PMID" : "19811952", "abstract" : "Oxidative stress is characterised by an increased level of reactive oxygen species (ROS) that disrupts the intracellular reduction-oxidation (redox) balance. Although initially shown to be involved in aging, physiological roles for ROS in regulating cell functions and mediating intracellular signals have emerged. In bone tissues, recent studies have demonstrated that ROS generation is a key modulator of bone cell function and that oxidative status influences the pathophysiology of mineralised tissues. Here, we review the crucial role of oxidative stress in bone pathophysiology, and discuss the possibility that ROS production might be a relevant therapeutic target under certain conditions. Further studies will be needed to investigate whether manipulation of the redox balance in bone cells represents a useful approach in the design of future therapies for bone diseases. ?? 2009 Elsevier Ltd. All rights reserved.", "author" : [ { "dropping-particle" : "", "family" : "Wauquier", "given" : "Fabien", "non-dropping-particle" : "", "parse-names" : false, "suffix" : "" }, { "dropping-particle" : "", "family" : "Leotoing", "given" : "Laurent", "non-dropping-particle" : "", "parse-names" : false, "suffix" : "" }, { "dropping-particle" : "", "family" : "Coxam", "given" : "V\u00e9ronique", "non-dropping-particle" : "", "parse-names" : false, "suffix" : "" }, { "dropping-particle" : "", "family" : "Guicheux", "given" : "J\u00e9r\u00f4me", "non-dropping-particle" : "", "parse-names" : false, "suffix" : "" }, { "dropping-particle" : "", "family" : "Wittrant", "given" : "Yohann", "non-dropping-particle" : "", "parse-names" : false, "suffix" : "" } ], "container-title" : "Trends in Molecular Medicine", "id" : "ITEM-2", "issue" : "10", "issued" : { "date-parts" : [ [ "2009" ] ] }, "page" : "468-477", "title" : "Oxidative stress in bone remodelling and disease", "type" : "article-journal", "volume" : "15" }, "uris" : [ "http://www.mendeley.com/documents/?uuid=db184260-7100-4111-9f77-1899bbbbe0eb" ] } ], "mendeley" : { "formattedCitation" : "&lt;sup&gt;23,24&lt;/sup&gt;", "plainTextFormattedCitation" : "23,24", "previouslyFormattedCitation" : "&lt;sup&gt;23,24&lt;/sup&gt;" }, "properties" : { "noteIndex" : 0 }, "schema" : "https://github.com/citation-style-language/schema/raw/master/csl-citation.json" }</w:instrText>
      </w:r>
      <w:r w:rsidR="00156059" w:rsidRPr="00636464">
        <w:rPr>
          <w:rFonts w:eastAsia="PMingLiU"/>
          <w:sz w:val="24"/>
          <w:szCs w:val="24"/>
          <w:lang w:eastAsia="zh-HK"/>
        </w:rPr>
        <w:fldChar w:fldCharType="separate"/>
      </w:r>
      <w:r w:rsidR="00AA43A0" w:rsidRPr="00AA43A0">
        <w:rPr>
          <w:rFonts w:eastAsia="PMingLiU"/>
          <w:noProof/>
          <w:sz w:val="24"/>
          <w:szCs w:val="24"/>
          <w:vertAlign w:val="superscript"/>
          <w:lang w:eastAsia="zh-HK"/>
        </w:rPr>
        <w:t>23,24</w:t>
      </w:r>
      <w:r w:rsidR="00156059" w:rsidRPr="00636464">
        <w:rPr>
          <w:rFonts w:eastAsia="PMingLiU"/>
          <w:sz w:val="24"/>
          <w:szCs w:val="24"/>
          <w:lang w:eastAsia="zh-HK"/>
        </w:rPr>
        <w:fldChar w:fldCharType="end"/>
      </w:r>
      <w:r w:rsidR="00636464">
        <w:rPr>
          <w:rFonts w:eastAsia="PMingLiU"/>
          <w:sz w:val="24"/>
          <w:szCs w:val="24"/>
          <w:lang w:eastAsia="zh-HK"/>
        </w:rPr>
        <w:t xml:space="preserve"> </w:t>
      </w:r>
      <w:proofErr w:type="gramStart"/>
      <w:r w:rsidRPr="00F77F70">
        <w:rPr>
          <w:rFonts w:eastAsia="PMingLiU"/>
          <w:sz w:val="24"/>
          <w:szCs w:val="24"/>
          <w:lang w:eastAsia="zh-HK"/>
        </w:rPr>
        <w:t>Both</w:t>
      </w:r>
      <w:proofErr w:type="gramEnd"/>
      <w:r w:rsidRPr="00F77F70">
        <w:rPr>
          <w:rFonts w:eastAsia="PMingLiU"/>
          <w:sz w:val="24"/>
          <w:szCs w:val="24"/>
          <w:lang w:eastAsia="zh-HK"/>
        </w:rPr>
        <w:t xml:space="preserve"> </w:t>
      </w:r>
      <w:proofErr w:type="spellStart"/>
      <w:r w:rsidRPr="00F77F70">
        <w:rPr>
          <w:rFonts w:eastAsia="PMingLiU"/>
          <w:sz w:val="24"/>
          <w:szCs w:val="24"/>
          <w:lang w:eastAsia="zh-HK"/>
        </w:rPr>
        <w:t>osteoblasts</w:t>
      </w:r>
      <w:proofErr w:type="spellEnd"/>
      <w:r w:rsidRPr="00F77F70">
        <w:rPr>
          <w:rFonts w:eastAsia="PMingLiU"/>
          <w:sz w:val="24"/>
          <w:szCs w:val="24"/>
          <w:lang w:eastAsia="zh-HK"/>
        </w:rPr>
        <w:t xml:space="preserve"> and </w:t>
      </w:r>
      <w:proofErr w:type="spellStart"/>
      <w:r w:rsidRPr="00F77F70">
        <w:rPr>
          <w:rFonts w:eastAsia="PMingLiU"/>
          <w:sz w:val="24"/>
          <w:szCs w:val="24"/>
          <w:lang w:eastAsia="zh-HK"/>
        </w:rPr>
        <w:t>adipocytes</w:t>
      </w:r>
      <w:proofErr w:type="spellEnd"/>
      <w:r w:rsidRPr="00F77F70">
        <w:rPr>
          <w:rFonts w:eastAsia="PMingLiU"/>
          <w:sz w:val="24"/>
          <w:szCs w:val="24"/>
          <w:lang w:eastAsia="zh-HK"/>
        </w:rPr>
        <w:t xml:space="preserve"> are derived from a common </w:t>
      </w:r>
      <w:proofErr w:type="spellStart"/>
      <w:r w:rsidRPr="00F77F70">
        <w:rPr>
          <w:rFonts w:eastAsia="PMingLiU"/>
          <w:sz w:val="24"/>
          <w:szCs w:val="24"/>
          <w:lang w:eastAsia="zh-HK"/>
        </w:rPr>
        <w:t>mesenchymal</w:t>
      </w:r>
      <w:proofErr w:type="spellEnd"/>
      <w:r w:rsidRPr="00F77F70">
        <w:rPr>
          <w:rFonts w:eastAsia="PMingLiU"/>
          <w:sz w:val="24"/>
          <w:szCs w:val="24"/>
          <w:lang w:eastAsia="zh-HK"/>
        </w:rPr>
        <w:t xml:space="preserve"> stem cell progenitor and increased </w:t>
      </w:r>
      <w:proofErr w:type="spellStart"/>
      <w:r w:rsidRPr="00F77F70">
        <w:rPr>
          <w:rFonts w:eastAsia="PMingLiU"/>
          <w:sz w:val="24"/>
          <w:szCs w:val="24"/>
          <w:lang w:eastAsia="zh-HK"/>
        </w:rPr>
        <w:t>adipogenesis</w:t>
      </w:r>
      <w:proofErr w:type="spellEnd"/>
      <w:r w:rsidRPr="00F77F70">
        <w:rPr>
          <w:rFonts w:eastAsia="PMingLiU"/>
          <w:sz w:val="24"/>
          <w:szCs w:val="24"/>
          <w:lang w:eastAsia="zh-HK"/>
        </w:rPr>
        <w:t xml:space="preserve"> may occur at the expense of </w:t>
      </w:r>
      <w:proofErr w:type="spellStart"/>
      <w:r w:rsidRPr="00F77F70">
        <w:rPr>
          <w:rFonts w:eastAsia="PMingLiU"/>
          <w:sz w:val="24"/>
          <w:szCs w:val="24"/>
          <w:lang w:eastAsia="zh-HK"/>
        </w:rPr>
        <w:t>osteogenesis</w:t>
      </w:r>
      <w:proofErr w:type="spellEnd"/>
      <w:r w:rsidR="00636464">
        <w:rPr>
          <w:rFonts w:eastAsia="PMingLiU"/>
          <w:sz w:val="24"/>
          <w:szCs w:val="24"/>
          <w:lang w:eastAsia="zh-HK"/>
        </w:rPr>
        <w:t xml:space="preserve">. </w:t>
      </w:r>
      <w:r w:rsidR="00156059">
        <w:rPr>
          <w:rFonts w:eastAsia="PMingLiU"/>
          <w:sz w:val="24"/>
          <w:szCs w:val="24"/>
          <w:lang w:eastAsia="zh-HK"/>
        </w:rPr>
        <w:fldChar w:fldCharType="begin" w:fldLock="1"/>
      </w:r>
      <w:r w:rsidR="0075024E">
        <w:rPr>
          <w:rFonts w:eastAsia="PMingLiU"/>
          <w:sz w:val="24"/>
          <w:szCs w:val="24"/>
          <w:lang w:eastAsia="zh-HK"/>
        </w:rPr>
        <w:instrText>ADDIN CSL_CITATION { "citationItems" : [ { "id" : "ITEM-1", "itemData" : { "DOI" : "10.1016/j.arr.2014.02.007", "ISBN" : "1872-9649 (Electronic)\\r1568-1637 (Linking)", "ISSN" : "18729649", "PMID" : "24632496", "abstract" : "While sarcopenia and sarcopenic obesity have been recognized in the last decade, a combined concept to include decreased muscle mass and strength, as well as decreased bone mass with coexistence of adiposity is discussed here. We introduce a new term, osteopenic obesity, and operationalize its meaning within the context of osteopenia and obesity. Next, we consolidate osteopenic obesity with the already existing and more familiar term, sarcopenic obesity, and delineate the resulting combined condition assigning it the term osteosarcopenic obesity. Identification and possible diagnosis of each condition are discussed, as well as the interactions of muscle, fat and bone tissues on cellular level, considering their endocrine features. Special emphasis is placed on the mesenchymal stem cell commitment into osteoblastogenic, adipogenic and myogenic lineages and causes of its deregulation. Based on the presented evidence and as expounded within the text, it is reasonable to say that under certain conditions, osteoporosis and sarcopenia could be the obesity of bone and muscle, respectively, with the term osteosarcopenic obesity as an encompassment for all. ?? 2014.", "author" : [ { "dropping-particle" : "", "family" : "Ilich", "given" : "Jasminka Z.", "non-dropping-particle" : "", "parse-names" : false, "suffix" : "" }, { "dropping-particle" : "", "family" : "Kelly", "given" : "Owen J.", "non-dropping-particle" : "", "parse-names" : false, "suffix" : "" }, { "dropping-particle" : "", "family" : "Inglis", "given" : "Julia E.", "non-dropping-particle" : "", "parse-names" : false, "suffix" : "" }, { "dropping-particle" : "", "family" : "Panton", "given" : "Lynn B.", "non-dropping-particle" : "", "parse-names" : false, "suffix" : "" }, { "dropping-particle" : "", "family" : "Duque", "given" : "Gustavo", "non-dropping-particle" : "", "parse-names" : false, "suffix" : "" }, { "dropping-particle" : "", "family" : "Ormsbee", "given" : "Michael J.", "non-dropping-particle" : "", "parse-names" : false, "suffix" : "" } ], "container-title" : "Ageing Research Reviews", "id" : "ITEM-1", "issue" : "1", "issued" : { "date-parts" : [ [ "2014" ] ] }, "page" : "51-60", "publisher" : "Elsevier B.V.", "title" : "Interrelationship among muscle, fat, and bone: Connecting the dots on cellular, hormonal, and whole body levels", "type" : "article-journal", "volume" : "15" }, "uris" : [ "http://www.mendeley.com/documents/?uuid=bc2731b0-08e4-4d83-9f44-dc6830223566" ] } ], "mendeley" : { "formattedCitation" : "&lt;sup&gt;16&lt;/sup&gt;", "plainTextFormattedCitation" : "16", "previouslyFormattedCitation" : "&lt;sup&gt;16&lt;/sup&gt;" }, "properties" : { "noteIndex" : 0 }, "schema" : "https://github.com/citation-style-language/schema/raw/master/csl-citation.json" }</w:instrText>
      </w:r>
      <w:r w:rsidR="00156059">
        <w:rPr>
          <w:rFonts w:eastAsia="PMingLiU"/>
          <w:sz w:val="24"/>
          <w:szCs w:val="24"/>
          <w:lang w:eastAsia="zh-HK"/>
        </w:rPr>
        <w:fldChar w:fldCharType="separate"/>
      </w:r>
      <w:r w:rsidR="00AA43A0" w:rsidRPr="00AA43A0">
        <w:rPr>
          <w:rFonts w:eastAsia="PMingLiU"/>
          <w:noProof/>
          <w:sz w:val="24"/>
          <w:szCs w:val="24"/>
          <w:vertAlign w:val="superscript"/>
          <w:lang w:eastAsia="zh-HK"/>
        </w:rPr>
        <w:t>16</w:t>
      </w:r>
      <w:r w:rsidR="00156059">
        <w:rPr>
          <w:rFonts w:eastAsia="PMingLiU"/>
          <w:sz w:val="24"/>
          <w:szCs w:val="24"/>
          <w:lang w:eastAsia="zh-HK"/>
        </w:rPr>
        <w:fldChar w:fldCharType="end"/>
      </w:r>
      <w:r w:rsidR="00636464">
        <w:rPr>
          <w:rFonts w:eastAsia="PMingLiU"/>
          <w:sz w:val="24"/>
          <w:szCs w:val="24"/>
          <w:lang w:eastAsia="zh-HK"/>
        </w:rPr>
        <w:t xml:space="preserve"> </w:t>
      </w:r>
      <w:r w:rsidRPr="00F77F70">
        <w:rPr>
          <w:sz w:val="24"/>
          <w:szCs w:val="24"/>
        </w:rPr>
        <w:t xml:space="preserve">In support of this argument is evidence that </w:t>
      </w:r>
      <w:r w:rsidRPr="00F77F70">
        <w:rPr>
          <w:rFonts w:eastAsia="PMingLiU"/>
          <w:sz w:val="24"/>
          <w:szCs w:val="24"/>
          <w:lang w:eastAsia="zh-HK"/>
        </w:rPr>
        <w:t>osteoporosis is associated with an increased prevalence of fat within the bone marrow</w:t>
      </w:r>
      <w:r>
        <w:rPr>
          <w:rFonts w:eastAsia="PMingLiU"/>
          <w:sz w:val="24"/>
          <w:szCs w:val="24"/>
          <w:lang w:eastAsia="zh-HK"/>
        </w:rPr>
        <w:t>,</w:t>
      </w:r>
      <w:r w:rsidR="00636464">
        <w:rPr>
          <w:rFonts w:eastAsia="PMingLiU"/>
          <w:sz w:val="24"/>
          <w:szCs w:val="24"/>
          <w:lang w:eastAsia="zh-HK"/>
        </w:rPr>
        <w:t xml:space="preserve"> </w:t>
      </w:r>
      <w:r w:rsidR="00156059">
        <w:rPr>
          <w:rFonts w:eastAsia="PMingLiU"/>
          <w:sz w:val="24"/>
          <w:szCs w:val="24"/>
          <w:lang w:eastAsia="zh-HK"/>
        </w:rPr>
        <w:fldChar w:fldCharType="begin" w:fldLock="1"/>
      </w:r>
      <w:r w:rsidR="0075024E">
        <w:rPr>
          <w:rFonts w:eastAsia="PMingLiU"/>
          <w:sz w:val="24"/>
          <w:szCs w:val="24"/>
          <w:lang w:eastAsia="zh-HK"/>
        </w:rPr>
        <w:instrText>ADDIN CSL_CITATION { "citationItems" : [ { "id" : "ITEM-1", "itemData" : { "DOI" : "10.1002/jmri.20367", "ISBN" : "1053-1807 (Print)\\r1053-1807 (Linking)", "ISSN" : "10531807", "PMID" : "16028245", "abstract" : "PURPOSE: To use proton magnetic resonance spectroscopy ((1)H-MRS) to evaluate vertebral marrow fat, and to determine whether bone density correlates with fat content and fat unsaturation levels in postmenopausal women. MATERIALS AND METHODS: Fifty-three women (mean age = 70 years) underwent dual energy x-ray absorptiometry and (1)H-MRS, and 12 young female controls (mean age = 28 years) underwent (1)H-MRS of the lumber spine. Water and lipid peak amplitudes were measured to calculate fat content and fat unsaturation index. Spearman's correlation tests and a t-test comparison of means were applied. RESULTS: (1)H-MRS was successful in 15 normal, 15 osteopenic, and 20 osteoporotic subjects, and in all controls. Marrow fat content was significantly elevated in osteoporotic (65.5% +/- 10%) and osteopenic (63.5% +/- 9.3%) subjects compared to normal subjects (56.3% +/- 11.2%) and young controls (29% +/- 9.6%). The fat unsaturation index was significantly decreased in osteoporotic (0.091 +/- 0.013) and osteopenic (0.097 +/- 0.014) subjects compared to normal subjects (0.114 +/- 0.016) and young controls (0.127 +/- 0.031). A good inverse correlation was observed between the fat content and the unsaturation index (r(s) = -0.53, P &lt; 0.0001). CONCLUSION: Osteoporosis is associated with increased marrow fat. As marrow fat increases, saturated lipids appear to increase preferentially to unsaturated lipids.", "author" : [ { "dropping-particle" : "", "family" : "Yeung", "given" : "David K W", "non-dropping-particle" : "", "parse-names" : false, "suffix" : "" }, { "dropping-particle" : "", "family" : "Griffith", "given" : "James F.", "non-dropping-particle" : "", "parse-names" : false, "suffix" : "" }, { "dropping-particle" : "", "family" : "Antonio", "given" : "Gregory E.", "non-dropping-particle" : "", "parse-names" : false, "suffix" : "" }, { "dropping-particle" : "", "family" : "Lee", "given" : "Francis K H", "non-dropping-particle" : "", "parse-names" : false, "suffix" : "" }, { "dropping-particle" : "", "family" : "Woo", "given" : "Jean", "non-dropping-particle" : "", "parse-names" : false, "suffix" : "" }, { "dropping-particle" : "", "family" : "Leung", "given" : "Ping C.", "non-dropping-particle" : "", "parse-names" : false, "suffix" : "" } ], "container-title" : "Journal of Magnetic Resonance Imaging", "id" : "ITEM-1", "issue" : "2", "issued" : { "date-parts" : [ [ "2005" ] ] }, "page" : "279-285", "title" : "Osteoporosis is associated with increased marrow fat content and decreased marrow fat unsaturation: A proton MR spectroscopy study", "type" : "article-journal", "volume" : "22" }, "uris" : [ "http://www.mendeley.com/documents/?uuid=540d96ec-f2c1-4996-9028-eea99e14d9bf" ] } ], "mendeley" : { "formattedCitation" : "&lt;sup&gt;25&lt;/sup&gt;", "plainTextFormattedCitation" : "25", "previouslyFormattedCitation" : "&lt;sup&gt;25&lt;/sup&gt;" }, "properties" : { "noteIndex" : 0 }, "schema" : "https://github.com/citation-style-language/schema/raw/master/csl-citation.json" }</w:instrText>
      </w:r>
      <w:r w:rsidR="00156059">
        <w:rPr>
          <w:rFonts w:eastAsia="PMingLiU"/>
          <w:sz w:val="24"/>
          <w:szCs w:val="24"/>
          <w:lang w:eastAsia="zh-HK"/>
        </w:rPr>
        <w:fldChar w:fldCharType="separate"/>
      </w:r>
      <w:r w:rsidR="00AA43A0" w:rsidRPr="00AA43A0">
        <w:rPr>
          <w:rFonts w:eastAsia="PMingLiU"/>
          <w:noProof/>
          <w:sz w:val="24"/>
          <w:szCs w:val="24"/>
          <w:vertAlign w:val="superscript"/>
          <w:lang w:eastAsia="zh-HK"/>
        </w:rPr>
        <w:t>25</w:t>
      </w:r>
      <w:r w:rsidR="00156059">
        <w:rPr>
          <w:rFonts w:eastAsia="PMingLiU"/>
          <w:sz w:val="24"/>
          <w:szCs w:val="24"/>
          <w:lang w:eastAsia="zh-HK"/>
        </w:rPr>
        <w:fldChar w:fldCharType="end"/>
      </w:r>
      <w:r w:rsidR="00F13FE9">
        <w:rPr>
          <w:rFonts w:eastAsia="PMingLiU"/>
          <w:sz w:val="24"/>
          <w:szCs w:val="24"/>
          <w:lang w:eastAsia="zh-HK"/>
        </w:rPr>
        <w:t xml:space="preserve"> </w:t>
      </w:r>
      <w:r w:rsidRPr="00F77F70">
        <w:rPr>
          <w:rFonts w:eastAsia="PMingLiU"/>
          <w:sz w:val="24"/>
          <w:szCs w:val="24"/>
          <w:lang w:eastAsia="zh-HK"/>
        </w:rPr>
        <w:t xml:space="preserve">although it is not clear whether this is the cause of bone loss or if fat subsequently fills the </w:t>
      </w:r>
      <w:proofErr w:type="spellStart"/>
      <w:r w:rsidRPr="00F77F70">
        <w:rPr>
          <w:rFonts w:eastAsia="PMingLiU"/>
          <w:sz w:val="24"/>
          <w:szCs w:val="24"/>
          <w:lang w:eastAsia="zh-HK"/>
        </w:rPr>
        <w:t>medullary</w:t>
      </w:r>
      <w:proofErr w:type="spellEnd"/>
      <w:r w:rsidRPr="00F77F70">
        <w:rPr>
          <w:rFonts w:eastAsia="PMingLiU"/>
          <w:sz w:val="24"/>
          <w:szCs w:val="24"/>
          <w:lang w:eastAsia="zh-HK"/>
        </w:rPr>
        <w:t xml:space="preserve"> spaces once bone is already lo</w:t>
      </w:r>
      <w:r w:rsidRPr="00636464">
        <w:rPr>
          <w:rFonts w:eastAsia="PMingLiU"/>
          <w:sz w:val="24"/>
          <w:szCs w:val="24"/>
          <w:lang w:eastAsia="zh-HK"/>
        </w:rPr>
        <w:t>st</w:t>
      </w:r>
      <w:r w:rsidR="00636464" w:rsidRPr="00636464">
        <w:rPr>
          <w:rFonts w:eastAsia="PMingLiU"/>
          <w:sz w:val="24"/>
          <w:szCs w:val="24"/>
          <w:lang w:eastAsia="zh-HK"/>
        </w:rPr>
        <w:t xml:space="preserve">. </w:t>
      </w:r>
      <w:r w:rsidR="00156059" w:rsidRPr="00636464">
        <w:rPr>
          <w:rFonts w:eastAsia="PMingLiU"/>
          <w:sz w:val="24"/>
          <w:szCs w:val="24"/>
          <w:lang w:eastAsia="zh-HK"/>
        </w:rPr>
        <w:fldChar w:fldCharType="begin" w:fldLock="1"/>
      </w:r>
      <w:r w:rsidR="0075024E">
        <w:rPr>
          <w:rFonts w:eastAsia="PMingLiU"/>
          <w:sz w:val="24"/>
          <w:szCs w:val="24"/>
          <w:lang w:eastAsia="zh-HK"/>
        </w:rPr>
        <w:instrText>ADDIN CSL_CITATION { "citationItems" : [ { "id" : "ITEM-1", "itemData" : { "author" : [ { "dropping-particle" : "", "family" : "Rosen", "given" : "CJ", "non-dropping-particle" : "", "parse-names" : false, "suffix" : "" }, { "dropping-particle" : "", "family" : "Bouxsein", "given" : "ML", "non-dropping-particle" : "", "parse-names" : false, "suffix" : "" } ], "container-title" : "Nature clinical practice: Rheumatology", "id" : "ITEM-1", "issue" : "1", "issued" : { "date-parts" : [ [ "2006" ] ] }, "page" : "35-43", "title" : "Mechanisms of disease: is osteoporosis the obesity of bone?", "type" : "article-journal", "volume" : "2" }, "uris" : [ "http://www.mendeley.com/documents/?uuid=3d01d56a-f9ea-475d-9668-7b89831317f4" ] } ], "mendeley" : { "formattedCitation" : "&lt;sup&gt;26&lt;/sup&gt;", "plainTextFormattedCitation" : "26", "previouslyFormattedCitation" : "&lt;sup&gt;26&lt;/sup&gt;" }, "properties" : { "noteIndex" : 0 }, "schema" : "https://github.com/citation-style-language/schema/raw/master/csl-citation.json" }</w:instrText>
      </w:r>
      <w:r w:rsidR="00156059" w:rsidRPr="00636464">
        <w:rPr>
          <w:rFonts w:eastAsia="PMingLiU"/>
          <w:sz w:val="24"/>
          <w:szCs w:val="24"/>
          <w:lang w:eastAsia="zh-HK"/>
        </w:rPr>
        <w:fldChar w:fldCharType="separate"/>
      </w:r>
      <w:r w:rsidR="00AA43A0" w:rsidRPr="00AA43A0">
        <w:rPr>
          <w:rFonts w:eastAsia="PMingLiU"/>
          <w:noProof/>
          <w:sz w:val="24"/>
          <w:szCs w:val="24"/>
          <w:vertAlign w:val="superscript"/>
          <w:lang w:eastAsia="zh-HK"/>
        </w:rPr>
        <w:t>26</w:t>
      </w:r>
      <w:r w:rsidR="00156059" w:rsidRPr="00636464">
        <w:rPr>
          <w:rFonts w:eastAsia="PMingLiU"/>
          <w:sz w:val="24"/>
          <w:szCs w:val="24"/>
          <w:lang w:eastAsia="zh-HK"/>
        </w:rPr>
        <w:fldChar w:fldCharType="end"/>
      </w:r>
      <w:r w:rsidRPr="00636464">
        <w:rPr>
          <w:rFonts w:eastAsia="PMingLiU"/>
          <w:sz w:val="24"/>
          <w:szCs w:val="24"/>
          <w:lang w:eastAsia="zh-HK"/>
        </w:rPr>
        <w:t xml:space="preserve"> Additionally</w:t>
      </w:r>
      <w:r w:rsidRPr="00F77F70">
        <w:rPr>
          <w:rFonts w:eastAsia="PMingLiU"/>
          <w:sz w:val="24"/>
          <w:szCs w:val="24"/>
          <w:lang w:eastAsia="zh-HK"/>
        </w:rPr>
        <w:t>, obesity typically occurs, at least in part, as a result of a sedentary lifestyle</w:t>
      </w:r>
      <w:r>
        <w:rPr>
          <w:rFonts w:eastAsia="PMingLiU"/>
          <w:sz w:val="24"/>
          <w:szCs w:val="24"/>
          <w:lang w:eastAsia="zh-HK"/>
        </w:rPr>
        <w:t>,</w:t>
      </w:r>
      <w:r w:rsidR="00636464">
        <w:rPr>
          <w:rFonts w:eastAsia="PMingLiU"/>
          <w:sz w:val="24"/>
          <w:szCs w:val="24"/>
          <w:lang w:eastAsia="zh-HK"/>
        </w:rPr>
        <w:t xml:space="preserve"> </w:t>
      </w:r>
      <w:r w:rsidR="00156059">
        <w:rPr>
          <w:rFonts w:eastAsia="PMingLiU"/>
          <w:sz w:val="24"/>
          <w:szCs w:val="24"/>
          <w:lang w:eastAsia="zh-HK"/>
        </w:rPr>
        <w:fldChar w:fldCharType="begin" w:fldLock="1"/>
      </w:r>
      <w:r w:rsidR="0075024E">
        <w:rPr>
          <w:rFonts w:eastAsia="PMingLiU"/>
          <w:sz w:val="24"/>
          <w:szCs w:val="24"/>
          <w:lang w:eastAsia="zh-HK"/>
        </w:rPr>
        <w:instrText>ADDIN CSL_CITATION { "citationItems" : [ { "id" : "ITEM-1", "itemData" : { "author" : [ { "dropping-particle" : "", "family" : "Lakka", "given" : "TA", "non-dropping-particle" : "", "parse-names" : false, "suffix" : "" }, { "dropping-particle" : "", "family" : "Bouchard", "given" : "C", "non-dropping-particle" : "", "parse-names" : false, "suffix" : "" } ], "container-title" : "Handbook of experimental pharmacology", "id" : "ITEM-1", "issued" : { "date-parts" : [ [ "2005" ] ] }, "page" : "137-63", "title" : "Physical activity, obesity and cardiovascular diseases", "type" : "article-journal", "volume" : "170" }, "uris" : [ "http://www.mendeley.com/documents/?uuid=47a34afc-c89d-4809-9977-0ddc7edc93e3" ] } ], "mendeley" : { "formattedCitation" : "&lt;sup&gt;27&lt;/sup&gt;", "plainTextFormattedCitation" : "27", "previouslyFormattedCitation" : "&lt;sup&gt;27&lt;/sup&gt;" }, "properties" : { "noteIndex" : 0 }, "schema" : "https://github.com/citation-style-language/schema/raw/master/csl-citation.json" }</w:instrText>
      </w:r>
      <w:r w:rsidR="00156059">
        <w:rPr>
          <w:rFonts w:eastAsia="PMingLiU"/>
          <w:sz w:val="24"/>
          <w:szCs w:val="24"/>
          <w:lang w:eastAsia="zh-HK"/>
        </w:rPr>
        <w:fldChar w:fldCharType="separate"/>
      </w:r>
      <w:r w:rsidR="00AA43A0" w:rsidRPr="00AA43A0">
        <w:rPr>
          <w:rFonts w:eastAsia="PMingLiU"/>
          <w:noProof/>
          <w:sz w:val="24"/>
          <w:szCs w:val="24"/>
          <w:vertAlign w:val="superscript"/>
          <w:lang w:eastAsia="zh-HK"/>
        </w:rPr>
        <w:t>27</w:t>
      </w:r>
      <w:r w:rsidR="00156059">
        <w:rPr>
          <w:rFonts w:eastAsia="PMingLiU"/>
          <w:sz w:val="24"/>
          <w:szCs w:val="24"/>
          <w:lang w:eastAsia="zh-HK"/>
        </w:rPr>
        <w:fldChar w:fldCharType="end"/>
      </w:r>
      <w:r>
        <w:rPr>
          <w:rFonts w:eastAsia="PMingLiU"/>
          <w:sz w:val="24"/>
          <w:szCs w:val="24"/>
          <w:lang w:eastAsia="zh-HK"/>
        </w:rPr>
        <w:t xml:space="preserve"> </w:t>
      </w:r>
      <w:r w:rsidRPr="00F77F70">
        <w:rPr>
          <w:rFonts w:eastAsia="PMingLiU"/>
          <w:sz w:val="24"/>
          <w:szCs w:val="24"/>
          <w:lang w:eastAsia="zh-HK"/>
        </w:rPr>
        <w:t>whereas adaptation to physical activity induced loading increases bone mass and function</w:t>
      </w:r>
      <w:r>
        <w:rPr>
          <w:rFonts w:eastAsia="PMingLiU"/>
          <w:sz w:val="24"/>
          <w:szCs w:val="24"/>
          <w:lang w:eastAsia="zh-HK"/>
        </w:rPr>
        <w:t>,</w:t>
      </w:r>
      <w:r w:rsidR="00636464">
        <w:rPr>
          <w:rFonts w:eastAsia="PMingLiU"/>
          <w:sz w:val="24"/>
          <w:szCs w:val="24"/>
          <w:lang w:eastAsia="zh-HK"/>
        </w:rPr>
        <w:t xml:space="preserve"> </w:t>
      </w:r>
      <w:r w:rsidR="00156059">
        <w:rPr>
          <w:rFonts w:eastAsia="PMingLiU"/>
          <w:sz w:val="24"/>
          <w:szCs w:val="24"/>
          <w:lang w:eastAsia="zh-HK"/>
        </w:rPr>
        <w:fldChar w:fldCharType="begin" w:fldLock="1"/>
      </w:r>
      <w:r w:rsidR="0075024E">
        <w:rPr>
          <w:rFonts w:eastAsia="PMingLiU"/>
          <w:sz w:val="24"/>
          <w:szCs w:val="24"/>
          <w:lang w:eastAsia="zh-HK"/>
        </w:rPr>
        <w:instrText>ADDIN CSL_CITATION { "citationItems" : [ { "id" : "ITEM-1", "itemData" : { "author" : [ { "dropping-particle" : "", "family" : "Frost", "given" : "HM", "non-dropping-particle" : "", "parse-names" : false, "suffix" : "" } ], "container-title" : "The anatomical record. Part A, Discoveries in molecular, cellular, and evolutionary biology", "id" : "ITEM-1", "issue" : "2", "issued" : { "date-parts" : [ [ "2003" ] ] }, "page" : "1081-101", "title" : "Bone's mechanostat: a 2003 update", "type" : "article-journal", "volume" : "275" }, "uris" : [ "http://www.mendeley.com/documents/?uuid=ec514783-3eb6-4b2a-a087-69810dfbb78c" ] }, { "id" : "ITEM-2", "itemData" : { "author" : [ { "dropping-particle" : "", "family" : "Borer", "given" : "KT", "non-dropping-particle" : "", "parse-names" : false, "suffix" : "" } ], "container-title" : "SPORTS MEDICINE", "id" : "ITEM-2", "issue" : "9", "issued" : { "date-parts" : [ [ "2005" ] ] }, "page" : "779-830", "title" : "Physical activity in the prevention and amelioration of osteoporosis in women : interaction of mechanical, hormonal and dietary factors", "type" : "article-journal", "volume" : "35" }, "uris" : [ "http://www.mendeley.com/documents/?uuid=f39855cf-16d1-4c04-9019-1bbb80513253" ] } ], "mendeley" : { "formattedCitation" : "&lt;sup&gt;28,29&lt;/sup&gt;", "plainTextFormattedCitation" : "28,29", "previouslyFormattedCitation" : "&lt;sup&gt;28,29&lt;/sup&gt;" }, "properties" : { "noteIndex" : 0 }, "schema" : "https://github.com/citation-style-language/schema/raw/master/csl-citation.json" }</w:instrText>
      </w:r>
      <w:r w:rsidR="00156059">
        <w:rPr>
          <w:rFonts w:eastAsia="PMingLiU"/>
          <w:sz w:val="24"/>
          <w:szCs w:val="24"/>
          <w:lang w:eastAsia="zh-HK"/>
        </w:rPr>
        <w:fldChar w:fldCharType="separate"/>
      </w:r>
      <w:r w:rsidR="00AA43A0" w:rsidRPr="00AA43A0">
        <w:rPr>
          <w:rFonts w:eastAsia="PMingLiU"/>
          <w:noProof/>
          <w:sz w:val="24"/>
          <w:szCs w:val="24"/>
          <w:vertAlign w:val="superscript"/>
          <w:lang w:eastAsia="zh-HK"/>
        </w:rPr>
        <w:t>28,29</w:t>
      </w:r>
      <w:r w:rsidR="00156059">
        <w:rPr>
          <w:rFonts w:eastAsia="PMingLiU"/>
          <w:sz w:val="24"/>
          <w:szCs w:val="24"/>
          <w:lang w:eastAsia="zh-HK"/>
        </w:rPr>
        <w:fldChar w:fldCharType="end"/>
      </w:r>
      <w:r w:rsidR="00F13FE9">
        <w:rPr>
          <w:rFonts w:eastAsia="PMingLiU"/>
          <w:sz w:val="24"/>
          <w:szCs w:val="24"/>
          <w:lang w:eastAsia="zh-HK"/>
        </w:rPr>
        <w:t xml:space="preserve"> </w:t>
      </w:r>
      <w:r w:rsidRPr="00F77F70">
        <w:rPr>
          <w:rFonts w:eastAsia="PMingLiU"/>
          <w:sz w:val="24"/>
          <w:szCs w:val="24"/>
          <w:lang w:eastAsia="zh-HK"/>
        </w:rPr>
        <w:t>whilst subsequently reducing adiposity and positively influencing adipose structure and regulation</w:t>
      </w:r>
      <w:r>
        <w:rPr>
          <w:rFonts w:eastAsia="PMingLiU"/>
          <w:sz w:val="24"/>
          <w:szCs w:val="24"/>
          <w:lang w:eastAsia="zh-HK"/>
        </w:rPr>
        <w:t>.</w:t>
      </w:r>
      <w:r w:rsidR="00636464">
        <w:rPr>
          <w:rFonts w:eastAsia="PMingLiU"/>
          <w:sz w:val="24"/>
          <w:szCs w:val="24"/>
          <w:lang w:eastAsia="zh-HK"/>
        </w:rPr>
        <w:t xml:space="preserve"> </w:t>
      </w:r>
      <w:r w:rsidR="00156059">
        <w:rPr>
          <w:rFonts w:eastAsia="PMingLiU"/>
          <w:sz w:val="24"/>
          <w:szCs w:val="24"/>
          <w:lang w:eastAsia="zh-HK"/>
        </w:rPr>
        <w:fldChar w:fldCharType="begin" w:fldLock="1"/>
      </w:r>
      <w:r w:rsidR="0075024E">
        <w:rPr>
          <w:rFonts w:eastAsia="PMingLiU"/>
          <w:sz w:val="24"/>
          <w:szCs w:val="24"/>
          <w:lang w:eastAsia="zh-HK"/>
        </w:rPr>
        <w:instrText>ADDIN CSL_CITATION { "citationItems" : [ { "id" : "ITEM-1", "itemData" : { "DOI" : "10.1152/physrev.00012.2011", "ISBN" : "0031-9333", "ISSN" : "0031-9333", "PMID" : "22298655", "abstract" : "Physical activity and exercise are key components of energy expenditure and therefore of energy balance. Changes in energy balance alter fat mass. It is therefore reasonable to ask: What are the links between physical activity and adipose tissue function? There are many complexities. Physical activity is a multifaceted behavior of which exercise is just one component. Physical activity influences adipose tissue both acutely and in the longer term. A single bout of exercise stimulates adipose tissue blood flow and fat mobilization, resulting in delivery of fatty acids to skeletal muscles at a rate well-matched to metabolic requirements, except perhaps in vigorous intensity exercise. The stimuli include adrenergic and other circulating factors. There is a period following an exercise bout when fatty acids are directed away from adipose tissue to other tissues such as skeletal muscle, reducing dietary fat storage in adipose. With chronic exercise (training), there are changes in adipose tissue physiology, particularly an enhanced fat mobilization during acute exercise. It is difficult, however, to distinguish chronic \"structural\" changes from those associated with the last exercise bout. In addition, it is difficult to distinguish between the effects of training per se and negative energy balance. Epidemiological observations support the idea that physically active people have relatively low fat mass, and intervention studies tend to show that exercise training reduces fat mass. A much-discussed effect of exercise versus calorie restriction in preferentially reducing visceral fat is not borne out by meta-analyses. We conclude that, in addition to the regulation of fat mass, physical activity may contribute to metabolic health through beneficial dynamic changes within adipose tissue in response to each activity bout.", "author" : [ { "dropping-particle" : "", "family" : "Thompson", "given" : "D.", "non-dropping-particle" : "", "parse-names" : false, "suffix" : "" }, { "dropping-particle" : "", "family" : "Karpe", "given" : "F.", "non-dropping-particle" : "", "parse-names" : false, "suffix" : "" }, { "dropping-particle" : "", "family" : "Lafontan", "given" : "M.", "non-dropping-particle" : "", "parse-names" : false, "suffix" : "" }, { "dropping-particle" : "", "family" : "Frayn", "given" : "K.", "non-dropping-particle" : "", "parse-names" : false, "suffix" : "" } ], "container-title" : "Physiological Reviews", "id" : "ITEM-1", "issued" : { "date-parts" : [ [ "2012" ] ] }, "page" : "157-191", "title" : "Physical Activity and Exercise in the Regulation of Human Adipose Tissue Physiology", "type" : "article-journal", "volume" : "92" }, "uris" : [ "http://www.mendeley.com/documents/?uuid=502605f6-cb64-4d47-ad1a-027db30c675f" ] } ], "mendeley" : { "formattedCitation" : "&lt;sup&gt;30&lt;/sup&gt;", "plainTextFormattedCitation" : "30", "previouslyFormattedCitation" : "&lt;sup&gt;30&lt;/sup&gt;" }, "properties" : { "noteIndex" : 0 }, "schema" : "https://github.com/citation-style-language/schema/raw/master/csl-citation.json" }</w:instrText>
      </w:r>
      <w:r w:rsidR="00156059">
        <w:rPr>
          <w:rFonts w:eastAsia="PMingLiU"/>
          <w:sz w:val="24"/>
          <w:szCs w:val="24"/>
          <w:lang w:eastAsia="zh-HK"/>
        </w:rPr>
        <w:fldChar w:fldCharType="separate"/>
      </w:r>
      <w:r w:rsidR="00AA43A0" w:rsidRPr="00AA43A0">
        <w:rPr>
          <w:rFonts w:eastAsia="PMingLiU"/>
          <w:noProof/>
          <w:sz w:val="24"/>
          <w:szCs w:val="24"/>
          <w:vertAlign w:val="superscript"/>
          <w:lang w:eastAsia="zh-HK"/>
        </w:rPr>
        <w:t>30</w:t>
      </w:r>
      <w:r w:rsidR="00156059">
        <w:rPr>
          <w:rFonts w:eastAsia="PMingLiU"/>
          <w:sz w:val="24"/>
          <w:szCs w:val="24"/>
          <w:lang w:eastAsia="zh-HK"/>
        </w:rPr>
        <w:fldChar w:fldCharType="end"/>
      </w:r>
      <w:r w:rsidR="00F13FE9">
        <w:rPr>
          <w:rFonts w:eastAsia="PMingLiU"/>
          <w:sz w:val="24"/>
          <w:szCs w:val="24"/>
          <w:lang w:eastAsia="zh-HK"/>
        </w:rPr>
        <w:t xml:space="preserve"> </w:t>
      </w:r>
      <w:r w:rsidRPr="00F77F70">
        <w:rPr>
          <w:rFonts w:eastAsia="PMingLiU"/>
          <w:sz w:val="24"/>
          <w:szCs w:val="24"/>
          <w:lang w:eastAsia="zh-HK"/>
        </w:rPr>
        <w:t>It appears paradoxical, therefore, to assume that the positive relationship between adiposity and bone mass reported in the general population</w:t>
      </w:r>
      <w:r w:rsidR="00636464">
        <w:rPr>
          <w:rFonts w:eastAsia="PMingLiU"/>
          <w:sz w:val="24"/>
          <w:szCs w:val="24"/>
          <w:lang w:eastAsia="zh-HK"/>
        </w:rPr>
        <w:t xml:space="preserve"> </w:t>
      </w:r>
      <w:r w:rsidR="00156059">
        <w:rPr>
          <w:rFonts w:eastAsia="PMingLiU"/>
          <w:sz w:val="24"/>
          <w:szCs w:val="24"/>
          <w:lang w:eastAsia="zh-HK"/>
        </w:rPr>
        <w:fldChar w:fldCharType="begin" w:fldLock="1"/>
      </w:r>
      <w:r w:rsidR="0075024E">
        <w:rPr>
          <w:rFonts w:eastAsia="PMingLiU"/>
          <w:sz w:val="24"/>
          <w:szCs w:val="24"/>
          <w:lang w:eastAsia="zh-HK"/>
        </w:rPr>
        <w:instrText>ADDIN CSL_CITATION { "citationItems" : [ { "id" : "ITEM-1", "itemData" : { "DOI" : "10.1210/jc.2013-3190", "ISSN" : "0021-972X", "PMID" : "24384013", "abstract" : "Context: Body weight is the most important anthropometric determinant of bone mineral density (BMD). Body weight is mainly made up of lean mass (LM) and fat mass (FM), and which component is more important to BMD has been a controversial issue. Objective: This study sought to compare the magnitude of association between LM, FM, and BMD by using a meta-analytic approach. Data Source: Using an electronic and manual search, we identified 44 studies that had examined the correlation between LM, FM, and BMD between 1989 and 2013. These studies involved 20 226 men and women (4966 men and 15 260 women) aged between 18 and 92 years. We extracted the correlations between LM, FM, and BMD at the lumbar spine, femoral neck, and whole body. The synthesis of correlation coefficients was done by the random-effects meta-analysis model. Results: The overall correlation between LM and femoral neck BMD (FNBMD) was 0.39 (95% confidence interval, 0.34 to 0.43), which was significantly higher than the correlation between FM an...", "author" : [ { "dropping-particle" : "", "family" : "Ho-Pham", "given" : "Lan T.", "non-dropping-particle" : "", "parse-names" : false, "suffix" : "" }, { "dropping-particle" : "", "family" : "Nguyen", "given" : "Uyen D. T.", "non-dropping-particle" : "", "parse-names" : false, "suffix" : "" }, { "dropping-particle" : "V.", "family" : "Nguyen", "given" : "Tuan", "non-dropping-particle" : "", "parse-names" : false, "suffix" : "" } ], "container-title" : "The Journal of Clinical Endocrinology &amp; Metabolism", "id" : "ITEM-1", "issue" : "1", "issued" : { "date-parts" : [ [ "2014" ] ] }, "page" : "30-38", "title" : "Association Between Lean Mass, Fat Mass, and Bone Mineral Density: A Meta-analysis", "type" : "article-journal", "volume" : "99" }, "uris" : [ "http://www.mendeley.com/documents/?uuid=438c3d61-06ae-4d8f-bfaa-38f4a9fa0e6f" ] } ], "mendeley" : { "formattedCitation" : "&lt;sup&gt;11&lt;/sup&gt;", "plainTextFormattedCitation" : "11", "previouslyFormattedCitation" : "&lt;sup&gt;11&lt;/sup&gt;" }, "properties" : { "noteIndex" : 0 }, "schema" : "https://github.com/citation-style-language/schema/raw/master/csl-citation.json" }</w:instrText>
      </w:r>
      <w:r w:rsidR="00156059">
        <w:rPr>
          <w:rFonts w:eastAsia="PMingLiU"/>
          <w:sz w:val="24"/>
          <w:szCs w:val="24"/>
          <w:lang w:eastAsia="zh-HK"/>
        </w:rPr>
        <w:fldChar w:fldCharType="separate"/>
      </w:r>
      <w:r w:rsidR="00AA43A0" w:rsidRPr="00AA43A0">
        <w:rPr>
          <w:rFonts w:eastAsia="PMingLiU"/>
          <w:noProof/>
          <w:sz w:val="24"/>
          <w:szCs w:val="24"/>
          <w:vertAlign w:val="superscript"/>
          <w:lang w:eastAsia="zh-HK"/>
        </w:rPr>
        <w:t>11</w:t>
      </w:r>
      <w:r w:rsidR="00156059">
        <w:rPr>
          <w:rFonts w:eastAsia="PMingLiU"/>
          <w:sz w:val="24"/>
          <w:szCs w:val="24"/>
          <w:lang w:eastAsia="zh-HK"/>
        </w:rPr>
        <w:fldChar w:fldCharType="end"/>
      </w:r>
      <w:r w:rsidRPr="00F77F70">
        <w:rPr>
          <w:rFonts w:eastAsia="PMingLiU"/>
          <w:sz w:val="24"/>
          <w:szCs w:val="24"/>
          <w:lang w:eastAsia="zh-HK"/>
        </w:rPr>
        <w:t xml:space="preserve"> would also be evident in overweight or obese populations. </w:t>
      </w:r>
    </w:p>
    <w:p w:rsidR="008F13B0" w:rsidRPr="00F77F70" w:rsidRDefault="008F13B0" w:rsidP="00D1500E">
      <w:pPr>
        <w:spacing w:line="360" w:lineRule="auto"/>
        <w:ind w:right="113"/>
        <w:jc w:val="both"/>
        <w:rPr>
          <w:rFonts w:eastAsia="PMingLiU"/>
          <w:sz w:val="24"/>
          <w:szCs w:val="24"/>
          <w:lang w:eastAsia="zh-HK"/>
        </w:rPr>
      </w:pPr>
      <w:r w:rsidRPr="00F77F70">
        <w:rPr>
          <w:rStyle w:val="CommentReference"/>
          <w:rFonts w:eastAsia="PMingLiU"/>
          <w:sz w:val="24"/>
          <w:szCs w:val="24"/>
          <w:lang w:eastAsia="zh-HK"/>
        </w:rPr>
        <w:t xml:space="preserve">The available evidence </w:t>
      </w:r>
      <w:r w:rsidR="00705CF0">
        <w:rPr>
          <w:rStyle w:val="CommentReference"/>
          <w:rFonts w:eastAsia="PMingLiU"/>
          <w:sz w:val="24"/>
          <w:szCs w:val="24"/>
          <w:lang w:eastAsia="zh-HK"/>
        </w:rPr>
        <w:t xml:space="preserve">indicates </w:t>
      </w:r>
      <w:r w:rsidRPr="00F77F70">
        <w:rPr>
          <w:rStyle w:val="CommentReference"/>
          <w:rFonts w:eastAsia="PMingLiU"/>
          <w:sz w:val="24"/>
          <w:szCs w:val="24"/>
          <w:lang w:eastAsia="zh-HK"/>
        </w:rPr>
        <w:t xml:space="preserve">that adipose tissue mass </w:t>
      </w:r>
      <w:r w:rsidR="00705CF0">
        <w:rPr>
          <w:rStyle w:val="CommentReference"/>
          <w:rFonts w:eastAsia="PMingLiU"/>
          <w:sz w:val="24"/>
          <w:szCs w:val="24"/>
          <w:lang w:eastAsia="zh-HK"/>
        </w:rPr>
        <w:t>may exert</w:t>
      </w:r>
      <w:r w:rsidRPr="00F77F70">
        <w:rPr>
          <w:rStyle w:val="CommentReference"/>
          <w:rFonts w:eastAsia="PMingLiU"/>
          <w:sz w:val="24"/>
          <w:szCs w:val="24"/>
          <w:lang w:eastAsia="zh-HK"/>
        </w:rPr>
        <w:t xml:space="preserve"> a “dual” effect on BMD, with both high and low adipose content causing adverse skeletal effects</w:t>
      </w:r>
      <w:r>
        <w:rPr>
          <w:rStyle w:val="CommentReference"/>
          <w:rFonts w:eastAsia="PMingLiU"/>
          <w:sz w:val="24"/>
          <w:szCs w:val="24"/>
          <w:lang w:eastAsia="zh-HK"/>
        </w:rPr>
        <w:t>.</w:t>
      </w:r>
      <w:r w:rsidR="00636464">
        <w:rPr>
          <w:rStyle w:val="CommentReference"/>
          <w:rFonts w:eastAsia="PMingLiU"/>
          <w:sz w:val="24"/>
          <w:szCs w:val="24"/>
          <w:lang w:eastAsia="zh-HK"/>
        </w:rPr>
        <w:t xml:space="preserve"> </w:t>
      </w:r>
      <w:r w:rsidR="00156059">
        <w:rPr>
          <w:rStyle w:val="CommentReference"/>
          <w:rFonts w:eastAsia="PMingLiU"/>
          <w:sz w:val="24"/>
          <w:szCs w:val="24"/>
          <w:lang w:eastAsia="zh-HK"/>
        </w:rPr>
        <w:fldChar w:fldCharType="begin" w:fldLock="1"/>
      </w:r>
      <w:r w:rsidR="0075024E">
        <w:rPr>
          <w:rStyle w:val="CommentReference"/>
          <w:rFonts w:eastAsia="PMingLiU"/>
          <w:sz w:val="24"/>
          <w:szCs w:val="24"/>
          <w:lang w:eastAsia="zh-HK"/>
        </w:rPr>
        <w:instrText>ADDIN CSL_CITATION { "citationItems" : [ { "id" : "ITEM-1", "itemData" : { "DOI" : "10.1016/j.bone.2010.09.022", "ISBN" : "8756-3282", "ISSN" : "87563282", "PMID" : "20858556", "abstract" : "Recent studies suggest association between body fat and childhood bone health, although conflicting findings have also been reported. The aim of the present study was to examine the association between body fat content and areal BMD, volumetric BMD, bone turnover markers, and calcitropic factors in apparently healthy children and adolescents.The study was carried out as a school based cross-sectional cohort study with 186 subjects (61% girls) aged from 7 to 19. years. Background characteristics, including medical history and lifestyle factors, were collected. Anthropometry, BMD and body composition measurements with DXA and pQCT, a fasting blood sample and a second morning void urine sample were obtained.The subjects were divided into three groups, representing low, intermediate and high adiposity, based on age and gender specific fat percentage Z-scores. Multivariate analysis was performed to all bone variables using lean body mass, pubertal development, dietary intake of calcium and intensity of physical activity as covariates. In pQCT, a significant difference between the groups was observed in cortical BMD (MANOVA; p = 0.02) in proximal radius, the intermediate group having the highest values. Similarly, DXA-derived LS and WB BMD Z-scores differed significantly between the groups (MANOVA; p = 0.026 and p = 0.036, respectively), with highest values in the intermediate group. High body fat content associated also with low bone turnover markers, low PTH, high S-Ca and high urinary calcium excretion. The differences in biochemical markers explain our and others' findings of bone health in children and adolescents with different body fat content. These findings suggest that normal body fat content is beneficial for bone health in growing children and adolescents while both low and high body fat content have adverse skeletal effects. \u00a9 2010 Elsevier Inc.", "author" : [ { "dropping-particle" : "", "family" : "Viljakainen", "given" : "Heli T.", "non-dropping-particle" : "", "parse-names" : false, "suffix" : "" }, { "dropping-particle" : "", "family" : "Pekkinen", "given" : "Minna", "non-dropping-particle" : "", "parse-names" : false, "suffix" : "" }, { "dropping-particle" : "", "family" : "Saarnio", "given" : "Elisa", "non-dropping-particle" : "", "parse-names" : false, "suffix" : "" }, { "dropping-particle" : "", "family" : "Karp", "given" : "Heini", "non-dropping-particle" : "", "parse-names" : false, "suffix" : "" }, { "dropping-particle" : "", "family" : "Lamberg-Allardt", "given" : "Christel", "non-dropping-particle" : "", "parse-names" : false, "suffix" : "" }, { "dropping-particle" : "", "family" : "M\u00e4kitie", "given" : "Outi", "non-dropping-particle" : "", "parse-names" : false, "suffix" : "" } ], "container-title" : "Bone", "id" : "ITEM-1", "issue" : "2", "issued" : { "date-parts" : [ [ "2011" ] ] }, "page" : "212-217", "publisher" : "Elsevier Inc.", "title" : "Dual effect of adipose tissue on bone health during growth", "type" : "article-journal", "volume" : "48" }, "uris" : [ "http://www.mendeley.com/documents/?uuid=44d44ccd-5539-4e82-8379-fb8f6b5c8680" ] } ], "mendeley" : { "formattedCitation" : "&lt;sup&gt;31&lt;/sup&gt;", "plainTextFormattedCitation" : "31", "previouslyFormattedCitation" : "&lt;sup&gt;31&lt;/sup&gt;" }, "properties" : { "noteIndex" : 0 }, "schema" : "https://github.com/citation-style-language/schema/raw/master/csl-citation.json" }</w:instrText>
      </w:r>
      <w:r w:rsidR="00156059">
        <w:rPr>
          <w:rStyle w:val="CommentReference"/>
          <w:rFonts w:eastAsia="PMingLiU"/>
          <w:sz w:val="24"/>
          <w:szCs w:val="24"/>
          <w:lang w:eastAsia="zh-HK"/>
        </w:rPr>
        <w:fldChar w:fldCharType="separate"/>
      </w:r>
      <w:r w:rsidR="00AA43A0" w:rsidRPr="00AA43A0">
        <w:rPr>
          <w:rStyle w:val="CommentReference"/>
          <w:rFonts w:eastAsia="PMingLiU"/>
          <w:noProof/>
          <w:sz w:val="24"/>
          <w:szCs w:val="24"/>
          <w:vertAlign w:val="superscript"/>
          <w:lang w:eastAsia="zh-HK"/>
        </w:rPr>
        <w:t>31</w:t>
      </w:r>
      <w:r w:rsidR="00156059">
        <w:rPr>
          <w:rStyle w:val="CommentReference"/>
          <w:rFonts w:eastAsia="PMingLiU"/>
          <w:sz w:val="24"/>
          <w:szCs w:val="24"/>
          <w:lang w:eastAsia="zh-HK"/>
        </w:rPr>
        <w:fldChar w:fldCharType="end"/>
      </w:r>
      <w:r w:rsidR="00636464">
        <w:rPr>
          <w:rStyle w:val="CommentReference"/>
          <w:rFonts w:eastAsia="PMingLiU"/>
          <w:sz w:val="24"/>
          <w:szCs w:val="24"/>
          <w:lang w:eastAsia="zh-HK"/>
        </w:rPr>
        <w:t xml:space="preserve"> </w:t>
      </w:r>
      <w:r w:rsidRPr="00F77F70">
        <w:rPr>
          <w:rStyle w:val="CommentReference"/>
          <w:rFonts w:eastAsia="PMingLiU"/>
          <w:sz w:val="24"/>
          <w:szCs w:val="24"/>
          <w:lang w:eastAsia="zh-HK"/>
        </w:rPr>
        <w:t>Both over and underweight states are associated with increased frac</w:t>
      </w:r>
      <w:r>
        <w:rPr>
          <w:rStyle w:val="CommentReference"/>
          <w:rFonts w:eastAsia="PMingLiU"/>
          <w:sz w:val="24"/>
          <w:szCs w:val="24"/>
          <w:lang w:eastAsia="zh-HK"/>
        </w:rPr>
        <w:t>ture incidence at various sites,</w:t>
      </w:r>
      <w:r w:rsidR="00636464">
        <w:rPr>
          <w:rStyle w:val="CommentReference"/>
          <w:rFonts w:eastAsia="PMingLiU"/>
          <w:sz w:val="24"/>
          <w:szCs w:val="24"/>
          <w:lang w:eastAsia="zh-HK"/>
        </w:rPr>
        <w:t xml:space="preserve"> </w:t>
      </w:r>
      <w:r w:rsidR="00156059">
        <w:rPr>
          <w:rStyle w:val="CommentReference"/>
          <w:rFonts w:eastAsia="PMingLiU"/>
          <w:sz w:val="24"/>
          <w:szCs w:val="24"/>
          <w:lang w:eastAsia="zh-HK"/>
        </w:rPr>
        <w:fldChar w:fldCharType="begin" w:fldLock="1"/>
      </w:r>
      <w:r w:rsidR="0075024E">
        <w:rPr>
          <w:rStyle w:val="CommentReference"/>
          <w:rFonts w:eastAsia="PMingLiU"/>
          <w:sz w:val="24"/>
          <w:szCs w:val="24"/>
          <w:lang w:eastAsia="zh-HK"/>
        </w:rPr>
        <w:instrText>ADDIN CSL_CITATION { "citationItems" : [ { "id" : "ITEM-1", "itemData" : { "DOI" : "10.1007/s00198-012-2209-1", "ISBN" : "0937-941X", "ISSN" : "0937941X", "PMID" : "23229467", "abstract" : "Summary This cohort study of 1,614 postmenopausal Japanese women followed for 6.7 years showed that overweight/obesity and underweight are both risk factors for fractures at different sites. Fracture risk assessment may be improved if fracture sites are taken into account and BMI is categorized. Introduction The effect of body mass index (BMI) on fracture at a given level of bone mineral density (BMD) is controversial, since varying associations between BMI and fracture sites have been reported. Methods A total of 1,614 postmenopausal Japanese women were followed for 6.7 years in a hospital-based cohort study. Endpoints included incident vertebral, femoral neck, and long-bone fractures. Rate ratios were estimated by Poisson regression models adjusted for age, diabetes mellitus, BMD, prior fracture, back pain, and treatment by estrogen. Results Over a mean follow-up period of 6.7 years, a total of 254 clinical and 335 morphometric vertebral fractures, 48 femoral neck fractures, and 159 long-bone fractures were observed. Incidence rates of vertebral fracture in underweight and normal weight women were significantly lower than overweight or obese women by 0.45 (95 % confidence interval: 0.32 to 0.63) and 0.61 (0.50 to 0.74), respectively, if BMD and other risk factors were adjusted, and by 0.66 (0.48 to 0.90) and 0.70 (0.58 to 0.84) if only BMD was not adjusted. Incidence rates of femoral neck and long-bone fractures in the underweight group were higher than the overweight/obese group by 2.15 (0.73 to 6.34) and 1.51 (0.82 to 2.77) and were similar between normal weight and overweight/obesity. Conclusions Overweight/obesity and underweight are both risk factors for fractures at different sites. Fracture risk assessment may be improved if fracture sites are taken into account and BMI is categorized.", "author" : [ { "dropping-particle" : "", "family" : "Tanaka", "given" : "S.", "non-dropping-particle" : "", "parse-names" : false, "suffix" : "" }, { "dropping-particle" : "", "family" : "Kuroda", "given" : "T.", "non-dropping-particle" : "", "parse-names" : false, "suffix" : "" }, { "dropping-particle" : "", "family" : "Saito", "given" : "M.", "non-dropping-particle" : "", "parse-names" : false, "suffix" : "" }, { "dropping-particle" : "", "family" : "Shiraki", "given" : "M.", "non-dropping-particle" : "", "parse-names" : false, "suffix" : "" } ], "container-title" : "Osteoporosis International", "id" : "ITEM-1", "issue" : "1", "issued" : { "date-parts" : [ [ "2013" ] ] }, "page" : "69-76", "title" : "Overweight/obesity and underweight are both risk factors for osteoporotic fractures at different sites in Japanese postmenopausal women", "type" : "article-journal", "volume" : "24" }, "uris" : [ "http://www.mendeley.com/documents/?uuid=ce1ec669-5b70-43a9-9a97-ca09ff38fb54" ] } ], "mendeley" : { "formattedCitation" : "&lt;sup&gt;32&lt;/sup&gt;", "plainTextFormattedCitation" : "32", "previouslyFormattedCitation" : "&lt;sup&gt;32&lt;/sup&gt;" }, "properties" : { "noteIndex" : 0 }, "schema" : "https://github.com/citation-style-language/schema/raw/master/csl-citation.json" }</w:instrText>
      </w:r>
      <w:r w:rsidR="00156059">
        <w:rPr>
          <w:rStyle w:val="CommentReference"/>
          <w:rFonts w:eastAsia="PMingLiU"/>
          <w:sz w:val="24"/>
          <w:szCs w:val="24"/>
          <w:lang w:eastAsia="zh-HK"/>
        </w:rPr>
        <w:fldChar w:fldCharType="separate"/>
      </w:r>
      <w:r w:rsidR="00AA43A0" w:rsidRPr="00AA43A0">
        <w:rPr>
          <w:rStyle w:val="CommentReference"/>
          <w:rFonts w:eastAsia="PMingLiU"/>
          <w:noProof/>
          <w:sz w:val="24"/>
          <w:szCs w:val="24"/>
          <w:vertAlign w:val="superscript"/>
          <w:lang w:eastAsia="zh-HK"/>
        </w:rPr>
        <w:t>32</w:t>
      </w:r>
      <w:r w:rsidR="00156059">
        <w:rPr>
          <w:rStyle w:val="CommentReference"/>
          <w:rFonts w:eastAsia="PMingLiU"/>
          <w:sz w:val="24"/>
          <w:szCs w:val="24"/>
          <w:lang w:eastAsia="zh-HK"/>
        </w:rPr>
        <w:fldChar w:fldCharType="end"/>
      </w:r>
      <w:r w:rsidRPr="00F77F70">
        <w:rPr>
          <w:rStyle w:val="CommentReference"/>
          <w:rFonts w:eastAsia="PMingLiU"/>
          <w:sz w:val="24"/>
          <w:szCs w:val="24"/>
          <w:lang w:eastAsia="zh-HK"/>
        </w:rPr>
        <w:t xml:space="preserve"> suggesting that the relationship between adiposity and bone is </w:t>
      </w:r>
      <w:r>
        <w:rPr>
          <w:rStyle w:val="CommentReference"/>
          <w:rFonts w:eastAsia="PMingLiU"/>
          <w:sz w:val="24"/>
          <w:szCs w:val="24"/>
          <w:lang w:eastAsia="zh-HK"/>
        </w:rPr>
        <w:t xml:space="preserve">biphasic, </w:t>
      </w:r>
      <w:r w:rsidRPr="00F77F70">
        <w:rPr>
          <w:rStyle w:val="CommentReference"/>
          <w:rFonts w:eastAsia="PMingLiU"/>
          <w:sz w:val="24"/>
          <w:szCs w:val="24"/>
          <w:lang w:eastAsia="zh-HK"/>
        </w:rPr>
        <w:t>whereby optimal adiposity exerts a beneficial adaptive effect on bone whilst higher or lower levels are detrimental. Knowledge of the effects of an underweight state on bone health is more developed than the effects of an overweight/obese state</w:t>
      </w:r>
      <w:r>
        <w:rPr>
          <w:rStyle w:val="CommentReference"/>
          <w:rFonts w:eastAsia="PMingLiU"/>
          <w:sz w:val="24"/>
          <w:szCs w:val="24"/>
          <w:lang w:eastAsia="zh-HK"/>
        </w:rPr>
        <w:t xml:space="preserve">. </w:t>
      </w:r>
      <w:r w:rsidR="00156059">
        <w:rPr>
          <w:rStyle w:val="CommentReference"/>
          <w:rFonts w:eastAsia="PMingLiU"/>
          <w:sz w:val="24"/>
          <w:szCs w:val="24"/>
          <w:lang w:eastAsia="zh-HK"/>
        </w:rPr>
        <w:fldChar w:fldCharType="begin" w:fldLock="1"/>
      </w:r>
      <w:r w:rsidR="0075024E">
        <w:rPr>
          <w:rStyle w:val="CommentReference"/>
          <w:rFonts w:eastAsia="PMingLiU"/>
          <w:sz w:val="24"/>
          <w:szCs w:val="24"/>
          <w:lang w:eastAsia="zh-HK"/>
        </w:rPr>
        <w:instrText>ADDIN CSL_CITATION { "citationItems" : [ { "id" : "ITEM-1", "itemData" : { "author" : [ { "dropping-particle" : "", "family" : "Laet", "given" : "C", "non-dropping-particle" : "De", "parse-names" : false, "suffix" : "" }, { "dropping-particle" : "", "family" : "Kanis", "given" : "JA", "non-dropping-particle" : "", "parse-names" : false, "suffix" : "" }, { "dropping-particle" : "", "family" : "Oden", "given" : "A", "non-dropping-particle" : "", "parse-names" : false, "suffix" : "" }, { "dropping-particle" : "", "family" : "Johanson", "given" : "H", "non-dropping-particle" : "", "parse-names" : false, "suffix" : "" }, { "dropping-particle" : "", "family" : "Johnell", "given" : "O", "non-dropping-particle" : "", "parse-names" : false, "suffix" : "" }, { "dropping-particle" : "", "family" : "Delmas", "given" : "P", "non-dropping-particle" : "", "parse-names" : false, "suffix" : "" }, { "dropping-particle" : "", "family" : "Eisman", "given" : "JA", "non-dropping-particle" : "", "parse-names" : false, "suffix" : "" }, { "dropping-particle" : "", "family" : "Kroger", "given" : "H", "non-dropping-particle" : "", "parse-names" : false, "suffix" : "" }, { "dropping-particle" : "", "family" : "Fujiwara", "given" : "S", "non-dropping-particle" : "", "parse-names" : false, "suffix" : "" }, { "dropping-particle" : "", "family" : "Garnero", "given" : "P", "non-dropping-particle" : "", "parse-names" : false, "suffix" : "" }, { "dropping-particle" : "", "family" : "McCloskey", "given" : "EV", "non-dropping-particle" : "", "parse-names" : false, "suffix" : "" }, { "dropping-particle" : "", "family" : "Mellstrom", "given" : "D", "non-dropping-particle" : "", "parse-names" : false, "suffix" : "" }, { "dropping-particle" : "", "family" : "Melton", "given" : "LJ", "non-dropping-particle" : "", "parse-names" : false, "suffix" : "" }, { "dropping-particle" : "", "family" : "Meunier", "given" : "PJ", "non-dropping-particle" : "", "parse-names" : false, "suffix" : "" }, { "dropping-particle" : "", "family" : "Pols", "given" : "HA", "non-dropping-particle" : "", "parse-names" : false, "suffix" : "" }, { "dropping-particle" : "", "family" : "Reeve", "given" : "J", "non-dropping-particle" : "", "parse-names" : false, "suffix" : "" }, { "dropping-particle" : "", "family" : "Silman", "given" : "A", "non-dropping-particle" : "", "parse-names" : false, "suffix" : "" }, { "dropping-particle" : "", "family" : "Tenenhouse", "given" : "A", "non-dropping-particle" : "", "parse-names" : false, "suffix" : "" } ], "container-title" : "Osteoporosis International", "id" : "ITEM-1", "issue" : "11", "issued" : { "date-parts" : [ [ "2005" ] ] }, "page" : "1330-8", "title" : "Body mass index as a predictor of fracture risk: a meta-analysis", "type" : "article-journal", "volume" : "16" }, "uris" : [ "http://www.mendeley.com/documents/?uuid=d54719e9-e52e-4275-913e-6b432080b0b6" ] } ], "mendeley" : { "formattedCitation" : "&lt;sup&gt;33&lt;/sup&gt;", "plainTextFormattedCitation" : "33", "previouslyFormattedCitation" : "&lt;sup&gt;33&lt;/sup&gt;" }, "properties" : { "noteIndex" : 0 }, "schema" : "https://github.com/citation-style-language/schema/raw/master/csl-citation.json" }</w:instrText>
      </w:r>
      <w:r w:rsidR="00156059">
        <w:rPr>
          <w:rStyle w:val="CommentReference"/>
          <w:rFonts w:eastAsia="PMingLiU"/>
          <w:sz w:val="24"/>
          <w:szCs w:val="24"/>
          <w:lang w:eastAsia="zh-HK"/>
        </w:rPr>
        <w:fldChar w:fldCharType="separate"/>
      </w:r>
      <w:r w:rsidR="00AA43A0" w:rsidRPr="00AA43A0">
        <w:rPr>
          <w:rStyle w:val="CommentReference"/>
          <w:rFonts w:eastAsia="PMingLiU"/>
          <w:noProof/>
          <w:sz w:val="24"/>
          <w:szCs w:val="24"/>
          <w:vertAlign w:val="superscript"/>
          <w:lang w:eastAsia="zh-HK"/>
        </w:rPr>
        <w:t>33</w:t>
      </w:r>
      <w:r w:rsidR="00156059">
        <w:rPr>
          <w:rStyle w:val="CommentReference"/>
          <w:rFonts w:eastAsia="PMingLiU"/>
          <w:sz w:val="24"/>
          <w:szCs w:val="24"/>
          <w:lang w:eastAsia="zh-HK"/>
        </w:rPr>
        <w:fldChar w:fldCharType="end"/>
      </w:r>
      <w:r w:rsidRPr="00F77F70">
        <w:rPr>
          <w:rStyle w:val="CommentReference"/>
          <w:rFonts w:eastAsia="PMingLiU"/>
          <w:sz w:val="24"/>
          <w:szCs w:val="24"/>
          <w:lang w:eastAsia="zh-HK"/>
        </w:rPr>
        <w:t xml:space="preserve"> Therefore, </w:t>
      </w:r>
      <w:r w:rsidRPr="00F77F70">
        <w:rPr>
          <w:sz w:val="24"/>
          <w:szCs w:val="24"/>
        </w:rPr>
        <w:t>the aim of this systematic review and meta-analysis was to quantify the</w:t>
      </w:r>
      <w:r w:rsidRPr="00F77F70">
        <w:rPr>
          <w:rFonts w:eastAsia="PMingLiU"/>
          <w:sz w:val="24"/>
          <w:szCs w:val="24"/>
          <w:lang w:eastAsia="zh-HK"/>
        </w:rPr>
        <w:t xml:space="preserve"> </w:t>
      </w:r>
      <w:r w:rsidRPr="00F77F70">
        <w:rPr>
          <w:sz w:val="24"/>
          <w:szCs w:val="24"/>
        </w:rPr>
        <w:t>correlation between absolute and relative adipose tissue mass</w:t>
      </w:r>
      <w:r w:rsidRPr="00F77F70">
        <w:rPr>
          <w:rFonts w:eastAsia="PMingLiU"/>
          <w:sz w:val="24"/>
          <w:szCs w:val="24"/>
          <w:lang w:eastAsia="zh-HK"/>
        </w:rPr>
        <w:t xml:space="preserve"> and</w:t>
      </w:r>
      <w:r w:rsidRPr="00F77F70">
        <w:rPr>
          <w:sz w:val="24"/>
          <w:szCs w:val="24"/>
        </w:rPr>
        <w:t xml:space="preserve"> bone mineral </w:t>
      </w:r>
      <w:r w:rsidRPr="00F77F70">
        <w:rPr>
          <w:rFonts w:eastAsia="PMingLiU"/>
          <w:sz w:val="24"/>
          <w:szCs w:val="24"/>
          <w:lang w:eastAsia="zh-HK"/>
        </w:rPr>
        <w:t xml:space="preserve">density </w:t>
      </w:r>
      <w:r w:rsidRPr="00F77F70">
        <w:rPr>
          <w:sz w:val="24"/>
          <w:szCs w:val="24"/>
        </w:rPr>
        <w:t xml:space="preserve">in </w:t>
      </w:r>
      <w:r w:rsidRPr="00F77F70">
        <w:rPr>
          <w:rFonts w:eastAsia="PMingLiU"/>
          <w:sz w:val="24"/>
          <w:szCs w:val="24"/>
          <w:lang w:eastAsia="zh-HK"/>
        </w:rPr>
        <w:t>over-weight and obese populations</w:t>
      </w:r>
      <w:r w:rsidRPr="00F77F70">
        <w:rPr>
          <w:sz w:val="24"/>
          <w:szCs w:val="24"/>
        </w:rPr>
        <w:t xml:space="preserve"> and to consider the influence of modifying covariates, including sex, age and BMI category on these correlations. </w:t>
      </w:r>
    </w:p>
    <w:p w:rsidR="008F13B0" w:rsidRPr="00F77F70" w:rsidRDefault="008F13B0" w:rsidP="00D1500E">
      <w:pPr>
        <w:spacing w:line="360" w:lineRule="auto"/>
        <w:jc w:val="both"/>
        <w:rPr>
          <w:b/>
          <w:bCs/>
          <w:sz w:val="24"/>
          <w:szCs w:val="24"/>
        </w:rPr>
      </w:pPr>
    </w:p>
    <w:p w:rsidR="001B2C3F" w:rsidRDefault="001B2C3F" w:rsidP="00D1500E">
      <w:pPr>
        <w:spacing w:line="360" w:lineRule="auto"/>
        <w:jc w:val="both"/>
        <w:rPr>
          <w:b/>
          <w:bCs/>
          <w:sz w:val="24"/>
          <w:szCs w:val="24"/>
        </w:rPr>
      </w:pPr>
    </w:p>
    <w:p w:rsidR="001B2C3F" w:rsidRDefault="001B2C3F" w:rsidP="00D1500E">
      <w:pPr>
        <w:spacing w:line="360" w:lineRule="auto"/>
        <w:jc w:val="both"/>
        <w:rPr>
          <w:b/>
          <w:bCs/>
          <w:sz w:val="24"/>
          <w:szCs w:val="24"/>
        </w:rPr>
      </w:pPr>
    </w:p>
    <w:p w:rsidR="008F13B0" w:rsidRPr="00F77F70" w:rsidRDefault="008F13B0" w:rsidP="00D1500E">
      <w:pPr>
        <w:spacing w:line="360" w:lineRule="auto"/>
        <w:jc w:val="both"/>
        <w:rPr>
          <w:b/>
          <w:bCs/>
          <w:sz w:val="24"/>
          <w:szCs w:val="24"/>
        </w:rPr>
      </w:pPr>
      <w:r w:rsidRPr="00F77F70">
        <w:rPr>
          <w:b/>
          <w:bCs/>
          <w:sz w:val="24"/>
          <w:szCs w:val="24"/>
        </w:rPr>
        <w:lastRenderedPageBreak/>
        <w:t>METHODS</w:t>
      </w:r>
    </w:p>
    <w:p w:rsidR="008F13B0" w:rsidRPr="00F77F70" w:rsidRDefault="008F13B0" w:rsidP="00D1500E">
      <w:pPr>
        <w:spacing w:line="360" w:lineRule="auto"/>
        <w:jc w:val="both"/>
        <w:rPr>
          <w:b/>
          <w:bCs/>
          <w:i/>
          <w:iCs/>
          <w:sz w:val="24"/>
          <w:szCs w:val="24"/>
        </w:rPr>
      </w:pPr>
      <w:r w:rsidRPr="00F77F70">
        <w:rPr>
          <w:b/>
          <w:bCs/>
          <w:i/>
          <w:iCs/>
          <w:sz w:val="24"/>
          <w:szCs w:val="24"/>
        </w:rPr>
        <w:t>Study Eligibility:</w:t>
      </w:r>
    </w:p>
    <w:p w:rsidR="008F13B0" w:rsidRPr="00F77F70" w:rsidRDefault="008F13B0" w:rsidP="00D1500E">
      <w:pPr>
        <w:spacing w:line="360" w:lineRule="auto"/>
        <w:jc w:val="both"/>
        <w:rPr>
          <w:sz w:val="24"/>
          <w:szCs w:val="24"/>
        </w:rPr>
      </w:pPr>
      <w:r w:rsidRPr="00F77F70">
        <w:rPr>
          <w:sz w:val="24"/>
          <w:szCs w:val="24"/>
        </w:rPr>
        <w:t>The protocol for this study was designed in accordance with PRISMA guidelines</w:t>
      </w:r>
      <w:r w:rsidR="00C75A62">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"10.1371/journal.pmed.1000097", "ISBN" : "0031-9023", "ISSN" : "1549-1676", "PMID" : "19621072", "abstract" : "Registry", "author" : [ { "dropping-particle" : "", "family" : "Moher", "given" : "D", "non-dropping-particle" : "", "parse-names" : false, "suffix" : "" }, { "dropping-particle" : "", "family" : "Liberati", "given" : "A", "non-dropping-particle" : "", "parse-names" : false, "suffix" : "" }, { "dropping-particle" : "", "family" : "Tetzlaff", "given" : "J", "non-dropping-particle" : "", "parse-names" : false, "suffix" : "" }, { "dropping-particle" : "", "family" : "Altman", "given" : "D G", "non-dropping-particle" : "", "parse-names" : false, "suffix" : "" }, { "dropping-particle" : "", "family" : "Grp", "given" : "Prisma", "non-dropping-particle" : "", "parse-names" : false, "suffix" : "" } ], "container-title" : "Physical Therapy", "id" : "ITEM-1", "issue" : "9", "issued" : { "date-parts" : [ [ "2009" ] ] }, "page" : "873-880", "title" : "Preferred Reporting Items for Systematic Reviews and Meta-Analyses: The PRISMA Statement (Reprinted from Annals of Internal Medicine)", "type" : "article-journal", "volume" : "89" }, "uris" : [ "http://www.mendeley.com/documents/?uuid=c2d21895-d401-4eb9-aea3-5d949104b4e0" ] } ], "mendeley" : { "formattedCitation" : "&lt;sup&gt;34&lt;/sup&gt;", "plainTextFormattedCitation" : "34", "previouslyFormattedCitation" : "&lt;sup&gt;34&lt;/sup&gt;"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34</w:t>
      </w:r>
      <w:r w:rsidR="00156059">
        <w:rPr>
          <w:sz w:val="24"/>
          <w:szCs w:val="24"/>
        </w:rPr>
        <w:fldChar w:fldCharType="end"/>
      </w:r>
      <w:r w:rsidRPr="00F77F70">
        <w:rPr>
          <w:sz w:val="24"/>
          <w:szCs w:val="24"/>
        </w:rPr>
        <w:t xml:space="preserve"> and was prospectively registered in an international register of systematic reviews (PROSPERO, registration number CRD42015024313). Consideration of PICO</w:t>
      </w:r>
      <w:r w:rsidR="00F11434">
        <w:rPr>
          <w:sz w:val="24"/>
          <w:szCs w:val="24"/>
        </w:rPr>
        <w:t>S</w:t>
      </w:r>
      <w:r w:rsidRPr="00F77F70">
        <w:rPr>
          <w:sz w:val="24"/>
          <w:szCs w:val="24"/>
        </w:rPr>
        <w:t xml:space="preserve"> (Population; Intervention; Comparator</w:t>
      </w:r>
      <w:r w:rsidR="00F11434">
        <w:rPr>
          <w:sz w:val="24"/>
          <w:szCs w:val="24"/>
        </w:rPr>
        <w:t>,</w:t>
      </w:r>
      <w:r w:rsidR="00C75D21">
        <w:rPr>
          <w:sz w:val="24"/>
          <w:szCs w:val="24"/>
        </w:rPr>
        <w:t xml:space="preserve"> </w:t>
      </w:r>
      <w:r w:rsidRPr="00F77F70">
        <w:rPr>
          <w:sz w:val="24"/>
          <w:szCs w:val="24"/>
        </w:rPr>
        <w:t>Outcomes</w:t>
      </w:r>
      <w:r w:rsidR="00F11434">
        <w:rPr>
          <w:sz w:val="24"/>
          <w:szCs w:val="24"/>
        </w:rPr>
        <w:t xml:space="preserve"> and Study Design</w:t>
      </w:r>
      <w:r w:rsidRPr="00F77F70">
        <w:rPr>
          <w:sz w:val="24"/>
          <w:szCs w:val="24"/>
        </w:rPr>
        <w:t>) guided the determination of the inclusion and exclusion criteria for this review</w:t>
      </w:r>
      <w:r w:rsidR="00AC6EDC">
        <w:rPr>
          <w:sz w:val="24"/>
          <w:szCs w:val="24"/>
        </w:rPr>
        <w:t xml:space="preserve"> (see Table 1)</w:t>
      </w:r>
      <w:r w:rsidRPr="00F77F70">
        <w:rPr>
          <w:sz w:val="24"/>
          <w:szCs w:val="24"/>
        </w:rPr>
        <w:t xml:space="preserve">. The </w:t>
      </w:r>
      <w:r w:rsidRPr="00F77F70">
        <w:rPr>
          <w:b/>
          <w:bCs/>
          <w:i/>
          <w:iCs/>
          <w:sz w:val="24"/>
          <w:szCs w:val="24"/>
        </w:rPr>
        <w:t>population</w:t>
      </w:r>
      <w:r w:rsidRPr="00F77F70">
        <w:rPr>
          <w:sz w:val="24"/>
          <w:szCs w:val="24"/>
        </w:rPr>
        <w:t xml:space="preserve"> was restricted to those who were overweight or obese. This was determined through the selection criteria of the assessed articles.</w:t>
      </w:r>
      <w:r w:rsidR="00193098">
        <w:rPr>
          <w:sz w:val="24"/>
          <w:szCs w:val="24"/>
        </w:rPr>
        <w:t xml:space="preserve"> Where appropriate, population specific criteria for overweight or obesity were used, </w:t>
      </w:r>
      <w:r w:rsidR="0081755B" w:rsidRPr="0081755B">
        <w:rPr>
          <w:i/>
          <w:sz w:val="24"/>
          <w:szCs w:val="24"/>
        </w:rPr>
        <w:t>e.g.</w:t>
      </w:r>
      <w:r w:rsidR="00193098">
        <w:rPr>
          <w:sz w:val="24"/>
          <w:szCs w:val="24"/>
        </w:rPr>
        <w:t xml:space="preserve"> WHO criteria were considered to underestimate obesity prevalence in Chinese adults</w:t>
      </w:r>
      <w:r w:rsidR="00C75A62">
        <w:rPr>
          <w:sz w:val="24"/>
          <w:szCs w:val="24"/>
        </w:rPr>
        <w:t xml:space="preserve">, </w:t>
      </w:r>
      <w:r w:rsidR="00156059">
        <w:rPr>
          <w:sz w:val="24"/>
          <w:szCs w:val="24"/>
        </w:rPr>
        <w:fldChar w:fldCharType="begin" w:fldLock="1"/>
      </w:r>
      <w:r w:rsidR="0075024E">
        <w:rPr>
          <w:sz w:val="24"/>
          <w:szCs w:val="24"/>
        </w:rPr>
        <w:instrText>ADDIN CSL_CITATION { "citationItems" : [ { "id" : "ITEM-1", "itemData" : { "author" : [ { "dropping-particle" : "", "family" : "Wu", "given" : "Y", "non-dropping-particle" : "", "parse-names" : false, "suffix" : "" } ], "container-title" : "BMJ", "id" : "ITEM-1", "issue" : "7564", "issued" : { "date-parts" : [ [ "2006" ] ] }, "page" : "362-363", "title" : "Overweight and obesity in China The once lean giant has a weight problem that is increasing rapidly", "type" : "article-journal", "volume" : "333" }, "uris" : [ "http://www.mendeley.com/documents/?uuid=a39cf4ad-596a-4265-bf40-b10e86372b40" ] } ], "mendeley" : { "formattedCitation" : "&lt;sup&gt;35&lt;/sup&gt;", "plainTextFormattedCitation" : "35", "previouslyFormattedCitation" : "&lt;sup&gt;35&lt;/sup&gt;"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35</w:t>
      </w:r>
      <w:r w:rsidR="00156059">
        <w:rPr>
          <w:sz w:val="24"/>
          <w:szCs w:val="24"/>
        </w:rPr>
        <w:fldChar w:fldCharType="end"/>
      </w:r>
      <w:r w:rsidR="00193098">
        <w:rPr>
          <w:sz w:val="24"/>
          <w:szCs w:val="24"/>
        </w:rPr>
        <w:t xml:space="preserve"> and revised criteria were proposed by the Working Group on Obesity in China (WGOC) based on meta-analyses of associations between BMI and cardiovascular disease risk factors and events</w:t>
      </w:r>
      <w:r w:rsidR="00C75A62">
        <w:rPr>
          <w:sz w:val="24"/>
          <w:szCs w:val="24"/>
        </w:rPr>
        <w:t xml:space="preserve">. </w:t>
      </w:r>
      <w:r w:rsidR="00156059">
        <w:rPr>
          <w:sz w:val="24"/>
          <w:szCs w:val="24"/>
        </w:rPr>
        <w:fldChar w:fldCharType="begin" w:fldLock="1"/>
      </w:r>
      <w:r w:rsidR="0075024E">
        <w:rPr>
          <w:sz w:val="24"/>
          <w:szCs w:val="24"/>
        </w:rPr>
        <w:instrText>ADDIN CSL_CITATION { "citationItems" : [ { "id" : "ITEM-1", "itemData" : { "author" : [ { "dropping-particle" : "", "family" : "Zhou", "given" : "BF", "non-dropping-particle" : "", "parse-names" : false, "suffix" : "" } ], "container-title" : "Biomedical and environmental sciences : BES", "id" : "ITEM-1", "issue" : "3", "issued" : { "date-parts" : [ [ "2002" ] ] }, "page" : "245-52", "title" : "Effect of body mass index on all-cause mortality and incidence of cardiovascular diseases--report for meta-analysis of prospective studies open optimal cut-off points of body mass index in Chinese adults", "type" : "article-journal", "volume" : "15" }, "uris" : [ "http://www.mendeley.com/documents/?uuid=0cd30cc1-a9ee-4836-8c8e-0c13c9ebbe33" ] }, { "id" : "ITEM-2", "itemData" : { "author" : [ { "dropping-particle" : "", "family" : "Zhou", "given" : "BF", "non-dropping-particle" : "", "parse-names" : false, "suffix" : "" }, { "dropping-particle" : "", "family" : "Cooperative Meta-Analysis Group of the Working Group on Obesity in China", "given" : "", "non-dropping-particle" : "", "parse-names" : false, "suffix" : "" } ], "container-title" : "Biomedical and environmental sciences : BES", "id" : "ITEM-2", "issue" : "1", "issued" : { "date-parts" : [ [ "2002" ] ] }, "page" : "83-96", "title" : "Predictive values of body mass index and waist circumference for risk factors of certain related diseases in Chinese adults-study on optimal cut-off points of body mass index and waist circumference in Chinese adults", "type" : "article-journal", "volume" : "15" }, "uris" : [ "http://www.mendeley.com/documents/?uuid=474d64ab-53d7-4821-9bb0-effba80f9c56" ] } ], "mendeley" : { "formattedCitation" : "&lt;sup&gt;36,37&lt;/sup&gt;", "plainTextFormattedCitation" : "36,37", "previouslyFormattedCitation" : "&lt;sup&gt;36,37&lt;/sup&gt;"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36,37</w:t>
      </w:r>
      <w:r w:rsidR="00156059">
        <w:rPr>
          <w:sz w:val="24"/>
          <w:szCs w:val="24"/>
        </w:rPr>
        <w:fldChar w:fldCharType="end"/>
      </w:r>
      <w:r w:rsidR="00193098">
        <w:rPr>
          <w:sz w:val="24"/>
          <w:szCs w:val="24"/>
        </w:rPr>
        <w:t xml:space="preserve"> Chinese criteria for overweight are</w:t>
      </w:r>
      <w:r w:rsidR="004703E3">
        <w:rPr>
          <w:sz w:val="24"/>
          <w:szCs w:val="24"/>
        </w:rPr>
        <w:t xml:space="preserve"> a</w:t>
      </w:r>
      <w:r w:rsidR="00193098">
        <w:rPr>
          <w:sz w:val="24"/>
          <w:szCs w:val="24"/>
        </w:rPr>
        <w:t xml:space="preserve"> BMI between 23.0 and 27.9, and for obesity is &gt; 28.0. In addition, data from </w:t>
      </w:r>
      <w:r w:rsidR="0009247E">
        <w:rPr>
          <w:sz w:val="24"/>
          <w:szCs w:val="24"/>
        </w:rPr>
        <w:t xml:space="preserve">paediatric </w:t>
      </w:r>
      <w:r w:rsidR="00193098">
        <w:rPr>
          <w:sz w:val="24"/>
          <w:szCs w:val="24"/>
        </w:rPr>
        <w:t xml:space="preserve">populations were included if </w:t>
      </w:r>
      <w:r w:rsidR="00437D48">
        <w:rPr>
          <w:sz w:val="24"/>
          <w:szCs w:val="24"/>
        </w:rPr>
        <w:t>the study inclusion criteria classified overweight or obesity based on validated age-specific criteria.</w:t>
      </w:r>
      <w:r w:rsidRPr="00F77F70">
        <w:rPr>
          <w:sz w:val="24"/>
          <w:szCs w:val="24"/>
        </w:rPr>
        <w:t xml:space="preserve"> If the stated inclusion/exclusion criteria</w:t>
      </w:r>
      <w:r w:rsidR="0009247E">
        <w:rPr>
          <w:sz w:val="24"/>
          <w:szCs w:val="24"/>
        </w:rPr>
        <w:t xml:space="preserve"> from each study</w:t>
      </w:r>
      <w:r w:rsidRPr="00F77F70">
        <w:rPr>
          <w:sz w:val="24"/>
          <w:szCs w:val="24"/>
        </w:rPr>
        <w:t xml:space="preserve"> did not confirm that the population were overweight or obese, data were included if the sample mean BMI minus one standard deviation was ≥ 25 kg</w:t>
      </w:r>
      <w:r w:rsidRPr="00F77F70">
        <w:rPr>
          <w:sz w:val="24"/>
          <w:szCs w:val="24"/>
          <w:vertAlign w:val="superscript"/>
        </w:rPr>
        <w:t>.</w:t>
      </w:r>
      <w:r w:rsidRPr="00F77F70">
        <w:rPr>
          <w:sz w:val="24"/>
          <w:szCs w:val="24"/>
        </w:rPr>
        <w:t>m</w:t>
      </w:r>
      <w:r w:rsidRPr="00F77F70">
        <w:rPr>
          <w:sz w:val="24"/>
          <w:szCs w:val="24"/>
          <w:vertAlign w:val="superscript"/>
        </w:rPr>
        <w:t>-2</w:t>
      </w:r>
      <w:r w:rsidRPr="00F77F70">
        <w:rPr>
          <w:sz w:val="24"/>
          <w:szCs w:val="24"/>
        </w:rPr>
        <w:t xml:space="preserve">, indicating that ~ 84% of the sample were overweight according to WHO criteria and assuming that the data were </w:t>
      </w:r>
      <w:r w:rsidR="00AF4DD8">
        <w:rPr>
          <w:sz w:val="24"/>
          <w:szCs w:val="24"/>
        </w:rPr>
        <w:t>parametrically</w:t>
      </w:r>
      <w:r w:rsidRPr="00F77F70">
        <w:rPr>
          <w:sz w:val="24"/>
          <w:szCs w:val="24"/>
        </w:rPr>
        <w:t xml:space="preserve"> distributed. Men and women of any age were considered for inclusion within the review. Individuals suffering from medical conditions or taking medications that may be related to the development of secondary osteoporosis, </w:t>
      </w:r>
      <w:r w:rsidRPr="00F77F70">
        <w:rPr>
          <w:i/>
          <w:iCs/>
          <w:sz w:val="24"/>
          <w:szCs w:val="24"/>
        </w:rPr>
        <w:t>e.g.</w:t>
      </w:r>
      <w:r w:rsidRPr="00F77F70">
        <w:rPr>
          <w:sz w:val="24"/>
          <w:szCs w:val="24"/>
        </w:rPr>
        <w:t xml:space="preserve">, thyroid dysfunction; </w:t>
      </w:r>
      <w:proofErr w:type="spellStart"/>
      <w:r w:rsidRPr="00F77F70">
        <w:rPr>
          <w:sz w:val="24"/>
          <w:szCs w:val="24"/>
        </w:rPr>
        <w:t>hypogonadism</w:t>
      </w:r>
      <w:proofErr w:type="spellEnd"/>
      <w:r w:rsidRPr="00F77F70">
        <w:rPr>
          <w:sz w:val="24"/>
          <w:szCs w:val="24"/>
        </w:rPr>
        <w:t>; genetic abnormalities (</w:t>
      </w:r>
      <w:r w:rsidRPr="00F77F70">
        <w:rPr>
          <w:i/>
          <w:iCs/>
          <w:sz w:val="24"/>
          <w:szCs w:val="24"/>
        </w:rPr>
        <w:t>e.g.</w:t>
      </w:r>
      <w:r w:rsidRPr="00F77F70">
        <w:rPr>
          <w:sz w:val="24"/>
          <w:szCs w:val="24"/>
        </w:rPr>
        <w:t xml:space="preserve">, osteoporosis </w:t>
      </w:r>
      <w:proofErr w:type="spellStart"/>
      <w:r w:rsidRPr="00F77F70">
        <w:rPr>
          <w:sz w:val="24"/>
          <w:szCs w:val="24"/>
        </w:rPr>
        <w:t>imperfecta</w:t>
      </w:r>
      <w:proofErr w:type="spellEnd"/>
      <w:r w:rsidRPr="00F77F70">
        <w:rPr>
          <w:sz w:val="24"/>
          <w:szCs w:val="24"/>
        </w:rPr>
        <w:t xml:space="preserve">) or physical disabilities were excluded from the study. In addition, athletic populations were also excluded, as regular training may result in a state of overweight or obesity due to high muscularity rather than adiposity. No </w:t>
      </w:r>
      <w:r w:rsidRPr="00F77F70">
        <w:rPr>
          <w:b/>
          <w:bCs/>
          <w:i/>
          <w:iCs/>
          <w:sz w:val="24"/>
          <w:szCs w:val="24"/>
        </w:rPr>
        <w:t>intervention</w:t>
      </w:r>
      <w:r w:rsidRPr="00F77F70">
        <w:rPr>
          <w:sz w:val="24"/>
          <w:szCs w:val="24"/>
        </w:rPr>
        <w:t xml:space="preserve"> or </w:t>
      </w:r>
      <w:r w:rsidR="0036552A" w:rsidRPr="00F77F70">
        <w:rPr>
          <w:b/>
          <w:bCs/>
          <w:i/>
          <w:iCs/>
          <w:sz w:val="24"/>
          <w:szCs w:val="24"/>
        </w:rPr>
        <w:t xml:space="preserve">comparators </w:t>
      </w:r>
      <w:r w:rsidR="0036552A" w:rsidRPr="0036552A">
        <w:rPr>
          <w:bCs/>
          <w:iCs/>
          <w:sz w:val="24"/>
          <w:szCs w:val="24"/>
        </w:rPr>
        <w:t>were</w:t>
      </w:r>
      <w:r w:rsidRPr="00F77F70">
        <w:rPr>
          <w:sz w:val="24"/>
          <w:szCs w:val="24"/>
        </w:rPr>
        <w:t xml:space="preserve"> identified for this study; however, only studies that reported a correlation between adipose mass and BMD were considered for inclusion. </w:t>
      </w:r>
      <w:r w:rsidRPr="00F77F70">
        <w:rPr>
          <w:b/>
          <w:bCs/>
          <w:i/>
          <w:iCs/>
          <w:sz w:val="24"/>
          <w:szCs w:val="24"/>
        </w:rPr>
        <w:t xml:space="preserve">Outcome </w:t>
      </w:r>
      <w:r w:rsidRPr="00F77F70">
        <w:rPr>
          <w:sz w:val="24"/>
          <w:szCs w:val="24"/>
        </w:rPr>
        <w:t>measures included a measure of adipose mass (</w:t>
      </w:r>
      <w:r w:rsidR="00B93CC7">
        <w:rPr>
          <w:sz w:val="24"/>
          <w:szCs w:val="24"/>
        </w:rPr>
        <w:t>absolute or relative</w:t>
      </w:r>
      <w:r w:rsidRPr="00F77F70">
        <w:rPr>
          <w:sz w:val="24"/>
          <w:szCs w:val="24"/>
        </w:rPr>
        <w:t>)</w:t>
      </w:r>
      <w:r w:rsidR="00B93CC7">
        <w:rPr>
          <w:sz w:val="24"/>
          <w:szCs w:val="24"/>
        </w:rPr>
        <w:t xml:space="preserve"> Absolute adipose mass was defined as the </w:t>
      </w:r>
      <w:r w:rsidR="00E24081">
        <w:rPr>
          <w:sz w:val="24"/>
          <w:szCs w:val="24"/>
        </w:rPr>
        <w:t>total amount of adi</w:t>
      </w:r>
      <w:r w:rsidR="00B93CC7">
        <w:rPr>
          <w:sz w:val="24"/>
          <w:szCs w:val="24"/>
        </w:rPr>
        <w:t xml:space="preserve">pose tissue (kg), while relative adipose mass was defined as the % of </w:t>
      </w:r>
      <w:r w:rsidR="00ED2C71">
        <w:rPr>
          <w:sz w:val="24"/>
          <w:szCs w:val="24"/>
        </w:rPr>
        <w:t xml:space="preserve">adipose tissue relative </w:t>
      </w:r>
      <w:r w:rsidR="00ED2C71" w:rsidRPr="00072647">
        <w:rPr>
          <w:sz w:val="24"/>
          <w:szCs w:val="24"/>
        </w:rPr>
        <w:t>to</w:t>
      </w:r>
      <w:r w:rsidR="00B93CC7" w:rsidRPr="00072647">
        <w:rPr>
          <w:sz w:val="24"/>
          <w:szCs w:val="24"/>
        </w:rPr>
        <w:t xml:space="preserve"> tota</w:t>
      </w:r>
      <w:r w:rsidR="00E24081" w:rsidRPr="00072647">
        <w:rPr>
          <w:sz w:val="24"/>
          <w:szCs w:val="24"/>
        </w:rPr>
        <w:t>l body mass</w:t>
      </w:r>
      <w:r w:rsidR="00241CC1" w:rsidRPr="00072647">
        <w:rPr>
          <w:sz w:val="24"/>
          <w:szCs w:val="24"/>
        </w:rPr>
        <w:t>. Adipose</w:t>
      </w:r>
      <w:r w:rsidR="00241CC1">
        <w:rPr>
          <w:sz w:val="24"/>
          <w:szCs w:val="24"/>
        </w:rPr>
        <w:t xml:space="preserve"> mass assessed using dual energy X-ray </w:t>
      </w:r>
      <w:proofErr w:type="spellStart"/>
      <w:r w:rsidR="00241CC1">
        <w:rPr>
          <w:sz w:val="24"/>
          <w:szCs w:val="24"/>
        </w:rPr>
        <w:t>absorptiometry</w:t>
      </w:r>
      <w:proofErr w:type="spellEnd"/>
      <w:r w:rsidR="00241CC1">
        <w:rPr>
          <w:sz w:val="24"/>
          <w:szCs w:val="24"/>
        </w:rPr>
        <w:t xml:space="preserve"> (DXA) was considered as the primary </w:t>
      </w:r>
      <w:r w:rsidR="00241CC1">
        <w:rPr>
          <w:sz w:val="24"/>
          <w:szCs w:val="24"/>
        </w:rPr>
        <w:lastRenderedPageBreak/>
        <w:t>outcome measur</w:t>
      </w:r>
      <w:r w:rsidR="00E24081">
        <w:rPr>
          <w:sz w:val="24"/>
          <w:szCs w:val="24"/>
        </w:rPr>
        <w:t xml:space="preserve">e of interest, </w:t>
      </w:r>
      <w:r w:rsidR="00DB5A95">
        <w:rPr>
          <w:sz w:val="24"/>
          <w:szCs w:val="24"/>
        </w:rPr>
        <w:t>as DXA has been described as a criterion method for body composition assessment</w:t>
      </w:r>
      <w:r w:rsidR="00ED2C71">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"10.1177/193229680800200623", "ISBN" : "1932-2968 (Electronic)", "ISSN" : "1932-2968", "PMID" : "19885303", "abstract" : "The incidence of obesity in the United States and other developed countries is epidemic. Because the prevalence of comorbidities to obesity, such as type 2 diabetes, has also increased, it is clear there is a great need to monitor and treat obesity and its comorbidities. Body composition assessments vary in precision and in the target tissue of interest. The most common assessments are anthropometric and include weight, stature, abdominal circumference, and skinfold measurements. More complex methods include bioelectrical impedance, dual-energy X-ray absorptiometry, body density, and total body water estimates. There is no single universally recommended method for body composition assessment in the obese, but each modality has benefits and drawbacks. We present here the most common methods and provide guidelines by way of examples to assist the clinician/researcher in choosing methods appropriate to their situation.", "author" : [ { "dropping-particle" : "", "family" : "Duren", "given" : "Dana L.", "non-dropping-particle" : "", "parse-names" : false, "suffix" : "" }, { "dropping-particle" : "", "family" : "Sherwood", "given" : "Richard J.", "non-dropping-particle" : "", "parse-names" : false, "suffix" : "" }, { "dropping-particle" : "", "family" : "Czerwinski", "given" : "Stefan A.", "non-dropping-particle" : "", "parse-names" : false, "suffix" : "" }, { "dropping-particle" : "", "family" : "Lee", "given" : "Miryoung", "non-dropping-particle" : "", "parse-names" : false, "suffix" : "" }, { "dropping-particle" : "", "family" : "Choh", "given" : "Audrey C.", "non-dropping-particle" : "", "parse-names" : false, "suffix" : "" }, { "dropping-particle" : "", "family" : "Siervogel", "given" : "Roger M.", "non-dropping-particle" : "", "parse-names" : false, "suffix" : "" }, { "dropping-particle" : "", "family" : "Cameron Chumlea", "given" : "Wm.", "non-dropping-particle" : "", "parse-names" : false, "suffix" : "" } ], "container-title" : "Journal of diabetes science and technology (Online)", "id" : "ITEM-1", "issue" : "6", "issued" : { "date-parts" : [ [ "2008" ] ] }, "page" : "1139-1146", "title" : "Body Composition Methods: Comparisons and Interpretation", "type" : "article-journal", "volume" : "2" }, "uris" : [ "http://www.mendeley.com/documents/?uuid=42b2f061-1caf-4df4-88ba-2351ad8fda74" ] } ], "mendeley" : { "formattedCitation" : "&lt;sup&gt;38&lt;/sup&gt;", "plainTextFormattedCitation" : "38", "previouslyFormattedCitation" : "&lt;sup&gt;38&lt;/sup&gt;"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38</w:t>
      </w:r>
      <w:r w:rsidR="00156059">
        <w:rPr>
          <w:sz w:val="24"/>
          <w:szCs w:val="24"/>
        </w:rPr>
        <w:fldChar w:fldCharType="end"/>
      </w:r>
      <w:r w:rsidR="00C75A62">
        <w:rPr>
          <w:sz w:val="24"/>
          <w:szCs w:val="24"/>
        </w:rPr>
        <w:t xml:space="preserve"> </w:t>
      </w:r>
      <w:r w:rsidR="00ED2C71">
        <w:rPr>
          <w:sz w:val="24"/>
          <w:szCs w:val="24"/>
        </w:rPr>
        <w:t>Indirect methods</w:t>
      </w:r>
      <w:r w:rsidR="00DB5A95">
        <w:rPr>
          <w:sz w:val="24"/>
          <w:szCs w:val="24"/>
        </w:rPr>
        <w:t xml:space="preserve"> of body composition assessment</w:t>
      </w:r>
      <w:r w:rsidR="00ED2C71">
        <w:rPr>
          <w:sz w:val="24"/>
          <w:szCs w:val="24"/>
        </w:rPr>
        <w:t xml:space="preserve"> (</w:t>
      </w:r>
      <w:r w:rsidR="00ED2C71" w:rsidRPr="0009247E">
        <w:rPr>
          <w:i/>
          <w:sz w:val="24"/>
          <w:szCs w:val="24"/>
        </w:rPr>
        <w:t>e.g.</w:t>
      </w:r>
      <w:r w:rsidR="00FF2ADB">
        <w:rPr>
          <w:i/>
          <w:sz w:val="24"/>
          <w:szCs w:val="24"/>
        </w:rPr>
        <w:t>,</w:t>
      </w:r>
      <w:r w:rsidR="00ED2C71">
        <w:rPr>
          <w:sz w:val="24"/>
          <w:szCs w:val="24"/>
        </w:rPr>
        <w:t xml:space="preserve"> </w:t>
      </w:r>
      <w:proofErr w:type="spellStart"/>
      <w:r w:rsidR="00ED2C71">
        <w:rPr>
          <w:sz w:val="24"/>
          <w:szCs w:val="24"/>
        </w:rPr>
        <w:t>skinfold</w:t>
      </w:r>
      <w:proofErr w:type="spellEnd"/>
      <w:r w:rsidR="00ED2C71">
        <w:rPr>
          <w:sz w:val="24"/>
          <w:szCs w:val="24"/>
        </w:rPr>
        <w:t xml:space="preserve"> assessment) were also considered for inclusion, provided they used validated techniques.</w:t>
      </w:r>
      <w:r w:rsidR="00B93CC7">
        <w:rPr>
          <w:sz w:val="24"/>
          <w:szCs w:val="24"/>
        </w:rPr>
        <w:t xml:space="preserve"> </w:t>
      </w:r>
      <w:r w:rsidR="007731E4">
        <w:rPr>
          <w:sz w:val="24"/>
          <w:szCs w:val="24"/>
        </w:rPr>
        <w:t xml:space="preserve">Studies were also required to provide data describing </w:t>
      </w:r>
      <w:r w:rsidRPr="00F77F70">
        <w:rPr>
          <w:sz w:val="24"/>
          <w:szCs w:val="24"/>
        </w:rPr>
        <w:t xml:space="preserve">BMD of the total body; total hip, femoral neck or lumbar spine assessed by </w:t>
      </w:r>
      <w:r w:rsidR="007731E4">
        <w:rPr>
          <w:sz w:val="24"/>
          <w:szCs w:val="24"/>
        </w:rPr>
        <w:t>DXA</w:t>
      </w:r>
      <w:r w:rsidRPr="00F77F70">
        <w:rPr>
          <w:sz w:val="24"/>
          <w:szCs w:val="24"/>
        </w:rPr>
        <w:t xml:space="preserve"> (g</w:t>
      </w:r>
      <w:r w:rsidRPr="00F77F70">
        <w:rPr>
          <w:sz w:val="24"/>
          <w:szCs w:val="24"/>
          <w:vertAlign w:val="superscript"/>
        </w:rPr>
        <w:t>.</w:t>
      </w:r>
      <w:r w:rsidRPr="00F77F70">
        <w:rPr>
          <w:sz w:val="24"/>
          <w:szCs w:val="24"/>
        </w:rPr>
        <w:t>cm</w:t>
      </w:r>
      <w:r w:rsidRPr="00F77F70">
        <w:rPr>
          <w:sz w:val="24"/>
          <w:szCs w:val="24"/>
          <w:vertAlign w:val="superscript"/>
        </w:rPr>
        <w:t>-2</w:t>
      </w:r>
      <w:r w:rsidRPr="00F77F70">
        <w:rPr>
          <w:sz w:val="24"/>
          <w:szCs w:val="24"/>
        </w:rPr>
        <w:t xml:space="preserve">). Only original human studies published in the English language between 1980 and 2016 were considered. The reference lists of the identified review articles were screened for relevant original studies but these reviews were not included. Intervention studies were considered only if the pre-intervention information provided adhered to the inclusion/exclusion criteria outlined above. </w:t>
      </w:r>
    </w:p>
    <w:p w:rsidR="008F13B0" w:rsidRPr="00F77F70" w:rsidRDefault="008F13B0" w:rsidP="00D1500E">
      <w:pPr>
        <w:spacing w:line="360" w:lineRule="auto"/>
        <w:jc w:val="both"/>
        <w:rPr>
          <w:b/>
          <w:bCs/>
          <w:i/>
          <w:iCs/>
          <w:sz w:val="24"/>
          <w:szCs w:val="24"/>
        </w:rPr>
      </w:pPr>
      <w:r w:rsidRPr="00F77F70">
        <w:rPr>
          <w:b/>
          <w:bCs/>
          <w:i/>
          <w:iCs/>
          <w:sz w:val="24"/>
          <w:szCs w:val="24"/>
        </w:rPr>
        <w:t>Search Strategy:</w:t>
      </w:r>
    </w:p>
    <w:p w:rsidR="008F13B0" w:rsidRPr="00F77F70" w:rsidRDefault="008F13B0" w:rsidP="00D1500E">
      <w:pPr>
        <w:spacing w:line="360" w:lineRule="auto"/>
        <w:jc w:val="both"/>
        <w:rPr>
          <w:rFonts w:eastAsia="PMingLiU"/>
          <w:sz w:val="24"/>
          <w:szCs w:val="24"/>
          <w:lang w:eastAsia="zh-HK"/>
        </w:rPr>
      </w:pPr>
      <w:r w:rsidRPr="00F77F70">
        <w:rPr>
          <w:sz w:val="24"/>
          <w:szCs w:val="24"/>
        </w:rPr>
        <w:t xml:space="preserve">An electronic search of the literature was independently undertaken by two members of the review team (ED and PAS) from three databases (Medline, </w:t>
      </w:r>
      <w:proofErr w:type="spellStart"/>
      <w:r w:rsidRPr="00F77F70">
        <w:rPr>
          <w:sz w:val="24"/>
          <w:szCs w:val="24"/>
        </w:rPr>
        <w:t>Emb</w:t>
      </w:r>
      <w:r w:rsidR="001B2C3F">
        <w:rPr>
          <w:sz w:val="24"/>
          <w:szCs w:val="24"/>
        </w:rPr>
        <w:t>ase</w:t>
      </w:r>
      <w:proofErr w:type="spellEnd"/>
      <w:r w:rsidR="001B2C3F">
        <w:rPr>
          <w:sz w:val="24"/>
          <w:szCs w:val="24"/>
        </w:rPr>
        <w:t xml:space="preserve"> and </w:t>
      </w:r>
      <w:proofErr w:type="spellStart"/>
      <w:r w:rsidR="001B2C3F">
        <w:rPr>
          <w:sz w:val="24"/>
          <w:szCs w:val="24"/>
        </w:rPr>
        <w:t>ScienceDirect</w:t>
      </w:r>
      <w:proofErr w:type="spellEnd"/>
      <w:r w:rsidR="001B2C3F">
        <w:rPr>
          <w:sz w:val="24"/>
          <w:szCs w:val="24"/>
        </w:rPr>
        <w:t>) using a 3</w:t>
      </w:r>
      <w:r w:rsidRPr="00F77F70">
        <w:rPr>
          <w:sz w:val="24"/>
          <w:szCs w:val="24"/>
        </w:rPr>
        <w:t xml:space="preserve">-stage screening process, </w:t>
      </w:r>
      <w:r w:rsidRPr="00F77F70">
        <w:rPr>
          <w:i/>
          <w:iCs/>
          <w:sz w:val="24"/>
          <w:szCs w:val="24"/>
        </w:rPr>
        <w:t>i.e.</w:t>
      </w:r>
      <w:r w:rsidR="001B2C3F">
        <w:rPr>
          <w:sz w:val="24"/>
          <w:szCs w:val="24"/>
        </w:rPr>
        <w:t>, 1) Title/Abstract; 2) Full-text screen; 3</w:t>
      </w:r>
      <w:r w:rsidRPr="00F77F70">
        <w:rPr>
          <w:sz w:val="24"/>
          <w:szCs w:val="24"/>
        </w:rPr>
        <w:t>) Full-text appraisal.</w:t>
      </w:r>
      <w:r w:rsidRPr="00F77F70">
        <w:rPr>
          <w:rFonts w:eastAsia="PMingLiU"/>
          <w:sz w:val="24"/>
          <w:szCs w:val="24"/>
          <w:lang w:eastAsia="zh-HK"/>
        </w:rPr>
        <w:t xml:space="preserve"> The</w:t>
      </w:r>
      <w:r w:rsidRPr="00F77F70">
        <w:rPr>
          <w:sz w:val="24"/>
          <w:szCs w:val="24"/>
        </w:rPr>
        <w:t xml:space="preserve"> key words “Bone” OR “BMD” </w:t>
      </w:r>
      <w:r w:rsidRPr="00F77F70">
        <w:rPr>
          <w:rFonts w:eastAsia="PMingLiU"/>
          <w:sz w:val="24"/>
          <w:szCs w:val="24"/>
          <w:lang w:eastAsia="zh-HK"/>
        </w:rPr>
        <w:t xml:space="preserve">within the title were </w:t>
      </w:r>
      <w:r w:rsidRPr="00F77F70">
        <w:rPr>
          <w:sz w:val="24"/>
          <w:szCs w:val="24"/>
        </w:rPr>
        <w:t>concatenated with “Body Composition” OR “Fat” OR “Lean” OR “Muscle” OR “Fat-Free” OR “Adipose”</w:t>
      </w:r>
      <w:r w:rsidRPr="00F77F70">
        <w:rPr>
          <w:rFonts w:eastAsia="PMingLiU"/>
          <w:sz w:val="24"/>
          <w:szCs w:val="24"/>
          <w:lang w:eastAsia="zh-HK"/>
        </w:rPr>
        <w:t xml:space="preserve"> within the title, abstract or keywords. Results were limited as described within the inclusion/exclusion criteria outlined above and in accordance with the filter options provided within each database. In addition, reference lists of relevant original and review articles were</w:t>
      </w:r>
      <w:r w:rsidRPr="00F77F70">
        <w:rPr>
          <w:sz w:val="24"/>
          <w:szCs w:val="24"/>
        </w:rPr>
        <w:t xml:space="preserve"> screened in attempts to obtain all relevant studies. The search was completed in July 2016.</w:t>
      </w:r>
      <w:r w:rsidRPr="00F77F70">
        <w:rPr>
          <w:rFonts w:eastAsia="PMingLiU"/>
          <w:sz w:val="24"/>
          <w:szCs w:val="24"/>
          <w:lang w:eastAsia="zh-HK"/>
        </w:rPr>
        <w:t xml:space="preserve"> </w:t>
      </w:r>
    </w:p>
    <w:p w:rsidR="008F13B0" w:rsidRPr="00F77F70" w:rsidRDefault="008F13B0" w:rsidP="00D1500E">
      <w:pPr>
        <w:spacing w:line="360" w:lineRule="auto"/>
        <w:jc w:val="both"/>
        <w:rPr>
          <w:b/>
          <w:bCs/>
          <w:i/>
          <w:iCs/>
          <w:sz w:val="24"/>
          <w:szCs w:val="24"/>
        </w:rPr>
      </w:pPr>
      <w:r w:rsidRPr="00F77F70">
        <w:rPr>
          <w:b/>
          <w:bCs/>
          <w:i/>
          <w:iCs/>
          <w:sz w:val="24"/>
          <w:szCs w:val="24"/>
        </w:rPr>
        <w:t>Assessment of Methodological Quality and Data Extraction:</w:t>
      </w:r>
    </w:p>
    <w:p w:rsidR="008F13B0" w:rsidRDefault="008F13B0" w:rsidP="00D1500E">
      <w:pPr>
        <w:spacing w:line="360" w:lineRule="auto"/>
        <w:jc w:val="both"/>
        <w:rPr>
          <w:rFonts w:eastAsia="PMingLiU"/>
          <w:sz w:val="24"/>
          <w:szCs w:val="24"/>
          <w:lang w:eastAsia="zh-HK"/>
        </w:rPr>
      </w:pPr>
      <w:r w:rsidRPr="00F77F70">
        <w:rPr>
          <w:sz w:val="24"/>
          <w:szCs w:val="24"/>
        </w:rPr>
        <w:t>Included studies were assessed for methodological validity and data were extracted by two independent reviewers (ED and PAS or JOR) using a pre-piloted template based on</w:t>
      </w:r>
      <w:r w:rsidRPr="00F77F70">
        <w:rPr>
          <w:rFonts w:eastAsia="PMingLiU"/>
          <w:sz w:val="24"/>
          <w:szCs w:val="24"/>
          <w:lang w:eastAsia="zh-HK"/>
        </w:rPr>
        <w:t xml:space="preserve"> the McMaster University critical review form for quantitative studies and adapted for specific use in this review. This tool was selected based on its relevance for all quantitative studies, as opposed to other widely used tools (</w:t>
      </w:r>
      <w:r w:rsidRPr="00F77F70">
        <w:rPr>
          <w:rFonts w:eastAsia="PMingLiU"/>
          <w:i/>
          <w:iCs/>
          <w:sz w:val="24"/>
          <w:szCs w:val="24"/>
          <w:lang w:eastAsia="zh-HK"/>
        </w:rPr>
        <w:t>e.g.</w:t>
      </w:r>
      <w:r w:rsidRPr="00F77F70">
        <w:rPr>
          <w:rFonts w:eastAsia="PMingLiU"/>
          <w:sz w:val="24"/>
          <w:szCs w:val="24"/>
          <w:lang w:eastAsia="zh-HK"/>
        </w:rPr>
        <w:t>, CONSORT) that are primarily applicable to randomised controlled trials and of limited relevance for this particular review, which mainly used cross-sectional investigations. Data were extracted regarding study design, participant char</w:t>
      </w:r>
      <w:r w:rsidR="001B2C3F">
        <w:rPr>
          <w:rFonts w:eastAsia="PMingLiU"/>
          <w:sz w:val="24"/>
          <w:szCs w:val="24"/>
          <w:lang w:eastAsia="zh-HK"/>
        </w:rPr>
        <w:t>acteristics (sample size, sex</w:t>
      </w:r>
      <w:r w:rsidRPr="00F77F70">
        <w:rPr>
          <w:rFonts w:eastAsia="PMingLiU"/>
          <w:sz w:val="24"/>
          <w:szCs w:val="24"/>
          <w:lang w:eastAsia="zh-HK"/>
        </w:rPr>
        <w:t xml:space="preserve">, ethnicity, age and BMI), selection procedures and outcome measures (equipment used, total body, lumbar spine and </w:t>
      </w:r>
      <w:r w:rsidR="0036552A">
        <w:rPr>
          <w:rFonts w:eastAsia="PMingLiU"/>
          <w:sz w:val="24"/>
          <w:szCs w:val="24"/>
          <w:lang w:eastAsia="zh-HK"/>
        </w:rPr>
        <w:t>total hip and femoral neck</w:t>
      </w:r>
      <w:r w:rsidRPr="00F77F70">
        <w:rPr>
          <w:rFonts w:eastAsia="PMingLiU"/>
          <w:sz w:val="24"/>
          <w:szCs w:val="24"/>
          <w:lang w:eastAsia="zh-HK"/>
        </w:rPr>
        <w:t xml:space="preserve"> BMD </w:t>
      </w:r>
      <w:r w:rsidRPr="00F77F70">
        <w:rPr>
          <w:rFonts w:eastAsia="PMingLiU"/>
          <w:sz w:val="24"/>
          <w:szCs w:val="24"/>
          <w:lang w:eastAsia="zh-HK"/>
        </w:rPr>
        <w:lastRenderedPageBreak/>
        <w:t xml:space="preserve">and adipose mass), along with data analysis and reporting procedures. The primary analysis variable was the </w:t>
      </w:r>
      <w:proofErr w:type="spellStart"/>
      <w:r w:rsidRPr="00F77F70">
        <w:rPr>
          <w:rFonts w:eastAsia="PMingLiU"/>
          <w:sz w:val="24"/>
          <w:szCs w:val="24"/>
          <w:lang w:eastAsia="zh-HK"/>
        </w:rPr>
        <w:t>bivariate</w:t>
      </w:r>
      <w:proofErr w:type="spellEnd"/>
      <w:r w:rsidRPr="00F77F70">
        <w:rPr>
          <w:rFonts w:eastAsia="PMingLiU"/>
          <w:sz w:val="24"/>
          <w:szCs w:val="24"/>
          <w:lang w:eastAsia="zh-HK"/>
        </w:rPr>
        <w:t xml:space="preserve"> correlation coefficient between adipose mass</w:t>
      </w:r>
      <w:r w:rsidR="00AF4DD8">
        <w:rPr>
          <w:rFonts w:eastAsia="PMingLiU"/>
          <w:sz w:val="24"/>
          <w:szCs w:val="24"/>
          <w:lang w:eastAsia="zh-HK"/>
        </w:rPr>
        <w:t xml:space="preserve"> </w:t>
      </w:r>
      <w:r w:rsidRPr="00F77F70">
        <w:rPr>
          <w:rFonts w:eastAsia="PMingLiU"/>
          <w:sz w:val="24"/>
          <w:szCs w:val="24"/>
          <w:lang w:eastAsia="zh-HK"/>
        </w:rPr>
        <w:t>and BMD (total body, lumbar spine, total hip and femoral neck), although multi-</w:t>
      </w:r>
      <w:proofErr w:type="spellStart"/>
      <w:r w:rsidRPr="00F77F70">
        <w:rPr>
          <w:rFonts w:eastAsia="PMingLiU"/>
          <w:sz w:val="24"/>
          <w:szCs w:val="24"/>
          <w:lang w:eastAsia="zh-HK"/>
        </w:rPr>
        <w:t>variate</w:t>
      </w:r>
      <w:proofErr w:type="spellEnd"/>
      <w:r w:rsidRPr="00F77F70">
        <w:rPr>
          <w:rFonts w:eastAsia="PMingLiU"/>
          <w:sz w:val="24"/>
          <w:szCs w:val="24"/>
          <w:lang w:eastAsia="zh-HK"/>
        </w:rPr>
        <w:t xml:space="preserve"> coefficients were considered if they controlled for non-lifestyle associated non-modifiable factors (</w:t>
      </w:r>
      <w:r w:rsidRPr="00F77F70">
        <w:rPr>
          <w:rFonts w:eastAsia="PMingLiU"/>
          <w:i/>
          <w:iCs/>
          <w:sz w:val="24"/>
          <w:szCs w:val="24"/>
          <w:lang w:eastAsia="zh-HK"/>
        </w:rPr>
        <w:t>e.g.</w:t>
      </w:r>
      <w:r w:rsidRPr="00F77F70">
        <w:rPr>
          <w:rFonts w:eastAsia="PMingLiU"/>
          <w:sz w:val="24"/>
          <w:szCs w:val="24"/>
          <w:lang w:eastAsia="zh-HK"/>
        </w:rPr>
        <w:t xml:space="preserve">, sex). The two adipose measures included were absolute adipose mass (kg) and relative adipose mass (%BM), thus allowing for a total of 8 correlation coefficients to be extracted.  Secondary analyses examined the moderating effect of three subgroups </w:t>
      </w:r>
      <w:r w:rsidRPr="00F77F70">
        <w:rPr>
          <w:rFonts w:eastAsia="PMingLiU"/>
          <w:i/>
          <w:iCs/>
          <w:sz w:val="24"/>
          <w:szCs w:val="24"/>
          <w:lang w:eastAsia="zh-HK"/>
        </w:rPr>
        <w:t>i.e.</w:t>
      </w:r>
      <w:r w:rsidRPr="00F77F70">
        <w:rPr>
          <w:rFonts w:eastAsia="PMingLiU"/>
          <w:sz w:val="24"/>
          <w:szCs w:val="24"/>
          <w:lang w:eastAsia="zh-HK"/>
        </w:rPr>
        <w:t xml:space="preserve"> sex, age, and BMI category (overweight and obese).</w:t>
      </w:r>
      <w:r w:rsidR="00AB54A4">
        <w:rPr>
          <w:rFonts w:eastAsia="PMingLiU"/>
          <w:sz w:val="24"/>
          <w:szCs w:val="24"/>
          <w:lang w:eastAsia="zh-HK"/>
        </w:rPr>
        <w:t xml:space="preserve"> Age categories were included based on a strong body of evidence indicat</w:t>
      </w:r>
      <w:r w:rsidR="00D961AC">
        <w:rPr>
          <w:rFonts w:eastAsia="PMingLiU"/>
          <w:sz w:val="24"/>
          <w:szCs w:val="24"/>
          <w:lang w:eastAsia="zh-HK"/>
        </w:rPr>
        <w:t>ing</w:t>
      </w:r>
      <w:r w:rsidR="00AB54A4">
        <w:rPr>
          <w:rFonts w:eastAsia="PMingLiU"/>
          <w:sz w:val="24"/>
          <w:szCs w:val="24"/>
          <w:lang w:eastAsia="zh-HK"/>
        </w:rPr>
        <w:t xml:space="preserve"> that physiological stage of development substantially contributes to variation in BMD</w:t>
      </w:r>
      <w:r w:rsidR="00C75A62">
        <w:rPr>
          <w:rFonts w:eastAsia="PMingLiU"/>
          <w:sz w:val="24"/>
          <w:szCs w:val="24"/>
          <w:lang w:eastAsia="zh-HK"/>
        </w:rPr>
        <w:t xml:space="preserve">. </w:t>
      </w:r>
      <w:r w:rsidR="00156059" w:rsidRPr="00C75A62">
        <w:rPr>
          <w:rFonts w:eastAsia="PMingLiU"/>
          <w:sz w:val="24"/>
          <w:szCs w:val="24"/>
          <w:lang w:eastAsia="zh-HK"/>
        </w:rPr>
        <w:fldChar w:fldCharType="begin" w:fldLock="1"/>
      </w:r>
      <w:r w:rsidR="0075024E">
        <w:rPr>
          <w:rFonts w:eastAsia="PMingLiU"/>
          <w:sz w:val="24"/>
          <w:szCs w:val="24"/>
          <w:lang w:eastAsia="zh-HK"/>
        </w:rPr>
        <w:instrText>ADDIN CSL_CITATION { "citationItems" : [ { "id" : "ITEM-1", "itemData" : { "author" : [ { "dropping-particle" : "", "family" : "Saggese", "given" : "G", "non-dropping-particle" : "", "parse-names" : false, "suffix" : "" }, { "dropping-particle" : "", "family" : "Baroncelli", "given" : "GI", "non-dropping-particle" : "", "parse-names" : false, "suffix" : "" }, { "dropping-particle" : "", "family" : "Bertelloni", "given" : "S", "non-dropping-particle" : "", "parse-names" : false, "suffix" : "" } ], "container-title" : "Best practice &amp; research. Clinical endocrinology &amp; metabolism", "id" : "ITEM-1", "issue" : "1", "issued" : { "date-parts" : [ [ "2002" ] ] }, "page" : "53-64", "title" : "Puberty and bone development", "type" : "article-journal", "volume" : "16" }, "uris" : [ "http://www.mendeley.com/documents/?uuid=cfb13a1d-b371-4263-8631-7e0feaa5adbe" ] }, { "id" : "ITEM-2", "itemData" : { "author" : [ { "dropping-particle" : "", "family" : "Burr", "given" : "DB", "non-dropping-particle" : "", "parse-names" : false, "suffix" : "" } ], "container-title" : "Journal of Bone and Mineral Research", "id" : "ITEM-2", "issue" : "10", "issued" : { "date-parts" : [ [ "1997" ] ] }, "page" : "1547-51", "title" : "Muscle strength, bone mass, and age-related bone loss", "type" : "article-journal", "volume" : "12" }, "uris" : [ "http://www.mendeley.com/documents/?uuid=e20bac0f-6382-4db8-89a0-3415067cc66d" ] } ], "mendeley" : { "formattedCitation" : "&lt;sup&gt;39,40&lt;/sup&gt;", "plainTextFormattedCitation" : "39,40", "previouslyFormattedCitation" : "&lt;sup&gt;39,40&lt;/sup&gt;" }, "properties" : { "noteIndex" : 0 }, "schema" : "https://github.com/citation-style-language/schema/raw/master/csl-citation.json" }</w:instrText>
      </w:r>
      <w:r w:rsidR="00156059" w:rsidRPr="00C75A62">
        <w:rPr>
          <w:rFonts w:eastAsia="PMingLiU"/>
          <w:sz w:val="24"/>
          <w:szCs w:val="24"/>
          <w:lang w:eastAsia="zh-HK"/>
        </w:rPr>
        <w:fldChar w:fldCharType="separate"/>
      </w:r>
      <w:r w:rsidR="00AA43A0" w:rsidRPr="00AA43A0">
        <w:rPr>
          <w:rFonts w:eastAsia="PMingLiU"/>
          <w:noProof/>
          <w:sz w:val="24"/>
          <w:szCs w:val="24"/>
          <w:vertAlign w:val="superscript"/>
          <w:lang w:eastAsia="zh-HK"/>
        </w:rPr>
        <w:t>39,40</w:t>
      </w:r>
      <w:r w:rsidR="00156059" w:rsidRPr="00C75A62">
        <w:rPr>
          <w:rFonts w:eastAsia="PMingLiU"/>
          <w:sz w:val="24"/>
          <w:szCs w:val="24"/>
          <w:lang w:eastAsia="zh-HK"/>
        </w:rPr>
        <w:fldChar w:fldCharType="end"/>
      </w:r>
      <w:r w:rsidR="00AB54A4">
        <w:rPr>
          <w:rFonts w:eastAsia="PMingLiU"/>
          <w:sz w:val="24"/>
          <w:szCs w:val="24"/>
          <w:lang w:eastAsia="zh-HK"/>
        </w:rPr>
        <w:t xml:space="preserve"> Three age categories were included within the multi-level model, </w:t>
      </w:r>
      <w:r w:rsidR="00AB54A4" w:rsidRPr="00AB54A4">
        <w:rPr>
          <w:rFonts w:eastAsia="PMingLiU"/>
          <w:i/>
          <w:sz w:val="24"/>
          <w:szCs w:val="24"/>
          <w:lang w:eastAsia="zh-HK"/>
        </w:rPr>
        <w:t>i.e.</w:t>
      </w:r>
      <w:r w:rsidR="004703E3">
        <w:rPr>
          <w:rFonts w:eastAsia="PMingLiU"/>
          <w:i/>
          <w:sz w:val="24"/>
          <w:szCs w:val="24"/>
          <w:lang w:eastAsia="zh-HK"/>
        </w:rPr>
        <w:t>,</w:t>
      </w:r>
      <w:r w:rsidR="00AB54A4">
        <w:rPr>
          <w:rFonts w:eastAsia="PMingLiU"/>
          <w:sz w:val="24"/>
          <w:szCs w:val="24"/>
          <w:lang w:eastAsia="zh-HK"/>
        </w:rPr>
        <w:t xml:space="preserve"> </w:t>
      </w:r>
      <w:r w:rsidRPr="00F77F70">
        <w:rPr>
          <w:rFonts w:eastAsia="PMingLiU"/>
          <w:sz w:val="24"/>
          <w:szCs w:val="24"/>
          <w:lang w:eastAsia="zh-HK"/>
        </w:rPr>
        <w:t xml:space="preserve">&lt;25; 25 – 55 and &gt;55 years. </w:t>
      </w:r>
      <w:r w:rsidR="00AB54A4">
        <w:rPr>
          <w:rFonts w:eastAsia="PMingLiU"/>
          <w:sz w:val="24"/>
          <w:szCs w:val="24"/>
          <w:lang w:eastAsia="zh-HK"/>
        </w:rPr>
        <w:t xml:space="preserve">These classifications were selected in order to represent the three main phases of the bone’s lifecycle, </w:t>
      </w:r>
      <w:r w:rsidRPr="00F77F70">
        <w:rPr>
          <w:rFonts w:eastAsia="PMingLiU"/>
          <w:i/>
          <w:iCs/>
          <w:sz w:val="24"/>
          <w:szCs w:val="24"/>
          <w:lang w:eastAsia="zh-HK"/>
        </w:rPr>
        <w:t>i.e.</w:t>
      </w:r>
      <w:r w:rsidRPr="00F77F70">
        <w:rPr>
          <w:rFonts w:eastAsia="PMingLiU"/>
          <w:sz w:val="24"/>
          <w:szCs w:val="24"/>
          <w:lang w:eastAsia="zh-HK"/>
        </w:rPr>
        <w:t>, development, maintenance and decline</w:t>
      </w:r>
      <w:r w:rsidR="00C75A62">
        <w:rPr>
          <w:rFonts w:eastAsia="PMingLiU"/>
          <w:sz w:val="24"/>
          <w:szCs w:val="24"/>
          <w:lang w:eastAsia="zh-HK"/>
        </w:rPr>
        <w:t xml:space="preserve">. </w:t>
      </w:r>
      <w:r w:rsidR="00156059">
        <w:rPr>
          <w:rFonts w:eastAsia="PMingLiU"/>
          <w:sz w:val="24"/>
          <w:szCs w:val="24"/>
          <w:lang w:eastAsia="zh-HK"/>
        </w:rPr>
        <w:fldChar w:fldCharType="begin" w:fldLock="1"/>
      </w:r>
      <w:r w:rsidR="0075024E">
        <w:rPr>
          <w:rFonts w:eastAsia="PMingLiU"/>
          <w:sz w:val="24"/>
          <w:szCs w:val="24"/>
          <w:lang w:eastAsia="zh-HK"/>
        </w:rPr>
        <w:instrText>ADDIN CSL_CITATION { "citationItems" : [ { "id" : "ITEM-1", "itemData" : { "author" : [ { "dropping-particle" : "", "family" : "Rosen", "given" : "CJ", "non-dropping-particle" : "", "parse-names" : false, "suffix" : "" } ], "container-title" : "American Society of Bone and Mineral Research. John Wiley and Sons Inc", "id" : "ITEM-1", "issued" : { "date-parts" : [ [ "2013" ] ] }, "page" : "i-xxvi", "title" : "Primer on the metabolic bone diseases and disorders of mineral metabolism. 8th ed", "type" : "article-journal" }, "uris" : [ "http://www.mendeley.com/documents/?uuid=1daa6089-0707-4f79-bf8b-53eb272d9927" ] } ], "mendeley" : { "formattedCitation" : "&lt;sup&gt;41&lt;/sup&gt;", "plainTextFormattedCitation" : "41", "previouslyFormattedCitation" : "&lt;sup&gt;41&lt;/sup&gt;" }, "properties" : { "noteIndex" : 0 }, "schema" : "https://github.com/citation-style-language/schema/raw/master/csl-citation.json" }</w:instrText>
      </w:r>
      <w:r w:rsidR="00156059">
        <w:rPr>
          <w:rFonts w:eastAsia="PMingLiU"/>
          <w:sz w:val="24"/>
          <w:szCs w:val="24"/>
          <w:lang w:eastAsia="zh-HK"/>
        </w:rPr>
        <w:fldChar w:fldCharType="separate"/>
      </w:r>
      <w:r w:rsidR="00AA43A0" w:rsidRPr="00AA43A0">
        <w:rPr>
          <w:rFonts w:eastAsia="PMingLiU"/>
          <w:noProof/>
          <w:sz w:val="24"/>
          <w:szCs w:val="24"/>
          <w:vertAlign w:val="superscript"/>
          <w:lang w:eastAsia="zh-HK"/>
        </w:rPr>
        <w:t>41</w:t>
      </w:r>
      <w:r w:rsidR="00156059">
        <w:rPr>
          <w:rFonts w:eastAsia="PMingLiU"/>
          <w:sz w:val="24"/>
          <w:szCs w:val="24"/>
          <w:lang w:eastAsia="zh-HK"/>
        </w:rPr>
        <w:fldChar w:fldCharType="end"/>
      </w:r>
      <w:r w:rsidRPr="00F77F70">
        <w:rPr>
          <w:rFonts w:eastAsia="PMingLiU"/>
          <w:sz w:val="24"/>
          <w:szCs w:val="24"/>
          <w:lang w:eastAsia="zh-HK"/>
        </w:rPr>
        <w:t xml:space="preserve"> </w:t>
      </w:r>
      <w:r w:rsidRPr="00F77F70">
        <w:rPr>
          <w:sz w:val="24"/>
          <w:szCs w:val="24"/>
        </w:rPr>
        <w:t>Age categories were assigned based on the mean age reported. Participants were assigned to the obese group if the reported BMI minus one standard deviation was ≥30 kg</w:t>
      </w:r>
      <w:r w:rsidRPr="00F77F70">
        <w:rPr>
          <w:sz w:val="24"/>
          <w:szCs w:val="24"/>
          <w:vertAlign w:val="superscript"/>
        </w:rPr>
        <w:t>.</w:t>
      </w:r>
      <w:r w:rsidRPr="00F77F70">
        <w:rPr>
          <w:sz w:val="24"/>
          <w:szCs w:val="24"/>
        </w:rPr>
        <w:t>m</w:t>
      </w:r>
      <w:r w:rsidRPr="00F77F70">
        <w:rPr>
          <w:sz w:val="24"/>
          <w:szCs w:val="24"/>
          <w:vertAlign w:val="superscript"/>
        </w:rPr>
        <w:t>-2</w:t>
      </w:r>
      <w:r w:rsidRPr="00F77F70">
        <w:rPr>
          <w:rFonts w:eastAsia="PMingLiU"/>
          <w:sz w:val="24"/>
          <w:szCs w:val="24"/>
          <w:lang w:eastAsia="zh-HK"/>
        </w:rPr>
        <w:t xml:space="preserve">. </w:t>
      </w:r>
      <w:r w:rsidR="00FB0DED">
        <w:rPr>
          <w:rFonts w:eastAsia="PMingLiU"/>
          <w:sz w:val="24"/>
          <w:szCs w:val="24"/>
          <w:lang w:eastAsia="zh-HK"/>
        </w:rPr>
        <w:t xml:space="preserve">In addition, results were considered in relation to sex categories, as evidence indicates that </w:t>
      </w:r>
      <w:r w:rsidR="00072647">
        <w:rPr>
          <w:rFonts w:eastAsia="PMingLiU"/>
          <w:sz w:val="24"/>
          <w:szCs w:val="24"/>
          <w:lang w:eastAsia="zh-HK"/>
        </w:rPr>
        <w:t>sexual dimorphism</w:t>
      </w:r>
      <w:r w:rsidR="007910AE">
        <w:rPr>
          <w:rFonts w:eastAsia="PMingLiU"/>
          <w:sz w:val="24"/>
          <w:szCs w:val="24"/>
          <w:lang w:eastAsia="zh-HK"/>
        </w:rPr>
        <w:t xml:space="preserve"> </w:t>
      </w:r>
      <w:r w:rsidR="00FB0DED">
        <w:rPr>
          <w:rFonts w:eastAsia="PMingLiU"/>
          <w:sz w:val="24"/>
          <w:szCs w:val="24"/>
          <w:lang w:eastAsia="zh-HK"/>
        </w:rPr>
        <w:t>may impact the results attained.</w:t>
      </w:r>
      <w:r w:rsidR="00C75A62">
        <w:rPr>
          <w:rFonts w:eastAsia="PMingLiU"/>
          <w:sz w:val="24"/>
          <w:szCs w:val="24"/>
          <w:lang w:eastAsia="zh-HK"/>
        </w:rPr>
        <w:t xml:space="preserve"> </w:t>
      </w:r>
      <w:r w:rsidR="00156059">
        <w:rPr>
          <w:rFonts w:eastAsia="PMingLiU"/>
          <w:sz w:val="24"/>
          <w:szCs w:val="24"/>
          <w:lang w:eastAsia="zh-HK"/>
        </w:rPr>
        <w:fldChar w:fldCharType="begin" w:fldLock="1"/>
      </w:r>
      <w:r w:rsidR="0075024E">
        <w:rPr>
          <w:rFonts w:eastAsia="PMingLiU"/>
          <w:sz w:val="24"/>
          <w:szCs w:val="24"/>
          <w:lang w:eastAsia="zh-HK"/>
        </w:rPr>
        <w:instrText>ADDIN CSL_CITATION { "citationItems" : [ { "id" : "ITEM-1", "itemData" : { "DOI" : "10.1677/JOE-10-0209", "ISBN" : "1479-6805 (Electronic)\\r0022-0795 (Linking)", "ISSN" : "00220795", "PMID" : "20807726", "abstract" : "Structural gender differences in bone mass - characterized by wider but not thicker bones - are generally attributed to opposing sex steroid actions in men and women. Recent findings have redefined the traditional concept of sex hormones as the main regulators of skeletal sexual dimorphism. GH-IGF1 action is likely to be the most important determinant of sex differences in bone mass. Estrogens limit periosteal bone expansion but stimulate endosteal bone apposition in females, whereas androgens stimulate radial bone expansion in males. Androgens not only act directly on bone through the androgen receptor (AR) but also activate estrogen receptor-\u03b1 or -\u03b2 (ER\u03b1 or ER\u03b2) following aromatization into estrogens. Both the AR and ER\u03b1 pathways are needed to optimize radial cortical bone expansion, whereas AR signaling alone is the dominant pathway for normal male trabecular bone development. Estrogen/ER\u03b1-mediated effects in males may - at least partly - depend on interaction with IGF1. In addition, sex hormones and their receptors have an impact on the mechanical sensitivity of the growing skeleton. AR and ER\u03b2 signaling may limit the osteogenic response to loading in males and females respectively, while ER\u03b1 may stimulate the response of bone to mechanical stimulation in the female skeleton. Overall, current evidence suggests that skeletal sexual dimorphism is not just the end result of differences in sex steroid secretion between the sexes, but depends on gender differences in GH-IGF1 and mechanical sensitivity to loading as well.", "author" : [ { "dropping-particle" : "", "family" : "Callewaert", "given" : "Filip", "non-dropping-particle" : "", "parse-names" : false, "suffix" : "" }, { "dropping-particle" : "", "family" : "Sinnesael", "given" : "Mieke", "non-dropping-particle" : "", "parse-names" : false, "suffix" : "" }, { "dropping-particle" : "", "family" : "Gielen", "given" : "Evelien", "non-dropping-particle" : "", "parse-names" : false, "suffix" : "" }, { "dropping-particle" : "", "family" : "Boonen", "given" : "Steven", "non-dropping-particle" : "", "parse-names" : false, "suffix" : "" }, { "dropping-particle" : "", "family" : "Vanderschueren", "given" : "Dirk", "non-dropping-particle" : "", "parse-names" : false, "suffix" : "" } ], "container-title" : "Journal of Endocrinology", "id" : "ITEM-1", "issue" : "2", "issued" : { "date-parts" : [ [ "2010" ] ] }, "page" : "127-134", "title" : "Skeletal sexual dimorphism: Relative contribution of sex steroids, GH-IGF1, and mechanical loading", "type" : "article-journal", "volume" : "207" }, "uris" : [ "http://www.mendeley.com/documents/?uuid=553e8921-0b4f-40f6-9798-1b6565db0932" ] } ], "mendeley" : { "formattedCitation" : "&lt;sup&gt;42&lt;/sup&gt;", "plainTextFormattedCitation" : "42", "previouslyFormattedCitation" : "&lt;sup&gt;42&lt;/sup&gt;" }, "properties" : { "noteIndex" : 0 }, "schema" : "https://github.com/citation-style-language/schema/raw/master/csl-citation.json" }</w:instrText>
      </w:r>
      <w:r w:rsidR="00156059">
        <w:rPr>
          <w:rFonts w:eastAsia="PMingLiU"/>
          <w:sz w:val="24"/>
          <w:szCs w:val="24"/>
          <w:lang w:eastAsia="zh-HK"/>
        </w:rPr>
        <w:fldChar w:fldCharType="separate"/>
      </w:r>
      <w:r w:rsidR="00AA43A0" w:rsidRPr="00AA43A0">
        <w:rPr>
          <w:rFonts w:eastAsia="PMingLiU"/>
          <w:noProof/>
          <w:sz w:val="24"/>
          <w:szCs w:val="24"/>
          <w:vertAlign w:val="superscript"/>
          <w:lang w:eastAsia="zh-HK"/>
        </w:rPr>
        <w:t>42</w:t>
      </w:r>
      <w:r w:rsidR="00156059">
        <w:rPr>
          <w:rFonts w:eastAsia="PMingLiU"/>
          <w:sz w:val="24"/>
          <w:szCs w:val="24"/>
          <w:lang w:eastAsia="zh-HK"/>
        </w:rPr>
        <w:fldChar w:fldCharType="end"/>
      </w:r>
    </w:p>
    <w:p w:rsidR="008F13B0" w:rsidRPr="00F77F70" w:rsidRDefault="008F13B0" w:rsidP="00D1500E">
      <w:pPr>
        <w:spacing w:line="360" w:lineRule="auto"/>
        <w:jc w:val="both"/>
        <w:rPr>
          <w:b/>
          <w:bCs/>
          <w:i/>
          <w:iCs/>
          <w:sz w:val="24"/>
          <w:szCs w:val="24"/>
        </w:rPr>
      </w:pPr>
      <w:r w:rsidRPr="00F77F70">
        <w:rPr>
          <w:b/>
          <w:bCs/>
          <w:i/>
          <w:iCs/>
          <w:sz w:val="24"/>
          <w:szCs w:val="24"/>
        </w:rPr>
        <w:t>Data Synthesis:</w:t>
      </w:r>
    </w:p>
    <w:p w:rsidR="008F13B0" w:rsidRPr="00F77F70" w:rsidRDefault="008F13B0" w:rsidP="00D1500E">
      <w:pPr>
        <w:spacing w:after="0" w:line="360" w:lineRule="auto"/>
        <w:jc w:val="both"/>
        <w:rPr>
          <w:sz w:val="24"/>
          <w:szCs w:val="24"/>
        </w:rPr>
      </w:pPr>
      <w:r w:rsidRPr="00F77F70">
        <w:rPr>
          <w:sz w:val="24"/>
          <w:szCs w:val="24"/>
        </w:rPr>
        <w:t xml:space="preserve">Correlation coefficients were converted to Fisher's z scale using the </w:t>
      </w:r>
      <w:proofErr w:type="gramStart"/>
      <w:r w:rsidRPr="00F77F70">
        <w:rPr>
          <w:sz w:val="24"/>
          <w:szCs w:val="24"/>
        </w:rPr>
        <w:t xml:space="preserve">transformation </w:t>
      </w:r>
      <w:proofErr w:type="gramEnd"/>
      <w:r w:rsidR="00156059" w:rsidRPr="00F77F70">
        <w:rPr>
          <w:rFonts w:eastAsia="MS Mincho"/>
          <w:sz w:val="24"/>
          <w:szCs w:val="24"/>
        </w:rPr>
        <w:fldChar w:fldCharType="begin"/>
      </w:r>
      <w:r w:rsidR="00BB00E7" w:rsidRPr="00246C0E">
        <w:rPr>
          <w:rFonts w:eastAsia="MS Mincho"/>
          <w:sz w:val="24"/>
          <w:szCs w:val="24"/>
        </w:rPr>
        <w:instrText xml:space="preserve"> QUOTE </w:instrText>
      </w:r>
      <w:r w:rsidR="00AF4DD8" w:rsidRPr="00156059">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24.75pt">
            <v:imagedata r:id="rId8" o:title="" chromakey="white"/>
          </v:shape>
        </w:pict>
      </w:r>
      <w:r w:rsidR="00BB00E7" w:rsidRPr="00246C0E">
        <w:rPr>
          <w:rFonts w:eastAsia="MS Mincho"/>
          <w:sz w:val="24"/>
          <w:szCs w:val="24"/>
        </w:rPr>
        <w:instrText xml:space="preserve"> </w:instrText>
      </w:r>
      <w:r w:rsidR="00156059" w:rsidRPr="00F77F70">
        <w:rPr>
          <w:rFonts w:eastAsia="MS Mincho"/>
          <w:sz w:val="24"/>
          <w:szCs w:val="24"/>
        </w:rPr>
        <w:fldChar w:fldCharType="separate"/>
      </w:r>
      <w:r w:rsidR="00AF4DD8" w:rsidRPr="00156059">
        <w:rPr>
          <w:sz w:val="24"/>
          <w:szCs w:val="24"/>
        </w:rPr>
        <w:pict>
          <v:shape id="_x0000_i1026" type="#_x0000_t75" style="width:90.75pt;height:24.75pt">
            <v:imagedata r:id="rId8" o:title="" chromakey="white"/>
          </v:shape>
        </w:pict>
      </w:r>
      <w:r w:rsidR="00156059" w:rsidRPr="00F77F70">
        <w:rPr>
          <w:rFonts w:eastAsia="MS Mincho"/>
          <w:sz w:val="24"/>
          <w:szCs w:val="24"/>
        </w:rPr>
        <w:fldChar w:fldCharType="end"/>
      </w:r>
      <w:r w:rsidRPr="00F77F70">
        <w:rPr>
          <w:rFonts w:eastAsia="MS Mincho"/>
          <w:sz w:val="24"/>
          <w:szCs w:val="24"/>
        </w:rPr>
        <w:t xml:space="preserve">, where </w:t>
      </w:r>
      <w:r w:rsidR="00156059" w:rsidRPr="00F77F70">
        <w:rPr>
          <w:rFonts w:eastAsia="MS Mincho"/>
          <w:sz w:val="24"/>
          <w:szCs w:val="24"/>
        </w:rPr>
        <w:fldChar w:fldCharType="begin"/>
      </w:r>
      <w:r w:rsidRPr="00F77F70">
        <w:rPr>
          <w:rFonts w:eastAsia="MS Mincho"/>
          <w:sz w:val="24"/>
          <w:szCs w:val="24"/>
        </w:rPr>
        <w:instrText xml:space="preserve"> QUOTE </w:instrText>
      </w:r>
      <w:r w:rsidR="00AF4DD8" w:rsidRPr="00156059">
        <w:rPr>
          <w:sz w:val="24"/>
          <w:szCs w:val="24"/>
        </w:rPr>
        <w:pict>
          <v:shape id="_x0000_i1027" type="#_x0000_t75" style="width:9.75pt;height:13.5pt">
            <v:imagedata r:id="rId9" o:title="" chromakey="white"/>
          </v:shape>
        </w:pict>
      </w:r>
      <w:r w:rsidRPr="00F77F70">
        <w:rPr>
          <w:rFonts w:eastAsia="MS Mincho"/>
          <w:sz w:val="24"/>
          <w:szCs w:val="24"/>
        </w:rPr>
        <w:instrText xml:space="preserve"> </w:instrText>
      </w:r>
      <w:r w:rsidR="00156059" w:rsidRPr="00F77F70">
        <w:rPr>
          <w:rFonts w:eastAsia="MS Mincho"/>
          <w:sz w:val="24"/>
          <w:szCs w:val="24"/>
        </w:rPr>
        <w:fldChar w:fldCharType="separate"/>
      </w:r>
      <w:r w:rsidR="00AF4DD8" w:rsidRPr="00156059">
        <w:rPr>
          <w:sz w:val="24"/>
          <w:szCs w:val="24"/>
        </w:rPr>
        <w:pict>
          <v:shape id="_x0000_i1028" type="#_x0000_t75" style="width:9.75pt;height:13.5pt">
            <v:imagedata r:id="rId9" o:title="" chromakey="white"/>
          </v:shape>
        </w:pict>
      </w:r>
      <w:r w:rsidR="00156059" w:rsidRPr="00F77F70">
        <w:rPr>
          <w:rFonts w:eastAsia="MS Mincho"/>
          <w:sz w:val="24"/>
          <w:szCs w:val="24"/>
        </w:rPr>
        <w:fldChar w:fldCharType="end"/>
      </w:r>
      <w:r w:rsidRPr="00F77F70">
        <w:rPr>
          <w:rFonts w:eastAsia="MS Mincho"/>
          <w:sz w:val="24"/>
          <w:szCs w:val="24"/>
        </w:rPr>
        <w:t xml:space="preserve"> is the correlation coefficient. The variance of </w:t>
      </w:r>
      <w:r w:rsidR="00156059" w:rsidRPr="00F77F70">
        <w:rPr>
          <w:sz w:val="24"/>
          <w:szCs w:val="24"/>
        </w:rPr>
        <w:fldChar w:fldCharType="begin"/>
      </w:r>
      <w:r w:rsidRPr="00F77F70">
        <w:rPr>
          <w:sz w:val="24"/>
          <w:szCs w:val="24"/>
        </w:rPr>
        <w:instrText xml:space="preserve"> QUOTE </w:instrText>
      </w:r>
      <w:r w:rsidR="00AF4DD8" w:rsidRPr="00156059">
        <w:rPr>
          <w:sz w:val="24"/>
          <w:szCs w:val="24"/>
        </w:rPr>
        <w:pict>
          <v:shape id="_x0000_i1029" type="#_x0000_t75" style="width:9.75pt;height:13.5pt">
            <v:imagedata r:id="rId10" o:title="" chromakey="white"/>
          </v:shape>
        </w:pict>
      </w:r>
      <w:r w:rsidRPr="00F77F70">
        <w:rPr>
          <w:sz w:val="24"/>
          <w:szCs w:val="24"/>
        </w:rPr>
        <w:instrText xml:space="preserve"> </w:instrText>
      </w:r>
      <w:r w:rsidR="00156059" w:rsidRPr="00F77F70">
        <w:rPr>
          <w:sz w:val="24"/>
          <w:szCs w:val="24"/>
        </w:rPr>
        <w:fldChar w:fldCharType="separate"/>
      </w:r>
      <w:r w:rsidR="00AF4DD8" w:rsidRPr="00156059">
        <w:rPr>
          <w:sz w:val="24"/>
          <w:szCs w:val="24"/>
        </w:rPr>
        <w:pict>
          <v:shape id="_x0000_i1030" type="#_x0000_t75" style="width:9.75pt;height:13.5pt">
            <v:imagedata r:id="rId10" o:title="" chromakey="white"/>
          </v:shape>
        </w:pict>
      </w:r>
      <w:r w:rsidR="00156059" w:rsidRPr="00F77F70">
        <w:rPr>
          <w:sz w:val="24"/>
          <w:szCs w:val="24"/>
        </w:rPr>
        <w:fldChar w:fldCharType="end"/>
      </w:r>
      <w:r w:rsidRPr="00F77F70">
        <w:rPr>
          <w:sz w:val="24"/>
          <w:szCs w:val="24"/>
        </w:rPr>
        <w:t xml:space="preserve"> was approximated from </w:t>
      </w:r>
      <w:r w:rsidR="00156059" w:rsidRPr="00F77F70">
        <w:rPr>
          <w:rFonts w:eastAsia="MS Mincho"/>
          <w:sz w:val="24"/>
          <w:szCs w:val="24"/>
        </w:rPr>
        <w:fldChar w:fldCharType="begin"/>
      </w:r>
      <w:r w:rsidRPr="001B2C3F">
        <w:rPr>
          <w:rFonts w:eastAsia="MS Mincho"/>
          <w:sz w:val="24"/>
          <w:szCs w:val="24"/>
        </w:rPr>
        <w:instrText xml:space="preserve"> QUOTE </w:instrText>
      </w:r>
      <w:r w:rsidR="00AF4DD8" w:rsidRPr="00156059">
        <w:rPr>
          <w:sz w:val="24"/>
          <w:szCs w:val="24"/>
        </w:rPr>
        <w:pict>
          <v:shape id="_x0000_i1031" type="#_x0000_t75" style="width:57pt;height:22.5pt">
            <v:imagedata r:id="rId11" o:title="" chromakey="white"/>
          </v:shape>
        </w:pict>
      </w:r>
      <w:r w:rsidRPr="001B2C3F">
        <w:rPr>
          <w:rFonts w:eastAsia="MS Mincho"/>
          <w:sz w:val="24"/>
          <w:szCs w:val="24"/>
        </w:rPr>
        <w:instrText xml:space="preserve"> </w:instrText>
      </w:r>
      <w:r w:rsidR="00156059" w:rsidRPr="00F77F70">
        <w:rPr>
          <w:rFonts w:eastAsia="MS Mincho"/>
          <w:sz w:val="24"/>
          <w:szCs w:val="24"/>
        </w:rPr>
        <w:fldChar w:fldCharType="separate"/>
      </w:r>
      <w:r w:rsidR="00AF4DD8" w:rsidRPr="00156059">
        <w:rPr>
          <w:sz w:val="24"/>
          <w:szCs w:val="24"/>
        </w:rPr>
        <w:pict>
          <v:shape id="_x0000_i1032" type="#_x0000_t75" style="width:57pt;height:22.5pt">
            <v:imagedata r:id="rId11" o:title="" chromakey="white"/>
          </v:shape>
        </w:pict>
      </w:r>
      <w:r w:rsidR="00156059" w:rsidRPr="00F77F70">
        <w:rPr>
          <w:rFonts w:eastAsia="MS Mincho"/>
          <w:sz w:val="24"/>
          <w:szCs w:val="24"/>
        </w:rPr>
        <w:fldChar w:fldCharType="end"/>
      </w:r>
      <w:r w:rsidRPr="00F77F70">
        <w:rPr>
          <w:rFonts w:eastAsia="MS Mincho"/>
          <w:sz w:val="24"/>
          <w:szCs w:val="24"/>
        </w:rPr>
        <w:t xml:space="preserve">where </w:t>
      </w:r>
      <w:r w:rsidR="00156059" w:rsidRPr="00F77F70">
        <w:rPr>
          <w:sz w:val="24"/>
          <w:szCs w:val="24"/>
        </w:rPr>
        <w:fldChar w:fldCharType="begin"/>
      </w:r>
      <w:r w:rsidRPr="00F82B84">
        <w:rPr>
          <w:sz w:val="24"/>
          <w:szCs w:val="24"/>
        </w:rPr>
        <w:instrText xml:space="preserve"> QUOTE </w:instrText>
      </w:r>
      <w:r w:rsidR="00AF4DD8" w:rsidRPr="00156059">
        <w:rPr>
          <w:sz w:val="24"/>
          <w:szCs w:val="24"/>
        </w:rPr>
        <w:pict>
          <v:shape id="_x0000_i1033" type="#_x0000_t75" style="width:11.25pt;height:13.5pt">
            <v:imagedata r:id="rId12" o:title="" chromakey="white"/>
          </v:shape>
        </w:pict>
      </w:r>
      <w:r w:rsidRPr="00F82B84">
        <w:rPr>
          <w:sz w:val="24"/>
          <w:szCs w:val="24"/>
        </w:rPr>
        <w:instrText xml:space="preserve"> </w:instrText>
      </w:r>
      <w:r w:rsidR="00156059" w:rsidRPr="00F77F70">
        <w:rPr>
          <w:sz w:val="24"/>
          <w:szCs w:val="24"/>
        </w:rPr>
        <w:fldChar w:fldCharType="separate"/>
      </w:r>
      <w:r w:rsidR="00AF4DD8" w:rsidRPr="00156059">
        <w:rPr>
          <w:sz w:val="24"/>
          <w:szCs w:val="24"/>
        </w:rPr>
        <w:pict>
          <v:shape id="_x0000_i1034" type="#_x0000_t75" style="width:11.25pt;height:13.5pt">
            <v:imagedata r:id="rId12" o:title="" chromakey="white"/>
          </v:shape>
        </w:pict>
      </w:r>
      <w:r w:rsidR="00156059" w:rsidRPr="00F77F70">
        <w:rPr>
          <w:sz w:val="24"/>
          <w:szCs w:val="24"/>
        </w:rPr>
        <w:fldChar w:fldCharType="end"/>
      </w:r>
      <w:r w:rsidRPr="00F77F70">
        <w:rPr>
          <w:sz w:val="24"/>
          <w:szCs w:val="24"/>
        </w:rPr>
        <w:t xml:space="preserve"> was the sample size used to calculate the correlation coefficient. All meta-analyses and meta-regressions were estimated using a three level mixed effects model to account for dependencies within the data as a result of 11 of the 16 included studies reporting correlation coefficients for more than one site. The basic model consisted of three regression equations, one for each level:</w:t>
      </w:r>
      <w:r w:rsidR="00C75A62">
        <w:rPr>
          <w:sz w:val="24"/>
          <w:szCs w:val="24"/>
        </w:rPr>
        <w:t xml:space="preserve"> </w:t>
      </w:r>
      <w:r w:rsidR="00156059">
        <w:rPr>
          <w:sz w:val="24"/>
          <w:szCs w:val="24"/>
        </w:rPr>
        <w:fldChar w:fldCharType="begin" w:fldLock="1"/>
      </w:r>
      <w:r w:rsidR="0075024E">
        <w:rPr>
          <w:sz w:val="24"/>
          <w:szCs w:val="24"/>
        </w:rPr>
        <w:instrText>ADDIN CSL_CITATION { "citationItems" : [ { "id" : "ITEM-1", "itemData" : { "author" : [ { "dropping-particle" : "", "family" : "Noortgate", "given" : "W", "non-dropping-particle" : "Van den", "parse-names" : false, "suffix" : "" }, { "dropping-particle" : "", "family" : "Lopez-Lopez", "given" : "JA", "non-dropping-particle" : "", "parse-names" : false, "suffix" : "" }, { "dropping-particle" : "", "family" : "Marin-Martinez", "given" : "F", "non-dropping-particle" : "", "parse-names" : false, "suffix" : "" }, { "dropping-particle" : "", "family" : "Sanchez-Meca", "given" : "J", "non-dropping-particle" : "", "parse-names" : false, "suffix" : "" } ], "container-title" : "Behaviour research methods", "id" : "ITEM-1", "issue" : "4", "issued" : { "date-parts" : [ [ "2015" ] ] }, "page" : "1274-94", "title" : "Meta-analysis of multiple outcomes: a multilevel approach", "type" : "article-journal", "volume" : "47" }, "uris" : [ "http://www.mendeley.com/documents/?uuid=fc70dcf8-96e4-492e-be37-9f9c3f889dbc" ] } ], "mendeley" : { "formattedCitation" : "&lt;sup&gt;43&lt;/sup&gt;", "plainTextFormattedCitation" : "43", "previouslyFormattedCitation" : "&lt;sup&gt;43&lt;/sup&gt;"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43</w:t>
      </w:r>
      <w:r w:rsidR="00156059">
        <w:rPr>
          <w:sz w:val="24"/>
          <w:szCs w:val="24"/>
        </w:rPr>
        <w:fldChar w:fldCharType="end"/>
      </w:r>
    </w:p>
    <w:p w:rsidR="008F13B0" w:rsidRPr="00F77F70" w:rsidRDefault="00156059" w:rsidP="00D1500E">
      <w:pPr>
        <w:spacing w:after="0" w:line="360" w:lineRule="auto"/>
        <w:ind w:left="360"/>
        <w:jc w:val="center"/>
        <w:rPr>
          <w:sz w:val="24"/>
          <w:szCs w:val="24"/>
        </w:rPr>
      </w:pPr>
      <w:r w:rsidRPr="00F77F70">
        <w:rPr>
          <w:sz w:val="24"/>
          <w:szCs w:val="24"/>
        </w:rPr>
        <w:fldChar w:fldCharType="begin"/>
      </w:r>
      <w:r w:rsidR="008F13B0" w:rsidRPr="00F77F70">
        <w:rPr>
          <w:sz w:val="24"/>
          <w:szCs w:val="24"/>
        </w:rPr>
        <w:instrText xml:space="preserve"> QUOTE </w:instrText>
      </w:r>
      <w:r w:rsidR="00AF4DD8" w:rsidRPr="00156059">
        <w:rPr>
          <w:sz w:val="24"/>
          <w:szCs w:val="24"/>
        </w:rPr>
        <w:pict>
          <v:shape id="_x0000_i1035" type="#_x0000_t75" style="width:1in;height:13.5pt">
            <v:imagedata r:id="rId13" o:title="" chromakey="white"/>
          </v:shape>
        </w:pict>
      </w:r>
      <w:r w:rsidR="008F13B0" w:rsidRPr="00F77F70">
        <w:rPr>
          <w:sz w:val="24"/>
          <w:szCs w:val="24"/>
        </w:rPr>
        <w:instrText xml:space="preserve"> </w:instrText>
      </w:r>
      <w:r w:rsidRPr="00F77F70">
        <w:rPr>
          <w:sz w:val="24"/>
          <w:szCs w:val="24"/>
        </w:rPr>
        <w:fldChar w:fldCharType="separate"/>
      </w:r>
      <w:r w:rsidR="00AF4DD8" w:rsidRPr="00156059">
        <w:rPr>
          <w:sz w:val="24"/>
          <w:szCs w:val="24"/>
        </w:rPr>
        <w:pict>
          <v:shape id="_x0000_i1036" type="#_x0000_t75" style="width:1in;height:13.5pt">
            <v:imagedata r:id="rId13" o:title="" chromakey="white"/>
          </v:shape>
        </w:pict>
      </w:r>
      <w:r w:rsidRPr="00F77F70">
        <w:rPr>
          <w:sz w:val="24"/>
          <w:szCs w:val="24"/>
        </w:rPr>
        <w:fldChar w:fldCharType="end"/>
      </w:r>
      <w:r w:rsidR="008F13B0" w:rsidRPr="00F77F70">
        <w:rPr>
          <w:sz w:val="24"/>
          <w:szCs w:val="24"/>
        </w:rPr>
        <w:t xml:space="preserve"> </w:t>
      </w:r>
      <w:proofErr w:type="gramStart"/>
      <w:r w:rsidR="008F13B0" w:rsidRPr="00F77F70">
        <w:rPr>
          <w:sz w:val="24"/>
          <w:szCs w:val="24"/>
        </w:rPr>
        <w:t>with</w:t>
      </w:r>
      <w:proofErr w:type="gramEnd"/>
      <w:r w:rsidR="008F13B0" w:rsidRPr="00F77F70">
        <w:rPr>
          <w:sz w:val="24"/>
          <w:szCs w:val="24"/>
        </w:rPr>
        <w:t xml:space="preserve">  </w:t>
      </w:r>
      <w:r w:rsidRPr="00F77F70">
        <w:rPr>
          <w:sz w:val="24"/>
          <w:szCs w:val="24"/>
        </w:rPr>
        <w:fldChar w:fldCharType="begin"/>
      </w:r>
      <w:r w:rsidR="008F13B0" w:rsidRPr="00E74B16">
        <w:rPr>
          <w:sz w:val="24"/>
          <w:szCs w:val="24"/>
        </w:rPr>
        <w:instrText xml:space="preserve"> QUOTE </w:instrText>
      </w:r>
      <w:r w:rsidR="00AF4DD8" w:rsidRPr="00156059">
        <w:rPr>
          <w:sz w:val="24"/>
          <w:szCs w:val="24"/>
        </w:rPr>
        <w:pict>
          <v:shape id="_x0000_i1037" type="#_x0000_t75" style="width:1in;height:17.25pt">
            <v:imagedata r:id="rId14" o:title="" chromakey="white"/>
          </v:shape>
        </w:pict>
      </w:r>
      <w:r w:rsidR="008F13B0" w:rsidRPr="00E74B16">
        <w:rPr>
          <w:sz w:val="24"/>
          <w:szCs w:val="24"/>
        </w:rPr>
        <w:instrText xml:space="preserve"> </w:instrText>
      </w:r>
      <w:r w:rsidRPr="00F77F70">
        <w:rPr>
          <w:sz w:val="24"/>
          <w:szCs w:val="24"/>
        </w:rPr>
        <w:fldChar w:fldCharType="separate"/>
      </w:r>
      <w:r w:rsidR="00AF4DD8" w:rsidRPr="00156059">
        <w:rPr>
          <w:sz w:val="24"/>
          <w:szCs w:val="24"/>
        </w:rPr>
        <w:pict>
          <v:shape id="_x0000_i1038" type="#_x0000_t75" style="width:1in;height:17.25pt">
            <v:imagedata r:id="rId14" o:title="" chromakey="white"/>
          </v:shape>
        </w:pict>
      </w:r>
      <w:r w:rsidRPr="00F77F70">
        <w:rPr>
          <w:sz w:val="24"/>
          <w:szCs w:val="24"/>
        </w:rPr>
        <w:fldChar w:fldCharType="end"/>
      </w:r>
      <w:r w:rsidR="008F13B0" w:rsidRPr="00F77F70">
        <w:rPr>
          <w:sz w:val="24"/>
          <w:szCs w:val="24"/>
        </w:rPr>
        <w:t xml:space="preserve"> (level1: sample)</w:t>
      </w:r>
    </w:p>
    <w:p w:rsidR="008F13B0" w:rsidRPr="00F77F70" w:rsidRDefault="008F13B0" w:rsidP="00D1500E">
      <w:pPr>
        <w:spacing w:after="0" w:line="360" w:lineRule="auto"/>
        <w:jc w:val="both"/>
        <w:rPr>
          <w:sz w:val="24"/>
          <w:szCs w:val="24"/>
        </w:rPr>
      </w:pPr>
      <w:r w:rsidRPr="00F77F70">
        <w:rPr>
          <w:sz w:val="24"/>
          <w:szCs w:val="24"/>
        </w:rPr>
        <w:t xml:space="preserve">The equation at the first level states that </w:t>
      </w:r>
      <w:r w:rsidR="00156059" w:rsidRPr="00F77F70">
        <w:rPr>
          <w:sz w:val="24"/>
          <w:szCs w:val="24"/>
        </w:rPr>
        <w:fldChar w:fldCharType="begin"/>
      </w:r>
      <w:r w:rsidRPr="00F77F70">
        <w:rPr>
          <w:sz w:val="24"/>
          <w:szCs w:val="24"/>
        </w:rPr>
        <w:instrText xml:space="preserve"> QUOTE </w:instrText>
      </w:r>
      <w:r w:rsidR="00AF4DD8" w:rsidRPr="00156059">
        <w:rPr>
          <w:sz w:val="24"/>
          <w:szCs w:val="24"/>
        </w:rPr>
        <w:pict>
          <v:shape id="_x0000_i1039" type="#_x0000_t75" style="width:15pt;height:13.5pt">
            <v:imagedata r:id="rId15" o:title="" chromakey="white"/>
          </v:shape>
        </w:pict>
      </w:r>
      <w:r w:rsidRPr="00F77F70">
        <w:rPr>
          <w:sz w:val="24"/>
          <w:szCs w:val="24"/>
        </w:rPr>
        <w:instrText xml:space="preserve"> </w:instrText>
      </w:r>
      <w:r w:rsidR="00156059" w:rsidRPr="00F77F70">
        <w:rPr>
          <w:sz w:val="24"/>
          <w:szCs w:val="24"/>
        </w:rPr>
        <w:fldChar w:fldCharType="separate"/>
      </w:r>
      <w:r w:rsidR="00AF4DD8" w:rsidRPr="00156059">
        <w:rPr>
          <w:sz w:val="24"/>
          <w:szCs w:val="24"/>
        </w:rPr>
        <w:pict>
          <v:shape id="_x0000_i1040" type="#_x0000_t75" style="width:15pt;height:13.5pt">
            <v:imagedata r:id="rId15" o:title="" chromakey="white"/>
          </v:shape>
        </w:pict>
      </w:r>
      <w:r w:rsidR="00156059" w:rsidRPr="00F77F70">
        <w:rPr>
          <w:sz w:val="24"/>
          <w:szCs w:val="24"/>
        </w:rPr>
        <w:fldChar w:fldCharType="end"/>
      </w:r>
      <w:r w:rsidRPr="00F77F70">
        <w:rPr>
          <w:sz w:val="24"/>
          <w:szCs w:val="24"/>
        </w:rPr>
        <w:t xml:space="preserve"> the </w:t>
      </w:r>
      <w:r w:rsidR="00156059" w:rsidRPr="00F77F70">
        <w:rPr>
          <w:sz w:val="24"/>
          <w:szCs w:val="24"/>
        </w:rPr>
        <w:fldChar w:fldCharType="begin"/>
      </w:r>
      <w:r w:rsidRPr="00F77F70">
        <w:rPr>
          <w:sz w:val="24"/>
          <w:szCs w:val="24"/>
        </w:rPr>
        <w:instrText xml:space="preserve"> QUOTE </w:instrText>
      </w:r>
      <w:r w:rsidR="00AF4DD8" w:rsidRPr="00156059">
        <w:rPr>
          <w:sz w:val="24"/>
          <w:szCs w:val="24"/>
        </w:rPr>
        <w:pict>
          <v:shape id="_x0000_i1041" type="#_x0000_t75" style="width:9.75pt;height:13.5pt">
            <v:imagedata r:id="rId16" o:title="" chromakey="white"/>
          </v:shape>
        </w:pict>
      </w:r>
      <w:r w:rsidRPr="00F77F70">
        <w:rPr>
          <w:sz w:val="24"/>
          <w:szCs w:val="24"/>
        </w:rPr>
        <w:instrText xml:space="preserve"> </w:instrText>
      </w:r>
      <w:r w:rsidR="00156059" w:rsidRPr="00F77F70">
        <w:rPr>
          <w:sz w:val="24"/>
          <w:szCs w:val="24"/>
        </w:rPr>
        <w:fldChar w:fldCharType="separate"/>
      </w:r>
      <w:r w:rsidR="00AF4DD8" w:rsidRPr="00156059">
        <w:rPr>
          <w:sz w:val="24"/>
          <w:szCs w:val="24"/>
        </w:rPr>
        <w:pict>
          <v:shape id="_x0000_i1042" type="#_x0000_t75" style="width:9.75pt;height:13.5pt">
            <v:imagedata r:id="rId16" o:title="" chromakey="white"/>
          </v:shape>
        </w:pict>
      </w:r>
      <w:r w:rsidR="00156059" w:rsidRPr="00F77F70">
        <w:rPr>
          <w:sz w:val="24"/>
          <w:szCs w:val="24"/>
        </w:rPr>
        <w:fldChar w:fldCharType="end"/>
      </w:r>
      <w:r w:rsidRPr="00F77F70">
        <w:rPr>
          <w:sz w:val="24"/>
          <w:szCs w:val="24"/>
        </w:rPr>
        <w:t>-</w:t>
      </w:r>
      <w:proofErr w:type="spellStart"/>
      <w:r w:rsidRPr="00F77F70">
        <w:rPr>
          <w:sz w:val="24"/>
          <w:szCs w:val="24"/>
        </w:rPr>
        <w:t>th</w:t>
      </w:r>
      <w:proofErr w:type="spellEnd"/>
      <w:r w:rsidRPr="00F77F70">
        <w:rPr>
          <w:sz w:val="24"/>
          <w:szCs w:val="24"/>
        </w:rPr>
        <w:t xml:space="preserve"> observed transformed correlation from study </w:t>
      </w:r>
      <w:r w:rsidR="00156059" w:rsidRPr="00F77F70">
        <w:rPr>
          <w:sz w:val="24"/>
          <w:szCs w:val="24"/>
        </w:rPr>
        <w:fldChar w:fldCharType="begin"/>
      </w:r>
      <w:r w:rsidRPr="00F77F70">
        <w:rPr>
          <w:sz w:val="24"/>
          <w:szCs w:val="24"/>
        </w:rPr>
        <w:instrText xml:space="preserve"> QUOTE </w:instrText>
      </w:r>
      <w:r w:rsidR="00AF4DD8" w:rsidRPr="00156059">
        <w:rPr>
          <w:sz w:val="24"/>
          <w:szCs w:val="24"/>
        </w:rPr>
        <w:pict>
          <v:shape id="_x0000_i1043" type="#_x0000_t75" style="width:9.75pt;height:13.5pt">
            <v:imagedata r:id="rId17" o:title="" chromakey="white"/>
          </v:shape>
        </w:pict>
      </w:r>
      <w:r w:rsidRPr="00F77F70">
        <w:rPr>
          <w:sz w:val="24"/>
          <w:szCs w:val="24"/>
        </w:rPr>
        <w:instrText xml:space="preserve"> </w:instrText>
      </w:r>
      <w:r w:rsidR="00156059" w:rsidRPr="00F77F70">
        <w:rPr>
          <w:sz w:val="24"/>
          <w:szCs w:val="24"/>
        </w:rPr>
        <w:fldChar w:fldCharType="separate"/>
      </w:r>
      <w:r w:rsidR="00AF4DD8" w:rsidRPr="00156059">
        <w:rPr>
          <w:sz w:val="24"/>
          <w:szCs w:val="24"/>
        </w:rPr>
        <w:pict>
          <v:shape id="_x0000_i1044" type="#_x0000_t75" style="width:9.75pt;height:13.5pt">
            <v:imagedata r:id="rId17" o:title="" chromakey="white"/>
          </v:shape>
        </w:pict>
      </w:r>
      <w:r w:rsidR="00156059" w:rsidRPr="00F77F70">
        <w:rPr>
          <w:sz w:val="24"/>
          <w:szCs w:val="24"/>
        </w:rPr>
        <w:fldChar w:fldCharType="end"/>
      </w:r>
      <w:r w:rsidRPr="00F77F70">
        <w:rPr>
          <w:sz w:val="24"/>
          <w:szCs w:val="24"/>
        </w:rPr>
        <w:t xml:space="preserve"> is equal to the corresponding population value </w:t>
      </w:r>
      <w:r w:rsidR="00156059" w:rsidRPr="00F77F70">
        <w:rPr>
          <w:sz w:val="24"/>
          <w:szCs w:val="24"/>
        </w:rPr>
        <w:fldChar w:fldCharType="begin"/>
      </w:r>
      <w:r w:rsidRPr="00F77F70">
        <w:rPr>
          <w:sz w:val="24"/>
          <w:szCs w:val="24"/>
        </w:rPr>
        <w:instrText xml:space="preserve"> QUOTE </w:instrText>
      </w:r>
      <w:r w:rsidR="00AF4DD8" w:rsidRPr="00156059">
        <w:rPr>
          <w:sz w:val="24"/>
          <w:szCs w:val="24"/>
        </w:rPr>
        <w:pict>
          <v:shape id="_x0000_i1045" type="#_x0000_t75" style="width:17.25pt;height:13.5pt">
            <v:imagedata r:id="rId18" o:title="" chromakey="white"/>
          </v:shape>
        </w:pict>
      </w:r>
      <w:r w:rsidRPr="00F77F70">
        <w:rPr>
          <w:sz w:val="24"/>
          <w:szCs w:val="24"/>
        </w:rPr>
        <w:instrText xml:space="preserve"> </w:instrText>
      </w:r>
      <w:r w:rsidR="00156059" w:rsidRPr="00F77F70">
        <w:rPr>
          <w:sz w:val="24"/>
          <w:szCs w:val="24"/>
        </w:rPr>
        <w:fldChar w:fldCharType="separate"/>
      </w:r>
      <w:r w:rsidR="00AF4DD8" w:rsidRPr="00156059">
        <w:rPr>
          <w:sz w:val="24"/>
          <w:szCs w:val="24"/>
        </w:rPr>
        <w:pict>
          <v:shape id="_x0000_i1046" type="#_x0000_t75" style="width:17.25pt;height:13.5pt">
            <v:imagedata r:id="rId18" o:title="" chromakey="white"/>
          </v:shape>
        </w:pict>
      </w:r>
      <w:r w:rsidR="00156059" w:rsidRPr="00F77F70">
        <w:rPr>
          <w:sz w:val="24"/>
          <w:szCs w:val="24"/>
        </w:rPr>
        <w:fldChar w:fldCharType="end"/>
      </w:r>
      <w:r w:rsidRPr="00F77F70">
        <w:rPr>
          <w:sz w:val="24"/>
          <w:szCs w:val="24"/>
        </w:rPr>
        <w:t xml:space="preserve"> plus a random deviation, </w:t>
      </w:r>
      <w:r w:rsidR="00156059" w:rsidRPr="00F77F70">
        <w:rPr>
          <w:sz w:val="24"/>
          <w:szCs w:val="24"/>
        </w:rPr>
        <w:fldChar w:fldCharType="begin"/>
      </w:r>
      <w:r w:rsidRPr="00F77F70">
        <w:rPr>
          <w:sz w:val="24"/>
          <w:szCs w:val="24"/>
        </w:rPr>
        <w:instrText xml:space="preserve"> QUOTE </w:instrText>
      </w:r>
      <w:r w:rsidR="00AF4DD8" w:rsidRPr="00156059">
        <w:rPr>
          <w:sz w:val="24"/>
          <w:szCs w:val="24"/>
        </w:rPr>
        <w:pict>
          <v:shape id="_x0000_i1047" type="#_x0000_t75" style="width:18.75pt;height:13.5pt">
            <v:imagedata r:id="rId19" o:title="" chromakey="white"/>
          </v:shape>
        </w:pict>
      </w:r>
      <w:r w:rsidRPr="00F77F70">
        <w:rPr>
          <w:sz w:val="24"/>
          <w:szCs w:val="24"/>
        </w:rPr>
        <w:instrText xml:space="preserve"> </w:instrText>
      </w:r>
      <w:r w:rsidR="00156059" w:rsidRPr="00F77F70">
        <w:rPr>
          <w:sz w:val="24"/>
          <w:szCs w:val="24"/>
        </w:rPr>
        <w:fldChar w:fldCharType="separate"/>
      </w:r>
      <w:r w:rsidR="00AF4DD8" w:rsidRPr="00156059">
        <w:rPr>
          <w:sz w:val="24"/>
          <w:szCs w:val="24"/>
        </w:rPr>
        <w:pict>
          <v:shape id="_x0000_i1048" type="#_x0000_t75" style="width:18.75pt;height:13.5pt">
            <v:imagedata r:id="rId19" o:title="" chromakey="white"/>
          </v:shape>
        </w:pict>
      </w:r>
      <w:r w:rsidR="00156059" w:rsidRPr="00F77F70">
        <w:rPr>
          <w:sz w:val="24"/>
          <w:szCs w:val="24"/>
        </w:rPr>
        <w:fldChar w:fldCharType="end"/>
      </w:r>
      <w:r w:rsidRPr="00F77F70">
        <w:rPr>
          <w:sz w:val="24"/>
          <w:szCs w:val="24"/>
        </w:rPr>
        <w:t xml:space="preserve"> that is normally distributed with mean zero and variance obtained as described above. The second level equation represents the outcome level and states that the population </w:t>
      </w:r>
      <w:r w:rsidRPr="00F77F70">
        <w:rPr>
          <w:sz w:val="24"/>
          <w:szCs w:val="24"/>
        </w:rPr>
        <w:lastRenderedPageBreak/>
        <w:t>effects for the different outcomes within a study can be decomposed into a study mean (</w:t>
      </w:r>
      <w:r w:rsidR="00156059" w:rsidRPr="00F77F70">
        <w:rPr>
          <w:sz w:val="24"/>
          <w:szCs w:val="24"/>
        </w:rPr>
        <w:fldChar w:fldCharType="begin"/>
      </w:r>
      <w:r w:rsidRPr="00F77F70">
        <w:rPr>
          <w:sz w:val="24"/>
          <w:szCs w:val="24"/>
        </w:rPr>
        <w:instrText xml:space="preserve"> QUOTE </w:instrText>
      </w:r>
      <w:r w:rsidR="00AF4DD8" w:rsidRPr="00156059">
        <w:rPr>
          <w:sz w:val="24"/>
          <w:szCs w:val="24"/>
        </w:rPr>
        <w:pict>
          <v:shape id="_x0000_i1049" type="#_x0000_t75" style="width:18.75pt;height:11.25pt">
            <v:imagedata r:id="rId20" o:title="" chromakey="white"/>
          </v:shape>
        </w:pict>
      </w:r>
      <w:r w:rsidRPr="00F77F70">
        <w:rPr>
          <w:sz w:val="24"/>
          <w:szCs w:val="24"/>
        </w:rPr>
        <w:instrText xml:space="preserve"> </w:instrText>
      </w:r>
      <w:r w:rsidR="00156059" w:rsidRPr="00F77F70">
        <w:rPr>
          <w:sz w:val="24"/>
          <w:szCs w:val="24"/>
        </w:rPr>
        <w:fldChar w:fldCharType="separate"/>
      </w:r>
      <w:r w:rsidR="00AF4DD8" w:rsidRPr="00156059">
        <w:rPr>
          <w:sz w:val="24"/>
          <w:szCs w:val="24"/>
        </w:rPr>
        <w:pict>
          <v:shape id="_x0000_i1050" type="#_x0000_t75" style="width:18.75pt;height:11.25pt">
            <v:imagedata r:id="rId20" o:title="" chromakey="white"/>
          </v:shape>
        </w:pict>
      </w:r>
      <w:r w:rsidR="00156059" w:rsidRPr="00F77F70">
        <w:rPr>
          <w:sz w:val="24"/>
          <w:szCs w:val="24"/>
        </w:rPr>
        <w:fldChar w:fldCharType="end"/>
      </w:r>
      <w:r w:rsidRPr="00F77F70">
        <w:rPr>
          <w:sz w:val="24"/>
          <w:szCs w:val="24"/>
        </w:rPr>
        <w:t xml:space="preserve">) and random residuals </w:t>
      </w:r>
      <w:r w:rsidR="00156059" w:rsidRPr="00F77F70">
        <w:rPr>
          <w:sz w:val="24"/>
          <w:szCs w:val="24"/>
        </w:rPr>
        <w:fldChar w:fldCharType="begin"/>
      </w:r>
      <w:r w:rsidRPr="00F77F70">
        <w:rPr>
          <w:sz w:val="24"/>
          <w:szCs w:val="24"/>
        </w:rPr>
        <w:instrText xml:space="preserve"> QUOTE </w:instrText>
      </w:r>
      <w:r w:rsidR="00AF4DD8" w:rsidRPr="00156059">
        <w:rPr>
          <w:sz w:val="24"/>
          <w:szCs w:val="24"/>
        </w:rPr>
        <w:pict>
          <v:shape id="_x0000_i1051" type="#_x0000_t75" style="width:17.25pt;height:13.5pt">
            <v:imagedata r:id="rId21" o:title="" chromakey="white"/>
          </v:shape>
        </w:pict>
      </w:r>
      <w:r w:rsidRPr="00F77F70">
        <w:rPr>
          <w:sz w:val="24"/>
          <w:szCs w:val="24"/>
        </w:rPr>
        <w:instrText xml:space="preserve"> </w:instrText>
      </w:r>
      <w:r w:rsidR="00156059" w:rsidRPr="00F77F70">
        <w:rPr>
          <w:sz w:val="24"/>
          <w:szCs w:val="24"/>
        </w:rPr>
        <w:fldChar w:fldCharType="separate"/>
      </w:r>
      <w:r w:rsidR="00AF4DD8" w:rsidRPr="00156059">
        <w:rPr>
          <w:sz w:val="24"/>
          <w:szCs w:val="24"/>
        </w:rPr>
        <w:pict>
          <v:shape id="_x0000_i1052" type="#_x0000_t75" style="width:17.25pt;height:13.5pt">
            <v:imagedata r:id="rId21" o:title="" chromakey="white"/>
          </v:shape>
        </w:pict>
      </w:r>
      <w:r w:rsidR="00156059" w:rsidRPr="00F77F70">
        <w:rPr>
          <w:sz w:val="24"/>
          <w:szCs w:val="24"/>
        </w:rPr>
        <w:fldChar w:fldCharType="end"/>
      </w:r>
      <w:r w:rsidRPr="00F77F70">
        <w:rPr>
          <w:sz w:val="24"/>
          <w:szCs w:val="24"/>
        </w:rPr>
        <w:t>.</w:t>
      </w:r>
    </w:p>
    <w:p w:rsidR="008F13B0" w:rsidRPr="00F77F70" w:rsidRDefault="00156059" w:rsidP="00D1500E">
      <w:pPr>
        <w:spacing w:after="0" w:line="360" w:lineRule="auto"/>
        <w:ind w:left="360"/>
        <w:jc w:val="center"/>
        <w:rPr>
          <w:sz w:val="24"/>
          <w:szCs w:val="24"/>
        </w:rPr>
      </w:pPr>
      <w:r w:rsidRPr="00F77F70">
        <w:rPr>
          <w:sz w:val="24"/>
          <w:szCs w:val="24"/>
        </w:rPr>
        <w:fldChar w:fldCharType="begin"/>
      </w:r>
      <w:r w:rsidR="008F13B0" w:rsidRPr="00F77F70">
        <w:rPr>
          <w:sz w:val="24"/>
          <w:szCs w:val="24"/>
        </w:rPr>
        <w:instrText xml:space="preserve"> QUOTE </w:instrText>
      </w:r>
      <w:r w:rsidR="00AF4DD8" w:rsidRPr="00156059">
        <w:rPr>
          <w:sz w:val="24"/>
          <w:szCs w:val="24"/>
        </w:rPr>
        <w:pict>
          <v:shape id="_x0000_i1053" type="#_x0000_t75" style="width:75.75pt;height:13.5pt">
            <v:imagedata r:id="rId22" o:title="" chromakey="white"/>
          </v:shape>
        </w:pict>
      </w:r>
      <w:r w:rsidR="008F13B0" w:rsidRPr="00F77F70">
        <w:rPr>
          <w:sz w:val="24"/>
          <w:szCs w:val="24"/>
        </w:rPr>
        <w:instrText xml:space="preserve"> </w:instrText>
      </w:r>
      <w:r w:rsidRPr="00F77F70">
        <w:rPr>
          <w:sz w:val="24"/>
          <w:szCs w:val="24"/>
        </w:rPr>
        <w:fldChar w:fldCharType="separate"/>
      </w:r>
      <w:r w:rsidR="00AF4DD8" w:rsidRPr="00156059">
        <w:rPr>
          <w:sz w:val="24"/>
          <w:szCs w:val="24"/>
        </w:rPr>
        <w:pict>
          <v:shape id="_x0000_i1054" type="#_x0000_t75" style="width:75.75pt;height:13.5pt">
            <v:imagedata r:id="rId22" o:title="" chromakey="white"/>
          </v:shape>
        </w:pict>
      </w:r>
      <w:r w:rsidRPr="00F77F70">
        <w:rPr>
          <w:sz w:val="24"/>
          <w:szCs w:val="24"/>
        </w:rPr>
        <w:fldChar w:fldCharType="end"/>
      </w:r>
      <w:r w:rsidR="008F13B0" w:rsidRPr="00F77F70">
        <w:rPr>
          <w:sz w:val="24"/>
          <w:szCs w:val="24"/>
        </w:rPr>
        <w:t xml:space="preserve"> </w:t>
      </w:r>
      <w:proofErr w:type="gramStart"/>
      <w:r w:rsidR="008F13B0" w:rsidRPr="00F77F70">
        <w:rPr>
          <w:sz w:val="24"/>
          <w:szCs w:val="24"/>
        </w:rPr>
        <w:t>with</w:t>
      </w:r>
      <w:proofErr w:type="gramEnd"/>
      <w:r w:rsidR="008F13B0" w:rsidRPr="00F77F70">
        <w:rPr>
          <w:sz w:val="24"/>
          <w:szCs w:val="24"/>
        </w:rPr>
        <w:t xml:space="preserve">  </w:t>
      </w:r>
      <w:r w:rsidRPr="00F77F70">
        <w:rPr>
          <w:sz w:val="24"/>
          <w:szCs w:val="24"/>
        </w:rPr>
        <w:fldChar w:fldCharType="begin"/>
      </w:r>
      <w:r w:rsidR="008F13B0" w:rsidRPr="00F77F70">
        <w:rPr>
          <w:sz w:val="24"/>
          <w:szCs w:val="24"/>
        </w:rPr>
        <w:instrText xml:space="preserve"> QUOTE </w:instrText>
      </w:r>
      <w:r w:rsidR="00AF4DD8" w:rsidRPr="00156059">
        <w:rPr>
          <w:sz w:val="24"/>
          <w:szCs w:val="24"/>
        </w:rPr>
        <w:pict>
          <v:shape id="_x0000_i1055" type="#_x0000_t75" style="width:62.25pt;height:13.5pt">
            <v:imagedata r:id="rId23" o:title="" chromakey="white"/>
          </v:shape>
        </w:pict>
      </w:r>
      <w:r w:rsidR="008F13B0" w:rsidRPr="00F77F70">
        <w:rPr>
          <w:sz w:val="24"/>
          <w:szCs w:val="24"/>
        </w:rPr>
        <w:instrText xml:space="preserve"> </w:instrText>
      </w:r>
      <w:r w:rsidRPr="00F77F70">
        <w:rPr>
          <w:sz w:val="24"/>
          <w:szCs w:val="24"/>
        </w:rPr>
        <w:fldChar w:fldCharType="separate"/>
      </w:r>
      <w:r w:rsidR="00AF4DD8" w:rsidRPr="00156059">
        <w:rPr>
          <w:sz w:val="24"/>
          <w:szCs w:val="24"/>
        </w:rPr>
        <w:pict>
          <v:shape id="_x0000_i1056" type="#_x0000_t75" style="width:62.25pt;height:13.5pt">
            <v:imagedata r:id="rId23" o:title="" chromakey="white"/>
          </v:shape>
        </w:pict>
      </w:r>
      <w:r w:rsidRPr="00F77F70">
        <w:rPr>
          <w:sz w:val="24"/>
          <w:szCs w:val="24"/>
        </w:rPr>
        <w:fldChar w:fldCharType="end"/>
      </w:r>
      <w:r w:rsidR="008F13B0" w:rsidRPr="00F77F70">
        <w:rPr>
          <w:sz w:val="24"/>
          <w:szCs w:val="24"/>
        </w:rPr>
        <w:t xml:space="preserve"> (level2: outcome)</w:t>
      </w:r>
    </w:p>
    <w:p w:rsidR="008F13B0" w:rsidRPr="00F77F70" w:rsidRDefault="008F13B0" w:rsidP="00D1500E">
      <w:pPr>
        <w:spacing w:after="0" w:line="360" w:lineRule="auto"/>
        <w:jc w:val="both"/>
        <w:rPr>
          <w:sz w:val="24"/>
          <w:szCs w:val="24"/>
        </w:rPr>
      </w:pPr>
      <w:r w:rsidRPr="00F77F70">
        <w:rPr>
          <w:sz w:val="24"/>
          <w:szCs w:val="24"/>
        </w:rPr>
        <w:t xml:space="preserve">The third level is an extension of the common random effects model and states that mean study effects </w:t>
      </w:r>
      <w:r w:rsidR="00156059" w:rsidRPr="00F77F70">
        <w:rPr>
          <w:sz w:val="24"/>
          <w:szCs w:val="24"/>
        </w:rPr>
        <w:fldChar w:fldCharType="begin"/>
      </w:r>
      <w:r w:rsidR="00BB00E7" w:rsidRPr="00072647">
        <w:rPr>
          <w:sz w:val="24"/>
          <w:szCs w:val="24"/>
        </w:rPr>
        <w:instrText xml:space="preserve"> QUOTE </w:instrText>
      </w:r>
      <w:r w:rsidR="00AF4DD8" w:rsidRPr="00156059">
        <w:rPr>
          <w:sz w:val="24"/>
          <w:szCs w:val="24"/>
        </w:rPr>
        <w:pict>
          <v:shape id="_x0000_i1057" type="#_x0000_t75" style="width:18.75pt;height:11.25pt">
            <v:imagedata r:id="rId20" o:title="" chromakey="white"/>
          </v:shape>
        </w:pict>
      </w:r>
      <w:r w:rsidR="00BB00E7" w:rsidRPr="00072647">
        <w:rPr>
          <w:sz w:val="24"/>
          <w:szCs w:val="24"/>
        </w:rPr>
        <w:instrText xml:space="preserve"> </w:instrText>
      </w:r>
      <w:r w:rsidR="00156059" w:rsidRPr="00F77F70">
        <w:rPr>
          <w:sz w:val="24"/>
          <w:szCs w:val="24"/>
        </w:rPr>
        <w:fldChar w:fldCharType="separate"/>
      </w:r>
      <w:r w:rsidR="00AF4DD8" w:rsidRPr="00156059">
        <w:rPr>
          <w:sz w:val="24"/>
          <w:szCs w:val="24"/>
        </w:rPr>
        <w:pict>
          <v:shape id="_x0000_i1058" type="#_x0000_t75" style="width:18.75pt;height:11.25pt">
            <v:imagedata r:id="rId20" o:title="" chromakey="white"/>
          </v:shape>
        </w:pict>
      </w:r>
      <w:r w:rsidR="00156059" w:rsidRPr="00F77F70">
        <w:rPr>
          <w:sz w:val="24"/>
          <w:szCs w:val="24"/>
        </w:rPr>
        <w:fldChar w:fldCharType="end"/>
      </w:r>
      <w:r w:rsidRPr="00F77F70">
        <w:rPr>
          <w:sz w:val="24"/>
          <w:szCs w:val="24"/>
        </w:rPr>
        <w:t xml:space="preserve"> can vary around an overall mean </w:t>
      </w:r>
      <w:r w:rsidR="00156059" w:rsidRPr="00F77F70">
        <w:rPr>
          <w:sz w:val="24"/>
          <w:szCs w:val="24"/>
        </w:rPr>
        <w:fldChar w:fldCharType="begin"/>
      </w:r>
      <w:r w:rsidRPr="00F77F70">
        <w:rPr>
          <w:sz w:val="24"/>
          <w:szCs w:val="24"/>
        </w:rPr>
        <w:instrText xml:space="preserve"> QUOTE </w:instrText>
      </w:r>
      <w:r w:rsidR="00AF4DD8" w:rsidRPr="00156059">
        <w:rPr>
          <w:sz w:val="24"/>
          <w:szCs w:val="24"/>
        </w:rPr>
        <w:pict>
          <v:shape id="_x0000_i1059" type="#_x0000_t75" style="width:17.25pt;height:11.25pt">
            <v:imagedata r:id="rId24" o:title="" chromakey="white"/>
          </v:shape>
        </w:pict>
      </w:r>
      <w:r w:rsidRPr="00F77F70">
        <w:rPr>
          <w:sz w:val="24"/>
          <w:szCs w:val="24"/>
        </w:rPr>
        <w:instrText xml:space="preserve"> </w:instrText>
      </w:r>
      <w:r w:rsidR="00156059" w:rsidRPr="00F77F70">
        <w:rPr>
          <w:sz w:val="24"/>
          <w:szCs w:val="24"/>
        </w:rPr>
        <w:fldChar w:fldCharType="separate"/>
      </w:r>
      <w:r w:rsidR="00AF4DD8" w:rsidRPr="00156059">
        <w:rPr>
          <w:sz w:val="24"/>
          <w:szCs w:val="24"/>
        </w:rPr>
        <w:pict>
          <v:shape id="_x0000_i1060" type="#_x0000_t75" style="width:17.25pt;height:11.25pt">
            <v:imagedata r:id="rId24" o:title="" chromakey="white"/>
          </v:shape>
        </w:pict>
      </w:r>
      <w:r w:rsidR="00156059" w:rsidRPr="00F77F70">
        <w:rPr>
          <w:sz w:val="24"/>
          <w:szCs w:val="24"/>
        </w:rPr>
        <w:fldChar w:fldCharType="end"/>
      </w:r>
      <w:r w:rsidRPr="00F77F70">
        <w:rPr>
          <w:sz w:val="24"/>
          <w:szCs w:val="24"/>
        </w:rPr>
        <w:t xml:space="preserve"> with the random </w:t>
      </w:r>
      <w:proofErr w:type="gramStart"/>
      <w:r w:rsidRPr="00F77F70">
        <w:rPr>
          <w:sz w:val="24"/>
          <w:szCs w:val="24"/>
        </w:rPr>
        <w:t xml:space="preserve">variation </w:t>
      </w:r>
      <w:proofErr w:type="gramEnd"/>
      <w:r w:rsidR="00156059" w:rsidRPr="00F77F70">
        <w:rPr>
          <w:sz w:val="24"/>
          <w:szCs w:val="24"/>
        </w:rPr>
        <w:fldChar w:fldCharType="begin"/>
      </w:r>
      <w:r w:rsidRPr="00FF2ADB">
        <w:rPr>
          <w:sz w:val="24"/>
          <w:szCs w:val="24"/>
        </w:rPr>
        <w:instrText xml:space="preserve"> QUOTE </w:instrText>
      </w:r>
      <w:r w:rsidR="00AF4DD8" w:rsidRPr="00156059">
        <w:rPr>
          <w:sz w:val="24"/>
          <w:szCs w:val="24"/>
        </w:rPr>
        <w:pict>
          <v:shape id="_x0000_i1061" type="#_x0000_t75" style="width:18.75pt;height:11.25pt">
            <v:imagedata r:id="rId25" o:title="" chromakey="white"/>
          </v:shape>
        </w:pict>
      </w:r>
      <w:r w:rsidRPr="00FF2ADB">
        <w:rPr>
          <w:sz w:val="24"/>
          <w:szCs w:val="24"/>
        </w:rPr>
        <w:instrText xml:space="preserve"> </w:instrText>
      </w:r>
      <w:r w:rsidR="00156059" w:rsidRPr="00F77F70">
        <w:rPr>
          <w:sz w:val="24"/>
          <w:szCs w:val="24"/>
        </w:rPr>
        <w:fldChar w:fldCharType="separate"/>
      </w:r>
      <w:r w:rsidR="00AF4DD8" w:rsidRPr="00156059">
        <w:rPr>
          <w:sz w:val="24"/>
          <w:szCs w:val="24"/>
        </w:rPr>
        <w:pict>
          <v:shape id="_x0000_i1062" type="#_x0000_t75" style="width:18.75pt;height:11.25pt">
            <v:imagedata r:id="rId25" o:title="" chromakey="white"/>
          </v:shape>
        </w:pict>
      </w:r>
      <w:r w:rsidR="00156059" w:rsidRPr="00F77F70">
        <w:rPr>
          <w:sz w:val="24"/>
          <w:szCs w:val="24"/>
        </w:rPr>
        <w:fldChar w:fldCharType="end"/>
      </w:r>
      <w:r w:rsidRPr="00F77F70">
        <w:rPr>
          <w:sz w:val="24"/>
          <w:szCs w:val="24"/>
        </w:rPr>
        <w:t>:</w:t>
      </w:r>
    </w:p>
    <w:p w:rsidR="008F13B0" w:rsidRPr="00F77F70" w:rsidRDefault="00156059" w:rsidP="00D1500E">
      <w:pPr>
        <w:spacing w:after="0" w:line="360" w:lineRule="auto"/>
        <w:ind w:left="360"/>
        <w:jc w:val="center"/>
        <w:rPr>
          <w:sz w:val="24"/>
          <w:szCs w:val="24"/>
        </w:rPr>
      </w:pPr>
      <w:r w:rsidRPr="00F77F70">
        <w:rPr>
          <w:sz w:val="24"/>
          <w:szCs w:val="24"/>
        </w:rPr>
        <w:fldChar w:fldCharType="begin"/>
      </w:r>
      <w:r w:rsidR="008F13B0" w:rsidRPr="00050DBF">
        <w:rPr>
          <w:sz w:val="24"/>
          <w:szCs w:val="24"/>
        </w:rPr>
        <w:instrText xml:space="preserve"> QUOTE </w:instrText>
      </w:r>
      <w:r w:rsidR="00AF4DD8" w:rsidRPr="00156059">
        <w:rPr>
          <w:sz w:val="24"/>
          <w:szCs w:val="24"/>
        </w:rPr>
        <w:pict>
          <v:shape id="_x0000_i1063" type="#_x0000_t75" style="width:78pt;height:11.25pt">
            <v:imagedata r:id="rId26" o:title="" chromakey="white"/>
          </v:shape>
        </w:pict>
      </w:r>
      <w:r w:rsidR="008F13B0" w:rsidRPr="00050DBF">
        <w:rPr>
          <w:sz w:val="24"/>
          <w:szCs w:val="24"/>
        </w:rPr>
        <w:instrText xml:space="preserve"> </w:instrText>
      </w:r>
      <w:r w:rsidRPr="00F77F70">
        <w:rPr>
          <w:sz w:val="24"/>
          <w:szCs w:val="24"/>
        </w:rPr>
        <w:fldChar w:fldCharType="separate"/>
      </w:r>
      <w:r w:rsidR="00AF4DD8" w:rsidRPr="00156059">
        <w:rPr>
          <w:sz w:val="24"/>
          <w:szCs w:val="24"/>
        </w:rPr>
        <w:pict>
          <v:shape id="_x0000_i1064" type="#_x0000_t75" style="width:78pt;height:11.25pt">
            <v:imagedata r:id="rId26" o:title="" chromakey="white"/>
          </v:shape>
        </w:pict>
      </w:r>
      <w:r w:rsidRPr="00F77F70">
        <w:rPr>
          <w:sz w:val="24"/>
          <w:szCs w:val="24"/>
        </w:rPr>
        <w:fldChar w:fldCharType="end"/>
      </w:r>
      <w:r w:rsidR="008F13B0" w:rsidRPr="00F77F70">
        <w:rPr>
          <w:sz w:val="24"/>
          <w:szCs w:val="24"/>
        </w:rPr>
        <w:t xml:space="preserve"> </w:t>
      </w:r>
      <w:proofErr w:type="gramStart"/>
      <w:r w:rsidR="008F13B0" w:rsidRPr="00F77F70">
        <w:rPr>
          <w:sz w:val="24"/>
          <w:szCs w:val="24"/>
        </w:rPr>
        <w:t>with</w:t>
      </w:r>
      <w:proofErr w:type="gramEnd"/>
      <w:r w:rsidR="008F13B0" w:rsidRPr="00F77F70">
        <w:rPr>
          <w:sz w:val="24"/>
          <w:szCs w:val="24"/>
        </w:rPr>
        <w:t xml:space="preserve"> </w:t>
      </w:r>
      <w:r w:rsidRPr="00F77F70">
        <w:rPr>
          <w:sz w:val="24"/>
          <w:szCs w:val="24"/>
        </w:rPr>
        <w:fldChar w:fldCharType="begin"/>
      </w:r>
      <w:r w:rsidR="008F13B0" w:rsidRPr="00F77F70">
        <w:rPr>
          <w:sz w:val="24"/>
          <w:szCs w:val="24"/>
        </w:rPr>
        <w:instrText xml:space="preserve"> QUOTE </w:instrText>
      </w:r>
      <w:r w:rsidR="00AF4DD8" w:rsidRPr="00156059">
        <w:rPr>
          <w:sz w:val="24"/>
          <w:szCs w:val="24"/>
        </w:rPr>
        <w:pict>
          <v:shape id="_x0000_i1065" type="#_x0000_t75" style="width:66pt;height:15pt">
            <v:imagedata r:id="rId27" o:title="" chromakey="white"/>
          </v:shape>
        </w:pict>
      </w:r>
      <w:r w:rsidR="008F13B0" w:rsidRPr="00F77F70">
        <w:rPr>
          <w:sz w:val="24"/>
          <w:szCs w:val="24"/>
        </w:rPr>
        <w:instrText xml:space="preserve"> </w:instrText>
      </w:r>
      <w:r w:rsidRPr="00F77F70">
        <w:rPr>
          <w:sz w:val="24"/>
          <w:szCs w:val="24"/>
        </w:rPr>
        <w:fldChar w:fldCharType="separate"/>
      </w:r>
      <w:r w:rsidR="00AF4DD8" w:rsidRPr="00156059">
        <w:rPr>
          <w:sz w:val="24"/>
          <w:szCs w:val="24"/>
        </w:rPr>
        <w:pict>
          <v:shape id="_x0000_i1066" type="#_x0000_t75" style="width:66pt;height:15pt">
            <v:imagedata r:id="rId27" o:title="" chromakey="white"/>
          </v:shape>
        </w:pict>
      </w:r>
      <w:r w:rsidRPr="00F77F70">
        <w:rPr>
          <w:sz w:val="24"/>
          <w:szCs w:val="24"/>
        </w:rPr>
        <w:fldChar w:fldCharType="end"/>
      </w:r>
      <w:r w:rsidR="008F13B0" w:rsidRPr="00F77F70">
        <w:rPr>
          <w:sz w:val="24"/>
          <w:szCs w:val="24"/>
        </w:rPr>
        <w:t xml:space="preserve">    (level 3: study)</w:t>
      </w:r>
    </w:p>
    <w:p w:rsidR="008F13B0" w:rsidRPr="00F77F70" w:rsidRDefault="008F13B0" w:rsidP="00D1500E">
      <w:pPr>
        <w:spacing w:after="0" w:line="360" w:lineRule="auto"/>
        <w:jc w:val="both"/>
        <w:rPr>
          <w:sz w:val="24"/>
          <w:szCs w:val="24"/>
        </w:rPr>
      </w:pPr>
      <w:r w:rsidRPr="00F77F70">
        <w:rPr>
          <w:sz w:val="24"/>
          <w:szCs w:val="24"/>
        </w:rPr>
        <w:t>The between study variance in the transformed correlations</w:t>
      </w:r>
      <w:proofErr w:type="gramStart"/>
      <w:r w:rsidRPr="00F77F70">
        <w:rPr>
          <w:sz w:val="24"/>
          <w:szCs w:val="24"/>
        </w:rPr>
        <w:t xml:space="preserve">, </w:t>
      </w:r>
      <w:proofErr w:type="gramEnd"/>
      <w:r w:rsidR="00156059" w:rsidRPr="00F77F70">
        <w:rPr>
          <w:sz w:val="24"/>
          <w:szCs w:val="24"/>
        </w:rPr>
        <w:fldChar w:fldCharType="begin"/>
      </w:r>
      <w:r w:rsidRPr="00C75A62">
        <w:rPr>
          <w:sz w:val="24"/>
          <w:szCs w:val="24"/>
        </w:rPr>
        <w:instrText xml:space="preserve"> QUOTE </w:instrText>
      </w:r>
      <w:r w:rsidR="00AF4DD8" w:rsidRPr="00156059">
        <w:rPr>
          <w:sz w:val="24"/>
          <w:szCs w:val="24"/>
        </w:rPr>
        <w:pict>
          <v:shape id="_x0000_i1067" type="#_x0000_t75" style="width:15pt;height:13.5pt">
            <v:imagedata r:id="rId28" o:title="" chromakey="white"/>
          </v:shape>
        </w:pict>
      </w:r>
      <w:r w:rsidRPr="00C75A62">
        <w:rPr>
          <w:sz w:val="24"/>
          <w:szCs w:val="24"/>
        </w:rPr>
        <w:instrText xml:space="preserve"> </w:instrText>
      </w:r>
      <w:r w:rsidR="00156059" w:rsidRPr="00F77F70">
        <w:rPr>
          <w:sz w:val="24"/>
          <w:szCs w:val="24"/>
        </w:rPr>
        <w:fldChar w:fldCharType="separate"/>
      </w:r>
      <w:r w:rsidR="00AF4DD8" w:rsidRPr="00156059">
        <w:rPr>
          <w:sz w:val="24"/>
          <w:szCs w:val="24"/>
        </w:rPr>
        <w:pict>
          <v:shape id="_x0000_i1068" type="#_x0000_t75" style="width:15pt;height:13.5pt">
            <v:imagedata r:id="rId28" o:title="" chromakey="white"/>
          </v:shape>
        </w:pict>
      </w:r>
      <w:r w:rsidR="00156059" w:rsidRPr="00F77F70">
        <w:rPr>
          <w:sz w:val="24"/>
          <w:szCs w:val="24"/>
        </w:rPr>
        <w:fldChar w:fldCharType="end"/>
      </w:r>
      <w:r w:rsidRPr="00F77F70">
        <w:rPr>
          <w:sz w:val="24"/>
          <w:szCs w:val="24"/>
        </w:rPr>
        <w:t xml:space="preserve">, reflects the covariance between measures from the same study. Once summary effects and confidence limits were obtained using Fisher's z metric, values were then converted back to correlations using the transformation </w:t>
      </w:r>
      <w:r w:rsidR="00156059" w:rsidRPr="00F77F70">
        <w:rPr>
          <w:rFonts w:eastAsia="MS Mincho"/>
          <w:sz w:val="24"/>
          <w:szCs w:val="24"/>
        </w:rPr>
        <w:fldChar w:fldCharType="begin"/>
      </w:r>
      <w:r w:rsidRPr="001B2C3F">
        <w:rPr>
          <w:rFonts w:eastAsia="MS Mincho"/>
          <w:sz w:val="24"/>
          <w:szCs w:val="24"/>
        </w:rPr>
        <w:instrText xml:space="preserve"> QUOTE </w:instrText>
      </w:r>
      <w:r w:rsidR="00AF4DD8" w:rsidRPr="00156059">
        <w:rPr>
          <w:sz w:val="24"/>
          <w:szCs w:val="24"/>
        </w:rPr>
        <w:pict>
          <v:shape id="_x0000_i1069" type="#_x0000_t75" style="width:60.75pt;height:26.25pt">
            <v:imagedata r:id="rId29" o:title="" chromakey="white"/>
          </v:shape>
        </w:pict>
      </w:r>
      <w:r w:rsidRPr="001B2C3F">
        <w:rPr>
          <w:rFonts w:eastAsia="MS Mincho"/>
          <w:sz w:val="24"/>
          <w:szCs w:val="24"/>
        </w:rPr>
        <w:instrText xml:space="preserve"> </w:instrText>
      </w:r>
      <w:r w:rsidR="00156059" w:rsidRPr="00F77F70">
        <w:rPr>
          <w:rFonts w:eastAsia="MS Mincho"/>
          <w:sz w:val="24"/>
          <w:szCs w:val="24"/>
        </w:rPr>
        <w:fldChar w:fldCharType="separate"/>
      </w:r>
      <w:r w:rsidR="00AF4DD8" w:rsidRPr="00156059">
        <w:rPr>
          <w:sz w:val="24"/>
          <w:szCs w:val="24"/>
        </w:rPr>
        <w:pict>
          <v:shape id="_x0000_i1070" type="#_x0000_t75" style="width:60.75pt;height:26.25pt">
            <v:imagedata r:id="rId29" o:title="" chromakey="white"/>
          </v:shape>
        </w:pict>
      </w:r>
      <w:r w:rsidR="00156059" w:rsidRPr="00F77F70">
        <w:rPr>
          <w:rFonts w:eastAsia="MS Mincho"/>
          <w:sz w:val="24"/>
          <w:szCs w:val="24"/>
        </w:rPr>
        <w:fldChar w:fldCharType="end"/>
      </w:r>
      <w:r w:rsidRPr="00F77F70">
        <w:rPr>
          <w:rFonts w:eastAsia="MS Mincho"/>
          <w:sz w:val="24"/>
          <w:szCs w:val="24"/>
        </w:rPr>
        <w:t xml:space="preserve"> </w:t>
      </w:r>
      <w:r w:rsidRPr="00F77F70">
        <w:rPr>
          <w:sz w:val="24"/>
          <w:szCs w:val="24"/>
        </w:rPr>
        <w:t xml:space="preserve">Models were extended by incorporating fixed effects in an attempt to further </w:t>
      </w:r>
      <w:proofErr w:type="gramStart"/>
      <w:r w:rsidRPr="00F77F70">
        <w:rPr>
          <w:sz w:val="24"/>
          <w:szCs w:val="24"/>
        </w:rPr>
        <w:t>explain</w:t>
      </w:r>
      <w:proofErr w:type="gramEnd"/>
      <w:r w:rsidRPr="00F77F70">
        <w:rPr>
          <w:sz w:val="24"/>
          <w:szCs w:val="24"/>
        </w:rPr>
        <w:t xml:space="preserve"> the variation in the transformed correlations. The fixed effects assessed included sex, age and BMI classification. All data were analysed using the </w:t>
      </w:r>
      <w:proofErr w:type="spellStart"/>
      <w:r w:rsidRPr="00F77F70">
        <w:rPr>
          <w:sz w:val="24"/>
          <w:szCs w:val="24"/>
        </w:rPr>
        <w:t>rma</w:t>
      </w:r>
      <w:proofErr w:type="spellEnd"/>
      <w:r w:rsidRPr="00F77F70">
        <w:rPr>
          <w:sz w:val="24"/>
          <w:szCs w:val="24"/>
        </w:rPr>
        <w:t xml:space="preserve"> and rma.mv functions in the </w:t>
      </w:r>
      <w:proofErr w:type="spellStart"/>
      <w:r w:rsidRPr="00F77F70">
        <w:rPr>
          <w:sz w:val="24"/>
          <w:szCs w:val="24"/>
        </w:rPr>
        <w:t>metafor</w:t>
      </w:r>
      <w:proofErr w:type="spellEnd"/>
      <w:r w:rsidRPr="00F77F70">
        <w:rPr>
          <w:sz w:val="24"/>
          <w:szCs w:val="24"/>
        </w:rPr>
        <w:t xml:space="preserve"> package</w:t>
      </w:r>
      <w:r w:rsidR="00C75A62">
        <w:rPr>
          <w:sz w:val="24"/>
          <w:szCs w:val="24"/>
        </w:rPr>
        <w:t xml:space="preserve"> </w:t>
      </w:r>
      <w:r w:rsidR="00156059">
        <w:rPr>
          <w:sz w:val="24"/>
          <w:szCs w:val="24"/>
        </w:rPr>
        <w:fldChar w:fldCharType="begin" w:fldLock="1"/>
      </w:r>
      <w:r w:rsidR="0075024E">
        <w:rPr>
          <w:sz w:val="24"/>
          <w:szCs w:val="24"/>
        </w:rPr>
        <w:instrText>ADDIN CSL_CITATION { "citationItems" : [ { "id" : "ITEM-1", "itemData" : { "author" : [ { "dropping-particle" : "", "family" : "Viechtbauer", "given" : "W", "non-dropping-particle" : "", "parse-names" : false, "suffix" : "" } ], "container-title" : "Journal of statistical software", "id" : "ITEM-1", "issue" : "3", "issued" : { "date-parts" : [ [ "2010" ] ] }, "page" : "1-48", "title" : "Conducting meta-analyses in R with the metaphor package", "type" : "article-journal", "volume" : "36" }, "uris" : [ "http://www.mendeley.com/documents/?uuid=4df26a7a-cf0b-4071-ba4b-cc53359175c8" ] } ], "mendeley" : { "formattedCitation" : "&lt;sup&gt;44&lt;/sup&gt;", "plainTextFormattedCitation" : "44", "previouslyFormattedCitation" : "&lt;sup&gt;44&lt;/sup&gt;"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44</w:t>
      </w:r>
      <w:r w:rsidR="00156059">
        <w:rPr>
          <w:sz w:val="24"/>
          <w:szCs w:val="24"/>
        </w:rPr>
        <w:fldChar w:fldCharType="end"/>
      </w:r>
      <w:r w:rsidR="00050DBF">
        <w:rPr>
          <w:sz w:val="24"/>
          <w:szCs w:val="24"/>
        </w:rPr>
        <w:t xml:space="preserve"> </w:t>
      </w:r>
      <w:r w:rsidRPr="00F77F70">
        <w:rPr>
          <w:sz w:val="24"/>
          <w:szCs w:val="24"/>
        </w:rPr>
        <w:t>in R (R Foundation for Statistical Computing, Vienna Austria). Results were interpreted according to the statistical probabilities of rejecting the null hypothesis and in the following categories: p &gt; 0.1: No evidence against H</w:t>
      </w:r>
      <w:r w:rsidRPr="00F77F70">
        <w:rPr>
          <w:sz w:val="24"/>
          <w:szCs w:val="24"/>
          <w:vertAlign w:val="subscript"/>
        </w:rPr>
        <w:t>0</w:t>
      </w:r>
      <w:r w:rsidRPr="00F77F70">
        <w:rPr>
          <w:sz w:val="24"/>
          <w:szCs w:val="24"/>
        </w:rPr>
        <w:t>; 0.05 &lt; p &lt;0.1 Weak evidence against H</w:t>
      </w:r>
      <w:r w:rsidRPr="00F77F70">
        <w:rPr>
          <w:sz w:val="24"/>
          <w:szCs w:val="24"/>
          <w:vertAlign w:val="subscript"/>
        </w:rPr>
        <w:t>0</w:t>
      </w:r>
      <w:r w:rsidRPr="00F77F70">
        <w:rPr>
          <w:sz w:val="24"/>
          <w:szCs w:val="24"/>
        </w:rPr>
        <w:t>; 0.01 &lt; p &lt;0.05: Some evidence against H</w:t>
      </w:r>
      <w:r w:rsidRPr="00F77F70">
        <w:rPr>
          <w:sz w:val="24"/>
          <w:szCs w:val="24"/>
          <w:vertAlign w:val="subscript"/>
        </w:rPr>
        <w:t>0</w:t>
      </w:r>
      <w:r w:rsidRPr="00F77F70">
        <w:rPr>
          <w:sz w:val="24"/>
          <w:szCs w:val="24"/>
        </w:rPr>
        <w:t>; 0.001 &lt; p &lt;0.01: Strong evidence against H</w:t>
      </w:r>
      <w:r w:rsidRPr="00F77F70">
        <w:rPr>
          <w:sz w:val="24"/>
          <w:szCs w:val="24"/>
          <w:vertAlign w:val="subscript"/>
        </w:rPr>
        <w:t>0</w:t>
      </w:r>
      <w:r w:rsidRPr="00F77F70">
        <w:rPr>
          <w:sz w:val="24"/>
          <w:szCs w:val="24"/>
        </w:rPr>
        <w:t>: &lt; p &lt;0.001 Very strong evidence against H</w:t>
      </w:r>
      <w:r w:rsidRPr="00F77F70">
        <w:rPr>
          <w:sz w:val="24"/>
          <w:szCs w:val="24"/>
          <w:vertAlign w:val="subscript"/>
        </w:rPr>
        <w:t>0</w:t>
      </w:r>
      <w:r w:rsidRPr="00F77F70">
        <w:rPr>
          <w:sz w:val="24"/>
          <w:szCs w:val="24"/>
        </w:rPr>
        <w:t>.</w:t>
      </w:r>
    </w:p>
    <w:p w:rsidR="008F13B0" w:rsidRPr="00F77F70" w:rsidRDefault="008F13B0" w:rsidP="00D1500E">
      <w:pPr>
        <w:spacing w:line="360" w:lineRule="auto"/>
        <w:jc w:val="both"/>
        <w:rPr>
          <w:b/>
          <w:bCs/>
          <w:sz w:val="24"/>
          <w:szCs w:val="24"/>
        </w:rPr>
      </w:pPr>
    </w:p>
    <w:p w:rsidR="008F13B0" w:rsidRPr="00F77F70" w:rsidRDefault="008F13B0" w:rsidP="00D1500E">
      <w:pPr>
        <w:spacing w:line="360" w:lineRule="auto"/>
        <w:jc w:val="both"/>
        <w:rPr>
          <w:b/>
          <w:bCs/>
          <w:sz w:val="24"/>
          <w:szCs w:val="24"/>
        </w:rPr>
      </w:pPr>
      <w:r w:rsidRPr="00F77F70">
        <w:rPr>
          <w:b/>
          <w:bCs/>
          <w:sz w:val="24"/>
          <w:szCs w:val="24"/>
        </w:rPr>
        <w:t>RESULTS</w:t>
      </w:r>
    </w:p>
    <w:p w:rsidR="008F13B0" w:rsidRPr="00F77F70" w:rsidRDefault="008F13B0" w:rsidP="00D1500E">
      <w:pPr>
        <w:spacing w:line="360" w:lineRule="auto"/>
        <w:jc w:val="both"/>
        <w:rPr>
          <w:b/>
          <w:bCs/>
          <w:i/>
          <w:iCs/>
          <w:sz w:val="24"/>
          <w:szCs w:val="24"/>
        </w:rPr>
      </w:pPr>
      <w:r w:rsidRPr="00F77F70">
        <w:rPr>
          <w:b/>
          <w:bCs/>
          <w:i/>
          <w:iCs/>
          <w:sz w:val="24"/>
          <w:szCs w:val="24"/>
        </w:rPr>
        <w:t>Search Strategy and Included Study Characteristics:</w:t>
      </w:r>
    </w:p>
    <w:p w:rsidR="008F13B0" w:rsidRPr="00F77F70" w:rsidRDefault="008F13B0" w:rsidP="00D1500E">
      <w:pPr>
        <w:spacing w:line="360" w:lineRule="auto"/>
        <w:jc w:val="both"/>
        <w:rPr>
          <w:sz w:val="24"/>
          <w:szCs w:val="24"/>
        </w:rPr>
      </w:pPr>
      <w:r w:rsidRPr="00F77F70">
        <w:rPr>
          <w:sz w:val="24"/>
          <w:szCs w:val="24"/>
        </w:rPr>
        <w:t>Sixteen studies, including 2587 participants and 75 correlation coefficients, were included in the meta-analysis</w:t>
      </w:r>
      <w:r w:rsidR="00105100">
        <w:rPr>
          <w:sz w:val="24"/>
          <w:szCs w:val="24"/>
        </w:rPr>
        <w:t>.</w:t>
      </w:r>
      <w:r w:rsidR="00050DBF">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"10.1210/jc.2004-2049", "ISSN" : "0021972X", "author" : [ { "dropping-particle" : "", "family" : "Abou Samra", "given" : "Rania", "non-dropping-particle" : "", "parse-names" : false, "suffix" : "" }, { "dropping-particle" : "", "family" : "Baba", "given" : "Nahla Hwalla", "non-dropping-particle" : "", "parse-names" : false, "suffix" : "" }, { "dropping-particle" : "", "family" : "Torbay", "given" : "Naji", "non-dropping-particle" : "", "parse-names" : false, "suffix" : "" }, { "dropping-particle" : "", "family" : "Dib", "given" : "Lea", "non-dropping-particle" : "", "parse-names" : false, "suffix" : "" }, { "dropping-particle" : "", "family" : "Fuleihan", "given" : "Ghada El Hajj", "non-dropping-particle" : "", "parse-names" : false, "suffix" : "" } ], "container-title" : "Journal of Clinical Endocrinology and Metabolism", "id" : "ITEM-1", "issue" : "5", "issued" : { "date-parts" : [ [ "2005" ] ] }, "page" : "2588-2594", "title" : "High plasma leptin is not associated with higher bone mineral density in insulin-resistant premenopausal obese women", "type" : "article-journal", "volume" : "90" }, "uris" : [ "http://www.mendeley.com/documents/?uuid=d64c82ff-a564-4087-a1ab-b27aad865cf1" ] }, { "id" : "ITEM-2", "itemData" : { "DOI" : "10.1210/jc.2013-3200", "ISBN" : "0021-972x", "ISSN" : "19457197", "PMID" : "24878039", "abstract" : "Context: Although obesity is associated with high bone mass, recent reports suggest an increase in the incidence of fractures in obese patients. Objectives: The objectives of the study were to evaluate the influence of increasing body fat on bone mineral density (BMD) and to determine the influence of the different adipokines on BMD in frail obese elderly patients. Design and Setting: This is a cross-sectional study of baseline characteristics of elderly obese patients participating in a lifestyle therapy with diet with or without exercise and conducted in a university setting. Patients: One hundred seventy-three, elderly (\u226565 y old), obese (body mass index of \u226530 kg/m(2)) who were mostly frail participated in the study. Outcome Measures: BMD, percentage of total body fat, percentage of fat-free mass, percentage of lean mass, body mass index, adiponectin, leptin, IL-6, bone turnover markers (osteocalcin and C-telopeptide), high-sensitivity C-reactive protein, free estradiol, and 25-hydroxyvitamin D were measured. Results: Higher tertiles of percentage body fat and lower lean mass were associated with a lower BMD. High-sensitivity C-reactive protein levels were highest in the highest fat tertile (third, 5.5 \u00b1 5.4 vs first, 1.5 \u00b1 1.3 mg/L, P &lt; .05) for women, whereas IL-6 levels were highest in the highest tertile in men (third, 3.5 \u00b1 3.1 vs first, 1.7 \u00b1 0.8 pg/mL, P&lt; .05). Leptin increased with increasing fat tertiles in both genders (P &lt; .05), whereas adiponectin increased with increasing fat tertiles only in men (P&lt; .05). A multivariate analysis revealed adiponectin as an important mediator of the effect of fat mass on BMD. Osteocalcin levels were highest in the highest fat tertile in women but not in men. Physical function test scores decreased with increasing fat tertiles in women (P&lt; .05) but not in men. Conclusions: Increasing adiposity together with decreasing lean mass is associated with lower BMD, higher adipokine levels, and worsening frailty in elderly obese adults.", "author" : [ { "dropping-particle" : "", "family" : "Aguirre", "given" : "Lina", "non-dropping-particle" : "", "parse-names" : false, "suffix" : "" }, { "dropping-particle" : "", "family" : "Napoli", "given" : "Nicola", "non-dropping-particle" : "", "parse-names" : false, "suffix" : "" }, { "dropping-particle" : "", "family" : "Waters", "given" : "Debra", "non-dropping-particle" : "", "parse-names" : false, "suffix" : "" }, { "dropping-particle" : "", "family" : "Qualls", "given" : "Clifford", "non-dropping-particle" : "", "parse-names" : false, "suffix" : "" }, { "dropping-particle" : "", "family" : "Villareal", "given" : "Dennis T.", "non-dropping-particle" : "", "parse-names" : false, "suffix" : "" }, { "dropping-particle" : "", "family" : "Armamento-Villareal", "given" : "Reina", "non-dropping-particle" : "", "parse-names" : false, "suffix" : "" } ], "container-title" : "Journal of Clinical Endocrinology and Metabolism", "id" : "ITEM-2", "issue" : "9", "issued" : { "date-parts" : [ [ "2014" ] ] }, "page" : "3290-3297", "title" : "Increasing adiposity is associated with higher adipokine levels and lower bone mineral density in obese older adults", "type" : "article-journal", "volume" : "99" }, "uris" : [ "http://www.mendeley.com/documents/?uuid=b8cdca5e-ffbf-4863-88ed-120758c85dea" ] }, { "id" : "ITEM-3", "itemData" : { "DOI" : "10.1007/s10900-009-9201-5", "ISBN" : "1090000992015", "ISSN" : "00945145", "PMID" : "20012477", "abstract" : "Osteoporosis is a serious national public health problem, and is expected to increase significantly over the next few decades, especially in women. A limitation of bone health research exists since few studies have involved Hispanic women, and even fewer, Hispanic immigrant women. For this study we examined the effects of anthropometric, behavioral, and health history variables on bone mineral density (BMD) in 84 immigrant Hispanic women, age 40 and above. BMD was assessed at the spine, femur, and forearm using dual energy x-ray absorptiometry (DXA). Demographic information, health histories, and behavioral risk factors were obtained from a questionnaire. In the younger group (mean age = 44.1 years) 61% had spinal osteopenia, and in the postmenopausal group (mean age = 53.0 years) 59% had osteopenia and 13% had osteoporosis. Femur sites were free of osteoporosis. Mean body mass index (BMI) was 31.8 \u00b1 6.1 and mean waist girth was 95.6 \u00b1 12.5 cm, indicating overall and abdominal obesity. Partial correlations indicated a significant positive relationship between body fat variables and total femur BMD values. ANOVAs revealed no differences in BMD values at any bone site across tertile levels for calcium intake or for physical activity. However, supplemental and dietary calcium intakes were very low and few participants engaged in regular physical activity outside of work and activities of daily living (ADL). In light of the expected increase in osteoporosis in this population and the prevalence of spinal osteopenia in the younger participants, education about the health risks of osteoporosis should be made available to this group.", "author" : [ { "dropping-particle" : "", "family" : "Ballard", "given" : "Joyce E.", "non-dropping-particle" : "", "parse-names" : false, "suffix" : "" }, { "dropping-particle" : "", "family" : "Cooper", "given" : "Cheryl M.", "non-dropping-particle" : "", "parse-names" : false, "suffix" : "" }, { "dropping-particle" : "", "family" : "Bone", "given" : "Mary A.", "non-dropping-particle" : "", "parse-names" : false, "suffix" : "" }, { "dropping-particle" : "", "family" : "Saade", "given" : "Guillermo", "non-dropping-particle" : "", "parse-names" : false, "suffix" : "" }, { "dropping-particle" : "", "family" : "Holiday", "given" : "David B.", "non-dropping-particle" : "", "parse-names" : false, "suffix" : "" } ], "container-title" : "Journal of Community Health", "id" : "ITEM-3", "issue" : "5", "issued" : { "date-parts" : [ [ "2010" ] ] }, "page" : "453-463", "title" : "Bone health in immigrant hispanic women living in texas", "type" : "article-journal", "volume" : "35" }, "uris" : [ "http://www.mendeley.com/documents/?uuid=cde119cb-b1f9-42cb-8c81-cae1acd7b9a2" ] }, { "id" : "ITEM-4", "itemData" : { "DOI" : "10.2478/s11536-013-0259-1", "ISSN" : "2391-5463", "abstract" : "&lt;p&gt;The aim of this study was to determine the relative contributions of fat mass and lean mass to the variability of bone mineral density (BMD) of the lumbar spine and proximal 1/3 forearm in Bulgarian women. 180 women aged 21 through 76 years participated (mean age 50.8 \u00b1 9.7 years). 130 of them were postmenopausal. Lumbar spine and forearm BMD were measured by dual-energy X-ray absorptiometry, followed by a whole-body scan for body composition examination (Hologic QDR 4500 A device, software version 1.26). The strongest linear correlation was found with body weight (r2=0.231, p&amp;lt;0.001). Using this model, 18.1 % of the variability of lumbar spine BMD was attributable to fat mass and 16.0 % to lean mass. The relative influence of fat mass on L1-L4 BMD was greater than that of lean mass (standardized regression coefficient 0.291 versus 0.199). There were weak correlations of body weight, fat and lean mass with the forearm BMD. Lean mass correlated slightly better (r=0.187, p=0.050) to forearm BMD than fat mass (r=0.162, p=0.055). In conclusion, the differentiation between fat and lean mass does not strengthen the BMD correlations beyond that with total body weight.&lt;/p&gt;", "author" : [ { "dropping-particle" : "", "family" : "Boyanov", "given" : "Mihail", "non-dropping-particle" : "", "parse-names" : false, "suffix" : "" } ], "container-title" : "Open Medicine", "id" : "ITEM-4", "issue" : "1", "issued" : { "date-parts" : [ [ "2014" ] ] }, "title" : "Body fat, lean mass and bone density of the spine and forearm in women", "type" : "article-journal", "volume" : "9" }, "uris" : [ "http://www.mendeley.com/documents/?uuid=cb11ac81-3ffb-4bbc-a3c5-3205fee0670a" ] }, { "id" : "ITEM-5", "itemData" : { "DOI" : "S0004-27302012000100003 [pii]", "ISBN" : "1677-9487 (Electronic)\\n0004-2730 (Linking)", "ISSN" : "1677-9487", "PMID" : "22460190", "abstract" : "OBJECTIVE: To verify the influence of visceral and subcutaneous fat, as well adipokines in bone mineral density (BMD) in obese adolescents.\\n\\nSUBJECTS AND METHODS: The study involved 125 postpubertal obese adolescents (45 boys and 80 girls). Anthropometric measurements, body composition, visceral and subcutaneous fat, and BMD were determined. Leptin, adiponectin, and insulin levels also analyzed.\\n\\nRESULTS: Data demonstrated a negative relationship between BMD with insulin resistance, visceral fat and leptin concentration; and bone mineral content with visceral/subcutaneous ratio. Positive association between BMD and subcutaneous fat was observed.\\n\\nCONCLUSIONS: Visceral fat and insulin resistance, as well as visceral/subcutaneous ratio and leptin concentration, were negative predictors of BMD in boys and girls, respectively. However, subcutaneous fat had a protective influence in BMD only in boys.", "author" : [ { "dropping-particle" : "", "family" : "Campos", "given" : "Raquel M S", "non-dropping-particle" : "", "parse-names" : false, "suffix" : "" }, { "dropping-particle" : "", "family" : "Lazaretti-Castro", "given" : "Marise", "non-dropping-particle" : "", "parse-names" : false, "suffix" : "" }, { "dropping-particle" : "De", "family" : "Mello", "given" : "Marco T\u00falio", "non-dropping-particle" : "", "parse-names" : false, "suffix" : "" }, { "dropping-particle" : "", "family" : "Tock", "given" : "Lian", "non-dropping-particle" : "", "parse-names" : false, "suffix" : "" }, { "dropping-particle" : "", "family" : "Silva", "given" : "Patricia L", "non-dropping-particle" : "", "parse-names" : false, "suffix" : "" }, { "dropping-particle" : "", "family" : "Corgosinho", "given" : "Fl\u00e1via C", "non-dropping-particle" : "", "parse-names" : false, "suffix" : "" }, { "dropping-particle" : "", "family" : "Carnier", "given" : "June", "non-dropping-particle" : "", "parse-names" : false, "suffix" : "" }, { "dropping-particle" : "De", "family" : "Piano", "given" : "Aline", "non-dropping-particle" : "", "parse-names" : false, "suffix" : "" }, { "dropping-particle" : "", "family" : "Sanches", "given" : "Priscila L", "non-dropping-particle" : "", "parse-names" : false, "suffix" : "" }, { "dropping-particle" : "", "family" : "Masquio", "given" : "Deborah C L", "non-dropping-particle" : "", "parse-names" : false, "suffix" : "" }, { "dropping-particle" : "", "family" : "Tufik", "given" : "Sergio", "non-dropping-particle" : "", "parse-names" : false, "suffix" : "" }, { "dropping-particle" : "", "family" : "D\u00e2maso", "given" : "Ana R", "non-dropping-particle" : "", "parse-names" : false, "suffix" : "" } ], "container-title" : "Arquivos brasileiros de endocrinologia e metabologia", "id" : "ITEM-5", "issue" : "1", "issued" : { "date-parts" : [ [ "2012" ] ] }, "page" : "12-8", "title" : "Influence of visceral and subcutaneous fat in bone mineral density of obese adolescents.", "type" : "article-journal", "volume" : "56" }, "uris" : [ "http://www.mendeley.com/documents/?uuid=e241a699-3f00-45ce-bff1-152cc714f3b0" ] }, { "id" : "ITEM-6", "itemData" : { "DOI" : "10.1007/s00774-009-0082-6", "ISBN" : "1435-5604 (Electronic)", "ISSN" : "09148779", "PMID" : "19466592", "abstract" : "Despite the epidemic of adolescent obesity, the effect of obesity and hormones on bone mineral accrual during growth is poorly understood. Studies using dual-energy X-ray to examine the effect of obesity on bone mass in children and adolescents have yielded conflicting results. The aim of this study was to explore the combined and independent contributions of body mass index, body composition, leptin, insulin, glucose levels and Homeostasis Model Assessment Insulin Resistance (HOMA-IR) to bone mineral density (BMD) and bone mineral content in a group of Brazilian obese adolescents. This study included 109 post-pubescent obese adolescents. A whole-body dual-energy X-ray absorptiometry scan was performed,using a HOLOGIC QDR4200, to determine whole-body BMD and body composition. Blood samples were collected in the outpatient clinic after an overnight fast, and evaluated for fasting blood glucose and immunoreactive insulin. Leptin levels were assessed with a radioimmunoassay kit. Insulin resistance was assessed by HOMA-IR and the quantitative insulin sensitivity check index. Our results showed that insulin levels and HOMA-IR correlated negatively with BMD and a linear regression analysis showed that serum leptin is inversely associated to BMD adjusted for body mass. In conclusion, our data support the hypothesis that leptin, insulin and HOMA-IR are inversely associated with BMD and play a significant direct role in bone metabolism.", "author" : [ { "dropping-particle" : "", "family" : "Prado", "given" : "Wagner Luiz", "non-dropping-particle" : "Do", "parse-names" : false, "suffix" : "" }, { "dropping-particle" : "", "family" : "Piano", "given" : "Aline", "non-dropping-particle" : "De", "parse-names" : false, "suffix" : "" }, { "dropping-particle" : "", "family" : "Lazaretti-Castro", "given" : "Marise", "non-dropping-particle" : "", "parse-names" : false, "suffix" : "" }, { "dropping-particle" : "", "family" : "Mello", "given" : "Marco T\u00falio", "non-dropping-particle" : "De", "parse-names" : false, "suffix" : "" }, { "dropping-particle" : "", "family" : "Stella", "given" : "S\u00e9rgio Garcia", "non-dropping-particle" : "", "parse-names" : false, "suffix" : "" }, { "dropping-particle" : "", "family" : "Tufik", "given" : "Sergio", "non-dropping-particle" : "", "parse-names" : false, "suffix" : "" }, { "dropping-particle" : "", "family" : "Nascimento", "given" : "Cl\u00e1udia Maria Oller", "non-dropping-particle" : "Do", "parse-names" : false, "suffix" : "" }, { "dropping-particle" : "", "family" : "Oyama", "given" : "Lila Missae", "non-dropping-particle" : "", "parse-names" : false, "suffix" : "" }, { "dropping-particle" : "", "family" : "Lofrano", "given" : "Mara Cristina", "non-dropping-particle" : "", "parse-names" : false, "suffix" : "" }, { "dropping-particle" : "", "family" : "Tock", "given" : "Lian", "non-dropping-particle" : "", "parse-names" : false, "suffix" : "" }, { "dropping-particle" : "", "family" : "Caranti", "given" : "Danielle Arisa", "non-dropping-particle" : "", "parse-names" : false, "suffix" : "" }, { "dropping-particle" : "", "family" : "D\u00e2maso", "given" : "Ana Raimunda", "non-dropping-particle" : "", "parse-names" : false, "suffix" : "" } ], "container-title" : "Journal of Bone and Mineral Metabolism", "id" : "ITEM-6", "issue" : "5", "issued" : { "date-parts" : [ [ "2009" ] ] }, "page" : "613-619", "title" : "Relationship between bone mineral density, leptin and insulin concentration in Brazilian obese adolescents", "type" : "article-journal", "volume" : "27" }, "uris" : [ "http://www.mendeley.com/documents/?uuid=d8a0728f-eda3-4fda-927b-ed515e141908" ] }, { "id" : "ITEM-7", "itemData" : { "DOI" : "10.1007/s11695-008-9529-4", "ISSN" : "09608923", "PMID" : "18443887", "abstract" : "BACKGROUND: The mechanisms by which increased body weight influence bone mass density (BMD) are still unknown. The aim of our study was to analyze the relationship between anthropometric and body composition variables, insulin growth factor-I (IGF-I), adiponectin and soluble tumor necrosis factor-alpha receptors (sTNFR) 1 and 2 with BMD in two cohorts of morbid obese patients, before and after bypass surgery. METHODS: The first cohort included 25 women aged 48+/-7.6 years studied before bypass surgery. The second included 41 women aged 46+/-9.2 years, 12 months after surgery. We studied anthropometric variables obtained from whole body DEXA composition analysis. Serum IGF-I, intact serum parathyroid hormone, 25-hydroxivitamin D3, plasma adiponectin concentrations, sTNFR1, sTNFR2 concentrations were measured. RESULTS: In the first cohort, the BMI was 44.5+/-3.6 kg/m2, parathyroid hormone, IGF-I, and adiponectin concentrations were lower, and sTNFR1 concentrations were higher than in the second cohort. In the multiple regression analysis, BMD remained significantly associated with body fat percentage (beta -0.154, p=0.01), lean mass (beta 0.057, p=0.016) and phosphate concentration (beta 0.225, p=0.05). In the second cohort, BMI was 31+/-5.1 kg/m2. In the multiple regression analysis, BMD remained significantly associated with lean mass (beta 0.006, p=0.03). CONCLUSION: The inverse correlation found between body fat and BMD in the first cohort indicates morbid obesity increases the risk of osteoporosis and we found a positive correlation with lean and fat mass before bariatric surgery and with lean mass after bypass surgery.", "author" : [ { "dropping-particle" : "", "family" : "Gomez", "given" : "JM", "non-dropping-particle" : "", "parse-names" : false, "suffix" : "" }, { "dropping-particle" : "", "family" : "Vilarrasa", "given" : "N", "non-dropping-particle" : "", "parse-names" : false, "suffix" : "" }, { "dropping-particle" : "", "family" : "Masdevall", "given" : "Carles", "non-dropping-particle" : "", "parse-names" : false, "suffix" : "" }, { "dropping-particle" : "", "family" : "Pujol", "given" : "Jordi", "non-dropping-particle" : "", "parse-names" : false, "suffix" : "" }, { "dropping-particle" : "", "family" : "Solano", "given" : "Esther", "non-dropping-particle" : "", "parse-names" : false, "suffix" : "" }, { "dropping-particle" : "", "family" : "Soler", "given" : "Juan", "non-dropping-particle" : "", "parse-names" : false, "suffix" : "" }, { "dropping-particle" : "", "family" : "Elio", "given" : "I??aki", "non-dropping-particle" : "", "parse-names" : false, "suffix" : "" }, { "dropping-particle" : "", "family" : "Gallart", "given" : "Lluis", "non-dropping-particle" : "", "parse-names" : false, "suffix" : "" }, { "dropping-particle" : "", "family" : "Vendrell", "given" : "Joan", "non-dropping-particle" : "", "parse-names" : false, "suffix" : "" } ], "container-title" : "Obesity Surgery", "id" : "ITEM-7", "issue" : "3", "issued" : { "date-parts" : [ [ "2009" ] ] }, "page" : "345-350", "title" : "Regulation of bone mineral density in morbidly obese women: A cross-sectional study in two cohorts before and after bypass surgery", "type" : "article-journal", "volume" : "19" }, "uris" : [ "http://www.mendeley.com/documents/?uuid=031532dc-1eba-4168-b0f1-b8ca9bef59c3" ] }, { "id" : "ITEM-8", "itemData" : { "DOI" : "10.1016/j.jocd.2013.02.007", "ISBN" : "1094-6950", "ISSN" : "10946950", "PMID" : "23499561", "abstract" : "The objective of this study was to assess the relative association between body weight, body mass index (BMI), lean mass (LM) and fat mass (FM), and bone mineral density (BMD) in a group of Jordanian postmenopausal women and investigate if this possible association changes with age. A total of 3256 patients had dual-energy X-ray absorptiometry (DXA) scan in the period from January 2009 till January 2012 at the Radiology and Nuclear Medicine Department of Jordan University Hospital. Only 584 women met the selection criteria. Age has been recorded, and patients were divided into subgroups according to age. Body weight and height were measured, and BMI was calculated. Body composition (LM, FM, percentage of android fat, and percentage of gynoid fat) was assessed by DXA. BMD of the lumbar spine (L1-L4) and femoral neck was measured by DXA. Weight, BMI, FM, LM, percentage of android fat, and percentage of gynoid fat were positively correlated to BMD at both lumbar spine and femoral neck. However, this correlation disappeared at the age of 70. yr at lumbar spine and 75. yr at femoral neck. This study suggests that both FM and LM are important determinants of BMD in Jordanian postmenopausal women, and this correlation disappears after the age of 70. yr at lumbar spine and 75. yr at femoral neck. ?? 2014 The International Society for Clinical Densitometry.", "author" : [ { "dropping-particle" : "", "family" : "Hawamdeh", "given" : "Ziad M.", "non-dropping-particle" : "", "parse-names" : false, "suffix" : "" }, { "dropping-particle" : "", "family" : "Sheikh-Ali", "given" : "Rasha F.", "non-dropping-particle" : "", "parse-names" : false, "suffix" : "" }, { "dropping-particle" : "", "family" : "AlSharif", "given" : "Abedallatif", "non-dropping-particle" : "", "parse-names" : false, "suffix" : "" }, { "dropping-particle" : "", "family" : "Otom", "given" : "Ali H.", "non-dropping-particle" : "", "parse-names" : false, "suffix" : "" }, { "dropping-particle" : "", "family" : "Ibrahim", "given" : "Alaa I.", "non-dropping-particle" : "", "parse-names" : false, "suffix" : "" }, { "dropping-particle" : "", "family" : "AlHadidi", "given" : "Fadi A.", "non-dropping-particle" : "", "parse-names" : false, "suffix" : "" }, { "dropping-particle" : "", "family" : "Samarah", "given" : "Omar Q.", "non-dropping-particle" : "", "parse-names" : false, "suffix" : "" }, { "dropping-particle" : "", "family" : "Dheirat", "given" : "Imad N.", "non-dropping-particle" : "", "parse-names" : false, "suffix" : "" }, { "dropping-particle" : "", "family" : "Juweid", "given" : "Malik E.", "non-dropping-particle" : "", "parse-names" : false, "suffix" : "" } ], "container-title" : "Journal of Clinical Densitometry", "id" : "ITEM-8", "issue" : "1", "issued" : { "date-parts" : [ [ "2014" ] ] }, "page" : "143-149", "publisher" : "Elsevier Ltd", "title" : "The influence of aging on the association between adiposity and bone mineral density in jordanian postmenopausal women", "type" : "article-journal", "volume" : "17" }, "uris" : [ "http://www.mendeley.com/documents/?uuid=8e296f73-0b17-4e36-9257-478cfada9454" ] }, { "id" : "ITEM-9", "itemData" : { "DOI" : "10.1007/s00296-012-2612-0", "ISSN" : "01728172", "PMID" : "23269569", "abstract" : "This study was aimed to investigate the influence of being overweight on bone mineral status in 11-13-year-old boys, who were divided into overweight (OW; n = 110) and normal weight (NW; n = 154) groups. Bone mineral density (BMD) at the whole body (WB), lumbar spine (LS) and femoral neck (FN), bone mineral content (BMC) at the WB, and body composition were assessed. Calculation of the bone mineral apparent density (BMAD) was completed for the WB, LS and FN. The BMC/height ratio was also computed. OW boys displayed similar values (P &gt; 0.05) for LS and FN BMAD and lower (P &lt; 0.05) WB BMAD, despite significantly higher values (P &lt; 0.05) for more widely used WB and LS BMD, WB BMC and WB BMC/height in comparison with NW boys. Fat-free mass index (FFMI; kg/m(2)) had the highest correlation coefficients from the calculated body composition indices with all bone mineral values in NW boys. In OW boys, the FFMI had the highest correlation only with FN BMD, while other measured bone mineral values had highest correlations with either BMI or FMI indices. In conclusion, OW boys have higher crude WB BMD, BMC and BMC/height ratio in comparison with NW boys. However, the bone growth appears to be insufficient to compensate for the higher mechanical load applied on the bone by higher FM and also FFM values in OW boys. Excessive adiposity does not have a protective effect on the development of BMAD in growing boys reaching puberty.", "author" : [ { "dropping-particle" : "", "family" : "Ivuskans", "given" : "Arturs", "non-dropping-particle" : "", "parse-names" : false, "suffix" : "" }, { "dropping-particle" : "", "family" : "L\u00e4tt", "given" : "Evelin", "non-dropping-particle" : "", "parse-names" : false, "suffix" : "" }, { "dropping-particle" : "", "family" : "M\u00e4estu", "given" : "Jarek", "non-dropping-particle" : "", "parse-names" : false, "suffix" : "" }, { "dropping-particle" : "", "family" : "Saar", "given" : "Meeli", "non-dropping-particle" : "", "parse-names" : false, "suffix" : "" }, { "dropping-particle" : "", "family" : "Purge", "given" : "Priit", "non-dropping-particle" : "", "parse-names" : false, "suffix" : "" }, { "dropping-particle" : "", "family" : "Maasalu", "given" : "Katre", "non-dropping-particle" : "", "parse-names" : false, "suffix" : "" }, { "dropping-particle" : "", "family" : "J\u00fcrim\u00e4e", "given" : "Toivo", "non-dropping-particle" : "", "parse-names" : false, "suffix" : "" }, { "dropping-particle" : "", "family" : "J\u00fcrim\u00e4e", "given" : "Jaak", "non-dropping-particle" : "", "parse-names" : false, "suffix" : "" } ], "container-title" : "Rheumatology International", "id" : "ITEM-9", "issue" : "7", "issued" : { "date-parts" : [ [ "2013" ] ] }, "page" : "1681-1687", "title" : "Bone mineral density in 11-13-year-old boys: Relative importance of the weight status and body composition factors", "type" : "article-journal", "volume" : "33" }, "uris" : [ "http://www.mendeley.com/documents/?uuid=09bb5f7c-cf79-4600-a48a-712c84c238db" ] }, { "id" : "ITEM-10", "itemData" : { "DOI" : "10.1186/1471-2431-13-37", "ISBN" : "1471-2431 (Electronic)\\n1471-2431 (Linking)", "ISSN" : "1471-2431", "PMID" : "23510224", "abstract" : "BACKGROUND: Among adults, obesity has been positively related to bone mineral density. However, recent findings have pointed out that abdominal obesity could be negatively related to bone density. The above mentioned relationship is not clear among pediatric populations. Therefore, this cross-sectional study analyzed the relationship between thickness of abdominal adipose tissue and bone mineral variables in sedentary obese children and adolescents.\\n\\nMETHODS: One hundred and seventy five obese children and adolescents (83 male and 92 female) with ages ranging from 6 to 16 years-old were analyzed. Bone mineral content and density were estimated by dual-energy X-ray absorptiometry and ultrasound equipment which estimated the thickness of the abdominal adipose tissue. Pubertal stage was self-reported by the participants.\\n\\nRESULTS: The mean age was 11.1 (SD=2.6). Thickness of the abdominal adipose tissue was negatively related to bone mineral density (r=-0.17 [r95%CI: -0.03;-0.32]), independent of gender, pubertal stage and other confounders (\u03b2=-0.134\u00b10.042 [\u03b295%CI: -0.217; -0.050]).\\n\\nCONCLUSIONS: In sedentary obese children and adolescents abdominal obesity is negatively related to bone mineral density, suggesting a potential link between abdominal obesity and osteoporosis.", "author" : [ { "dropping-particle" : "", "family" : "J\u00fanior", "given" : "Ismael Forte Freitas", "non-dropping-particle" : "", "parse-names" : false, "suffix" : "" }, { "dropping-particle" : "", "family" : "Cardoso", "given" : "Jefferson Rosa", "non-dropping-particle" : "", "parse-names" : false, "suffix" : "" }, { "dropping-particle" : "", "family" : "Christofaro", "given" : "Diego G Destro", "non-dropping-particle" : "", "parse-names" : false, "suffix" : "" }, { "dropping-particle" : "", "family" : "Codogno", "given" : "Jamile Sanches", "non-dropping-particle" : "", "parse-names" : false, "suffix" : "" }, { "dropping-particle" : "", "family" : "Moraes", "given" : "Augusto C\u00e9sar Ferreira", "non-dropping-particle" : "de", "parse-names" : false, "suffix" : "" }, { "dropping-particle" : "", "family" : "Fernandes", "given" : "R\u00f4mulo Ara\u00fajo", "non-dropping-particle" : "", "parse-names" : false, "suffix" : "" } ], "container-title" : "BMC pediatrics", "id" : "ITEM-10", "issue" : "MAY", "issued" : { "date-parts" : [ [ "2013" ] ] }, "page" : "37", "title" : "The relationship between visceral fat thickness and bone mineral density in sedentary obese children and adolescents.", "type" : "article-journal", "volume" : "13" }, "uris" : [ "http://www.mendeley.com/documents/?uuid=19d07a00-adff-4048-a487-744365ae4ef5" ] }, { "id" : "ITEM-11", "itemData" : { "DOI" : "10.1007/s40618-013-0037-6", "ISSN" : "17208386", "PMID" : "24477947", "abstract" : "Osteoporosis and obesity are severe public health problems in an aging society, and as we all know, bone mineral density (BMD) is closely related to fat mass (FM) and fat distribution. However, studies have long focused on pre- or post-menopausal women, and its presence in men has been underestimated. To investigate the differential impact of fat on BMD, we characterized body composition of northern Chinese men and examined the relationship with BMD according to body mass index (BMI) levels. METHODS: A cross-sectional study was conducted on 502 healthy northern Chinese men aged 20-89 screened from the participants in a community-based osteoporosis prevention study conducted by the Research Center of Qianfoshan Hospital of Shandong University from 2009 to 2010. The qualified subjects were stratified according to BMI levels as normal weight (18.5 /= 28 kg/m(2), n = 140). Total body, left femur, lumbar spine BMD and lean mass (LM), FM, percent body fat (%BF) were measured by dual-energy X-ray absorptiometry. Pearson correlation and age-adjusted partial correlation analyses between body composition-related parameters and BMD were performed. Multiple regression analysis was performed to examine the relationship of BMD with LM, FM and %BF. RESULTS: Height and weight had positive associations with BMD at all sites, although age had negative associations. Of all subjects, LM and FM were positively correlated with BMD at almost sites (P &lt; 0.01). However, when the subjects were divided into normal weight, overweight and obesity, no relations were reflected between FM and BMD. %BF showed negative correlations with BMD at arm and leg (P &lt; 0.01) in overweight, and with BMD at total body, arm, leg, hip (P &lt; 0.01) in obesity. In regression models, both FM and LM showed statistically positively significant relations with total body and regional BMD in all subjects (all P &lt; 0.05). LM was positively correlated with BMD at almost site (all P &lt; 0.05) in groups, while FM had no association. Interestingly, percent body fat (%BF) had negative associations with BMD at total body, arm, leg and total femur in overweight and obesity. CONCLUSIONS: The relationship between LM and BMD was certain in northern Chinese men while fat-bone relationship was complicated. %BF had a significantly negative association with total body and regional BMD in overweight and obese men.", "author" : [ { "dropping-particle" : "", "family" : "Kang", "given" : "D.", "non-dropping-particle" : "", "parse-names" : false, "suffix" : "" }, { "dropping-particle" : "", "family" : "Liu", "given" : "Z.", "non-dropping-particle" : "", "parse-names" : false, "suffix" : "" }, { "dropping-particle" : "", "family" : "Wang", "given" : "Y.", "non-dropping-particle" : "", "parse-names" : false, "suffix" : "" }, { "dropping-particle" : "", "family" : "Zhang", "given" : "H.", "non-dropping-particle" : "", "parse-names" : false, "suffix" : "" }, { "dropping-particle" : "", "family" : "Feng", "given" : "X.", "non-dropping-particle" : "", "parse-names" : false, "suffix" : "" }, { "dropping-particle" : "", "family" : "Cao", "given" : "W.", "non-dropping-particle" : "", "parse-names" : false, "suffix" : "" }, { "dropping-particle" : "", "family" : "Wang", "given" : "P.", "non-dropping-particle" : "", "parse-names" : false, "suffix" : "" } ], "container-title" : "Journal of Endocrinological Investigation", "id" : "ITEM-11", "issue" : "4", "issued" : { "date-parts" : [ [ "2014" ] ] }, "page" : "359-367", "title" : "Relationship of body composition with bone mineral density in northern Chinese men by body mass index levels", "type" : "article-journal", "volume" : "37" }, "uris" : [ "http://www.mendeley.com/documents/?uuid=8ecfc742-b804-450b-8b89-0958bcad8e86" ] }, { "id" : "ITEM-12", "itemData" : { "author" : [ { "dropping-particle" : "", "family" : "Liu", "given" : "PY", "non-dropping-particle" : "", "parse-names" : false, "suffix" : "" }, { "dropping-particle" : "", "family" : "Hornbuckle", "given" : "LM", "non-dropping-particle" : "", "parse-names" : false, "suffix" : "" }, { "dropping-particle" : "", "family" : "Ilich", "given" : "JZ", "non-dropping-particle" : "", "parse-names" : false, "suffix" : "" }, { "dropping-particle" : "", "family" : "Kim", "given" : "JS", "non-dropping-particle" : "", "parse-names" : false, "suffix" : "" }, { "dropping-particle" : "", "family" : "Panton", "given" : "L", "non-dropping-particle" : "", "parse-names" : false, "suffix" : "" } ], "container-title" : "Ethnicity &amp; Disease", "id" : "ITEM-12", "issue" : "3", "issued" : { "date-parts" : [ [ "2014" ] ] }, "page" : "356-62", "title" : "Body composition and muscular strength as predictors of bone mineral density in African American women with metabolic syndrome", "type" : "article-journal", "volume" : "24" }, "uris" : [ "http://www.mendeley.com/documents/?uuid=0c1d57ea-b989-4316-81da-cebfccc785c7" ] }, { "id" : "ITEM-13", "itemData" : { "DOI" : "10.1210/jc.2003-030496", "ISBN" : "0021-972X", "ISSN" : "0021972X", "PMID" : "14671171", "abstract" : "Leptin has been suggested to decrease bone mineral density (BMD). This observational analysis explored the relationship between serum leptin and BMD in 327 nonobese men (controls) (body mass index 26.1 +/- 3.7 kg/m(2), age 49.9 +/- 6.0 yr) and 285 juvenile obese men (body mass index 35.9 +/- 5.9 kg/m(2), age 47.5 +/- 5.1 yr). Whole-body dual-energy x-ray absorptiometry scan measured BMD, fat mass, and lean mass. Fasting serum leptin (nanograms per milliliter) was strongly associated with fat mass (kilograms) in both controls (r = 0.876; P &lt; 0.01) and juvenile obese (r = 0.838; P &lt; 0.001). An inverse relation between BMD adjusted for body weight and serum leptin emerged in both the control group (r = -0.186; P &lt; 0.01) and the juvenile obese group (r = -0.135; P &lt; 0.05). In a multiple linear regression, fat mass, lean body mass, and occupational physical activity were positively associated with BMD in the control group, whereas in the juvenile obese, only lean body mass was positively associated with BMD and smoking negatively associated with BMD. Our study supports that leptin is inversely associated with BMD and may play a direct role in the bone metabolism in nonobese and obese Danish males, but it also stresses the fact that the strong covariation between the examined variables is a shortcoming of the cross-sectional design.", "author" : [ { "dropping-particle" : "", "family" : "Morberg", "given" : "Cathrine M.", "non-dropping-particle" : "", "parse-names" : false, "suffix" : "" }, { "dropping-particle" : "", "family" : "Tetens", "given" : "Inge", "non-dropping-particle" : "", "parse-names" : false, "suffix" : "" }, { "dropping-particle" : "", "family" : "Black", "given" : "Eva", "non-dropping-particle" : "", "parse-names" : false, "suffix" : "" }, { "dropping-particle" : "", "family" : "Toubro", "given" : "Soeren", "non-dropping-particle" : "", "parse-names" : false, "suffix" : "" }, { "dropping-particle" : "", "family" : "Soerensen", "given" : "Thorkild I A", "non-dropping-particle" : "", "parse-names" : false, "suffix" : "" }, { "dropping-particle" : "", "family" : "Pedersen", "given" : "Oluf", "non-dropping-particle" : "", "parse-names" : false, "suffix" : "" }, { "dropping-particle" : "", "family" : "Astrup", "given" : "Arne", "non-dropping-particle" : "", "parse-names" : false, "suffix" : "" } ], "container-title" : "Journal of Clinical Endocrinology and Metabolism", "id" : "ITEM-13", "issue" : "12", "issued" : { "date-parts" : [ [ "2003" ] ] }, "page" : "5795-5800", "title" : "Leptin and Bone Mineral Density: A Cross-Sectional Study in Obese and Nonobese Men", "type" : "article-journal", "volume" : "88" }, "uris" : [ "http://www.mendeley.com/documents/?uuid=44582dfd-19e6-4219-84d9-4e0513420e0d" ] }, { "id" : "ITEM-14", "itemData" : { "DOI" : "10.1016/j.nut.2013.12.003", "ISSN" : "18731244", "PMID" : "24985003", "abstract" : "Objective: The aim of this study was to investigate the effects of excess body fat on bone mass in overweight, obese, and extremely obese adolescents. Methods: This study included 377 adolescents of both sexes, ages 10 to 19 y. Weight, height, body mass index (BMI), bone age, bone mineral content (BMC), and bone mineral density (BMD) were obtained by dual-energy x-ray absorptiometry. The results were adjusted for chronological age and bone age. Comparisons according to nutritional classification were performed by analysis of variance, followed by Tukey test. Linear regression models were used to explain the variation in BMD and BMC in the L1-L4 lumbar spinal region, proximal femur, and whole body in relation to BMI, lean mass, fat mass (FM), and body fat percentage (BF%), considering P &lt; 0.05. Results: For all nutritional groups, average bone age was higher than chronological age. In both sexes, weight and BMI values increased from eutrophic to extremely obese groups, except for BMD and BMC, which did not differ among male adolescents, and were smaller in extremely obese than in obese female adolescents (P &lt; 0.01). Significant differences were observed for FM and BF% values among all nutritional groups (P &lt; 0.01). Positive, moderate to strong correlations were detected between BMD and BMC for BMI, lean mass, and FM. A negative and moderate correlation was found between BMC and BF%, and between BMD and BF% at all bone sites analyzed in males and between BF% and spine and femur BMD, in females. Conclusion: The results reveal a negative effect of BF% on bone mass in males and indicate that the higher the BF% among overweight adolescents, the lower the BMD and BMC values. ?? 2014 Elsevier Inc.", "author" : [ { "dropping-particle" : "", "family" : "Mosca", "given" : "Luciana Nunes", "non-dropping-particle" : "", "parse-names" : false, "suffix" : "" }, { "dropping-particle" : "", "family" : "Goldberg", "given" : "Tamara Beres Lederer", "non-dropping-particle" : "", "parse-names" : false, "suffix" : "" }, { "dropping-particle" : "", "family" : "Silva", "given" : "Val\u00e9ria N\u00f3brega", "non-dropping-particle" : "da", "parse-names" : false, "suffix" : "" }, { "dropping-particle" : "", "family" : "Silva", "given" : "Carla Cristiane", "non-dropping-particle" : "da", "parse-names" : false, "suffix" : "" }, { "dropping-particle" : "", "family" : "Kurokawa", "given" : "Cilmery Suemi", "non-dropping-particle" : "", "parse-names" : false, "suffix" : "" }, { "dropping-particle" : "", "family" : "Bisi Rizzo", "given" : "Anapaula C.", "non-dropping-particle" : "", "parse-names" : false, "suffix" : "" }, { "dropping-particle" : "", "family" : "Corrente", "given" : "Jos\u00e9 Eduardo", "non-dropping-particle" : "", "parse-names" : false, "suffix" : "" } ], "container-title" : "Nutrition", "id" : "ITEM-14", "issue" : "7-8", "issued" : { "date-parts" : [ [ "2014" ] ] }, "page" : "847-852", "title" : "Excess body fat negatively affects bone mass in adolescents", "type" : "article-journal", "volume" : "30" }, "uris" : [ "http://www.mendeley.com/documents/?uuid=cbbb539c-ffe3-4c4c-a680-008e32c56f38" ] }, { "id" : "ITEM-15", "itemData" : { "DOI" : "10.1111/j.1365-2265.2010.03965.x", "ISBN" : "0300-0664", "ISSN" : "03000664", "PMID" : "21198741", "abstract" : "Despite high bone mineral density (BMD), persons with type 2 diabetes are at greater risk of fracture. The relationship between body composition and BMD in noninsulin-requiring diabetes is unclear. The aim was to examine how fat and lean mass independently affect the skeleton in this population.", "author" : [ { "dropping-particle" : "", "family" : "Moseley", "given" : "Kendall F.", "non-dropping-particle" : "", "parse-names" : false, "suffix" : "" }, { "dropping-particle" : "", "family" : "Dobrosielski", "given" : "Devon A.", "non-dropping-particle" : "", "parse-names" : false, "suffix" : "" }, { "dropping-particle" : "", "family" : "Stewart", "given" : "Kerry J.", "non-dropping-particle" : "", "parse-names" : false, "suffix" : "" }, { "dropping-particle" : "", "family" : "Beur", "given" : "Suzanne M Jan", "non-dropping-particle" : "De", "parse-names" : false, "suffix" : "" }, { "dropping-particle" : "", "family" : "Sellmeyer", "given" : "Deborah E.", "non-dropping-particle" : "", "parse-names" : false, "suffix" : "" } ], "container-title" : "Clinical Endocrinology", "id" : "ITEM-15", "issue" : "5", "issued" : { "date-parts" : [ [ "2011" ] ] }, "page" : "565-571", "title" : "Lean mass and fat mass predict bone mineral density in middle-aged individuals with noninsulin-requiring type 2 diabetes mellitus", "type" : "article-journal", "volume" : "74" }, "uris" : [ "http://www.mendeley.com/documents/?uuid=c9a3e5b0-c1ea-4b87-8790-6f8a146dfb31" ] }, { "id" : "ITEM-16", "itemData" : { "author" : [ { "dropping-particle" : "", "family" : "Remmel", "given" : "L", "non-dropping-particle" : "", "parse-names" : false, "suffix" : "" }, { "dropping-particle" : "", "family" : "Tillmann", "given" : "V", "non-dropping-particle" : "", "parse-names" : false, "suffix" : "" }, { "dropping-particle" : "", "family" : "Maestu", "given" : "J", "non-dropping-particle" : "", "parse-names" : false, "suffix" : "" }, { "dropping-particle" : "", "family" : "Purge", "given" : "P", "non-dropping-particle" : "", "parse-names" : false, "suffix" : "" }, { "dropping-particle" : "", "family" : "Saar", "given" : "M", "non-dropping-particle" : "", "parse-names" : false, "suffix" : "" }, { "dropping-particle" : "", "family" : "Latt", "given" : "E", "non-dropping-particle" : "", "parse-names" : false, "suffix" : "" }, { "dropping-particle" : "", "family" : "Maasalu", "given" : "K", "non-dropping-particle" : "", "parse-names" : false, "suffix" : "" }, { "dropping-particle" : "", "family" : "Jurimae", "given" : "T", "non-dropping-particle" : "", "parse-names" : false, "suffix" : "" }, { "dropping-particle" : "", "family" : "J", "given" : "Jurimae", "non-dropping-particle" : "", "parse-names" : false, "suffix" : "" } ], "container-title" : "Hormone research in paediatrics", "id" : "ITEM-16", "issue" : "1", "issued" : { "date-parts" : [ [ "2015" ] ] }, "page" : "6-13", "title" : "Associations between Bone Mineral Characteristics and Serum Levels of Ghrelin and Peptide YY in Overweight Adolescent Boys", "type" : "article-journal", "volume" : "84" }, "uris" : [ "http://www.mendeley.com/documents/?uuid=c938bfa2-635e-40cb-a58b-06fe71ce492a" ] } ], "mendeley" : { "formattedCitation" : "&lt;sup&gt;45\u201360&lt;/sup&gt;", "plainTextFormattedCitation" : "45\u201360", "previouslyFormattedCitation" : "&lt;sup&gt;45\u201360&lt;/sup&gt;"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45–60</w:t>
      </w:r>
      <w:r w:rsidR="00156059">
        <w:rPr>
          <w:sz w:val="24"/>
          <w:szCs w:val="24"/>
        </w:rPr>
        <w:fldChar w:fldCharType="end"/>
      </w:r>
      <w:r w:rsidR="00105100">
        <w:rPr>
          <w:sz w:val="24"/>
          <w:szCs w:val="24"/>
        </w:rPr>
        <w:t xml:space="preserve"> </w:t>
      </w:r>
      <w:r w:rsidRPr="00F77F70">
        <w:rPr>
          <w:rFonts w:eastAsia="PMingLiU"/>
          <w:sz w:val="24"/>
          <w:szCs w:val="24"/>
          <w:lang w:eastAsia="zh-HK"/>
        </w:rPr>
        <w:t>A total of 6,631 articles were initially sourced through the data</w:t>
      </w:r>
      <w:r w:rsidR="00A04184">
        <w:rPr>
          <w:rFonts w:eastAsia="PMingLiU"/>
          <w:sz w:val="24"/>
          <w:szCs w:val="24"/>
          <w:lang w:eastAsia="zh-HK"/>
        </w:rPr>
        <w:t>base search and the subsequent 3</w:t>
      </w:r>
      <w:r w:rsidRPr="00F77F70">
        <w:rPr>
          <w:rFonts w:eastAsia="PMingLiU"/>
          <w:sz w:val="24"/>
          <w:szCs w:val="24"/>
          <w:lang w:eastAsia="zh-HK"/>
        </w:rPr>
        <w:t xml:space="preserve">-stage screening process resulted in a total of 15 articles selected for inclusion within the meta-analysis (Figure 1). A secondary screen of the reference lists from relevant original and review articles (n = 32) was also conducted using the same screening process and resulted in the inclusion of one additional article within the review, resulting in 16 articles in total. </w:t>
      </w:r>
      <w:r w:rsidRPr="00F77F70">
        <w:rPr>
          <w:sz w:val="24"/>
          <w:szCs w:val="24"/>
        </w:rPr>
        <w:t>One article was excluded at the critical appraisal stage, as this study contained the same data set as previously reported within a study already included at an earlier stage</w:t>
      </w:r>
      <w:r w:rsidR="00105100">
        <w:rPr>
          <w:sz w:val="24"/>
          <w:szCs w:val="24"/>
        </w:rPr>
        <w:t>.</w:t>
      </w:r>
      <w:r w:rsidRPr="00F77F70">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"10.1007/s40618-014-0167-5", "ISSN" : "17208386", "PMID" : "25252817", "abstract" : "UNLABELLED With impressive economic development, obesity has emerged as a critical public health issue in China. Recently it was reported that obesity has taken an adverse effect on osteoporosis. Because there is different body mass index (BMI) for obesity globally, studies based on BMI levels on association of obesity with osteoporosis were quite few. Therefore, we discussed the relationship of body composition with skeletal BMD according to WHO BMI and BMI on Working Group on Obesity in China (WGOC). METHODS A total of 502 adult men aged 20-89 were enrolled as healthy subjects for osteoporosis study at Qianfoshan Hospital, Shandong University between September 2008 and August 2010. According to WHO BMI, all subjects were divided into three groups: normal weight (18.5 \u2264 BMI &lt; 25 kg/m(2), n = 202), overweight (25 \u2264 BMI &lt; 30 kg/m(2), n = 242), and obesity (BMI \u2265 30 kg/m(2), n = 58). According to WGOC BMI, normal weight (18.5 \u2264 BMI &lt; 24 kg/m(2), n = 137), overweight (24 \u2264 BMI &lt; 28 kg/m(2), n = 225), and obesity (BMI \u2265 28 kg/m(2), n = 140). Total body and regional BMD, lean mass (LM), lean body mass index (LBMI), fat mass (FM), percent body fat (%BF) and fat mass index (FMI) were measured by dual-energy X-ray absorptiometry. Age-partial Pearson correlation analyses between body composition-related parameters and BMD. Multiple regression analyses were performed to explore the associations of BMD with LM, LBMI, FM, %BF and FMI. RESULTS Fat mass (FM), %BF, FMI, LM and LBMI were positively correlated with BMD at almost sites (P &lt; 0.001) in all subjects. However, the relationship was not different among groups. LM, LBMI, FM and FMI were positively correlated with BMD (P &lt; 0.01) in normal weight. LM and LBMI appeared significantly positive with BMD in overweight and obesity according to WHO and WGOC criteria. %BF and FMI were negative significance with BMD at total body and some regional BMD according to WHO criteria in overweight (P &lt; 0.05). In two obese groups, %BF appeared negatively significant with BMD (P &lt; 0.05) according to WGOC criteria, and %BF and FMI appeared negatively significant with BMD (P &lt; 0.05) according to WHO criteria. In regression of independent variables as FM and LM, LM showed statistically positively significant relations with BMD at almost sites (P &lt; 0.05) in all groups. FM appeared positively significant with BMD in normal groups and overweight group according to WGOC criteria. In regression of independent variables as %BF and FMI, %BF\u2026", "author" : [ { "dropping-particle" : "", "family" : "Kang", "given" : "D. H.", "non-dropping-particle" : "", "parse-names" : false, "suffix" : "" }, { "dropping-particle" : "", "family" : "Guo", "given" : "L. F.", "non-dropping-particle" : "", "parse-names" : false, "suffix" : "" }, { "dropping-particle" : "", "family" : "Guo", "given" : "T.", "non-dropping-particle" : "", "parse-names" : false, "suffix" : "" }, { "dropping-particle" : "", "family" : "Wang", "given" : "Y.", "non-dropping-particle" : "", "parse-names" : false, "suffix" : "" }, { "dropping-particle" : "", "family" : "Liu", "given" : "T.", "non-dropping-particle" : "", "parse-names" : false, "suffix" : "" }, { "dropping-particle" : "", "family" : "Feng", "given" : "X. Y.", "non-dropping-particle" : "", "parse-names" : false, "suffix" : "" }, { "dropping-particle" : "", "family" : "Che", "given" : "X. Q.", "non-dropping-particle" : "", "parse-names" : false, "suffix" : "" } ], "container-title" : "Journal of Endocrinological Investigation", "id" : "ITEM-1", "issue" : "3", "issued" : { "date-parts" : [ [ "2015" ] ] }, "page" : "323-331", "title" : "Association of body composition with bone mineral density in northern Chinese men by different criteria for obesity", "type" : "article-journal", "volume" : "38" }, "uris" : [ "http://www.mendeley.com/documents/?uuid=b3897c64-ec49-4843-b637-55b442534f98" ] } ], "mendeley" : { "formattedCitation" : "&lt;sup&gt;61&lt;/sup&gt;", "plainTextFormattedCitation" : "61", "previouslyFormattedCitation" : "&lt;sup&gt;61&lt;/sup&gt;"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61</w:t>
      </w:r>
      <w:r w:rsidR="00156059">
        <w:rPr>
          <w:sz w:val="24"/>
          <w:szCs w:val="24"/>
        </w:rPr>
        <w:fldChar w:fldCharType="end"/>
      </w:r>
      <w:r w:rsidR="00105100">
        <w:rPr>
          <w:sz w:val="24"/>
          <w:szCs w:val="24"/>
        </w:rPr>
        <w:t xml:space="preserve"> </w:t>
      </w:r>
      <w:r w:rsidRPr="00F77F70">
        <w:rPr>
          <w:sz w:val="24"/>
          <w:szCs w:val="24"/>
        </w:rPr>
        <w:t xml:space="preserve">Study characteristics and extracted data from all </w:t>
      </w:r>
      <w:r w:rsidRPr="00F77F70">
        <w:rPr>
          <w:sz w:val="24"/>
          <w:szCs w:val="24"/>
        </w:rPr>
        <w:lastRenderedPageBreak/>
        <w:t xml:space="preserve">included articles are reported in Tables </w:t>
      </w:r>
      <w:r w:rsidR="00072647">
        <w:rPr>
          <w:sz w:val="24"/>
          <w:szCs w:val="24"/>
        </w:rPr>
        <w:t>2</w:t>
      </w:r>
      <w:r w:rsidRPr="00F77F70">
        <w:rPr>
          <w:sz w:val="24"/>
          <w:szCs w:val="24"/>
        </w:rPr>
        <w:t xml:space="preserve"> and </w:t>
      </w:r>
      <w:r w:rsidR="00072647">
        <w:rPr>
          <w:sz w:val="24"/>
          <w:szCs w:val="24"/>
        </w:rPr>
        <w:t>3</w:t>
      </w:r>
      <w:r w:rsidRPr="00F77F70">
        <w:rPr>
          <w:sz w:val="24"/>
          <w:szCs w:val="24"/>
        </w:rPr>
        <w:t xml:space="preserve">. The sample included within this meta-analysis included 1,411 females and 1,176 males, and came from a range of age groups, </w:t>
      </w:r>
      <w:r w:rsidRPr="00F77F70">
        <w:rPr>
          <w:i/>
          <w:iCs/>
          <w:sz w:val="24"/>
          <w:szCs w:val="24"/>
        </w:rPr>
        <w:t>i.e.</w:t>
      </w:r>
      <w:r w:rsidRPr="00F77F70">
        <w:rPr>
          <w:sz w:val="24"/>
          <w:szCs w:val="24"/>
        </w:rPr>
        <w:t xml:space="preserve"> &lt; 25 years: n = 713; </w:t>
      </w:r>
      <w:r w:rsidR="00156059">
        <w:rPr>
          <w:sz w:val="24"/>
          <w:szCs w:val="24"/>
        </w:rPr>
        <w:fldChar w:fldCharType="begin" w:fldLock="1"/>
      </w:r>
      <w:r w:rsidR="0075024E">
        <w:rPr>
          <w:sz w:val="24"/>
          <w:szCs w:val="24"/>
        </w:rPr>
        <w:instrText>ADDIN CSL_CITATION { "citationItems" : [ { "id" : "ITEM-1", "itemData" : { "DOI" : "S0004-27302012000100003 [pii]", "ISBN" : "1677-9487 (Electronic)\\n0004-2730 (Linking)", "ISSN" : "1677-9487", "PMID" : "22460190", "abstract" : "OBJECTIVE: To verify the influence of visceral and subcutaneous fat, as well adipokines in bone mineral density (BMD) in obese adolescents.\\n\\nSUBJECTS AND METHODS: The study involved 125 postpubertal obese adolescents (45 boys and 80 girls). Anthropometric measurements, body composition, visceral and subcutaneous fat, and BMD were determined. Leptin, adiponectin, and insulin levels also analyzed.\\n\\nRESULTS: Data demonstrated a negative relationship between BMD with insulin resistance, visceral fat and leptin concentration; and bone mineral content with visceral/subcutaneous ratio. Positive association between BMD and subcutaneous fat was observed.\\n\\nCONCLUSIONS: Visceral fat and insulin resistance, as well as visceral/subcutaneous ratio and leptin concentration, were negative predictors of BMD in boys and girls, respectively. However, subcutaneous fat had a protective influence in BMD only in boys.", "author" : [ { "dropping-particle" : "", "family" : "Campos", "given" : "Raquel M S", "non-dropping-particle" : "", "parse-names" : false, "suffix" : "" }, { "dropping-particle" : "", "family" : "Lazaretti-Castro", "given" : "Marise", "non-dropping-particle" : "", "parse-names" : false, "suffix" : "" }, { "dropping-particle" : "De", "family" : "Mello", "given" : "Marco T\u00falio", "non-dropping-particle" : "", "parse-names" : false, "suffix" : "" }, { "dropping-particle" : "", "family" : "Tock", "given" : "Lian", "non-dropping-particle" : "", "parse-names" : false, "suffix" : "" }, { "dropping-particle" : "", "family" : "Silva", "given" : "Patricia L", "non-dropping-particle" : "", "parse-names" : false, "suffix" : "" }, { "dropping-particle" : "", "family" : "Corgosinho", "given" : "Fl\u00e1via C", "non-dropping-particle" : "", "parse-names" : false, "suffix" : "" }, { "dropping-particle" : "", "family" : "Carnier", "given" : "June", "non-dropping-particle" : "", "parse-names" : false, "suffix" : "" }, { "dropping-particle" : "De", "family" : "Piano", "given" : "Aline", "non-dropping-particle" : "", "parse-names" : false, "suffix" : "" }, { "dropping-particle" : "", "family" : "Sanches", "given" : "Priscila L", "non-dropping-particle" : "", "parse-names" : false, "suffix" : "" }, { "dropping-particle" : "", "family" : "Masquio", "given" : "Deborah C L", "non-dropping-particle" : "", "parse-names" : false, "suffix" : "" }, { "dropping-particle" : "", "family" : "Tufik", "given" : "Sergio", "non-dropping-particle" : "", "parse-names" : false, "suffix" : "" }, { "dropping-particle" : "", "family" : "D\u00e2maso", "given" : "Ana R", "non-dropping-particle" : "", "parse-names" : false, "suffix" : "" } ], "container-title" : "Arquivos brasileiros de endocrinologia e metabologia", "id" : "ITEM-1", "issue" : "1", "issued" : { "date-parts" : [ [ "2012" ] ] }, "page" : "12-8", "title" : "Influence of visceral and subcutaneous fat in bone mineral density of obese adolescents.", "type" : "article-journal", "volume" : "56" }, "uris" : [ "http://www.mendeley.com/documents/?uuid=e241a699-3f00-45ce-bff1-152cc714f3b0" ] }, { "id" : "ITEM-2", "itemData" : { "DOI" : "10.1007/s00774-009-0082-6", "ISBN" : "1435-5604 (Electronic)", "ISSN" : "09148779", "PMID" : "19466592", "abstract" : "Despite the epidemic of adolescent obesity, the effect of obesity and hormones on bone mineral accrual during growth is poorly understood. Studies using dual-energy X-ray to examine the effect of obesity on bone mass in children and adolescents have yielded conflicting results. The aim of this study was to explore the combined and independent contributions of body mass index, body composition, leptin, insulin, glucose levels and Homeostasis Model Assessment Insulin Resistance (HOMA-IR) to bone mineral density (BMD) and bone mineral content in a group of Brazilian obese adolescents. This study included 109 post-pubescent obese adolescents. A whole-body dual-energy X-ray absorptiometry scan was performed,using a HOLOGIC QDR4200, to determine whole-body BMD and body composition. Blood samples were collected in the outpatient clinic after an overnight fast, and evaluated for fasting blood glucose and immunoreactive insulin. Leptin levels were assessed with a radioimmunoassay kit. Insulin resistance was assessed by HOMA-IR and the quantitative insulin sensitivity check index. Our results showed that insulin levels and HOMA-IR correlated negatively with BMD and a linear regression analysis showed that serum leptin is inversely associated to BMD adjusted for body mass. In conclusion, our data support the hypothesis that leptin, insulin and HOMA-IR are inversely associated with BMD and play a significant direct role in bone metabolism.", "author" : [ { "dropping-particle" : "", "family" : "Prado", "given" : "Wagner Luiz", "non-dropping-particle" : "Do", "parse-names" : false, "suffix" : "" }, { "dropping-particle" : "", "family" : "Piano", "given" : "Aline", "non-dropping-particle" : "De", "parse-names" : false, "suffix" : "" }, { "dropping-particle" : "", "family" : "Lazaretti-Castro", "given" : "Marise", "non-dropping-particle" : "", "parse-names" : false, "suffix" : "" }, { "dropping-particle" : "", "family" : "Mello", "given" : "Marco T\u00falio", "non-dropping-particle" : "De", "parse-names" : false, "suffix" : "" }, { "dropping-particle" : "", "family" : "Stella", "given" : "S\u00e9rgio Garcia", "non-dropping-particle" : "", "parse-names" : false, "suffix" : "" }, { "dropping-particle" : "", "family" : "Tufik", "given" : "Sergio", "non-dropping-particle" : "", "parse-names" : false, "suffix" : "" }, { "dropping-particle" : "", "family" : "Nascimento", "given" : "Cl\u00e1udia Maria Oller", "non-dropping-particle" : "Do", "parse-names" : false, "suffix" : "" }, { "dropping-particle" : "", "family" : "Oyama", "given" : "Lila Missae", "non-dropping-particle" : "", "parse-names" : false, "suffix" : "" }, { "dropping-particle" : "", "family" : "Lofrano", "given" : "Mara Cristina", "non-dropping-particle" : "", "parse-names" : false, "suffix" : "" }, { "dropping-particle" : "", "family" : "Tock", "given" : "Lian", "non-dropping-particle" : "", "parse-names" : false, "suffix" : "" }, { "dropping-particle" : "", "family" : "Caranti", "given" : "Danielle Arisa", "non-dropping-particle" : "", "parse-names" : false, "suffix" : "" }, { "dropping-particle" : "", "family" : "D\u00e2maso", "given" : "Ana Raimunda", "non-dropping-particle" : "", "parse-names" : false, "suffix" : "" } ], "container-title" : "Journal of Bone and Mineral Metabolism", "id" : "ITEM-2", "issue" : "5", "issued" : { "date-parts" : [ [ "2009" ] ] }, "page" : "613-619", "title" : "Relationship between bone mineral density, leptin and insulin concentration in Brazilian obese adolescents", "type" : "article-journal", "volume" : "27" }, "uris" : [ "http://www.mendeley.com/documents/?uuid=d8a0728f-eda3-4fda-927b-ed515e141908" ] }, { "id" : "ITEM-3", "itemData" : { "DOI" : "10.1007/s00296-012-2612-0", "ISSN" : "01728172", "PMID" : "23269569", "abstract" : "This study was aimed to investigate the influence of being overweight on bone mineral status in 11-13-year-old boys, who were divided into overweight (OW; n = 110) and normal weight (NW; n = 154) groups. Bone mineral density (BMD) at the whole body (WB), lumbar spine (LS) and femoral neck (FN), bone mineral content (BMC) at the WB, and body composition were assessed. Calculation of the bone mineral apparent density (BMAD) was completed for the WB, LS and FN. The BMC/height ratio was also computed. OW boys displayed similar values (P &gt; 0.05) for LS and FN BMAD and lower (P &lt; 0.05) WB BMAD, despite significantly higher values (P &lt; 0.05) for more widely used WB and LS BMD, WB BMC and WB BMC/height in comparison with NW boys. Fat-free mass index (FFMI; kg/m(2)) had the highest correlation coefficients from the calculated body composition indices with all bone mineral values in NW boys. In OW boys, the FFMI had the highest correlation only with FN BMD, while other measured bone mineral values had highest correlations with either BMI or FMI indices. In conclusion, OW boys have higher crude WB BMD, BMC and BMC/height ratio in comparison with NW boys. However, the bone growth appears to be insufficient to compensate for the higher mechanical load applied on the bone by higher FM and also FFM values in OW boys. Excessive adiposity does not have a protective effect on the development of BMAD in growing boys reaching puberty.", "author" : [ { "dropping-particle" : "", "family" : "Ivuskans", "given" : "Arturs", "non-dropping-particle" : "", "parse-names" : false, "suffix" : "" }, { "dropping-particle" : "", "family" : "L\u00e4tt", "given" : "Evelin", "non-dropping-particle" : "", "parse-names" : false, "suffix" : "" }, { "dropping-particle" : "", "family" : "M\u00e4estu", "given" : "Jarek", "non-dropping-particle" : "", "parse-names" : false, "suffix" : "" }, { "dropping-particle" : "", "family" : "Saar", "given" : "Meeli", "non-dropping-particle" : "", "parse-names" : false, "suffix" : "" }, { "dropping-particle" : "", "family" : "Purge", "given" : "Priit", "non-dropping-particle" : "", "parse-names" : false, "suffix" : "" }, { "dropping-particle" : "", "family" : "Maasalu", "given" : "Katre", "non-dropping-particle" : "", "parse-names" : false, "suffix" : "" }, { "dropping-particle" : "", "family" : "J\u00fcrim\u00e4e", "given" : "Toivo", "non-dropping-particle" : "", "parse-names" : false, "suffix" : "" }, { "dropping-particle" : "", "family" : "J\u00fcrim\u00e4e", "given" : "Jaak", "non-dropping-particle" : "", "parse-names" : false, "suffix" : "" } ], "container-title" : "Rheumatology International", "id" : "ITEM-3", "issue" : "7", "issued" : { "date-parts" : [ [ "2013" ] ] }, "page" : "1681-1687", "title" : "Bone mineral density in 11-13-year-old boys: Relative importance of the weight status and body composition factors", "type" : "article-journal", "volume" : "33" }, "uris" : [ "http://www.mendeley.com/documents/?uuid=09bb5f7c-cf79-4600-a48a-712c84c238db" ] }, { "id" : "ITEM-4", "itemData" : { "DOI" : "10.1186/1471-2431-13-37", "ISBN" : "1471-2431 (Electronic)\\n1471-2431 (Linking)", "ISSN" : "1471-2431", "PMID" : "23510224", "abstract" : "BACKGROUND: Among adults, obesity has been positively related to bone mineral density. However, recent findings have pointed out that abdominal obesity could be negatively related to bone density. The above mentioned relationship is not clear among pediatric populations. Therefore, this cross-sectional study analyzed the relationship between thickness of abdominal adipose tissue and bone mineral variables in sedentary obese children and adolescents.\\n\\nMETHODS: One hundred and seventy five obese children and adolescents (83 male and 92 female) with ages ranging from 6 to 16 years-old were analyzed. Bone mineral content and density were estimated by dual-energy X-ray absorptiometry and ultrasound equipment which estimated the thickness of the abdominal adipose tissue. Pubertal stage was self-reported by the participants.\\n\\nRESULTS: The mean age was 11.1 (SD=2.6). Thickness of the abdominal adipose tissue was negatively related to bone mineral density (r=-0.17 [r95%CI: -0.03;-0.32]), independent of gender, pubertal stage and other confounders (\u03b2=-0.134\u00b10.042 [\u03b295%CI: -0.217; -0.050]).\\n\\nCONCLUSIONS: In sedentary obese children and adolescents abdominal obesity is negatively related to bone mineral density, suggesting a potential link between abdominal obesity and osteoporosis.", "author" : [ { "dropping-particle" : "", "family" : "J\u00fanior", "given" : "Ismael Forte Freitas", "non-dropping-particle" : "", "parse-names" : false, "suffix" : "" }, { "dropping-particle" : "", "family" : "Cardoso", "given" : "Jefferson Rosa", "non-dropping-particle" : "", "parse-names" : false, "suffix" : "" }, { "dropping-particle" : "", "family" : "Christofaro", "given" : "Diego G Destro", "non-dropping-particle" : "", "parse-names" : false, "suffix" : "" }, { "dropping-particle" : "", "family" : "Codogno", "given" : "Jamile Sanches", "non-dropping-particle" : "", "parse-names" : false, "suffix" : "" }, { "dropping-particle" : "", "family" : "Moraes", "given" : "Augusto C\u00e9sar Ferreira", "non-dropping-particle" : "de", "parse-names" : false, "suffix" : "" }, { "dropping-particle" : "", "family" : "Fernandes", "given" : "R\u00f4mulo Ara\u00fajo", "non-dropping-particle" : "", "parse-names" : false, "suffix" : "" } ], "container-title" : "BMC pediatrics", "id" : "ITEM-4", "issue" : "MAY", "issued" : { "date-parts" : [ [ "2013" ] ] }, "page" : "37", "title" : "The relationship between visceral fat thickness and bone mineral density in sedentary obese children and adolescents.", "type" : "article-journal", "volume" : "13" }, "uris" : [ "http://www.mendeley.com/documents/?uuid=19d07a00-adff-4048-a487-744365ae4ef5" ] }, { "id" : "ITEM-5", "itemData" : { "DOI" : "10.1016/j.nut.2013.12.003", "ISSN" : "18731244", "PMID" : "24985003", "abstract" : "Objective: The aim of this study was to investigate the effects of excess body fat on bone mass in overweight, obese, and extremely obese adolescents. Methods: This study included 377 adolescents of both sexes, ages 10 to 19 y. Weight, height, body mass index (BMI), bone age, bone mineral content (BMC), and bone mineral density (BMD) were obtained by dual-energy x-ray absorptiometry. The results were adjusted for chronological age and bone age. Comparisons according to nutritional classification were performed by analysis of variance, followed by Tukey test. Linear regression models were used to explain the variation in BMD and BMC in the L1-L4 lumbar spinal region, proximal femur, and whole body in relation to BMI, lean mass, fat mass (FM), and body fat percentage (BF%), considering P &lt; 0.05. Results: For all nutritional groups, average bone age was higher than chronological age. In both sexes, weight and BMI values increased from eutrophic to extremely obese groups, except for BMD and BMC, which did not differ among male adolescents, and were smaller in extremely obese than in obese female adolescents (P &lt; 0.01). Significant differences were observed for FM and BF% values among all nutritional groups (P &lt; 0.01). Positive, moderate to strong correlations were detected between BMD and BMC for BMI, lean mass, and FM. A negative and moderate correlation was found between BMC and BF%, and between BMD and BF% at all bone sites analyzed in males and between BF% and spine and femur BMD, in females. Conclusion: The results reveal a negative effect of BF% on bone mass in males and indicate that the higher the BF% among overweight adolescents, the lower the BMD and BMC values. ?? 2014 Elsevier Inc.", "author" : [ { "dropping-particle" : "", "family" : "Mosca", "given" : "Luciana Nunes", "non-dropping-particle" : "", "parse-names" : false, "suffix" : "" }, { "dropping-particle" : "", "family" : "Goldberg", "given" : "Tamara Beres Lederer", "non-dropping-particle" : "", "parse-names" : false, "suffix" : "" }, { "dropping-particle" : "", "family" : "Silva", "given" : "Val\u00e9ria N\u00f3brega", "non-dropping-particle" : "da", "parse-names" : false, "suffix" : "" }, { "dropping-particle" : "", "family" : "Silva", "given" : "Carla Cristiane", "non-dropping-particle" : "da", "parse-names" : false, "suffix" : "" }, { "dropping-particle" : "", "family" : "Kurokawa", "given" : "Cilmery Suemi", "non-dropping-particle" : "", "parse-names" : false, "suffix" : "" }, { "dropping-particle" : "", "family" : "Bisi Rizzo", "given" : "Anapaula C.", "non-dropping-particle" : "", "parse-names" : false, "suffix" : "" }, { "dropping-particle" : "", "family" : "Corrente", "given" : "Jos\u00e9 Eduardo", "non-dropping-particle" : "", "parse-names" : false, "suffix" : "" } ], "container-title" : "Nutrition", "id" : "ITEM-5", "issue" : "7-8", "issued" : { "date-parts" : [ [ "2014" ] ] }, "page" : "847-852", "title" : "Excess body fat negatively affects bone mass in adolescents", "type" : "article-journal", "volume" : "30" }, "uris" : [ "http://www.mendeley.com/documents/?uuid=cbbb539c-ffe3-4c4c-a680-008e32c56f38" ] }, { "id" : "ITEM-6", "itemData" : { "author" : [ { "dropping-particle" : "", "family" : "Remmel", "given" : "L", "non-dropping-particle" : "", "parse-names" : false, "suffix" : "" }, { "dropping-particle" : "", "family" : "Tillmann", "given" : "V", "non-dropping-particle" : "", "parse-names" : false, "suffix" : "" }, { "dropping-particle" : "", "family" : "Maestu", "given" : "J", "non-dropping-particle" : "", "parse-names" : false, "suffix" : "" }, { "dropping-particle" : "", "family" : "Purge", "given" : "P", "non-dropping-particle" : "", "parse-names" : false, "suffix" : "" }, { "dropping-particle" : "", "family" : "Saar", "given" : "M", "non-dropping-particle" : "", "parse-names" : false, "suffix" : "" }, { "dropping-particle" : "", "family" : "Latt", "given" : "E", "non-dropping-particle" : "", "parse-names" : false, "suffix" : "" }, { "dropping-particle" : "", "family" : "Maasalu", "given" : "K", "non-dropping-particle" : "", "parse-names" : false, "suffix" : "" }, { "dropping-particle" : "", "family" : "Jurimae", "given" : "T", "non-dropping-particle" : "", "parse-names" : false, "suffix" : "" }, { "dropping-particle" : "", "family" : "J", "given" : "Jurimae", "non-dropping-particle" : "", "parse-names" : false, "suffix" : "" } ], "container-title" : "Hormone research in paediatrics", "id" : "ITEM-6", "issue" : "1", "issued" : { "date-parts" : [ [ "2015" ] ] }, "page" : "6-13", "title" : "Associations between Bone Mineral Characteristics and Serum Levels of Ghrelin and Peptide YY in Overweight Adolescent Boys", "type" : "article-journal", "volume" : "84" }, "uris" : [ "http://www.mendeley.com/documents/?uuid=c938bfa2-635e-40cb-a58b-06fe71ce492a" ] } ], "mendeley" : { "formattedCitation" : "&lt;sup&gt;49,50,53,54,58,60&lt;/sup&gt;", "plainTextFormattedCitation" : "49,50,53,54,58,60", "previouslyFormattedCitation" : "&lt;sup&gt;49,50,53,54,58,60&lt;/sup&gt;"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49,50,53,54,58,60</w:t>
      </w:r>
      <w:r w:rsidR="00156059">
        <w:rPr>
          <w:sz w:val="24"/>
          <w:szCs w:val="24"/>
        </w:rPr>
        <w:fldChar w:fldCharType="end"/>
      </w:r>
      <w:r w:rsidR="00105100">
        <w:rPr>
          <w:sz w:val="24"/>
          <w:szCs w:val="24"/>
        </w:rPr>
        <w:t xml:space="preserve"> </w:t>
      </w:r>
      <w:r w:rsidRPr="00F77F70">
        <w:rPr>
          <w:sz w:val="24"/>
          <w:szCs w:val="24"/>
        </w:rPr>
        <w:t xml:space="preserve">25 – 55 years: n = 618; </w:t>
      </w:r>
      <w:r w:rsidR="00156059">
        <w:rPr>
          <w:sz w:val="24"/>
          <w:szCs w:val="24"/>
        </w:rPr>
        <w:fldChar w:fldCharType="begin" w:fldLock="1"/>
      </w:r>
      <w:r w:rsidR="0075024E">
        <w:rPr>
          <w:sz w:val="24"/>
          <w:szCs w:val="24"/>
        </w:rPr>
        <w:instrText>ADDIN CSL_CITATION { "citationItems" : [ { "id" : "ITEM-1", "itemData" : { "DOI" : "10.1210/jc.2004-2049", "ISSN" : "0021972X", "author" : [ { "dropping-particle" : "", "family" : "Abou Samra", "given" : "Rania", "non-dropping-particle" : "", "parse-names" : false, "suffix" : "" }, { "dropping-particle" : "", "family" : "Baba", "given" : "Nahla Hwalla", "non-dropping-particle" : "", "parse-names" : false, "suffix" : "" }, { "dropping-particle" : "", "family" : "Torbay", "given" : "Naji", "non-dropping-particle" : "", "parse-names" : false, "suffix" : "" }, { "dropping-particle" : "", "family" : "Dib", "given" : "Lea", "non-dropping-particle" : "", "parse-names" : false, "suffix" : "" }, { "dropping-particle" : "", "family" : "Fuleihan", "given" : "Ghada El Hajj", "non-dropping-particle" : "", "parse-names" : false, "suffix" : "" } ], "container-title" : "Journal of Clinical Endocrinology and Metabolism", "id" : "ITEM-1", "issue" : "5", "issued" : { "date-parts" : [ [ "2005" ] ] }, "page" : "2588-2594", "title" : "High plasma leptin is not associated with higher bone mineral density in insulin-resistant premenopausal obese women", "type" : "article-journal", "volume" : "90" }, "uris" : [ "http://www.mendeley.com/documents/?uuid=d64c82ff-a564-4087-a1ab-b27aad865cf1" ] }, { "id" : "ITEM-2", "itemData" : { "DOI" : "10.1007/s10900-009-9201-5", "ISBN" : "1090000992015", "ISSN" : "00945145", "PMID" : "20012477", "abstract" : "Osteoporosis is a serious national public health problem, and is expected to increase significantly over the next few decades, especially in women. A limitation of bone health research exists since few studies have involved Hispanic women, and even fewer, Hispanic immigrant women. For this study we examined the effects of anthropometric, behavioral, and health history variables on bone mineral density (BMD) in 84 immigrant Hispanic women, age 40 and above. BMD was assessed at the spine, femur, and forearm using dual energy x-ray absorptiometry (DXA). Demographic information, health histories, and behavioral risk factors were obtained from a questionnaire. In the younger group (mean age = 44.1 years) 61% had spinal osteopenia, and in the postmenopausal group (mean age = 53.0 years) 59% had osteopenia and 13% had osteoporosis. Femur sites were free of osteoporosis. Mean body mass index (BMI) was 31.8 \u00b1 6.1 and mean waist girth was 95.6 \u00b1 12.5 cm, indicating overall and abdominal obesity. Partial correlations indicated a significant positive relationship between body fat variables and total femur BMD values. ANOVAs revealed no differences in BMD values at any bone site across tertile levels for calcium intake or for physical activity. However, supplemental and dietary calcium intakes were very low and few participants engaged in regular physical activity outside of work and activities of daily living (ADL). In light of the expected increase in osteoporosis in this population and the prevalence of spinal osteopenia in the younger participants, education about the health risks of osteoporosis should be made available to this group.", "author" : [ { "dropping-particle" : "", "family" : "Ballard", "given" : "Joyce E.", "non-dropping-particle" : "", "parse-names" : false, "suffix" : "" }, { "dropping-particle" : "", "family" : "Cooper", "given" : "Cheryl M.", "non-dropping-particle" : "", "parse-names" : false, "suffix" : "" }, { "dropping-particle" : "", "family" : "Bone", "given" : "Mary A.", "non-dropping-particle" : "", "parse-names" : false, "suffix" : "" }, { "dropping-particle" : "", "family" : "Saade", "given" : "Guillermo", "non-dropping-particle" : "", "parse-names" : false, "suffix" : "" }, { "dropping-particle" : "", "family" : "Holiday", "given" : "David B.", "non-dropping-particle" : "", "parse-names" : false, "suffix" : "" } ], "container-title" : "Journal of Community Health", "id" : "ITEM-2", "issue" : "5", "issued" : { "date-parts" : [ [ "2010" ] ] }, "page" : "453-463", "title" : "Bone health in immigrant hispanic women living in texas", "type" : "article-journal", "volume" : "35" }, "uris" : [ "http://www.mendeley.com/documents/?uuid=cde119cb-b1f9-42cb-8c81-cae1acd7b9a2" ] }, { "id" : "ITEM-3", "itemData" : { "DOI" : "10.2478/s11536-013-0259-1", "ISSN" : "2391-5463", "abstract" : "&lt;p&gt;The aim of this study was to determine the relative contributions of fat mass and lean mass to the variability of bone mineral density (BMD) of the lumbar spine and proximal 1/3 forearm in Bulgarian women. 180 women aged 21 through 76 years participated (mean age 50.8 \u00b1 9.7 years). 130 of them were postmenopausal. Lumbar spine and forearm BMD were measured by dual-energy X-ray absorptiometry, followed by a whole-body scan for body composition examination (Hologic QDR 4500 A device, software version 1.26). The strongest linear correlation was found with body weight (r2=0.231, p&amp;lt;0.001). Using this model, 18.1 % of the variability of lumbar spine BMD was attributable to fat mass and 16.0 % to lean mass. The relative influence of fat mass on L1-L4 BMD was greater than that of lean mass (standardized regression coefficient 0.291 versus 0.199). There were weak correlations of body weight, fat and lean mass with the forearm BMD. Lean mass correlated slightly better (r=0.187, p=0.050) to forearm BMD than fat mass (r=0.162, p=0.055). In conclusion, the differentiation between fat and lean mass does not strengthen the BMD correlations beyond that with total body weight.&lt;/p&gt;", "author" : [ { "dropping-particle" : "", "family" : "Boyanov", "given" : "Mihail", "non-dropping-particle" : "", "parse-names" : false, "suffix" : "" } ], "container-title" : "Open Medicine", "id" : "ITEM-3", "issue" : "1", "issued" : { "date-parts" : [ [ "2014" ] ] }, "title" : "Body fat, lean mass and bone density of the spine and forearm in women", "type" : "article-journal", "volume" : "9" }, "uris" : [ "http://www.mendeley.com/documents/?uuid=cb11ac81-3ffb-4bbc-a3c5-3205fee0670a" ] }, { "id" : "ITEM-4", "itemData" : { "DOI" : "10.1007/s11695-008-9529-4", "ISSN" : "09608923", "PMID" : "18443887", "abstract" : "BACKGROUND: The mechanisms by which increased body weight influence bone mass density (BMD) are still unknown. The aim of our study was to analyze the relationship between anthropometric and body composition variables, insulin growth factor-I (IGF-I), adiponectin and soluble tumor necrosis factor-alpha receptors (sTNFR) 1 and 2 with BMD in two cohorts of morbid obese patients, before and after bypass surgery. METHODS: The first cohort included 25 women aged 48+/-7.6 years studied before bypass surgery. The second included 41 women aged 46+/-9.2 years, 12 months after surgery. We studied anthropometric variables obtained from whole body DEXA composition analysis. Serum IGF-I, intact serum parathyroid hormone, 25-hydroxivitamin D3, plasma adiponectin concentrations, sTNFR1, sTNFR2 concentrations were measured. RESULTS: In the first cohort, the BMI was 44.5+/-3.6 kg/m2, parathyroid hormone, IGF-I, and adiponectin concentrations were lower, and sTNFR1 concentrations were higher than in the second cohort. In the multiple regression analysis, BMD remained significantly associated with body fat percentage (beta -0.154, p=0.01), lean mass (beta 0.057, p=0.016) and phosphate concentration (beta 0.225, p=0.05). In the second cohort, BMI was 31+/-5.1 kg/m2. In the multiple regression analysis, BMD remained significantly associated with lean mass (beta 0.006, p=0.03). CONCLUSION: The inverse correlation found between body fat and BMD in the first cohort indicates morbid obesity increases the risk of osteoporosis and we found a positive correlation with lean and fat mass before bariatric surgery and with lean mass after bypass surgery.", "author" : [ { "dropping-particle" : "", "family" : "Gomez", "given" : "JM", "non-dropping-particle" : "", "parse-names" : false, "suffix" : "" }, { "dropping-particle" : "", "family" : "Vilarrasa", "given" : "N", "non-dropping-particle" : "", "parse-names" : false, "suffix" : "" }, { "dropping-particle" : "", "family" : "Masdevall", "given" : "Carles", "non-dropping-particle" : "", "parse-names" : false, "suffix" : "" }, { "dropping-particle" : "", "family" : "Pujol", "given" : "Jordi", "non-dropping-particle" : "", "parse-names" : false, "suffix" : "" }, { "dropping-particle" : "", "family" : "Solano", "given" : "Esther", "non-dropping-particle" : "", "parse-names" : false, "suffix" : "" }, { "dropping-particle" : "", "family" : "Soler", "given" : "Juan", "non-dropping-particle" : "", "parse-names" : false, "suffix" : "" }, { "dropping-particle" : "", "family" : "Elio", "given" : "I??aki", "non-dropping-particle" : "", "parse-names" : false, "suffix" : "" }, { "dropping-particle" : "", "family" : "Gallart", "given" : "Lluis", "non-dropping-particle" : "", "parse-names" : false, "suffix" : "" }, { "dropping-particle" : "", "family" : "Vendrell", "given" : "Joan", "non-dropping-particle" : "", "parse-names" : false, "suffix" : "" } ], "container-title" : "Obesity Surgery", "id" : "ITEM-4", "issue" : "3", "issued" : { "date-parts" : [ [ "2009" ] ] }, "page" : "345-350", "title" : "Regulation of bone mineral density in morbidly obese women: A cross-sectional study in two cohorts before and after bypass surgery", "type" : "article-journal", "volume" : "19" }, "uris" : [ "http://www.mendeley.com/documents/?uuid=031532dc-1eba-4168-b0f1-b8ca9bef59c3" ] }, { "id" : "ITEM-5", "itemData" : { "author" : [ { "dropping-particle" : "", "family" : "Liu", "given" : "PY", "non-dropping-particle" : "", "parse-names" : false, "suffix" : "" }, { "dropping-particle" : "", "family" : "Hornbuckle", "given" : "LM", "non-dropping-particle" : "", "parse-names" : false, "suffix" : "" }, { "dropping-particle" : "", "family" : "Ilich", "given" : "JZ", "non-dropping-particle" : "", "parse-names" : false, "suffix" : "" }, { "dropping-particle" : "", "family" : "Kim", "given" : "JS", "non-dropping-particle" : "", "parse-names" : false, "suffix" : "" }, { "dropping-particle" : "", "family" : "Panton", "given" : "L", "non-dropping-particle" : "", "parse-names" : false, "suffix" : "" } ], "container-title" : "Ethnicity &amp; Disease", "id" : "ITEM-5", "issue" : "3", "issued" : { "date-parts" : [ [ "2014" ] ] }, "page" : "356-62", "title" : "Body composition and muscular strength as predictors of bone mineral density in African American women with metabolic syndrome", "type" : "article-journal", "volume" : "24" }, "uris" : [ "http://www.mendeley.com/documents/?uuid=0c1d57ea-b989-4316-81da-cebfccc785c7" ] }, { "id" : "ITEM-6", "itemData" : { "DOI" : "10.1210/jc.2003-030496", "ISBN" : "0021-972X", "ISSN" : "0021972X", "PMID" : "14671171", "abstract" : "Leptin has been suggested to decrease bone mineral density (BMD). This observational analysis explored the relationship between serum leptin and BMD in 327 nonobese men (controls) (body mass index 26.1 +/- 3.7 kg/m(2), age 49.9 +/- 6.0 yr) and 285 juvenile obese men (body mass index 35.9 +/- 5.9 kg/m(2), age 47.5 +/- 5.1 yr). Whole-body dual-energy x-ray absorptiometry scan measured BMD, fat mass, and lean mass. Fasting serum leptin (nanograms per milliliter) was strongly associated with fat mass (kilograms) in both controls (r = 0.876; P &lt; 0.01) and juvenile obese (r = 0.838; P &lt; 0.001). An inverse relation between BMD adjusted for body weight and serum leptin emerged in both the control group (r = -0.186; P &lt; 0.01) and the juvenile obese group (r = -0.135; P &lt; 0.05). In a multiple linear regression, fat mass, lean body mass, and occupational physical activity were positively associated with BMD in the control group, whereas in the juvenile obese, only lean body mass was positively associated with BMD and smoking negatively associated with BMD. Our study supports that leptin is inversely associated with BMD and may play a direct role in the bone metabolism in nonobese and obese Danish males, but it also stresses the fact that the strong covariation between the examined variables is a shortcoming of the cross-sectional design.", "author" : [ { "dropping-particle" : "", "family" : "Morberg", "given" : "Cathrine M.", "non-dropping-particle" : "", "parse-names" : false, "suffix" : "" }, { "dropping-particle" : "", "family" : "Tetens", "given" : "Inge", "non-dropping-particle" : "", "parse-names" : false, "suffix" : "" }, { "dropping-particle" : "", "family" : "Black", "given" : "Eva", "non-dropping-particle" : "", "parse-names" : false, "suffix" : "" }, { "dropping-particle" : "", "family" : "Toubro", "given" : "Soeren", "non-dropping-particle" : "", "parse-names" : false, "suffix" : "" }, { "dropping-particle" : "", "family" : "Soerensen", "given" : "Thorkild I A", "non-dropping-particle" : "", "parse-names" : false, "suffix" : "" }, { "dropping-particle" : "", "family" : "Pedersen", "given" : "Oluf", "non-dropping-particle" : "", "parse-names" : false, "suffix" : "" }, { "dropping-particle" : "", "family" : "Astrup", "given" : "Arne", "non-dropping-particle" : "", "parse-names" : false, "suffix" : "" } ], "container-title" : "Journal of Clinical Endocrinology and Metabolism", "id" : "ITEM-6", "issue" : "12", "issued" : { "date-parts" : [ [ "2003" ] ] }, "page" : "5795-5800", "title" : "Leptin and Bone Mineral Density: A Cross-Sectional Study in Obese and Nonobese Men", "type" : "article-journal", "volume" : "88" }, "uris" : [ "http://www.mendeley.com/documents/?uuid=44582dfd-19e6-4219-84d9-4e0513420e0d" ] } ], "mendeley" : { "formattedCitation" : "&lt;sup&gt;45,47,48,51,56,57&lt;/sup&gt;", "plainTextFormattedCitation" : "45,47,48,51,56,57", "previouslyFormattedCitation" : "&lt;sup&gt;45,47,48,51,56,57&lt;/sup&gt;"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45,47,48,51,56,57</w:t>
      </w:r>
      <w:r w:rsidR="00156059">
        <w:rPr>
          <w:sz w:val="24"/>
          <w:szCs w:val="24"/>
        </w:rPr>
        <w:fldChar w:fldCharType="end"/>
      </w:r>
      <w:r w:rsidR="00105100">
        <w:rPr>
          <w:sz w:val="24"/>
          <w:szCs w:val="24"/>
        </w:rPr>
        <w:t xml:space="preserve"> </w:t>
      </w:r>
      <w:r w:rsidRPr="00F77F70">
        <w:rPr>
          <w:sz w:val="24"/>
          <w:szCs w:val="24"/>
        </w:rPr>
        <w:t>&gt;55 years: n = 1256</w:t>
      </w:r>
      <w:r w:rsidR="00105100">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"10.1210/jc.2013-3200", "ISBN" : "0021-972x", "ISSN" : "19457197", "PMID" : "24878039", "abstract" : "Context: Although obesity is associated with high bone mass, recent reports suggest an increase in the incidence of fractures in obese patients. Objectives: The objectives of the study were to evaluate the influence of increasing body fat on bone mineral density (BMD) and to determine the influence of the different adipokines on BMD in frail obese elderly patients. Design and Setting: This is a cross-sectional study of baseline characteristics of elderly obese patients participating in a lifestyle therapy with diet with or without exercise and conducted in a university setting. Patients: One hundred seventy-three, elderly (\u226565 y old), obese (body mass index of \u226530 kg/m(2)) who were mostly frail participated in the study. Outcome Measures: BMD, percentage of total body fat, percentage of fat-free mass, percentage of lean mass, body mass index, adiponectin, leptin, IL-6, bone turnover markers (osteocalcin and C-telopeptide), high-sensitivity C-reactive protein, free estradiol, and 25-hydroxyvitamin D were measured. Results: Higher tertiles of percentage body fat and lower lean mass were associated with a lower BMD. High-sensitivity C-reactive protein levels were highest in the highest fat tertile (third, 5.5 \u00b1 5.4 vs first, 1.5 \u00b1 1.3 mg/L, P &lt; .05) for women, whereas IL-6 levels were highest in the highest tertile in men (third, 3.5 \u00b1 3.1 vs first, 1.7 \u00b1 0.8 pg/mL, P&lt; .05). Leptin increased with increasing fat tertiles in both genders (P &lt; .05), whereas adiponectin increased with increasing fat tertiles only in men (P&lt; .05). A multivariate analysis revealed adiponectin as an important mediator of the effect of fat mass on BMD. Osteocalcin levels were highest in the highest fat tertile in women but not in men. Physical function test scores decreased with increasing fat tertiles in women (P&lt; .05) but not in men. Conclusions: Increasing adiposity together with decreasing lean mass is associated with lower BMD, higher adipokine levels, and worsening frailty in elderly obese adults.", "author" : [ { "dropping-particle" : "", "family" : "Aguirre", "given" : "Lina", "non-dropping-particle" : "", "parse-names" : false, "suffix" : "" }, { "dropping-particle" : "", "family" : "Napoli", "given" : "Nicola", "non-dropping-particle" : "", "parse-names" : false, "suffix" : "" }, { "dropping-particle" : "", "family" : "Waters", "given" : "Debra", "non-dropping-particle" : "", "parse-names" : false, "suffix" : "" }, { "dropping-particle" : "", "family" : "Qualls", "given" : "Clifford", "non-dropping-particle" : "", "parse-names" : false, "suffix" : "" }, { "dropping-particle" : "", "family" : "Villareal", "given" : "Dennis T.", "non-dropping-particle" : "", "parse-names" : false, "suffix" : "" }, { "dropping-particle" : "", "family" : "Armamento-Villareal", "given" : "Reina", "non-dropping-particle" : "", "parse-names" : false, "suffix" : "" } ], "container-title" : "Journal of Clinical Endocrinology and Metabolism", "id" : "ITEM-1", "issue" : "9", "issued" : { "date-parts" : [ [ "2014" ] ] }, "page" : "3290-3297", "title" : "Increasing adiposity is associated with higher adipokine levels and lower bone mineral density in obese older adults", "type" : "article-journal", "volume" : "99" }, "uris" : [ "http://www.mendeley.com/documents/?uuid=b8cdca5e-ffbf-4863-88ed-120758c85dea" ] }, { "id" : "ITEM-2", "itemData" : { "DOI" : "10.1016/j.jocd.2013.02.007", "ISBN" : "1094-6950", "ISSN" : "10946950", "PMID" : "23499561", "abstract" : "The objective of this study was to assess the relative association between body weight, body mass index (BMI), lean mass (LM) and fat mass (FM), and bone mineral density (BMD) in a group of Jordanian postmenopausal women and investigate if this possible association changes with age. A total of 3256 patients had dual-energy X-ray absorptiometry (DXA) scan in the period from January 2009 till January 2012 at the Radiology and Nuclear Medicine Department of Jordan University Hospital. Only 584 women met the selection criteria. Age has been recorded, and patients were divided into subgroups according to age. Body weight and height were measured, and BMI was calculated. Body composition (LM, FM, percentage of android fat, and percentage of gynoid fat) was assessed by DXA. BMD of the lumbar spine (L1-L4) and femoral neck was measured by DXA. Weight, BMI, FM, LM, percentage of android fat, and percentage of gynoid fat were positively correlated to BMD at both lumbar spine and femoral neck. However, this correlation disappeared at the age of 70. yr at lumbar spine and 75. yr at femoral neck. This study suggests that both FM and LM are important determinants of BMD in Jordanian postmenopausal women, and this correlation disappears after the age of 70. yr at lumbar spine and 75. yr at femoral neck. ?? 2014 The International Society for Clinical Densitometry.", "author" : [ { "dropping-particle" : "", "family" : "Hawamdeh", "given" : "Ziad M.", "non-dropping-particle" : "", "parse-names" : false, "suffix" : "" }, { "dropping-particle" : "", "family" : "Sheikh-Ali", "given" : "Rasha F.", "non-dropping-particle" : "", "parse-names" : false, "suffix" : "" }, { "dropping-particle" : "", "family" : "AlSharif", "given" : "Abedallatif", "non-dropping-particle" : "", "parse-names" : false, "suffix" : "" }, { "dropping-particle" : "", "family" : "Otom", "given" : "Ali H.", "non-dropping-particle" : "", "parse-names" : false, "suffix" : "" }, { "dropping-particle" : "", "family" : "Ibrahim", "given" : "Alaa I.", "non-dropping-particle" : "", "parse-names" : false, "suffix" : "" }, { "dropping-particle" : "", "family" : "AlHadidi", "given" : "Fadi A.", "non-dropping-particle" : "", "parse-names" : false, "suffix" : "" }, { "dropping-particle" : "", "family" : "Samarah", "given" : "Omar Q.", "non-dropping-particle" : "", "parse-names" : false, "suffix" : "" }, { "dropping-particle" : "", "family" : "Dheirat", "given" : "Imad N.", "non-dropping-particle" : "", "parse-names" : false, "suffix" : "" }, { "dropping-particle" : "", "family" : "Juweid", "given" : "Malik E.", "non-dropping-particle" : "", "parse-names" : false, "suffix" : "" } ], "container-title" : "Journal of Clinical Densitometry", "id" : "ITEM-2", "issue" : "1", "issued" : { "date-parts" : [ [ "2014" ] ] }, "page" : "143-149", "publisher" : "Elsevier Ltd", "title" : "The influence of aging on the association between adiposity and bone mineral density in jordanian postmenopausal women", "type" : "article-journal", "volume" : "17" }, "uris" : [ "http://www.mendeley.com/documents/?uuid=8e296f73-0b17-4e36-9257-478cfada9454" ] }, { "id" : "ITEM-3", "itemData" : { "DOI" : "10.1007/s40618-013-0037-6", "ISSN" : "17208386", "PMID" : "24477947", "abstract" : "Osteoporosis and obesity are severe public health problems in an aging society, and as we all know, bone mineral density (BMD) is closely related to fat mass (FM) and fat distribution. However, studies have long focused on pre- or post-menopausal women, and its presence in men has been underestimated. To investigate the differential impact of fat on BMD, we characterized body composition of northern Chinese men and examined the relationship with BMD according to body mass index (BMI) levels. METHODS: A cross-sectional study was conducted on 502 healthy northern Chinese men aged 20-89 screened from the participants in a community-based osteoporosis prevention study conducted by the Research Center of Qianfoshan Hospital of Shandong University from 2009 to 2010. The qualified subjects were stratified according to BMI levels as normal weight (18.5 /= 28 kg/m(2), n = 140). Total body, left femur, lumbar spine BMD and lean mass (LM), FM, percent body fat (%BF) were measured by dual-energy X-ray absorptiometry. Pearson correlation and age-adjusted partial correlation analyses between body composition-related parameters and BMD were performed. Multiple regression analysis was performed to examine the relationship of BMD with LM, FM and %BF. RESULTS: Height and weight had positive associations with BMD at all sites, although age had negative associations. Of all subjects, LM and FM were positively correlated with BMD at almost sites (P &lt; 0.01). However, when the subjects were divided into normal weight, overweight and obesity, no relations were reflected between FM and BMD. %BF showed negative correlations with BMD at arm and leg (P &lt; 0.01) in overweight, and with BMD at total body, arm, leg, hip (P &lt; 0.01) in obesity. In regression models, both FM and LM showed statistically positively significant relations with total body and regional BMD in all subjects (all P &lt; 0.05). LM was positively correlated with BMD at almost site (all P &lt; 0.05) in groups, while FM had no association. Interestingly, percent body fat (%BF) had negative associations with BMD at total body, arm, leg and total femur in overweight and obesity. CONCLUSIONS: The relationship between LM and BMD was certain in northern Chinese men while fat-bone relationship was complicated. %BF had a significantly negative association with total body and regional BMD in overweight and obese men.", "author" : [ { "dropping-particle" : "", "family" : "Kang", "given" : "D.", "non-dropping-particle" : "", "parse-names" : false, "suffix" : "" }, { "dropping-particle" : "", "family" : "Liu", "given" : "Z.", "non-dropping-particle" : "", "parse-names" : false, "suffix" : "" }, { "dropping-particle" : "", "family" : "Wang", "given" : "Y.", "non-dropping-particle" : "", "parse-names" : false, "suffix" : "" }, { "dropping-particle" : "", "family" : "Zhang", "given" : "H.", "non-dropping-particle" : "", "parse-names" : false, "suffix" : "" }, { "dropping-particle" : "", "family" : "Feng", "given" : "X.", "non-dropping-particle" : "", "parse-names" : false, "suffix" : "" }, { "dropping-particle" : "", "family" : "Cao", "given" : "W.", "non-dropping-particle" : "", "parse-names" : false, "suffix" : "" }, { "dropping-particle" : "", "family" : "Wang", "given" : "P.", "non-dropping-particle" : "", "parse-names" : false, "suffix" : "" } ], "container-title" : "Journal of Endocrinological Investigation", "id" : "ITEM-3", "issue" : "4", "issued" : { "date-parts" : [ [ "2014" ] ] }, "page" : "359-367", "title" : "Relationship of body composition with bone mineral density in northern Chinese men by body mass index levels", "type" : "article-journal", "volume" : "37" }, "uris" : [ "http://www.mendeley.com/documents/?uuid=8ecfc742-b804-450b-8b89-0958bcad8e86" ] }, { "id" : "ITEM-4", "itemData" : { "DOI" : "10.1111/j.1365-2265.2010.03965.x", "ISBN" : "0300-0664", "ISSN" : "03000664", "PMID" : "21198741", "abstract" : "Despite high bone mineral density (BMD), persons with type 2 diabetes are at greater risk of fracture. The relationship between body composition and BMD in noninsulin-requiring diabetes is unclear. The aim was to examine how fat and lean mass independently affect the skeleton in this population.", "author" : [ { "dropping-particle" : "", "family" : "Moseley", "given" : "Kendall F.", "non-dropping-particle" : "", "parse-names" : false, "suffix" : "" }, { "dropping-particle" : "", "family" : "Dobrosielski", "given" : "Devon A.", "non-dropping-particle" : "", "parse-names" : false, "suffix" : "" }, { "dropping-particle" : "", "family" : "Stewart", "given" : "Kerry J.", "non-dropping-particle" : "", "parse-names" : false, "suffix" : "" }, { "dropping-particle" : "", "family" : "Beur", "given" : "Suzanne M Jan", "non-dropping-particle" : "De", "parse-names" : false, "suffix" : "" }, { "dropping-particle" : "", "family" : "Sellmeyer", "given" : "Deborah E.", "non-dropping-particle" : "", "parse-names" : false, "suffix" : "" } ], "container-title" : "Clinical Endocrinology", "id" : "ITEM-4", "issue" : "5", "issued" : { "date-parts" : [ [ "2011" ] ] }, "page" : "565-571", "title" : "Lean mass and fat mass predict bone mineral density in middle-aged individuals with noninsulin-requiring type 2 diabetes mellitus", "type" : "article-journal", "volume" : "74" }, "uris" : [ "http://www.mendeley.com/documents/?uuid=c9a3e5b0-c1ea-4b87-8790-6f8a146dfb31" ] } ], "mendeley" : { "formattedCitation" : "&lt;sup&gt;46,52,55,59&lt;/sup&gt;", "plainTextFormattedCitation" : "46,52,55,59", "previouslyFormattedCitation" : "&lt;sup&gt;46,52,55,59&lt;/sup&gt;"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46,52,55,59</w:t>
      </w:r>
      <w:r w:rsidR="00156059">
        <w:rPr>
          <w:sz w:val="24"/>
          <w:szCs w:val="24"/>
        </w:rPr>
        <w:fldChar w:fldCharType="end"/>
      </w:r>
    </w:p>
    <w:p w:rsidR="008F13B0" w:rsidRPr="00F77F70" w:rsidRDefault="008F13B0" w:rsidP="00D1500E">
      <w:pPr>
        <w:spacing w:line="360" w:lineRule="auto"/>
        <w:jc w:val="both"/>
        <w:rPr>
          <w:b/>
          <w:bCs/>
          <w:i/>
          <w:iCs/>
          <w:sz w:val="24"/>
          <w:szCs w:val="24"/>
        </w:rPr>
      </w:pPr>
      <w:r w:rsidRPr="00F77F70">
        <w:rPr>
          <w:b/>
          <w:bCs/>
          <w:i/>
          <w:iCs/>
          <w:sz w:val="24"/>
          <w:szCs w:val="24"/>
        </w:rPr>
        <w:t>Primary Analysis:</w:t>
      </w:r>
    </w:p>
    <w:p w:rsidR="008F13B0" w:rsidRPr="00F77F70" w:rsidRDefault="008F13B0" w:rsidP="00D1500E">
      <w:pPr>
        <w:spacing w:line="360" w:lineRule="auto"/>
        <w:jc w:val="both"/>
        <w:rPr>
          <w:b/>
          <w:bCs/>
          <w:i/>
          <w:iCs/>
          <w:sz w:val="24"/>
          <w:szCs w:val="24"/>
        </w:rPr>
      </w:pPr>
      <w:r w:rsidRPr="00F77F70">
        <w:rPr>
          <w:sz w:val="24"/>
          <w:szCs w:val="24"/>
        </w:rPr>
        <w:t xml:space="preserve">Results from the meta-analysis showed opposing relationships when BMD was considered in relation to absolute and relative </w:t>
      </w:r>
      <w:r w:rsidR="0009247E">
        <w:rPr>
          <w:sz w:val="24"/>
          <w:szCs w:val="24"/>
        </w:rPr>
        <w:t>adipose</w:t>
      </w:r>
      <w:r w:rsidR="0009247E" w:rsidRPr="00F77F70">
        <w:rPr>
          <w:sz w:val="24"/>
          <w:szCs w:val="24"/>
        </w:rPr>
        <w:t xml:space="preserve"> </w:t>
      </w:r>
      <w:r w:rsidRPr="00F77F70">
        <w:rPr>
          <w:sz w:val="24"/>
          <w:szCs w:val="24"/>
        </w:rPr>
        <w:t xml:space="preserve">mass, with absolute adipose mass positively, and relative adipose mass negatively correlated with BMD (Tables </w:t>
      </w:r>
      <w:r w:rsidR="00072647">
        <w:rPr>
          <w:sz w:val="24"/>
          <w:szCs w:val="24"/>
        </w:rPr>
        <w:t>4</w:t>
      </w:r>
      <w:r w:rsidRPr="00F77F70">
        <w:rPr>
          <w:sz w:val="24"/>
          <w:szCs w:val="24"/>
        </w:rPr>
        <w:t xml:space="preserve"> &amp; </w:t>
      </w:r>
      <w:r w:rsidR="00072647">
        <w:rPr>
          <w:sz w:val="24"/>
          <w:szCs w:val="24"/>
        </w:rPr>
        <w:t>5</w:t>
      </w:r>
      <w:r w:rsidRPr="00F77F70">
        <w:rPr>
          <w:sz w:val="24"/>
          <w:szCs w:val="24"/>
        </w:rPr>
        <w:t>). Very strong evidence supporting the positive correlation between BMD and absolute adipose mass was obtained at all BMD sites (R = 0.22 to 0.27; p &lt; 0.001 to p = 0.006), whereas no evidence or weak evidence of negative relationships were obtained for BMD and relative adipose mass (R = -0.2 to -0.08; p = 0.058 to 0.424). Comparison between effect size</w:t>
      </w:r>
      <w:r w:rsidR="00072647">
        <w:rPr>
          <w:sz w:val="24"/>
          <w:szCs w:val="24"/>
        </w:rPr>
        <w:t>s</w:t>
      </w:r>
      <w:r w:rsidRPr="00F77F70">
        <w:rPr>
          <w:sz w:val="24"/>
          <w:szCs w:val="24"/>
        </w:rPr>
        <w:t xml:space="preserve"> estimated across BMD sites demonstrated homogeneity for both absolute and relative adipose mass, with no evidence of differences obtained (p &gt; 0.453 and p &gt; 0.238 respectively). As a result, data across BMD sites were pooled when considering the moderating effects of the subgroup categories.  </w:t>
      </w:r>
    </w:p>
    <w:p w:rsidR="008F13B0" w:rsidRPr="00F77F70" w:rsidRDefault="008F13B0" w:rsidP="00D1500E">
      <w:pPr>
        <w:spacing w:line="360" w:lineRule="auto"/>
        <w:jc w:val="both"/>
        <w:rPr>
          <w:b/>
          <w:bCs/>
          <w:i/>
          <w:iCs/>
          <w:sz w:val="24"/>
          <w:szCs w:val="24"/>
        </w:rPr>
      </w:pPr>
      <w:r w:rsidRPr="00F77F70">
        <w:rPr>
          <w:b/>
          <w:bCs/>
          <w:i/>
          <w:iCs/>
          <w:sz w:val="24"/>
          <w:szCs w:val="24"/>
        </w:rPr>
        <w:t>Secondary Analysis (Sex):</w:t>
      </w:r>
    </w:p>
    <w:p w:rsidR="008F13B0" w:rsidRPr="00F77F70" w:rsidRDefault="008F13B0" w:rsidP="00D1500E">
      <w:pPr>
        <w:spacing w:line="360" w:lineRule="auto"/>
        <w:jc w:val="both"/>
        <w:rPr>
          <w:sz w:val="24"/>
          <w:szCs w:val="24"/>
        </w:rPr>
      </w:pPr>
      <w:r w:rsidRPr="00F77F70">
        <w:rPr>
          <w:sz w:val="24"/>
          <w:szCs w:val="24"/>
        </w:rPr>
        <w:t xml:space="preserve">Very strong evidence of a positive correlation between absolute adipose mass and BMD was obtained in women (R = 0.37, 95%CI: 0.26, 0.47). In contrast only weak evidence of a positive correlation between absolute adipose mass and BMD was obtained in men (R = 0.11, 95% CI: -0.02, 0.23). Evidence showing a difference in correlations of BMD and absolute adipose mass between men and women was strong (p &lt; 0.001).  Strong evidence of a moderating effect of sex was also identified for the relationship between relative adipose mass and BMD (p = 0.0108). Relative adipose mass was negatively correlated with BMD in men (r = - 0.37; 95%CI: -0.57, - 0.12), while no evidence of a relationship was obtained for women (R = 0.03; 95%CI: -0.19, 0.25). </w:t>
      </w:r>
    </w:p>
    <w:p w:rsidR="00A04184" w:rsidRDefault="00A04184" w:rsidP="00D1500E">
      <w:pPr>
        <w:spacing w:line="360" w:lineRule="auto"/>
        <w:jc w:val="both"/>
        <w:rPr>
          <w:b/>
          <w:bCs/>
          <w:i/>
          <w:iCs/>
          <w:sz w:val="24"/>
          <w:szCs w:val="24"/>
        </w:rPr>
      </w:pPr>
    </w:p>
    <w:p w:rsidR="00A04184" w:rsidRDefault="00A04184" w:rsidP="00D1500E">
      <w:pPr>
        <w:spacing w:line="360" w:lineRule="auto"/>
        <w:jc w:val="both"/>
        <w:rPr>
          <w:b/>
          <w:bCs/>
          <w:i/>
          <w:iCs/>
          <w:sz w:val="24"/>
          <w:szCs w:val="24"/>
        </w:rPr>
      </w:pPr>
    </w:p>
    <w:p w:rsidR="008F13B0" w:rsidRPr="00F77F70" w:rsidRDefault="008F13B0" w:rsidP="00D1500E">
      <w:pPr>
        <w:spacing w:line="360" w:lineRule="auto"/>
        <w:jc w:val="both"/>
        <w:rPr>
          <w:b/>
          <w:bCs/>
          <w:i/>
          <w:iCs/>
          <w:sz w:val="24"/>
          <w:szCs w:val="24"/>
        </w:rPr>
      </w:pPr>
      <w:r w:rsidRPr="00F77F70">
        <w:rPr>
          <w:b/>
          <w:bCs/>
          <w:i/>
          <w:iCs/>
          <w:sz w:val="24"/>
          <w:szCs w:val="24"/>
        </w:rPr>
        <w:lastRenderedPageBreak/>
        <w:t>Secondary Analysis (Age):</w:t>
      </w:r>
    </w:p>
    <w:p w:rsidR="008F13B0" w:rsidRPr="00F77F70" w:rsidRDefault="008F13B0" w:rsidP="00D1500E">
      <w:pPr>
        <w:spacing w:line="360" w:lineRule="auto"/>
        <w:jc w:val="both"/>
        <w:rPr>
          <w:sz w:val="24"/>
          <w:szCs w:val="24"/>
        </w:rPr>
      </w:pPr>
      <w:r w:rsidRPr="00F77F70">
        <w:rPr>
          <w:sz w:val="24"/>
          <w:szCs w:val="24"/>
        </w:rPr>
        <w:t>Correlations between BMD and absolute adipose mass (kg) was positive for all three age categories (&lt;25, 25 – 55, &gt;55). Correlations did not differ between the groups (p = &gt; 0.737), however evidence supporting a positive relationship was restricted to the age categories &lt;25 (p = 0.01</w:t>
      </w:r>
      <w:r w:rsidR="00C84CB2">
        <w:rPr>
          <w:sz w:val="24"/>
          <w:szCs w:val="24"/>
        </w:rPr>
        <w:t>0</w:t>
      </w:r>
      <w:r w:rsidRPr="00F77F70">
        <w:rPr>
          <w:sz w:val="24"/>
          <w:szCs w:val="24"/>
        </w:rPr>
        <w:t>) and 25 – 55 years (p = 0.01</w:t>
      </w:r>
      <w:r w:rsidR="00C84CB2">
        <w:rPr>
          <w:sz w:val="24"/>
          <w:szCs w:val="24"/>
        </w:rPr>
        <w:t>0</w:t>
      </w:r>
      <w:r w:rsidRPr="00F77F70">
        <w:rPr>
          <w:sz w:val="24"/>
          <w:szCs w:val="24"/>
        </w:rPr>
        <w:t xml:space="preserve">) (Table </w:t>
      </w:r>
      <w:r w:rsidR="00072647">
        <w:rPr>
          <w:sz w:val="24"/>
          <w:szCs w:val="24"/>
        </w:rPr>
        <w:t>4</w:t>
      </w:r>
      <w:r w:rsidRPr="00F77F70">
        <w:rPr>
          <w:sz w:val="24"/>
          <w:szCs w:val="24"/>
        </w:rPr>
        <w:t xml:space="preserve">). In contrast, correlations between BMD and relative adipose mass were shown to be negative for age categories &lt; 25 and &gt; 55, and positive for age category 25 – 55 years (Table </w:t>
      </w:r>
      <w:r w:rsidR="00072647">
        <w:rPr>
          <w:sz w:val="24"/>
          <w:szCs w:val="24"/>
        </w:rPr>
        <w:t>5</w:t>
      </w:r>
      <w:r w:rsidRPr="00F77F70">
        <w:rPr>
          <w:sz w:val="24"/>
          <w:szCs w:val="24"/>
        </w:rPr>
        <w:t xml:space="preserve">). However strong evidence against the null hypothesis was obtained for the negative relationship estimated for the youngest group only (R = -0.28; 95%CI: -0.45, -0.08).  </w:t>
      </w:r>
    </w:p>
    <w:p w:rsidR="008F13B0" w:rsidRPr="00F77F70" w:rsidRDefault="008F13B0" w:rsidP="00D1500E">
      <w:pPr>
        <w:spacing w:line="360" w:lineRule="auto"/>
        <w:jc w:val="both"/>
        <w:rPr>
          <w:b/>
          <w:bCs/>
          <w:i/>
          <w:iCs/>
          <w:sz w:val="24"/>
          <w:szCs w:val="24"/>
        </w:rPr>
      </w:pPr>
      <w:r w:rsidRPr="00F77F70">
        <w:rPr>
          <w:b/>
          <w:bCs/>
          <w:i/>
          <w:iCs/>
          <w:sz w:val="24"/>
          <w:szCs w:val="24"/>
        </w:rPr>
        <w:t>Secondary Analysis (BMI Class):</w:t>
      </w:r>
    </w:p>
    <w:p w:rsidR="008F13B0" w:rsidRPr="00F77F70" w:rsidRDefault="008F13B0" w:rsidP="00D1500E">
      <w:pPr>
        <w:spacing w:before="240" w:line="360" w:lineRule="auto"/>
        <w:jc w:val="both"/>
        <w:rPr>
          <w:sz w:val="24"/>
          <w:szCs w:val="24"/>
        </w:rPr>
      </w:pPr>
      <w:r w:rsidRPr="00F77F70">
        <w:rPr>
          <w:sz w:val="24"/>
          <w:szCs w:val="24"/>
        </w:rPr>
        <w:t xml:space="preserve">There was very strong evidence of a positive correlation between absolute adipose mass and BMD in both the overweight and obese subgroups (p &lt; 0.001; Table </w:t>
      </w:r>
      <w:r w:rsidR="00072647">
        <w:rPr>
          <w:sz w:val="24"/>
          <w:szCs w:val="24"/>
        </w:rPr>
        <w:t>4</w:t>
      </w:r>
      <w:r w:rsidRPr="00F77F70">
        <w:rPr>
          <w:sz w:val="24"/>
          <w:szCs w:val="24"/>
        </w:rPr>
        <w:t xml:space="preserve">). In addition, no evidence was obtained for a difference in the magnitude of the effect size for each group (p = 0.124). In contrast, evidence of a relationship between relative adipose mass and BMD was obtained for the obese group only (R = -0.20; 95%CI: -0.38, -0.01; Table </w:t>
      </w:r>
      <w:r w:rsidR="00072647">
        <w:rPr>
          <w:sz w:val="24"/>
          <w:szCs w:val="24"/>
        </w:rPr>
        <w:t>5</w:t>
      </w:r>
      <w:r w:rsidRPr="00F77F70">
        <w:rPr>
          <w:sz w:val="24"/>
          <w:szCs w:val="24"/>
        </w:rPr>
        <w:t xml:space="preserve">).  </w:t>
      </w:r>
    </w:p>
    <w:p w:rsidR="008F13B0" w:rsidRPr="00F77F70" w:rsidRDefault="008F13B0" w:rsidP="00D1500E">
      <w:pPr>
        <w:spacing w:line="360" w:lineRule="auto"/>
        <w:jc w:val="both"/>
        <w:rPr>
          <w:b/>
          <w:bCs/>
          <w:i/>
          <w:iCs/>
          <w:sz w:val="24"/>
          <w:szCs w:val="24"/>
        </w:rPr>
      </w:pPr>
      <w:r w:rsidRPr="00F77F70">
        <w:rPr>
          <w:b/>
          <w:bCs/>
          <w:i/>
          <w:iCs/>
          <w:sz w:val="24"/>
          <w:szCs w:val="24"/>
        </w:rPr>
        <w:t>Combined Analyses:</w:t>
      </w:r>
    </w:p>
    <w:p w:rsidR="008F13B0" w:rsidRPr="00F77F70" w:rsidRDefault="008F13B0" w:rsidP="00D1500E">
      <w:pPr>
        <w:tabs>
          <w:tab w:val="left" w:pos="2865"/>
        </w:tabs>
        <w:spacing w:line="360" w:lineRule="auto"/>
        <w:jc w:val="both"/>
        <w:rPr>
          <w:sz w:val="24"/>
          <w:szCs w:val="24"/>
        </w:rPr>
      </w:pPr>
      <w:r w:rsidRPr="00F77F70">
        <w:rPr>
          <w:sz w:val="24"/>
          <w:szCs w:val="24"/>
        </w:rPr>
        <w:t xml:space="preserve">As sex and age exerted the primary moderating effects on the correlations reported, combined analyses were conducted to identify if the effects of these variables existed independently of each other. </w:t>
      </w:r>
      <w:r w:rsidR="00C84CB2">
        <w:rPr>
          <w:sz w:val="24"/>
          <w:szCs w:val="24"/>
        </w:rPr>
        <w:t xml:space="preserve">No evidence of interaction effects between the factors was obtained for absolute adipose or relative adipose mass (p = 0.611 and p = 0.741 respectively). </w:t>
      </w:r>
      <w:r w:rsidRPr="00F77F70">
        <w:rPr>
          <w:sz w:val="24"/>
          <w:szCs w:val="24"/>
        </w:rPr>
        <w:t xml:space="preserve">When considering the correlation between absolute adipose mass (kg) and BMD, no evidence of a moderating effect of age was obtained after controlling for the effect of sex (p = 0.223), whereas very strong evidence of a moderating effect of sex was obtained after controlling for the effects of age (p &lt; 0.001). Conversely, when considering the correlation between relative adipose mass and BMD, some evidence of a moderating effect of both age and sex remained after controlling for the influence of the other (p &lt; 0.05). </w:t>
      </w:r>
    </w:p>
    <w:p w:rsidR="00A04184" w:rsidRDefault="00A04184" w:rsidP="00D1500E">
      <w:pPr>
        <w:tabs>
          <w:tab w:val="left" w:pos="2865"/>
        </w:tabs>
        <w:spacing w:line="360" w:lineRule="auto"/>
        <w:jc w:val="both"/>
        <w:rPr>
          <w:b/>
          <w:bCs/>
          <w:i/>
          <w:iCs/>
          <w:sz w:val="24"/>
          <w:szCs w:val="24"/>
        </w:rPr>
      </w:pPr>
    </w:p>
    <w:p w:rsidR="00A04184" w:rsidRDefault="00A04184" w:rsidP="00D1500E">
      <w:pPr>
        <w:tabs>
          <w:tab w:val="left" w:pos="2865"/>
        </w:tabs>
        <w:spacing w:line="360" w:lineRule="auto"/>
        <w:jc w:val="both"/>
        <w:rPr>
          <w:b/>
          <w:bCs/>
          <w:i/>
          <w:iCs/>
          <w:sz w:val="24"/>
          <w:szCs w:val="24"/>
        </w:rPr>
      </w:pPr>
    </w:p>
    <w:p w:rsidR="008F13B0" w:rsidRPr="00F77F70" w:rsidRDefault="008F13B0" w:rsidP="00D1500E">
      <w:pPr>
        <w:tabs>
          <w:tab w:val="left" w:pos="2865"/>
        </w:tabs>
        <w:spacing w:line="360" w:lineRule="auto"/>
        <w:jc w:val="both"/>
        <w:rPr>
          <w:b/>
          <w:bCs/>
          <w:i/>
          <w:iCs/>
          <w:sz w:val="24"/>
          <w:szCs w:val="24"/>
        </w:rPr>
      </w:pPr>
      <w:r w:rsidRPr="00F77F70">
        <w:rPr>
          <w:b/>
          <w:bCs/>
          <w:i/>
          <w:iCs/>
          <w:sz w:val="24"/>
          <w:szCs w:val="24"/>
        </w:rPr>
        <w:lastRenderedPageBreak/>
        <w:t xml:space="preserve">Additional Study Information: </w:t>
      </w:r>
    </w:p>
    <w:p w:rsidR="008F13B0" w:rsidRPr="00F77F70" w:rsidRDefault="002342E6" w:rsidP="00D1500E">
      <w:pPr>
        <w:tabs>
          <w:tab w:val="left" w:pos="2865"/>
        </w:tabs>
        <w:spacing w:line="360" w:lineRule="auto"/>
        <w:jc w:val="both"/>
        <w:rPr>
          <w:b/>
          <w:bCs/>
          <w:sz w:val="24"/>
          <w:szCs w:val="24"/>
        </w:rPr>
      </w:pPr>
      <w:r>
        <w:rPr>
          <w:sz w:val="24"/>
          <w:szCs w:val="24"/>
        </w:rPr>
        <w:t>Information related to factors which may act as potential</w:t>
      </w:r>
      <w:r w:rsidR="008F13B0" w:rsidRPr="00F77F70">
        <w:rPr>
          <w:sz w:val="24"/>
          <w:szCs w:val="24"/>
        </w:rPr>
        <w:t xml:space="preserve"> source</w:t>
      </w:r>
      <w:r>
        <w:rPr>
          <w:sz w:val="24"/>
          <w:szCs w:val="24"/>
        </w:rPr>
        <w:t>s</w:t>
      </w:r>
      <w:r w:rsidR="008F13B0" w:rsidRPr="00F77F70">
        <w:rPr>
          <w:sz w:val="24"/>
          <w:szCs w:val="24"/>
        </w:rPr>
        <w:t xml:space="preserve"> of bias are presented </w:t>
      </w:r>
      <w:r w:rsidR="004F73FF">
        <w:rPr>
          <w:sz w:val="24"/>
          <w:szCs w:val="24"/>
        </w:rPr>
        <w:t xml:space="preserve">as supplementary data in </w:t>
      </w:r>
      <w:r w:rsidR="008F13B0" w:rsidRPr="00F77F70">
        <w:rPr>
          <w:sz w:val="24"/>
          <w:szCs w:val="24"/>
        </w:rPr>
        <w:t xml:space="preserve">Table </w:t>
      </w:r>
      <w:r w:rsidR="004F73FF">
        <w:rPr>
          <w:sz w:val="24"/>
          <w:szCs w:val="24"/>
        </w:rPr>
        <w:t>S</w:t>
      </w:r>
      <w:r w:rsidR="008F13B0" w:rsidRPr="00F77F70">
        <w:rPr>
          <w:sz w:val="24"/>
          <w:szCs w:val="24"/>
        </w:rPr>
        <w:t xml:space="preserve">1. All included studies reported simple </w:t>
      </w:r>
      <w:proofErr w:type="spellStart"/>
      <w:r w:rsidR="008F13B0" w:rsidRPr="00F77F70">
        <w:rPr>
          <w:sz w:val="24"/>
          <w:szCs w:val="24"/>
        </w:rPr>
        <w:t>bivariate</w:t>
      </w:r>
      <w:proofErr w:type="spellEnd"/>
      <w:r w:rsidR="008F13B0" w:rsidRPr="00F77F70">
        <w:rPr>
          <w:sz w:val="24"/>
          <w:szCs w:val="24"/>
        </w:rPr>
        <w:t xml:space="preserve"> correlations between adipose and bone mass, apart from 2 studies, one of which controlled for the linear effects of age</w:t>
      </w:r>
      <w:r w:rsidR="0015219E">
        <w:rPr>
          <w:sz w:val="24"/>
          <w:szCs w:val="24"/>
        </w:rPr>
        <w:t>,</w:t>
      </w:r>
      <w:r w:rsidR="00105100">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"10.1007/s10900-009-9201-5", "ISBN" : "1090000992015", "ISSN" : "00945145", "PMID" : "20012477", "abstract" : "Osteoporosis is a serious national public health problem, and is expected to increase significantly over the next few decades, especially in women. A limitation of bone health research exists since few studies have involved Hispanic women, and even fewer, Hispanic immigrant women. For this study we examined the effects of anthropometric, behavioral, and health history variables on bone mineral density (BMD) in 84 immigrant Hispanic women, age 40 and above. BMD was assessed at the spine, femur, and forearm using dual energy x-ray absorptiometry (DXA). Demographic information, health histories, and behavioral risk factors were obtained from a questionnaire. In the younger group (mean age = 44.1 years) 61% had spinal osteopenia, and in the postmenopausal group (mean age = 53.0 years) 59% had osteopenia and 13% had osteoporosis. Femur sites were free of osteoporosis. Mean body mass index (BMI) was 31.8 \u00b1 6.1 and mean waist girth was 95.6 \u00b1 12.5 cm, indicating overall and abdominal obesity. Partial correlations indicated a significant positive relationship between body fat variables and total femur BMD values. ANOVAs revealed no differences in BMD values at any bone site across tertile levels for calcium intake or for physical activity. However, supplemental and dietary calcium intakes were very low and few participants engaged in regular physical activity outside of work and activities of daily living (ADL). In light of the expected increase in osteoporosis in this population and the prevalence of spinal osteopenia in the younger participants, education about the health risks of osteoporosis should be made available to this group.", "author" : [ { "dropping-particle" : "", "family" : "Ballard", "given" : "Joyce E.", "non-dropping-particle" : "", "parse-names" : false, "suffix" : "" }, { "dropping-particle" : "", "family" : "Cooper", "given" : "Cheryl M.", "non-dropping-particle" : "", "parse-names" : false, "suffix" : "" }, { "dropping-particle" : "", "family" : "Bone", "given" : "Mary A.", "non-dropping-particle" : "", "parse-names" : false, "suffix" : "" }, { "dropping-particle" : "", "family" : "Saade", "given" : "Guillermo", "non-dropping-particle" : "", "parse-names" : false, "suffix" : "" }, { "dropping-particle" : "", "family" : "Holiday", "given" : "David B.", "non-dropping-particle" : "", "parse-names" : false, "suffix" : "" } ], "container-title" : "Journal of Community Health", "id" : "ITEM-1", "issue" : "5", "issued" : { "date-parts" : [ [ "2010" ] ] }, "page" : "453-463", "title" : "Bone health in immigrant hispanic women living in texas", "type" : "article-journal", "volume" : "35" }, "uris" : [ "http://www.mendeley.com/documents/?uuid=cde119cb-b1f9-42cb-8c81-cae1acd7b9a2" ] } ], "mendeley" : { "formattedCitation" : "&lt;sup&gt;47&lt;/sup&gt;", "plainTextFormattedCitation" : "47", "previouslyFormattedCitation" : "&lt;sup&gt;47&lt;/sup&gt;"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47</w:t>
      </w:r>
      <w:r w:rsidR="00156059">
        <w:rPr>
          <w:sz w:val="24"/>
          <w:szCs w:val="24"/>
        </w:rPr>
        <w:fldChar w:fldCharType="end"/>
      </w:r>
      <w:r w:rsidR="008F13B0" w:rsidRPr="00F77F70">
        <w:rPr>
          <w:sz w:val="24"/>
          <w:szCs w:val="24"/>
        </w:rPr>
        <w:t xml:space="preserve"> the other which controlled for age and pubertal status</w:t>
      </w:r>
      <w:r w:rsidR="008F13B0">
        <w:rPr>
          <w:sz w:val="24"/>
          <w:szCs w:val="24"/>
        </w:rPr>
        <w:t>.</w:t>
      </w:r>
      <w:r w:rsidR="00105100">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"10.1007/s00296-012-2612-0", "ISSN" : "01728172", "PMID" : "23269569", "abstract" : "This study was aimed to investigate the influence of being overweight on bone mineral status in 11-13-year-old boys, who were divided into overweight (OW; n = 110) and normal weight (NW; n = 154) groups. Bone mineral density (BMD) at the whole body (WB), lumbar spine (LS) and femoral neck (FN), bone mineral content (BMC) at the WB, and body composition were assessed. Calculation of the bone mineral apparent density (BMAD) was completed for the WB, LS and FN. The BMC/height ratio was also computed. OW boys displayed similar values (P &gt; 0.05) for LS and FN BMAD and lower (P &lt; 0.05) WB BMAD, despite significantly higher values (P &lt; 0.05) for more widely used WB and LS BMD, WB BMC and WB BMC/height in comparison with NW boys. Fat-free mass index (FFMI; kg/m(2)) had the highest correlation coefficients from the calculated body composition indices with all bone mineral values in NW boys. In OW boys, the FFMI had the highest correlation only with FN BMD, while other measured bone mineral values had highest correlations with either BMI or FMI indices. In conclusion, OW boys have higher crude WB BMD, BMC and BMC/height ratio in comparison with NW boys. However, the bone growth appears to be insufficient to compensate for the higher mechanical load applied on the bone by higher FM and also FFM values in OW boys. Excessive adiposity does not have a protective effect on the development of BMAD in growing boys reaching puberty.", "author" : [ { "dropping-particle" : "", "family" : "Ivuskans", "given" : "Arturs", "non-dropping-particle" : "", "parse-names" : false, "suffix" : "" }, { "dropping-particle" : "", "family" : "L\u00e4tt", "given" : "Evelin", "non-dropping-particle" : "", "parse-names" : false, "suffix" : "" }, { "dropping-particle" : "", "family" : "M\u00e4estu", "given" : "Jarek", "non-dropping-particle" : "", "parse-names" : false, "suffix" : "" }, { "dropping-particle" : "", "family" : "Saar", "given" : "Meeli", "non-dropping-particle" : "", "parse-names" : false, "suffix" : "" }, { "dropping-particle" : "", "family" : "Purge", "given" : "Priit", "non-dropping-particle" : "", "parse-names" : false, "suffix" : "" }, { "dropping-particle" : "", "family" : "Maasalu", "given" : "Katre", "non-dropping-particle" : "", "parse-names" : false, "suffix" : "" }, { "dropping-particle" : "", "family" : "J\u00fcrim\u00e4e", "given" : "Toivo", "non-dropping-particle" : "", "parse-names" : false, "suffix" : "" }, { "dropping-particle" : "", "family" : "J\u00fcrim\u00e4e", "given" : "Jaak", "non-dropping-particle" : "", "parse-names" : false, "suffix" : "" } ], "container-title" : "Rheumatology International", "id" : "ITEM-1", "issue" : "7", "issued" : { "date-parts" : [ [ "2013" ] ] }, "page" : "1681-1687", "title" : "Bone mineral density in 11-13-year-old boys: Relative importance of the weight status and body composition factors", "type" : "article-journal", "volume" : "33" }, "uris" : [ "http://www.mendeley.com/documents/?uuid=09bb5f7c-cf79-4600-a48a-712c84c238db" ] } ], "mendeley" : { "formattedCitation" : "&lt;sup&gt;53&lt;/sup&gt;", "plainTextFormattedCitation" : "53", "previouslyFormattedCitation" : "&lt;sup&gt;53&lt;/sup&gt;"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53</w:t>
      </w:r>
      <w:r w:rsidR="00156059">
        <w:rPr>
          <w:sz w:val="24"/>
          <w:szCs w:val="24"/>
        </w:rPr>
        <w:fldChar w:fldCharType="end"/>
      </w:r>
      <w:r w:rsidR="008F13B0" w:rsidRPr="0036459D">
        <w:rPr>
          <w:sz w:val="24"/>
          <w:szCs w:val="24"/>
          <w:vertAlign w:val="superscript"/>
        </w:rPr>
        <w:t xml:space="preserve"> </w:t>
      </w:r>
      <w:r w:rsidR="00A04184">
        <w:rPr>
          <w:sz w:val="24"/>
          <w:szCs w:val="24"/>
          <w:vertAlign w:val="superscript"/>
        </w:rPr>
        <w:t xml:space="preserve"> </w:t>
      </w:r>
      <w:r w:rsidR="00A04184">
        <w:rPr>
          <w:sz w:val="24"/>
          <w:szCs w:val="24"/>
        </w:rPr>
        <w:t xml:space="preserve">A sensitivity analysis was conducted excluding the data from these two studies and the results obtained made no substantive changes to the model results or interpretation. </w:t>
      </w:r>
      <w:r w:rsidR="007731E4">
        <w:rPr>
          <w:sz w:val="24"/>
          <w:szCs w:val="24"/>
        </w:rPr>
        <w:t xml:space="preserve">Fourteen of the 16 studies included within this review assessed adiposity using DXA derived outcome measures (88%). One study assessed relative adiposity using </w:t>
      </w:r>
      <w:proofErr w:type="spellStart"/>
      <w:r w:rsidR="007731E4">
        <w:rPr>
          <w:sz w:val="24"/>
          <w:szCs w:val="24"/>
        </w:rPr>
        <w:t>skinfold</w:t>
      </w:r>
      <w:proofErr w:type="spellEnd"/>
      <w:r w:rsidR="007731E4">
        <w:rPr>
          <w:sz w:val="24"/>
          <w:szCs w:val="24"/>
        </w:rPr>
        <w:t xml:space="preserve"> assessment of subcutaneous adipose tissue,</w:t>
      </w:r>
      <w:r w:rsidR="00072647">
        <w:rPr>
          <w:sz w:val="24"/>
          <w:szCs w:val="24"/>
        </w:rPr>
        <w:t xml:space="preserve"> followed by conversion to %BM</w:t>
      </w:r>
      <w:r w:rsidR="007731E4">
        <w:rPr>
          <w:sz w:val="24"/>
          <w:szCs w:val="24"/>
        </w:rPr>
        <w:t>,</w:t>
      </w:r>
      <w:r w:rsidR="00105100">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"10.1007/s10900-009-9201-5", "ISBN" : "1090000992015", "ISSN" : "00945145", "PMID" : "20012477", "abstract" : "Osteoporosis is a serious national public health problem, and is expected to increase significantly over the next few decades, especially in women. A limitation of bone health research exists since few studies have involved Hispanic women, and even fewer, Hispanic immigrant women. For this study we examined the effects of anthropometric, behavioral, and health history variables on bone mineral density (BMD) in 84 immigrant Hispanic women, age 40 and above. BMD was assessed at the spine, femur, and forearm using dual energy x-ray absorptiometry (DXA). Demographic information, health histories, and behavioral risk factors were obtained from a questionnaire. In the younger group (mean age = 44.1 years) 61% had spinal osteopenia, and in the postmenopausal group (mean age = 53.0 years) 59% had osteopenia and 13% had osteoporosis. Femur sites were free of osteoporosis. Mean body mass index (BMI) was 31.8 \u00b1 6.1 and mean waist girth was 95.6 \u00b1 12.5 cm, indicating overall and abdominal obesity. Partial correlations indicated a significant positive relationship between body fat variables and total femur BMD values. ANOVAs revealed no differences in BMD values at any bone site across tertile levels for calcium intake or for physical activity. However, supplemental and dietary calcium intakes were very low and few participants engaged in regular physical activity outside of work and activities of daily living (ADL). In light of the expected increase in osteoporosis in this population and the prevalence of spinal osteopenia in the younger participants, education about the health risks of osteoporosis should be made available to this group.", "author" : [ { "dropping-particle" : "", "family" : "Ballard", "given" : "Joyce E.", "non-dropping-particle" : "", "parse-names" : false, "suffix" : "" }, { "dropping-particle" : "", "family" : "Cooper", "given" : "Cheryl M.", "non-dropping-particle" : "", "parse-names" : false, "suffix" : "" }, { "dropping-particle" : "", "family" : "Bone", "given" : "Mary A.", "non-dropping-particle" : "", "parse-names" : false, "suffix" : "" }, { "dropping-particle" : "", "family" : "Saade", "given" : "Guillermo", "non-dropping-particle" : "", "parse-names" : false, "suffix" : "" }, { "dropping-particle" : "", "family" : "Holiday", "given" : "David B.", "non-dropping-particle" : "", "parse-names" : false, "suffix" : "" } ], "container-title" : "Journal of Community Health", "id" : "ITEM-1", "issue" : "5", "issued" : { "date-parts" : [ [ "2010" ] ] }, "page" : "453-463", "title" : "Bone health in immigrant hispanic women living in texas", "type" : "article-journal", "volume" : "35" }, "uris" : [ "http://www.mendeley.com/documents/?uuid=cde119cb-b1f9-42cb-8c81-cae1acd7b9a2" ] } ], "mendeley" : { "formattedCitation" : "&lt;sup&gt;47&lt;/sup&gt;", "plainTextFormattedCitation" : "47", "previouslyFormattedCitation" : "&lt;sup&gt;47&lt;/sup&gt;"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47</w:t>
      </w:r>
      <w:r w:rsidR="00156059">
        <w:rPr>
          <w:sz w:val="24"/>
          <w:szCs w:val="24"/>
        </w:rPr>
        <w:fldChar w:fldCharType="end"/>
      </w:r>
      <w:r w:rsidR="007731E4">
        <w:rPr>
          <w:sz w:val="24"/>
          <w:szCs w:val="24"/>
        </w:rPr>
        <w:t xml:space="preserve"> while another estimated adiposity from DXA software (GE encore software V.11.10)</w:t>
      </w:r>
      <w:r w:rsidR="00371B54">
        <w:rPr>
          <w:sz w:val="24"/>
          <w:szCs w:val="24"/>
        </w:rPr>
        <w:t>,</w:t>
      </w:r>
      <w:r w:rsidR="007731E4">
        <w:rPr>
          <w:sz w:val="24"/>
          <w:szCs w:val="24"/>
        </w:rPr>
        <w:t xml:space="preserve"> which predicted adiposity based on lumbar spine and femur DXA </w:t>
      </w:r>
      <w:r w:rsidR="007731E4" w:rsidRPr="00C84CB2">
        <w:rPr>
          <w:sz w:val="24"/>
          <w:szCs w:val="24"/>
        </w:rPr>
        <w:t>images.</w:t>
      </w:r>
      <w:r w:rsidR="00105100">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"10.1016/j.jocd.2013.02.007", "ISBN" : "1094-6950", "ISSN" : "10946950", "PMID" : "23499561", "abstract" : "The objective of this study was to assess the relative association between body weight, body mass index (BMI), lean mass (LM) and fat mass (FM), and bone mineral density (BMD) in a group of Jordanian postmenopausal women and investigate if this possible association changes with age. A total of 3256 patients had dual-energy X-ray absorptiometry (DXA) scan in the period from January 2009 till January 2012 at the Radiology and Nuclear Medicine Department of Jordan University Hospital. Only 584 women met the selection criteria. Age has been recorded, and patients were divided into subgroups according to age. Body weight and height were measured, and BMI was calculated. Body composition (LM, FM, percentage of android fat, and percentage of gynoid fat) was assessed by DXA. BMD of the lumbar spine (L1-L4) and femoral neck was measured by DXA. Weight, BMI, FM, LM, percentage of android fat, and percentage of gynoid fat were positively correlated to BMD at both lumbar spine and femoral neck. However, this correlation disappeared at the age of 70. yr at lumbar spine and 75. yr at femoral neck. This study suggests that both FM and LM are important determinants of BMD in Jordanian postmenopausal women, and this correlation disappears after the age of 70. yr at lumbar spine and 75. yr at femoral neck. ?? 2014 The International Society for Clinical Densitometry.", "author" : [ { "dropping-particle" : "", "family" : "Hawamdeh", "given" : "Ziad M.", "non-dropping-particle" : "", "parse-names" : false, "suffix" : "" }, { "dropping-particle" : "", "family" : "Sheikh-Ali", "given" : "Rasha F.", "non-dropping-particle" : "", "parse-names" : false, "suffix" : "" }, { "dropping-particle" : "", "family" : "AlSharif", "given" : "Abedallatif", "non-dropping-particle" : "", "parse-names" : false, "suffix" : "" }, { "dropping-particle" : "", "family" : "Otom", "given" : "Ali H.", "non-dropping-particle" : "", "parse-names" : false, "suffix" : "" }, { "dropping-particle" : "", "family" : "Ibrahim", "given" : "Alaa I.", "non-dropping-particle" : "", "parse-names" : false, "suffix" : "" }, { "dropping-particle" : "", "family" : "AlHadidi", "given" : "Fadi A.", "non-dropping-particle" : "", "parse-names" : false, "suffix" : "" }, { "dropping-particle" : "", "family" : "Samarah", "given" : "Omar Q.", "non-dropping-particle" : "", "parse-names" : false, "suffix" : "" }, { "dropping-particle" : "", "family" : "Dheirat", "given" : "Imad N.", "non-dropping-particle" : "", "parse-names" : false, "suffix" : "" }, { "dropping-particle" : "", "family" : "Juweid", "given" : "Malik E.", "non-dropping-particle" : "", "parse-names" : false, "suffix" : "" } ], "container-title" : "Journal of Clinical Densitometry", "id" : "ITEM-1", "issue" : "1", "issued" : { "date-parts" : [ [ "2014" ] ] }, "page" : "143-149", "publisher" : "Elsevier Ltd", "title" : "The influence of aging on the association between adiposity and bone mineral density in jordanian postmenopausal women", "type" : "article-journal", "volume" : "17" }, "uris" : [ "http://www.mendeley.com/documents/?uuid=8e296f73-0b17-4e36-9257-478cfada9454" ] } ], "mendeley" : { "formattedCitation" : "&lt;sup&gt;52&lt;/sup&gt;", "plainTextFormattedCitation" : "52", "previouslyFormattedCitation" : "&lt;sup&gt;52&lt;/sup&gt;"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52</w:t>
      </w:r>
      <w:r w:rsidR="00156059">
        <w:rPr>
          <w:sz w:val="24"/>
          <w:szCs w:val="24"/>
        </w:rPr>
        <w:fldChar w:fldCharType="end"/>
      </w:r>
      <w:r w:rsidR="007731E4" w:rsidRPr="00C84CB2">
        <w:rPr>
          <w:sz w:val="24"/>
          <w:szCs w:val="24"/>
        </w:rPr>
        <w:t xml:space="preserve"> </w:t>
      </w:r>
      <w:r w:rsidR="00246C0E">
        <w:rPr>
          <w:sz w:val="24"/>
          <w:szCs w:val="24"/>
        </w:rPr>
        <w:t>In order to identify if the inclusion of these studies, which employed different, and potentially less reliable means of assessing body composition, had any impact on the study findings, a</w:t>
      </w:r>
      <w:r w:rsidR="009152EE">
        <w:rPr>
          <w:sz w:val="24"/>
          <w:szCs w:val="24"/>
        </w:rPr>
        <w:t>n additional</w:t>
      </w:r>
      <w:r w:rsidR="00E4311D" w:rsidRPr="00C84CB2">
        <w:rPr>
          <w:sz w:val="24"/>
          <w:szCs w:val="24"/>
        </w:rPr>
        <w:t xml:space="preserve"> sensitivity analysis was conducted following the exclusion of these 2 studies</w:t>
      </w:r>
      <w:r w:rsidR="00246C0E">
        <w:rPr>
          <w:sz w:val="24"/>
          <w:szCs w:val="24"/>
        </w:rPr>
        <w:t>.</w:t>
      </w:r>
      <w:r w:rsidR="00E4311D" w:rsidRPr="00C84CB2">
        <w:rPr>
          <w:sz w:val="24"/>
          <w:szCs w:val="24"/>
        </w:rPr>
        <w:t xml:space="preserve"> </w:t>
      </w:r>
      <w:r w:rsidR="00246C0E">
        <w:rPr>
          <w:sz w:val="24"/>
          <w:szCs w:val="24"/>
        </w:rPr>
        <w:t xml:space="preserve">Once again, </w:t>
      </w:r>
      <w:r w:rsidR="00E4311D" w:rsidRPr="00C84CB2">
        <w:rPr>
          <w:sz w:val="24"/>
          <w:szCs w:val="24"/>
        </w:rPr>
        <w:t>the results obtained did not make any meaningful changes to the models reported</w:t>
      </w:r>
      <w:r w:rsidR="00C84CB2" w:rsidRPr="00C84CB2">
        <w:rPr>
          <w:sz w:val="24"/>
          <w:szCs w:val="24"/>
        </w:rPr>
        <w:t xml:space="preserve"> or to the interpretation of results</w:t>
      </w:r>
      <w:r w:rsidR="00E4311D" w:rsidRPr="00C84CB2">
        <w:rPr>
          <w:sz w:val="24"/>
          <w:szCs w:val="24"/>
        </w:rPr>
        <w:t>.</w:t>
      </w:r>
      <w:r w:rsidR="008F13B0" w:rsidRPr="00C84CB2">
        <w:rPr>
          <w:sz w:val="24"/>
          <w:szCs w:val="24"/>
        </w:rPr>
        <w:t xml:space="preserve"> Participation</w:t>
      </w:r>
      <w:r w:rsidR="008F13B0" w:rsidRPr="00F77F70">
        <w:rPr>
          <w:sz w:val="24"/>
          <w:szCs w:val="24"/>
        </w:rPr>
        <w:t xml:space="preserve"> in physical activity (PA) is known to impact BMD, and may actually alter the relationship between adiposity and bone in </w:t>
      </w:r>
      <w:r w:rsidR="008F13B0" w:rsidRPr="00105100">
        <w:rPr>
          <w:sz w:val="24"/>
          <w:szCs w:val="24"/>
        </w:rPr>
        <w:t>certain populations</w:t>
      </w:r>
      <w:r w:rsidR="00105100" w:rsidRPr="00105100">
        <w:rPr>
          <w:sz w:val="24"/>
          <w:szCs w:val="24"/>
        </w:rPr>
        <w:t xml:space="preserve">. </w:t>
      </w:r>
      <w:r w:rsidR="00156059" w:rsidRPr="00105100">
        <w:rPr>
          <w:sz w:val="24"/>
          <w:szCs w:val="24"/>
        </w:rPr>
        <w:fldChar w:fldCharType="begin" w:fldLock="1"/>
      </w:r>
      <w:r w:rsidR="0075024E">
        <w:rPr>
          <w:sz w:val="24"/>
          <w:szCs w:val="24"/>
        </w:rPr>
        <w:instrText>ADDIN CSL_CITATION { "citationItems" : [ { "id" : "ITEM-1", "itemData" : { "author" : [ { "dropping-particle" : "", "family" : "Reid", "given" : "IR", "non-dropping-particle" : "", "parse-names" : false, "suffix" : "" }, { "dropping-particle" : "", "family" : "Legge", "given" : "M", "non-dropping-particle" : "", "parse-names" : false, "suffix" : "" }, { "dropping-particle" : "", "family" : "Stapleton", "given" : "JP", "non-dropping-particle" : "", "parse-names" : false, "suffix" : "" }, { "dropping-particle" : "", "family" : "Evans", "given" : "MC", "non-dropping-particle" : "", "parse-names" : false, "suffix" : "" }, { "dropping-particle" : "", "family" : "Grey", "given" : "AB", "non-dropping-particle" : "", "parse-names" : false, "suffix" : "" } ], "container-title" : "The Journal of Clinical Endocrinology &amp; Metabolism", "id" : "ITEM-1", "issue" : "6", "issued" : { "date-parts" : [ [ "1995" ] ] }, "page" : "1764-8", "title" : "Regular exercise dissociates fat mass and bone density in premenopausal women", "type" : "article-journal", "volume" : "80" }, "uris" : [ "http://www.mendeley.com/documents/?uuid=cd9280e4-9257-4187-b6f1-34c78fd6ac3c" ] } ], "mendeley" : { "formattedCitation" : "&lt;sup&gt;62&lt;/sup&gt;", "plainTextFormattedCitation" : "62", "previouslyFormattedCitation" : "&lt;sup&gt;62&lt;/sup&gt;" }, "properties" : { "noteIndex" : 0 }, "schema" : "https://github.com/citation-style-language/schema/raw/master/csl-citation.json" }</w:instrText>
      </w:r>
      <w:r w:rsidR="00156059" w:rsidRPr="00105100">
        <w:rPr>
          <w:sz w:val="24"/>
          <w:szCs w:val="24"/>
        </w:rPr>
        <w:fldChar w:fldCharType="separate"/>
      </w:r>
      <w:r w:rsidR="00AA43A0" w:rsidRPr="00AA43A0">
        <w:rPr>
          <w:noProof/>
          <w:sz w:val="24"/>
          <w:szCs w:val="24"/>
          <w:vertAlign w:val="superscript"/>
        </w:rPr>
        <w:t>62</w:t>
      </w:r>
      <w:r w:rsidR="00156059" w:rsidRPr="00105100">
        <w:rPr>
          <w:sz w:val="24"/>
          <w:szCs w:val="24"/>
        </w:rPr>
        <w:fldChar w:fldCharType="end"/>
      </w:r>
      <w:r w:rsidR="008F13B0" w:rsidRPr="00105100">
        <w:rPr>
          <w:sz w:val="24"/>
          <w:szCs w:val="24"/>
        </w:rPr>
        <w:t xml:space="preserve"> The</w:t>
      </w:r>
      <w:r w:rsidR="008F13B0" w:rsidRPr="00F77F70">
        <w:rPr>
          <w:sz w:val="24"/>
          <w:szCs w:val="24"/>
        </w:rPr>
        <w:t xml:space="preserve"> majority of studies either excluded participants based upon regular PA participation, or confirmed that BMD was not influenced by PA level, although some did not confirm the PA status of the sample</w:t>
      </w:r>
      <w:r w:rsidR="008F13B0">
        <w:rPr>
          <w:sz w:val="24"/>
          <w:szCs w:val="24"/>
        </w:rPr>
        <w:t>.</w:t>
      </w:r>
      <w:r w:rsidR="00105100">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"10.2478/s11536-013-0259-1", "ISSN" : "2391-5463", "abstract" : "&lt;p&gt;The aim of this study was to determine the relative contributions of fat mass and lean mass to the variability of bone mineral density (BMD) of the lumbar spine and proximal 1/3 forearm in Bulgarian women. 180 women aged 21 through 76 years participated (mean age 50.8 \u00b1 9.7 years). 130 of them were postmenopausal. Lumbar spine and forearm BMD were measured by dual-energy X-ray absorptiometry, followed by a whole-body scan for body composition examination (Hologic QDR 4500 A device, software version 1.26). The strongest linear correlation was found with body weight (r2=0.231, p&amp;lt;0.001). Using this model, 18.1 % of the variability of lumbar spine BMD was attributable to fat mass and 16.0 % to lean mass. The relative influence of fat mass on L1-L4 BMD was greater than that of lean mass (standardized regression coefficient 0.291 versus 0.199). There were weak correlations of body weight, fat and lean mass with the forearm BMD. Lean mass correlated slightly better (r=0.187, p=0.050) to forearm BMD than fat mass (r=0.162, p=0.055). In conclusion, the differentiation between fat and lean mass does not strengthen the BMD correlations beyond that with total body weight.&lt;/p&gt;", "author" : [ { "dropping-particle" : "", "family" : "Boyanov", "given" : "Mihail", "non-dropping-particle" : "", "parse-names" : false, "suffix" : "" } ], "container-title" : "Open Medicine", "id" : "ITEM-1", "issue" : "1", "issued" : { "date-parts" : [ [ "2014" ] ] }, "title" : "Body fat, lean mass and bone density of the spine and forearm in women", "type" : "article-journal", "volume" : "9" }, "uris" : [ "http://www.mendeley.com/documents/?uuid=cb11ac81-3ffb-4bbc-a3c5-3205fee0670a" ] }, { "id" : "ITEM-2", "itemData" : { "DOI" : "S0004-27302012000100003 [pii]", "ISBN" : "1677-9487 (Electronic)\\n0004-2730 (Linking)", "ISSN" : "1677-9487", "PMID" : "22460190", "abstract" : "OBJECTIVE: To verify the influence of visceral and subcutaneous fat, as well adipokines in bone mineral density (BMD) in obese adolescents.\\n\\nSUBJECTS AND METHODS: The study involved 125 postpubertal obese adolescents (45 boys and 80 girls). Anthropometric measurements, body composition, visceral and subcutaneous fat, and BMD were determined. Leptin, adiponectin, and insulin levels also analyzed.\\n\\nRESULTS: Data demonstrated a negative relationship between BMD with insulin resistance, visceral fat and leptin concentration; and bone mineral content with visceral/subcutaneous ratio. Positive association between BMD and subcutaneous fat was observed.\\n\\nCONCLUSIONS: Visceral fat and insulin resistance, as well as visceral/subcutaneous ratio and leptin concentration, were negative predictors of BMD in boys and girls, respectively. However, subcutaneous fat had a protective influence in BMD only in boys.", "author" : [ { "dropping-particle" : "", "family" : "Campos", "given" : "Raquel M S", "non-dropping-particle" : "", "parse-names" : false, "suffix" : "" }, { "dropping-particle" : "", "family" : "Lazaretti-Castro", "given" : "Marise", "non-dropping-particle" : "", "parse-names" : false, "suffix" : "" }, { "dropping-particle" : "De", "family" : "Mello", "given" : "Marco T\u00falio", "non-dropping-particle" : "", "parse-names" : false, "suffix" : "" }, { "dropping-particle" : "", "family" : "Tock", "given" : "Lian", "non-dropping-particle" : "", "parse-names" : false, "suffix" : "" }, { "dropping-particle" : "", "family" : "Silva", "given" : "Patricia L", "non-dropping-particle" : "", "parse-names" : false, "suffix" : "" }, { "dropping-particle" : "", "family" : "Corgosinho", "given" : "Fl\u00e1via C", "non-dropping-particle" : "", "parse-names" : false, "suffix" : "" }, { "dropping-particle" : "", "family" : "Carnier", "given" : "June", "non-dropping-particle" : "", "parse-names" : false, "suffix" : "" }, { "dropping-particle" : "De", "family" : "Piano", "given" : "Aline", "non-dropping-particle" : "", "parse-names" : false, "suffix" : "" }, { "dropping-particle" : "", "family" : "Sanches", "given" : "Priscila L", "non-dropping-particle" : "", "parse-names" : false, "suffix" : "" }, { "dropping-particle" : "", "family" : "Masquio", "given" : "Deborah C L", "non-dropping-particle" : "", "parse-names" : false, "suffix" : "" }, { "dropping-particle" : "", "family" : "Tufik", "given" : "Sergio", "non-dropping-particle" : "", "parse-names" : false, "suffix" : "" }, { "dropping-particle" : "", "family" : "D\u00e2maso", "given" : "Ana R", "non-dropping-particle" : "", "parse-names" : false, "suffix" : "" } ], "container-title" : "Arquivos brasileiros de endocrinologia e metabologia", "id" : "ITEM-2", "issue" : "1", "issued" : { "date-parts" : [ [ "2012" ] ] }, "page" : "12-8", "title" : "Influence of visceral and subcutaneous fat in bone mineral density of obese adolescents.", "type" : "article-journal", "volume" : "56" }, "uris" : [ "http://www.mendeley.com/documents/?uuid=e241a699-3f00-45ce-bff1-152cc714f3b0" ] }, { "id" : "ITEM-3", "itemData" : { "DOI" : "10.1007/s11695-008-9529-4", "ISSN" : "09608923", "PMID" : "18443887", "abstract" : "BACKGROUND: The mechanisms by which increased body weight influence bone mass density (BMD) are still unknown. The aim of our study was to analyze the relationship between anthropometric and body composition variables, insulin growth factor-I (IGF-I), adiponectin and soluble tumor necrosis factor-alpha receptors (sTNFR) 1 and 2 with BMD in two cohorts of morbid obese patients, before and after bypass surgery. METHODS: The first cohort included 25 women aged 48+/-7.6 years studied before bypass surgery. The second included 41 women aged 46+/-9.2 years, 12 months after surgery. We studied anthropometric variables obtained from whole body DEXA composition analysis. Serum IGF-I, intact serum parathyroid hormone, 25-hydroxivitamin D3, plasma adiponectin concentrations, sTNFR1, sTNFR2 concentrations were measured. RESULTS: In the first cohort, the BMI was 44.5+/-3.6 kg/m2, parathyroid hormone, IGF-I, and adiponectin concentrations were lower, and sTNFR1 concentrations were higher than in the second cohort. In the multiple regression analysis, BMD remained significantly associated with body fat percentage (beta -0.154, p=0.01), lean mass (beta 0.057, p=0.016) and phosphate concentration (beta 0.225, p=0.05). In the second cohort, BMI was 31+/-5.1 kg/m2. In the multiple regression analysis, BMD remained significantly associated with lean mass (beta 0.006, p=0.03). CONCLUSION: The inverse correlation found between body fat and BMD in the first cohort indicates morbid obesity increases the risk of osteoporosis and we found a positive correlation with lean and fat mass before bariatric surgery and with lean mass after bypass surgery.", "author" : [ { "dropping-particle" : "", "family" : "Gomez", "given" : "JM", "non-dropping-particle" : "", "parse-names" : false, "suffix" : "" }, { "dropping-particle" : "", "family" : "Vilarrasa", "given" : "N", "non-dropping-particle" : "", "parse-names" : false, "suffix" : "" }, { "dropping-particle" : "", "family" : "Masdevall", "given" : "Carles", "non-dropping-particle" : "", "parse-names" : false, "suffix" : "" }, { "dropping-particle" : "", "family" : "Pujol", "given" : "Jordi", "non-dropping-particle" : "", "parse-names" : false, "suffix" : "" }, { "dropping-particle" : "", "family" : "Solano", "given" : "Esther", "non-dropping-particle" : "", "parse-names" : false, "suffix" : "" }, { "dropping-particle" : "", "family" : "Soler", "given" : "Juan", "non-dropping-particle" : "", "parse-names" : false, "suffix" : "" }, { "dropping-particle" : "", "family" : "Elio", "given" : "I??aki", "non-dropping-particle" : "", "parse-names" : false, "suffix" : "" }, { "dropping-particle" : "", "family" : "Gallart", "given" : "Lluis", "non-dropping-particle" : "", "parse-names" : false, "suffix" : "" }, { "dropping-particle" : "", "family" : "Vendrell", "given" : "Joan", "non-dropping-particle" : "", "parse-names" : false, "suffix" : "" } ], "container-title" : "Obesity Surgery", "id" : "ITEM-3", "issue" : "3", "issued" : { "date-parts" : [ [ "2009" ] ] }, "page" : "345-350", "title" : "Regulation of bone mineral density in morbidly obese women: A cross-sectional study in two cohorts before and after bypass surgery", "type" : "article-journal", "volume" : "19" }, "uris" : [ "http://www.mendeley.com/documents/?uuid=031532dc-1eba-4168-b0f1-b8ca9bef59c3" ] }, { "id" : "ITEM-4", "itemData" : { "DOI" : "10.1016/j.jocd.2013.02.007", "ISBN" : "1094-6950", "ISSN" : "10946950", "PMID" : "23499561", "abstract" : "The objective of this study was to assess the relative association between body weight, body mass index (BMI), lean mass (LM) and fat mass (FM), and bone mineral density (BMD) in a group of Jordanian postmenopausal women and investigate if this possible association changes with age. A total of 3256 patients had dual-energy X-ray absorptiometry (DXA) scan in the period from January 2009 till January 2012 at the Radiology and Nuclear Medicine Department of Jordan University Hospital. Only 584 women met the selection criteria. Age has been recorded, and patients were divided into subgroups according to age. Body weight and height were measured, and BMI was calculated. Body composition (LM, FM, percentage of android fat, and percentage of gynoid fat) was assessed by DXA. BMD of the lumbar spine (L1-L4) and femoral neck was measured by DXA. Weight, BMI, FM, LM, percentage of android fat, and percentage of gynoid fat were positively correlated to BMD at both lumbar spine and femoral neck. However, this correlation disappeared at the age of 70. yr at lumbar spine and 75. yr at femoral neck. This study suggests that both FM and LM are important determinants of BMD in Jordanian postmenopausal women, and this correlation disappears after the age of 70. yr at lumbar spine and 75. yr at femoral neck. ?? 2014 The International Society for Clinical Densitometry.", "author" : [ { "dropping-particle" : "", "family" : "Hawamdeh", "given" : "Ziad M.", "non-dropping-particle" : "", "parse-names" : false, "suffix" : "" }, { "dropping-particle" : "", "family" : "Sheikh-Ali", "given" : "Rasha F.", "non-dropping-particle" : "", "parse-names" : false, "suffix" : "" }, { "dropping-particle" : "", "family" : "AlSharif", "given" : "Abedallatif", "non-dropping-particle" : "", "parse-names" : false, "suffix" : "" }, { "dropping-particle" : "", "family" : "Otom", "given" : "Ali H.", "non-dropping-particle" : "", "parse-names" : false, "suffix" : "" }, { "dropping-particle" : "", "family" : "Ibrahim", "given" : "Alaa I.", "non-dropping-particle" : "", "parse-names" : false, "suffix" : "" }, { "dropping-particle" : "", "family" : "AlHadidi", "given" : "Fadi A.", "non-dropping-particle" : "", "parse-names" : false, "suffix" : "" }, { "dropping-particle" : "", "family" : "Samarah", "given" : "Omar Q.", "non-dropping-particle" : "", "parse-names" : false, "suffix" : "" }, { "dropping-particle" : "", "family" : "Dheirat", "given" : "Imad N.", "non-dropping-particle" : "", "parse-names" : false, "suffix" : "" }, { "dropping-particle" : "", "family" : "Juweid", "given" : "Malik E.", "non-dropping-particle" : "", "parse-names" : false, "suffix" : "" } ], "container-title" : "Journal of Clinical Densitometry", "id" : "ITEM-4", "issue" : "1", "issued" : { "date-parts" : [ [ "2014" ] ] }, "page" : "143-149", "publisher" : "Elsevier Ltd", "title" : "The influence of aging on the association between adiposity and bone mineral density in jordanian postmenopausal women", "type" : "article-journal", "volume" : "17" }, "uris" : [ "http://www.mendeley.com/documents/?uuid=8e296f73-0b17-4e36-9257-478cfada9454" ] }, { "id" : "ITEM-5", "itemData" : { "DOI" : "10.1007/s00296-012-2612-0", "ISSN" : "01728172", "PMID" : "23269569", "abstract" : "This study was aimed to investigate the influence of being overweight on bone mineral status in 11-13-year-old boys, who were divided into overweight (OW; n = 110) and normal weight (NW; n = 154) groups. Bone mineral density (BMD) at the whole body (WB), lumbar spine (LS) and femoral neck (FN), bone mineral content (BMC) at the WB, and body composition were assessed. Calculation of the bone mineral apparent density (BMAD) was completed for the WB, LS and FN. The BMC/height ratio was also computed. OW boys displayed similar values (P &gt; 0.05) for LS and FN BMAD and lower (P &lt; 0.05) WB BMAD, despite significantly higher values (P &lt; 0.05) for more widely used WB and LS BMD, WB BMC and WB BMC/height in comparison with NW boys. Fat-free mass index (FFMI; kg/m(2)) had the highest correlation coefficients from the calculated body composition indices with all bone mineral values in NW boys. In OW boys, the FFMI had the highest correlation only with FN BMD, while other measured bone mineral values had highest correlations with either BMI or FMI indices. In conclusion, OW boys have higher crude WB BMD, BMC and BMC/height ratio in comparison with NW boys. However, the bone growth appears to be insufficient to compensate for the higher mechanical load applied on the bone by higher FM and also FFM values in OW boys. Excessive adiposity does not have a protective effect on the development of BMAD in growing boys reaching puberty.", "author" : [ { "dropping-particle" : "", "family" : "Ivuskans", "given" : "Arturs", "non-dropping-particle" : "", "parse-names" : false, "suffix" : "" }, { "dropping-particle" : "", "family" : "L\u00e4tt", "given" : "Evelin", "non-dropping-particle" : "", "parse-names" : false, "suffix" : "" }, { "dropping-particle" : "", "family" : "M\u00e4estu", "given" : "Jarek", "non-dropping-particle" : "", "parse-names" : false, "suffix" : "" }, { "dropping-particle" : "", "family" : "Saar", "given" : "Meeli", "non-dropping-particle" : "", "parse-names" : false, "suffix" : "" }, { "dropping-particle" : "", "family" : "Purge", "given" : "Priit", "non-dropping-particle" : "", "parse-names" : false, "suffix" : "" }, { "dropping-particle" : "", "family" : "Maasalu", "given" : "Katre", "non-dropping-particle" : "", "parse-names" : false, "suffix" : "" }, { "dropping-particle" : "", "family" : "J\u00fcrim\u00e4e", "given" : "Toivo", "non-dropping-particle" : "", "parse-names" : false, "suffix" : "" }, { "dropping-particle" : "", "family" : "J\u00fcrim\u00e4e", "given" : "Jaak", "non-dropping-particle" : "", "parse-names" : false, "suffix" : "" } ], "container-title" : "Rheumatology International", "id" : "ITEM-5", "issue" : "7", "issued" : { "date-parts" : [ [ "2013" ] ] }, "page" : "1681-1687", "title" : "Bone mineral density in 11-13-year-old boys: Relative importance of the weight status and body composition factors", "type" : "article-journal", "volume" : "33" }, "uris" : [ "http://www.mendeley.com/documents/?uuid=09bb5f7c-cf79-4600-a48a-712c84c238db" ] } ], "mendeley" : { "formattedCitation" : "&lt;sup&gt;48,49,51\u201353&lt;/sup&gt;", "plainTextFormattedCitation" : "48,49,51\u201353", "previouslyFormattedCitation" : "&lt;sup&gt;48,49,51\u201353&lt;/sup&gt;"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48,49,51–53</w:t>
      </w:r>
      <w:r w:rsidR="00156059">
        <w:rPr>
          <w:sz w:val="24"/>
          <w:szCs w:val="24"/>
        </w:rPr>
        <w:fldChar w:fldCharType="end"/>
      </w:r>
      <w:r w:rsidR="00105100">
        <w:rPr>
          <w:sz w:val="24"/>
          <w:szCs w:val="24"/>
        </w:rPr>
        <w:t xml:space="preserve"> </w:t>
      </w:r>
      <w:r w:rsidR="008F13B0" w:rsidRPr="00F77F70">
        <w:rPr>
          <w:sz w:val="24"/>
          <w:szCs w:val="24"/>
        </w:rPr>
        <w:t>Selective outcome reporting represents another source of potential bias. One study only reported correlations that were statistically significant</w:t>
      </w:r>
      <w:r w:rsidR="008F13B0">
        <w:rPr>
          <w:sz w:val="24"/>
          <w:szCs w:val="24"/>
        </w:rPr>
        <w:t>.</w:t>
      </w:r>
      <w:r w:rsidR="00105100">
        <w:rPr>
          <w:sz w:val="24"/>
          <w:szCs w:val="24"/>
        </w:rPr>
        <w:t xml:space="preserve"> </w:t>
      </w:r>
      <w:r w:rsidR="00156059">
        <w:rPr>
          <w:sz w:val="24"/>
          <w:szCs w:val="24"/>
        </w:rPr>
        <w:fldChar w:fldCharType="begin" w:fldLock="1"/>
      </w:r>
      <w:r w:rsidR="0075024E">
        <w:rPr>
          <w:sz w:val="24"/>
          <w:szCs w:val="24"/>
        </w:rPr>
        <w:instrText>ADDIN CSL_CITATION { "citationItems" : [ { "id" : "ITEM-1", "itemData" : { "DOI" : "S0004-27302012000100003 [pii]", "ISBN" : "1677-9487 (Electronic)\\n0004-2730 (Linking)", "ISSN" : "1677-9487", "PMID" : "22460190", "abstract" : "OBJECTIVE: To verify the influence of visceral and subcutaneous fat, as well adipokines in bone mineral density (BMD) in obese adolescents.\\n\\nSUBJECTS AND METHODS: The study involved 125 postpubertal obese adolescents (45 boys and 80 girls). Anthropometric measurements, body composition, visceral and subcutaneous fat, and BMD were determined. Leptin, adiponectin, and insulin levels also analyzed.\\n\\nRESULTS: Data demonstrated a negative relationship between BMD with insulin resistance, visceral fat and leptin concentration; and bone mineral content with visceral/subcutaneous ratio. Positive association between BMD and subcutaneous fat was observed.\\n\\nCONCLUSIONS: Visceral fat and insulin resistance, as well as visceral/subcutaneous ratio and leptin concentration, were negative predictors of BMD in boys and girls, respectively. However, subcutaneous fat had a protective influence in BMD only in boys.", "author" : [ { "dropping-particle" : "", "family" : "Campos", "given" : "Raquel M S", "non-dropping-particle" : "", "parse-names" : false, "suffix" : "" }, { "dropping-particle" : "", "family" : "Lazaretti-Castro", "given" : "Marise", "non-dropping-particle" : "", "parse-names" : false, "suffix" : "" }, { "dropping-particle" : "De", "family" : "Mello", "given" : "Marco T\u00falio", "non-dropping-particle" : "", "parse-names" : false, "suffix" : "" }, { "dropping-particle" : "", "family" : "Tock", "given" : "Lian", "non-dropping-particle" : "", "parse-names" : false, "suffix" : "" }, { "dropping-particle" : "", "family" : "Silva", "given" : "Patricia L", "non-dropping-particle" : "", "parse-names" : false, "suffix" : "" }, { "dropping-particle" : "", "family" : "Corgosinho", "given" : "Fl\u00e1via C", "non-dropping-particle" : "", "parse-names" : false, "suffix" : "" }, { "dropping-particle" : "", "family" : "Carnier", "given" : "June", "non-dropping-particle" : "", "parse-names" : false, "suffix" : "" }, { "dropping-particle" : "De", "family" : "Piano", "given" : "Aline", "non-dropping-particle" : "", "parse-names" : false, "suffix" : "" }, { "dropping-particle" : "", "family" : "Sanches", "given" : "Priscila L", "non-dropping-particle" : "", "parse-names" : false, "suffix" : "" }, { "dropping-particle" : "", "family" : "Masquio", "given" : "Deborah C L", "non-dropping-particle" : "", "parse-names" : false, "suffix" : "" }, { "dropping-particle" : "", "family" : "Tufik", "given" : "Sergio", "non-dropping-particle" : "", "parse-names" : false, "suffix" : "" }, { "dropping-particle" : "", "family" : "D\u00e2maso", "given" : "Ana R", "non-dropping-particle" : "", "parse-names" : false, "suffix" : "" } ], "container-title" : "Arquivos brasileiros de endocrinologia e metabologia", "id" : "ITEM-1", "issue" : "1", "issued" : { "date-parts" : [ [ "2012" ] ] }, "page" : "12-8", "title" : "Influence of visceral and subcutaneous fat in bone mineral density of obese adolescents.", "type" : "article-journal", "volume" : "56" }, "uris" : [ "http://www.mendeley.com/documents/?uuid=e241a699-3f00-45ce-bff1-152cc714f3b0" ] } ], "mendeley" : { "formattedCitation" : "&lt;sup&gt;49&lt;/sup&gt;", "plainTextFormattedCitation" : "49", "previouslyFormattedCitation" : "&lt;sup&gt;49&lt;/sup&gt;"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49</w:t>
      </w:r>
      <w:r w:rsidR="00156059">
        <w:rPr>
          <w:sz w:val="24"/>
          <w:szCs w:val="24"/>
        </w:rPr>
        <w:fldChar w:fldCharType="end"/>
      </w:r>
      <w:r w:rsidR="008F13B0" w:rsidRPr="00F77F70">
        <w:rPr>
          <w:sz w:val="24"/>
          <w:szCs w:val="24"/>
        </w:rPr>
        <w:t xml:space="preserve"> In addition, many of the studies reported correlations between </w:t>
      </w:r>
      <w:r w:rsidR="00A04184">
        <w:rPr>
          <w:sz w:val="24"/>
          <w:szCs w:val="24"/>
        </w:rPr>
        <w:t>BMD</w:t>
      </w:r>
      <w:r w:rsidR="008F13B0" w:rsidRPr="00F77F70">
        <w:rPr>
          <w:sz w:val="24"/>
          <w:szCs w:val="24"/>
        </w:rPr>
        <w:t xml:space="preserve"> and either absolute or relative </w:t>
      </w:r>
      <w:r w:rsidR="009152EE">
        <w:rPr>
          <w:sz w:val="24"/>
          <w:szCs w:val="24"/>
        </w:rPr>
        <w:t>adipose</w:t>
      </w:r>
      <w:r w:rsidR="009152EE" w:rsidRPr="00F77F70">
        <w:rPr>
          <w:sz w:val="24"/>
          <w:szCs w:val="24"/>
        </w:rPr>
        <w:t xml:space="preserve"> </w:t>
      </w:r>
      <w:r w:rsidR="008F13B0" w:rsidRPr="00F77F70">
        <w:rPr>
          <w:sz w:val="24"/>
          <w:szCs w:val="24"/>
        </w:rPr>
        <w:t>ma</w:t>
      </w:r>
      <w:r w:rsidR="00112A61">
        <w:rPr>
          <w:sz w:val="24"/>
          <w:szCs w:val="24"/>
        </w:rPr>
        <w:t>ss, but not both (Table 3</w:t>
      </w:r>
      <w:r w:rsidR="008F13B0" w:rsidRPr="00F77F70">
        <w:rPr>
          <w:sz w:val="24"/>
          <w:szCs w:val="24"/>
        </w:rPr>
        <w:t xml:space="preserve">). </w:t>
      </w:r>
    </w:p>
    <w:p w:rsidR="008F13B0" w:rsidRPr="00F77F70" w:rsidRDefault="008F13B0" w:rsidP="00D1500E">
      <w:pPr>
        <w:tabs>
          <w:tab w:val="left" w:pos="2865"/>
        </w:tabs>
        <w:spacing w:line="360" w:lineRule="auto"/>
        <w:jc w:val="both"/>
        <w:rPr>
          <w:b/>
          <w:bCs/>
          <w:sz w:val="24"/>
          <w:szCs w:val="24"/>
        </w:rPr>
      </w:pPr>
    </w:p>
    <w:p w:rsidR="008F13B0" w:rsidRPr="00F77F70" w:rsidRDefault="008F13B0" w:rsidP="00D1500E">
      <w:pPr>
        <w:tabs>
          <w:tab w:val="left" w:pos="2865"/>
        </w:tabs>
        <w:spacing w:line="360" w:lineRule="auto"/>
        <w:jc w:val="both"/>
        <w:rPr>
          <w:b/>
          <w:bCs/>
          <w:sz w:val="24"/>
          <w:szCs w:val="24"/>
        </w:rPr>
      </w:pPr>
      <w:r w:rsidRPr="00F77F70">
        <w:rPr>
          <w:b/>
          <w:bCs/>
          <w:sz w:val="24"/>
          <w:szCs w:val="24"/>
        </w:rPr>
        <w:t>DISCUSSION:</w:t>
      </w:r>
    </w:p>
    <w:p w:rsidR="008F13B0" w:rsidRPr="00F77F70" w:rsidRDefault="008F13B0" w:rsidP="00D1500E">
      <w:pPr>
        <w:spacing w:line="360" w:lineRule="auto"/>
        <w:jc w:val="both"/>
        <w:rPr>
          <w:sz w:val="24"/>
          <w:szCs w:val="24"/>
        </w:rPr>
      </w:pPr>
      <w:r w:rsidRPr="00F77F70">
        <w:rPr>
          <w:sz w:val="24"/>
          <w:szCs w:val="24"/>
        </w:rPr>
        <w:t>The primary finding</w:t>
      </w:r>
      <w:r w:rsidR="009152EE">
        <w:rPr>
          <w:sz w:val="24"/>
          <w:szCs w:val="24"/>
        </w:rPr>
        <w:t xml:space="preserve"> of this </w:t>
      </w:r>
      <w:r w:rsidR="00E74B16">
        <w:rPr>
          <w:sz w:val="24"/>
          <w:szCs w:val="24"/>
        </w:rPr>
        <w:t>meta-analysis</w:t>
      </w:r>
      <w:r w:rsidR="009152EE">
        <w:rPr>
          <w:sz w:val="24"/>
          <w:szCs w:val="24"/>
        </w:rPr>
        <w:t>,</w:t>
      </w:r>
      <w:r w:rsidRPr="00F77F70">
        <w:rPr>
          <w:sz w:val="24"/>
          <w:szCs w:val="24"/>
        </w:rPr>
        <w:t xml:space="preserve"> was that adipose mass showed an opposing correlation with BMD, which depended on whether </w:t>
      </w:r>
      <w:r w:rsidR="009152EE">
        <w:rPr>
          <w:sz w:val="24"/>
          <w:szCs w:val="24"/>
        </w:rPr>
        <w:t>adiposity</w:t>
      </w:r>
      <w:r w:rsidRPr="00F77F70">
        <w:rPr>
          <w:sz w:val="24"/>
          <w:szCs w:val="24"/>
        </w:rPr>
        <w:t xml:space="preserve"> was expressed as </w:t>
      </w:r>
      <w:r w:rsidR="00A04184">
        <w:rPr>
          <w:sz w:val="24"/>
          <w:szCs w:val="24"/>
        </w:rPr>
        <w:t>an absolute or relative entity.</w:t>
      </w:r>
      <w:r w:rsidRPr="00F77F70">
        <w:rPr>
          <w:sz w:val="24"/>
          <w:szCs w:val="24"/>
        </w:rPr>
        <w:t xml:space="preserve"> Absolute adipose mass was positively correlated; and relative adipose mass negatively correlated with BMD. Secondary analyses indicated that various factors </w:t>
      </w:r>
      <w:r w:rsidRPr="00F77F70">
        <w:rPr>
          <w:sz w:val="24"/>
          <w:szCs w:val="24"/>
        </w:rPr>
        <w:lastRenderedPageBreak/>
        <w:t>exerted a moderating influence on these findings, with sex and age predominantly impacting the reported correlations. The relationship between adipose mass and BMD has been the subject of a number of narrative reviews in recent years</w:t>
      </w:r>
      <w:r>
        <w:rPr>
          <w:sz w:val="24"/>
          <w:szCs w:val="24"/>
        </w:rPr>
        <w:t>,</w:t>
      </w:r>
      <w:r w:rsidR="00265E0D">
        <w:rPr>
          <w:sz w:val="24"/>
          <w:szCs w:val="24"/>
        </w:rPr>
        <w:t xml:space="preserve"> </w:t>
      </w:r>
      <w:r w:rsidR="00156059">
        <w:rPr>
          <w:sz w:val="24"/>
          <w:szCs w:val="24"/>
        </w:rPr>
        <w:fldChar w:fldCharType="begin" w:fldLock="1"/>
      </w:r>
      <w:r w:rsidR="0075024E">
        <w:rPr>
          <w:sz w:val="24"/>
          <w:szCs w:val="24"/>
        </w:rPr>
        <w:instrText>ADDIN CSL_CITATION { "citationItems" : [ { "id" : "ITEM-1", "itemData" : { "ISSN" : "20088213", "PMID" : "25538842", "abstract" : "BACKGROUND: The aim was to investigate the relationships among lean mass (LM), fat mass (FM), and bone mineral density (BMD) in women stratified by body mass index (BMI) (BMI - normal-weight, overweight, obese) and to determine threshold at which body fat assumes negative relationship with BMD.\\n\\nMETHODS: This was a cross-sectional study in 471 healthy Caucasian women, aged 18-67 years. BMD, LM, and FM were measured using dual-energy X-ray absorptiometry. Analysis of variance with Bonferroni corrections was used to test the BMI group differences. Linear regression was used to examine independent contributions of LM and FM on BMD of various skeletal sites (controlling for age and height). In overweight/obese women PROC LOESS plots were used to determine the inflection points at which either LM or FM relationship with BMD changes direction. Separate analyses in pre- and post-menopausal women were conducted as well.\\n\\nRESULTS: Spine and femoral neck BMD were not different among three BMI groups while total body, femur and radius BMD were statistically different (the highest in the obese group). Linear regression revealed that LM had significant positive association with BMD of various skeletal sites in all groups. FM showed a negative association with BMD of femoral neck and femur in normal-weight and spine in overweight women, but a positive association with radius in obese women. Inflection points showed that body fat between 33% and 38% assumed negative relationship with BMD for most skeletal sites in overweight and obese women.\\n\\nCONCLUSIONS: Although LM has strong positive relationship with BMD, FM above 33% in overweight/obese women is negatively related to BMD of most skeletal sites. Therefore, overweight/obesity after certain amount of FM, may not be a protective factor against osteoporosis in females. For clinical practice in women, it is important to maintain LM and keep FM accrual below ~30% body fat to maintain good skeletal health.", "author" : [ { "dropping-particle" : "", "family" : "Liu", "given" : "Pei Yang", "non-dropping-particle" : "", "parse-names" : false, "suffix" : "" }, { "dropping-particle" : "", "family" : "Ilich", "given" : "Jasminka Z.", "non-dropping-particle" : "", "parse-names" : false, "suffix" : "" }, { "dropping-particle" : "", "family" : "Brummel-Smith", "given" : "Ken", "non-dropping-particle" : "", "parse-names" : false, "suffix" : "" }, { "dropping-particle" : "", "family" : "Ghosh", "given" : "Sunita", "non-dropping-particle" : "", "parse-names" : false, "suffix" : "" } ], "container-title" : "International Journal of Preventive Medicine", "id" : "ITEM-1", "issue" : "11", "issued" : { "date-parts" : [ [ "2014" ] ] }, "page" : "1452-1463", "title" : "New insight into fat, muscle and bone relationship in women: Determining the threshold at which body fat assumes negative relationship with bone mineral density", "type" : "article-journal", "volume" : "5" }, "uris" : [ "http://www.mendeley.com/documents/?uuid=50faea5b-133b-47d0-9153-e1a817e022d6" ] }, { "id" : "ITEM-2", "itemData" : { "ISSN" : "1897-9483", "PMID" : "20864910", "abstract" : "The protective effect of obesity on bone tissue has not been unequivocally demonstrated. On one hand, it is known that obese people have a lower risk of osteoporotic fractures compared with normal-weight individuals. On the other hand, obese patients are characterized by disorders of calcium-phosphate homeostasis and bone metabolism. Moreover, it is not known whether it is fat or lean body mass that determines the development of bone mass. It can be assumed that adipose tissue exerts independent effects on bone remodeling by releasing a number of biologically active substances. Moreover, it seems that the main mechanism of action of these substances is closely related to the type and location of adipose tissue in the body. The present article describes the relationship between fat and bones, including the effect of body weight on bone tissue, the local mechanisms of osteoblast and adipocyte differentiation, and the hormonal activity of adipose tissue.", "author" : [ { "dropping-particle" : "", "family" : "Holecki", "given" : "Micha\u0142", "non-dropping-particle" : "", "parse-names" : false, "suffix" : "" }, { "dropping-particle" : "", "family" : "Wiecek", "given" : "Andrzej", "non-dropping-particle" : "", "parse-names" : false, "suffix" : "" } ], "container-title" : "Polskie archiwum medycyny wewnetrznej", "id" : "ITEM-2", "issue" : "9", "issued" : { "date-parts" : [ [ "2010" ] ] }, "page" : "361-367", "title" : "Relationship between body fat mass and bone metabolism.", "type" : "article-journal", "volume" : "120" }, "uris" : [ "http://www.mendeley.com/documents/?uuid=fd37138d-8f78-4cdb-be45-da0f65e822bc" ] }, { "id" : "ITEM-3", "itemData" : { "DOI" : "10.1186/1749-799X-6-30", "ISBN" : "1749-799X", "ISSN" : "1749-799X", "PMID" : "21676245", "abstract" : "Obesity is traditionally viewed to be beneficial to bone health because of well-established positive effect of mechanical loading conferred by body weight on bone formation, despite being a risk factor for many other chronic health disorders. Although body mass has a positive effect on bone formation, whether the mass derived from an obesity condition or excessive fat accumulation is beneficial to bone remains controversial. The underline pathophysiological relationship between obesity and bone is complex and continues to be an active research area. Recent data from epidemiological and animal studies strongly support that fat accumulation is detrimental to bone mass. To our knowledge, obesity possibly affects bone metabolism through several mechanisms. Because both adipocytes and osteoblasts are derived from a common multipotential mesenchymal stem cell, obesity may increase adipocyte differentiation and fat accumulation while decrease osteoblast differentiation and bone formation. Obesity is associated with chronic inflammation. The increased circulating and tissue proinflammatory cytokines in obesity may promote osteoclast activity and bone resorption through modifying the receptor activator of NF-\u03baB (RANK)/RANK ligand/osteoprotegerin pathway. Furthermore, the excessive secretion of leptin and/or decreased production of adiponectin by adipocytes in obesity may either directly affect bone formation or indirectly affect bone resorption through up-regulated proinflammatory cytokine production. Finally, high-fat intake may interfere with intestinal calcium absorption and therefore decrease calcium availability for bone formation. Unraveling the relationship between fat and bone metabolism at molecular level may help us to develop therapeutic agents to prevent or treat both obesity and osteoporosis. Obesity, defined as having a body mass index \u2265 30 kg/m2, is a condition in which excessive body fat accumulates to a degree that adversely affects health. The rates of obesity rates have doubled since 1980 and as of 2007, 33% of men and 35% of women in the US are obese. Obesity is positively associated to many chronic disorders such as hypertension, dyslipidemia, type 2 diabetes mellitus, coronary heart disease, and certain cancers. It is estimated that the direct medical cost associated with obesity in the United States is ~$100 billion per year.Bone mass and strength decrease during adulthood, especially in women after menopause. These changes can culminate i\u2026", "author" : [ { "dropping-particle" : "", "family" : "Cao", "given" : "Jay J", "non-dropping-particle" : "", "parse-names" : false, "suffix" : "" } ], "container-title" : "Journal of orthopaedic surgery and research", "id" : "ITEM-3", "issue" : "1", "issued" : { "date-parts" : [ [ "2011" ] ] }, "page" : "30", "publisher" : "BioMed Central Ltd", "title" : "Effects of obesity on bone metabolism.", "type" : "article-journal", "volume" : "6" }, "uris" : [ "http://www.mendeley.com/documents/?uuid=62f05452-7a6d-49c3-8a63-1fa9385f7bf0" ] }, { "id" : "ITEM-4", "itemData" : { "author" : [ { "dropping-particle" : "", "family" : "Wong", "given" : "SK", "non-dropping-particle" : "", "parse-names" : false, "suffix" : "" }, { "dropping-particle" : "", "family" : "Chin", "given" : "KY", "non-dropping-particle" : "", "parse-names" : false, "suffix" : "" }, { "dropping-particle" : "", "family" : "Suhaimi", "given" : "FH", "non-dropping-particle" : "", "parse-names" : false, "suffix" : "" }, { "dropping-particle" : "", "family" : "Ahmad", "given" : "F", "non-dropping-particle" : "", "parse-names" : false, "suffix" : "" }, { "dropping-particle" : "", "family" : "Ima-Nirwana", "given" : "S", "non-dropping-particle" : "", "parse-names" : false, "suffix" : "" } ], "container-title" : "Nutrients", "id" : "ITEM-4", "issue" : "6", "issued" : { "date-parts" : [ [ "2016" ] ] }, "page" : "E347", "title" : "The relationship between metabolic syndrome and osteoporosis: A review", "type" : "article-journal", "volume" : "8" }, "uris" : [ "http://www.mendeley.com/documents/?uuid=83110aae-fd5f-4471-89df-d2efaf8e896c" ] } ], "mendeley" : { "formattedCitation" : "&lt;sup&gt;17\u201319,63&lt;/sup&gt;", "plainTextFormattedCitation" : "17\u201319,63", "previouslyFormattedCitation" : "&lt;sup&gt;17\u201319,63&lt;/sup&gt;"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17–19,63</w:t>
      </w:r>
      <w:r w:rsidR="00156059">
        <w:rPr>
          <w:sz w:val="24"/>
          <w:szCs w:val="24"/>
        </w:rPr>
        <w:fldChar w:fldCharType="end"/>
      </w:r>
      <w:r w:rsidR="00D521A8">
        <w:rPr>
          <w:sz w:val="24"/>
          <w:szCs w:val="24"/>
        </w:rPr>
        <w:t xml:space="preserve"> </w:t>
      </w:r>
      <w:r w:rsidRPr="00F77F70">
        <w:rPr>
          <w:sz w:val="24"/>
          <w:szCs w:val="24"/>
        </w:rPr>
        <w:t>and conflicting findings related to the influence of obesity on bone mass have been reported</w:t>
      </w:r>
      <w:r>
        <w:rPr>
          <w:sz w:val="24"/>
          <w:szCs w:val="24"/>
        </w:rPr>
        <w:t>.</w:t>
      </w:r>
      <w:r w:rsidR="00265E0D">
        <w:rPr>
          <w:sz w:val="24"/>
          <w:szCs w:val="24"/>
        </w:rPr>
        <w:t xml:space="preserve"> </w:t>
      </w:r>
      <w:r w:rsidR="00156059">
        <w:rPr>
          <w:sz w:val="24"/>
          <w:szCs w:val="24"/>
        </w:rPr>
        <w:fldChar w:fldCharType="begin" w:fldLock="1"/>
      </w:r>
      <w:r w:rsidR="0075024E">
        <w:rPr>
          <w:sz w:val="24"/>
          <w:szCs w:val="24"/>
        </w:rPr>
        <w:instrText>ADDIN CSL_CITATION { "citationItems" : [ { "id" : "ITEM-1", "itemData" : { "author" : [ { "dropping-particle" : "", "family" : "Maimoun", "given" : "L", "non-dropping-particle" : "", "parse-names" : false, "suffix" : "" }, { "dropping-particle" : "", "family" : "Mura", "given" : "T", "non-dropping-particle" : "", "parse-names" : false, "suffix" : "" }, { "dropping-particle" : "", "family" : "Leprieur", "given" : "E", "non-dropping-particle" : "", "parse-names" : false, "suffix" : "" }, { "dropping-particle" : "", "family" : "Avignon", "given" : "A", "non-dropping-particle" : "", "parse-names" : false, "suffix" : "" }, { "dropping-particle" : "", "family" : "Mariano-Goulart", "given" : "D", "non-dropping-particle" : "", "parse-names" : false, "suffix" : "" }, { "dropping-particle" : "", "family" : "Sultan", "given" : "A", "non-dropping-particle" : "", "parse-names" : false, "suffix" : "" } ], "container-title" : "Bone", "id" : "ITEM-1", "issued" : { "date-parts" : [ [ "2016" ] ] }, "page" : "23-30", "title" : "Impact of obesity on bone mass throughout adult life: Influence of gender and severity of obesity.", "type" : "article-journal", "volume" : "90" }, "uris" : [ "http://www.mendeley.com/documents/?uuid=0466da70-a668-4fe1-a515-a6fd7d5203c6" ] }, { "id" : "ITEM-2", "itemData" : { "author" : [ { "dropping-particle" : "", "family" : "Lloyd", "given" : "JT", "non-dropping-particle" : "", "parse-names" : false, "suffix" : "" }, { "dropping-particle" : "", "family" : "Alley", "given" : "DE", "non-dropping-particle" : "", "parse-names" : false, "suffix" : "" }, { "dropping-particle" : "", "family" : "Hochberg", "given" : "MC", "non-dropping-particle" : "", "parse-names" : false, "suffix" : "" }, { "dropping-particle" : "", "family" : "Waldstein", "given" : "SR", "non-dropping-particle" : "", "parse-names" : false, "suffix" : "" }, { "dropping-particle" : "", "family" : "Harris", "given" : "TB", "non-dropping-particle" : "", "parse-names" : false, "suffix" : "" }, { "dropping-particle" : "", "family" : "Kritchevsky", "given" : "SB", "non-dropping-particle" : "", "parse-names" : false, "suffix" : "" }, { "dropping-particle" : "", "family" : "Schwartz", "given" : "AV", "non-dropping-particle" : "", "parse-names" : false, "suffix" : "" }, { "dropping-particle" : "", "family" : "Strotmeyer", "given" : "ES", "non-dropping-particle" : "", "parse-names" : false, "suffix" : "" }, { "dropping-particle" : "", "family" : "Womack", "given" : "C", "non-dropping-particle" : "", "parse-names" : false, "suffix" : "" }, { "dropping-particle" : "", "family" : "Orwig", "given" : "Dl", "non-dropping-particle" : "", "parse-names" : false, "suffix" : "" }, { "dropping-particle" : "", "family" : "Health ABC Study", "given" : "", "non-dropping-particle" : "", "parse-names" : false, "suffix" : "" } ], "container-title" : "Osteoporosis International", "id" : "ITEM-2", "issue" : "6", "issued" : { "date-parts" : [ [ "2016" ] ] }, "page" : "2109-16", "title" : "Changes in bone mineral density over time by body mass index in the health ABC study", "type" : "article-journal", "volume" : "27" }, "uris" : [ "http://www.mendeley.com/documents/?uuid=7e82a0e4-1445-4695-8148-22ad3c11264d" ] } ], "mendeley" : { "formattedCitation" : "&lt;sup&gt;64,65&lt;/sup&gt;", "plainTextFormattedCitation" : "64,65", "previouslyFormattedCitation" : "&lt;sup&gt;64,65&lt;/sup&gt;"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64,65</w:t>
      </w:r>
      <w:r w:rsidR="00156059">
        <w:rPr>
          <w:sz w:val="24"/>
          <w:szCs w:val="24"/>
        </w:rPr>
        <w:fldChar w:fldCharType="end"/>
      </w:r>
      <w:r w:rsidR="00D521A8">
        <w:rPr>
          <w:sz w:val="24"/>
          <w:szCs w:val="24"/>
        </w:rPr>
        <w:t xml:space="preserve"> </w:t>
      </w:r>
      <w:r w:rsidRPr="00F77F70">
        <w:rPr>
          <w:sz w:val="24"/>
          <w:szCs w:val="24"/>
        </w:rPr>
        <w:t xml:space="preserve">This is the first </w:t>
      </w:r>
      <w:r>
        <w:rPr>
          <w:sz w:val="24"/>
          <w:szCs w:val="24"/>
        </w:rPr>
        <w:t>study</w:t>
      </w:r>
      <w:r w:rsidRPr="00F77F70">
        <w:rPr>
          <w:sz w:val="24"/>
          <w:szCs w:val="24"/>
        </w:rPr>
        <w:t xml:space="preserve"> to employ a meta-analytic approach to the quantification of the relationship between adipose tissue and bone mass in overweight and obese populations, allowing many of the limitations of narrative syntheses and single studies to be overcome, and providing a quantitative answer to this contentious question.</w:t>
      </w:r>
    </w:p>
    <w:p w:rsidR="008F13B0" w:rsidRPr="00F77F70" w:rsidRDefault="00371B54" w:rsidP="00D1500E">
      <w:pPr>
        <w:spacing w:line="360" w:lineRule="auto"/>
        <w:jc w:val="both"/>
        <w:rPr>
          <w:sz w:val="24"/>
          <w:szCs w:val="24"/>
        </w:rPr>
      </w:pPr>
      <w:r>
        <w:rPr>
          <w:sz w:val="24"/>
          <w:szCs w:val="24"/>
        </w:rPr>
        <w:t>E</w:t>
      </w:r>
      <w:r w:rsidR="00026D55">
        <w:rPr>
          <w:sz w:val="24"/>
          <w:szCs w:val="24"/>
        </w:rPr>
        <w:t xml:space="preserve">vidence of a positive relationship between absolute adipose mass and BMD was obtained, </w:t>
      </w:r>
      <w:r w:rsidR="004D5442">
        <w:rPr>
          <w:sz w:val="24"/>
          <w:szCs w:val="24"/>
        </w:rPr>
        <w:t xml:space="preserve">with </w:t>
      </w:r>
      <w:r w:rsidR="00026D55">
        <w:rPr>
          <w:sz w:val="24"/>
          <w:szCs w:val="24"/>
        </w:rPr>
        <w:t>this evidence</w:t>
      </w:r>
      <w:r w:rsidR="004D5442">
        <w:rPr>
          <w:sz w:val="24"/>
          <w:szCs w:val="24"/>
        </w:rPr>
        <w:t xml:space="preserve"> being</w:t>
      </w:r>
      <w:r w:rsidR="00026D55">
        <w:rPr>
          <w:sz w:val="24"/>
          <w:szCs w:val="24"/>
        </w:rPr>
        <w:t xml:space="preserve"> strongest for women (R = 0.37; 95%CI: 0.26, 0.47). </w:t>
      </w:r>
      <w:r w:rsidR="008F13B0" w:rsidRPr="00F77F70">
        <w:rPr>
          <w:sz w:val="24"/>
          <w:szCs w:val="24"/>
        </w:rPr>
        <w:t xml:space="preserve">There are a number of potential mechanisms that might explain </w:t>
      </w:r>
      <w:r w:rsidR="00A04184">
        <w:rPr>
          <w:sz w:val="24"/>
          <w:szCs w:val="24"/>
        </w:rPr>
        <w:t>this finding.</w:t>
      </w:r>
      <w:r w:rsidR="008F13B0" w:rsidRPr="00F77F70">
        <w:rPr>
          <w:sz w:val="24"/>
          <w:szCs w:val="24"/>
        </w:rPr>
        <w:t xml:space="preserve"> In particular, the effect of increased loading caused by </w:t>
      </w:r>
      <w:r w:rsidR="00EF69E9">
        <w:rPr>
          <w:sz w:val="24"/>
          <w:szCs w:val="24"/>
        </w:rPr>
        <w:t>the influence of excess adiposity on absolute body mass,</w:t>
      </w:r>
      <w:r w:rsidR="008F13B0" w:rsidRPr="00F77F70">
        <w:rPr>
          <w:sz w:val="24"/>
          <w:szCs w:val="24"/>
        </w:rPr>
        <w:t xml:space="preserve"> or </w:t>
      </w:r>
      <w:r w:rsidR="004F73FF">
        <w:rPr>
          <w:sz w:val="24"/>
          <w:szCs w:val="24"/>
        </w:rPr>
        <w:t>an</w:t>
      </w:r>
      <w:r w:rsidR="008F13B0" w:rsidRPr="00F77F70">
        <w:rPr>
          <w:sz w:val="24"/>
          <w:szCs w:val="24"/>
        </w:rPr>
        <w:t xml:space="preserve"> up-regulation of specific </w:t>
      </w:r>
      <w:proofErr w:type="spellStart"/>
      <w:r w:rsidR="008F13B0" w:rsidRPr="00F77F70">
        <w:rPr>
          <w:sz w:val="24"/>
          <w:szCs w:val="24"/>
        </w:rPr>
        <w:t>adipokines</w:t>
      </w:r>
      <w:proofErr w:type="spellEnd"/>
      <w:r w:rsidR="008F13B0" w:rsidRPr="00F77F70">
        <w:rPr>
          <w:sz w:val="24"/>
          <w:szCs w:val="24"/>
        </w:rPr>
        <w:t xml:space="preserve"> may exert a beneficial impact on BMD in this population</w:t>
      </w:r>
      <w:r w:rsidR="008F13B0">
        <w:rPr>
          <w:sz w:val="24"/>
          <w:szCs w:val="24"/>
        </w:rPr>
        <w:t>.</w:t>
      </w:r>
      <w:r w:rsidR="00265E0D">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"10.1007/s11695-008-9548-1", "ISBN" : "0960-8923 (Print)\\r0960-8923 (Linking)", "ISSN" : "09608923", "PMID" : "18563500", "abstract" : "Body fat and lean mass are correlated with bone mineral density, with obesity apparently exerting protection against osteoporosis. The pathophysiological relevance of adipose tissue in bone integrity resides in the participation of adipokines in bone remodeling through effects on deposition and resorption. On the other hand, the skeleton has recently emerged as an endocrine organ with effects on body weight control and glucose homeostasis through the actions of bone-derived factors such as osteocalcin and osteopontin. The cross-talk between adipose tissue and the skeleton constitutes a homeostatic feedback system with adipokines and molecules secreted by osteoblasts and osteoclasts representing the links of an active bone-adipose axis. Given the impact of bariatric surgery on absorption and the adipokine secretory pattern, to focus on the changes taking place following surgical-induced weight loss on this dynamic system merits detailed consideration.", "author" : [ { "dropping-particle" : "", "family" : "G\u00f3mez-Ambrosi", "given" : "J.", "non-dropping-particle" : "", "parse-names" : false, "suffix" : "" }, { "dropping-particle" : "", "family" : "Rodr\u00edguez", "given" : "A.", "non-dropping-particle" : "", "parse-names" : false, "suffix" : "" }, { "dropping-particle" : "", "family" : "Catal\u00e1n", "given" : "V.", "non-dropping-particle" : "", "parse-names" : false, "suffix" : "" }, { "dropping-particle" : "", "family" : "Fr\u00fchbeck", "given" : "G.", "non-dropping-particle" : "", "parse-names" : false, "suffix" : "" } ], "container-title" : "Obesity Surgery", "id" : "ITEM-1", "issue" : "9", "issued" : { "date-parts" : [ [ "2008" ] ] }, "page" : "1134-1143", "title" : "The bone-adipose axis in obesity and weight loss", "type" : "article-journal", "volume" : "18" }, "uris" : [ "http://www.mendeley.com/documents/?uuid=69c7f21c-1873-43d0-8e54-69930cfa8757" ] } ], "mendeley" : { "formattedCitation" : "&lt;sup&gt;6&lt;/sup&gt;", "plainTextFormattedCitation" : "6", "previouslyFormattedCitation" : "&lt;sup&gt;6&lt;/sup&gt;"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6</w:t>
      </w:r>
      <w:r w:rsidR="00156059">
        <w:rPr>
          <w:sz w:val="24"/>
          <w:szCs w:val="24"/>
        </w:rPr>
        <w:fldChar w:fldCharType="end"/>
      </w:r>
      <w:r w:rsidR="00D521A8">
        <w:rPr>
          <w:sz w:val="24"/>
          <w:szCs w:val="24"/>
        </w:rPr>
        <w:t xml:space="preserve"> </w:t>
      </w:r>
      <w:r w:rsidR="008F13B0" w:rsidRPr="00F77F70">
        <w:rPr>
          <w:sz w:val="24"/>
          <w:szCs w:val="24"/>
        </w:rPr>
        <w:t>An alternative explanation might, however, relate to the effect of adipose mass co-linearity with other variables known to exert a positive influence on bone mass (</w:t>
      </w:r>
      <w:r w:rsidR="008F13B0" w:rsidRPr="00F77F70">
        <w:rPr>
          <w:i/>
          <w:iCs/>
          <w:sz w:val="24"/>
          <w:szCs w:val="24"/>
        </w:rPr>
        <w:t>i.e.</w:t>
      </w:r>
      <w:r w:rsidR="008F13B0" w:rsidRPr="00F77F70">
        <w:rPr>
          <w:sz w:val="24"/>
          <w:szCs w:val="24"/>
        </w:rPr>
        <w:t>, lean mass and absolute body mass). Positive relationships between adipose tissue and bone mass have been shown to be inverted once absolute body mass was included as a covariate in the model</w:t>
      </w:r>
      <w:r w:rsidR="008F13B0">
        <w:rPr>
          <w:sz w:val="24"/>
          <w:szCs w:val="24"/>
        </w:rPr>
        <w:t>,</w:t>
      </w:r>
      <w:r w:rsidR="00265E0D">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"10.1371/journal.pone.0063339", "ISBN" : "1932-6203 (Electronic)\\r1932-6203 (Linking)", "ISSN" : "19326203", "PMID" : "23700417", "abstract" : "BACKGROUND: Although it is well established that a higher body weight is protective against osteoporosis, the effects of body fat and fat distribution on bone mineral density (BMD) after adjustment for body weight remains uncertain. OBJECTIVE: To examine the relationship between body fat and fat distribution and BMD beyond its weight-bearing effect in middle-aged Chinese adults. METHOD: The study had a community-based cross-sectional design and involved 1,767 women and 698 men aged 50-75 years. The BMD of the lumbar spine, total hip, and whole body, and the fat mass (FM) and percentage fat mass (%FM) of the total body and segments of the body were measured by dual-energy X-ray absorptiometry. General information on the participants was collected using structured questionnaire interviews. RESULT: After adjusting for potential confounders, an analysis of covariance showed the weight-adjusted (WA-) total FM (or %FM) to be negatively associated with BMD in all of the studied sites (P&lt;0.05) in both women and men. The unfavorable effects of WA-total FM were generally more substantial in men than in women, and the whole body was the most sensitive site related to FM, followed by the total hip and the lumbar spine, in both genders. The mean BMD of the lumbar spine, total hip, and whole body was 3.93%, 3.01%, and 3.65% (in women) and 5.02%, 5.57%, 6.03% (in men) lower in the highest quartile (vs. lowest quartile) according to the WA-total FM (all p&lt;0.05). Similar results were noted among the groups for WA-total FM%. In women, abdominal fat had the most unfavorable association with BMD, whereas in men it was limb fat. CONCLUSION: FM (or %FM) is inversely associated with BMD beyond its weight-bearing effect. Abdominal fat in women and limb fat in men seems to have the greatest effect on BMD.", "author" : [ { "dropping-particle" : "", "family" : "Liu", "given" : "Yan hua", "non-dropping-particle" : "", "parse-names" : false, "suffix" : "" }, { "dropping-particle" : "", "family" : "Xu", "given" : "Ying", "non-dropping-particle" : "", "parse-names" : false, "suffix" : "" }, { "dropping-particle" : "bin", "family" : "Wen", "given" : "Ya", "non-dropping-particle" : "", "parse-names" : false, "suffix" : "" }, { "dropping-particle" : "", "family" : "Guan", "given" : "Ke", "non-dropping-particle" : "", "parse-names" : false, "suffix" : "" }, { "dropping-particle" : "", "family" : "Ling", "given" : "Wen hua", "non-dropping-particle" : "", "parse-names" : false, "suffix" : "" }, { "dropping-particle" : "", "family" : "He", "given" : "Li ping", "non-dropping-particle" : "", "parse-names" : false, "suffix" : "" }, { "dropping-particle" : "", "family" : "Su", "given" : "Yi xiang", "non-dropping-particle" : "", "parse-names" : false, "suffix" : "" }, { "dropping-particle" : "", "family" : "Chen", "given" : "Yu ming", "non-dropping-particle" : "", "parse-names" : false, "suffix" : "" } ], "container-title" : "PLoS ONE", "id" : "ITEM-1", "issue" : "5", "issued" : { "date-parts" : [ [ "2013" ] ] }, "title" : "Association of Weight-Adjusted Body Fat and Fat Distribution with Bone Mineral Density in Middle-Aged Chinese Adults: A Cross-Sectional Study", "type" : "article-journal", "volume" : "8" }, "uris" : [ "http://www.mendeley.com/documents/?uuid=e166e054-5416-4012-862b-a4ea638ba0d7" ] }, { "id" : "ITEM-2", "itemData" : { "DOI" : "10.1210/jc.2006-0572", "ISBN" : "8162356517", "ISSN" : "0021972X", "PMID" : "17299077", "abstract" : "CONTEXT The relationship between obesity and osteoporosis has been widely studied, and epidemiological evidence shows that obesity is correlated with increased bone mass. Previous analyses, however, did not control for the mechanical loading effects of total body weight on bone mass and may have generated a confounded or even biased relationship between obesity and osteoporosis. OBJECTIVE The objective of this study was to reevaluate the relationship between obesity and osteoporosis by accounting for the mechanical loading effects of total body weight on bone mass. METHODS We measured whole body fat mass, lean mass, percentage fat mass, body mass index, and bone mass in two large samples of different ethnicity: 1988 unrelated Chinese subjects and 4489 Caucasian subjects from 512 pedigrees. We first evaluated the Pearson correlations among different phenotypes. We then dissected the phenotypic correlations into genetic and environmental components with bone mass unadjusted or adjusted for body weight. This allowed us to compare the results with and without controlling for mechanical loading effects of body weight on bone mass. RESULTS In both Chinese and Caucasian subjects, when the mechanical loading effect of body weight on bone mass was adjusted for, the phenotypic correlation (including its genetic and environmental components) between fat mass (or percentage fat mass) and bone mass was negative. Further multivariate analyses in subjects stratified by body weight confirmed the inverse relationship between bone mass and fat mass, after mechanical loading effects due to total body weight were controlled. CONCLUSIONS Increasing fat mass may not have a beneficial effect on bone mass.", "author" : [ { "dropping-particle" : "", "family" : "Zhao", "given" : "Lan Juan", "non-dropping-particle" : "", "parse-names" : false, "suffix" : "" }, { "dropping-particle" : "", "family" : "Liu", "given" : "Yong Jun", "non-dropping-particle" : "", "parse-names" : false, "suffix" : "" }, { "dropping-particle" : "", "family" : "Liu", "given" : "Peng Yuan", "non-dropping-particle" : "", "parse-names" : false, "suffix" : "" }, { "dropping-particle" : "", "family" : "Hamilton", "given" : "James", "non-dropping-particle" : "", "parse-names" : false, "suffix" : "" }, { "dropping-particle" : "", "family" : "Recker", "given" : "Robert R.", "non-dropping-particle" : "", "parse-names" : false, "suffix" : "" }, { "dropping-particle" : "", "family" : "Deng", "given" : "Hong Wen", "non-dropping-particle" : "", "parse-names" : false, "suffix" : "" } ], "container-title" : "Journal of Clinical Endocrinology and Metabolism", "id" : "ITEM-2", "issue" : "5", "issued" : { "date-parts" : [ [ "2007" ] ] }, "page" : "1640-1646", "title" : "Relationship of obesity with osteoporosis", "type" : "article-journal", "volume" : "92" }, "uris" : [ "http://www.mendeley.com/documents/?uuid=edae3376-7b46-4da3-8b4a-82f42a003bb1" ] }, { "id" : "ITEM-3", "itemData" : { "DOI" : "10.1007/s00198-011-1808-6", "ISSN" : "0937941X", "PMID" : "22006041", "abstract" : "SUMMARY Although obesity and osteoporosis are important public health problems, the effect of fat mass on bone mass remains controversial. This study demonstrated that fat mass was inversely related to bone mineral content, and abdominal obesity was significantly associated with bone mineral content independent of total fat mass. INTRODUCTION Obesity and osteoporosis, two disorders of body composition, have become increasingly important public health problems throughout the world. However, the effect of fat mass on bone mass remains controversial. This study investigates the effect of fat mass and regional fat distribution on bone mass within a community-dwelling cohort. METHODS A total of 3,042 subjects (1,284 men, 362 premenopausal women, and 1,396 postmenopausal women) were studied. Fat mass, percent fat mass, lean mass, percent lean mass, and bone mineral content (BMC) were measured by dual energy X-ray absorptiometry. RESULTS Fat mass and percent fat mass decreased significantly across increasing tertiles of BMC in all three subgroups (men, premenopausal and postmenopausal women). In contrast, lean mass and percent lean mass increased significantly across tertiles of BMC in men, and a similar trend was also identified in postmenopausal women. Interestingly, although correlation analysis showed a positive association between fat mass and BMC (p &lt; 0.05), this association became negative after controlling for age and weight (p &lt; 0.05). Finally, in premenopausal and postmenopausal women, subjects with the lowest waist circumference (WC) had the highest BMC in the higher three quartiles of percent fat mass after adjusting for age and weight (p &lt; 0.05), indicating that abdominal obesity is associated with BMC independent of total fat mass. CONCLUSION This study demonstrated that fat mass was inversely related to BMC after removing the mechanical loading effect in Korean men and women. Moreover, abdominal obesity as measured by WC was significantly associated with BMC independent of total fat mass.", "author" : [ { "dropping-particle" : "", "family" : "Kim", "given" : "J. H.", "non-dropping-particle" : "", "parse-names" : false, "suffix" : "" }, { "dropping-particle" : "", "family" : "Choi", "given" : "H. J.", "non-dropping-particle" : "", "parse-names" : false, "suffix" : "" }, { "dropping-particle" : "", "family" : "Kim", "given" : "M. J.", "non-dropping-particle" : "", "parse-names" : false, "suffix" : "" }, { "dropping-particle" : "", "family" : "Shin", "given" : "C. S.", "non-dropping-particle" : "", "parse-names" : false, "suffix" : "" }, { "dropping-particle" : "", "family" : "Cho", "given" : "N. H.", "non-dropping-particle" : "", "parse-names" : false, "suffix" : "" } ], "container-title" : "Osteoporosis International", "id" : "ITEM-3", "issue" : "7", "issued" : { "date-parts" : [ [ "2012" ] ] }, "page" : "2009-2016", "title" : "Fat mass is negatively associated with bone mineral content in Koreans", "type" : "article-journal", "volume" : "23" }, "uris" : [ "http://www.mendeley.com/documents/?uuid=4b53aafa-b703-453e-a17e-c34513898203" ] } ], "mendeley" : { "formattedCitation" : "&lt;sup&gt;66\u201368&lt;/sup&gt;", "plainTextFormattedCitation" : "66\u201368", "previouslyFormattedCitation" : "&lt;sup&gt;66\u201368&lt;/sup&gt;"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66–68</w:t>
      </w:r>
      <w:r w:rsidR="00156059">
        <w:rPr>
          <w:sz w:val="24"/>
          <w:szCs w:val="24"/>
        </w:rPr>
        <w:fldChar w:fldCharType="end"/>
      </w:r>
      <w:r w:rsidR="008F13B0" w:rsidRPr="00F77F70">
        <w:rPr>
          <w:sz w:val="24"/>
          <w:szCs w:val="24"/>
        </w:rPr>
        <w:t xml:space="preserve"> which has been interpreted as illustrating a negative effect of </w:t>
      </w:r>
      <w:r w:rsidR="00EF69E9">
        <w:rPr>
          <w:sz w:val="24"/>
          <w:szCs w:val="24"/>
        </w:rPr>
        <w:t>adipose</w:t>
      </w:r>
      <w:r w:rsidR="00EF69E9" w:rsidRPr="00F77F70">
        <w:rPr>
          <w:sz w:val="24"/>
          <w:szCs w:val="24"/>
        </w:rPr>
        <w:t xml:space="preserve"> </w:t>
      </w:r>
      <w:r w:rsidR="008F13B0" w:rsidRPr="00F77F70">
        <w:rPr>
          <w:sz w:val="24"/>
          <w:szCs w:val="24"/>
        </w:rPr>
        <w:t xml:space="preserve">mass </w:t>
      </w:r>
      <w:r w:rsidR="008F13B0" w:rsidRPr="00F77F70">
        <w:rPr>
          <w:i/>
          <w:iCs/>
          <w:sz w:val="24"/>
          <w:szCs w:val="24"/>
        </w:rPr>
        <w:t>per se</w:t>
      </w:r>
      <w:r w:rsidR="008F13B0" w:rsidRPr="00F77F70">
        <w:rPr>
          <w:sz w:val="24"/>
          <w:szCs w:val="24"/>
        </w:rPr>
        <w:t>.  This interpr</w:t>
      </w:r>
      <w:r w:rsidR="002342E6">
        <w:rPr>
          <w:sz w:val="24"/>
          <w:szCs w:val="24"/>
        </w:rPr>
        <w:t>etation is statistically flawed</w:t>
      </w:r>
      <w:r w:rsidR="008F13B0" w:rsidRPr="00F77F70">
        <w:rPr>
          <w:sz w:val="24"/>
          <w:szCs w:val="24"/>
        </w:rPr>
        <w:t xml:space="preserve"> however, since adipose mass is a major component of absolute body mass, which is positively related to BMD</w:t>
      </w:r>
      <w:r w:rsidR="008F13B0">
        <w:rPr>
          <w:sz w:val="24"/>
          <w:szCs w:val="24"/>
        </w:rPr>
        <w:t>.</w:t>
      </w:r>
      <w:r w:rsidR="00265E0D">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"10.1016/j.abb.2010.06.027", "ISBN" : "0003-9861", "ISSN" : "1096-0384", "PMID" : "20599663", "abstract" : "Body weight is a principal determinant of bone density and fracture risk, and adipose tissue mass is a major contributor to this relationship. In contrast, some recent studies have argued that \" fat mass after adjustment for body weight\" actually has a deleterious effect on bone, but these analyses are confounded by the co-linearity between the variables studied, and therefore have produced misleading results. Mechanistically, fat and bone are linked by a multitude of pathways, which ultimately serve the function of providing a skeleton appropriate to the mass of adipose tissue it is carrying. Adiponectin, insulin/amylin/preptin, leptin and adipocytic estrogens are all likely to be involved in this connection. In the clinic, the key issues are that obesity is protective against osteoporosis, but underweight is a major preventable risk factor for fractures. 2010 Elsevier Inc.", "author" : [ { "dropping-particle" : "", "family" : "Reid", "given" : "IR", "non-dropping-particle" : "", "parse-names" : false, "suffix" : "" } ], "container-title" : "Archives of Biochemistry and Biophysics", "id" : "ITEM-1", "issue" : "1", "issued" : { "date-parts" : [ [ "2010" ] ] }, "page" : "20-27", "title" : "Fat and bone", "type" : "article-journal", "volume" : "503" }, "uris" : [ "http://www.mendeley.com/documents/?uuid=67456ff3-66a9-43d8-a0b6-5593b4568860" ] } ], "mendeley" : { "formattedCitation" : "&lt;sup&gt;69&lt;/sup&gt;", "plainTextFormattedCitation" : "69", "previouslyFormattedCitation" : "&lt;sup&gt;69&lt;/sup&gt;"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69</w:t>
      </w:r>
      <w:r w:rsidR="00156059">
        <w:rPr>
          <w:sz w:val="24"/>
          <w:szCs w:val="24"/>
        </w:rPr>
        <w:fldChar w:fldCharType="end"/>
      </w:r>
      <w:r w:rsidR="008F13B0" w:rsidRPr="0036459D">
        <w:rPr>
          <w:sz w:val="24"/>
          <w:szCs w:val="24"/>
          <w:vertAlign w:val="superscript"/>
        </w:rPr>
        <w:t xml:space="preserve"> </w:t>
      </w:r>
      <w:r w:rsidR="008F13B0" w:rsidRPr="00F77F70">
        <w:rPr>
          <w:sz w:val="24"/>
          <w:szCs w:val="24"/>
        </w:rPr>
        <w:t xml:space="preserve">Further research is required to identify the </w:t>
      </w:r>
      <w:r w:rsidR="002342E6">
        <w:rPr>
          <w:sz w:val="24"/>
          <w:szCs w:val="24"/>
        </w:rPr>
        <w:t xml:space="preserve">statistical </w:t>
      </w:r>
      <w:r w:rsidR="008F13B0" w:rsidRPr="00F77F70">
        <w:rPr>
          <w:sz w:val="24"/>
          <w:szCs w:val="24"/>
        </w:rPr>
        <w:t>factors and</w:t>
      </w:r>
      <w:r w:rsidR="002342E6">
        <w:rPr>
          <w:sz w:val="24"/>
          <w:szCs w:val="24"/>
        </w:rPr>
        <w:t xml:space="preserve"> biological</w:t>
      </w:r>
      <w:r w:rsidR="008F13B0" w:rsidRPr="00F77F70">
        <w:rPr>
          <w:sz w:val="24"/>
          <w:szCs w:val="24"/>
        </w:rPr>
        <w:t xml:space="preserve"> mechanisms underpinning the positive relationships </w:t>
      </w:r>
      <w:r w:rsidR="00026D55">
        <w:rPr>
          <w:sz w:val="24"/>
          <w:szCs w:val="24"/>
        </w:rPr>
        <w:t xml:space="preserve">reported </w:t>
      </w:r>
      <w:r w:rsidR="008F13B0" w:rsidRPr="00F77F70">
        <w:rPr>
          <w:sz w:val="24"/>
          <w:szCs w:val="24"/>
        </w:rPr>
        <w:t>between these compartments of body composition. Our results are similar in both direction and magnitude to those previously reported for the general population however</w:t>
      </w:r>
      <w:r w:rsidR="008F13B0">
        <w:rPr>
          <w:sz w:val="24"/>
          <w:szCs w:val="24"/>
        </w:rPr>
        <w:t>,</w:t>
      </w:r>
      <w:r w:rsidR="00265E0D">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"10.1210/jc.2013-3190", "ISSN" : "0021-972X", "PMID" : "24384013", "abstract" : "Context: Body weight is the most important anthropometric determinant of bone mineral density (BMD). Body weight is mainly made up of lean mass (LM) and fat mass (FM), and which component is more important to BMD has been a controversial issue. Objective: This study sought to compare the magnitude of association between LM, FM, and BMD by using a meta-analytic approach. Data Source: Using an electronic and manual search, we identified 44 studies that had examined the correlation between LM, FM, and BMD between 1989 and 2013. These studies involved 20 226 men and women (4966 men and 15 260 women) aged between 18 and 92 years. We extracted the correlations between LM, FM, and BMD at the lumbar spine, femoral neck, and whole body. The synthesis of correlation coefficients was done by the random-effects meta-analysis model. Results: The overall correlation between LM and femoral neck BMD (FNBMD) was 0.39 (95% confidence interval, 0.34 to 0.43), which was significantly higher than the correlation between FM an...", "author" : [ { "dropping-particle" : "", "family" : "Ho-Pham", "given" : "Lan T.", "non-dropping-particle" : "", "parse-names" : false, "suffix" : "" }, { "dropping-particle" : "", "family" : "Nguyen", "given" : "Uyen D. T.", "non-dropping-particle" : "", "parse-names" : false, "suffix" : "" }, { "dropping-particle" : "V.", "family" : "Nguyen", "given" : "Tuan", "non-dropping-particle" : "", "parse-names" : false, "suffix" : "" } ], "container-title" : "The Journal of Clinical Endocrinology &amp; Metabolism", "id" : "ITEM-1", "issue" : "1", "issued" : { "date-parts" : [ [ "2014" ] ] }, "page" : "30-38", "title" : "Association Between Lean Mass, Fat Mass, and Bone Mineral Density: A Meta-analysis", "type" : "article-journal", "volume" : "99" }, "uris" : [ "http://www.mendeley.com/documents/?uuid=438c3d61-06ae-4d8f-bfaa-38f4a9fa0e6f" ] } ], "mendeley" : { "formattedCitation" : "&lt;sup&gt;11&lt;/sup&gt;", "plainTextFormattedCitation" : "11", "previouslyFormattedCitation" : "&lt;sup&gt;11&lt;/sup&gt;"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11</w:t>
      </w:r>
      <w:r w:rsidR="00156059">
        <w:rPr>
          <w:sz w:val="24"/>
          <w:szCs w:val="24"/>
        </w:rPr>
        <w:fldChar w:fldCharType="end"/>
      </w:r>
      <w:r w:rsidR="008F13B0" w:rsidRPr="00F77F70">
        <w:rPr>
          <w:sz w:val="24"/>
          <w:szCs w:val="24"/>
        </w:rPr>
        <w:t xml:space="preserve"> </w:t>
      </w:r>
      <w:r w:rsidR="002342E6">
        <w:rPr>
          <w:sz w:val="24"/>
          <w:szCs w:val="24"/>
        </w:rPr>
        <w:t xml:space="preserve">and show that </w:t>
      </w:r>
      <w:r w:rsidR="00026D55">
        <w:rPr>
          <w:sz w:val="24"/>
          <w:szCs w:val="24"/>
        </w:rPr>
        <w:t>previously reported</w:t>
      </w:r>
      <w:r w:rsidR="002342E6">
        <w:rPr>
          <w:sz w:val="24"/>
          <w:szCs w:val="24"/>
        </w:rPr>
        <w:t xml:space="preserve"> correlations are</w:t>
      </w:r>
      <w:r w:rsidR="008F13B0" w:rsidRPr="00F77F70">
        <w:rPr>
          <w:sz w:val="24"/>
          <w:szCs w:val="24"/>
        </w:rPr>
        <w:t xml:space="preserve"> not altered in overweight or obese groups.</w:t>
      </w:r>
    </w:p>
    <w:p w:rsidR="008F13B0" w:rsidRPr="005C57BB" w:rsidRDefault="008F13B0" w:rsidP="00D1500E">
      <w:pPr>
        <w:spacing w:line="360" w:lineRule="auto"/>
        <w:jc w:val="both"/>
        <w:rPr>
          <w:sz w:val="24"/>
          <w:szCs w:val="24"/>
        </w:rPr>
      </w:pPr>
      <w:r w:rsidRPr="00F77F70">
        <w:rPr>
          <w:sz w:val="24"/>
          <w:szCs w:val="24"/>
        </w:rPr>
        <w:t xml:space="preserve">In contrast to the positive correlation reported between absolute adipose mass and BMD, </w:t>
      </w:r>
      <w:r w:rsidR="002342E6">
        <w:rPr>
          <w:sz w:val="24"/>
          <w:szCs w:val="24"/>
        </w:rPr>
        <w:t>was the negative correlation reported between relative adipose mass and BMD</w:t>
      </w:r>
      <w:r w:rsidRPr="00F77F70">
        <w:rPr>
          <w:sz w:val="24"/>
          <w:szCs w:val="24"/>
        </w:rPr>
        <w:t>, with the strongest evidence of this relationship obtained for men and those aged &lt;25 years</w:t>
      </w:r>
      <w:r w:rsidR="00026D55">
        <w:rPr>
          <w:sz w:val="24"/>
          <w:szCs w:val="24"/>
        </w:rPr>
        <w:t xml:space="preserve"> (Table 5)</w:t>
      </w:r>
      <w:r w:rsidRPr="00F77F70">
        <w:rPr>
          <w:sz w:val="24"/>
          <w:szCs w:val="24"/>
        </w:rPr>
        <w:t xml:space="preserve">. This shows that excess adiposity exerts a negative influence on bone, but only when accompanied by reduced lean mass and a higher </w:t>
      </w:r>
      <w:r w:rsidR="00026D55">
        <w:rPr>
          <w:sz w:val="24"/>
          <w:szCs w:val="24"/>
        </w:rPr>
        <w:t xml:space="preserve">relative </w:t>
      </w:r>
      <w:r w:rsidRPr="00F77F70">
        <w:rPr>
          <w:sz w:val="24"/>
          <w:szCs w:val="24"/>
        </w:rPr>
        <w:t xml:space="preserve">proportion of adipose tissue. The primary mediator in the differentiation between adipose and lean mass is physical activity, </w:t>
      </w:r>
      <w:r w:rsidRPr="00F77F70">
        <w:rPr>
          <w:sz w:val="24"/>
          <w:szCs w:val="24"/>
        </w:rPr>
        <w:lastRenderedPageBreak/>
        <w:t>making it likely that those with a higher level of adiposity and lower lean mass will experience less activity related mechanical loading, which will have negative consequences for BMD. Contrasting results have previously been reported regarding the correlation between relative adiposity and BMD</w:t>
      </w:r>
      <w:r>
        <w:rPr>
          <w:sz w:val="24"/>
          <w:szCs w:val="24"/>
        </w:rPr>
        <w:t>.</w:t>
      </w:r>
      <w:r w:rsidR="00265E0D">
        <w:rPr>
          <w:sz w:val="24"/>
          <w:szCs w:val="24"/>
        </w:rPr>
        <w:t xml:space="preserve"> </w:t>
      </w:r>
      <w:r w:rsidR="00156059">
        <w:rPr>
          <w:sz w:val="24"/>
          <w:szCs w:val="24"/>
        </w:rPr>
        <w:fldChar w:fldCharType="begin" w:fldLock="1"/>
      </w:r>
      <w:r w:rsidR="0075024E">
        <w:rPr>
          <w:sz w:val="24"/>
          <w:szCs w:val="24"/>
        </w:rPr>
        <w:instrText>ADDIN CSL_CITATION { "citationItems" : [ { "id" : "ITEM-1", "itemData" : { "author" : [ { "dropping-particle" : "", "family" : "Ahn", "given" : "SH", "non-dropping-particle" : "", "parse-names" : false, "suffix" : "" }, { "dropping-particle" : "", "family" : "Lee", "given" : "SH", "non-dropping-particle" : "", "parse-names" : false, "suffix" : "" }, { "dropping-particle" : "", "family" : "Kim", "given" : "H", "non-dropping-particle" : "", "parse-names" : false, "suffix" : "" }, { "dropping-particle" : "", "family" : "Kim", "given" : "BJ", "non-dropping-particle" : "", "parse-names" : false, "suffix" : "" }, { "dropping-particle" : "", "family" : "Koh", "given" : "JM", "non-dropping-particle" : "", "parse-names" : false, "suffix" : "" } ], "container-title" : "Journal of Clinical Endocrinology and Metabolism", "id" : "ITEM-1", "issue" : "10", "issued" : { "date-parts" : [ [ "2014" ] ] }, "page" : "3811-20", "title" : "Different relationships between body compositions and bone mineral density according to gender and age in Korean populations (KNHANES 2008-2010)", "type" : "article-journal", "volume" : "99" }, "uris" : [ "http://www.mendeley.com/documents/?uuid=e11dbce8-50fc-40e2-b38f-56e65f4c1925" ] }, { "id" : "ITEM-2", "itemData" : { "author" : [ { "dropping-particle" : "", "family" : "Arimatsu", "given" : "M", "non-dropping-particle" : "", "parse-names" : false, "suffix" : "" }, { "dropping-particle" : "", "family" : "Kitano", "given" : "N", "non-dropping-particle" : "", "parse-names" : false, "suffix" : "" }, { "dropping-particle" : "", "family" : "Inomoto", "given" : "T", "non-dropping-particle" : "", "parse-names" : false, "suffix" : "" }, { "dropping-particle" : "", "family" : "Shono", "given" : "M", "non-dropping-particle" : "", "parse-names" : false, "suffix" : "" }, { "dropping-particle" : "", "family" : "Futatsuka", "given" : "M", "non-dropping-particle" : "", "parse-names" : false, "suffix" : "" } ], "container-title" : "Environmental health and preventive medicine", "id" : "ITEM-2", "issue" : "3", "issued" : { "date-parts" : [ [ "2005" ] ] }, "page" : "144-9", "title" : "Correlation between forearm bone mineral density and body composition in Japanese females aged 18 \u2013 40 years", "type" : "article-journal", "volume" : "10" }, "uris" : [ "http://www.mendeley.com/documents/?uuid=be0360eb-90e2-467a-afeb-f2e879f6eb92" ] }, { "id" : "ITEM-3", "itemData" : { "DOI" : "10.1007/s40618-014-0167-5", "ISSN" : "17208386", "PMID" : "25252817", "abstract" : "UNLABELLED With impressive economic development, obesity has emerged as a critical public health issue in China. Recently it was reported that obesity has taken an adverse effect on osteoporosis. Because there is different body mass index (BMI) for obesity globally, studies based on BMI levels on association of obesity with osteoporosis were quite few. Therefore, we discussed the relationship of body composition with skeletal BMD according to WHO BMI and BMI on Working Group on Obesity in China (WGOC). METHODS A total of 502 adult men aged 20-89 were enrolled as healthy subjects for osteoporosis study at Qianfoshan Hospital, Shandong University between September 2008 and August 2010. According to WHO BMI, all subjects were divided into three groups: normal weight (18.5 \u2264 BMI &lt; 25 kg/m(2), n = 202), overweight (25 \u2264 BMI &lt; 30 kg/m(2), n = 242), and obesity (BMI \u2265 30 kg/m(2), n = 58). According to WGOC BMI, normal weight (18.5 \u2264 BMI &lt; 24 kg/m(2), n = 137), overweight (24 \u2264 BMI &lt; 28 kg/m(2), n = 225), and obesity (BMI \u2265 28 kg/m(2), n = 140). Total body and regional BMD, lean mass (LM), lean body mass index (LBMI), fat mass (FM), percent body fat (%BF) and fat mass index (FMI) were measured by dual-energy X-ray absorptiometry. Age-partial Pearson correlation analyses between body composition-related parameters and BMD. Multiple regression analyses were performed to explore the associations of BMD with LM, LBMI, FM, %BF and FMI. RESULTS Fat mass (FM), %BF, FMI, LM and LBMI were positively correlated with BMD at almost sites (P &lt; 0.001) in all subjects. However, the relationship was not different among groups. LM, LBMI, FM and FMI were positively correlated with BMD (P &lt; 0.01) in normal weight. LM and LBMI appeared significantly positive with BMD in overweight and obesity according to WHO and WGOC criteria. %BF and FMI were negative significance with BMD at total body and some regional BMD according to WHO criteria in overweight (P &lt; 0.05). In two obese groups, %BF appeared negatively significant with BMD (P &lt; 0.05) according to WGOC criteria, and %BF and FMI appeared negatively significant with BMD (P &lt; 0.05) according to WHO criteria. In regression of independent variables as FM and LM, LM showed statistically positively significant relations with BMD at almost sites (P &lt; 0.05) in all groups. FM appeared positively significant with BMD in normal groups and overweight group according to WGOC criteria. In regression of independent variables as %BF and FMI, %BF\u2026", "author" : [ { "dropping-particle" : "", "family" : "Kang", "given" : "D. H.", "non-dropping-particle" : "", "parse-names" : false, "suffix" : "" }, { "dropping-particle" : "", "family" : "Guo", "given" : "L. F.", "non-dropping-particle" : "", "parse-names" : false, "suffix" : "" }, { "dropping-particle" : "", "family" : "Guo", "given" : "T.", "non-dropping-particle" : "", "parse-names" : false, "suffix" : "" }, { "dropping-particle" : "", "family" : "Wang", "given" : "Y.", "non-dropping-particle" : "", "parse-names" : false, "suffix" : "" }, { "dropping-particle" : "", "family" : "Liu", "given" : "T.", "non-dropping-particle" : "", "parse-names" : false, "suffix" : "" }, { "dropping-particle" : "", "family" : "Feng", "given" : "X. Y.", "non-dropping-particle" : "", "parse-names" : false, "suffix" : "" }, { "dropping-particle" : "", "family" : "Che", "given" : "X. Q.", "non-dropping-particle" : "", "parse-names" : false, "suffix" : "" } ], "container-title" : "Journal of Endocrinological Investigation", "id" : "ITEM-3", "issue" : "3", "issued" : { "date-parts" : [ [ "2015" ] ] }, "page" : "323-331", "title" : "Association of body composition with bone mineral density in northern Chinese men by different criteria for obesity", "type" : "article-journal", "volume" : "38" }, "uris" : [ "http://www.mendeley.com/documents/?uuid=b3897c64-ec49-4843-b637-55b442534f98" ] } ], "mendeley" : { "formattedCitation" : "&lt;sup&gt;61,70,71&lt;/sup&gt;", "plainTextFormattedCitation" : "61,70,71", "previouslyFormattedCitation" : "&lt;sup&gt;61,70,71&lt;/sup&gt;"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61,70,71</w:t>
      </w:r>
      <w:r w:rsidR="00156059">
        <w:rPr>
          <w:sz w:val="24"/>
          <w:szCs w:val="24"/>
        </w:rPr>
        <w:fldChar w:fldCharType="end"/>
      </w:r>
      <w:r w:rsidR="00CC054D">
        <w:rPr>
          <w:sz w:val="24"/>
          <w:szCs w:val="24"/>
        </w:rPr>
        <w:t xml:space="preserve"> </w:t>
      </w:r>
      <w:r w:rsidRPr="00F77F70">
        <w:rPr>
          <w:sz w:val="24"/>
          <w:szCs w:val="24"/>
        </w:rPr>
        <w:t>It has however been shown that relative adipose mass assumes a negative relationship with BMD between 33 – 38% body fat</w:t>
      </w:r>
      <w:r>
        <w:rPr>
          <w:sz w:val="24"/>
          <w:szCs w:val="24"/>
        </w:rPr>
        <w:t>.</w:t>
      </w:r>
      <w:r w:rsidR="00265E0D">
        <w:rPr>
          <w:sz w:val="24"/>
          <w:szCs w:val="24"/>
        </w:rPr>
        <w:t xml:space="preserve"> </w:t>
      </w:r>
      <w:r w:rsidR="00156059">
        <w:rPr>
          <w:sz w:val="24"/>
          <w:szCs w:val="24"/>
        </w:rPr>
        <w:fldChar w:fldCharType="begin" w:fldLock="1"/>
      </w:r>
      <w:r w:rsidR="0075024E">
        <w:rPr>
          <w:sz w:val="24"/>
          <w:szCs w:val="24"/>
        </w:rPr>
        <w:instrText>ADDIN CSL_CITATION { "citationItems" : [ { "id" : "ITEM-1", "itemData" : { "ISSN" : "20088213", "PMID" : "25538842", "abstract" : "BACKGROUND: The aim was to investigate the relationships among lean mass (LM), fat mass (FM), and bone mineral density (BMD) in women stratified by body mass index (BMI) (BMI - normal-weight, overweight, obese) and to determine threshold at which body fat assumes negative relationship with BMD.\\n\\nMETHODS: This was a cross-sectional study in 471 healthy Caucasian women, aged 18-67 years. BMD, LM, and FM were measured using dual-energy X-ray absorptiometry. Analysis of variance with Bonferroni corrections was used to test the BMI group differences. Linear regression was used to examine independent contributions of LM and FM on BMD of various skeletal sites (controlling for age and height). In overweight/obese women PROC LOESS plots were used to determine the inflection points at which either LM or FM relationship with BMD changes direction. Separate analyses in pre- and post-menopausal women were conducted as well.\\n\\nRESULTS: Spine and femoral neck BMD were not different among three BMI groups while total body, femur and radius BMD were statistically different (the highest in the obese group). Linear regression revealed that LM had significant positive association with BMD of various skeletal sites in all groups. FM showed a negative association with BMD of femoral neck and femur in normal-weight and spine in overweight women, but a positive association with radius in obese women. Inflection points showed that body fat between 33% and 38% assumed negative relationship with BMD for most skeletal sites in overweight and obese women.\\n\\nCONCLUSIONS: Although LM has strong positive relationship with BMD, FM above 33% in overweight/obese women is negatively related to BMD of most skeletal sites. Therefore, overweight/obesity after certain amount of FM, may not be a protective factor against osteoporosis in females. For clinical practice in women, it is important to maintain LM and keep FM accrual below ~30% body fat to maintain good skeletal health.", "author" : [ { "dropping-particle" : "", "family" : "Liu", "given" : "Pei Yang", "non-dropping-particle" : "", "parse-names" : false, "suffix" : "" }, { "dropping-particle" : "", "family" : "Ilich", "given" : "Jasminka Z.", "non-dropping-particle" : "", "parse-names" : false, "suffix" : "" }, { "dropping-particle" : "", "family" : "Brummel-Smith", "given" : "Ken", "non-dropping-particle" : "", "parse-names" : false, "suffix" : "" }, { "dropping-particle" : "", "family" : "Ghosh", "given" : "Sunita", "non-dropping-particle" : "", "parse-names" : false, "suffix" : "" } ], "container-title" : "International Journal of Preventive Medicine", "id" : "ITEM-1", "issue" : "11", "issued" : { "date-parts" : [ [ "2014" ] ] }, "page" : "1452-1463", "title" : "New insight into fat, muscle and bone relationship in women: Determining the threshold at which body fat assumes negative relationship with bone mineral density", "type" : "article-journal", "volume" : "5" }, "uris" : [ "http://www.mendeley.com/documents/?uuid=50faea5b-133b-47d0-9153-e1a817e022d6" ] } ], "mendeley" : { "formattedCitation" : "&lt;sup&gt;63&lt;/sup&gt;", "plainTextFormattedCitation" : "63", "previouslyFormattedCitation" : "&lt;sup&gt;63&lt;/sup&gt;"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63</w:t>
      </w:r>
      <w:r w:rsidR="00156059">
        <w:rPr>
          <w:sz w:val="24"/>
          <w:szCs w:val="24"/>
        </w:rPr>
        <w:fldChar w:fldCharType="end"/>
      </w:r>
      <w:r w:rsidR="00CC054D">
        <w:rPr>
          <w:sz w:val="24"/>
          <w:szCs w:val="24"/>
        </w:rPr>
        <w:t xml:space="preserve"> </w:t>
      </w:r>
      <w:r w:rsidRPr="0036459D">
        <w:rPr>
          <w:sz w:val="24"/>
          <w:szCs w:val="24"/>
          <w:vertAlign w:val="superscript"/>
        </w:rPr>
        <w:t xml:space="preserve"> </w:t>
      </w:r>
      <w:r w:rsidRPr="00F77F70">
        <w:rPr>
          <w:sz w:val="24"/>
          <w:szCs w:val="24"/>
        </w:rPr>
        <w:t xml:space="preserve">Taken collectively, these results indicate a parabolic and </w:t>
      </w:r>
      <w:r w:rsidR="005C57BB">
        <w:rPr>
          <w:sz w:val="24"/>
          <w:szCs w:val="24"/>
        </w:rPr>
        <w:t>bi-phasic</w:t>
      </w:r>
      <w:r w:rsidR="005C57BB" w:rsidRPr="00F77F70">
        <w:rPr>
          <w:sz w:val="24"/>
          <w:szCs w:val="24"/>
        </w:rPr>
        <w:t xml:space="preserve"> </w:t>
      </w:r>
      <w:r w:rsidRPr="00F77F70">
        <w:rPr>
          <w:sz w:val="24"/>
          <w:szCs w:val="24"/>
        </w:rPr>
        <w:t>relationship between relative adiposity and BMD, with higher</w:t>
      </w:r>
      <w:r w:rsidR="002342E6">
        <w:rPr>
          <w:sz w:val="24"/>
          <w:szCs w:val="24"/>
        </w:rPr>
        <w:t xml:space="preserve"> relative</w:t>
      </w:r>
      <w:r w:rsidRPr="00F77F70">
        <w:rPr>
          <w:sz w:val="24"/>
          <w:szCs w:val="24"/>
        </w:rPr>
        <w:t xml:space="preserve"> adiposity levels exerting a negative in</w:t>
      </w:r>
      <w:r w:rsidR="00026D55">
        <w:rPr>
          <w:sz w:val="24"/>
          <w:szCs w:val="24"/>
        </w:rPr>
        <w:t>fluence on BMD. Subgroup analyse</w:t>
      </w:r>
      <w:r w:rsidRPr="00F77F70">
        <w:rPr>
          <w:sz w:val="24"/>
          <w:szCs w:val="24"/>
        </w:rPr>
        <w:t>s within the current study showed that this correlation was larger and had a stronger probability of rejecting H</w:t>
      </w:r>
      <w:r w:rsidRPr="00F77F70">
        <w:rPr>
          <w:sz w:val="24"/>
          <w:szCs w:val="24"/>
          <w:vertAlign w:val="subscript"/>
        </w:rPr>
        <w:t>o</w:t>
      </w:r>
      <w:r w:rsidRPr="00F77F70">
        <w:rPr>
          <w:sz w:val="24"/>
          <w:szCs w:val="24"/>
        </w:rPr>
        <w:t xml:space="preserve"> in the obese (R = -0.20, 95%CI: -0.38, -0.01) compared to the overweight (-0.08. 95%CI: </w:t>
      </w:r>
      <w:r w:rsidR="00265E0D" w:rsidRPr="00265E0D">
        <w:rPr>
          <w:sz w:val="24"/>
          <w:szCs w:val="24"/>
        </w:rPr>
        <w:t xml:space="preserve">-0.27, </w:t>
      </w:r>
      <w:r w:rsidR="0081755B" w:rsidRPr="00265E0D">
        <w:rPr>
          <w:sz w:val="24"/>
          <w:szCs w:val="24"/>
        </w:rPr>
        <w:t>0.11)</w:t>
      </w:r>
      <w:r w:rsidRPr="00F77F70">
        <w:rPr>
          <w:sz w:val="24"/>
          <w:szCs w:val="24"/>
        </w:rPr>
        <w:t xml:space="preserve"> groups, indicating that the negative impact of relative adiposity on BMD is increased as adiposity increased from overweight to obese levels. </w:t>
      </w:r>
      <w:r w:rsidR="00EF69E9" w:rsidRPr="00F77F70">
        <w:rPr>
          <w:sz w:val="24"/>
          <w:szCs w:val="24"/>
        </w:rPr>
        <w:t>Th</w:t>
      </w:r>
      <w:r w:rsidR="00EF69E9">
        <w:rPr>
          <w:sz w:val="24"/>
          <w:szCs w:val="24"/>
        </w:rPr>
        <w:t>ese findings</w:t>
      </w:r>
      <w:r w:rsidR="00EF69E9" w:rsidRPr="00F77F70">
        <w:rPr>
          <w:sz w:val="24"/>
          <w:szCs w:val="24"/>
        </w:rPr>
        <w:t xml:space="preserve"> </w:t>
      </w:r>
      <w:r w:rsidRPr="00F77F70">
        <w:rPr>
          <w:sz w:val="24"/>
          <w:szCs w:val="24"/>
        </w:rPr>
        <w:t>support the concept of “</w:t>
      </w:r>
      <w:proofErr w:type="spellStart"/>
      <w:r w:rsidRPr="00F77F70">
        <w:rPr>
          <w:i/>
          <w:iCs/>
          <w:sz w:val="24"/>
          <w:szCs w:val="24"/>
        </w:rPr>
        <w:t>osteosarcopenic</w:t>
      </w:r>
      <w:proofErr w:type="spellEnd"/>
      <w:r w:rsidRPr="00F77F70">
        <w:rPr>
          <w:i/>
          <w:iCs/>
          <w:sz w:val="24"/>
          <w:szCs w:val="24"/>
        </w:rPr>
        <w:t xml:space="preserve"> obesity</w:t>
      </w:r>
      <w:r w:rsidRPr="00F77F70">
        <w:rPr>
          <w:sz w:val="24"/>
          <w:szCs w:val="24"/>
        </w:rPr>
        <w:t>”, which is a deterioration of muscle and bone in the presence of, or as a result of excess adiposity</w:t>
      </w:r>
      <w:r>
        <w:rPr>
          <w:sz w:val="24"/>
          <w:szCs w:val="24"/>
        </w:rPr>
        <w:t>.</w:t>
      </w:r>
      <w:r w:rsidR="00265E0D">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"10.1016/j.arr.2014.02.007", "ISBN" : "1872-9649 (Electronic)\\r1568-1637 (Linking)", "ISSN" : "18729649", "PMID" : "24632496", "abstract" : "While sarcopenia and sarcopenic obesity have been recognized in the last decade, a combined concept to include decreased muscle mass and strength, as well as decreased bone mass with coexistence of adiposity is discussed here. We introduce a new term, osteopenic obesity, and operationalize its meaning within the context of osteopenia and obesity. Next, we consolidate osteopenic obesity with the already existing and more familiar term, sarcopenic obesity, and delineate the resulting combined condition assigning it the term osteosarcopenic obesity. Identification and possible diagnosis of each condition are discussed, as well as the interactions of muscle, fat and bone tissues on cellular level, considering their endocrine features. Special emphasis is placed on the mesenchymal stem cell commitment into osteoblastogenic, adipogenic and myogenic lineages and causes of its deregulation. Based on the presented evidence and as expounded within the text, it is reasonable to say that under certain conditions, osteoporosis and sarcopenia could be the obesity of bone and muscle, respectively, with the term osteosarcopenic obesity as an encompassment for all. ?? 2014.", "author" : [ { "dropping-particle" : "", "family" : "Ilich", "given" : "Jasminka Z.", "non-dropping-particle" : "", "parse-names" : false, "suffix" : "" }, { "dropping-particle" : "", "family" : "Kelly", "given" : "Owen J.", "non-dropping-particle" : "", "parse-names" : false, "suffix" : "" }, { "dropping-particle" : "", "family" : "Inglis", "given" : "Julia E.", "non-dropping-particle" : "", "parse-names" : false, "suffix" : "" }, { "dropping-particle" : "", "family" : "Panton", "given" : "Lynn B.", "non-dropping-particle" : "", "parse-names" : false, "suffix" : "" }, { "dropping-particle" : "", "family" : "Duque", "given" : "Gustavo", "non-dropping-particle" : "", "parse-names" : false, "suffix" : "" }, { "dropping-particle" : "", "family" : "Ormsbee", "given" : "Michael J.", "non-dropping-particle" : "", "parse-names" : false, "suffix" : "" } ], "container-title" : "Ageing Research Reviews", "id" : "ITEM-1", "issue" : "1", "issued" : { "date-parts" : [ [ "2014" ] ] }, "page" : "51-60", "publisher" : "Elsevier B.V.", "title" : "Interrelationship among muscle, fat, and bone: Connecting the dots on cellular, hormonal, and whole body levels", "type" : "article-journal", "volume" : "15" }, "uris" : [ "http://www.mendeley.com/documents/?uuid=bc2731b0-08e4-4d83-9f44-dc6830223566" ] } ], "mendeley" : { "formattedCitation" : "&lt;sup&gt;16&lt;/sup&gt;", "plainTextFormattedCitation" : "16", "previouslyFormattedCitation" : "&lt;sup&gt;16&lt;/sup&gt;"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16</w:t>
      </w:r>
      <w:r w:rsidR="00156059">
        <w:rPr>
          <w:sz w:val="24"/>
          <w:szCs w:val="24"/>
        </w:rPr>
        <w:fldChar w:fldCharType="end"/>
      </w:r>
      <w:r w:rsidRPr="0036459D">
        <w:rPr>
          <w:sz w:val="24"/>
          <w:szCs w:val="24"/>
          <w:vertAlign w:val="superscript"/>
        </w:rPr>
        <w:t xml:space="preserve"> </w:t>
      </w:r>
      <w:r w:rsidR="005C57BB">
        <w:rPr>
          <w:sz w:val="24"/>
          <w:szCs w:val="24"/>
        </w:rPr>
        <w:t xml:space="preserve">The terms </w:t>
      </w:r>
      <w:proofErr w:type="spellStart"/>
      <w:r w:rsidR="005C57BB">
        <w:rPr>
          <w:sz w:val="24"/>
          <w:szCs w:val="24"/>
        </w:rPr>
        <w:t>sarcopenia</w:t>
      </w:r>
      <w:proofErr w:type="spellEnd"/>
      <w:r w:rsidR="005C57BB">
        <w:rPr>
          <w:sz w:val="24"/>
          <w:szCs w:val="24"/>
        </w:rPr>
        <w:t xml:space="preserve">, and </w:t>
      </w:r>
      <w:proofErr w:type="spellStart"/>
      <w:r w:rsidR="005C57BB">
        <w:rPr>
          <w:sz w:val="24"/>
          <w:szCs w:val="24"/>
        </w:rPr>
        <w:t>osteosarcopenia</w:t>
      </w:r>
      <w:proofErr w:type="spellEnd"/>
      <w:r w:rsidR="005C57BB">
        <w:rPr>
          <w:sz w:val="24"/>
          <w:szCs w:val="24"/>
        </w:rPr>
        <w:t xml:space="preserve"> are associated with age related declines in muscle and bone</w:t>
      </w:r>
      <w:r w:rsidR="00265E0D">
        <w:rPr>
          <w:sz w:val="24"/>
          <w:szCs w:val="24"/>
        </w:rPr>
        <w:t xml:space="preserve">. </w:t>
      </w:r>
      <w:r w:rsidR="00156059" w:rsidRPr="00265E0D">
        <w:rPr>
          <w:sz w:val="24"/>
          <w:szCs w:val="24"/>
        </w:rPr>
        <w:fldChar w:fldCharType="begin" w:fldLock="1"/>
      </w:r>
      <w:r w:rsidR="0075024E">
        <w:rPr>
          <w:sz w:val="24"/>
          <w:szCs w:val="24"/>
        </w:rPr>
        <w:instrText>ADDIN CSL_CITATION { "citationItems" : [ { "id" : "ITEM-1", "itemData" : { "DOI" : "10.1155/2016/7325973", "ISSN" : "16877071", "PMID" : "27667996", "abstract" : "&lt;p&gt; Conditions related to body composition and aging, such as osteopenic obesity, sarcopenia/sarcopenic obesity, and the newly termed osteosarcopenic obesity (triad of bone muscle and adipose tissue impairment), are beginning to gain recognition. However there is still a &lt;italic&gt;lack of definitive diagnostic criteria&lt;/italic&gt; for these conditions. Little is known about the long-term impact of these combined conditions of osteoporosis, sarcopenia, and obesity in older adults. Many may go undiagnosed and progress untreated. Therefore, the objective of this research is to create &lt;italic&gt;diagnostic criteria&lt;/italic&gt; for osteosarcopenic obesity in older women. The proposed &lt;italic&gt;diagnostic criteria&lt;/italic&gt; are based on &lt;italic&gt;two types of assessments: physical,&lt;/italic&gt; via body composition measurements, and &lt;italic&gt;functional,&lt;/italic&gt; via physical performance measures. Body composition measurements such as &lt;math id=\"M1\"&gt; &lt;mrow&gt; &lt;mi&gt;T&lt;/mi&gt; &lt;/mrow&gt; &lt;/math&gt; -scores for bone mineral density, appendicular lean mass for sarcopenia, and percent body fat could all be obtained via dual energy X-ray absorptiometry. Physical performance tests: handgrip strength, one-leg stance, walking speed, and sit-to-stand could be assessed with minimal equipment. A score could then be obtained to measure functional decline in the older adult. For &lt;italic&gt;diagnosing osteosarcopenic obesity&lt;/italic&gt; and other conditions related to bone loss and muscle loss combined with obesity, a combination of measures may more adequately improve the assessment process. &lt;/p&gt;", "author" : [ { "dropping-particle" : "", "family" : "Ilich", "given" : "Jasminka Z.", "non-dropping-particle" : "", "parse-names" : false, "suffix" : "" }, { "dropping-particle" : "", "family" : "Kelly", "given" : "Owen J.", "non-dropping-particle" : "", "parse-names" : false, "suffix" : "" }, { "dropping-particle" : "", "family" : "Inglis", "given" : "Julia E.", "non-dropping-particle" : "", "parse-names" : false, "suffix" : "" } ], "container-title" : "Current Gerontology and Geriatrics Research", "id" : "ITEM-1", "issue" : "Figure 1", "issued" : { "date-parts" : [ [ "2016" ] ] }, "title" : "Osteosarcopenic Obesity Syndrome: What Is It and How Can It Be Identified and Diagnosed?", "type" : "article-journal", "volume" : "2016" }, "uris" : [ "http://www.mendeley.com/documents/?uuid=986ba691-eca2-43ab-8639-58f5afec6335" ] } ], "mendeley" : { "formattedCitation" : "&lt;sup&gt;72&lt;/sup&gt;", "plainTextFormattedCitation" : "72", "previouslyFormattedCitation" : "&lt;sup&gt;72&lt;/sup&gt;" }, "properties" : { "noteIndex" : 0 }, "schema" : "https://github.com/citation-style-language/schema/raw/master/csl-citation.json" }</w:instrText>
      </w:r>
      <w:r w:rsidR="00156059" w:rsidRPr="00265E0D">
        <w:rPr>
          <w:sz w:val="24"/>
          <w:szCs w:val="24"/>
        </w:rPr>
        <w:fldChar w:fldCharType="separate"/>
      </w:r>
      <w:r w:rsidR="00AA43A0" w:rsidRPr="00AA43A0">
        <w:rPr>
          <w:noProof/>
          <w:sz w:val="24"/>
          <w:szCs w:val="24"/>
          <w:vertAlign w:val="superscript"/>
        </w:rPr>
        <w:t>72</w:t>
      </w:r>
      <w:r w:rsidR="00156059" w:rsidRPr="00265E0D">
        <w:rPr>
          <w:sz w:val="24"/>
          <w:szCs w:val="24"/>
        </w:rPr>
        <w:fldChar w:fldCharType="end"/>
      </w:r>
      <w:r w:rsidR="005C57BB">
        <w:rPr>
          <w:sz w:val="24"/>
          <w:szCs w:val="24"/>
        </w:rPr>
        <w:t xml:space="preserve"> The results of the current </w:t>
      </w:r>
      <w:r w:rsidR="00EF69E9">
        <w:rPr>
          <w:sz w:val="24"/>
          <w:szCs w:val="24"/>
        </w:rPr>
        <w:t>meta-analysis</w:t>
      </w:r>
      <w:r w:rsidR="005C57BB">
        <w:rPr>
          <w:sz w:val="24"/>
          <w:szCs w:val="24"/>
        </w:rPr>
        <w:t xml:space="preserve"> indicate that the relationship between these three compartments may follow similar patterns at other phases of the life-cycle, </w:t>
      </w:r>
      <w:r w:rsidR="005C57BB" w:rsidRPr="005C57BB">
        <w:rPr>
          <w:i/>
          <w:sz w:val="24"/>
          <w:szCs w:val="24"/>
        </w:rPr>
        <w:t>i.e.</w:t>
      </w:r>
      <w:r w:rsidR="004D5442">
        <w:rPr>
          <w:i/>
          <w:sz w:val="24"/>
          <w:szCs w:val="24"/>
        </w:rPr>
        <w:t>,</w:t>
      </w:r>
      <w:r w:rsidR="005C57BB">
        <w:rPr>
          <w:sz w:val="24"/>
          <w:szCs w:val="24"/>
        </w:rPr>
        <w:t xml:space="preserve"> that an increase in adipose mass in overweight or obese populations exert</w:t>
      </w:r>
      <w:r w:rsidR="004D5442">
        <w:rPr>
          <w:sz w:val="24"/>
          <w:szCs w:val="24"/>
        </w:rPr>
        <w:t>s</w:t>
      </w:r>
      <w:r w:rsidR="005C57BB">
        <w:rPr>
          <w:sz w:val="24"/>
          <w:szCs w:val="24"/>
        </w:rPr>
        <w:t xml:space="preserve"> a negative influence on bone, but only if accompanied by a relative reduction in lean mass</w:t>
      </w:r>
      <w:r w:rsidR="00AE220F">
        <w:rPr>
          <w:sz w:val="24"/>
          <w:szCs w:val="24"/>
        </w:rPr>
        <w:t>, which is particularly apparent in men and</w:t>
      </w:r>
      <w:r w:rsidR="004D5442">
        <w:rPr>
          <w:sz w:val="24"/>
          <w:szCs w:val="24"/>
        </w:rPr>
        <w:t xml:space="preserve"> in</w:t>
      </w:r>
      <w:r w:rsidR="00AE220F">
        <w:rPr>
          <w:sz w:val="24"/>
          <w:szCs w:val="24"/>
        </w:rPr>
        <w:t xml:space="preserve"> those aged &lt;25</w:t>
      </w:r>
      <w:r w:rsidR="004D5442">
        <w:rPr>
          <w:sz w:val="24"/>
          <w:szCs w:val="24"/>
        </w:rPr>
        <w:t xml:space="preserve"> years</w:t>
      </w:r>
      <w:r w:rsidR="00AE220F">
        <w:rPr>
          <w:sz w:val="24"/>
          <w:szCs w:val="24"/>
        </w:rPr>
        <w:t>.</w:t>
      </w:r>
      <w:r w:rsidR="005C57BB">
        <w:rPr>
          <w:sz w:val="24"/>
          <w:szCs w:val="24"/>
        </w:rPr>
        <w:t xml:space="preserve"> </w:t>
      </w:r>
    </w:p>
    <w:p w:rsidR="008F13B0" w:rsidRPr="00F77F70" w:rsidRDefault="004D5442" w:rsidP="00D1500E">
      <w:pPr>
        <w:spacing w:line="360" w:lineRule="auto"/>
        <w:jc w:val="both"/>
        <w:rPr>
          <w:sz w:val="24"/>
          <w:szCs w:val="24"/>
        </w:rPr>
      </w:pPr>
      <w:r>
        <w:rPr>
          <w:sz w:val="24"/>
          <w:szCs w:val="24"/>
        </w:rPr>
        <w:t>In order to consider the effec</w:t>
      </w:r>
      <w:r w:rsidR="00C20519" w:rsidRPr="00F77F70">
        <w:rPr>
          <w:sz w:val="24"/>
          <w:szCs w:val="24"/>
        </w:rPr>
        <w:t xml:space="preserve">t of modifying covariates on study findings, sex and age categories were included within the multi-level model. </w:t>
      </w:r>
      <w:r w:rsidR="008F13B0" w:rsidRPr="00F77F70">
        <w:rPr>
          <w:sz w:val="24"/>
          <w:szCs w:val="24"/>
        </w:rPr>
        <w:t>The primary outcome from these analyses was that sex emerged as the primary moderator of the reported correlations. In particular, men were more susceptible to the negative influence of increased relative adipo</w:t>
      </w:r>
      <w:r w:rsidR="00265E0D">
        <w:rPr>
          <w:sz w:val="24"/>
          <w:szCs w:val="24"/>
        </w:rPr>
        <w:t>se mass than were women (Table 5</w:t>
      </w:r>
      <w:r w:rsidR="008F13B0" w:rsidRPr="00F77F70">
        <w:rPr>
          <w:sz w:val="24"/>
          <w:szCs w:val="24"/>
        </w:rPr>
        <w:t xml:space="preserve">). The most likely explanation for this is the influence of female sex hormones, such as </w:t>
      </w:r>
      <w:proofErr w:type="spellStart"/>
      <w:r w:rsidR="008F13B0" w:rsidRPr="00F77F70">
        <w:rPr>
          <w:sz w:val="24"/>
          <w:szCs w:val="24"/>
        </w:rPr>
        <w:t>estrogen</w:t>
      </w:r>
      <w:proofErr w:type="spellEnd"/>
      <w:r w:rsidR="008F13B0" w:rsidRPr="00F77F70">
        <w:rPr>
          <w:sz w:val="24"/>
          <w:szCs w:val="24"/>
        </w:rPr>
        <w:t>; which is a key systemic regulator of bone homeostasis</w:t>
      </w:r>
      <w:r w:rsidR="00265E0D">
        <w:rPr>
          <w:sz w:val="24"/>
          <w:szCs w:val="24"/>
        </w:rPr>
        <w:t xml:space="preserve"> </w:t>
      </w:r>
      <w:r w:rsidR="00156059">
        <w:rPr>
          <w:sz w:val="24"/>
          <w:szCs w:val="24"/>
        </w:rPr>
        <w:fldChar w:fldCharType="begin" w:fldLock="1"/>
      </w:r>
      <w:r w:rsidR="0075024E">
        <w:rPr>
          <w:sz w:val="24"/>
          <w:szCs w:val="24"/>
        </w:rPr>
        <w:instrText>ADDIN CSL_CITATION { "citationItems" : [ { "id" : "ITEM-1", "itemData" : { "author" : [ { "dropping-particle" : "", "family" : "Manolagas", "given" : "SC", "non-dropping-particle" : "", "parse-names" : false, "suffix" : "" }, { "dropping-particle" : "", "family" : "O'Brien", "given" : "CA", "non-dropping-particle" : "", "parse-names" : false, "suffix" : "" }, { "dropping-particle" : "", "family" : "Almeida", "given" : "M", "non-dropping-particle" : "", "parse-names" : false, "suffix" : "" } ], "container-title" : "Nature reviews. Endocrinology", "id" : "ITEM-1", "issue" : "12", "issued" : { "date-parts" : [ [ "2013" ] ] }, "page" : "699-712", "title" : "The role of estrogen and androgen receptors in bone health and disease", "type" : "article-journal", "volume" : "9" }, "uris" : [ "http://www.mendeley.com/documents/?uuid=6d7271eb-6166-450b-b679-034b812122c0" ] } ], "mendeley" : { "formattedCitation" : "&lt;sup&gt;73&lt;/sup&gt;", "plainTextFormattedCitation" : "73", "previouslyFormattedCitation" : "&lt;sup&gt;73&lt;/sup&gt;"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73</w:t>
      </w:r>
      <w:r w:rsidR="00156059">
        <w:rPr>
          <w:sz w:val="24"/>
          <w:szCs w:val="24"/>
        </w:rPr>
        <w:fldChar w:fldCharType="end"/>
      </w:r>
      <w:r w:rsidR="008F13B0" w:rsidRPr="0036459D">
        <w:rPr>
          <w:sz w:val="24"/>
          <w:szCs w:val="24"/>
          <w:vertAlign w:val="superscript"/>
        </w:rPr>
        <w:t xml:space="preserve"> </w:t>
      </w:r>
      <w:r w:rsidR="008F13B0" w:rsidRPr="00F77F70">
        <w:rPr>
          <w:sz w:val="24"/>
          <w:szCs w:val="24"/>
        </w:rPr>
        <w:t xml:space="preserve">and is present in greater concentrations in women compared with men. It is plausible that the more positive influence of adiposity on BMD in women compared with men is mediated through </w:t>
      </w:r>
      <w:proofErr w:type="spellStart"/>
      <w:r w:rsidR="008F13B0" w:rsidRPr="00F77F70">
        <w:rPr>
          <w:sz w:val="24"/>
          <w:szCs w:val="24"/>
        </w:rPr>
        <w:t>estrogen</w:t>
      </w:r>
      <w:proofErr w:type="spellEnd"/>
      <w:r w:rsidR="008F13B0" w:rsidRPr="00F77F70">
        <w:rPr>
          <w:sz w:val="24"/>
          <w:szCs w:val="24"/>
        </w:rPr>
        <w:t xml:space="preserve">, given that adipose tissue is a key source of </w:t>
      </w:r>
      <w:proofErr w:type="spellStart"/>
      <w:r w:rsidR="008F13B0" w:rsidRPr="00F77F70">
        <w:rPr>
          <w:sz w:val="24"/>
          <w:szCs w:val="24"/>
        </w:rPr>
        <w:t>aromatase</w:t>
      </w:r>
      <w:proofErr w:type="spellEnd"/>
      <w:r w:rsidR="008F13B0" w:rsidRPr="00F77F70">
        <w:rPr>
          <w:sz w:val="24"/>
          <w:szCs w:val="24"/>
        </w:rPr>
        <w:t xml:space="preserve">, which contributes to </w:t>
      </w:r>
      <w:proofErr w:type="spellStart"/>
      <w:r w:rsidR="008F13B0" w:rsidRPr="00F77F70">
        <w:rPr>
          <w:sz w:val="24"/>
          <w:szCs w:val="24"/>
        </w:rPr>
        <w:t>estrogen</w:t>
      </w:r>
      <w:proofErr w:type="spellEnd"/>
      <w:r w:rsidR="008F13B0" w:rsidRPr="00F77F70">
        <w:rPr>
          <w:sz w:val="24"/>
          <w:szCs w:val="24"/>
        </w:rPr>
        <w:t xml:space="preserve"> synthesis from androgen precursors</w:t>
      </w:r>
      <w:r w:rsidR="008F13B0">
        <w:rPr>
          <w:sz w:val="24"/>
          <w:szCs w:val="24"/>
        </w:rPr>
        <w:t>.</w:t>
      </w:r>
      <w:r w:rsidR="00265E0D">
        <w:rPr>
          <w:sz w:val="24"/>
          <w:szCs w:val="24"/>
        </w:rPr>
        <w:t xml:space="preserve"> </w:t>
      </w:r>
      <w:r w:rsidR="00156059">
        <w:rPr>
          <w:sz w:val="24"/>
          <w:szCs w:val="24"/>
        </w:rPr>
        <w:fldChar w:fldCharType="begin" w:fldLock="1"/>
      </w:r>
      <w:r w:rsidR="0075024E">
        <w:rPr>
          <w:sz w:val="24"/>
          <w:szCs w:val="24"/>
        </w:rPr>
        <w:instrText>ADDIN CSL_CITATION { "citationItems" : [ { "id" : "ITEM-1", "itemData" : { "author" : [ { "dropping-particle" : "", "family" : "Nelson", "given" : "LR", "non-dropping-particle" : "", "parse-names" : false, "suffix" : "" }, { "dropping-particle" : "", "family" : "Bulun", "given" : "SE", "non-dropping-particle" : "", "parse-names" : false, "suffix" : "" } ], "container-title" : "Journal of the American Academy of Dermatology", "id" : "ITEM-1", "issue" : "3 Suppl", "issued" : { "date-parts" : [ [ "2001" ] ] }, "page" : "S116-24", "title" : "Estrogen production and action", "type" : "article-journal", "volume" : "45" }, "uris" : [ "http://www.mendeley.com/documents/?uuid=4fa83ae2-ca1c-4976-8672-62e4823741b1" ] } ], "mendeley" : { "formattedCitation" : "&lt;sup&gt;74&lt;/sup&gt;", "plainTextFormattedCitation" : "74", "previouslyFormattedCitation" : "&lt;sup&gt;74&lt;/sup&gt;"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74</w:t>
      </w:r>
      <w:r w:rsidR="00156059">
        <w:rPr>
          <w:sz w:val="24"/>
          <w:szCs w:val="24"/>
        </w:rPr>
        <w:fldChar w:fldCharType="end"/>
      </w:r>
      <w:r w:rsidR="008F13B0" w:rsidRPr="00F77F70">
        <w:rPr>
          <w:sz w:val="24"/>
          <w:szCs w:val="24"/>
        </w:rPr>
        <w:t xml:space="preserve"> The finding that men are more susceptible to the negative influence of increased relative adiposity is particularly relevant when considered within the context of the ever-increasing </w:t>
      </w:r>
      <w:r w:rsidR="008F13B0" w:rsidRPr="00F77F70">
        <w:rPr>
          <w:sz w:val="24"/>
          <w:szCs w:val="24"/>
        </w:rPr>
        <w:lastRenderedPageBreak/>
        <w:t>prevalence of male osteoporosis</w:t>
      </w:r>
      <w:r w:rsidR="008F13B0">
        <w:rPr>
          <w:sz w:val="24"/>
          <w:szCs w:val="24"/>
        </w:rPr>
        <w:t>,</w:t>
      </w:r>
      <w:r w:rsidR="00CC054D">
        <w:rPr>
          <w:sz w:val="24"/>
          <w:szCs w:val="24"/>
        </w:rPr>
        <w:t xml:space="preserve"> </w:t>
      </w:r>
      <w:r w:rsidR="00156059">
        <w:rPr>
          <w:sz w:val="24"/>
          <w:szCs w:val="24"/>
        </w:rPr>
        <w:fldChar w:fldCharType="begin" w:fldLock="1"/>
      </w:r>
      <w:r w:rsidR="0075024E">
        <w:rPr>
          <w:sz w:val="24"/>
          <w:szCs w:val="24"/>
        </w:rPr>
        <w:instrText>ADDIN CSL_CITATION { "citationItems" : [ { "id" : "ITEM-1", "itemData" : { "author" : [ { "dropping-particle" : "", "family" : "Gulberg", "given" : "B", "non-dropping-particle" : "", "parse-names" : false, "suffix" : "" }, { "dropping-particle" : "", "family" : "Johnell", "given" : "O", "non-dropping-particle" : "", "parse-names" : false, "suffix" : "" }, { "dropping-particle" : "", "family" : "Kanis", "given" : "JA", "non-dropping-particle" : "", "parse-names" : false, "suffix" : "" } ], "container-title" : "Osteoporosis International", "id" : "ITEM-1", "issue" : "5", "issued" : { "date-parts" : [ [ "1997" ] ] }, "page" : "407-13", "title" : "World-wide projections for hip fracture", "type" : "article-journal", "volume" : "7" }, "uris" : [ "http://www.mendeley.com/documents/?uuid=47ac87d0-47c9-47e0-b65f-99e9407467e2" ] } ], "mendeley" : { "formattedCitation" : "&lt;sup&gt;5&lt;/sup&gt;", "plainTextFormattedCitation" : "5", "previouslyFormattedCitation" : "&lt;sup&gt;5&lt;/sup&gt;"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5</w:t>
      </w:r>
      <w:r w:rsidR="00156059">
        <w:rPr>
          <w:sz w:val="24"/>
          <w:szCs w:val="24"/>
        </w:rPr>
        <w:fldChar w:fldCharType="end"/>
      </w:r>
      <w:r w:rsidR="00265E0D">
        <w:rPr>
          <w:sz w:val="24"/>
          <w:szCs w:val="24"/>
        </w:rPr>
        <w:t xml:space="preserve"> </w:t>
      </w:r>
      <w:r w:rsidR="008F13B0" w:rsidRPr="00F77F70">
        <w:rPr>
          <w:sz w:val="24"/>
          <w:szCs w:val="24"/>
        </w:rPr>
        <w:t xml:space="preserve">and highlights the importance of considering sex-specific prevention and treatment options for both obesity and osteoporosis. </w:t>
      </w:r>
    </w:p>
    <w:p w:rsidR="008F13B0" w:rsidRPr="00F77F70" w:rsidRDefault="008F13B0" w:rsidP="00D1500E">
      <w:pPr>
        <w:spacing w:line="360" w:lineRule="auto"/>
        <w:jc w:val="both"/>
        <w:rPr>
          <w:sz w:val="24"/>
          <w:szCs w:val="24"/>
        </w:rPr>
      </w:pPr>
      <w:r w:rsidRPr="00F77F70">
        <w:rPr>
          <w:sz w:val="24"/>
          <w:szCs w:val="24"/>
        </w:rPr>
        <w:t xml:space="preserve">No effect of age categorisation was reported when considering the correlation between absolute adipose mass and BMD, </w:t>
      </w:r>
      <w:r w:rsidR="00C20519">
        <w:rPr>
          <w:sz w:val="24"/>
          <w:szCs w:val="24"/>
        </w:rPr>
        <w:t>but</w:t>
      </w:r>
      <w:r w:rsidR="00C20519" w:rsidRPr="00F77F70">
        <w:rPr>
          <w:sz w:val="24"/>
          <w:szCs w:val="24"/>
        </w:rPr>
        <w:t xml:space="preserve"> </w:t>
      </w:r>
      <w:r w:rsidRPr="00F77F70">
        <w:rPr>
          <w:sz w:val="24"/>
          <w:szCs w:val="24"/>
        </w:rPr>
        <w:t>a parabolic element was evident in the relationship between relative adiposity and bone.  Negative correlations between bone and relative adiposity were reported in the groups aged &lt; 25 and &gt; 55 years, while weak evidence of a positive correlation was reported in the bone maintenance group</w:t>
      </w:r>
      <w:r w:rsidRPr="0036459D">
        <w:rPr>
          <w:sz w:val="24"/>
          <w:szCs w:val="24"/>
          <w:vertAlign w:val="superscript"/>
        </w:rPr>
        <w:t xml:space="preserve"> </w:t>
      </w:r>
      <w:r w:rsidRPr="00C20519">
        <w:rPr>
          <w:sz w:val="24"/>
          <w:szCs w:val="24"/>
        </w:rPr>
        <w:t>(25 – 55 years)</w:t>
      </w:r>
      <w:r w:rsidR="00C20519">
        <w:rPr>
          <w:sz w:val="24"/>
          <w:szCs w:val="24"/>
        </w:rPr>
        <w:t>.</w:t>
      </w:r>
      <w:r w:rsidRPr="00C20519">
        <w:rPr>
          <w:sz w:val="24"/>
          <w:szCs w:val="24"/>
        </w:rPr>
        <w:t xml:space="preserve"> </w:t>
      </w:r>
      <w:r w:rsidRPr="00F77F70">
        <w:rPr>
          <w:sz w:val="24"/>
          <w:szCs w:val="24"/>
        </w:rPr>
        <w:t>These findings suggest that the negative influence of increased relative adiposity is most relevant when bone metabolism is in a state of flux, as evidenced by the negative relationships reported in the bone growth and decline periods. Evidence supporting this negative correlation was strongest in the youngest age category (R = -0.28, 95%CI: -0.45, -0.08). These findings are particularly relevant given that childhood obesity is increasing at an alarming rate, and has been described by the WHO as one of the most serious public health challenges of the 21</w:t>
      </w:r>
      <w:r w:rsidRPr="00F77F70">
        <w:rPr>
          <w:sz w:val="24"/>
          <w:szCs w:val="24"/>
          <w:vertAlign w:val="superscript"/>
        </w:rPr>
        <w:t>st</w:t>
      </w:r>
      <w:r w:rsidRPr="00F77F70">
        <w:rPr>
          <w:sz w:val="24"/>
          <w:szCs w:val="24"/>
        </w:rPr>
        <w:t xml:space="preserve"> century. Interventions designed to reduce childhood obesity, while concurrently protecting bone health, are of paramount importance. </w:t>
      </w:r>
    </w:p>
    <w:p w:rsidR="008F13B0" w:rsidRDefault="008F13B0" w:rsidP="00D1500E">
      <w:pPr>
        <w:spacing w:line="360" w:lineRule="auto"/>
        <w:jc w:val="both"/>
        <w:rPr>
          <w:sz w:val="24"/>
          <w:szCs w:val="24"/>
        </w:rPr>
      </w:pPr>
      <w:r w:rsidRPr="00F77F70">
        <w:rPr>
          <w:sz w:val="24"/>
          <w:szCs w:val="24"/>
        </w:rPr>
        <w:t xml:space="preserve">A number of factors should be considered when interpreting the results of this meta-analysis, and their influence accounted for within the design of future studies on this topic. Outcome reporting bias is particularly relevant, as a large number of high-quality studies on the topic area could not be included as they did not meet the specific inclusion criteria of this review. Consideration of such studies may add further insight into the complex relationship between excess adiposity and bone, and the myriad of nutritional, mechanical and metabolic factors that may mediate this relationship. For example, </w:t>
      </w:r>
      <w:r w:rsidR="003B044B">
        <w:rPr>
          <w:sz w:val="24"/>
          <w:szCs w:val="24"/>
        </w:rPr>
        <w:t xml:space="preserve">the regional distribution of </w:t>
      </w:r>
      <w:r w:rsidRPr="00F77F70">
        <w:rPr>
          <w:sz w:val="24"/>
          <w:szCs w:val="24"/>
        </w:rPr>
        <w:t>adipose</w:t>
      </w:r>
      <w:r w:rsidR="003B044B">
        <w:rPr>
          <w:sz w:val="24"/>
          <w:szCs w:val="24"/>
        </w:rPr>
        <w:t xml:space="preserve"> tissue</w:t>
      </w:r>
      <w:r w:rsidRPr="00F77F70">
        <w:rPr>
          <w:sz w:val="24"/>
          <w:szCs w:val="24"/>
        </w:rPr>
        <w:t xml:space="preserve"> </w:t>
      </w:r>
      <w:r w:rsidR="003B044B">
        <w:rPr>
          <w:sz w:val="24"/>
          <w:szCs w:val="24"/>
        </w:rPr>
        <w:t xml:space="preserve">has been reported to </w:t>
      </w:r>
      <w:r w:rsidRPr="00F77F70">
        <w:rPr>
          <w:sz w:val="24"/>
          <w:szCs w:val="24"/>
        </w:rPr>
        <w:t>influence BMD, with visceral adiposity showing negative associations with BMD in both general and overweight populations</w:t>
      </w:r>
      <w:r>
        <w:rPr>
          <w:sz w:val="24"/>
          <w:szCs w:val="24"/>
        </w:rPr>
        <w:t>.</w:t>
      </w:r>
      <w:r w:rsidR="00CC054D">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"10.3945/ajcn.113.081778.INTRODUCTION", "author" : [ { "dropping-particle" : "", "family" : "Zhang", "given" : "Peng", "non-dropping-particle" : "", "parse-names" : false, "suffix" : "" }, { "dropping-particle" : "", "family" : "Peterson", "given" : "Mark", "non-dropping-particle" : "", "parse-names" : false, "suffix" : "" }, { "dropping-particle" : "", "family" : "Su", "given" : "Grace L", "non-dropping-particle" : "", "parse-names" : false, "suffix" : "" }, { "dropping-particle" : "", "family" : "Wang", "given" : "Stewart C", "non-dropping-particle" : "", "parse-names" : false, "suffix" : "" } ], "id" : "ITEM-1", "issued" : { "date-parts" : [ [ "2015" ] ] }, "page" : "337-343", "title" : "Visceral adiposity is negatively associated with bone density and", "type" : "article-journal" }, "uris" : [ "http://www.mendeley.com/documents/?uuid=2e360ede-71f5-4b2b-a305-4295631d3a53" ] } ], "mendeley" : { "formattedCitation" : "&lt;sup&gt;75&lt;/sup&gt;", "plainTextFormattedCitation" : "75", "previouslyFormattedCitation" : "&lt;sup&gt;75&lt;/sup&gt;"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75</w:t>
      </w:r>
      <w:r w:rsidR="00156059">
        <w:rPr>
          <w:sz w:val="24"/>
          <w:szCs w:val="24"/>
        </w:rPr>
        <w:fldChar w:fldCharType="end"/>
      </w:r>
      <w:r w:rsidR="00265E0D">
        <w:rPr>
          <w:sz w:val="24"/>
          <w:szCs w:val="24"/>
        </w:rPr>
        <w:t xml:space="preserve"> </w:t>
      </w:r>
      <w:r w:rsidRPr="00F77F70">
        <w:rPr>
          <w:sz w:val="24"/>
          <w:szCs w:val="24"/>
        </w:rPr>
        <w:t xml:space="preserve">In addition, bone type (cortical </w:t>
      </w:r>
      <w:proofErr w:type="spellStart"/>
      <w:r w:rsidRPr="00F77F70">
        <w:rPr>
          <w:sz w:val="24"/>
          <w:szCs w:val="24"/>
        </w:rPr>
        <w:t>vs</w:t>
      </w:r>
      <w:proofErr w:type="spellEnd"/>
      <w:r w:rsidRPr="00F77F70">
        <w:rPr>
          <w:sz w:val="24"/>
          <w:szCs w:val="24"/>
        </w:rPr>
        <w:t xml:space="preserve"> </w:t>
      </w:r>
      <w:proofErr w:type="spellStart"/>
      <w:r w:rsidRPr="00F77F70">
        <w:rPr>
          <w:sz w:val="24"/>
          <w:szCs w:val="24"/>
        </w:rPr>
        <w:t>trabecular</w:t>
      </w:r>
      <w:proofErr w:type="spellEnd"/>
      <w:r w:rsidRPr="00F77F70">
        <w:rPr>
          <w:sz w:val="24"/>
          <w:szCs w:val="24"/>
        </w:rPr>
        <w:t>) may also be differentially affected</w:t>
      </w:r>
      <w:r>
        <w:rPr>
          <w:sz w:val="24"/>
          <w:szCs w:val="24"/>
        </w:rPr>
        <w:t>,</w:t>
      </w:r>
      <w:r w:rsidR="00265E0D">
        <w:rPr>
          <w:sz w:val="24"/>
          <w:szCs w:val="24"/>
        </w:rPr>
        <w:t xml:space="preserve"> </w:t>
      </w:r>
      <w:r w:rsidR="00156059">
        <w:rPr>
          <w:sz w:val="24"/>
          <w:szCs w:val="24"/>
        </w:rPr>
        <w:fldChar w:fldCharType="begin" w:fldLock="1"/>
      </w:r>
      <w:r w:rsidR="0075024E">
        <w:rPr>
          <w:sz w:val="24"/>
          <w:szCs w:val="24"/>
        </w:rPr>
        <w:instrText>ADDIN CSL_CITATION { "citationItems" : [ { "id" : "ITEM-1", "itemData" : { "author" : [ { "dropping-particle" : "", "family" : "Sukumar", "given" : "D", "non-dropping-particle" : "", "parse-names" : false, "suffix" : "" }, { "dropping-particle" : "", "family" : "Schlussel", "given" : "Y", "non-dropping-particle" : "", "parse-names" : false, "suffix" : "" }, { "dropping-particle" : "", "family" : "Riedt", "given" : "CS", "non-dropping-particle" : "", "parse-names" : false, "suffix" : "" }, { "dropping-particle" : "", "family" : "Gordon", "given" : "C", "non-dropping-particle" : "", "parse-names" : false, "suffix" : "" }, { "dropping-particle" : "", "family" : "Stahl", "given" : "T", "non-dropping-particle" : "", "parse-names" : false, "suffix" : "" }, { "dropping-particle" : "", "family" : "Shapses", "given" : "SA", "non-dropping-particle" : "", "parse-names" : false, "suffix" : "" } ], "container-title" : "Osteoporosis International", "id" : "ITEM-1", "issue" : "2", "issued" : { "date-parts" : [ [ "2011" ] ] }, "page" : "635-45", "title" : "Obesity alters cortical and trabecular bone density and geometry in women", "type" : "article-journal", "volume" : "22" }, "uris" : [ "http://www.mendeley.com/documents/?uuid=0adfe9aa-a3d5-4904-a038-d70537eeab2f" ] } ], "mendeley" : { "formattedCitation" : "&lt;sup&gt;76&lt;/sup&gt;", "plainTextFormattedCitation" : "76", "previouslyFormattedCitation" : "&lt;sup&gt;76&lt;/sup&gt;"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76</w:t>
      </w:r>
      <w:r w:rsidR="00156059">
        <w:rPr>
          <w:sz w:val="24"/>
          <w:szCs w:val="24"/>
        </w:rPr>
        <w:fldChar w:fldCharType="end"/>
      </w:r>
      <w:r w:rsidR="00CC054D">
        <w:rPr>
          <w:sz w:val="24"/>
          <w:szCs w:val="24"/>
        </w:rPr>
        <w:t xml:space="preserve"> </w:t>
      </w:r>
      <w:r w:rsidRPr="00F77F70">
        <w:rPr>
          <w:sz w:val="24"/>
          <w:szCs w:val="24"/>
        </w:rPr>
        <w:t xml:space="preserve">while factors such as menopausal state and activity level </w:t>
      </w:r>
      <w:r w:rsidR="00EF69E9">
        <w:rPr>
          <w:sz w:val="24"/>
          <w:szCs w:val="24"/>
        </w:rPr>
        <w:t>are also likely to</w:t>
      </w:r>
      <w:r w:rsidRPr="00F77F70">
        <w:rPr>
          <w:sz w:val="24"/>
          <w:szCs w:val="24"/>
        </w:rPr>
        <w:t xml:space="preserve"> exert an influence on the relationship betwee</w:t>
      </w:r>
      <w:r w:rsidR="00265E0D">
        <w:rPr>
          <w:sz w:val="24"/>
          <w:szCs w:val="24"/>
        </w:rPr>
        <w:t>n adipose tissue and bone mass.</w:t>
      </w:r>
      <w:r w:rsidRPr="00F77F70">
        <w:rPr>
          <w:sz w:val="24"/>
          <w:szCs w:val="24"/>
        </w:rPr>
        <w:t xml:space="preserve"> BMD was used as a primary outcome measure within the current study, due to its clinical relevance, but BMD only accounts for approximately 65% of bone strength, and other factors, including bone geometry and micro-architecture would provide additional insight into bone strength or fragility. </w:t>
      </w:r>
      <w:r w:rsidR="003B044B">
        <w:rPr>
          <w:sz w:val="24"/>
          <w:szCs w:val="24"/>
        </w:rPr>
        <w:t xml:space="preserve">Although DXA is a widely used laboratory based measure of body composition </w:t>
      </w:r>
      <w:r w:rsidR="003B044B">
        <w:rPr>
          <w:sz w:val="24"/>
          <w:szCs w:val="24"/>
        </w:rPr>
        <w:lastRenderedPageBreak/>
        <w:t xml:space="preserve">assessment, and </w:t>
      </w:r>
      <w:r w:rsidR="00EF69E9">
        <w:rPr>
          <w:sz w:val="24"/>
          <w:szCs w:val="24"/>
        </w:rPr>
        <w:t>has been described as</w:t>
      </w:r>
      <w:r w:rsidR="003B044B">
        <w:rPr>
          <w:sz w:val="24"/>
          <w:szCs w:val="24"/>
        </w:rPr>
        <w:t xml:space="preserve"> a criterion method,</w:t>
      </w:r>
      <w:r w:rsidR="00265E0D">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"10.1177/193229680800200623", "ISBN" : "1932-2968 (Electronic)", "ISSN" : "1932-2968", "PMID" : "19885303", "abstract" : "The incidence of obesity in the United States and other developed countries is epidemic. Because the prevalence of comorbidities to obesity, such as type 2 diabetes, has also increased, it is clear there is a great need to monitor and treat obesity and its comorbidities. Body composition assessments vary in precision and in the target tissue of interest. The most common assessments are anthropometric and include weight, stature, abdominal circumference, and skinfold measurements. More complex methods include bioelectrical impedance, dual-energy X-ray absorptiometry, body density, and total body water estimates. There is no single universally recommended method for body composition assessment in the obese, but each modality has benefits and drawbacks. We present here the most common methods and provide guidelines by way of examples to assist the clinician/researcher in choosing methods appropriate to their situation.", "author" : [ { "dropping-particle" : "", "family" : "Duren", "given" : "Dana L.", "non-dropping-particle" : "", "parse-names" : false, "suffix" : "" }, { "dropping-particle" : "", "family" : "Sherwood", "given" : "Richard J.", "non-dropping-particle" : "", "parse-names" : false, "suffix" : "" }, { "dropping-particle" : "", "family" : "Czerwinski", "given" : "Stefan A.", "non-dropping-particle" : "", "parse-names" : false, "suffix" : "" }, { "dropping-particle" : "", "family" : "Lee", "given" : "Miryoung", "non-dropping-particle" : "", "parse-names" : false, "suffix" : "" }, { "dropping-particle" : "", "family" : "Choh", "given" : "Audrey C.", "non-dropping-particle" : "", "parse-names" : false, "suffix" : "" }, { "dropping-particle" : "", "family" : "Siervogel", "given" : "Roger M.", "non-dropping-particle" : "", "parse-names" : false, "suffix" : "" }, { "dropping-particle" : "", "family" : "Cameron Chumlea", "given" : "Wm.", "non-dropping-particle" : "", "parse-names" : false, "suffix" : "" } ], "container-title" : "Journal of diabetes science and technology (Online)", "id" : "ITEM-1", "issue" : "6", "issued" : { "date-parts" : [ [ "2008" ] ] }, "page" : "1139-1146", "title" : "Body Composition Methods: Comparisons and Interpretation", "type" : "article-journal", "volume" : "2" }, "uris" : [ "http://www.mendeley.com/documents/?uuid=42b2f061-1caf-4df4-88ba-2351ad8fda74" ] } ], "mendeley" : { "formattedCitation" : "&lt;sup&gt;38&lt;/sup&gt;", "plainTextFormattedCitation" : "38", "previouslyFormattedCitation" : "&lt;sup&gt;38&lt;/sup&gt;"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38</w:t>
      </w:r>
      <w:r w:rsidR="00156059">
        <w:rPr>
          <w:sz w:val="24"/>
          <w:szCs w:val="24"/>
        </w:rPr>
        <w:fldChar w:fldCharType="end"/>
      </w:r>
      <w:r w:rsidR="003B044B">
        <w:rPr>
          <w:sz w:val="24"/>
          <w:szCs w:val="24"/>
        </w:rPr>
        <w:t xml:space="preserve"> it </w:t>
      </w:r>
      <w:r w:rsidR="004D5442">
        <w:rPr>
          <w:sz w:val="24"/>
          <w:szCs w:val="24"/>
        </w:rPr>
        <w:t>has</w:t>
      </w:r>
      <w:r w:rsidR="003B044B">
        <w:rPr>
          <w:sz w:val="24"/>
          <w:szCs w:val="24"/>
        </w:rPr>
        <w:t xml:space="preserve"> limitations, including inter and intra-machine and software variation</w:t>
      </w:r>
      <w:r w:rsidR="00265E0D">
        <w:rPr>
          <w:sz w:val="24"/>
          <w:szCs w:val="24"/>
        </w:rPr>
        <w:t xml:space="preserve">. </w:t>
      </w:r>
      <w:r w:rsidR="00156059" w:rsidRPr="00265E0D">
        <w:rPr>
          <w:sz w:val="24"/>
          <w:szCs w:val="24"/>
        </w:rPr>
        <w:fldChar w:fldCharType="begin" w:fldLock="1"/>
      </w:r>
      <w:r w:rsidR="0075024E">
        <w:rPr>
          <w:sz w:val="24"/>
          <w:szCs w:val="24"/>
        </w:rPr>
        <w:instrText>ADDIN CSL_CITATION { "citationItems" : [ { "id" : "ITEM-1", "itemData" : { "author" : [ { "dropping-particle" : "", "family" : "Plank", "given" : "LD", "non-dropping-particle" : "", "parse-names" : false, "suffix" : "" } ], "container-title" : "Current Opinion in Clinical Nutrition and Metabolic Care", "id" : "ITEM-1", "issue" : "3", "issued" : { "date-parts" : [ [ "2005" ] ] }, "page" : "305-9", "title" : "Dual-energy X-ray absorptiometry and body composition", "type" : "article-journal", "volume" : "8" }, "uris" : [ "http://www.mendeley.com/documents/?uuid=91607be3-9694-4dbe-a2ef-8a38e6224e34" ] } ], "mendeley" : { "formattedCitation" : "&lt;sup&gt;77&lt;/sup&gt;", "plainTextFormattedCitation" : "77", "previouslyFormattedCitation" : "&lt;sup&gt;77&lt;/sup&gt;" }, "properties" : { "noteIndex" : 0 }, "schema" : "https://github.com/citation-style-language/schema/raw/master/csl-citation.json" }</w:instrText>
      </w:r>
      <w:r w:rsidR="00156059" w:rsidRPr="00265E0D">
        <w:rPr>
          <w:sz w:val="24"/>
          <w:szCs w:val="24"/>
        </w:rPr>
        <w:fldChar w:fldCharType="separate"/>
      </w:r>
      <w:r w:rsidR="00AA43A0" w:rsidRPr="00AA43A0">
        <w:rPr>
          <w:noProof/>
          <w:sz w:val="24"/>
          <w:szCs w:val="24"/>
          <w:vertAlign w:val="superscript"/>
        </w:rPr>
        <w:t>77</w:t>
      </w:r>
      <w:r w:rsidR="00156059" w:rsidRPr="00265E0D">
        <w:rPr>
          <w:sz w:val="24"/>
          <w:szCs w:val="24"/>
        </w:rPr>
        <w:fldChar w:fldCharType="end"/>
      </w:r>
      <w:r w:rsidR="003B044B" w:rsidRPr="00265E0D">
        <w:rPr>
          <w:sz w:val="24"/>
          <w:szCs w:val="24"/>
        </w:rPr>
        <w:t xml:space="preserve"> </w:t>
      </w:r>
      <w:r w:rsidR="00265E0D" w:rsidRPr="00265E0D">
        <w:rPr>
          <w:sz w:val="24"/>
          <w:szCs w:val="24"/>
        </w:rPr>
        <w:t>Its</w:t>
      </w:r>
      <w:r w:rsidR="00CF6F50">
        <w:rPr>
          <w:sz w:val="24"/>
          <w:szCs w:val="24"/>
        </w:rPr>
        <w:t xml:space="preserve"> </w:t>
      </w:r>
      <w:r w:rsidR="00A129BE">
        <w:rPr>
          <w:sz w:val="24"/>
          <w:szCs w:val="24"/>
        </w:rPr>
        <w:t xml:space="preserve">validity </w:t>
      </w:r>
      <w:r w:rsidR="003B044B">
        <w:rPr>
          <w:sz w:val="24"/>
          <w:szCs w:val="24"/>
        </w:rPr>
        <w:t>may also be reduced in obese individuals</w:t>
      </w:r>
      <w:r w:rsidR="00183FB4">
        <w:rPr>
          <w:sz w:val="24"/>
          <w:szCs w:val="24"/>
        </w:rPr>
        <w:t>,</w:t>
      </w:r>
      <w:r w:rsidR="00A129BE">
        <w:rPr>
          <w:sz w:val="24"/>
          <w:szCs w:val="24"/>
        </w:rPr>
        <w:t xml:space="preserve"> who are often toward the upper end of reference ranges, and may also have practical difficulty in fitting within the scan area.</w:t>
      </w:r>
      <w:r w:rsidR="00156059">
        <w:rPr>
          <w:sz w:val="24"/>
          <w:szCs w:val="24"/>
        </w:rPr>
        <w:fldChar w:fldCharType="begin" w:fldLock="1"/>
      </w:r>
      <w:r w:rsidR="0075024E">
        <w:rPr>
          <w:sz w:val="24"/>
          <w:szCs w:val="24"/>
        </w:rPr>
        <w:instrText>ADDIN CSL_CITATION { "citationItems" : [ { "id" : "ITEM-1", "itemData" : { "DOI" : "10.1177/193229680800200623", "ISBN" : "1932-2968 (Electronic)", "ISSN" : "1932-2968", "PMID" : "19885303", "abstract" : "The incidence of obesity in the United States and other developed countries is epidemic. Because the prevalence of comorbidities to obesity, such as type 2 diabetes, has also increased, it is clear there is a great need to monitor and treat obesity and its comorbidities. Body composition assessments vary in precision and in the target tissue of interest. The most common assessments are anthropometric and include weight, stature, abdominal circumference, and skinfold measurements. More complex methods include bioelectrical impedance, dual-energy X-ray absorptiometry, body density, and total body water estimates. There is no single universally recommended method for body composition assessment in the obese, but each modality has benefits and drawbacks. We present here the most common methods and provide guidelines by way of examples to assist the clinician/researcher in choosing methods appropriate to their situation.", "author" : [ { "dropping-particle" : "", "family" : "Duren", "given" : "Dana L.", "non-dropping-particle" : "", "parse-names" : false, "suffix" : "" }, { "dropping-particle" : "", "family" : "Sherwood", "given" : "Richard J.", "non-dropping-particle" : "", "parse-names" : false, "suffix" : "" }, { "dropping-particle" : "", "family" : "Czerwinski", "given" : "Stefan A.", "non-dropping-particle" : "", "parse-names" : false, "suffix" : "" }, { "dropping-particle" : "", "family" : "Lee", "given" : "Miryoung", "non-dropping-particle" : "", "parse-names" : false, "suffix" : "" }, { "dropping-particle" : "", "family" : "Choh", "given" : "Audrey C.", "non-dropping-particle" : "", "parse-names" : false, "suffix" : "" }, { "dropping-particle" : "", "family" : "Siervogel", "given" : "Roger M.", "non-dropping-particle" : "", "parse-names" : false, "suffix" : "" }, { "dropping-particle" : "", "family" : "Cameron Chumlea", "given" : "Wm.", "non-dropping-particle" : "", "parse-names" : false, "suffix" : "" } ], "container-title" : "Journal of diabetes science and technology (Online)", "id" : "ITEM-1", "issue" : "6", "issued" : { "date-parts" : [ [ "2008" ] ] }, "page" : "1139-1146", "title" : "Body Composition Methods: Comparisons and Interpretation", "type" : "article-journal", "volume" : "2" }, "uris" : [ "http://www.mendeley.com/documents/?uuid=42b2f061-1caf-4df4-88ba-2351ad8fda74" ] } ], "mendeley" : { "formattedCitation" : "&lt;sup&gt;38&lt;/sup&gt;", "plainTextFormattedCitation" : "38", "previouslyFormattedCitation" : "&lt;sup&gt;38&lt;/sup&gt;"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38</w:t>
      </w:r>
      <w:r w:rsidR="00156059">
        <w:rPr>
          <w:sz w:val="24"/>
          <w:szCs w:val="24"/>
        </w:rPr>
        <w:fldChar w:fldCharType="end"/>
      </w:r>
      <w:r w:rsidR="00183FB4">
        <w:rPr>
          <w:sz w:val="24"/>
          <w:szCs w:val="24"/>
        </w:rPr>
        <w:t xml:space="preserve"> </w:t>
      </w:r>
      <w:r w:rsidR="00CF6F50">
        <w:rPr>
          <w:sz w:val="24"/>
          <w:szCs w:val="24"/>
        </w:rPr>
        <w:t xml:space="preserve">Research into optimal techniques for assessment of body composition is ongoing, and more advanced assessment and imaging techniques, </w:t>
      </w:r>
      <w:r w:rsidR="00CF6F50" w:rsidRPr="00A129BE">
        <w:rPr>
          <w:i/>
          <w:sz w:val="24"/>
          <w:szCs w:val="24"/>
        </w:rPr>
        <w:t>e.g.</w:t>
      </w:r>
      <w:r w:rsidR="004D5442">
        <w:rPr>
          <w:i/>
          <w:sz w:val="24"/>
          <w:szCs w:val="24"/>
        </w:rPr>
        <w:t>,</w:t>
      </w:r>
      <w:r w:rsidR="00CF6F50">
        <w:rPr>
          <w:sz w:val="24"/>
          <w:szCs w:val="24"/>
        </w:rPr>
        <w:t xml:space="preserve"> multi-component modelling, CT and MRI</w:t>
      </w:r>
      <w:r w:rsidR="00265E0D">
        <w:rPr>
          <w:sz w:val="24"/>
          <w:szCs w:val="24"/>
        </w:rPr>
        <w:t xml:space="preserve">, </w:t>
      </w:r>
      <w:r w:rsidR="00156059">
        <w:rPr>
          <w:sz w:val="24"/>
          <w:szCs w:val="24"/>
        </w:rPr>
        <w:fldChar w:fldCharType="begin" w:fldLock="1"/>
      </w:r>
      <w:r w:rsidR="0075024E">
        <w:rPr>
          <w:sz w:val="24"/>
          <w:szCs w:val="24"/>
        </w:rPr>
        <w:instrText>ADDIN CSL_CITATION { "citationItems" : [ { "id" : "ITEM-1", "itemData" : { "DOI" : "10.2165/11597140-000000000-00000", "ISBN" : "1159714000000", "ISSN" : "0112-1642", "PMID" : "22303996", "author" : [ { "dropping-particle" : "", "family" : "Ackland", "given" : "Tr", "non-dropping-particle" : "", "parse-names" : false, "suffix" : "" }, { "dropping-particle" : "", "family" : "Lohman", "given" : "Tg", "non-dropping-particle" : "", "parse-names" : false, "suffix" : "" }, { "dropping-particle" : "", "family" : "Sundgot-Borgen", "given" : "J", "non-dropping-particle" : "", "parse-names" : false, "suffix" : "" }, { "dropping-particle" : "", "family" : "Maughan", "given" : "Rj", "non-dropping-particle" : "", "parse-names" : false, "suffix" : "" }, { "dropping-particle" : "", "family" : "Meyer", "given" : "Nl", "non-dropping-particle" : "", "parse-names" : false, "suffix" : "" }, { "dropping-particle" : "", "family" : "Stewart", "given" : "Ad", "non-dropping-particle" : "", "parse-names" : false, "suffix" : "" }, { "dropping-particle" : "", "family" : "Muller", "given" : "W", "non-dropping-particle" : "", "parse-names" : false, "suffix" : "" } ], "container-title" : "Sports Medicine", "id" : "ITEM-1", "issue" : "3", "issued" : { "date-parts" : [ [ "2012" ] ] }, "page" : "227-249", "title" : "Current status of body composition assessment in sport", "type" : "article-journal", "volume" : "42" }, "uris" : [ "http://www.mendeley.com/documents/?uuid=2b07e02a-b3a6-44fe-8bd3-5d8710581e67" ] } ], "mendeley" : { "formattedCitation" : "&lt;sup&gt;78&lt;/sup&gt;", "plainTextFormattedCitation" : "78", "previouslyFormattedCitation" : "&lt;sup&gt;78&lt;/sup&gt;"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78</w:t>
      </w:r>
      <w:r w:rsidR="00156059">
        <w:rPr>
          <w:sz w:val="24"/>
          <w:szCs w:val="24"/>
        </w:rPr>
        <w:fldChar w:fldCharType="end"/>
      </w:r>
      <w:r w:rsidR="00CF6F50">
        <w:rPr>
          <w:sz w:val="24"/>
          <w:szCs w:val="24"/>
        </w:rPr>
        <w:t xml:space="preserve"> may provide further insight into the relationships between these compartments of body composition. Currently issues related to availability, radiation exposure and the practicalities of fitting large individuals within scanning machines may preclude the wide-spread use of these technologies, </w:t>
      </w:r>
      <w:r w:rsidR="004D5442">
        <w:rPr>
          <w:sz w:val="24"/>
          <w:szCs w:val="24"/>
        </w:rPr>
        <w:t>although</w:t>
      </w:r>
      <w:r w:rsidR="00CF6F50">
        <w:rPr>
          <w:sz w:val="24"/>
          <w:szCs w:val="24"/>
        </w:rPr>
        <w:t xml:space="preserve"> they do represent an exciting are</w:t>
      </w:r>
      <w:r w:rsidR="00026D55">
        <w:rPr>
          <w:sz w:val="24"/>
          <w:szCs w:val="24"/>
        </w:rPr>
        <w:t>a</w:t>
      </w:r>
      <w:r w:rsidR="00CF6F50">
        <w:rPr>
          <w:sz w:val="24"/>
          <w:szCs w:val="24"/>
        </w:rPr>
        <w:t xml:space="preserve"> of on-going research. </w:t>
      </w:r>
    </w:p>
    <w:p w:rsidR="00C75D21" w:rsidRPr="00F77F70" w:rsidRDefault="00C75D21" w:rsidP="00D1500E">
      <w:pPr>
        <w:spacing w:line="360" w:lineRule="auto"/>
        <w:jc w:val="both"/>
        <w:rPr>
          <w:sz w:val="24"/>
          <w:szCs w:val="24"/>
        </w:rPr>
      </w:pPr>
    </w:p>
    <w:p w:rsidR="008F13B0" w:rsidRPr="00F77F70" w:rsidRDefault="008F13B0" w:rsidP="00D1500E">
      <w:pPr>
        <w:spacing w:line="360" w:lineRule="auto"/>
        <w:jc w:val="both"/>
        <w:rPr>
          <w:i/>
          <w:iCs/>
          <w:sz w:val="24"/>
          <w:szCs w:val="24"/>
        </w:rPr>
      </w:pPr>
      <w:r w:rsidRPr="00F77F70">
        <w:rPr>
          <w:b/>
          <w:bCs/>
          <w:i/>
          <w:iCs/>
          <w:sz w:val="24"/>
          <w:szCs w:val="24"/>
        </w:rPr>
        <w:t xml:space="preserve">Practical Implications: </w:t>
      </w:r>
    </w:p>
    <w:p w:rsidR="007D29E5" w:rsidRPr="00F77F70" w:rsidRDefault="00C20519" w:rsidP="00D1500E">
      <w:pPr>
        <w:spacing w:line="360" w:lineRule="auto"/>
        <w:jc w:val="both"/>
        <w:rPr>
          <w:sz w:val="24"/>
          <w:szCs w:val="24"/>
        </w:rPr>
      </w:pPr>
      <w:r>
        <w:rPr>
          <w:sz w:val="24"/>
          <w:szCs w:val="24"/>
        </w:rPr>
        <w:t xml:space="preserve">Our results indicate that increasing adipose </w:t>
      </w:r>
      <w:r w:rsidR="00EF69E9">
        <w:rPr>
          <w:sz w:val="24"/>
          <w:szCs w:val="24"/>
        </w:rPr>
        <w:t>mass</w:t>
      </w:r>
      <w:r>
        <w:rPr>
          <w:sz w:val="24"/>
          <w:szCs w:val="24"/>
        </w:rPr>
        <w:t xml:space="preserve"> in overweight or obese populations is negatively </w:t>
      </w:r>
      <w:r w:rsidR="00EF69E9">
        <w:rPr>
          <w:sz w:val="24"/>
          <w:szCs w:val="24"/>
        </w:rPr>
        <w:t>correlated</w:t>
      </w:r>
      <w:r>
        <w:rPr>
          <w:sz w:val="24"/>
          <w:szCs w:val="24"/>
        </w:rPr>
        <w:t xml:space="preserve"> with bone mass, but only when accompanied by a relative reduction in lean mass. These findings highlight the importance of </w:t>
      </w:r>
      <w:r w:rsidR="008F13B0" w:rsidRPr="00F77F70">
        <w:rPr>
          <w:sz w:val="24"/>
          <w:szCs w:val="24"/>
        </w:rPr>
        <w:t>optimising</w:t>
      </w:r>
      <w:r w:rsidR="008B7ED4">
        <w:rPr>
          <w:sz w:val="24"/>
          <w:szCs w:val="24"/>
        </w:rPr>
        <w:t xml:space="preserve"> the relative proportion between adipose and lean mass</w:t>
      </w:r>
      <w:r w:rsidR="008F13B0" w:rsidRPr="00F77F70">
        <w:rPr>
          <w:sz w:val="24"/>
          <w:szCs w:val="24"/>
        </w:rPr>
        <w:t xml:space="preserve">, over weight loss </w:t>
      </w:r>
      <w:r w:rsidR="008F13B0" w:rsidRPr="00F77F70">
        <w:rPr>
          <w:i/>
          <w:iCs/>
          <w:sz w:val="24"/>
          <w:szCs w:val="24"/>
        </w:rPr>
        <w:t>per se</w:t>
      </w:r>
      <w:r w:rsidR="008F13B0" w:rsidRPr="00F77F70">
        <w:rPr>
          <w:sz w:val="24"/>
          <w:szCs w:val="24"/>
        </w:rPr>
        <w:t xml:space="preserve">, when considering obesity related interventions that will also protect bone health.  </w:t>
      </w:r>
      <w:r w:rsidR="00B96387">
        <w:rPr>
          <w:sz w:val="24"/>
          <w:szCs w:val="24"/>
        </w:rPr>
        <w:t xml:space="preserve">We therefore recommend that obesity prevention and </w:t>
      </w:r>
      <w:r w:rsidR="007D29E5">
        <w:rPr>
          <w:sz w:val="24"/>
          <w:szCs w:val="24"/>
        </w:rPr>
        <w:t>management</w:t>
      </w:r>
      <w:r w:rsidR="00B96387">
        <w:rPr>
          <w:sz w:val="24"/>
          <w:szCs w:val="24"/>
        </w:rPr>
        <w:t xml:space="preserve"> program</w:t>
      </w:r>
      <w:r w:rsidR="004D5442">
        <w:rPr>
          <w:sz w:val="24"/>
          <w:szCs w:val="24"/>
        </w:rPr>
        <w:t>me</w:t>
      </w:r>
      <w:r w:rsidR="00B96387">
        <w:rPr>
          <w:sz w:val="24"/>
          <w:szCs w:val="24"/>
        </w:rPr>
        <w:t xml:space="preserve">s focus on a </w:t>
      </w:r>
      <w:r w:rsidR="008F13B0" w:rsidRPr="00F77F70">
        <w:rPr>
          <w:sz w:val="24"/>
          <w:szCs w:val="24"/>
        </w:rPr>
        <w:t>controlled adipose loss with concomitant preservation of lean muscle mass</w:t>
      </w:r>
      <w:r w:rsidR="00B96387">
        <w:rPr>
          <w:sz w:val="24"/>
          <w:szCs w:val="24"/>
        </w:rPr>
        <w:t xml:space="preserve">. A number of strategies have been proposed </w:t>
      </w:r>
      <w:r w:rsidR="004D5442">
        <w:rPr>
          <w:sz w:val="24"/>
          <w:szCs w:val="24"/>
        </w:rPr>
        <w:t xml:space="preserve">that </w:t>
      </w:r>
      <w:r w:rsidR="00B96387">
        <w:rPr>
          <w:sz w:val="24"/>
          <w:szCs w:val="24"/>
        </w:rPr>
        <w:t>may facilitate this.</w:t>
      </w:r>
      <w:r w:rsidR="0007760A">
        <w:rPr>
          <w:sz w:val="24"/>
          <w:szCs w:val="24"/>
        </w:rPr>
        <w:t xml:space="preserve"> Recently, exercise induced weight loss was reported to indu</w:t>
      </w:r>
      <w:r w:rsidR="007D29E5">
        <w:rPr>
          <w:sz w:val="24"/>
          <w:szCs w:val="24"/>
        </w:rPr>
        <w:t>ce similar body mass losses to</w:t>
      </w:r>
      <w:r w:rsidR="0007760A">
        <w:rPr>
          <w:sz w:val="24"/>
          <w:szCs w:val="24"/>
        </w:rPr>
        <w:t xml:space="preserve"> caloric restriction, or a combination between exercise and caloric restriction, but to prevent attenuations in muscle mass</w:t>
      </w:r>
      <w:r w:rsidR="00265E0D">
        <w:rPr>
          <w:sz w:val="24"/>
          <w:szCs w:val="24"/>
        </w:rPr>
        <w:t xml:space="preserve">. </w:t>
      </w:r>
      <w:r w:rsidR="00156059">
        <w:rPr>
          <w:sz w:val="24"/>
          <w:szCs w:val="24"/>
        </w:rPr>
        <w:fldChar w:fldCharType="begin" w:fldLock="1"/>
      </w:r>
      <w:r w:rsidR="0075024E">
        <w:rPr>
          <w:sz w:val="24"/>
          <w:szCs w:val="24"/>
        </w:rPr>
        <w:instrText>ADDIN CSL_CITATION { "citationItems" : [ { "id" : "ITEM-1", "itemData" : { "author" : [ { "dropping-particle" : "", "family" : "Weiss", "given" : "EP", "non-dropping-particle" : "", "parse-names" : false, "suffix" : "" }, { "dropping-particle" : "", "family" : "Jordan", "given" : "RC", "non-dropping-particle" : "", "parse-names" : false, "suffix" : "" }, { "dropping-particle" : "", "family" : "Frese", "given" : "EM", "non-dropping-particle" : "", "parse-names" : false, "suffix" : "" }, { "dropping-particle" : "", "family" : "Albert", "given" : "SG", "non-dropping-particle" : "", "parse-names" : false, "suffix" : "" }, { "dropping-particle" : "", "family" : "Villareal", "given" : "DT", "non-dropping-particle" : "", "parse-names" : false, "suffix" : "" } ], "container-title" : "Medicine and Science in Sports and Exercise", "id" : "ITEM-1", "issue" : "1", "issued" : { "date-parts" : [ [ "2017" ] ] }, "page" : "206-217", "title" : "Effects of Weight Loss on Lean Mass, Strength, Bone, and Aerobic Capacity", "type" : "article-journal", "volume" : "49" }, "uris" : [ "http://www.mendeley.com/documents/?uuid=9b14d172-2bc1-4f4d-808c-98012a582b39" ] } ], "mendeley" : { "formattedCitation" : "&lt;sup&gt;79&lt;/sup&gt;", "plainTextFormattedCitation" : "79", "previouslyFormattedCitation" : "&lt;sup&gt;79&lt;/sup&gt;"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79</w:t>
      </w:r>
      <w:r w:rsidR="00156059">
        <w:rPr>
          <w:sz w:val="24"/>
          <w:szCs w:val="24"/>
        </w:rPr>
        <w:fldChar w:fldCharType="end"/>
      </w:r>
      <w:r w:rsidR="00265E0D">
        <w:rPr>
          <w:sz w:val="24"/>
          <w:szCs w:val="24"/>
        </w:rPr>
        <w:t xml:space="preserve"> </w:t>
      </w:r>
      <w:r w:rsidR="0007760A">
        <w:rPr>
          <w:sz w:val="24"/>
          <w:szCs w:val="24"/>
        </w:rPr>
        <w:t xml:space="preserve">The mechanical loading provided by exercise has long been reported to be </w:t>
      </w:r>
      <w:proofErr w:type="spellStart"/>
      <w:r w:rsidR="0007760A">
        <w:rPr>
          <w:sz w:val="24"/>
          <w:szCs w:val="24"/>
        </w:rPr>
        <w:t>osteogenic</w:t>
      </w:r>
      <w:proofErr w:type="spellEnd"/>
      <w:r w:rsidR="00265E0D">
        <w:rPr>
          <w:sz w:val="24"/>
          <w:szCs w:val="24"/>
        </w:rPr>
        <w:t xml:space="preserve"> </w:t>
      </w:r>
      <w:r w:rsidR="00156059">
        <w:rPr>
          <w:sz w:val="24"/>
          <w:szCs w:val="24"/>
        </w:rPr>
        <w:fldChar w:fldCharType="begin" w:fldLock="1"/>
      </w:r>
      <w:r w:rsidR="0075024E">
        <w:rPr>
          <w:sz w:val="24"/>
          <w:szCs w:val="24"/>
        </w:rPr>
        <w:instrText>ADDIN CSL_CITATION { "citationItems" : [ { "id" : "ITEM-1", "itemData" : { "author" : [ { "dropping-particle" : "", "family" : "Frost", "given" : "HM", "non-dropping-particle" : "", "parse-names" : false, "suffix" : "" } ], "container-title" : "The anatomical record. Part A, Discoveries in molecular, cellular, and evolutionary biology", "id" : "ITEM-1", "issue" : "2", "issued" : { "date-parts" : [ [ "2003" ] ] }, "page" : "1081-101", "title" : "Bone's mechanostat: a 2003 update", "type" : "article-journal", "volume" : "275" }, "uris" : [ "http://www.mendeley.com/documents/?uuid=ec514783-3eb6-4b2a-a087-69810dfbb78c" ] } ], "mendeley" : { "formattedCitation" : "&lt;sup&gt;28&lt;/sup&gt;", "plainTextFormattedCitation" : "28", "previouslyFormattedCitation" : "&lt;sup&gt;28&lt;/sup&gt;"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28</w:t>
      </w:r>
      <w:r w:rsidR="00156059">
        <w:rPr>
          <w:sz w:val="24"/>
          <w:szCs w:val="24"/>
        </w:rPr>
        <w:fldChar w:fldCharType="end"/>
      </w:r>
      <w:r w:rsidR="00265E0D">
        <w:rPr>
          <w:sz w:val="24"/>
          <w:szCs w:val="24"/>
        </w:rPr>
        <w:t xml:space="preserve">, </w:t>
      </w:r>
      <w:r w:rsidR="0007760A">
        <w:rPr>
          <w:sz w:val="24"/>
          <w:szCs w:val="24"/>
        </w:rPr>
        <w:t>and we</w:t>
      </w:r>
      <w:r w:rsidR="004D5442">
        <w:rPr>
          <w:sz w:val="24"/>
          <w:szCs w:val="24"/>
        </w:rPr>
        <w:t xml:space="preserve"> therefore</w:t>
      </w:r>
      <w:r w:rsidR="0007760A">
        <w:rPr>
          <w:sz w:val="24"/>
          <w:szCs w:val="24"/>
        </w:rPr>
        <w:t xml:space="preserve"> suggest that obesity management program</w:t>
      </w:r>
      <w:r w:rsidR="004D5442">
        <w:rPr>
          <w:sz w:val="24"/>
          <w:szCs w:val="24"/>
        </w:rPr>
        <w:t xml:space="preserve">mes </w:t>
      </w:r>
      <w:r w:rsidR="0007760A">
        <w:rPr>
          <w:sz w:val="24"/>
          <w:szCs w:val="24"/>
        </w:rPr>
        <w:t>should include</w:t>
      </w:r>
      <w:r w:rsidR="008F13B0" w:rsidRPr="00F77F70">
        <w:rPr>
          <w:sz w:val="24"/>
          <w:szCs w:val="24"/>
        </w:rPr>
        <w:t xml:space="preserve"> physical activity components, the exact attributes of which should be determined in relation to the specific requirements of the individual. Energy deficit is required in order to allow oxidation of adipose </w:t>
      </w:r>
      <w:r w:rsidR="00743D85" w:rsidRPr="00F77F70">
        <w:rPr>
          <w:sz w:val="24"/>
          <w:szCs w:val="24"/>
        </w:rPr>
        <w:t>stores;</w:t>
      </w:r>
      <w:r w:rsidR="008F13B0" w:rsidRPr="00F77F70">
        <w:rPr>
          <w:sz w:val="24"/>
          <w:szCs w:val="24"/>
        </w:rPr>
        <w:t xml:space="preserve"> however </w:t>
      </w:r>
      <w:r w:rsidR="00B1035B">
        <w:rPr>
          <w:sz w:val="24"/>
          <w:szCs w:val="24"/>
        </w:rPr>
        <w:t xml:space="preserve">a negative energy balance has also been reported to negatively impact </w:t>
      </w:r>
      <w:r w:rsidR="008F13B0" w:rsidRPr="00F77F70">
        <w:rPr>
          <w:sz w:val="24"/>
          <w:szCs w:val="24"/>
        </w:rPr>
        <w:t>bone metabolism</w:t>
      </w:r>
      <w:r w:rsidR="008F13B0">
        <w:rPr>
          <w:sz w:val="24"/>
          <w:szCs w:val="24"/>
        </w:rPr>
        <w:t>.</w:t>
      </w:r>
      <w:r w:rsidR="00DE7CBF">
        <w:rPr>
          <w:sz w:val="24"/>
          <w:szCs w:val="24"/>
        </w:rPr>
        <w:t xml:space="preserve"> </w:t>
      </w:r>
      <w:r w:rsidR="00156059">
        <w:rPr>
          <w:sz w:val="24"/>
          <w:szCs w:val="24"/>
        </w:rPr>
        <w:fldChar w:fldCharType="begin" w:fldLock="1"/>
      </w:r>
      <w:r w:rsidR="0075024E">
        <w:rPr>
          <w:sz w:val="24"/>
          <w:szCs w:val="24"/>
        </w:rPr>
        <w:instrText>ADDIN CSL_CITATION { "citationItems" : [ { "id" : "ITEM-1", "itemData" : { "author" : [ { "dropping-particle" : "", "family" : "Ihle", "given" : "R", "non-dropping-particle" : "", "parse-names" : false, "suffix" : "" }, { "dropping-particle" : "", "family" : "Loucks", "given" : "AB", "non-dropping-particle" : "", "parse-names" : false, "suffix" : "" } ], "container-title" : "Journal of Bone and Mineral Research", "id" : "ITEM-1", "issue" : "8", "issued" : { "date-parts" : [ [ "2004" ] ] }, "page" : "1231-40", "title" : "Dose-response relationships between energy availability and bone turnover in young exercising women", "type" : "article-journal", "volume" : "19" }, "uris" : [ "http://www.mendeley.com/documents/?uuid=00e737e7-fc50-4bdb-997b-1158021cc4a2" ] } ], "mendeley" : { "formattedCitation" : "&lt;sup&gt;80&lt;/sup&gt;", "plainTextFormattedCitation" : "80", "previouslyFormattedCitation" : "&lt;sup&gt;80&lt;/sup&gt;"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80</w:t>
      </w:r>
      <w:r w:rsidR="00156059">
        <w:rPr>
          <w:sz w:val="24"/>
          <w:szCs w:val="24"/>
        </w:rPr>
        <w:fldChar w:fldCharType="end"/>
      </w:r>
      <w:r w:rsidR="008F13B0" w:rsidRPr="00F77F70">
        <w:rPr>
          <w:sz w:val="24"/>
          <w:szCs w:val="24"/>
        </w:rPr>
        <w:t xml:space="preserve"> </w:t>
      </w:r>
      <w:r w:rsidR="00BB46B2">
        <w:rPr>
          <w:sz w:val="24"/>
          <w:szCs w:val="24"/>
        </w:rPr>
        <w:t>The consumption of a</w:t>
      </w:r>
      <w:r w:rsidR="00B1035B">
        <w:rPr>
          <w:sz w:val="24"/>
          <w:szCs w:val="24"/>
        </w:rPr>
        <w:t xml:space="preserve"> high-protein diet has been suggested to preserve lean mass during times of energy deficiency</w:t>
      </w:r>
      <w:r w:rsidR="00AA43A0">
        <w:rPr>
          <w:sz w:val="24"/>
          <w:szCs w:val="24"/>
        </w:rPr>
        <w:t xml:space="preserve">, </w:t>
      </w:r>
      <w:r w:rsidR="00156059" w:rsidRPr="00AA43A0">
        <w:rPr>
          <w:sz w:val="24"/>
          <w:szCs w:val="24"/>
        </w:rPr>
        <w:fldChar w:fldCharType="begin" w:fldLock="1"/>
      </w:r>
      <w:r w:rsidR="0075024E">
        <w:rPr>
          <w:sz w:val="24"/>
          <w:szCs w:val="24"/>
        </w:rPr>
        <w:instrText>ADDIN CSL_CITATION { "citationItems" : [ { "id" : "ITEM-1", "itemData" : { "author" : [ { "dropping-particle" : "", "family" : "Phillips", "given" : "SM", "non-dropping-particle" : "", "parse-names" : false, "suffix" : "" }, { "dropping-particle" : "", "family" : "Loon", "given" : "LJ", "non-dropping-particle" : "Van", "parse-names" : false, "suffix" : "" } ], "container-title" : "JOURNAL OF SPORTS SCIENCES", "id" : "ITEM-1", "issue" : "Suppl 1", "issued" : { "date-parts" : [ [ "2011" ] ] }, "page" : "S29-38", "title" : "Dietary protein for athletes: from requirements to optimum adaptation", "type" : "article-journal", "volume" : "29" }, "uris" : [ "http://www.mendeley.com/documents/?uuid=90adb50d-d3f5-4f92-bd47-ab7905a1fa8c" ] } ], "mendeley" : { "formattedCitation" : "&lt;sup&gt;81&lt;/sup&gt;", "plainTextFormattedCitation" : "81", "previouslyFormattedCitation" : "&lt;sup&gt;81&lt;/sup&gt;" }, "properties" : { "noteIndex" : 0 }, "schema" : "https://github.com/citation-style-language/schema/raw/master/csl-citation.json" }</w:instrText>
      </w:r>
      <w:r w:rsidR="00156059" w:rsidRPr="00AA43A0">
        <w:rPr>
          <w:sz w:val="24"/>
          <w:szCs w:val="24"/>
        </w:rPr>
        <w:fldChar w:fldCharType="separate"/>
      </w:r>
      <w:r w:rsidR="00AA43A0" w:rsidRPr="00AA43A0">
        <w:rPr>
          <w:noProof/>
          <w:sz w:val="24"/>
          <w:szCs w:val="24"/>
          <w:vertAlign w:val="superscript"/>
        </w:rPr>
        <w:t>81</w:t>
      </w:r>
      <w:r w:rsidR="00156059" w:rsidRPr="00AA43A0">
        <w:rPr>
          <w:sz w:val="24"/>
          <w:szCs w:val="24"/>
        </w:rPr>
        <w:fldChar w:fldCharType="end"/>
      </w:r>
      <w:r w:rsidR="00AA43A0">
        <w:rPr>
          <w:sz w:val="24"/>
          <w:szCs w:val="24"/>
        </w:rPr>
        <w:t xml:space="preserve"> provided it is accompanied by an adequate intake of calcium,</w:t>
      </w:r>
      <w:r w:rsidR="009C3FD6">
        <w:rPr>
          <w:sz w:val="24"/>
          <w:szCs w:val="24"/>
        </w:rPr>
        <w:t xml:space="preserve"> thereby exerting an indirect and positive impact on bone. In support of this is </w:t>
      </w:r>
      <w:r w:rsidR="009C3FD6">
        <w:rPr>
          <w:sz w:val="24"/>
          <w:szCs w:val="24"/>
        </w:rPr>
        <w:lastRenderedPageBreak/>
        <w:t xml:space="preserve">evidence </w:t>
      </w:r>
      <w:r w:rsidR="00BF4187">
        <w:rPr>
          <w:sz w:val="24"/>
          <w:szCs w:val="24"/>
        </w:rPr>
        <w:t>of</w:t>
      </w:r>
      <w:r w:rsidR="009C3FD6">
        <w:rPr>
          <w:sz w:val="24"/>
          <w:szCs w:val="24"/>
        </w:rPr>
        <w:t xml:space="preserve"> a preservation of lean mass and a more positive bone metabolic profile (PINP:CTX ratio) in a group of overweight individuals who were fed a </w:t>
      </w:r>
      <w:proofErr w:type="spellStart"/>
      <w:r w:rsidR="009C3FD6">
        <w:rPr>
          <w:sz w:val="24"/>
          <w:szCs w:val="24"/>
        </w:rPr>
        <w:t>hypocaloric</w:t>
      </w:r>
      <w:proofErr w:type="spellEnd"/>
      <w:r w:rsidR="009C3FD6">
        <w:rPr>
          <w:sz w:val="24"/>
          <w:szCs w:val="24"/>
        </w:rPr>
        <w:t xml:space="preserve"> diet comprising high protein and high dairy, du</w:t>
      </w:r>
      <w:r w:rsidR="00DE7CBF">
        <w:rPr>
          <w:sz w:val="24"/>
          <w:szCs w:val="24"/>
        </w:rPr>
        <w:t>r</w:t>
      </w:r>
      <w:r w:rsidR="009C3FD6">
        <w:rPr>
          <w:sz w:val="24"/>
          <w:szCs w:val="24"/>
        </w:rPr>
        <w:t>ing a period of exercise and diet induced weight loss.</w:t>
      </w:r>
      <w:r w:rsidR="00AA43A0">
        <w:rPr>
          <w:sz w:val="24"/>
          <w:szCs w:val="24"/>
        </w:rPr>
        <w:t xml:space="preserve"> </w:t>
      </w:r>
      <w:r w:rsidR="00156059">
        <w:rPr>
          <w:sz w:val="24"/>
          <w:szCs w:val="24"/>
        </w:rPr>
        <w:fldChar w:fldCharType="begin" w:fldLock="1"/>
      </w:r>
      <w:r w:rsidR="0075024E">
        <w:rPr>
          <w:sz w:val="24"/>
          <w:szCs w:val="24"/>
        </w:rPr>
        <w:instrText>ADDIN CSL_CITATION { "citationItems" : [ { "id" : "ITEM-1", "itemData" : { "author" : [ { "dropping-particle" : "", "family" : "Josse", "given" : "AR", "non-dropping-particle" : "", "parse-names" : false, "suffix" : "" }, { "dropping-particle" : "", "family" : "Atkinson", "given" : "SA", "non-dropping-particle" : "", "parse-names" : false, "suffix" : "" }, { "dropping-particle" : "", "family" : "Tarnapolsky", "given" : "MA", "non-dropping-particle" : "", "parse-names" : false, "suffix" : "" }, { "dropping-particle" : "", "family" : "Phillips", "given" : "SM", "non-dropping-particle" : "", "parse-names" : false, "suffix" : "" } ], "container-title" : "Journal of Clinical Endocrinology and Metabolism", "id" : "ITEM-1", "issue" : "1", "issued" : { "date-parts" : [ [ "2012" ] ] }, "page" : "251-60", "title" : "Diets higher in dairy foods and dietary protein support bone health during diet- and exercise-induced weight loss in overweight and obese premenopausal women", "type" : "article-journal", "volume" : "97" }, "uris" : [ "http://www.mendeley.com/documents/?uuid=455eceb9-b65d-423c-aa38-59f1c8fedf6d" ] } ], "mendeley" : { "formattedCitation" : "&lt;sup&gt;82&lt;/sup&gt;", "plainTextFormattedCitation" : "82", "previouslyFormattedCitation" : "&lt;sup&gt;82&lt;/sup&gt;" }, "properties" : { "noteIndex" : 0 }, "schema" : "https://github.com/citation-style-language/schema/raw/master/csl-citation.json" }</w:instrText>
      </w:r>
      <w:r w:rsidR="00156059">
        <w:rPr>
          <w:sz w:val="24"/>
          <w:szCs w:val="24"/>
        </w:rPr>
        <w:fldChar w:fldCharType="separate"/>
      </w:r>
      <w:r w:rsidR="00AA43A0" w:rsidRPr="00AA43A0">
        <w:rPr>
          <w:noProof/>
          <w:sz w:val="24"/>
          <w:szCs w:val="24"/>
          <w:vertAlign w:val="superscript"/>
        </w:rPr>
        <w:t>82</w:t>
      </w:r>
      <w:r w:rsidR="00156059">
        <w:rPr>
          <w:sz w:val="24"/>
          <w:szCs w:val="24"/>
        </w:rPr>
        <w:fldChar w:fldCharType="end"/>
      </w:r>
      <w:r w:rsidR="00AA43A0">
        <w:rPr>
          <w:sz w:val="24"/>
          <w:szCs w:val="24"/>
        </w:rPr>
        <w:t xml:space="preserve"> </w:t>
      </w:r>
      <w:r w:rsidR="008F13B0" w:rsidRPr="00F77F70">
        <w:rPr>
          <w:sz w:val="24"/>
          <w:szCs w:val="24"/>
        </w:rPr>
        <w:t xml:space="preserve">Dietary strategies should also emphasise nutrient dense food sources, </w:t>
      </w:r>
      <w:r w:rsidR="008F13B0" w:rsidRPr="00F77F70">
        <w:rPr>
          <w:i/>
          <w:iCs/>
          <w:sz w:val="24"/>
          <w:szCs w:val="24"/>
        </w:rPr>
        <w:t>e.g.</w:t>
      </w:r>
      <w:r w:rsidR="008F13B0" w:rsidRPr="00F77F70">
        <w:rPr>
          <w:sz w:val="24"/>
          <w:szCs w:val="24"/>
        </w:rPr>
        <w:t xml:space="preserve">, unprocessed fruits and vegetables, to ensure that micronutrient and </w:t>
      </w:r>
      <w:proofErr w:type="spellStart"/>
      <w:r w:rsidR="008F13B0" w:rsidRPr="00F77F70">
        <w:rPr>
          <w:sz w:val="24"/>
          <w:szCs w:val="24"/>
        </w:rPr>
        <w:t>phytochemical</w:t>
      </w:r>
      <w:proofErr w:type="spellEnd"/>
      <w:r w:rsidR="008F13B0" w:rsidRPr="00F77F70">
        <w:rPr>
          <w:sz w:val="24"/>
          <w:szCs w:val="24"/>
        </w:rPr>
        <w:t xml:space="preserve"> intakes are </w:t>
      </w:r>
      <w:r w:rsidR="00D65425">
        <w:rPr>
          <w:sz w:val="24"/>
          <w:szCs w:val="24"/>
        </w:rPr>
        <w:t>adequate</w:t>
      </w:r>
      <w:r w:rsidR="008F13B0" w:rsidRPr="00F77F70">
        <w:rPr>
          <w:sz w:val="24"/>
          <w:szCs w:val="24"/>
        </w:rPr>
        <w:t xml:space="preserve">.  </w:t>
      </w:r>
    </w:p>
    <w:p w:rsidR="00C940D2" w:rsidRDefault="00C940D2" w:rsidP="00D1500E">
      <w:pPr>
        <w:spacing w:line="360" w:lineRule="auto"/>
        <w:jc w:val="both"/>
        <w:rPr>
          <w:b/>
          <w:bCs/>
          <w:sz w:val="24"/>
          <w:szCs w:val="24"/>
        </w:rPr>
      </w:pPr>
    </w:p>
    <w:p w:rsidR="008F13B0" w:rsidRPr="00F77F70" w:rsidRDefault="008F13B0" w:rsidP="00D1500E">
      <w:pPr>
        <w:spacing w:line="360" w:lineRule="auto"/>
        <w:jc w:val="both"/>
        <w:rPr>
          <w:b/>
          <w:bCs/>
          <w:sz w:val="24"/>
          <w:szCs w:val="24"/>
        </w:rPr>
      </w:pPr>
      <w:r w:rsidRPr="00F77F70">
        <w:rPr>
          <w:b/>
          <w:bCs/>
          <w:sz w:val="24"/>
          <w:szCs w:val="24"/>
        </w:rPr>
        <w:t>SUMMARY AND CONCLUSION:</w:t>
      </w:r>
    </w:p>
    <w:p w:rsidR="008F13B0" w:rsidRPr="00F77F70" w:rsidRDefault="008F13B0" w:rsidP="00D1500E">
      <w:pPr>
        <w:spacing w:line="360" w:lineRule="auto"/>
        <w:jc w:val="both"/>
        <w:rPr>
          <w:sz w:val="24"/>
          <w:szCs w:val="24"/>
        </w:rPr>
      </w:pPr>
      <w:r w:rsidRPr="00F77F70">
        <w:rPr>
          <w:sz w:val="24"/>
          <w:szCs w:val="24"/>
        </w:rPr>
        <w:t xml:space="preserve">This meta-analysis demonstrates opposing relationships between adiposity and BMD, with absolute adipose mass demonstrating a positive </w:t>
      </w:r>
      <w:r w:rsidR="00BF4187">
        <w:rPr>
          <w:sz w:val="24"/>
          <w:szCs w:val="24"/>
        </w:rPr>
        <w:t>correlation</w:t>
      </w:r>
      <w:r w:rsidRPr="00F77F70">
        <w:rPr>
          <w:sz w:val="24"/>
          <w:szCs w:val="24"/>
        </w:rPr>
        <w:t xml:space="preserve">, and relative adipose mass a negative correlation with BMD. Sex and age exerted moderating influences on these correlations, with men and individuals aged &lt;25 years being more susceptible to the negative influence of increasing levels of relative adipose tissue. The results of this meta-analysis should be considered when devising </w:t>
      </w:r>
      <w:r w:rsidR="00BF4187">
        <w:rPr>
          <w:sz w:val="24"/>
          <w:szCs w:val="24"/>
        </w:rPr>
        <w:t xml:space="preserve">nutritional and training </w:t>
      </w:r>
      <w:r w:rsidRPr="00F77F70">
        <w:rPr>
          <w:sz w:val="24"/>
          <w:szCs w:val="24"/>
        </w:rPr>
        <w:t xml:space="preserve">strategies to protect bone while treating obesity and support the importance of maintaining lean mass and reducing the relative proportion of adipose mass, rather than emphasising weight loss </w:t>
      </w:r>
      <w:r w:rsidRPr="00F77F70">
        <w:rPr>
          <w:i/>
          <w:iCs/>
          <w:sz w:val="24"/>
          <w:szCs w:val="24"/>
        </w:rPr>
        <w:t>per se</w:t>
      </w:r>
      <w:r w:rsidRPr="00F77F70">
        <w:rPr>
          <w:sz w:val="24"/>
          <w:szCs w:val="24"/>
        </w:rPr>
        <w:t xml:space="preserve">.  </w:t>
      </w:r>
    </w:p>
    <w:p w:rsidR="008F13B0" w:rsidRPr="00F77F70" w:rsidRDefault="008F13B0" w:rsidP="00D1500E">
      <w:pPr>
        <w:spacing w:line="360" w:lineRule="auto"/>
        <w:jc w:val="both"/>
        <w:rPr>
          <w:b/>
          <w:bCs/>
          <w:sz w:val="24"/>
          <w:szCs w:val="24"/>
        </w:rPr>
      </w:pPr>
    </w:p>
    <w:p w:rsidR="008F13B0" w:rsidRPr="00F77F70" w:rsidRDefault="008F13B0" w:rsidP="006024DA">
      <w:pPr>
        <w:spacing w:line="360" w:lineRule="auto"/>
        <w:jc w:val="both"/>
        <w:rPr>
          <w:b/>
          <w:bCs/>
          <w:sz w:val="24"/>
          <w:szCs w:val="24"/>
        </w:rPr>
      </w:pPr>
      <w:r w:rsidRPr="00F77F70">
        <w:rPr>
          <w:b/>
          <w:bCs/>
          <w:sz w:val="24"/>
          <w:szCs w:val="24"/>
        </w:rPr>
        <w:t>Acknowledgements:</w:t>
      </w:r>
    </w:p>
    <w:p w:rsidR="008F13B0" w:rsidRDefault="008F13B0" w:rsidP="006024DA">
      <w:pPr>
        <w:spacing w:line="360" w:lineRule="auto"/>
        <w:jc w:val="both"/>
        <w:rPr>
          <w:sz w:val="24"/>
          <w:szCs w:val="24"/>
        </w:rPr>
      </w:pPr>
      <w:r w:rsidRPr="00F77F70">
        <w:rPr>
          <w:sz w:val="24"/>
          <w:szCs w:val="24"/>
        </w:rPr>
        <w:t xml:space="preserve">This project was supported in part by a grant from the Hong Kong-Scotland Partners in Post Doctoral Research Program. E. Dolan is financially supported by a research grant from </w:t>
      </w:r>
      <w:proofErr w:type="spellStart"/>
      <w:r w:rsidRPr="00F77F70">
        <w:rPr>
          <w:sz w:val="24"/>
          <w:szCs w:val="24"/>
        </w:rPr>
        <w:t>Fundação</w:t>
      </w:r>
      <w:proofErr w:type="spellEnd"/>
      <w:r w:rsidRPr="00F77F70">
        <w:rPr>
          <w:sz w:val="24"/>
          <w:szCs w:val="24"/>
        </w:rPr>
        <w:t xml:space="preserve"> de </w:t>
      </w:r>
      <w:proofErr w:type="spellStart"/>
      <w:r w:rsidRPr="00F77F70">
        <w:rPr>
          <w:sz w:val="24"/>
          <w:szCs w:val="24"/>
        </w:rPr>
        <w:t>Amparo</w:t>
      </w:r>
      <w:proofErr w:type="spellEnd"/>
      <w:r w:rsidRPr="00F77F70">
        <w:rPr>
          <w:sz w:val="24"/>
          <w:szCs w:val="24"/>
        </w:rPr>
        <w:t xml:space="preserve"> à </w:t>
      </w:r>
      <w:proofErr w:type="spellStart"/>
      <w:r w:rsidRPr="00F77F70">
        <w:rPr>
          <w:sz w:val="24"/>
          <w:szCs w:val="24"/>
        </w:rPr>
        <w:t>Pesquisa</w:t>
      </w:r>
      <w:proofErr w:type="spellEnd"/>
      <w:r w:rsidRPr="00F77F70">
        <w:rPr>
          <w:sz w:val="24"/>
          <w:szCs w:val="24"/>
        </w:rPr>
        <w:t xml:space="preserve"> do Estado de Sao Paulo (FAPESP grant number: 2015/11328-2). </w:t>
      </w:r>
      <w:r w:rsidR="00E74B16">
        <w:rPr>
          <w:sz w:val="24"/>
          <w:szCs w:val="24"/>
        </w:rPr>
        <w:t xml:space="preserve">The authors would like to thank Professor Bruno </w:t>
      </w:r>
      <w:proofErr w:type="spellStart"/>
      <w:r w:rsidR="00E74B16">
        <w:rPr>
          <w:sz w:val="24"/>
          <w:szCs w:val="24"/>
        </w:rPr>
        <w:t>Gualano</w:t>
      </w:r>
      <w:proofErr w:type="spellEnd"/>
      <w:r w:rsidR="00E74B16">
        <w:rPr>
          <w:sz w:val="24"/>
          <w:szCs w:val="24"/>
        </w:rPr>
        <w:t xml:space="preserve"> (Applied Physiology &amp; Nutrition Research Group, University </w:t>
      </w:r>
      <w:r w:rsidR="00E74B16" w:rsidRPr="00E74B16">
        <w:rPr>
          <w:sz w:val="24"/>
          <w:szCs w:val="24"/>
        </w:rPr>
        <w:t xml:space="preserve">of </w:t>
      </w:r>
      <w:r w:rsidR="00E74B16" w:rsidRPr="00E74B16">
        <w:rPr>
          <w:rStyle w:val="Emphasis"/>
          <w:rFonts w:asciiTheme="minorHAnsi" w:hAnsiTheme="minorHAnsi" w:cstheme="minorHAnsi"/>
          <w:bCs/>
          <w:i w:val="0"/>
          <w:iCs w:val="0"/>
          <w:sz w:val="24"/>
          <w:szCs w:val="24"/>
          <w:shd w:val="clear" w:color="auto" w:fill="FFFFFF"/>
        </w:rPr>
        <w:t>São Paulo</w:t>
      </w:r>
      <w:r w:rsidR="00E74B16">
        <w:rPr>
          <w:rStyle w:val="Emphasis"/>
          <w:rFonts w:asciiTheme="minorHAnsi" w:hAnsiTheme="minorHAnsi" w:cstheme="minorHAnsi"/>
          <w:bCs/>
          <w:i w:val="0"/>
          <w:iCs w:val="0"/>
          <w:sz w:val="24"/>
          <w:szCs w:val="24"/>
          <w:shd w:val="clear" w:color="auto" w:fill="FFFFFF"/>
        </w:rPr>
        <w:t>)</w:t>
      </w:r>
      <w:r w:rsidR="00E74B16">
        <w:rPr>
          <w:rStyle w:val="Emphasis"/>
          <w:rFonts w:ascii="Arial" w:hAnsi="Arial" w:cs="Arial"/>
          <w:b/>
          <w:bCs/>
          <w:i w:val="0"/>
          <w:iCs w:val="0"/>
          <w:color w:val="6A6A6A"/>
          <w:shd w:val="clear" w:color="auto" w:fill="FFFFFF"/>
        </w:rPr>
        <w:t xml:space="preserve"> </w:t>
      </w:r>
      <w:r w:rsidR="00E74B16">
        <w:rPr>
          <w:sz w:val="24"/>
          <w:szCs w:val="24"/>
        </w:rPr>
        <w:t xml:space="preserve">for his constructive advice on the manuscript. </w:t>
      </w:r>
    </w:p>
    <w:p w:rsidR="008F13B0" w:rsidRPr="00F77F70" w:rsidRDefault="008F13B0" w:rsidP="006024DA">
      <w:pPr>
        <w:spacing w:line="360" w:lineRule="auto"/>
        <w:jc w:val="both"/>
        <w:rPr>
          <w:b/>
          <w:bCs/>
          <w:sz w:val="24"/>
          <w:szCs w:val="24"/>
        </w:rPr>
      </w:pPr>
      <w:r>
        <w:rPr>
          <w:b/>
          <w:bCs/>
          <w:sz w:val="24"/>
          <w:szCs w:val="24"/>
        </w:rPr>
        <w:t>Conflict of Interest</w:t>
      </w:r>
      <w:r w:rsidRPr="00F77F70">
        <w:rPr>
          <w:b/>
          <w:bCs/>
          <w:sz w:val="24"/>
          <w:szCs w:val="24"/>
        </w:rPr>
        <w:t xml:space="preserve">: </w:t>
      </w:r>
    </w:p>
    <w:p w:rsidR="008F13B0" w:rsidRPr="00F77F70" w:rsidRDefault="008F13B0" w:rsidP="006024DA">
      <w:pPr>
        <w:spacing w:line="360" w:lineRule="auto"/>
        <w:jc w:val="both"/>
        <w:rPr>
          <w:sz w:val="24"/>
          <w:szCs w:val="24"/>
        </w:rPr>
      </w:pPr>
      <w:r w:rsidRPr="00F77F70">
        <w:rPr>
          <w:sz w:val="24"/>
          <w:szCs w:val="24"/>
        </w:rPr>
        <w:t xml:space="preserve">The authors declare no conflict of interest. </w:t>
      </w:r>
    </w:p>
    <w:p w:rsidR="00AA43A0" w:rsidRDefault="00C75D21" w:rsidP="00AA43A0">
      <w:pPr>
        <w:pStyle w:val="ListParagraph"/>
        <w:spacing w:line="360" w:lineRule="auto"/>
        <w:ind w:left="0"/>
        <w:jc w:val="both"/>
        <w:rPr>
          <w:b/>
          <w:sz w:val="24"/>
          <w:szCs w:val="24"/>
        </w:rPr>
      </w:pPr>
      <w:r>
        <w:rPr>
          <w:b/>
          <w:sz w:val="24"/>
          <w:szCs w:val="24"/>
        </w:rPr>
        <w:lastRenderedPageBreak/>
        <w:t>REFERENCES:</w:t>
      </w:r>
    </w:p>
    <w:p w:rsidR="00C75D21" w:rsidRPr="00C75D21" w:rsidRDefault="00156059" w:rsidP="00C75D21">
      <w:pPr>
        <w:widowControl w:val="0"/>
        <w:autoSpaceDE w:val="0"/>
        <w:autoSpaceDN w:val="0"/>
        <w:adjustRightInd w:val="0"/>
        <w:spacing w:line="360" w:lineRule="auto"/>
        <w:ind w:left="640" w:hanging="640"/>
        <w:rPr>
          <w:noProof/>
          <w:sz w:val="24"/>
          <w:szCs w:val="24"/>
        </w:rPr>
      </w:pPr>
      <w:r>
        <w:rPr>
          <w:sz w:val="24"/>
          <w:szCs w:val="24"/>
        </w:rPr>
        <w:fldChar w:fldCharType="begin" w:fldLock="1"/>
      </w:r>
      <w:r w:rsidR="00C75D21">
        <w:rPr>
          <w:sz w:val="24"/>
          <w:szCs w:val="24"/>
        </w:rPr>
        <w:instrText xml:space="preserve">ADDIN Mendeley Bibliography CSL_BIBLIOGRAPHY </w:instrText>
      </w:r>
      <w:r>
        <w:rPr>
          <w:sz w:val="24"/>
          <w:szCs w:val="24"/>
        </w:rPr>
        <w:fldChar w:fldCharType="separate"/>
      </w:r>
      <w:r w:rsidR="00C75D21" w:rsidRPr="00C75D21">
        <w:rPr>
          <w:noProof/>
          <w:sz w:val="24"/>
          <w:szCs w:val="24"/>
        </w:rPr>
        <w:t xml:space="preserve">1. </w:t>
      </w:r>
      <w:r w:rsidR="00C75D21" w:rsidRPr="00C75D21">
        <w:rPr>
          <w:noProof/>
          <w:sz w:val="24"/>
          <w:szCs w:val="24"/>
        </w:rPr>
        <w:tab/>
        <w:t xml:space="preserve">World Health Organisation. WHO. Obesity and overweight factsheet. </w:t>
      </w:r>
      <w:r w:rsidR="00422CD8">
        <w:rPr>
          <w:color w:val="2A2A2A"/>
          <w:shd w:val="clear" w:color="auto" w:fill="FFFFFF"/>
        </w:rPr>
        <w:t>Available at:</w:t>
      </w:r>
      <w:r w:rsidR="00422CD8">
        <w:rPr>
          <w:rStyle w:val="apple-converted-space"/>
          <w:color w:val="2A2A2A"/>
          <w:shd w:val="clear" w:color="auto" w:fill="FFFFFF"/>
        </w:rPr>
        <w:t> </w:t>
      </w:r>
      <w:r w:rsidR="00C75D21" w:rsidRPr="00C75D21">
        <w:rPr>
          <w:noProof/>
          <w:sz w:val="24"/>
          <w:szCs w:val="24"/>
        </w:rPr>
        <w:t>http://www.who.int/mediacentre/factsheets/fs311/en/.</w:t>
      </w:r>
      <w:r w:rsidR="007D29E5">
        <w:rPr>
          <w:noProof/>
          <w:sz w:val="24"/>
          <w:szCs w:val="24"/>
        </w:rPr>
        <w:t xml:space="preserve"> Accessed on 22</w:t>
      </w:r>
      <w:r w:rsidR="007D29E5" w:rsidRPr="007D29E5">
        <w:rPr>
          <w:noProof/>
          <w:sz w:val="24"/>
          <w:szCs w:val="24"/>
          <w:vertAlign w:val="superscript"/>
        </w:rPr>
        <w:t>nd</w:t>
      </w:r>
      <w:r w:rsidR="007D29E5">
        <w:rPr>
          <w:noProof/>
          <w:sz w:val="24"/>
          <w:szCs w:val="24"/>
        </w:rPr>
        <w:t xml:space="preserve"> January, 2017.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2. </w:t>
      </w:r>
      <w:r w:rsidRPr="00C75D21">
        <w:rPr>
          <w:noProof/>
          <w:sz w:val="24"/>
          <w:szCs w:val="24"/>
        </w:rPr>
        <w:tab/>
        <w:t xml:space="preserve">Catenacci VA, Hill JO, Wyatt HR. The </w:t>
      </w:r>
      <w:r w:rsidR="006531EA">
        <w:rPr>
          <w:noProof/>
          <w:sz w:val="24"/>
          <w:szCs w:val="24"/>
        </w:rPr>
        <w:t>obesity e</w:t>
      </w:r>
      <w:r w:rsidRPr="00C75D21">
        <w:rPr>
          <w:noProof/>
          <w:sz w:val="24"/>
          <w:szCs w:val="24"/>
        </w:rPr>
        <w:t xml:space="preserve">pidemic. </w:t>
      </w:r>
      <w:r w:rsidRPr="00C75D21">
        <w:rPr>
          <w:i/>
          <w:iCs/>
          <w:noProof/>
          <w:sz w:val="24"/>
          <w:szCs w:val="24"/>
        </w:rPr>
        <w:t>Clin Chest Med</w:t>
      </w:r>
      <w:r w:rsidRPr="00C75D21">
        <w:rPr>
          <w:noProof/>
          <w:sz w:val="24"/>
          <w:szCs w:val="24"/>
        </w:rPr>
        <w:t>. 2009;30(3):415-44</w:t>
      </w:r>
      <w:r w:rsidR="007D29E5">
        <w:rPr>
          <w:noProof/>
          <w:sz w:val="24"/>
          <w:szCs w:val="24"/>
        </w:rPr>
        <w:t>4.</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3. </w:t>
      </w:r>
      <w:r w:rsidRPr="00C75D21">
        <w:rPr>
          <w:noProof/>
          <w:sz w:val="24"/>
          <w:szCs w:val="24"/>
        </w:rPr>
        <w:tab/>
        <w:t xml:space="preserve">Yach D, Stuckler D, Brownell KD. Epidemiologic and economic consequences of the global epidemics of obesity and diabetes. </w:t>
      </w:r>
      <w:r w:rsidRPr="00C75D21">
        <w:rPr>
          <w:i/>
          <w:iCs/>
          <w:noProof/>
          <w:sz w:val="24"/>
          <w:szCs w:val="24"/>
        </w:rPr>
        <w:t>Nat Med</w:t>
      </w:r>
      <w:r w:rsidRPr="00C75D21">
        <w:rPr>
          <w:noProof/>
          <w:sz w:val="24"/>
          <w:szCs w:val="24"/>
        </w:rPr>
        <w:t>. 2006;12(1)</w:t>
      </w:r>
      <w:r w:rsidR="007D29E5">
        <w:rPr>
          <w:noProof/>
          <w:sz w:val="24"/>
          <w:szCs w:val="24"/>
        </w:rPr>
        <w:t>:62-66.</w:t>
      </w:r>
    </w:p>
    <w:p w:rsidR="00C75D21" w:rsidRPr="00C75D21" w:rsidRDefault="00D65425" w:rsidP="00C75D21">
      <w:pPr>
        <w:widowControl w:val="0"/>
        <w:autoSpaceDE w:val="0"/>
        <w:autoSpaceDN w:val="0"/>
        <w:adjustRightInd w:val="0"/>
        <w:spacing w:line="360" w:lineRule="auto"/>
        <w:ind w:left="640" w:hanging="640"/>
        <w:rPr>
          <w:noProof/>
          <w:sz w:val="24"/>
          <w:szCs w:val="24"/>
        </w:rPr>
      </w:pPr>
      <w:r>
        <w:rPr>
          <w:noProof/>
          <w:sz w:val="24"/>
          <w:szCs w:val="24"/>
        </w:rPr>
        <w:t xml:space="preserve">4. </w:t>
      </w:r>
      <w:r>
        <w:rPr>
          <w:noProof/>
          <w:sz w:val="24"/>
          <w:szCs w:val="24"/>
        </w:rPr>
        <w:tab/>
      </w:r>
      <w:r w:rsidR="00C75D21" w:rsidRPr="00C75D21">
        <w:rPr>
          <w:noProof/>
          <w:sz w:val="24"/>
          <w:szCs w:val="24"/>
        </w:rPr>
        <w:t>Johnell</w:t>
      </w:r>
      <w:r>
        <w:rPr>
          <w:noProof/>
          <w:sz w:val="24"/>
          <w:szCs w:val="24"/>
        </w:rPr>
        <w:t xml:space="preserve"> O, Kanis JA</w:t>
      </w:r>
      <w:r w:rsidR="00C75D21" w:rsidRPr="00C75D21">
        <w:rPr>
          <w:noProof/>
          <w:sz w:val="24"/>
          <w:szCs w:val="24"/>
        </w:rPr>
        <w:t xml:space="preserve">. An estimate of the worldwide prevalence and disability associated with osteporotic fractures. </w:t>
      </w:r>
      <w:r w:rsidR="00C75D21" w:rsidRPr="00C75D21">
        <w:rPr>
          <w:i/>
          <w:iCs/>
          <w:noProof/>
          <w:sz w:val="24"/>
          <w:szCs w:val="24"/>
        </w:rPr>
        <w:t>Osteoporos Int</w:t>
      </w:r>
      <w:r w:rsidR="00C75D21" w:rsidRPr="00C75D21">
        <w:rPr>
          <w:noProof/>
          <w:sz w:val="24"/>
          <w:szCs w:val="24"/>
        </w:rPr>
        <w:t>. 2006;17(12):1726-1733.</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5. </w:t>
      </w:r>
      <w:r w:rsidRPr="00C75D21">
        <w:rPr>
          <w:noProof/>
          <w:sz w:val="24"/>
          <w:szCs w:val="24"/>
        </w:rPr>
        <w:tab/>
        <w:t xml:space="preserve">Gulberg B, Johnell O, Kanis J. World-wide projections for hip fracture. </w:t>
      </w:r>
      <w:r w:rsidRPr="00C75D21">
        <w:rPr>
          <w:i/>
          <w:iCs/>
          <w:noProof/>
          <w:sz w:val="24"/>
          <w:szCs w:val="24"/>
        </w:rPr>
        <w:t>Osteoporos Int</w:t>
      </w:r>
      <w:r w:rsidRPr="00C75D21">
        <w:rPr>
          <w:noProof/>
          <w:sz w:val="24"/>
          <w:szCs w:val="24"/>
        </w:rPr>
        <w:t>. 1997;7(5):407-413.</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6. </w:t>
      </w:r>
      <w:r w:rsidRPr="00C75D21">
        <w:rPr>
          <w:noProof/>
          <w:sz w:val="24"/>
          <w:szCs w:val="24"/>
        </w:rPr>
        <w:tab/>
        <w:t xml:space="preserve">Gómez-Ambrosi J, Rodríguez A, Catalán V, Frühbeck G. The bone-adipose axis in obesity and weight loss. </w:t>
      </w:r>
      <w:r w:rsidRPr="00C75D21">
        <w:rPr>
          <w:i/>
          <w:iCs/>
          <w:noProof/>
          <w:sz w:val="24"/>
          <w:szCs w:val="24"/>
        </w:rPr>
        <w:t>Obes Surg</w:t>
      </w:r>
      <w:r w:rsidRPr="00C75D21">
        <w:rPr>
          <w:noProof/>
          <w:sz w:val="24"/>
          <w:szCs w:val="24"/>
        </w:rPr>
        <w:t>. 2008;18(9):1134-1143</w:t>
      </w:r>
      <w:r w:rsidR="007D29E5">
        <w:rPr>
          <w:noProof/>
          <w:sz w:val="24"/>
          <w:szCs w:val="24"/>
        </w:rPr>
        <w:t>.</w:t>
      </w:r>
    </w:p>
    <w:p w:rsidR="00C75D21" w:rsidRPr="00C75D21" w:rsidRDefault="007D29E5" w:rsidP="00C75D21">
      <w:pPr>
        <w:widowControl w:val="0"/>
        <w:autoSpaceDE w:val="0"/>
        <w:autoSpaceDN w:val="0"/>
        <w:adjustRightInd w:val="0"/>
        <w:spacing w:line="360" w:lineRule="auto"/>
        <w:ind w:left="640" w:hanging="640"/>
        <w:rPr>
          <w:noProof/>
          <w:sz w:val="24"/>
          <w:szCs w:val="24"/>
        </w:rPr>
      </w:pPr>
      <w:r>
        <w:rPr>
          <w:noProof/>
          <w:sz w:val="24"/>
          <w:szCs w:val="24"/>
        </w:rPr>
        <w:t xml:space="preserve">7. </w:t>
      </w:r>
      <w:r>
        <w:rPr>
          <w:noProof/>
          <w:sz w:val="24"/>
          <w:szCs w:val="24"/>
        </w:rPr>
        <w:tab/>
      </w:r>
      <w:r w:rsidR="00C75D21" w:rsidRPr="00C75D21">
        <w:rPr>
          <w:noProof/>
          <w:sz w:val="24"/>
          <w:szCs w:val="24"/>
        </w:rPr>
        <w:t>Hamrick</w:t>
      </w:r>
      <w:r>
        <w:rPr>
          <w:noProof/>
          <w:sz w:val="24"/>
          <w:szCs w:val="24"/>
        </w:rPr>
        <w:t xml:space="preserve"> MW</w:t>
      </w:r>
      <w:r w:rsidR="00C75D21" w:rsidRPr="00C75D21">
        <w:rPr>
          <w:noProof/>
          <w:sz w:val="24"/>
          <w:szCs w:val="24"/>
        </w:rPr>
        <w:t xml:space="preserve">. A role for myokines in muscle-bone interactions. </w:t>
      </w:r>
      <w:r w:rsidR="00C75D21" w:rsidRPr="00C75D21">
        <w:rPr>
          <w:i/>
          <w:iCs/>
          <w:noProof/>
          <w:sz w:val="24"/>
          <w:szCs w:val="24"/>
        </w:rPr>
        <w:t>Exerc Sport Sci Rev</w:t>
      </w:r>
      <w:r w:rsidR="00C75D21" w:rsidRPr="00C75D21">
        <w:rPr>
          <w:noProof/>
          <w:sz w:val="24"/>
          <w:szCs w:val="24"/>
        </w:rPr>
        <w:t>. 2011;39(1):43-47.</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8. </w:t>
      </w:r>
      <w:r w:rsidRPr="00C75D21">
        <w:rPr>
          <w:noProof/>
          <w:sz w:val="24"/>
          <w:szCs w:val="24"/>
        </w:rPr>
        <w:tab/>
        <w:t xml:space="preserve">Gerdhem P, Ringsberg K, Akesson K, Obrant KJ. Influence of muscle strength, physical activity and weight on bone mass in a population based sample of 1004 elderly women. </w:t>
      </w:r>
      <w:r w:rsidRPr="00C75D21">
        <w:rPr>
          <w:i/>
          <w:iCs/>
          <w:noProof/>
          <w:sz w:val="24"/>
          <w:szCs w:val="24"/>
        </w:rPr>
        <w:t>Osteoporos Int</w:t>
      </w:r>
      <w:r w:rsidRPr="00C75D21">
        <w:rPr>
          <w:noProof/>
          <w:sz w:val="24"/>
          <w:szCs w:val="24"/>
        </w:rPr>
        <w:t>. 2003;14(9):768-772.</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9. </w:t>
      </w:r>
      <w:r w:rsidRPr="00C75D21">
        <w:rPr>
          <w:noProof/>
          <w:sz w:val="24"/>
          <w:szCs w:val="24"/>
        </w:rPr>
        <w:tab/>
        <w:t xml:space="preserve">Michaelsson K, Bergstrom R, Mallmin H, Holmberg L, Wolk A, Ljunghall S. Screening for osteopenia and osteoporosis: Selection by body composition. </w:t>
      </w:r>
      <w:r w:rsidRPr="00C75D21">
        <w:rPr>
          <w:i/>
          <w:iCs/>
          <w:noProof/>
          <w:sz w:val="24"/>
          <w:szCs w:val="24"/>
        </w:rPr>
        <w:t>Osteoporos Int</w:t>
      </w:r>
      <w:r w:rsidRPr="00C75D21">
        <w:rPr>
          <w:noProof/>
          <w:sz w:val="24"/>
          <w:szCs w:val="24"/>
        </w:rPr>
        <w:t>. 1996;6(2):120-126.</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10. </w:t>
      </w:r>
      <w:r w:rsidRPr="00C75D21">
        <w:rPr>
          <w:noProof/>
          <w:sz w:val="24"/>
          <w:szCs w:val="24"/>
        </w:rPr>
        <w:tab/>
        <w:t xml:space="preserve">Semanick L, Beck T, Cauley J, et al. Association of body composition and physical activity with proximal femur geometry in middle-aged and elderly Afro-Caribbean men: the Tobago bone health study. </w:t>
      </w:r>
      <w:r w:rsidRPr="00C75D21">
        <w:rPr>
          <w:i/>
          <w:iCs/>
          <w:noProof/>
          <w:sz w:val="24"/>
          <w:szCs w:val="24"/>
        </w:rPr>
        <w:t>Calcif Tissue Int</w:t>
      </w:r>
      <w:r w:rsidRPr="00C75D21">
        <w:rPr>
          <w:noProof/>
          <w:sz w:val="24"/>
          <w:szCs w:val="24"/>
        </w:rPr>
        <w:t>. 2005;77(3):160-166.</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11. </w:t>
      </w:r>
      <w:r w:rsidRPr="00C75D21">
        <w:rPr>
          <w:noProof/>
          <w:sz w:val="24"/>
          <w:szCs w:val="24"/>
        </w:rPr>
        <w:tab/>
        <w:t>Ho-Pham LT, Nguye</w:t>
      </w:r>
      <w:r w:rsidR="006531EA">
        <w:rPr>
          <w:noProof/>
          <w:sz w:val="24"/>
          <w:szCs w:val="24"/>
        </w:rPr>
        <w:t>n UDT, Nguyen T V. Association between lean mass, fat mass, and bone mineral density: A m</w:t>
      </w:r>
      <w:r w:rsidRPr="00C75D21">
        <w:rPr>
          <w:noProof/>
          <w:sz w:val="24"/>
          <w:szCs w:val="24"/>
        </w:rPr>
        <w:t xml:space="preserve">eta-analysis. </w:t>
      </w:r>
      <w:r w:rsidRPr="00C75D21">
        <w:rPr>
          <w:i/>
          <w:iCs/>
          <w:noProof/>
          <w:sz w:val="24"/>
          <w:szCs w:val="24"/>
        </w:rPr>
        <w:t>J Clin Endocrinol Metab</w:t>
      </w:r>
      <w:r w:rsidRPr="00C75D21">
        <w:rPr>
          <w:noProof/>
          <w:sz w:val="24"/>
          <w:szCs w:val="24"/>
        </w:rPr>
        <w:t>. 2014;99(1):30-</w:t>
      </w:r>
      <w:r w:rsidR="007D29E5">
        <w:rPr>
          <w:noProof/>
          <w:sz w:val="24"/>
          <w:szCs w:val="24"/>
        </w:rPr>
        <w:t xml:space="preserve">38.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lastRenderedPageBreak/>
        <w:t xml:space="preserve">12. </w:t>
      </w:r>
      <w:r w:rsidRPr="00C75D21">
        <w:rPr>
          <w:noProof/>
          <w:sz w:val="24"/>
          <w:szCs w:val="24"/>
        </w:rPr>
        <w:tab/>
        <w:t xml:space="preserve">Kouda K, Fujita Y, Sato Y, et al. Fat mass is positively associated with bone mass in relatively thin adolescents: Data from the Kitakata kids health study. </w:t>
      </w:r>
      <w:r w:rsidRPr="00C75D21">
        <w:rPr>
          <w:i/>
          <w:iCs/>
          <w:noProof/>
          <w:sz w:val="24"/>
          <w:szCs w:val="24"/>
        </w:rPr>
        <w:t>Bone</w:t>
      </w:r>
      <w:r w:rsidRPr="00C75D21">
        <w:rPr>
          <w:noProof/>
          <w:sz w:val="24"/>
          <w:szCs w:val="24"/>
        </w:rPr>
        <w:t>. 2014;64:298-302.</w:t>
      </w:r>
      <w:r w:rsidR="007D29E5">
        <w:rPr>
          <w:noProof/>
          <w:sz w:val="24"/>
          <w:szCs w:val="24"/>
        </w:rPr>
        <w:t xml:space="preserve">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13. </w:t>
      </w:r>
      <w:r w:rsidRPr="00C75D21">
        <w:rPr>
          <w:noProof/>
          <w:sz w:val="24"/>
          <w:szCs w:val="24"/>
        </w:rPr>
        <w:tab/>
        <w:t xml:space="preserve">Hsu Y, Venners S, Terwedow H, et al. Relation of body composition, fat mass, and serum lipids to osteoporotic fractures and bone mineral density in Chinese men and women. </w:t>
      </w:r>
      <w:r w:rsidRPr="00C75D21">
        <w:rPr>
          <w:i/>
          <w:iCs/>
          <w:noProof/>
          <w:sz w:val="24"/>
          <w:szCs w:val="24"/>
        </w:rPr>
        <w:t>Am J Clin Nutr</w:t>
      </w:r>
      <w:r w:rsidRPr="00C75D21">
        <w:rPr>
          <w:noProof/>
          <w:sz w:val="24"/>
          <w:szCs w:val="24"/>
        </w:rPr>
        <w:t>. 2006;83(1):146-154.</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14. </w:t>
      </w:r>
      <w:r w:rsidRPr="00C75D21">
        <w:rPr>
          <w:noProof/>
          <w:sz w:val="24"/>
          <w:szCs w:val="24"/>
        </w:rPr>
        <w:tab/>
        <w:t xml:space="preserve">Evans A, Paggiosi M, Eastell R, Walsh J. Bone density, microstructure and strength in obese and normal weight men and women in younger and older adulthood. </w:t>
      </w:r>
      <w:r w:rsidRPr="00C75D21">
        <w:rPr>
          <w:i/>
          <w:iCs/>
          <w:noProof/>
          <w:sz w:val="24"/>
          <w:szCs w:val="24"/>
        </w:rPr>
        <w:t>J Bone Miner Res</w:t>
      </w:r>
      <w:r w:rsidRPr="00C75D21">
        <w:rPr>
          <w:noProof/>
          <w:sz w:val="24"/>
          <w:szCs w:val="24"/>
        </w:rPr>
        <w:t>. 2015;30(5):920-928.</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15. </w:t>
      </w:r>
      <w:r w:rsidRPr="00C75D21">
        <w:rPr>
          <w:noProof/>
          <w:sz w:val="24"/>
          <w:szCs w:val="24"/>
        </w:rPr>
        <w:tab/>
        <w:t xml:space="preserve">Rocher E, El Hage R, Chappard C, Portier H, Rochefort G, Benhamou C. Bone mineral density, hip bone geometry, and calcaneus trabecular bone texture in obese and normal-weight children. </w:t>
      </w:r>
      <w:r w:rsidRPr="00C75D21">
        <w:rPr>
          <w:i/>
          <w:iCs/>
          <w:noProof/>
          <w:sz w:val="24"/>
          <w:szCs w:val="24"/>
        </w:rPr>
        <w:t>J Clin Densitom</w:t>
      </w:r>
      <w:r w:rsidRPr="00C75D21">
        <w:rPr>
          <w:noProof/>
          <w:sz w:val="24"/>
          <w:szCs w:val="24"/>
        </w:rPr>
        <w:t>. 2013;16(2):244-249.</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16. </w:t>
      </w:r>
      <w:r w:rsidRPr="00C75D21">
        <w:rPr>
          <w:noProof/>
          <w:sz w:val="24"/>
          <w:szCs w:val="24"/>
        </w:rPr>
        <w:tab/>
        <w:t xml:space="preserve">Ilich JZ, Kelly OJ, Inglis JE, Panton LB, Duque G, Ormsbee MJ. Interrelationship among muscle, fat, and bone: Connecting the dots on cellular, hormonal, and whole body levels. </w:t>
      </w:r>
      <w:r w:rsidRPr="00C75D21">
        <w:rPr>
          <w:i/>
          <w:iCs/>
          <w:noProof/>
          <w:sz w:val="24"/>
          <w:szCs w:val="24"/>
        </w:rPr>
        <w:t>Ageing Res Rev</w:t>
      </w:r>
      <w:r w:rsidRPr="00C75D21">
        <w:rPr>
          <w:noProof/>
          <w:sz w:val="24"/>
          <w:szCs w:val="24"/>
        </w:rPr>
        <w:t>. 2014;15(1):51-60</w:t>
      </w:r>
      <w:r w:rsidR="007D29E5">
        <w:rPr>
          <w:noProof/>
          <w:sz w:val="24"/>
          <w:szCs w:val="24"/>
        </w:rPr>
        <w:t xml:space="preserve">.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17. </w:t>
      </w:r>
      <w:r w:rsidRPr="00C75D21">
        <w:rPr>
          <w:noProof/>
          <w:sz w:val="24"/>
          <w:szCs w:val="24"/>
        </w:rPr>
        <w:tab/>
        <w:t xml:space="preserve">Holecki M, Wiecek A. Relationship between body fat mass and bone metabolism. </w:t>
      </w:r>
      <w:r w:rsidRPr="00C75D21">
        <w:rPr>
          <w:i/>
          <w:iCs/>
          <w:noProof/>
          <w:sz w:val="24"/>
          <w:szCs w:val="24"/>
        </w:rPr>
        <w:t>Pol Arch Med Wewn</w:t>
      </w:r>
      <w:r w:rsidRPr="00C75D21">
        <w:rPr>
          <w:noProof/>
          <w:sz w:val="24"/>
          <w:szCs w:val="24"/>
        </w:rPr>
        <w:t>. 2010;120(9):361-367.</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18. </w:t>
      </w:r>
      <w:r w:rsidRPr="00C75D21">
        <w:rPr>
          <w:noProof/>
          <w:sz w:val="24"/>
          <w:szCs w:val="24"/>
        </w:rPr>
        <w:tab/>
        <w:t xml:space="preserve">Cao JJ. Effects of obesity on bone metabolism. </w:t>
      </w:r>
      <w:r w:rsidRPr="00C75D21">
        <w:rPr>
          <w:i/>
          <w:iCs/>
          <w:noProof/>
          <w:sz w:val="24"/>
          <w:szCs w:val="24"/>
        </w:rPr>
        <w:t>J Orthop Surg Res</w:t>
      </w:r>
      <w:r w:rsidRPr="00C75D21">
        <w:rPr>
          <w:noProof/>
          <w:sz w:val="24"/>
          <w:szCs w:val="24"/>
        </w:rPr>
        <w:t xml:space="preserve">. </w:t>
      </w:r>
      <w:r w:rsidR="006531EA">
        <w:rPr>
          <w:noProof/>
          <w:sz w:val="24"/>
          <w:szCs w:val="24"/>
        </w:rPr>
        <w:t xml:space="preserve">2011;6(1):30.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19. </w:t>
      </w:r>
      <w:r w:rsidRPr="00C75D21">
        <w:rPr>
          <w:noProof/>
          <w:sz w:val="24"/>
          <w:szCs w:val="24"/>
        </w:rPr>
        <w:tab/>
        <w:t xml:space="preserve">Wong S, Chin K, Suhaimi F, Ahmad F, Ima-Nirwana S. The relationship between metabolic syndrome and osteoporosis: A review. </w:t>
      </w:r>
      <w:r w:rsidRPr="00C75D21">
        <w:rPr>
          <w:i/>
          <w:iCs/>
          <w:noProof/>
          <w:sz w:val="24"/>
          <w:szCs w:val="24"/>
        </w:rPr>
        <w:t>Nutrients</w:t>
      </w:r>
      <w:r w:rsidRPr="00C75D21">
        <w:rPr>
          <w:noProof/>
          <w:sz w:val="24"/>
          <w:szCs w:val="24"/>
        </w:rPr>
        <w:t>. 2016;8(6):E347.</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20. </w:t>
      </w:r>
      <w:r w:rsidRPr="00C75D21">
        <w:rPr>
          <w:noProof/>
          <w:sz w:val="24"/>
          <w:szCs w:val="24"/>
        </w:rPr>
        <w:tab/>
        <w:t xml:space="preserve">Vincent H, Taylor A. Biomarkers and potential mechanisms of obesity-induced oxidant stress in humans. </w:t>
      </w:r>
      <w:r w:rsidRPr="00C75D21">
        <w:rPr>
          <w:i/>
          <w:iCs/>
          <w:noProof/>
          <w:sz w:val="24"/>
          <w:szCs w:val="24"/>
        </w:rPr>
        <w:t>Int J Obes</w:t>
      </w:r>
      <w:r w:rsidRPr="00C75D21">
        <w:rPr>
          <w:noProof/>
          <w:sz w:val="24"/>
          <w:szCs w:val="24"/>
        </w:rPr>
        <w:t>. 2006;30(3):400-418.</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21. </w:t>
      </w:r>
      <w:r w:rsidRPr="00C75D21">
        <w:rPr>
          <w:noProof/>
          <w:sz w:val="24"/>
          <w:szCs w:val="24"/>
        </w:rPr>
        <w:tab/>
        <w:t xml:space="preserve">Ha H, Bok Kwak H, Woong Lee S, et al. Reactive oxygen species mediate RANK signaling in osteoclasts. </w:t>
      </w:r>
      <w:r w:rsidRPr="00C75D21">
        <w:rPr>
          <w:i/>
          <w:iCs/>
          <w:noProof/>
          <w:sz w:val="24"/>
          <w:szCs w:val="24"/>
        </w:rPr>
        <w:t>Exp Cell Res</w:t>
      </w:r>
      <w:r w:rsidRPr="00C75D21">
        <w:rPr>
          <w:noProof/>
          <w:sz w:val="24"/>
          <w:szCs w:val="24"/>
        </w:rPr>
        <w:t xml:space="preserve">. 2004;301(2):119-127.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22. </w:t>
      </w:r>
      <w:r w:rsidRPr="00C75D21">
        <w:rPr>
          <w:noProof/>
          <w:sz w:val="24"/>
          <w:szCs w:val="24"/>
        </w:rPr>
        <w:tab/>
        <w:t xml:space="preserve">Lee N, Choi Y, Baik J, et al. A crucial role for reactive oxygen species in RANKL-induced osteoclast differentiation. </w:t>
      </w:r>
      <w:r w:rsidRPr="00C75D21">
        <w:rPr>
          <w:i/>
          <w:iCs/>
          <w:noProof/>
          <w:sz w:val="24"/>
          <w:szCs w:val="24"/>
        </w:rPr>
        <w:t>Blood</w:t>
      </w:r>
      <w:r w:rsidRPr="00C75D21">
        <w:rPr>
          <w:noProof/>
          <w:sz w:val="24"/>
          <w:szCs w:val="24"/>
        </w:rPr>
        <w:t>. 2005;106(3):852-859.</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23. </w:t>
      </w:r>
      <w:r w:rsidRPr="00C75D21">
        <w:rPr>
          <w:noProof/>
          <w:sz w:val="24"/>
          <w:szCs w:val="24"/>
        </w:rPr>
        <w:tab/>
        <w:t xml:space="preserve">Filaire E, Toumi H. Reactive oxygen species and exercise on bone metabolism: Friend </w:t>
      </w:r>
      <w:r w:rsidRPr="00C75D21">
        <w:rPr>
          <w:noProof/>
          <w:sz w:val="24"/>
          <w:szCs w:val="24"/>
        </w:rPr>
        <w:lastRenderedPageBreak/>
        <w:t xml:space="preserve">or enemy? </w:t>
      </w:r>
      <w:r w:rsidRPr="00C75D21">
        <w:rPr>
          <w:i/>
          <w:iCs/>
          <w:noProof/>
          <w:sz w:val="24"/>
          <w:szCs w:val="24"/>
        </w:rPr>
        <w:t>Jt Bone Spine</w:t>
      </w:r>
      <w:r w:rsidRPr="00C75D21">
        <w:rPr>
          <w:noProof/>
          <w:sz w:val="24"/>
          <w:szCs w:val="24"/>
        </w:rPr>
        <w:t>. 2012;79(4):</w:t>
      </w:r>
      <w:r w:rsidR="007D29E5">
        <w:rPr>
          <w:noProof/>
          <w:sz w:val="24"/>
          <w:szCs w:val="24"/>
        </w:rPr>
        <w:t xml:space="preserve">341-346.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24. </w:t>
      </w:r>
      <w:r w:rsidRPr="00C75D21">
        <w:rPr>
          <w:noProof/>
          <w:sz w:val="24"/>
          <w:szCs w:val="24"/>
        </w:rPr>
        <w:tab/>
        <w:t xml:space="preserve">Wauquier F, Leotoing L, Coxam V, Guicheux J, Wittrant Y. Oxidative stress in bone remodelling and disease. </w:t>
      </w:r>
      <w:r w:rsidRPr="00C75D21">
        <w:rPr>
          <w:i/>
          <w:iCs/>
          <w:noProof/>
          <w:sz w:val="24"/>
          <w:szCs w:val="24"/>
        </w:rPr>
        <w:t>Trends Mol Med</w:t>
      </w:r>
      <w:r w:rsidR="007D29E5">
        <w:rPr>
          <w:noProof/>
          <w:sz w:val="24"/>
          <w:szCs w:val="24"/>
        </w:rPr>
        <w:t xml:space="preserve">. 2009;15(10):468-477.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25. </w:t>
      </w:r>
      <w:r w:rsidRPr="00C75D21">
        <w:rPr>
          <w:noProof/>
          <w:sz w:val="24"/>
          <w:szCs w:val="24"/>
        </w:rPr>
        <w:tab/>
        <w:t xml:space="preserve">Yeung DKW, Griffith JF, Antonio GE, Lee FKH, Woo J, Leung PC. Osteoporosis is associated with increased marrow fat content and decreased marrow fat unsaturation: A proton MR spectroscopy study. </w:t>
      </w:r>
      <w:r w:rsidRPr="00C75D21">
        <w:rPr>
          <w:i/>
          <w:iCs/>
          <w:noProof/>
          <w:sz w:val="24"/>
          <w:szCs w:val="24"/>
        </w:rPr>
        <w:t>J Magn Reson Imaging</w:t>
      </w:r>
      <w:r w:rsidRPr="00C75D21">
        <w:rPr>
          <w:noProof/>
          <w:sz w:val="24"/>
          <w:szCs w:val="24"/>
        </w:rPr>
        <w:t>. 2005;22(2)</w:t>
      </w:r>
      <w:r w:rsidR="007D29E5">
        <w:rPr>
          <w:noProof/>
          <w:sz w:val="24"/>
          <w:szCs w:val="24"/>
        </w:rPr>
        <w:t xml:space="preserve">:279-285.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26. </w:t>
      </w:r>
      <w:r w:rsidRPr="00C75D21">
        <w:rPr>
          <w:noProof/>
          <w:sz w:val="24"/>
          <w:szCs w:val="24"/>
        </w:rPr>
        <w:tab/>
        <w:t xml:space="preserve">Rosen C, Bouxsein M. Mechanisms of disease: is osteoporosis the obesity of bone? </w:t>
      </w:r>
      <w:r w:rsidRPr="00C75D21">
        <w:rPr>
          <w:i/>
          <w:iCs/>
          <w:noProof/>
          <w:sz w:val="24"/>
          <w:szCs w:val="24"/>
        </w:rPr>
        <w:t>Nat Clin Pract Rheumatol</w:t>
      </w:r>
      <w:r w:rsidRPr="00C75D21">
        <w:rPr>
          <w:noProof/>
          <w:sz w:val="24"/>
          <w:szCs w:val="24"/>
        </w:rPr>
        <w:t>. 2006;2(1):35-43.</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27. </w:t>
      </w:r>
      <w:r w:rsidRPr="00C75D21">
        <w:rPr>
          <w:noProof/>
          <w:sz w:val="24"/>
          <w:szCs w:val="24"/>
        </w:rPr>
        <w:tab/>
        <w:t xml:space="preserve">Lakka T, Bouchard C. Physical activity, obesity and cardiovascular diseases. </w:t>
      </w:r>
      <w:r w:rsidRPr="00C75D21">
        <w:rPr>
          <w:i/>
          <w:iCs/>
          <w:noProof/>
          <w:sz w:val="24"/>
          <w:szCs w:val="24"/>
        </w:rPr>
        <w:t>Handb Exp Pharmacol</w:t>
      </w:r>
      <w:r w:rsidRPr="00C75D21">
        <w:rPr>
          <w:noProof/>
          <w:sz w:val="24"/>
          <w:szCs w:val="24"/>
        </w:rPr>
        <w:t>. 2005;170:137-163.</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28. </w:t>
      </w:r>
      <w:r w:rsidRPr="00C75D21">
        <w:rPr>
          <w:noProof/>
          <w:sz w:val="24"/>
          <w:szCs w:val="24"/>
        </w:rPr>
        <w:tab/>
        <w:t xml:space="preserve">Frost H. Bone’s mechanostat: a 2003 update. </w:t>
      </w:r>
      <w:r w:rsidRPr="00C75D21">
        <w:rPr>
          <w:i/>
          <w:iCs/>
          <w:noProof/>
          <w:sz w:val="24"/>
          <w:szCs w:val="24"/>
        </w:rPr>
        <w:t>Anat Rec A Discov Mol Cell Evol Biol</w:t>
      </w:r>
      <w:r w:rsidRPr="00C75D21">
        <w:rPr>
          <w:noProof/>
          <w:sz w:val="24"/>
          <w:szCs w:val="24"/>
        </w:rPr>
        <w:t>. 2003;275(2):1081-1101.</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29. </w:t>
      </w:r>
      <w:r w:rsidRPr="00C75D21">
        <w:rPr>
          <w:noProof/>
          <w:sz w:val="24"/>
          <w:szCs w:val="24"/>
        </w:rPr>
        <w:tab/>
        <w:t>Borer K. Physical activity in the prevention and amelio</w:t>
      </w:r>
      <w:r w:rsidR="006531EA">
        <w:rPr>
          <w:noProof/>
          <w:sz w:val="24"/>
          <w:szCs w:val="24"/>
        </w:rPr>
        <w:t>ration of osteoporosis in women: I</w:t>
      </w:r>
      <w:r w:rsidRPr="00C75D21">
        <w:rPr>
          <w:noProof/>
          <w:sz w:val="24"/>
          <w:szCs w:val="24"/>
        </w:rPr>
        <w:t xml:space="preserve">nteraction of mechanical, hormonal and dietary factors. </w:t>
      </w:r>
      <w:r w:rsidRPr="00C75D21">
        <w:rPr>
          <w:i/>
          <w:iCs/>
          <w:noProof/>
          <w:sz w:val="24"/>
          <w:szCs w:val="24"/>
        </w:rPr>
        <w:t>Sport Med</w:t>
      </w:r>
      <w:r w:rsidRPr="00C75D21">
        <w:rPr>
          <w:noProof/>
          <w:sz w:val="24"/>
          <w:szCs w:val="24"/>
        </w:rPr>
        <w:t>. 2005;35(9):779-830.</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30. </w:t>
      </w:r>
      <w:r w:rsidRPr="00C75D21">
        <w:rPr>
          <w:noProof/>
          <w:sz w:val="24"/>
          <w:szCs w:val="24"/>
        </w:rPr>
        <w:tab/>
        <w:t>Thompson D, Karpe F,</w:t>
      </w:r>
      <w:r w:rsidR="006531EA">
        <w:rPr>
          <w:noProof/>
          <w:sz w:val="24"/>
          <w:szCs w:val="24"/>
        </w:rPr>
        <w:t xml:space="preserve"> Lafontan M, Frayn K. Physical a</w:t>
      </w:r>
      <w:r w:rsidRPr="00C75D21">
        <w:rPr>
          <w:noProof/>
          <w:sz w:val="24"/>
          <w:szCs w:val="24"/>
        </w:rPr>
        <w:t>ctivi</w:t>
      </w:r>
      <w:r w:rsidR="006531EA">
        <w:rPr>
          <w:noProof/>
          <w:sz w:val="24"/>
          <w:szCs w:val="24"/>
        </w:rPr>
        <w:t>ty and exercise in the regulation of human adipose tissue p</w:t>
      </w:r>
      <w:r w:rsidRPr="00C75D21">
        <w:rPr>
          <w:noProof/>
          <w:sz w:val="24"/>
          <w:szCs w:val="24"/>
        </w:rPr>
        <w:t xml:space="preserve">hysiology. </w:t>
      </w:r>
      <w:r w:rsidRPr="00C75D21">
        <w:rPr>
          <w:i/>
          <w:iCs/>
          <w:noProof/>
          <w:sz w:val="24"/>
          <w:szCs w:val="24"/>
        </w:rPr>
        <w:t>Physiol Rev</w:t>
      </w:r>
      <w:r w:rsidR="007D29E5">
        <w:rPr>
          <w:noProof/>
          <w:sz w:val="24"/>
          <w:szCs w:val="24"/>
        </w:rPr>
        <w:t xml:space="preserve">. 2012;92:157-191.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31. </w:t>
      </w:r>
      <w:r w:rsidRPr="00C75D21">
        <w:rPr>
          <w:noProof/>
          <w:sz w:val="24"/>
          <w:szCs w:val="24"/>
        </w:rPr>
        <w:tab/>
        <w:t xml:space="preserve">Viljakainen HT, Pekkinen M, Saarnio E, Karp H, Lamberg-Allardt C, Mäkitie O. Dual effect of adipose tissue on bone health during growth. </w:t>
      </w:r>
      <w:r w:rsidRPr="00C75D21">
        <w:rPr>
          <w:i/>
          <w:iCs/>
          <w:noProof/>
          <w:sz w:val="24"/>
          <w:szCs w:val="24"/>
        </w:rPr>
        <w:t>Bone</w:t>
      </w:r>
      <w:r w:rsidRPr="00C75D21">
        <w:rPr>
          <w:noProof/>
          <w:sz w:val="24"/>
          <w:szCs w:val="24"/>
        </w:rPr>
        <w:t>. 2011;48(2):212-217.</w:t>
      </w:r>
      <w:r w:rsidR="007D29E5">
        <w:rPr>
          <w:noProof/>
          <w:sz w:val="24"/>
          <w:szCs w:val="24"/>
        </w:rPr>
        <w:t xml:space="preserve">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32. </w:t>
      </w:r>
      <w:r w:rsidRPr="00C75D21">
        <w:rPr>
          <w:noProof/>
          <w:sz w:val="24"/>
          <w:szCs w:val="24"/>
        </w:rPr>
        <w:tab/>
        <w:t xml:space="preserve">Tanaka S, Kuroda T, Saito M, Shiraki M. Overweight/obesity and underweight are both risk factors for osteoporotic fractures at different sites in Japanese postmenopausal women. </w:t>
      </w:r>
      <w:r w:rsidRPr="00C75D21">
        <w:rPr>
          <w:i/>
          <w:iCs/>
          <w:noProof/>
          <w:sz w:val="24"/>
          <w:szCs w:val="24"/>
        </w:rPr>
        <w:t>Osteoporos Int</w:t>
      </w:r>
      <w:r w:rsidRPr="00C75D21">
        <w:rPr>
          <w:noProof/>
          <w:sz w:val="24"/>
          <w:szCs w:val="24"/>
        </w:rPr>
        <w:t>. 2013;24(1):69-76</w:t>
      </w:r>
      <w:r w:rsidR="007D29E5">
        <w:rPr>
          <w:noProof/>
          <w:sz w:val="24"/>
          <w:szCs w:val="24"/>
        </w:rPr>
        <w:t xml:space="preserve">.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33. </w:t>
      </w:r>
      <w:r w:rsidRPr="00C75D21">
        <w:rPr>
          <w:noProof/>
          <w:sz w:val="24"/>
          <w:szCs w:val="24"/>
        </w:rPr>
        <w:tab/>
        <w:t xml:space="preserve">De Laet C, Kanis J, Oden A, et al. Body mass index as a predictor of fracture risk: a meta-analysis. </w:t>
      </w:r>
      <w:r w:rsidRPr="00C75D21">
        <w:rPr>
          <w:i/>
          <w:iCs/>
          <w:noProof/>
          <w:sz w:val="24"/>
          <w:szCs w:val="24"/>
        </w:rPr>
        <w:t>Osteoporos Int</w:t>
      </w:r>
      <w:r w:rsidRPr="00C75D21">
        <w:rPr>
          <w:noProof/>
          <w:sz w:val="24"/>
          <w:szCs w:val="24"/>
        </w:rPr>
        <w:t>. 2005;16(11):1330-1338.</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34. </w:t>
      </w:r>
      <w:r w:rsidRPr="00C75D21">
        <w:rPr>
          <w:noProof/>
          <w:sz w:val="24"/>
          <w:szCs w:val="24"/>
        </w:rPr>
        <w:tab/>
        <w:t xml:space="preserve">Moher D, Liberati A, Tetzlaff </w:t>
      </w:r>
      <w:r w:rsidR="006531EA">
        <w:rPr>
          <w:noProof/>
          <w:sz w:val="24"/>
          <w:szCs w:val="24"/>
        </w:rPr>
        <w:t>J, Altman DG, Grp P. Preferred reporting items for ystematic reviews and meta-a</w:t>
      </w:r>
      <w:r w:rsidRPr="00C75D21">
        <w:rPr>
          <w:noProof/>
          <w:sz w:val="24"/>
          <w:szCs w:val="24"/>
        </w:rPr>
        <w:t xml:space="preserve">nalyses: The PRISMA Statement (Reprinted from Annals </w:t>
      </w:r>
      <w:r w:rsidRPr="00C75D21">
        <w:rPr>
          <w:noProof/>
          <w:sz w:val="24"/>
          <w:szCs w:val="24"/>
        </w:rPr>
        <w:lastRenderedPageBreak/>
        <w:t xml:space="preserve">of Internal Medicine). </w:t>
      </w:r>
      <w:r w:rsidRPr="00C75D21">
        <w:rPr>
          <w:i/>
          <w:iCs/>
          <w:noProof/>
          <w:sz w:val="24"/>
          <w:szCs w:val="24"/>
        </w:rPr>
        <w:t>Phys Ther</w:t>
      </w:r>
      <w:r w:rsidR="007D29E5">
        <w:rPr>
          <w:noProof/>
          <w:sz w:val="24"/>
          <w:szCs w:val="24"/>
        </w:rPr>
        <w:t xml:space="preserve">. 2009;89(9):873-880.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35. </w:t>
      </w:r>
      <w:r w:rsidRPr="00C75D21">
        <w:rPr>
          <w:noProof/>
          <w:sz w:val="24"/>
          <w:szCs w:val="24"/>
        </w:rPr>
        <w:tab/>
        <w:t>Wu Y. Overweight and obesity in China</w:t>
      </w:r>
      <w:r w:rsidR="006531EA">
        <w:rPr>
          <w:noProof/>
          <w:sz w:val="24"/>
          <w:szCs w:val="24"/>
        </w:rPr>
        <w:t>.</w:t>
      </w:r>
      <w:r w:rsidRPr="00C75D21">
        <w:rPr>
          <w:noProof/>
          <w:sz w:val="24"/>
          <w:szCs w:val="24"/>
        </w:rPr>
        <w:t xml:space="preserve"> The once lean giant has a weight problem that is increasing rapidly. </w:t>
      </w:r>
      <w:r w:rsidRPr="00C75D21">
        <w:rPr>
          <w:i/>
          <w:iCs/>
          <w:noProof/>
          <w:sz w:val="24"/>
          <w:szCs w:val="24"/>
        </w:rPr>
        <w:t>BMJ</w:t>
      </w:r>
      <w:r w:rsidRPr="00C75D21">
        <w:rPr>
          <w:noProof/>
          <w:sz w:val="24"/>
          <w:szCs w:val="24"/>
        </w:rPr>
        <w:t>. 2006;333(7564):362-363.</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36. </w:t>
      </w:r>
      <w:r w:rsidRPr="00C75D21">
        <w:rPr>
          <w:noProof/>
          <w:sz w:val="24"/>
          <w:szCs w:val="24"/>
        </w:rPr>
        <w:tab/>
        <w:t xml:space="preserve">Zhou B. Effect of body mass index on all-cause mortality and incidence of cardiovascular diseases--report for meta-analysis of prospective studies open optimal cut-off points of body mass index in Chinese adults. </w:t>
      </w:r>
      <w:r w:rsidRPr="00C75D21">
        <w:rPr>
          <w:i/>
          <w:iCs/>
          <w:noProof/>
          <w:sz w:val="24"/>
          <w:szCs w:val="24"/>
        </w:rPr>
        <w:t>Biomed Environ Sci</w:t>
      </w:r>
      <w:r w:rsidRPr="00C75D21">
        <w:rPr>
          <w:noProof/>
          <w:sz w:val="24"/>
          <w:szCs w:val="24"/>
        </w:rPr>
        <w:t>. 2002;15(3):245-252.</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37. </w:t>
      </w:r>
      <w:r w:rsidRPr="00C75D21">
        <w:rPr>
          <w:noProof/>
          <w:sz w:val="24"/>
          <w:szCs w:val="24"/>
        </w:rPr>
        <w:tab/>
        <w:t xml:space="preserve">Zhou B, Cooperative Meta-Analysis Group of the Working Group on Obesity in China. Predictive values of body mass index and waist circumference for risk factors of certain related diseases in Chinese adults-study on optimal cut-off points of body mass index and waist circumference in Chinese adults. </w:t>
      </w:r>
      <w:r w:rsidRPr="00C75D21">
        <w:rPr>
          <w:i/>
          <w:iCs/>
          <w:noProof/>
          <w:sz w:val="24"/>
          <w:szCs w:val="24"/>
        </w:rPr>
        <w:t>Biomed Environ Sci</w:t>
      </w:r>
      <w:r w:rsidRPr="00C75D21">
        <w:rPr>
          <w:noProof/>
          <w:sz w:val="24"/>
          <w:szCs w:val="24"/>
        </w:rPr>
        <w:t>. 2002;15(1):83-96.</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38. </w:t>
      </w:r>
      <w:r w:rsidRPr="00C75D21">
        <w:rPr>
          <w:noProof/>
          <w:sz w:val="24"/>
          <w:szCs w:val="24"/>
        </w:rPr>
        <w:tab/>
        <w:t>Duren DL, Sherwood RJ, Czerwinski SA, et al</w:t>
      </w:r>
      <w:r w:rsidR="00597FA5">
        <w:rPr>
          <w:noProof/>
          <w:sz w:val="24"/>
          <w:szCs w:val="24"/>
        </w:rPr>
        <w:t>. Body composition methods: Comparisons and i</w:t>
      </w:r>
      <w:r w:rsidRPr="00C75D21">
        <w:rPr>
          <w:noProof/>
          <w:sz w:val="24"/>
          <w:szCs w:val="24"/>
        </w:rPr>
        <w:t xml:space="preserve">nterpretation. </w:t>
      </w:r>
      <w:r w:rsidR="00597FA5">
        <w:rPr>
          <w:i/>
          <w:iCs/>
          <w:noProof/>
          <w:sz w:val="24"/>
          <w:szCs w:val="24"/>
        </w:rPr>
        <w:t>J D</w:t>
      </w:r>
      <w:r w:rsidRPr="00C75D21">
        <w:rPr>
          <w:i/>
          <w:iCs/>
          <w:noProof/>
          <w:sz w:val="24"/>
          <w:szCs w:val="24"/>
        </w:rPr>
        <w:t>iabetes Sci Technol</w:t>
      </w:r>
      <w:r w:rsidRPr="00C75D21">
        <w:rPr>
          <w:noProof/>
          <w:sz w:val="24"/>
          <w:szCs w:val="24"/>
        </w:rPr>
        <w:t>. 2008;2(6)</w:t>
      </w:r>
      <w:r w:rsidR="007D29E5">
        <w:rPr>
          <w:noProof/>
          <w:sz w:val="24"/>
          <w:szCs w:val="24"/>
        </w:rPr>
        <w:t xml:space="preserve">:1139-1146.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39. </w:t>
      </w:r>
      <w:r w:rsidRPr="00C75D21">
        <w:rPr>
          <w:noProof/>
          <w:sz w:val="24"/>
          <w:szCs w:val="24"/>
        </w:rPr>
        <w:tab/>
        <w:t xml:space="preserve">Saggese G, Baroncelli G, Bertelloni S. Puberty and bone development. </w:t>
      </w:r>
      <w:r w:rsidRPr="00C75D21">
        <w:rPr>
          <w:i/>
          <w:iCs/>
          <w:noProof/>
          <w:sz w:val="24"/>
          <w:szCs w:val="24"/>
        </w:rPr>
        <w:t>Best Pract Res Clin Endocrinol Metab</w:t>
      </w:r>
      <w:r w:rsidRPr="00C75D21">
        <w:rPr>
          <w:noProof/>
          <w:sz w:val="24"/>
          <w:szCs w:val="24"/>
        </w:rPr>
        <w:t>. 2002;16(1):53-64.</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40. </w:t>
      </w:r>
      <w:r w:rsidRPr="00C75D21">
        <w:rPr>
          <w:noProof/>
          <w:sz w:val="24"/>
          <w:szCs w:val="24"/>
        </w:rPr>
        <w:tab/>
        <w:t xml:space="preserve">Burr D. Muscle strength, bone mass, and age-related bone loss. </w:t>
      </w:r>
      <w:r w:rsidRPr="00C75D21">
        <w:rPr>
          <w:i/>
          <w:iCs/>
          <w:noProof/>
          <w:sz w:val="24"/>
          <w:szCs w:val="24"/>
        </w:rPr>
        <w:t>J Bone Miner Res</w:t>
      </w:r>
      <w:r w:rsidRPr="00C75D21">
        <w:rPr>
          <w:noProof/>
          <w:sz w:val="24"/>
          <w:szCs w:val="24"/>
        </w:rPr>
        <w:t>. 1997;12(10):1547-1551.</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41. </w:t>
      </w:r>
      <w:r w:rsidRPr="00C75D21">
        <w:rPr>
          <w:noProof/>
          <w:sz w:val="24"/>
          <w:szCs w:val="24"/>
        </w:rPr>
        <w:tab/>
        <w:t xml:space="preserve">Rosen C. Primer on the metabolic bone diseases and disorders of mineral metabolism. 8th ed. </w:t>
      </w:r>
      <w:r w:rsidRPr="00C75D21">
        <w:rPr>
          <w:i/>
          <w:iCs/>
          <w:noProof/>
          <w:sz w:val="24"/>
          <w:szCs w:val="24"/>
        </w:rPr>
        <w:t>Am Soc Bone Miner Res John Wiley Sons Inc</w:t>
      </w:r>
      <w:r w:rsidRPr="00C75D21">
        <w:rPr>
          <w:noProof/>
          <w:sz w:val="24"/>
          <w:szCs w:val="24"/>
        </w:rPr>
        <w:t>. 2013:i-xxvi.</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42. </w:t>
      </w:r>
      <w:r w:rsidRPr="00C75D21">
        <w:rPr>
          <w:noProof/>
          <w:sz w:val="24"/>
          <w:szCs w:val="24"/>
        </w:rPr>
        <w:tab/>
        <w:t xml:space="preserve">Callewaert F, Sinnesael M, Gielen E, Boonen S, Vanderschueren D. Skeletal sexual dimorphism: Relative contribution of sex steroids, GH-IGF1, and mechanical loading. </w:t>
      </w:r>
      <w:r w:rsidRPr="00C75D21">
        <w:rPr>
          <w:i/>
          <w:iCs/>
          <w:noProof/>
          <w:sz w:val="24"/>
          <w:szCs w:val="24"/>
        </w:rPr>
        <w:t>J Endocrinol</w:t>
      </w:r>
      <w:r w:rsidRPr="00C75D21">
        <w:rPr>
          <w:noProof/>
          <w:sz w:val="24"/>
          <w:szCs w:val="24"/>
        </w:rPr>
        <w:t>. 2010;207(2):1</w:t>
      </w:r>
      <w:r w:rsidR="007D29E5">
        <w:rPr>
          <w:noProof/>
          <w:sz w:val="24"/>
          <w:szCs w:val="24"/>
        </w:rPr>
        <w:t xml:space="preserve">27-134.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43. </w:t>
      </w:r>
      <w:r w:rsidRPr="00C75D21">
        <w:rPr>
          <w:noProof/>
          <w:sz w:val="24"/>
          <w:szCs w:val="24"/>
        </w:rPr>
        <w:tab/>
        <w:t xml:space="preserve">Van den Noortgate W, Lopez-Lopez J, Marin-Martinez F, Sanchez-Meca J. Meta-analysis of multiple outcomes: a multilevel approach. </w:t>
      </w:r>
      <w:r w:rsidRPr="00C75D21">
        <w:rPr>
          <w:i/>
          <w:iCs/>
          <w:noProof/>
          <w:sz w:val="24"/>
          <w:szCs w:val="24"/>
        </w:rPr>
        <w:t>Behav Res methods</w:t>
      </w:r>
      <w:r w:rsidRPr="00C75D21">
        <w:rPr>
          <w:noProof/>
          <w:sz w:val="24"/>
          <w:szCs w:val="24"/>
        </w:rPr>
        <w:t>. 2015;47(4):1274-1294.</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44. </w:t>
      </w:r>
      <w:r w:rsidRPr="00C75D21">
        <w:rPr>
          <w:noProof/>
          <w:sz w:val="24"/>
          <w:szCs w:val="24"/>
        </w:rPr>
        <w:tab/>
        <w:t xml:space="preserve">Viechtbauer W. Conducting meta-analyses in R with the metaphor package. </w:t>
      </w:r>
      <w:r w:rsidRPr="00C75D21">
        <w:rPr>
          <w:i/>
          <w:iCs/>
          <w:noProof/>
          <w:sz w:val="24"/>
          <w:szCs w:val="24"/>
        </w:rPr>
        <w:t xml:space="preserve">J Stat </w:t>
      </w:r>
      <w:r w:rsidRPr="00C75D21">
        <w:rPr>
          <w:i/>
          <w:iCs/>
          <w:noProof/>
          <w:sz w:val="24"/>
          <w:szCs w:val="24"/>
        </w:rPr>
        <w:lastRenderedPageBreak/>
        <w:t>Softw</w:t>
      </w:r>
      <w:r w:rsidRPr="00C75D21">
        <w:rPr>
          <w:noProof/>
          <w:sz w:val="24"/>
          <w:szCs w:val="24"/>
        </w:rPr>
        <w:t>. 2010;36(3):1-48.</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45. </w:t>
      </w:r>
      <w:r w:rsidRPr="00C75D21">
        <w:rPr>
          <w:noProof/>
          <w:sz w:val="24"/>
          <w:szCs w:val="24"/>
        </w:rPr>
        <w:tab/>
        <w:t xml:space="preserve">Abou Samra R, Baba NH, Torbay N, Dib L, Fuleihan GEH. High plasma leptin is not associated with higher bone mineral density in insulin-resistant premenopausal obese women. </w:t>
      </w:r>
      <w:r w:rsidRPr="00C75D21">
        <w:rPr>
          <w:i/>
          <w:iCs/>
          <w:noProof/>
          <w:sz w:val="24"/>
          <w:szCs w:val="24"/>
        </w:rPr>
        <w:t>J Clin Endocrinol Metab</w:t>
      </w:r>
      <w:r w:rsidRPr="00C75D21">
        <w:rPr>
          <w:noProof/>
          <w:sz w:val="24"/>
          <w:szCs w:val="24"/>
        </w:rPr>
        <w:t>. 2005;90(5):2588</w:t>
      </w:r>
      <w:r w:rsidR="007D29E5">
        <w:rPr>
          <w:noProof/>
          <w:sz w:val="24"/>
          <w:szCs w:val="24"/>
        </w:rPr>
        <w:t xml:space="preserve">-2594.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46. </w:t>
      </w:r>
      <w:r w:rsidRPr="00C75D21">
        <w:rPr>
          <w:noProof/>
          <w:sz w:val="24"/>
          <w:szCs w:val="24"/>
        </w:rPr>
        <w:tab/>
        <w:t xml:space="preserve">Aguirre L, Napoli N, Waters D, Qualls C, Villareal DT, Armamento-Villareal R. Increasing adiposity is associated with higher adipokine levels and lower bone mineral density in obese older adults. </w:t>
      </w:r>
      <w:r w:rsidRPr="00C75D21">
        <w:rPr>
          <w:i/>
          <w:iCs/>
          <w:noProof/>
          <w:sz w:val="24"/>
          <w:szCs w:val="24"/>
        </w:rPr>
        <w:t>J Clin Endocrinol Metab</w:t>
      </w:r>
      <w:r w:rsidRPr="00C75D21">
        <w:rPr>
          <w:noProof/>
          <w:sz w:val="24"/>
          <w:szCs w:val="24"/>
        </w:rPr>
        <w:t>. 2014;99(9):3290</w:t>
      </w:r>
      <w:r w:rsidR="007D29E5">
        <w:rPr>
          <w:noProof/>
          <w:sz w:val="24"/>
          <w:szCs w:val="24"/>
        </w:rPr>
        <w:t>-3297.</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47. </w:t>
      </w:r>
      <w:r w:rsidRPr="00C75D21">
        <w:rPr>
          <w:noProof/>
          <w:sz w:val="24"/>
          <w:szCs w:val="24"/>
        </w:rPr>
        <w:tab/>
        <w:t xml:space="preserve">Ballard JE, Cooper CM, Bone MA, Saade G, Holiday DB. Bone health in immigrant hispanic women living in texas. </w:t>
      </w:r>
      <w:r w:rsidRPr="00C75D21">
        <w:rPr>
          <w:i/>
          <w:iCs/>
          <w:noProof/>
          <w:sz w:val="24"/>
          <w:szCs w:val="24"/>
        </w:rPr>
        <w:t>J Community Health</w:t>
      </w:r>
      <w:r w:rsidRPr="00C75D21">
        <w:rPr>
          <w:noProof/>
          <w:sz w:val="24"/>
          <w:szCs w:val="24"/>
        </w:rPr>
        <w:t>. 2010;35(5):453-463</w:t>
      </w:r>
      <w:r w:rsidR="007D29E5">
        <w:rPr>
          <w:noProof/>
          <w:sz w:val="24"/>
          <w:szCs w:val="24"/>
        </w:rPr>
        <w:t xml:space="preserve">.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48. </w:t>
      </w:r>
      <w:r w:rsidRPr="00C75D21">
        <w:rPr>
          <w:noProof/>
          <w:sz w:val="24"/>
          <w:szCs w:val="24"/>
        </w:rPr>
        <w:tab/>
        <w:t xml:space="preserve">Boyanov M. Body fat, lean mass and bone density of the spine and forearm in women. </w:t>
      </w:r>
      <w:r w:rsidRPr="00C75D21">
        <w:rPr>
          <w:i/>
          <w:iCs/>
          <w:noProof/>
          <w:sz w:val="24"/>
          <w:szCs w:val="24"/>
        </w:rPr>
        <w:t>Open Med</w:t>
      </w:r>
      <w:r w:rsidRPr="00C75D21">
        <w:rPr>
          <w:noProof/>
          <w:sz w:val="24"/>
          <w:szCs w:val="24"/>
        </w:rPr>
        <w:t>. 2014;9(1)</w:t>
      </w:r>
      <w:r w:rsidR="007D29E5">
        <w:rPr>
          <w:noProof/>
          <w:sz w:val="24"/>
          <w:szCs w:val="24"/>
        </w:rPr>
        <w:t xml:space="preserve">. </w:t>
      </w:r>
    </w:p>
    <w:p w:rsidR="00C75D21" w:rsidRPr="0009247E" w:rsidRDefault="00C75D21" w:rsidP="00C75D21">
      <w:pPr>
        <w:widowControl w:val="0"/>
        <w:autoSpaceDE w:val="0"/>
        <w:autoSpaceDN w:val="0"/>
        <w:adjustRightInd w:val="0"/>
        <w:spacing w:line="360" w:lineRule="auto"/>
        <w:ind w:left="640" w:hanging="640"/>
        <w:rPr>
          <w:noProof/>
          <w:sz w:val="24"/>
          <w:szCs w:val="24"/>
          <w:lang w:val="pt-BR"/>
        </w:rPr>
      </w:pPr>
      <w:r w:rsidRPr="00C75D21">
        <w:rPr>
          <w:noProof/>
          <w:sz w:val="24"/>
          <w:szCs w:val="24"/>
        </w:rPr>
        <w:t xml:space="preserve">49. </w:t>
      </w:r>
      <w:r w:rsidRPr="00C75D21">
        <w:rPr>
          <w:noProof/>
          <w:sz w:val="24"/>
          <w:szCs w:val="24"/>
        </w:rPr>
        <w:tab/>
        <w:t xml:space="preserve">Campos RMS, Lazaretti-Castro M, Mello MT De, et al. Influence of visceral and subcutaneous fat in bone mineral density of obese adolescents. </w:t>
      </w:r>
      <w:r w:rsidRPr="0009247E">
        <w:rPr>
          <w:i/>
          <w:iCs/>
          <w:noProof/>
          <w:sz w:val="24"/>
          <w:szCs w:val="24"/>
          <w:lang w:val="pt-BR"/>
        </w:rPr>
        <w:t>Arq Bras Endocrinol Metabol</w:t>
      </w:r>
      <w:r w:rsidR="007D29E5" w:rsidRPr="0009247E">
        <w:rPr>
          <w:noProof/>
          <w:sz w:val="24"/>
          <w:szCs w:val="24"/>
          <w:lang w:val="pt-BR"/>
        </w:rPr>
        <w:t xml:space="preserve">. 2012;56(1):12-18. </w:t>
      </w:r>
    </w:p>
    <w:p w:rsidR="00C75D21" w:rsidRPr="0009247E" w:rsidRDefault="00C75D21" w:rsidP="00C75D21">
      <w:pPr>
        <w:widowControl w:val="0"/>
        <w:autoSpaceDE w:val="0"/>
        <w:autoSpaceDN w:val="0"/>
        <w:adjustRightInd w:val="0"/>
        <w:spacing w:line="360" w:lineRule="auto"/>
        <w:ind w:left="640" w:hanging="640"/>
        <w:rPr>
          <w:noProof/>
          <w:sz w:val="24"/>
          <w:szCs w:val="24"/>
          <w:lang w:val="pt-BR"/>
        </w:rPr>
      </w:pPr>
      <w:r w:rsidRPr="0009247E">
        <w:rPr>
          <w:noProof/>
          <w:sz w:val="24"/>
          <w:szCs w:val="24"/>
          <w:lang w:val="pt-BR"/>
        </w:rPr>
        <w:t xml:space="preserve">50. </w:t>
      </w:r>
      <w:r w:rsidRPr="0009247E">
        <w:rPr>
          <w:noProof/>
          <w:sz w:val="24"/>
          <w:szCs w:val="24"/>
          <w:lang w:val="pt-BR"/>
        </w:rPr>
        <w:tab/>
        <w:t xml:space="preserve">Do Prado WL, De Piano A, Lazaretti-Castro M, et al. </w:t>
      </w:r>
      <w:r w:rsidRPr="00C75D21">
        <w:rPr>
          <w:noProof/>
          <w:sz w:val="24"/>
          <w:szCs w:val="24"/>
        </w:rPr>
        <w:t xml:space="preserve">Relationship between bone mineral density, leptin and insulin concentration in Brazilian obese adolescents. </w:t>
      </w:r>
      <w:r w:rsidRPr="0009247E">
        <w:rPr>
          <w:i/>
          <w:iCs/>
          <w:noProof/>
          <w:sz w:val="24"/>
          <w:szCs w:val="24"/>
          <w:lang w:val="pt-BR"/>
        </w:rPr>
        <w:t>J Bone Miner Metab</w:t>
      </w:r>
      <w:r w:rsidRPr="0009247E">
        <w:rPr>
          <w:noProof/>
          <w:sz w:val="24"/>
          <w:szCs w:val="24"/>
          <w:lang w:val="pt-BR"/>
        </w:rPr>
        <w:t>. 2009;27(5):613-619</w:t>
      </w:r>
      <w:r w:rsidR="007D29E5" w:rsidRPr="0009247E">
        <w:rPr>
          <w:noProof/>
          <w:sz w:val="24"/>
          <w:szCs w:val="24"/>
          <w:lang w:val="pt-BR"/>
        </w:rPr>
        <w:t xml:space="preserve">.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09247E">
        <w:rPr>
          <w:noProof/>
          <w:sz w:val="24"/>
          <w:szCs w:val="24"/>
          <w:lang w:val="pt-BR"/>
        </w:rPr>
        <w:t xml:space="preserve">51. </w:t>
      </w:r>
      <w:r w:rsidRPr="0009247E">
        <w:rPr>
          <w:noProof/>
          <w:sz w:val="24"/>
          <w:szCs w:val="24"/>
          <w:lang w:val="pt-BR"/>
        </w:rPr>
        <w:tab/>
        <w:t xml:space="preserve">Gomez J, Vilarrasa N, Masdevall C, et al. </w:t>
      </w:r>
      <w:r w:rsidRPr="00C75D21">
        <w:rPr>
          <w:noProof/>
          <w:sz w:val="24"/>
          <w:szCs w:val="24"/>
        </w:rPr>
        <w:t xml:space="preserve">Regulation of bone mineral density in morbidly obese women: A cross-sectional study in two cohorts before and after bypass surgery. </w:t>
      </w:r>
      <w:r w:rsidRPr="00C75D21">
        <w:rPr>
          <w:i/>
          <w:iCs/>
          <w:noProof/>
          <w:sz w:val="24"/>
          <w:szCs w:val="24"/>
        </w:rPr>
        <w:t>Obes Surg</w:t>
      </w:r>
      <w:r w:rsidRPr="00C75D21">
        <w:rPr>
          <w:noProof/>
          <w:sz w:val="24"/>
          <w:szCs w:val="24"/>
        </w:rPr>
        <w:t>. 2009;19(3):345-350</w:t>
      </w:r>
      <w:r w:rsidR="007D29E5">
        <w:rPr>
          <w:noProof/>
          <w:sz w:val="24"/>
          <w:szCs w:val="24"/>
        </w:rPr>
        <w:t xml:space="preserve">.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52. </w:t>
      </w:r>
      <w:r w:rsidRPr="00C75D21">
        <w:rPr>
          <w:noProof/>
          <w:sz w:val="24"/>
          <w:szCs w:val="24"/>
        </w:rPr>
        <w:tab/>
        <w:t xml:space="preserve">Hawamdeh ZM, Sheikh-Ali RF, AlSharif A, et al. The influence of aging on the association between adiposity and bone mineral density in jordanian postmenopausal women. </w:t>
      </w:r>
      <w:r w:rsidRPr="00C75D21">
        <w:rPr>
          <w:i/>
          <w:iCs/>
          <w:noProof/>
          <w:sz w:val="24"/>
          <w:szCs w:val="24"/>
        </w:rPr>
        <w:t>J Clin Densitom</w:t>
      </w:r>
      <w:r w:rsidRPr="00C75D21">
        <w:rPr>
          <w:noProof/>
          <w:sz w:val="24"/>
          <w:szCs w:val="24"/>
        </w:rPr>
        <w:t>. 2014;17(1):143-149.</w:t>
      </w:r>
      <w:r w:rsidR="007D29E5">
        <w:rPr>
          <w:noProof/>
          <w:sz w:val="24"/>
          <w:szCs w:val="24"/>
        </w:rPr>
        <w:t xml:space="preserve"> </w:t>
      </w:r>
    </w:p>
    <w:p w:rsidR="00C75D21" w:rsidRPr="0009247E" w:rsidRDefault="00C75D21" w:rsidP="00C75D21">
      <w:pPr>
        <w:widowControl w:val="0"/>
        <w:autoSpaceDE w:val="0"/>
        <w:autoSpaceDN w:val="0"/>
        <w:adjustRightInd w:val="0"/>
        <w:spacing w:line="360" w:lineRule="auto"/>
        <w:ind w:left="640" w:hanging="640"/>
        <w:rPr>
          <w:noProof/>
          <w:sz w:val="24"/>
          <w:szCs w:val="24"/>
          <w:lang w:val="pt-BR"/>
        </w:rPr>
      </w:pPr>
      <w:r w:rsidRPr="00C75D21">
        <w:rPr>
          <w:noProof/>
          <w:sz w:val="24"/>
          <w:szCs w:val="24"/>
        </w:rPr>
        <w:t xml:space="preserve">53. </w:t>
      </w:r>
      <w:r w:rsidRPr="00C75D21">
        <w:rPr>
          <w:noProof/>
          <w:sz w:val="24"/>
          <w:szCs w:val="24"/>
        </w:rPr>
        <w:tab/>
        <w:t xml:space="preserve">Ivuskans A, Lätt E, Mäestu J, et al. Bone mineral density in 11-13-year-old boys: Relative importance of the weight status and body composition factors. </w:t>
      </w:r>
      <w:r w:rsidRPr="0009247E">
        <w:rPr>
          <w:i/>
          <w:iCs/>
          <w:noProof/>
          <w:sz w:val="24"/>
          <w:szCs w:val="24"/>
          <w:lang w:val="pt-BR"/>
        </w:rPr>
        <w:t>Rheumatol Int</w:t>
      </w:r>
      <w:r w:rsidRPr="0009247E">
        <w:rPr>
          <w:noProof/>
          <w:sz w:val="24"/>
          <w:szCs w:val="24"/>
          <w:lang w:val="pt-BR"/>
        </w:rPr>
        <w:t>. 2013;33(7):1681-1687</w:t>
      </w:r>
      <w:r w:rsidR="007D29E5" w:rsidRPr="0009247E">
        <w:rPr>
          <w:noProof/>
          <w:sz w:val="24"/>
          <w:szCs w:val="24"/>
          <w:lang w:val="pt-BR"/>
        </w:rPr>
        <w:t>.</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09247E">
        <w:rPr>
          <w:noProof/>
          <w:sz w:val="24"/>
          <w:szCs w:val="24"/>
          <w:lang w:val="pt-BR"/>
        </w:rPr>
        <w:t xml:space="preserve">54. </w:t>
      </w:r>
      <w:r w:rsidRPr="0009247E">
        <w:rPr>
          <w:noProof/>
          <w:sz w:val="24"/>
          <w:szCs w:val="24"/>
          <w:lang w:val="pt-BR"/>
        </w:rPr>
        <w:tab/>
        <w:t xml:space="preserve">Júnior IFF, Cardoso JR, Christofaro DGD, Codogno JS, de Moraes ACF, Fernandes RA. </w:t>
      </w:r>
      <w:r w:rsidRPr="00C75D21">
        <w:rPr>
          <w:noProof/>
          <w:sz w:val="24"/>
          <w:szCs w:val="24"/>
        </w:rPr>
        <w:lastRenderedPageBreak/>
        <w:t xml:space="preserve">The relationship between visceral fat thickness and bone mineral density in sedentary obese children and adolescents. </w:t>
      </w:r>
      <w:r w:rsidRPr="00C75D21">
        <w:rPr>
          <w:i/>
          <w:iCs/>
          <w:noProof/>
          <w:sz w:val="24"/>
          <w:szCs w:val="24"/>
        </w:rPr>
        <w:t>BMC Pediatr</w:t>
      </w:r>
      <w:r w:rsidRPr="00C75D21">
        <w:rPr>
          <w:noProof/>
          <w:sz w:val="24"/>
          <w:szCs w:val="24"/>
        </w:rPr>
        <w:t>. 2013;13(MAY):</w:t>
      </w:r>
      <w:r w:rsidR="007D29E5">
        <w:rPr>
          <w:noProof/>
          <w:sz w:val="24"/>
          <w:szCs w:val="24"/>
        </w:rPr>
        <w:t xml:space="preserve">37.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55. </w:t>
      </w:r>
      <w:r w:rsidRPr="00C75D21">
        <w:rPr>
          <w:noProof/>
          <w:sz w:val="24"/>
          <w:szCs w:val="24"/>
        </w:rPr>
        <w:tab/>
        <w:t xml:space="preserve">Kang D, Liu Z, Wang Y, et al. Relationship of body composition with bone mineral density in northern Chinese men by body mass index levels. </w:t>
      </w:r>
      <w:r w:rsidRPr="00C75D21">
        <w:rPr>
          <w:i/>
          <w:iCs/>
          <w:noProof/>
          <w:sz w:val="24"/>
          <w:szCs w:val="24"/>
        </w:rPr>
        <w:t>J Endocrinol Invest</w:t>
      </w:r>
      <w:r w:rsidRPr="00C75D21">
        <w:rPr>
          <w:noProof/>
          <w:sz w:val="24"/>
          <w:szCs w:val="24"/>
        </w:rPr>
        <w:t>. 2014;37(4):359-367</w:t>
      </w:r>
      <w:r w:rsidR="007D29E5">
        <w:rPr>
          <w:noProof/>
          <w:sz w:val="24"/>
          <w:szCs w:val="24"/>
        </w:rPr>
        <w:t xml:space="preserve">.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56. </w:t>
      </w:r>
      <w:r w:rsidRPr="00C75D21">
        <w:rPr>
          <w:noProof/>
          <w:sz w:val="24"/>
          <w:szCs w:val="24"/>
        </w:rPr>
        <w:tab/>
        <w:t xml:space="preserve">Liu P, Hornbuckle L, Ilich J, Kim J, Panton L. Body composition and muscular strength as predictors of bone mineral density in African American women with metabolic syndrome. </w:t>
      </w:r>
      <w:r w:rsidRPr="00C75D21">
        <w:rPr>
          <w:i/>
          <w:iCs/>
          <w:noProof/>
          <w:sz w:val="24"/>
          <w:szCs w:val="24"/>
        </w:rPr>
        <w:t>Ethn Dis</w:t>
      </w:r>
      <w:r w:rsidRPr="00C75D21">
        <w:rPr>
          <w:noProof/>
          <w:sz w:val="24"/>
          <w:szCs w:val="24"/>
        </w:rPr>
        <w:t>. 2014;24(3):356-362.</w:t>
      </w:r>
    </w:p>
    <w:p w:rsidR="00C75D21" w:rsidRPr="0009247E" w:rsidRDefault="00C75D21" w:rsidP="00C75D21">
      <w:pPr>
        <w:widowControl w:val="0"/>
        <w:autoSpaceDE w:val="0"/>
        <w:autoSpaceDN w:val="0"/>
        <w:adjustRightInd w:val="0"/>
        <w:spacing w:line="360" w:lineRule="auto"/>
        <w:ind w:left="640" w:hanging="640"/>
        <w:rPr>
          <w:noProof/>
          <w:sz w:val="24"/>
          <w:szCs w:val="24"/>
          <w:lang w:val="pt-BR"/>
        </w:rPr>
      </w:pPr>
      <w:r w:rsidRPr="00C75D21">
        <w:rPr>
          <w:noProof/>
          <w:sz w:val="24"/>
          <w:szCs w:val="24"/>
        </w:rPr>
        <w:t xml:space="preserve">57. </w:t>
      </w:r>
      <w:r w:rsidRPr="00C75D21">
        <w:rPr>
          <w:noProof/>
          <w:sz w:val="24"/>
          <w:szCs w:val="24"/>
        </w:rPr>
        <w:tab/>
        <w:t>Morberg CM, Tetens</w:t>
      </w:r>
      <w:r w:rsidR="00597FA5">
        <w:rPr>
          <w:noProof/>
          <w:sz w:val="24"/>
          <w:szCs w:val="24"/>
        </w:rPr>
        <w:t xml:space="preserve"> I, Black E, et al. Leptin and bone mineral density: A cross-sectional study in obese and nonobese m</w:t>
      </w:r>
      <w:r w:rsidRPr="00C75D21">
        <w:rPr>
          <w:noProof/>
          <w:sz w:val="24"/>
          <w:szCs w:val="24"/>
        </w:rPr>
        <w:t xml:space="preserve">en. </w:t>
      </w:r>
      <w:r w:rsidRPr="0009247E">
        <w:rPr>
          <w:i/>
          <w:iCs/>
          <w:noProof/>
          <w:sz w:val="24"/>
          <w:szCs w:val="24"/>
          <w:lang w:val="pt-BR"/>
        </w:rPr>
        <w:t>J Clin Endocrinol Metab</w:t>
      </w:r>
      <w:r w:rsidRPr="0009247E">
        <w:rPr>
          <w:noProof/>
          <w:sz w:val="24"/>
          <w:szCs w:val="24"/>
          <w:lang w:val="pt-BR"/>
        </w:rPr>
        <w:t>. 2003;88(12):5795-5</w:t>
      </w:r>
      <w:r w:rsidR="0048202B" w:rsidRPr="0009247E">
        <w:rPr>
          <w:noProof/>
          <w:sz w:val="24"/>
          <w:szCs w:val="24"/>
          <w:lang w:val="pt-BR"/>
        </w:rPr>
        <w:t xml:space="preserve">800.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09247E">
        <w:rPr>
          <w:noProof/>
          <w:sz w:val="24"/>
          <w:szCs w:val="24"/>
          <w:lang w:val="pt-BR"/>
        </w:rPr>
        <w:t xml:space="preserve">58. </w:t>
      </w:r>
      <w:r w:rsidRPr="0009247E">
        <w:rPr>
          <w:noProof/>
          <w:sz w:val="24"/>
          <w:szCs w:val="24"/>
          <w:lang w:val="pt-BR"/>
        </w:rPr>
        <w:tab/>
        <w:t xml:space="preserve">Mosca LN, Goldberg TBL, da Silva VN, et al. </w:t>
      </w:r>
      <w:r w:rsidRPr="00C75D21">
        <w:rPr>
          <w:noProof/>
          <w:sz w:val="24"/>
          <w:szCs w:val="24"/>
        </w:rPr>
        <w:t xml:space="preserve">Excess body fat negatively affects bone mass in adolescents. </w:t>
      </w:r>
      <w:r w:rsidRPr="00C75D21">
        <w:rPr>
          <w:i/>
          <w:iCs/>
          <w:noProof/>
          <w:sz w:val="24"/>
          <w:szCs w:val="24"/>
        </w:rPr>
        <w:t>Nutrition</w:t>
      </w:r>
      <w:r w:rsidRPr="00C75D21">
        <w:rPr>
          <w:noProof/>
          <w:sz w:val="24"/>
          <w:szCs w:val="24"/>
        </w:rPr>
        <w:t>. 2014;30(7-8):847-852</w:t>
      </w:r>
      <w:r w:rsidR="0048202B">
        <w:rPr>
          <w:noProof/>
          <w:sz w:val="24"/>
          <w:szCs w:val="24"/>
        </w:rPr>
        <w:t xml:space="preserve">.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59. </w:t>
      </w:r>
      <w:r w:rsidRPr="00C75D21">
        <w:rPr>
          <w:noProof/>
          <w:sz w:val="24"/>
          <w:szCs w:val="24"/>
        </w:rPr>
        <w:tab/>
        <w:t xml:space="preserve">Moseley KF, Dobrosielski DA, Stewart KJ, De Beur SMJ, Sellmeyer DE. Lean mass and fat mass predict bone mineral density in middle-aged individuals with noninsulin-requiring type 2 diabetes mellitus. </w:t>
      </w:r>
      <w:r w:rsidRPr="00C75D21">
        <w:rPr>
          <w:i/>
          <w:iCs/>
          <w:noProof/>
          <w:sz w:val="24"/>
          <w:szCs w:val="24"/>
        </w:rPr>
        <w:t>Clin Endocrinol (Oxf)</w:t>
      </w:r>
      <w:r w:rsidR="0048202B">
        <w:rPr>
          <w:noProof/>
          <w:sz w:val="24"/>
          <w:szCs w:val="24"/>
        </w:rPr>
        <w:t xml:space="preserve">. 2011;74(5):565-571.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60. </w:t>
      </w:r>
      <w:r w:rsidRPr="00C75D21">
        <w:rPr>
          <w:noProof/>
          <w:sz w:val="24"/>
          <w:szCs w:val="24"/>
        </w:rPr>
        <w:tab/>
        <w:t xml:space="preserve">Remmel L, Tillmann V, Maestu </w:t>
      </w:r>
      <w:r w:rsidR="00597FA5">
        <w:rPr>
          <w:noProof/>
          <w:sz w:val="24"/>
          <w:szCs w:val="24"/>
        </w:rPr>
        <w:t>J, et al. Associations between bone mineral characteristics and serum levels of ghrelin and peptide YY in overweight a</w:t>
      </w:r>
      <w:r w:rsidRPr="00C75D21">
        <w:rPr>
          <w:noProof/>
          <w:sz w:val="24"/>
          <w:szCs w:val="24"/>
        </w:rPr>
        <w:t>d</w:t>
      </w:r>
      <w:r w:rsidR="00597FA5">
        <w:rPr>
          <w:noProof/>
          <w:sz w:val="24"/>
          <w:szCs w:val="24"/>
        </w:rPr>
        <w:t>olescent b</w:t>
      </w:r>
      <w:r w:rsidRPr="00C75D21">
        <w:rPr>
          <w:noProof/>
          <w:sz w:val="24"/>
          <w:szCs w:val="24"/>
        </w:rPr>
        <w:t xml:space="preserve">oys. </w:t>
      </w:r>
      <w:r w:rsidRPr="00C75D21">
        <w:rPr>
          <w:i/>
          <w:iCs/>
          <w:noProof/>
          <w:sz w:val="24"/>
          <w:szCs w:val="24"/>
        </w:rPr>
        <w:t>Horm Res Paediatr</w:t>
      </w:r>
      <w:r w:rsidRPr="00C75D21">
        <w:rPr>
          <w:noProof/>
          <w:sz w:val="24"/>
          <w:szCs w:val="24"/>
        </w:rPr>
        <w:t>. 2015;84(1):6-13.</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61. </w:t>
      </w:r>
      <w:r w:rsidRPr="00C75D21">
        <w:rPr>
          <w:noProof/>
          <w:sz w:val="24"/>
          <w:szCs w:val="24"/>
        </w:rPr>
        <w:tab/>
        <w:t xml:space="preserve">Kang DH, Guo LF, Guo T, et al. Association of body composition with bone mineral density in northern Chinese men by different criteria for obesity. </w:t>
      </w:r>
      <w:r w:rsidRPr="00C75D21">
        <w:rPr>
          <w:i/>
          <w:iCs/>
          <w:noProof/>
          <w:sz w:val="24"/>
          <w:szCs w:val="24"/>
        </w:rPr>
        <w:t>J Endocrinol Invest</w:t>
      </w:r>
      <w:r w:rsidRPr="00C75D21">
        <w:rPr>
          <w:noProof/>
          <w:sz w:val="24"/>
          <w:szCs w:val="24"/>
        </w:rPr>
        <w:t>. 2015;38(3):323-331</w:t>
      </w:r>
      <w:r w:rsidR="0048202B">
        <w:rPr>
          <w:noProof/>
          <w:sz w:val="24"/>
          <w:szCs w:val="24"/>
        </w:rPr>
        <w:t xml:space="preserve">.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62. </w:t>
      </w:r>
      <w:r w:rsidRPr="00C75D21">
        <w:rPr>
          <w:noProof/>
          <w:sz w:val="24"/>
          <w:szCs w:val="24"/>
        </w:rPr>
        <w:tab/>
        <w:t xml:space="preserve">Reid I, Legge M, Stapleton J, Evans M, Grey A. Regular exercise dissociates fat mass and bone density in premenopausal women. </w:t>
      </w:r>
      <w:r w:rsidRPr="00C75D21">
        <w:rPr>
          <w:i/>
          <w:iCs/>
          <w:noProof/>
          <w:sz w:val="24"/>
          <w:szCs w:val="24"/>
        </w:rPr>
        <w:t>J Clin Endocrinol Metab</w:t>
      </w:r>
      <w:r w:rsidRPr="00C75D21">
        <w:rPr>
          <w:noProof/>
          <w:sz w:val="24"/>
          <w:szCs w:val="24"/>
        </w:rPr>
        <w:t>. 1995;80(6):1764-1768.</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63. </w:t>
      </w:r>
      <w:r w:rsidRPr="00C75D21">
        <w:rPr>
          <w:noProof/>
          <w:sz w:val="24"/>
          <w:szCs w:val="24"/>
        </w:rPr>
        <w:tab/>
        <w:t xml:space="preserve">Liu PY, Ilich JZ, Brummel-Smith K, Ghosh S. New insight into fat, muscle and bone relationship in women: Determining the threshold at which body fat assumes </w:t>
      </w:r>
      <w:r w:rsidRPr="00C75D21">
        <w:rPr>
          <w:noProof/>
          <w:sz w:val="24"/>
          <w:szCs w:val="24"/>
        </w:rPr>
        <w:lastRenderedPageBreak/>
        <w:t xml:space="preserve">negative relationship with bone mineral density. </w:t>
      </w:r>
      <w:r w:rsidRPr="00C75D21">
        <w:rPr>
          <w:i/>
          <w:iCs/>
          <w:noProof/>
          <w:sz w:val="24"/>
          <w:szCs w:val="24"/>
        </w:rPr>
        <w:t>Int J Prev Med</w:t>
      </w:r>
      <w:r w:rsidRPr="00C75D21">
        <w:rPr>
          <w:noProof/>
          <w:sz w:val="24"/>
          <w:szCs w:val="24"/>
        </w:rPr>
        <w:t>. 2014;5(11):1452-1463.</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64. </w:t>
      </w:r>
      <w:r w:rsidRPr="00C75D21">
        <w:rPr>
          <w:noProof/>
          <w:sz w:val="24"/>
          <w:szCs w:val="24"/>
        </w:rPr>
        <w:tab/>
        <w:t xml:space="preserve">Maimoun L, Mura T, Leprieur E, Avignon A, Mariano-Goulart D, Sultan A. Impact of obesity on bone mass throughout adult life: Influence of gender and severity of obesity. </w:t>
      </w:r>
      <w:r w:rsidRPr="00C75D21">
        <w:rPr>
          <w:i/>
          <w:iCs/>
          <w:noProof/>
          <w:sz w:val="24"/>
          <w:szCs w:val="24"/>
        </w:rPr>
        <w:t>Bone</w:t>
      </w:r>
      <w:r w:rsidRPr="00C75D21">
        <w:rPr>
          <w:noProof/>
          <w:sz w:val="24"/>
          <w:szCs w:val="24"/>
        </w:rPr>
        <w:t>. 2016;90:23-30.</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65. </w:t>
      </w:r>
      <w:r w:rsidRPr="00C75D21">
        <w:rPr>
          <w:noProof/>
          <w:sz w:val="24"/>
          <w:szCs w:val="24"/>
        </w:rPr>
        <w:tab/>
        <w:t xml:space="preserve">Lloyd J, Alley D, Hochberg M, et al. Changes in bone mineral density over time by body mass index in the health ABC study. </w:t>
      </w:r>
      <w:r w:rsidRPr="00C75D21">
        <w:rPr>
          <w:i/>
          <w:iCs/>
          <w:noProof/>
          <w:sz w:val="24"/>
          <w:szCs w:val="24"/>
        </w:rPr>
        <w:t>Osteoporos Int</w:t>
      </w:r>
      <w:r w:rsidRPr="00C75D21">
        <w:rPr>
          <w:noProof/>
          <w:sz w:val="24"/>
          <w:szCs w:val="24"/>
        </w:rPr>
        <w:t>. 2016;27(6):2109-2116.</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66. </w:t>
      </w:r>
      <w:r w:rsidRPr="00C75D21">
        <w:rPr>
          <w:noProof/>
          <w:sz w:val="24"/>
          <w:szCs w:val="24"/>
        </w:rPr>
        <w:tab/>
        <w:t>Liu Y hua, Xu Y, We</w:t>
      </w:r>
      <w:r w:rsidR="00597FA5">
        <w:rPr>
          <w:noProof/>
          <w:sz w:val="24"/>
          <w:szCs w:val="24"/>
        </w:rPr>
        <w:t>n Y bin, et al. Association of weight-adjusted body fat and fat distribution with bone mineral density in middle-aged Chinese adults: A cross-sectional s</w:t>
      </w:r>
      <w:r w:rsidRPr="00C75D21">
        <w:rPr>
          <w:noProof/>
          <w:sz w:val="24"/>
          <w:szCs w:val="24"/>
        </w:rPr>
        <w:t xml:space="preserve">tudy. </w:t>
      </w:r>
      <w:r w:rsidRPr="00C75D21">
        <w:rPr>
          <w:i/>
          <w:iCs/>
          <w:noProof/>
          <w:sz w:val="24"/>
          <w:szCs w:val="24"/>
        </w:rPr>
        <w:t>PLoS One</w:t>
      </w:r>
      <w:r w:rsidR="0048202B">
        <w:rPr>
          <w:noProof/>
          <w:sz w:val="24"/>
          <w:szCs w:val="24"/>
        </w:rPr>
        <w:t xml:space="preserve">. 2013;8(5).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67. </w:t>
      </w:r>
      <w:r w:rsidRPr="00C75D21">
        <w:rPr>
          <w:noProof/>
          <w:sz w:val="24"/>
          <w:szCs w:val="24"/>
        </w:rPr>
        <w:tab/>
        <w:t xml:space="preserve">Zhao LJ, Liu YJ, Liu PY, Hamilton J, Recker RR, Deng HW. Relationship of obesity with osteoporosis. </w:t>
      </w:r>
      <w:r w:rsidRPr="00C75D21">
        <w:rPr>
          <w:i/>
          <w:iCs/>
          <w:noProof/>
          <w:sz w:val="24"/>
          <w:szCs w:val="24"/>
        </w:rPr>
        <w:t>J Clin Endocrinol Metab</w:t>
      </w:r>
      <w:r w:rsidRPr="00C75D21">
        <w:rPr>
          <w:noProof/>
          <w:sz w:val="24"/>
          <w:szCs w:val="24"/>
        </w:rPr>
        <w:t>. 2007;92(5):1640</w:t>
      </w:r>
      <w:r w:rsidR="0048202B">
        <w:rPr>
          <w:noProof/>
          <w:sz w:val="24"/>
          <w:szCs w:val="24"/>
        </w:rPr>
        <w:t xml:space="preserve">-1646.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68. </w:t>
      </w:r>
      <w:r w:rsidRPr="00C75D21">
        <w:rPr>
          <w:noProof/>
          <w:sz w:val="24"/>
          <w:szCs w:val="24"/>
        </w:rPr>
        <w:tab/>
        <w:t xml:space="preserve">Kim JH, Choi HJ, Kim MJ, Shin CS, Cho NH. Fat mass is negatively associated with bone mineral content in Koreans. </w:t>
      </w:r>
      <w:r w:rsidRPr="00C75D21">
        <w:rPr>
          <w:i/>
          <w:iCs/>
          <w:noProof/>
          <w:sz w:val="24"/>
          <w:szCs w:val="24"/>
        </w:rPr>
        <w:t>Osteoporos Int</w:t>
      </w:r>
      <w:r w:rsidRPr="00C75D21">
        <w:rPr>
          <w:noProof/>
          <w:sz w:val="24"/>
          <w:szCs w:val="24"/>
        </w:rPr>
        <w:t>. 2012;23(7):2009-2016</w:t>
      </w:r>
      <w:r w:rsidR="0048202B">
        <w:rPr>
          <w:noProof/>
          <w:sz w:val="24"/>
          <w:szCs w:val="24"/>
        </w:rPr>
        <w:t xml:space="preserve">.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69. </w:t>
      </w:r>
      <w:r w:rsidRPr="00C75D21">
        <w:rPr>
          <w:noProof/>
          <w:sz w:val="24"/>
          <w:szCs w:val="24"/>
        </w:rPr>
        <w:tab/>
        <w:t xml:space="preserve">Reid I. Fat and bone. </w:t>
      </w:r>
      <w:r w:rsidRPr="00C75D21">
        <w:rPr>
          <w:i/>
          <w:iCs/>
          <w:noProof/>
          <w:sz w:val="24"/>
          <w:szCs w:val="24"/>
        </w:rPr>
        <w:t>Arch Biochem Biophys</w:t>
      </w:r>
      <w:r w:rsidRPr="00C75D21">
        <w:rPr>
          <w:noProof/>
          <w:sz w:val="24"/>
          <w:szCs w:val="24"/>
        </w:rPr>
        <w:t>. 2010;503(1):20-27</w:t>
      </w:r>
      <w:r w:rsidR="0048202B">
        <w:rPr>
          <w:noProof/>
          <w:sz w:val="24"/>
          <w:szCs w:val="24"/>
        </w:rPr>
        <w:t xml:space="preserve">.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70. </w:t>
      </w:r>
      <w:r w:rsidRPr="00C75D21">
        <w:rPr>
          <w:noProof/>
          <w:sz w:val="24"/>
          <w:szCs w:val="24"/>
        </w:rPr>
        <w:tab/>
        <w:t xml:space="preserve">Ahn S, Lee S, Kim H, Kim B, Koh J. Different relationships between body compositions and bone mineral density according to gender and age in Korean populations (KNHANES 2008-2010). </w:t>
      </w:r>
      <w:r w:rsidRPr="00C75D21">
        <w:rPr>
          <w:i/>
          <w:iCs/>
          <w:noProof/>
          <w:sz w:val="24"/>
          <w:szCs w:val="24"/>
        </w:rPr>
        <w:t>J Clin Endocrinol Metab</w:t>
      </w:r>
      <w:r w:rsidRPr="00C75D21">
        <w:rPr>
          <w:noProof/>
          <w:sz w:val="24"/>
          <w:szCs w:val="24"/>
        </w:rPr>
        <w:t>. 2014;99(10):3811-3820.</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71. </w:t>
      </w:r>
      <w:r w:rsidRPr="00C75D21">
        <w:rPr>
          <w:noProof/>
          <w:sz w:val="24"/>
          <w:szCs w:val="24"/>
        </w:rPr>
        <w:tab/>
        <w:t xml:space="preserve">Arimatsu M, Kitano N, Inomoto T, Shono M, Futatsuka M. Correlation between forearm bone mineral density and body composition in Japanese females aged 18 – 40 years. </w:t>
      </w:r>
      <w:r w:rsidRPr="00C75D21">
        <w:rPr>
          <w:i/>
          <w:iCs/>
          <w:noProof/>
          <w:sz w:val="24"/>
          <w:szCs w:val="24"/>
        </w:rPr>
        <w:t>Environ Health Prev Med</w:t>
      </w:r>
      <w:r w:rsidRPr="00C75D21">
        <w:rPr>
          <w:noProof/>
          <w:sz w:val="24"/>
          <w:szCs w:val="24"/>
        </w:rPr>
        <w:t>. 2005;10(3):144-149.</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72. </w:t>
      </w:r>
      <w:r w:rsidRPr="00C75D21">
        <w:rPr>
          <w:noProof/>
          <w:sz w:val="24"/>
          <w:szCs w:val="24"/>
        </w:rPr>
        <w:tab/>
        <w:t xml:space="preserve">Ilich JZ, Kelly OJ, Inglis JE. Osteosarcopenic Obesity Syndrome: What Is It and How Can It Be Identified and Diagnosed? </w:t>
      </w:r>
      <w:r w:rsidRPr="00C75D21">
        <w:rPr>
          <w:i/>
          <w:iCs/>
          <w:noProof/>
          <w:sz w:val="24"/>
          <w:szCs w:val="24"/>
        </w:rPr>
        <w:t>Curr Gerontol Geriatr Res</w:t>
      </w:r>
      <w:r w:rsidR="0048202B">
        <w:rPr>
          <w:noProof/>
          <w:sz w:val="24"/>
          <w:szCs w:val="24"/>
        </w:rPr>
        <w:t>. 2016;7325973.</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73. </w:t>
      </w:r>
      <w:r w:rsidRPr="00C75D21">
        <w:rPr>
          <w:noProof/>
          <w:sz w:val="24"/>
          <w:szCs w:val="24"/>
        </w:rPr>
        <w:tab/>
        <w:t xml:space="preserve">Manolagas S, O’Brien C, Almeida M. The role of estrogen and androgen receptors in bone health and disease. </w:t>
      </w:r>
      <w:r w:rsidRPr="00C75D21">
        <w:rPr>
          <w:i/>
          <w:iCs/>
          <w:noProof/>
          <w:sz w:val="24"/>
          <w:szCs w:val="24"/>
        </w:rPr>
        <w:t>Nat Rev Endocrinol</w:t>
      </w:r>
      <w:r w:rsidRPr="00C75D21">
        <w:rPr>
          <w:noProof/>
          <w:sz w:val="24"/>
          <w:szCs w:val="24"/>
        </w:rPr>
        <w:t>. 2013;9(12):699-712.</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74. </w:t>
      </w:r>
      <w:r w:rsidRPr="00C75D21">
        <w:rPr>
          <w:noProof/>
          <w:sz w:val="24"/>
          <w:szCs w:val="24"/>
        </w:rPr>
        <w:tab/>
        <w:t xml:space="preserve">Nelson L, Bulun S. Estrogen production and action. </w:t>
      </w:r>
      <w:r w:rsidRPr="00C75D21">
        <w:rPr>
          <w:i/>
          <w:iCs/>
          <w:noProof/>
          <w:sz w:val="24"/>
          <w:szCs w:val="24"/>
        </w:rPr>
        <w:t>J Am Acad Dermatol</w:t>
      </w:r>
      <w:r w:rsidRPr="00C75D21">
        <w:rPr>
          <w:noProof/>
          <w:sz w:val="24"/>
          <w:szCs w:val="24"/>
        </w:rPr>
        <w:t>. 2001;45(3 Suppl):S116-24.</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lastRenderedPageBreak/>
        <w:t xml:space="preserve">75. </w:t>
      </w:r>
      <w:r w:rsidRPr="00C75D21">
        <w:rPr>
          <w:noProof/>
          <w:sz w:val="24"/>
          <w:szCs w:val="24"/>
        </w:rPr>
        <w:tab/>
        <w:t>Zhang P, Peterson M, Su GL, Wang SC. Visceral adiposity is negatively associated with bone dens</w:t>
      </w:r>
      <w:r w:rsidR="0048202B">
        <w:rPr>
          <w:noProof/>
          <w:sz w:val="24"/>
          <w:szCs w:val="24"/>
        </w:rPr>
        <w:t xml:space="preserve">ity and. 2015:337-343.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76. </w:t>
      </w:r>
      <w:r w:rsidRPr="00C75D21">
        <w:rPr>
          <w:noProof/>
          <w:sz w:val="24"/>
          <w:szCs w:val="24"/>
        </w:rPr>
        <w:tab/>
        <w:t xml:space="preserve">Sukumar D, Schlussel Y, Riedt C, Gordon C, Stahl T, Shapses S. Obesity alters cortical and trabecular bone density and geometry in women. </w:t>
      </w:r>
      <w:r w:rsidRPr="00C75D21">
        <w:rPr>
          <w:i/>
          <w:iCs/>
          <w:noProof/>
          <w:sz w:val="24"/>
          <w:szCs w:val="24"/>
        </w:rPr>
        <w:t>Osteoporos Int</w:t>
      </w:r>
      <w:r w:rsidRPr="00C75D21">
        <w:rPr>
          <w:noProof/>
          <w:sz w:val="24"/>
          <w:szCs w:val="24"/>
        </w:rPr>
        <w:t>. 2011;22(2):635-645.</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77. </w:t>
      </w:r>
      <w:r w:rsidRPr="00C75D21">
        <w:rPr>
          <w:noProof/>
          <w:sz w:val="24"/>
          <w:szCs w:val="24"/>
        </w:rPr>
        <w:tab/>
        <w:t xml:space="preserve">Plank L. Dual-energy X-ray absorptiometry and body composition. </w:t>
      </w:r>
      <w:r w:rsidRPr="00C75D21">
        <w:rPr>
          <w:i/>
          <w:iCs/>
          <w:noProof/>
          <w:sz w:val="24"/>
          <w:szCs w:val="24"/>
        </w:rPr>
        <w:t>Curr Opin Clin Nutr Metab Care</w:t>
      </w:r>
      <w:r w:rsidRPr="00C75D21">
        <w:rPr>
          <w:noProof/>
          <w:sz w:val="24"/>
          <w:szCs w:val="24"/>
        </w:rPr>
        <w:t>. 2005;8(3):305-309.</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78. </w:t>
      </w:r>
      <w:r w:rsidRPr="00C75D21">
        <w:rPr>
          <w:noProof/>
          <w:sz w:val="24"/>
          <w:szCs w:val="24"/>
        </w:rPr>
        <w:tab/>
        <w:t xml:space="preserve">Ackland T, Lohman T, Sundgot-Borgen J, et al. Current status of body composition assessment in sport. </w:t>
      </w:r>
      <w:r w:rsidRPr="00C75D21">
        <w:rPr>
          <w:i/>
          <w:iCs/>
          <w:noProof/>
          <w:sz w:val="24"/>
          <w:szCs w:val="24"/>
        </w:rPr>
        <w:t>Sport Med</w:t>
      </w:r>
      <w:r w:rsidR="0048202B">
        <w:rPr>
          <w:noProof/>
          <w:sz w:val="24"/>
          <w:szCs w:val="24"/>
        </w:rPr>
        <w:t xml:space="preserve">. 2012;42(3):227-249. </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79. </w:t>
      </w:r>
      <w:r w:rsidRPr="00C75D21">
        <w:rPr>
          <w:noProof/>
          <w:sz w:val="24"/>
          <w:szCs w:val="24"/>
        </w:rPr>
        <w:tab/>
        <w:t>Weiss E, Jordan R, Frese E, Alb</w:t>
      </w:r>
      <w:r w:rsidR="00597FA5">
        <w:rPr>
          <w:noProof/>
          <w:sz w:val="24"/>
          <w:szCs w:val="24"/>
        </w:rPr>
        <w:t>ert S, Villareal D. Effects of weight loss on lean mass, strength, bone, and aerobic c</w:t>
      </w:r>
      <w:r w:rsidRPr="00C75D21">
        <w:rPr>
          <w:noProof/>
          <w:sz w:val="24"/>
          <w:szCs w:val="24"/>
        </w:rPr>
        <w:t xml:space="preserve">apacity. </w:t>
      </w:r>
      <w:r w:rsidRPr="00C75D21">
        <w:rPr>
          <w:i/>
          <w:iCs/>
          <w:noProof/>
          <w:sz w:val="24"/>
          <w:szCs w:val="24"/>
        </w:rPr>
        <w:t>Med Sci Sports Exerc</w:t>
      </w:r>
      <w:r w:rsidRPr="00C75D21">
        <w:rPr>
          <w:noProof/>
          <w:sz w:val="24"/>
          <w:szCs w:val="24"/>
        </w:rPr>
        <w:t>. 2017;49(1):206-217.</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80. </w:t>
      </w:r>
      <w:r w:rsidRPr="00C75D21">
        <w:rPr>
          <w:noProof/>
          <w:sz w:val="24"/>
          <w:szCs w:val="24"/>
        </w:rPr>
        <w:tab/>
        <w:t xml:space="preserve">Ihle R, Loucks A. Dose-response relationships between energy availability and bone turnover in young exercising women. </w:t>
      </w:r>
      <w:r w:rsidRPr="00C75D21">
        <w:rPr>
          <w:i/>
          <w:iCs/>
          <w:noProof/>
          <w:sz w:val="24"/>
          <w:szCs w:val="24"/>
        </w:rPr>
        <w:t>J Bone Miner Res</w:t>
      </w:r>
      <w:r w:rsidRPr="00C75D21">
        <w:rPr>
          <w:noProof/>
          <w:sz w:val="24"/>
          <w:szCs w:val="24"/>
        </w:rPr>
        <w:t>. 2004;19(8):1231-1240.</w:t>
      </w:r>
    </w:p>
    <w:p w:rsidR="00C75D21" w:rsidRP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81. </w:t>
      </w:r>
      <w:r w:rsidRPr="00C75D21">
        <w:rPr>
          <w:noProof/>
          <w:sz w:val="24"/>
          <w:szCs w:val="24"/>
        </w:rPr>
        <w:tab/>
        <w:t xml:space="preserve">Phillips S, Van Loon L. Dietary protein for athletes: from requirements to optimum adaptation. </w:t>
      </w:r>
      <w:r w:rsidRPr="00C75D21">
        <w:rPr>
          <w:i/>
          <w:iCs/>
          <w:noProof/>
          <w:sz w:val="24"/>
          <w:szCs w:val="24"/>
        </w:rPr>
        <w:t>J Sports Sci</w:t>
      </w:r>
      <w:r w:rsidRPr="00C75D21">
        <w:rPr>
          <w:noProof/>
          <w:sz w:val="24"/>
          <w:szCs w:val="24"/>
        </w:rPr>
        <w:t>. 2011;29(Suppl 1):S29-38.</w:t>
      </w:r>
    </w:p>
    <w:p w:rsidR="00C75D21" w:rsidRDefault="00C75D21" w:rsidP="00C75D21">
      <w:pPr>
        <w:widowControl w:val="0"/>
        <w:autoSpaceDE w:val="0"/>
        <w:autoSpaceDN w:val="0"/>
        <w:adjustRightInd w:val="0"/>
        <w:spacing w:line="360" w:lineRule="auto"/>
        <w:ind w:left="640" w:hanging="640"/>
        <w:rPr>
          <w:noProof/>
          <w:sz w:val="24"/>
          <w:szCs w:val="24"/>
        </w:rPr>
      </w:pPr>
      <w:r w:rsidRPr="00C75D21">
        <w:rPr>
          <w:noProof/>
          <w:sz w:val="24"/>
          <w:szCs w:val="24"/>
        </w:rPr>
        <w:t xml:space="preserve">82. </w:t>
      </w:r>
      <w:r w:rsidRPr="00C75D21">
        <w:rPr>
          <w:noProof/>
          <w:sz w:val="24"/>
          <w:szCs w:val="24"/>
        </w:rPr>
        <w:tab/>
        <w:t xml:space="preserve">Josse A, Atkinson S, Tarnapolsky M, Phillips S. Diets higher in dairy foods and dietary protein support bone health during diet- and exercise-induced weight loss in overweight and obese premenopausal women. </w:t>
      </w:r>
      <w:r w:rsidRPr="00C75D21">
        <w:rPr>
          <w:i/>
          <w:iCs/>
          <w:noProof/>
          <w:sz w:val="24"/>
          <w:szCs w:val="24"/>
        </w:rPr>
        <w:t>J Clin Endocrinol Metab</w:t>
      </w:r>
      <w:r w:rsidRPr="00C75D21">
        <w:rPr>
          <w:noProof/>
          <w:sz w:val="24"/>
          <w:szCs w:val="24"/>
        </w:rPr>
        <w:t>. 2012;97(1):251-260.</w:t>
      </w:r>
      <w:bookmarkStart w:id="0" w:name="_GoBack"/>
      <w:bookmarkEnd w:id="0"/>
    </w:p>
    <w:p w:rsidR="0094778B" w:rsidRDefault="0094778B" w:rsidP="00C75D21">
      <w:pPr>
        <w:widowControl w:val="0"/>
        <w:autoSpaceDE w:val="0"/>
        <w:autoSpaceDN w:val="0"/>
        <w:adjustRightInd w:val="0"/>
        <w:spacing w:line="360" w:lineRule="auto"/>
        <w:ind w:left="640" w:hanging="640"/>
        <w:rPr>
          <w:noProof/>
          <w:sz w:val="24"/>
          <w:szCs w:val="24"/>
        </w:rPr>
      </w:pPr>
    </w:p>
    <w:p w:rsidR="0094778B" w:rsidRDefault="0094778B" w:rsidP="00C75D21">
      <w:pPr>
        <w:widowControl w:val="0"/>
        <w:autoSpaceDE w:val="0"/>
        <w:autoSpaceDN w:val="0"/>
        <w:adjustRightInd w:val="0"/>
        <w:spacing w:line="360" w:lineRule="auto"/>
        <w:ind w:left="640" w:hanging="640"/>
        <w:rPr>
          <w:noProof/>
          <w:sz w:val="24"/>
          <w:szCs w:val="24"/>
        </w:rPr>
      </w:pPr>
    </w:p>
    <w:p w:rsidR="0094778B" w:rsidRDefault="0094778B" w:rsidP="00C75D21">
      <w:pPr>
        <w:widowControl w:val="0"/>
        <w:autoSpaceDE w:val="0"/>
        <w:autoSpaceDN w:val="0"/>
        <w:adjustRightInd w:val="0"/>
        <w:spacing w:line="360" w:lineRule="auto"/>
        <w:ind w:left="640" w:hanging="640"/>
        <w:rPr>
          <w:noProof/>
          <w:sz w:val="24"/>
          <w:szCs w:val="24"/>
        </w:rPr>
      </w:pPr>
    </w:p>
    <w:p w:rsidR="0094778B" w:rsidRDefault="0094778B" w:rsidP="00C75D21">
      <w:pPr>
        <w:widowControl w:val="0"/>
        <w:autoSpaceDE w:val="0"/>
        <w:autoSpaceDN w:val="0"/>
        <w:adjustRightInd w:val="0"/>
        <w:spacing w:line="360" w:lineRule="auto"/>
        <w:ind w:left="640" w:hanging="640"/>
        <w:rPr>
          <w:noProof/>
          <w:sz w:val="24"/>
          <w:szCs w:val="24"/>
        </w:rPr>
      </w:pPr>
    </w:p>
    <w:p w:rsidR="0094778B" w:rsidRDefault="0094778B" w:rsidP="00C75D21">
      <w:pPr>
        <w:widowControl w:val="0"/>
        <w:autoSpaceDE w:val="0"/>
        <w:autoSpaceDN w:val="0"/>
        <w:adjustRightInd w:val="0"/>
        <w:spacing w:line="360" w:lineRule="auto"/>
        <w:ind w:left="640" w:hanging="640"/>
        <w:rPr>
          <w:noProof/>
          <w:sz w:val="24"/>
        </w:rPr>
      </w:pPr>
    </w:p>
    <w:p w:rsidR="00597FA5" w:rsidRPr="00C75D21" w:rsidRDefault="00597FA5" w:rsidP="00C75D21">
      <w:pPr>
        <w:widowControl w:val="0"/>
        <w:autoSpaceDE w:val="0"/>
        <w:autoSpaceDN w:val="0"/>
        <w:adjustRightInd w:val="0"/>
        <w:spacing w:line="360" w:lineRule="auto"/>
        <w:ind w:left="640" w:hanging="640"/>
        <w:rPr>
          <w:noProof/>
          <w:sz w:val="24"/>
        </w:rPr>
      </w:pPr>
    </w:p>
    <w:p w:rsidR="00BF4187" w:rsidRDefault="00156059" w:rsidP="000D6718">
      <w:pPr>
        <w:pStyle w:val="ListParagraph"/>
        <w:spacing w:line="360" w:lineRule="auto"/>
        <w:ind w:left="0"/>
        <w:jc w:val="both"/>
        <w:rPr>
          <w:sz w:val="24"/>
          <w:szCs w:val="24"/>
        </w:rPr>
      </w:pPr>
      <w:r>
        <w:rPr>
          <w:sz w:val="24"/>
          <w:szCs w:val="24"/>
        </w:rPr>
        <w:lastRenderedPageBreak/>
        <w:fldChar w:fldCharType="end"/>
      </w:r>
      <w:r w:rsidR="00BF4187" w:rsidRPr="00BF4187">
        <w:rPr>
          <w:b/>
          <w:sz w:val="24"/>
          <w:szCs w:val="24"/>
        </w:rPr>
        <w:t>Table 1:</w:t>
      </w:r>
      <w:r w:rsidR="00BF4187">
        <w:rPr>
          <w:sz w:val="24"/>
          <w:szCs w:val="24"/>
        </w:rPr>
        <w:t xml:space="preserve"> PICOS criteria for inclusion and exclusion of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3402"/>
        <w:gridCol w:w="4031"/>
      </w:tblGrid>
      <w:tr w:rsidR="00BF4187" w:rsidTr="00FA5289">
        <w:tc>
          <w:tcPr>
            <w:tcW w:w="1809" w:type="dxa"/>
            <w:tcBorders>
              <w:left w:val="nil"/>
              <w:bottom w:val="single" w:sz="4" w:space="0" w:color="auto"/>
              <w:right w:val="nil"/>
            </w:tcBorders>
            <w:shd w:val="clear" w:color="auto" w:fill="D9D9D9"/>
          </w:tcPr>
          <w:p w:rsidR="00BF4187" w:rsidRPr="00BF4187" w:rsidRDefault="00BF4187" w:rsidP="004C5442">
            <w:pPr>
              <w:rPr>
                <w:b/>
              </w:rPr>
            </w:pPr>
            <w:r w:rsidRPr="00BF4187">
              <w:rPr>
                <w:b/>
              </w:rPr>
              <w:t>Parameter</w:t>
            </w:r>
          </w:p>
        </w:tc>
        <w:tc>
          <w:tcPr>
            <w:tcW w:w="3402" w:type="dxa"/>
            <w:tcBorders>
              <w:left w:val="nil"/>
              <w:bottom w:val="single" w:sz="4" w:space="0" w:color="auto"/>
              <w:right w:val="nil"/>
            </w:tcBorders>
            <w:shd w:val="clear" w:color="auto" w:fill="D9D9D9"/>
          </w:tcPr>
          <w:p w:rsidR="00BF4187" w:rsidRPr="00BF4187" w:rsidRDefault="00BF4187" w:rsidP="004C5442">
            <w:pPr>
              <w:rPr>
                <w:b/>
              </w:rPr>
            </w:pPr>
            <w:r w:rsidRPr="00BF4187">
              <w:rPr>
                <w:b/>
              </w:rPr>
              <w:t>Inclusion</w:t>
            </w:r>
          </w:p>
        </w:tc>
        <w:tc>
          <w:tcPr>
            <w:tcW w:w="4031" w:type="dxa"/>
            <w:tcBorders>
              <w:left w:val="nil"/>
              <w:bottom w:val="single" w:sz="4" w:space="0" w:color="auto"/>
              <w:right w:val="nil"/>
            </w:tcBorders>
            <w:shd w:val="clear" w:color="auto" w:fill="D9D9D9"/>
          </w:tcPr>
          <w:p w:rsidR="00BF4187" w:rsidRPr="00BF4187" w:rsidRDefault="00BF4187" w:rsidP="004C5442">
            <w:pPr>
              <w:rPr>
                <w:b/>
              </w:rPr>
            </w:pPr>
            <w:r w:rsidRPr="00BF4187">
              <w:rPr>
                <w:b/>
              </w:rPr>
              <w:t>Exclusion</w:t>
            </w:r>
          </w:p>
        </w:tc>
      </w:tr>
      <w:tr w:rsidR="00BF4187" w:rsidTr="00C55AB0">
        <w:tc>
          <w:tcPr>
            <w:tcW w:w="1809" w:type="dxa"/>
            <w:tcBorders>
              <w:left w:val="nil"/>
              <w:bottom w:val="nil"/>
              <w:right w:val="nil"/>
            </w:tcBorders>
          </w:tcPr>
          <w:p w:rsidR="00BF4187" w:rsidRPr="00BF4187" w:rsidRDefault="00BF4187" w:rsidP="004C5442">
            <w:pPr>
              <w:rPr>
                <w:b/>
              </w:rPr>
            </w:pPr>
            <w:r w:rsidRPr="00BF4187">
              <w:rPr>
                <w:b/>
              </w:rPr>
              <w:t>Population</w:t>
            </w:r>
          </w:p>
        </w:tc>
        <w:tc>
          <w:tcPr>
            <w:tcW w:w="3402" w:type="dxa"/>
            <w:tcBorders>
              <w:left w:val="nil"/>
              <w:bottom w:val="nil"/>
              <w:right w:val="nil"/>
            </w:tcBorders>
          </w:tcPr>
          <w:p w:rsidR="00BF4187" w:rsidRDefault="00BF4187" w:rsidP="004C5442">
            <w:r>
              <w:t xml:space="preserve">Overweight or obese participants, including both sexes and all age-groups. </w:t>
            </w:r>
          </w:p>
        </w:tc>
        <w:tc>
          <w:tcPr>
            <w:tcW w:w="4031" w:type="dxa"/>
            <w:tcBorders>
              <w:left w:val="nil"/>
              <w:bottom w:val="nil"/>
              <w:right w:val="nil"/>
            </w:tcBorders>
          </w:tcPr>
          <w:p w:rsidR="00BF4187" w:rsidRDefault="00BF4187" w:rsidP="004C5442">
            <w:r>
              <w:t xml:space="preserve">Populations suffering medical conditions, or taking medications related to the development of secondary osteoporosis. Physically disabled populations. Athletes. </w:t>
            </w:r>
          </w:p>
        </w:tc>
      </w:tr>
      <w:tr w:rsidR="00BF4187" w:rsidTr="00C55AB0">
        <w:tc>
          <w:tcPr>
            <w:tcW w:w="1809" w:type="dxa"/>
            <w:tcBorders>
              <w:top w:val="nil"/>
              <w:left w:val="nil"/>
              <w:bottom w:val="nil"/>
              <w:right w:val="nil"/>
            </w:tcBorders>
          </w:tcPr>
          <w:p w:rsidR="00BF4187" w:rsidRPr="00BF4187" w:rsidRDefault="00BF4187" w:rsidP="004C5442">
            <w:pPr>
              <w:rPr>
                <w:b/>
              </w:rPr>
            </w:pPr>
            <w:r w:rsidRPr="00BF4187">
              <w:rPr>
                <w:b/>
              </w:rPr>
              <w:t>Intervention</w:t>
            </w:r>
          </w:p>
        </w:tc>
        <w:tc>
          <w:tcPr>
            <w:tcW w:w="7433" w:type="dxa"/>
            <w:gridSpan w:val="2"/>
            <w:tcBorders>
              <w:top w:val="nil"/>
              <w:left w:val="nil"/>
              <w:bottom w:val="nil"/>
              <w:right w:val="nil"/>
            </w:tcBorders>
          </w:tcPr>
          <w:p w:rsidR="00BF4187" w:rsidRDefault="00BF4187" w:rsidP="004C5442">
            <w:r>
              <w:t xml:space="preserve">This review was not based on the evaluation of any specific intervention, but only considered studies which evaluated the correlation between adiposity and bone in overweight or obese groups. </w:t>
            </w:r>
          </w:p>
        </w:tc>
      </w:tr>
      <w:tr w:rsidR="00BF4187" w:rsidTr="00C55AB0">
        <w:tc>
          <w:tcPr>
            <w:tcW w:w="1809" w:type="dxa"/>
            <w:tcBorders>
              <w:top w:val="nil"/>
              <w:left w:val="nil"/>
              <w:bottom w:val="nil"/>
              <w:right w:val="nil"/>
            </w:tcBorders>
          </w:tcPr>
          <w:p w:rsidR="00BF4187" w:rsidRPr="00BF4187" w:rsidRDefault="00BF4187" w:rsidP="004C5442">
            <w:pPr>
              <w:rPr>
                <w:b/>
              </w:rPr>
            </w:pPr>
            <w:r w:rsidRPr="00BF4187">
              <w:rPr>
                <w:b/>
              </w:rPr>
              <w:t xml:space="preserve">Comparator </w:t>
            </w:r>
          </w:p>
        </w:tc>
        <w:tc>
          <w:tcPr>
            <w:tcW w:w="7433" w:type="dxa"/>
            <w:gridSpan w:val="2"/>
            <w:tcBorders>
              <w:top w:val="nil"/>
              <w:left w:val="nil"/>
              <w:bottom w:val="nil"/>
              <w:right w:val="nil"/>
            </w:tcBorders>
          </w:tcPr>
          <w:p w:rsidR="00BF4187" w:rsidRDefault="00BF4187" w:rsidP="004C5442">
            <w:r>
              <w:t xml:space="preserve">No comparators were identified for this study. </w:t>
            </w:r>
          </w:p>
        </w:tc>
      </w:tr>
      <w:tr w:rsidR="00BF4187" w:rsidTr="00C55AB0">
        <w:tc>
          <w:tcPr>
            <w:tcW w:w="1809" w:type="dxa"/>
            <w:tcBorders>
              <w:top w:val="nil"/>
              <w:left w:val="nil"/>
              <w:bottom w:val="nil"/>
              <w:right w:val="nil"/>
            </w:tcBorders>
          </w:tcPr>
          <w:p w:rsidR="00BF4187" w:rsidRPr="00BF4187" w:rsidRDefault="00BF4187" w:rsidP="004C5442">
            <w:pPr>
              <w:rPr>
                <w:b/>
              </w:rPr>
            </w:pPr>
            <w:r w:rsidRPr="00BF4187">
              <w:rPr>
                <w:b/>
              </w:rPr>
              <w:t xml:space="preserve">Outcomes </w:t>
            </w:r>
          </w:p>
        </w:tc>
        <w:tc>
          <w:tcPr>
            <w:tcW w:w="3402" w:type="dxa"/>
            <w:tcBorders>
              <w:top w:val="nil"/>
              <w:left w:val="nil"/>
              <w:bottom w:val="nil"/>
              <w:right w:val="nil"/>
            </w:tcBorders>
          </w:tcPr>
          <w:p w:rsidR="00BF4187" w:rsidRDefault="00BF4187" w:rsidP="004C5442">
            <w:r>
              <w:t>The correlation (R) between adiposity (expressed as total mass (kg), or relative to total body mass (%BM)) and BMD of the total body, lumbar spine, t</w:t>
            </w:r>
            <w:r w:rsidR="000C62EB">
              <w:t xml:space="preserve">otal femur or femoral neck </w:t>
            </w:r>
            <w:r>
              <w:t xml:space="preserve"> </w:t>
            </w:r>
            <w:r w:rsidR="000C62EB">
              <w:t>(</w:t>
            </w:r>
            <w:r>
              <w:t>g</w:t>
            </w:r>
            <w:r w:rsidRPr="00BF4187">
              <w:rPr>
                <w:vertAlign w:val="superscript"/>
              </w:rPr>
              <w:t>.</w:t>
            </w:r>
            <w:r>
              <w:t>cm</w:t>
            </w:r>
            <w:r w:rsidRPr="00BF4187">
              <w:rPr>
                <w:vertAlign w:val="superscript"/>
              </w:rPr>
              <w:t>-2</w:t>
            </w:r>
            <w:r>
              <w:t>)</w:t>
            </w:r>
          </w:p>
        </w:tc>
        <w:tc>
          <w:tcPr>
            <w:tcW w:w="4031" w:type="dxa"/>
            <w:tcBorders>
              <w:top w:val="nil"/>
              <w:left w:val="nil"/>
              <w:bottom w:val="nil"/>
              <w:right w:val="nil"/>
            </w:tcBorders>
          </w:tcPr>
          <w:p w:rsidR="00BF4187" w:rsidRDefault="00BF4187" w:rsidP="00BF4187">
            <w:r>
              <w:t>Results from studies which report multi-</w:t>
            </w:r>
            <w:proofErr w:type="spellStart"/>
            <w:r>
              <w:t>variate</w:t>
            </w:r>
            <w:proofErr w:type="spellEnd"/>
            <w:r>
              <w:t xml:space="preserve"> correlations, and did not isolate the correlation between adipose mass and BMD. </w:t>
            </w:r>
          </w:p>
        </w:tc>
      </w:tr>
      <w:tr w:rsidR="00BF4187" w:rsidTr="00C55AB0">
        <w:tc>
          <w:tcPr>
            <w:tcW w:w="1809" w:type="dxa"/>
            <w:tcBorders>
              <w:top w:val="nil"/>
              <w:left w:val="nil"/>
              <w:right w:val="nil"/>
            </w:tcBorders>
          </w:tcPr>
          <w:p w:rsidR="00BF4187" w:rsidRPr="00BF4187" w:rsidRDefault="00BF4187" w:rsidP="004C5442">
            <w:pPr>
              <w:rPr>
                <w:b/>
              </w:rPr>
            </w:pPr>
            <w:r w:rsidRPr="00BF4187">
              <w:rPr>
                <w:b/>
              </w:rPr>
              <w:t>Study Design</w:t>
            </w:r>
          </w:p>
        </w:tc>
        <w:tc>
          <w:tcPr>
            <w:tcW w:w="7433" w:type="dxa"/>
            <w:gridSpan w:val="2"/>
            <w:tcBorders>
              <w:top w:val="nil"/>
              <w:left w:val="nil"/>
              <w:right w:val="nil"/>
            </w:tcBorders>
          </w:tcPr>
          <w:p w:rsidR="00BF4187" w:rsidRDefault="00BF4187" w:rsidP="00BF4187">
            <w:r>
              <w:t xml:space="preserve">All study designs were considered for inclusion in this </w:t>
            </w:r>
            <w:proofErr w:type="gramStart"/>
            <w:r>
              <w:t>review,</w:t>
            </w:r>
            <w:proofErr w:type="gramEnd"/>
            <w:r>
              <w:t xml:space="preserve"> provided they adhered to the criteria described above. Cross-sectional designs were considered most likely to contain the required information.  </w:t>
            </w:r>
          </w:p>
        </w:tc>
      </w:tr>
    </w:tbl>
    <w:p w:rsidR="00BF4187" w:rsidRDefault="00BF4187" w:rsidP="00022A6E">
      <w:pPr>
        <w:pStyle w:val="ListParagraph"/>
        <w:spacing w:line="360" w:lineRule="auto"/>
        <w:jc w:val="both"/>
        <w:rPr>
          <w:sz w:val="24"/>
          <w:szCs w:val="24"/>
        </w:rPr>
      </w:pPr>
    </w:p>
    <w:p w:rsidR="00022A6E" w:rsidRDefault="00022A6E" w:rsidP="00022A6E">
      <w:pPr>
        <w:spacing w:line="240" w:lineRule="auto"/>
        <w:rPr>
          <w:b/>
          <w:bCs/>
        </w:rPr>
        <w:sectPr w:rsidR="00022A6E" w:rsidSect="006C2BF5">
          <w:footerReference w:type="default" r:id="rId30"/>
          <w:pgSz w:w="11906" w:h="16838"/>
          <w:pgMar w:top="1440" w:right="1440" w:bottom="1440" w:left="1440" w:header="709" w:footer="709" w:gutter="0"/>
          <w:lnNumType w:countBy="1" w:restart="continuous"/>
          <w:cols w:space="708"/>
          <w:docGrid w:linePitch="360"/>
        </w:sectPr>
      </w:pPr>
    </w:p>
    <w:p w:rsidR="00022A6E" w:rsidRPr="00FA5289" w:rsidRDefault="00C55AB0" w:rsidP="00022A6E">
      <w:pPr>
        <w:spacing w:line="240" w:lineRule="auto"/>
      </w:pPr>
      <w:r w:rsidRPr="00FA5289">
        <w:rPr>
          <w:b/>
          <w:bCs/>
        </w:rPr>
        <w:lastRenderedPageBreak/>
        <w:t>Table 2</w:t>
      </w:r>
      <w:r w:rsidR="00022A6E" w:rsidRPr="00FA5289">
        <w:rPr>
          <w:b/>
          <w:bCs/>
        </w:rPr>
        <w:t>:</w:t>
      </w:r>
      <w:r w:rsidR="00022A6E" w:rsidRPr="00FA5289">
        <w:t xml:space="preserve"> Characteristics of Included Studies</w:t>
      </w:r>
    </w:p>
    <w:tbl>
      <w:tblPr>
        <w:tblW w:w="15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8"/>
        <w:gridCol w:w="1619"/>
        <w:gridCol w:w="567"/>
        <w:gridCol w:w="992"/>
        <w:gridCol w:w="1002"/>
        <w:gridCol w:w="1408"/>
        <w:gridCol w:w="1417"/>
        <w:gridCol w:w="1417"/>
        <w:gridCol w:w="1417"/>
        <w:gridCol w:w="1418"/>
        <w:gridCol w:w="1417"/>
        <w:gridCol w:w="1418"/>
      </w:tblGrid>
      <w:tr w:rsidR="00022A6E" w:rsidRPr="00022A6E" w:rsidTr="000C62EB">
        <w:trPr>
          <w:jc w:val="center"/>
        </w:trPr>
        <w:tc>
          <w:tcPr>
            <w:tcW w:w="1698" w:type="dxa"/>
            <w:tcBorders>
              <w:left w:val="nil"/>
              <w:right w:val="nil"/>
            </w:tcBorders>
            <w:shd w:val="clear" w:color="auto" w:fill="D9D9D9"/>
          </w:tcPr>
          <w:p w:rsidR="00022A6E" w:rsidRPr="00FA5289" w:rsidRDefault="00022A6E" w:rsidP="0036552A">
            <w:pPr>
              <w:spacing w:after="0" w:line="240" w:lineRule="auto"/>
              <w:jc w:val="center"/>
              <w:rPr>
                <w:b/>
                <w:bCs/>
              </w:rPr>
            </w:pPr>
            <w:r w:rsidRPr="00FA5289">
              <w:rPr>
                <w:b/>
                <w:bCs/>
              </w:rPr>
              <w:t>Author</w:t>
            </w:r>
          </w:p>
        </w:tc>
        <w:tc>
          <w:tcPr>
            <w:tcW w:w="1619" w:type="dxa"/>
            <w:tcBorders>
              <w:left w:val="nil"/>
              <w:right w:val="nil"/>
            </w:tcBorders>
            <w:shd w:val="clear" w:color="auto" w:fill="D9D9D9"/>
          </w:tcPr>
          <w:p w:rsidR="00022A6E" w:rsidRPr="00FA5289" w:rsidRDefault="00022A6E" w:rsidP="0036552A">
            <w:pPr>
              <w:spacing w:after="0" w:line="240" w:lineRule="auto"/>
              <w:jc w:val="center"/>
              <w:rPr>
                <w:b/>
                <w:bCs/>
              </w:rPr>
            </w:pPr>
            <w:r w:rsidRPr="00FA5289">
              <w:rPr>
                <w:b/>
                <w:bCs/>
              </w:rPr>
              <w:t>Participants</w:t>
            </w:r>
          </w:p>
        </w:tc>
        <w:tc>
          <w:tcPr>
            <w:tcW w:w="567" w:type="dxa"/>
            <w:tcBorders>
              <w:left w:val="nil"/>
              <w:right w:val="nil"/>
            </w:tcBorders>
            <w:shd w:val="clear" w:color="auto" w:fill="D9D9D9"/>
          </w:tcPr>
          <w:p w:rsidR="00022A6E" w:rsidRPr="00FA5289" w:rsidRDefault="00022A6E" w:rsidP="0036552A">
            <w:pPr>
              <w:spacing w:after="0" w:line="240" w:lineRule="auto"/>
              <w:jc w:val="center"/>
              <w:rPr>
                <w:b/>
                <w:bCs/>
              </w:rPr>
            </w:pPr>
            <w:r w:rsidRPr="00FA5289">
              <w:rPr>
                <w:b/>
                <w:bCs/>
              </w:rPr>
              <w:t>N</w:t>
            </w:r>
          </w:p>
        </w:tc>
        <w:tc>
          <w:tcPr>
            <w:tcW w:w="992" w:type="dxa"/>
            <w:tcBorders>
              <w:left w:val="nil"/>
              <w:right w:val="nil"/>
            </w:tcBorders>
            <w:shd w:val="clear" w:color="auto" w:fill="D9D9D9"/>
          </w:tcPr>
          <w:p w:rsidR="00022A6E" w:rsidRPr="00FA5289" w:rsidRDefault="00022A6E" w:rsidP="0036552A">
            <w:pPr>
              <w:spacing w:after="0" w:line="240" w:lineRule="auto"/>
              <w:jc w:val="center"/>
              <w:rPr>
                <w:b/>
                <w:bCs/>
              </w:rPr>
            </w:pPr>
            <w:r w:rsidRPr="00FA5289">
              <w:rPr>
                <w:b/>
                <w:bCs/>
              </w:rPr>
              <w:t>Gender</w:t>
            </w:r>
          </w:p>
        </w:tc>
        <w:tc>
          <w:tcPr>
            <w:tcW w:w="1002" w:type="dxa"/>
            <w:tcBorders>
              <w:left w:val="nil"/>
              <w:right w:val="nil"/>
            </w:tcBorders>
            <w:shd w:val="clear" w:color="auto" w:fill="D9D9D9"/>
          </w:tcPr>
          <w:p w:rsidR="00022A6E" w:rsidRPr="00FA5289" w:rsidRDefault="00022A6E" w:rsidP="0036552A">
            <w:pPr>
              <w:spacing w:after="0" w:line="240" w:lineRule="auto"/>
              <w:jc w:val="center"/>
              <w:rPr>
                <w:b/>
                <w:bCs/>
              </w:rPr>
            </w:pPr>
            <w:r w:rsidRPr="00FA5289">
              <w:rPr>
                <w:b/>
                <w:bCs/>
              </w:rPr>
              <w:t>Age     (Yrs)</w:t>
            </w:r>
          </w:p>
        </w:tc>
        <w:tc>
          <w:tcPr>
            <w:tcW w:w="1408" w:type="dxa"/>
            <w:tcBorders>
              <w:left w:val="nil"/>
              <w:right w:val="nil"/>
            </w:tcBorders>
            <w:shd w:val="clear" w:color="auto" w:fill="D9D9D9"/>
          </w:tcPr>
          <w:p w:rsidR="00022A6E" w:rsidRPr="00FA5289" w:rsidRDefault="000C62EB" w:rsidP="0036552A">
            <w:pPr>
              <w:spacing w:after="0" w:line="240" w:lineRule="auto"/>
              <w:jc w:val="center"/>
              <w:rPr>
                <w:b/>
                <w:bCs/>
              </w:rPr>
            </w:pPr>
            <w:r>
              <w:rPr>
                <w:b/>
                <w:bCs/>
              </w:rPr>
              <w:t>BMI  (kg</w:t>
            </w:r>
            <w:r w:rsidRPr="000C62EB">
              <w:rPr>
                <w:b/>
                <w:bCs/>
                <w:vertAlign w:val="superscript"/>
              </w:rPr>
              <w:t>.</w:t>
            </w:r>
            <w:r w:rsidR="00022A6E" w:rsidRPr="00FA5289">
              <w:rPr>
                <w:b/>
                <w:bCs/>
              </w:rPr>
              <w:t>m</w:t>
            </w:r>
            <w:r w:rsidRPr="000C62EB">
              <w:rPr>
                <w:b/>
                <w:bCs/>
                <w:vertAlign w:val="superscript"/>
              </w:rPr>
              <w:t>-</w:t>
            </w:r>
            <w:r w:rsidR="00022A6E" w:rsidRPr="000C62EB">
              <w:rPr>
                <w:b/>
                <w:bCs/>
                <w:vertAlign w:val="superscript"/>
              </w:rPr>
              <w:t>2</w:t>
            </w:r>
            <w:r w:rsidR="00022A6E" w:rsidRPr="00FA5289">
              <w:rPr>
                <w:b/>
                <w:bCs/>
              </w:rPr>
              <w:t>)</w:t>
            </w:r>
          </w:p>
        </w:tc>
        <w:tc>
          <w:tcPr>
            <w:tcW w:w="1417" w:type="dxa"/>
            <w:tcBorders>
              <w:left w:val="nil"/>
              <w:right w:val="nil"/>
            </w:tcBorders>
            <w:shd w:val="clear" w:color="auto" w:fill="D9D9D9"/>
          </w:tcPr>
          <w:p w:rsidR="00022A6E" w:rsidRPr="00FA5289" w:rsidRDefault="00022A6E" w:rsidP="0036552A">
            <w:pPr>
              <w:spacing w:after="0" w:line="240" w:lineRule="auto"/>
              <w:jc w:val="center"/>
              <w:rPr>
                <w:b/>
                <w:bCs/>
              </w:rPr>
            </w:pPr>
            <w:r w:rsidRPr="00FA5289">
              <w:rPr>
                <w:b/>
                <w:bCs/>
              </w:rPr>
              <w:t>Adipose Mass (kg)</w:t>
            </w:r>
          </w:p>
        </w:tc>
        <w:tc>
          <w:tcPr>
            <w:tcW w:w="1417" w:type="dxa"/>
            <w:tcBorders>
              <w:left w:val="nil"/>
              <w:right w:val="nil"/>
            </w:tcBorders>
            <w:shd w:val="clear" w:color="auto" w:fill="D9D9D9"/>
          </w:tcPr>
          <w:p w:rsidR="00022A6E" w:rsidRPr="00FA5289" w:rsidRDefault="00022A6E" w:rsidP="0036552A">
            <w:pPr>
              <w:spacing w:after="0" w:line="240" w:lineRule="auto"/>
              <w:jc w:val="center"/>
              <w:rPr>
                <w:b/>
                <w:bCs/>
              </w:rPr>
            </w:pPr>
            <w:r w:rsidRPr="00FA5289">
              <w:rPr>
                <w:b/>
                <w:bCs/>
              </w:rPr>
              <w:t>Adipose Mass (%BM)</w:t>
            </w:r>
          </w:p>
        </w:tc>
        <w:tc>
          <w:tcPr>
            <w:tcW w:w="1417" w:type="dxa"/>
            <w:tcBorders>
              <w:left w:val="nil"/>
              <w:right w:val="nil"/>
            </w:tcBorders>
            <w:shd w:val="clear" w:color="auto" w:fill="D9D9D9"/>
          </w:tcPr>
          <w:p w:rsidR="00022A6E" w:rsidRPr="00FA5289" w:rsidRDefault="00022A6E" w:rsidP="0036552A">
            <w:pPr>
              <w:spacing w:after="0" w:line="240" w:lineRule="auto"/>
              <w:jc w:val="center"/>
              <w:rPr>
                <w:b/>
                <w:bCs/>
              </w:rPr>
            </w:pPr>
            <w:r w:rsidRPr="00FA5289">
              <w:rPr>
                <w:b/>
                <w:bCs/>
              </w:rPr>
              <w:t>Total Body BMD (g</w:t>
            </w:r>
            <w:r w:rsidRPr="00FA5289">
              <w:rPr>
                <w:b/>
                <w:bCs/>
                <w:vertAlign w:val="superscript"/>
              </w:rPr>
              <w:t>.</w:t>
            </w:r>
            <w:r w:rsidRPr="00FA5289">
              <w:rPr>
                <w:b/>
                <w:bCs/>
              </w:rPr>
              <w:t>cm</w:t>
            </w:r>
            <w:r w:rsidRPr="00FA5289">
              <w:rPr>
                <w:b/>
                <w:bCs/>
                <w:vertAlign w:val="superscript"/>
              </w:rPr>
              <w:t>-2</w:t>
            </w:r>
            <w:r w:rsidRPr="00FA5289">
              <w:rPr>
                <w:b/>
                <w:bCs/>
              </w:rPr>
              <w:t>)</w:t>
            </w:r>
          </w:p>
        </w:tc>
        <w:tc>
          <w:tcPr>
            <w:tcW w:w="1418" w:type="dxa"/>
            <w:tcBorders>
              <w:left w:val="nil"/>
              <w:right w:val="nil"/>
            </w:tcBorders>
            <w:shd w:val="clear" w:color="auto" w:fill="D9D9D9"/>
          </w:tcPr>
          <w:p w:rsidR="00022A6E" w:rsidRPr="00FA5289" w:rsidRDefault="00022A6E" w:rsidP="0036552A">
            <w:pPr>
              <w:spacing w:after="0" w:line="240" w:lineRule="auto"/>
              <w:jc w:val="center"/>
              <w:rPr>
                <w:b/>
                <w:bCs/>
              </w:rPr>
            </w:pPr>
            <w:r w:rsidRPr="00FA5289">
              <w:rPr>
                <w:b/>
                <w:bCs/>
              </w:rPr>
              <w:t>Lumbar Spine BMD (g</w:t>
            </w:r>
            <w:r w:rsidRPr="00FA5289">
              <w:rPr>
                <w:b/>
                <w:bCs/>
                <w:vertAlign w:val="superscript"/>
              </w:rPr>
              <w:t>.</w:t>
            </w:r>
            <w:r w:rsidRPr="00FA5289">
              <w:rPr>
                <w:b/>
                <w:bCs/>
              </w:rPr>
              <w:t>cm</w:t>
            </w:r>
            <w:r w:rsidRPr="00FA5289">
              <w:rPr>
                <w:b/>
                <w:bCs/>
                <w:vertAlign w:val="superscript"/>
              </w:rPr>
              <w:t>-2</w:t>
            </w:r>
            <w:r w:rsidRPr="00FA5289">
              <w:rPr>
                <w:b/>
                <w:bCs/>
              </w:rPr>
              <w:t>)</w:t>
            </w:r>
          </w:p>
        </w:tc>
        <w:tc>
          <w:tcPr>
            <w:tcW w:w="1417" w:type="dxa"/>
            <w:tcBorders>
              <w:left w:val="nil"/>
              <w:right w:val="nil"/>
            </w:tcBorders>
            <w:shd w:val="clear" w:color="auto" w:fill="D9D9D9"/>
          </w:tcPr>
          <w:p w:rsidR="00022A6E" w:rsidRPr="00FA5289" w:rsidRDefault="00022A6E" w:rsidP="0036552A">
            <w:pPr>
              <w:spacing w:after="0" w:line="240" w:lineRule="auto"/>
              <w:jc w:val="center"/>
              <w:rPr>
                <w:b/>
                <w:bCs/>
              </w:rPr>
            </w:pPr>
            <w:r w:rsidRPr="00FA5289">
              <w:rPr>
                <w:b/>
                <w:bCs/>
              </w:rPr>
              <w:t>Total Hip BMD (g</w:t>
            </w:r>
            <w:r w:rsidRPr="00FA5289">
              <w:rPr>
                <w:b/>
                <w:bCs/>
                <w:vertAlign w:val="superscript"/>
              </w:rPr>
              <w:t>.</w:t>
            </w:r>
            <w:r w:rsidRPr="00FA5289">
              <w:rPr>
                <w:b/>
                <w:bCs/>
              </w:rPr>
              <w:t>cm</w:t>
            </w:r>
            <w:r w:rsidRPr="00FA5289">
              <w:rPr>
                <w:b/>
                <w:bCs/>
                <w:vertAlign w:val="superscript"/>
              </w:rPr>
              <w:t>-2</w:t>
            </w:r>
            <w:r w:rsidRPr="00FA5289">
              <w:rPr>
                <w:b/>
                <w:bCs/>
              </w:rPr>
              <w:t>)</w:t>
            </w:r>
          </w:p>
        </w:tc>
        <w:tc>
          <w:tcPr>
            <w:tcW w:w="1418" w:type="dxa"/>
            <w:tcBorders>
              <w:left w:val="nil"/>
              <w:right w:val="nil"/>
            </w:tcBorders>
            <w:shd w:val="clear" w:color="auto" w:fill="D9D9D9"/>
          </w:tcPr>
          <w:p w:rsidR="00022A6E" w:rsidRPr="00FA5289" w:rsidRDefault="00022A6E" w:rsidP="0036552A">
            <w:pPr>
              <w:spacing w:after="0" w:line="240" w:lineRule="auto"/>
              <w:jc w:val="center"/>
              <w:rPr>
                <w:b/>
                <w:bCs/>
              </w:rPr>
            </w:pPr>
            <w:r w:rsidRPr="00FA5289">
              <w:rPr>
                <w:b/>
                <w:bCs/>
              </w:rPr>
              <w:t>Femoral Neck BMD (g</w:t>
            </w:r>
            <w:r w:rsidRPr="00FA5289">
              <w:rPr>
                <w:b/>
                <w:bCs/>
                <w:vertAlign w:val="superscript"/>
              </w:rPr>
              <w:t>.</w:t>
            </w:r>
            <w:r w:rsidRPr="00FA5289">
              <w:rPr>
                <w:b/>
                <w:bCs/>
              </w:rPr>
              <w:t>cm</w:t>
            </w:r>
            <w:r w:rsidRPr="00FA5289">
              <w:rPr>
                <w:b/>
                <w:bCs/>
                <w:vertAlign w:val="superscript"/>
              </w:rPr>
              <w:t>-2</w:t>
            </w:r>
            <w:r w:rsidRPr="00FA5289">
              <w:rPr>
                <w:b/>
                <w:bCs/>
              </w:rPr>
              <w:t>)</w:t>
            </w:r>
          </w:p>
        </w:tc>
      </w:tr>
      <w:tr w:rsidR="00022A6E" w:rsidRPr="00022A6E" w:rsidTr="000C62EB">
        <w:trPr>
          <w:jc w:val="center"/>
        </w:trPr>
        <w:tc>
          <w:tcPr>
            <w:tcW w:w="1698" w:type="dxa"/>
            <w:tcBorders>
              <w:left w:val="nil"/>
              <w:right w:val="nil"/>
            </w:tcBorders>
          </w:tcPr>
          <w:p w:rsidR="00022A6E" w:rsidRPr="00FA5289" w:rsidRDefault="00022A6E" w:rsidP="0075024E">
            <w:pPr>
              <w:spacing w:after="0" w:line="240" w:lineRule="auto"/>
              <w:jc w:val="center"/>
              <w:rPr>
                <w:b/>
                <w:bCs/>
              </w:rPr>
            </w:pPr>
            <w:proofErr w:type="spellStart"/>
            <w:r w:rsidRPr="00FA5289">
              <w:rPr>
                <w:b/>
                <w:bCs/>
              </w:rPr>
              <w:t>Abou</w:t>
            </w:r>
            <w:proofErr w:type="spellEnd"/>
            <w:r w:rsidRPr="00FA5289">
              <w:rPr>
                <w:b/>
                <w:bCs/>
              </w:rPr>
              <w:t xml:space="preserve"> </w:t>
            </w:r>
            <w:proofErr w:type="spellStart"/>
            <w:r w:rsidRPr="00FA5289">
              <w:rPr>
                <w:b/>
                <w:bCs/>
              </w:rPr>
              <w:t>Samra</w:t>
            </w:r>
            <w:proofErr w:type="spellEnd"/>
            <w:r w:rsidRPr="00FA5289">
              <w:rPr>
                <w:b/>
                <w:bCs/>
              </w:rPr>
              <w:t xml:space="preserve"> et al. </w:t>
            </w:r>
            <w:r w:rsidR="006531EA">
              <w:rPr>
                <w:b/>
                <w:bCs/>
              </w:rPr>
              <w:t>(</w:t>
            </w:r>
            <w:r w:rsidRPr="00FA5289">
              <w:rPr>
                <w:b/>
                <w:bCs/>
              </w:rPr>
              <w:t>2005</w:t>
            </w:r>
            <w:r w:rsidR="006531EA">
              <w:rPr>
                <w:b/>
                <w:bCs/>
              </w:rPr>
              <w:t>)</w:t>
            </w:r>
            <w:r w:rsidRPr="00FA5289">
              <w:rPr>
                <w:b/>
                <w:bCs/>
              </w:rPr>
              <w:t xml:space="preserve">* </w:t>
            </w:r>
            <w:r w:rsidR="00156059" w:rsidRPr="00FA5289">
              <w:rPr>
                <w:b/>
                <w:bCs/>
              </w:rPr>
              <w:fldChar w:fldCharType="begin" w:fldLock="1"/>
            </w:r>
            <w:r w:rsidR="0075024E" w:rsidRPr="00FA5289">
              <w:rPr>
                <w:b/>
                <w:bCs/>
              </w:rPr>
              <w:instrText>ADDIN CSL_CITATION { "citationItems" : [ { "id" : "ITEM-1", "itemData" : { "DOI" : "10.1210/jc.2004-2049", "ISSN" : "0021972X", "author" : [ { "dropping-particle" : "", "family" : "Abou Samra", "given" : "Rania", "non-dropping-particle" : "", "parse-names" : false, "suffix" : "" }, { "dropping-particle" : "", "family" : "Baba", "given" : "Nahla Hwalla", "non-dropping-particle" : "", "parse-names" : false, "suffix" : "" }, { "dropping-particle" : "", "family" : "Torbay", "given" : "Naji", "non-dropping-particle" : "", "parse-names" : false, "suffix" : "" }, { "dropping-particle" : "", "family" : "Dib", "given" : "Lea", "non-dropping-particle" : "", "parse-names" : false, "suffix" : "" }, { "dropping-particle" : "", "family" : "Fuleihan", "given" : "Ghada El Hajj", "non-dropping-particle" : "", "parse-names" : false, "suffix" : "" } ], "container-title" : "Journal of Clinical Endocrinology and Metabolism", "id" : "ITEM-1", "issue" : "5", "issued" : { "date-parts" : [ [ "2005" ] ] }, "page" : "2588-2594", "title" : "High plasma leptin is not associated with higher bone mineral density in insulin-resistant premenopausal obese women", "type" : "article-journal", "volume" : "90" }, "uris" : [ "http://www.mendeley.com/documents/?uuid=d64c82ff-a564-4087-a1ab-b27aad865cf1" ] } ], "mendeley" : { "formattedCitation" : "&lt;sup&gt;45&lt;/sup&gt;", "plainTextFormattedCitation" : "45", "previouslyFormattedCitation" : "&lt;sup&gt;45&lt;/sup&gt;" }, "properties" : { "noteIndex" : 0 }, "schema" : "https://github.com/citation-style-language/schema/raw/master/csl-citation.json" }</w:instrText>
            </w:r>
            <w:r w:rsidR="00156059" w:rsidRPr="00FA5289">
              <w:rPr>
                <w:b/>
                <w:bCs/>
              </w:rPr>
              <w:fldChar w:fldCharType="separate"/>
            </w:r>
            <w:r w:rsidR="0075024E" w:rsidRPr="00FA5289">
              <w:rPr>
                <w:bCs/>
                <w:noProof/>
                <w:vertAlign w:val="superscript"/>
              </w:rPr>
              <w:t>45</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r w:rsidRPr="00FA5289">
              <w:t>Obese premenopausal women</w:t>
            </w:r>
          </w:p>
        </w:tc>
        <w:tc>
          <w:tcPr>
            <w:tcW w:w="567" w:type="dxa"/>
            <w:tcBorders>
              <w:left w:val="nil"/>
              <w:right w:val="nil"/>
            </w:tcBorders>
          </w:tcPr>
          <w:p w:rsidR="00022A6E" w:rsidRPr="00FA5289" w:rsidRDefault="00022A6E" w:rsidP="0036552A">
            <w:pPr>
              <w:spacing w:after="0" w:line="240" w:lineRule="auto"/>
              <w:jc w:val="center"/>
            </w:pPr>
            <w:r w:rsidRPr="00FA5289">
              <w:t>48</w:t>
            </w:r>
          </w:p>
        </w:tc>
        <w:tc>
          <w:tcPr>
            <w:tcW w:w="992" w:type="dxa"/>
            <w:tcBorders>
              <w:left w:val="nil"/>
              <w:right w:val="nil"/>
            </w:tcBorders>
          </w:tcPr>
          <w:p w:rsidR="00022A6E" w:rsidRPr="00FA5289" w:rsidRDefault="00022A6E" w:rsidP="0036552A">
            <w:pPr>
              <w:spacing w:after="0" w:line="240" w:lineRule="auto"/>
              <w:jc w:val="center"/>
            </w:pPr>
            <w:r w:rsidRPr="00FA5289">
              <w:t>Female</w:t>
            </w:r>
          </w:p>
        </w:tc>
        <w:tc>
          <w:tcPr>
            <w:tcW w:w="1002" w:type="dxa"/>
            <w:tcBorders>
              <w:left w:val="nil"/>
              <w:right w:val="nil"/>
            </w:tcBorders>
          </w:tcPr>
          <w:p w:rsidR="00022A6E" w:rsidRPr="00FA5289" w:rsidRDefault="00022A6E" w:rsidP="0036552A">
            <w:pPr>
              <w:spacing w:after="0" w:line="240" w:lineRule="auto"/>
              <w:jc w:val="center"/>
            </w:pPr>
            <w:r w:rsidRPr="00FA5289">
              <w:t>30.8 ± 10.0</w:t>
            </w:r>
          </w:p>
          <w:p w:rsidR="00022A6E" w:rsidRPr="00FA5289" w:rsidRDefault="00022A6E" w:rsidP="0036552A">
            <w:pPr>
              <w:spacing w:after="0" w:line="240" w:lineRule="auto"/>
              <w:jc w:val="center"/>
            </w:pPr>
          </w:p>
        </w:tc>
        <w:tc>
          <w:tcPr>
            <w:tcW w:w="1408" w:type="dxa"/>
            <w:tcBorders>
              <w:left w:val="nil"/>
              <w:right w:val="nil"/>
            </w:tcBorders>
          </w:tcPr>
          <w:p w:rsidR="00022A6E" w:rsidRPr="00FA5289" w:rsidRDefault="00022A6E" w:rsidP="0036552A">
            <w:pPr>
              <w:spacing w:after="0" w:line="240" w:lineRule="auto"/>
              <w:jc w:val="center"/>
            </w:pPr>
            <w:r w:rsidRPr="00FA5289">
              <w:t>30 – 50.9</w:t>
            </w:r>
          </w:p>
        </w:tc>
        <w:tc>
          <w:tcPr>
            <w:tcW w:w="1417" w:type="dxa"/>
            <w:tcBorders>
              <w:left w:val="nil"/>
              <w:right w:val="nil"/>
            </w:tcBorders>
          </w:tcPr>
          <w:p w:rsidR="00022A6E" w:rsidRPr="00FA5289" w:rsidRDefault="00022A6E" w:rsidP="0036552A">
            <w:pPr>
              <w:spacing w:after="0" w:line="240" w:lineRule="auto"/>
              <w:jc w:val="center"/>
            </w:pPr>
            <w:r w:rsidRPr="00FA5289">
              <w:t>28 – 66.1</w:t>
            </w:r>
          </w:p>
        </w:tc>
        <w:tc>
          <w:tcPr>
            <w:tcW w:w="1417" w:type="dxa"/>
            <w:tcBorders>
              <w:left w:val="nil"/>
              <w:right w:val="nil"/>
            </w:tcBorders>
          </w:tcPr>
          <w:p w:rsidR="00022A6E" w:rsidRPr="00FA5289" w:rsidRDefault="00022A6E" w:rsidP="0036552A">
            <w:pPr>
              <w:spacing w:after="0" w:line="240" w:lineRule="auto"/>
              <w:jc w:val="center"/>
            </w:pPr>
            <w:r w:rsidRPr="00FA5289">
              <w:t>-</w:t>
            </w:r>
          </w:p>
        </w:tc>
        <w:tc>
          <w:tcPr>
            <w:tcW w:w="1417" w:type="dxa"/>
            <w:tcBorders>
              <w:left w:val="nil"/>
              <w:right w:val="nil"/>
            </w:tcBorders>
          </w:tcPr>
          <w:p w:rsidR="00022A6E" w:rsidRPr="00FA5289" w:rsidRDefault="00022A6E" w:rsidP="0036552A">
            <w:pPr>
              <w:spacing w:after="0" w:line="240" w:lineRule="auto"/>
              <w:jc w:val="center"/>
            </w:pPr>
            <w:r w:rsidRPr="00FA5289">
              <w:t>0.97 ± 0.06</w:t>
            </w:r>
          </w:p>
        </w:tc>
        <w:tc>
          <w:tcPr>
            <w:tcW w:w="1418" w:type="dxa"/>
            <w:tcBorders>
              <w:left w:val="nil"/>
              <w:right w:val="nil"/>
            </w:tcBorders>
          </w:tcPr>
          <w:p w:rsidR="00022A6E" w:rsidRPr="00FA5289" w:rsidRDefault="00022A6E" w:rsidP="0036552A">
            <w:pPr>
              <w:spacing w:after="0" w:line="240" w:lineRule="auto"/>
              <w:jc w:val="center"/>
            </w:pPr>
            <w:r w:rsidRPr="00FA5289">
              <w:t>1.08 ± 0.1</w:t>
            </w:r>
          </w:p>
        </w:tc>
        <w:tc>
          <w:tcPr>
            <w:tcW w:w="1417" w:type="dxa"/>
            <w:tcBorders>
              <w:left w:val="nil"/>
              <w:right w:val="nil"/>
            </w:tcBorders>
          </w:tcPr>
          <w:p w:rsidR="00022A6E" w:rsidRPr="00FA5289" w:rsidRDefault="00022A6E" w:rsidP="0036552A">
            <w:pPr>
              <w:spacing w:after="0" w:line="240" w:lineRule="auto"/>
              <w:jc w:val="center"/>
            </w:pPr>
            <w:r w:rsidRPr="00FA5289">
              <w:t>0.99 ± 0.14</w:t>
            </w:r>
          </w:p>
        </w:tc>
        <w:tc>
          <w:tcPr>
            <w:tcW w:w="1418" w:type="dxa"/>
            <w:tcBorders>
              <w:left w:val="nil"/>
              <w:right w:val="nil"/>
            </w:tcBorders>
          </w:tcPr>
          <w:p w:rsidR="00022A6E" w:rsidRPr="00FA5289" w:rsidRDefault="00022A6E" w:rsidP="0036552A">
            <w:pPr>
              <w:spacing w:after="0" w:line="240" w:lineRule="auto"/>
              <w:jc w:val="center"/>
            </w:pPr>
            <w:r w:rsidRPr="00FA5289">
              <w:t>0.88 ± 0.13</w:t>
            </w:r>
          </w:p>
        </w:tc>
      </w:tr>
      <w:tr w:rsidR="00022A6E" w:rsidRPr="00022A6E" w:rsidTr="000C62EB">
        <w:trPr>
          <w:jc w:val="center"/>
        </w:trPr>
        <w:tc>
          <w:tcPr>
            <w:tcW w:w="1698" w:type="dxa"/>
            <w:tcBorders>
              <w:left w:val="nil"/>
              <w:right w:val="nil"/>
            </w:tcBorders>
          </w:tcPr>
          <w:p w:rsidR="00022A6E" w:rsidRPr="00FA5289" w:rsidRDefault="00022A6E" w:rsidP="0075024E">
            <w:pPr>
              <w:spacing w:after="0" w:line="240" w:lineRule="auto"/>
              <w:jc w:val="center"/>
              <w:rPr>
                <w:b/>
                <w:bCs/>
              </w:rPr>
            </w:pPr>
            <w:r w:rsidRPr="00FA5289">
              <w:rPr>
                <w:b/>
                <w:bCs/>
              </w:rPr>
              <w:t xml:space="preserve">Aguirre et al. </w:t>
            </w:r>
            <w:r w:rsidR="006531EA">
              <w:rPr>
                <w:b/>
                <w:bCs/>
              </w:rPr>
              <w:t>(</w:t>
            </w:r>
            <w:r w:rsidRPr="00FA5289">
              <w:rPr>
                <w:b/>
                <w:bCs/>
              </w:rPr>
              <w:t>2014</w:t>
            </w:r>
            <w:r w:rsidR="006531EA">
              <w:rPr>
                <w:b/>
                <w:bCs/>
              </w:rPr>
              <w:t>)</w:t>
            </w:r>
            <w:r w:rsidRPr="00FA5289">
              <w:rPr>
                <w:b/>
                <w:bCs/>
              </w:rPr>
              <w:t xml:space="preserve">* </w:t>
            </w:r>
            <w:r w:rsidR="00156059" w:rsidRPr="00FA5289">
              <w:rPr>
                <w:b/>
                <w:bCs/>
              </w:rPr>
              <w:fldChar w:fldCharType="begin" w:fldLock="1"/>
            </w:r>
            <w:r w:rsidR="0075024E" w:rsidRPr="00FA5289">
              <w:rPr>
                <w:b/>
                <w:bCs/>
              </w:rPr>
              <w:instrText>ADDIN CSL_CITATION { "citationItems" : [ { "id" : "ITEM-1", "itemData" : { "DOI" : "10.1210/jc.2013-3200", "ISBN" : "0021-972x", "ISSN" : "19457197", "PMID" : "24878039", "abstract" : "Context: Although obesity is associated with high bone mass, recent reports suggest an increase in the incidence of fractures in obese patients. Objectives: The objectives of the study were to evaluate the influence of increasing body fat on bone mineral density (BMD) and to determine the influence of the different adipokines on BMD in frail obese elderly patients. Design and Setting: This is a cross-sectional study of baseline characteristics of elderly obese patients participating in a lifestyle therapy with diet with or without exercise and conducted in a university setting. Patients: One hundred seventy-three, elderly (\u226565 y old), obese (body mass index of \u226530 kg/m(2)) who were mostly frail participated in the study. Outcome Measures: BMD, percentage of total body fat, percentage of fat-free mass, percentage of lean mass, body mass index, adiponectin, leptin, IL-6, bone turnover markers (osteocalcin and C-telopeptide), high-sensitivity C-reactive protein, free estradiol, and 25-hydroxyvitamin D were measured. Results: Higher tertiles of percentage body fat and lower lean mass were associated with a lower BMD. High-sensitivity C-reactive protein levels were highest in the highest fat tertile (third, 5.5 \u00b1 5.4 vs first, 1.5 \u00b1 1.3 mg/L, P &lt; .05) for women, whereas IL-6 levels were highest in the highest tertile in men (third, 3.5 \u00b1 3.1 vs first, 1.7 \u00b1 0.8 pg/mL, P&lt; .05). Leptin increased with increasing fat tertiles in both genders (P &lt; .05), whereas adiponectin increased with increasing fat tertiles only in men (P&lt; .05). A multivariate analysis revealed adiponectin as an important mediator of the effect of fat mass on BMD. Osteocalcin levels were highest in the highest fat tertile in women but not in men. Physical function test scores decreased with increasing fat tertiles in women (P&lt; .05) but not in men. Conclusions: Increasing adiposity together with decreasing lean mass is associated with lower BMD, higher adipokine levels, and worsening frailty in elderly obese adults.", "author" : [ { "dropping-particle" : "", "family" : "Aguirre", "given" : "Lina", "non-dropping-particle" : "", "parse-names" : false, "suffix" : "" }, { "dropping-particle" : "", "family" : "Napoli", "given" : "Nicola", "non-dropping-particle" : "", "parse-names" : false, "suffix" : "" }, { "dropping-particle" : "", "family" : "Waters", "given" : "Debra", "non-dropping-particle" : "", "parse-names" : false, "suffix" : "" }, { "dropping-particle" : "", "family" : "Qualls", "given" : "Clifford", "non-dropping-particle" : "", "parse-names" : false, "suffix" : "" }, { "dropping-particle" : "", "family" : "Villareal", "given" : "Dennis T.", "non-dropping-particle" : "", "parse-names" : false, "suffix" : "" }, { "dropping-particle" : "", "family" : "Armamento-Villareal", "given" : "Reina", "non-dropping-particle" : "", "parse-names" : false, "suffix" : "" } ], "container-title" : "Journal of Clinical Endocrinology and Metabolism", "id" : "ITEM-1", "issue" : "9", "issued" : { "date-parts" : [ [ "2014" ] ] }, "page" : "3290-3297", "title" : "Increasing adiposity is associated with higher adipokine levels and lower bone mineral density in obese older adults", "type" : "article-journal", "volume" : "99" }, "uris" : [ "http://www.mendeley.com/documents/?uuid=b8cdca5e-ffbf-4863-88ed-120758c85dea" ] } ], "mendeley" : { "formattedCitation" : "&lt;sup&gt;46&lt;/sup&gt;", "plainTextFormattedCitation" : "46", "previouslyFormattedCitation" : "&lt;sup&gt;46&lt;/sup&gt;" }, "properties" : { "noteIndex" : 0 }, "schema" : "https://github.com/citation-style-language/schema/raw/master/csl-citation.json" }</w:instrText>
            </w:r>
            <w:r w:rsidR="00156059" w:rsidRPr="00FA5289">
              <w:rPr>
                <w:b/>
                <w:bCs/>
              </w:rPr>
              <w:fldChar w:fldCharType="separate"/>
            </w:r>
            <w:r w:rsidR="0075024E" w:rsidRPr="00FA5289">
              <w:rPr>
                <w:bCs/>
                <w:noProof/>
                <w:vertAlign w:val="superscript"/>
              </w:rPr>
              <w:t>46</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rPr>
                <w:highlight w:val="yellow"/>
              </w:rPr>
            </w:pPr>
            <w:r w:rsidRPr="00FA5289">
              <w:t>Elderly, obese, frail</w:t>
            </w:r>
          </w:p>
        </w:tc>
        <w:tc>
          <w:tcPr>
            <w:tcW w:w="567" w:type="dxa"/>
            <w:tcBorders>
              <w:left w:val="nil"/>
              <w:right w:val="nil"/>
            </w:tcBorders>
          </w:tcPr>
          <w:p w:rsidR="00022A6E" w:rsidRPr="00FA5289" w:rsidRDefault="00022A6E" w:rsidP="0036552A">
            <w:pPr>
              <w:spacing w:after="0" w:line="240" w:lineRule="auto"/>
              <w:jc w:val="center"/>
            </w:pPr>
            <w:r w:rsidRPr="00FA5289">
              <w:t>173</w:t>
            </w:r>
          </w:p>
        </w:tc>
        <w:tc>
          <w:tcPr>
            <w:tcW w:w="992" w:type="dxa"/>
            <w:tcBorders>
              <w:left w:val="nil"/>
              <w:right w:val="nil"/>
            </w:tcBorders>
          </w:tcPr>
          <w:p w:rsidR="00022A6E" w:rsidRPr="00FA5289" w:rsidRDefault="00022A6E" w:rsidP="0036552A">
            <w:pPr>
              <w:spacing w:after="0" w:line="240" w:lineRule="auto"/>
              <w:jc w:val="center"/>
            </w:pPr>
            <w:r w:rsidRPr="00FA5289">
              <w:t>Male (81, female 92)</w:t>
            </w:r>
          </w:p>
        </w:tc>
        <w:tc>
          <w:tcPr>
            <w:tcW w:w="1002" w:type="dxa"/>
            <w:tcBorders>
              <w:left w:val="nil"/>
              <w:right w:val="nil"/>
            </w:tcBorders>
          </w:tcPr>
          <w:p w:rsidR="00022A6E" w:rsidRPr="00FA5289" w:rsidRDefault="00022A6E" w:rsidP="0036552A">
            <w:pPr>
              <w:spacing w:after="0" w:line="240" w:lineRule="auto"/>
              <w:jc w:val="center"/>
            </w:pPr>
            <w:r w:rsidRPr="00FA5289">
              <w:t>69.5 ± 4.2</w:t>
            </w:r>
          </w:p>
          <w:p w:rsidR="00022A6E" w:rsidRPr="00FA5289" w:rsidRDefault="00022A6E" w:rsidP="0036552A">
            <w:pPr>
              <w:spacing w:after="0" w:line="240" w:lineRule="auto"/>
            </w:pPr>
          </w:p>
        </w:tc>
        <w:tc>
          <w:tcPr>
            <w:tcW w:w="1408" w:type="dxa"/>
            <w:tcBorders>
              <w:left w:val="nil"/>
              <w:right w:val="nil"/>
            </w:tcBorders>
          </w:tcPr>
          <w:p w:rsidR="00022A6E" w:rsidRPr="00FA5289" w:rsidRDefault="00022A6E" w:rsidP="0036552A">
            <w:pPr>
              <w:spacing w:after="0" w:line="240" w:lineRule="auto"/>
              <w:jc w:val="center"/>
            </w:pPr>
            <w:r w:rsidRPr="00FA5289">
              <w:t>36.5 ± 5</w:t>
            </w:r>
          </w:p>
        </w:tc>
        <w:tc>
          <w:tcPr>
            <w:tcW w:w="1417" w:type="dxa"/>
            <w:tcBorders>
              <w:left w:val="nil"/>
              <w:right w:val="nil"/>
            </w:tcBorders>
          </w:tcPr>
          <w:p w:rsidR="00022A6E" w:rsidRPr="00FA5289" w:rsidRDefault="00022A6E" w:rsidP="0036552A">
            <w:pPr>
              <w:spacing w:after="0" w:line="240" w:lineRule="auto"/>
              <w:jc w:val="center"/>
            </w:pPr>
            <w:r w:rsidRPr="00FA5289">
              <w:t>41.82 ± 9.53</w:t>
            </w:r>
          </w:p>
        </w:tc>
        <w:tc>
          <w:tcPr>
            <w:tcW w:w="1417" w:type="dxa"/>
            <w:tcBorders>
              <w:left w:val="nil"/>
              <w:right w:val="nil"/>
            </w:tcBorders>
          </w:tcPr>
          <w:p w:rsidR="00022A6E" w:rsidRPr="00FA5289" w:rsidRDefault="00022A6E" w:rsidP="0036552A">
            <w:pPr>
              <w:spacing w:after="0" w:line="240" w:lineRule="auto"/>
              <w:jc w:val="center"/>
            </w:pPr>
            <w:r w:rsidRPr="00FA5289">
              <w:t>42.04 ± 6.78</w:t>
            </w:r>
          </w:p>
        </w:tc>
        <w:tc>
          <w:tcPr>
            <w:tcW w:w="1417" w:type="dxa"/>
            <w:tcBorders>
              <w:left w:val="nil"/>
              <w:right w:val="nil"/>
            </w:tcBorders>
          </w:tcPr>
          <w:p w:rsidR="00022A6E" w:rsidRPr="00FA5289" w:rsidRDefault="00022A6E" w:rsidP="0036552A">
            <w:pPr>
              <w:spacing w:after="0" w:line="240" w:lineRule="auto"/>
              <w:jc w:val="center"/>
            </w:pPr>
            <w:r w:rsidRPr="00FA5289">
              <w:t>1.224 ± 0.17</w:t>
            </w:r>
          </w:p>
        </w:tc>
        <w:tc>
          <w:tcPr>
            <w:tcW w:w="1418" w:type="dxa"/>
            <w:tcBorders>
              <w:left w:val="nil"/>
              <w:right w:val="nil"/>
            </w:tcBorders>
          </w:tcPr>
          <w:p w:rsidR="00022A6E" w:rsidRPr="00FA5289" w:rsidRDefault="00022A6E" w:rsidP="0036552A">
            <w:pPr>
              <w:spacing w:after="0" w:line="240" w:lineRule="auto"/>
              <w:jc w:val="center"/>
            </w:pPr>
            <w:r w:rsidRPr="00FA5289">
              <w:t>1.138 ± 0.189</w:t>
            </w:r>
          </w:p>
        </w:tc>
        <w:tc>
          <w:tcPr>
            <w:tcW w:w="1417" w:type="dxa"/>
            <w:tcBorders>
              <w:left w:val="nil"/>
              <w:right w:val="nil"/>
            </w:tcBorders>
          </w:tcPr>
          <w:p w:rsidR="00022A6E" w:rsidRPr="00FA5289" w:rsidRDefault="00022A6E" w:rsidP="0036552A">
            <w:pPr>
              <w:spacing w:after="0" w:line="240" w:lineRule="auto"/>
              <w:jc w:val="center"/>
            </w:pPr>
            <w:r w:rsidRPr="00FA5289">
              <w:t>0.989 ± 0.138</w:t>
            </w:r>
          </w:p>
        </w:tc>
        <w:tc>
          <w:tcPr>
            <w:tcW w:w="1418" w:type="dxa"/>
            <w:tcBorders>
              <w:left w:val="nil"/>
              <w:right w:val="nil"/>
            </w:tcBorders>
          </w:tcPr>
          <w:p w:rsidR="00022A6E" w:rsidRPr="00FA5289" w:rsidRDefault="00022A6E" w:rsidP="0036552A">
            <w:pPr>
              <w:spacing w:after="0" w:line="240" w:lineRule="auto"/>
              <w:jc w:val="center"/>
            </w:pPr>
            <w:r w:rsidRPr="00FA5289">
              <w:t>0.826 ± 0.117</w:t>
            </w:r>
          </w:p>
        </w:tc>
      </w:tr>
      <w:tr w:rsidR="00022A6E" w:rsidRPr="00022A6E" w:rsidTr="000C62EB">
        <w:trPr>
          <w:jc w:val="center"/>
        </w:trPr>
        <w:tc>
          <w:tcPr>
            <w:tcW w:w="1698" w:type="dxa"/>
            <w:tcBorders>
              <w:left w:val="nil"/>
              <w:right w:val="nil"/>
            </w:tcBorders>
          </w:tcPr>
          <w:p w:rsidR="00022A6E" w:rsidRPr="00FA5289" w:rsidRDefault="00022A6E" w:rsidP="0075024E">
            <w:pPr>
              <w:spacing w:after="0" w:line="240" w:lineRule="auto"/>
              <w:jc w:val="center"/>
              <w:rPr>
                <w:b/>
                <w:bCs/>
              </w:rPr>
            </w:pPr>
            <w:r w:rsidRPr="00FA5289">
              <w:rPr>
                <w:b/>
                <w:bCs/>
              </w:rPr>
              <w:t xml:space="preserve">Ballard et al. </w:t>
            </w:r>
            <w:r w:rsidR="006531EA">
              <w:rPr>
                <w:b/>
                <w:bCs/>
              </w:rPr>
              <w:t>(</w:t>
            </w:r>
            <w:r w:rsidRPr="00FA5289">
              <w:rPr>
                <w:b/>
                <w:bCs/>
              </w:rPr>
              <w:t>2010</w:t>
            </w:r>
            <w:r w:rsidR="006531EA">
              <w:rPr>
                <w:b/>
                <w:bCs/>
              </w:rPr>
              <w:t>)</w:t>
            </w:r>
            <w:r w:rsidRPr="00FA5289">
              <w:rPr>
                <w:b/>
                <w:bCs/>
              </w:rPr>
              <w:t xml:space="preserve"> </w:t>
            </w:r>
            <w:r w:rsidR="00156059" w:rsidRPr="00FA5289">
              <w:rPr>
                <w:b/>
                <w:bCs/>
              </w:rPr>
              <w:fldChar w:fldCharType="begin" w:fldLock="1"/>
            </w:r>
            <w:r w:rsidR="0075024E" w:rsidRPr="00FA5289">
              <w:rPr>
                <w:b/>
                <w:bCs/>
              </w:rPr>
              <w:instrText>ADDIN CSL_CITATION { "citationItems" : [ { "id" : "ITEM-1", "itemData" : { "DOI" : "10.1007/s10900-009-9201-5", "ISBN" : "1090000992015", "ISSN" : "00945145", "PMID" : "20012477", "abstract" : "Osteoporosis is a serious national public health problem, and is expected to increase significantly over the next few decades, especially in women. A limitation of bone health research exists since few studies have involved Hispanic women, and even fewer, Hispanic immigrant women. For this study we examined the effects of anthropometric, behavioral, and health history variables on bone mineral density (BMD) in 84 immigrant Hispanic women, age 40 and above. BMD was assessed at the spine, femur, and forearm using dual energy x-ray absorptiometry (DXA). Demographic information, health histories, and behavioral risk factors were obtained from a questionnaire. In the younger group (mean age = 44.1 years) 61% had spinal osteopenia, and in the postmenopausal group (mean age = 53.0 years) 59% had osteopenia and 13% had osteoporosis. Femur sites were free of osteoporosis. Mean body mass index (BMI) was 31.8 \u00b1 6.1 and mean waist girth was 95.6 \u00b1 12.5 cm, indicating overall and abdominal obesity. Partial correlations indicated a significant positive relationship between body fat variables and total femur BMD values. ANOVAs revealed no differences in BMD values at any bone site across tertile levels for calcium intake or for physical activity. However, supplemental and dietary calcium intakes were very low and few participants engaged in regular physical activity outside of work and activities of daily living (ADL). In light of the expected increase in osteoporosis in this population and the prevalence of spinal osteopenia in the younger participants, education about the health risks of osteoporosis should be made available to this group.", "author" : [ { "dropping-particle" : "", "family" : "Ballard", "given" : "Joyce E.", "non-dropping-particle" : "", "parse-names" : false, "suffix" : "" }, { "dropping-particle" : "", "family" : "Cooper", "given" : "Cheryl M.", "non-dropping-particle" : "", "parse-names" : false, "suffix" : "" }, { "dropping-particle" : "", "family" : "Bone", "given" : "Mary A.", "non-dropping-particle" : "", "parse-names" : false, "suffix" : "" }, { "dropping-particle" : "", "family" : "Saade", "given" : "Guillermo", "non-dropping-particle" : "", "parse-names" : false, "suffix" : "" }, { "dropping-particle" : "", "family" : "Holiday", "given" : "David B.", "non-dropping-particle" : "", "parse-names" : false, "suffix" : "" } ], "container-title" : "Journal of Community Health", "id" : "ITEM-1", "issue" : "5", "issued" : { "date-parts" : [ [ "2010" ] ] }, "page" : "453-463", "title" : "Bone health in immigrant hispanic women living in texas", "type" : "article-journal", "volume" : "35" }, "uris" : [ "http://www.mendeley.com/documents/?uuid=cde119cb-b1f9-42cb-8c81-cae1acd7b9a2" ] } ], "mendeley" : { "formattedCitation" : "&lt;sup&gt;47&lt;/sup&gt;", "plainTextFormattedCitation" : "47", "previouslyFormattedCitation" : "&lt;sup&gt;47&lt;/sup&gt;" }, "properties" : { "noteIndex" : 0 }, "schema" : "https://github.com/citation-style-language/schema/raw/master/csl-citation.json" }</w:instrText>
            </w:r>
            <w:r w:rsidR="00156059" w:rsidRPr="00FA5289">
              <w:rPr>
                <w:b/>
                <w:bCs/>
              </w:rPr>
              <w:fldChar w:fldCharType="separate"/>
            </w:r>
            <w:r w:rsidR="0075024E" w:rsidRPr="00FA5289">
              <w:rPr>
                <w:bCs/>
                <w:noProof/>
                <w:vertAlign w:val="superscript"/>
              </w:rPr>
              <w:t>47</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r w:rsidRPr="00FA5289">
              <w:t>Healthy immigrant Hispanic women</w:t>
            </w:r>
          </w:p>
        </w:tc>
        <w:tc>
          <w:tcPr>
            <w:tcW w:w="567" w:type="dxa"/>
            <w:tcBorders>
              <w:left w:val="nil"/>
              <w:right w:val="nil"/>
            </w:tcBorders>
          </w:tcPr>
          <w:p w:rsidR="00022A6E" w:rsidRPr="00FA5289" w:rsidRDefault="00022A6E" w:rsidP="0036552A">
            <w:pPr>
              <w:spacing w:after="0" w:line="240" w:lineRule="auto"/>
              <w:jc w:val="center"/>
            </w:pPr>
            <w:r w:rsidRPr="00FA5289">
              <w:t>84</w:t>
            </w:r>
          </w:p>
        </w:tc>
        <w:tc>
          <w:tcPr>
            <w:tcW w:w="992" w:type="dxa"/>
            <w:tcBorders>
              <w:left w:val="nil"/>
              <w:right w:val="nil"/>
            </w:tcBorders>
          </w:tcPr>
          <w:p w:rsidR="00022A6E" w:rsidRPr="00FA5289" w:rsidRDefault="00022A6E" w:rsidP="0036552A">
            <w:pPr>
              <w:spacing w:after="0" w:line="240" w:lineRule="auto"/>
              <w:jc w:val="center"/>
            </w:pPr>
            <w:r w:rsidRPr="00FA5289">
              <w:t>Female</w:t>
            </w:r>
          </w:p>
        </w:tc>
        <w:tc>
          <w:tcPr>
            <w:tcW w:w="1002" w:type="dxa"/>
            <w:tcBorders>
              <w:left w:val="nil"/>
              <w:right w:val="nil"/>
            </w:tcBorders>
          </w:tcPr>
          <w:p w:rsidR="00022A6E" w:rsidRPr="00FA5289" w:rsidRDefault="00022A6E" w:rsidP="0036552A">
            <w:pPr>
              <w:spacing w:after="0" w:line="240" w:lineRule="auto"/>
              <w:jc w:val="center"/>
            </w:pPr>
            <w:r w:rsidRPr="00FA5289">
              <w:t>47.9 ± 7</w:t>
            </w:r>
          </w:p>
        </w:tc>
        <w:tc>
          <w:tcPr>
            <w:tcW w:w="1408" w:type="dxa"/>
            <w:tcBorders>
              <w:left w:val="nil"/>
              <w:right w:val="nil"/>
            </w:tcBorders>
          </w:tcPr>
          <w:p w:rsidR="00022A6E" w:rsidRPr="00FA5289" w:rsidRDefault="00022A6E" w:rsidP="0036552A">
            <w:pPr>
              <w:spacing w:after="0" w:line="240" w:lineRule="auto"/>
              <w:jc w:val="center"/>
            </w:pPr>
            <w:r w:rsidRPr="00FA5289">
              <w:t>31.8 ± 6.1</w:t>
            </w:r>
          </w:p>
        </w:tc>
        <w:tc>
          <w:tcPr>
            <w:tcW w:w="1417" w:type="dxa"/>
            <w:tcBorders>
              <w:left w:val="nil"/>
              <w:right w:val="nil"/>
            </w:tcBorders>
          </w:tcPr>
          <w:p w:rsidR="00022A6E" w:rsidRPr="00FA5289" w:rsidRDefault="00022A6E" w:rsidP="0036552A">
            <w:pPr>
              <w:spacing w:after="0" w:line="240" w:lineRule="auto"/>
              <w:jc w:val="center"/>
            </w:pPr>
            <w:r w:rsidRPr="00FA5289">
              <w:t>26 ± 7.6</w:t>
            </w:r>
          </w:p>
        </w:tc>
        <w:tc>
          <w:tcPr>
            <w:tcW w:w="1417" w:type="dxa"/>
            <w:tcBorders>
              <w:left w:val="nil"/>
              <w:right w:val="nil"/>
            </w:tcBorders>
          </w:tcPr>
          <w:p w:rsidR="00022A6E" w:rsidRPr="00FA5289" w:rsidRDefault="00022A6E" w:rsidP="0036552A">
            <w:pPr>
              <w:spacing w:after="0" w:line="240" w:lineRule="auto"/>
              <w:jc w:val="center"/>
            </w:pPr>
            <w:r w:rsidRPr="00FA5289">
              <w:t>34.7 ± 4.3</w:t>
            </w:r>
          </w:p>
        </w:tc>
        <w:tc>
          <w:tcPr>
            <w:tcW w:w="1417" w:type="dxa"/>
            <w:tcBorders>
              <w:left w:val="nil"/>
              <w:right w:val="nil"/>
            </w:tcBorders>
          </w:tcPr>
          <w:p w:rsidR="00022A6E" w:rsidRPr="00FA5289" w:rsidRDefault="00022A6E" w:rsidP="0036552A">
            <w:pPr>
              <w:spacing w:after="0" w:line="240" w:lineRule="auto"/>
              <w:jc w:val="center"/>
            </w:pPr>
            <w:r w:rsidRPr="00FA5289">
              <w:t>-</w:t>
            </w:r>
          </w:p>
        </w:tc>
        <w:tc>
          <w:tcPr>
            <w:tcW w:w="1418" w:type="dxa"/>
            <w:tcBorders>
              <w:left w:val="nil"/>
              <w:right w:val="nil"/>
            </w:tcBorders>
          </w:tcPr>
          <w:p w:rsidR="00022A6E" w:rsidRPr="00FA5289" w:rsidRDefault="00022A6E" w:rsidP="0036552A">
            <w:pPr>
              <w:spacing w:after="0" w:line="240" w:lineRule="auto"/>
              <w:jc w:val="center"/>
            </w:pPr>
            <w:r w:rsidRPr="00FA5289">
              <w:t>L2 – 4</w:t>
            </w:r>
          </w:p>
          <w:p w:rsidR="00022A6E" w:rsidRPr="00FA5289" w:rsidRDefault="00022A6E" w:rsidP="0036552A">
            <w:pPr>
              <w:spacing w:after="0" w:line="240" w:lineRule="auto"/>
              <w:jc w:val="center"/>
            </w:pPr>
            <w:r w:rsidRPr="00FA5289">
              <w:t>0.955 ± 0.11</w:t>
            </w:r>
          </w:p>
        </w:tc>
        <w:tc>
          <w:tcPr>
            <w:tcW w:w="1417" w:type="dxa"/>
            <w:tcBorders>
              <w:left w:val="nil"/>
              <w:right w:val="nil"/>
            </w:tcBorders>
          </w:tcPr>
          <w:p w:rsidR="00022A6E" w:rsidRPr="00FA5289" w:rsidRDefault="00022A6E" w:rsidP="0036552A">
            <w:pPr>
              <w:spacing w:after="0" w:line="240" w:lineRule="auto"/>
              <w:jc w:val="center"/>
            </w:pPr>
            <w:r w:rsidRPr="00FA5289">
              <w:t>0.998 ± 0.13</w:t>
            </w:r>
          </w:p>
        </w:tc>
        <w:tc>
          <w:tcPr>
            <w:tcW w:w="1418" w:type="dxa"/>
            <w:tcBorders>
              <w:left w:val="nil"/>
              <w:right w:val="nil"/>
            </w:tcBorders>
          </w:tcPr>
          <w:p w:rsidR="00022A6E" w:rsidRPr="00FA5289" w:rsidRDefault="00022A6E" w:rsidP="0036552A">
            <w:pPr>
              <w:spacing w:after="0" w:line="240" w:lineRule="auto"/>
              <w:jc w:val="center"/>
            </w:pPr>
            <w:r w:rsidRPr="00FA5289">
              <w:t>0.843 ± 0.12</w:t>
            </w:r>
          </w:p>
        </w:tc>
      </w:tr>
      <w:tr w:rsidR="00022A6E" w:rsidRPr="00022A6E" w:rsidTr="000C62EB">
        <w:trPr>
          <w:jc w:val="center"/>
        </w:trPr>
        <w:tc>
          <w:tcPr>
            <w:tcW w:w="1698" w:type="dxa"/>
            <w:tcBorders>
              <w:left w:val="nil"/>
              <w:right w:val="nil"/>
            </w:tcBorders>
          </w:tcPr>
          <w:p w:rsidR="00022A6E" w:rsidRPr="00FA5289" w:rsidRDefault="00022A6E" w:rsidP="0075024E">
            <w:pPr>
              <w:spacing w:after="0" w:line="240" w:lineRule="auto"/>
              <w:jc w:val="center"/>
              <w:rPr>
                <w:b/>
                <w:bCs/>
              </w:rPr>
            </w:pPr>
            <w:proofErr w:type="spellStart"/>
            <w:r w:rsidRPr="00FA5289">
              <w:rPr>
                <w:b/>
                <w:bCs/>
              </w:rPr>
              <w:t>Boyanov</w:t>
            </w:r>
            <w:proofErr w:type="spellEnd"/>
            <w:r w:rsidRPr="00FA5289">
              <w:rPr>
                <w:b/>
                <w:bCs/>
              </w:rPr>
              <w:t xml:space="preserve"> et al. </w:t>
            </w:r>
            <w:r w:rsidR="006531EA">
              <w:rPr>
                <w:b/>
                <w:bCs/>
              </w:rPr>
              <w:t>(</w:t>
            </w:r>
            <w:r w:rsidRPr="00FA5289">
              <w:rPr>
                <w:b/>
                <w:bCs/>
              </w:rPr>
              <w:t>2014</w:t>
            </w:r>
            <w:r w:rsidR="006531EA">
              <w:rPr>
                <w:b/>
                <w:bCs/>
              </w:rPr>
              <w:t>)</w:t>
            </w:r>
            <w:r w:rsidRPr="00FA5289">
              <w:rPr>
                <w:b/>
                <w:bCs/>
              </w:rPr>
              <w:t xml:space="preserve"> </w:t>
            </w:r>
            <w:r w:rsidR="00156059" w:rsidRPr="00FA5289">
              <w:rPr>
                <w:b/>
                <w:bCs/>
              </w:rPr>
              <w:fldChar w:fldCharType="begin" w:fldLock="1"/>
            </w:r>
            <w:r w:rsidR="0075024E" w:rsidRPr="00FA5289">
              <w:rPr>
                <w:b/>
                <w:bCs/>
              </w:rPr>
              <w:instrText>ADDIN CSL_CITATION { "citationItems" : [ { "id" : "ITEM-1", "itemData" : { "DOI" : "10.2478/s11536-013-0259-1", "ISSN" : "2391-5463", "abstract" : "&lt;p&gt;The aim of this study was to determine the relative contributions of fat mass and lean mass to the variability of bone mineral density (BMD) of the lumbar spine and proximal 1/3 forearm in Bulgarian women. 180 women aged 21 through 76 years participated (mean age 50.8 \u00b1 9.7 years). 130 of them were postmenopausal. Lumbar spine and forearm BMD were measured by dual-energy X-ray absorptiometry, followed by a whole-body scan for body composition examination (Hologic QDR 4500 A device, software version 1.26). The strongest linear correlation was found with body weight (r2=0.231, p&amp;lt;0.001). Using this model, 18.1 % of the variability of lumbar spine BMD was attributable to fat mass and 16.0 % to lean mass. The relative influence of fat mass on L1-L4 BMD was greater than that of lean mass (standardized regression coefficient 0.291 versus 0.199). There were weak correlations of body weight, fat and lean mass with the forearm BMD. Lean mass correlated slightly better (r=0.187, p=0.050) to forearm BMD than fat mass (r=0.162, p=0.055). In conclusion, the differentiation between fat and lean mass does not strengthen the BMD correlations beyond that with total body weight.&lt;/p&gt;", "author" : [ { "dropping-particle" : "", "family" : "Boyanov", "given" : "Mihail", "non-dropping-particle" : "", "parse-names" : false, "suffix" : "" } ], "container-title" : "Open Medicine", "id" : "ITEM-1", "issue" : "1", "issued" : { "date-parts" : [ [ "2014" ] ] }, "title" : "Body fat, lean mass and bone density of the spine and forearm in women", "type" : "article-journal", "volume" : "9" }, "uris" : [ "http://www.mendeley.com/documents/?uuid=cb11ac81-3ffb-4bbc-a3c5-3205fee0670a" ] } ], "mendeley" : { "formattedCitation" : "&lt;sup&gt;48&lt;/sup&gt;", "plainTextFormattedCitation" : "48", "previouslyFormattedCitation" : "&lt;sup&gt;48&lt;/sup&gt;" }, "properties" : { "noteIndex" : 0 }, "schema" : "https://github.com/citation-style-language/schema/raw/master/csl-citation.json" }</w:instrText>
            </w:r>
            <w:r w:rsidR="00156059" w:rsidRPr="00FA5289">
              <w:rPr>
                <w:b/>
                <w:bCs/>
              </w:rPr>
              <w:fldChar w:fldCharType="separate"/>
            </w:r>
            <w:r w:rsidR="0075024E" w:rsidRPr="00FA5289">
              <w:rPr>
                <w:bCs/>
                <w:noProof/>
                <w:vertAlign w:val="superscript"/>
              </w:rPr>
              <w:t>48</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r w:rsidRPr="00FA5289">
              <w:t>Bulgarian women</w:t>
            </w:r>
          </w:p>
        </w:tc>
        <w:tc>
          <w:tcPr>
            <w:tcW w:w="567" w:type="dxa"/>
            <w:tcBorders>
              <w:left w:val="nil"/>
              <w:right w:val="nil"/>
            </w:tcBorders>
          </w:tcPr>
          <w:p w:rsidR="00022A6E" w:rsidRPr="00FA5289" w:rsidRDefault="00022A6E" w:rsidP="0036552A">
            <w:pPr>
              <w:spacing w:after="0" w:line="240" w:lineRule="auto"/>
              <w:jc w:val="center"/>
            </w:pPr>
            <w:r w:rsidRPr="00FA5289">
              <w:t>180</w:t>
            </w:r>
          </w:p>
        </w:tc>
        <w:tc>
          <w:tcPr>
            <w:tcW w:w="992" w:type="dxa"/>
            <w:tcBorders>
              <w:left w:val="nil"/>
              <w:right w:val="nil"/>
            </w:tcBorders>
          </w:tcPr>
          <w:p w:rsidR="00022A6E" w:rsidRPr="00FA5289" w:rsidRDefault="00022A6E" w:rsidP="0036552A">
            <w:pPr>
              <w:spacing w:after="0" w:line="240" w:lineRule="auto"/>
              <w:jc w:val="center"/>
            </w:pPr>
            <w:r w:rsidRPr="00FA5289">
              <w:t>Female</w:t>
            </w:r>
          </w:p>
        </w:tc>
        <w:tc>
          <w:tcPr>
            <w:tcW w:w="1002" w:type="dxa"/>
            <w:tcBorders>
              <w:left w:val="nil"/>
              <w:right w:val="nil"/>
            </w:tcBorders>
          </w:tcPr>
          <w:p w:rsidR="00022A6E" w:rsidRPr="00FA5289" w:rsidRDefault="00022A6E" w:rsidP="0036552A">
            <w:pPr>
              <w:spacing w:after="0" w:line="240" w:lineRule="auto"/>
              <w:jc w:val="center"/>
            </w:pPr>
            <w:r w:rsidRPr="00FA5289">
              <w:t>50.8 ± 9.7</w:t>
            </w:r>
          </w:p>
        </w:tc>
        <w:tc>
          <w:tcPr>
            <w:tcW w:w="1408" w:type="dxa"/>
            <w:tcBorders>
              <w:left w:val="nil"/>
              <w:right w:val="nil"/>
            </w:tcBorders>
          </w:tcPr>
          <w:p w:rsidR="00022A6E" w:rsidRPr="00FA5289" w:rsidRDefault="00022A6E" w:rsidP="0036552A">
            <w:pPr>
              <w:spacing w:after="0" w:line="240" w:lineRule="auto"/>
              <w:jc w:val="center"/>
            </w:pPr>
            <w:r w:rsidRPr="00FA5289">
              <w:t>32.7 ± 4.5</w:t>
            </w:r>
          </w:p>
        </w:tc>
        <w:tc>
          <w:tcPr>
            <w:tcW w:w="1417" w:type="dxa"/>
            <w:tcBorders>
              <w:left w:val="nil"/>
              <w:right w:val="nil"/>
            </w:tcBorders>
          </w:tcPr>
          <w:p w:rsidR="00022A6E" w:rsidRPr="00FA5289" w:rsidRDefault="00022A6E" w:rsidP="0036552A">
            <w:pPr>
              <w:spacing w:after="0" w:line="240" w:lineRule="auto"/>
              <w:jc w:val="center"/>
            </w:pPr>
            <w:r w:rsidRPr="00FA5289">
              <w:t>36.6 ± 13.0</w:t>
            </w:r>
          </w:p>
        </w:tc>
        <w:tc>
          <w:tcPr>
            <w:tcW w:w="1417" w:type="dxa"/>
            <w:tcBorders>
              <w:left w:val="nil"/>
              <w:right w:val="nil"/>
            </w:tcBorders>
          </w:tcPr>
          <w:p w:rsidR="00022A6E" w:rsidRPr="00FA5289" w:rsidRDefault="00022A6E" w:rsidP="0036552A">
            <w:pPr>
              <w:spacing w:after="0" w:line="240" w:lineRule="auto"/>
              <w:jc w:val="center"/>
            </w:pPr>
            <w:r w:rsidRPr="00FA5289">
              <w:t>42.3 ± 6.2</w:t>
            </w:r>
          </w:p>
        </w:tc>
        <w:tc>
          <w:tcPr>
            <w:tcW w:w="1417" w:type="dxa"/>
            <w:tcBorders>
              <w:left w:val="nil"/>
              <w:right w:val="nil"/>
            </w:tcBorders>
          </w:tcPr>
          <w:p w:rsidR="00022A6E" w:rsidRPr="00FA5289" w:rsidRDefault="00022A6E" w:rsidP="0036552A">
            <w:pPr>
              <w:spacing w:after="0" w:line="240" w:lineRule="auto"/>
              <w:jc w:val="center"/>
            </w:pPr>
            <w:r w:rsidRPr="00FA5289">
              <w:t>-</w:t>
            </w:r>
          </w:p>
        </w:tc>
        <w:tc>
          <w:tcPr>
            <w:tcW w:w="1418" w:type="dxa"/>
            <w:tcBorders>
              <w:left w:val="nil"/>
              <w:right w:val="nil"/>
            </w:tcBorders>
          </w:tcPr>
          <w:p w:rsidR="00022A6E" w:rsidRPr="00FA5289" w:rsidRDefault="00022A6E" w:rsidP="0036552A">
            <w:pPr>
              <w:spacing w:after="0" w:line="240" w:lineRule="auto"/>
              <w:jc w:val="center"/>
            </w:pPr>
            <w:r w:rsidRPr="00FA5289">
              <w:t>L1 – 4</w:t>
            </w:r>
          </w:p>
          <w:p w:rsidR="00022A6E" w:rsidRPr="00FA5289" w:rsidRDefault="00022A6E" w:rsidP="0036552A">
            <w:pPr>
              <w:spacing w:after="0" w:line="240" w:lineRule="auto"/>
              <w:jc w:val="center"/>
            </w:pPr>
            <w:r w:rsidRPr="00FA5289">
              <w:t>0.954 ± 0.174</w:t>
            </w:r>
          </w:p>
        </w:tc>
        <w:tc>
          <w:tcPr>
            <w:tcW w:w="1417" w:type="dxa"/>
            <w:tcBorders>
              <w:left w:val="nil"/>
              <w:right w:val="nil"/>
            </w:tcBorders>
          </w:tcPr>
          <w:p w:rsidR="00022A6E" w:rsidRPr="00FA5289" w:rsidRDefault="00022A6E" w:rsidP="0036552A">
            <w:pPr>
              <w:spacing w:after="0" w:line="240" w:lineRule="auto"/>
              <w:jc w:val="center"/>
            </w:pPr>
            <w:r w:rsidRPr="00FA5289">
              <w:t>-</w:t>
            </w:r>
          </w:p>
        </w:tc>
        <w:tc>
          <w:tcPr>
            <w:tcW w:w="1418" w:type="dxa"/>
            <w:tcBorders>
              <w:left w:val="nil"/>
              <w:right w:val="nil"/>
            </w:tcBorders>
          </w:tcPr>
          <w:p w:rsidR="00022A6E" w:rsidRPr="00FA5289" w:rsidRDefault="00022A6E" w:rsidP="0036552A">
            <w:pPr>
              <w:spacing w:after="0" w:line="240" w:lineRule="auto"/>
              <w:jc w:val="center"/>
            </w:pPr>
            <w:r w:rsidRPr="00FA5289">
              <w:t>-</w:t>
            </w:r>
          </w:p>
        </w:tc>
      </w:tr>
      <w:tr w:rsidR="00022A6E" w:rsidRPr="00022A6E" w:rsidTr="000C62EB">
        <w:trPr>
          <w:jc w:val="center"/>
        </w:trPr>
        <w:tc>
          <w:tcPr>
            <w:tcW w:w="1698" w:type="dxa"/>
            <w:tcBorders>
              <w:left w:val="nil"/>
              <w:right w:val="nil"/>
            </w:tcBorders>
          </w:tcPr>
          <w:p w:rsidR="00022A6E" w:rsidRPr="00FA5289" w:rsidRDefault="00022A6E" w:rsidP="0075024E">
            <w:pPr>
              <w:spacing w:after="0" w:line="240" w:lineRule="auto"/>
              <w:jc w:val="center"/>
              <w:rPr>
                <w:b/>
                <w:bCs/>
              </w:rPr>
            </w:pPr>
            <w:r w:rsidRPr="00FA5289">
              <w:rPr>
                <w:b/>
                <w:bCs/>
              </w:rPr>
              <w:t xml:space="preserve">Campos et al. </w:t>
            </w:r>
            <w:r w:rsidR="006531EA">
              <w:rPr>
                <w:b/>
                <w:bCs/>
              </w:rPr>
              <w:t>(</w:t>
            </w:r>
            <w:r w:rsidRPr="00FA5289">
              <w:rPr>
                <w:b/>
                <w:bCs/>
              </w:rPr>
              <w:t>2012</w:t>
            </w:r>
            <w:r w:rsidR="006531EA">
              <w:rPr>
                <w:b/>
                <w:bCs/>
              </w:rPr>
              <w:t>)</w:t>
            </w:r>
            <w:r w:rsidRPr="00FA5289">
              <w:rPr>
                <w:b/>
                <w:bCs/>
              </w:rPr>
              <w:t xml:space="preserve"> </w:t>
            </w:r>
            <w:r w:rsidR="00156059" w:rsidRPr="00FA5289">
              <w:rPr>
                <w:b/>
                <w:bCs/>
              </w:rPr>
              <w:fldChar w:fldCharType="begin" w:fldLock="1"/>
            </w:r>
            <w:r w:rsidR="0075024E" w:rsidRPr="00FA5289">
              <w:rPr>
                <w:b/>
                <w:bCs/>
              </w:rPr>
              <w:instrText>ADDIN CSL_CITATION { "citationItems" : [ { "id" : "ITEM-1", "itemData" : { "DOI" : "S0004-27302012000100003 [pii]", "ISBN" : "1677-9487 (Electronic)\\n0004-2730 (Linking)", "ISSN" : "1677-9487", "PMID" : "22460190", "abstract" : "OBJECTIVE: To verify the influence of visceral and subcutaneous fat, as well adipokines in bone mineral density (BMD) in obese adolescents.\\n\\nSUBJECTS AND METHODS: The study involved 125 postpubertal obese adolescents (45 boys and 80 girls). Anthropometric measurements, body composition, visceral and subcutaneous fat, and BMD were determined. Leptin, adiponectin, and insulin levels also analyzed.\\n\\nRESULTS: Data demonstrated a negative relationship between BMD with insulin resistance, visceral fat and leptin concentration; and bone mineral content with visceral/subcutaneous ratio. Positive association between BMD and subcutaneous fat was observed.\\n\\nCONCLUSIONS: Visceral fat and insulin resistance, as well as visceral/subcutaneous ratio and leptin concentration, were negative predictors of BMD in boys and girls, respectively. However, subcutaneous fat had a protective influence in BMD only in boys.", "author" : [ { "dropping-particle" : "", "family" : "Campos", "given" : "Raquel M S", "non-dropping-particle" : "", "parse-names" : false, "suffix" : "" }, { "dropping-particle" : "", "family" : "Lazaretti-Castro", "given" : "Marise", "non-dropping-particle" : "", "parse-names" : false, "suffix" : "" }, { "dropping-particle" : "De", "family" : "Mello", "given" : "Marco T\u00falio", "non-dropping-particle" : "", "parse-names" : false, "suffix" : "" }, { "dropping-particle" : "", "family" : "Tock", "given" : "Lian", "non-dropping-particle" : "", "parse-names" : false, "suffix" : "" }, { "dropping-particle" : "", "family" : "Silva", "given" : "Patricia L", "non-dropping-particle" : "", "parse-names" : false, "suffix" : "" }, { "dropping-particle" : "", "family" : "Corgosinho", "given" : "Fl\u00e1via C", "non-dropping-particle" : "", "parse-names" : false, "suffix" : "" }, { "dropping-particle" : "", "family" : "Carnier", "given" : "June", "non-dropping-particle" : "", "parse-names" : false, "suffix" : "" }, { "dropping-particle" : "De", "family" : "Piano", "given" : "Aline", "non-dropping-particle" : "", "parse-names" : false, "suffix" : "" }, { "dropping-particle" : "", "family" : "Sanches", "given" : "Priscila L", "non-dropping-particle" : "", "parse-names" : false, "suffix" : "" }, { "dropping-particle" : "", "family" : "Masquio", "given" : "Deborah C L", "non-dropping-particle" : "", "parse-names" : false, "suffix" : "" }, { "dropping-particle" : "", "family" : "Tufik", "given" : "Sergio", "non-dropping-particle" : "", "parse-names" : false, "suffix" : "" }, { "dropping-particle" : "", "family" : "D\u00e2maso", "given" : "Ana R", "non-dropping-particle" : "", "parse-names" : false, "suffix" : "" } ], "container-title" : "Arquivos brasileiros de endocrinologia e metabologia", "id" : "ITEM-1", "issue" : "1", "issued" : { "date-parts" : [ [ "2012" ] ] }, "page" : "12-8", "title" : "Influence of visceral and subcutaneous fat in bone mineral density of obese adolescents.", "type" : "article-journal", "volume" : "56" }, "uris" : [ "http://www.mendeley.com/documents/?uuid=e241a699-3f00-45ce-bff1-152cc714f3b0" ] } ], "mendeley" : { "formattedCitation" : "&lt;sup&gt;49&lt;/sup&gt;", "plainTextFormattedCitation" : "49", "previouslyFormattedCitation" : "&lt;sup&gt;49&lt;/sup&gt;" }, "properties" : { "noteIndex" : 0 }, "schema" : "https://github.com/citation-style-language/schema/raw/master/csl-citation.json" }</w:instrText>
            </w:r>
            <w:r w:rsidR="00156059" w:rsidRPr="00FA5289">
              <w:rPr>
                <w:b/>
                <w:bCs/>
              </w:rPr>
              <w:fldChar w:fldCharType="separate"/>
            </w:r>
            <w:r w:rsidR="0075024E" w:rsidRPr="00FA5289">
              <w:rPr>
                <w:bCs/>
                <w:noProof/>
                <w:vertAlign w:val="superscript"/>
              </w:rPr>
              <w:t>49</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proofErr w:type="spellStart"/>
            <w:r w:rsidRPr="00FA5289">
              <w:t>Postpubertal</w:t>
            </w:r>
            <w:proofErr w:type="spellEnd"/>
            <w:r w:rsidRPr="00FA5289">
              <w:t xml:space="preserve"> obese adolescents</w:t>
            </w:r>
          </w:p>
        </w:tc>
        <w:tc>
          <w:tcPr>
            <w:tcW w:w="567" w:type="dxa"/>
            <w:tcBorders>
              <w:left w:val="nil"/>
              <w:right w:val="nil"/>
            </w:tcBorders>
          </w:tcPr>
          <w:p w:rsidR="00022A6E" w:rsidRPr="00FA5289" w:rsidRDefault="00022A6E" w:rsidP="0036552A">
            <w:pPr>
              <w:spacing w:after="0" w:line="240" w:lineRule="auto"/>
              <w:jc w:val="center"/>
            </w:pPr>
            <w:r w:rsidRPr="00FA5289">
              <w:t>45</w:t>
            </w:r>
          </w:p>
        </w:tc>
        <w:tc>
          <w:tcPr>
            <w:tcW w:w="992" w:type="dxa"/>
            <w:tcBorders>
              <w:left w:val="nil"/>
              <w:right w:val="nil"/>
            </w:tcBorders>
          </w:tcPr>
          <w:p w:rsidR="00022A6E" w:rsidRPr="00FA5289" w:rsidRDefault="00022A6E" w:rsidP="0036552A">
            <w:pPr>
              <w:spacing w:after="0" w:line="240" w:lineRule="auto"/>
              <w:jc w:val="center"/>
            </w:pPr>
            <w:r w:rsidRPr="00FA5289">
              <w:t>Male</w:t>
            </w:r>
          </w:p>
        </w:tc>
        <w:tc>
          <w:tcPr>
            <w:tcW w:w="1002" w:type="dxa"/>
            <w:tcBorders>
              <w:left w:val="nil"/>
              <w:right w:val="nil"/>
            </w:tcBorders>
          </w:tcPr>
          <w:p w:rsidR="00022A6E" w:rsidRPr="00FA5289" w:rsidRDefault="00022A6E" w:rsidP="0036552A">
            <w:pPr>
              <w:spacing w:after="0" w:line="240" w:lineRule="auto"/>
              <w:jc w:val="center"/>
            </w:pPr>
            <w:r w:rsidRPr="00FA5289">
              <w:t>16.04 ± 1.87</w:t>
            </w:r>
          </w:p>
        </w:tc>
        <w:tc>
          <w:tcPr>
            <w:tcW w:w="1408" w:type="dxa"/>
            <w:tcBorders>
              <w:left w:val="nil"/>
              <w:right w:val="nil"/>
            </w:tcBorders>
          </w:tcPr>
          <w:p w:rsidR="00022A6E" w:rsidRPr="00FA5289" w:rsidRDefault="00022A6E" w:rsidP="0036552A">
            <w:pPr>
              <w:spacing w:after="0" w:line="240" w:lineRule="auto"/>
              <w:jc w:val="center"/>
            </w:pPr>
            <w:r w:rsidRPr="00FA5289">
              <w:t>36.26 ± 4.40</w:t>
            </w:r>
          </w:p>
        </w:tc>
        <w:tc>
          <w:tcPr>
            <w:tcW w:w="1417" w:type="dxa"/>
            <w:tcBorders>
              <w:left w:val="nil"/>
              <w:right w:val="nil"/>
            </w:tcBorders>
          </w:tcPr>
          <w:p w:rsidR="00022A6E" w:rsidRPr="00FA5289" w:rsidRDefault="00022A6E" w:rsidP="0036552A">
            <w:pPr>
              <w:spacing w:after="0" w:line="240" w:lineRule="auto"/>
              <w:jc w:val="center"/>
            </w:pPr>
            <w:r w:rsidRPr="00FA5289">
              <w:t>43.1 ± 10.8</w:t>
            </w:r>
          </w:p>
        </w:tc>
        <w:tc>
          <w:tcPr>
            <w:tcW w:w="1417" w:type="dxa"/>
            <w:tcBorders>
              <w:left w:val="nil"/>
              <w:right w:val="nil"/>
            </w:tcBorders>
          </w:tcPr>
          <w:p w:rsidR="00022A6E" w:rsidRPr="00FA5289" w:rsidRDefault="00022A6E" w:rsidP="0036552A">
            <w:pPr>
              <w:spacing w:after="0" w:line="240" w:lineRule="auto"/>
              <w:jc w:val="center"/>
            </w:pPr>
            <w:r w:rsidRPr="00FA5289">
              <w:t>40.31 ± 6.41</w:t>
            </w:r>
          </w:p>
        </w:tc>
        <w:tc>
          <w:tcPr>
            <w:tcW w:w="1417" w:type="dxa"/>
            <w:tcBorders>
              <w:left w:val="nil"/>
              <w:right w:val="nil"/>
            </w:tcBorders>
          </w:tcPr>
          <w:p w:rsidR="00022A6E" w:rsidRPr="00FA5289" w:rsidRDefault="00022A6E" w:rsidP="0036552A">
            <w:pPr>
              <w:spacing w:after="0" w:line="240" w:lineRule="auto"/>
              <w:jc w:val="center"/>
            </w:pPr>
            <w:r w:rsidRPr="00FA5289">
              <w:t>1.24 ± 0.14</w:t>
            </w:r>
          </w:p>
        </w:tc>
        <w:tc>
          <w:tcPr>
            <w:tcW w:w="1418" w:type="dxa"/>
            <w:tcBorders>
              <w:left w:val="nil"/>
              <w:right w:val="nil"/>
            </w:tcBorders>
          </w:tcPr>
          <w:p w:rsidR="00022A6E" w:rsidRPr="00FA5289" w:rsidRDefault="00022A6E" w:rsidP="0036552A">
            <w:pPr>
              <w:spacing w:after="0" w:line="240" w:lineRule="auto"/>
              <w:jc w:val="center"/>
            </w:pPr>
            <w:r w:rsidRPr="00FA5289">
              <w:t>1.06 ± 0.17</w:t>
            </w:r>
          </w:p>
        </w:tc>
        <w:tc>
          <w:tcPr>
            <w:tcW w:w="1417" w:type="dxa"/>
            <w:tcBorders>
              <w:left w:val="nil"/>
              <w:right w:val="nil"/>
            </w:tcBorders>
          </w:tcPr>
          <w:p w:rsidR="00022A6E" w:rsidRPr="00FA5289" w:rsidRDefault="00022A6E" w:rsidP="0036552A">
            <w:pPr>
              <w:spacing w:after="0" w:line="240" w:lineRule="auto"/>
              <w:jc w:val="center"/>
              <w:rPr>
                <w:highlight w:val="yellow"/>
              </w:rPr>
            </w:pPr>
            <w:r w:rsidRPr="00FA5289">
              <w:t>0.92 – 1.01</w:t>
            </w:r>
          </w:p>
        </w:tc>
        <w:tc>
          <w:tcPr>
            <w:tcW w:w="1418" w:type="dxa"/>
            <w:tcBorders>
              <w:left w:val="nil"/>
              <w:right w:val="nil"/>
            </w:tcBorders>
          </w:tcPr>
          <w:p w:rsidR="00022A6E" w:rsidRPr="00FA5289" w:rsidRDefault="00022A6E" w:rsidP="0036552A">
            <w:pPr>
              <w:spacing w:after="0" w:line="240" w:lineRule="auto"/>
              <w:jc w:val="center"/>
              <w:rPr>
                <w:highlight w:val="yellow"/>
              </w:rPr>
            </w:pPr>
            <w:r w:rsidRPr="00FA5289">
              <w:t>-</w:t>
            </w:r>
          </w:p>
        </w:tc>
      </w:tr>
      <w:tr w:rsidR="00022A6E" w:rsidRPr="00022A6E" w:rsidTr="000C62EB">
        <w:trPr>
          <w:jc w:val="center"/>
        </w:trPr>
        <w:tc>
          <w:tcPr>
            <w:tcW w:w="1698" w:type="dxa"/>
            <w:tcBorders>
              <w:left w:val="nil"/>
              <w:right w:val="nil"/>
            </w:tcBorders>
          </w:tcPr>
          <w:p w:rsidR="00022A6E" w:rsidRPr="00FA5289" w:rsidRDefault="00022A6E" w:rsidP="0075024E">
            <w:pPr>
              <w:spacing w:after="0" w:line="240" w:lineRule="auto"/>
              <w:jc w:val="center"/>
              <w:rPr>
                <w:b/>
                <w:bCs/>
              </w:rPr>
            </w:pPr>
            <w:r w:rsidRPr="00FA5289">
              <w:rPr>
                <w:b/>
                <w:bCs/>
              </w:rPr>
              <w:t xml:space="preserve">Do Prado et al. </w:t>
            </w:r>
            <w:r w:rsidR="006531EA">
              <w:rPr>
                <w:b/>
                <w:bCs/>
              </w:rPr>
              <w:t>(</w:t>
            </w:r>
            <w:r w:rsidRPr="00FA5289">
              <w:rPr>
                <w:b/>
                <w:bCs/>
              </w:rPr>
              <w:t>2009</w:t>
            </w:r>
            <w:r w:rsidR="006531EA">
              <w:rPr>
                <w:b/>
                <w:bCs/>
              </w:rPr>
              <w:t>)</w:t>
            </w:r>
            <w:r w:rsidRPr="00FA5289">
              <w:rPr>
                <w:b/>
                <w:bCs/>
              </w:rPr>
              <w:t xml:space="preserve"> </w:t>
            </w:r>
            <w:r w:rsidR="00156059" w:rsidRPr="00FA5289">
              <w:rPr>
                <w:b/>
                <w:bCs/>
              </w:rPr>
              <w:fldChar w:fldCharType="begin" w:fldLock="1"/>
            </w:r>
            <w:r w:rsidR="0075024E" w:rsidRPr="00FA5289">
              <w:rPr>
                <w:b/>
                <w:bCs/>
              </w:rPr>
              <w:instrText>ADDIN CSL_CITATION { "citationItems" : [ { "id" : "ITEM-1", "itemData" : { "DOI" : "10.1007/s00774-009-0082-6", "ISBN" : "1435-5604 (Electronic)", "ISSN" : "09148779", "PMID" : "19466592", "abstract" : "Despite the epidemic of adolescent obesity, the effect of obesity and hormones on bone mineral accrual during growth is poorly understood. Studies using dual-energy X-ray to examine the effect of obesity on bone mass in children and adolescents have yielded conflicting results. The aim of this study was to explore the combined and independent contributions of body mass index, body composition, leptin, insulin, glucose levels and Homeostasis Model Assessment Insulin Resistance (HOMA-IR) to bone mineral density (BMD) and bone mineral content in a group of Brazilian obese adolescents. This study included 109 post-pubescent obese adolescents. A whole-body dual-energy X-ray absorptiometry scan was performed,using a HOLOGIC QDR4200, to determine whole-body BMD and body composition. Blood samples were collected in the outpatient clinic after an overnight fast, and evaluated for fasting blood glucose and immunoreactive insulin. Leptin levels were assessed with a radioimmunoassay kit. Insulin resistance was assessed by HOMA-IR and the quantitative insulin sensitivity check index. Our results showed that insulin levels and HOMA-IR correlated negatively with BMD and a linear regression analysis showed that serum leptin is inversely associated to BMD adjusted for body mass. In conclusion, our data support the hypothesis that leptin, insulin and HOMA-IR are inversely associated with BMD and play a significant direct role in bone metabolism.", "author" : [ { "dropping-particle" : "", "family" : "Prado", "given" : "Wagner Luiz", "non-dropping-particle" : "Do", "parse-names" : false, "suffix" : "" }, { "dropping-particle" : "", "family" : "Piano", "given" : "Aline", "non-dropping-particle" : "De", "parse-names" : false, "suffix" : "" }, { "dropping-particle" : "", "family" : "Lazaretti-Castro", "given" : "Marise", "non-dropping-particle" : "", "parse-names" : false, "suffix" : "" }, { "dropping-particle" : "", "family" : "Mello", "given" : "Marco T\u00falio", "non-dropping-particle" : "De", "parse-names" : false, "suffix" : "" }, { "dropping-particle" : "", "family" : "Stella", "given" : "S\u00e9rgio Garcia", "non-dropping-particle" : "", "parse-names" : false, "suffix" : "" }, { "dropping-particle" : "", "family" : "Tufik", "given" : "Sergio", "non-dropping-particle" : "", "parse-names" : false, "suffix" : "" }, { "dropping-particle" : "", "family" : "Nascimento", "given" : "Cl\u00e1udia Maria Oller", "non-dropping-particle" : "Do", "parse-names" : false, "suffix" : "" }, { "dropping-particle" : "", "family" : "Oyama", "given" : "Lila Missae", "non-dropping-particle" : "", "parse-names" : false, "suffix" : "" }, { "dropping-particle" : "", "family" : "Lofrano", "given" : "Mara Cristina", "non-dropping-particle" : "", "parse-names" : false, "suffix" : "" }, { "dropping-particle" : "", "family" : "Tock", "given" : "Lian", "non-dropping-particle" : "", "parse-names" : false, "suffix" : "" }, { "dropping-particle" : "", "family" : "Caranti", "given" : "Danielle Arisa", "non-dropping-particle" : "", "parse-names" : false, "suffix" : "" }, { "dropping-particle" : "", "family" : "D\u00e2maso", "given" : "Ana Raimunda", "non-dropping-particle" : "", "parse-names" : false, "suffix" : "" } ], "container-title" : "Journal of Bone and Mineral Metabolism", "id" : "ITEM-1", "issue" : "5", "issued" : { "date-parts" : [ [ "2009" ] ] }, "page" : "613-619", "title" : "Relationship between bone mineral density, leptin and insulin concentration in Brazilian obese adolescents", "type" : "article-journal", "volume" : "27" }, "uris" : [ "http://www.mendeley.com/documents/?uuid=d8a0728f-eda3-4fda-927b-ed515e141908" ] } ], "mendeley" : { "formattedCitation" : "&lt;sup&gt;50&lt;/sup&gt;", "plainTextFormattedCitation" : "50", "previouslyFormattedCitation" : "&lt;sup&gt;50&lt;/sup&gt;" }, "properties" : { "noteIndex" : 0 }, "schema" : "https://github.com/citation-style-language/schema/raw/master/csl-citation.json" }</w:instrText>
            </w:r>
            <w:r w:rsidR="00156059" w:rsidRPr="00FA5289">
              <w:rPr>
                <w:b/>
                <w:bCs/>
              </w:rPr>
              <w:fldChar w:fldCharType="separate"/>
            </w:r>
            <w:r w:rsidR="0075024E" w:rsidRPr="00FA5289">
              <w:rPr>
                <w:bCs/>
                <w:noProof/>
                <w:vertAlign w:val="superscript"/>
              </w:rPr>
              <w:t>50</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r w:rsidRPr="00FA5289">
              <w:t>Obese adolescents</w:t>
            </w:r>
          </w:p>
        </w:tc>
        <w:tc>
          <w:tcPr>
            <w:tcW w:w="567" w:type="dxa"/>
            <w:tcBorders>
              <w:left w:val="nil"/>
              <w:right w:val="nil"/>
            </w:tcBorders>
          </w:tcPr>
          <w:p w:rsidR="00022A6E" w:rsidRPr="00FA5289" w:rsidRDefault="00022A6E" w:rsidP="0036552A">
            <w:pPr>
              <w:spacing w:after="0" w:line="240" w:lineRule="auto"/>
              <w:jc w:val="center"/>
            </w:pPr>
            <w:r w:rsidRPr="00FA5289">
              <w:t>41</w:t>
            </w:r>
          </w:p>
        </w:tc>
        <w:tc>
          <w:tcPr>
            <w:tcW w:w="992" w:type="dxa"/>
            <w:tcBorders>
              <w:left w:val="nil"/>
              <w:right w:val="nil"/>
            </w:tcBorders>
          </w:tcPr>
          <w:p w:rsidR="00022A6E" w:rsidRPr="00FA5289" w:rsidRDefault="00022A6E" w:rsidP="0036552A">
            <w:pPr>
              <w:spacing w:after="0" w:line="240" w:lineRule="auto"/>
              <w:jc w:val="center"/>
            </w:pPr>
            <w:r w:rsidRPr="00FA5289">
              <w:t>Male</w:t>
            </w:r>
          </w:p>
        </w:tc>
        <w:tc>
          <w:tcPr>
            <w:tcW w:w="1002" w:type="dxa"/>
            <w:tcBorders>
              <w:left w:val="nil"/>
              <w:right w:val="nil"/>
            </w:tcBorders>
          </w:tcPr>
          <w:p w:rsidR="00022A6E" w:rsidRPr="00FA5289" w:rsidRDefault="00022A6E" w:rsidP="0036552A">
            <w:pPr>
              <w:spacing w:after="0" w:line="240" w:lineRule="auto"/>
              <w:jc w:val="center"/>
            </w:pPr>
            <w:r w:rsidRPr="00FA5289">
              <w:t>17.07 ± 1.61</w:t>
            </w:r>
          </w:p>
        </w:tc>
        <w:tc>
          <w:tcPr>
            <w:tcW w:w="1408" w:type="dxa"/>
            <w:tcBorders>
              <w:left w:val="nil"/>
              <w:right w:val="nil"/>
            </w:tcBorders>
          </w:tcPr>
          <w:p w:rsidR="00022A6E" w:rsidRPr="00FA5289" w:rsidRDefault="00022A6E" w:rsidP="0036552A">
            <w:pPr>
              <w:spacing w:after="0" w:line="240" w:lineRule="auto"/>
              <w:jc w:val="center"/>
            </w:pPr>
            <w:r w:rsidRPr="00FA5289">
              <w:t>36.03 ± 3.75</w:t>
            </w:r>
          </w:p>
        </w:tc>
        <w:tc>
          <w:tcPr>
            <w:tcW w:w="1417" w:type="dxa"/>
            <w:tcBorders>
              <w:left w:val="nil"/>
              <w:right w:val="nil"/>
            </w:tcBorders>
          </w:tcPr>
          <w:p w:rsidR="00022A6E" w:rsidRPr="00FA5289" w:rsidRDefault="00022A6E" w:rsidP="0036552A">
            <w:pPr>
              <w:spacing w:after="0" w:line="240" w:lineRule="auto"/>
              <w:jc w:val="center"/>
            </w:pPr>
            <w:r w:rsidRPr="00FA5289">
              <w:t>39.36 ± 10.35</w:t>
            </w:r>
          </w:p>
        </w:tc>
        <w:tc>
          <w:tcPr>
            <w:tcW w:w="1417" w:type="dxa"/>
            <w:tcBorders>
              <w:left w:val="nil"/>
              <w:right w:val="nil"/>
            </w:tcBorders>
          </w:tcPr>
          <w:p w:rsidR="00022A6E" w:rsidRPr="00FA5289" w:rsidRDefault="00022A6E" w:rsidP="0036552A">
            <w:pPr>
              <w:spacing w:after="0" w:line="240" w:lineRule="auto"/>
              <w:jc w:val="center"/>
            </w:pPr>
            <w:r w:rsidRPr="00FA5289">
              <w:t>37.01 ± 7.32</w:t>
            </w:r>
          </w:p>
        </w:tc>
        <w:tc>
          <w:tcPr>
            <w:tcW w:w="1417" w:type="dxa"/>
            <w:tcBorders>
              <w:left w:val="nil"/>
              <w:right w:val="nil"/>
            </w:tcBorders>
          </w:tcPr>
          <w:p w:rsidR="00022A6E" w:rsidRPr="00FA5289" w:rsidRDefault="00022A6E" w:rsidP="0036552A">
            <w:pPr>
              <w:spacing w:after="0" w:line="240" w:lineRule="auto"/>
              <w:jc w:val="center"/>
            </w:pPr>
            <w:r w:rsidRPr="00FA5289">
              <w:t>1.17 ± 0.14</w:t>
            </w:r>
          </w:p>
        </w:tc>
        <w:tc>
          <w:tcPr>
            <w:tcW w:w="1418" w:type="dxa"/>
            <w:tcBorders>
              <w:left w:val="nil"/>
              <w:right w:val="nil"/>
            </w:tcBorders>
          </w:tcPr>
          <w:p w:rsidR="00022A6E" w:rsidRPr="00FA5289" w:rsidRDefault="00022A6E" w:rsidP="0036552A">
            <w:pPr>
              <w:spacing w:after="0" w:line="240" w:lineRule="auto"/>
              <w:jc w:val="center"/>
            </w:pPr>
            <w:r w:rsidRPr="00FA5289">
              <w:t>-</w:t>
            </w:r>
          </w:p>
        </w:tc>
        <w:tc>
          <w:tcPr>
            <w:tcW w:w="1417" w:type="dxa"/>
            <w:tcBorders>
              <w:left w:val="nil"/>
              <w:right w:val="nil"/>
            </w:tcBorders>
          </w:tcPr>
          <w:p w:rsidR="00022A6E" w:rsidRPr="00FA5289" w:rsidRDefault="00022A6E" w:rsidP="0036552A">
            <w:pPr>
              <w:spacing w:after="0" w:line="240" w:lineRule="auto"/>
              <w:jc w:val="center"/>
            </w:pPr>
            <w:r w:rsidRPr="00FA5289">
              <w:t>-</w:t>
            </w:r>
          </w:p>
        </w:tc>
        <w:tc>
          <w:tcPr>
            <w:tcW w:w="1418" w:type="dxa"/>
            <w:tcBorders>
              <w:left w:val="nil"/>
              <w:right w:val="nil"/>
            </w:tcBorders>
          </w:tcPr>
          <w:p w:rsidR="00022A6E" w:rsidRPr="00FA5289" w:rsidRDefault="00022A6E" w:rsidP="0036552A">
            <w:pPr>
              <w:spacing w:after="0" w:line="240" w:lineRule="auto"/>
              <w:jc w:val="center"/>
            </w:pPr>
            <w:r w:rsidRPr="00FA5289">
              <w:t>-</w:t>
            </w:r>
          </w:p>
        </w:tc>
      </w:tr>
      <w:tr w:rsidR="00022A6E" w:rsidRPr="00022A6E" w:rsidTr="000C62EB">
        <w:trPr>
          <w:jc w:val="center"/>
        </w:trPr>
        <w:tc>
          <w:tcPr>
            <w:tcW w:w="1698" w:type="dxa"/>
            <w:tcBorders>
              <w:left w:val="nil"/>
              <w:right w:val="nil"/>
            </w:tcBorders>
          </w:tcPr>
          <w:p w:rsidR="00022A6E" w:rsidRPr="00FA5289" w:rsidRDefault="00022A6E" w:rsidP="0075024E">
            <w:pPr>
              <w:spacing w:after="0" w:line="240" w:lineRule="auto"/>
              <w:jc w:val="center"/>
              <w:rPr>
                <w:b/>
                <w:bCs/>
              </w:rPr>
            </w:pPr>
            <w:r w:rsidRPr="00FA5289">
              <w:rPr>
                <w:b/>
                <w:bCs/>
              </w:rPr>
              <w:t xml:space="preserve">Do Prado et al. </w:t>
            </w:r>
            <w:r w:rsidR="006531EA">
              <w:rPr>
                <w:b/>
                <w:bCs/>
              </w:rPr>
              <w:t>(</w:t>
            </w:r>
            <w:r w:rsidRPr="00FA5289">
              <w:rPr>
                <w:b/>
                <w:bCs/>
              </w:rPr>
              <w:t>2009</w:t>
            </w:r>
            <w:r w:rsidR="006531EA">
              <w:rPr>
                <w:b/>
                <w:bCs/>
              </w:rPr>
              <w:t>)</w:t>
            </w:r>
            <w:r w:rsidRPr="00FA5289">
              <w:rPr>
                <w:b/>
                <w:bCs/>
              </w:rPr>
              <w:t xml:space="preserve"> </w:t>
            </w:r>
            <w:r w:rsidR="00156059" w:rsidRPr="00FA5289">
              <w:rPr>
                <w:b/>
                <w:bCs/>
              </w:rPr>
              <w:fldChar w:fldCharType="begin" w:fldLock="1"/>
            </w:r>
            <w:r w:rsidR="0075024E" w:rsidRPr="00FA5289">
              <w:rPr>
                <w:b/>
                <w:bCs/>
              </w:rPr>
              <w:instrText>ADDIN CSL_CITATION { "citationItems" : [ { "id" : "ITEM-1", "itemData" : { "DOI" : "10.1007/s00774-009-0082-6", "ISBN" : "1435-5604 (Electronic)", "ISSN" : "09148779", "PMID" : "19466592", "abstract" : "Despite the epidemic of adolescent obesity, the effect of obesity and hormones on bone mineral accrual during growth is poorly understood. Studies using dual-energy X-ray to examine the effect of obesity on bone mass in children and adolescents have yielded conflicting results. The aim of this study was to explore the combined and independent contributions of body mass index, body composition, leptin, insulin, glucose levels and Homeostasis Model Assessment Insulin Resistance (HOMA-IR) to bone mineral density (BMD) and bone mineral content in a group of Brazilian obese adolescents. This study included 109 post-pubescent obese adolescents. A whole-body dual-energy X-ray absorptiometry scan was performed,using a HOLOGIC QDR4200, to determine whole-body BMD and body composition. Blood samples were collected in the outpatient clinic after an overnight fast, and evaluated for fasting blood glucose and immunoreactive insulin. Leptin levels were assessed with a radioimmunoassay kit. Insulin resistance was assessed by HOMA-IR and the quantitative insulin sensitivity check index. Our results showed that insulin levels and HOMA-IR correlated negatively with BMD and a linear regression analysis showed that serum leptin is inversely associated to BMD adjusted for body mass. In conclusion, our data support the hypothesis that leptin, insulin and HOMA-IR are inversely associated with BMD and play a significant direct role in bone metabolism.", "author" : [ { "dropping-particle" : "", "family" : "Prado", "given" : "Wagner Luiz", "non-dropping-particle" : "Do", "parse-names" : false, "suffix" : "" }, { "dropping-particle" : "", "family" : "Piano", "given" : "Aline", "non-dropping-particle" : "De", "parse-names" : false, "suffix" : "" }, { "dropping-particle" : "", "family" : "Lazaretti-Castro", "given" : "Marise", "non-dropping-particle" : "", "parse-names" : false, "suffix" : "" }, { "dropping-particle" : "", "family" : "Mello", "given" : "Marco T\u00falio", "non-dropping-particle" : "De", "parse-names" : false, "suffix" : "" }, { "dropping-particle" : "", "family" : "Stella", "given" : "S\u00e9rgio Garcia", "non-dropping-particle" : "", "parse-names" : false, "suffix" : "" }, { "dropping-particle" : "", "family" : "Tufik", "given" : "Sergio", "non-dropping-particle" : "", "parse-names" : false, "suffix" : "" }, { "dropping-particle" : "", "family" : "Nascimento", "given" : "Cl\u00e1udia Maria Oller", "non-dropping-particle" : "Do", "parse-names" : false, "suffix" : "" }, { "dropping-particle" : "", "family" : "Oyama", "given" : "Lila Missae", "non-dropping-particle" : "", "parse-names" : false, "suffix" : "" }, { "dropping-particle" : "", "family" : "Lofrano", "given" : "Mara Cristina", "non-dropping-particle" : "", "parse-names" : false, "suffix" : "" }, { "dropping-particle" : "", "family" : "Tock", "given" : "Lian", "non-dropping-particle" : "", "parse-names" : false, "suffix" : "" }, { "dropping-particle" : "", "family" : "Caranti", "given" : "Danielle Arisa", "non-dropping-particle" : "", "parse-names" : false, "suffix" : "" }, { "dropping-particle" : "", "family" : "D\u00e2maso", "given" : "Ana Raimunda", "non-dropping-particle" : "", "parse-names" : false, "suffix" : "" } ], "container-title" : "Journal of Bone and Mineral Metabolism", "id" : "ITEM-1", "issue" : "5", "issued" : { "date-parts" : [ [ "2009" ] ] }, "page" : "613-619", "title" : "Relationship between bone mineral density, leptin and insulin concentration in Brazilian obese adolescents", "type" : "article-journal", "volume" : "27" }, "uris" : [ "http://www.mendeley.com/documents/?uuid=d8a0728f-eda3-4fda-927b-ed515e141908" ] } ], "mendeley" : { "formattedCitation" : "&lt;sup&gt;50&lt;/sup&gt;", "plainTextFormattedCitation" : "50", "previouslyFormattedCitation" : "&lt;sup&gt;50&lt;/sup&gt;" }, "properties" : { "noteIndex" : 0 }, "schema" : "https://github.com/citation-style-language/schema/raw/master/csl-citation.json" }</w:instrText>
            </w:r>
            <w:r w:rsidR="00156059" w:rsidRPr="00FA5289">
              <w:rPr>
                <w:b/>
                <w:bCs/>
              </w:rPr>
              <w:fldChar w:fldCharType="separate"/>
            </w:r>
            <w:r w:rsidR="0075024E" w:rsidRPr="00FA5289">
              <w:rPr>
                <w:bCs/>
                <w:noProof/>
                <w:vertAlign w:val="superscript"/>
              </w:rPr>
              <w:t>50</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r w:rsidRPr="00FA5289">
              <w:t>Obese adolescents</w:t>
            </w:r>
          </w:p>
        </w:tc>
        <w:tc>
          <w:tcPr>
            <w:tcW w:w="567" w:type="dxa"/>
            <w:tcBorders>
              <w:left w:val="nil"/>
              <w:right w:val="nil"/>
            </w:tcBorders>
          </w:tcPr>
          <w:p w:rsidR="00022A6E" w:rsidRPr="00FA5289" w:rsidRDefault="00022A6E" w:rsidP="0036552A">
            <w:pPr>
              <w:spacing w:after="0" w:line="240" w:lineRule="auto"/>
              <w:jc w:val="center"/>
            </w:pPr>
            <w:r w:rsidRPr="00FA5289">
              <w:t>68</w:t>
            </w:r>
          </w:p>
        </w:tc>
        <w:tc>
          <w:tcPr>
            <w:tcW w:w="992" w:type="dxa"/>
            <w:tcBorders>
              <w:left w:val="nil"/>
              <w:right w:val="nil"/>
            </w:tcBorders>
          </w:tcPr>
          <w:p w:rsidR="00022A6E" w:rsidRPr="00FA5289" w:rsidRDefault="00022A6E" w:rsidP="0036552A">
            <w:pPr>
              <w:spacing w:after="0" w:line="240" w:lineRule="auto"/>
              <w:jc w:val="center"/>
            </w:pPr>
            <w:r w:rsidRPr="00FA5289">
              <w:t>Female</w:t>
            </w:r>
          </w:p>
        </w:tc>
        <w:tc>
          <w:tcPr>
            <w:tcW w:w="1002" w:type="dxa"/>
            <w:tcBorders>
              <w:left w:val="nil"/>
              <w:right w:val="nil"/>
            </w:tcBorders>
          </w:tcPr>
          <w:p w:rsidR="00022A6E" w:rsidRPr="00FA5289" w:rsidRDefault="00022A6E" w:rsidP="0036552A">
            <w:pPr>
              <w:spacing w:after="0" w:line="240" w:lineRule="auto"/>
              <w:jc w:val="center"/>
            </w:pPr>
            <w:r w:rsidRPr="00FA5289">
              <w:t>16.7 ± 1.67</w:t>
            </w:r>
          </w:p>
        </w:tc>
        <w:tc>
          <w:tcPr>
            <w:tcW w:w="1408" w:type="dxa"/>
            <w:tcBorders>
              <w:left w:val="nil"/>
              <w:right w:val="nil"/>
            </w:tcBorders>
          </w:tcPr>
          <w:p w:rsidR="00022A6E" w:rsidRPr="00FA5289" w:rsidRDefault="00022A6E" w:rsidP="0036552A">
            <w:pPr>
              <w:spacing w:after="0" w:line="240" w:lineRule="auto"/>
              <w:jc w:val="center"/>
            </w:pPr>
            <w:r w:rsidRPr="00FA5289">
              <w:t>35.09 ± 4.06</w:t>
            </w:r>
          </w:p>
        </w:tc>
        <w:tc>
          <w:tcPr>
            <w:tcW w:w="1417" w:type="dxa"/>
            <w:tcBorders>
              <w:left w:val="nil"/>
              <w:right w:val="nil"/>
            </w:tcBorders>
          </w:tcPr>
          <w:p w:rsidR="00022A6E" w:rsidRPr="00FA5289" w:rsidRDefault="00022A6E" w:rsidP="0036552A">
            <w:pPr>
              <w:spacing w:after="0" w:line="240" w:lineRule="auto"/>
              <w:jc w:val="center"/>
            </w:pPr>
            <w:r w:rsidRPr="00FA5289">
              <w:t>40.74 ± 8.83</w:t>
            </w:r>
          </w:p>
        </w:tc>
        <w:tc>
          <w:tcPr>
            <w:tcW w:w="1417" w:type="dxa"/>
            <w:tcBorders>
              <w:left w:val="nil"/>
              <w:right w:val="nil"/>
            </w:tcBorders>
          </w:tcPr>
          <w:p w:rsidR="00022A6E" w:rsidRPr="00FA5289" w:rsidRDefault="00022A6E" w:rsidP="0036552A">
            <w:pPr>
              <w:spacing w:after="0" w:line="240" w:lineRule="auto"/>
              <w:jc w:val="center"/>
            </w:pPr>
            <w:r w:rsidRPr="00FA5289">
              <w:t>44.71 ± 5.14</w:t>
            </w:r>
          </w:p>
        </w:tc>
        <w:tc>
          <w:tcPr>
            <w:tcW w:w="1417" w:type="dxa"/>
            <w:tcBorders>
              <w:left w:val="nil"/>
              <w:right w:val="nil"/>
            </w:tcBorders>
          </w:tcPr>
          <w:p w:rsidR="00022A6E" w:rsidRPr="00FA5289" w:rsidRDefault="00022A6E" w:rsidP="0036552A">
            <w:pPr>
              <w:spacing w:after="0" w:line="240" w:lineRule="auto"/>
              <w:jc w:val="center"/>
            </w:pPr>
            <w:r w:rsidRPr="00FA5289">
              <w:t>1.14 ± 0.08</w:t>
            </w:r>
          </w:p>
        </w:tc>
        <w:tc>
          <w:tcPr>
            <w:tcW w:w="1418" w:type="dxa"/>
            <w:tcBorders>
              <w:left w:val="nil"/>
              <w:right w:val="nil"/>
            </w:tcBorders>
          </w:tcPr>
          <w:p w:rsidR="00022A6E" w:rsidRPr="00FA5289" w:rsidRDefault="00022A6E" w:rsidP="0036552A">
            <w:pPr>
              <w:spacing w:after="0" w:line="240" w:lineRule="auto"/>
              <w:jc w:val="center"/>
            </w:pPr>
            <w:r w:rsidRPr="00FA5289">
              <w:t>-</w:t>
            </w:r>
          </w:p>
        </w:tc>
        <w:tc>
          <w:tcPr>
            <w:tcW w:w="1417" w:type="dxa"/>
            <w:tcBorders>
              <w:left w:val="nil"/>
              <w:right w:val="nil"/>
            </w:tcBorders>
          </w:tcPr>
          <w:p w:rsidR="00022A6E" w:rsidRPr="00FA5289" w:rsidRDefault="00022A6E" w:rsidP="0036552A">
            <w:pPr>
              <w:spacing w:after="0" w:line="240" w:lineRule="auto"/>
              <w:jc w:val="center"/>
            </w:pPr>
            <w:r w:rsidRPr="00FA5289">
              <w:t>-</w:t>
            </w:r>
          </w:p>
        </w:tc>
        <w:tc>
          <w:tcPr>
            <w:tcW w:w="1418" w:type="dxa"/>
            <w:tcBorders>
              <w:left w:val="nil"/>
              <w:right w:val="nil"/>
            </w:tcBorders>
          </w:tcPr>
          <w:p w:rsidR="00022A6E" w:rsidRPr="00FA5289" w:rsidRDefault="00022A6E" w:rsidP="0036552A">
            <w:pPr>
              <w:spacing w:after="0" w:line="240" w:lineRule="auto"/>
              <w:jc w:val="center"/>
            </w:pPr>
            <w:r w:rsidRPr="00FA5289">
              <w:t>-</w:t>
            </w:r>
          </w:p>
        </w:tc>
      </w:tr>
      <w:tr w:rsidR="00022A6E" w:rsidRPr="00022A6E" w:rsidTr="000C62EB">
        <w:trPr>
          <w:jc w:val="center"/>
        </w:trPr>
        <w:tc>
          <w:tcPr>
            <w:tcW w:w="1698" w:type="dxa"/>
            <w:tcBorders>
              <w:left w:val="nil"/>
              <w:right w:val="nil"/>
            </w:tcBorders>
          </w:tcPr>
          <w:p w:rsidR="00022A6E" w:rsidRPr="00FA5289" w:rsidRDefault="00022A6E" w:rsidP="0075024E">
            <w:pPr>
              <w:spacing w:after="0" w:line="240" w:lineRule="auto"/>
              <w:jc w:val="center"/>
              <w:rPr>
                <w:b/>
                <w:bCs/>
              </w:rPr>
            </w:pPr>
            <w:r w:rsidRPr="00FA5289">
              <w:rPr>
                <w:b/>
                <w:bCs/>
              </w:rPr>
              <w:t xml:space="preserve">Gomez et al. </w:t>
            </w:r>
            <w:r w:rsidR="006531EA">
              <w:rPr>
                <w:b/>
                <w:bCs/>
              </w:rPr>
              <w:t>(</w:t>
            </w:r>
            <w:r w:rsidRPr="00FA5289">
              <w:rPr>
                <w:b/>
                <w:bCs/>
              </w:rPr>
              <w:t>2009</w:t>
            </w:r>
            <w:r w:rsidR="006531EA">
              <w:rPr>
                <w:b/>
                <w:bCs/>
              </w:rPr>
              <w:t>)</w:t>
            </w:r>
            <w:r w:rsidRPr="00FA5289">
              <w:rPr>
                <w:b/>
                <w:bCs/>
              </w:rPr>
              <w:t xml:space="preserve"> </w:t>
            </w:r>
            <w:r w:rsidR="00156059" w:rsidRPr="00FA5289">
              <w:rPr>
                <w:b/>
                <w:bCs/>
              </w:rPr>
              <w:fldChar w:fldCharType="begin" w:fldLock="1"/>
            </w:r>
            <w:r w:rsidR="0075024E" w:rsidRPr="00FA5289">
              <w:rPr>
                <w:b/>
                <w:bCs/>
              </w:rPr>
              <w:instrText>ADDIN CSL_CITATION { "citationItems" : [ { "id" : "ITEM-1", "itemData" : { "DOI" : "10.1007/s11695-008-9529-4", "ISSN" : "09608923", "PMID" : "18443887", "abstract" : "BACKGROUND: The mechanisms by which increased body weight influence bone mass density (BMD) are still unknown. The aim of our study was to analyze the relationship between anthropometric and body composition variables, insulin growth factor-I (IGF-I), adiponectin and soluble tumor necrosis factor-alpha receptors (sTNFR) 1 and 2 with BMD in two cohorts of morbid obese patients, before and after bypass surgery. METHODS: The first cohort included 25 women aged 48+/-7.6 years studied before bypass surgery. The second included 41 women aged 46+/-9.2 years, 12 months after surgery. We studied anthropometric variables obtained from whole body DEXA composition analysis. Serum IGF-I, intact serum parathyroid hormone, 25-hydroxivitamin D3, plasma adiponectin concentrations, sTNFR1, sTNFR2 concentrations were measured. RESULTS: In the first cohort, the BMI was 44.5+/-3.6 kg/m2, parathyroid hormone, IGF-I, and adiponectin concentrations were lower, and sTNFR1 concentrations were higher than in the second cohort. In the multiple regression analysis, BMD remained significantly associated with body fat percentage (beta -0.154, p=0.01), lean mass (beta 0.057, p=0.016) and phosphate concentration (beta 0.225, p=0.05). In the second cohort, BMI was 31+/-5.1 kg/m2. In the multiple regression analysis, BMD remained significantly associated with lean mass (beta 0.006, p=0.03). CONCLUSION: The inverse correlation found between body fat and BMD in the first cohort indicates morbid obesity increases the risk of osteoporosis and we found a positive correlation with lean and fat mass before bariatric surgery and with lean mass after bypass surgery.", "author" : [ { "dropping-particle" : "", "family" : "Gomez", "given" : "JM", "non-dropping-particle" : "", "parse-names" : false, "suffix" : "" }, { "dropping-particle" : "", "family" : "Vilarrasa", "given" : "N", "non-dropping-particle" : "", "parse-names" : false, "suffix" : "" }, { "dropping-particle" : "", "family" : "Masdevall", "given" : "Carles", "non-dropping-particle" : "", "parse-names" : false, "suffix" : "" }, { "dropping-particle" : "", "family" : "Pujol", "given" : "Jordi", "non-dropping-particle" : "", "parse-names" : false, "suffix" : "" }, { "dropping-particle" : "", "family" : "Solano", "given" : "Esther", "non-dropping-particle" : "", "parse-names" : false, "suffix" : "" }, { "dropping-particle" : "", "family" : "Soler", "given" : "Juan", "non-dropping-particle" : "", "parse-names" : false, "suffix" : "" }, { "dropping-particle" : "", "family" : "Elio", "given" : "I??aki", "non-dropping-particle" : "", "parse-names" : false, "suffix" : "" }, { "dropping-particle" : "", "family" : "Gallart", "given" : "Lluis", "non-dropping-particle" : "", "parse-names" : false, "suffix" : "" }, { "dropping-particle" : "", "family" : "Vendrell", "given" : "Joan", "non-dropping-particle" : "", "parse-names" : false, "suffix" : "" } ], "container-title" : "Obesity Surgery", "id" : "ITEM-1", "issue" : "3", "issued" : { "date-parts" : [ [ "2009" ] ] }, "page" : "345-350", "title" : "Regulation of bone mineral density in morbidly obese women: A cross-sectional study in two cohorts before and after bypass surgery", "type" : "article-journal", "volume" : "19" }, "uris" : [ "http://www.mendeley.com/documents/?uuid=031532dc-1eba-4168-b0f1-b8ca9bef59c3" ] } ], "mendeley" : { "formattedCitation" : "&lt;sup&gt;51&lt;/sup&gt;", "plainTextFormattedCitation" : "51", "previouslyFormattedCitation" : "&lt;sup&gt;51&lt;/sup&gt;" }, "properties" : { "noteIndex" : 0 }, "schema" : "https://github.com/citation-style-language/schema/raw/master/csl-citation.json" }</w:instrText>
            </w:r>
            <w:r w:rsidR="00156059" w:rsidRPr="00FA5289">
              <w:rPr>
                <w:b/>
                <w:bCs/>
              </w:rPr>
              <w:fldChar w:fldCharType="separate"/>
            </w:r>
            <w:r w:rsidR="0075024E" w:rsidRPr="00FA5289">
              <w:rPr>
                <w:bCs/>
                <w:noProof/>
                <w:vertAlign w:val="superscript"/>
              </w:rPr>
              <w:t>51</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r w:rsidRPr="00FA5289">
              <w:t>Morbidly obese women pre bariatric surgery</w:t>
            </w:r>
          </w:p>
        </w:tc>
        <w:tc>
          <w:tcPr>
            <w:tcW w:w="567" w:type="dxa"/>
            <w:tcBorders>
              <w:left w:val="nil"/>
              <w:right w:val="nil"/>
            </w:tcBorders>
          </w:tcPr>
          <w:p w:rsidR="00022A6E" w:rsidRPr="00FA5289" w:rsidRDefault="00022A6E" w:rsidP="0036552A">
            <w:pPr>
              <w:spacing w:after="0" w:line="240" w:lineRule="auto"/>
              <w:jc w:val="center"/>
            </w:pPr>
            <w:r w:rsidRPr="00FA5289">
              <w:t>25</w:t>
            </w:r>
          </w:p>
        </w:tc>
        <w:tc>
          <w:tcPr>
            <w:tcW w:w="992" w:type="dxa"/>
            <w:tcBorders>
              <w:left w:val="nil"/>
              <w:right w:val="nil"/>
            </w:tcBorders>
          </w:tcPr>
          <w:p w:rsidR="00022A6E" w:rsidRPr="00FA5289" w:rsidRDefault="00022A6E" w:rsidP="0036552A">
            <w:pPr>
              <w:spacing w:after="0" w:line="240" w:lineRule="auto"/>
              <w:jc w:val="center"/>
            </w:pPr>
            <w:r w:rsidRPr="00FA5289">
              <w:t>Female</w:t>
            </w:r>
          </w:p>
        </w:tc>
        <w:tc>
          <w:tcPr>
            <w:tcW w:w="1002" w:type="dxa"/>
            <w:tcBorders>
              <w:left w:val="nil"/>
              <w:right w:val="nil"/>
            </w:tcBorders>
          </w:tcPr>
          <w:p w:rsidR="00022A6E" w:rsidRPr="00FA5289" w:rsidRDefault="00022A6E" w:rsidP="0036552A">
            <w:pPr>
              <w:spacing w:after="0" w:line="240" w:lineRule="auto"/>
              <w:jc w:val="center"/>
            </w:pPr>
            <w:r w:rsidRPr="00FA5289">
              <w:t>48 ± 7.6</w:t>
            </w:r>
          </w:p>
        </w:tc>
        <w:tc>
          <w:tcPr>
            <w:tcW w:w="1408" w:type="dxa"/>
            <w:tcBorders>
              <w:left w:val="nil"/>
              <w:right w:val="nil"/>
            </w:tcBorders>
          </w:tcPr>
          <w:p w:rsidR="00022A6E" w:rsidRPr="00FA5289" w:rsidRDefault="00022A6E" w:rsidP="0036552A">
            <w:pPr>
              <w:spacing w:after="0" w:line="240" w:lineRule="auto"/>
              <w:jc w:val="center"/>
            </w:pPr>
            <w:r w:rsidRPr="00FA5289">
              <w:t>44.5 ± 3.6</w:t>
            </w:r>
          </w:p>
        </w:tc>
        <w:tc>
          <w:tcPr>
            <w:tcW w:w="1417" w:type="dxa"/>
            <w:tcBorders>
              <w:left w:val="nil"/>
              <w:right w:val="nil"/>
            </w:tcBorders>
          </w:tcPr>
          <w:p w:rsidR="00022A6E" w:rsidRPr="00FA5289" w:rsidRDefault="00022A6E" w:rsidP="0036552A">
            <w:pPr>
              <w:spacing w:after="0" w:line="240" w:lineRule="auto"/>
              <w:jc w:val="center"/>
            </w:pPr>
            <w:r w:rsidRPr="00FA5289">
              <w:t>50.2 ± 6.7</w:t>
            </w:r>
          </w:p>
        </w:tc>
        <w:tc>
          <w:tcPr>
            <w:tcW w:w="1417" w:type="dxa"/>
            <w:tcBorders>
              <w:left w:val="nil"/>
              <w:right w:val="nil"/>
            </w:tcBorders>
          </w:tcPr>
          <w:p w:rsidR="00022A6E" w:rsidRPr="00FA5289" w:rsidRDefault="00022A6E" w:rsidP="0036552A">
            <w:pPr>
              <w:spacing w:after="0" w:line="240" w:lineRule="auto"/>
              <w:jc w:val="center"/>
            </w:pPr>
            <w:r w:rsidRPr="00FA5289">
              <w:t>45.8 ± 3.6</w:t>
            </w:r>
          </w:p>
        </w:tc>
        <w:tc>
          <w:tcPr>
            <w:tcW w:w="1417" w:type="dxa"/>
            <w:tcBorders>
              <w:left w:val="nil"/>
              <w:right w:val="nil"/>
            </w:tcBorders>
          </w:tcPr>
          <w:p w:rsidR="00022A6E" w:rsidRPr="00FA5289" w:rsidRDefault="00022A6E" w:rsidP="0036552A">
            <w:pPr>
              <w:spacing w:after="0" w:line="240" w:lineRule="auto"/>
              <w:jc w:val="center"/>
            </w:pPr>
            <w:r w:rsidRPr="00FA5289">
              <w:t>1.18 ± 0.1</w:t>
            </w:r>
          </w:p>
        </w:tc>
        <w:tc>
          <w:tcPr>
            <w:tcW w:w="1418" w:type="dxa"/>
            <w:tcBorders>
              <w:left w:val="nil"/>
              <w:right w:val="nil"/>
            </w:tcBorders>
          </w:tcPr>
          <w:p w:rsidR="00022A6E" w:rsidRPr="00FA5289" w:rsidRDefault="00022A6E" w:rsidP="0036552A">
            <w:pPr>
              <w:spacing w:after="0" w:line="240" w:lineRule="auto"/>
              <w:jc w:val="center"/>
            </w:pPr>
            <w:r w:rsidRPr="00FA5289">
              <w:t>-</w:t>
            </w:r>
          </w:p>
        </w:tc>
        <w:tc>
          <w:tcPr>
            <w:tcW w:w="1417" w:type="dxa"/>
            <w:tcBorders>
              <w:left w:val="nil"/>
              <w:right w:val="nil"/>
            </w:tcBorders>
          </w:tcPr>
          <w:p w:rsidR="00022A6E" w:rsidRPr="00FA5289" w:rsidRDefault="00022A6E" w:rsidP="0036552A">
            <w:pPr>
              <w:spacing w:after="0" w:line="240" w:lineRule="auto"/>
              <w:jc w:val="center"/>
            </w:pPr>
            <w:r w:rsidRPr="00FA5289">
              <w:t>-</w:t>
            </w:r>
          </w:p>
        </w:tc>
        <w:tc>
          <w:tcPr>
            <w:tcW w:w="1418" w:type="dxa"/>
            <w:tcBorders>
              <w:left w:val="nil"/>
              <w:right w:val="nil"/>
            </w:tcBorders>
          </w:tcPr>
          <w:p w:rsidR="00022A6E" w:rsidRPr="00FA5289" w:rsidRDefault="00022A6E" w:rsidP="0036552A">
            <w:pPr>
              <w:spacing w:after="0" w:line="240" w:lineRule="auto"/>
              <w:jc w:val="center"/>
            </w:pPr>
            <w:r w:rsidRPr="00FA5289">
              <w:t>-</w:t>
            </w:r>
          </w:p>
        </w:tc>
      </w:tr>
      <w:tr w:rsidR="00022A6E" w:rsidRPr="00022A6E" w:rsidTr="000C62EB">
        <w:trPr>
          <w:jc w:val="center"/>
        </w:trPr>
        <w:tc>
          <w:tcPr>
            <w:tcW w:w="1698" w:type="dxa"/>
            <w:tcBorders>
              <w:left w:val="nil"/>
              <w:right w:val="nil"/>
            </w:tcBorders>
          </w:tcPr>
          <w:p w:rsidR="00022A6E" w:rsidRPr="00FA5289" w:rsidRDefault="00022A6E" w:rsidP="0075024E">
            <w:pPr>
              <w:spacing w:after="0" w:line="240" w:lineRule="auto"/>
              <w:jc w:val="center"/>
              <w:rPr>
                <w:b/>
                <w:bCs/>
              </w:rPr>
            </w:pPr>
            <w:proofErr w:type="spellStart"/>
            <w:r w:rsidRPr="00FA5289">
              <w:rPr>
                <w:b/>
                <w:bCs/>
              </w:rPr>
              <w:t>Hawamdeh</w:t>
            </w:r>
            <w:proofErr w:type="spellEnd"/>
            <w:r w:rsidRPr="00FA5289">
              <w:rPr>
                <w:b/>
                <w:bCs/>
              </w:rPr>
              <w:t xml:space="preserve"> et al. </w:t>
            </w:r>
            <w:r w:rsidR="006531EA">
              <w:rPr>
                <w:b/>
                <w:bCs/>
              </w:rPr>
              <w:t>(</w:t>
            </w:r>
            <w:r w:rsidRPr="00FA5289">
              <w:rPr>
                <w:b/>
                <w:bCs/>
              </w:rPr>
              <w:t>2014</w:t>
            </w:r>
            <w:r w:rsidR="006531EA">
              <w:rPr>
                <w:b/>
                <w:bCs/>
              </w:rPr>
              <w:t>)</w:t>
            </w:r>
            <w:r w:rsidRPr="00FA5289">
              <w:rPr>
                <w:b/>
                <w:bCs/>
              </w:rPr>
              <w:t xml:space="preserve"> </w:t>
            </w:r>
            <w:r w:rsidR="00156059" w:rsidRPr="00FA5289">
              <w:rPr>
                <w:b/>
                <w:bCs/>
              </w:rPr>
              <w:fldChar w:fldCharType="begin" w:fldLock="1"/>
            </w:r>
            <w:r w:rsidR="0075024E" w:rsidRPr="00FA5289">
              <w:rPr>
                <w:b/>
                <w:bCs/>
              </w:rPr>
              <w:instrText>ADDIN CSL_CITATION { "citationItems" : [ { "id" : "ITEM-1", "itemData" : { "DOI" : "10.1016/j.jocd.2013.02.007", "ISBN" : "1094-6950", "ISSN" : "10946950", "PMID" : "23499561", "abstract" : "The objective of this study was to assess the relative association between body weight, body mass index (BMI), lean mass (LM) and fat mass (FM), and bone mineral density (BMD) in a group of Jordanian postmenopausal women and investigate if this possible association changes with age. A total of 3256 patients had dual-energy X-ray absorptiometry (DXA) scan in the period from January 2009 till January 2012 at the Radiology and Nuclear Medicine Department of Jordan University Hospital. Only 584 women met the selection criteria. Age has been recorded, and patients were divided into subgroups according to age. Body weight and height were measured, and BMI was calculated. Body composition (LM, FM, percentage of android fat, and percentage of gynoid fat) was assessed by DXA. BMD of the lumbar spine (L1-L4) and femoral neck was measured by DXA. Weight, BMI, FM, LM, percentage of android fat, and percentage of gynoid fat were positively correlated to BMD at both lumbar spine and femoral neck. However, this correlation disappeared at the age of 70. yr at lumbar spine and 75. yr at femoral neck. This study suggests that both FM and LM are important determinants of BMD in Jordanian postmenopausal women, and this correlation disappears after the age of 70. yr at lumbar spine and 75. yr at femoral neck. ?? 2014 The International Society for Clinical Densitometry.", "author" : [ { "dropping-particle" : "", "family" : "Hawamdeh", "given" : "Ziad M.", "non-dropping-particle" : "", "parse-names" : false, "suffix" : "" }, { "dropping-particle" : "", "family" : "Sheikh-Ali", "given" : "Rasha F.", "non-dropping-particle" : "", "parse-names" : false, "suffix" : "" }, { "dropping-particle" : "", "family" : "AlSharif", "given" : "Abedallatif", "non-dropping-particle" : "", "parse-names" : false, "suffix" : "" }, { "dropping-particle" : "", "family" : "Otom", "given" : "Ali H.", "non-dropping-particle" : "", "parse-names" : false, "suffix" : "" }, { "dropping-particle" : "", "family" : "Ibrahim", "given" : "Alaa I.", "non-dropping-particle" : "", "parse-names" : false, "suffix" : "" }, { "dropping-particle" : "", "family" : "AlHadidi", "given" : "Fadi A.", "non-dropping-particle" : "", "parse-names" : false, "suffix" : "" }, { "dropping-particle" : "", "family" : "Samarah", "given" : "Omar Q.", "non-dropping-particle" : "", "parse-names" : false, "suffix" : "" }, { "dropping-particle" : "", "family" : "Dheirat", "given" : "Imad N.", "non-dropping-particle" : "", "parse-names" : false, "suffix" : "" }, { "dropping-particle" : "", "family" : "Juweid", "given" : "Malik E.", "non-dropping-particle" : "", "parse-names" : false, "suffix" : "" } ], "container-title" : "Journal of Clinical Densitometry", "id" : "ITEM-1", "issue" : "1", "issued" : { "date-parts" : [ [ "2014" ] ] }, "page" : "143-149", "publisher" : "Elsevier Ltd", "title" : "The influence of aging on the association between adiposity and bone mineral density in jordanian postmenopausal women", "type" : "article-journal", "volume" : "17" }, "uris" : [ "http://www.mendeley.com/documents/?uuid=8e296f73-0b17-4e36-9257-478cfada9454" ] } ], "mendeley" : { "formattedCitation" : "&lt;sup&gt;52&lt;/sup&gt;", "plainTextFormattedCitation" : "52", "previouslyFormattedCitation" : "&lt;sup&gt;52&lt;/sup&gt;" }, "properties" : { "noteIndex" : 0 }, "schema" : "https://github.com/citation-style-language/schema/raw/master/csl-citation.json" }</w:instrText>
            </w:r>
            <w:r w:rsidR="00156059" w:rsidRPr="00FA5289">
              <w:rPr>
                <w:b/>
                <w:bCs/>
              </w:rPr>
              <w:fldChar w:fldCharType="separate"/>
            </w:r>
            <w:r w:rsidR="0075024E" w:rsidRPr="00FA5289">
              <w:rPr>
                <w:bCs/>
                <w:noProof/>
                <w:vertAlign w:val="superscript"/>
              </w:rPr>
              <w:t>52</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r w:rsidRPr="00FA5289">
              <w:t>Postmenopausal women</w:t>
            </w:r>
          </w:p>
        </w:tc>
        <w:tc>
          <w:tcPr>
            <w:tcW w:w="567" w:type="dxa"/>
            <w:tcBorders>
              <w:left w:val="nil"/>
              <w:right w:val="nil"/>
            </w:tcBorders>
          </w:tcPr>
          <w:p w:rsidR="00022A6E" w:rsidRPr="00FA5289" w:rsidRDefault="00022A6E" w:rsidP="0036552A">
            <w:pPr>
              <w:spacing w:after="0" w:line="240" w:lineRule="auto"/>
              <w:jc w:val="center"/>
            </w:pPr>
            <w:r w:rsidRPr="00FA5289">
              <w:t>584</w:t>
            </w:r>
          </w:p>
        </w:tc>
        <w:tc>
          <w:tcPr>
            <w:tcW w:w="992" w:type="dxa"/>
            <w:tcBorders>
              <w:left w:val="nil"/>
              <w:right w:val="nil"/>
            </w:tcBorders>
          </w:tcPr>
          <w:p w:rsidR="00022A6E" w:rsidRPr="00FA5289" w:rsidRDefault="00022A6E" w:rsidP="0036552A">
            <w:pPr>
              <w:spacing w:after="0" w:line="240" w:lineRule="auto"/>
              <w:jc w:val="center"/>
            </w:pPr>
            <w:r w:rsidRPr="00FA5289">
              <w:t>Female</w:t>
            </w:r>
          </w:p>
        </w:tc>
        <w:tc>
          <w:tcPr>
            <w:tcW w:w="1002" w:type="dxa"/>
            <w:tcBorders>
              <w:left w:val="nil"/>
              <w:right w:val="nil"/>
            </w:tcBorders>
          </w:tcPr>
          <w:p w:rsidR="00022A6E" w:rsidRPr="00FA5289" w:rsidRDefault="00022A6E" w:rsidP="0036552A">
            <w:pPr>
              <w:spacing w:after="0" w:line="240" w:lineRule="auto"/>
              <w:jc w:val="center"/>
            </w:pPr>
            <w:r w:rsidRPr="00FA5289">
              <w:t>63.96 ± 6.71</w:t>
            </w:r>
          </w:p>
        </w:tc>
        <w:tc>
          <w:tcPr>
            <w:tcW w:w="1408" w:type="dxa"/>
            <w:tcBorders>
              <w:left w:val="nil"/>
              <w:right w:val="nil"/>
            </w:tcBorders>
          </w:tcPr>
          <w:p w:rsidR="00022A6E" w:rsidRPr="00FA5289" w:rsidRDefault="00022A6E" w:rsidP="0036552A">
            <w:pPr>
              <w:spacing w:after="0" w:line="240" w:lineRule="auto"/>
              <w:jc w:val="center"/>
              <w:rPr>
                <w:highlight w:val="yellow"/>
              </w:rPr>
            </w:pPr>
            <w:r w:rsidRPr="00FA5289">
              <w:t>30.42 ± 4.83</w:t>
            </w:r>
          </w:p>
        </w:tc>
        <w:tc>
          <w:tcPr>
            <w:tcW w:w="1417" w:type="dxa"/>
            <w:tcBorders>
              <w:left w:val="nil"/>
              <w:right w:val="nil"/>
            </w:tcBorders>
          </w:tcPr>
          <w:p w:rsidR="00022A6E" w:rsidRPr="00FA5289" w:rsidRDefault="00022A6E" w:rsidP="0036552A">
            <w:pPr>
              <w:spacing w:after="0" w:line="240" w:lineRule="auto"/>
              <w:jc w:val="center"/>
              <w:rPr>
                <w:highlight w:val="yellow"/>
              </w:rPr>
            </w:pPr>
            <w:r w:rsidRPr="00FA5289">
              <w:t>36.14 ± 8.66*</w:t>
            </w:r>
          </w:p>
        </w:tc>
        <w:tc>
          <w:tcPr>
            <w:tcW w:w="1417" w:type="dxa"/>
            <w:tcBorders>
              <w:left w:val="nil"/>
              <w:right w:val="nil"/>
            </w:tcBorders>
          </w:tcPr>
          <w:p w:rsidR="00022A6E" w:rsidRPr="00FA5289" w:rsidRDefault="00022A6E" w:rsidP="0036552A">
            <w:pPr>
              <w:spacing w:after="0" w:line="240" w:lineRule="auto"/>
              <w:jc w:val="center"/>
            </w:pPr>
            <w:r w:rsidRPr="00FA5289">
              <w:t>-</w:t>
            </w:r>
          </w:p>
        </w:tc>
        <w:tc>
          <w:tcPr>
            <w:tcW w:w="1417" w:type="dxa"/>
            <w:tcBorders>
              <w:left w:val="nil"/>
              <w:right w:val="nil"/>
            </w:tcBorders>
          </w:tcPr>
          <w:p w:rsidR="00022A6E" w:rsidRPr="00FA5289" w:rsidRDefault="00022A6E" w:rsidP="0036552A">
            <w:pPr>
              <w:spacing w:after="0" w:line="240" w:lineRule="auto"/>
              <w:jc w:val="center"/>
            </w:pPr>
            <w:r w:rsidRPr="00FA5289">
              <w:t>-</w:t>
            </w:r>
          </w:p>
        </w:tc>
        <w:tc>
          <w:tcPr>
            <w:tcW w:w="1418" w:type="dxa"/>
            <w:tcBorders>
              <w:left w:val="nil"/>
              <w:right w:val="nil"/>
            </w:tcBorders>
          </w:tcPr>
          <w:p w:rsidR="00022A6E" w:rsidRPr="00FA5289" w:rsidRDefault="00022A6E" w:rsidP="0036552A">
            <w:pPr>
              <w:spacing w:after="0" w:line="240" w:lineRule="auto"/>
              <w:jc w:val="center"/>
            </w:pPr>
            <w:r w:rsidRPr="00FA5289">
              <w:t xml:space="preserve">L1 – 4 </w:t>
            </w:r>
          </w:p>
          <w:p w:rsidR="00022A6E" w:rsidRPr="00FA5289" w:rsidRDefault="00022A6E" w:rsidP="0036552A">
            <w:pPr>
              <w:spacing w:after="0" w:line="240" w:lineRule="auto"/>
              <w:jc w:val="center"/>
            </w:pPr>
            <w:r w:rsidRPr="00FA5289">
              <w:t>0.956 ± 0.161</w:t>
            </w:r>
          </w:p>
        </w:tc>
        <w:tc>
          <w:tcPr>
            <w:tcW w:w="1417" w:type="dxa"/>
            <w:tcBorders>
              <w:left w:val="nil"/>
              <w:right w:val="nil"/>
            </w:tcBorders>
          </w:tcPr>
          <w:p w:rsidR="00022A6E" w:rsidRPr="00FA5289" w:rsidRDefault="00022A6E" w:rsidP="0036552A">
            <w:pPr>
              <w:spacing w:after="0" w:line="240" w:lineRule="auto"/>
              <w:jc w:val="center"/>
            </w:pPr>
            <w:r w:rsidRPr="00FA5289">
              <w:t>-</w:t>
            </w:r>
          </w:p>
        </w:tc>
        <w:tc>
          <w:tcPr>
            <w:tcW w:w="1418" w:type="dxa"/>
            <w:tcBorders>
              <w:left w:val="nil"/>
              <w:right w:val="nil"/>
            </w:tcBorders>
          </w:tcPr>
          <w:p w:rsidR="00022A6E" w:rsidRPr="00FA5289" w:rsidRDefault="00022A6E" w:rsidP="0036552A">
            <w:pPr>
              <w:spacing w:after="0" w:line="240" w:lineRule="auto"/>
              <w:jc w:val="center"/>
            </w:pPr>
            <w:r w:rsidRPr="00FA5289">
              <w:t>0.784 ± 0.127</w:t>
            </w:r>
          </w:p>
        </w:tc>
      </w:tr>
      <w:tr w:rsidR="00022A6E" w:rsidRPr="00022A6E" w:rsidTr="000C62EB">
        <w:trPr>
          <w:jc w:val="center"/>
        </w:trPr>
        <w:tc>
          <w:tcPr>
            <w:tcW w:w="1698" w:type="dxa"/>
            <w:tcBorders>
              <w:left w:val="nil"/>
              <w:right w:val="nil"/>
            </w:tcBorders>
          </w:tcPr>
          <w:p w:rsidR="00022A6E" w:rsidRPr="00FA5289" w:rsidRDefault="00022A6E" w:rsidP="0075024E">
            <w:pPr>
              <w:spacing w:after="0" w:line="240" w:lineRule="auto"/>
              <w:jc w:val="center"/>
              <w:rPr>
                <w:b/>
                <w:bCs/>
              </w:rPr>
            </w:pPr>
            <w:proofErr w:type="spellStart"/>
            <w:r w:rsidRPr="00FA5289">
              <w:rPr>
                <w:b/>
                <w:bCs/>
              </w:rPr>
              <w:lastRenderedPageBreak/>
              <w:t>Ivuskans</w:t>
            </w:r>
            <w:proofErr w:type="spellEnd"/>
            <w:r w:rsidRPr="00FA5289">
              <w:rPr>
                <w:b/>
                <w:bCs/>
              </w:rPr>
              <w:t xml:space="preserve"> et al. </w:t>
            </w:r>
            <w:r w:rsidR="006531EA">
              <w:rPr>
                <w:b/>
                <w:bCs/>
              </w:rPr>
              <w:t>(</w:t>
            </w:r>
            <w:r w:rsidRPr="00FA5289">
              <w:rPr>
                <w:b/>
                <w:bCs/>
              </w:rPr>
              <w:t>2013</w:t>
            </w:r>
            <w:r w:rsidR="006531EA">
              <w:rPr>
                <w:b/>
                <w:bCs/>
              </w:rPr>
              <w:t>)</w:t>
            </w:r>
            <w:r w:rsidRPr="00FA5289">
              <w:rPr>
                <w:b/>
                <w:bCs/>
              </w:rPr>
              <w:t xml:space="preserve"> </w:t>
            </w:r>
            <w:r w:rsidR="00156059" w:rsidRPr="00FA5289">
              <w:rPr>
                <w:b/>
                <w:bCs/>
              </w:rPr>
              <w:fldChar w:fldCharType="begin" w:fldLock="1"/>
            </w:r>
            <w:r w:rsidR="0075024E" w:rsidRPr="00FA5289">
              <w:rPr>
                <w:b/>
                <w:bCs/>
              </w:rPr>
              <w:instrText>ADDIN CSL_CITATION { "citationItems" : [ { "id" : "ITEM-1", "itemData" : { "DOI" : "10.1007/s00296-012-2612-0", "ISSN" : "01728172", "PMID" : "23269569", "abstract" : "This study was aimed to investigate the influence of being overweight on bone mineral status in 11-13-year-old boys, who were divided into overweight (OW; n = 110) and normal weight (NW; n = 154) groups. Bone mineral density (BMD) at the whole body (WB), lumbar spine (LS) and femoral neck (FN), bone mineral content (BMC) at the WB, and body composition were assessed. Calculation of the bone mineral apparent density (BMAD) was completed for the WB, LS and FN. The BMC/height ratio was also computed. OW boys displayed similar values (P &gt; 0.05) for LS and FN BMAD and lower (P &lt; 0.05) WB BMAD, despite significantly higher values (P &lt; 0.05) for more widely used WB and LS BMD, WB BMC and WB BMC/height in comparison with NW boys. Fat-free mass index (FFMI; kg/m(2)) had the highest correlation coefficients from the calculated body composition indices with all bone mineral values in NW boys. In OW boys, the FFMI had the highest correlation only with FN BMD, while other measured bone mineral values had highest correlations with either BMI or FMI indices. In conclusion, OW boys have higher crude WB BMD, BMC and BMC/height ratio in comparison with NW boys. However, the bone growth appears to be insufficient to compensate for the higher mechanical load applied on the bone by higher FM and also FFM values in OW boys. Excessive adiposity does not have a protective effect on the development of BMAD in growing boys reaching puberty.", "author" : [ { "dropping-particle" : "", "family" : "Ivuskans", "given" : "Arturs", "non-dropping-particle" : "", "parse-names" : false, "suffix" : "" }, { "dropping-particle" : "", "family" : "L\u00e4tt", "given" : "Evelin", "non-dropping-particle" : "", "parse-names" : false, "suffix" : "" }, { "dropping-particle" : "", "family" : "M\u00e4estu", "given" : "Jarek", "non-dropping-particle" : "", "parse-names" : false, "suffix" : "" }, { "dropping-particle" : "", "family" : "Saar", "given" : "Meeli", "non-dropping-particle" : "", "parse-names" : false, "suffix" : "" }, { "dropping-particle" : "", "family" : "Purge", "given" : "Priit", "non-dropping-particle" : "", "parse-names" : false, "suffix" : "" }, { "dropping-particle" : "", "family" : "Maasalu", "given" : "Katre", "non-dropping-particle" : "", "parse-names" : false, "suffix" : "" }, { "dropping-particle" : "", "family" : "J\u00fcrim\u00e4e", "given" : "Toivo", "non-dropping-particle" : "", "parse-names" : false, "suffix" : "" }, { "dropping-particle" : "", "family" : "J\u00fcrim\u00e4e", "given" : "Jaak", "non-dropping-particle" : "", "parse-names" : false, "suffix" : "" } ], "container-title" : "Rheumatology International", "id" : "ITEM-1", "issue" : "7", "issued" : { "date-parts" : [ [ "2013" ] ] }, "page" : "1681-1687", "title" : "Bone mineral density in 11-13-year-old boys: Relative importance of the weight status and body composition factors", "type" : "article-journal", "volume" : "33" }, "uris" : [ "http://www.mendeley.com/documents/?uuid=09bb5f7c-cf79-4600-a48a-712c84c238db" ] } ], "mendeley" : { "formattedCitation" : "&lt;sup&gt;53&lt;/sup&gt;", "plainTextFormattedCitation" : "53", "previouslyFormattedCitation" : "&lt;sup&gt;53&lt;/sup&gt;" }, "properties" : { "noteIndex" : 0 }, "schema" : "https://github.com/citation-style-language/schema/raw/master/csl-citation.json" }</w:instrText>
            </w:r>
            <w:r w:rsidR="00156059" w:rsidRPr="00FA5289">
              <w:rPr>
                <w:b/>
                <w:bCs/>
              </w:rPr>
              <w:fldChar w:fldCharType="separate"/>
            </w:r>
            <w:r w:rsidR="0075024E" w:rsidRPr="00FA5289">
              <w:rPr>
                <w:bCs/>
                <w:noProof/>
                <w:vertAlign w:val="superscript"/>
              </w:rPr>
              <w:t>53</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r w:rsidRPr="00FA5289">
              <w:t>Overweight boys</w:t>
            </w:r>
          </w:p>
        </w:tc>
        <w:tc>
          <w:tcPr>
            <w:tcW w:w="567" w:type="dxa"/>
            <w:tcBorders>
              <w:left w:val="nil"/>
              <w:right w:val="nil"/>
            </w:tcBorders>
          </w:tcPr>
          <w:p w:rsidR="00022A6E" w:rsidRPr="00FA5289" w:rsidRDefault="00022A6E" w:rsidP="0036552A">
            <w:pPr>
              <w:spacing w:after="0" w:line="240" w:lineRule="auto"/>
              <w:jc w:val="center"/>
            </w:pPr>
            <w:r w:rsidRPr="00FA5289">
              <w:t>110</w:t>
            </w:r>
          </w:p>
        </w:tc>
        <w:tc>
          <w:tcPr>
            <w:tcW w:w="992" w:type="dxa"/>
            <w:tcBorders>
              <w:left w:val="nil"/>
              <w:right w:val="nil"/>
            </w:tcBorders>
          </w:tcPr>
          <w:p w:rsidR="00022A6E" w:rsidRPr="00FA5289" w:rsidRDefault="00022A6E" w:rsidP="0036552A">
            <w:pPr>
              <w:spacing w:after="0" w:line="240" w:lineRule="auto"/>
              <w:jc w:val="center"/>
            </w:pPr>
            <w:r w:rsidRPr="00FA5289">
              <w:t>Male</w:t>
            </w:r>
          </w:p>
        </w:tc>
        <w:tc>
          <w:tcPr>
            <w:tcW w:w="1002" w:type="dxa"/>
            <w:tcBorders>
              <w:left w:val="nil"/>
              <w:right w:val="nil"/>
            </w:tcBorders>
          </w:tcPr>
          <w:p w:rsidR="00022A6E" w:rsidRPr="00FA5289" w:rsidRDefault="00022A6E" w:rsidP="0036552A">
            <w:pPr>
              <w:spacing w:after="0" w:line="240" w:lineRule="auto"/>
              <w:jc w:val="center"/>
            </w:pPr>
            <w:r w:rsidRPr="00FA5289">
              <w:t>11.96 ± 0.76</w:t>
            </w:r>
          </w:p>
        </w:tc>
        <w:tc>
          <w:tcPr>
            <w:tcW w:w="1408" w:type="dxa"/>
            <w:tcBorders>
              <w:left w:val="nil"/>
              <w:right w:val="nil"/>
            </w:tcBorders>
          </w:tcPr>
          <w:p w:rsidR="00022A6E" w:rsidRPr="00FA5289" w:rsidRDefault="00022A6E" w:rsidP="0036552A">
            <w:pPr>
              <w:spacing w:after="0" w:line="240" w:lineRule="auto"/>
              <w:jc w:val="center"/>
            </w:pPr>
            <w:r w:rsidRPr="00FA5289">
              <w:t>23.1 ± 4.6</w:t>
            </w:r>
          </w:p>
        </w:tc>
        <w:tc>
          <w:tcPr>
            <w:tcW w:w="1417" w:type="dxa"/>
            <w:tcBorders>
              <w:left w:val="nil"/>
              <w:right w:val="nil"/>
            </w:tcBorders>
          </w:tcPr>
          <w:p w:rsidR="00022A6E" w:rsidRPr="00FA5289" w:rsidRDefault="00022A6E" w:rsidP="0036552A">
            <w:pPr>
              <w:spacing w:after="0" w:line="240" w:lineRule="auto"/>
              <w:jc w:val="center"/>
            </w:pPr>
            <w:r w:rsidRPr="00FA5289">
              <w:t>19.02 ± 9.57</w:t>
            </w:r>
          </w:p>
        </w:tc>
        <w:tc>
          <w:tcPr>
            <w:tcW w:w="1417" w:type="dxa"/>
            <w:tcBorders>
              <w:left w:val="nil"/>
              <w:right w:val="nil"/>
            </w:tcBorders>
          </w:tcPr>
          <w:p w:rsidR="00022A6E" w:rsidRPr="00FA5289" w:rsidRDefault="00022A6E" w:rsidP="0036552A">
            <w:pPr>
              <w:spacing w:after="0" w:line="240" w:lineRule="auto"/>
              <w:jc w:val="center"/>
            </w:pPr>
            <w:r w:rsidRPr="00FA5289">
              <w:t>33.9 ± 7.9</w:t>
            </w:r>
          </w:p>
        </w:tc>
        <w:tc>
          <w:tcPr>
            <w:tcW w:w="1417" w:type="dxa"/>
            <w:tcBorders>
              <w:left w:val="nil"/>
              <w:right w:val="nil"/>
            </w:tcBorders>
          </w:tcPr>
          <w:p w:rsidR="00022A6E" w:rsidRPr="00FA5289" w:rsidRDefault="00022A6E" w:rsidP="0036552A">
            <w:pPr>
              <w:spacing w:after="0" w:line="240" w:lineRule="auto"/>
              <w:jc w:val="center"/>
            </w:pPr>
            <w:r w:rsidRPr="00FA5289">
              <w:t>1.007 ± 0.066</w:t>
            </w:r>
          </w:p>
        </w:tc>
        <w:tc>
          <w:tcPr>
            <w:tcW w:w="1418" w:type="dxa"/>
            <w:tcBorders>
              <w:left w:val="nil"/>
              <w:right w:val="nil"/>
            </w:tcBorders>
          </w:tcPr>
          <w:p w:rsidR="00022A6E" w:rsidRPr="00FA5289" w:rsidRDefault="00022A6E" w:rsidP="0036552A">
            <w:pPr>
              <w:spacing w:after="0" w:line="240" w:lineRule="auto"/>
              <w:jc w:val="center"/>
            </w:pPr>
            <w:r w:rsidRPr="00FA5289">
              <w:t>L2 – 4</w:t>
            </w:r>
          </w:p>
          <w:p w:rsidR="00022A6E" w:rsidRPr="00FA5289" w:rsidRDefault="00022A6E" w:rsidP="0036552A">
            <w:pPr>
              <w:spacing w:after="0" w:line="240" w:lineRule="auto"/>
              <w:jc w:val="center"/>
            </w:pPr>
            <w:r w:rsidRPr="00FA5289">
              <w:t>0.839 ± 0.092</w:t>
            </w:r>
          </w:p>
        </w:tc>
        <w:tc>
          <w:tcPr>
            <w:tcW w:w="1417" w:type="dxa"/>
            <w:tcBorders>
              <w:left w:val="nil"/>
              <w:right w:val="nil"/>
            </w:tcBorders>
          </w:tcPr>
          <w:p w:rsidR="00022A6E" w:rsidRPr="00FA5289" w:rsidRDefault="00022A6E" w:rsidP="0036552A">
            <w:pPr>
              <w:spacing w:after="0" w:line="240" w:lineRule="auto"/>
              <w:jc w:val="center"/>
              <w:rPr>
                <w:highlight w:val="yellow"/>
              </w:rPr>
            </w:pPr>
            <w:r w:rsidRPr="00FA5289">
              <w:t>-</w:t>
            </w:r>
          </w:p>
        </w:tc>
        <w:tc>
          <w:tcPr>
            <w:tcW w:w="1418" w:type="dxa"/>
            <w:tcBorders>
              <w:left w:val="nil"/>
              <w:right w:val="nil"/>
            </w:tcBorders>
          </w:tcPr>
          <w:p w:rsidR="00022A6E" w:rsidRPr="00FA5289" w:rsidRDefault="00022A6E" w:rsidP="0036552A">
            <w:pPr>
              <w:spacing w:after="0" w:line="240" w:lineRule="auto"/>
              <w:jc w:val="center"/>
              <w:rPr>
                <w:highlight w:val="yellow"/>
              </w:rPr>
            </w:pPr>
            <w:r w:rsidRPr="00FA5289">
              <w:t>0.904 ± 0.095</w:t>
            </w:r>
          </w:p>
        </w:tc>
      </w:tr>
      <w:tr w:rsidR="00022A6E" w:rsidRPr="00022A6E" w:rsidTr="000C62EB">
        <w:trPr>
          <w:jc w:val="center"/>
        </w:trPr>
        <w:tc>
          <w:tcPr>
            <w:tcW w:w="1698" w:type="dxa"/>
            <w:tcBorders>
              <w:left w:val="nil"/>
              <w:right w:val="nil"/>
            </w:tcBorders>
          </w:tcPr>
          <w:p w:rsidR="00022A6E" w:rsidRPr="00FA5289" w:rsidRDefault="00022A6E" w:rsidP="0036552A">
            <w:pPr>
              <w:spacing w:after="0" w:line="240" w:lineRule="auto"/>
              <w:jc w:val="center"/>
              <w:rPr>
                <w:b/>
                <w:bCs/>
              </w:rPr>
            </w:pPr>
            <w:r w:rsidRPr="00FA5289">
              <w:rPr>
                <w:b/>
                <w:bCs/>
              </w:rPr>
              <w:t xml:space="preserve">Junior et al. </w:t>
            </w:r>
          </w:p>
          <w:p w:rsidR="00022A6E" w:rsidRPr="00FA5289" w:rsidRDefault="006531EA" w:rsidP="00EC040C">
            <w:pPr>
              <w:spacing w:after="0" w:line="240" w:lineRule="auto"/>
              <w:jc w:val="center"/>
              <w:rPr>
                <w:b/>
                <w:bCs/>
              </w:rPr>
            </w:pPr>
            <w:r>
              <w:rPr>
                <w:b/>
                <w:bCs/>
              </w:rPr>
              <w:t>(</w:t>
            </w:r>
            <w:r w:rsidR="00022A6E" w:rsidRPr="00FA5289">
              <w:rPr>
                <w:b/>
                <w:bCs/>
              </w:rPr>
              <w:t>2013</w:t>
            </w:r>
            <w:r>
              <w:rPr>
                <w:b/>
                <w:bCs/>
              </w:rPr>
              <w:t>)</w:t>
            </w:r>
            <w:r w:rsidR="0075024E" w:rsidRPr="00FA5289">
              <w:rPr>
                <w:b/>
                <w:bCs/>
              </w:rPr>
              <w:t xml:space="preserve"> </w:t>
            </w:r>
            <w:r w:rsidR="00156059" w:rsidRPr="00FA5289">
              <w:rPr>
                <w:b/>
                <w:bCs/>
              </w:rPr>
              <w:fldChar w:fldCharType="begin" w:fldLock="1"/>
            </w:r>
            <w:r w:rsidR="00EC040C" w:rsidRPr="00FA5289">
              <w:rPr>
                <w:b/>
                <w:bCs/>
              </w:rPr>
              <w:instrText>ADDIN CSL_CITATION { "citationItems" : [ { "id" : "ITEM-1", "itemData" : { "DOI" : "10.1186/1471-2431-13-37", "ISBN" : "1471-2431 (Electronic)\\n1471-2431 (Linking)", "ISSN" : "1471-2431", "PMID" : "23510224", "abstract" : "BACKGROUND: Among adults, obesity has been positively related to bone mineral density. However, recent findings have pointed out that abdominal obesity could be negatively related to bone density. The above mentioned relationship is not clear among pediatric populations. Therefore, this cross-sectional study analyzed the relationship between thickness of abdominal adipose tissue and bone mineral variables in sedentary obese children and adolescents.\\n\\nMETHODS: One hundred and seventy five obese children and adolescents (83 male and 92 female) with ages ranging from 6 to 16 years-old were analyzed. Bone mineral content and density were estimated by dual-energy X-ray absorptiometry and ultrasound equipment which estimated the thickness of the abdominal adipose tissue. Pubertal stage was self-reported by the participants.\\n\\nRESULTS: The mean age was 11.1 (SD=2.6). Thickness of the abdominal adipose tissue was negatively related to bone mineral density (r=-0.17 [r95%CI: -0.03;-0.32]), independent of gender, pubertal stage and other confounders (\u03b2=-0.134\u00b10.042 [\u03b295%CI: -0.217; -0.050]).\\n\\nCONCLUSIONS: In sedentary obese children and adolescents abdominal obesity is negatively related to bone mineral density, suggesting a potential link between abdominal obesity and osteoporosis.", "author" : [ { "dropping-particle" : "", "family" : "J\u00fanior", "given" : "Ismael Forte Freitas", "non-dropping-particle" : "", "parse-names" : false, "suffix" : "" }, { "dropping-particle" : "", "family" : "Cardoso", "given" : "Jefferson Rosa", "non-dropping-particle" : "", "parse-names" : false, "suffix" : "" }, { "dropping-particle" : "", "family" : "Christofaro", "given" : "Diego G Destro", "non-dropping-particle" : "", "parse-names" : false, "suffix" : "" }, { "dropping-particle" : "", "family" : "Codogno", "given" : "Jamile Sanches", "non-dropping-particle" : "", "parse-names" : false, "suffix" : "" }, { "dropping-particle" : "", "family" : "Moraes", "given" : "Augusto C\u00e9sar Ferreira", "non-dropping-particle" : "de", "parse-names" : false, "suffix" : "" }, { "dropping-particle" : "", "family" : "Fernandes", "given" : "R\u00f4mulo Ara\u00fajo", "non-dropping-particle" : "", "parse-names" : false, "suffix" : "" } ], "container-title" : "BMC pediatrics", "id" : "ITEM-1", "issue" : "MAY", "issued" : { "date-parts" : [ [ "2013" ] ] }, "page" : "37", "title" : "The relationship between visceral fat thickness and bone mineral density in sedentary obese children and adolescents.", "type" : "article-journal", "volume" : "13" }, "uris" : [ "http://www.mendeley.com/documents/?uuid=19d07a00-adff-4048-a487-744365ae4ef5" ] } ], "mendeley" : { "formattedCitation" : "&lt;sup&gt;54&lt;/sup&gt;", "plainTextFormattedCitation" : "54", "previouslyFormattedCitation" : "&lt;sup&gt;54&lt;/sup&gt;" }, "properties" : { "noteIndex" : 0 }, "schema" : "https://github.com/citation-style-language/schema/raw/master/csl-citation.json" }</w:instrText>
            </w:r>
            <w:r w:rsidR="00156059" w:rsidRPr="00FA5289">
              <w:rPr>
                <w:b/>
                <w:bCs/>
              </w:rPr>
              <w:fldChar w:fldCharType="separate"/>
            </w:r>
            <w:r w:rsidR="00EC040C" w:rsidRPr="00FA5289">
              <w:rPr>
                <w:bCs/>
                <w:noProof/>
                <w:vertAlign w:val="superscript"/>
              </w:rPr>
              <w:t>54</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r w:rsidRPr="00FA5289">
              <w:t>Obese children and adolescents</w:t>
            </w:r>
          </w:p>
        </w:tc>
        <w:tc>
          <w:tcPr>
            <w:tcW w:w="567" w:type="dxa"/>
            <w:tcBorders>
              <w:left w:val="nil"/>
              <w:right w:val="nil"/>
            </w:tcBorders>
          </w:tcPr>
          <w:p w:rsidR="00022A6E" w:rsidRPr="00FA5289" w:rsidRDefault="00022A6E" w:rsidP="0036552A">
            <w:pPr>
              <w:spacing w:after="0" w:line="240" w:lineRule="auto"/>
              <w:jc w:val="center"/>
            </w:pPr>
            <w:r w:rsidRPr="00FA5289">
              <w:t>175</w:t>
            </w:r>
          </w:p>
        </w:tc>
        <w:tc>
          <w:tcPr>
            <w:tcW w:w="992" w:type="dxa"/>
            <w:tcBorders>
              <w:left w:val="nil"/>
              <w:right w:val="nil"/>
            </w:tcBorders>
          </w:tcPr>
          <w:p w:rsidR="00022A6E" w:rsidRPr="00FA5289" w:rsidRDefault="00022A6E" w:rsidP="0036552A">
            <w:pPr>
              <w:spacing w:after="0" w:line="240" w:lineRule="auto"/>
              <w:jc w:val="center"/>
            </w:pPr>
            <w:r w:rsidRPr="00FA5289">
              <w:t>Male (83) and female (92)</w:t>
            </w:r>
          </w:p>
        </w:tc>
        <w:tc>
          <w:tcPr>
            <w:tcW w:w="1002" w:type="dxa"/>
            <w:tcBorders>
              <w:left w:val="nil"/>
              <w:right w:val="nil"/>
            </w:tcBorders>
          </w:tcPr>
          <w:p w:rsidR="00022A6E" w:rsidRPr="00FA5289" w:rsidRDefault="00022A6E" w:rsidP="0036552A">
            <w:pPr>
              <w:spacing w:after="0" w:line="240" w:lineRule="auto"/>
              <w:jc w:val="center"/>
            </w:pPr>
            <w:r w:rsidRPr="00FA5289">
              <w:t>11.1 ± 2.6</w:t>
            </w:r>
          </w:p>
        </w:tc>
        <w:tc>
          <w:tcPr>
            <w:tcW w:w="1408" w:type="dxa"/>
            <w:tcBorders>
              <w:left w:val="nil"/>
              <w:right w:val="nil"/>
            </w:tcBorders>
          </w:tcPr>
          <w:p w:rsidR="00022A6E" w:rsidRPr="00FA5289" w:rsidRDefault="00022A6E" w:rsidP="0036552A">
            <w:pPr>
              <w:spacing w:after="0" w:line="240" w:lineRule="auto"/>
              <w:jc w:val="center"/>
            </w:pPr>
            <w:r w:rsidRPr="00FA5289">
              <w:t>-</w:t>
            </w:r>
          </w:p>
        </w:tc>
        <w:tc>
          <w:tcPr>
            <w:tcW w:w="1417" w:type="dxa"/>
            <w:tcBorders>
              <w:left w:val="nil"/>
              <w:right w:val="nil"/>
            </w:tcBorders>
          </w:tcPr>
          <w:p w:rsidR="00022A6E" w:rsidRPr="00FA5289" w:rsidRDefault="00022A6E" w:rsidP="0036552A">
            <w:pPr>
              <w:spacing w:after="0" w:line="240" w:lineRule="auto"/>
              <w:jc w:val="center"/>
            </w:pPr>
            <w:r w:rsidRPr="00FA5289">
              <w:t>-</w:t>
            </w:r>
          </w:p>
        </w:tc>
        <w:tc>
          <w:tcPr>
            <w:tcW w:w="1417" w:type="dxa"/>
            <w:tcBorders>
              <w:left w:val="nil"/>
              <w:right w:val="nil"/>
            </w:tcBorders>
          </w:tcPr>
          <w:p w:rsidR="00022A6E" w:rsidRPr="00FA5289" w:rsidRDefault="00022A6E" w:rsidP="0036552A">
            <w:pPr>
              <w:spacing w:after="0" w:line="240" w:lineRule="auto"/>
              <w:jc w:val="center"/>
            </w:pPr>
            <w:r w:rsidRPr="00FA5289">
              <w:t>45.4 ± 5.2</w:t>
            </w:r>
          </w:p>
        </w:tc>
        <w:tc>
          <w:tcPr>
            <w:tcW w:w="1417" w:type="dxa"/>
            <w:tcBorders>
              <w:left w:val="nil"/>
              <w:right w:val="nil"/>
            </w:tcBorders>
          </w:tcPr>
          <w:p w:rsidR="00022A6E" w:rsidRPr="00FA5289" w:rsidRDefault="00022A6E" w:rsidP="0036552A">
            <w:pPr>
              <w:spacing w:after="0" w:line="240" w:lineRule="auto"/>
              <w:jc w:val="center"/>
            </w:pPr>
            <w:r w:rsidRPr="00FA5289">
              <w:t>1.044 ± 0.12</w:t>
            </w:r>
          </w:p>
        </w:tc>
        <w:tc>
          <w:tcPr>
            <w:tcW w:w="1418" w:type="dxa"/>
            <w:tcBorders>
              <w:left w:val="nil"/>
              <w:right w:val="nil"/>
            </w:tcBorders>
          </w:tcPr>
          <w:p w:rsidR="00022A6E" w:rsidRPr="00FA5289" w:rsidRDefault="00022A6E" w:rsidP="0036552A">
            <w:pPr>
              <w:spacing w:after="0" w:line="240" w:lineRule="auto"/>
              <w:jc w:val="center"/>
            </w:pPr>
            <w:r w:rsidRPr="00FA5289">
              <w:t>-</w:t>
            </w:r>
          </w:p>
        </w:tc>
        <w:tc>
          <w:tcPr>
            <w:tcW w:w="1417" w:type="dxa"/>
            <w:tcBorders>
              <w:left w:val="nil"/>
              <w:right w:val="nil"/>
            </w:tcBorders>
          </w:tcPr>
          <w:p w:rsidR="00022A6E" w:rsidRPr="00FA5289" w:rsidRDefault="00022A6E" w:rsidP="0036552A">
            <w:pPr>
              <w:spacing w:after="0" w:line="240" w:lineRule="auto"/>
              <w:jc w:val="center"/>
            </w:pPr>
            <w:r w:rsidRPr="00FA5289">
              <w:t>-</w:t>
            </w:r>
          </w:p>
        </w:tc>
        <w:tc>
          <w:tcPr>
            <w:tcW w:w="1418" w:type="dxa"/>
            <w:tcBorders>
              <w:left w:val="nil"/>
              <w:right w:val="nil"/>
            </w:tcBorders>
          </w:tcPr>
          <w:p w:rsidR="00022A6E" w:rsidRPr="00FA5289" w:rsidRDefault="00022A6E" w:rsidP="0036552A">
            <w:pPr>
              <w:spacing w:after="0" w:line="240" w:lineRule="auto"/>
              <w:jc w:val="center"/>
            </w:pPr>
            <w:r w:rsidRPr="00FA5289">
              <w:t>-</w:t>
            </w:r>
          </w:p>
        </w:tc>
      </w:tr>
      <w:tr w:rsidR="00022A6E" w:rsidRPr="00022A6E" w:rsidTr="000C62EB">
        <w:trPr>
          <w:jc w:val="center"/>
        </w:trPr>
        <w:tc>
          <w:tcPr>
            <w:tcW w:w="1698" w:type="dxa"/>
            <w:tcBorders>
              <w:left w:val="nil"/>
              <w:right w:val="nil"/>
            </w:tcBorders>
          </w:tcPr>
          <w:p w:rsidR="00022A6E" w:rsidRPr="00FA5289" w:rsidRDefault="00022A6E" w:rsidP="0036552A">
            <w:pPr>
              <w:spacing w:after="0" w:line="240" w:lineRule="auto"/>
              <w:jc w:val="center"/>
              <w:rPr>
                <w:b/>
                <w:bCs/>
              </w:rPr>
            </w:pPr>
            <w:r w:rsidRPr="00FA5289">
              <w:rPr>
                <w:b/>
                <w:bCs/>
              </w:rPr>
              <w:t xml:space="preserve">Kang et al. </w:t>
            </w:r>
          </w:p>
          <w:p w:rsidR="00022A6E" w:rsidRPr="00FA5289" w:rsidRDefault="006531EA" w:rsidP="00EC040C">
            <w:pPr>
              <w:spacing w:after="0" w:line="240" w:lineRule="auto"/>
              <w:jc w:val="center"/>
              <w:rPr>
                <w:b/>
                <w:bCs/>
              </w:rPr>
            </w:pPr>
            <w:r>
              <w:rPr>
                <w:b/>
                <w:bCs/>
              </w:rPr>
              <w:t>(</w:t>
            </w:r>
            <w:r w:rsidR="00022A6E" w:rsidRPr="00FA5289">
              <w:rPr>
                <w:b/>
                <w:bCs/>
              </w:rPr>
              <w:t>2014</w:t>
            </w:r>
            <w:r>
              <w:rPr>
                <w:b/>
                <w:bCs/>
              </w:rPr>
              <w:t>)</w:t>
            </w:r>
            <w:r w:rsidR="004C5442" w:rsidRPr="00FA5289">
              <w:rPr>
                <w:b/>
                <w:bCs/>
              </w:rPr>
              <w:t xml:space="preserve"> </w:t>
            </w:r>
            <w:r w:rsidR="00156059" w:rsidRPr="00FA5289">
              <w:rPr>
                <w:b/>
                <w:bCs/>
              </w:rPr>
              <w:fldChar w:fldCharType="begin" w:fldLock="1"/>
            </w:r>
            <w:r w:rsidR="00EC040C" w:rsidRPr="00FA5289">
              <w:rPr>
                <w:b/>
                <w:bCs/>
              </w:rPr>
              <w:instrText>ADDIN CSL_CITATION { "citationItems" : [ { "id" : "ITEM-1", "itemData" : { "DOI" : "10.1007/s40618-013-0037-6", "ISSN" : "17208386", "PMID" : "24477947", "abstract" : "Osteoporosis and obesity are severe public health problems in an aging society, and as we all know, bone mineral density (BMD) is closely related to fat mass (FM) and fat distribution. However, studies have long focused on pre- or post-menopausal women, and its presence in men has been underestimated. To investigate the differential impact of fat on BMD, we characterized body composition of northern Chinese men and examined the relationship with BMD according to body mass index (BMI) levels. METHODS: A cross-sectional study was conducted on 502 healthy northern Chinese men aged 20-89 screened from the participants in a community-based osteoporosis prevention study conducted by the Research Center of Qianfoshan Hospital of Shandong University from 2009 to 2010. The qualified subjects were stratified according to BMI levels as normal weight (18.5 /= 28 kg/m(2), n = 140). Total body, left femur, lumbar spine BMD and lean mass (LM), FM, percent body fat (%BF) were measured by dual-energy X-ray absorptiometry. Pearson correlation and age-adjusted partial correlation analyses between body composition-related parameters and BMD were performed. Multiple regression analysis was performed to examine the relationship of BMD with LM, FM and %BF. RESULTS: Height and weight had positive associations with BMD at all sites, although age had negative associations. Of all subjects, LM and FM were positively correlated with BMD at almost sites (P &lt; 0.01). However, when the subjects were divided into normal weight, overweight and obesity, no relations were reflected between FM and BMD. %BF showed negative correlations with BMD at arm and leg (P &lt; 0.01) in overweight, and with BMD at total body, arm, leg, hip (P &lt; 0.01) in obesity. In regression models, both FM and LM showed statistically positively significant relations with total body and regional BMD in all subjects (all P &lt; 0.05). LM was positively correlated with BMD at almost site (all P &lt; 0.05) in groups, while FM had no association. Interestingly, percent body fat (%BF) had negative associations with BMD at total body, arm, leg and total femur in overweight and obesity. CONCLUSIONS: The relationship between LM and BMD was certain in northern Chinese men while fat-bone relationship was complicated. %BF had a significantly negative association with total body and regional BMD in overweight and obese men.", "author" : [ { "dropping-particle" : "", "family" : "Kang", "given" : "D.", "non-dropping-particle" : "", "parse-names" : false, "suffix" : "" }, { "dropping-particle" : "", "family" : "Liu", "given" : "Z.", "non-dropping-particle" : "", "parse-names" : false, "suffix" : "" }, { "dropping-particle" : "", "family" : "Wang", "given" : "Y.", "non-dropping-particle" : "", "parse-names" : false, "suffix" : "" }, { "dropping-particle" : "", "family" : "Zhang", "given" : "H.", "non-dropping-particle" : "", "parse-names" : false, "suffix" : "" }, { "dropping-particle" : "", "family" : "Feng", "given" : "X.", "non-dropping-particle" : "", "parse-names" : false, "suffix" : "" }, { "dropping-particle" : "", "family" : "Cao", "given" : "W.", "non-dropping-particle" : "", "parse-names" : false, "suffix" : "" }, { "dropping-particle" : "", "family" : "Wang", "given" : "P.", "non-dropping-particle" : "", "parse-names" : false, "suffix" : "" } ], "container-title" : "Journal of Endocrinological Investigation", "id" : "ITEM-1", "issue" : "4", "issued" : { "date-parts" : [ [ "2014" ] ] }, "page" : "359-367", "title" : "Relationship of body composition with bone mineral density in northern Chinese men by body mass index levels", "type" : "article-journal", "volume" : "37" }, "uris" : [ "http://www.mendeley.com/documents/?uuid=8ecfc742-b804-450b-8b89-0958bcad8e86" ] } ], "mendeley" : { "formattedCitation" : "&lt;sup&gt;55&lt;/sup&gt;", "plainTextFormattedCitation" : "55", "previouslyFormattedCitation" : "&lt;sup&gt;55&lt;/sup&gt;" }, "properties" : { "noteIndex" : 0 }, "schema" : "https://github.com/citation-style-language/schema/raw/master/csl-citation.json" }</w:instrText>
            </w:r>
            <w:r w:rsidR="00156059" w:rsidRPr="00FA5289">
              <w:rPr>
                <w:b/>
                <w:bCs/>
              </w:rPr>
              <w:fldChar w:fldCharType="separate"/>
            </w:r>
            <w:r w:rsidR="00EC040C" w:rsidRPr="00FA5289">
              <w:rPr>
                <w:bCs/>
                <w:noProof/>
                <w:vertAlign w:val="superscript"/>
              </w:rPr>
              <w:t>55</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r w:rsidRPr="00FA5289">
              <w:t>Overweight Chinese men</w:t>
            </w:r>
          </w:p>
        </w:tc>
        <w:tc>
          <w:tcPr>
            <w:tcW w:w="567" w:type="dxa"/>
            <w:tcBorders>
              <w:left w:val="nil"/>
              <w:right w:val="nil"/>
            </w:tcBorders>
          </w:tcPr>
          <w:p w:rsidR="00022A6E" w:rsidRPr="00FA5289" w:rsidRDefault="00022A6E" w:rsidP="0036552A">
            <w:pPr>
              <w:spacing w:after="0" w:line="240" w:lineRule="auto"/>
              <w:jc w:val="center"/>
            </w:pPr>
            <w:r w:rsidRPr="00FA5289">
              <w:t>225</w:t>
            </w:r>
          </w:p>
        </w:tc>
        <w:tc>
          <w:tcPr>
            <w:tcW w:w="992" w:type="dxa"/>
            <w:tcBorders>
              <w:left w:val="nil"/>
              <w:right w:val="nil"/>
            </w:tcBorders>
          </w:tcPr>
          <w:p w:rsidR="00022A6E" w:rsidRPr="00FA5289" w:rsidRDefault="00022A6E" w:rsidP="0036552A">
            <w:pPr>
              <w:spacing w:after="0" w:line="240" w:lineRule="auto"/>
              <w:jc w:val="center"/>
            </w:pPr>
            <w:r w:rsidRPr="00FA5289">
              <w:t>Male</w:t>
            </w:r>
          </w:p>
        </w:tc>
        <w:tc>
          <w:tcPr>
            <w:tcW w:w="1002" w:type="dxa"/>
            <w:tcBorders>
              <w:left w:val="nil"/>
              <w:right w:val="nil"/>
            </w:tcBorders>
          </w:tcPr>
          <w:p w:rsidR="00022A6E" w:rsidRPr="00FA5289" w:rsidRDefault="00022A6E" w:rsidP="0036552A">
            <w:pPr>
              <w:spacing w:after="0" w:line="240" w:lineRule="auto"/>
              <w:jc w:val="center"/>
            </w:pPr>
            <w:r w:rsidRPr="00FA5289">
              <w:t>61.4 ± 16.2</w:t>
            </w:r>
          </w:p>
        </w:tc>
        <w:tc>
          <w:tcPr>
            <w:tcW w:w="1408" w:type="dxa"/>
            <w:tcBorders>
              <w:left w:val="nil"/>
              <w:right w:val="nil"/>
            </w:tcBorders>
          </w:tcPr>
          <w:p w:rsidR="00022A6E" w:rsidRPr="00FA5289" w:rsidRDefault="00022A6E" w:rsidP="0036552A">
            <w:pPr>
              <w:spacing w:after="0" w:line="240" w:lineRule="auto"/>
              <w:jc w:val="center"/>
            </w:pPr>
            <w:r w:rsidRPr="00FA5289">
              <w:t>25.9 ± 1.2</w:t>
            </w:r>
          </w:p>
        </w:tc>
        <w:tc>
          <w:tcPr>
            <w:tcW w:w="1417" w:type="dxa"/>
            <w:tcBorders>
              <w:left w:val="nil"/>
              <w:right w:val="nil"/>
            </w:tcBorders>
          </w:tcPr>
          <w:p w:rsidR="00022A6E" w:rsidRPr="00FA5289" w:rsidRDefault="00022A6E" w:rsidP="0036552A">
            <w:pPr>
              <w:spacing w:after="0" w:line="240" w:lineRule="auto"/>
              <w:jc w:val="center"/>
            </w:pPr>
            <w:r w:rsidRPr="00FA5289">
              <w:t>20.7 ± 4.2</w:t>
            </w:r>
          </w:p>
        </w:tc>
        <w:tc>
          <w:tcPr>
            <w:tcW w:w="1417" w:type="dxa"/>
            <w:tcBorders>
              <w:left w:val="nil"/>
              <w:right w:val="nil"/>
            </w:tcBorders>
          </w:tcPr>
          <w:p w:rsidR="00022A6E" w:rsidRPr="00FA5289" w:rsidRDefault="00022A6E" w:rsidP="0036552A">
            <w:pPr>
              <w:spacing w:after="0" w:line="240" w:lineRule="auto"/>
              <w:jc w:val="center"/>
            </w:pPr>
            <w:r w:rsidRPr="00FA5289">
              <w:t>29.8 ± 5.2</w:t>
            </w:r>
          </w:p>
        </w:tc>
        <w:tc>
          <w:tcPr>
            <w:tcW w:w="1417" w:type="dxa"/>
            <w:tcBorders>
              <w:left w:val="nil"/>
              <w:right w:val="nil"/>
            </w:tcBorders>
          </w:tcPr>
          <w:p w:rsidR="00022A6E" w:rsidRPr="00FA5289" w:rsidRDefault="00022A6E" w:rsidP="0036552A">
            <w:pPr>
              <w:spacing w:after="0" w:line="240" w:lineRule="auto"/>
              <w:jc w:val="center"/>
            </w:pPr>
            <w:r w:rsidRPr="00FA5289">
              <w:t>1.173 ± 0.092</w:t>
            </w:r>
          </w:p>
        </w:tc>
        <w:tc>
          <w:tcPr>
            <w:tcW w:w="1418" w:type="dxa"/>
            <w:tcBorders>
              <w:left w:val="nil"/>
              <w:right w:val="nil"/>
            </w:tcBorders>
          </w:tcPr>
          <w:p w:rsidR="00022A6E" w:rsidRPr="00FA5289" w:rsidRDefault="00022A6E" w:rsidP="0036552A">
            <w:pPr>
              <w:spacing w:after="0" w:line="240" w:lineRule="auto"/>
              <w:jc w:val="center"/>
            </w:pPr>
            <w:r w:rsidRPr="00FA5289">
              <w:t>L1 – 4       1.115 ± 0.168</w:t>
            </w:r>
          </w:p>
        </w:tc>
        <w:tc>
          <w:tcPr>
            <w:tcW w:w="1417" w:type="dxa"/>
            <w:tcBorders>
              <w:left w:val="nil"/>
              <w:right w:val="nil"/>
            </w:tcBorders>
          </w:tcPr>
          <w:p w:rsidR="00022A6E" w:rsidRPr="00FA5289" w:rsidRDefault="00022A6E" w:rsidP="0036552A">
            <w:pPr>
              <w:spacing w:after="0" w:line="240" w:lineRule="auto"/>
              <w:jc w:val="center"/>
            </w:pPr>
            <w:r w:rsidRPr="00FA5289">
              <w:t>1.006 ± 0.131</w:t>
            </w:r>
          </w:p>
        </w:tc>
        <w:tc>
          <w:tcPr>
            <w:tcW w:w="1418" w:type="dxa"/>
            <w:tcBorders>
              <w:left w:val="nil"/>
              <w:right w:val="nil"/>
            </w:tcBorders>
          </w:tcPr>
          <w:p w:rsidR="00022A6E" w:rsidRPr="00FA5289" w:rsidRDefault="00022A6E" w:rsidP="0036552A">
            <w:pPr>
              <w:spacing w:after="0" w:line="240" w:lineRule="auto"/>
              <w:jc w:val="center"/>
            </w:pPr>
            <w:r w:rsidRPr="00FA5289">
              <w:t>0.934 ± 0.131</w:t>
            </w:r>
          </w:p>
        </w:tc>
      </w:tr>
      <w:tr w:rsidR="00022A6E" w:rsidRPr="00022A6E" w:rsidTr="000C62EB">
        <w:trPr>
          <w:jc w:val="center"/>
        </w:trPr>
        <w:tc>
          <w:tcPr>
            <w:tcW w:w="1698" w:type="dxa"/>
            <w:tcBorders>
              <w:left w:val="nil"/>
              <w:right w:val="nil"/>
            </w:tcBorders>
          </w:tcPr>
          <w:p w:rsidR="00022A6E" w:rsidRPr="00FA5289" w:rsidRDefault="00022A6E" w:rsidP="0036552A">
            <w:pPr>
              <w:spacing w:after="0" w:line="240" w:lineRule="auto"/>
              <w:jc w:val="center"/>
              <w:rPr>
                <w:b/>
                <w:bCs/>
              </w:rPr>
            </w:pPr>
            <w:r w:rsidRPr="00FA5289">
              <w:rPr>
                <w:b/>
                <w:bCs/>
              </w:rPr>
              <w:t xml:space="preserve">Kang et al. </w:t>
            </w:r>
          </w:p>
          <w:p w:rsidR="00022A6E" w:rsidRPr="00FA5289" w:rsidRDefault="006531EA" w:rsidP="00EC040C">
            <w:pPr>
              <w:spacing w:after="0" w:line="240" w:lineRule="auto"/>
              <w:jc w:val="center"/>
              <w:rPr>
                <w:b/>
                <w:bCs/>
              </w:rPr>
            </w:pPr>
            <w:r>
              <w:rPr>
                <w:b/>
                <w:bCs/>
              </w:rPr>
              <w:t>(</w:t>
            </w:r>
            <w:r w:rsidR="00022A6E" w:rsidRPr="00FA5289">
              <w:rPr>
                <w:b/>
                <w:bCs/>
              </w:rPr>
              <w:t>2014</w:t>
            </w:r>
            <w:r>
              <w:rPr>
                <w:b/>
                <w:bCs/>
              </w:rPr>
              <w:t>)</w:t>
            </w:r>
            <w:r w:rsidR="00022A6E" w:rsidRPr="00FA5289">
              <w:rPr>
                <w:b/>
                <w:bCs/>
              </w:rPr>
              <w:t xml:space="preserve"> </w:t>
            </w:r>
            <w:r w:rsidR="00156059" w:rsidRPr="00FA5289">
              <w:rPr>
                <w:b/>
                <w:bCs/>
              </w:rPr>
              <w:fldChar w:fldCharType="begin" w:fldLock="1"/>
            </w:r>
            <w:r w:rsidR="00FA17EC" w:rsidRPr="00FA5289">
              <w:rPr>
                <w:b/>
                <w:bCs/>
              </w:rPr>
              <w:instrText>ADDIN CSL_CITATION { "citationItems" : [ { "id" : "ITEM-1", "itemData" : { "DOI" : "10.1007/s40618-013-0037-6", "ISSN" : "17208386", "PMID" : "24477947", "abstract" : "Osteoporosis and obesity are severe public health problems in an aging society, and as we all know, bone mineral density (BMD) is closely related to fat mass (FM) and fat distribution. However, studies have long focused on pre- or post-menopausal women, and its presence in men has been underestimated. To investigate the differential impact of fat on BMD, we characterized body composition of northern Chinese men and examined the relationship with BMD according to body mass index (BMI) levels. METHODS: A cross-sectional study was conducted on 502 healthy northern Chinese men aged 20-89 screened from the participants in a community-based osteoporosis prevention study conducted by the Research Center of Qianfoshan Hospital of Shandong University from 2009 to 2010. The qualified subjects were stratified according to BMI levels as normal weight (18.5 /= 28 kg/m(2), n = 140). Total body, left femur, lumbar spine BMD and lean mass (LM), FM, percent body fat (%BF) were measured by dual-energy X-ray absorptiometry. Pearson correlation and age-adjusted partial correlation analyses between body composition-related parameters and BMD were performed. Multiple regression analysis was performed to examine the relationship of BMD with LM, FM and %BF. RESULTS: Height and weight had positive associations with BMD at all sites, although age had negative associations. Of all subjects, LM and FM were positively correlated with BMD at almost sites (P &lt; 0.01). However, when the subjects were divided into normal weight, overweight and obesity, no relations were reflected between FM and BMD. %BF showed negative correlations with BMD at arm and leg (P &lt; 0.01) in overweight, and with BMD at total body, arm, leg, hip (P &lt; 0.01) in obesity. In regression models, both FM and LM showed statistically positively significant relations with total body and regional BMD in all subjects (all P &lt; 0.05). LM was positively correlated with BMD at almost site (all P &lt; 0.05) in groups, while FM had no association. Interestingly, percent body fat (%BF) had negative associations with BMD at total body, arm, leg and total femur in overweight and obesity. CONCLUSIONS: The relationship between LM and BMD was certain in northern Chinese men while fat-bone relationship was complicated. %BF had a significantly negative association with total body and regional BMD in overweight and obese men.", "author" : [ { "dropping-particle" : "", "family" : "Kang", "given" : "D.", "non-dropping-particle" : "", "parse-names" : false, "suffix" : "" }, { "dropping-particle" : "", "family" : "Liu", "given" : "Z.", "non-dropping-particle" : "", "parse-names" : false, "suffix" : "" }, { "dropping-particle" : "", "family" : "Wang", "given" : "Y.", "non-dropping-particle" : "", "parse-names" : false, "suffix" : "" }, { "dropping-particle" : "", "family" : "Zhang", "given" : "H.", "non-dropping-particle" : "", "parse-names" : false, "suffix" : "" }, { "dropping-particle" : "", "family" : "Feng", "given" : "X.", "non-dropping-particle" : "", "parse-names" : false, "suffix" : "" }, { "dropping-particle" : "", "family" : "Cao", "given" : "W.", "non-dropping-particle" : "", "parse-names" : false, "suffix" : "" }, { "dropping-particle" : "", "family" : "Wang", "given" : "P.", "non-dropping-particle" : "", "parse-names" : false, "suffix" : "" } ], "container-title" : "Journal of Endocrinological Investigation", "id" : "ITEM-1", "issue" : "4", "issued" : { "date-parts" : [ [ "2014" ] ] }, "page" : "359-367", "title" : "Relationship of body composition with bone mineral density in northern Chinese men by body mass index levels", "type" : "article-journal", "volume" : "37" }, "uris" : [ "http://www.mendeley.com/documents/?uuid=8ecfc742-b804-450b-8b89-0958bcad8e86" ] } ], "mendeley" : { "formattedCitation" : "&lt;sup&gt;55&lt;/sup&gt;", "plainTextFormattedCitation" : "55", "previouslyFormattedCitation" : "&lt;sup&gt;55&lt;/sup&gt;" }, "properties" : { "noteIndex" : 0 }, "schema" : "https://github.com/citation-style-language/schema/raw/master/csl-citation.json" }</w:instrText>
            </w:r>
            <w:r w:rsidR="00156059" w:rsidRPr="00FA5289">
              <w:rPr>
                <w:b/>
                <w:bCs/>
              </w:rPr>
              <w:fldChar w:fldCharType="separate"/>
            </w:r>
            <w:r w:rsidR="00EC040C" w:rsidRPr="00FA5289">
              <w:rPr>
                <w:bCs/>
                <w:noProof/>
                <w:vertAlign w:val="superscript"/>
              </w:rPr>
              <w:t>55</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r w:rsidRPr="00FA5289">
              <w:t>Obese Chinese men</w:t>
            </w:r>
          </w:p>
        </w:tc>
        <w:tc>
          <w:tcPr>
            <w:tcW w:w="567" w:type="dxa"/>
            <w:tcBorders>
              <w:left w:val="nil"/>
              <w:right w:val="nil"/>
            </w:tcBorders>
          </w:tcPr>
          <w:p w:rsidR="00022A6E" w:rsidRPr="00FA5289" w:rsidRDefault="00022A6E" w:rsidP="0036552A">
            <w:pPr>
              <w:spacing w:after="0" w:line="240" w:lineRule="auto"/>
              <w:jc w:val="center"/>
            </w:pPr>
            <w:r w:rsidRPr="00FA5289">
              <w:t>140</w:t>
            </w:r>
          </w:p>
        </w:tc>
        <w:tc>
          <w:tcPr>
            <w:tcW w:w="992" w:type="dxa"/>
            <w:tcBorders>
              <w:left w:val="nil"/>
              <w:right w:val="nil"/>
            </w:tcBorders>
          </w:tcPr>
          <w:p w:rsidR="00022A6E" w:rsidRPr="00FA5289" w:rsidRDefault="00022A6E" w:rsidP="0036552A">
            <w:pPr>
              <w:spacing w:after="0" w:line="240" w:lineRule="auto"/>
              <w:jc w:val="center"/>
            </w:pPr>
            <w:r w:rsidRPr="00FA5289">
              <w:t>Male</w:t>
            </w:r>
          </w:p>
        </w:tc>
        <w:tc>
          <w:tcPr>
            <w:tcW w:w="1002" w:type="dxa"/>
            <w:tcBorders>
              <w:left w:val="nil"/>
              <w:right w:val="nil"/>
            </w:tcBorders>
          </w:tcPr>
          <w:p w:rsidR="00022A6E" w:rsidRPr="00FA5289" w:rsidRDefault="00022A6E" w:rsidP="0036552A">
            <w:pPr>
              <w:spacing w:after="0" w:line="240" w:lineRule="auto"/>
              <w:jc w:val="center"/>
            </w:pPr>
            <w:r w:rsidRPr="00FA5289">
              <w:t>61.2 ± 14.5</w:t>
            </w:r>
          </w:p>
        </w:tc>
        <w:tc>
          <w:tcPr>
            <w:tcW w:w="1408" w:type="dxa"/>
            <w:tcBorders>
              <w:left w:val="nil"/>
              <w:right w:val="nil"/>
            </w:tcBorders>
          </w:tcPr>
          <w:p w:rsidR="00022A6E" w:rsidRPr="00FA5289" w:rsidRDefault="00022A6E" w:rsidP="0036552A">
            <w:pPr>
              <w:spacing w:after="0" w:line="240" w:lineRule="auto"/>
              <w:jc w:val="center"/>
            </w:pPr>
            <w:r w:rsidRPr="00FA5289">
              <w:t>30.1 ± 1.7</w:t>
            </w:r>
          </w:p>
        </w:tc>
        <w:tc>
          <w:tcPr>
            <w:tcW w:w="1417" w:type="dxa"/>
            <w:tcBorders>
              <w:left w:val="nil"/>
              <w:right w:val="nil"/>
            </w:tcBorders>
          </w:tcPr>
          <w:p w:rsidR="00022A6E" w:rsidRPr="00FA5289" w:rsidRDefault="00022A6E" w:rsidP="0036552A">
            <w:pPr>
              <w:spacing w:after="0" w:line="240" w:lineRule="auto"/>
              <w:jc w:val="center"/>
            </w:pPr>
            <w:r w:rsidRPr="00FA5289">
              <w:t>27.2 ± 4.8</w:t>
            </w:r>
          </w:p>
        </w:tc>
        <w:tc>
          <w:tcPr>
            <w:tcW w:w="1417" w:type="dxa"/>
            <w:tcBorders>
              <w:left w:val="nil"/>
              <w:right w:val="nil"/>
            </w:tcBorders>
          </w:tcPr>
          <w:p w:rsidR="00022A6E" w:rsidRPr="00FA5289" w:rsidRDefault="00022A6E" w:rsidP="0036552A">
            <w:pPr>
              <w:spacing w:after="0" w:line="240" w:lineRule="auto"/>
              <w:jc w:val="center"/>
            </w:pPr>
            <w:r w:rsidRPr="00FA5289">
              <w:t>34.1 ± 4.8</w:t>
            </w:r>
          </w:p>
        </w:tc>
        <w:tc>
          <w:tcPr>
            <w:tcW w:w="1417" w:type="dxa"/>
            <w:tcBorders>
              <w:left w:val="nil"/>
              <w:right w:val="nil"/>
            </w:tcBorders>
          </w:tcPr>
          <w:p w:rsidR="00022A6E" w:rsidRPr="00FA5289" w:rsidRDefault="00022A6E" w:rsidP="0036552A">
            <w:pPr>
              <w:spacing w:after="0" w:line="240" w:lineRule="auto"/>
              <w:jc w:val="center"/>
            </w:pPr>
            <w:r w:rsidRPr="00FA5289">
              <w:t>1.198 ± 0.099</w:t>
            </w:r>
          </w:p>
        </w:tc>
        <w:tc>
          <w:tcPr>
            <w:tcW w:w="1418" w:type="dxa"/>
            <w:tcBorders>
              <w:left w:val="nil"/>
              <w:right w:val="nil"/>
            </w:tcBorders>
          </w:tcPr>
          <w:p w:rsidR="00022A6E" w:rsidRPr="00FA5289" w:rsidRDefault="00022A6E" w:rsidP="0036552A">
            <w:pPr>
              <w:spacing w:after="0" w:line="240" w:lineRule="auto"/>
              <w:jc w:val="center"/>
            </w:pPr>
            <w:r w:rsidRPr="00FA5289">
              <w:t>L1 – 4      1.119 ± 0.151</w:t>
            </w:r>
          </w:p>
        </w:tc>
        <w:tc>
          <w:tcPr>
            <w:tcW w:w="1417" w:type="dxa"/>
            <w:tcBorders>
              <w:left w:val="nil"/>
              <w:right w:val="nil"/>
            </w:tcBorders>
          </w:tcPr>
          <w:p w:rsidR="00022A6E" w:rsidRPr="00FA5289" w:rsidRDefault="00022A6E" w:rsidP="0036552A">
            <w:pPr>
              <w:spacing w:after="0" w:line="240" w:lineRule="auto"/>
              <w:jc w:val="center"/>
            </w:pPr>
            <w:r w:rsidRPr="00FA5289">
              <w:t>1.029 ± 0.121</w:t>
            </w:r>
          </w:p>
        </w:tc>
        <w:tc>
          <w:tcPr>
            <w:tcW w:w="1418" w:type="dxa"/>
            <w:tcBorders>
              <w:left w:val="nil"/>
              <w:right w:val="nil"/>
            </w:tcBorders>
          </w:tcPr>
          <w:p w:rsidR="00022A6E" w:rsidRPr="00FA5289" w:rsidRDefault="00022A6E" w:rsidP="0036552A">
            <w:pPr>
              <w:spacing w:after="0" w:line="240" w:lineRule="auto"/>
              <w:jc w:val="center"/>
            </w:pPr>
            <w:r w:rsidRPr="00FA5289">
              <w:t>0.946 ± 0.118</w:t>
            </w:r>
          </w:p>
        </w:tc>
      </w:tr>
      <w:tr w:rsidR="00022A6E" w:rsidRPr="00022A6E" w:rsidTr="000C62EB">
        <w:trPr>
          <w:jc w:val="center"/>
        </w:trPr>
        <w:tc>
          <w:tcPr>
            <w:tcW w:w="1698" w:type="dxa"/>
            <w:tcBorders>
              <w:left w:val="nil"/>
              <w:right w:val="nil"/>
            </w:tcBorders>
          </w:tcPr>
          <w:p w:rsidR="00022A6E" w:rsidRPr="00FA5289" w:rsidRDefault="00022A6E" w:rsidP="0036552A">
            <w:pPr>
              <w:spacing w:after="0" w:line="240" w:lineRule="auto"/>
              <w:jc w:val="center"/>
              <w:rPr>
                <w:b/>
                <w:bCs/>
              </w:rPr>
            </w:pPr>
            <w:r w:rsidRPr="00FA5289">
              <w:rPr>
                <w:b/>
                <w:bCs/>
              </w:rPr>
              <w:t xml:space="preserve">Liu et al. </w:t>
            </w:r>
          </w:p>
          <w:p w:rsidR="00022A6E" w:rsidRPr="00FA5289" w:rsidRDefault="006531EA" w:rsidP="00FA17EC">
            <w:pPr>
              <w:spacing w:after="0" w:line="240" w:lineRule="auto"/>
              <w:jc w:val="center"/>
              <w:rPr>
                <w:b/>
                <w:bCs/>
              </w:rPr>
            </w:pPr>
            <w:r>
              <w:rPr>
                <w:b/>
                <w:bCs/>
              </w:rPr>
              <w:t>(</w:t>
            </w:r>
            <w:r w:rsidR="00022A6E" w:rsidRPr="00FA5289">
              <w:rPr>
                <w:b/>
                <w:bCs/>
              </w:rPr>
              <w:t>2014</w:t>
            </w:r>
            <w:r>
              <w:rPr>
                <w:b/>
                <w:bCs/>
              </w:rPr>
              <w:t>)</w:t>
            </w:r>
            <w:r w:rsidR="00022A6E" w:rsidRPr="00FA5289">
              <w:rPr>
                <w:b/>
                <w:bCs/>
              </w:rPr>
              <w:t xml:space="preserve"> </w:t>
            </w:r>
            <w:r w:rsidR="00156059" w:rsidRPr="00FA5289">
              <w:rPr>
                <w:b/>
                <w:bCs/>
              </w:rPr>
              <w:fldChar w:fldCharType="begin" w:fldLock="1"/>
            </w:r>
            <w:r w:rsidR="00FA17EC" w:rsidRPr="00FA5289">
              <w:rPr>
                <w:b/>
                <w:bCs/>
              </w:rPr>
              <w:instrText>ADDIN CSL_CITATION { "citationItems" : [ { "id" : "ITEM-1", "itemData" : { "author" : [ { "dropping-particle" : "", "family" : "Liu", "given" : "PY", "non-dropping-particle" : "", "parse-names" : false, "suffix" : "" }, { "dropping-particle" : "", "family" : "Hornbuckle", "given" : "LM", "non-dropping-particle" : "", "parse-names" : false, "suffix" : "" }, { "dropping-particle" : "", "family" : "Ilich", "given" : "JZ", "non-dropping-particle" : "", "parse-names" : false, "suffix" : "" }, { "dropping-particle" : "", "family" : "Kim", "given" : "JS", "non-dropping-particle" : "", "parse-names" : false, "suffix" : "" }, { "dropping-particle" : "", "family" : "Panton", "given" : "L", "non-dropping-particle" : "", "parse-names" : false, "suffix" : "" } ], "container-title" : "Ethnicity &amp; Disease", "id" : "ITEM-1", "issue" : "3", "issued" : { "date-parts" : [ [ "2014" ] ] }, "page" : "356-62", "title" : "Body composition and muscular strength as predictors of bone mineral density in African American women with metabolic syndrome", "type" : "article-journal", "volume" : "24" }, "uris" : [ "http://www.mendeley.com/documents/?uuid=0c1d57ea-b989-4316-81da-cebfccc785c7" ] } ], "mendeley" : { "formattedCitation" : "&lt;sup&gt;56&lt;/sup&gt;", "plainTextFormattedCitation" : "56", "previouslyFormattedCitation" : "&lt;sup&gt;56&lt;/sup&gt;" }, "properties" : { "noteIndex" : 0 }, "schema" : "https://github.com/citation-style-language/schema/raw/master/csl-citation.json" }</w:instrText>
            </w:r>
            <w:r w:rsidR="00156059" w:rsidRPr="00FA5289">
              <w:rPr>
                <w:b/>
                <w:bCs/>
              </w:rPr>
              <w:fldChar w:fldCharType="separate"/>
            </w:r>
            <w:r w:rsidR="00FA17EC" w:rsidRPr="00FA5289">
              <w:rPr>
                <w:bCs/>
                <w:noProof/>
                <w:vertAlign w:val="superscript"/>
              </w:rPr>
              <w:t>56</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r w:rsidRPr="00FA5289">
              <w:t xml:space="preserve">African American women with </w:t>
            </w:r>
            <w:proofErr w:type="spellStart"/>
            <w:r w:rsidRPr="00FA5289">
              <w:t>MetS</w:t>
            </w:r>
            <w:proofErr w:type="spellEnd"/>
          </w:p>
        </w:tc>
        <w:tc>
          <w:tcPr>
            <w:tcW w:w="567" w:type="dxa"/>
            <w:tcBorders>
              <w:left w:val="nil"/>
              <w:right w:val="nil"/>
            </w:tcBorders>
          </w:tcPr>
          <w:p w:rsidR="00022A6E" w:rsidRPr="00FA5289" w:rsidRDefault="00022A6E" w:rsidP="0036552A">
            <w:pPr>
              <w:spacing w:after="0" w:line="240" w:lineRule="auto"/>
              <w:jc w:val="center"/>
            </w:pPr>
            <w:r w:rsidRPr="00FA5289">
              <w:t>47</w:t>
            </w:r>
          </w:p>
        </w:tc>
        <w:tc>
          <w:tcPr>
            <w:tcW w:w="992" w:type="dxa"/>
            <w:tcBorders>
              <w:left w:val="nil"/>
              <w:right w:val="nil"/>
            </w:tcBorders>
          </w:tcPr>
          <w:p w:rsidR="00022A6E" w:rsidRPr="00FA5289" w:rsidRDefault="00022A6E" w:rsidP="0036552A">
            <w:pPr>
              <w:spacing w:after="0" w:line="240" w:lineRule="auto"/>
              <w:jc w:val="center"/>
            </w:pPr>
            <w:r w:rsidRPr="00FA5289">
              <w:t>Female</w:t>
            </w:r>
          </w:p>
        </w:tc>
        <w:tc>
          <w:tcPr>
            <w:tcW w:w="1002" w:type="dxa"/>
            <w:tcBorders>
              <w:left w:val="nil"/>
              <w:right w:val="nil"/>
            </w:tcBorders>
          </w:tcPr>
          <w:p w:rsidR="00022A6E" w:rsidRPr="00FA5289" w:rsidRDefault="00022A6E" w:rsidP="0036552A">
            <w:pPr>
              <w:spacing w:after="0" w:line="240" w:lineRule="auto"/>
              <w:jc w:val="center"/>
            </w:pPr>
            <w:r w:rsidRPr="00FA5289">
              <w:t>48.8 ± 5.6</w:t>
            </w:r>
          </w:p>
        </w:tc>
        <w:tc>
          <w:tcPr>
            <w:tcW w:w="1408" w:type="dxa"/>
            <w:tcBorders>
              <w:left w:val="nil"/>
              <w:right w:val="nil"/>
            </w:tcBorders>
          </w:tcPr>
          <w:p w:rsidR="00022A6E" w:rsidRPr="00FA5289" w:rsidRDefault="00022A6E" w:rsidP="0036552A">
            <w:pPr>
              <w:spacing w:after="0" w:line="240" w:lineRule="auto"/>
              <w:jc w:val="center"/>
            </w:pPr>
            <w:r w:rsidRPr="00FA5289">
              <w:t>34.7 ± 5.5</w:t>
            </w:r>
          </w:p>
        </w:tc>
        <w:tc>
          <w:tcPr>
            <w:tcW w:w="1417" w:type="dxa"/>
            <w:tcBorders>
              <w:left w:val="nil"/>
              <w:right w:val="nil"/>
            </w:tcBorders>
          </w:tcPr>
          <w:p w:rsidR="00022A6E" w:rsidRPr="00FA5289" w:rsidRDefault="00022A6E" w:rsidP="0036552A">
            <w:pPr>
              <w:spacing w:after="0" w:line="240" w:lineRule="auto"/>
              <w:jc w:val="center"/>
            </w:pPr>
            <w:r w:rsidRPr="00FA5289">
              <w:t>42.8 ± 13</w:t>
            </w:r>
          </w:p>
        </w:tc>
        <w:tc>
          <w:tcPr>
            <w:tcW w:w="1417" w:type="dxa"/>
            <w:tcBorders>
              <w:left w:val="nil"/>
              <w:right w:val="nil"/>
            </w:tcBorders>
          </w:tcPr>
          <w:p w:rsidR="00022A6E" w:rsidRPr="00FA5289" w:rsidRDefault="00022A6E" w:rsidP="0036552A">
            <w:pPr>
              <w:spacing w:after="0" w:line="240" w:lineRule="auto"/>
              <w:jc w:val="center"/>
            </w:pPr>
            <w:r w:rsidRPr="00FA5289">
              <w:t>45.6 ± 5.7</w:t>
            </w:r>
          </w:p>
        </w:tc>
        <w:tc>
          <w:tcPr>
            <w:tcW w:w="1417" w:type="dxa"/>
            <w:tcBorders>
              <w:left w:val="nil"/>
              <w:right w:val="nil"/>
            </w:tcBorders>
          </w:tcPr>
          <w:p w:rsidR="00022A6E" w:rsidRPr="00FA5289" w:rsidRDefault="00022A6E" w:rsidP="0036552A">
            <w:pPr>
              <w:spacing w:after="0" w:line="240" w:lineRule="auto"/>
              <w:jc w:val="center"/>
            </w:pPr>
            <w:r w:rsidRPr="00FA5289">
              <w:t>1.295 ± 0.118</w:t>
            </w:r>
          </w:p>
        </w:tc>
        <w:tc>
          <w:tcPr>
            <w:tcW w:w="1418" w:type="dxa"/>
            <w:tcBorders>
              <w:left w:val="nil"/>
              <w:right w:val="nil"/>
            </w:tcBorders>
          </w:tcPr>
          <w:p w:rsidR="00022A6E" w:rsidRPr="00FA5289" w:rsidRDefault="00022A6E" w:rsidP="0036552A">
            <w:pPr>
              <w:spacing w:after="0" w:line="240" w:lineRule="auto"/>
              <w:jc w:val="center"/>
            </w:pPr>
            <w:r w:rsidRPr="00FA5289">
              <w:t>L2 – 4      1.231 ± 0.149</w:t>
            </w:r>
          </w:p>
        </w:tc>
        <w:tc>
          <w:tcPr>
            <w:tcW w:w="1417" w:type="dxa"/>
            <w:tcBorders>
              <w:left w:val="nil"/>
              <w:right w:val="nil"/>
            </w:tcBorders>
          </w:tcPr>
          <w:p w:rsidR="00022A6E" w:rsidRPr="00FA5289" w:rsidRDefault="00022A6E" w:rsidP="0036552A">
            <w:pPr>
              <w:spacing w:after="0" w:line="240" w:lineRule="auto"/>
              <w:jc w:val="center"/>
            </w:pPr>
            <w:r w:rsidRPr="00FA5289">
              <w:t>1.149 ± 0.147</w:t>
            </w:r>
          </w:p>
        </w:tc>
        <w:tc>
          <w:tcPr>
            <w:tcW w:w="1418" w:type="dxa"/>
            <w:tcBorders>
              <w:left w:val="nil"/>
              <w:right w:val="nil"/>
            </w:tcBorders>
          </w:tcPr>
          <w:p w:rsidR="00022A6E" w:rsidRPr="00FA5289" w:rsidRDefault="00022A6E" w:rsidP="0036552A">
            <w:pPr>
              <w:spacing w:after="0" w:line="240" w:lineRule="auto"/>
              <w:jc w:val="center"/>
            </w:pPr>
            <w:r w:rsidRPr="00FA5289">
              <w:t>-</w:t>
            </w:r>
          </w:p>
        </w:tc>
      </w:tr>
      <w:tr w:rsidR="00022A6E" w:rsidRPr="00022A6E" w:rsidTr="000C62EB">
        <w:trPr>
          <w:jc w:val="center"/>
        </w:trPr>
        <w:tc>
          <w:tcPr>
            <w:tcW w:w="1698" w:type="dxa"/>
            <w:tcBorders>
              <w:left w:val="nil"/>
              <w:right w:val="nil"/>
            </w:tcBorders>
          </w:tcPr>
          <w:p w:rsidR="00022A6E" w:rsidRPr="00FA5289" w:rsidRDefault="00022A6E" w:rsidP="00FA17EC">
            <w:pPr>
              <w:spacing w:after="0" w:line="240" w:lineRule="auto"/>
              <w:jc w:val="center"/>
              <w:rPr>
                <w:b/>
                <w:bCs/>
              </w:rPr>
            </w:pPr>
            <w:proofErr w:type="spellStart"/>
            <w:r w:rsidRPr="00FA5289">
              <w:rPr>
                <w:b/>
                <w:bCs/>
              </w:rPr>
              <w:t>Morbe</w:t>
            </w:r>
            <w:r w:rsidR="00FA17EC" w:rsidRPr="00FA5289">
              <w:rPr>
                <w:b/>
                <w:bCs/>
              </w:rPr>
              <w:t>r</w:t>
            </w:r>
            <w:r w:rsidRPr="00FA5289">
              <w:rPr>
                <w:b/>
                <w:bCs/>
              </w:rPr>
              <w:t>g</w:t>
            </w:r>
            <w:proofErr w:type="spellEnd"/>
            <w:r w:rsidRPr="00FA5289">
              <w:rPr>
                <w:b/>
                <w:bCs/>
              </w:rPr>
              <w:t xml:space="preserve"> et al. </w:t>
            </w:r>
            <w:r w:rsidR="006531EA">
              <w:rPr>
                <w:b/>
                <w:bCs/>
              </w:rPr>
              <w:t>(</w:t>
            </w:r>
            <w:r w:rsidRPr="00FA5289">
              <w:rPr>
                <w:b/>
                <w:bCs/>
              </w:rPr>
              <w:t>2003</w:t>
            </w:r>
            <w:r w:rsidR="006531EA">
              <w:rPr>
                <w:b/>
                <w:bCs/>
              </w:rPr>
              <w:t>)</w:t>
            </w:r>
            <w:r w:rsidRPr="00FA5289">
              <w:rPr>
                <w:b/>
                <w:bCs/>
              </w:rPr>
              <w:t xml:space="preserve"> </w:t>
            </w:r>
            <w:r w:rsidR="00156059" w:rsidRPr="00FA5289">
              <w:rPr>
                <w:b/>
                <w:bCs/>
              </w:rPr>
              <w:fldChar w:fldCharType="begin" w:fldLock="1"/>
            </w:r>
            <w:r w:rsidR="00FA17EC" w:rsidRPr="00FA5289">
              <w:rPr>
                <w:b/>
                <w:bCs/>
              </w:rPr>
              <w:instrText>ADDIN CSL_CITATION { "citationItems" : [ { "id" : "ITEM-1", "itemData" : { "DOI" : "10.1210/jc.2003-030496", "ISBN" : "0021-972X", "ISSN" : "0021972X", "PMID" : "14671171", "abstract" : "Leptin has been suggested to decrease bone mineral density (BMD). This observational analysis explored the relationship between serum leptin and BMD in 327 nonobese men (controls) (body mass index 26.1 +/- 3.7 kg/m(2), age 49.9 +/- 6.0 yr) and 285 juvenile obese men (body mass index 35.9 +/- 5.9 kg/m(2), age 47.5 +/- 5.1 yr). Whole-body dual-energy x-ray absorptiometry scan measured BMD, fat mass, and lean mass. Fasting serum leptin (nanograms per milliliter) was strongly associated with fat mass (kilograms) in both controls (r = 0.876; P &lt; 0.01) and juvenile obese (r = 0.838; P &lt; 0.001). An inverse relation between BMD adjusted for body weight and serum leptin emerged in both the control group (r = -0.186; P &lt; 0.01) and the juvenile obese group (r = -0.135; P &lt; 0.05). In a multiple linear regression, fat mass, lean body mass, and occupational physical activity were positively associated with BMD in the control group, whereas in the juvenile obese, only lean body mass was positively associated with BMD and smoking negatively associated with BMD. Our study supports that leptin is inversely associated with BMD and may play a direct role in the bone metabolism in nonobese and obese Danish males, but it also stresses the fact that the strong covariation between the examined variables is a shortcoming of the cross-sectional design.", "author" : [ { "dropping-particle" : "", "family" : "Morberg", "given" : "Cathrine M.", "non-dropping-particle" : "", "parse-names" : false, "suffix" : "" }, { "dropping-particle" : "", "family" : "Tetens", "given" : "Inge", "non-dropping-particle" : "", "parse-names" : false, "suffix" : "" }, { "dropping-particle" : "", "family" : "Black", "given" : "Eva", "non-dropping-particle" : "", "parse-names" : false, "suffix" : "" }, { "dropping-particle" : "", "family" : "Toubro", "given" : "Soeren", "non-dropping-particle" : "", "parse-names" : false, "suffix" : "" }, { "dropping-particle" : "", "family" : "Soerensen", "given" : "Thorkild I A", "non-dropping-particle" : "", "parse-names" : false, "suffix" : "" }, { "dropping-particle" : "", "family" : "Pedersen", "given" : "Oluf", "non-dropping-particle" : "", "parse-names" : false, "suffix" : "" }, { "dropping-particle" : "", "family" : "Astrup", "given" : "Arne", "non-dropping-particle" : "", "parse-names" : false, "suffix" : "" } ], "container-title" : "Journal of Clinical Endocrinology and Metabolism", "id" : "ITEM-1", "issue" : "12", "issued" : { "date-parts" : [ [ "2003" ] ] }, "page" : "5795-5800", "title" : "Leptin and Bone Mineral Density: A Cross-Sectional Study in Obese and Nonobese Men", "type" : "article-journal", "volume" : "88" }, "uris" : [ "http://www.mendeley.com/documents/?uuid=44582dfd-19e6-4219-84d9-4e0513420e0d" ] } ], "mendeley" : { "formattedCitation" : "&lt;sup&gt;57&lt;/sup&gt;", "plainTextFormattedCitation" : "57", "previouslyFormattedCitation" : "&lt;sup&gt;57&lt;/sup&gt;" }, "properties" : { "noteIndex" : 0 }, "schema" : "https://github.com/citation-style-language/schema/raw/master/csl-citation.json" }</w:instrText>
            </w:r>
            <w:r w:rsidR="00156059" w:rsidRPr="00FA5289">
              <w:rPr>
                <w:b/>
                <w:bCs/>
              </w:rPr>
              <w:fldChar w:fldCharType="separate"/>
            </w:r>
            <w:r w:rsidR="00FA17EC" w:rsidRPr="00FA5289">
              <w:rPr>
                <w:bCs/>
                <w:noProof/>
                <w:vertAlign w:val="superscript"/>
              </w:rPr>
              <w:t>57</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r w:rsidRPr="00FA5289">
              <w:t>Men with juvenile obesity</w:t>
            </w:r>
          </w:p>
        </w:tc>
        <w:tc>
          <w:tcPr>
            <w:tcW w:w="567" w:type="dxa"/>
            <w:tcBorders>
              <w:left w:val="nil"/>
              <w:right w:val="nil"/>
            </w:tcBorders>
          </w:tcPr>
          <w:p w:rsidR="00022A6E" w:rsidRPr="00FA5289" w:rsidRDefault="00022A6E" w:rsidP="0036552A">
            <w:pPr>
              <w:spacing w:after="0" w:line="240" w:lineRule="auto"/>
              <w:jc w:val="center"/>
            </w:pPr>
            <w:r w:rsidRPr="00FA5289">
              <w:t>234</w:t>
            </w:r>
          </w:p>
        </w:tc>
        <w:tc>
          <w:tcPr>
            <w:tcW w:w="992" w:type="dxa"/>
            <w:tcBorders>
              <w:left w:val="nil"/>
              <w:right w:val="nil"/>
            </w:tcBorders>
          </w:tcPr>
          <w:p w:rsidR="00022A6E" w:rsidRPr="00FA5289" w:rsidRDefault="00022A6E" w:rsidP="0036552A">
            <w:pPr>
              <w:spacing w:after="0" w:line="240" w:lineRule="auto"/>
              <w:jc w:val="center"/>
            </w:pPr>
            <w:r w:rsidRPr="00FA5289">
              <w:t>Male</w:t>
            </w:r>
          </w:p>
        </w:tc>
        <w:tc>
          <w:tcPr>
            <w:tcW w:w="1002" w:type="dxa"/>
            <w:tcBorders>
              <w:left w:val="nil"/>
              <w:right w:val="nil"/>
            </w:tcBorders>
          </w:tcPr>
          <w:p w:rsidR="00022A6E" w:rsidRPr="00FA5289" w:rsidRDefault="00022A6E" w:rsidP="0036552A">
            <w:pPr>
              <w:spacing w:after="0" w:line="240" w:lineRule="auto"/>
              <w:jc w:val="center"/>
            </w:pPr>
            <w:r w:rsidRPr="00FA5289">
              <w:t>47.5 ± 5.1</w:t>
            </w:r>
          </w:p>
        </w:tc>
        <w:tc>
          <w:tcPr>
            <w:tcW w:w="1408" w:type="dxa"/>
            <w:tcBorders>
              <w:left w:val="nil"/>
              <w:right w:val="nil"/>
            </w:tcBorders>
          </w:tcPr>
          <w:p w:rsidR="00022A6E" w:rsidRPr="00FA5289" w:rsidRDefault="00022A6E" w:rsidP="0036552A">
            <w:pPr>
              <w:spacing w:after="0" w:line="240" w:lineRule="auto"/>
              <w:jc w:val="center"/>
            </w:pPr>
            <w:r w:rsidRPr="00FA5289">
              <w:t>35.9 ± 5.9</w:t>
            </w:r>
          </w:p>
        </w:tc>
        <w:tc>
          <w:tcPr>
            <w:tcW w:w="1417" w:type="dxa"/>
            <w:tcBorders>
              <w:left w:val="nil"/>
              <w:right w:val="nil"/>
            </w:tcBorders>
          </w:tcPr>
          <w:p w:rsidR="00022A6E" w:rsidRPr="00FA5289" w:rsidRDefault="00022A6E" w:rsidP="0036552A">
            <w:pPr>
              <w:spacing w:after="0" w:line="240" w:lineRule="auto"/>
              <w:jc w:val="center"/>
            </w:pPr>
            <w:r w:rsidRPr="00FA5289">
              <w:t>38.4 ± 12.2</w:t>
            </w:r>
          </w:p>
        </w:tc>
        <w:tc>
          <w:tcPr>
            <w:tcW w:w="1417" w:type="dxa"/>
            <w:tcBorders>
              <w:left w:val="nil"/>
              <w:right w:val="nil"/>
            </w:tcBorders>
          </w:tcPr>
          <w:p w:rsidR="00022A6E" w:rsidRPr="00FA5289" w:rsidRDefault="00022A6E" w:rsidP="0036552A">
            <w:pPr>
              <w:spacing w:after="0" w:line="240" w:lineRule="auto"/>
              <w:jc w:val="center"/>
            </w:pPr>
            <w:r w:rsidRPr="00FA5289">
              <w:t>33.13 ± 6.3</w:t>
            </w:r>
          </w:p>
        </w:tc>
        <w:tc>
          <w:tcPr>
            <w:tcW w:w="1417" w:type="dxa"/>
            <w:tcBorders>
              <w:left w:val="nil"/>
              <w:right w:val="nil"/>
            </w:tcBorders>
          </w:tcPr>
          <w:p w:rsidR="00022A6E" w:rsidRPr="00FA5289" w:rsidRDefault="00022A6E" w:rsidP="0036552A">
            <w:pPr>
              <w:spacing w:after="0" w:line="240" w:lineRule="auto"/>
              <w:jc w:val="center"/>
            </w:pPr>
            <w:r w:rsidRPr="00FA5289">
              <w:t>1.32 ± 0.1</w:t>
            </w:r>
          </w:p>
        </w:tc>
        <w:tc>
          <w:tcPr>
            <w:tcW w:w="1418" w:type="dxa"/>
            <w:tcBorders>
              <w:left w:val="nil"/>
              <w:right w:val="nil"/>
            </w:tcBorders>
          </w:tcPr>
          <w:p w:rsidR="00022A6E" w:rsidRPr="00FA5289" w:rsidRDefault="00022A6E" w:rsidP="0036552A">
            <w:pPr>
              <w:spacing w:after="0" w:line="240" w:lineRule="auto"/>
              <w:jc w:val="center"/>
            </w:pPr>
            <w:r w:rsidRPr="00FA5289">
              <w:t>-</w:t>
            </w:r>
          </w:p>
        </w:tc>
        <w:tc>
          <w:tcPr>
            <w:tcW w:w="1417" w:type="dxa"/>
            <w:tcBorders>
              <w:left w:val="nil"/>
              <w:right w:val="nil"/>
            </w:tcBorders>
          </w:tcPr>
          <w:p w:rsidR="00022A6E" w:rsidRPr="00FA5289" w:rsidRDefault="00022A6E" w:rsidP="0036552A">
            <w:pPr>
              <w:spacing w:after="0" w:line="240" w:lineRule="auto"/>
              <w:jc w:val="center"/>
            </w:pPr>
            <w:r w:rsidRPr="00FA5289">
              <w:t>-</w:t>
            </w:r>
          </w:p>
        </w:tc>
        <w:tc>
          <w:tcPr>
            <w:tcW w:w="1418" w:type="dxa"/>
            <w:tcBorders>
              <w:left w:val="nil"/>
              <w:right w:val="nil"/>
            </w:tcBorders>
          </w:tcPr>
          <w:p w:rsidR="00022A6E" w:rsidRPr="00FA5289" w:rsidRDefault="00022A6E" w:rsidP="0036552A">
            <w:pPr>
              <w:spacing w:after="0" w:line="240" w:lineRule="auto"/>
              <w:jc w:val="center"/>
            </w:pPr>
            <w:r w:rsidRPr="00FA5289">
              <w:t>-</w:t>
            </w:r>
          </w:p>
        </w:tc>
      </w:tr>
      <w:tr w:rsidR="00022A6E" w:rsidRPr="00022A6E" w:rsidTr="000C62EB">
        <w:trPr>
          <w:jc w:val="center"/>
        </w:trPr>
        <w:tc>
          <w:tcPr>
            <w:tcW w:w="1698" w:type="dxa"/>
            <w:tcBorders>
              <w:left w:val="nil"/>
              <w:right w:val="nil"/>
            </w:tcBorders>
          </w:tcPr>
          <w:p w:rsidR="00022A6E" w:rsidRPr="00FA5289" w:rsidRDefault="00022A6E" w:rsidP="00FA17EC">
            <w:pPr>
              <w:spacing w:after="0" w:line="240" w:lineRule="auto"/>
              <w:jc w:val="center"/>
              <w:rPr>
                <w:b/>
                <w:bCs/>
              </w:rPr>
            </w:pPr>
            <w:proofErr w:type="spellStart"/>
            <w:r w:rsidRPr="00FA5289">
              <w:rPr>
                <w:b/>
                <w:bCs/>
              </w:rPr>
              <w:t>Mosca</w:t>
            </w:r>
            <w:proofErr w:type="spellEnd"/>
            <w:r w:rsidRPr="00FA5289">
              <w:rPr>
                <w:b/>
                <w:bCs/>
              </w:rPr>
              <w:t xml:space="preserve"> et al. </w:t>
            </w:r>
            <w:r w:rsidR="006531EA">
              <w:rPr>
                <w:b/>
                <w:bCs/>
              </w:rPr>
              <w:t>(</w:t>
            </w:r>
            <w:r w:rsidRPr="00FA5289">
              <w:rPr>
                <w:b/>
                <w:bCs/>
              </w:rPr>
              <w:t>2014</w:t>
            </w:r>
            <w:r w:rsidR="006531EA">
              <w:rPr>
                <w:b/>
                <w:bCs/>
              </w:rPr>
              <w:t>)</w:t>
            </w:r>
            <w:r w:rsidRPr="00FA5289">
              <w:rPr>
                <w:b/>
                <w:bCs/>
              </w:rPr>
              <w:t xml:space="preserve">* </w:t>
            </w:r>
            <w:r w:rsidR="00156059" w:rsidRPr="00FA5289">
              <w:rPr>
                <w:b/>
                <w:bCs/>
              </w:rPr>
              <w:fldChar w:fldCharType="begin" w:fldLock="1"/>
            </w:r>
            <w:r w:rsidR="00FA17EC" w:rsidRPr="00FA5289">
              <w:rPr>
                <w:b/>
                <w:bCs/>
              </w:rPr>
              <w:instrText>ADDIN CSL_CITATION { "citationItems" : [ { "id" : "ITEM-1", "itemData" : { "DOI" : "10.1016/j.nut.2013.12.003", "ISSN" : "18731244", "PMID" : "24985003", "abstract" : "Objective: The aim of this study was to investigate the effects of excess body fat on bone mass in overweight, obese, and extremely obese adolescents. Methods: This study included 377 adolescents of both sexes, ages 10 to 19 y. Weight, height, body mass index (BMI), bone age, bone mineral content (BMC), and bone mineral density (BMD) were obtained by dual-energy x-ray absorptiometry. The results were adjusted for chronological age and bone age. Comparisons according to nutritional classification were performed by analysis of variance, followed by Tukey test. Linear regression models were used to explain the variation in BMD and BMC in the L1-L4 lumbar spinal region, proximal femur, and whole body in relation to BMI, lean mass, fat mass (FM), and body fat percentage (BF%), considering P &lt; 0.05. Results: For all nutritional groups, average bone age was higher than chronological age. In both sexes, weight and BMI values increased from eutrophic to extremely obese groups, except for BMD and BMC, which did not differ among male adolescents, and were smaller in extremely obese than in obese female adolescents (P &lt; 0.01). Significant differences were observed for FM and BF% values among all nutritional groups (P &lt; 0.01). Positive, moderate to strong correlations were detected between BMD and BMC for BMI, lean mass, and FM. A negative and moderate correlation was found between BMC and BF%, and between BMD and BF% at all bone sites analyzed in males and between BF% and spine and femur BMD, in females. Conclusion: The results reveal a negative effect of BF% on bone mass in males and indicate that the higher the BF% among overweight adolescents, the lower the BMD and BMC values. ?? 2014 Elsevier Inc.", "author" : [ { "dropping-particle" : "", "family" : "Mosca", "given" : "Luciana Nunes", "non-dropping-particle" : "", "parse-names" : false, "suffix" : "" }, { "dropping-particle" : "", "family" : "Goldberg", "given" : "Tamara Beres Lederer", "non-dropping-particle" : "", "parse-names" : false, "suffix" : "" }, { "dropping-particle" : "", "family" : "Silva", "given" : "Val\u00e9ria N\u00f3brega", "non-dropping-particle" : "da", "parse-names" : false, "suffix" : "" }, { "dropping-particle" : "", "family" : "Silva", "given" : "Carla Cristiane", "non-dropping-particle" : "da", "parse-names" : false, "suffix" : "" }, { "dropping-particle" : "", "family" : "Kurokawa", "given" : "Cilmery Suemi", "non-dropping-particle" : "", "parse-names" : false, "suffix" : "" }, { "dropping-particle" : "", "family" : "Bisi Rizzo", "given" : "Anapaula C.", "non-dropping-particle" : "", "parse-names" : false, "suffix" : "" }, { "dropping-particle" : "", "family" : "Corrente", "given" : "Jos\u00e9 Eduardo", "non-dropping-particle" : "", "parse-names" : false, "suffix" : "" } ], "container-title" : "Nutrition", "id" : "ITEM-1", "issue" : "7-8", "issued" : { "date-parts" : [ [ "2014" ] ] }, "page" : "847-852", "title" : "Excess body fat negatively affects bone mass in adolescents", "type" : "article-journal", "volume" : "30" }, "uris" : [ "http://www.mendeley.com/documents/?uuid=cbbb539c-ffe3-4c4c-a680-008e32c56f38" ] } ], "mendeley" : { "formattedCitation" : "&lt;sup&gt;58&lt;/sup&gt;", "plainTextFormattedCitation" : "58", "previouslyFormattedCitation" : "&lt;sup&gt;58&lt;/sup&gt;" }, "properties" : { "noteIndex" : 0 }, "schema" : "https://github.com/citation-style-language/schema/raw/master/csl-citation.json" }</w:instrText>
            </w:r>
            <w:r w:rsidR="00156059" w:rsidRPr="00FA5289">
              <w:rPr>
                <w:b/>
                <w:bCs/>
              </w:rPr>
              <w:fldChar w:fldCharType="separate"/>
            </w:r>
            <w:r w:rsidR="00FA17EC" w:rsidRPr="00FA5289">
              <w:rPr>
                <w:bCs/>
                <w:noProof/>
                <w:vertAlign w:val="superscript"/>
              </w:rPr>
              <w:t>58</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r w:rsidRPr="00FA5289">
              <w:t>Overweight adolescents</w:t>
            </w:r>
          </w:p>
        </w:tc>
        <w:tc>
          <w:tcPr>
            <w:tcW w:w="567" w:type="dxa"/>
            <w:tcBorders>
              <w:left w:val="nil"/>
              <w:right w:val="nil"/>
            </w:tcBorders>
          </w:tcPr>
          <w:p w:rsidR="00022A6E" w:rsidRPr="00FA5289" w:rsidRDefault="00022A6E" w:rsidP="0036552A">
            <w:pPr>
              <w:spacing w:after="0" w:line="240" w:lineRule="auto"/>
              <w:jc w:val="center"/>
            </w:pPr>
            <w:r w:rsidRPr="00FA5289">
              <w:t>135</w:t>
            </w:r>
          </w:p>
        </w:tc>
        <w:tc>
          <w:tcPr>
            <w:tcW w:w="992" w:type="dxa"/>
            <w:tcBorders>
              <w:left w:val="nil"/>
              <w:right w:val="nil"/>
            </w:tcBorders>
          </w:tcPr>
          <w:p w:rsidR="00022A6E" w:rsidRPr="00FA5289" w:rsidRDefault="00022A6E" w:rsidP="0036552A">
            <w:pPr>
              <w:spacing w:after="0" w:line="240" w:lineRule="auto"/>
              <w:jc w:val="center"/>
            </w:pPr>
            <w:r w:rsidRPr="00FA5289">
              <w:t>Female</w:t>
            </w:r>
          </w:p>
        </w:tc>
        <w:tc>
          <w:tcPr>
            <w:tcW w:w="1002" w:type="dxa"/>
            <w:tcBorders>
              <w:left w:val="nil"/>
              <w:right w:val="nil"/>
            </w:tcBorders>
          </w:tcPr>
          <w:p w:rsidR="00022A6E" w:rsidRPr="00FA5289" w:rsidRDefault="00022A6E" w:rsidP="0036552A">
            <w:pPr>
              <w:spacing w:after="0" w:line="240" w:lineRule="auto"/>
              <w:jc w:val="center"/>
            </w:pPr>
            <w:r w:rsidRPr="00FA5289">
              <w:t>13.84 ± 2.34</w:t>
            </w:r>
          </w:p>
        </w:tc>
        <w:tc>
          <w:tcPr>
            <w:tcW w:w="1408" w:type="dxa"/>
            <w:tcBorders>
              <w:left w:val="nil"/>
              <w:right w:val="nil"/>
            </w:tcBorders>
          </w:tcPr>
          <w:p w:rsidR="00022A6E" w:rsidRPr="00FA5289" w:rsidRDefault="00022A6E" w:rsidP="0036552A">
            <w:pPr>
              <w:spacing w:after="0" w:line="240" w:lineRule="auto"/>
              <w:jc w:val="center"/>
            </w:pPr>
            <w:r w:rsidRPr="00FA5289">
              <w:t>28.3 ± 5.01</w:t>
            </w:r>
          </w:p>
        </w:tc>
        <w:tc>
          <w:tcPr>
            <w:tcW w:w="1417" w:type="dxa"/>
            <w:tcBorders>
              <w:left w:val="nil"/>
              <w:right w:val="nil"/>
            </w:tcBorders>
          </w:tcPr>
          <w:p w:rsidR="00022A6E" w:rsidRPr="00FA5289" w:rsidRDefault="00022A6E" w:rsidP="0036552A">
            <w:pPr>
              <w:spacing w:after="0" w:line="240" w:lineRule="auto"/>
              <w:jc w:val="center"/>
            </w:pPr>
            <w:r w:rsidRPr="00FA5289">
              <w:t>26.03 ± 7.53</w:t>
            </w:r>
          </w:p>
        </w:tc>
        <w:tc>
          <w:tcPr>
            <w:tcW w:w="1417" w:type="dxa"/>
            <w:tcBorders>
              <w:left w:val="nil"/>
              <w:right w:val="nil"/>
            </w:tcBorders>
          </w:tcPr>
          <w:p w:rsidR="00022A6E" w:rsidRPr="00FA5289" w:rsidRDefault="00022A6E" w:rsidP="0036552A">
            <w:pPr>
              <w:spacing w:after="0" w:line="240" w:lineRule="auto"/>
              <w:jc w:val="center"/>
            </w:pPr>
            <w:r w:rsidRPr="00FA5289">
              <w:t>36.36 ± 4.63</w:t>
            </w:r>
          </w:p>
        </w:tc>
        <w:tc>
          <w:tcPr>
            <w:tcW w:w="1417" w:type="dxa"/>
            <w:tcBorders>
              <w:left w:val="nil"/>
              <w:right w:val="nil"/>
            </w:tcBorders>
          </w:tcPr>
          <w:p w:rsidR="00022A6E" w:rsidRPr="00FA5289" w:rsidRDefault="00022A6E" w:rsidP="0036552A">
            <w:pPr>
              <w:spacing w:after="0" w:line="240" w:lineRule="auto"/>
              <w:jc w:val="center"/>
            </w:pPr>
            <w:r w:rsidRPr="00FA5289">
              <w:t>0.979 ± 0.1</w:t>
            </w:r>
          </w:p>
        </w:tc>
        <w:tc>
          <w:tcPr>
            <w:tcW w:w="1418" w:type="dxa"/>
            <w:tcBorders>
              <w:left w:val="nil"/>
              <w:right w:val="nil"/>
            </w:tcBorders>
          </w:tcPr>
          <w:p w:rsidR="00022A6E" w:rsidRPr="00FA5289" w:rsidRDefault="00022A6E" w:rsidP="0036552A">
            <w:pPr>
              <w:spacing w:after="0" w:line="240" w:lineRule="auto"/>
              <w:jc w:val="center"/>
            </w:pPr>
            <w:r w:rsidRPr="00FA5289">
              <w:t>L1 – 4      0.959 ± 0.18</w:t>
            </w:r>
          </w:p>
        </w:tc>
        <w:tc>
          <w:tcPr>
            <w:tcW w:w="1417" w:type="dxa"/>
            <w:tcBorders>
              <w:left w:val="nil"/>
              <w:right w:val="nil"/>
            </w:tcBorders>
          </w:tcPr>
          <w:p w:rsidR="00022A6E" w:rsidRPr="00FA5289" w:rsidRDefault="00022A6E" w:rsidP="0036552A">
            <w:pPr>
              <w:spacing w:after="0" w:line="240" w:lineRule="auto"/>
              <w:jc w:val="center"/>
            </w:pPr>
            <w:r w:rsidRPr="00FA5289">
              <w:t>0.969 ± 0.14</w:t>
            </w:r>
          </w:p>
        </w:tc>
        <w:tc>
          <w:tcPr>
            <w:tcW w:w="1418" w:type="dxa"/>
            <w:tcBorders>
              <w:left w:val="nil"/>
              <w:right w:val="nil"/>
            </w:tcBorders>
          </w:tcPr>
          <w:p w:rsidR="00022A6E" w:rsidRPr="00FA5289" w:rsidRDefault="00022A6E" w:rsidP="0036552A">
            <w:pPr>
              <w:spacing w:after="0" w:line="240" w:lineRule="auto"/>
              <w:jc w:val="center"/>
            </w:pPr>
            <w:r w:rsidRPr="00FA5289">
              <w:t>-</w:t>
            </w:r>
          </w:p>
        </w:tc>
      </w:tr>
      <w:tr w:rsidR="00022A6E" w:rsidRPr="00022A6E" w:rsidTr="000C62EB">
        <w:trPr>
          <w:jc w:val="center"/>
        </w:trPr>
        <w:tc>
          <w:tcPr>
            <w:tcW w:w="1698" w:type="dxa"/>
            <w:tcBorders>
              <w:left w:val="nil"/>
              <w:right w:val="nil"/>
            </w:tcBorders>
          </w:tcPr>
          <w:p w:rsidR="00022A6E" w:rsidRPr="00FA5289" w:rsidRDefault="00022A6E" w:rsidP="00FA17EC">
            <w:pPr>
              <w:spacing w:after="0" w:line="240" w:lineRule="auto"/>
              <w:jc w:val="center"/>
              <w:rPr>
                <w:b/>
                <w:bCs/>
              </w:rPr>
            </w:pPr>
            <w:proofErr w:type="spellStart"/>
            <w:r w:rsidRPr="00FA5289">
              <w:rPr>
                <w:b/>
                <w:bCs/>
              </w:rPr>
              <w:t>Mosca</w:t>
            </w:r>
            <w:proofErr w:type="spellEnd"/>
            <w:r w:rsidRPr="00FA5289">
              <w:rPr>
                <w:b/>
                <w:bCs/>
              </w:rPr>
              <w:t xml:space="preserve"> et al. </w:t>
            </w:r>
            <w:r w:rsidR="006531EA">
              <w:rPr>
                <w:b/>
                <w:bCs/>
              </w:rPr>
              <w:t>(</w:t>
            </w:r>
            <w:r w:rsidRPr="00FA5289">
              <w:rPr>
                <w:b/>
                <w:bCs/>
              </w:rPr>
              <w:t>2014</w:t>
            </w:r>
            <w:r w:rsidR="006531EA">
              <w:rPr>
                <w:b/>
                <w:bCs/>
              </w:rPr>
              <w:t>)</w:t>
            </w:r>
            <w:r w:rsidRPr="00FA5289">
              <w:rPr>
                <w:b/>
                <w:bCs/>
              </w:rPr>
              <w:t xml:space="preserve">* </w:t>
            </w:r>
            <w:r w:rsidR="00156059" w:rsidRPr="00FA5289">
              <w:rPr>
                <w:b/>
                <w:bCs/>
              </w:rPr>
              <w:fldChar w:fldCharType="begin" w:fldLock="1"/>
            </w:r>
            <w:r w:rsidR="00FA17EC" w:rsidRPr="00FA5289">
              <w:rPr>
                <w:b/>
                <w:bCs/>
              </w:rPr>
              <w:instrText>ADDIN CSL_CITATION { "citationItems" : [ { "id" : "ITEM-1", "itemData" : { "DOI" : "10.1016/j.nut.2013.12.003", "ISSN" : "18731244", "PMID" : "24985003", "abstract" : "Objective: The aim of this study was to investigate the effects of excess body fat on bone mass in overweight, obese, and extremely obese adolescents. Methods: This study included 377 adolescents of both sexes, ages 10 to 19 y. Weight, height, body mass index (BMI), bone age, bone mineral content (BMC), and bone mineral density (BMD) were obtained by dual-energy x-ray absorptiometry. The results were adjusted for chronological age and bone age. Comparisons according to nutritional classification were performed by analysis of variance, followed by Tukey test. Linear regression models were used to explain the variation in BMD and BMC in the L1-L4 lumbar spinal region, proximal femur, and whole body in relation to BMI, lean mass, fat mass (FM), and body fat percentage (BF%), considering P &lt; 0.05. Results: For all nutritional groups, average bone age was higher than chronological age. In both sexes, weight and BMI values increased from eutrophic to extremely obese groups, except for BMD and BMC, which did not differ among male adolescents, and were smaller in extremely obese than in obese female adolescents (P &lt; 0.01). Significant differences were observed for FM and BF% values among all nutritional groups (P &lt; 0.01). Positive, moderate to strong correlations were detected between BMD and BMC for BMI, lean mass, and FM. A negative and moderate correlation was found between BMC and BF%, and between BMD and BF% at all bone sites analyzed in males and between BF% and spine and femur BMD, in females. Conclusion: The results reveal a negative effect of BF% on bone mass in males and indicate that the higher the BF% among overweight adolescents, the lower the BMD and BMC values. ?? 2014 Elsevier Inc.", "author" : [ { "dropping-particle" : "", "family" : "Mosca", "given" : "Luciana Nunes", "non-dropping-particle" : "", "parse-names" : false, "suffix" : "" }, { "dropping-particle" : "", "family" : "Goldberg", "given" : "Tamara Beres Lederer", "non-dropping-particle" : "", "parse-names" : false, "suffix" : "" }, { "dropping-particle" : "", "family" : "Silva", "given" : "Val\u00e9ria N\u00f3brega", "non-dropping-particle" : "da", "parse-names" : false, "suffix" : "" }, { "dropping-particle" : "", "family" : "Silva", "given" : "Carla Cristiane", "non-dropping-particle" : "da", "parse-names" : false, "suffix" : "" }, { "dropping-particle" : "", "family" : "Kurokawa", "given" : "Cilmery Suemi", "non-dropping-particle" : "", "parse-names" : false, "suffix" : "" }, { "dropping-particle" : "", "family" : "Bisi Rizzo", "given" : "Anapaula C.", "non-dropping-particle" : "", "parse-names" : false, "suffix" : "" }, { "dropping-particle" : "", "family" : "Corrente", "given" : "Jos\u00e9 Eduardo", "non-dropping-particle" : "", "parse-names" : false, "suffix" : "" } ], "container-title" : "Nutrition", "id" : "ITEM-1", "issue" : "7-8", "issued" : { "date-parts" : [ [ "2014" ] ] }, "page" : "847-852", "title" : "Excess body fat negatively affects bone mass in adolescents", "type" : "article-journal", "volume" : "30" }, "uris" : [ "http://www.mendeley.com/documents/?uuid=cbbb539c-ffe3-4c4c-a680-008e32c56f38" ] } ], "mendeley" : { "formattedCitation" : "&lt;sup&gt;58&lt;/sup&gt;", "plainTextFormattedCitation" : "58", "previouslyFormattedCitation" : "&lt;sup&gt;58&lt;/sup&gt;" }, "properties" : { "noteIndex" : 0 }, "schema" : "https://github.com/citation-style-language/schema/raw/master/csl-citation.json" }</w:instrText>
            </w:r>
            <w:r w:rsidR="00156059" w:rsidRPr="00FA5289">
              <w:rPr>
                <w:b/>
                <w:bCs/>
              </w:rPr>
              <w:fldChar w:fldCharType="separate"/>
            </w:r>
            <w:r w:rsidR="00FA17EC" w:rsidRPr="00FA5289">
              <w:rPr>
                <w:bCs/>
                <w:noProof/>
                <w:vertAlign w:val="superscript"/>
              </w:rPr>
              <w:t>58</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r w:rsidRPr="00FA5289">
              <w:t>Overweight adolescents</w:t>
            </w:r>
          </w:p>
        </w:tc>
        <w:tc>
          <w:tcPr>
            <w:tcW w:w="567" w:type="dxa"/>
            <w:tcBorders>
              <w:left w:val="nil"/>
              <w:right w:val="nil"/>
            </w:tcBorders>
          </w:tcPr>
          <w:p w:rsidR="00022A6E" w:rsidRPr="00FA5289" w:rsidRDefault="00022A6E" w:rsidP="0036552A">
            <w:pPr>
              <w:spacing w:after="0" w:line="240" w:lineRule="auto"/>
              <w:jc w:val="center"/>
            </w:pPr>
            <w:r w:rsidRPr="00FA5289">
              <w:t>84</w:t>
            </w:r>
          </w:p>
        </w:tc>
        <w:tc>
          <w:tcPr>
            <w:tcW w:w="992" w:type="dxa"/>
            <w:tcBorders>
              <w:left w:val="nil"/>
              <w:right w:val="nil"/>
            </w:tcBorders>
          </w:tcPr>
          <w:p w:rsidR="00022A6E" w:rsidRPr="00FA5289" w:rsidRDefault="00022A6E" w:rsidP="0036552A">
            <w:pPr>
              <w:spacing w:after="0" w:line="240" w:lineRule="auto"/>
              <w:jc w:val="center"/>
            </w:pPr>
            <w:r w:rsidRPr="00FA5289">
              <w:t>Male</w:t>
            </w:r>
          </w:p>
        </w:tc>
        <w:tc>
          <w:tcPr>
            <w:tcW w:w="1002" w:type="dxa"/>
            <w:tcBorders>
              <w:left w:val="nil"/>
              <w:right w:val="nil"/>
            </w:tcBorders>
          </w:tcPr>
          <w:p w:rsidR="00022A6E" w:rsidRPr="00FA5289" w:rsidRDefault="00022A6E" w:rsidP="0036552A">
            <w:pPr>
              <w:spacing w:after="0" w:line="240" w:lineRule="auto"/>
              <w:jc w:val="center"/>
            </w:pPr>
            <w:r w:rsidRPr="00FA5289">
              <w:t>13.82 ± 1.92</w:t>
            </w:r>
          </w:p>
        </w:tc>
        <w:tc>
          <w:tcPr>
            <w:tcW w:w="1408" w:type="dxa"/>
            <w:tcBorders>
              <w:left w:val="nil"/>
              <w:right w:val="nil"/>
            </w:tcBorders>
          </w:tcPr>
          <w:p w:rsidR="00022A6E" w:rsidRPr="00FA5289" w:rsidRDefault="00022A6E" w:rsidP="0036552A">
            <w:pPr>
              <w:spacing w:after="0" w:line="240" w:lineRule="auto"/>
              <w:jc w:val="center"/>
            </w:pPr>
            <w:r w:rsidRPr="00FA5289">
              <w:t>27.6 ± 4.14</w:t>
            </w:r>
          </w:p>
        </w:tc>
        <w:tc>
          <w:tcPr>
            <w:tcW w:w="1417" w:type="dxa"/>
            <w:tcBorders>
              <w:left w:val="nil"/>
              <w:right w:val="nil"/>
            </w:tcBorders>
          </w:tcPr>
          <w:p w:rsidR="00022A6E" w:rsidRPr="00FA5289" w:rsidRDefault="00022A6E" w:rsidP="0036552A">
            <w:pPr>
              <w:spacing w:after="0" w:line="240" w:lineRule="auto"/>
              <w:jc w:val="center"/>
            </w:pPr>
            <w:r w:rsidRPr="00FA5289">
              <w:t>23.27 ± 7.1</w:t>
            </w:r>
          </w:p>
        </w:tc>
        <w:tc>
          <w:tcPr>
            <w:tcW w:w="1417" w:type="dxa"/>
            <w:tcBorders>
              <w:left w:val="nil"/>
              <w:right w:val="nil"/>
            </w:tcBorders>
          </w:tcPr>
          <w:p w:rsidR="00022A6E" w:rsidRPr="00FA5289" w:rsidRDefault="00022A6E" w:rsidP="0036552A">
            <w:pPr>
              <w:spacing w:after="0" w:line="240" w:lineRule="auto"/>
              <w:jc w:val="center"/>
            </w:pPr>
            <w:r w:rsidRPr="00FA5289">
              <w:t>31.09 ± 6.43</w:t>
            </w:r>
          </w:p>
        </w:tc>
        <w:tc>
          <w:tcPr>
            <w:tcW w:w="1417" w:type="dxa"/>
            <w:tcBorders>
              <w:left w:val="nil"/>
              <w:right w:val="nil"/>
            </w:tcBorders>
          </w:tcPr>
          <w:p w:rsidR="00022A6E" w:rsidRPr="00FA5289" w:rsidRDefault="00022A6E" w:rsidP="0036552A">
            <w:pPr>
              <w:spacing w:after="0" w:line="240" w:lineRule="auto"/>
              <w:jc w:val="center"/>
            </w:pPr>
            <w:r w:rsidRPr="00FA5289">
              <w:t>0.946 ± 0.11</w:t>
            </w:r>
          </w:p>
        </w:tc>
        <w:tc>
          <w:tcPr>
            <w:tcW w:w="1418" w:type="dxa"/>
            <w:tcBorders>
              <w:left w:val="nil"/>
              <w:right w:val="nil"/>
            </w:tcBorders>
          </w:tcPr>
          <w:p w:rsidR="00022A6E" w:rsidRPr="00FA5289" w:rsidRDefault="00022A6E" w:rsidP="0036552A">
            <w:pPr>
              <w:spacing w:after="0" w:line="240" w:lineRule="auto"/>
              <w:jc w:val="center"/>
            </w:pPr>
            <w:r w:rsidRPr="00FA5289">
              <w:t>L1 – 4        0.827 ± 0.15</w:t>
            </w:r>
          </w:p>
        </w:tc>
        <w:tc>
          <w:tcPr>
            <w:tcW w:w="1417" w:type="dxa"/>
            <w:tcBorders>
              <w:left w:val="nil"/>
              <w:right w:val="nil"/>
            </w:tcBorders>
          </w:tcPr>
          <w:p w:rsidR="00022A6E" w:rsidRPr="00FA5289" w:rsidRDefault="00022A6E" w:rsidP="0036552A">
            <w:pPr>
              <w:spacing w:after="0" w:line="240" w:lineRule="auto"/>
              <w:jc w:val="center"/>
            </w:pPr>
            <w:r w:rsidRPr="00FA5289">
              <w:t>0.988 ± 0.16</w:t>
            </w:r>
          </w:p>
        </w:tc>
        <w:tc>
          <w:tcPr>
            <w:tcW w:w="1418" w:type="dxa"/>
            <w:tcBorders>
              <w:left w:val="nil"/>
              <w:right w:val="nil"/>
            </w:tcBorders>
          </w:tcPr>
          <w:p w:rsidR="00022A6E" w:rsidRPr="00FA5289" w:rsidRDefault="00022A6E" w:rsidP="0036552A">
            <w:pPr>
              <w:spacing w:after="0" w:line="240" w:lineRule="auto"/>
              <w:jc w:val="center"/>
            </w:pPr>
            <w:r w:rsidRPr="00FA5289">
              <w:t>-</w:t>
            </w:r>
          </w:p>
        </w:tc>
      </w:tr>
      <w:tr w:rsidR="00022A6E" w:rsidRPr="00022A6E" w:rsidTr="000C62EB">
        <w:trPr>
          <w:jc w:val="center"/>
        </w:trPr>
        <w:tc>
          <w:tcPr>
            <w:tcW w:w="1698" w:type="dxa"/>
            <w:tcBorders>
              <w:left w:val="nil"/>
              <w:right w:val="nil"/>
            </w:tcBorders>
          </w:tcPr>
          <w:p w:rsidR="00022A6E" w:rsidRPr="00FA5289" w:rsidRDefault="00022A6E" w:rsidP="00FA17EC">
            <w:pPr>
              <w:spacing w:after="0" w:line="240" w:lineRule="auto"/>
              <w:jc w:val="center"/>
              <w:rPr>
                <w:b/>
                <w:bCs/>
              </w:rPr>
            </w:pPr>
            <w:r w:rsidRPr="00FA5289">
              <w:rPr>
                <w:b/>
                <w:bCs/>
              </w:rPr>
              <w:t xml:space="preserve">Moseley et al. </w:t>
            </w:r>
            <w:r w:rsidR="006531EA">
              <w:rPr>
                <w:b/>
                <w:bCs/>
              </w:rPr>
              <w:t>(</w:t>
            </w:r>
            <w:r w:rsidRPr="00FA5289">
              <w:rPr>
                <w:b/>
                <w:bCs/>
              </w:rPr>
              <w:t>2011</w:t>
            </w:r>
            <w:r w:rsidR="006531EA">
              <w:rPr>
                <w:b/>
                <w:bCs/>
              </w:rPr>
              <w:t>)</w:t>
            </w:r>
            <w:r w:rsidRPr="00FA5289">
              <w:rPr>
                <w:b/>
                <w:bCs/>
              </w:rPr>
              <w:t xml:space="preserve"> </w:t>
            </w:r>
            <w:r w:rsidR="00156059" w:rsidRPr="00FA5289">
              <w:rPr>
                <w:b/>
                <w:bCs/>
              </w:rPr>
              <w:fldChar w:fldCharType="begin" w:fldLock="1"/>
            </w:r>
            <w:r w:rsidR="00FA17EC" w:rsidRPr="00FA5289">
              <w:rPr>
                <w:b/>
                <w:bCs/>
              </w:rPr>
              <w:instrText>ADDIN CSL_CITATION { "citationItems" : [ { "id" : "ITEM-1", "itemData" : { "DOI" : "10.1111/j.1365-2265.2010.03965.x", "ISBN" : "0300-0664", "ISSN" : "03000664", "PMID" : "21198741", "abstract" : "Despite high bone mineral density (BMD), persons with type 2 diabetes are at greater risk of fracture. The relationship between body composition and BMD in noninsulin-requiring diabetes is unclear. The aim was to examine how fat and lean mass independently affect the skeleton in this population.", "author" : [ { "dropping-particle" : "", "family" : "Moseley", "given" : "Kendall F.", "non-dropping-particle" : "", "parse-names" : false, "suffix" : "" }, { "dropping-particle" : "", "family" : "Dobrosielski", "given" : "Devon A.", "non-dropping-particle" : "", "parse-names" : false, "suffix" : "" }, { "dropping-particle" : "", "family" : "Stewart", "given" : "Kerry J.", "non-dropping-particle" : "", "parse-names" : false, "suffix" : "" }, { "dropping-particle" : "", "family" : "Beur", "given" : "Suzanne M Jan", "non-dropping-particle" : "De", "parse-names" : false, "suffix" : "" }, { "dropping-particle" : "", "family" : "Sellmeyer", "given" : "Deborah E.", "non-dropping-particle" : "", "parse-names" : false, "suffix" : "" } ], "container-title" : "Clinical Endocrinology", "id" : "ITEM-1", "issue" : "5", "issued" : { "date-parts" : [ [ "2011" ] ] }, "page" : "565-571", "title" : "Lean mass and fat mass predict bone mineral density in middle-aged individuals with noninsulin-requiring type 2 diabetes mellitus", "type" : "article-journal", "volume" : "74" }, "uris" : [ "http://www.mendeley.com/documents/?uuid=c9a3e5b0-c1ea-4b87-8790-6f8a146dfb31" ] } ], "mendeley" : { "formattedCitation" : "&lt;sup&gt;59&lt;/sup&gt;", "plainTextFormattedCitation" : "59", "previouslyFormattedCitation" : "&lt;sup&gt;59&lt;/sup&gt;" }, "properties" : { "noteIndex" : 0 }, "schema" : "https://github.com/citation-style-language/schema/raw/master/csl-citation.json" }</w:instrText>
            </w:r>
            <w:r w:rsidR="00156059" w:rsidRPr="00FA5289">
              <w:rPr>
                <w:b/>
                <w:bCs/>
              </w:rPr>
              <w:fldChar w:fldCharType="separate"/>
            </w:r>
            <w:r w:rsidR="00FA17EC" w:rsidRPr="00FA5289">
              <w:rPr>
                <w:bCs/>
                <w:noProof/>
                <w:vertAlign w:val="superscript"/>
              </w:rPr>
              <w:t>59</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r w:rsidRPr="00FA5289">
              <w:t>Middle aged men and women with T2 diabetes</w:t>
            </w:r>
          </w:p>
        </w:tc>
        <w:tc>
          <w:tcPr>
            <w:tcW w:w="567" w:type="dxa"/>
            <w:tcBorders>
              <w:left w:val="nil"/>
              <w:right w:val="nil"/>
            </w:tcBorders>
          </w:tcPr>
          <w:p w:rsidR="00022A6E" w:rsidRPr="00FA5289" w:rsidRDefault="00022A6E" w:rsidP="0036552A">
            <w:pPr>
              <w:spacing w:after="0" w:line="240" w:lineRule="auto"/>
              <w:jc w:val="center"/>
            </w:pPr>
            <w:r w:rsidRPr="00FA5289">
              <w:t>56</w:t>
            </w:r>
          </w:p>
        </w:tc>
        <w:tc>
          <w:tcPr>
            <w:tcW w:w="992" w:type="dxa"/>
            <w:tcBorders>
              <w:left w:val="nil"/>
              <w:right w:val="nil"/>
            </w:tcBorders>
          </w:tcPr>
          <w:p w:rsidR="00022A6E" w:rsidRPr="00FA5289" w:rsidRDefault="00022A6E" w:rsidP="0036552A">
            <w:pPr>
              <w:spacing w:after="0" w:line="240" w:lineRule="auto"/>
              <w:jc w:val="center"/>
            </w:pPr>
            <w:r w:rsidRPr="00FA5289">
              <w:t>Female</w:t>
            </w:r>
          </w:p>
        </w:tc>
        <w:tc>
          <w:tcPr>
            <w:tcW w:w="1002" w:type="dxa"/>
            <w:tcBorders>
              <w:left w:val="nil"/>
              <w:right w:val="nil"/>
            </w:tcBorders>
          </w:tcPr>
          <w:p w:rsidR="00022A6E" w:rsidRPr="00FA5289" w:rsidRDefault="00022A6E" w:rsidP="0036552A">
            <w:pPr>
              <w:spacing w:after="0" w:line="240" w:lineRule="auto"/>
              <w:jc w:val="center"/>
            </w:pPr>
            <w:r w:rsidRPr="00FA5289">
              <w:t>55.6 ± 6.2</w:t>
            </w:r>
          </w:p>
        </w:tc>
        <w:tc>
          <w:tcPr>
            <w:tcW w:w="1408" w:type="dxa"/>
            <w:tcBorders>
              <w:left w:val="nil"/>
              <w:right w:val="nil"/>
            </w:tcBorders>
          </w:tcPr>
          <w:p w:rsidR="00022A6E" w:rsidRPr="00FA5289" w:rsidRDefault="00022A6E" w:rsidP="0036552A">
            <w:pPr>
              <w:spacing w:after="0" w:line="240" w:lineRule="auto"/>
              <w:jc w:val="center"/>
            </w:pPr>
            <w:r w:rsidRPr="00FA5289">
              <w:t>34.4 ± 5</w:t>
            </w:r>
          </w:p>
        </w:tc>
        <w:tc>
          <w:tcPr>
            <w:tcW w:w="1417" w:type="dxa"/>
            <w:tcBorders>
              <w:left w:val="nil"/>
              <w:right w:val="nil"/>
            </w:tcBorders>
          </w:tcPr>
          <w:p w:rsidR="00022A6E" w:rsidRPr="00FA5289" w:rsidRDefault="00022A6E" w:rsidP="0036552A">
            <w:pPr>
              <w:spacing w:after="0" w:line="240" w:lineRule="auto"/>
              <w:jc w:val="center"/>
            </w:pPr>
            <w:r w:rsidRPr="00FA5289">
              <w:t>41.9 ± 10.7</w:t>
            </w:r>
          </w:p>
        </w:tc>
        <w:tc>
          <w:tcPr>
            <w:tcW w:w="1417" w:type="dxa"/>
            <w:tcBorders>
              <w:left w:val="nil"/>
              <w:right w:val="nil"/>
            </w:tcBorders>
          </w:tcPr>
          <w:p w:rsidR="00022A6E" w:rsidRPr="00FA5289" w:rsidRDefault="00022A6E" w:rsidP="0036552A">
            <w:pPr>
              <w:spacing w:after="0" w:line="240" w:lineRule="auto"/>
              <w:jc w:val="center"/>
            </w:pPr>
            <w:r w:rsidRPr="00FA5289">
              <w:t>44.8 ± 5.4</w:t>
            </w:r>
          </w:p>
        </w:tc>
        <w:tc>
          <w:tcPr>
            <w:tcW w:w="1417" w:type="dxa"/>
            <w:tcBorders>
              <w:left w:val="nil"/>
              <w:right w:val="nil"/>
            </w:tcBorders>
          </w:tcPr>
          <w:p w:rsidR="00022A6E" w:rsidRPr="00FA5289" w:rsidRDefault="00022A6E" w:rsidP="0036552A">
            <w:pPr>
              <w:spacing w:after="0" w:line="240" w:lineRule="auto"/>
              <w:jc w:val="center"/>
            </w:pPr>
            <w:r w:rsidRPr="00FA5289">
              <w:t>1.28 ± 0.11</w:t>
            </w:r>
          </w:p>
        </w:tc>
        <w:tc>
          <w:tcPr>
            <w:tcW w:w="1418" w:type="dxa"/>
            <w:tcBorders>
              <w:left w:val="nil"/>
              <w:right w:val="nil"/>
            </w:tcBorders>
          </w:tcPr>
          <w:p w:rsidR="00022A6E" w:rsidRPr="00FA5289" w:rsidRDefault="00022A6E" w:rsidP="0036552A">
            <w:pPr>
              <w:spacing w:after="0" w:line="240" w:lineRule="auto"/>
              <w:jc w:val="center"/>
            </w:pPr>
            <w:r w:rsidRPr="00FA5289">
              <w:t>L1 – 4</w:t>
            </w:r>
          </w:p>
          <w:p w:rsidR="00022A6E" w:rsidRPr="00FA5289" w:rsidRDefault="00022A6E" w:rsidP="0036552A">
            <w:pPr>
              <w:spacing w:after="0" w:line="240" w:lineRule="auto"/>
              <w:jc w:val="center"/>
            </w:pPr>
            <w:r w:rsidRPr="00FA5289">
              <w:t>1.29 ± 0.17</w:t>
            </w:r>
          </w:p>
        </w:tc>
        <w:tc>
          <w:tcPr>
            <w:tcW w:w="1417" w:type="dxa"/>
            <w:tcBorders>
              <w:left w:val="nil"/>
              <w:right w:val="nil"/>
            </w:tcBorders>
          </w:tcPr>
          <w:p w:rsidR="00022A6E" w:rsidRPr="00FA5289" w:rsidRDefault="00022A6E" w:rsidP="0036552A">
            <w:pPr>
              <w:spacing w:after="0" w:line="240" w:lineRule="auto"/>
              <w:jc w:val="center"/>
            </w:pPr>
            <w:r w:rsidRPr="00FA5289">
              <w:t>1.12 ± 0.15</w:t>
            </w:r>
          </w:p>
        </w:tc>
        <w:tc>
          <w:tcPr>
            <w:tcW w:w="1418" w:type="dxa"/>
            <w:tcBorders>
              <w:left w:val="nil"/>
              <w:right w:val="nil"/>
            </w:tcBorders>
          </w:tcPr>
          <w:p w:rsidR="00022A6E" w:rsidRPr="00FA5289" w:rsidRDefault="00022A6E" w:rsidP="0036552A">
            <w:pPr>
              <w:spacing w:after="0" w:line="240" w:lineRule="auto"/>
              <w:jc w:val="center"/>
            </w:pPr>
            <w:r w:rsidRPr="00FA5289">
              <w:t>1.04 ± 0.15</w:t>
            </w:r>
          </w:p>
        </w:tc>
      </w:tr>
      <w:tr w:rsidR="00022A6E" w:rsidRPr="00022A6E" w:rsidTr="000C62EB">
        <w:trPr>
          <w:jc w:val="center"/>
        </w:trPr>
        <w:tc>
          <w:tcPr>
            <w:tcW w:w="1698" w:type="dxa"/>
            <w:tcBorders>
              <w:left w:val="nil"/>
              <w:right w:val="nil"/>
            </w:tcBorders>
          </w:tcPr>
          <w:p w:rsidR="00022A6E" w:rsidRPr="00FA5289" w:rsidRDefault="00022A6E" w:rsidP="00FA17EC">
            <w:pPr>
              <w:spacing w:after="0" w:line="240" w:lineRule="auto"/>
              <w:jc w:val="center"/>
              <w:rPr>
                <w:b/>
                <w:bCs/>
              </w:rPr>
            </w:pPr>
            <w:r w:rsidRPr="00FA5289">
              <w:rPr>
                <w:b/>
                <w:bCs/>
              </w:rPr>
              <w:t xml:space="preserve">Moseley et al. </w:t>
            </w:r>
            <w:r w:rsidR="006531EA">
              <w:rPr>
                <w:b/>
                <w:bCs/>
              </w:rPr>
              <w:t>(</w:t>
            </w:r>
            <w:r w:rsidRPr="00FA5289">
              <w:rPr>
                <w:b/>
                <w:bCs/>
              </w:rPr>
              <w:t>2011</w:t>
            </w:r>
            <w:r w:rsidR="006531EA">
              <w:rPr>
                <w:b/>
                <w:bCs/>
              </w:rPr>
              <w:t>)</w:t>
            </w:r>
            <w:r w:rsidRPr="00FA5289">
              <w:rPr>
                <w:b/>
                <w:bCs/>
              </w:rPr>
              <w:t xml:space="preserve"> </w:t>
            </w:r>
            <w:r w:rsidR="00156059" w:rsidRPr="00FA5289">
              <w:rPr>
                <w:b/>
                <w:bCs/>
              </w:rPr>
              <w:fldChar w:fldCharType="begin" w:fldLock="1"/>
            </w:r>
            <w:r w:rsidR="00FA17EC" w:rsidRPr="00FA5289">
              <w:rPr>
                <w:b/>
                <w:bCs/>
              </w:rPr>
              <w:instrText>ADDIN CSL_CITATION { "citationItems" : [ { "id" : "ITEM-1", "itemData" : { "DOI" : "10.1111/j.1365-2265.2010.03965.x", "ISBN" : "0300-0664", "ISSN" : "03000664", "PMID" : "21198741", "abstract" : "Despite high bone mineral density (BMD), persons with type 2 diabetes are at greater risk of fracture. The relationship between body composition and BMD in noninsulin-requiring diabetes is unclear. The aim was to examine how fat and lean mass independently affect the skeleton in this population.", "author" : [ { "dropping-particle" : "", "family" : "Moseley", "given" : "Kendall F.", "non-dropping-particle" : "", "parse-names" : false, "suffix" : "" }, { "dropping-particle" : "", "family" : "Dobrosielski", "given" : "Devon A.", "non-dropping-particle" : "", "parse-names" : false, "suffix" : "" }, { "dropping-particle" : "", "family" : "Stewart", "given" : "Kerry J.", "non-dropping-particle" : "", "parse-names" : false, "suffix" : "" }, { "dropping-particle" : "", "family" : "Beur", "given" : "Suzanne M Jan", "non-dropping-particle" : "De", "parse-names" : false, "suffix" : "" }, { "dropping-particle" : "", "family" : "Sellmeyer", "given" : "Deborah E.", "non-dropping-particle" : "", "parse-names" : false, "suffix" : "" } ], "container-title" : "Clinical Endocrinology", "id" : "ITEM-1", "issue" : "5", "issued" : { "date-parts" : [ [ "2011" ] ] }, "page" : "565-571", "title" : "Lean mass and fat mass predict bone mineral density in middle-aged individuals with noninsulin-requiring type 2 diabetes mellitus", "type" : "article-journal", "volume" : "74" }, "uris" : [ "http://www.mendeley.com/documents/?uuid=c9a3e5b0-c1ea-4b87-8790-6f8a146dfb31" ] } ], "mendeley" : { "formattedCitation" : "&lt;sup&gt;59&lt;/sup&gt;", "plainTextFormattedCitation" : "59", "previouslyFormattedCitation" : "&lt;sup&gt;59&lt;/sup&gt;" }, "properties" : { "noteIndex" : 0 }, "schema" : "https://github.com/citation-style-language/schema/raw/master/csl-citation.json" }</w:instrText>
            </w:r>
            <w:r w:rsidR="00156059" w:rsidRPr="00FA5289">
              <w:rPr>
                <w:b/>
                <w:bCs/>
              </w:rPr>
              <w:fldChar w:fldCharType="separate"/>
            </w:r>
            <w:r w:rsidR="00FA17EC" w:rsidRPr="00FA5289">
              <w:rPr>
                <w:bCs/>
                <w:noProof/>
                <w:vertAlign w:val="superscript"/>
              </w:rPr>
              <w:t>59</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r w:rsidRPr="00FA5289">
              <w:t>Middle aged men and women with T2 diabetes</w:t>
            </w:r>
          </w:p>
        </w:tc>
        <w:tc>
          <w:tcPr>
            <w:tcW w:w="567" w:type="dxa"/>
            <w:tcBorders>
              <w:left w:val="nil"/>
              <w:right w:val="nil"/>
            </w:tcBorders>
          </w:tcPr>
          <w:p w:rsidR="00022A6E" w:rsidRPr="00FA5289" w:rsidRDefault="00022A6E" w:rsidP="0036552A">
            <w:pPr>
              <w:spacing w:after="0" w:line="240" w:lineRule="auto"/>
              <w:jc w:val="center"/>
            </w:pPr>
            <w:r w:rsidRPr="00FA5289">
              <w:t>78</w:t>
            </w:r>
          </w:p>
        </w:tc>
        <w:tc>
          <w:tcPr>
            <w:tcW w:w="992" w:type="dxa"/>
            <w:tcBorders>
              <w:left w:val="nil"/>
              <w:right w:val="nil"/>
            </w:tcBorders>
          </w:tcPr>
          <w:p w:rsidR="00022A6E" w:rsidRPr="00FA5289" w:rsidRDefault="00022A6E" w:rsidP="0036552A">
            <w:pPr>
              <w:spacing w:after="0" w:line="240" w:lineRule="auto"/>
              <w:jc w:val="center"/>
            </w:pPr>
            <w:r w:rsidRPr="00FA5289">
              <w:t>Male</w:t>
            </w:r>
          </w:p>
        </w:tc>
        <w:tc>
          <w:tcPr>
            <w:tcW w:w="1002" w:type="dxa"/>
            <w:tcBorders>
              <w:left w:val="nil"/>
              <w:right w:val="nil"/>
            </w:tcBorders>
          </w:tcPr>
          <w:p w:rsidR="00022A6E" w:rsidRPr="00FA5289" w:rsidRDefault="00022A6E" w:rsidP="0036552A">
            <w:pPr>
              <w:spacing w:after="0" w:line="240" w:lineRule="auto"/>
              <w:jc w:val="center"/>
            </w:pPr>
            <w:r w:rsidRPr="00FA5289">
              <w:t>56.9 ± 5.9</w:t>
            </w:r>
          </w:p>
        </w:tc>
        <w:tc>
          <w:tcPr>
            <w:tcW w:w="1408" w:type="dxa"/>
            <w:tcBorders>
              <w:left w:val="nil"/>
              <w:right w:val="nil"/>
            </w:tcBorders>
          </w:tcPr>
          <w:p w:rsidR="00022A6E" w:rsidRPr="00FA5289" w:rsidRDefault="00022A6E" w:rsidP="0036552A">
            <w:pPr>
              <w:spacing w:after="0" w:line="240" w:lineRule="auto"/>
              <w:jc w:val="center"/>
            </w:pPr>
            <w:r w:rsidRPr="00FA5289">
              <w:t>32.6 ± 4.1</w:t>
            </w:r>
          </w:p>
        </w:tc>
        <w:tc>
          <w:tcPr>
            <w:tcW w:w="1417" w:type="dxa"/>
            <w:tcBorders>
              <w:left w:val="nil"/>
              <w:right w:val="nil"/>
            </w:tcBorders>
          </w:tcPr>
          <w:p w:rsidR="00022A6E" w:rsidRPr="00FA5289" w:rsidRDefault="00022A6E" w:rsidP="0036552A">
            <w:pPr>
              <w:spacing w:after="0" w:line="240" w:lineRule="auto"/>
              <w:jc w:val="center"/>
            </w:pPr>
            <w:r w:rsidRPr="00FA5289">
              <w:t>34.7 ± 8.2</w:t>
            </w:r>
          </w:p>
        </w:tc>
        <w:tc>
          <w:tcPr>
            <w:tcW w:w="1417" w:type="dxa"/>
            <w:tcBorders>
              <w:left w:val="nil"/>
              <w:right w:val="nil"/>
            </w:tcBorders>
          </w:tcPr>
          <w:p w:rsidR="00022A6E" w:rsidRPr="00FA5289" w:rsidRDefault="00022A6E" w:rsidP="0036552A">
            <w:pPr>
              <w:spacing w:after="0" w:line="240" w:lineRule="auto"/>
              <w:jc w:val="center"/>
            </w:pPr>
            <w:r w:rsidRPr="00FA5289">
              <w:t>33.6 ± 5.1</w:t>
            </w:r>
          </w:p>
        </w:tc>
        <w:tc>
          <w:tcPr>
            <w:tcW w:w="1417" w:type="dxa"/>
            <w:tcBorders>
              <w:left w:val="nil"/>
              <w:right w:val="nil"/>
            </w:tcBorders>
          </w:tcPr>
          <w:p w:rsidR="00022A6E" w:rsidRPr="00FA5289" w:rsidRDefault="00022A6E" w:rsidP="0036552A">
            <w:pPr>
              <w:spacing w:after="0" w:line="240" w:lineRule="auto"/>
              <w:jc w:val="center"/>
            </w:pPr>
            <w:r w:rsidRPr="00FA5289">
              <w:t>1.31 ± 0.12</w:t>
            </w:r>
          </w:p>
        </w:tc>
        <w:tc>
          <w:tcPr>
            <w:tcW w:w="1418" w:type="dxa"/>
            <w:tcBorders>
              <w:left w:val="nil"/>
              <w:right w:val="nil"/>
            </w:tcBorders>
          </w:tcPr>
          <w:p w:rsidR="00022A6E" w:rsidRPr="00FA5289" w:rsidRDefault="00022A6E" w:rsidP="0036552A">
            <w:pPr>
              <w:spacing w:after="0" w:line="240" w:lineRule="auto"/>
              <w:jc w:val="center"/>
            </w:pPr>
            <w:r w:rsidRPr="00FA5289">
              <w:t>L1 – 4</w:t>
            </w:r>
          </w:p>
          <w:p w:rsidR="00022A6E" w:rsidRPr="00FA5289" w:rsidRDefault="00022A6E" w:rsidP="0036552A">
            <w:pPr>
              <w:spacing w:after="0" w:line="240" w:lineRule="auto"/>
              <w:jc w:val="center"/>
            </w:pPr>
            <w:r w:rsidRPr="00FA5289">
              <w:t>1.32 ± 0.20</w:t>
            </w:r>
          </w:p>
        </w:tc>
        <w:tc>
          <w:tcPr>
            <w:tcW w:w="1417" w:type="dxa"/>
            <w:tcBorders>
              <w:left w:val="nil"/>
              <w:right w:val="nil"/>
            </w:tcBorders>
          </w:tcPr>
          <w:p w:rsidR="00022A6E" w:rsidRPr="00FA5289" w:rsidRDefault="00022A6E" w:rsidP="0036552A">
            <w:pPr>
              <w:spacing w:after="0" w:line="240" w:lineRule="auto"/>
              <w:jc w:val="center"/>
            </w:pPr>
            <w:r w:rsidRPr="00FA5289">
              <w:t>1.16 ± 0.15</w:t>
            </w:r>
          </w:p>
        </w:tc>
        <w:tc>
          <w:tcPr>
            <w:tcW w:w="1418" w:type="dxa"/>
            <w:tcBorders>
              <w:left w:val="nil"/>
              <w:right w:val="nil"/>
            </w:tcBorders>
          </w:tcPr>
          <w:p w:rsidR="00022A6E" w:rsidRPr="00FA5289" w:rsidRDefault="00022A6E" w:rsidP="0036552A">
            <w:pPr>
              <w:spacing w:after="0" w:line="240" w:lineRule="auto"/>
              <w:jc w:val="center"/>
            </w:pPr>
            <w:r w:rsidRPr="00FA5289">
              <w:t>1.08 ± 0.162</w:t>
            </w:r>
          </w:p>
        </w:tc>
      </w:tr>
      <w:tr w:rsidR="00022A6E" w:rsidRPr="00022A6E" w:rsidTr="000C62EB">
        <w:trPr>
          <w:jc w:val="center"/>
        </w:trPr>
        <w:tc>
          <w:tcPr>
            <w:tcW w:w="1698" w:type="dxa"/>
            <w:tcBorders>
              <w:left w:val="nil"/>
              <w:right w:val="nil"/>
            </w:tcBorders>
          </w:tcPr>
          <w:p w:rsidR="00022A6E" w:rsidRPr="00FA5289" w:rsidRDefault="00F563AC" w:rsidP="00FA17EC">
            <w:pPr>
              <w:spacing w:after="0" w:line="240" w:lineRule="auto"/>
              <w:jc w:val="center"/>
              <w:rPr>
                <w:b/>
                <w:bCs/>
              </w:rPr>
            </w:pPr>
            <w:proofErr w:type="spellStart"/>
            <w:r w:rsidRPr="00FA5289">
              <w:rPr>
                <w:b/>
                <w:bCs/>
              </w:rPr>
              <w:t>Remmel</w:t>
            </w:r>
            <w:proofErr w:type="spellEnd"/>
            <w:r w:rsidR="00022A6E" w:rsidRPr="00FA5289">
              <w:rPr>
                <w:b/>
                <w:bCs/>
              </w:rPr>
              <w:t xml:space="preserve"> et al. </w:t>
            </w:r>
            <w:r w:rsidR="006531EA">
              <w:rPr>
                <w:b/>
                <w:bCs/>
              </w:rPr>
              <w:lastRenderedPageBreak/>
              <w:t>(</w:t>
            </w:r>
            <w:r w:rsidR="00022A6E" w:rsidRPr="00FA5289">
              <w:rPr>
                <w:b/>
                <w:bCs/>
              </w:rPr>
              <w:t>2015</w:t>
            </w:r>
            <w:r w:rsidR="006531EA">
              <w:rPr>
                <w:b/>
                <w:bCs/>
              </w:rPr>
              <w:t>)</w:t>
            </w:r>
            <w:r w:rsidR="00022A6E" w:rsidRPr="00FA5289">
              <w:rPr>
                <w:b/>
                <w:bCs/>
              </w:rPr>
              <w:t xml:space="preserve"> </w:t>
            </w:r>
            <w:r w:rsidR="00156059" w:rsidRPr="00FA5289">
              <w:rPr>
                <w:b/>
                <w:bCs/>
              </w:rPr>
              <w:fldChar w:fldCharType="begin" w:fldLock="1"/>
            </w:r>
            <w:r w:rsidR="00FA17EC" w:rsidRPr="00FA5289">
              <w:rPr>
                <w:b/>
                <w:bCs/>
              </w:rPr>
              <w:instrText>ADDIN CSL_CITATION { "citationItems" : [ { "id" : "ITEM-1", "itemData" : { "author" : [ { "dropping-particle" : "", "family" : "Remmel", "given" : "L", "non-dropping-particle" : "", "parse-names" : false, "suffix" : "" }, { "dropping-particle" : "", "family" : "Tillmann", "given" : "V", "non-dropping-particle" : "", "parse-names" : false, "suffix" : "" }, { "dropping-particle" : "", "family" : "Maestu", "given" : "J", "non-dropping-particle" : "", "parse-names" : false, "suffix" : "" }, { "dropping-particle" : "", "family" : "Purge", "given" : "P", "non-dropping-particle" : "", "parse-names" : false, "suffix" : "" }, { "dropping-particle" : "", "family" : "Saar", "given" : "M", "non-dropping-particle" : "", "parse-names" : false, "suffix" : "" }, { "dropping-particle" : "", "family" : "Latt", "given" : "E", "non-dropping-particle" : "", "parse-names" : false, "suffix" : "" }, { "dropping-particle" : "", "family" : "Maasalu", "given" : "K", "non-dropping-particle" : "", "parse-names" : false, "suffix" : "" }, { "dropping-particle" : "", "family" : "Jurimae", "given" : "T", "non-dropping-particle" : "", "parse-names" : false, "suffix" : "" }, { "dropping-particle" : "", "family" : "J", "given" : "Jurimae", "non-dropping-particle" : "", "parse-names" : false, "suffix" : "" } ], "container-title" : "Hormone research in paediatrics", "id" : "ITEM-1", "issue" : "1", "issued" : { "date-parts" : [ [ "2015" ] ] }, "page" : "6-13", "title" : "Associations between Bone Mineral Characteristics and Serum Levels of Ghrelin and Peptide YY in Overweight Adolescent Boys", "type" : "article-journal", "volume" : "84" }, "uris" : [ "http://www.mendeley.com/documents/?uuid=c938bfa2-635e-40cb-a58b-06fe71ce492a" ] } ], "mendeley" : { "formattedCitation" : "&lt;sup&gt;60&lt;/sup&gt;", "plainTextFormattedCitation" : "60", "previouslyFormattedCitation" : "&lt;sup&gt;60&lt;/sup&gt;" }, "properties" : { "noteIndex" : 0 }, "schema" : "https://github.com/citation-style-language/schema/raw/master/csl-citation.json" }</w:instrText>
            </w:r>
            <w:r w:rsidR="00156059" w:rsidRPr="00FA5289">
              <w:rPr>
                <w:b/>
                <w:bCs/>
              </w:rPr>
              <w:fldChar w:fldCharType="separate"/>
            </w:r>
            <w:r w:rsidR="00FA17EC" w:rsidRPr="00FA5289">
              <w:rPr>
                <w:bCs/>
                <w:noProof/>
                <w:vertAlign w:val="superscript"/>
              </w:rPr>
              <w:t>60</w:t>
            </w:r>
            <w:r w:rsidR="00156059" w:rsidRPr="00FA5289">
              <w:rPr>
                <w:b/>
                <w:bCs/>
              </w:rPr>
              <w:fldChar w:fldCharType="end"/>
            </w:r>
          </w:p>
        </w:tc>
        <w:tc>
          <w:tcPr>
            <w:tcW w:w="1619" w:type="dxa"/>
            <w:tcBorders>
              <w:left w:val="nil"/>
              <w:right w:val="nil"/>
            </w:tcBorders>
          </w:tcPr>
          <w:p w:rsidR="00022A6E" w:rsidRPr="00FA5289" w:rsidRDefault="00022A6E" w:rsidP="0036552A">
            <w:pPr>
              <w:spacing w:after="0" w:line="240" w:lineRule="auto"/>
              <w:jc w:val="center"/>
            </w:pPr>
            <w:r w:rsidRPr="00FA5289">
              <w:lastRenderedPageBreak/>
              <w:t xml:space="preserve">Overweight </w:t>
            </w:r>
            <w:r w:rsidRPr="00FA5289">
              <w:lastRenderedPageBreak/>
              <w:t>and obese Estonian schoolboys.</w:t>
            </w:r>
          </w:p>
        </w:tc>
        <w:tc>
          <w:tcPr>
            <w:tcW w:w="567" w:type="dxa"/>
            <w:tcBorders>
              <w:left w:val="nil"/>
              <w:right w:val="nil"/>
            </w:tcBorders>
          </w:tcPr>
          <w:p w:rsidR="00022A6E" w:rsidRPr="00FA5289" w:rsidRDefault="00022A6E" w:rsidP="0036552A">
            <w:pPr>
              <w:spacing w:after="0" w:line="240" w:lineRule="auto"/>
              <w:jc w:val="center"/>
            </w:pPr>
            <w:r w:rsidRPr="00FA5289">
              <w:lastRenderedPageBreak/>
              <w:t>55</w:t>
            </w:r>
          </w:p>
        </w:tc>
        <w:tc>
          <w:tcPr>
            <w:tcW w:w="992" w:type="dxa"/>
            <w:tcBorders>
              <w:left w:val="nil"/>
              <w:right w:val="nil"/>
            </w:tcBorders>
          </w:tcPr>
          <w:p w:rsidR="00022A6E" w:rsidRPr="00FA5289" w:rsidRDefault="00022A6E" w:rsidP="0036552A">
            <w:pPr>
              <w:spacing w:after="0" w:line="240" w:lineRule="auto"/>
              <w:jc w:val="center"/>
            </w:pPr>
            <w:r w:rsidRPr="00FA5289">
              <w:t>Male</w:t>
            </w:r>
          </w:p>
        </w:tc>
        <w:tc>
          <w:tcPr>
            <w:tcW w:w="1002" w:type="dxa"/>
            <w:tcBorders>
              <w:left w:val="nil"/>
              <w:right w:val="nil"/>
            </w:tcBorders>
          </w:tcPr>
          <w:p w:rsidR="00022A6E" w:rsidRPr="00FA5289" w:rsidRDefault="00022A6E" w:rsidP="0036552A">
            <w:pPr>
              <w:spacing w:after="0" w:line="240" w:lineRule="auto"/>
              <w:jc w:val="center"/>
            </w:pPr>
            <w:r w:rsidRPr="00FA5289">
              <w:t xml:space="preserve">14.0 ± </w:t>
            </w:r>
            <w:r w:rsidRPr="00FA5289">
              <w:lastRenderedPageBreak/>
              <w:t>0.8</w:t>
            </w:r>
          </w:p>
        </w:tc>
        <w:tc>
          <w:tcPr>
            <w:tcW w:w="1408" w:type="dxa"/>
            <w:tcBorders>
              <w:left w:val="nil"/>
              <w:right w:val="nil"/>
            </w:tcBorders>
          </w:tcPr>
          <w:p w:rsidR="00022A6E" w:rsidRPr="00FA5289" w:rsidRDefault="00022A6E" w:rsidP="0036552A">
            <w:pPr>
              <w:spacing w:after="0" w:line="240" w:lineRule="auto"/>
              <w:jc w:val="center"/>
            </w:pPr>
            <w:r w:rsidRPr="00FA5289">
              <w:lastRenderedPageBreak/>
              <w:t>26.8 ± 4.5</w:t>
            </w:r>
          </w:p>
        </w:tc>
        <w:tc>
          <w:tcPr>
            <w:tcW w:w="1417" w:type="dxa"/>
            <w:tcBorders>
              <w:left w:val="nil"/>
              <w:right w:val="nil"/>
            </w:tcBorders>
          </w:tcPr>
          <w:p w:rsidR="00022A6E" w:rsidRPr="00FA5289" w:rsidRDefault="00022A6E" w:rsidP="0036552A">
            <w:pPr>
              <w:spacing w:after="0" w:line="240" w:lineRule="auto"/>
              <w:jc w:val="center"/>
            </w:pPr>
            <w:r w:rsidRPr="00FA5289">
              <w:t>25.8 ± 12.3</w:t>
            </w:r>
          </w:p>
        </w:tc>
        <w:tc>
          <w:tcPr>
            <w:tcW w:w="1417" w:type="dxa"/>
            <w:tcBorders>
              <w:left w:val="nil"/>
              <w:right w:val="nil"/>
            </w:tcBorders>
          </w:tcPr>
          <w:p w:rsidR="00022A6E" w:rsidRPr="00FA5289" w:rsidRDefault="00022A6E" w:rsidP="0036552A">
            <w:pPr>
              <w:spacing w:after="0" w:line="240" w:lineRule="auto"/>
              <w:jc w:val="center"/>
            </w:pPr>
            <w:r w:rsidRPr="00FA5289">
              <w:t>-</w:t>
            </w:r>
          </w:p>
        </w:tc>
        <w:tc>
          <w:tcPr>
            <w:tcW w:w="1417" w:type="dxa"/>
            <w:tcBorders>
              <w:left w:val="nil"/>
              <w:right w:val="nil"/>
            </w:tcBorders>
          </w:tcPr>
          <w:p w:rsidR="00022A6E" w:rsidRPr="00FA5289" w:rsidRDefault="00022A6E" w:rsidP="0036552A">
            <w:pPr>
              <w:spacing w:after="0" w:line="240" w:lineRule="auto"/>
              <w:jc w:val="center"/>
            </w:pPr>
            <w:r w:rsidRPr="00FA5289">
              <w:t>1.12 ± 0.10</w:t>
            </w:r>
          </w:p>
        </w:tc>
        <w:tc>
          <w:tcPr>
            <w:tcW w:w="1418" w:type="dxa"/>
            <w:tcBorders>
              <w:left w:val="nil"/>
              <w:right w:val="nil"/>
            </w:tcBorders>
          </w:tcPr>
          <w:p w:rsidR="00022A6E" w:rsidRPr="00FA5289" w:rsidRDefault="00022A6E" w:rsidP="0036552A">
            <w:pPr>
              <w:spacing w:after="0" w:line="240" w:lineRule="auto"/>
              <w:jc w:val="center"/>
            </w:pPr>
            <w:r w:rsidRPr="00FA5289">
              <w:t>1.04 ± 0.15</w:t>
            </w:r>
          </w:p>
        </w:tc>
        <w:tc>
          <w:tcPr>
            <w:tcW w:w="1417" w:type="dxa"/>
            <w:tcBorders>
              <w:left w:val="nil"/>
              <w:right w:val="nil"/>
            </w:tcBorders>
          </w:tcPr>
          <w:p w:rsidR="00022A6E" w:rsidRPr="00FA5289" w:rsidRDefault="00022A6E" w:rsidP="0036552A">
            <w:pPr>
              <w:spacing w:after="0" w:line="240" w:lineRule="auto"/>
              <w:jc w:val="center"/>
            </w:pPr>
          </w:p>
        </w:tc>
        <w:tc>
          <w:tcPr>
            <w:tcW w:w="1418" w:type="dxa"/>
            <w:tcBorders>
              <w:left w:val="nil"/>
              <w:right w:val="nil"/>
            </w:tcBorders>
          </w:tcPr>
          <w:p w:rsidR="00022A6E" w:rsidRPr="00FA5289" w:rsidRDefault="00022A6E" w:rsidP="0036552A">
            <w:pPr>
              <w:spacing w:after="0" w:line="240" w:lineRule="auto"/>
              <w:jc w:val="center"/>
            </w:pPr>
          </w:p>
        </w:tc>
      </w:tr>
    </w:tbl>
    <w:p w:rsidR="00022A6E" w:rsidRPr="00FA5289" w:rsidRDefault="00022A6E" w:rsidP="00022A6E">
      <w:pPr>
        <w:spacing w:line="240" w:lineRule="auto"/>
      </w:pPr>
      <w:r w:rsidRPr="00FA5289">
        <w:lastRenderedPageBreak/>
        <w:t xml:space="preserve">All data is presented as mean ± SD, or as range (maximum – minimum), * represents studies for whom the descriptive data corresponding to the extracted correlation coefficient was not available, and subgroup statistics were subsequently combined to report representative means and standard deviations for the relevant group. BM: Body Mass, BMD: Bone Mineral Density, </w:t>
      </w:r>
      <w:proofErr w:type="spellStart"/>
      <w:r w:rsidRPr="00FA5289">
        <w:t>MetS</w:t>
      </w:r>
      <w:proofErr w:type="spellEnd"/>
      <w:r w:rsidRPr="00FA5289">
        <w:t xml:space="preserve">: Metabolic Syndrome, T2: Type 2. </w:t>
      </w:r>
    </w:p>
    <w:p w:rsidR="00022A6E" w:rsidRPr="00FA5289" w:rsidRDefault="00022A6E" w:rsidP="00022A6E">
      <w:pPr>
        <w:spacing w:line="240" w:lineRule="auto"/>
      </w:pPr>
    </w:p>
    <w:p w:rsidR="00022A6E" w:rsidRPr="00FA5289" w:rsidRDefault="00022A6E" w:rsidP="00022A6E">
      <w:pPr>
        <w:spacing w:line="240" w:lineRule="auto"/>
      </w:pPr>
    </w:p>
    <w:p w:rsidR="00022A6E" w:rsidRPr="00FA5289" w:rsidRDefault="00022A6E" w:rsidP="00022A6E">
      <w:pPr>
        <w:spacing w:line="240" w:lineRule="auto"/>
      </w:pPr>
    </w:p>
    <w:p w:rsidR="00022A6E" w:rsidRPr="00FA5289" w:rsidRDefault="00022A6E" w:rsidP="00022A6E">
      <w:pPr>
        <w:spacing w:line="240" w:lineRule="auto"/>
      </w:pPr>
    </w:p>
    <w:p w:rsidR="00022A6E" w:rsidRPr="00FA5289" w:rsidRDefault="00022A6E" w:rsidP="00022A6E">
      <w:pPr>
        <w:spacing w:line="240" w:lineRule="auto"/>
      </w:pPr>
    </w:p>
    <w:p w:rsidR="00022A6E" w:rsidRPr="00FA5289" w:rsidRDefault="00022A6E" w:rsidP="00022A6E">
      <w:pPr>
        <w:spacing w:line="240" w:lineRule="auto"/>
      </w:pPr>
    </w:p>
    <w:p w:rsidR="00022A6E" w:rsidRPr="00FA5289" w:rsidRDefault="00022A6E" w:rsidP="00022A6E">
      <w:pPr>
        <w:spacing w:line="240" w:lineRule="auto"/>
      </w:pPr>
    </w:p>
    <w:p w:rsidR="00022A6E" w:rsidRPr="00FA5289" w:rsidRDefault="00022A6E" w:rsidP="00022A6E">
      <w:pPr>
        <w:spacing w:line="240" w:lineRule="auto"/>
      </w:pPr>
    </w:p>
    <w:p w:rsidR="00022A6E" w:rsidRPr="00FA5289" w:rsidRDefault="00022A6E" w:rsidP="00022A6E">
      <w:pPr>
        <w:spacing w:line="240" w:lineRule="auto"/>
      </w:pPr>
    </w:p>
    <w:p w:rsidR="00022A6E" w:rsidRPr="00FA5289" w:rsidRDefault="00022A6E" w:rsidP="00022A6E">
      <w:pPr>
        <w:spacing w:line="240" w:lineRule="auto"/>
      </w:pPr>
    </w:p>
    <w:p w:rsidR="00022A6E" w:rsidRPr="00FA5289" w:rsidRDefault="00022A6E" w:rsidP="00022A6E">
      <w:pPr>
        <w:spacing w:line="240" w:lineRule="auto"/>
      </w:pPr>
    </w:p>
    <w:p w:rsidR="00022A6E" w:rsidRPr="00FA5289" w:rsidRDefault="00022A6E" w:rsidP="00022A6E">
      <w:pPr>
        <w:spacing w:line="240" w:lineRule="auto"/>
      </w:pPr>
    </w:p>
    <w:p w:rsidR="00022A6E" w:rsidRPr="00FA5289" w:rsidRDefault="00022A6E" w:rsidP="00022A6E">
      <w:pPr>
        <w:spacing w:line="240" w:lineRule="auto"/>
      </w:pPr>
    </w:p>
    <w:p w:rsidR="00022A6E" w:rsidRPr="00FA5289" w:rsidRDefault="00022A6E" w:rsidP="00022A6E">
      <w:pPr>
        <w:spacing w:line="240" w:lineRule="auto"/>
      </w:pPr>
    </w:p>
    <w:p w:rsidR="00022A6E" w:rsidRPr="00FA5289" w:rsidRDefault="00022A6E" w:rsidP="00022A6E">
      <w:pPr>
        <w:spacing w:line="240" w:lineRule="auto"/>
      </w:pPr>
    </w:p>
    <w:p w:rsidR="00022A6E" w:rsidRPr="00FA5289" w:rsidRDefault="00C55AB0" w:rsidP="00022A6E">
      <w:pPr>
        <w:spacing w:line="240" w:lineRule="auto"/>
      </w:pPr>
      <w:r w:rsidRPr="00FA5289">
        <w:rPr>
          <w:b/>
          <w:bCs/>
        </w:rPr>
        <w:lastRenderedPageBreak/>
        <w:t>Table 3</w:t>
      </w:r>
      <w:r w:rsidR="00022A6E" w:rsidRPr="00FA5289">
        <w:rPr>
          <w:b/>
          <w:bCs/>
        </w:rPr>
        <w:t>:</w:t>
      </w:r>
      <w:r w:rsidR="00022A6E" w:rsidRPr="00FA5289">
        <w:t xml:space="preserve"> Summary of Correlation Coefficients</w:t>
      </w:r>
    </w:p>
    <w:tbl>
      <w:tblPr>
        <w:tblW w:w="14669" w:type="dxa"/>
        <w:tblInd w:w="-106" w:type="dxa"/>
        <w:tblBorders>
          <w:insideH w:val="single" w:sz="4" w:space="0" w:color="auto"/>
          <w:insideV w:val="single" w:sz="4" w:space="0" w:color="auto"/>
        </w:tblBorders>
        <w:tblLook w:val="00A0"/>
      </w:tblPr>
      <w:tblGrid>
        <w:gridCol w:w="2802"/>
        <w:gridCol w:w="567"/>
        <w:gridCol w:w="1275"/>
        <w:gridCol w:w="1276"/>
        <w:gridCol w:w="1418"/>
        <w:gridCol w:w="1417"/>
        <w:gridCol w:w="1701"/>
        <w:gridCol w:w="1559"/>
        <w:gridCol w:w="1418"/>
        <w:gridCol w:w="1236"/>
      </w:tblGrid>
      <w:tr w:rsidR="00022A6E" w:rsidRPr="00022A6E" w:rsidTr="0036552A">
        <w:trPr>
          <w:trHeight w:val="300"/>
        </w:trPr>
        <w:tc>
          <w:tcPr>
            <w:tcW w:w="2802" w:type="dxa"/>
            <w:shd w:val="clear" w:color="auto" w:fill="BFBFBF"/>
            <w:noWrap/>
            <w:vAlign w:val="bottom"/>
          </w:tcPr>
          <w:p w:rsidR="00022A6E" w:rsidRPr="00FA5289" w:rsidRDefault="00022A6E" w:rsidP="0036552A">
            <w:pPr>
              <w:spacing w:after="0" w:line="240" w:lineRule="auto"/>
              <w:rPr>
                <w:b/>
                <w:bCs/>
                <w:color w:val="000000"/>
                <w:lang w:eastAsia="en-GB"/>
              </w:rPr>
            </w:pPr>
            <w:r w:rsidRPr="00FA5289">
              <w:rPr>
                <w:b/>
                <w:bCs/>
                <w:color w:val="000000"/>
                <w:lang w:eastAsia="en-GB"/>
              </w:rPr>
              <w:t>Author (date)</w:t>
            </w:r>
          </w:p>
        </w:tc>
        <w:tc>
          <w:tcPr>
            <w:tcW w:w="567" w:type="dxa"/>
            <w:shd w:val="clear" w:color="auto" w:fill="BFBFBF"/>
            <w:noWrap/>
            <w:vAlign w:val="bottom"/>
          </w:tcPr>
          <w:p w:rsidR="00022A6E" w:rsidRPr="00FA5289" w:rsidRDefault="00022A6E" w:rsidP="0036552A">
            <w:pPr>
              <w:spacing w:after="0" w:line="240" w:lineRule="auto"/>
              <w:jc w:val="center"/>
              <w:rPr>
                <w:b/>
                <w:bCs/>
                <w:color w:val="000000"/>
                <w:lang w:eastAsia="en-GB"/>
              </w:rPr>
            </w:pPr>
            <w:r w:rsidRPr="00FA5289">
              <w:rPr>
                <w:b/>
                <w:bCs/>
                <w:color w:val="000000"/>
                <w:lang w:eastAsia="en-GB"/>
              </w:rPr>
              <w:t>N</w:t>
            </w:r>
          </w:p>
        </w:tc>
        <w:tc>
          <w:tcPr>
            <w:tcW w:w="1275" w:type="dxa"/>
            <w:shd w:val="clear" w:color="auto" w:fill="BFBFBF"/>
            <w:noWrap/>
            <w:vAlign w:val="bottom"/>
          </w:tcPr>
          <w:p w:rsidR="00022A6E" w:rsidRPr="00FA5289" w:rsidRDefault="00022A6E" w:rsidP="0036552A">
            <w:pPr>
              <w:spacing w:after="0" w:line="240" w:lineRule="auto"/>
              <w:jc w:val="center"/>
              <w:rPr>
                <w:b/>
                <w:bCs/>
                <w:color w:val="000000"/>
                <w:lang w:eastAsia="en-GB"/>
              </w:rPr>
            </w:pPr>
            <w:r w:rsidRPr="00FA5289">
              <w:rPr>
                <w:b/>
                <w:bCs/>
                <w:color w:val="000000"/>
                <w:lang w:eastAsia="en-GB"/>
              </w:rPr>
              <w:t>Total Body  BMD VS AAM</w:t>
            </w:r>
          </w:p>
        </w:tc>
        <w:tc>
          <w:tcPr>
            <w:tcW w:w="1276" w:type="dxa"/>
            <w:shd w:val="clear" w:color="auto" w:fill="BFBFBF"/>
            <w:noWrap/>
            <w:vAlign w:val="bottom"/>
          </w:tcPr>
          <w:p w:rsidR="00022A6E" w:rsidRPr="00FA5289" w:rsidRDefault="00022A6E" w:rsidP="0036552A">
            <w:pPr>
              <w:spacing w:after="0" w:line="240" w:lineRule="auto"/>
              <w:jc w:val="center"/>
              <w:rPr>
                <w:b/>
                <w:bCs/>
                <w:color w:val="000000"/>
                <w:lang w:eastAsia="en-GB"/>
              </w:rPr>
            </w:pPr>
            <w:r w:rsidRPr="00FA5289">
              <w:rPr>
                <w:b/>
                <w:bCs/>
                <w:color w:val="000000"/>
                <w:lang w:eastAsia="en-GB"/>
              </w:rPr>
              <w:t>Total Body BMD VS RAM</w:t>
            </w:r>
          </w:p>
        </w:tc>
        <w:tc>
          <w:tcPr>
            <w:tcW w:w="1418" w:type="dxa"/>
            <w:shd w:val="clear" w:color="auto" w:fill="BFBFBF"/>
            <w:noWrap/>
            <w:vAlign w:val="bottom"/>
          </w:tcPr>
          <w:p w:rsidR="00022A6E" w:rsidRPr="00FA5289" w:rsidRDefault="00022A6E" w:rsidP="0036552A">
            <w:pPr>
              <w:spacing w:after="0" w:line="240" w:lineRule="auto"/>
              <w:jc w:val="center"/>
              <w:rPr>
                <w:b/>
                <w:bCs/>
                <w:color w:val="000000"/>
                <w:lang w:eastAsia="en-GB"/>
              </w:rPr>
            </w:pPr>
            <w:r w:rsidRPr="00FA5289">
              <w:rPr>
                <w:b/>
                <w:bCs/>
                <w:color w:val="000000"/>
                <w:lang w:eastAsia="en-GB"/>
              </w:rPr>
              <w:t>Lumbar Spine BMD VS AAM</w:t>
            </w:r>
          </w:p>
        </w:tc>
        <w:tc>
          <w:tcPr>
            <w:tcW w:w="1417" w:type="dxa"/>
            <w:shd w:val="clear" w:color="auto" w:fill="BFBFBF"/>
            <w:noWrap/>
            <w:vAlign w:val="bottom"/>
          </w:tcPr>
          <w:p w:rsidR="00022A6E" w:rsidRPr="00FA5289" w:rsidRDefault="00022A6E" w:rsidP="0036552A">
            <w:pPr>
              <w:spacing w:after="0" w:line="240" w:lineRule="auto"/>
              <w:jc w:val="center"/>
              <w:rPr>
                <w:b/>
                <w:bCs/>
                <w:color w:val="000000"/>
                <w:lang w:eastAsia="en-GB"/>
              </w:rPr>
            </w:pPr>
            <w:r w:rsidRPr="00FA5289">
              <w:rPr>
                <w:b/>
                <w:bCs/>
                <w:color w:val="000000"/>
                <w:lang w:eastAsia="en-GB"/>
              </w:rPr>
              <w:t>Lumbar Spine BMD VS RAM</w:t>
            </w:r>
          </w:p>
        </w:tc>
        <w:tc>
          <w:tcPr>
            <w:tcW w:w="1701" w:type="dxa"/>
            <w:shd w:val="clear" w:color="auto" w:fill="BFBFBF"/>
            <w:noWrap/>
            <w:vAlign w:val="bottom"/>
          </w:tcPr>
          <w:p w:rsidR="00022A6E" w:rsidRPr="00FA5289" w:rsidRDefault="00022A6E" w:rsidP="0036552A">
            <w:pPr>
              <w:spacing w:after="0" w:line="240" w:lineRule="auto"/>
              <w:jc w:val="center"/>
              <w:rPr>
                <w:b/>
                <w:bCs/>
                <w:color w:val="000000"/>
                <w:lang w:eastAsia="en-GB"/>
              </w:rPr>
            </w:pPr>
            <w:r w:rsidRPr="00FA5289">
              <w:rPr>
                <w:b/>
                <w:bCs/>
                <w:color w:val="000000"/>
                <w:lang w:eastAsia="en-GB"/>
              </w:rPr>
              <w:t>Total Femur BMD VS AAM</w:t>
            </w:r>
          </w:p>
        </w:tc>
        <w:tc>
          <w:tcPr>
            <w:tcW w:w="1559" w:type="dxa"/>
            <w:shd w:val="clear" w:color="auto" w:fill="BFBFBF"/>
            <w:noWrap/>
            <w:vAlign w:val="bottom"/>
          </w:tcPr>
          <w:p w:rsidR="00022A6E" w:rsidRPr="00FA5289" w:rsidRDefault="00022A6E" w:rsidP="0036552A">
            <w:pPr>
              <w:spacing w:after="0" w:line="240" w:lineRule="auto"/>
              <w:jc w:val="center"/>
              <w:rPr>
                <w:b/>
                <w:bCs/>
                <w:color w:val="000000"/>
                <w:lang w:val="pt-BR" w:eastAsia="en-GB"/>
              </w:rPr>
            </w:pPr>
            <w:r w:rsidRPr="00FA5289">
              <w:rPr>
                <w:b/>
                <w:bCs/>
                <w:color w:val="000000"/>
                <w:lang w:val="pt-BR" w:eastAsia="en-GB"/>
              </w:rPr>
              <w:t>Total Femur BMD VS RAM</w:t>
            </w:r>
          </w:p>
        </w:tc>
        <w:tc>
          <w:tcPr>
            <w:tcW w:w="1418" w:type="dxa"/>
            <w:shd w:val="clear" w:color="auto" w:fill="BFBFBF"/>
            <w:noWrap/>
            <w:vAlign w:val="bottom"/>
          </w:tcPr>
          <w:p w:rsidR="00022A6E" w:rsidRPr="00FA5289" w:rsidRDefault="00022A6E" w:rsidP="0036552A">
            <w:pPr>
              <w:spacing w:after="0" w:line="240" w:lineRule="auto"/>
              <w:jc w:val="center"/>
              <w:rPr>
                <w:b/>
                <w:bCs/>
                <w:color w:val="000000"/>
                <w:lang w:eastAsia="en-GB"/>
              </w:rPr>
            </w:pPr>
            <w:r w:rsidRPr="00FA5289">
              <w:rPr>
                <w:b/>
                <w:bCs/>
                <w:color w:val="000000"/>
                <w:lang w:eastAsia="en-GB"/>
              </w:rPr>
              <w:t>Femoral Neck BMD VS AAM</w:t>
            </w:r>
          </w:p>
        </w:tc>
        <w:tc>
          <w:tcPr>
            <w:tcW w:w="1236" w:type="dxa"/>
            <w:shd w:val="clear" w:color="auto" w:fill="BFBFBF"/>
            <w:noWrap/>
            <w:vAlign w:val="bottom"/>
          </w:tcPr>
          <w:p w:rsidR="00022A6E" w:rsidRPr="00FA5289" w:rsidRDefault="00022A6E" w:rsidP="0036552A">
            <w:pPr>
              <w:spacing w:after="0" w:line="240" w:lineRule="auto"/>
              <w:jc w:val="center"/>
              <w:rPr>
                <w:b/>
                <w:bCs/>
                <w:color w:val="000000"/>
                <w:lang w:val="pt-BR" w:eastAsia="en-GB"/>
              </w:rPr>
            </w:pPr>
            <w:r w:rsidRPr="00FA5289">
              <w:rPr>
                <w:b/>
                <w:bCs/>
                <w:color w:val="000000"/>
                <w:lang w:val="pt-BR" w:eastAsia="en-GB"/>
              </w:rPr>
              <w:t>Femoral Neck BMD VS RAM</w:t>
            </w:r>
          </w:p>
        </w:tc>
      </w:tr>
      <w:tr w:rsidR="00022A6E" w:rsidRPr="00022A6E" w:rsidTr="0036552A">
        <w:trPr>
          <w:trHeight w:val="300"/>
        </w:trPr>
        <w:tc>
          <w:tcPr>
            <w:tcW w:w="2802" w:type="dxa"/>
            <w:noWrap/>
            <w:vAlign w:val="bottom"/>
          </w:tcPr>
          <w:p w:rsidR="00022A6E" w:rsidRPr="00FA5289" w:rsidRDefault="00022A6E" w:rsidP="00FA17EC">
            <w:pPr>
              <w:spacing w:after="0" w:line="240" w:lineRule="auto"/>
              <w:jc w:val="center"/>
              <w:rPr>
                <w:color w:val="000000"/>
                <w:lang w:eastAsia="en-GB"/>
              </w:rPr>
            </w:pPr>
            <w:proofErr w:type="spellStart"/>
            <w:r w:rsidRPr="00FA5289">
              <w:rPr>
                <w:color w:val="000000"/>
                <w:lang w:eastAsia="en-GB"/>
              </w:rPr>
              <w:t>Abou</w:t>
            </w:r>
            <w:proofErr w:type="spellEnd"/>
            <w:r w:rsidRPr="00FA5289">
              <w:rPr>
                <w:color w:val="000000"/>
                <w:lang w:eastAsia="en-GB"/>
              </w:rPr>
              <w:t xml:space="preserve"> </w:t>
            </w:r>
            <w:proofErr w:type="spellStart"/>
            <w:r w:rsidRPr="00FA5289">
              <w:rPr>
                <w:color w:val="000000"/>
                <w:lang w:eastAsia="en-GB"/>
              </w:rPr>
              <w:t>Samra</w:t>
            </w:r>
            <w:proofErr w:type="spellEnd"/>
            <w:r w:rsidRPr="00FA5289">
              <w:rPr>
                <w:color w:val="000000"/>
                <w:lang w:eastAsia="en-GB"/>
              </w:rPr>
              <w:t xml:space="preserve"> et al. </w:t>
            </w:r>
            <w:r w:rsidR="006531EA">
              <w:rPr>
                <w:color w:val="000000"/>
                <w:lang w:eastAsia="en-GB"/>
              </w:rPr>
              <w:t>(</w:t>
            </w:r>
            <w:r w:rsidRPr="00FA5289">
              <w:rPr>
                <w:color w:val="000000"/>
                <w:lang w:eastAsia="en-GB"/>
              </w:rPr>
              <w:t>2004</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"10.1210/jc.2004-2049", "ISSN" : "0021972X", "author" : [ { "dropping-particle" : "", "family" : "Abou Samra", "given" : "Rania", "non-dropping-particle" : "", "parse-names" : false, "suffix" : "" }, { "dropping-particle" : "", "family" : "Baba", "given" : "Nahla Hwalla", "non-dropping-particle" : "", "parse-names" : false, "suffix" : "" }, { "dropping-particle" : "", "family" : "Torbay", "given" : "Naji", "non-dropping-particle" : "", "parse-names" : false, "suffix" : "" }, { "dropping-particle" : "", "family" : "Dib", "given" : "Lea", "non-dropping-particle" : "", "parse-names" : false, "suffix" : "" }, { "dropping-particle" : "", "family" : "Fuleihan", "given" : "Ghada El Hajj", "non-dropping-particle" : "", "parse-names" : false, "suffix" : "" } ], "container-title" : "Journal of Clinical Endocrinology and Metabolism", "id" : "ITEM-1", "issue" : "5", "issued" : { "date-parts" : [ [ "2005" ] ] }, "page" : "2588-2594", "title" : "High plasma leptin is not associated with higher bone mineral density in insulin-resistant premenopausal obese women", "type" : "article-journal", "volume" : "90" }, "uris" : [ "http://www.mendeley.com/documents/?uuid=d64c82ff-a564-4087-a1ab-b27aad865cf1" ] } ], "mendeley" : { "formattedCitation" : "&lt;sup&gt;45&lt;/sup&gt;", "plainTextFormattedCitation" : "45", "previouslyFormattedCitation" : "&lt;sup&gt;45&lt;/sup&gt;"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45</w:t>
            </w:r>
            <w:r w:rsidR="00156059" w:rsidRPr="00FA5289">
              <w:rPr>
                <w:color w:val="000000"/>
                <w:lang w:eastAsia="en-GB"/>
              </w:rPr>
              <w:fldChar w:fldCharType="end"/>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48</w:t>
            </w:r>
          </w:p>
        </w:tc>
        <w:tc>
          <w:tcPr>
            <w:tcW w:w="1275"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0.27</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0.17</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0.44</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0.45</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r>
      <w:tr w:rsidR="00022A6E" w:rsidRPr="00022A6E" w:rsidTr="0036552A">
        <w:trPr>
          <w:trHeight w:val="300"/>
        </w:trPr>
        <w:tc>
          <w:tcPr>
            <w:tcW w:w="2802" w:type="dxa"/>
            <w:noWrap/>
            <w:vAlign w:val="bottom"/>
          </w:tcPr>
          <w:p w:rsidR="00022A6E" w:rsidRPr="00FA5289" w:rsidRDefault="00022A6E" w:rsidP="00FA17EC">
            <w:pPr>
              <w:spacing w:after="0" w:line="240" w:lineRule="auto"/>
              <w:jc w:val="center"/>
              <w:rPr>
                <w:color w:val="000000"/>
                <w:lang w:eastAsia="en-GB"/>
              </w:rPr>
            </w:pPr>
            <w:r w:rsidRPr="00FA5289">
              <w:rPr>
                <w:color w:val="000000"/>
                <w:lang w:eastAsia="en-GB"/>
              </w:rPr>
              <w:t xml:space="preserve">Aguirre et al. </w:t>
            </w:r>
            <w:r w:rsidR="006531EA">
              <w:rPr>
                <w:color w:val="000000"/>
                <w:lang w:eastAsia="en-GB"/>
              </w:rPr>
              <w:t>(</w:t>
            </w:r>
            <w:r w:rsidRPr="00FA5289">
              <w:rPr>
                <w:color w:val="000000"/>
                <w:lang w:eastAsia="en-GB"/>
              </w:rPr>
              <w:t>2014</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"10.1210/jc.2013-3200", "ISBN" : "0021-972x", "ISSN" : "19457197", "PMID" : "24878039", "abstract" : "Context: Although obesity is associated with high bone mass, recent reports suggest an increase in the incidence of fractures in obese patients. Objectives: The objectives of the study were to evaluate the influence of increasing body fat on bone mineral density (BMD) and to determine the influence of the different adipokines on BMD in frail obese elderly patients. Design and Setting: This is a cross-sectional study of baseline characteristics of elderly obese patients participating in a lifestyle therapy with diet with or without exercise and conducted in a university setting. Patients: One hundred seventy-three, elderly (\u226565 y old), obese (body mass index of \u226530 kg/m(2)) who were mostly frail participated in the study. Outcome Measures: BMD, percentage of total body fat, percentage of fat-free mass, percentage of lean mass, body mass index, adiponectin, leptin, IL-6, bone turnover markers (osteocalcin and C-telopeptide), high-sensitivity C-reactive protein, free estradiol, and 25-hydroxyvitamin D were measured. Results: Higher tertiles of percentage body fat and lower lean mass were associated with a lower BMD. High-sensitivity C-reactive protein levels were highest in the highest fat tertile (third, 5.5 \u00b1 5.4 vs first, 1.5 \u00b1 1.3 mg/L, P &lt; .05) for women, whereas IL-6 levels were highest in the highest tertile in men (third, 3.5 \u00b1 3.1 vs first, 1.7 \u00b1 0.8 pg/mL, P&lt; .05). Leptin increased with increasing fat tertiles in both genders (P &lt; .05), whereas adiponectin increased with increasing fat tertiles only in men (P&lt; .05). A multivariate analysis revealed adiponectin as an important mediator of the effect of fat mass on BMD. Osteocalcin levels were highest in the highest fat tertile in women but not in men. Physical function test scores decreased with increasing fat tertiles in women (P&lt; .05) but not in men. Conclusions: Increasing adiposity together with decreasing lean mass is associated with lower BMD, higher adipokine levels, and worsening frailty in elderly obese adults.", "author" : [ { "dropping-particle" : "", "family" : "Aguirre", "given" : "Lina", "non-dropping-particle" : "", "parse-names" : false, "suffix" : "" }, { "dropping-particle" : "", "family" : "Napoli", "given" : "Nicola", "non-dropping-particle" : "", "parse-names" : false, "suffix" : "" }, { "dropping-particle" : "", "family" : "Waters", "given" : "Debra", "non-dropping-particle" : "", "parse-names" : false, "suffix" : "" }, { "dropping-particle" : "", "family" : "Qualls", "given" : "Clifford", "non-dropping-particle" : "", "parse-names" : false, "suffix" : "" }, { "dropping-particle" : "", "family" : "Villareal", "given" : "Dennis T.", "non-dropping-particle" : "", "parse-names" : false, "suffix" : "" }, { "dropping-particle" : "", "family" : "Armamento-Villareal", "given" : "Reina", "non-dropping-particle" : "", "parse-names" : false, "suffix" : "" } ], "container-title" : "Journal of Clinical Endocrinology and Metabolism", "id" : "ITEM-1", "issue" : "9", "issued" : { "date-parts" : [ [ "2014" ] ] }, "page" : "3290-3297", "title" : "Increasing adiposity is associated with higher adipokine levels and lower bone mineral density in obese older adults", "type" : "article-journal", "volume" : "99" }, "uris" : [ "http://www.mendeley.com/documents/?uuid=b8cdca5e-ffbf-4863-88ed-120758c85dea" ] } ], "mendeley" : { "formattedCitation" : "&lt;sup&gt;46&lt;/sup&gt;", "plainTextFormattedCitation" : "46", "previouslyFormattedCitation" : "&lt;sup&gt;46&lt;/sup&gt;"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46</w:t>
            </w:r>
            <w:r w:rsidR="00156059" w:rsidRPr="00FA5289">
              <w:rPr>
                <w:color w:val="000000"/>
                <w:lang w:eastAsia="en-GB"/>
              </w:rPr>
              <w:fldChar w:fldCharType="end"/>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173</w:t>
            </w:r>
          </w:p>
        </w:tc>
        <w:tc>
          <w:tcPr>
            <w:tcW w:w="1275"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-0.29</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-0.29</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-0.4</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-0.22</w:t>
            </w:r>
          </w:p>
        </w:tc>
      </w:tr>
      <w:tr w:rsidR="00022A6E" w:rsidRPr="00022A6E" w:rsidTr="0036552A">
        <w:trPr>
          <w:trHeight w:val="300"/>
        </w:trPr>
        <w:tc>
          <w:tcPr>
            <w:tcW w:w="2802" w:type="dxa"/>
            <w:noWrap/>
            <w:vAlign w:val="bottom"/>
          </w:tcPr>
          <w:p w:rsidR="00022A6E" w:rsidRPr="00FA5289" w:rsidRDefault="00C55AB0" w:rsidP="00FA17EC">
            <w:pPr>
              <w:spacing w:after="0" w:line="240" w:lineRule="auto"/>
              <w:jc w:val="center"/>
              <w:rPr>
                <w:color w:val="000000"/>
                <w:lang w:eastAsia="en-GB"/>
              </w:rPr>
            </w:pPr>
            <w:r w:rsidRPr="00FA5289">
              <w:rPr>
                <w:color w:val="000000"/>
                <w:lang w:eastAsia="en-GB"/>
              </w:rPr>
              <w:t xml:space="preserve">Ballard et al. </w:t>
            </w:r>
            <w:r w:rsidR="006531EA">
              <w:rPr>
                <w:color w:val="000000"/>
                <w:lang w:eastAsia="en-GB"/>
              </w:rPr>
              <w:t>(</w:t>
            </w:r>
            <w:r w:rsidRPr="00FA5289">
              <w:rPr>
                <w:color w:val="000000"/>
                <w:lang w:eastAsia="en-GB"/>
              </w:rPr>
              <w:t>2010</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"10.1007/s10900-009-9201-5", "ISBN" : "1090000992015", "ISSN" : "00945145", "PMID" : "20012477", "abstract" : "Osteoporosis is a serious national public health problem, and is expected to increase significantly over the next few decades, especially in women. A limitation of bone health research exists since few studies have involved Hispanic women, and even fewer, Hispanic immigrant women. For this study we examined the effects of anthropometric, behavioral, and health history variables on bone mineral density (BMD) in 84 immigrant Hispanic women, age 40 and above. BMD was assessed at the spine, femur, and forearm using dual energy x-ray absorptiometry (DXA). Demographic information, health histories, and behavioral risk factors were obtained from a questionnaire. In the younger group (mean age = 44.1 years) 61% had spinal osteopenia, and in the postmenopausal group (mean age = 53.0 years) 59% had osteopenia and 13% had osteoporosis. Femur sites were free of osteoporosis. Mean body mass index (BMI) was 31.8 \u00b1 6.1 and mean waist girth was 95.6 \u00b1 12.5 cm, indicating overall and abdominal obesity. Partial correlations indicated a significant positive relationship between body fat variables and total femur BMD values. ANOVAs revealed no differences in BMD values at any bone site across tertile levels for calcium intake or for physical activity. However, supplemental and dietary calcium intakes were very low and few participants engaged in regular physical activity outside of work and activities of daily living (ADL). In light of the expected increase in osteoporosis in this population and the prevalence of spinal osteopenia in the younger participants, education about the health risks of osteoporosis should be made available to this group.", "author" : [ { "dropping-particle" : "", "family" : "Ballard", "given" : "Joyce E.", "non-dropping-particle" : "", "parse-names" : false, "suffix" : "" }, { "dropping-particle" : "", "family" : "Cooper", "given" : "Cheryl M.", "non-dropping-particle" : "", "parse-names" : false, "suffix" : "" }, { "dropping-particle" : "", "family" : "Bone", "given" : "Mary A.", "non-dropping-particle" : "", "parse-names" : false, "suffix" : "" }, { "dropping-particle" : "", "family" : "Saade", "given" : "Guillermo", "non-dropping-particle" : "", "parse-names" : false, "suffix" : "" }, { "dropping-particle" : "", "family" : "Holiday", "given" : "David B.", "non-dropping-particle" : "", "parse-names" : false, "suffix" : "" } ], "container-title" : "Journal of Community Health", "id" : "ITEM-1", "issue" : "5", "issued" : { "date-parts" : [ [ "2010" ] ] }, "page" : "453-463", "title" : "Bone health in immigrant hispanic women living in texas", "type" : "article-journal", "volume" : "35" }, "uris" : [ "http://www.mendeley.com/documents/?uuid=cde119cb-b1f9-42cb-8c81-cae1acd7b9a2" ] } ], "mendeley" : { "formattedCitation" : "&lt;sup&gt;47&lt;/sup&gt;", "plainTextFormattedCitation" : "47", "previouslyFormattedCitation" : "&lt;sup&gt;47&lt;/sup&gt;"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47</w:t>
            </w:r>
            <w:r w:rsidR="00156059" w:rsidRPr="00FA5289">
              <w:rPr>
                <w:color w:val="000000"/>
                <w:lang w:eastAsia="en-GB"/>
              </w:rPr>
              <w:fldChar w:fldCharType="end"/>
            </w:r>
            <w:r w:rsidR="00022A6E" w:rsidRPr="00FA5289">
              <w:rPr>
                <w:color w:val="000000"/>
                <w:lang w:eastAsia="en-GB"/>
              </w:rPr>
              <w:t xml:space="preserve"> </w:t>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84</w:t>
            </w:r>
          </w:p>
        </w:tc>
        <w:tc>
          <w:tcPr>
            <w:tcW w:w="1275" w:type="dxa"/>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0.32</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0.17</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0.58</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0.43</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r>
      <w:tr w:rsidR="00022A6E" w:rsidRPr="00022A6E" w:rsidTr="0036552A">
        <w:trPr>
          <w:trHeight w:val="300"/>
        </w:trPr>
        <w:tc>
          <w:tcPr>
            <w:tcW w:w="2802" w:type="dxa"/>
            <w:noWrap/>
            <w:vAlign w:val="bottom"/>
          </w:tcPr>
          <w:p w:rsidR="00022A6E" w:rsidRPr="00FA5289" w:rsidRDefault="00022A6E" w:rsidP="00FA17EC">
            <w:pPr>
              <w:spacing w:after="0" w:line="240" w:lineRule="auto"/>
              <w:jc w:val="center"/>
              <w:rPr>
                <w:color w:val="000000"/>
                <w:lang w:eastAsia="en-GB"/>
              </w:rPr>
            </w:pPr>
            <w:proofErr w:type="spellStart"/>
            <w:r w:rsidRPr="00FA5289">
              <w:rPr>
                <w:color w:val="000000"/>
                <w:lang w:eastAsia="en-GB"/>
              </w:rPr>
              <w:t>Boyanov</w:t>
            </w:r>
            <w:proofErr w:type="spellEnd"/>
            <w:r w:rsidRPr="00FA5289">
              <w:rPr>
                <w:color w:val="000000"/>
                <w:lang w:eastAsia="en-GB"/>
              </w:rPr>
              <w:t xml:space="preserve"> et al. </w:t>
            </w:r>
            <w:r w:rsidR="006531EA">
              <w:rPr>
                <w:color w:val="000000"/>
                <w:lang w:eastAsia="en-GB"/>
              </w:rPr>
              <w:t>(</w:t>
            </w:r>
            <w:r w:rsidRPr="00FA5289">
              <w:rPr>
                <w:color w:val="000000"/>
                <w:lang w:eastAsia="en-GB"/>
              </w:rPr>
              <w:t>2014</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"10.2478/s11536-013-0259-1", "ISSN" : "2391-5463", "abstract" : "&lt;p&gt;The aim of this study was to determine the relative contributions of fat mass and lean mass to the variability of bone mineral density (BMD) of the lumbar spine and proximal 1/3 forearm in Bulgarian women. 180 women aged 21 through 76 years participated (mean age 50.8 \u00b1 9.7 years). 130 of them were postmenopausal. Lumbar spine and forearm BMD were measured by dual-energy X-ray absorptiometry, followed by a whole-body scan for body composition examination (Hologic QDR 4500 A device, software version 1.26). The strongest linear correlation was found with body weight (r2=0.231, p&amp;lt;0.001). Using this model, 18.1 % of the variability of lumbar spine BMD was attributable to fat mass and 16.0 % to lean mass. The relative influence of fat mass on L1-L4 BMD was greater than that of lean mass (standardized regression coefficient 0.291 versus 0.199). There were weak correlations of body weight, fat and lean mass with the forearm BMD. Lean mass correlated slightly better (r=0.187, p=0.050) to forearm BMD than fat mass (r=0.162, p=0.055). In conclusion, the differentiation between fat and lean mass does not strengthen the BMD correlations beyond that with total body weight.&lt;/p&gt;", "author" : [ { "dropping-particle" : "", "family" : "Boyanov", "given" : "Mihail", "non-dropping-particle" : "", "parse-names" : false, "suffix" : "" } ], "container-title" : "Open Medicine", "id" : "ITEM-1", "issue" : "1", "issued" : { "date-parts" : [ [ "2014" ] ] }, "title" : "Body fat, lean mass and bone density of the spine and forearm in women", "type" : "article-journal", "volume" : "9" }, "uris" : [ "http://www.mendeley.com/documents/?uuid=cb11ac81-3ffb-4bbc-a3c5-3205fee0670a" ] } ], "mendeley" : { "formattedCitation" : "&lt;sup&gt;48&lt;/sup&gt;", "plainTextFormattedCitation" : "48", "previouslyFormattedCitation" : "&lt;sup&gt;48&lt;/sup&gt;"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48</w:t>
            </w:r>
            <w:r w:rsidR="00156059" w:rsidRPr="00FA5289">
              <w:rPr>
                <w:color w:val="000000"/>
                <w:lang w:eastAsia="en-GB"/>
              </w:rPr>
              <w:fldChar w:fldCharType="end"/>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180</w:t>
            </w:r>
          </w:p>
        </w:tc>
        <w:tc>
          <w:tcPr>
            <w:tcW w:w="1275" w:type="dxa"/>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0.425</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0.325</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r>
      <w:tr w:rsidR="00022A6E" w:rsidRPr="00022A6E" w:rsidTr="0036552A">
        <w:trPr>
          <w:trHeight w:val="300"/>
        </w:trPr>
        <w:tc>
          <w:tcPr>
            <w:tcW w:w="2802" w:type="dxa"/>
            <w:noWrap/>
            <w:vAlign w:val="bottom"/>
          </w:tcPr>
          <w:p w:rsidR="00022A6E" w:rsidRPr="00FA5289" w:rsidRDefault="00022A6E" w:rsidP="00FA17EC">
            <w:pPr>
              <w:spacing w:after="0" w:line="240" w:lineRule="auto"/>
              <w:jc w:val="center"/>
              <w:rPr>
                <w:color w:val="000000"/>
                <w:lang w:eastAsia="en-GB"/>
              </w:rPr>
            </w:pPr>
            <w:r w:rsidRPr="00FA5289">
              <w:rPr>
                <w:color w:val="000000"/>
                <w:lang w:eastAsia="en-GB"/>
              </w:rPr>
              <w:t xml:space="preserve">Campos et al. </w:t>
            </w:r>
            <w:r w:rsidR="006531EA">
              <w:rPr>
                <w:color w:val="000000"/>
                <w:lang w:eastAsia="en-GB"/>
              </w:rPr>
              <w:t>(</w:t>
            </w:r>
            <w:r w:rsidRPr="00FA5289">
              <w:rPr>
                <w:color w:val="000000"/>
                <w:lang w:eastAsia="en-GB"/>
              </w:rPr>
              <w:t>2012</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"S0004-27302012000100003 [pii]", "ISBN" : "1677-9487 (Electronic)\\n0004-2730 (Linking)", "ISSN" : "1677-9487", "PMID" : "22460190", "abstract" : "OBJECTIVE: To verify the influence of visceral and subcutaneous fat, as well adipokines in bone mineral density (BMD) in obese adolescents.\\n\\nSUBJECTS AND METHODS: The study involved 125 postpubertal obese adolescents (45 boys and 80 girls). Anthropometric measurements, body composition, visceral and subcutaneous fat, and BMD were determined. Leptin, adiponectin, and insulin levels also analyzed.\\n\\nRESULTS: Data demonstrated a negative relationship between BMD with insulin resistance, visceral fat and leptin concentration; and bone mineral content with visceral/subcutaneous ratio. Positive association between BMD and subcutaneous fat was observed.\\n\\nCONCLUSIONS: Visceral fat and insulin resistance, as well as visceral/subcutaneous ratio and leptin concentration, were negative predictors of BMD in boys and girls, respectively. However, subcutaneous fat had a protective influence in BMD only in boys.", "author" : [ { "dropping-particle" : "", "family" : "Campos", "given" : "Raquel M S", "non-dropping-particle" : "", "parse-names" : false, "suffix" : "" }, { "dropping-particle" : "", "family" : "Lazaretti-Castro", "given" : "Marise", "non-dropping-particle" : "", "parse-names" : false, "suffix" : "" }, { "dropping-particle" : "De", "family" : "Mello", "given" : "Marco T\u00falio", "non-dropping-particle" : "", "parse-names" : false, "suffix" : "" }, { "dropping-particle" : "", "family" : "Tock", "given" : "Lian", "non-dropping-particle" : "", "parse-names" : false, "suffix" : "" }, { "dropping-particle" : "", "family" : "Silva", "given" : "Patricia L", "non-dropping-particle" : "", "parse-names" : false, "suffix" : "" }, { "dropping-particle" : "", "family" : "Corgosinho", "given" : "Fl\u00e1via C", "non-dropping-particle" : "", "parse-names" : false, "suffix" : "" }, { "dropping-particle" : "", "family" : "Carnier", "given" : "June", "non-dropping-particle" : "", "parse-names" : false, "suffix" : "" }, { "dropping-particle" : "De", "family" : "Piano", "given" : "Aline", "non-dropping-particle" : "", "parse-names" : false, "suffix" : "" }, { "dropping-particle" : "", "family" : "Sanches", "given" : "Priscila L", "non-dropping-particle" : "", "parse-names" : false, "suffix" : "" }, { "dropping-particle" : "", "family" : "Masquio", "given" : "Deborah C L", "non-dropping-particle" : "", "parse-names" : false, "suffix" : "" }, { "dropping-particle" : "", "family" : "Tufik", "given" : "Sergio", "non-dropping-particle" : "", "parse-names" : false, "suffix" : "" }, { "dropping-particle" : "", "family" : "D\u00e2maso", "given" : "Ana R", "non-dropping-particle" : "", "parse-names" : false, "suffix" : "" } ], "container-title" : "Arquivos brasileiros de endocrinologia e metabologia", "id" : "ITEM-1", "issue" : "1", "issued" : { "date-parts" : [ [ "2012" ] ] }, "page" : "12-8", "title" : "Influence of visceral and subcutaneous fat in bone mineral density of obese adolescents.", "type" : "article-journal", "volume" : "56" }, "uris" : [ "http://www.mendeley.com/documents/?uuid=e241a699-3f00-45ce-bff1-152cc714f3b0" ] } ], "mendeley" : { "formattedCitation" : "&lt;sup&gt;49&lt;/sup&gt;", "plainTextFormattedCitation" : "49", "previouslyFormattedCitation" : "&lt;sup&gt;49&lt;/sup&gt;"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49</w:t>
            </w:r>
            <w:r w:rsidR="00156059" w:rsidRPr="00FA5289">
              <w:rPr>
                <w:color w:val="000000"/>
                <w:lang w:eastAsia="en-GB"/>
              </w:rPr>
              <w:fldChar w:fldCharType="end"/>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45</w:t>
            </w:r>
          </w:p>
        </w:tc>
        <w:tc>
          <w:tcPr>
            <w:tcW w:w="1275" w:type="dxa"/>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0.34</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-0.4</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r>
      <w:tr w:rsidR="00022A6E" w:rsidRPr="00022A6E" w:rsidTr="0036552A">
        <w:trPr>
          <w:trHeight w:val="300"/>
        </w:trPr>
        <w:tc>
          <w:tcPr>
            <w:tcW w:w="2802" w:type="dxa"/>
            <w:noWrap/>
            <w:vAlign w:val="bottom"/>
          </w:tcPr>
          <w:p w:rsidR="00022A6E" w:rsidRPr="00FA5289" w:rsidRDefault="00022A6E" w:rsidP="00FA17EC">
            <w:pPr>
              <w:spacing w:after="0" w:line="240" w:lineRule="auto"/>
              <w:jc w:val="center"/>
              <w:rPr>
                <w:color w:val="000000"/>
                <w:lang w:eastAsia="en-GB"/>
              </w:rPr>
            </w:pPr>
            <w:r w:rsidRPr="00FA5289">
              <w:rPr>
                <w:color w:val="000000"/>
                <w:lang w:eastAsia="en-GB"/>
              </w:rPr>
              <w:t xml:space="preserve">Do Prado et al. </w:t>
            </w:r>
            <w:r w:rsidR="006531EA">
              <w:rPr>
                <w:color w:val="000000"/>
                <w:lang w:eastAsia="en-GB"/>
              </w:rPr>
              <w:t>(</w:t>
            </w:r>
            <w:r w:rsidRPr="00FA5289">
              <w:rPr>
                <w:color w:val="000000"/>
                <w:lang w:eastAsia="en-GB"/>
              </w:rPr>
              <w:t>2009</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"10.1007/s00774-009-0082-6", "ISBN" : "1435-5604 (Electronic)", "ISSN" : "09148779", "PMID" : "19466592", "abstract" : "Despite the epidemic of adolescent obesity, the effect of obesity and hormones on bone mineral accrual during growth is poorly understood. Studies using dual-energy X-ray to examine the effect of obesity on bone mass in children and adolescents have yielded conflicting results. The aim of this study was to explore the combined and independent contributions of body mass index, body composition, leptin, insulin, glucose levels and Homeostasis Model Assessment Insulin Resistance (HOMA-IR) to bone mineral density (BMD) and bone mineral content in a group of Brazilian obese adolescents. This study included 109 post-pubescent obese adolescents. A whole-body dual-energy X-ray absorptiometry scan was performed,using a HOLOGIC QDR4200, to determine whole-body BMD and body composition. Blood samples were collected in the outpatient clinic after an overnight fast, and evaluated for fasting blood glucose and immunoreactive insulin. Leptin levels were assessed with a radioimmunoassay kit. Insulin resistance was assessed by HOMA-IR and the quantitative insulin sensitivity check index. Our results showed that insulin levels and HOMA-IR correlated negatively with BMD and a linear regression analysis showed that serum leptin is inversely associated to BMD adjusted for body mass. In conclusion, our data support the hypothesis that leptin, insulin and HOMA-IR are inversely associated with BMD and play a significant direct role in bone metabolism.", "author" : [ { "dropping-particle" : "", "family" : "Prado", "given" : "Wagner Luiz", "non-dropping-particle" : "Do", "parse-names" : false, "suffix" : "" }, { "dropping-particle" : "", "family" : "Piano", "given" : "Aline", "non-dropping-particle" : "De", "parse-names" : false, "suffix" : "" }, { "dropping-particle" : "", "family" : "Lazaretti-Castro", "given" : "Marise", "non-dropping-particle" : "", "parse-names" : false, "suffix" : "" }, { "dropping-particle" : "", "family" : "Mello", "given" : "Marco T\u00falio", "non-dropping-particle" : "De", "parse-names" : false, "suffix" : "" }, { "dropping-particle" : "", "family" : "Stella", "given" : "S\u00e9rgio Garcia", "non-dropping-particle" : "", "parse-names" : false, "suffix" : "" }, { "dropping-particle" : "", "family" : "Tufik", "given" : "Sergio", "non-dropping-particle" : "", "parse-names" : false, "suffix" : "" }, { "dropping-particle" : "", "family" : "Nascimento", "given" : "Cl\u00e1udia Maria Oller", "non-dropping-particle" : "Do", "parse-names" : false, "suffix" : "" }, { "dropping-particle" : "", "family" : "Oyama", "given" : "Lila Missae", "non-dropping-particle" : "", "parse-names" : false, "suffix" : "" }, { "dropping-particle" : "", "family" : "Lofrano", "given" : "Mara Cristina", "non-dropping-particle" : "", "parse-names" : false, "suffix" : "" }, { "dropping-particle" : "", "family" : "Tock", "given" : "Lian", "non-dropping-particle" : "", "parse-names" : false, "suffix" : "" }, { "dropping-particle" : "", "family" : "Caranti", "given" : "Danielle Arisa", "non-dropping-particle" : "", "parse-names" : false, "suffix" : "" }, { "dropping-particle" : "", "family" : "D\u00e2maso", "given" : "Ana Raimunda", "non-dropping-particle" : "", "parse-names" : false, "suffix" : "" } ], "container-title" : "Journal of Bone and Mineral Metabolism", "id" : "ITEM-1", "issue" : "5", "issued" : { "date-parts" : [ [ "2009" ] ] }, "page" : "613-619", "title" : "Relationship between bone mineral density, leptin and insulin concentration in Brazilian obese adolescents", "type" : "article-journal", "volume" : "27" }, "uris" : [ "http://www.mendeley.com/documents/?uuid=d8a0728f-eda3-4fda-927b-ed515e141908" ] } ], "mendeley" : { "formattedCitation" : "&lt;sup&gt;50&lt;/sup&gt;", "plainTextFormattedCitation" : "50", "previouslyFormattedCitation" : "&lt;sup&gt;50&lt;/sup&gt;"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50</w:t>
            </w:r>
            <w:r w:rsidR="00156059" w:rsidRPr="00FA5289">
              <w:rPr>
                <w:color w:val="000000"/>
                <w:lang w:eastAsia="en-GB"/>
              </w:rPr>
              <w:fldChar w:fldCharType="end"/>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41</w:t>
            </w:r>
          </w:p>
        </w:tc>
        <w:tc>
          <w:tcPr>
            <w:tcW w:w="1275" w:type="dxa"/>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-0.392</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-0.531</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r>
      <w:tr w:rsidR="00022A6E" w:rsidRPr="00022A6E" w:rsidTr="0036552A">
        <w:trPr>
          <w:trHeight w:val="300"/>
        </w:trPr>
        <w:tc>
          <w:tcPr>
            <w:tcW w:w="2802" w:type="dxa"/>
            <w:noWrap/>
            <w:vAlign w:val="bottom"/>
          </w:tcPr>
          <w:p w:rsidR="00022A6E" w:rsidRPr="00FA5289" w:rsidRDefault="00022A6E" w:rsidP="00FA17EC">
            <w:pPr>
              <w:spacing w:after="0" w:line="240" w:lineRule="auto"/>
              <w:jc w:val="center"/>
              <w:rPr>
                <w:color w:val="000000"/>
                <w:lang w:eastAsia="en-GB"/>
              </w:rPr>
            </w:pPr>
            <w:r w:rsidRPr="00FA5289">
              <w:rPr>
                <w:color w:val="000000"/>
                <w:lang w:eastAsia="en-GB"/>
              </w:rPr>
              <w:t xml:space="preserve">Do Prado et al. </w:t>
            </w:r>
            <w:r w:rsidR="006531EA">
              <w:rPr>
                <w:color w:val="000000"/>
                <w:lang w:eastAsia="en-GB"/>
              </w:rPr>
              <w:t>(</w:t>
            </w:r>
            <w:r w:rsidRPr="00FA5289">
              <w:rPr>
                <w:color w:val="000000"/>
                <w:lang w:eastAsia="en-GB"/>
              </w:rPr>
              <w:t>2009</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"10.1007/s00774-009-0082-6", "ISBN" : "1435-5604 (Electronic)", "ISSN" : "09148779", "PMID" : "19466592", "abstract" : "Despite the epidemic of adolescent obesity, the effect of obesity and hormones on bone mineral accrual during growth is poorly understood. Studies using dual-energy X-ray to examine the effect of obesity on bone mass in children and adolescents have yielded conflicting results. The aim of this study was to explore the combined and independent contributions of body mass index, body composition, leptin, insulin, glucose levels and Homeostasis Model Assessment Insulin Resistance (HOMA-IR) to bone mineral density (BMD) and bone mineral content in a group of Brazilian obese adolescents. This study included 109 post-pubescent obese adolescents. A whole-body dual-energy X-ray absorptiometry scan was performed,using a HOLOGIC QDR4200, to determine whole-body BMD and body composition. Blood samples were collected in the outpatient clinic after an overnight fast, and evaluated for fasting blood glucose and immunoreactive insulin. Leptin levels were assessed with a radioimmunoassay kit. Insulin resistance was assessed by HOMA-IR and the quantitative insulin sensitivity check index. Our results showed that insulin levels and HOMA-IR correlated negatively with BMD and a linear regression analysis showed that serum leptin is inversely associated to BMD adjusted for body mass. In conclusion, our data support the hypothesis that leptin, insulin and HOMA-IR are inversely associated with BMD and play a significant direct role in bone metabolism.", "author" : [ { "dropping-particle" : "", "family" : "Prado", "given" : "Wagner Luiz", "non-dropping-particle" : "Do", "parse-names" : false, "suffix" : "" }, { "dropping-particle" : "", "family" : "Piano", "given" : "Aline", "non-dropping-particle" : "De", "parse-names" : false, "suffix" : "" }, { "dropping-particle" : "", "family" : "Lazaretti-Castro", "given" : "Marise", "non-dropping-particle" : "", "parse-names" : false, "suffix" : "" }, { "dropping-particle" : "", "family" : "Mello", "given" : "Marco T\u00falio", "non-dropping-particle" : "De", "parse-names" : false, "suffix" : "" }, { "dropping-particle" : "", "family" : "Stella", "given" : "S\u00e9rgio Garcia", "non-dropping-particle" : "", "parse-names" : false, "suffix" : "" }, { "dropping-particle" : "", "family" : "Tufik", "given" : "Sergio", "non-dropping-particle" : "", "parse-names" : false, "suffix" : "" }, { "dropping-particle" : "", "family" : "Nascimento", "given" : "Cl\u00e1udia Maria Oller", "non-dropping-particle" : "Do", "parse-names" : false, "suffix" : "" }, { "dropping-particle" : "", "family" : "Oyama", "given" : "Lila Missae", "non-dropping-particle" : "", "parse-names" : false, "suffix" : "" }, { "dropping-particle" : "", "family" : "Lofrano", "given" : "Mara Cristina", "non-dropping-particle" : "", "parse-names" : false, "suffix" : "" }, { "dropping-particle" : "", "family" : "Tock", "given" : "Lian", "non-dropping-particle" : "", "parse-names" : false, "suffix" : "" }, { "dropping-particle" : "", "family" : "Caranti", "given" : "Danielle Arisa", "non-dropping-particle" : "", "parse-names" : false, "suffix" : "" }, { "dropping-particle" : "", "family" : "D\u00e2maso", "given" : "Ana Raimunda", "non-dropping-particle" : "", "parse-names" : false, "suffix" : "" } ], "container-title" : "Journal of Bone and Mineral Metabolism", "id" : "ITEM-1", "issue" : "5", "issued" : { "date-parts" : [ [ "2009" ] ] }, "page" : "613-619", "title" : "Relationship between bone mineral density, leptin and insulin concentration in Brazilian obese adolescents", "type" : "article-journal", "volume" : "27" }, "uris" : [ "http://www.mendeley.com/documents/?uuid=d8a0728f-eda3-4fda-927b-ed515e141908" ] } ], "mendeley" : { "formattedCitation" : "&lt;sup&gt;50&lt;/sup&gt;", "plainTextFormattedCitation" : "50", "previouslyFormattedCitation" : "&lt;sup&gt;50&lt;/sup&gt;"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50</w:t>
            </w:r>
            <w:r w:rsidR="00156059" w:rsidRPr="00FA5289">
              <w:rPr>
                <w:color w:val="000000"/>
                <w:lang w:eastAsia="en-GB"/>
              </w:rPr>
              <w:fldChar w:fldCharType="end"/>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68</w:t>
            </w:r>
          </w:p>
        </w:tc>
        <w:tc>
          <w:tcPr>
            <w:tcW w:w="1275" w:type="dxa"/>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0.146</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-0.031</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r>
      <w:tr w:rsidR="00022A6E" w:rsidRPr="00022A6E" w:rsidTr="0036552A">
        <w:trPr>
          <w:trHeight w:val="300"/>
        </w:trPr>
        <w:tc>
          <w:tcPr>
            <w:tcW w:w="2802" w:type="dxa"/>
            <w:noWrap/>
            <w:vAlign w:val="bottom"/>
          </w:tcPr>
          <w:p w:rsidR="00022A6E" w:rsidRPr="00FA5289" w:rsidRDefault="00022A6E" w:rsidP="00FA17EC">
            <w:pPr>
              <w:spacing w:after="0" w:line="240" w:lineRule="auto"/>
              <w:jc w:val="center"/>
              <w:rPr>
                <w:color w:val="000000"/>
                <w:lang w:eastAsia="en-GB"/>
              </w:rPr>
            </w:pPr>
            <w:r w:rsidRPr="00FA5289">
              <w:rPr>
                <w:color w:val="000000"/>
                <w:lang w:eastAsia="en-GB"/>
              </w:rPr>
              <w:t xml:space="preserve">Gomez et al. </w:t>
            </w:r>
            <w:r w:rsidR="006531EA">
              <w:rPr>
                <w:color w:val="000000"/>
                <w:lang w:eastAsia="en-GB"/>
              </w:rPr>
              <w:t>(</w:t>
            </w:r>
            <w:r w:rsidRPr="00FA5289">
              <w:rPr>
                <w:color w:val="000000"/>
                <w:lang w:eastAsia="en-GB"/>
              </w:rPr>
              <w:t>2009</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"10.1007/s11695-008-9529-4", "ISSN" : "09608923", "PMID" : "18443887", "abstract" : "BACKGROUND: The mechanisms by which increased body weight influence bone mass density (BMD) are still unknown. The aim of our study was to analyze the relationship between anthropometric and body composition variables, insulin growth factor-I (IGF-I), adiponectin and soluble tumor necrosis factor-alpha receptors (sTNFR) 1 and 2 with BMD in two cohorts of morbid obese patients, before and after bypass surgery. METHODS: The first cohort included 25 women aged 48+/-7.6 years studied before bypass surgery. The second included 41 women aged 46+/-9.2 years, 12 months after surgery. We studied anthropometric variables obtained from whole body DEXA composition analysis. Serum IGF-I, intact serum parathyroid hormone, 25-hydroxivitamin D3, plasma adiponectin concentrations, sTNFR1, sTNFR2 concentrations were measured. RESULTS: In the first cohort, the BMI was 44.5+/-3.6 kg/m2, parathyroid hormone, IGF-I, and adiponectin concentrations were lower, and sTNFR1 concentrations were higher than in the second cohort. In the multiple regression analysis, BMD remained significantly associated with body fat percentage (beta -0.154, p=0.01), lean mass (beta 0.057, p=0.016) and phosphate concentration (beta 0.225, p=0.05). In the second cohort, BMI was 31+/-5.1 kg/m2. In the multiple regression analysis, BMD remained significantly associated with lean mass (beta 0.006, p=0.03). CONCLUSION: The inverse correlation found between body fat and BMD in the first cohort indicates morbid obesity increases the risk of osteoporosis and we found a positive correlation with lean and fat mass before bariatric surgery and with lean mass after bypass surgery.", "author" : [ { "dropping-particle" : "", "family" : "Gomez", "given" : "JM", "non-dropping-particle" : "", "parse-names" : false, "suffix" : "" }, { "dropping-particle" : "", "family" : "Vilarrasa", "given" : "N", "non-dropping-particle" : "", "parse-names" : false, "suffix" : "" }, { "dropping-particle" : "", "family" : "Masdevall", "given" : "Carles", "non-dropping-particle" : "", "parse-names" : false, "suffix" : "" }, { "dropping-particle" : "", "family" : "Pujol", "given" : "Jordi", "non-dropping-particle" : "", "parse-names" : false, "suffix" : "" }, { "dropping-particle" : "", "family" : "Solano", "given" : "Esther", "non-dropping-particle" : "", "parse-names" : false, "suffix" : "" }, { "dropping-particle" : "", "family" : "Soler", "given" : "Juan", "non-dropping-particle" : "", "parse-names" : false, "suffix" : "" }, { "dropping-particle" : "", "family" : "Elio", "given" : "I??aki", "non-dropping-particle" : "", "parse-names" : false, "suffix" : "" }, { "dropping-particle" : "", "family" : "Gallart", "given" : "Lluis", "non-dropping-particle" : "", "parse-names" : false, "suffix" : "" }, { "dropping-particle" : "", "family" : "Vendrell", "given" : "Joan", "non-dropping-particle" : "", "parse-names" : false, "suffix" : "" } ], "container-title" : "Obesity Surgery", "id" : "ITEM-1", "issue" : "3", "issued" : { "date-parts" : [ [ "2009" ] ] }, "page" : "345-350", "title" : "Regulation of bone mineral density in morbidly obese women: A cross-sectional study in two cohorts before and after bypass surgery", "type" : "article-journal", "volume" : "19" }, "uris" : [ "http://www.mendeley.com/documents/?uuid=031532dc-1eba-4168-b0f1-b8ca9bef59c3" ] } ], "mendeley" : { "formattedCitation" : "&lt;sup&gt;51&lt;/sup&gt;", "plainTextFormattedCitation" : "51", "previouslyFormattedCitation" : "&lt;sup&gt;51&lt;/sup&gt;"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51</w:t>
            </w:r>
            <w:r w:rsidR="00156059" w:rsidRPr="00FA5289">
              <w:rPr>
                <w:color w:val="000000"/>
                <w:lang w:eastAsia="en-GB"/>
              </w:rPr>
              <w:fldChar w:fldCharType="end"/>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25</w:t>
            </w:r>
          </w:p>
        </w:tc>
        <w:tc>
          <w:tcPr>
            <w:tcW w:w="1275" w:type="dxa"/>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-0.193</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-0.471</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r>
      <w:tr w:rsidR="00022A6E" w:rsidRPr="00022A6E" w:rsidTr="0036552A">
        <w:trPr>
          <w:trHeight w:val="300"/>
        </w:trPr>
        <w:tc>
          <w:tcPr>
            <w:tcW w:w="2802" w:type="dxa"/>
            <w:noWrap/>
            <w:vAlign w:val="bottom"/>
          </w:tcPr>
          <w:p w:rsidR="00022A6E" w:rsidRPr="00FA5289" w:rsidRDefault="00022A6E" w:rsidP="00FA17EC">
            <w:pPr>
              <w:spacing w:after="0" w:line="240" w:lineRule="auto"/>
              <w:jc w:val="center"/>
              <w:rPr>
                <w:color w:val="000000"/>
                <w:lang w:eastAsia="en-GB"/>
              </w:rPr>
            </w:pPr>
            <w:proofErr w:type="spellStart"/>
            <w:r w:rsidRPr="00FA5289">
              <w:rPr>
                <w:color w:val="000000"/>
                <w:lang w:eastAsia="en-GB"/>
              </w:rPr>
              <w:t>Hawamdeh</w:t>
            </w:r>
            <w:proofErr w:type="spellEnd"/>
            <w:r w:rsidRPr="00FA5289">
              <w:rPr>
                <w:color w:val="000000"/>
                <w:lang w:eastAsia="en-GB"/>
              </w:rPr>
              <w:t xml:space="preserve"> et al. </w:t>
            </w:r>
            <w:r w:rsidR="006531EA">
              <w:rPr>
                <w:color w:val="000000"/>
                <w:lang w:eastAsia="en-GB"/>
              </w:rPr>
              <w:t>(</w:t>
            </w:r>
            <w:r w:rsidRPr="00FA5289">
              <w:rPr>
                <w:color w:val="000000"/>
                <w:lang w:eastAsia="en-GB"/>
              </w:rPr>
              <w:t>2014</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"10.1016/j.jocd.2013.02.007", "ISBN" : "1094-6950", "ISSN" : "10946950", "PMID" : "23499561", "abstract" : "The objective of this study was to assess the relative association between body weight, body mass index (BMI), lean mass (LM) and fat mass (FM), and bone mineral density (BMD) in a group of Jordanian postmenopausal women and investigate if this possible association changes with age. A total of 3256 patients had dual-energy X-ray absorptiometry (DXA) scan in the period from January 2009 till January 2012 at the Radiology and Nuclear Medicine Department of Jordan University Hospital. Only 584 women met the selection criteria. Age has been recorded, and patients were divided into subgroups according to age. Body weight and height were measured, and BMI was calculated. Body composition (LM, FM, percentage of android fat, and percentage of gynoid fat) was assessed by DXA. BMD of the lumbar spine (L1-L4) and femoral neck was measured by DXA. Weight, BMI, FM, LM, percentage of android fat, and percentage of gynoid fat were positively correlated to BMD at both lumbar spine and femoral neck. However, this correlation disappeared at the age of 70. yr at lumbar spine and 75. yr at femoral neck. This study suggests that both FM and LM are important determinants of BMD in Jordanian postmenopausal women, and this correlation disappears after the age of 70. yr at lumbar spine and 75. yr at femoral neck. ?? 2014 The International Society for Clinical Densitometry.", "author" : [ { "dropping-particle" : "", "family" : "Hawamdeh", "given" : "Ziad M.", "non-dropping-particle" : "", "parse-names" : false, "suffix" : "" }, { "dropping-particle" : "", "family" : "Sheikh-Ali", "given" : "Rasha F.", "non-dropping-particle" : "", "parse-names" : false, "suffix" : "" }, { "dropping-particle" : "", "family" : "AlSharif", "given" : "Abedallatif", "non-dropping-particle" : "", "parse-names" : false, "suffix" : "" }, { "dropping-particle" : "", "family" : "Otom", "given" : "Ali H.", "non-dropping-particle" : "", "parse-names" : false, "suffix" : "" }, { "dropping-particle" : "", "family" : "Ibrahim", "given" : "Alaa I.", "non-dropping-particle" : "", "parse-names" : false, "suffix" : "" }, { "dropping-particle" : "", "family" : "AlHadidi", "given" : "Fadi A.", "non-dropping-particle" : "", "parse-names" : false, "suffix" : "" }, { "dropping-particle" : "", "family" : "Samarah", "given" : "Omar Q.", "non-dropping-particle" : "", "parse-names" : false, "suffix" : "" }, { "dropping-particle" : "", "family" : "Dheirat", "given" : "Imad N.", "non-dropping-particle" : "", "parse-names" : false, "suffix" : "" }, { "dropping-particle" : "", "family" : "Juweid", "given" : "Malik E.", "non-dropping-particle" : "", "parse-names" : false, "suffix" : "" } ], "container-title" : "Journal of Clinical Densitometry", "id" : "ITEM-1", "issue" : "1", "issued" : { "date-parts" : [ [ "2014" ] ] }, "page" : "143-149", "publisher" : "Elsevier Ltd", "title" : "The influence of aging on the association between adiposity and bone mineral density in jordanian postmenopausal women", "type" : "article-journal", "volume" : "17" }, "uris" : [ "http://www.mendeley.com/documents/?uuid=8e296f73-0b17-4e36-9257-478cfada9454" ] } ], "mendeley" : { "formattedCitation" : "&lt;sup&gt;52&lt;/sup&gt;", "plainTextFormattedCitation" : "52", "previouslyFormattedCitation" : "&lt;sup&gt;52&lt;/sup&gt;"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52</w:t>
            </w:r>
            <w:r w:rsidR="00156059" w:rsidRPr="00FA5289">
              <w:rPr>
                <w:color w:val="000000"/>
                <w:lang w:eastAsia="en-GB"/>
              </w:rPr>
              <w:fldChar w:fldCharType="end"/>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466</w:t>
            </w:r>
          </w:p>
        </w:tc>
        <w:tc>
          <w:tcPr>
            <w:tcW w:w="1275" w:type="dxa"/>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0.28</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0.32</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r>
      <w:tr w:rsidR="00022A6E" w:rsidRPr="00022A6E" w:rsidTr="0036552A">
        <w:trPr>
          <w:trHeight w:val="300"/>
        </w:trPr>
        <w:tc>
          <w:tcPr>
            <w:tcW w:w="2802" w:type="dxa"/>
            <w:noWrap/>
            <w:vAlign w:val="bottom"/>
          </w:tcPr>
          <w:p w:rsidR="00022A6E" w:rsidRPr="00FA5289" w:rsidRDefault="00022A6E" w:rsidP="00FA17EC">
            <w:pPr>
              <w:spacing w:after="0" w:line="240" w:lineRule="auto"/>
              <w:jc w:val="center"/>
              <w:rPr>
                <w:color w:val="000000"/>
                <w:lang w:eastAsia="en-GB"/>
              </w:rPr>
            </w:pPr>
            <w:proofErr w:type="spellStart"/>
            <w:r w:rsidRPr="00FA5289">
              <w:rPr>
                <w:color w:val="000000"/>
                <w:lang w:eastAsia="en-GB"/>
              </w:rPr>
              <w:t>Hawamdeh</w:t>
            </w:r>
            <w:proofErr w:type="spellEnd"/>
            <w:r w:rsidRPr="00FA5289">
              <w:rPr>
                <w:color w:val="000000"/>
                <w:lang w:eastAsia="en-GB"/>
              </w:rPr>
              <w:t xml:space="preserve"> et al. </w:t>
            </w:r>
            <w:r w:rsidR="006531EA">
              <w:rPr>
                <w:color w:val="000000"/>
                <w:lang w:eastAsia="en-GB"/>
              </w:rPr>
              <w:t>(</w:t>
            </w:r>
            <w:r w:rsidRPr="00FA5289">
              <w:rPr>
                <w:color w:val="000000"/>
                <w:lang w:eastAsia="en-GB"/>
              </w:rPr>
              <w:t>2014</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"10.1016/j.jocd.2013.02.007", "ISBN" : "1094-6950", "ISSN" : "10946950", "PMID" : "23499561", "abstract" : "The objective of this study was to assess the relative association between body weight, body mass index (BMI), lean mass (LM) and fat mass (FM), and bone mineral density (BMD) in a group of Jordanian postmenopausal women and investigate if this possible association changes with age. A total of 3256 patients had dual-energy X-ray absorptiometry (DXA) scan in the period from January 2009 till January 2012 at the Radiology and Nuclear Medicine Department of Jordan University Hospital. Only 584 women met the selection criteria. Age has been recorded, and patients were divided into subgroups according to age. Body weight and height were measured, and BMI was calculated. Body composition (LM, FM, percentage of android fat, and percentage of gynoid fat) was assessed by DXA. BMD of the lumbar spine (L1-L4) and femoral neck was measured by DXA. Weight, BMI, FM, LM, percentage of android fat, and percentage of gynoid fat were positively correlated to BMD at both lumbar spine and femoral neck. However, this correlation disappeared at the age of 70. yr at lumbar spine and 75. yr at femoral neck. This study suggests that both FM and LM are important determinants of BMD in Jordanian postmenopausal women, and this correlation disappears after the age of 70. yr at lumbar spine and 75. yr at femoral neck. ?? 2014 The International Society for Clinical Densitometry.", "author" : [ { "dropping-particle" : "", "family" : "Hawamdeh", "given" : "Ziad M.", "non-dropping-particle" : "", "parse-names" : false, "suffix" : "" }, { "dropping-particle" : "", "family" : "Sheikh-Ali", "given" : "Rasha F.", "non-dropping-particle" : "", "parse-names" : false, "suffix" : "" }, { "dropping-particle" : "", "family" : "AlSharif", "given" : "Abedallatif", "non-dropping-particle" : "", "parse-names" : false, "suffix" : "" }, { "dropping-particle" : "", "family" : "Otom", "given" : "Ali H.", "non-dropping-particle" : "", "parse-names" : false, "suffix" : "" }, { "dropping-particle" : "", "family" : "Ibrahim", "given" : "Alaa I.", "non-dropping-particle" : "", "parse-names" : false, "suffix" : "" }, { "dropping-particle" : "", "family" : "AlHadidi", "given" : "Fadi A.", "non-dropping-particle" : "", "parse-names" : false, "suffix" : "" }, { "dropping-particle" : "", "family" : "Samarah", "given" : "Omar Q.", "non-dropping-particle" : "", "parse-names" : false, "suffix" : "" }, { "dropping-particle" : "", "family" : "Dheirat", "given" : "Imad N.", "non-dropping-particle" : "", "parse-names" : false, "suffix" : "" }, { "dropping-particle" : "", "family" : "Juweid", "given" : "Malik E.", "non-dropping-particle" : "", "parse-names" : false, "suffix" : "" } ], "container-title" : "Journal of Clinical Densitometry", "id" : "ITEM-1", "issue" : "1", "issued" : { "date-parts" : [ [ "2014" ] ] }, "page" : "143-149", "publisher" : "Elsevier Ltd", "title" : "The influence of aging on the association between adiposity and bone mineral density in jordanian postmenopausal women", "type" : "article-journal", "volume" : "17" }, "uris" : [ "http://www.mendeley.com/documents/?uuid=8e296f73-0b17-4e36-9257-478cfada9454" ] } ], "mendeley" : { "formattedCitation" : "&lt;sup&gt;52&lt;/sup&gt;", "plainTextFormattedCitation" : "52", "previouslyFormattedCitation" : "&lt;sup&gt;52&lt;/sup&gt;"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52</w:t>
            </w:r>
            <w:r w:rsidR="00156059" w:rsidRPr="00FA5289">
              <w:rPr>
                <w:color w:val="000000"/>
                <w:lang w:eastAsia="en-GB"/>
              </w:rPr>
              <w:fldChar w:fldCharType="end"/>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118</w:t>
            </w:r>
          </w:p>
        </w:tc>
        <w:tc>
          <w:tcPr>
            <w:tcW w:w="1275" w:type="dxa"/>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0.2</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0.28</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r>
      <w:tr w:rsidR="00022A6E" w:rsidRPr="00022A6E" w:rsidTr="0036552A">
        <w:trPr>
          <w:trHeight w:val="300"/>
        </w:trPr>
        <w:tc>
          <w:tcPr>
            <w:tcW w:w="2802" w:type="dxa"/>
            <w:noWrap/>
            <w:vAlign w:val="bottom"/>
          </w:tcPr>
          <w:p w:rsidR="00022A6E" w:rsidRPr="00FA5289" w:rsidRDefault="00022A6E" w:rsidP="00FA17EC">
            <w:pPr>
              <w:spacing w:after="0" w:line="240" w:lineRule="auto"/>
              <w:jc w:val="center"/>
              <w:rPr>
                <w:color w:val="000000"/>
                <w:lang w:eastAsia="en-GB"/>
              </w:rPr>
            </w:pPr>
            <w:proofErr w:type="spellStart"/>
            <w:r w:rsidRPr="00FA5289">
              <w:rPr>
                <w:color w:val="000000"/>
                <w:lang w:eastAsia="en-GB"/>
              </w:rPr>
              <w:t>Ivuskans</w:t>
            </w:r>
            <w:proofErr w:type="spellEnd"/>
            <w:r w:rsidRPr="00FA5289">
              <w:rPr>
                <w:color w:val="000000"/>
                <w:lang w:eastAsia="en-GB"/>
              </w:rPr>
              <w:t xml:space="preserve"> et al. </w:t>
            </w:r>
            <w:r w:rsidR="006531EA">
              <w:rPr>
                <w:color w:val="000000"/>
                <w:lang w:eastAsia="en-GB"/>
              </w:rPr>
              <w:t>(</w:t>
            </w:r>
            <w:r w:rsidRPr="00FA5289">
              <w:rPr>
                <w:color w:val="000000"/>
                <w:lang w:eastAsia="en-GB"/>
              </w:rPr>
              <w:t>2013</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"10.1007/s00296-012-2612-0", "ISSN" : "01728172", "PMID" : "23269569", "abstract" : "This study was aimed to investigate the influence of being overweight on bone mineral status in 11-13-year-old boys, who were divided into overweight (OW; n = 110) and normal weight (NW; n = 154) groups. Bone mineral density (BMD) at the whole body (WB), lumbar spine (LS) and femoral neck (FN), bone mineral content (BMC) at the WB, and body composition were assessed. Calculation of the bone mineral apparent density (BMAD) was completed for the WB, LS and FN. The BMC/height ratio was also computed. OW boys displayed similar values (P &gt; 0.05) for LS and FN BMAD and lower (P &lt; 0.05) WB BMAD, despite significantly higher values (P &lt; 0.05) for more widely used WB and LS BMD, WB BMC and WB BMC/height in comparison with NW boys. Fat-free mass index (FFMI; kg/m(2)) had the highest correlation coefficients from the calculated body composition indices with all bone mineral values in NW boys. In OW boys, the FFMI had the highest correlation only with FN BMD, while other measured bone mineral values had highest correlations with either BMI or FMI indices. In conclusion, OW boys have higher crude WB BMD, BMC and BMC/height ratio in comparison with NW boys. However, the bone growth appears to be insufficient to compensate for the higher mechanical load applied on the bone by higher FM and also FFM values in OW boys. Excessive adiposity does not have a protective effect on the development of BMAD in growing boys reaching puberty.", "author" : [ { "dropping-particle" : "", "family" : "Ivuskans", "given" : "Arturs", "non-dropping-particle" : "", "parse-names" : false, "suffix" : "" }, { "dropping-particle" : "", "family" : "L\u00e4tt", "given" : "Evelin", "non-dropping-particle" : "", "parse-names" : false, "suffix" : "" }, { "dropping-particle" : "", "family" : "M\u00e4estu", "given" : "Jarek", "non-dropping-particle" : "", "parse-names" : false, "suffix" : "" }, { "dropping-particle" : "", "family" : "Saar", "given" : "Meeli", "non-dropping-particle" : "", "parse-names" : false, "suffix" : "" }, { "dropping-particle" : "", "family" : "Purge", "given" : "Priit", "non-dropping-particle" : "", "parse-names" : false, "suffix" : "" }, { "dropping-particle" : "", "family" : "Maasalu", "given" : "Katre", "non-dropping-particle" : "", "parse-names" : false, "suffix" : "" }, { "dropping-particle" : "", "family" : "J\u00fcrim\u00e4e", "given" : "Toivo", "non-dropping-particle" : "", "parse-names" : false, "suffix" : "" }, { "dropping-particle" : "", "family" : "J\u00fcrim\u00e4e", "given" : "Jaak", "non-dropping-particle" : "", "parse-names" : false, "suffix" : "" } ], "container-title" : "Rheumatology International", "id" : "ITEM-1", "issue" : "7", "issued" : { "date-parts" : [ [ "2013" ] ] }, "page" : "1681-1687", "title" : "Bone mineral density in 11-13-year-old boys: Relative importance of the weight status and body composition factors", "type" : "article-journal", "volume" : "33" }, "uris" : [ "http://www.mendeley.com/documents/?uuid=09bb5f7c-cf79-4600-a48a-712c84c238db" ] } ], "mendeley" : { "formattedCitation" : "&lt;sup&gt;53&lt;/sup&gt;", "plainTextFormattedCitation" : "53", "previouslyFormattedCitation" : "&lt;sup&gt;53&lt;/sup&gt;"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53</w:t>
            </w:r>
            <w:r w:rsidR="00156059" w:rsidRPr="00FA5289">
              <w:rPr>
                <w:color w:val="000000"/>
                <w:lang w:eastAsia="en-GB"/>
              </w:rPr>
              <w:fldChar w:fldCharType="end"/>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110</w:t>
            </w:r>
          </w:p>
        </w:tc>
        <w:tc>
          <w:tcPr>
            <w:tcW w:w="1275" w:type="dxa"/>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0.615</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0.455</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0.322</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r>
      <w:tr w:rsidR="00022A6E" w:rsidRPr="00022A6E" w:rsidTr="0036552A">
        <w:trPr>
          <w:trHeight w:val="300"/>
        </w:trPr>
        <w:tc>
          <w:tcPr>
            <w:tcW w:w="2802" w:type="dxa"/>
            <w:noWrap/>
            <w:vAlign w:val="bottom"/>
          </w:tcPr>
          <w:p w:rsidR="00022A6E" w:rsidRPr="00FA5289" w:rsidRDefault="00022A6E" w:rsidP="00FA17EC">
            <w:pPr>
              <w:spacing w:after="0" w:line="240" w:lineRule="auto"/>
              <w:jc w:val="center"/>
              <w:rPr>
                <w:color w:val="000000"/>
                <w:lang w:eastAsia="en-GB"/>
              </w:rPr>
            </w:pPr>
            <w:r w:rsidRPr="00FA5289">
              <w:rPr>
                <w:color w:val="000000"/>
                <w:lang w:eastAsia="en-GB"/>
              </w:rPr>
              <w:t xml:space="preserve">Junior et al. </w:t>
            </w:r>
            <w:r w:rsidR="006531EA">
              <w:rPr>
                <w:color w:val="000000"/>
                <w:lang w:eastAsia="en-GB"/>
              </w:rPr>
              <w:t>(</w:t>
            </w:r>
            <w:r w:rsidRPr="00FA5289">
              <w:rPr>
                <w:color w:val="000000"/>
                <w:lang w:eastAsia="en-GB"/>
              </w:rPr>
              <w:t>2013</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"10.1186/1471-2431-13-37", "ISBN" : "1471-2431 (Electronic)\\n1471-2431 (Linking)", "ISSN" : "1471-2431", "PMID" : "23510224", "abstract" : "BACKGROUND: Among adults, obesity has been positively related to bone mineral density. However, recent findings have pointed out that abdominal obesity could be negatively related to bone density. The above mentioned relationship is not clear among pediatric populations. Therefore, this cross-sectional study analyzed the relationship between thickness of abdominal adipose tissue and bone mineral variables in sedentary obese children and adolescents.\\n\\nMETHODS: One hundred and seventy five obese children and adolescents (83 male and 92 female) with ages ranging from 6 to 16 years-old were analyzed. Bone mineral content and density were estimated by dual-energy X-ray absorptiometry and ultrasound equipment which estimated the thickness of the abdominal adipose tissue. Pubertal stage was self-reported by the participants.\\n\\nRESULTS: The mean age was 11.1 (SD=2.6). Thickness of the abdominal adipose tissue was negatively related to bone mineral density (r=-0.17 [r95%CI: -0.03;-0.32]), independent of gender, pubertal stage and other confounders (\u03b2=-0.134\u00b10.042 [\u03b295%CI: -0.217; -0.050]).\\n\\nCONCLUSIONS: In sedentary obese children and adolescents abdominal obesity is negatively related to bone mineral density, suggesting a potential link between abdominal obesity and osteoporosis.", "author" : [ { "dropping-particle" : "", "family" : "J\u00fanior", "given" : "Ismael Forte Freitas", "non-dropping-particle" : "", "parse-names" : false, "suffix" : "" }, { "dropping-particle" : "", "family" : "Cardoso", "given" : "Jefferson Rosa", "non-dropping-particle" : "", "parse-names" : false, "suffix" : "" }, { "dropping-particle" : "", "family" : "Christofaro", "given" : "Diego G Destro", "non-dropping-particle" : "", "parse-names" : false, "suffix" : "" }, { "dropping-particle" : "", "family" : "Codogno", "given" : "Jamile Sanches", "non-dropping-particle" : "", "parse-names" : false, "suffix" : "" }, { "dropping-particle" : "", "family" : "Moraes", "given" : "Augusto C\u00e9sar Ferreira", "non-dropping-particle" : "de", "parse-names" : false, "suffix" : "" }, { "dropping-particle" : "", "family" : "Fernandes", "given" : "R\u00f4mulo Ara\u00fajo", "non-dropping-particle" : "", "parse-names" : false, "suffix" : "" } ], "container-title" : "BMC pediatrics", "id" : "ITEM-1", "issue" : "MAY", "issued" : { "date-parts" : [ [ "2013" ] ] }, "page" : "37", "title" : "The relationship between visceral fat thickness and bone mineral density in sedentary obese children and adolescents.", "type" : "article-journal", "volume" : "13" }, "uris" : [ "http://www.mendeley.com/documents/?uuid=19d07a00-adff-4048-a487-744365ae4ef5" ] } ], "mendeley" : { "formattedCitation" : "&lt;sup&gt;54&lt;/sup&gt;", "plainTextFormattedCitation" : "54", "previouslyFormattedCitation" : "&lt;sup&gt;54&lt;/sup&gt;"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54</w:t>
            </w:r>
            <w:r w:rsidR="00156059" w:rsidRPr="00FA5289">
              <w:rPr>
                <w:color w:val="000000"/>
                <w:lang w:eastAsia="en-GB"/>
              </w:rPr>
              <w:fldChar w:fldCharType="end"/>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175</w:t>
            </w:r>
          </w:p>
        </w:tc>
        <w:tc>
          <w:tcPr>
            <w:tcW w:w="1275" w:type="dxa"/>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0.09</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r>
      <w:tr w:rsidR="00022A6E" w:rsidRPr="00022A6E" w:rsidTr="0036552A">
        <w:trPr>
          <w:trHeight w:val="300"/>
        </w:trPr>
        <w:tc>
          <w:tcPr>
            <w:tcW w:w="2802" w:type="dxa"/>
            <w:noWrap/>
            <w:vAlign w:val="bottom"/>
          </w:tcPr>
          <w:p w:rsidR="00022A6E" w:rsidRPr="00FA5289" w:rsidRDefault="00022A6E" w:rsidP="00FA17EC">
            <w:pPr>
              <w:spacing w:after="0" w:line="240" w:lineRule="auto"/>
              <w:jc w:val="center"/>
              <w:rPr>
                <w:color w:val="000000"/>
                <w:lang w:eastAsia="en-GB"/>
              </w:rPr>
            </w:pPr>
            <w:r w:rsidRPr="00FA5289">
              <w:rPr>
                <w:color w:val="000000"/>
                <w:lang w:eastAsia="en-GB"/>
              </w:rPr>
              <w:t xml:space="preserve">Kang et al. </w:t>
            </w:r>
            <w:r w:rsidR="006531EA">
              <w:rPr>
                <w:color w:val="000000"/>
                <w:lang w:eastAsia="en-GB"/>
              </w:rPr>
              <w:t>(</w:t>
            </w:r>
            <w:r w:rsidRPr="00FA5289">
              <w:rPr>
                <w:color w:val="000000"/>
                <w:lang w:eastAsia="en-GB"/>
              </w:rPr>
              <w:t>2014</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"10.1007/s40618-013-0037-6", "ISSN" : "17208386", "PMID" : "24477947", "abstract" : "Osteoporosis and obesity are severe public health problems in an aging society, and as we all know, bone mineral density (BMD) is closely related to fat mass (FM) and fat distribution. However, studies have long focused on pre- or post-menopausal women, and its presence in men has been underestimated. To investigate the differential impact of fat on BMD, we characterized body composition of northern Chinese men and examined the relationship with BMD according to body mass index (BMI) levels. METHODS: A cross-sectional study was conducted on 502 healthy northern Chinese men aged 20-89 screened from the participants in a community-based osteoporosis prevention study conducted by the Research Center of Qianfoshan Hospital of Shandong University from 2009 to 2010. The qualified subjects were stratified according to BMI levels as normal weight (18.5 /= 28 kg/m(2), n = 140). Total body, left femur, lumbar spine BMD and lean mass (LM), FM, percent body fat (%BF) were measured by dual-energy X-ray absorptiometry. Pearson correlation and age-adjusted partial correlation analyses between body composition-related parameters and BMD were performed. Multiple regression analysis was performed to examine the relationship of BMD with LM, FM and %BF. RESULTS: Height and weight had positive associations with BMD at all sites, although age had negative associations. Of all subjects, LM and FM were positively correlated with BMD at almost sites (P &lt; 0.01). However, when the subjects were divided into normal weight, overweight and obesity, no relations were reflected between FM and BMD. %BF showed negative correlations with BMD at arm and leg (P &lt; 0.01) in overweight, and with BMD at total body, arm, leg, hip (P &lt; 0.01) in obesity. In regression models, both FM and LM showed statistically positively significant relations with total body and regional BMD in all subjects (all P &lt; 0.05). LM was positively correlated with BMD at almost site (all P &lt; 0.05) in groups, while FM had no association. Interestingly, percent body fat (%BF) had negative associations with BMD at total body, arm, leg and total femur in overweight and obesity. CONCLUSIONS: The relationship between LM and BMD was certain in northern Chinese men while fat-bone relationship was complicated. %BF had a significantly negative association with total body and regional BMD in overweight and obese men.", "author" : [ { "dropping-particle" : "", "family" : "Kang", "given" : "D.", "non-dropping-particle" : "", "parse-names" : false, "suffix" : "" }, { "dropping-particle" : "", "family" : "Liu", "given" : "Z.", "non-dropping-particle" : "", "parse-names" : false, "suffix" : "" }, { "dropping-particle" : "", "family" : "Wang", "given" : "Y.", "non-dropping-particle" : "", "parse-names" : false, "suffix" : "" }, { "dropping-particle" : "", "family" : "Zhang", "given" : "H.", "non-dropping-particle" : "", "parse-names" : false, "suffix" : "" }, { "dropping-particle" : "", "family" : "Feng", "given" : "X.", "non-dropping-particle" : "", "parse-names" : false, "suffix" : "" }, { "dropping-particle" : "", "family" : "Cao", "given" : "W.", "non-dropping-particle" : "", "parse-names" : false, "suffix" : "" }, { "dropping-particle" : "", "family" : "Wang", "given" : "P.", "non-dropping-particle" : "", "parse-names" : false, "suffix" : "" } ], "container-title" : "Journal of Endocrinological Investigation", "id" : "ITEM-1", "issue" : "4", "issued" : { "date-parts" : [ [ "2014" ] ] }, "page" : "359-367", "title" : "Relationship of body composition with bone mineral density in northern Chinese men by body mass index levels", "type" : "article-journal", "volume" : "37" }, "uris" : [ "http://www.mendeley.com/documents/?uuid=8ecfc742-b804-450b-8b89-0958bcad8e86" ] } ], "mendeley" : { "formattedCitation" : "&lt;sup&gt;55&lt;/sup&gt;", "plainTextFormattedCitation" : "55", "previouslyFormattedCitation" : "&lt;sup&gt;55&lt;/sup&gt;"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55</w:t>
            </w:r>
            <w:r w:rsidR="00156059" w:rsidRPr="00FA5289">
              <w:rPr>
                <w:color w:val="000000"/>
                <w:lang w:eastAsia="en-GB"/>
              </w:rPr>
              <w:fldChar w:fldCharType="end"/>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225</w:t>
            </w:r>
          </w:p>
        </w:tc>
        <w:tc>
          <w:tcPr>
            <w:tcW w:w="1275" w:type="dxa"/>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0.069</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-0.098</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0.058</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-0.001</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-0.004</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-0.12</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0.023</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-0.122</w:t>
            </w:r>
          </w:p>
        </w:tc>
      </w:tr>
      <w:tr w:rsidR="00022A6E" w:rsidRPr="00022A6E" w:rsidTr="0036552A">
        <w:trPr>
          <w:trHeight w:val="300"/>
        </w:trPr>
        <w:tc>
          <w:tcPr>
            <w:tcW w:w="2802" w:type="dxa"/>
            <w:noWrap/>
            <w:vAlign w:val="bottom"/>
          </w:tcPr>
          <w:p w:rsidR="00022A6E" w:rsidRPr="00FA5289" w:rsidRDefault="00022A6E" w:rsidP="00FA17EC">
            <w:pPr>
              <w:spacing w:after="0" w:line="240" w:lineRule="auto"/>
              <w:jc w:val="center"/>
              <w:rPr>
                <w:color w:val="000000"/>
                <w:lang w:eastAsia="en-GB"/>
              </w:rPr>
            </w:pPr>
            <w:r w:rsidRPr="00FA5289">
              <w:rPr>
                <w:color w:val="000000"/>
                <w:lang w:eastAsia="en-GB"/>
              </w:rPr>
              <w:t xml:space="preserve">Kang et al. </w:t>
            </w:r>
            <w:r w:rsidR="006531EA">
              <w:rPr>
                <w:color w:val="000000"/>
                <w:lang w:eastAsia="en-GB"/>
              </w:rPr>
              <w:t>(</w:t>
            </w:r>
            <w:r w:rsidRPr="00FA5289">
              <w:rPr>
                <w:color w:val="000000"/>
                <w:lang w:eastAsia="en-GB"/>
              </w:rPr>
              <w:t>2014</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"10.1007/s40618-013-0037-6", "ISSN" : "17208386", "PMID" : "24477947", "abstract" : "Osteoporosis and obesity are severe public health problems in an aging society, and as we all know, bone mineral density (BMD) is closely related to fat mass (FM) and fat distribution. However, studies have long focused on pre- or post-menopausal women, and its presence in men has been underestimated. To investigate the differential impact of fat on BMD, we characterized body composition of northern Chinese men and examined the relationship with BMD according to body mass index (BMI) levels. METHODS: A cross-sectional study was conducted on 502 healthy northern Chinese men aged 20-89 screened from the participants in a community-based osteoporosis prevention study conducted by the Research Center of Qianfoshan Hospital of Shandong University from 2009 to 2010. The qualified subjects were stratified according to BMI levels as normal weight (18.5 /= 28 kg/m(2), n = 140). Total body, left femur, lumbar spine BMD and lean mass (LM), FM, percent body fat (%BF) were measured by dual-energy X-ray absorptiometry. Pearson correlation and age-adjusted partial correlation analyses between body composition-related parameters and BMD were performed. Multiple regression analysis was performed to examine the relationship of BMD with LM, FM and %BF. RESULTS: Height and weight had positive associations with BMD at all sites, although age had negative associations. Of all subjects, LM and FM were positively correlated with BMD at almost sites (P &lt; 0.01). However, when the subjects were divided into normal weight, overweight and obesity, no relations were reflected between FM and BMD. %BF showed negative correlations with BMD at arm and leg (P &lt; 0.01) in overweight, and with BMD at total body, arm, leg, hip (P &lt; 0.01) in obesity. In regression models, both FM and LM showed statistically positively significant relations with total body and regional BMD in all subjects (all P &lt; 0.05). LM was positively correlated with BMD at almost site (all P &lt; 0.05) in groups, while FM had no association. Interestingly, percent body fat (%BF) had negative associations with BMD at total body, arm, leg and total femur in overweight and obesity. CONCLUSIONS: The relationship between LM and BMD was certain in northern Chinese men while fat-bone relationship was complicated. %BF had a significantly negative association with total body and regional BMD in overweight and obese men.", "author" : [ { "dropping-particle" : "", "family" : "Kang", "given" : "D.", "non-dropping-particle" : "", "parse-names" : false, "suffix" : "" }, { "dropping-particle" : "", "family" : "Liu", "given" : "Z.", "non-dropping-particle" : "", "parse-names" : false, "suffix" : "" }, { "dropping-particle" : "", "family" : "Wang", "given" : "Y.", "non-dropping-particle" : "", "parse-names" : false, "suffix" : "" }, { "dropping-particle" : "", "family" : "Zhang", "given" : "H.", "non-dropping-particle" : "", "parse-names" : false, "suffix" : "" }, { "dropping-particle" : "", "family" : "Feng", "given" : "X.", "non-dropping-particle" : "", "parse-names" : false, "suffix" : "" }, { "dropping-particle" : "", "family" : "Cao", "given" : "W.", "non-dropping-particle" : "", "parse-names" : false, "suffix" : "" }, { "dropping-particle" : "", "family" : "Wang", "given" : "P.", "non-dropping-particle" : "", "parse-names" : false, "suffix" : "" } ], "container-title" : "Journal of Endocrinological Investigation", "id" : "ITEM-1", "issue" : "4", "issued" : { "date-parts" : [ [ "2014" ] ] }, "page" : "359-367", "title" : "Relationship of body composition with bone mineral density in northern Chinese men by body mass index levels", "type" : "article-journal", "volume" : "37" }, "uris" : [ "http://www.mendeley.com/documents/?uuid=8ecfc742-b804-450b-8b89-0958bcad8e86" ] } ], "mendeley" : { "formattedCitation" : "&lt;sup&gt;55&lt;/sup&gt;", "plainTextFormattedCitation" : "55", "previouslyFormattedCitation" : "&lt;sup&gt;55&lt;/sup&gt;"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55</w:t>
            </w:r>
            <w:r w:rsidR="00156059" w:rsidRPr="00FA5289">
              <w:rPr>
                <w:color w:val="000000"/>
                <w:lang w:eastAsia="en-GB"/>
              </w:rPr>
              <w:fldChar w:fldCharType="end"/>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140</w:t>
            </w:r>
          </w:p>
        </w:tc>
        <w:tc>
          <w:tcPr>
            <w:tcW w:w="1275" w:type="dxa"/>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0.115</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-0.203</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0.293</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0.108</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0.046</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-0.22</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-0.004</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-0.305</w:t>
            </w:r>
          </w:p>
        </w:tc>
      </w:tr>
      <w:tr w:rsidR="00022A6E" w:rsidRPr="00022A6E" w:rsidTr="0036552A">
        <w:trPr>
          <w:trHeight w:val="300"/>
        </w:trPr>
        <w:tc>
          <w:tcPr>
            <w:tcW w:w="2802" w:type="dxa"/>
            <w:noWrap/>
            <w:vAlign w:val="bottom"/>
          </w:tcPr>
          <w:p w:rsidR="00022A6E" w:rsidRPr="00FA5289" w:rsidRDefault="00C55AB0" w:rsidP="00FA17EC">
            <w:pPr>
              <w:spacing w:after="0" w:line="240" w:lineRule="auto"/>
              <w:jc w:val="center"/>
              <w:rPr>
                <w:color w:val="000000"/>
                <w:lang w:eastAsia="en-GB"/>
              </w:rPr>
            </w:pPr>
            <w:r w:rsidRPr="00FA5289">
              <w:rPr>
                <w:color w:val="000000"/>
                <w:lang w:eastAsia="en-GB"/>
              </w:rPr>
              <w:t xml:space="preserve">Liu et al. </w:t>
            </w:r>
            <w:r w:rsidR="006531EA">
              <w:rPr>
                <w:color w:val="000000"/>
                <w:lang w:eastAsia="en-GB"/>
              </w:rPr>
              <w:t>(</w:t>
            </w:r>
            <w:r w:rsidRPr="00FA5289">
              <w:rPr>
                <w:color w:val="000000"/>
                <w:lang w:eastAsia="en-GB"/>
              </w:rPr>
              <w:t>2014</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"author" : [ { "dropping-particle" : "", "family" : "Liu", "given" : "PY", "non-dropping-particle" : "", "parse-names" : false, "suffix" : "" }, { "dropping-particle" : "", "family" : "Hornbuckle", "given" : "LM", "non-dropping-particle" : "", "parse-names" : false, "suffix" : "" }, { "dropping-particle" : "", "family" : "Ilich", "given" : "JZ", "non-dropping-particle" : "", "parse-names" : false, "suffix" : "" }, { "dropping-particle" : "", "family" : "Kim", "given" : "JS", "non-dropping-particle" : "", "parse-names" : false, "suffix" : "" }, { "dropping-particle" : "", "family" : "Panton", "given" : "L", "non-dropping-particle" : "", "parse-names" : false, "suffix" : "" } ], "container-title" : "Ethnicity &amp; Disease", "id" : "ITEM-1", "issue" : "3", "issued" : { "date-parts" : [ [ "2014" ] ] }, "page" : "356-62", "title" : "Body composition and muscular strength as predictors of bone mineral density in African American women with metabolic syndrome", "type" : "article-journal", "volume" : "24" }, "uris" : [ "http://www.mendeley.com/documents/?uuid=0c1d57ea-b989-4316-81da-cebfccc785c7" ] } ], "mendeley" : { "formattedCitation" : "&lt;sup&gt;56&lt;/sup&gt;", "plainTextFormattedCitation" : "56", "previouslyFormattedCitation" : "&lt;sup&gt;56&lt;/sup&gt;"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56</w:t>
            </w:r>
            <w:r w:rsidR="00156059" w:rsidRPr="00FA5289">
              <w:rPr>
                <w:color w:val="000000"/>
                <w:lang w:eastAsia="en-GB"/>
              </w:rPr>
              <w:fldChar w:fldCharType="end"/>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47</w:t>
            </w:r>
          </w:p>
        </w:tc>
        <w:tc>
          <w:tcPr>
            <w:tcW w:w="1275" w:type="dxa"/>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0.343</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0.12</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0.252</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0.127</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0.24</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-0.041</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r>
      <w:tr w:rsidR="00022A6E" w:rsidRPr="00022A6E" w:rsidTr="0036552A">
        <w:trPr>
          <w:trHeight w:val="300"/>
        </w:trPr>
        <w:tc>
          <w:tcPr>
            <w:tcW w:w="2802" w:type="dxa"/>
            <w:noWrap/>
            <w:vAlign w:val="bottom"/>
          </w:tcPr>
          <w:p w:rsidR="00022A6E" w:rsidRPr="00FA5289" w:rsidRDefault="00022A6E" w:rsidP="00FA17EC">
            <w:pPr>
              <w:spacing w:after="0" w:line="240" w:lineRule="auto"/>
              <w:jc w:val="center"/>
              <w:rPr>
                <w:color w:val="000000"/>
                <w:lang w:eastAsia="en-GB"/>
              </w:rPr>
            </w:pPr>
            <w:proofErr w:type="spellStart"/>
            <w:r w:rsidRPr="00FA5289">
              <w:rPr>
                <w:color w:val="000000"/>
                <w:lang w:eastAsia="en-GB"/>
              </w:rPr>
              <w:t>Morbe</w:t>
            </w:r>
            <w:r w:rsidR="00FA17EC" w:rsidRPr="00FA5289">
              <w:rPr>
                <w:color w:val="000000"/>
                <w:lang w:eastAsia="en-GB"/>
              </w:rPr>
              <w:t>r</w:t>
            </w:r>
            <w:r w:rsidRPr="00FA5289">
              <w:rPr>
                <w:color w:val="000000"/>
                <w:lang w:eastAsia="en-GB"/>
              </w:rPr>
              <w:t>g</w:t>
            </w:r>
            <w:proofErr w:type="spellEnd"/>
            <w:r w:rsidRPr="00FA5289">
              <w:rPr>
                <w:color w:val="000000"/>
                <w:lang w:eastAsia="en-GB"/>
              </w:rPr>
              <w:t xml:space="preserve"> et al. </w:t>
            </w:r>
            <w:r w:rsidR="006531EA">
              <w:rPr>
                <w:color w:val="000000"/>
                <w:lang w:eastAsia="en-GB"/>
              </w:rPr>
              <w:t>(</w:t>
            </w:r>
            <w:r w:rsidRPr="00FA5289">
              <w:rPr>
                <w:color w:val="000000"/>
                <w:lang w:eastAsia="en-GB"/>
              </w:rPr>
              <w:t>2003</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"10.1210/jc.2003-030496", "ISBN" : "0021-972X", "ISSN" : "0021972X", "PMID" : "14671171", "abstract" : "Leptin has been suggested to decrease bone mineral density (BMD). This observational analysis explored the relationship between serum leptin and BMD in 327 nonobese men (controls) (body mass index 26.1 +/- 3.7 kg/m(2), age 49.9 +/- 6.0 yr) and 285 juvenile obese men (body mass index 35.9 +/- 5.9 kg/m(2), age 47.5 +/- 5.1 yr). Whole-body dual-energy x-ray absorptiometry scan measured BMD, fat mass, and lean mass. Fasting serum leptin (nanograms per milliliter) was strongly associated with fat mass (kilograms) in both controls (r = 0.876; P &lt; 0.01) and juvenile obese (r = 0.838; P &lt; 0.001). An inverse relation between BMD adjusted for body weight and serum leptin emerged in both the control group (r = -0.186; P &lt; 0.01) and the juvenile obese group (r = -0.135; P &lt; 0.05). In a multiple linear regression, fat mass, lean body mass, and occupational physical activity were positively associated with BMD in the control group, whereas in the juvenile obese, only lean body mass was positively associated with BMD and smoking negatively associated with BMD. Our study supports that leptin is inversely associated with BMD and may play a direct role in the bone metabolism in nonobese and obese Danish males, but it also stresses the fact that the strong covariation between the examined variables is a shortcoming of the cross-sectional design.", "author" : [ { "dropping-particle" : "", "family" : "Morberg", "given" : "Cathrine M.", "non-dropping-particle" : "", "parse-names" : false, "suffix" : "" }, { "dropping-particle" : "", "family" : "Tetens", "given" : "Inge", "non-dropping-particle" : "", "parse-names" : false, "suffix" : "" }, { "dropping-particle" : "", "family" : "Black", "given" : "Eva", "non-dropping-particle" : "", "parse-names" : false, "suffix" : "" }, { "dropping-particle" : "", "family" : "Toubro", "given" : "Soeren", "non-dropping-particle" : "", "parse-names" : false, "suffix" : "" }, { "dropping-particle" : "", "family" : "Soerensen", "given" : "Thorkild I A", "non-dropping-particle" : "", "parse-names" : false, "suffix" : "" }, { "dropping-particle" : "", "family" : "Pedersen", "given" : "Oluf", "non-dropping-particle" : "", "parse-names" : false, "suffix" : "" }, { "dropping-particle" : "", "family" : "Astrup", "given" : "Arne", "non-dropping-particle" : "", "parse-names" : false, "suffix" : "" } ], "container-title" : "Journal of Clinical Endocrinology and Metabolism", "id" : "ITEM-1", "issue" : "12", "issued" : { "date-parts" : [ [ "2003" ] ] }, "page" : "5795-5800", "title" : "Leptin and Bone Mineral Density: A Cross-Sectional Study in Obese and Nonobese Men", "type" : "article-journal", "volume" : "88" }, "uris" : [ "http://www.mendeley.com/documents/?uuid=44582dfd-19e6-4219-84d9-4e0513420e0d" ] } ], "mendeley" : { "formattedCitation" : "&lt;sup&gt;57&lt;/sup&gt;", "plainTextFormattedCitation" : "57", "previouslyFormattedCitation" : "&lt;sup&gt;57&lt;/sup&gt;"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57</w:t>
            </w:r>
            <w:r w:rsidR="00156059" w:rsidRPr="00FA5289">
              <w:rPr>
                <w:color w:val="000000"/>
                <w:lang w:eastAsia="en-GB"/>
              </w:rPr>
              <w:fldChar w:fldCharType="end"/>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234</w:t>
            </w:r>
          </w:p>
        </w:tc>
        <w:tc>
          <w:tcPr>
            <w:tcW w:w="1275" w:type="dxa"/>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0.003</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r>
      <w:tr w:rsidR="00022A6E" w:rsidRPr="00022A6E" w:rsidTr="0036552A">
        <w:trPr>
          <w:trHeight w:val="300"/>
        </w:trPr>
        <w:tc>
          <w:tcPr>
            <w:tcW w:w="2802" w:type="dxa"/>
            <w:noWrap/>
            <w:vAlign w:val="bottom"/>
          </w:tcPr>
          <w:p w:rsidR="00022A6E" w:rsidRPr="00FA5289" w:rsidRDefault="00022A6E" w:rsidP="00FA17EC">
            <w:pPr>
              <w:spacing w:after="0" w:line="240" w:lineRule="auto"/>
              <w:jc w:val="center"/>
              <w:rPr>
                <w:color w:val="000000"/>
                <w:lang w:eastAsia="en-GB"/>
              </w:rPr>
            </w:pPr>
            <w:proofErr w:type="spellStart"/>
            <w:r w:rsidRPr="00FA5289">
              <w:rPr>
                <w:color w:val="000000"/>
                <w:lang w:eastAsia="en-GB"/>
              </w:rPr>
              <w:t>Mosca</w:t>
            </w:r>
            <w:proofErr w:type="spellEnd"/>
            <w:r w:rsidRPr="00FA5289">
              <w:rPr>
                <w:color w:val="000000"/>
                <w:lang w:eastAsia="en-GB"/>
              </w:rPr>
              <w:t xml:space="preserve"> et al. </w:t>
            </w:r>
            <w:r w:rsidR="006531EA">
              <w:rPr>
                <w:color w:val="000000"/>
                <w:lang w:eastAsia="en-GB"/>
              </w:rPr>
              <w:t>(</w:t>
            </w:r>
            <w:r w:rsidRPr="00FA5289">
              <w:rPr>
                <w:color w:val="000000"/>
                <w:lang w:eastAsia="en-GB"/>
              </w:rPr>
              <w:t>2014</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"10.1016/j.nut.2013.12.003", "ISSN" : "18731244", "PMID" : "24985003", "abstract" : "Objective: The aim of this study was to investigate the effects of excess body fat on bone mass in overweight, obese, and extremely obese adolescents. Methods: This study included 377 adolescents of both sexes, ages 10 to 19 y. Weight, height, body mass index (BMI), bone age, bone mineral content (BMC), and bone mineral density (BMD) were obtained by dual-energy x-ray absorptiometry. The results were adjusted for chronological age and bone age. Comparisons according to nutritional classification were performed by analysis of variance, followed by Tukey test. Linear regression models were used to explain the variation in BMD and BMC in the L1-L4 lumbar spinal region, proximal femur, and whole body in relation to BMI, lean mass, fat mass (FM), and body fat percentage (BF%), considering P &lt; 0.05. Results: For all nutritional groups, average bone age was higher than chronological age. In both sexes, weight and BMI values increased from eutrophic to extremely obese groups, except for BMD and BMC, which did not differ among male adolescents, and were smaller in extremely obese than in obese female adolescents (P &lt; 0.01). Significant differences were observed for FM and BF% values among all nutritional groups (P &lt; 0.01). Positive, moderate to strong correlations were detected between BMD and BMC for BMI, lean mass, and FM. A negative and moderate correlation was found between BMC and BF%, and between BMD and BF% at all bone sites analyzed in males and between BF% and spine and femur BMD, in females. Conclusion: The results reveal a negative effect of BF% on bone mass in males and indicate that the higher the BF% among overweight adolescents, the lower the BMD and BMC values. ?? 2014 Elsevier Inc.", "author" : [ { "dropping-particle" : "", "family" : "Mosca", "given" : "Luciana Nunes", "non-dropping-particle" : "", "parse-names" : false, "suffix" : "" }, { "dropping-particle" : "", "family" : "Goldberg", "given" : "Tamara Beres Lederer", "non-dropping-particle" : "", "parse-names" : false, "suffix" : "" }, { "dropping-particle" : "", "family" : "Silva", "given" : "Val\u00e9ria N\u00f3brega", "non-dropping-particle" : "da", "parse-names" : false, "suffix" : "" }, { "dropping-particle" : "", "family" : "Silva", "given" : "Carla Cristiane", "non-dropping-particle" : "da", "parse-names" : false, "suffix" : "" }, { "dropping-particle" : "", "family" : "Kurokawa", "given" : "Cilmery Suemi", "non-dropping-particle" : "", "parse-names" : false, "suffix" : "" }, { "dropping-particle" : "", "family" : "Bisi Rizzo", "given" : "Anapaula C.", "non-dropping-particle" : "", "parse-names" : false, "suffix" : "" }, { "dropping-particle" : "", "family" : "Corrente", "given" : "Jos\u00e9 Eduardo", "non-dropping-particle" : "", "parse-names" : false, "suffix" : "" } ], "container-title" : "Nutrition", "id" : "ITEM-1", "issue" : "7-8", "issued" : { "date-parts" : [ [ "2014" ] ] }, "page" : "847-852", "title" : "Excess body fat negatively affects bone mass in adolescents", "type" : "article-journal", "volume" : "30" }, "uris" : [ "http://www.mendeley.com/documents/?uuid=cbbb539c-ffe3-4c4c-a680-008e32c56f38" ] } ], "mendeley" : { "formattedCitation" : "&lt;sup&gt;58&lt;/sup&gt;", "plainTextFormattedCitation" : "58", "previouslyFormattedCitation" : "&lt;sup&gt;58&lt;/sup&gt;"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58</w:t>
            </w:r>
            <w:r w:rsidR="00156059" w:rsidRPr="00FA5289">
              <w:rPr>
                <w:color w:val="000000"/>
                <w:lang w:eastAsia="en-GB"/>
              </w:rPr>
              <w:fldChar w:fldCharType="end"/>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135</w:t>
            </w:r>
          </w:p>
        </w:tc>
        <w:tc>
          <w:tcPr>
            <w:tcW w:w="1275" w:type="dxa"/>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0.496</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0.131</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0.582</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-0.4</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0.535</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-0.438</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r>
      <w:tr w:rsidR="00022A6E" w:rsidRPr="00022A6E" w:rsidTr="0036552A">
        <w:trPr>
          <w:trHeight w:val="300"/>
        </w:trPr>
        <w:tc>
          <w:tcPr>
            <w:tcW w:w="2802" w:type="dxa"/>
            <w:noWrap/>
            <w:vAlign w:val="bottom"/>
          </w:tcPr>
          <w:p w:rsidR="00022A6E" w:rsidRPr="00FA5289" w:rsidRDefault="00022A6E" w:rsidP="00FA17EC">
            <w:pPr>
              <w:spacing w:after="0" w:line="240" w:lineRule="auto"/>
              <w:jc w:val="center"/>
              <w:rPr>
                <w:color w:val="000000"/>
                <w:lang w:eastAsia="en-GB"/>
              </w:rPr>
            </w:pPr>
            <w:proofErr w:type="spellStart"/>
            <w:r w:rsidRPr="00FA5289">
              <w:rPr>
                <w:color w:val="000000"/>
                <w:lang w:eastAsia="en-GB"/>
              </w:rPr>
              <w:t>Mosca</w:t>
            </w:r>
            <w:proofErr w:type="spellEnd"/>
            <w:r w:rsidRPr="00FA5289">
              <w:rPr>
                <w:color w:val="000000"/>
                <w:lang w:eastAsia="en-GB"/>
              </w:rPr>
              <w:t xml:space="preserve"> et al. </w:t>
            </w:r>
            <w:r w:rsidR="006531EA">
              <w:rPr>
                <w:color w:val="000000"/>
                <w:lang w:eastAsia="en-GB"/>
              </w:rPr>
              <w:t>(</w:t>
            </w:r>
            <w:r w:rsidRPr="00FA5289">
              <w:rPr>
                <w:color w:val="000000"/>
                <w:lang w:eastAsia="en-GB"/>
              </w:rPr>
              <w:t>2014</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"10.1016/j.nut.2013.12.003", "ISSN" : "18731244", "PMID" : "24985003", "abstract" : "Objective: The aim of this study was to investigate the effects of excess body fat on bone mass in overweight, obese, and extremely obese adolescents. Methods: This study included 377 adolescents of both sexes, ages 10 to 19 y. Weight, height, body mass index (BMI), bone age, bone mineral content (BMC), and bone mineral density (BMD) were obtained by dual-energy x-ray absorptiometry. The results were adjusted for chronological age and bone age. Comparisons according to nutritional classification were performed by analysis of variance, followed by Tukey test. Linear regression models were used to explain the variation in BMD and BMC in the L1-L4 lumbar spinal region, proximal femur, and whole body in relation to BMI, lean mass, fat mass (FM), and body fat percentage (BF%), considering P &lt; 0.05. Results: For all nutritional groups, average bone age was higher than chronological age. In both sexes, weight and BMI values increased from eutrophic to extremely obese groups, except for BMD and BMC, which did not differ among male adolescents, and were smaller in extremely obese than in obese female adolescents (P &lt; 0.01). Significant differences were observed for FM and BF% values among all nutritional groups (P &lt; 0.01). Positive, moderate to strong correlations were detected between BMD and BMC for BMI, lean mass, and FM. A negative and moderate correlation was found between BMC and BF%, and between BMD and BF% at all bone sites analyzed in males and between BF% and spine and femur BMD, in females. Conclusion: The results reveal a negative effect of BF% on bone mass in males and indicate that the higher the BF% among overweight adolescents, the lower the BMD and BMC values. ?? 2014 Elsevier Inc.", "author" : [ { "dropping-particle" : "", "family" : "Mosca", "given" : "Luciana Nunes", "non-dropping-particle" : "", "parse-names" : false, "suffix" : "" }, { "dropping-particle" : "", "family" : "Goldberg", "given" : "Tamara Beres Lederer", "non-dropping-particle" : "", "parse-names" : false, "suffix" : "" }, { "dropping-particle" : "", "family" : "Silva", "given" : "Val\u00e9ria N\u00f3brega", "non-dropping-particle" : "da", "parse-names" : false, "suffix" : "" }, { "dropping-particle" : "", "family" : "Silva", "given" : "Carla Cristiane", "non-dropping-particle" : "da", "parse-names" : false, "suffix" : "" }, { "dropping-particle" : "", "family" : "Kurokawa", "given" : "Cilmery Suemi", "non-dropping-particle" : "", "parse-names" : false, "suffix" : "" }, { "dropping-particle" : "", "family" : "Bisi Rizzo", "given" : "Anapaula C.", "non-dropping-particle" : "", "parse-names" : false, "suffix" : "" }, { "dropping-particle" : "", "family" : "Corrente", "given" : "Jos\u00e9 Eduardo", "non-dropping-particle" : "", "parse-names" : false, "suffix" : "" } ], "container-title" : "Nutrition", "id" : "ITEM-1", "issue" : "7-8", "issued" : { "date-parts" : [ [ "2014" ] ] }, "page" : "847-852", "title" : "Excess body fat negatively affects bone mass in adolescents", "type" : "article-journal", "volume" : "30" }, "uris" : [ "http://www.mendeley.com/documents/?uuid=cbbb539c-ffe3-4c4c-a680-008e32c56f38" ] } ], "mendeley" : { "formattedCitation" : "&lt;sup&gt;58&lt;/sup&gt;", "plainTextFormattedCitation" : "58", "previouslyFormattedCitation" : "&lt;sup&gt;58&lt;/sup&gt;"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58</w:t>
            </w:r>
            <w:r w:rsidR="00156059" w:rsidRPr="00FA5289">
              <w:rPr>
                <w:color w:val="000000"/>
                <w:lang w:eastAsia="en-GB"/>
              </w:rPr>
              <w:fldChar w:fldCharType="end"/>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84</w:t>
            </w:r>
          </w:p>
        </w:tc>
        <w:tc>
          <w:tcPr>
            <w:tcW w:w="1275" w:type="dxa"/>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-0.128</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-0.58</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0.084</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-0.4</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0.022</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-0.438</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r>
      <w:tr w:rsidR="00022A6E" w:rsidRPr="00022A6E" w:rsidTr="0036552A">
        <w:trPr>
          <w:trHeight w:val="300"/>
        </w:trPr>
        <w:tc>
          <w:tcPr>
            <w:tcW w:w="2802" w:type="dxa"/>
            <w:noWrap/>
            <w:vAlign w:val="bottom"/>
          </w:tcPr>
          <w:p w:rsidR="00022A6E" w:rsidRPr="00FA5289" w:rsidRDefault="00022A6E" w:rsidP="00FA17EC">
            <w:pPr>
              <w:spacing w:after="0" w:line="240" w:lineRule="auto"/>
              <w:jc w:val="center"/>
              <w:rPr>
                <w:color w:val="000000"/>
                <w:lang w:eastAsia="en-GB"/>
              </w:rPr>
            </w:pPr>
            <w:r w:rsidRPr="00FA5289">
              <w:rPr>
                <w:color w:val="000000"/>
                <w:lang w:eastAsia="en-GB"/>
              </w:rPr>
              <w:t xml:space="preserve">Moseley et al. </w:t>
            </w:r>
            <w:r w:rsidR="006531EA">
              <w:rPr>
                <w:color w:val="000000"/>
                <w:lang w:eastAsia="en-GB"/>
              </w:rPr>
              <w:t>(</w:t>
            </w:r>
            <w:r w:rsidRPr="00FA5289">
              <w:rPr>
                <w:color w:val="000000"/>
                <w:lang w:eastAsia="en-GB"/>
              </w:rPr>
              <w:t>2011</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"10.1111/j.1365-2265.2010.03965.x", "ISBN" : "0300-0664", "ISSN" : "03000664", "PMID" : "21198741", "abstract" : "Despite high bone mineral density (BMD), persons with type 2 diabetes are at greater risk of fracture. The relationship between body composition and BMD in noninsulin-requiring diabetes is unclear. The aim was to examine how fat and lean mass independently affect the skeleton in this population.", "author" : [ { "dropping-particle" : "", "family" : "Moseley", "given" : "Kendall F.", "non-dropping-particle" : "", "parse-names" : false, "suffix" : "" }, { "dropping-particle" : "", "family" : "Dobrosielski", "given" : "Devon A.", "non-dropping-particle" : "", "parse-names" : false, "suffix" : "" }, { "dropping-particle" : "", "family" : "Stewart", "given" : "Kerry J.", "non-dropping-particle" : "", "parse-names" : false, "suffix" : "" }, { "dropping-particle" : "", "family" : "Beur", "given" : "Suzanne M Jan", "non-dropping-particle" : "De", "parse-names" : false, "suffix" : "" }, { "dropping-particle" : "", "family" : "Sellmeyer", "given" : "Deborah E.", "non-dropping-particle" : "", "parse-names" : false, "suffix" : "" } ], "container-title" : "Clinical Endocrinology", "id" : "ITEM-1", "issue" : "5", "issued" : { "date-parts" : [ [ "2011" ] ] }, "page" : "565-571", "title" : "Lean mass and fat mass predict bone mineral density in middle-aged individuals with noninsulin-requiring type 2 diabetes mellitus", "type" : "article-journal", "volume" : "74" }, "uris" : [ "http://www.mendeley.com/documents/?uuid=c9a3e5b0-c1ea-4b87-8790-6f8a146dfb31" ] } ], "mendeley" : { "formattedCitation" : "&lt;sup&gt;59&lt;/sup&gt;", "plainTextFormattedCitation" : "59", "previouslyFormattedCitation" : "&lt;sup&gt;59&lt;/sup&gt;"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59</w:t>
            </w:r>
            <w:r w:rsidR="00156059" w:rsidRPr="00FA5289">
              <w:rPr>
                <w:color w:val="000000"/>
                <w:lang w:eastAsia="en-GB"/>
              </w:rPr>
              <w:fldChar w:fldCharType="end"/>
            </w:r>
          </w:p>
        </w:tc>
        <w:tc>
          <w:tcPr>
            <w:tcW w:w="56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56</w:t>
            </w:r>
          </w:p>
        </w:tc>
        <w:tc>
          <w:tcPr>
            <w:tcW w:w="1275" w:type="dxa"/>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0.57</w:t>
            </w:r>
          </w:p>
        </w:tc>
        <w:tc>
          <w:tcPr>
            <w:tcW w:w="127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0.2</w:t>
            </w:r>
          </w:p>
        </w:tc>
        <w:tc>
          <w:tcPr>
            <w:tcW w:w="1417"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701"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0.44</w:t>
            </w:r>
          </w:p>
        </w:tc>
        <w:tc>
          <w:tcPr>
            <w:tcW w:w="1559"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0.41</w:t>
            </w:r>
          </w:p>
        </w:tc>
        <w:tc>
          <w:tcPr>
            <w:tcW w:w="1236" w:type="dxa"/>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r>
      <w:tr w:rsidR="00022A6E" w:rsidRPr="00022A6E" w:rsidTr="00022A6E">
        <w:trPr>
          <w:trHeight w:val="300"/>
        </w:trPr>
        <w:tc>
          <w:tcPr>
            <w:tcW w:w="2802" w:type="dxa"/>
            <w:tcBorders>
              <w:bottom w:val="single" w:sz="4" w:space="0" w:color="auto"/>
            </w:tcBorders>
            <w:noWrap/>
            <w:vAlign w:val="bottom"/>
          </w:tcPr>
          <w:p w:rsidR="00022A6E" w:rsidRPr="00FA5289" w:rsidRDefault="00022A6E" w:rsidP="00FA17EC">
            <w:pPr>
              <w:spacing w:after="0" w:line="240" w:lineRule="auto"/>
              <w:jc w:val="center"/>
              <w:rPr>
                <w:color w:val="000000"/>
                <w:lang w:eastAsia="en-GB"/>
              </w:rPr>
            </w:pPr>
            <w:r w:rsidRPr="00FA5289">
              <w:rPr>
                <w:color w:val="000000"/>
                <w:lang w:eastAsia="en-GB"/>
              </w:rPr>
              <w:t xml:space="preserve">Moseley et al. </w:t>
            </w:r>
            <w:r w:rsidR="006531EA">
              <w:rPr>
                <w:color w:val="000000"/>
                <w:lang w:eastAsia="en-GB"/>
              </w:rPr>
              <w:t>(</w:t>
            </w:r>
            <w:r w:rsidRPr="00FA5289">
              <w:rPr>
                <w:color w:val="000000"/>
                <w:lang w:eastAsia="en-GB"/>
              </w:rPr>
              <w:t>2011</w:t>
            </w:r>
            <w:r w:rsidR="006531EA">
              <w:rPr>
                <w:color w:val="000000"/>
                <w:lang w:eastAsia="en-GB"/>
              </w:rPr>
              <w:t>)</w:t>
            </w:r>
            <w:r w:rsidRPr="00FA5289">
              <w:rPr>
                <w:color w:val="000000"/>
                <w:lang w:eastAsia="en-GB"/>
              </w:rPr>
              <w:t xml:space="preserve"> </w:t>
            </w:r>
            <w:r w:rsidR="00156059" w:rsidRPr="00FA5289">
              <w:rPr>
                <w:color w:val="000000"/>
                <w:lang w:eastAsia="en-GB"/>
              </w:rPr>
              <w:fldChar w:fldCharType="begin" w:fldLock="1"/>
            </w:r>
            <w:r w:rsidR="00FA17EC" w:rsidRPr="00FA5289">
              <w:rPr>
                <w:color w:val="000000"/>
                <w:lang w:eastAsia="en-GB"/>
              </w:rPr>
              <w:instrText>ADDIN CSL_CITATION { "citationItems" : [ { "id" : "ITEM-1", "itemData" : { "DOI" : "10.1111/j.1365-2265.2010.03965.x", "ISBN" : "0300-0664", "ISSN" : "03000664", "PMID" : "21198741", "abstract" : "Despite high bone mineral density (BMD), persons with type 2 diabetes are at greater risk of fracture. The relationship between body composition and BMD in noninsulin-requiring diabetes is unclear. The aim was to examine how fat and lean mass independently affect the skeleton in this population.", "author" : [ { "dropping-particle" : "", "family" : "Moseley", "given" : "Kendall F.", "non-dropping-particle" : "", "parse-names" : false, "suffix" : "" }, { "dropping-particle" : "", "family" : "Dobrosielski", "given" : "Devon A.", "non-dropping-particle" : "", "parse-names" : false, "suffix" : "" }, { "dropping-particle" : "", "family" : "Stewart", "given" : "Kerry J.", "non-dropping-particle" : "", "parse-names" : false, "suffix" : "" }, { "dropping-particle" : "", "family" : "Beur", "given" : "Suzanne M Jan", "non-dropping-particle" : "De", "parse-names" : false, "suffix" : "" }, { "dropping-particle" : "", "family" : "Sellmeyer", "given" : "Deborah E.", "non-dropping-particle" : "", "parse-names" : false, "suffix" : "" } ], "container-title" : "Clinical Endocrinology", "id" : "ITEM-1", "issue" : "5", "issued" : { "date-parts" : [ [ "2011" ] ] }, "page" : "565-571", "title" : "Lean mass and fat mass predict bone mineral density in middle-aged individuals with noninsulin-requiring type 2 diabetes mellitus", "type" : "article-journal", "volume" : "74" }, "uris" : [ "http://www.mendeley.com/documents/?uuid=c9a3e5b0-c1ea-4b87-8790-6f8a146dfb31" ] } ], "mendeley" : { "formattedCitation" : "&lt;sup&gt;59&lt;/sup&gt;", "plainTextFormattedCitation" : "59", "previouslyFormattedCitation" : "&lt;sup&gt;59&lt;/sup&gt;" }, "properties" : { "noteIndex" : 0 }, "schema" : "https://github.com/citation-style-language/schema/raw/master/csl-citation.json" }</w:instrText>
            </w:r>
            <w:r w:rsidR="00156059" w:rsidRPr="00FA5289">
              <w:rPr>
                <w:color w:val="000000"/>
                <w:lang w:eastAsia="en-GB"/>
              </w:rPr>
              <w:fldChar w:fldCharType="separate"/>
            </w:r>
            <w:r w:rsidR="00FA17EC" w:rsidRPr="00FA5289">
              <w:rPr>
                <w:noProof/>
                <w:color w:val="000000"/>
                <w:vertAlign w:val="superscript"/>
                <w:lang w:eastAsia="en-GB"/>
              </w:rPr>
              <w:t>59</w:t>
            </w:r>
            <w:r w:rsidR="00156059" w:rsidRPr="00FA5289">
              <w:rPr>
                <w:color w:val="000000"/>
                <w:lang w:eastAsia="en-GB"/>
              </w:rPr>
              <w:fldChar w:fldCharType="end"/>
            </w:r>
          </w:p>
        </w:tc>
        <w:tc>
          <w:tcPr>
            <w:tcW w:w="567" w:type="dxa"/>
            <w:tcBorders>
              <w:bottom w:val="single" w:sz="4" w:space="0" w:color="auto"/>
            </w:tcBorders>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78</w:t>
            </w:r>
          </w:p>
        </w:tc>
        <w:tc>
          <w:tcPr>
            <w:tcW w:w="1275" w:type="dxa"/>
            <w:tcBorders>
              <w:bottom w:val="single" w:sz="4" w:space="0" w:color="auto"/>
            </w:tcBorders>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0.27</w:t>
            </w:r>
          </w:p>
        </w:tc>
        <w:tc>
          <w:tcPr>
            <w:tcW w:w="1276" w:type="dxa"/>
            <w:tcBorders>
              <w:bottom w:val="single" w:sz="4" w:space="0" w:color="auto"/>
            </w:tcBorders>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tcBorders>
              <w:bottom w:val="single" w:sz="4" w:space="0" w:color="auto"/>
            </w:tcBorders>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0.03</w:t>
            </w:r>
          </w:p>
        </w:tc>
        <w:tc>
          <w:tcPr>
            <w:tcW w:w="1417" w:type="dxa"/>
            <w:tcBorders>
              <w:bottom w:val="single" w:sz="4" w:space="0" w:color="auto"/>
            </w:tcBorders>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701" w:type="dxa"/>
            <w:tcBorders>
              <w:bottom w:val="single" w:sz="4" w:space="0" w:color="auto"/>
            </w:tcBorders>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0.19</w:t>
            </w:r>
          </w:p>
        </w:tc>
        <w:tc>
          <w:tcPr>
            <w:tcW w:w="1559" w:type="dxa"/>
            <w:tcBorders>
              <w:bottom w:val="single" w:sz="4" w:space="0" w:color="auto"/>
            </w:tcBorders>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tcBorders>
              <w:bottom w:val="single" w:sz="4" w:space="0" w:color="auto"/>
            </w:tcBorders>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0.11</w:t>
            </w:r>
          </w:p>
        </w:tc>
        <w:tc>
          <w:tcPr>
            <w:tcW w:w="1236" w:type="dxa"/>
            <w:tcBorders>
              <w:bottom w:val="single" w:sz="4" w:space="0" w:color="auto"/>
            </w:tcBorders>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r>
      <w:tr w:rsidR="00022A6E" w:rsidRPr="00022A6E" w:rsidTr="00022A6E">
        <w:trPr>
          <w:trHeight w:val="300"/>
        </w:trPr>
        <w:tc>
          <w:tcPr>
            <w:tcW w:w="2802" w:type="dxa"/>
            <w:tcBorders>
              <w:top w:val="single" w:sz="4" w:space="0" w:color="auto"/>
              <w:bottom w:val="single" w:sz="4" w:space="0" w:color="auto"/>
            </w:tcBorders>
            <w:noWrap/>
            <w:vAlign w:val="bottom"/>
          </w:tcPr>
          <w:p w:rsidR="00022A6E" w:rsidRPr="00FA5289" w:rsidRDefault="00FA17EC" w:rsidP="00FA17EC">
            <w:pPr>
              <w:spacing w:after="0" w:line="240" w:lineRule="auto"/>
              <w:jc w:val="center"/>
              <w:rPr>
                <w:color w:val="000000"/>
                <w:lang w:eastAsia="en-GB"/>
              </w:rPr>
            </w:pPr>
            <w:proofErr w:type="spellStart"/>
            <w:r w:rsidRPr="00FA5289">
              <w:rPr>
                <w:color w:val="000000"/>
                <w:lang w:eastAsia="en-GB"/>
              </w:rPr>
              <w:t>Remm</w:t>
            </w:r>
            <w:r w:rsidR="00F563AC" w:rsidRPr="00FA5289">
              <w:rPr>
                <w:color w:val="000000"/>
                <w:lang w:eastAsia="en-GB"/>
              </w:rPr>
              <w:t>el</w:t>
            </w:r>
            <w:proofErr w:type="spellEnd"/>
            <w:r w:rsidR="00022A6E" w:rsidRPr="00FA5289">
              <w:rPr>
                <w:color w:val="000000"/>
                <w:lang w:eastAsia="en-GB"/>
              </w:rPr>
              <w:t xml:space="preserve"> et al. </w:t>
            </w:r>
            <w:r w:rsidR="006531EA">
              <w:rPr>
                <w:color w:val="000000"/>
                <w:lang w:eastAsia="en-GB"/>
              </w:rPr>
              <w:t>(</w:t>
            </w:r>
            <w:r w:rsidR="00022A6E" w:rsidRPr="00FA5289">
              <w:rPr>
                <w:color w:val="000000"/>
                <w:lang w:eastAsia="en-GB"/>
              </w:rPr>
              <w:t>2015</w:t>
            </w:r>
            <w:r w:rsidR="006531EA">
              <w:rPr>
                <w:color w:val="000000"/>
                <w:lang w:eastAsia="en-GB"/>
              </w:rPr>
              <w:t>)</w:t>
            </w:r>
            <w:r w:rsidR="00022A6E" w:rsidRPr="00FA5289">
              <w:rPr>
                <w:color w:val="000000"/>
                <w:lang w:eastAsia="en-GB"/>
              </w:rPr>
              <w:t xml:space="preserve"> </w:t>
            </w:r>
            <w:r w:rsidR="00156059" w:rsidRPr="00FA5289">
              <w:rPr>
                <w:color w:val="000000"/>
                <w:lang w:eastAsia="en-GB"/>
              </w:rPr>
              <w:fldChar w:fldCharType="begin" w:fldLock="1"/>
            </w:r>
            <w:r w:rsidR="00C75D21" w:rsidRPr="00FA5289">
              <w:rPr>
                <w:color w:val="000000"/>
                <w:lang w:eastAsia="en-GB"/>
              </w:rPr>
              <w:instrText>ADDIN CSL_CITATION { "citationItems" : [ { "id" : "ITEM-1", "itemData" : { "author" : [ { "dropping-particle" : "", "family" : "Remmel", "given" : "L", "non-dropping-particle" : "", "parse-names" : false, "suffix" : "" }, { "dropping-particle" : "", "family" : "Tillmann", "given" : "V", "non-dropping-particle" : "", "parse-names" : false, "suffix" : "" }, { "dropping-particle" : "", "family" : "Maestu", "given" : "J", "non-dropping-particle" : "", "parse-names" : false, "suffix" : "" }, { "dropping-particle" : "", "family" : "Purge", "given" : "P", "non-dropping-particle" : "", "parse-names" : false, "suffix" : "" }, { "dropping-particle" : "", "family" : "Saar", "given" : "M", "non-dropping-particle" : "", "parse-names" : false, "suffix" : "" }, { "dropping-particle" : "", "family" : "Latt", "given" : "E", "non-dropping-particle" : "", "parse-names" : false, "suffix" : "" }, { "dropping-particle" : "", "family" : "Maasalu", "given" : "K", "non-dropping-particle" : "", "parse-names" : false, "suffix" : "" }, { "dropping-particle" : "", "family" : "Jurimae", "given" : "T", "non-dropping-particle" : "", "parse-names" : false, "suffix" : "" }, { "dropping-particle" : "", "family" : "J", "given" : "Jurimae", "non-dropping-particle" : "", "parse-names" : false, "suffix" : "" } ], "container-title" : "Hormone research in paediatrics", "id" : "ITEM-1", "issue" : "1", "issued" : { "date-parts" : [ [ "2015" ] ] }, "page" : "6-13", "title" : "Associations between Bone Mineral Characteristics and Serum Levels of Ghrelin and Peptide YY in Overweight Adolescent Boys", "type" : "article-journal", "volume" : "84" }, "uris" : [ "http://www.mendeley.com/documents/?uuid=c938bfa2-635e-40cb-a58b-06fe71ce492a" ] } ], "mendeley" : { "formattedCitation" : "&lt;sup&gt;60&lt;/sup&gt;", "plainTextFormattedCitation" : "60", "previouslyFormattedCitation" : "&lt;sup&gt;60&lt;/sup&gt;" }, "properties" : { "noteIndex" : 0 }, "schema" : "https://github.com/citation-style-language/schema/raw/master/csl-citation.json" }</w:instrText>
            </w:r>
            <w:r w:rsidR="00156059" w:rsidRPr="00FA5289">
              <w:rPr>
                <w:color w:val="000000"/>
                <w:lang w:eastAsia="en-GB"/>
              </w:rPr>
              <w:fldChar w:fldCharType="separate"/>
            </w:r>
            <w:r w:rsidRPr="00FA5289">
              <w:rPr>
                <w:noProof/>
                <w:color w:val="000000"/>
                <w:vertAlign w:val="superscript"/>
                <w:lang w:eastAsia="en-GB"/>
              </w:rPr>
              <w:t>60</w:t>
            </w:r>
            <w:r w:rsidR="00156059" w:rsidRPr="00FA5289">
              <w:rPr>
                <w:color w:val="000000"/>
                <w:lang w:eastAsia="en-GB"/>
              </w:rPr>
              <w:fldChar w:fldCharType="end"/>
            </w:r>
          </w:p>
        </w:tc>
        <w:tc>
          <w:tcPr>
            <w:tcW w:w="567" w:type="dxa"/>
            <w:tcBorders>
              <w:top w:val="single" w:sz="4" w:space="0" w:color="auto"/>
              <w:bottom w:val="single" w:sz="4" w:space="0" w:color="auto"/>
            </w:tcBorders>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55</w:t>
            </w:r>
          </w:p>
        </w:tc>
        <w:tc>
          <w:tcPr>
            <w:tcW w:w="1275" w:type="dxa"/>
            <w:tcBorders>
              <w:top w:val="single" w:sz="4" w:space="0" w:color="auto"/>
              <w:bottom w:val="single" w:sz="4" w:space="0" w:color="auto"/>
            </w:tcBorders>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0.255</w:t>
            </w:r>
          </w:p>
        </w:tc>
        <w:tc>
          <w:tcPr>
            <w:tcW w:w="1276" w:type="dxa"/>
            <w:tcBorders>
              <w:top w:val="single" w:sz="4" w:space="0" w:color="auto"/>
              <w:bottom w:val="single" w:sz="4" w:space="0" w:color="auto"/>
            </w:tcBorders>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tcBorders>
              <w:top w:val="single" w:sz="4" w:space="0" w:color="auto"/>
              <w:bottom w:val="single" w:sz="4" w:space="0" w:color="auto"/>
            </w:tcBorders>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-0.002</w:t>
            </w:r>
          </w:p>
        </w:tc>
        <w:tc>
          <w:tcPr>
            <w:tcW w:w="1417" w:type="dxa"/>
            <w:tcBorders>
              <w:top w:val="single" w:sz="4" w:space="0" w:color="auto"/>
              <w:bottom w:val="single" w:sz="4" w:space="0" w:color="auto"/>
            </w:tcBorders>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701" w:type="dxa"/>
            <w:tcBorders>
              <w:top w:val="single" w:sz="4" w:space="0" w:color="auto"/>
              <w:bottom w:val="single" w:sz="4" w:space="0" w:color="auto"/>
            </w:tcBorders>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559" w:type="dxa"/>
            <w:tcBorders>
              <w:top w:val="single" w:sz="4" w:space="0" w:color="auto"/>
              <w:bottom w:val="single" w:sz="4" w:space="0" w:color="auto"/>
            </w:tcBorders>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418" w:type="dxa"/>
            <w:tcBorders>
              <w:top w:val="single" w:sz="4" w:space="0" w:color="auto"/>
              <w:bottom w:val="single" w:sz="4" w:space="0" w:color="auto"/>
            </w:tcBorders>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c>
          <w:tcPr>
            <w:tcW w:w="1236" w:type="dxa"/>
            <w:tcBorders>
              <w:top w:val="single" w:sz="4" w:space="0" w:color="auto"/>
              <w:bottom w:val="single" w:sz="4" w:space="0" w:color="auto"/>
            </w:tcBorders>
            <w:noWrap/>
            <w:vAlign w:val="bottom"/>
          </w:tcPr>
          <w:p w:rsidR="00022A6E" w:rsidRPr="00FA5289" w:rsidRDefault="00022A6E" w:rsidP="0036552A">
            <w:pPr>
              <w:spacing w:after="0" w:line="240" w:lineRule="auto"/>
              <w:jc w:val="center"/>
              <w:rPr>
                <w:color w:val="000000"/>
                <w:lang w:eastAsia="en-GB"/>
              </w:rPr>
            </w:pPr>
            <w:r w:rsidRPr="00FA5289">
              <w:rPr>
                <w:color w:val="000000"/>
                <w:lang w:eastAsia="en-GB"/>
              </w:rPr>
              <w:t>X</w:t>
            </w:r>
          </w:p>
        </w:tc>
      </w:tr>
    </w:tbl>
    <w:p w:rsidR="00022A6E" w:rsidRPr="00FA5289" w:rsidRDefault="00022A6E" w:rsidP="00022A6E">
      <w:pPr>
        <w:spacing w:line="240" w:lineRule="auto"/>
        <w:rPr>
          <w:lang w:val="pt-BR"/>
        </w:rPr>
      </w:pPr>
      <w:r w:rsidRPr="00FA5289">
        <w:rPr>
          <w:lang w:val="pt-BR"/>
        </w:rPr>
        <w:t>AAM: Absolute adipose mass; RAM: Relative adipose mass</w:t>
      </w:r>
    </w:p>
    <w:p w:rsidR="00022A6E" w:rsidRPr="00FA5289" w:rsidRDefault="00022A6E" w:rsidP="00022A6E">
      <w:pPr>
        <w:spacing w:line="240" w:lineRule="auto"/>
        <w:rPr>
          <w:lang w:val="pt-BR"/>
        </w:rPr>
      </w:pPr>
    </w:p>
    <w:p w:rsidR="00022A6E" w:rsidRPr="00FA5289" w:rsidRDefault="00022A6E" w:rsidP="00022A6E">
      <w:pPr>
        <w:spacing w:line="240" w:lineRule="auto"/>
        <w:rPr>
          <w:lang w:val="pt-BR"/>
        </w:rPr>
      </w:pPr>
    </w:p>
    <w:p w:rsidR="00022A6E" w:rsidRPr="00FA5289" w:rsidRDefault="00022A6E" w:rsidP="00022A6E">
      <w:pPr>
        <w:spacing w:line="240" w:lineRule="auto"/>
        <w:rPr>
          <w:rFonts w:cs="Times New Roman"/>
        </w:rPr>
      </w:pPr>
      <w:proofErr w:type="gramStart"/>
      <w:r w:rsidRPr="00FA5289">
        <w:rPr>
          <w:rFonts w:cs="Times New Roman"/>
          <w:b/>
        </w:rPr>
        <w:lastRenderedPageBreak/>
        <w:t xml:space="preserve">Table </w:t>
      </w:r>
      <w:r w:rsidR="00C55AB0" w:rsidRPr="00FA5289">
        <w:rPr>
          <w:rFonts w:cs="Times New Roman"/>
          <w:b/>
        </w:rPr>
        <w:t>4</w:t>
      </w:r>
      <w:r w:rsidRPr="00FA5289">
        <w:rPr>
          <w:rFonts w:cs="Times New Roman"/>
        </w:rPr>
        <w:t>:</w:t>
      </w:r>
      <w:r w:rsidR="00ED706F" w:rsidRPr="00FA5289">
        <w:rPr>
          <w:rFonts w:cs="Times New Roman"/>
        </w:rPr>
        <w:t xml:space="preserve"> Results of M</w:t>
      </w:r>
      <w:r w:rsidRPr="00FA5289">
        <w:rPr>
          <w:rFonts w:cs="Times New Roman"/>
        </w:rPr>
        <w:t>eta</w:t>
      </w:r>
      <w:r w:rsidR="00ED706F" w:rsidRPr="00FA5289">
        <w:rPr>
          <w:rFonts w:cs="Times New Roman"/>
        </w:rPr>
        <w:t>-</w:t>
      </w:r>
      <w:r w:rsidRPr="00FA5289">
        <w:rPr>
          <w:rFonts w:cs="Times New Roman"/>
        </w:rPr>
        <w:t>regressions</w:t>
      </w:r>
      <w:r w:rsidR="00ED706F" w:rsidRPr="00FA5289">
        <w:rPr>
          <w:rFonts w:cs="Times New Roman"/>
        </w:rPr>
        <w:t xml:space="preserve"> for A</w:t>
      </w:r>
      <w:r w:rsidRPr="00FA5289">
        <w:rPr>
          <w:rFonts w:cs="Times New Roman"/>
        </w:rPr>
        <w:t xml:space="preserve">bsolute </w:t>
      </w:r>
      <w:r w:rsidR="00ED706F" w:rsidRPr="00FA5289">
        <w:rPr>
          <w:rFonts w:cs="Times New Roman"/>
        </w:rPr>
        <w:t>A</w:t>
      </w:r>
      <w:r w:rsidRPr="00FA5289">
        <w:rPr>
          <w:rFonts w:cs="Times New Roman"/>
        </w:rPr>
        <w:t>dipose</w:t>
      </w:r>
      <w:r w:rsidR="00ED706F" w:rsidRPr="00FA5289">
        <w:rPr>
          <w:rFonts w:cs="Times New Roman"/>
        </w:rPr>
        <w:t xml:space="preserve"> M</w:t>
      </w:r>
      <w:r w:rsidRPr="00FA5289">
        <w:rPr>
          <w:rFonts w:cs="Times New Roman"/>
        </w:rPr>
        <w:t>ass</w:t>
      </w:r>
      <w:r w:rsidR="00ED706F" w:rsidRPr="00FA5289">
        <w:rPr>
          <w:rFonts w:cs="Times New Roman"/>
        </w:rPr>
        <w:t>. Parameter Estimates and Model O</w:t>
      </w:r>
      <w:r w:rsidRPr="00FA5289">
        <w:rPr>
          <w:rFonts w:cs="Times New Roman"/>
        </w:rPr>
        <w:t>utputs.</w:t>
      </w:r>
      <w:proofErr w:type="gramEnd"/>
      <w:r w:rsidRPr="00FA5289">
        <w:rPr>
          <w:rFonts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559"/>
        <w:gridCol w:w="1276"/>
        <w:gridCol w:w="1310"/>
        <w:gridCol w:w="1203"/>
        <w:gridCol w:w="1137"/>
        <w:gridCol w:w="860"/>
      </w:tblGrid>
      <w:tr w:rsidR="00C92714" w:rsidRPr="00022A6E" w:rsidTr="00C92714">
        <w:tc>
          <w:tcPr>
            <w:tcW w:w="2518" w:type="dxa"/>
            <w:gridSpan w:val="2"/>
            <w:tcBorders>
              <w:top w:val="single" w:sz="4" w:space="0" w:color="auto"/>
              <w:left w:val="nil"/>
              <w:bottom w:val="single" w:sz="4" w:space="0" w:color="auto"/>
              <w:right w:val="nil"/>
            </w:tcBorders>
            <w:shd w:val="clear" w:color="auto" w:fill="BFBFBF"/>
          </w:tcPr>
          <w:p w:rsidR="00022A6E" w:rsidRPr="00FA5289" w:rsidRDefault="00022A6E" w:rsidP="00C92714">
            <w:pPr>
              <w:spacing w:after="0" w:line="240" w:lineRule="auto"/>
              <w:rPr>
                <w:rFonts w:cs="Times New Roman"/>
                <w:b/>
              </w:rPr>
            </w:pPr>
            <w:r w:rsidRPr="00FA5289">
              <w:rPr>
                <w:rFonts w:cs="Times New Roman"/>
                <w:b/>
              </w:rPr>
              <w:t>Moderator</w:t>
            </w:r>
          </w:p>
        </w:tc>
        <w:tc>
          <w:tcPr>
            <w:tcW w:w="1276" w:type="dxa"/>
            <w:tcBorders>
              <w:top w:val="single" w:sz="4" w:space="0" w:color="auto"/>
              <w:left w:val="nil"/>
              <w:bottom w:val="single" w:sz="4" w:space="0" w:color="auto"/>
              <w:right w:val="nil"/>
            </w:tcBorders>
            <w:shd w:val="clear" w:color="auto" w:fill="BFBFBF"/>
          </w:tcPr>
          <w:p w:rsidR="00022A6E" w:rsidRPr="00FA5289" w:rsidRDefault="00022A6E" w:rsidP="00C92714">
            <w:pPr>
              <w:spacing w:after="0" w:line="240" w:lineRule="auto"/>
              <w:rPr>
                <w:rFonts w:cs="Times New Roman"/>
                <w:b/>
              </w:rPr>
            </w:pPr>
            <w:r w:rsidRPr="00FA5289">
              <w:rPr>
                <w:rFonts w:cs="Times New Roman"/>
                <w:b/>
              </w:rPr>
              <w:t>Correlation Estimate</w:t>
            </w:r>
          </w:p>
        </w:tc>
        <w:tc>
          <w:tcPr>
            <w:tcW w:w="1310" w:type="dxa"/>
            <w:tcBorders>
              <w:top w:val="single" w:sz="4" w:space="0" w:color="auto"/>
              <w:left w:val="nil"/>
              <w:bottom w:val="single" w:sz="4" w:space="0" w:color="auto"/>
              <w:right w:val="nil"/>
            </w:tcBorders>
            <w:shd w:val="clear" w:color="auto" w:fill="BFBFBF"/>
          </w:tcPr>
          <w:p w:rsidR="00022A6E" w:rsidRPr="00FA5289" w:rsidRDefault="00022A6E" w:rsidP="00C92714">
            <w:pPr>
              <w:spacing w:after="0" w:line="240" w:lineRule="auto"/>
              <w:rPr>
                <w:rFonts w:cs="Times New Roman"/>
                <w:b/>
              </w:rPr>
            </w:pPr>
            <w:r w:rsidRPr="00FA5289">
              <w:rPr>
                <w:rFonts w:cs="Times New Roman"/>
                <w:b/>
              </w:rPr>
              <w:t>95% CI</w:t>
            </w:r>
          </w:p>
        </w:tc>
        <w:tc>
          <w:tcPr>
            <w:tcW w:w="1203" w:type="dxa"/>
            <w:tcBorders>
              <w:top w:val="single" w:sz="4" w:space="0" w:color="auto"/>
              <w:left w:val="nil"/>
              <w:bottom w:val="single" w:sz="4" w:space="0" w:color="auto"/>
              <w:right w:val="nil"/>
            </w:tcBorders>
            <w:shd w:val="clear" w:color="auto" w:fill="BFBFBF"/>
          </w:tcPr>
          <w:p w:rsidR="00022A6E" w:rsidRPr="00FA5289" w:rsidRDefault="00022A6E" w:rsidP="00C92714">
            <w:pPr>
              <w:spacing w:after="0" w:line="240" w:lineRule="auto"/>
              <w:rPr>
                <w:rFonts w:cs="Times New Roman"/>
                <w:b/>
              </w:rPr>
            </w:pPr>
            <w:r w:rsidRPr="00FA5289">
              <w:rPr>
                <w:rFonts w:cs="Times New Roman"/>
                <w:b/>
              </w:rPr>
              <w:t xml:space="preserve">Between outcome variance </w:t>
            </w:r>
            <w:r w:rsidR="00156059" w:rsidRPr="00FA5289">
              <w:rPr>
                <w:rFonts w:cs="Times New Roman"/>
                <w:b/>
              </w:rPr>
              <w:fldChar w:fldCharType="begin"/>
            </w:r>
            <w:r w:rsidRPr="00FA5289">
              <w:rPr>
                <w:rFonts w:cs="Times New Roman"/>
                <w:b/>
              </w:rPr>
              <w:instrText xml:space="preserve"> QUOTE </w:instrText>
            </w:r>
            <w:r w:rsidR="00AF4DD8" w:rsidRPr="00156059">
              <w:rPr>
                <w:position w:val="-8"/>
              </w:rPr>
              <w:pict>
                <v:shape id="_x0000_i1071" type="#_x0000_t75" style="width:12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20&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B83D9A&quot;/&gt;&lt;wsp:rsid wsp:val=&quot;00002681&quot;/&gt;&lt;wsp:rsid wsp:val=&quot;00002B39&quot;/&gt;&lt;wsp:rsid wsp:val=&quot;00002CE3&quot;/&gt;&lt;wsp:rsid wsp:val=&quot;00003FA5&quot;/&gt;&lt;wsp:rsid wsp:val=&quot;000069C8&quot;/&gt;&lt;wsp:rsid wsp:val=&quot;00007BE3&quot;/&gt;&lt;wsp:rsid wsp:val=&quot;00016BEF&quot;/&gt;&lt;wsp:rsid wsp:val=&quot;00016F4D&quot;/&gt;&lt;wsp:rsid wsp:val=&quot;00017556&quot;/&gt;&lt;wsp:rsid wsp:val=&quot;00022A6E&quot;/&gt;&lt;wsp:rsid wsp:val=&quot;000278EB&quot;/&gt;&lt;wsp:rsid wsp:val=&quot;00030FC1&quot;/&gt;&lt;wsp:rsid wsp:val=&quot;0003104D&quot;/&gt;&lt;wsp:rsid wsp:val=&quot;0003592D&quot;/&gt;&lt;wsp:rsid wsp:val=&quot;00036BC7&quot;/&gt;&lt;wsp:rsid wsp:val=&quot;0004021F&quot;/&gt;&lt;wsp:rsid wsp:val=&quot;0004648A&quot;/&gt;&lt;wsp:rsid wsp:val=&quot;00047BE4&quot;/&gt;&lt;wsp:rsid wsp:val=&quot;000516EA&quot;/&gt;&lt;wsp:rsid wsp:val=&quot;00051A48&quot;/&gt;&lt;wsp:rsid wsp:val=&quot;00054FFA&quot;/&gt;&lt;wsp:rsid wsp:val=&quot;0006094E&quot;/&gt;&lt;wsp:rsid wsp:val=&quot;00064650&quot;/&gt;&lt;wsp:rsid wsp:val=&quot;00075FAB&quot;/&gt;&lt;wsp:rsid wsp:val=&quot;00084D08&quot;/&gt;&lt;wsp:rsid wsp:val=&quot;00087C01&quot;/&gt;&lt;wsp:rsid wsp:val=&quot;00090692&quot;/&gt;&lt;wsp:rsid wsp:val=&quot;00094375&quot;/&gt;&lt;wsp:rsid wsp:val=&quot;000A0D37&quot;/&gt;&lt;wsp:rsid wsp:val=&quot;000A1339&quot;/&gt;&lt;wsp:rsid wsp:val=&quot;000A2298&quot;/&gt;&lt;wsp:rsid wsp:val=&quot;000A2A14&quot;/&gt;&lt;wsp:rsid wsp:val=&quot;000A4860&quot;/&gt;&lt;wsp:rsid wsp:val=&quot;000A4F42&quot;/&gt;&lt;wsp:rsid wsp:val=&quot;000A60E8&quot;/&gt;&lt;wsp:rsid wsp:val=&quot;000B0C59&quot;/&gt;&lt;wsp:rsid wsp:val=&quot;000B1EA5&quot;/&gt;&lt;wsp:rsid wsp:val=&quot;000B1FEB&quot;/&gt;&lt;wsp:rsid wsp:val=&quot;000B2B75&quot;/&gt;&lt;wsp:rsid wsp:val=&quot;000B5012&quot;/&gt;&lt;wsp:rsid wsp:val=&quot;000B67EC&quot;/&gt;&lt;wsp:rsid wsp:val=&quot;000C0C12&quot;/&gt;&lt;wsp:rsid wsp:val=&quot;000C1E74&quot;/&gt;&lt;wsp:rsid wsp:val=&quot;000C2B8F&quot;/&gt;&lt;wsp:rsid wsp:val=&quot;000C2E27&quot;/&gt;&lt;wsp:rsid wsp:val=&quot;000C3198&quot;/&gt;&lt;wsp:rsid wsp:val=&quot;000D0C5B&quot;/&gt;&lt;wsp:rsid wsp:val=&quot;000D4301&quot;/&gt;&lt;wsp:rsid wsp:val=&quot;000E3D33&quot;/&gt;&lt;wsp:rsid wsp:val=&quot;000E49E7&quot;/&gt;&lt;wsp:rsid wsp:val=&quot;000E6BED&quot;/&gt;&lt;wsp:rsid wsp:val=&quot;000E6BF4&quot;/&gt;&lt;wsp:rsid wsp:val=&quot;000F1665&quot;/&gt;&lt;wsp:rsid wsp:val=&quot;000F22A4&quot;/&gt;&lt;wsp:rsid wsp:val=&quot;00101959&quot;/&gt;&lt;wsp:rsid wsp:val=&quot;001022A2&quot;/&gt;&lt;wsp:rsid wsp:val=&quot;00102875&quot;/&gt;&lt;wsp:rsid wsp:val=&quot;001065F7&quot;/&gt;&lt;wsp:rsid wsp:val=&quot;00106F0B&quot;/&gt;&lt;wsp:rsid wsp:val=&quot;00116000&quot;/&gt;&lt;wsp:rsid wsp:val=&quot;001212E9&quot;/&gt;&lt;wsp:rsid wsp:val=&quot;001221CE&quot;/&gt;&lt;wsp:rsid wsp:val=&quot;00125040&quot;/&gt;&lt;wsp:rsid wsp:val=&quot;00125C66&quot;/&gt;&lt;wsp:rsid wsp:val=&quot;00132C31&quot;/&gt;&lt;wsp:rsid wsp:val=&quot;00133F2C&quot;/&gt;&lt;wsp:rsid wsp:val=&quot;0013611D&quot;/&gt;&lt;wsp:rsid wsp:val=&quot;00144658&quot;/&gt;&lt;wsp:rsid wsp:val=&quot;0014762F&quot;/&gt;&lt;wsp:rsid wsp:val=&quot;0015773B&quot;/&gt;&lt;wsp:rsid wsp:val=&quot;00160202&quot;/&gt;&lt;wsp:rsid wsp:val=&quot;00160241&quot;/&gt;&lt;wsp:rsid wsp:val=&quot;0016187F&quot;/&gt;&lt;wsp:rsid wsp:val=&quot;00162691&quot;/&gt;&lt;wsp:rsid wsp:val=&quot;00162C69&quot;/&gt;&lt;wsp:rsid wsp:val=&quot;001676A3&quot;/&gt;&lt;wsp:rsid wsp:val=&quot;0016792B&quot;/&gt;&lt;wsp:rsid wsp:val=&quot;00167BB4&quot;/&gt;&lt;wsp:rsid wsp:val=&quot;00181B28&quot;/&gt;&lt;wsp:rsid wsp:val=&quot;0019197F&quot;/&gt;&lt;wsp:rsid wsp:val=&quot;001956D4&quot;/&gt;&lt;wsp:rsid wsp:val=&quot;001A5B99&quot;/&gt;&lt;wsp:rsid wsp:val=&quot;001A6387&quot;/&gt;&lt;wsp:rsid wsp:val=&quot;001A6A49&quot;/&gt;&lt;wsp:rsid wsp:val=&quot;001B4D51&quot;/&gt;&lt;wsp:rsid wsp:val=&quot;001B5581&quot;/&gt;&lt;wsp:rsid wsp:val=&quot;001B761B&quot;/&gt;&lt;wsp:rsid wsp:val=&quot;001B7E04&quot;/&gt;&lt;wsp:rsid wsp:val=&quot;001C11D0&quot;/&gt;&lt;wsp:rsid wsp:val=&quot;001C5147&quot;/&gt;&lt;wsp:rsid wsp:val=&quot;001D002F&quot;/&gt;&lt;wsp:rsid wsp:val=&quot;001D21E6&quot;/&gt;&lt;wsp:rsid wsp:val=&quot;001D54A9&quot;/&gt;&lt;wsp:rsid wsp:val=&quot;001D5911&quot;/&gt;&lt;wsp:rsid wsp:val=&quot;001D72A2&quot;/&gt;&lt;wsp:rsid wsp:val=&quot;00214054&quot;/&gt;&lt;wsp:rsid wsp:val=&quot;00223420&quot;/&gt;&lt;wsp:rsid wsp:val=&quot;00223B9C&quot;/&gt;&lt;wsp:rsid wsp:val=&quot;0022612A&quot;/&gt;&lt;wsp:rsid wsp:val=&quot;00226D4C&quot;/&gt;&lt;wsp:rsid wsp:val=&quot;002308B8&quot;/&gt;&lt;wsp:rsid wsp:val=&quot;002309EB&quot;/&gt;&lt;wsp:rsid wsp:val=&quot;0023101D&quot;/&gt;&lt;wsp:rsid wsp:val=&quot;002310C6&quot;/&gt;&lt;wsp:rsid wsp:val=&quot;002321B1&quot;/&gt;&lt;wsp:rsid wsp:val=&quot;0023257D&quot;/&gt;&lt;wsp:rsid wsp:val=&quot;00232FDF&quot;/&gt;&lt;wsp:rsid wsp:val=&quot;002346DC&quot;/&gt;&lt;wsp:rsid wsp:val=&quot;0023635F&quot;/&gt;&lt;wsp:rsid wsp:val=&quot;00241F35&quot;/&gt;&lt;wsp:rsid wsp:val=&quot;00250F35&quot;/&gt;&lt;wsp:rsid wsp:val=&quot;00253C60&quot;/&gt;&lt;wsp:rsid wsp:val=&quot;00256945&quot;/&gt;&lt;wsp:rsid wsp:val=&quot;002642CB&quot;/&gt;&lt;wsp:rsid wsp:val=&quot;0026556B&quot;/&gt;&lt;wsp:rsid wsp:val=&quot;00270694&quot;/&gt;&lt;wsp:rsid wsp:val=&quot;00270781&quot;/&gt;&lt;wsp:rsid wsp:val=&quot;00271E97&quot;/&gt;&lt;wsp:rsid wsp:val=&quot;002908EE&quot;/&gt;&lt;wsp:rsid wsp:val=&quot;00292401&quot;/&gt;&lt;wsp:rsid wsp:val=&quot;0029391A&quot;/&gt;&lt;wsp:rsid wsp:val=&quot;0029659A&quot;/&gt;&lt;wsp:rsid wsp:val=&quot;002A0C23&quot;/&gt;&lt;wsp:rsid wsp:val=&quot;002A27DA&quot;/&gt;&lt;wsp:rsid wsp:val=&quot;002B29EB&quot;/&gt;&lt;wsp:rsid wsp:val=&quot;002B3683&quot;/&gt;&lt;wsp:rsid wsp:val=&quot;002B3C67&quot;/&gt;&lt;wsp:rsid wsp:val=&quot;002B70CB&quot;/&gt;&lt;wsp:rsid wsp:val=&quot;002C007F&quot;/&gt;&lt;wsp:rsid wsp:val=&quot;002D03B2&quot;/&gt;&lt;wsp:rsid wsp:val=&quot;002D2717&quot;/&gt;&lt;wsp:rsid wsp:val=&quot;002D37C6&quot;/&gt;&lt;wsp:rsid wsp:val=&quot;002D4812&quot;/&gt;&lt;wsp:rsid wsp:val=&quot;002D54F2&quot;/&gt;&lt;wsp:rsid wsp:val=&quot;002D5955&quot;/&gt;&lt;wsp:rsid wsp:val=&quot;002E161B&quot;/&gt;&lt;wsp:rsid wsp:val=&quot;002E4B34&quot;/&gt;&lt;wsp:rsid wsp:val=&quot;002E6007&quot;/&gt;&lt;wsp:rsid wsp:val=&quot;002F3AB4&quot;/&gt;&lt;wsp:rsid wsp:val=&quot;002F4A17&quot;/&gt;&lt;wsp:rsid wsp:val=&quot;002F4F68&quot;/&gt;&lt;wsp:rsid wsp:val=&quot;003020C0&quot;/&gt;&lt;wsp:rsid wsp:val=&quot;0030216A&quot;/&gt;&lt;wsp:rsid wsp:val=&quot;00302207&quot;/&gt;&lt;wsp:rsid wsp:val=&quot;00302A29&quot;/&gt;&lt;wsp:rsid wsp:val=&quot;003110BA&quot;/&gt;&lt;wsp:rsid wsp:val=&quot;003133BD&quot;/&gt;&lt;wsp:rsid wsp:val=&quot;00321DBF&quot;/&gt;&lt;wsp:rsid wsp:val=&quot;00323BA2&quot;/&gt;&lt;wsp:rsid wsp:val=&quot;003247E5&quot;/&gt;&lt;wsp:rsid wsp:val=&quot;00327B96&quot;/&gt;&lt;wsp:rsid wsp:val=&quot;00330A0A&quot;/&gt;&lt;wsp:rsid wsp:val=&quot;003350EB&quot;/&gt;&lt;wsp:rsid wsp:val=&quot;00337860&quot;/&gt;&lt;wsp:rsid wsp:val=&quot;00341326&quot;/&gt;&lt;wsp:rsid wsp:val=&quot;003419EC&quot;/&gt;&lt;wsp:rsid wsp:val=&quot;003430E0&quot;/&gt;&lt;wsp:rsid wsp:val=&quot;00343CDF&quot;/&gt;&lt;wsp:rsid wsp:val=&quot;003450E6&quot;/&gt;&lt;wsp:rsid wsp:val=&quot;00350AF0&quot;/&gt;&lt;wsp:rsid wsp:val=&quot;00350E69&quot;/&gt;&lt;wsp:rsid wsp:val=&quot;003532C9&quot;/&gt;&lt;wsp:rsid wsp:val=&quot;003536C6&quot;/&gt;&lt;wsp:rsid wsp:val=&quot;003560BC&quot;/&gt;&lt;wsp:rsid wsp:val=&quot;003567DD&quot;/&gt;&lt;wsp:rsid wsp:val=&quot;0036459D&quot;/&gt;&lt;wsp:rsid wsp:val=&quot;00367107&quot;/&gt;&lt;wsp:rsid wsp:val=&quot;00374C60&quot;/&gt;&lt;wsp:rsid wsp:val=&quot;003822B8&quot;/&gt;&lt;wsp:rsid wsp:val=&quot;00384522&quot;/&gt;&lt;wsp:rsid wsp:val=&quot;00386528&quot;/&gt;&lt;wsp:rsid wsp:val=&quot;003A0D9E&quot;/&gt;&lt;wsp:rsid wsp:val=&quot;003A760E&quot;/&gt;&lt;wsp:rsid wsp:val=&quot;003A7B4F&quot;/&gt;&lt;wsp:rsid wsp:val=&quot;003B3450&quot;/&gt;&lt;wsp:rsid wsp:val=&quot;003C0577&quot;/&gt;&lt;wsp:rsid wsp:val=&quot;003C4281&quot;/&gt;&lt;wsp:rsid wsp:val=&quot;003C70A3&quot;/&gt;&lt;wsp:rsid wsp:val=&quot;003C735D&quot;/&gt;&lt;wsp:rsid wsp:val=&quot;003F01F9&quot;/&gt;&lt;wsp:rsid wsp:val=&quot;003F1041&quot;/&gt;&lt;wsp:rsid wsp:val=&quot;003F270D&quot;/&gt;&lt;wsp:rsid wsp:val=&quot;003F304C&quot;/&gt;&lt;wsp:rsid wsp:val=&quot;003F4135&quot;/&gt;&lt;wsp:rsid wsp:val=&quot;003F612B&quot;/&gt;&lt;wsp:rsid wsp:val=&quot;00400C74&quot;/&gt;&lt;wsp:rsid wsp:val=&quot;004027FB&quot;/&gt;&lt;wsp:rsid wsp:val=&quot;00402FA5&quot;/&gt;&lt;wsp:rsid wsp:val=&quot;00403417&quot;/&gt;&lt;wsp:rsid wsp:val=&quot;00405152&quot;/&gt;&lt;wsp:rsid wsp:val=&quot;004054DA&quot;/&gt;&lt;wsp:rsid wsp:val=&quot;00405F0F&quot;/&gt;&lt;wsp:rsid wsp:val=&quot;00412400&quot;/&gt;&lt;wsp:rsid wsp:val=&quot;0041666B&quot;/&gt;&lt;wsp:rsid wsp:val=&quot;0042091A&quot;/&gt;&lt;wsp:rsid wsp:val=&quot;00424343&quot;/&gt;&lt;wsp:rsid wsp:val=&quot;0042455D&quot;/&gt;&lt;wsp:rsid wsp:val=&quot;0042481C&quot;/&gt;&lt;wsp:rsid wsp:val=&quot;00427007&quot;/&gt;&lt;wsp:rsid wsp:val=&quot;0043333C&quot;/&gt;&lt;wsp:rsid wsp:val=&quot;00441345&quot;/&gt;&lt;wsp:rsid wsp:val=&quot;00441722&quot;/&gt;&lt;wsp:rsid wsp:val=&quot;00443153&quot;/&gt;&lt;wsp:rsid wsp:val=&quot;00444774&quot;/&gt;&lt;wsp:rsid wsp:val=&quot;0044504C&quot;/&gt;&lt;wsp:rsid wsp:val=&quot;004472B0&quot;/&gt;&lt;wsp:rsid wsp:val=&quot;00450F7F&quot;/&gt;&lt;wsp:rsid wsp:val=&quot;00466BA5&quot;/&gt;&lt;wsp:rsid wsp:val=&quot;00467581&quot;/&gt;&lt;wsp:rsid wsp:val=&quot;00470AB2&quot;/&gt;&lt;wsp:rsid wsp:val=&quot;004715C0&quot;/&gt;&lt;wsp:rsid wsp:val=&quot;00474E99&quot;/&gt;&lt;wsp:rsid wsp:val=&quot;00476399&quot;/&gt;&lt;wsp:rsid wsp:val=&quot;004766D2&quot;/&gt;&lt;wsp:rsid wsp:val=&quot;00476798&quot;/&gt;&lt;wsp:rsid wsp:val=&quot;00480C80&quot;/&gt;&lt;wsp:rsid wsp:val=&quot;0048461B&quot;/&gt;&lt;wsp:rsid wsp:val=&quot;00485852&quot;/&gt;&lt;wsp:rsid wsp:val=&quot;004878F0&quot;/&gt;&lt;wsp:rsid wsp:val=&quot;00490E8E&quot;/&gt;&lt;wsp:rsid wsp:val=&quot;00491B21&quot;/&gt;&lt;wsp:rsid wsp:val=&quot;004940E7&quot;/&gt;&lt;wsp:rsid wsp:val=&quot;004A3150&quot;/&gt;&lt;wsp:rsid wsp:val=&quot;004A5F7F&quot;/&gt;&lt;wsp:rsid wsp:val=&quot;004A6A65&quot;/&gt;&lt;wsp:rsid wsp:val=&quot;004A72DC&quot;/&gt;&lt;wsp:rsid wsp:val=&quot;004A7539&quot;/&gt;&lt;wsp:rsid wsp:val=&quot;004A7D61&quot;/&gt;&lt;wsp:rsid wsp:val=&quot;004B3873&quot;/&gt;&lt;wsp:rsid wsp:val=&quot;004C1211&quot;/&gt;&lt;wsp:rsid wsp:val=&quot;004C71FC&quot;/&gt;&lt;wsp:rsid wsp:val=&quot;004D0AFD&quot;/&gt;&lt;wsp:rsid wsp:val=&quot;004D2442&quot;/&gt;&lt;wsp:rsid wsp:val=&quot;004D2882&quot;/&gt;&lt;wsp:rsid wsp:val=&quot;004D36EF&quot;/&gt;&lt;wsp:rsid wsp:val=&quot;004D4246&quot;/&gt;&lt;wsp:rsid wsp:val=&quot;004D4B83&quot;/&gt;&lt;wsp:rsid wsp:val=&quot;004D73DF&quot;/&gt;&lt;wsp:rsid wsp:val=&quot;004D76C5&quot;/&gt;&lt;wsp:rsid wsp:val=&quot;004E254F&quot;/&gt;&lt;wsp:rsid wsp:val=&quot;004E6D8C&quot;/&gt;&lt;wsp:rsid wsp:val=&quot;004F16BF&quot;/&gt;&lt;wsp:rsid wsp:val=&quot;004F3987&quot;/&gt;&lt;wsp:rsid wsp:val=&quot;004F749C&quot;/&gt;&lt;wsp:rsid wsp:val=&quot;00500338&quot;/&gt;&lt;wsp:rsid wsp:val=&quot;005038D7&quot;/&gt;&lt;wsp:rsid wsp:val=&quot;00504432&quot;/&gt;&lt;wsp:rsid wsp:val=&quot;005047E3&quot;/&gt;&lt;wsp:rsid wsp:val=&quot;005048FE&quot;/&gt;&lt;wsp:rsid wsp:val=&quot;005067E3&quot;/&gt;&lt;wsp:rsid wsp:val=&quot;00511385&quot;/&gt;&lt;wsp:rsid wsp:val=&quot;00520D4A&quot;/&gt;&lt;wsp:rsid wsp:val=&quot;00523F84&quot;/&gt;&lt;wsp:rsid wsp:val=&quot;0052718D&quot;/&gt;&lt;wsp:rsid wsp:val=&quot;00531495&quot;/&gt;&lt;wsp:rsid wsp:val=&quot;00535147&quot;/&gt;&lt;wsp:rsid wsp:val=&quot;005357B4&quot;/&gt;&lt;wsp:rsid wsp:val=&quot;00536AF3&quot;/&gt;&lt;wsp:rsid wsp:val=&quot;005458C4&quot;/&gt;&lt;wsp:rsid wsp:val=&quot;005458CF&quot;/&gt;&lt;wsp:rsid wsp:val=&quot;00546D12&quot;/&gt;&lt;wsp:rsid wsp:val=&quot;00552A99&quot;/&gt;&lt;wsp:rsid wsp:val=&quot;00556426&quot;/&gt;&lt;wsp:rsid wsp:val=&quot;00560E6E&quot;/&gt;&lt;wsp:rsid wsp:val=&quot;00561C42&quot;/&gt;&lt;wsp:rsid wsp:val=&quot;00561E55&quot;/&gt;&lt;wsp:rsid wsp:val=&quot;00562E3C&quot;/&gt;&lt;wsp:rsid wsp:val=&quot;005633D4&quot;/&gt;&lt;wsp:rsid wsp:val=&quot;005645D8&quot;/&gt;&lt;wsp:rsid wsp:val=&quot;005656F7&quot;/&gt;&lt;wsp:rsid wsp:val=&quot;00570EBD&quot;/&gt;&lt;wsp:rsid wsp:val=&quot;005736E5&quot;/&gt;&lt;wsp:rsid wsp:val=&quot;005746FA&quot;/&gt;&lt;wsp:rsid wsp:val=&quot;00576230&quot;/&gt;&lt;wsp:rsid wsp:val=&quot;00577D58&quot;/&gt;&lt;wsp:rsid wsp:val=&quot;00582DC6&quot;/&gt;&lt;wsp:rsid wsp:val=&quot;00584037&quot;/&gt;&lt;wsp:rsid wsp:val=&quot;005855F0&quot;/&gt;&lt;wsp:rsid wsp:val=&quot;00593120&quot;/&gt;&lt;wsp:rsid wsp:val=&quot;005B13C7&quot;/&gt;&lt;wsp:rsid wsp:val=&quot;005B386A&quot;/&gt;&lt;wsp:rsid wsp:val=&quot;005B3B53&quot;/&gt;&lt;wsp:rsid wsp:val=&quot;005B3E7B&quot;/&gt;&lt;wsp:rsid wsp:val=&quot;005C05AB&quot;/&gt;&lt;wsp:rsid wsp:val=&quot;005C5ECF&quot;/&gt;&lt;wsp:rsid wsp:val=&quot;005C7FA2&quot;/&gt;&lt;wsp:rsid wsp:val=&quot;005D3ACB&quot;/&gt;&lt;wsp:rsid wsp:val=&quot;005D3F20&quot;/&gt;&lt;wsp:rsid wsp:val=&quot;005D688A&quot;/&gt;&lt;wsp:rsid wsp:val=&quot;005E4282&quot;/&gt;&lt;wsp:rsid wsp:val=&quot;005E481B&quot;/&gt;&lt;wsp:rsid wsp:val=&quot;005E7CA8&quot;/&gt;&lt;wsp:rsid wsp:val=&quot;005F0CA9&quot;/&gt;&lt;wsp:rsid wsp:val=&quot;005F1FC8&quot;/&gt;&lt;wsp:rsid wsp:val=&quot;005F24CB&quot;/&gt;&lt;wsp:rsid wsp:val=&quot;005F3613&quot;/&gt;&lt;wsp:rsid wsp:val=&quot;006024DA&quot;/&gt;&lt;wsp:rsid wsp:val=&quot;00613B7A&quot;/&gt;&lt;wsp:rsid wsp:val=&quot;00625D17&quot;/&gt;&lt;wsp:rsid wsp:val=&quot;00631A7F&quot;/&gt;&lt;wsp:rsid wsp:val=&quot;00636D04&quot;/&gt;&lt;wsp:rsid wsp:val=&quot;00636E7C&quot;/&gt;&lt;wsp:rsid wsp:val=&quot;00637111&quot;/&gt;&lt;wsp:rsid wsp:val=&quot;006376F6&quot;/&gt;&lt;wsp:rsid wsp:val=&quot;00640684&quot;/&gt;&lt;wsp:rsid wsp:val=&quot;00643D6B&quot;/&gt;&lt;wsp:rsid wsp:val=&quot;00643E33&quot;/&gt;&lt;wsp:rsid wsp:val=&quot;00646A4F&quot;/&gt;&lt;wsp:rsid wsp:val=&quot;00651842&quot;/&gt;&lt;wsp:rsid wsp:val=&quot;00651FE3&quot;/&gt;&lt;wsp:rsid wsp:val=&quot;00663F89&quot;/&gt;&lt;wsp:rsid wsp:val=&quot;00665627&quot;/&gt;&lt;wsp:rsid wsp:val=&quot;00665809&quot;/&gt;&lt;wsp:rsid wsp:val=&quot;00665A76&quot;/&gt;&lt;wsp:rsid wsp:val=&quot;00670744&quot;/&gt;&lt;wsp:rsid wsp:val=&quot;00675726&quot;/&gt;&lt;wsp:rsid wsp:val=&quot;006772AB&quot;/&gt;&lt;wsp:rsid wsp:val=&quot;006775FA&quot;/&gt;&lt;wsp:rsid wsp:val=&quot;006815DE&quot;/&gt;&lt;wsp:rsid wsp:val=&quot;00681E28&quot;/&gt;&lt;wsp:rsid wsp:val=&quot;0068625C&quot;/&gt;&lt;wsp:rsid wsp:val=&quot;006867FD&quot;/&gt;&lt;wsp:rsid wsp:val=&quot;00691D3C&quot;/&gt;&lt;wsp:rsid wsp:val=&quot;0069254B&quot;/&gt;&lt;wsp:rsid wsp:val=&quot;00693D0F&quot;/&gt;&lt;wsp:rsid wsp:val=&quot;00694054&quot;/&gt;&lt;wsp:rsid wsp:val=&quot;006942C5&quot;/&gt;&lt;wsp:rsid wsp:val=&quot;00694DDA&quot;/&gt;&lt;wsp:rsid wsp:val=&quot;00697059&quot;/&gt;&lt;wsp:rsid wsp:val=&quot;006A2D20&quot;/&gt;&lt;wsp:rsid wsp:val=&quot;006A3E1A&quot;/&gt;&lt;wsp:rsid wsp:val=&quot;006A6F12&quot;/&gt;&lt;wsp:rsid wsp:val=&quot;006B0430&quot;/&gt;&lt;wsp:rsid wsp:val=&quot;006B38ED&quot;/&gt;&lt;wsp:rsid wsp:val=&quot;006B456F&quot;/&gt;&lt;wsp:rsid wsp:val=&quot;006B46F3&quot;/&gt;&lt;wsp:rsid wsp:val=&quot;006B478A&quot;/&gt;&lt;wsp:rsid wsp:val=&quot;006C1F31&quot;/&gt;&lt;wsp:rsid wsp:val=&quot;006C2BF5&quot;/&gt;&lt;wsp:rsid wsp:val=&quot;006D0A48&quot;/&gt;&lt;wsp:rsid wsp:val=&quot;006D21B3&quot;/&gt;&lt;wsp:rsid wsp:val=&quot;006D2DAD&quot;/&gt;&lt;wsp:rsid wsp:val=&quot;006D3BA6&quot;/&gt;&lt;wsp:rsid wsp:val=&quot;006D58ED&quot;/&gt;&lt;wsp:rsid wsp:val=&quot;006E0EF5&quot;/&gt;&lt;wsp:rsid wsp:val=&quot;006E68EE&quot;/&gt;&lt;wsp:rsid wsp:val=&quot;006F0165&quot;/&gt;&lt;wsp:rsid wsp:val=&quot;006F1C10&quot;/&gt;&lt;wsp:rsid wsp:val=&quot;007049F4&quot;/&gt;&lt;wsp:rsid wsp:val=&quot;00716982&quot;/&gt;&lt;wsp:rsid wsp:val=&quot;00720D0A&quot;/&gt;&lt;wsp:rsid wsp:val=&quot;007246E9&quot;/&gt;&lt;wsp:rsid wsp:val=&quot;00724801&quot;/&gt;&lt;wsp:rsid wsp:val=&quot;00726AC2&quot;/&gt;&lt;wsp:rsid wsp:val=&quot;00727C48&quot;/&gt;&lt;wsp:rsid wsp:val=&quot;00732E64&quot;/&gt;&lt;wsp:rsid wsp:val=&quot;00734206&quot;/&gt;&lt;wsp:rsid wsp:val=&quot;00735D81&quot;/&gt;&lt;wsp:rsid wsp:val=&quot;00745F7A&quot;/&gt;&lt;wsp:rsid wsp:val=&quot;0076143A&quot;/&gt;&lt;wsp:rsid wsp:val=&quot;00762646&quot;/&gt;&lt;wsp:rsid wsp:val=&quot;00764566&quot;/&gt;&lt;wsp:rsid wsp:val=&quot;007815BA&quot;/&gt;&lt;wsp:rsid wsp:val=&quot;00782D19&quot;/&gt;&lt;wsp:rsid wsp:val=&quot;00791B8B&quot;/&gt;&lt;wsp:rsid wsp:val=&quot;00792BFE&quot;/&gt;&lt;wsp:rsid wsp:val=&quot;00795254&quot;/&gt;&lt;wsp:rsid wsp:val=&quot;00797066&quot;/&gt;&lt;wsp:rsid wsp:val=&quot;007A263C&quot;/&gt;&lt;wsp:rsid wsp:val=&quot;007B0345&quot;/&gt;&lt;wsp:rsid wsp:val=&quot;007B15AE&quot;/&gt;&lt;wsp:rsid wsp:val=&quot;007B186A&quot;/&gt;&lt;wsp:rsid wsp:val=&quot;007B2584&quot;/&gt;&lt;wsp:rsid wsp:val=&quot;007B4B49&quot;/&gt;&lt;wsp:rsid wsp:val=&quot;007B7BFE&quot;/&gt;&lt;wsp:rsid wsp:val=&quot;007C078B&quot;/&gt;&lt;wsp:rsid wsp:val=&quot;007C1B3B&quot;/&gt;&lt;wsp:rsid wsp:val=&quot;007C61DD&quot;/&gt;&lt;wsp:rsid wsp:val=&quot;007D37D1&quot;/&gt;&lt;wsp:rsid wsp:val=&quot;007D3D6F&quot;/&gt;&lt;wsp:rsid wsp:val=&quot;007D4D68&quot;/&gt;&lt;wsp:rsid wsp:val=&quot;007D7B43&quot;/&gt;&lt;wsp:rsid wsp:val=&quot;007E07D1&quot;/&gt;&lt;wsp:rsid wsp:val=&quot;007E2C87&quot;/&gt;&lt;wsp:rsid wsp:val=&quot;007F08D0&quot;/&gt;&lt;wsp:rsid wsp:val=&quot;007F33E7&quot;/&gt;&lt;wsp:rsid wsp:val=&quot;007F4ACB&quot;/&gt;&lt;wsp:rsid wsp:val=&quot;007F7003&quot;/&gt;&lt;wsp:rsid wsp:val=&quot;007F7B70&quot;/&gt;&lt;wsp:rsid wsp:val=&quot;008000C2&quot;/&gt;&lt;wsp:rsid wsp:val=&quot;008063EE&quot;/&gt;&lt;wsp:rsid wsp:val=&quot;00812F9A&quot;/&gt;&lt;wsp:rsid wsp:val=&quot;00817885&quot;/&gt;&lt;wsp:rsid wsp:val=&quot;00820602&quot;/&gt;&lt;wsp:rsid wsp:val=&quot;00825956&quot;/&gt;&lt;wsp:rsid wsp:val=&quot;00834187&quot;/&gt;&lt;wsp:rsid wsp:val=&quot;0083443E&quot;/&gt;&lt;wsp:rsid wsp:val=&quot;00844CE8&quot;/&gt;&lt;wsp:rsid wsp:val=&quot;00845BC8&quot;/&gt;&lt;wsp:rsid wsp:val=&quot;00846E89&quot;/&gt;&lt;wsp:rsid wsp:val=&quot;0085299C&quot;/&gt;&lt;wsp:rsid wsp:val=&quot;00855304&quot;/&gt;&lt;wsp:rsid wsp:val=&quot;00857635&quot;/&gt;&lt;wsp:rsid wsp:val=&quot;00857959&quot;/&gt;&lt;wsp:rsid wsp:val=&quot;0086699F&quot;/&gt;&lt;wsp:rsid wsp:val=&quot;00881165&quot;/&gt;&lt;wsp:rsid wsp:val=&quot;0088790C&quot;/&gt;&lt;wsp:rsid wsp:val=&quot;00890032&quot;/&gt;&lt;wsp:rsid wsp:val=&quot;00891E51&quot;/&gt;&lt;wsp:rsid wsp:val=&quot;00892871&quot;/&gt;&lt;wsp:rsid wsp:val=&quot;00893558&quot;/&gt;&lt;wsp:rsid wsp:val=&quot;00894F80&quot;/&gt;&lt;wsp:rsid wsp:val=&quot;008962C6&quot;/&gt;&lt;wsp:rsid wsp:val=&quot;008A2F55&quot;/&gt;&lt;wsp:rsid wsp:val=&quot;008A38B4&quot;/&gt;&lt;wsp:rsid wsp:val=&quot;008A59D8&quot;/&gt;&lt;wsp:rsid wsp:val=&quot;008A7856&quot;/&gt;&lt;wsp:rsid wsp:val=&quot;008A7DBB&quot;/&gt;&lt;wsp:rsid wsp:val=&quot;008B4100&quot;/&gt;&lt;wsp:rsid wsp:val=&quot;008C55AE&quot;/&gt;&lt;wsp:rsid wsp:val=&quot;008D1218&quot;/&gt;&lt;wsp:rsid wsp:val=&quot;008D2DD2&quot;/&gt;&lt;wsp:rsid wsp:val=&quot;008D4B3D&quot;/&gt;&lt;wsp:rsid wsp:val=&quot;008E1EAF&quot;/&gt;&lt;wsp:rsid wsp:val=&quot;008E2DB4&quot;/&gt;&lt;wsp:rsid wsp:val=&quot;008E4AE5&quot;/&gt;&lt;wsp:rsid wsp:val=&quot;008E5E5F&quot;/&gt;&lt;wsp:rsid wsp:val=&quot;008F13B0&quot;/&gt;&lt;wsp:rsid wsp:val=&quot;008F3E93&quot;/&gt;&lt;wsp:rsid wsp:val=&quot;008F57E2&quot;/&gt;&lt;wsp:rsid wsp:val=&quot;008F7DA3&quot;/&gt;&lt;wsp:rsid wsp:val=&quot;00900D99&quot;/&gt;&lt;wsp:rsid wsp:val=&quot;00902836&quot;/&gt;&lt;wsp:rsid wsp:val=&quot;009040D3&quot;/&gt;&lt;wsp:rsid wsp:val=&quot;009077E5&quot;/&gt;&lt;wsp:rsid wsp:val=&quot;00915E05&quot;/&gt;&lt;wsp:rsid wsp:val=&quot;00923E97&quot;/&gt;&lt;wsp:rsid wsp:val=&quot;009241C7&quot;/&gt;&lt;wsp:rsid wsp:val=&quot;009256A1&quot;/&gt;&lt;wsp:rsid wsp:val=&quot;00926376&quot;/&gt;&lt;wsp:rsid wsp:val=&quot;00931AA5&quot;/&gt;&lt;wsp:rsid wsp:val=&quot;00933A4E&quot;/&gt;&lt;wsp:rsid wsp:val=&quot;0093793B&quot;/&gt;&lt;wsp:rsid wsp:val=&quot;009463EE&quot;/&gt;&lt;wsp:rsid wsp:val=&quot;0094704E&quot;/&gt;&lt;wsp:rsid wsp:val=&quot;009524CA&quot;/&gt;&lt;wsp:rsid wsp:val=&quot;00956CE0&quot;/&gt;&lt;wsp:rsid wsp:val=&quot;009624DE&quot;/&gt;&lt;wsp:rsid wsp:val=&quot;0096487E&quot;/&gt;&lt;wsp:rsid wsp:val=&quot;00964E29&quot;/&gt;&lt;wsp:rsid wsp:val=&quot;00966E79&quot;/&gt;&lt;wsp:rsid wsp:val=&quot;009722E9&quot;/&gt;&lt;wsp:rsid wsp:val=&quot;0097299C&quot;/&gt;&lt;wsp:rsid wsp:val=&quot;00974672&quot;/&gt;&lt;wsp:rsid wsp:val=&quot;00975E8A&quot;/&gt;&lt;wsp:rsid wsp:val=&quot;00976411&quot;/&gt;&lt;wsp:rsid wsp:val=&quot;00985AF4&quot;/&gt;&lt;wsp:rsid wsp:val=&quot;0099078C&quot;/&gt;&lt;wsp:rsid wsp:val=&quot;00997A8B&quot;/&gt;&lt;wsp:rsid wsp:val=&quot;009A1557&quot;/&gt;&lt;wsp:rsid wsp:val=&quot;009A18D6&quot;/&gt;&lt;wsp:rsid wsp:val=&quot;009A2E28&quot;/&gt;&lt;wsp:rsid wsp:val=&quot;009B0EC4&quot;/&gt;&lt;wsp:rsid wsp:val=&quot;009C0486&quot;/&gt;&lt;wsp:rsid wsp:val=&quot;009C1FEA&quot;/&gt;&lt;wsp:rsid wsp:val=&quot;009C2543&quot;/&gt;&lt;wsp:rsid wsp:val=&quot;009C72CC&quot;/&gt;&lt;wsp:rsid wsp:val=&quot;009D06F0&quot;/&gt;&lt;wsp:rsid wsp:val=&quot;009D16F7&quot;/&gt;&lt;wsp:rsid wsp:val=&quot;009D1DFC&quot;/&gt;&lt;wsp:rsid wsp:val=&quot;009D52D0&quot;/&gt;&lt;wsp:rsid wsp:val=&quot;009D71EF&quot;/&gt;&lt;wsp:rsid wsp:val=&quot;009D7BFE&quot;/&gt;&lt;wsp:rsid wsp:val=&quot;009D7FA7&quot;/&gt;&lt;wsp:rsid wsp:val=&quot;009E025C&quot;/&gt;&lt;wsp:rsid wsp:val=&quot;009E0551&quot;/&gt;&lt;wsp:rsid wsp:val=&quot;009E0F36&quot;/&gt;&lt;wsp:rsid wsp:val=&quot;009E33F9&quot;/&gt;&lt;wsp:rsid wsp:val=&quot;009E5D90&quot;/&gt;&lt;wsp:rsid wsp:val=&quot;009E78A1&quot;/&gt;&lt;wsp:rsid wsp:val=&quot;009F3B3D&quot;/&gt;&lt;wsp:rsid wsp:val=&quot;009F4CCE&quot;/&gt;&lt;wsp:rsid wsp:val=&quot;009F631B&quot;/&gt;&lt;wsp:rsid wsp:val=&quot;009F7115&quot;/&gt;&lt;wsp:rsid wsp:val=&quot;009F7E36&quot;/&gt;&lt;wsp:rsid wsp:val=&quot;00A0129F&quot;/&gt;&lt;wsp:rsid wsp:val=&quot;00A03281&quot;/&gt;&lt;wsp:rsid wsp:val=&quot;00A04394&quot;/&gt;&lt;wsp:rsid wsp:val=&quot;00A043BA&quot;/&gt;&lt;wsp:rsid wsp:val=&quot;00A0583F&quot;/&gt;&lt;wsp:rsid wsp:val=&quot;00A14533&quot;/&gt;&lt;wsp:rsid wsp:val=&quot;00A16644&quot;/&gt;&lt;wsp:rsid wsp:val=&quot;00A20781&quot;/&gt;&lt;wsp:rsid wsp:val=&quot;00A2220E&quot;/&gt;&lt;wsp:rsid wsp:val=&quot;00A22502&quot;/&gt;&lt;wsp:rsid wsp:val=&quot;00A31E3F&quot;/&gt;&lt;wsp:rsid wsp:val=&quot;00A3436B&quot;/&gt;&lt;wsp:rsid wsp:val=&quot;00A3449C&quot;/&gt;&lt;wsp:rsid wsp:val=&quot;00A34516&quot;/&gt;&lt;wsp:rsid wsp:val=&quot;00A34D77&quot;/&gt;&lt;wsp:rsid wsp:val=&quot;00A36420&quot;/&gt;&lt;wsp:rsid wsp:val=&quot;00A401B8&quot;/&gt;&lt;wsp:rsid wsp:val=&quot;00A43A53&quot;/&gt;&lt;wsp:rsid wsp:val=&quot;00A45071&quot;/&gt;&lt;wsp:rsid wsp:val=&quot;00A50FB8&quot;/&gt;&lt;wsp:rsid wsp:val=&quot;00A576E2&quot;/&gt;&lt;wsp:rsid wsp:val=&quot;00A63DB5&quot;/&gt;&lt;wsp:rsid wsp:val=&quot;00A6579D&quot;/&gt;&lt;wsp:rsid wsp:val=&quot;00A66026&quot;/&gt;&lt;wsp:rsid wsp:val=&quot;00A71A07&quot;/&gt;&lt;wsp:rsid wsp:val=&quot;00A73DFD&quot;/&gt;&lt;wsp:rsid wsp:val=&quot;00A75C75&quot;/&gt;&lt;wsp:rsid wsp:val=&quot;00A77835&quot;/&gt;&lt;wsp:rsid wsp:val=&quot;00A8073B&quot;/&gt;&lt;wsp:rsid wsp:val=&quot;00A81BC2&quot;/&gt;&lt;wsp:rsid wsp:val=&quot;00A82896&quot;/&gt;&lt;wsp:rsid wsp:val=&quot;00A85E79&quot;/&gt;&lt;wsp:rsid wsp:val=&quot;00A86450&quot;/&gt;&lt;wsp:rsid wsp:val=&quot;00A878AD&quot;/&gt;&lt;wsp:rsid wsp:val=&quot;00A90FAC&quot;/&gt;&lt;wsp:rsid wsp:val=&quot;00A924F1&quot;/&gt;&lt;wsp:rsid wsp:val=&quot;00A95083&quot;/&gt;&lt;wsp:rsid wsp:val=&quot;00AA13E7&quot;/&gt;&lt;wsp:rsid wsp:val=&quot;00AA50A2&quot;/&gt;&lt;wsp:rsid wsp:val=&quot;00AB7A55&quot;/&gt;&lt;wsp:rsid wsp:val=&quot;00AC11CE&quot;/&gt;&lt;wsp:rsid wsp:val=&quot;00AC2DF8&quot;/&gt;&lt;wsp:rsid wsp:val=&quot;00AC3BF6&quot;/&gt;&lt;wsp:rsid wsp:val=&quot;00AC5515&quot;/&gt;&lt;wsp:rsid wsp:val=&quot;00AC5F8A&quot;/&gt;&lt;wsp:rsid wsp:val=&quot;00AE186F&quot;/&gt;&lt;wsp:rsid wsp:val=&quot;00AE51B1&quot;/&gt;&lt;wsp:rsid wsp:val=&quot;00AE5500&quot;/&gt;&lt;wsp:rsid wsp:val=&quot;00AE5CC0&quot;/&gt;&lt;wsp:rsid wsp:val=&quot;00AF02FB&quot;/&gt;&lt;wsp:rsid wsp:val=&quot;00AF1750&quot;/&gt;&lt;wsp:rsid wsp:val=&quot;00AF3533&quot;/&gt;&lt;wsp:rsid wsp:val=&quot;00B01109&quot;/&gt;&lt;wsp:rsid wsp:val=&quot;00B02F4A&quot;/&gt;&lt;wsp:rsid wsp:val=&quot;00B0543C&quot;/&gt;&lt;wsp:rsid wsp:val=&quot;00B0597C&quot;/&gt;&lt;wsp:rsid wsp:val=&quot;00B06B24&quot;/&gt;&lt;wsp:rsid wsp:val=&quot;00B079DF&quot;/&gt;&lt;wsp:rsid wsp:val=&quot;00B1433E&quot;/&gt;&lt;wsp:rsid wsp:val=&quot;00B1591A&quot;/&gt;&lt;wsp:rsid wsp:val=&quot;00B267E9&quot;/&gt;&lt;wsp:rsid wsp:val=&quot;00B35E35&quot;/&gt;&lt;wsp:rsid wsp:val=&quot;00B406C4&quot;/&gt;&lt;wsp:rsid wsp:val=&quot;00B40C13&quot;/&gt;&lt;wsp:rsid wsp:val=&quot;00B43413&quot;/&gt;&lt;wsp:rsid wsp:val=&quot;00B47C10&quot;/&gt;&lt;wsp:rsid wsp:val=&quot;00B507B9&quot;/&gt;&lt;wsp:rsid wsp:val=&quot;00B52188&quot;/&gt;&lt;wsp:rsid wsp:val=&quot;00B523B7&quot;/&gt;&lt;wsp:rsid wsp:val=&quot;00B53E6A&quot;/&gt;&lt;wsp:rsid wsp:val=&quot;00B546DB&quot;/&gt;&lt;wsp:rsid wsp:val=&quot;00B553BB&quot;/&gt;&lt;wsp:rsid wsp:val=&quot;00B55FFD&quot;/&gt;&lt;wsp:rsid wsp:val=&quot;00B634A1&quot;/&gt;&lt;wsp:rsid wsp:val=&quot;00B65A5E&quot;/&gt;&lt;wsp:rsid wsp:val=&quot;00B65C82&quot;/&gt;&lt;wsp:rsid wsp:val=&quot;00B66849&quot;/&gt;&lt;wsp:rsid wsp:val=&quot;00B70DAF&quot;/&gt;&lt;wsp:rsid wsp:val=&quot;00B7263E&quot;/&gt;&lt;wsp:rsid wsp:val=&quot;00B74616&quot;/&gt;&lt;wsp:rsid wsp:val=&quot;00B7600E&quot;/&gt;&lt;wsp:rsid wsp:val=&quot;00B77E4E&quot;/&gt;&lt;wsp:rsid wsp:val=&quot;00B83D9A&quot;/&gt;&lt;wsp:rsid wsp:val=&quot;00B86B11&quot;/&gt;&lt;wsp:rsid wsp:val=&quot;00B87444&quot;/&gt;&lt;wsp:rsid wsp:val=&quot;00B92A9E&quot;/&gt;&lt;wsp:rsid wsp:val=&quot;00B9329D&quot;/&gt;&lt;wsp:rsid wsp:val=&quot;00B93591&quot;/&gt;&lt;wsp:rsid wsp:val=&quot;00B977D2&quot;/&gt;&lt;wsp:rsid wsp:val=&quot;00BA2B06&quot;/&gt;&lt;wsp:rsid wsp:val=&quot;00BA43A3&quot;/&gt;&lt;wsp:rsid wsp:val=&quot;00BA60DD&quot;/&gt;&lt;wsp:rsid wsp:val=&quot;00BB2FFB&quot;/&gt;&lt;wsp:rsid wsp:val=&quot;00BB3F6C&quot;/&gt;&lt;wsp:rsid wsp:val=&quot;00BB527F&quot;/&gt;&lt;wsp:rsid wsp:val=&quot;00BC14EF&quot;/&gt;&lt;wsp:rsid wsp:val=&quot;00BD0445&quot;/&gt;&lt;wsp:rsid wsp:val=&quot;00BD33DD&quot;/&gt;&lt;wsp:rsid wsp:val=&quot;00BE301D&quot;/&gt;&lt;wsp:rsid wsp:val=&quot;00BE6570&quot;/&gt;&lt;wsp:rsid wsp:val=&quot;00BF0318&quot;/&gt;&lt;wsp:rsid wsp:val=&quot;00BF2439&quot;/&gt;&lt;wsp:rsid wsp:val=&quot;00BF2DE0&quot;/&gt;&lt;wsp:rsid wsp:val=&quot;00BF4DA7&quot;/&gt;&lt;wsp:rsid wsp:val=&quot;00BF7DD2&quot;/&gt;&lt;wsp:rsid wsp:val=&quot;00C00598&quot;/&gt;&lt;wsp:rsid wsp:val=&quot;00C01842&quot;/&gt;&lt;wsp:rsid wsp:val=&quot;00C02284&quot;/&gt;&lt;wsp:rsid wsp:val=&quot;00C02A99&quot;/&gt;&lt;wsp:rsid wsp:val=&quot;00C06292&quot;/&gt;&lt;wsp:rsid wsp:val=&quot;00C06313&quot;/&gt;&lt;wsp:rsid wsp:val=&quot;00C074DF&quot;/&gt;&lt;wsp:rsid wsp:val=&quot;00C10E10&quot;/&gt;&lt;wsp:rsid wsp:val=&quot;00C1285C&quot;/&gt;&lt;wsp:rsid wsp:val=&quot;00C14BE3&quot;/&gt;&lt;wsp:rsid wsp:val=&quot;00C17BD7&quot;/&gt;&lt;wsp:rsid wsp:val=&quot;00C20386&quot;/&gt;&lt;wsp:rsid wsp:val=&quot;00C20C97&quot;/&gt;&lt;wsp:rsid wsp:val=&quot;00C246D0&quot;/&gt;&lt;wsp:rsid wsp:val=&quot;00C27EA7&quot;/&gt;&lt;wsp:rsid wsp:val=&quot;00C305C6&quot;/&gt;&lt;wsp:rsid wsp:val=&quot;00C31E3D&quot;/&gt;&lt;wsp:rsid wsp:val=&quot;00C3436F&quot;/&gt;&lt;wsp:rsid wsp:val=&quot;00C352B9&quot;/&gt;&lt;wsp:rsid wsp:val=&quot;00C3534D&quot;/&gt;&lt;wsp:rsid wsp:val=&quot;00C44282&quot;/&gt;&lt;wsp:rsid wsp:val=&quot;00C516B3&quot;/&gt;&lt;wsp:rsid wsp:val=&quot;00C52944&quot;/&gt;&lt;wsp:rsid wsp:val=&quot;00C66F41&quot;/&gt;&lt;wsp:rsid wsp:val=&quot;00C67306&quot;/&gt;&lt;wsp:rsid wsp:val=&quot;00C77548&quot;/&gt;&lt;wsp:rsid wsp:val=&quot;00C8357C&quot;/&gt;&lt;wsp:rsid wsp:val=&quot;00C844DE&quot;/&gt;&lt;wsp:rsid wsp:val=&quot;00C85477&quot;/&gt;&lt;wsp:rsid wsp:val=&quot;00C918E0&quot;/&gt;&lt;wsp:rsid wsp:val=&quot;00C9741E&quot;/&gt;&lt;wsp:rsid wsp:val=&quot;00C97F78&quot;/&gt;&lt;wsp:rsid wsp:val=&quot;00CA1452&quot;/&gt;&lt;wsp:rsid wsp:val=&quot;00CA395D&quot;/&gt;&lt;wsp:rsid wsp:val=&quot;00CA515C&quot;/&gt;&lt;wsp:rsid wsp:val=&quot;00CA6956&quot;/&gt;&lt;wsp:rsid wsp:val=&quot;00CB66E3&quot;/&gt;&lt;wsp:rsid wsp:val=&quot;00CC50ED&quot;/&gt;&lt;wsp:rsid wsp:val=&quot;00CC584A&quot;/&gt;&lt;wsp:rsid wsp:val=&quot;00CC5C27&quot;/&gt;&lt;wsp:rsid wsp:val=&quot;00CD62FE&quot;/&gt;&lt;wsp:rsid wsp:val=&quot;00CE0968&quot;/&gt;&lt;wsp:rsid wsp:val=&quot;00CE3529&quot;/&gt;&lt;wsp:rsid wsp:val=&quot;00CE3B5E&quot;/&gt;&lt;wsp:rsid wsp:val=&quot;00CE3EC0&quot;/&gt;&lt;wsp:rsid wsp:val=&quot;00CE42F9&quot;/&gt;&lt;wsp:rsid wsp:val=&quot;00CE4F38&quot;/&gt;&lt;wsp:rsid wsp:val=&quot;00CE644A&quot;/&gt;&lt;wsp:rsid wsp:val=&quot;00D00DD2&quot;/&gt;&lt;wsp:rsid wsp:val=&quot;00D049BD&quot;/&gt;&lt;wsp:rsid wsp:val=&quot;00D04B5B&quot;/&gt;&lt;wsp:rsid wsp:val=&quot;00D10C52&quot;/&gt;&lt;wsp:rsid wsp:val=&quot;00D1500E&quot;/&gt;&lt;wsp:rsid wsp:val=&quot;00D21A42&quot;/&gt;&lt;wsp:rsid wsp:val=&quot;00D223F1&quot;/&gt;&lt;wsp:rsid wsp:val=&quot;00D22E4C&quot;/&gt;&lt;wsp:rsid wsp:val=&quot;00D27718&quot;/&gt;&lt;wsp:rsid wsp:val=&quot;00D27ECF&quot;/&gt;&lt;wsp:rsid wsp:val=&quot;00D33A79&quot;/&gt;&lt;wsp:rsid wsp:val=&quot;00D35515&quot;/&gt;&lt;wsp:rsid wsp:val=&quot;00D37274&quot;/&gt;&lt;wsp:rsid wsp:val=&quot;00D42976&quot;/&gt;&lt;wsp:rsid wsp:val=&quot;00D45120&quot;/&gt;&lt;wsp:rsid wsp:val=&quot;00D468D2&quot;/&gt;&lt;wsp:rsid wsp:val=&quot;00D5382D&quot;/&gt;&lt;wsp:rsid wsp:val=&quot;00D54BBA&quot;/&gt;&lt;wsp:rsid wsp:val=&quot;00D5719C&quot;/&gt;&lt;wsp:rsid wsp:val=&quot;00D62B59&quot;/&gt;&lt;wsp:rsid wsp:val=&quot;00D62C56&quot;/&gt;&lt;wsp:rsid wsp:val=&quot;00D652F5&quot;/&gt;&lt;wsp:rsid wsp:val=&quot;00D7168D&quot;/&gt;&lt;wsp:rsid wsp:val=&quot;00D73B80&quot;/&gt;&lt;wsp:rsid wsp:val=&quot;00D74AF6&quot;/&gt;&lt;wsp:rsid wsp:val=&quot;00D77D1C&quot;/&gt;&lt;wsp:rsid wsp:val=&quot;00D80652&quot;/&gt;&lt;wsp:rsid wsp:val=&quot;00D84067&quot;/&gt;&lt;wsp:rsid wsp:val=&quot;00D90C25&quot;/&gt;&lt;wsp:rsid wsp:val=&quot;00D9245F&quot;/&gt;&lt;wsp:rsid wsp:val=&quot;00DA0F3C&quot;/&gt;&lt;wsp:rsid wsp:val=&quot;00DA386F&quot;/&gt;&lt;wsp:rsid wsp:val=&quot;00DA712A&quot;/&gt;&lt;wsp:rsid wsp:val=&quot;00DB598A&quot;/&gt;&lt;wsp:rsid wsp:val=&quot;00DC490A&quot;/&gt;&lt;wsp:rsid wsp:val=&quot;00DC56A6&quot;/&gt;&lt;wsp:rsid wsp:val=&quot;00DC66BA&quot;/&gt;&lt;wsp:rsid wsp:val=&quot;00DD598C&quot;/&gt;&lt;wsp:rsid wsp:val=&quot;00DD66ED&quot;/&gt;&lt;wsp:rsid wsp:val=&quot;00DE0E98&quot;/&gt;&lt;wsp:rsid wsp:val=&quot;00DE68A5&quot;/&gt;&lt;wsp:rsid wsp:val=&quot;00DE77DC&quot;/&gt;&lt;wsp:rsid wsp:val=&quot;00DF19F4&quot;/&gt;&lt;wsp:rsid wsp:val=&quot;00DF2FD3&quot;/&gt;&lt;wsp:rsid wsp:val=&quot;00DF30DF&quot;/&gt;&lt;wsp:rsid wsp:val=&quot;00DF3EFA&quot;/&gt;&lt;wsp:rsid wsp:val=&quot;00DF567A&quot;/&gt;&lt;wsp:rsid wsp:val=&quot;00E045B8&quot;/&gt;&lt;wsp:rsid wsp:val=&quot;00E168B5&quot;/&gt;&lt;wsp:rsid wsp:val=&quot;00E25DF3&quot;/&gt;&lt;wsp:rsid wsp:val=&quot;00E262D7&quot;/&gt;&lt;wsp:rsid wsp:val=&quot;00E324F1&quot;/&gt;&lt;wsp:rsid wsp:val=&quot;00E32832&quot;/&gt;&lt;wsp:rsid wsp:val=&quot;00E362FB&quot;/&gt;&lt;wsp:rsid wsp:val=&quot;00E41701&quot;/&gt;&lt;wsp:rsid wsp:val=&quot;00E41D85&quot;/&gt;&lt;wsp:rsid wsp:val=&quot;00E4266D&quot;/&gt;&lt;wsp:rsid wsp:val=&quot;00E447AD&quot;/&gt;&lt;wsp:rsid wsp:val=&quot;00E50B1F&quot;/&gt;&lt;wsp:rsid wsp:val=&quot;00E63BAA&quot;/&gt;&lt;wsp:rsid wsp:val=&quot;00E642A2&quot;/&gt;&lt;wsp:rsid wsp:val=&quot;00E64E1A&quot;/&gt;&lt;wsp:rsid wsp:val=&quot;00E65357&quot;/&gt;&lt;wsp:rsid wsp:val=&quot;00E66AD5&quot;/&gt;&lt;wsp:rsid wsp:val=&quot;00E7223B&quot;/&gt;&lt;wsp:rsid wsp:val=&quot;00E72634&quot;/&gt;&lt;wsp:rsid wsp:val=&quot;00E736DB&quot;/&gt;&lt;wsp:rsid wsp:val=&quot;00E76709&quot;/&gt;&lt;wsp:rsid wsp:val=&quot;00E83D90&quot;/&gt;&lt;wsp:rsid wsp:val=&quot;00E8414D&quot;/&gt;&lt;wsp:rsid wsp:val=&quot;00E8783C&quot;/&gt;&lt;wsp:rsid wsp:val=&quot;00E92DC3&quot;/&gt;&lt;wsp:rsid wsp:val=&quot;00E93F3C&quot;/&gt;&lt;wsp:rsid wsp:val=&quot;00E94ACE&quot;/&gt;&lt;wsp:rsid wsp:val=&quot;00E962C3&quot;/&gt;&lt;wsp:rsid wsp:val=&quot;00EA119E&quot;/&gt;&lt;wsp:rsid wsp:val=&quot;00EB36B2&quot;/&gt;&lt;wsp:rsid wsp:val=&quot;00EB6C80&quot;/&gt;&lt;wsp:rsid wsp:val=&quot;00EB7AEF&quot;/&gt;&lt;wsp:rsid wsp:val=&quot;00EC2BE5&quot;/&gt;&lt;wsp:rsid wsp:val=&quot;00EC7948&quot;/&gt;&lt;wsp:rsid wsp:val=&quot;00ED12AD&quot;/&gt;&lt;wsp:rsid wsp:val=&quot;00ED46E4&quot;/&gt;&lt;wsp:rsid wsp:val=&quot;00EE12F5&quot;/&gt;&lt;wsp:rsid wsp:val=&quot;00EE1A36&quot;/&gt;&lt;wsp:rsid wsp:val=&quot;00EE5EDD&quot;/&gt;&lt;wsp:rsid wsp:val=&quot;00EE7307&quot;/&gt;&lt;wsp:rsid wsp:val=&quot;00EF6A27&quot;/&gt;&lt;wsp:rsid wsp:val=&quot;00F16C14&quot;/&gt;&lt;wsp:rsid wsp:val=&quot;00F2122F&quot;/&gt;&lt;wsp:rsid wsp:val=&quot;00F31A36&quot;/&gt;&lt;wsp:rsid wsp:val=&quot;00F33BFA&quot;/&gt;&lt;wsp:rsid wsp:val=&quot;00F34B1F&quot;/&gt;&lt;wsp:rsid wsp:val=&quot;00F35B4F&quot;/&gt;&lt;wsp:rsid wsp:val=&quot;00F47348&quot;/&gt;&lt;wsp:rsid wsp:val=&quot;00F6031B&quot;/&gt;&lt;wsp:rsid wsp:val=&quot;00F610DE&quot;/&gt;&lt;wsp:rsid wsp:val=&quot;00F700EB&quot;/&gt;&lt;wsp:rsid wsp:val=&quot;00F71AEF&quot;/&gt;&lt;wsp:rsid wsp:val=&quot;00F72A05&quot;/&gt;&lt;wsp:rsid wsp:val=&quot;00F73ED7&quot;/&gt;&lt;wsp:rsid wsp:val=&quot;00F762BE&quot;/&gt;&lt;wsp:rsid wsp:val=&quot;00F77474&quot;/&gt;&lt;wsp:rsid wsp:val=&quot;00F77F70&quot;/&gt;&lt;wsp:rsid wsp:val=&quot;00F85901&quot;/&gt;&lt;wsp:rsid wsp:val=&quot;00F87EA0&quot;/&gt;&lt;wsp:rsid wsp:val=&quot;00F90784&quot;/&gt;&lt;wsp:rsid wsp:val=&quot;00F91AD7&quot;/&gt;&lt;wsp:rsid wsp:val=&quot;00F9238D&quot;/&gt;&lt;wsp:rsid wsp:val=&quot;00F94A3B&quot;/&gt;&lt;wsp:rsid wsp:val=&quot;00FA123F&quot;/&gt;&lt;wsp:rsid wsp:val=&quot;00FA4D7A&quot;/&gt;&lt;wsp:rsid wsp:val=&quot;00FA62E6&quot;/&gt;&lt;wsp:rsid wsp:val=&quot;00FB16EB&quot;/&gt;&lt;wsp:rsid wsp:val=&quot;00FB38E4&quot;/&gt;&lt;wsp:rsid wsp:val=&quot;00FB5392&quot;/&gt;&lt;wsp:rsid wsp:val=&quot;00FB6E4D&quot;/&gt;&lt;wsp:rsid wsp:val=&quot;00FB7655&quot;/&gt;&lt;wsp:rsid wsp:val=&quot;00FC0508&quot;/&gt;&lt;wsp:rsid wsp:val=&quot;00FC0876&quot;/&gt;&lt;wsp:rsid wsp:val=&quot;00FC4747&quot;/&gt;&lt;wsp:rsid wsp:val=&quot;00FC6554&quot;/&gt;&lt;wsp:rsid wsp:val=&quot;00FC7C7A&quot;/&gt;&lt;wsp:rsid wsp:val=&quot;00FD49FC&quot;/&gt;&lt;wsp:rsid wsp:val=&quot;00FD75D7&quot;/&gt;&lt;wsp:rsid wsp:val=&quot;00FE59C1&quot;/&gt;&lt;wsp:rsid wsp:val=&quot;00FF7EBD&quot;/&gt;&lt;/wsp:rsids&gt;&lt;/w:docPr&gt;&lt;w:body&gt;&lt;wx:sect&gt;&lt;w:p wsp:rsidR=&quot;00000000&quot; wsp:rsidRDefault=&quot;003F1041&quot; wsp:rsidP=&quot;003F1041&quot;&gt;&lt;m:oMathPara&gt;&lt;m:oMath&gt;&lt;m:sSubSup&gt;&lt;m:sSubSupPr&gt;&lt;m:ctrlPr&gt;&lt;w:rPr&gt;&lt;w:rFonts w:ascii=&quot;Cambria Math&quot; w:fareast=&quot;Calibri&quot; w:h-ansi=&quot;Cambria Math&quot; w:cs=&quot;Times New Roman&quot;/&gt;&lt;wx:font wx:val=&quot;Cambria Math&quot;/&gt;&lt;w:b/&gt;&lt;w:i/&gt;&lt;w:sz w:val=&quot;20&quot;/&gt;&lt;w:sz-cs w:val=&quot;20&quot;/&gt;&lt;/w:rPr&gt;&lt;/m:ctrlPr&gt;&lt;/m:sSubSupPr&gt;&lt;m:e&gt;&lt;m:r&gt;&lt;m:rPr&gt;&lt;m:sty m:val=&quot;bi&quot;/&gt;&lt;/m:rPr&gt;&lt;w:rPr&gt;&lt;w:rFonts w:ascii=&quot;Cambria Math&quot; w:fareast=&quot;Calibri&quot; w:h-ansi=&quot;Cambria Math&quot; w:cs=&quot;Times New Roman&quot;/&gt;&lt;wx:font wx:val=&quot;Cambria Math&quot;/&gt;&lt;w:b/&gt;&lt;w:i/&gt;&lt;w:sz w:val=&quot;20&quot;/&gt;&lt;w:sz-cs w:val=&quot;20&quot;/&gt;&lt;/w:rPr&gt;&lt;m:t&gt;Ïƒ&lt;/m:t&gt;&lt;/m:r&gt;&lt;/m:e&gt;&lt;m:sub&gt;&lt;m:r&gt;&lt;m:rPr&gt;&lt;m:sty m:val=&quot;bi&quot;/&gt;&lt;/m:rPr&gt;&lt;w:rPr&gt;&lt;w:rFonts w:ascii=&quot;Cambria Math&quot; w:fareast=&quot;Calibri&quot; w:h-ansi=&quot;Cambria Math&quot; w:cs=&quot;Times New Roman&quot;/&gt;&lt;wx:font wx:val=&quot;Cambria Math&quot;/&gt;&lt;w:b/&gt;&lt;w:i/&gt;&lt;w:sz w:val=&quot;20&quot;/&gt;&lt;w:sz-cs w:val=&quot;20&quot;/&gt;&lt;/w:rPr&gt;&lt;m:t&gt;Î_&lt;/m:t&gt;&lt;/m:r&gt;&lt;/m:sub&gt;&lt;m:sup&gt;&lt;m:r&gt;&lt;m:rPr&gt;&lt;m:sty m:val=&quot;bi&quot;/&gt;&lt;/m:rPr&gt;&lt;w:rPr&gt;&lt;w:rFonts w:ascii=&quot;Cambria Math&quot; w:fareast=&quot;Calibri&quot; w:h-ansi=&quot;Calibri&quot; w:cs=&quot;Times New Roman&quot;/&gt;&lt;wx:font wx:val=&quot;Cambria Math&quot;/&gt;&lt;w:b/&gt;&lt;w:i/&gt;&lt;w:sz w:val=&quot;20&quot;/&gt;&lt;w:sz-cs w:val=&quot;20&quot;/&gt;&lt;/w:rPr&gt;&lt;m:t&gt;2&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FA5289">
              <w:rPr>
                <w:rFonts w:cs="Times New Roman"/>
                <w:b/>
              </w:rPr>
              <w:instrText xml:space="preserve"> </w:instrText>
            </w:r>
            <w:r w:rsidR="00156059" w:rsidRPr="00FA5289">
              <w:rPr>
                <w:rFonts w:cs="Times New Roman"/>
                <w:b/>
              </w:rPr>
              <w:fldChar w:fldCharType="separate"/>
            </w:r>
            <w:r w:rsidR="00AF4DD8" w:rsidRPr="00156059">
              <w:rPr>
                <w:position w:val="-8"/>
              </w:rPr>
              <w:pict>
                <v:shape id="_x0000_i1072" type="#_x0000_t75" style="width:12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20&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B83D9A&quot;/&gt;&lt;wsp:rsid wsp:val=&quot;00002681&quot;/&gt;&lt;wsp:rsid wsp:val=&quot;00002B39&quot;/&gt;&lt;wsp:rsid wsp:val=&quot;00002CE3&quot;/&gt;&lt;wsp:rsid wsp:val=&quot;00003FA5&quot;/&gt;&lt;wsp:rsid wsp:val=&quot;000069C8&quot;/&gt;&lt;wsp:rsid wsp:val=&quot;00007BE3&quot;/&gt;&lt;wsp:rsid wsp:val=&quot;00016BEF&quot;/&gt;&lt;wsp:rsid wsp:val=&quot;00016F4D&quot;/&gt;&lt;wsp:rsid wsp:val=&quot;00017556&quot;/&gt;&lt;wsp:rsid wsp:val=&quot;00022A6E&quot;/&gt;&lt;wsp:rsid wsp:val=&quot;000278EB&quot;/&gt;&lt;wsp:rsid wsp:val=&quot;00030FC1&quot;/&gt;&lt;wsp:rsid wsp:val=&quot;0003104D&quot;/&gt;&lt;wsp:rsid wsp:val=&quot;0003592D&quot;/&gt;&lt;wsp:rsid wsp:val=&quot;00036BC7&quot;/&gt;&lt;wsp:rsid wsp:val=&quot;0004021F&quot;/&gt;&lt;wsp:rsid wsp:val=&quot;0004648A&quot;/&gt;&lt;wsp:rsid wsp:val=&quot;00047BE4&quot;/&gt;&lt;wsp:rsid wsp:val=&quot;000516EA&quot;/&gt;&lt;wsp:rsid wsp:val=&quot;00051A48&quot;/&gt;&lt;wsp:rsid wsp:val=&quot;00054FFA&quot;/&gt;&lt;wsp:rsid wsp:val=&quot;0006094E&quot;/&gt;&lt;wsp:rsid wsp:val=&quot;00064650&quot;/&gt;&lt;wsp:rsid wsp:val=&quot;00075FAB&quot;/&gt;&lt;wsp:rsid wsp:val=&quot;00084D08&quot;/&gt;&lt;wsp:rsid wsp:val=&quot;00087C01&quot;/&gt;&lt;wsp:rsid wsp:val=&quot;00090692&quot;/&gt;&lt;wsp:rsid wsp:val=&quot;00094375&quot;/&gt;&lt;wsp:rsid wsp:val=&quot;000A0D37&quot;/&gt;&lt;wsp:rsid wsp:val=&quot;000A1339&quot;/&gt;&lt;wsp:rsid wsp:val=&quot;000A2298&quot;/&gt;&lt;wsp:rsid wsp:val=&quot;000A2A14&quot;/&gt;&lt;wsp:rsid wsp:val=&quot;000A4860&quot;/&gt;&lt;wsp:rsid wsp:val=&quot;000A4F42&quot;/&gt;&lt;wsp:rsid wsp:val=&quot;000A60E8&quot;/&gt;&lt;wsp:rsid wsp:val=&quot;000B0C59&quot;/&gt;&lt;wsp:rsid wsp:val=&quot;000B1EA5&quot;/&gt;&lt;wsp:rsid wsp:val=&quot;000B1FEB&quot;/&gt;&lt;wsp:rsid wsp:val=&quot;000B2B75&quot;/&gt;&lt;wsp:rsid wsp:val=&quot;000B5012&quot;/&gt;&lt;wsp:rsid wsp:val=&quot;000B67EC&quot;/&gt;&lt;wsp:rsid wsp:val=&quot;000C0C12&quot;/&gt;&lt;wsp:rsid wsp:val=&quot;000C1E74&quot;/&gt;&lt;wsp:rsid wsp:val=&quot;000C2B8F&quot;/&gt;&lt;wsp:rsid wsp:val=&quot;000C2E27&quot;/&gt;&lt;wsp:rsid wsp:val=&quot;000C3198&quot;/&gt;&lt;wsp:rsid wsp:val=&quot;000D0C5B&quot;/&gt;&lt;wsp:rsid wsp:val=&quot;000D4301&quot;/&gt;&lt;wsp:rsid wsp:val=&quot;000E3D33&quot;/&gt;&lt;wsp:rsid wsp:val=&quot;000E49E7&quot;/&gt;&lt;wsp:rsid wsp:val=&quot;000E6BED&quot;/&gt;&lt;wsp:rsid wsp:val=&quot;000E6BF4&quot;/&gt;&lt;wsp:rsid wsp:val=&quot;000F1665&quot;/&gt;&lt;wsp:rsid wsp:val=&quot;000F22A4&quot;/&gt;&lt;wsp:rsid wsp:val=&quot;00101959&quot;/&gt;&lt;wsp:rsid wsp:val=&quot;001022A2&quot;/&gt;&lt;wsp:rsid wsp:val=&quot;00102875&quot;/&gt;&lt;wsp:rsid wsp:val=&quot;001065F7&quot;/&gt;&lt;wsp:rsid wsp:val=&quot;00106F0B&quot;/&gt;&lt;wsp:rsid wsp:val=&quot;00116000&quot;/&gt;&lt;wsp:rsid wsp:val=&quot;001212E9&quot;/&gt;&lt;wsp:rsid wsp:val=&quot;001221CE&quot;/&gt;&lt;wsp:rsid wsp:val=&quot;00125040&quot;/&gt;&lt;wsp:rsid wsp:val=&quot;00125C66&quot;/&gt;&lt;wsp:rsid wsp:val=&quot;00132C31&quot;/&gt;&lt;wsp:rsid wsp:val=&quot;00133F2C&quot;/&gt;&lt;wsp:rsid wsp:val=&quot;0013611D&quot;/&gt;&lt;wsp:rsid wsp:val=&quot;00144658&quot;/&gt;&lt;wsp:rsid wsp:val=&quot;0014762F&quot;/&gt;&lt;wsp:rsid wsp:val=&quot;0015773B&quot;/&gt;&lt;wsp:rsid wsp:val=&quot;00160202&quot;/&gt;&lt;wsp:rsid wsp:val=&quot;00160241&quot;/&gt;&lt;wsp:rsid wsp:val=&quot;0016187F&quot;/&gt;&lt;wsp:rsid wsp:val=&quot;00162691&quot;/&gt;&lt;wsp:rsid wsp:val=&quot;00162C69&quot;/&gt;&lt;wsp:rsid wsp:val=&quot;001676A3&quot;/&gt;&lt;wsp:rsid wsp:val=&quot;0016792B&quot;/&gt;&lt;wsp:rsid wsp:val=&quot;00167BB4&quot;/&gt;&lt;wsp:rsid wsp:val=&quot;00181B28&quot;/&gt;&lt;wsp:rsid wsp:val=&quot;0019197F&quot;/&gt;&lt;wsp:rsid wsp:val=&quot;001956D4&quot;/&gt;&lt;wsp:rsid wsp:val=&quot;001A5B99&quot;/&gt;&lt;wsp:rsid wsp:val=&quot;001A6387&quot;/&gt;&lt;wsp:rsid wsp:val=&quot;001A6A49&quot;/&gt;&lt;wsp:rsid wsp:val=&quot;001B4D51&quot;/&gt;&lt;wsp:rsid wsp:val=&quot;001B5581&quot;/&gt;&lt;wsp:rsid wsp:val=&quot;001B761B&quot;/&gt;&lt;wsp:rsid wsp:val=&quot;001B7E04&quot;/&gt;&lt;wsp:rsid wsp:val=&quot;001C11D0&quot;/&gt;&lt;wsp:rsid wsp:val=&quot;001C5147&quot;/&gt;&lt;wsp:rsid wsp:val=&quot;001D002F&quot;/&gt;&lt;wsp:rsid wsp:val=&quot;001D21E6&quot;/&gt;&lt;wsp:rsid wsp:val=&quot;001D54A9&quot;/&gt;&lt;wsp:rsid wsp:val=&quot;001D5911&quot;/&gt;&lt;wsp:rsid wsp:val=&quot;001D72A2&quot;/&gt;&lt;wsp:rsid wsp:val=&quot;00214054&quot;/&gt;&lt;wsp:rsid wsp:val=&quot;00223420&quot;/&gt;&lt;wsp:rsid wsp:val=&quot;00223B9C&quot;/&gt;&lt;wsp:rsid wsp:val=&quot;0022612A&quot;/&gt;&lt;wsp:rsid wsp:val=&quot;00226D4C&quot;/&gt;&lt;wsp:rsid wsp:val=&quot;002308B8&quot;/&gt;&lt;wsp:rsid wsp:val=&quot;002309EB&quot;/&gt;&lt;wsp:rsid wsp:val=&quot;0023101D&quot;/&gt;&lt;wsp:rsid wsp:val=&quot;002310C6&quot;/&gt;&lt;wsp:rsid wsp:val=&quot;002321B1&quot;/&gt;&lt;wsp:rsid wsp:val=&quot;0023257D&quot;/&gt;&lt;wsp:rsid wsp:val=&quot;00232FDF&quot;/&gt;&lt;wsp:rsid wsp:val=&quot;002346DC&quot;/&gt;&lt;wsp:rsid wsp:val=&quot;0023635F&quot;/&gt;&lt;wsp:rsid wsp:val=&quot;00241F35&quot;/&gt;&lt;wsp:rsid wsp:val=&quot;00250F35&quot;/&gt;&lt;wsp:rsid wsp:val=&quot;00253C60&quot;/&gt;&lt;wsp:rsid wsp:val=&quot;00256945&quot;/&gt;&lt;wsp:rsid wsp:val=&quot;002642CB&quot;/&gt;&lt;wsp:rsid wsp:val=&quot;0026556B&quot;/&gt;&lt;wsp:rsid wsp:val=&quot;00270694&quot;/&gt;&lt;wsp:rsid wsp:val=&quot;00270781&quot;/&gt;&lt;wsp:rsid wsp:val=&quot;00271E97&quot;/&gt;&lt;wsp:rsid wsp:val=&quot;002908EE&quot;/&gt;&lt;wsp:rsid wsp:val=&quot;00292401&quot;/&gt;&lt;wsp:rsid wsp:val=&quot;0029391A&quot;/&gt;&lt;wsp:rsid wsp:val=&quot;0029659A&quot;/&gt;&lt;wsp:rsid wsp:val=&quot;002A0C23&quot;/&gt;&lt;wsp:rsid wsp:val=&quot;002A27DA&quot;/&gt;&lt;wsp:rsid wsp:val=&quot;002B29EB&quot;/&gt;&lt;wsp:rsid wsp:val=&quot;002B3683&quot;/&gt;&lt;wsp:rsid wsp:val=&quot;002B3C67&quot;/&gt;&lt;wsp:rsid wsp:val=&quot;002B70CB&quot;/&gt;&lt;wsp:rsid wsp:val=&quot;002C007F&quot;/&gt;&lt;wsp:rsid wsp:val=&quot;002D03B2&quot;/&gt;&lt;wsp:rsid wsp:val=&quot;002D2717&quot;/&gt;&lt;wsp:rsid wsp:val=&quot;002D37C6&quot;/&gt;&lt;wsp:rsid wsp:val=&quot;002D4812&quot;/&gt;&lt;wsp:rsid wsp:val=&quot;002D54F2&quot;/&gt;&lt;wsp:rsid wsp:val=&quot;002D5955&quot;/&gt;&lt;wsp:rsid wsp:val=&quot;002E161B&quot;/&gt;&lt;wsp:rsid wsp:val=&quot;002E4B34&quot;/&gt;&lt;wsp:rsid wsp:val=&quot;002E6007&quot;/&gt;&lt;wsp:rsid wsp:val=&quot;002F3AB4&quot;/&gt;&lt;wsp:rsid wsp:val=&quot;002F4A17&quot;/&gt;&lt;wsp:rsid wsp:val=&quot;002F4F68&quot;/&gt;&lt;wsp:rsid wsp:val=&quot;003020C0&quot;/&gt;&lt;wsp:rsid wsp:val=&quot;0030216A&quot;/&gt;&lt;wsp:rsid wsp:val=&quot;00302207&quot;/&gt;&lt;wsp:rsid wsp:val=&quot;00302A29&quot;/&gt;&lt;wsp:rsid wsp:val=&quot;003110BA&quot;/&gt;&lt;wsp:rsid wsp:val=&quot;003133BD&quot;/&gt;&lt;wsp:rsid wsp:val=&quot;00321DBF&quot;/&gt;&lt;wsp:rsid wsp:val=&quot;00323BA2&quot;/&gt;&lt;wsp:rsid wsp:val=&quot;003247E5&quot;/&gt;&lt;wsp:rsid wsp:val=&quot;00327B96&quot;/&gt;&lt;wsp:rsid wsp:val=&quot;00330A0A&quot;/&gt;&lt;wsp:rsid wsp:val=&quot;003350EB&quot;/&gt;&lt;wsp:rsid wsp:val=&quot;00337860&quot;/&gt;&lt;wsp:rsid wsp:val=&quot;00341326&quot;/&gt;&lt;wsp:rsid wsp:val=&quot;003419EC&quot;/&gt;&lt;wsp:rsid wsp:val=&quot;003430E0&quot;/&gt;&lt;wsp:rsid wsp:val=&quot;00343CDF&quot;/&gt;&lt;wsp:rsid wsp:val=&quot;003450E6&quot;/&gt;&lt;wsp:rsid wsp:val=&quot;00350AF0&quot;/&gt;&lt;wsp:rsid wsp:val=&quot;00350E69&quot;/&gt;&lt;wsp:rsid wsp:val=&quot;003532C9&quot;/&gt;&lt;wsp:rsid wsp:val=&quot;003536C6&quot;/&gt;&lt;wsp:rsid wsp:val=&quot;003560BC&quot;/&gt;&lt;wsp:rsid wsp:val=&quot;003567DD&quot;/&gt;&lt;wsp:rsid wsp:val=&quot;0036459D&quot;/&gt;&lt;wsp:rsid wsp:val=&quot;00367107&quot;/&gt;&lt;wsp:rsid wsp:val=&quot;00374C60&quot;/&gt;&lt;wsp:rsid wsp:val=&quot;003822B8&quot;/&gt;&lt;wsp:rsid wsp:val=&quot;00384522&quot;/&gt;&lt;wsp:rsid wsp:val=&quot;00386528&quot;/&gt;&lt;wsp:rsid wsp:val=&quot;003A0D9E&quot;/&gt;&lt;wsp:rsid wsp:val=&quot;003A760E&quot;/&gt;&lt;wsp:rsid wsp:val=&quot;003A7B4F&quot;/&gt;&lt;wsp:rsid wsp:val=&quot;003B3450&quot;/&gt;&lt;wsp:rsid wsp:val=&quot;003C0577&quot;/&gt;&lt;wsp:rsid wsp:val=&quot;003C4281&quot;/&gt;&lt;wsp:rsid wsp:val=&quot;003C70A3&quot;/&gt;&lt;wsp:rsid wsp:val=&quot;003C735D&quot;/&gt;&lt;wsp:rsid wsp:val=&quot;003F01F9&quot;/&gt;&lt;wsp:rsid wsp:val=&quot;003F1041&quot;/&gt;&lt;wsp:rsid wsp:val=&quot;003F270D&quot;/&gt;&lt;wsp:rsid wsp:val=&quot;003F304C&quot;/&gt;&lt;wsp:rsid wsp:val=&quot;003F4135&quot;/&gt;&lt;wsp:rsid wsp:val=&quot;003F612B&quot;/&gt;&lt;wsp:rsid wsp:val=&quot;00400C74&quot;/&gt;&lt;wsp:rsid wsp:val=&quot;004027FB&quot;/&gt;&lt;wsp:rsid wsp:val=&quot;00402FA5&quot;/&gt;&lt;wsp:rsid wsp:val=&quot;00403417&quot;/&gt;&lt;wsp:rsid wsp:val=&quot;00405152&quot;/&gt;&lt;wsp:rsid wsp:val=&quot;004054DA&quot;/&gt;&lt;wsp:rsid wsp:val=&quot;00405F0F&quot;/&gt;&lt;wsp:rsid wsp:val=&quot;00412400&quot;/&gt;&lt;wsp:rsid wsp:val=&quot;0041666B&quot;/&gt;&lt;wsp:rsid wsp:val=&quot;0042091A&quot;/&gt;&lt;wsp:rsid wsp:val=&quot;00424343&quot;/&gt;&lt;wsp:rsid wsp:val=&quot;0042455D&quot;/&gt;&lt;wsp:rsid wsp:val=&quot;0042481C&quot;/&gt;&lt;wsp:rsid wsp:val=&quot;00427007&quot;/&gt;&lt;wsp:rsid wsp:val=&quot;0043333C&quot;/&gt;&lt;wsp:rsid wsp:val=&quot;00441345&quot;/&gt;&lt;wsp:rsid wsp:val=&quot;00441722&quot;/&gt;&lt;wsp:rsid wsp:val=&quot;00443153&quot;/&gt;&lt;wsp:rsid wsp:val=&quot;00444774&quot;/&gt;&lt;wsp:rsid wsp:val=&quot;0044504C&quot;/&gt;&lt;wsp:rsid wsp:val=&quot;004472B0&quot;/&gt;&lt;wsp:rsid wsp:val=&quot;00450F7F&quot;/&gt;&lt;wsp:rsid wsp:val=&quot;00466BA5&quot;/&gt;&lt;wsp:rsid wsp:val=&quot;00467581&quot;/&gt;&lt;wsp:rsid wsp:val=&quot;00470AB2&quot;/&gt;&lt;wsp:rsid wsp:val=&quot;004715C0&quot;/&gt;&lt;wsp:rsid wsp:val=&quot;00474E99&quot;/&gt;&lt;wsp:rsid wsp:val=&quot;00476399&quot;/&gt;&lt;wsp:rsid wsp:val=&quot;004766D2&quot;/&gt;&lt;wsp:rsid wsp:val=&quot;00476798&quot;/&gt;&lt;wsp:rsid wsp:val=&quot;00480C80&quot;/&gt;&lt;wsp:rsid wsp:val=&quot;0048461B&quot;/&gt;&lt;wsp:rsid wsp:val=&quot;00485852&quot;/&gt;&lt;wsp:rsid wsp:val=&quot;004878F0&quot;/&gt;&lt;wsp:rsid wsp:val=&quot;00490E8E&quot;/&gt;&lt;wsp:rsid wsp:val=&quot;00491B21&quot;/&gt;&lt;wsp:rsid wsp:val=&quot;004940E7&quot;/&gt;&lt;wsp:rsid wsp:val=&quot;004A3150&quot;/&gt;&lt;wsp:rsid wsp:val=&quot;004A5F7F&quot;/&gt;&lt;wsp:rsid wsp:val=&quot;004A6A65&quot;/&gt;&lt;wsp:rsid wsp:val=&quot;004A72DC&quot;/&gt;&lt;wsp:rsid wsp:val=&quot;004A7539&quot;/&gt;&lt;wsp:rsid wsp:val=&quot;004A7D61&quot;/&gt;&lt;wsp:rsid wsp:val=&quot;004B3873&quot;/&gt;&lt;wsp:rsid wsp:val=&quot;004C1211&quot;/&gt;&lt;wsp:rsid wsp:val=&quot;004C71FC&quot;/&gt;&lt;wsp:rsid wsp:val=&quot;004D0AFD&quot;/&gt;&lt;wsp:rsid wsp:val=&quot;004D2442&quot;/&gt;&lt;wsp:rsid wsp:val=&quot;004D2882&quot;/&gt;&lt;wsp:rsid wsp:val=&quot;004D36EF&quot;/&gt;&lt;wsp:rsid wsp:val=&quot;004D4246&quot;/&gt;&lt;wsp:rsid wsp:val=&quot;004D4B83&quot;/&gt;&lt;wsp:rsid wsp:val=&quot;004D73DF&quot;/&gt;&lt;wsp:rsid wsp:val=&quot;004D76C5&quot;/&gt;&lt;wsp:rsid wsp:val=&quot;004E254F&quot;/&gt;&lt;wsp:rsid wsp:val=&quot;004E6D8C&quot;/&gt;&lt;wsp:rsid wsp:val=&quot;004F16BF&quot;/&gt;&lt;wsp:rsid wsp:val=&quot;004F3987&quot;/&gt;&lt;wsp:rsid wsp:val=&quot;004F749C&quot;/&gt;&lt;wsp:rsid wsp:val=&quot;00500338&quot;/&gt;&lt;wsp:rsid wsp:val=&quot;005038D7&quot;/&gt;&lt;wsp:rsid wsp:val=&quot;00504432&quot;/&gt;&lt;wsp:rsid wsp:val=&quot;005047E3&quot;/&gt;&lt;wsp:rsid wsp:val=&quot;005048FE&quot;/&gt;&lt;wsp:rsid wsp:val=&quot;005067E3&quot;/&gt;&lt;wsp:rsid wsp:val=&quot;00511385&quot;/&gt;&lt;wsp:rsid wsp:val=&quot;00520D4A&quot;/&gt;&lt;wsp:rsid wsp:val=&quot;00523F84&quot;/&gt;&lt;wsp:rsid wsp:val=&quot;0052718D&quot;/&gt;&lt;wsp:rsid wsp:val=&quot;00531495&quot;/&gt;&lt;wsp:rsid wsp:val=&quot;00535147&quot;/&gt;&lt;wsp:rsid wsp:val=&quot;005357B4&quot;/&gt;&lt;wsp:rsid wsp:val=&quot;00536AF3&quot;/&gt;&lt;wsp:rsid wsp:val=&quot;005458C4&quot;/&gt;&lt;wsp:rsid wsp:val=&quot;005458CF&quot;/&gt;&lt;wsp:rsid wsp:val=&quot;00546D12&quot;/&gt;&lt;wsp:rsid wsp:val=&quot;00552A99&quot;/&gt;&lt;wsp:rsid wsp:val=&quot;00556426&quot;/&gt;&lt;wsp:rsid wsp:val=&quot;00560E6E&quot;/&gt;&lt;wsp:rsid wsp:val=&quot;00561C42&quot;/&gt;&lt;wsp:rsid wsp:val=&quot;00561E55&quot;/&gt;&lt;wsp:rsid wsp:val=&quot;00562E3C&quot;/&gt;&lt;wsp:rsid wsp:val=&quot;005633D4&quot;/&gt;&lt;wsp:rsid wsp:val=&quot;005645D8&quot;/&gt;&lt;wsp:rsid wsp:val=&quot;005656F7&quot;/&gt;&lt;wsp:rsid wsp:val=&quot;00570EBD&quot;/&gt;&lt;wsp:rsid wsp:val=&quot;005736E5&quot;/&gt;&lt;wsp:rsid wsp:val=&quot;005746FA&quot;/&gt;&lt;wsp:rsid wsp:val=&quot;00576230&quot;/&gt;&lt;wsp:rsid wsp:val=&quot;00577D58&quot;/&gt;&lt;wsp:rsid wsp:val=&quot;00582DC6&quot;/&gt;&lt;wsp:rsid wsp:val=&quot;00584037&quot;/&gt;&lt;wsp:rsid wsp:val=&quot;005855F0&quot;/&gt;&lt;wsp:rsid wsp:val=&quot;00593120&quot;/&gt;&lt;wsp:rsid wsp:val=&quot;005B13C7&quot;/&gt;&lt;wsp:rsid wsp:val=&quot;005B386A&quot;/&gt;&lt;wsp:rsid wsp:val=&quot;005B3B53&quot;/&gt;&lt;wsp:rsid wsp:val=&quot;005B3E7B&quot;/&gt;&lt;wsp:rsid wsp:val=&quot;005C05AB&quot;/&gt;&lt;wsp:rsid wsp:val=&quot;005C5ECF&quot;/&gt;&lt;wsp:rsid wsp:val=&quot;005C7FA2&quot;/&gt;&lt;wsp:rsid wsp:val=&quot;005D3ACB&quot;/&gt;&lt;wsp:rsid wsp:val=&quot;005D3F20&quot;/&gt;&lt;wsp:rsid wsp:val=&quot;005D688A&quot;/&gt;&lt;wsp:rsid wsp:val=&quot;005E4282&quot;/&gt;&lt;wsp:rsid wsp:val=&quot;005E481B&quot;/&gt;&lt;wsp:rsid wsp:val=&quot;005E7CA8&quot;/&gt;&lt;wsp:rsid wsp:val=&quot;005F0CA9&quot;/&gt;&lt;wsp:rsid wsp:val=&quot;005F1FC8&quot;/&gt;&lt;wsp:rsid wsp:val=&quot;005F24CB&quot;/&gt;&lt;wsp:rsid wsp:val=&quot;005F3613&quot;/&gt;&lt;wsp:rsid wsp:val=&quot;006024DA&quot;/&gt;&lt;wsp:rsid wsp:val=&quot;00613B7A&quot;/&gt;&lt;wsp:rsid wsp:val=&quot;00625D17&quot;/&gt;&lt;wsp:rsid wsp:val=&quot;00631A7F&quot;/&gt;&lt;wsp:rsid wsp:val=&quot;00636D04&quot;/&gt;&lt;wsp:rsid wsp:val=&quot;00636E7C&quot;/&gt;&lt;wsp:rsid wsp:val=&quot;00637111&quot;/&gt;&lt;wsp:rsid wsp:val=&quot;006376F6&quot;/&gt;&lt;wsp:rsid wsp:val=&quot;00640684&quot;/&gt;&lt;wsp:rsid wsp:val=&quot;00643D6B&quot;/&gt;&lt;wsp:rsid wsp:val=&quot;00643E33&quot;/&gt;&lt;wsp:rsid wsp:val=&quot;00646A4F&quot;/&gt;&lt;wsp:rsid wsp:val=&quot;00651842&quot;/&gt;&lt;wsp:rsid wsp:val=&quot;00651FE3&quot;/&gt;&lt;wsp:rsid wsp:val=&quot;00663F89&quot;/&gt;&lt;wsp:rsid wsp:val=&quot;00665627&quot;/&gt;&lt;wsp:rsid wsp:val=&quot;00665809&quot;/&gt;&lt;wsp:rsid wsp:val=&quot;00665A76&quot;/&gt;&lt;wsp:rsid wsp:val=&quot;00670744&quot;/&gt;&lt;wsp:rsid wsp:val=&quot;00675726&quot;/&gt;&lt;wsp:rsid wsp:val=&quot;006772AB&quot;/&gt;&lt;wsp:rsid wsp:val=&quot;006775FA&quot;/&gt;&lt;wsp:rsid wsp:val=&quot;006815DE&quot;/&gt;&lt;wsp:rsid wsp:val=&quot;00681E28&quot;/&gt;&lt;wsp:rsid wsp:val=&quot;0068625C&quot;/&gt;&lt;wsp:rsid wsp:val=&quot;006867FD&quot;/&gt;&lt;wsp:rsid wsp:val=&quot;00691D3C&quot;/&gt;&lt;wsp:rsid wsp:val=&quot;0069254B&quot;/&gt;&lt;wsp:rsid wsp:val=&quot;00693D0F&quot;/&gt;&lt;wsp:rsid wsp:val=&quot;00694054&quot;/&gt;&lt;wsp:rsid wsp:val=&quot;006942C5&quot;/&gt;&lt;wsp:rsid wsp:val=&quot;00694DDA&quot;/&gt;&lt;wsp:rsid wsp:val=&quot;00697059&quot;/&gt;&lt;wsp:rsid wsp:val=&quot;006A2D20&quot;/&gt;&lt;wsp:rsid wsp:val=&quot;006A3E1A&quot;/&gt;&lt;wsp:rsid wsp:val=&quot;006A6F12&quot;/&gt;&lt;wsp:rsid wsp:val=&quot;006B0430&quot;/&gt;&lt;wsp:rsid wsp:val=&quot;006B38ED&quot;/&gt;&lt;wsp:rsid wsp:val=&quot;006B456F&quot;/&gt;&lt;wsp:rsid wsp:val=&quot;006B46F3&quot;/&gt;&lt;wsp:rsid wsp:val=&quot;006B478A&quot;/&gt;&lt;wsp:rsid wsp:val=&quot;006C1F31&quot;/&gt;&lt;wsp:rsid wsp:val=&quot;006C2BF5&quot;/&gt;&lt;wsp:rsid wsp:val=&quot;006D0A48&quot;/&gt;&lt;wsp:rsid wsp:val=&quot;006D21B3&quot;/&gt;&lt;wsp:rsid wsp:val=&quot;006D2DAD&quot;/&gt;&lt;wsp:rsid wsp:val=&quot;006D3BA6&quot;/&gt;&lt;wsp:rsid wsp:val=&quot;006D58ED&quot;/&gt;&lt;wsp:rsid wsp:val=&quot;006E0EF5&quot;/&gt;&lt;wsp:rsid wsp:val=&quot;006E68EE&quot;/&gt;&lt;wsp:rsid wsp:val=&quot;006F0165&quot;/&gt;&lt;wsp:rsid wsp:val=&quot;006F1C10&quot;/&gt;&lt;wsp:rsid wsp:val=&quot;007049F4&quot;/&gt;&lt;wsp:rsid wsp:val=&quot;00716982&quot;/&gt;&lt;wsp:rsid wsp:val=&quot;00720D0A&quot;/&gt;&lt;wsp:rsid wsp:val=&quot;007246E9&quot;/&gt;&lt;wsp:rsid wsp:val=&quot;00724801&quot;/&gt;&lt;wsp:rsid wsp:val=&quot;00726AC2&quot;/&gt;&lt;wsp:rsid wsp:val=&quot;00727C48&quot;/&gt;&lt;wsp:rsid wsp:val=&quot;00732E64&quot;/&gt;&lt;wsp:rsid wsp:val=&quot;00734206&quot;/&gt;&lt;wsp:rsid wsp:val=&quot;00735D81&quot;/&gt;&lt;wsp:rsid wsp:val=&quot;00745F7A&quot;/&gt;&lt;wsp:rsid wsp:val=&quot;0076143A&quot;/&gt;&lt;wsp:rsid wsp:val=&quot;00762646&quot;/&gt;&lt;wsp:rsid wsp:val=&quot;00764566&quot;/&gt;&lt;wsp:rsid wsp:val=&quot;007815BA&quot;/&gt;&lt;wsp:rsid wsp:val=&quot;00782D19&quot;/&gt;&lt;wsp:rsid wsp:val=&quot;00791B8B&quot;/&gt;&lt;wsp:rsid wsp:val=&quot;00792BFE&quot;/&gt;&lt;wsp:rsid wsp:val=&quot;00795254&quot;/&gt;&lt;wsp:rsid wsp:val=&quot;00797066&quot;/&gt;&lt;wsp:rsid wsp:val=&quot;007A263C&quot;/&gt;&lt;wsp:rsid wsp:val=&quot;007B0345&quot;/&gt;&lt;wsp:rsid wsp:val=&quot;007B15AE&quot;/&gt;&lt;wsp:rsid wsp:val=&quot;007B186A&quot;/&gt;&lt;wsp:rsid wsp:val=&quot;007B2584&quot;/&gt;&lt;wsp:rsid wsp:val=&quot;007B4B49&quot;/&gt;&lt;wsp:rsid wsp:val=&quot;007B7BFE&quot;/&gt;&lt;wsp:rsid wsp:val=&quot;007C078B&quot;/&gt;&lt;wsp:rsid wsp:val=&quot;007C1B3B&quot;/&gt;&lt;wsp:rsid wsp:val=&quot;007C61DD&quot;/&gt;&lt;wsp:rsid wsp:val=&quot;007D37D1&quot;/&gt;&lt;wsp:rsid wsp:val=&quot;007D3D6F&quot;/&gt;&lt;wsp:rsid wsp:val=&quot;007D4D68&quot;/&gt;&lt;wsp:rsid wsp:val=&quot;007D7B43&quot;/&gt;&lt;wsp:rsid wsp:val=&quot;007E07D1&quot;/&gt;&lt;wsp:rsid wsp:val=&quot;007E2C87&quot;/&gt;&lt;wsp:rsid wsp:val=&quot;007F08D0&quot;/&gt;&lt;wsp:rsid wsp:val=&quot;007F33E7&quot;/&gt;&lt;wsp:rsid wsp:val=&quot;007F4ACB&quot;/&gt;&lt;wsp:rsid wsp:val=&quot;007F7003&quot;/&gt;&lt;wsp:rsid wsp:val=&quot;007F7B70&quot;/&gt;&lt;wsp:rsid wsp:val=&quot;008000C2&quot;/&gt;&lt;wsp:rsid wsp:val=&quot;008063EE&quot;/&gt;&lt;wsp:rsid wsp:val=&quot;00812F9A&quot;/&gt;&lt;wsp:rsid wsp:val=&quot;00817885&quot;/&gt;&lt;wsp:rsid wsp:val=&quot;00820602&quot;/&gt;&lt;wsp:rsid wsp:val=&quot;00825956&quot;/&gt;&lt;wsp:rsid wsp:val=&quot;00834187&quot;/&gt;&lt;wsp:rsid wsp:val=&quot;0083443E&quot;/&gt;&lt;wsp:rsid wsp:val=&quot;00844CE8&quot;/&gt;&lt;wsp:rsid wsp:val=&quot;00845BC8&quot;/&gt;&lt;wsp:rsid wsp:val=&quot;00846E89&quot;/&gt;&lt;wsp:rsid wsp:val=&quot;0085299C&quot;/&gt;&lt;wsp:rsid wsp:val=&quot;00855304&quot;/&gt;&lt;wsp:rsid wsp:val=&quot;00857635&quot;/&gt;&lt;wsp:rsid wsp:val=&quot;00857959&quot;/&gt;&lt;wsp:rsid wsp:val=&quot;0086699F&quot;/&gt;&lt;wsp:rsid wsp:val=&quot;00881165&quot;/&gt;&lt;wsp:rsid wsp:val=&quot;0088790C&quot;/&gt;&lt;wsp:rsid wsp:val=&quot;00890032&quot;/&gt;&lt;wsp:rsid wsp:val=&quot;00891E51&quot;/&gt;&lt;wsp:rsid wsp:val=&quot;00892871&quot;/&gt;&lt;wsp:rsid wsp:val=&quot;00893558&quot;/&gt;&lt;wsp:rsid wsp:val=&quot;00894F80&quot;/&gt;&lt;wsp:rsid wsp:val=&quot;008962C6&quot;/&gt;&lt;wsp:rsid wsp:val=&quot;008A2F55&quot;/&gt;&lt;wsp:rsid wsp:val=&quot;008A38B4&quot;/&gt;&lt;wsp:rsid wsp:val=&quot;008A59D8&quot;/&gt;&lt;wsp:rsid wsp:val=&quot;008A7856&quot;/&gt;&lt;wsp:rsid wsp:val=&quot;008A7DBB&quot;/&gt;&lt;wsp:rsid wsp:val=&quot;008B4100&quot;/&gt;&lt;wsp:rsid wsp:val=&quot;008C55AE&quot;/&gt;&lt;wsp:rsid wsp:val=&quot;008D1218&quot;/&gt;&lt;wsp:rsid wsp:val=&quot;008D2DD2&quot;/&gt;&lt;wsp:rsid wsp:val=&quot;008D4B3D&quot;/&gt;&lt;wsp:rsid wsp:val=&quot;008E1EAF&quot;/&gt;&lt;wsp:rsid wsp:val=&quot;008E2DB4&quot;/&gt;&lt;wsp:rsid wsp:val=&quot;008E4AE5&quot;/&gt;&lt;wsp:rsid wsp:val=&quot;008E5E5F&quot;/&gt;&lt;wsp:rsid wsp:val=&quot;008F13B0&quot;/&gt;&lt;wsp:rsid wsp:val=&quot;008F3E93&quot;/&gt;&lt;wsp:rsid wsp:val=&quot;008F57E2&quot;/&gt;&lt;wsp:rsid wsp:val=&quot;008F7DA3&quot;/&gt;&lt;wsp:rsid wsp:val=&quot;00900D99&quot;/&gt;&lt;wsp:rsid wsp:val=&quot;00902836&quot;/&gt;&lt;wsp:rsid wsp:val=&quot;009040D3&quot;/&gt;&lt;wsp:rsid wsp:val=&quot;009077E5&quot;/&gt;&lt;wsp:rsid wsp:val=&quot;00915E05&quot;/&gt;&lt;wsp:rsid wsp:val=&quot;00923E97&quot;/&gt;&lt;wsp:rsid wsp:val=&quot;009241C7&quot;/&gt;&lt;wsp:rsid wsp:val=&quot;009256A1&quot;/&gt;&lt;wsp:rsid wsp:val=&quot;00926376&quot;/&gt;&lt;wsp:rsid wsp:val=&quot;00931AA5&quot;/&gt;&lt;wsp:rsid wsp:val=&quot;00933A4E&quot;/&gt;&lt;wsp:rsid wsp:val=&quot;0093793B&quot;/&gt;&lt;wsp:rsid wsp:val=&quot;009463EE&quot;/&gt;&lt;wsp:rsid wsp:val=&quot;0094704E&quot;/&gt;&lt;wsp:rsid wsp:val=&quot;009524CA&quot;/&gt;&lt;wsp:rsid wsp:val=&quot;00956CE0&quot;/&gt;&lt;wsp:rsid wsp:val=&quot;009624DE&quot;/&gt;&lt;wsp:rsid wsp:val=&quot;0096487E&quot;/&gt;&lt;wsp:rsid wsp:val=&quot;00964E29&quot;/&gt;&lt;wsp:rsid wsp:val=&quot;00966E79&quot;/&gt;&lt;wsp:rsid wsp:val=&quot;009722E9&quot;/&gt;&lt;wsp:rsid wsp:val=&quot;0097299C&quot;/&gt;&lt;wsp:rsid wsp:val=&quot;00974672&quot;/&gt;&lt;wsp:rsid wsp:val=&quot;00975E8A&quot;/&gt;&lt;wsp:rsid wsp:val=&quot;00976411&quot;/&gt;&lt;wsp:rsid wsp:val=&quot;00985AF4&quot;/&gt;&lt;wsp:rsid wsp:val=&quot;0099078C&quot;/&gt;&lt;wsp:rsid wsp:val=&quot;00997A8B&quot;/&gt;&lt;wsp:rsid wsp:val=&quot;009A1557&quot;/&gt;&lt;wsp:rsid wsp:val=&quot;009A18D6&quot;/&gt;&lt;wsp:rsid wsp:val=&quot;009A2E28&quot;/&gt;&lt;wsp:rsid wsp:val=&quot;009B0EC4&quot;/&gt;&lt;wsp:rsid wsp:val=&quot;009C0486&quot;/&gt;&lt;wsp:rsid wsp:val=&quot;009C1FEA&quot;/&gt;&lt;wsp:rsid wsp:val=&quot;009C2543&quot;/&gt;&lt;wsp:rsid wsp:val=&quot;009C72CC&quot;/&gt;&lt;wsp:rsid wsp:val=&quot;009D06F0&quot;/&gt;&lt;wsp:rsid wsp:val=&quot;009D16F7&quot;/&gt;&lt;wsp:rsid wsp:val=&quot;009D1DFC&quot;/&gt;&lt;wsp:rsid wsp:val=&quot;009D52D0&quot;/&gt;&lt;wsp:rsid wsp:val=&quot;009D71EF&quot;/&gt;&lt;wsp:rsid wsp:val=&quot;009D7BFE&quot;/&gt;&lt;wsp:rsid wsp:val=&quot;009D7FA7&quot;/&gt;&lt;wsp:rsid wsp:val=&quot;009E025C&quot;/&gt;&lt;wsp:rsid wsp:val=&quot;009E0551&quot;/&gt;&lt;wsp:rsid wsp:val=&quot;009E0F36&quot;/&gt;&lt;wsp:rsid wsp:val=&quot;009E33F9&quot;/&gt;&lt;wsp:rsid wsp:val=&quot;009E5D90&quot;/&gt;&lt;wsp:rsid wsp:val=&quot;009E78A1&quot;/&gt;&lt;wsp:rsid wsp:val=&quot;009F3B3D&quot;/&gt;&lt;wsp:rsid wsp:val=&quot;009F4CCE&quot;/&gt;&lt;wsp:rsid wsp:val=&quot;009F631B&quot;/&gt;&lt;wsp:rsid wsp:val=&quot;009F7115&quot;/&gt;&lt;wsp:rsid wsp:val=&quot;009F7E36&quot;/&gt;&lt;wsp:rsid wsp:val=&quot;00A0129F&quot;/&gt;&lt;wsp:rsid wsp:val=&quot;00A03281&quot;/&gt;&lt;wsp:rsid wsp:val=&quot;00A04394&quot;/&gt;&lt;wsp:rsid wsp:val=&quot;00A043BA&quot;/&gt;&lt;wsp:rsid wsp:val=&quot;00A0583F&quot;/&gt;&lt;wsp:rsid wsp:val=&quot;00A14533&quot;/&gt;&lt;wsp:rsid wsp:val=&quot;00A16644&quot;/&gt;&lt;wsp:rsid wsp:val=&quot;00A20781&quot;/&gt;&lt;wsp:rsid wsp:val=&quot;00A2220E&quot;/&gt;&lt;wsp:rsid wsp:val=&quot;00A22502&quot;/&gt;&lt;wsp:rsid wsp:val=&quot;00A31E3F&quot;/&gt;&lt;wsp:rsid wsp:val=&quot;00A3436B&quot;/&gt;&lt;wsp:rsid wsp:val=&quot;00A3449C&quot;/&gt;&lt;wsp:rsid wsp:val=&quot;00A34516&quot;/&gt;&lt;wsp:rsid wsp:val=&quot;00A34D77&quot;/&gt;&lt;wsp:rsid wsp:val=&quot;00A36420&quot;/&gt;&lt;wsp:rsid wsp:val=&quot;00A401B8&quot;/&gt;&lt;wsp:rsid wsp:val=&quot;00A43A53&quot;/&gt;&lt;wsp:rsid wsp:val=&quot;00A45071&quot;/&gt;&lt;wsp:rsid wsp:val=&quot;00A50FB8&quot;/&gt;&lt;wsp:rsid wsp:val=&quot;00A576E2&quot;/&gt;&lt;wsp:rsid wsp:val=&quot;00A63DB5&quot;/&gt;&lt;wsp:rsid wsp:val=&quot;00A6579D&quot;/&gt;&lt;wsp:rsid wsp:val=&quot;00A66026&quot;/&gt;&lt;wsp:rsid wsp:val=&quot;00A71A07&quot;/&gt;&lt;wsp:rsid wsp:val=&quot;00A73DFD&quot;/&gt;&lt;wsp:rsid wsp:val=&quot;00A75C75&quot;/&gt;&lt;wsp:rsid wsp:val=&quot;00A77835&quot;/&gt;&lt;wsp:rsid wsp:val=&quot;00A8073B&quot;/&gt;&lt;wsp:rsid wsp:val=&quot;00A81BC2&quot;/&gt;&lt;wsp:rsid wsp:val=&quot;00A82896&quot;/&gt;&lt;wsp:rsid wsp:val=&quot;00A85E79&quot;/&gt;&lt;wsp:rsid wsp:val=&quot;00A86450&quot;/&gt;&lt;wsp:rsid wsp:val=&quot;00A878AD&quot;/&gt;&lt;wsp:rsid wsp:val=&quot;00A90FAC&quot;/&gt;&lt;wsp:rsid wsp:val=&quot;00A924F1&quot;/&gt;&lt;wsp:rsid wsp:val=&quot;00A95083&quot;/&gt;&lt;wsp:rsid wsp:val=&quot;00AA13E7&quot;/&gt;&lt;wsp:rsid wsp:val=&quot;00AA50A2&quot;/&gt;&lt;wsp:rsid wsp:val=&quot;00AB7A55&quot;/&gt;&lt;wsp:rsid wsp:val=&quot;00AC11CE&quot;/&gt;&lt;wsp:rsid wsp:val=&quot;00AC2DF8&quot;/&gt;&lt;wsp:rsid wsp:val=&quot;00AC3BF6&quot;/&gt;&lt;wsp:rsid wsp:val=&quot;00AC5515&quot;/&gt;&lt;wsp:rsid wsp:val=&quot;00AC5F8A&quot;/&gt;&lt;wsp:rsid wsp:val=&quot;00AE186F&quot;/&gt;&lt;wsp:rsid wsp:val=&quot;00AE51B1&quot;/&gt;&lt;wsp:rsid wsp:val=&quot;00AE5500&quot;/&gt;&lt;wsp:rsid wsp:val=&quot;00AE5CC0&quot;/&gt;&lt;wsp:rsid wsp:val=&quot;00AF02FB&quot;/&gt;&lt;wsp:rsid wsp:val=&quot;00AF1750&quot;/&gt;&lt;wsp:rsid wsp:val=&quot;00AF3533&quot;/&gt;&lt;wsp:rsid wsp:val=&quot;00B01109&quot;/&gt;&lt;wsp:rsid wsp:val=&quot;00B02F4A&quot;/&gt;&lt;wsp:rsid wsp:val=&quot;00B0543C&quot;/&gt;&lt;wsp:rsid wsp:val=&quot;00B0597C&quot;/&gt;&lt;wsp:rsid wsp:val=&quot;00B06B24&quot;/&gt;&lt;wsp:rsid wsp:val=&quot;00B079DF&quot;/&gt;&lt;wsp:rsid wsp:val=&quot;00B1433E&quot;/&gt;&lt;wsp:rsid wsp:val=&quot;00B1591A&quot;/&gt;&lt;wsp:rsid wsp:val=&quot;00B267E9&quot;/&gt;&lt;wsp:rsid wsp:val=&quot;00B35E35&quot;/&gt;&lt;wsp:rsid wsp:val=&quot;00B406C4&quot;/&gt;&lt;wsp:rsid wsp:val=&quot;00B40C13&quot;/&gt;&lt;wsp:rsid wsp:val=&quot;00B43413&quot;/&gt;&lt;wsp:rsid wsp:val=&quot;00B47C10&quot;/&gt;&lt;wsp:rsid wsp:val=&quot;00B507B9&quot;/&gt;&lt;wsp:rsid wsp:val=&quot;00B52188&quot;/&gt;&lt;wsp:rsid wsp:val=&quot;00B523B7&quot;/&gt;&lt;wsp:rsid wsp:val=&quot;00B53E6A&quot;/&gt;&lt;wsp:rsid wsp:val=&quot;00B546DB&quot;/&gt;&lt;wsp:rsid wsp:val=&quot;00B553BB&quot;/&gt;&lt;wsp:rsid wsp:val=&quot;00B55FFD&quot;/&gt;&lt;wsp:rsid wsp:val=&quot;00B634A1&quot;/&gt;&lt;wsp:rsid wsp:val=&quot;00B65A5E&quot;/&gt;&lt;wsp:rsid wsp:val=&quot;00B65C82&quot;/&gt;&lt;wsp:rsid wsp:val=&quot;00B66849&quot;/&gt;&lt;wsp:rsid wsp:val=&quot;00B70DAF&quot;/&gt;&lt;wsp:rsid wsp:val=&quot;00B7263E&quot;/&gt;&lt;wsp:rsid wsp:val=&quot;00B74616&quot;/&gt;&lt;wsp:rsid wsp:val=&quot;00B7600E&quot;/&gt;&lt;wsp:rsid wsp:val=&quot;00B77E4E&quot;/&gt;&lt;wsp:rsid wsp:val=&quot;00B83D9A&quot;/&gt;&lt;wsp:rsid wsp:val=&quot;00B86B11&quot;/&gt;&lt;wsp:rsid wsp:val=&quot;00B87444&quot;/&gt;&lt;wsp:rsid wsp:val=&quot;00B92A9E&quot;/&gt;&lt;wsp:rsid wsp:val=&quot;00B9329D&quot;/&gt;&lt;wsp:rsid wsp:val=&quot;00B93591&quot;/&gt;&lt;wsp:rsid wsp:val=&quot;00B977D2&quot;/&gt;&lt;wsp:rsid wsp:val=&quot;00BA2B06&quot;/&gt;&lt;wsp:rsid wsp:val=&quot;00BA43A3&quot;/&gt;&lt;wsp:rsid wsp:val=&quot;00BA60DD&quot;/&gt;&lt;wsp:rsid wsp:val=&quot;00BB2FFB&quot;/&gt;&lt;wsp:rsid wsp:val=&quot;00BB3F6C&quot;/&gt;&lt;wsp:rsid wsp:val=&quot;00BB527F&quot;/&gt;&lt;wsp:rsid wsp:val=&quot;00BC14EF&quot;/&gt;&lt;wsp:rsid wsp:val=&quot;00BD0445&quot;/&gt;&lt;wsp:rsid wsp:val=&quot;00BD33DD&quot;/&gt;&lt;wsp:rsid wsp:val=&quot;00BE301D&quot;/&gt;&lt;wsp:rsid wsp:val=&quot;00BE6570&quot;/&gt;&lt;wsp:rsid wsp:val=&quot;00BF0318&quot;/&gt;&lt;wsp:rsid wsp:val=&quot;00BF2439&quot;/&gt;&lt;wsp:rsid wsp:val=&quot;00BF2DE0&quot;/&gt;&lt;wsp:rsid wsp:val=&quot;00BF4DA7&quot;/&gt;&lt;wsp:rsid wsp:val=&quot;00BF7DD2&quot;/&gt;&lt;wsp:rsid wsp:val=&quot;00C00598&quot;/&gt;&lt;wsp:rsid wsp:val=&quot;00C01842&quot;/&gt;&lt;wsp:rsid wsp:val=&quot;00C02284&quot;/&gt;&lt;wsp:rsid wsp:val=&quot;00C02A99&quot;/&gt;&lt;wsp:rsid wsp:val=&quot;00C06292&quot;/&gt;&lt;wsp:rsid wsp:val=&quot;00C06313&quot;/&gt;&lt;wsp:rsid wsp:val=&quot;00C074DF&quot;/&gt;&lt;wsp:rsid wsp:val=&quot;00C10E10&quot;/&gt;&lt;wsp:rsid wsp:val=&quot;00C1285C&quot;/&gt;&lt;wsp:rsid wsp:val=&quot;00C14BE3&quot;/&gt;&lt;wsp:rsid wsp:val=&quot;00C17BD7&quot;/&gt;&lt;wsp:rsid wsp:val=&quot;00C20386&quot;/&gt;&lt;wsp:rsid wsp:val=&quot;00C20C97&quot;/&gt;&lt;wsp:rsid wsp:val=&quot;00C246D0&quot;/&gt;&lt;wsp:rsid wsp:val=&quot;00C27EA7&quot;/&gt;&lt;wsp:rsid wsp:val=&quot;00C305C6&quot;/&gt;&lt;wsp:rsid wsp:val=&quot;00C31E3D&quot;/&gt;&lt;wsp:rsid wsp:val=&quot;00C3436F&quot;/&gt;&lt;wsp:rsid wsp:val=&quot;00C352B9&quot;/&gt;&lt;wsp:rsid wsp:val=&quot;00C3534D&quot;/&gt;&lt;wsp:rsid wsp:val=&quot;00C44282&quot;/&gt;&lt;wsp:rsid wsp:val=&quot;00C516B3&quot;/&gt;&lt;wsp:rsid wsp:val=&quot;00C52944&quot;/&gt;&lt;wsp:rsid wsp:val=&quot;00C66F41&quot;/&gt;&lt;wsp:rsid wsp:val=&quot;00C67306&quot;/&gt;&lt;wsp:rsid wsp:val=&quot;00C77548&quot;/&gt;&lt;wsp:rsid wsp:val=&quot;00C8357C&quot;/&gt;&lt;wsp:rsid wsp:val=&quot;00C844DE&quot;/&gt;&lt;wsp:rsid wsp:val=&quot;00C85477&quot;/&gt;&lt;wsp:rsid wsp:val=&quot;00C918E0&quot;/&gt;&lt;wsp:rsid wsp:val=&quot;00C9741E&quot;/&gt;&lt;wsp:rsid wsp:val=&quot;00C97F78&quot;/&gt;&lt;wsp:rsid wsp:val=&quot;00CA1452&quot;/&gt;&lt;wsp:rsid wsp:val=&quot;00CA395D&quot;/&gt;&lt;wsp:rsid wsp:val=&quot;00CA515C&quot;/&gt;&lt;wsp:rsid wsp:val=&quot;00CA6956&quot;/&gt;&lt;wsp:rsid wsp:val=&quot;00CB66E3&quot;/&gt;&lt;wsp:rsid wsp:val=&quot;00CC50ED&quot;/&gt;&lt;wsp:rsid wsp:val=&quot;00CC584A&quot;/&gt;&lt;wsp:rsid wsp:val=&quot;00CC5C27&quot;/&gt;&lt;wsp:rsid wsp:val=&quot;00CD62FE&quot;/&gt;&lt;wsp:rsid wsp:val=&quot;00CE0968&quot;/&gt;&lt;wsp:rsid wsp:val=&quot;00CE3529&quot;/&gt;&lt;wsp:rsid wsp:val=&quot;00CE3B5E&quot;/&gt;&lt;wsp:rsid wsp:val=&quot;00CE3EC0&quot;/&gt;&lt;wsp:rsid wsp:val=&quot;00CE42F9&quot;/&gt;&lt;wsp:rsid wsp:val=&quot;00CE4F38&quot;/&gt;&lt;wsp:rsid wsp:val=&quot;00CE644A&quot;/&gt;&lt;wsp:rsid wsp:val=&quot;00D00DD2&quot;/&gt;&lt;wsp:rsid wsp:val=&quot;00D049BD&quot;/&gt;&lt;wsp:rsid wsp:val=&quot;00D04B5B&quot;/&gt;&lt;wsp:rsid wsp:val=&quot;00D10C52&quot;/&gt;&lt;wsp:rsid wsp:val=&quot;00D1500E&quot;/&gt;&lt;wsp:rsid wsp:val=&quot;00D21A42&quot;/&gt;&lt;wsp:rsid wsp:val=&quot;00D223F1&quot;/&gt;&lt;wsp:rsid wsp:val=&quot;00D22E4C&quot;/&gt;&lt;wsp:rsid wsp:val=&quot;00D27718&quot;/&gt;&lt;wsp:rsid wsp:val=&quot;00D27ECF&quot;/&gt;&lt;wsp:rsid wsp:val=&quot;00D33A79&quot;/&gt;&lt;wsp:rsid wsp:val=&quot;00D35515&quot;/&gt;&lt;wsp:rsid wsp:val=&quot;00D37274&quot;/&gt;&lt;wsp:rsid wsp:val=&quot;00D42976&quot;/&gt;&lt;wsp:rsid wsp:val=&quot;00D45120&quot;/&gt;&lt;wsp:rsid wsp:val=&quot;00D468D2&quot;/&gt;&lt;wsp:rsid wsp:val=&quot;00D5382D&quot;/&gt;&lt;wsp:rsid wsp:val=&quot;00D54BBA&quot;/&gt;&lt;wsp:rsid wsp:val=&quot;00D5719C&quot;/&gt;&lt;wsp:rsid wsp:val=&quot;00D62B59&quot;/&gt;&lt;wsp:rsid wsp:val=&quot;00D62C56&quot;/&gt;&lt;wsp:rsid wsp:val=&quot;00D652F5&quot;/&gt;&lt;wsp:rsid wsp:val=&quot;00D7168D&quot;/&gt;&lt;wsp:rsid wsp:val=&quot;00D73B80&quot;/&gt;&lt;wsp:rsid wsp:val=&quot;00D74AF6&quot;/&gt;&lt;wsp:rsid wsp:val=&quot;00D77D1C&quot;/&gt;&lt;wsp:rsid wsp:val=&quot;00D80652&quot;/&gt;&lt;wsp:rsid wsp:val=&quot;00D84067&quot;/&gt;&lt;wsp:rsid wsp:val=&quot;00D90C25&quot;/&gt;&lt;wsp:rsid wsp:val=&quot;00D9245F&quot;/&gt;&lt;wsp:rsid wsp:val=&quot;00DA0F3C&quot;/&gt;&lt;wsp:rsid wsp:val=&quot;00DA386F&quot;/&gt;&lt;wsp:rsid wsp:val=&quot;00DA712A&quot;/&gt;&lt;wsp:rsid wsp:val=&quot;00DB598A&quot;/&gt;&lt;wsp:rsid wsp:val=&quot;00DC490A&quot;/&gt;&lt;wsp:rsid wsp:val=&quot;00DC56A6&quot;/&gt;&lt;wsp:rsid wsp:val=&quot;00DC66BA&quot;/&gt;&lt;wsp:rsid wsp:val=&quot;00DD598C&quot;/&gt;&lt;wsp:rsid wsp:val=&quot;00DD66ED&quot;/&gt;&lt;wsp:rsid wsp:val=&quot;00DE0E98&quot;/&gt;&lt;wsp:rsid wsp:val=&quot;00DE68A5&quot;/&gt;&lt;wsp:rsid wsp:val=&quot;00DE77DC&quot;/&gt;&lt;wsp:rsid wsp:val=&quot;00DF19F4&quot;/&gt;&lt;wsp:rsid wsp:val=&quot;00DF2FD3&quot;/&gt;&lt;wsp:rsid wsp:val=&quot;00DF30DF&quot;/&gt;&lt;wsp:rsid wsp:val=&quot;00DF3EFA&quot;/&gt;&lt;wsp:rsid wsp:val=&quot;00DF567A&quot;/&gt;&lt;wsp:rsid wsp:val=&quot;00E045B8&quot;/&gt;&lt;wsp:rsid wsp:val=&quot;00E168B5&quot;/&gt;&lt;wsp:rsid wsp:val=&quot;00E25DF3&quot;/&gt;&lt;wsp:rsid wsp:val=&quot;00E262D7&quot;/&gt;&lt;wsp:rsid wsp:val=&quot;00E324F1&quot;/&gt;&lt;wsp:rsid wsp:val=&quot;00E32832&quot;/&gt;&lt;wsp:rsid wsp:val=&quot;00E362FB&quot;/&gt;&lt;wsp:rsid wsp:val=&quot;00E41701&quot;/&gt;&lt;wsp:rsid wsp:val=&quot;00E41D85&quot;/&gt;&lt;wsp:rsid wsp:val=&quot;00E4266D&quot;/&gt;&lt;wsp:rsid wsp:val=&quot;00E447AD&quot;/&gt;&lt;wsp:rsid wsp:val=&quot;00E50B1F&quot;/&gt;&lt;wsp:rsid wsp:val=&quot;00E63BAA&quot;/&gt;&lt;wsp:rsid wsp:val=&quot;00E642A2&quot;/&gt;&lt;wsp:rsid wsp:val=&quot;00E64E1A&quot;/&gt;&lt;wsp:rsid wsp:val=&quot;00E65357&quot;/&gt;&lt;wsp:rsid wsp:val=&quot;00E66AD5&quot;/&gt;&lt;wsp:rsid wsp:val=&quot;00E7223B&quot;/&gt;&lt;wsp:rsid wsp:val=&quot;00E72634&quot;/&gt;&lt;wsp:rsid wsp:val=&quot;00E736DB&quot;/&gt;&lt;wsp:rsid wsp:val=&quot;00E76709&quot;/&gt;&lt;wsp:rsid wsp:val=&quot;00E83D90&quot;/&gt;&lt;wsp:rsid wsp:val=&quot;00E8414D&quot;/&gt;&lt;wsp:rsid wsp:val=&quot;00E8783C&quot;/&gt;&lt;wsp:rsid wsp:val=&quot;00E92DC3&quot;/&gt;&lt;wsp:rsid wsp:val=&quot;00E93F3C&quot;/&gt;&lt;wsp:rsid wsp:val=&quot;00E94ACE&quot;/&gt;&lt;wsp:rsid wsp:val=&quot;00E962C3&quot;/&gt;&lt;wsp:rsid wsp:val=&quot;00EA119E&quot;/&gt;&lt;wsp:rsid wsp:val=&quot;00EB36B2&quot;/&gt;&lt;wsp:rsid wsp:val=&quot;00EB6C80&quot;/&gt;&lt;wsp:rsid wsp:val=&quot;00EB7AEF&quot;/&gt;&lt;wsp:rsid wsp:val=&quot;00EC2BE5&quot;/&gt;&lt;wsp:rsid wsp:val=&quot;00EC7948&quot;/&gt;&lt;wsp:rsid wsp:val=&quot;00ED12AD&quot;/&gt;&lt;wsp:rsid wsp:val=&quot;00ED46E4&quot;/&gt;&lt;wsp:rsid wsp:val=&quot;00EE12F5&quot;/&gt;&lt;wsp:rsid wsp:val=&quot;00EE1A36&quot;/&gt;&lt;wsp:rsid wsp:val=&quot;00EE5EDD&quot;/&gt;&lt;wsp:rsid wsp:val=&quot;00EE7307&quot;/&gt;&lt;wsp:rsid wsp:val=&quot;00EF6A27&quot;/&gt;&lt;wsp:rsid wsp:val=&quot;00F16C14&quot;/&gt;&lt;wsp:rsid wsp:val=&quot;00F2122F&quot;/&gt;&lt;wsp:rsid wsp:val=&quot;00F31A36&quot;/&gt;&lt;wsp:rsid wsp:val=&quot;00F33BFA&quot;/&gt;&lt;wsp:rsid wsp:val=&quot;00F34B1F&quot;/&gt;&lt;wsp:rsid wsp:val=&quot;00F35B4F&quot;/&gt;&lt;wsp:rsid wsp:val=&quot;00F47348&quot;/&gt;&lt;wsp:rsid wsp:val=&quot;00F6031B&quot;/&gt;&lt;wsp:rsid wsp:val=&quot;00F610DE&quot;/&gt;&lt;wsp:rsid wsp:val=&quot;00F700EB&quot;/&gt;&lt;wsp:rsid wsp:val=&quot;00F71AEF&quot;/&gt;&lt;wsp:rsid wsp:val=&quot;00F72A05&quot;/&gt;&lt;wsp:rsid wsp:val=&quot;00F73ED7&quot;/&gt;&lt;wsp:rsid wsp:val=&quot;00F762BE&quot;/&gt;&lt;wsp:rsid wsp:val=&quot;00F77474&quot;/&gt;&lt;wsp:rsid wsp:val=&quot;00F77F70&quot;/&gt;&lt;wsp:rsid wsp:val=&quot;00F85901&quot;/&gt;&lt;wsp:rsid wsp:val=&quot;00F87EA0&quot;/&gt;&lt;wsp:rsid wsp:val=&quot;00F90784&quot;/&gt;&lt;wsp:rsid wsp:val=&quot;00F91AD7&quot;/&gt;&lt;wsp:rsid wsp:val=&quot;00F9238D&quot;/&gt;&lt;wsp:rsid wsp:val=&quot;00F94A3B&quot;/&gt;&lt;wsp:rsid wsp:val=&quot;00FA123F&quot;/&gt;&lt;wsp:rsid wsp:val=&quot;00FA4D7A&quot;/&gt;&lt;wsp:rsid wsp:val=&quot;00FA62E6&quot;/&gt;&lt;wsp:rsid wsp:val=&quot;00FB16EB&quot;/&gt;&lt;wsp:rsid wsp:val=&quot;00FB38E4&quot;/&gt;&lt;wsp:rsid wsp:val=&quot;00FB5392&quot;/&gt;&lt;wsp:rsid wsp:val=&quot;00FB6E4D&quot;/&gt;&lt;wsp:rsid wsp:val=&quot;00FB7655&quot;/&gt;&lt;wsp:rsid wsp:val=&quot;00FC0508&quot;/&gt;&lt;wsp:rsid wsp:val=&quot;00FC0876&quot;/&gt;&lt;wsp:rsid wsp:val=&quot;00FC4747&quot;/&gt;&lt;wsp:rsid wsp:val=&quot;00FC6554&quot;/&gt;&lt;wsp:rsid wsp:val=&quot;00FC7C7A&quot;/&gt;&lt;wsp:rsid wsp:val=&quot;00FD49FC&quot;/&gt;&lt;wsp:rsid wsp:val=&quot;00FD75D7&quot;/&gt;&lt;wsp:rsid wsp:val=&quot;00FE59C1&quot;/&gt;&lt;wsp:rsid wsp:val=&quot;00FF7EBD&quot;/&gt;&lt;/wsp:rsids&gt;&lt;/w:docPr&gt;&lt;w:body&gt;&lt;wx:sect&gt;&lt;w:p wsp:rsidR=&quot;00000000&quot; wsp:rsidRDefault=&quot;003F1041&quot; wsp:rsidP=&quot;003F1041&quot;&gt;&lt;m:oMathPara&gt;&lt;m:oMath&gt;&lt;m:sSubSup&gt;&lt;m:sSubSupPr&gt;&lt;m:ctrlPr&gt;&lt;w:rPr&gt;&lt;w:rFonts w:ascii=&quot;Cambria Math&quot; w:fareast=&quot;Calibri&quot; w:h-ansi=&quot;Cambria Math&quot; w:cs=&quot;Times New Roman&quot;/&gt;&lt;wx:font wx:val=&quot;Cambria Math&quot;/&gt;&lt;w:b/&gt;&lt;w:i/&gt;&lt;w:sz w:val=&quot;20&quot;/&gt;&lt;w:sz-cs w:val=&quot;20&quot;/&gt;&lt;/w:rPr&gt;&lt;/m:ctrlPr&gt;&lt;/m:sSubSupPr&gt;&lt;m:e&gt;&lt;m:r&gt;&lt;m:rPr&gt;&lt;m:sty m:val=&quot;bi&quot;/&gt;&lt;/m:rPr&gt;&lt;w:rPr&gt;&lt;w:rFonts w:ascii=&quot;Cambria Math&quot; w:fareast=&quot;Calibri&quot; w:h-ansi=&quot;Cambria Math&quot; w:cs=&quot;Times New Roman&quot;/&gt;&lt;wx:font wx:val=&quot;Cambria Math&quot;/&gt;&lt;w:b/&gt;&lt;w:i/&gt;&lt;w:sz w:val=&quot;20&quot;/&gt;&lt;w:sz-cs w:val=&quot;20&quot;/&gt;&lt;/w:rPr&gt;&lt;m:t&gt;Ïƒ&lt;/m:t&gt;&lt;/m:r&gt;&lt;/m:e&gt;&lt;m:sub&gt;&lt;m:r&gt;&lt;m:rPr&gt;&lt;m:sty m:val=&quot;bi&quot;/&gt;&lt;/m:rPr&gt;&lt;w:rPr&gt;&lt;w:rFonts w:ascii=&quot;Cambria Math&quot; w:fareast=&quot;Calibri&quot; w:h-ansi=&quot;Cambria Math&quot; w:cs=&quot;Times New Roman&quot;/&gt;&lt;wx:font wx:val=&quot;Cambria Math&quot;/&gt;&lt;w:b/&gt;&lt;w:i/&gt;&lt;w:sz w:val=&quot;20&quot;/&gt;&lt;w:sz-cs w:val=&quot;20&quot;/&gt;&lt;/w:rPr&gt;&lt;m:t&gt;Î_&lt;/m:t&gt;&lt;/m:r&gt;&lt;/m:sub&gt;&lt;m:sup&gt;&lt;m:r&gt;&lt;m:rPr&gt;&lt;m:sty m:val=&quot;bi&quot;/&gt;&lt;/m:rPr&gt;&lt;w:rPr&gt;&lt;w:rFonts w:ascii=&quot;Cambria Math&quot; w:fareast=&quot;Calibri&quot; w:h-ansi=&quot;Calibri&quot; w:cs=&quot;Times New Roman&quot;/&gt;&lt;wx:font wx:val=&quot;Cambria Math&quot;/&gt;&lt;w:b/&gt;&lt;w:i/&gt;&lt;w:sz w:val=&quot;20&quot;/&gt;&lt;w:sz-cs w:val=&quot;20&quot;/&gt;&lt;/w:rPr&gt;&lt;m:t&gt;2&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00156059" w:rsidRPr="00FA5289">
              <w:rPr>
                <w:rFonts w:cs="Times New Roman"/>
                <w:b/>
              </w:rPr>
              <w:fldChar w:fldCharType="end"/>
            </w:r>
            <w:r w:rsidRPr="00FA5289">
              <w:rPr>
                <w:rFonts w:cs="Times New Roman"/>
                <w:b/>
              </w:rPr>
              <w:t xml:space="preserve"> (% of total variance)</w:t>
            </w:r>
          </w:p>
        </w:tc>
        <w:tc>
          <w:tcPr>
            <w:tcW w:w="1137" w:type="dxa"/>
            <w:tcBorders>
              <w:top w:val="single" w:sz="4" w:space="0" w:color="auto"/>
              <w:left w:val="nil"/>
              <w:bottom w:val="single" w:sz="4" w:space="0" w:color="auto"/>
              <w:right w:val="nil"/>
            </w:tcBorders>
            <w:shd w:val="clear" w:color="auto" w:fill="BFBFBF"/>
          </w:tcPr>
          <w:p w:rsidR="00022A6E" w:rsidRPr="00FA5289" w:rsidRDefault="00022A6E" w:rsidP="00C92714">
            <w:pPr>
              <w:spacing w:after="0" w:line="240" w:lineRule="auto"/>
              <w:rPr>
                <w:rFonts w:cs="Times New Roman"/>
                <w:b/>
              </w:rPr>
            </w:pPr>
            <w:r w:rsidRPr="00FA5289">
              <w:rPr>
                <w:rFonts w:cs="Times New Roman"/>
                <w:b/>
              </w:rPr>
              <w:t xml:space="preserve">Between study variance </w:t>
            </w:r>
            <w:r w:rsidR="00156059" w:rsidRPr="00FA5289">
              <w:rPr>
                <w:rFonts w:cs="Times New Roman"/>
                <w:b/>
              </w:rPr>
              <w:fldChar w:fldCharType="begin"/>
            </w:r>
            <w:r w:rsidRPr="00FA5289">
              <w:rPr>
                <w:rFonts w:cs="Times New Roman"/>
                <w:b/>
              </w:rPr>
              <w:instrText xml:space="preserve"> QUOTE </w:instrText>
            </w:r>
            <w:r w:rsidR="00AF4DD8" w:rsidRPr="00156059">
              <w:rPr>
                <w:position w:val="-11"/>
              </w:rPr>
              <w:pict>
                <v:shape id="_x0000_i1073" type="#_x0000_t75" style="width:1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20&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B83D9A&quot;/&gt;&lt;wsp:rsid wsp:val=&quot;00002681&quot;/&gt;&lt;wsp:rsid wsp:val=&quot;00002B39&quot;/&gt;&lt;wsp:rsid wsp:val=&quot;00002CE3&quot;/&gt;&lt;wsp:rsid wsp:val=&quot;00003FA5&quot;/&gt;&lt;wsp:rsid wsp:val=&quot;000069C8&quot;/&gt;&lt;wsp:rsid wsp:val=&quot;00007BE3&quot;/&gt;&lt;wsp:rsid wsp:val=&quot;00016BEF&quot;/&gt;&lt;wsp:rsid wsp:val=&quot;00016F4D&quot;/&gt;&lt;wsp:rsid wsp:val=&quot;00017556&quot;/&gt;&lt;wsp:rsid wsp:val=&quot;00022A6E&quot;/&gt;&lt;wsp:rsid wsp:val=&quot;000278EB&quot;/&gt;&lt;wsp:rsid wsp:val=&quot;00030FC1&quot;/&gt;&lt;wsp:rsid wsp:val=&quot;0003104D&quot;/&gt;&lt;wsp:rsid wsp:val=&quot;0003592D&quot;/&gt;&lt;wsp:rsid wsp:val=&quot;00036BC7&quot;/&gt;&lt;wsp:rsid wsp:val=&quot;0004021F&quot;/&gt;&lt;wsp:rsid wsp:val=&quot;0004648A&quot;/&gt;&lt;wsp:rsid wsp:val=&quot;00047BE4&quot;/&gt;&lt;wsp:rsid wsp:val=&quot;000516EA&quot;/&gt;&lt;wsp:rsid wsp:val=&quot;00051A48&quot;/&gt;&lt;wsp:rsid wsp:val=&quot;00054FFA&quot;/&gt;&lt;wsp:rsid wsp:val=&quot;0006094E&quot;/&gt;&lt;wsp:rsid wsp:val=&quot;00064650&quot;/&gt;&lt;wsp:rsid wsp:val=&quot;00075FAB&quot;/&gt;&lt;wsp:rsid wsp:val=&quot;00084D08&quot;/&gt;&lt;wsp:rsid wsp:val=&quot;00087C01&quot;/&gt;&lt;wsp:rsid wsp:val=&quot;00090692&quot;/&gt;&lt;wsp:rsid wsp:val=&quot;00094375&quot;/&gt;&lt;wsp:rsid wsp:val=&quot;000A0D37&quot;/&gt;&lt;wsp:rsid wsp:val=&quot;000A1339&quot;/&gt;&lt;wsp:rsid wsp:val=&quot;000A2298&quot;/&gt;&lt;wsp:rsid wsp:val=&quot;000A2A14&quot;/&gt;&lt;wsp:rsid wsp:val=&quot;000A4860&quot;/&gt;&lt;wsp:rsid wsp:val=&quot;000A4F42&quot;/&gt;&lt;wsp:rsid wsp:val=&quot;000A60E8&quot;/&gt;&lt;wsp:rsid wsp:val=&quot;000B0C59&quot;/&gt;&lt;wsp:rsid wsp:val=&quot;000B1EA5&quot;/&gt;&lt;wsp:rsid wsp:val=&quot;000B1FEB&quot;/&gt;&lt;wsp:rsid wsp:val=&quot;000B2B75&quot;/&gt;&lt;wsp:rsid wsp:val=&quot;000B5012&quot;/&gt;&lt;wsp:rsid wsp:val=&quot;000B67EC&quot;/&gt;&lt;wsp:rsid wsp:val=&quot;000C0C12&quot;/&gt;&lt;wsp:rsid wsp:val=&quot;000C1E74&quot;/&gt;&lt;wsp:rsid wsp:val=&quot;000C2B8F&quot;/&gt;&lt;wsp:rsid wsp:val=&quot;000C2E27&quot;/&gt;&lt;wsp:rsid wsp:val=&quot;000C3198&quot;/&gt;&lt;wsp:rsid wsp:val=&quot;000D0C5B&quot;/&gt;&lt;wsp:rsid wsp:val=&quot;000D4301&quot;/&gt;&lt;wsp:rsid wsp:val=&quot;000E3D33&quot;/&gt;&lt;wsp:rsid wsp:val=&quot;000E49E7&quot;/&gt;&lt;wsp:rsid wsp:val=&quot;000E6BED&quot;/&gt;&lt;wsp:rsid wsp:val=&quot;000E6BF4&quot;/&gt;&lt;wsp:rsid wsp:val=&quot;000F1665&quot;/&gt;&lt;wsp:rsid wsp:val=&quot;000F22A4&quot;/&gt;&lt;wsp:rsid wsp:val=&quot;00101959&quot;/&gt;&lt;wsp:rsid wsp:val=&quot;001022A2&quot;/&gt;&lt;wsp:rsid wsp:val=&quot;00102875&quot;/&gt;&lt;wsp:rsid wsp:val=&quot;001065F7&quot;/&gt;&lt;wsp:rsid wsp:val=&quot;00106F0B&quot;/&gt;&lt;wsp:rsid wsp:val=&quot;00116000&quot;/&gt;&lt;wsp:rsid wsp:val=&quot;001212E9&quot;/&gt;&lt;wsp:rsid wsp:val=&quot;001221CE&quot;/&gt;&lt;wsp:rsid wsp:val=&quot;00125040&quot;/&gt;&lt;wsp:rsid wsp:val=&quot;00125C66&quot;/&gt;&lt;wsp:rsid wsp:val=&quot;00132C31&quot;/&gt;&lt;wsp:rsid wsp:val=&quot;00133F2C&quot;/&gt;&lt;wsp:rsid wsp:val=&quot;0013611D&quot;/&gt;&lt;wsp:rsid wsp:val=&quot;00144658&quot;/&gt;&lt;wsp:rsid wsp:val=&quot;0014762F&quot;/&gt;&lt;wsp:rsid wsp:val=&quot;0015773B&quot;/&gt;&lt;wsp:rsid wsp:val=&quot;00160202&quot;/&gt;&lt;wsp:rsid wsp:val=&quot;00160241&quot;/&gt;&lt;wsp:rsid wsp:val=&quot;0016187F&quot;/&gt;&lt;wsp:rsid wsp:val=&quot;00162691&quot;/&gt;&lt;wsp:rsid wsp:val=&quot;00162C69&quot;/&gt;&lt;wsp:rsid wsp:val=&quot;001676A3&quot;/&gt;&lt;wsp:rsid wsp:val=&quot;0016792B&quot;/&gt;&lt;wsp:rsid wsp:val=&quot;00167BB4&quot;/&gt;&lt;wsp:rsid wsp:val=&quot;00181B28&quot;/&gt;&lt;wsp:rsid wsp:val=&quot;0019197F&quot;/&gt;&lt;wsp:rsid wsp:val=&quot;001956D4&quot;/&gt;&lt;wsp:rsid wsp:val=&quot;001A5B99&quot;/&gt;&lt;wsp:rsid wsp:val=&quot;001A6387&quot;/&gt;&lt;wsp:rsid wsp:val=&quot;001A6A49&quot;/&gt;&lt;wsp:rsid wsp:val=&quot;001B4D51&quot;/&gt;&lt;wsp:rsid wsp:val=&quot;001B5581&quot;/&gt;&lt;wsp:rsid wsp:val=&quot;001B761B&quot;/&gt;&lt;wsp:rsid wsp:val=&quot;001B7E04&quot;/&gt;&lt;wsp:rsid wsp:val=&quot;001C11D0&quot;/&gt;&lt;wsp:rsid wsp:val=&quot;001C5147&quot;/&gt;&lt;wsp:rsid wsp:val=&quot;001D002F&quot;/&gt;&lt;wsp:rsid wsp:val=&quot;001D21E6&quot;/&gt;&lt;wsp:rsid wsp:val=&quot;001D54A9&quot;/&gt;&lt;wsp:rsid wsp:val=&quot;001D5911&quot;/&gt;&lt;wsp:rsid wsp:val=&quot;001D72A2&quot;/&gt;&lt;wsp:rsid wsp:val=&quot;00214054&quot;/&gt;&lt;wsp:rsid wsp:val=&quot;00223420&quot;/&gt;&lt;wsp:rsid wsp:val=&quot;00223B9C&quot;/&gt;&lt;wsp:rsid wsp:val=&quot;0022612A&quot;/&gt;&lt;wsp:rsid wsp:val=&quot;00226D4C&quot;/&gt;&lt;wsp:rsid wsp:val=&quot;002308B8&quot;/&gt;&lt;wsp:rsid wsp:val=&quot;002309EB&quot;/&gt;&lt;wsp:rsid wsp:val=&quot;0023101D&quot;/&gt;&lt;wsp:rsid wsp:val=&quot;002310C6&quot;/&gt;&lt;wsp:rsid wsp:val=&quot;002321B1&quot;/&gt;&lt;wsp:rsid wsp:val=&quot;0023257D&quot;/&gt;&lt;wsp:rsid wsp:val=&quot;00232FDF&quot;/&gt;&lt;wsp:rsid wsp:val=&quot;002346DC&quot;/&gt;&lt;wsp:rsid wsp:val=&quot;0023635F&quot;/&gt;&lt;wsp:rsid wsp:val=&quot;00241F35&quot;/&gt;&lt;wsp:rsid wsp:val=&quot;00250F35&quot;/&gt;&lt;wsp:rsid wsp:val=&quot;00253C60&quot;/&gt;&lt;wsp:rsid wsp:val=&quot;00256945&quot;/&gt;&lt;wsp:rsid wsp:val=&quot;002642CB&quot;/&gt;&lt;wsp:rsid wsp:val=&quot;0026556B&quot;/&gt;&lt;wsp:rsid wsp:val=&quot;00270694&quot;/&gt;&lt;wsp:rsid wsp:val=&quot;00270781&quot;/&gt;&lt;wsp:rsid wsp:val=&quot;00271E97&quot;/&gt;&lt;wsp:rsid wsp:val=&quot;002908EE&quot;/&gt;&lt;wsp:rsid wsp:val=&quot;00292401&quot;/&gt;&lt;wsp:rsid wsp:val=&quot;0029391A&quot;/&gt;&lt;wsp:rsid wsp:val=&quot;0029659A&quot;/&gt;&lt;wsp:rsid wsp:val=&quot;002A0C23&quot;/&gt;&lt;wsp:rsid wsp:val=&quot;002A27DA&quot;/&gt;&lt;wsp:rsid wsp:val=&quot;002B29EB&quot;/&gt;&lt;wsp:rsid wsp:val=&quot;002B3683&quot;/&gt;&lt;wsp:rsid wsp:val=&quot;002B3C67&quot;/&gt;&lt;wsp:rsid wsp:val=&quot;002B70CB&quot;/&gt;&lt;wsp:rsid wsp:val=&quot;002C007F&quot;/&gt;&lt;wsp:rsid wsp:val=&quot;002D03B2&quot;/&gt;&lt;wsp:rsid wsp:val=&quot;002D2717&quot;/&gt;&lt;wsp:rsid wsp:val=&quot;002D37C6&quot;/&gt;&lt;wsp:rsid wsp:val=&quot;002D4812&quot;/&gt;&lt;wsp:rsid wsp:val=&quot;002D54F2&quot;/&gt;&lt;wsp:rsid wsp:val=&quot;002D5955&quot;/&gt;&lt;wsp:rsid wsp:val=&quot;002E161B&quot;/&gt;&lt;wsp:rsid wsp:val=&quot;002E4B34&quot;/&gt;&lt;wsp:rsid wsp:val=&quot;002E6007&quot;/&gt;&lt;wsp:rsid wsp:val=&quot;002F3AB4&quot;/&gt;&lt;wsp:rsid wsp:val=&quot;002F4A17&quot;/&gt;&lt;wsp:rsid wsp:val=&quot;002F4F68&quot;/&gt;&lt;wsp:rsid wsp:val=&quot;003020C0&quot;/&gt;&lt;wsp:rsid wsp:val=&quot;0030216A&quot;/&gt;&lt;wsp:rsid wsp:val=&quot;00302207&quot;/&gt;&lt;wsp:rsid wsp:val=&quot;00302A29&quot;/&gt;&lt;wsp:rsid wsp:val=&quot;003110BA&quot;/&gt;&lt;wsp:rsid wsp:val=&quot;003133BD&quot;/&gt;&lt;wsp:rsid wsp:val=&quot;00321DBF&quot;/&gt;&lt;wsp:rsid wsp:val=&quot;00323BA2&quot;/&gt;&lt;wsp:rsid wsp:val=&quot;003247E5&quot;/&gt;&lt;wsp:rsid wsp:val=&quot;00327B96&quot;/&gt;&lt;wsp:rsid wsp:val=&quot;00330A0A&quot;/&gt;&lt;wsp:rsid wsp:val=&quot;003350EB&quot;/&gt;&lt;wsp:rsid wsp:val=&quot;00337860&quot;/&gt;&lt;wsp:rsid wsp:val=&quot;00341326&quot;/&gt;&lt;wsp:rsid wsp:val=&quot;003419EC&quot;/&gt;&lt;wsp:rsid wsp:val=&quot;003430E0&quot;/&gt;&lt;wsp:rsid wsp:val=&quot;00343CDF&quot;/&gt;&lt;wsp:rsid wsp:val=&quot;003450E6&quot;/&gt;&lt;wsp:rsid wsp:val=&quot;00350AF0&quot;/&gt;&lt;wsp:rsid wsp:val=&quot;00350E69&quot;/&gt;&lt;wsp:rsid wsp:val=&quot;003532C9&quot;/&gt;&lt;wsp:rsid wsp:val=&quot;003536C6&quot;/&gt;&lt;wsp:rsid wsp:val=&quot;003560BC&quot;/&gt;&lt;wsp:rsid wsp:val=&quot;003567DD&quot;/&gt;&lt;wsp:rsid wsp:val=&quot;0036459D&quot;/&gt;&lt;wsp:rsid wsp:val=&quot;00367107&quot;/&gt;&lt;wsp:rsid wsp:val=&quot;00374C60&quot;/&gt;&lt;wsp:rsid wsp:val=&quot;003822B8&quot;/&gt;&lt;wsp:rsid wsp:val=&quot;00384522&quot;/&gt;&lt;wsp:rsid wsp:val=&quot;00386528&quot;/&gt;&lt;wsp:rsid wsp:val=&quot;003A0D9E&quot;/&gt;&lt;wsp:rsid wsp:val=&quot;003A760E&quot;/&gt;&lt;wsp:rsid wsp:val=&quot;003A7B4F&quot;/&gt;&lt;wsp:rsid wsp:val=&quot;003B3450&quot;/&gt;&lt;wsp:rsid wsp:val=&quot;003C0577&quot;/&gt;&lt;wsp:rsid wsp:val=&quot;003C4281&quot;/&gt;&lt;wsp:rsid wsp:val=&quot;003C70A3&quot;/&gt;&lt;wsp:rsid wsp:val=&quot;003C735D&quot;/&gt;&lt;wsp:rsid wsp:val=&quot;003F01F9&quot;/&gt;&lt;wsp:rsid wsp:val=&quot;003F270D&quot;/&gt;&lt;wsp:rsid wsp:val=&quot;003F304C&quot;/&gt;&lt;wsp:rsid wsp:val=&quot;003F4135&quot;/&gt;&lt;wsp:rsid wsp:val=&quot;003F612B&quot;/&gt;&lt;wsp:rsid wsp:val=&quot;00400C74&quot;/&gt;&lt;wsp:rsid wsp:val=&quot;004027FB&quot;/&gt;&lt;wsp:rsid wsp:val=&quot;00402FA5&quot;/&gt;&lt;wsp:rsid wsp:val=&quot;00403417&quot;/&gt;&lt;wsp:rsid wsp:val=&quot;00405152&quot;/&gt;&lt;wsp:rsid wsp:val=&quot;004054DA&quot;/&gt;&lt;wsp:rsid wsp:val=&quot;00405F0F&quot;/&gt;&lt;wsp:rsid wsp:val=&quot;00412400&quot;/&gt;&lt;wsp:rsid wsp:val=&quot;0041666B&quot;/&gt;&lt;wsp:rsid wsp:val=&quot;0042091A&quot;/&gt;&lt;wsp:rsid wsp:val=&quot;00424343&quot;/&gt;&lt;wsp:rsid wsp:val=&quot;0042455D&quot;/&gt;&lt;wsp:rsid wsp:val=&quot;0042481C&quot;/&gt;&lt;wsp:rsid wsp:val=&quot;00427007&quot;/&gt;&lt;wsp:rsid wsp:val=&quot;0043333C&quot;/&gt;&lt;wsp:rsid wsp:val=&quot;00441345&quot;/&gt;&lt;wsp:rsid wsp:val=&quot;00441722&quot;/&gt;&lt;wsp:rsid wsp:val=&quot;00443153&quot;/&gt;&lt;wsp:rsid wsp:val=&quot;00444774&quot;/&gt;&lt;wsp:rsid wsp:val=&quot;0044504C&quot;/&gt;&lt;wsp:rsid wsp:val=&quot;004472B0&quot;/&gt;&lt;wsp:rsid wsp:val=&quot;00450F7F&quot;/&gt;&lt;wsp:rsid wsp:val=&quot;00466BA5&quot;/&gt;&lt;wsp:rsid wsp:val=&quot;00467581&quot;/&gt;&lt;wsp:rsid wsp:val=&quot;00470AB2&quot;/&gt;&lt;wsp:rsid wsp:val=&quot;004715C0&quot;/&gt;&lt;wsp:rsid wsp:val=&quot;00474E99&quot;/&gt;&lt;wsp:rsid wsp:val=&quot;00476399&quot;/&gt;&lt;wsp:rsid wsp:val=&quot;004766D2&quot;/&gt;&lt;wsp:rsid wsp:val=&quot;00476798&quot;/&gt;&lt;wsp:rsid wsp:val=&quot;00480C80&quot;/&gt;&lt;wsp:rsid wsp:val=&quot;0048461B&quot;/&gt;&lt;wsp:rsid wsp:val=&quot;00485852&quot;/&gt;&lt;wsp:rsid wsp:val=&quot;004878F0&quot;/&gt;&lt;wsp:rsid wsp:val=&quot;00490E8E&quot;/&gt;&lt;wsp:rsid wsp:val=&quot;00491B21&quot;/&gt;&lt;wsp:rsid wsp:val=&quot;004940E7&quot;/&gt;&lt;wsp:rsid wsp:val=&quot;004A3150&quot;/&gt;&lt;wsp:rsid wsp:val=&quot;004A5F7F&quot;/&gt;&lt;wsp:rsid wsp:val=&quot;004A6A65&quot;/&gt;&lt;wsp:rsid wsp:val=&quot;004A72DC&quot;/&gt;&lt;wsp:rsid wsp:val=&quot;004A7539&quot;/&gt;&lt;wsp:rsid wsp:val=&quot;004A7D61&quot;/&gt;&lt;wsp:rsid wsp:val=&quot;004B3873&quot;/&gt;&lt;wsp:rsid wsp:val=&quot;004C1211&quot;/&gt;&lt;wsp:rsid wsp:val=&quot;004C71FC&quot;/&gt;&lt;wsp:rsid wsp:val=&quot;004D0AFD&quot;/&gt;&lt;wsp:rsid wsp:val=&quot;004D2442&quot;/&gt;&lt;wsp:rsid wsp:val=&quot;004D2882&quot;/&gt;&lt;wsp:rsid wsp:val=&quot;004D36EF&quot;/&gt;&lt;wsp:rsid wsp:val=&quot;004D4246&quot;/&gt;&lt;wsp:rsid wsp:val=&quot;004D4B83&quot;/&gt;&lt;wsp:rsid wsp:val=&quot;004D73DF&quot;/&gt;&lt;wsp:rsid wsp:val=&quot;004D76C5&quot;/&gt;&lt;wsp:rsid wsp:val=&quot;004E254F&quot;/&gt;&lt;wsp:rsid wsp:val=&quot;004E6D8C&quot;/&gt;&lt;wsp:rsid wsp:val=&quot;004F16BF&quot;/&gt;&lt;wsp:rsid wsp:val=&quot;004F3987&quot;/&gt;&lt;wsp:rsid wsp:val=&quot;004F749C&quot;/&gt;&lt;wsp:rsid wsp:val=&quot;00500338&quot;/&gt;&lt;wsp:rsid wsp:val=&quot;005038D7&quot;/&gt;&lt;wsp:rsid wsp:val=&quot;00504432&quot;/&gt;&lt;wsp:rsid wsp:val=&quot;005047E3&quot;/&gt;&lt;wsp:rsid wsp:val=&quot;005048FE&quot;/&gt;&lt;wsp:rsid wsp:val=&quot;005067E3&quot;/&gt;&lt;wsp:rsid wsp:val=&quot;00511385&quot;/&gt;&lt;wsp:rsid wsp:val=&quot;00520D4A&quot;/&gt;&lt;wsp:rsid wsp:val=&quot;00523F84&quot;/&gt;&lt;wsp:rsid wsp:val=&quot;0052718D&quot;/&gt;&lt;wsp:rsid wsp:val=&quot;00531495&quot;/&gt;&lt;wsp:rsid wsp:val=&quot;00535147&quot;/&gt;&lt;wsp:rsid wsp:val=&quot;005357B4&quot;/&gt;&lt;wsp:rsid wsp:val=&quot;00536AF3&quot;/&gt;&lt;wsp:rsid wsp:val=&quot;005458C4&quot;/&gt;&lt;wsp:rsid wsp:val=&quot;005458CF&quot;/&gt;&lt;wsp:rsid wsp:val=&quot;00546D12&quot;/&gt;&lt;wsp:rsid wsp:val=&quot;00552A99&quot;/&gt;&lt;wsp:rsid wsp:val=&quot;00556426&quot;/&gt;&lt;wsp:rsid wsp:val=&quot;00560E6E&quot;/&gt;&lt;wsp:rsid wsp:val=&quot;00561C42&quot;/&gt;&lt;wsp:rsid wsp:val=&quot;00561E55&quot;/&gt;&lt;wsp:rsid wsp:val=&quot;00562E3C&quot;/&gt;&lt;wsp:rsid wsp:val=&quot;005633D4&quot;/&gt;&lt;wsp:rsid wsp:val=&quot;005645D8&quot;/&gt;&lt;wsp:rsid wsp:val=&quot;005656F7&quot;/&gt;&lt;wsp:rsid wsp:val=&quot;00570EBD&quot;/&gt;&lt;wsp:rsid wsp:val=&quot;005736E5&quot;/&gt;&lt;wsp:rsid wsp:val=&quot;005746FA&quot;/&gt;&lt;wsp:rsid wsp:val=&quot;00576230&quot;/&gt;&lt;wsp:rsid wsp:val=&quot;00577D58&quot;/&gt;&lt;wsp:rsid wsp:val=&quot;00582DC6&quot;/&gt;&lt;wsp:rsid wsp:val=&quot;00584037&quot;/&gt;&lt;wsp:rsid wsp:val=&quot;005855F0&quot;/&gt;&lt;wsp:rsid wsp:val=&quot;00593120&quot;/&gt;&lt;wsp:rsid wsp:val=&quot;005B13C7&quot;/&gt;&lt;wsp:rsid wsp:val=&quot;005B386A&quot;/&gt;&lt;wsp:rsid wsp:val=&quot;005B3B53&quot;/&gt;&lt;wsp:rsid wsp:val=&quot;005B3E7B&quot;/&gt;&lt;wsp:rsid wsp:val=&quot;005C05AB&quot;/&gt;&lt;wsp:rsid wsp:val=&quot;005C5ECF&quot;/&gt;&lt;wsp:rsid wsp:val=&quot;005C7FA2&quot;/&gt;&lt;wsp:rsid wsp:val=&quot;005D3ACB&quot;/&gt;&lt;wsp:rsid wsp:val=&quot;005D3F20&quot;/&gt;&lt;wsp:rsid wsp:val=&quot;005D688A&quot;/&gt;&lt;wsp:rsid wsp:val=&quot;005E4282&quot;/&gt;&lt;wsp:rsid wsp:val=&quot;005E481B&quot;/&gt;&lt;wsp:rsid wsp:val=&quot;005E7CA8&quot;/&gt;&lt;wsp:rsid wsp:val=&quot;005F0CA9&quot;/&gt;&lt;wsp:rsid wsp:val=&quot;005F1FC8&quot;/&gt;&lt;wsp:rsid wsp:val=&quot;005F24CB&quot;/&gt;&lt;wsp:rsid wsp:val=&quot;005F3613&quot;/&gt;&lt;wsp:rsid wsp:val=&quot;006024DA&quot;/&gt;&lt;wsp:rsid wsp:val=&quot;00613B7A&quot;/&gt;&lt;wsp:rsid wsp:val=&quot;00625D17&quot;/&gt;&lt;wsp:rsid wsp:val=&quot;00631A7F&quot;/&gt;&lt;wsp:rsid wsp:val=&quot;00636D04&quot;/&gt;&lt;wsp:rsid wsp:val=&quot;00636E7C&quot;/&gt;&lt;wsp:rsid wsp:val=&quot;00637111&quot;/&gt;&lt;wsp:rsid wsp:val=&quot;006376F6&quot;/&gt;&lt;wsp:rsid wsp:val=&quot;00640684&quot;/&gt;&lt;wsp:rsid wsp:val=&quot;00643D6B&quot;/&gt;&lt;wsp:rsid wsp:val=&quot;00643E33&quot;/&gt;&lt;wsp:rsid wsp:val=&quot;00646A4F&quot;/&gt;&lt;wsp:rsid wsp:val=&quot;00651842&quot;/&gt;&lt;wsp:rsid wsp:val=&quot;00651FE3&quot;/&gt;&lt;wsp:rsid wsp:val=&quot;00663F89&quot;/&gt;&lt;wsp:rsid wsp:val=&quot;00665627&quot;/&gt;&lt;wsp:rsid wsp:val=&quot;00665809&quot;/&gt;&lt;wsp:rsid wsp:val=&quot;00665A76&quot;/&gt;&lt;wsp:rsid wsp:val=&quot;00670744&quot;/&gt;&lt;wsp:rsid wsp:val=&quot;00675726&quot;/&gt;&lt;wsp:rsid wsp:val=&quot;006772AB&quot;/&gt;&lt;wsp:rsid wsp:val=&quot;006775FA&quot;/&gt;&lt;wsp:rsid wsp:val=&quot;006815DE&quot;/&gt;&lt;wsp:rsid wsp:val=&quot;00681E28&quot;/&gt;&lt;wsp:rsid wsp:val=&quot;0068625C&quot;/&gt;&lt;wsp:rsid wsp:val=&quot;006867FD&quot;/&gt;&lt;wsp:rsid wsp:val=&quot;00691D3C&quot;/&gt;&lt;wsp:rsid wsp:val=&quot;0069254B&quot;/&gt;&lt;wsp:rsid wsp:val=&quot;00693D0F&quot;/&gt;&lt;wsp:rsid wsp:val=&quot;00694054&quot;/&gt;&lt;wsp:rsid wsp:val=&quot;006942C5&quot;/&gt;&lt;wsp:rsid wsp:val=&quot;00694DDA&quot;/&gt;&lt;wsp:rsid wsp:val=&quot;00697059&quot;/&gt;&lt;wsp:rsid wsp:val=&quot;006A2D20&quot;/&gt;&lt;wsp:rsid wsp:val=&quot;006A3E1A&quot;/&gt;&lt;wsp:rsid wsp:val=&quot;006A6F12&quot;/&gt;&lt;wsp:rsid wsp:val=&quot;006B0430&quot;/&gt;&lt;wsp:rsid wsp:val=&quot;006B38ED&quot;/&gt;&lt;wsp:rsid wsp:val=&quot;006B456F&quot;/&gt;&lt;wsp:rsid wsp:val=&quot;006B46F3&quot;/&gt;&lt;wsp:rsid wsp:val=&quot;006B478A&quot;/&gt;&lt;wsp:rsid wsp:val=&quot;006C1F31&quot;/&gt;&lt;wsp:rsid wsp:val=&quot;006C2BF5&quot;/&gt;&lt;wsp:rsid wsp:val=&quot;006D0A48&quot;/&gt;&lt;wsp:rsid wsp:val=&quot;006D21B3&quot;/&gt;&lt;wsp:rsid wsp:val=&quot;006D2DAD&quot;/&gt;&lt;wsp:rsid wsp:val=&quot;006D3BA6&quot;/&gt;&lt;wsp:rsid wsp:val=&quot;006D58ED&quot;/&gt;&lt;wsp:rsid wsp:val=&quot;006E0EF5&quot;/&gt;&lt;wsp:rsid wsp:val=&quot;006E68EE&quot;/&gt;&lt;wsp:rsid wsp:val=&quot;006F0165&quot;/&gt;&lt;wsp:rsid wsp:val=&quot;006F1C10&quot;/&gt;&lt;wsp:rsid wsp:val=&quot;007049F4&quot;/&gt;&lt;wsp:rsid wsp:val=&quot;00716982&quot;/&gt;&lt;wsp:rsid wsp:val=&quot;00720D0A&quot;/&gt;&lt;wsp:rsid wsp:val=&quot;007246E9&quot;/&gt;&lt;wsp:rsid wsp:val=&quot;00724801&quot;/&gt;&lt;wsp:rsid wsp:val=&quot;00726AC2&quot;/&gt;&lt;wsp:rsid wsp:val=&quot;00727C48&quot;/&gt;&lt;wsp:rsid wsp:val=&quot;00732E64&quot;/&gt;&lt;wsp:rsid wsp:val=&quot;00734206&quot;/&gt;&lt;wsp:rsid wsp:val=&quot;00735D81&quot;/&gt;&lt;wsp:rsid wsp:val=&quot;00745F7A&quot;/&gt;&lt;wsp:rsid wsp:val=&quot;0076143A&quot;/&gt;&lt;wsp:rsid wsp:val=&quot;00762646&quot;/&gt;&lt;wsp:rsid wsp:val=&quot;00764566&quot;/&gt;&lt;wsp:rsid wsp:val=&quot;007815BA&quot;/&gt;&lt;wsp:rsid wsp:val=&quot;00782D19&quot;/&gt;&lt;wsp:rsid wsp:val=&quot;00791B8B&quot;/&gt;&lt;wsp:rsid wsp:val=&quot;00792BFE&quot;/&gt;&lt;wsp:rsid wsp:val=&quot;00795254&quot;/&gt;&lt;wsp:rsid wsp:val=&quot;0079582A&quot;/&gt;&lt;wsp:rsid wsp:val=&quot;00797066&quot;/&gt;&lt;wsp:rsid wsp:val=&quot;007A263C&quot;/&gt;&lt;wsp:rsid wsp:val=&quot;007B0345&quot;/&gt;&lt;wsp:rsid wsp:val=&quot;007B15AE&quot;/&gt;&lt;wsp:rsid wsp:val=&quot;007B186A&quot;/&gt;&lt;wsp:rsid wsp:val=&quot;007B2584&quot;/&gt;&lt;wsp:rsid wsp:val=&quot;007B4B49&quot;/&gt;&lt;wsp:rsid wsp:val=&quot;007B7BFE&quot;/&gt;&lt;wsp:rsid wsp:val=&quot;007C078B&quot;/&gt;&lt;wsp:rsid wsp:val=&quot;007C1B3B&quot;/&gt;&lt;wsp:rsid wsp:val=&quot;007C61DD&quot;/&gt;&lt;wsp:rsid wsp:val=&quot;007D37D1&quot;/&gt;&lt;wsp:rsid wsp:val=&quot;007D3D6F&quot;/&gt;&lt;wsp:rsid wsp:val=&quot;007D4D68&quot;/&gt;&lt;wsp:rsid wsp:val=&quot;007D7B43&quot;/&gt;&lt;wsp:rsid wsp:val=&quot;007E07D1&quot;/&gt;&lt;wsp:rsid wsp:val=&quot;007E2C87&quot;/&gt;&lt;wsp:rsid wsp:val=&quot;007F08D0&quot;/&gt;&lt;wsp:rsid wsp:val=&quot;007F33E7&quot;/&gt;&lt;wsp:rsid wsp:val=&quot;007F4ACB&quot;/&gt;&lt;wsp:rsid wsp:val=&quot;007F7003&quot;/&gt;&lt;wsp:rsid wsp:val=&quot;007F7B70&quot;/&gt;&lt;wsp:rsid wsp:val=&quot;008000C2&quot;/&gt;&lt;wsp:rsid wsp:val=&quot;008063EE&quot;/&gt;&lt;wsp:rsid wsp:val=&quot;00812F9A&quot;/&gt;&lt;wsp:rsid wsp:val=&quot;00817885&quot;/&gt;&lt;wsp:rsid wsp:val=&quot;00820602&quot;/&gt;&lt;wsp:rsid wsp:val=&quot;00825956&quot;/&gt;&lt;wsp:rsid wsp:val=&quot;00834187&quot;/&gt;&lt;wsp:rsid wsp:val=&quot;0083443E&quot;/&gt;&lt;wsp:rsid wsp:val=&quot;00844CE8&quot;/&gt;&lt;wsp:rsid wsp:val=&quot;00845BC8&quot;/&gt;&lt;wsp:rsid wsp:val=&quot;00846E89&quot;/&gt;&lt;wsp:rsid wsp:val=&quot;0085299C&quot;/&gt;&lt;wsp:rsid wsp:val=&quot;00855304&quot;/&gt;&lt;wsp:rsid wsp:val=&quot;00857635&quot;/&gt;&lt;wsp:rsid wsp:val=&quot;00857959&quot;/&gt;&lt;wsp:rsid wsp:val=&quot;0086699F&quot;/&gt;&lt;wsp:rsid wsp:val=&quot;00881165&quot;/&gt;&lt;wsp:rsid wsp:val=&quot;0088790C&quot;/&gt;&lt;wsp:rsid wsp:val=&quot;00890032&quot;/&gt;&lt;wsp:rsid wsp:val=&quot;00891E51&quot;/&gt;&lt;wsp:rsid wsp:val=&quot;00892871&quot;/&gt;&lt;wsp:rsid wsp:val=&quot;00893558&quot;/&gt;&lt;wsp:rsid wsp:val=&quot;00894F80&quot;/&gt;&lt;wsp:rsid wsp:val=&quot;008962C6&quot;/&gt;&lt;wsp:rsid wsp:val=&quot;008A2F55&quot;/&gt;&lt;wsp:rsid wsp:val=&quot;008A38B4&quot;/&gt;&lt;wsp:rsid wsp:val=&quot;008A59D8&quot;/&gt;&lt;wsp:rsid wsp:val=&quot;008A7856&quot;/&gt;&lt;wsp:rsid wsp:val=&quot;008A7DBB&quot;/&gt;&lt;wsp:rsid wsp:val=&quot;008B4100&quot;/&gt;&lt;wsp:rsid wsp:val=&quot;008C55AE&quot;/&gt;&lt;wsp:rsid wsp:val=&quot;008D1218&quot;/&gt;&lt;wsp:rsid wsp:val=&quot;008D2DD2&quot;/&gt;&lt;wsp:rsid wsp:val=&quot;008D4B3D&quot;/&gt;&lt;wsp:rsid wsp:val=&quot;008E1EAF&quot;/&gt;&lt;wsp:rsid wsp:val=&quot;008E2DB4&quot;/&gt;&lt;wsp:rsid wsp:val=&quot;008E4AE5&quot;/&gt;&lt;wsp:rsid wsp:val=&quot;008E5E5F&quot;/&gt;&lt;wsp:rsid wsp:val=&quot;008F13B0&quot;/&gt;&lt;wsp:rsid wsp:val=&quot;008F3E93&quot;/&gt;&lt;wsp:rsid wsp:val=&quot;008F57E2&quot;/&gt;&lt;wsp:rsid wsp:val=&quot;008F7DA3&quot;/&gt;&lt;wsp:rsid wsp:val=&quot;00900D99&quot;/&gt;&lt;wsp:rsid wsp:val=&quot;00902836&quot;/&gt;&lt;wsp:rsid wsp:val=&quot;009040D3&quot;/&gt;&lt;wsp:rsid wsp:val=&quot;009077E5&quot;/&gt;&lt;wsp:rsid wsp:val=&quot;00915E05&quot;/&gt;&lt;wsp:rsid wsp:val=&quot;00923E97&quot;/&gt;&lt;wsp:rsid wsp:val=&quot;009241C7&quot;/&gt;&lt;wsp:rsid wsp:val=&quot;009256A1&quot;/&gt;&lt;wsp:rsid wsp:val=&quot;00926376&quot;/&gt;&lt;wsp:rsid wsp:val=&quot;00931AA5&quot;/&gt;&lt;wsp:rsid wsp:val=&quot;00933A4E&quot;/&gt;&lt;wsp:rsid wsp:val=&quot;0093793B&quot;/&gt;&lt;wsp:rsid wsp:val=&quot;009463EE&quot;/&gt;&lt;wsp:rsid wsp:val=&quot;0094704E&quot;/&gt;&lt;wsp:rsid wsp:val=&quot;009524CA&quot;/&gt;&lt;wsp:rsid wsp:val=&quot;00956CE0&quot;/&gt;&lt;wsp:rsid wsp:val=&quot;009624DE&quot;/&gt;&lt;wsp:rsid wsp:val=&quot;0096487E&quot;/&gt;&lt;wsp:rsid wsp:val=&quot;00964E29&quot;/&gt;&lt;wsp:rsid wsp:val=&quot;00966E79&quot;/&gt;&lt;wsp:rsid wsp:val=&quot;009722E9&quot;/&gt;&lt;wsp:rsid wsp:val=&quot;0097299C&quot;/&gt;&lt;wsp:rsid wsp:val=&quot;00974672&quot;/&gt;&lt;wsp:rsid wsp:val=&quot;00975E8A&quot;/&gt;&lt;wsp:rsid wsp:val=&quot;00976411&quot;/&gt;&lt;wsp:rsid wsp:val=&quot;00985AF4&quot;/&gt;&lt;wsp:rsid wsp:val=&quot;0099078C&quot;/&gt;&lt;wsp:rsid wsp:val=&quot;00997A8B&quot;/&gt;&lt;wsp:rsid wsp:val=&quot;009A1557&quot;/&gt;&lt;wsp:rsid wsp:val=&quot;009A18D6&quot;/&gt;&lt;wsp:rsid wsp:val=&quot;009A2E28&quot;/&gt;&lt;wsp:rsid wsp:val=&quot;009B0EC4&quot;/&gt;&lt;wsp:rsid wsp:val=&quot;009C0486&quot;/&gt;&lt;wsp:rsid wsp:val=&quot;009C1FEA&quot;/&gt;&lt;wsp:rsid wsp:val=&quot;009C2543&quot;/&gt;&lt;wsp:rsid wsp:val=&quot;009C72CC&quot;/&gt;&lt;wsp:rsid wsp:val=&quot;009D06F0&quot;/&gt;&lt;wsp:rsid wsp:val=&quot;009D16F7&quot;/&gt;&lt;wsp:rsid wsp:val=&quot;009D1DFC&quot;/&gt;&lt;wsp:rsid wsp:val=&quot;009D52D0&quot;/&gt;&lt;wsp:rsid wsp:val=&quot;009D71EF&quot;/&gt;&lt;wsp:rsid wsp:val=&quot;009D7BFE&quot;/&gt;&lt;wsp:rsid wsp:val=&quot;009D7FA7&quot;/&gt;&lt;wsp:rsid wsp:val=&quot;009E025C&quot;/&gt;&lt;wsp:rsid wsp:val=&quot;009E0551&quot;/&gt;&lt;wsp:rsid wsp:val=&quot;009E0F36&quot;/&gt;&lt;wsp:rsid wsp:val=&quot;009E33F9&quot;/&gt;&lt;wsp:rsid wsp:val=&quot;009E5D90&quot;/&gt;&lt;wsp:rsid wsp:val=&quot;009E78A1&quot;/&gt;&lt;wsp:rsid wsp:val=&quot;009F3B3D&quot;/&gt;&lt;wsp:rsid wsp:val=&quot;009F4CCE&quot;/&gt;&lt;wsp:rsid wsp:val=&quot;009F631B&quot;/&gt;&lt;wsp:rsid wsp:val=&quot;009F7115&quot;/&gt;&lt;wsp:rsid wsp:val=&quot;009F7E36&quot;/&gt;&lt;wsp:rsid wsp:val=&quot;00A0129F&quot;/&gt;&lt;wsp:rsid wsp:val=&quot;00A03281&quot;/&gt;&lt;wsp:rsid wsp:val=&quot;00A04394&quot;/&gt;&lt;wsp:rsid wsp:val=&quot;00A043BA&quot;/&gt;&lt;wsp:rsid wsp:val=&quot;00A0583F&quot;/&gt;&lt;wsp:rsid wsp:val=&quot;00A14533&quot;/&gt;&lt;wsp:rsid wsp:val=&quot;00A16644&quot;/&gt;&lt;wsp:rsid wsp:val=&quot;00A20781&quot;/&gt;&lt;wsp:rsid wsp:val=&quot;00A2220E&quot;/&gt;&lt;wsp:rsid wsp:val=&quot;00A22502&quot;/&gt;&lt;wsp:rsid wsp:val=&quot;00A31E3F&quot;/&gt;&lt;wsp:rsid wsp:val=&quot;00A3436B&quot;/&gt;&lt;wsp:rsid wsp:val=&quot;00A3449C&quot;/&gt;&lt;wsp:rsid wsp:val=&quot;00A34516&quot;/&gt;&lt;wsp:rsid wsp:val=&quot;00A34D77&quot;/&gt;&lt;wsp:rsid wsp:val=&quot;00A36420&quot;/&gt;&lt;wsp:rsid wsp:val=&quot;00A401B8&quot;/&gt;&lt;wsp:rsid wsp:val=&quot;00A43A53&quot;/&gt;&lt;wsp:rsid wsp:val=&quot;00A45071&quot;/&gt;&lt;wsp:rsid wsp:val=&quot;00A50FB8&quot;/&gt;&lt;wsp:rsid wsp:val=&quot;00A576E2&quot;/&gt;&lt;wsp:rsid wsp:val=&quot;00A63DB5&quot;/&gt;&lt;wsp:rsid wsp:val=&quot;00A6579D&quot;/&gt;&lt;wsp:rsid wsp:val=&quot;00A66026&quot;/&gt;&lt;wsp:rsid wsp:val=&quot;00A71A07&quot;/&gt;&lt;wsp:rsid wsp:val=&quot;00A73DFD&quot;/&gt;&lt;wsp:rsid wsp:val=&quot;00A75C75&quot;/&gt;&lt;wsp:rsid wsp:val=&quot;00A77835&quot;/&gt;&lt;wsp:rsid wsp:val=&quot;00A8073B&quot;/&gt;&lt;wsp:rsid wsp:val=&quot;00A81BC2&quot;/&gt;&lt;wsp:rsid wsp:val=&quot;00A82896&quot;/&gt;&lt;wsp:rsid wsp:val=&quot;00A85E79&quot;/&gt;&lt;wsp:rsid wsp:val=&quot;00A86450&quot;/&gt;&lt;wsp:rsid wsp:val=&quot;00A878AD&quot;/&gt;&lt;wsp:rsid wsp:val=&quot;00A90FAC&quot;/&gt;&lt;wsp:rsid wsp:val=&quot;00A924F1&quot;/&gt;&lt;wsp:rsid wsp:val=&quot;00A95083&quot;/&gt;&lt;wsp:rsid wsp:val=&quot;00AA13E7&quot;/&gt;&lt;wsp:rsid wsp:val=&quot;00AA50A2&quot;/&gt;&lt;wsp:rsid wsp:val=&quot;00AB7A55&quot;/&gt;&lt;wsp:rsid wsp:val=&quot;00AC11CE&quot;/&gt;&lt;wsp:rsid wsp:val=&quot;00AC2DF8&quot;/&gt;&lt;wsp:rsid wsp:val=&quot;00AC3BF6&quot;/&gt;&lt;wsp:rsid wsp:val=&quot;00AC5515&quot;/&gt;&lt;wsp:rsid wsp:val=&quot;00AC5F8A&quot;/&gt;&lt;wsp:rsid wsp:val=&quot;00AE186F&quot;/&gt;&lt;wsp:rsid wsp:val=&quot;00AE51B1&quot;/&gt;&lt;wsp:rsid wsp:val=&quot;00AE5500&quot;/&gt;&lt;wsp:rsid wsp:val=&quot;00AE5CC0&quot;/&gt;&lt;wsp:rsid wsp:val=&quot;00AF02FB&quot;/&gt;&lt;wsp:rsid wsp:val=&quot;00AF1750&quot;/&gt;&lt;wsp:rsid wsp:val=&quot;00AF3533&quot;/&gt;&lt;wsp:rsid wsp:val=&quot;00B01109&quot;/&gt;&lt;wsp:rsid wsp:val=&quot;00B02F4A&quot;/&gt;&lt;wsp:rsid wsp:val=&quot;00B0543C&quot;/&gt;&lt;wsp:rsid wsp:val=&quot;00B0597C&quot;/&gt;&lt;wsp:rsid wsp:val=&quot;00B06B24&quot;/&gt;&lt;wsp:rsid wsp:val=&quot;00B079DF&quot;/&gt;&lt;wsp:rsid wsp:val=&quot;00B1433E&quot;/&gt;&lt;wsp:rsid wsp:val=&quot;00B1591A&quot;/&gt;&lt;wsp:rsid wsp:val=&quot;00B267E9&quot;/&gt;&lt;wsp:rsid wsp:val=&quot;00B35E35&quot;/&gt;&lt;wsp:rsid wsp:val=&quot;00B406C4&quot;/&gt;&lt;wsp:rsid wsp:val=&quot;00B40C13&quot;/&gt;&lt;wsp:rsid wsp:val=&quot;00B43413&quot;/&gt;&lt;wsp:rsid wsp:val=&quot;00B47C10&quot;/&gt;&lt;wsp:rsid wsp:val=&quot;00B507B9&quot;/&gt;&lt;wsp:rsid wsp:val=&quot;00B52188&quot;/&gt;&lt;wsp:rsid wsp:val=&quot;00B523B7&quot;/&gt;&lt;wsp:rsid wsp:val=&quot;00B53E6A&quot;/&gt;&lt;wsp:rsid wsp:val=&quot;00B546DB&quot;/&gt;&lt;wsp:rsid wsp:val=&quot;00B553BB&quot;/&gt;&lt;wsp:rsid wsp:val=&quot;00B55FFD&quot;/&gt;&lt;wsp:rsid wsp:val=&quot;00B634A1&quot;/&gt;&lt;wsp:rsid wsp:val=&quot;00B65A5E&quot;/&gt;&lt;wsp:rsid wsp:val=&quot;00B65C82&quot;/&gt;&lt;wsp:rsid wsp:val=&quot;00B66849&quot;/&gt;&lt;wsp:rsid wsp:val=&quot;00B70DAF&quot;/&gt;&lt;wsp:rsid wsp:val=&quot;00B7263E&quot;/&gt;&lt;wsp:rsid wsp:val=&quot;00B74616&quot;/&gt;&lt;wsp:rsid wsp:val=&quot;00B7600E&quot;/&gt;&lt;wsp:rsid wsp:val=&quot;00B77E4E&quot;/&gt;&lt;wsp:rsid wsp:val=&quot;00B83D9A&quot;/&gt;&lt;wsp:rsid wsp:val=&quot;00B86B11&quot;/&gt;&lt;wsp:rsid wsp:val=&quot;00B87444&quot;/&gt;&lt;wsp:rsid wsp:val=&quot;00B92A9E&quot;/&gt;&lt;wsp:rsid wsp:val=&quot;00B9329D&quot;/&gt;&lt;wsp:rsid wsp:val=&quot;00B93591&quot;/&gt;&lt;wsp:rsid wsp:val=&quot;00B977D2&quot;/&gt;&lt;wsp:rsid wsp:val=&quot;00BA2B06&quot;/&gt;&lt;wsp:rsid wsp:val=&quot;00BA43A3&quot;/&gt;&lt;wsp:rsid wsp:val=&quot;00BA60DD&quot;/&gt;&lt;wsp:rsid wsp:val=&quot;00BB2FFB&quot;/&gt;&lt;wsp:rsid wsp:val=&quot;00BB3F6C&quot;/&gt;&lt;wsp:rsid wsp:val=&quot;00BB527F&quot;/&gt;&lt;wsp:rsid wsp:val=&quot;00BC14EF&quot;/&gt;&lt;wsp:rsid wsp:val=&quot;00BD0445&quot;/&gt;&lt;wsp:rsid wsp:val=&quot;00BD33DD&quot;/&gt;&lt;wsp:rsid wsp:val=&quot;00BE301D&quot;/&gt;&lt;wsp:rsid wsp:val=&quot;00BE6570&quot;/&gt;&lt;wsp:rsid wsp:val=&quot;00BF0318&quot;/&gt;&lt;wsp:rsid wsp:val=&quot;00BF2439&quot;/&gt;&lt;wsp:rsid wsp:val=&quot;00BF2DE0&quot;/&gt;&lt;wsp:rsid wsp:val=&quot;00BF4DA7&quot;/&gt;&lt;wsp:rsid wsp:val=&quot;00BF7DD2&quot;/&gt;&lt;wsp:rsid wsp:val=&quot;00C00598&quot;/&gt;&lt;wsp:rsid wsp:val=&quot;00C01842&quot;/&gt;&lt;wsp:rsid wsp:val=&quot;00C02284&quot;/&gt;&lt;wsp:rsid wsp:val=&quot;00C02A99&quot;/&gt;&lt;wsp:rsid wsp:val=&quot;00C06292&quot;/&gt;&lt;wsp:rsid wsp:val=&quot;00C06313&quot;/&gt;&lt;wsp:rsid wsp:val=&quot;00C074DF&quot;/&gt;&lt;wsp:rsid wsp:val=&quot;00C10E10&quot;/&gt;&lt;wsp:rsid wsp:val=&quot;00C1285C&quot;/&gt;&lt;wsp:rsid wsp:val=&quot;00C14BE3&quot;/&gt;&lt;wsp:rsid wsp:val=&quot;00C17BD7&quot;/&gt;&lt;wsp:rsid wsp:val=&quot;00C20386&quot;/&gt;&lt;wsp:rsid wsp:val=&quot;00C20C97&quot;/&gt;&lt;wsp:rsid wsp:val=&quot;00C246D0&quot;/&gt;&lt;wsp:rsid wsp:val=&quot;00C27EA7&quot;/&gt;&lt;wsp:rsid wsp:val=&quot;00C305C6&quot;/&gt;&lt;wsp:rsid wsp:val=&quot;00C31E3D&quot;/&gt;&lt;wsp:rsid wsp:val=&quot;00C3436F&quot;/&gt;&lt;wsp:rsid wsp:val=&quot;00C352B9&quot;/&gt;&lt;wsp:rsid wsp:val=&quot;00C3534D&quot;/&gt;&lt;wsp:rsid wsp:val=&quot;00C44282&quot;/&gt;&lt;wsp:rsid wsp:val=&quot;00C516B3&quot;/&gt;&lt;wsp:rsid wsp:val=&quot;00C52944&quot;/&gt;&lt;wsp:rsid wsp:val=&quot;00C66F41&quot;/&gt;&lt;wsp:rsid wsp:val=&quot;00C67306&quot;/&gt;&lt;wsp:rsid wsp:val=&quot;00C77548&quot;/&gt;&lt;wsp:rsid wsp:val=&quot;00C8357C&quot;/&gt;&lt;wsp:rsid wsp:val=&quot;00C844DE&quot;/&gt;&lt;wsp:rsid wsp:val=&quot;00C85477&quot;/&gt;&lt;wsp:rsid wsp:val=&quot;00C918E0&quot;/&gt;&lt;wsp:rsid wsp:val=&quot;00C9741E&quot;/&gt;&lt;wsp:rsid wsp:val=&quot;00C97F78&quot;/&gt;&lt;wsp:rsid wsp:val=&quot;00CA1452&quot;/&gt;&lt;wsp:rsid wsp:val=&quot;00CA395D&quot;/&gt;&lt;wsp:rsid wsp:val=&quot;00CA515C&quot;/&gt;&lt;wsp:rsid wsp:val=&quot;00CA6956&quot;/&gt;&lt;wsp:rsid wsp:val=&quot;00CB66E3&quot;/&gt;&lt;wsp:rsid wsp:val=&quot;00CC50ED&quot;/&gt;&lt;wsp:rsid wsp:val=&quot;00CC584A&quot;/&gt;&lt;wsp:rsid wsp:val=&quot;00CC5C27&quot;/&gt;&lt;wsp:rsid wsp:val=&quot;00CD62FE&quot;/&gt;&lt;wsp:rsid wsp:val=&quot;00CE0968&quot;/&gt;&lt;wsp:rsid wsp:val=&quot;00CE3529&quot;/&gt;&lt;wsp:rsid wsp:val=&quot;00CE3B5E&quot;/&gt;&lt;wsp:rsid wsp:val=&quot;00CE3EC0&quot;/&gt;&lt;wsp:rsid wsp:val=&quot;00CE42F9&quot;/&gt;&lt;wsp:rsid wsp:val=&quot;00CE4F38&quot;/&gt;&lt;wsp:rsid wsp:val=&quot;00CE644A&quot;/&gt;&lt;wsp:rsid wsp:val=&quot;00D00DD2&quot;/&gt;&lt;wsp:rsid wsp:val=&quot;00D049BD&quot;/&gt;&lt;wsp:rsid wsp:val=&quot;00D04B5B&quot;/&gt;&lt;wsp:rsid wsp:val=&quot;00D10C52&quot;/&gt;&lt;wsp:rsid wsp:val=&quot;00D1500E&quot;/&gt;&lt;wsp:rsid wsp:val=&quot;00D21A42&quot;/&gt;&lt;wsp:rsid wsp:val=&quot;00D223F1&quot;/&gt;&lt;wsp:rsid wsp:val=&quot;00D22E4C&quot;/&gt;&lt;wsp:rsid wsp:val=&quot;00D27718&quot;/&gt;&lt;wsp:rsid wsp:val=&quot;00D27ECF&quot;/&gt;&lt;wsp:rsid wsp:val=&quot;00D33A79&quot;/&gt;&lt;wsp:rsid wsp:val=&quot;00D35515&quot;/&gt;&lt;wsp:rsid wsp:val=&quot;00D37274&quot;/&gt;&lt;wsp:rsid wsp:val=&quot;00D42976&quot;/&gt;&lt;wsp:rsid wsp:val=&quot;00D45120&quot;/&gt;&lt;wsp:rsid wsp:val=&quot;00D468D2&quot;/&gt;&lt;wsp:rsid wsp:val=&quot;00D5382D&quot;/&gt;&lt;wsp:rsid wsp:val=&quot;00D54BBA&quot;/&gt;&lt;wsp:rsid wsp:val=&quot;00D5719C&quot;/&gt;&lt;wsp:rsid wsp:val=&quot;00D62B59&quot;/&gt;&lt;wsp:rsid wsp:val=&quot;00D62C56&quot;/&gt;&lt;wsp:rsid wsp:val=&quot;00D652F5&quot;/&gt;&lt;wsp:rsid wsp:val=&quot;00D7168D&quot;/&gt;&lt;wsp:rsid wsp:val=&quot;00D73B80&quot;/&gt;&lt;wsp:rsid wsp:val=&quot;00D74AF6&quot;/&gt;&lt;wsp:rsid wsp:val=&quot;00D77D1C&quot;/&gt;&lt;wsp:rsid wsp:val=&quot;00D80652&quot;/&gt;&lt;wsp:rsid wsp:val=&quot;00D84067&quot;/&gt;&lt;wsp:rsid wsp:val=&quot;00D90C25&quot;/&gt;&lt;wsp:rsid wsp:val=&quot;00D9245F&quot;/&gt;&lt;wsp:rsid wsp:val=&quot;00DA0F3C&quot;/&gt;&lt;wsp:rsid wsp:val=&quot;00DA386F&quot;/&gt;&lt;wsp:rsid wsp:val=&quot;00DA712A&quot;/&gt;&lt;wsp:rsid wsp:val=&quot;00DB598A&quot;/&gt;&lt;wsp:rsid wsp:val=&quot;00DC490A&quot;/&gt;&lt;wsp:rsid wsp:val=&quot;00DC56A6&quot;/&gt;&lt;wsp:rsid wsp:val=&quot;00DC66BA&quot;/&gt;&lt;wsp:rsid wsp:val=&quot;00DD598C&quot;/&gt;&lt;wsp:rsid wsp:val=&quot;00DD66ED&quot;/&gt;&lt;wsp:rsid wsp:val=&quot;00DE0E98&quot;/&gt;&lt;wsp:rsid wsp:val=&quot;00DE68A5&quot;/&gt;&lt;wsp:rsid wsp:val=&quot;00DE77DC&quot;/&gt;&lt;wsp:rsid wsp:val=&quot;00DF19F4&quot;/&gt;&lt;wsp:rsid wsp:val=&quot;00DF2FD3&quot;/&gt;&lt;wsp:rsid wsp:val=&quot;00DF30DF&quot;/&gt;&lt;wsp:rsid wsp:val=&quot;00DF3EFA&quot;/&gt;&lt;wsp:rsid wsp:val=&quot;00DF567A&quot;/&gt;&lt;wsp:rsid wsp:val=&quot;00E045B8&quot;/&gt;&lt;wsp:rsid wsp:val=&quot;00E168B5&quot;/&gt;&lt;wsp:rsid wsp:val=&quot;00E25DF3&quot;/&gt;&lt;wsp:rsid wsp:val=&quot;00E262D7&quot;/&gt;&lt;wsp:rsid wsp:val=&quot;00E324F1&quot;/&gt;&lt;wsp:rsid wsp:val=&quot;00E32832&quot;/&gt;&lt;wsp:rsid wsp:val=&quot;00E362FB&quot;/&gt;&lt;wsp:rsid wsp:val=&quot;00E41701&quot;/&gt;&lt;wsp:rsid wsp:val=&quot;00E41D85&quot;/&gt;&lt;wsp:rsid wsp:val=&quot;00E4266D&quot;/&gt;&lt;wsp:rsid wsp:val=&quot;00E447AD&quot;/&gt;&lt;wsp:rsid wsp:val=&quot;00E50B1F&quot;/&gt;&lt;wsp:rsid wsp:val=&quot;00E63BAA&quot;/&gt;&lt;wsp:rsid wsp:val=&quot;00E642A2&quot;/&gt;&lt;wsp:rsid wsp:val=&quot;00E64E1A&quot;/&gt;&lt;wsp:rsid wsp:val=&quot;00E65357&quot;/&gt;&lt;wsp:rsid wsp:val=&quot;00E66AD5&quot;/&gt;&lt;wsp:rsid wsp:val=&quot;00E7223B&quot;/&gt;&lt;wsp:rsid wsp:val=&quot;00E72634&quot;/&gt;&lt;wsp:rsid wsp:val=&quot;00E736DB&quot;/&gt;&lt;wsp:rsid wsp:val=&quot;00E76709&quot;/&gt;&lt;wsp:rsid wsp:val=&quot;00E83D90&quot;/&gt;&lt;wsp:rsid wsp:val=&quot;00E8414D&quot;/&gt;&lt;wsp:rsid wsp:val=&quot;00E8783C&quot;/&gt;&lt;wsp:rsid wsp:val=&quot;00E92DC3&quot;/&gt;&lt;wsp:rsid wsp:val=&quot;00E93F3C&quot;/&gt;&lt;wsp:rsid wsp:val=&quot;00E94ACE&quot;/&gt;&lt;wsp:rsid wsp:val=&quot;00E962C3&quot;/&gt;&lt;wsp:rsid wsp:val=&quot;00EA119E&quot;/&gt;&lt;wsp:rsid wsp:val=&quot;00EB36B2&quot;/&gt;&lt;wsp:rsid wsp:val=&quot;00EB6C80&quot;/&gt;&lt;wsp:rsid wsp:val=&quot;00EB7AEF&quot;/&gt;&lt;wsp:rsid wsp:val=&quot;00EC2BE5&quot;/&gt;&lt;wsp:rsid wsp:val=&quot;00EC7948&quot;/&gt;&lt;wsp:rsid wsp:val=&quot;00ED12AD&quot;/&gt;&lt;wsp:rsid wsp:val=&quot;00ED46E4&quot;/&gt;&lt;wsp:rsid wsp:val=&quot;00EE12F5&quot;/&gt;&lt;wsp:rsid wsp:val=&quot;00EE1A36&quot;/&gt;&lt;wsp:rsid wsp:val=&quot;00EE5EDD&quot;/&gt;&lt;wsp:rsid wsp:val=&quot;00EE7307&quot;/&gt;&lt;wsp:rsid wsp:val=&quot;00EF6A27&quot;/&gt;&lt;wsp:rsid wsp:val=&quot;00F16C14&quot;/&gt;&lt;wsp:rsid wsp:val=&quot;00F2122F&quot;/&gt;&lt;wsp:rsid wsp:val=&quot;00F31A36&quot;/&gt;&lt;wsp:rsid wsp:val=&quot;00F33BFA&quot;/&gt;&lt;wsp:rsid wsp:val=&quot;00F34B1F&quot;/&gt;&lt;wsp:rsid wsp:val=&quot;00F35B4F&quot;/&gt;&lt;wsp:rsid wsp:val=&quot;00F47348&quot;/&gt;&lt;wsp:rsid wsp:val=&quot;00F6031B&quot;/&gt;&lt;wsp:rsid wsp:val=&quot;00F610DE&quot;/&gt;&lt;wsp:rsid wsp:val=&quot;00F700EB&quot;/&gt;&lt;wsp:rsid wsp:val=&quot;00F71AEF&quot;/&gt;&lt;wsp:rsid wsp:val=&quot;00F72A05&quot;/&gt;&lt;wsp:rsid wsp:val=&quot;00F73ED7&quot;/&gt;&lt;wsp:rsid wsp:val=&quot;00F762BE&quot;/&gt;&lt;wsp:rsid wsp:val=&quot;00F77474&quot;/&gt;&lt;wsp:rsid wsp:val=&quot;00F77F70&quot;/&gt;&lt;wsp:rsid wsp:val=&quot;00F85901&quot;/&gt;&lt;wsp:rsid wsp:val=&quot;00F87EA0&quot;/&gt;&lt;wsp:rsid wsp:val=&quot;00F90784&quot;/&gt;&lt;wsp:rsid wsp:val=&quot;00F91AD7&quot;/&gt;&lt;wsp:rsid wsp:val=&quot;00F9238D&quot;/&gt;&lt;wsp:rsid wsp:val=&quot;00F94A3B&quot;/&gt;&lt;wsp:rsid wsp:val=&quot;00FA123F&quot;/&gt;&lt;wsp:rsid wsp:val=&quot;00FA4D7A&quot;/&gt;&lt;wsp:rsid wsp:val=&quot;00FA62E6&quot;/&gt;&lt;wsp:rsid wsp:val=&quot;00FB16EB&quot;/&gt;&lt;wsp:rsid wsp:val=&quot;00FB38E4&quot;/&gt;&lt;wsp:rsid wsp:val=&quot;00FB5392&quot;/&gt;&lt;wsp:rsid wsp:val=&quot;00FB6E4D&quot;/&gt;&lt;wsp:rsid wsp:val=&quot;00FB7655&quot;/&gt;&lt;wsp:rsid wsp:val=&quot;00FC0508&quot;/&gt;&lt;wsp:rsid wsp:val=&quot;00FC0876&quot;/&gt;&lt;wsp:rsid wsp:val=&quot;00FC4747&quot;/&gt;&lt;wsp:rsid wsp:val=&quot;00FC6554&quot;/&gt;&lt;wsp:rsid wsp:val=&quot;00FC7C7A&quot;/&gt;&lt;wsp:rsid wsp:val=&quot;00FD49FC&quot;/&gt;&lt;wsp:rsid wsp:val=&quot;00FD75D7&quot;/&gt;&lt;wsp:rsid wsp:val=&quot;00FE59C1&quot;/&gt;&lt;wsp:rsid wsp:val=&quot;00FF7EBD&quot;/&gt;&lt;/wsp:rsids&gt;&lt;/w:docPr&gt;&lt;w:body&gt;&lt;wx:sect&gt;&lt;w:p wsp:rsidR=&quot;00000000&quot; wsp:rsidRDefault=&quot;0079582A&quot; wsp:rsidP=&quot;0079582A&quot;&gt;&lt;m:oMathPara&gt;&lt;m:oMath&gt;&lt;m:sSubSup&gt;&lt;m:sSubSupPr&gt;&lt;m:ctrlPr&gt;&lt;w:rPr&gt;&lt;w:rFonts w:ascii=&quot;Cambria Math&quot; w:fareast=&quot;Calibri&quot; w:h-ansi=&quot;Cambria Math&quot; w:cs=&quot;Times New Roman&quot;/&gt;&lt;wx:font wx:val=&quot;Cambria Math&quot;/&gt;&lt;w:b/&gt;&lt;w:i/&gt;&lt;w:sz w:val=&quot;20&quot;/&gt;&lt;w:sz-cs w:val=&quot;20&quot;/&gt;&lt;/w:rPr&gt;&lt;/m:ctrlPr&gt;&lt;/m:sSubSupPr&gt;&lt;m:e&gt;&lt;m:r&gt;&lt;m:rPr&gt;&lt;m:sty m:val=&quot;bi&quot;/&gt;&lt;/m:rPr&gt;&lt;w:rPr&gt;&lt;w:rFonts w:ascii=&quot;Cambria Math&quot; w:fareast=&quot;Calibri&quot; w:h-ansi=&quot;Cambria Math&quot; w:cs=&quot;Times New Roman&quot;/&gt;&lt;wx:font wx:val=&quot;Cambria Math&quot;/&gt;&lt;w:b/&gt;&lt;w:i/&gt;&lt;w:sz w:val=&quot;20&quot;/&gt;&lt;w:sz-cs w:val=&quot;20&quot;/&gt;&lt;/w:rPr&gt;&lt;m:t&gt;Ïƒ&lt;/m:t&gt;&lt;/m:r&gt;&lt;/m:e&gt;&lt;m:sub&gt;&lt;m:r&gt;&lt;m:rPr&gt;&lt;m:sty m:val=&quot;bi&quot;/&gt;&lt;/m:rPr&gt;&lt;w:rPr&gt;&lt;w:rFonts w:ascii=&quot;Cambria Math&quot; w:fareast=&quot;Calibri&quot; w:h-ansi=&quot;Cambria Math&quot; w:cs=&quot;Times New Roman&quot;/&gt;&lt;wx:font wx:val=&quot;Cambria Math&quot;/&gt;&lt;w:b/&gt;&lt;w:i/&gt;&lt;w:sz w:val=&quot;20&quot;/&gt;&lt;w:sz-cs w:val=&quot;20&quot;/&gt;&lt;/w:rPr&gt;&lt;m:t&gt;Î_&lt;/m:t&gt;&lt;/m:r&gt;&lt;/m:sub&gt;&lt;m:sup&gt;&lt;m:r&gt;&lt;m:rPr&gt;&lt;m:sty m:val=&quot;bi&quot;/&gt;&lt;/m:rPr&gt;&lt;w:rPr&gt;&lt;w:rFonts w:ascii=&quot;Cambria Math&quot; w:fareast=&quot;Calibri&quot; w:h-ansi=&quot;Calibri&quot; w:cs=&quot;Times New Roman&quot;/&gt;&lt;wx:font wx:val=&quot;Cambria Math&quot;/&gt;&lt;w:b/&gt;&lt;w:i/&gt;&lt;w:sz w:val=&quot;20&quot;/&gt;&lt;w:sz-cs w:val=&quot;20&quot;/&gt;&lt;/w:rPr&gt;&lt;m:t&gt;2&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FA5289">
              <w:rPr>
                <w:rFonts w:cs="Times New Roman"/>
                <w:b/>
              </w:rPr>
              <w:instrText xml:space="preserve"> </w:instrText>
            </w:r>
            <w:r w:rsidR="00156059" w:rsidRPr="00FA5289">
              <w:rPr>
                <w:rFonts w:cs="Times New Roman"/>
                <w:b/>
              </w:rPr>
              <w:fldChar w:fldCharType="separate"/>
            </w:r>
            <w:r w:rsidR="00AF4DD8" w:rsidRPr="00156059">
              <w:rPr>
                <w:position w:val="-11"/>
              </w:rPr>
              <w:pict>
                <v:shape id="_x0000_i1074" type="#_x0000_t75" style="width:1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20&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B83D9A&quot;/&gt;&lt;wsp:rsid wsp:val=&quot;00002681&quot;/&gt;&lt;wsp:rsid wsp:val=&quot;00002B39&quot;/&gt;&lt;wsp:rsid wsp:val=&quot;00002CE3&quot;/&gt;&lt;wsp:rsid wsp:val=&quot;00003FA5&quot;/&gt;&lt;wsp:rsid wsp:val=&quot;000069C8&quot;/&gt;&lt;wsp:rsid wsp:val=&quot;00007BE3&quot;/&gt;&lt;wsp:rsid wsp:val=&quot;00016BEF&quot;/&gt;&lt;wsp:rsid wsp:val=&quot;00016F4D&quot;/&gt;&lt;wsp:rsid wsp:val=&quot;00017556&quot;/&gt;&lt;wsp:rsid wsp:val=&quot;00022A6E&quot;/&gt;&lt;wsp:rsid wsp:val=&quot;000278EB&quot;/&gt;&lt;wsp:rsid wsp:val=&quot;00030FC1&quot;/&gt;&lt;wsp:rsid wsp:val=&quot;0003104D&quot;/&gt;&lt;wsp:rsid wsp:val=&quot;0003592D&quot;/&gt;&lt;wsp:rsid wsp:val=&quot;00036BC7&quot;/&gt;&lt;wsp:rsid wsp:val=&quot;0004021F&quot;/&gt;&lt;wsp:rsid wsp:val=&quot;0004648A&quot;/&gt;&lt;wsp:rsid wsp:val=&quot;00047BE4&quot;/&gt;&lt;wsp:rsid wsp:val=&quot;000516EA&quot;/&gt;&lt;wsp:rsid wsp:val=&quot;00051A48&quot;/&gt;&lt;wsp:rsid wsp:val=&quot;00054FFA&quot;/&gt;&lt;wsp:rsid wsp:val=&quot;0006094E&quot;/&gt;&lt;wsp:rsid wsp:val=&quot;00064650&quot;/&gt;&lt;wsp:rsid wsp:val=&quot;00075FAB&quot;/&gt;&lt;wsp:rsid wsp:val=&quot;00084D08&quot;/&gt;&lt;wsp:rsid wsp:val=&quot;00087C01&quot;/&gt;&lt;wsp:rsid wsp:val=&quot;00090692&quot;/&gt;&lt;wsp:rsid wsp:val=&quot;00094375&quot;/&gt;&lt;wsp:rsid wsp:val=&quot;000A0D37&quot;/&gt;&lt;wsp:rsid wsp:val=&quot;000A1339&quot;/&gt;&lt;wsp:rsid wsp:val=&quot;000A2298&quot;/&gt;&lt;wsp:rsid wsp:val=&quot;000A2A14&quot;/&gt;&lt;wsp:rsid wsp:val=&quot;000A4860&quot;/&gt;&lt;wsp:rsid wsp:val=&quot;000A4F42&quot;/&gt;&lt;wsp:rsid wsp:val=&quot;000A60E8&quot;/&gt;&lt;wsp:rsid wsp:val=&quot;000B0C59&quot;/&gt;&lt;wsp:rsid wsp:val=&quot;000B1EA5&quot;/&gt;&lt;wsp:rsid wsp:val=&quot;000B1FEB&quot;/&gt;&lt;wsp:rsid wsp:val=&quot;000B2B75&quot;/&gt;&lt;wsp:rsid wsp:val=&quot;000B5012&quot;/&gt;&lt;wsp:rsid wsp:val=&quot;000B67EC&quot;/&gt;&lt;wsp:rsid wsp:val=&quot;000C0C12&quot;/&gt;&lt;wsp:rsid wsp:val=&quot;000C1E74&quot;/&gt;&lt;wsp:rsid wsp:val=&quot;000C2B8F&quot;/&gt;&lt;wsp:rsid wsp:val=&quot;000C2E27&quot;/&gt;&lt;wsp:rsid wsp:val=&quot;000C3198&quot;/&gt;&lt;wsp:rsid wsp:val=&quot;000D0C5B&quot;/&gt;&lt;wsp:rsid wsp:val=&quot;000D4301&quot;/&gt;&lt;wsp:rsid wsp:val=&quot;000E3D33&quot;/&gt;&lt;wsp:rsid wsp:val=&quot;000E49E7&quot;/&gt;&lt;wsp:rsid wsp:val=&quot;000E6BED&quot;/&gt;&lt;wsp:rsid wsp:val=&quot;000E6BF4&quot;/&gt;&lt;wsp:rsid wsp:val=&quot;000F1665&quot;/&gt;&lt;wsp:rsid wsp:val=&quot;000F22A4&quot;/&gt;&lt;wsp:rsid wsp:val=&quot;00101959&quot;/&gt;&lt;wsp:rsid wsp:val=&quot;001022A2&quot;/&gt;&lt;wsp:rsid wsp:val=&quot;00102875&quot;/&gt;&lt;wsp:rsid wsp:val=&quot;001065F7&quot;/&gt;&lt;wsp:rsid wsp:val=&quot;00106F0B&quot;/&gt;&lt;wsp:rsid wsp:val=&quot;00116000&quot;/&gt;&lt;wsp:rsid wsp:val=&quot;001212E9&quot;/&gt;&lt;wsp:rsid wsp:val=&quot;001221CE&quot;/&gt;&lt;wsp:rsid wsp:val=&quot;00125040&quot;/&gt;&lt;wsp:rsid wsp:val=&quot;00125C66&quot;/&gt;&lt;wsp:rsid wsp:val=&quot;00132C31&quot;/&gt;&lt;wsp:rsid wsp:val=&quot;00133F2C&quot;/&gt;&lt;wsp:rsid wsp:val=&quot;0013611D&quot;/&gt;&lt;wsp:rsid wsp:val=&quot;00144658&quot;/&gt;&lt;wsp:rsid wsp:val=&quot;0014762F&quot;/&gt;&lt;wsp:rsid wsp:val=&quot;0015773B&quot;/&gt;&lt;wsp:rsid wsp:val=&quot;00160202&quot;/&gt;&lt;wsp:rsid wsp:val=&quot;00160241&quot;/&gt;&lt;wsp:rsid wsp:val=&quot;0016187F&quot;/&gt;&lt;wsp:rsid wsp:val=&quot;00162691&quot;/&gt;&lt;wsp:rsid wsp:val=&quot;00162C69&quot;/&gt;&lt;wsp:rsid wsp:val=&quot;001676A3&quot;/&gt;&lt;wsp:rsid wsp:val=&quot;0016792B&quot;/&gt;&lt;wsp:rsid wsp:val=&quot;00167BB4&quot;/&gt;&lt;wsp:rsid wsp:val=&quot;00181B28&quot;/&gt;&lt;wsp:rsid wsp:val=&quot;0019197F&quot;/&gt;&lt;wsp:rsid wsp:val=&quot;001956D4&quot;/&gt;&lt;wsp:rsid wsp:val=&quot;001A5B99&quot;/&gt;&lt;wsp:rsid wsp:val=&quot;001A6387&quot;/&gt;&lt;wsp:rsid wsp:val=&quot;001A6A49&quot;/&gt;&lt;wsp:rsid wsp:val=&quot;001B4D51&quot;/&gt;&lt;wsp:rsid wsp:val=&quot;001B5581&quot;/&gt;&lt;wsp:rsid wsp:val=&quot;001B761B&quot;/&gt;&lt;wsp:rsid wsp:val=&quot;001B7E04&quot;/&gt;&lt;wsp:rsid wsp:val=&quot;001C11D0&quot;/&gt;&lt;wsp:rsid wsp:val=&quot;001C5147&quot;/&gt;&lt;wsp:rsid wsp:val=&quot;001D002F&quot;/&gt;&lt;wsp:rsid wsp:val=&quot;001D21E6&quot;/&gt;&lt;wsp:rsid wsp:val=&quot;001D54A9&quot;/&gt;&lt;wsp:rsid wsp:val=&quot;001D5911&quot;/&gt;&lt;wsp:rsid wsp:val=&quot;001D72A2&quot;/&gt;&lt;wsp:rsid wsp:val=&quot;00214054&quot;/&gt;&lt;wsp:rsid wsp:val=&quot;00223420&quot;/&gt;&lt;wsp:rsid wsp:val=&quot;00223B9C&quot;/&gt;&lt;wsp:rsid wsp:val=&quot;0022612A&quot;/&gt;&lt;wsp:rsid wsp:val=&quot;00226D4C&quot;/&gt;&lt;wsp:rsid wsp:val=&quot;002308B8&quot;/&gt;&lt;wsp:rsid wsp:val=&quot;002309EB&quot;/&gt;&lt;wsp:rsid wsp:val=&quot;0023101D&quot;/&gt;&lt;wsp:rsid wsp:val=&quot;002310C6&quot;/&gt;&lt;wsp:rsid wsp:val=&quot;002321B1&quot;/&gt;&lt;wsp:rsid wsp:val=&quot;0023257D&quot;/&gt;&lt;wsp:rsid wsp:val=&quot;00232FDF&quot;/&gt;&lt;wsp:rsid wsp:val=&quot;002346DC&quot;/&gt;&lt;wsp:rsid wsp:val=&quot;0023635F&quot;/&gt;&lt;wsp:rsid wsp:val=&quot;00241F35&quot;/&gt;&lt;wsp:rsid wsp:val=&quot;00250F35&quot;/&gt;&lt;wsp:rsid wsp:val=&quot;00253C60&quot;/&gt;&lt;wsp:rsid wsp:val=&quot;00256945&quot;/&gt;&lt;wsp:rsid wsp:val=&quot;002642CB&quot;/&gt;&lt;wsp:rsid wsp:val=&quot;0026556B&quot;/&gt;&lt;wsp:rsid wsp:val=&quot;00270694&quot;/&gt;&lt;wsp:rsid wsp:val=&quot;00270781&quot;/&gt;&lt;wsp:rsid wsp:val=&quot;00271E97&quot;/&gt;&lt;wsp:rsid wsp:val=&quot;002908EE&quot;/&gt;&lt;wsp:rsid wsp:val=&quot;00292401&quot;/&gt;&lt;wsp:rsid wsp:val=&quot;0029391A&quot;/&gt;&lt;wsp:rsid wsp:val=&quot;0029659A&quot;/&gt;&lt;wsp:rsid wsp:val=&quot;002A0C23&quot;/&gt;&lt;wsp:rsid wsp:val=&quot;002A27DA&quot;/&gt;&lt;wsp:rsid wsp:val=&quot;002B29EB&quot;/&gt;&lt;wsp:rsid wsp:val=&quot;002B3683&quot;/&gt;&lt;wsp:rsid wsp:val=&quot;002B3C67&quot;/&gt;&lt;wsp:rsid wsp:val=&quot;002B70CB&quot;/&gt;&lt;wsp:rsid wsp:val=&quot;002C007F&quot;/&gt;&lt;wsp:rsid wsp:val=&quot;002D03B2&quot;/&gt;&lt;wsp:rsid wsp:val=&quot;002D2717&quot;/&gt;&lt;wsp:rsid wsp:val=&quot;002D37C6&quot;/&gt;&lt;wsp:rsid wsp:val=&quot;002D4812&quot;/&gt;&lt;wsp:rsid wsp:val=&quot;002D54F2&quot;/&gt;&lt;wsp:rsid wsp:val=&quot;002D5955&quot;/&gt;&lt;wsp:rsid wsp:val=&quot;002E161B&quot;/&gt;&lt;wsp:rsid wsp:val=&quot;002E4B34&quot;/&gt;&lt;wsp:rsid wsp:val=&quot;002E6007&quot;/&gt;&lt;wsp:rsid wsp:val=&quot;002F3AB4&quot;/&gt;&lt;wsp:rsid wsp:val=&quot;002F4A17&quot;/&gt;&lt;wsp:rsid wsp:val=&quot;002F4F68&quot;/&gt;&lt;wsp:rsid wsp:val=&quot;003020C0&quot;/&gt;&lt;wsp:rsid wsp:val=&quot;0030216A&quot;/&gt;&lt;wsp:rsid wsp:val=&quot;00302207&quot;/&gt;&lt;wsp:rsid wsp:val=&quot;00302A29&quot;/&gt;&lt;wsp:rsid wsp:val=&quot;003110BA&quot;/&gt;&lt;wsp:rsid wsp:val=&quot;003133BD&quot;/&gt;&lt;wsp:rsid wsp:val=&quot;00321DBF&quot;/&gt;&lt;wsp:rsid wsp:val=&quot;00323BA2&quot;/&gt;&lt;wsp:rsid wsp:val=&quot;003247E5&quot;/&gt;&lt;wsp:rsid wsp:val=&quot;00327B96&quot;/&gt;&lt;wsp:rsid wsp:val=&quot;00330A0A&quot;/&gt;&lt;wsp:rsid wsp:val=&quot;003350EB&quot;/&gt;&lt;wsp:rsid wsp:val=&quot;00337860&quot;/&gt;&lt;wsp:rsid wsp:val=&quot;00341326&quot;/&gt;&lt;wsp:rsid wsp:val=&quot;003419EC&quot;/&gt;&lt;wsp:rsid wsp:val=&quot;003430E0&quot;/&gt;&lt;wsp:rsid wsp:val=&quot;00343CDF&quot;/&gt;&lt;wsp:rsid wsp:val=&quot;003450E6&quot;/&gt;&lt;wsp:rsid wsp:val=&quot;00350AF0&quot;/&gt;&lt;wsp:rsid wsp:val=&quot;00350E69&quot;/&gt;&lt;wsp:rsid wsp:val=&quot;003532C9&quot;/&gt;&lt;wsp:rsid wsp:val=&quot;003536C6&quot;/&gt;&lt;wsp:rsid wsp:val=&quot;003560BC&quot;/&gt;&lt;wsp:rsid wsp:val=&quot;003567DD&quot;/&gt;&lt;wsp:rsid wsp:val=&quot;0036459D&quot;/&gt;&lt;wsp:rsid wsp:val=&quot;00367107&quot;/&gt;&lt;wsp:rsid wsp:val=&quot;00374C60&quot;/&gt;&lt;wsp:rsid wsp:val=&quot;003822B8&quot;/&gt;&lt;wsp:rsid wsp:val=&quot;00384522&quot;/&gt;&lt;wsp:rsid wsp:val=&quot;00386528&quot;/&gt;&lt;wsp:rsid wsp:val=&quot;003A0D9E&quot;/&gt;&lt;wsp:rsid wsp:val=&quot;003A760E&quot;/&gt;&lt;wsp:rsid wsp:val=&quot;003A7B4F&quot;/&gt;&lt;wsp:rsid wsp:val=&quot;003B3450&quot;/&gt;&lt;wsp:rsid wsp:val=&quot;003C0577&quot;/&gt;&lt;wsp:rsid wsp:val=&quot;003C4281&quot;/&gt;&lt;wsp:rsid wsp:val=&quot;003C70A3&quot;/&gt;&lt;wsp:rsid wsp:val=&quot;003C735D&quot;/&gt;&lt;wsp:rsid wsp:val=&quot;003F01F9&quot;/&gt;&lt;wsp:rsid wsp:val=&quot;003F270D&quot;/&gt;&lt;wsp:rsid wsp:val=&quot;003F304C&quot;/&gt;&lt;wsp:rsid wsp:val=&quot;003F4135&quot;/&gt;&lt;wsp:rsid wsp:val=&quot;003F612B&quot;/&gt;&lt;wsp:rsid wsp:val=&quot;00400C74&quot;/&gt;&lt;wsp:rsid wsp:val=&quot;004027FB&quot;/&gt;&lt;wsp:rsid wsp:val=&quot;00402FA5&quot;/&gt;&lt;wsp:rsid wsp:val=&quot;00403417&quot;/&gt;&lt;wsp:rsid wsp:val=&quot;00405152&quot;/&gt;&lt;wsp:rsid wsp:val=&quot;004054DA&quot;/&gt;&lt;wsp:rsid wsp:val=&quot;00405F0F&quot;/&gt;&lt;wsp:rsid wsp:val=&quot;00412400&quot;/&gt;&lt;wsp:rsid wsp:val=&quot;0041666B&quot;/&gt;&lt;wsp:rsid wsp:val=&quot;0042091A&quot;/&gt;&lt;wsp:rsid wsp:val=&quot;00424343&quot;/&gt;&lt;wsp:rsid wsp:val=&quot;0042455D&quot;/&gt;&lt;wsp:rsid wsp:val=&quot;0042481C&quot;/&gt;&lt;wsp:rsid wsp:val=&quot;00427007&quot;/&gt;&lt;wsp:rsid wsp:val=&quot;0043333C&quot;/&gt;&lt;wsp:rsid wsp:val=&quot;00441345&quot;/&gt;&lt;wsp:rsid wsp:val=&quot;00441722&quot;/&gt;&lt;wsp:rsid wsp:val=&quot;00443153&quot;/&gt;&lt;wsp:rsid wsp:val=&quot;00444774&quot;/&gt;&lt;wsp:rsid wsp:val=&quot;0044504C&quot;/&gt;&lt;wsp:rsid wsp:val=&quot;004472B0&quot;/&gt;&lt;wsp:rsid wsp:val=&quot;00450F7F&quot;/&gt;&lt;wsp:rsid wsp:val=&quot;00466BA5&quot;/&gt;&lt;wsp:rsid wsp:val=&quot;00467581&quot;/&gt;&lt;wsp:rsid wsp:val=&quot;00470AB2&quot;/&gt;&lt;wsp:rsid wsp:val=&quot;004715C0&quot;/&gt;&lt;wsp:rsid wsp:val=&quot;00474E99&quot;/&gt;&lt;wsp:rsid wsp:val=&quot;00476399&quot;/&gt;&lt;wsp:rsid wsp:val=&quot;004766D2&quot;/&gt;&lt;wsp:rsid wsp:val=&quot;00476798&quot;/&gt;&lt;wsp:rsid wsp:val=&quot;00480C80&quot;/&gt;&lt;wsp:rsid wsp:val=&quot;0048461B&quot;/&gt;&lt;wsp:rsid wsp:val=&quot;00485852&quot;/&gt;&lt;wsp:rsid wsp:val=&quot;004878F0&quot;/&gt;&lt;wsp:rsid wsp:val=&quot;00490E8E&quot;/&gt;&lt;wsp:rsid wsp:val=&quot;00491B21&quot;/&gt;&lt;wsp:rsid wsp:val=&quot;004940E7&quot;/&gt;&lt;wsp:rsid wsp:val=&quot;004A3150&quot;/&gt;&lt;wsp:rsid wsp:val=&quot;004A5F7F&quot;/&gt;&lt;wsp:rsid wsp:val=&quot;004A6A65&quot;/&gt;&lt;wsp:rsid wsp:val=&quot;004A72DC&quot;/&gt;&lt;wsp:rsid wsp:val=&quot;004A7539&quot;/&gt;&lt;wsp:rsid wsp:val=&quot;004A7D61&quot;/&gt;&lt;wsp:rsid wsp:val=&quot;004B3873&quot;/&gt;&lt;wsp:rsid wsp:val=&quot;004C1211&quot;/&gt;&lt;wsp:rsid wsp:val=&quot;004C71FC&quot;/&gt;&lt;wsp:rsid wsp:val=&quot;004D0AFD&quot;/&gt;&lt;wsp:rsid wsp:val=&quot;004D2442&quot;/&gt;&lt;wsp:rsid wsp:val=&quot;004D2882&quot;/&gt;&lt;wsp:rsid wsp:val=&quot;004D36EF&quot;/&gt;&lt;wsp:rsid wsp:val=&quot;004D4246&quot;/&gt;&lt;wsp:rsid wsp:val=&quot;004D4B83&quot;/&gt;&lt;wsp:rsid wsp:val=&quot;004D73DF&quot;/&gt;&lt;wsp:rsid wsp:val=&quot;004D76C5&quot;/&gt;&lt;wsp:rsid wsp:val=&quot;004E254F&quot;/&gt;&lt;wsp:rsid wsp:val=&quot;004E6D8C&quot;/&gt;&lt;wsp:rsid wsp:val=&quot;004F16BF&quot;/&gt;&lt;wsp:rsid wsp:val=&quot;004F3987&quot;/&gt;&lt;wsp:rsid wsp:val=&quot;004F749C&quot;/&gt;&lt;wsp:rsid wsp:val=&quot;00500338&quot;/&gt;&lt;wsp:rsid wsp:val=&quot;005038D7&quot;/&gt;&lt;wsp:rsid wsp:val=&quot;00504432&quot;/&gt;&lt;wsp:rsid wsp:val=&quot;005047E3&quot;/&gt;&lt;wsp:rsid wsp:val=&quot;005048FE&quot;/&gt;&lt;wsp:rsid wsp:val=&quot;005067E3&quot;/&gt;&lt;wsp:rsid wsp:val=&quot;00511385&quot;/&gt;&lt;wsp:rsid wsp:val=&quot;00520D4A&quot;/&gt;&lt;wsp:rsid wsp:val=&quot;00523F84&quot;/&gt;&lt;wsp:rsid wsp:val=&quot;0052718D&quot;/&gt;&lt;wsp:rsid wsp:val=&quot;00531495&quot;/&gt;&lt;wsp:rsid wsp:val=&quot;00535147&quot;/&gt;&lt;wsp:rsid wsp:val=&quot;005357B4&quot;/&gt;&lt;wsp:rsid wsp:val=&quot;00536AF3&quot;/&gt;&lt;wsp:rsid wsp:val=&quot;005458C4&quot;/&gt;&lt;wsp:rsid wsp:val=&quot;005458CF&quot;/&gt;&lt;wsp:rsid wsp:val=&quot;00546D12&quot;/&gt;&lt;wsp:rsid wsp:val=&quot;00552A99&quot;/&gt;&lt;wsp:rsid wsp:val=&quot;00556426&quot;/&gt;&lt;wsp:rsid wsp:val=&quot;00560E6E&quot;/&gt;&lt;wsp:rsid wsp:val=&quot;00561C42&quot;/&gt;&lt;wsp:rsid wsp:val=&quot;00561E55&quot;/&gt;&lt;wsp:rsid wsp:val=&quot;00562E3C&quot;/&gt;&lt;wsp:rsid wsp:val=&quot;005633D4&quot;/&gt;&lt;wsp:rsid wsp:val=&quot;005645D8&quot;/&gt;&lt;wsp:rsid wsp:val=&quot;005656F7&quot;/&gt;&lt;wsp:rsid wsp:val=&quot;00570EBD&quot;/&gt;&lt;wsp:rsid wsp:val=&quot;005736E5&quot;/&gt;&lt;wsp:rsid wsp:val=&quot;005746FA&quot;/&gt;&lt;wsp:rsid wsp:val=&quot;00576230&quot;/&gt;&lt;wsp:rsid wsp:val=&quot;00577D58&quot;/&gt;&lt;wsp:rsid wsp:val=&quot;00582DC6&quot;/&gt;&lt;wsp:rsid wsp:val=&quot;00584037&quot;/&gt;&lt;wsp:rsid wsp:val=&quot;005855F0&quot;/&gt;&lt;wsp:rsid wsp:val=&quot;00593120&quot;/&gt;&lt;wsp:rsid wsp:val=&quot;005B13C7&quot;/&gt;&lt;wsp:rsid wsp:val=&quot;005B386A&quot;/&gt;&lt;wsp:rsid wsp:val=&quot;005B3B53&quot;/&gt;&lt;wsp:rsid wsp:val=&quot;005B3E7B&quot;/&gt;&lt;wsp:rsid wsp:val=&quot;005C05AB&quot;/&gt;&lt;wsp:rsid wsp:val=&quot;005C5ECF&quot;/&gt;&lt;wsp:rsid wsp:val=&quot;005C7FA2&quot;/&gt;&lt;wsp:rsid wsp:val=&quot;005D3ACB&quot;/&gt;&lt;wsp:rsid wsp:val=&quot;005D3F20&quot;/&gt;&lt;wsp:rsid wsp:val=&quot;005D688A&quot;/&gt;&lt;wsp:rsid wsp:val=&quot;005E4282&quot;/&gt;&lt;wsp:rsid wsp:val=&quot;005E481B&quot;/&gt;&lt;wsp:rsid wsp:val=&quot;005E7CA8&quot;/&gt;&lt;wsp:rsid wsp:val=&quot;005F0CA9&quot;/&gt;&lt;wsp:rsid wsp:val=&quot;005F1FC8&quot;/&gt;&lt;wsp:rsid wsp:val=&quot;005F24CB&quot;/&gt;&lt;wsp:rsid wsp:val=&quot;005F3613&quot;/&gt;&lt;wsp:rsid wsp:val=&quot;006024DA&quot;/&gt;&lt;wsp:rsid wsp:val=&quot;00613B7A&quot;/&gt;&lt;wsp:rsid wsp:val=&quot;00625D17&quot;/&gt;&lt;wsp:rsid wsp:val=&quot;00631A7F&quot;/&gt;&lt;wsp:rsid wsp:val=&quot;00636D04&quot;/&gt;&lt;wsp:rsid wsp:val=&quot;00636E7C&quot;/&gt;&lt;wsp:rsid wsp:val=&quot;00637111&quot;/&gt;&lt;wsp:rsid wsp:val=&quot;006376F6&quot;/&gt;&lt;wsp:rsid wsp:val=&quot;00640684&quot;/&gt;&lt;wsp:rsid wsp:val=&quot;00643D6B&quot;/&gt;&lt;wsp:rsid wsp:val=&quot;00643E33&quot;/&gt;&lt;wsp:rsid wsp:val=&quot;00646A4F&quot;/&gt;&lt;wsp:rsid wsp:val=&quot;00651842&quot;/&gt;&lt;wsp:rsid wsp:val=&quot;00651FE3&quot;/&gt;&lt;wsp:rsid wsp:val=&quot;00663F89&quot;/&gt;&lt;wsp:rsid wsp:val=&quot;00665627&quot;/&gt;&lt;wsp:rsid wsp:val=&quot;00665809&quot;/&gt;&lt;wsp:rsid wsp:val=&quot;00665A76&quot;/&gt;&lt;wsp:rsid wsp:val=&quot;00670744&quot;/&gt;&lt;wsp:rsid wsp:val=&quot;00675726&quot;/&gt;&lt;wsp:rsid wsp:val=&quot;006772AB&quot;/&gt;&lt;wsp:rsid wsp:val=&quot;006775FA&quot;/&gt;&lt;wsp:rsid wsp:val=&quot;006815DE&quot;/&gt;&lt;wsp:rsid wsp:val=&quot;00681E28&quot;/&gt;&lt;wsp:rsid wsp:val=&quot;0068625C&quot;/&gt;&lt;wsp:rsid wsp:val=&quot;006867FD&quot;/&gt;&lt;wsp:rsid wsp:val=&quot;00691D3C&quot;/&gt;&lt;wsp:rsid wsp:val=&quot;0069254B&quot;/&gt;&lt;wsp:rsid wsp:val=&quot;00693D0F&quot;/&gt;&lt;wsp:rsid wsp:val=&quot;00694054&quot;/&gt;&lt;wsp:rsid wsp:val=&quot;006942C5&quot;/&gt;&lt;wsp:rsid wsp:val=&quot;00694DDA&quot;/&gt;&lt;wsp:rsid wsp:val=&quot;00697059&quot;/&gt;&lt;wsp:rsid wsp:val=&quot;006A2D20&quot;/&gt;&lt;wsp:rsid wsp:val=&quot;006A3E1A&quot;/&gt;&lt;wsp:rsid wsp:val=&quot;006A6F12&quot;/&gt;&lt;wsp:rsid wsp:val=&quot;006B0430&quot;/&gt;&lt;wsp:rsid wsp:val=&quot;006B38ED&quot;/&gt;&lt;wsp:rsid wsp:val=&quot;006B456F&quot;/&gt;&lt;wsp:rsid wsp:val=&quot;006B46F3&quot;/&gt;&lt;wsp:rsid wsp:val=&quot;006B478A&quot;/&gt;&lt;wsp:rsid wsp:val=&quot;006C1F31&quot;/&gt;&lt;wsp:rsid wsp:val=&quot;006C2BF5&quot;/&gt;&lt;wsp:rsid wsp:val=&quot;006D0A48&quot;/&gt;&lt;wsp:rsid wsp:val=&quot;006D21B3&quot;/&gt;&lt;wsp:rsid wsp:val=&quot;006D2DAD&quot;/&gt;&lt;wsp:rsid wsp:val=&quot;006D3BA6&quot;/&gt;&lt;wsp:rsid wsp:val=&quot;006D58ED&quot;/&gt;&lt;wsp:rsid wsp:val=&quot;006E0EF5&quot;/&gt;&lt;wsp:rsid wsp:val=&quot;006E68EE&quot;/&gt;&lt;wsp:rsid wsp:val=&quot;006F0165&quot;/&gt;&lt;wsp:rsid wsp:val=&quot;006F1C10&quot;/&gt;&lt;wsp:rsid wsp:val=&quot;007049F4&quot;/&gt;&lt;wsp:rsid wsp:val=&quot;00716982&quot;/&gt;&lt;wsp:rsid wsp:val=&quot;00720D0A&quot;/&gt;&lt;wsp:rsid wsp:val=&quot;007246E9&quot;/&gt;&lt;wsp:rsid wsp:val=&quot;00724801&quot;/&gt;&lt;wsp:rsid wsp:val=&quot;00726AC2&quot;/&gt;&lt;wsp:rsid wsp:val=&quot;00727C48&quot;/&gt;&lt;wsp:rsid wsp:val=&quot;00732E64&quot;/&gt;&lt;wsp:rsid wsp:val=&quot;00734206&quot;/&gt;&lt;wsp:rsid wsp:val=&quot;00735D81&quot;/&gt;&lt;wsp:rsid wsp:val=&quot;00745F7A&quot;/&gt;&lt;wsp:rsid wsp:val=&quot;0076143A&quot;/&gt;&lt;wsp:rsid wsp:val=&quot;00762646&quot;/&gt;&lt;wsp:rsid wsp:val=&quot;00764566&quot;/&gt;&lt;wsp:rsid wsp:val=&quot;007815BA&quot;/&gt;&lt;wsp:rsid wsp:val=&quot;00782D19&quot;/&gt;&lt;wsp:rsid wsp:val=&quot;00791B8B&quot;/&gt;&lt;wsp:rsid wsp:val=&quot;00792BFE&quot;/&gt;&lt;wsp:rsid wsp:val=&quot;00795254&quot;/&gt;&lt;wsp:rsid wsp:val=&quot;0079582A&quot;/&gt;&lt;wsp:rsid wsp:val=&quot;00797066&quot;/&gt;&lt;wsp:rsid wsp:val=&quot;007A263C&quot;/&gt;&lt;wsp:rsid wsp:val=&quot;007B0345&quot;/&gt;&lt;wsp:rsid wsp:val=&quot;007B15AE&quot;/&gt;&lt;wsp:rsid wsp:val=&quot;007B186A&quot;/&gt;&lt;wsp:rsid wsp:val=&quot;007B2584&quot;/&gt;&lt;wsp:rsid wsp:val=&quot;007B4B49&quot;/&gt;&lt;wsp:rsid wsp:val=&quot;007B7BFE&quot;/&gt;&lt;wsp:rsid wsp:val=&quot;007C078B&quot;/&gt;&lt;wsp:rsid wsp:val=&quot;007C1B3B&quot;/&gt;&lt;wsp:rsid wsp:val=&quot;007C61DD&quot;/&gt;&lt;wsp:rsid wsp:val=&quot;007D37D1&quot;/&gt;&lt;wsp:rsid wsp:val=&quot;007D3D6F&quot;/&gt;&lt;wsp:rsid wsp:val=&quot;007D4D68&quot;/&gt;&lt;wsp:rsid wsp:val=&quot;007D7B43&quot;/&gt;&lt;wsp:rsid wsp:val=&quot;007E07D1&quot;/&gt;&lt;wsp:rsid wsp:val=&quot;007E2C87&quot;/&gt;&lt;wsp:rsid wsp:val=&quot;007F08D0&quot;/&gt;&lt;wsp:rsid wsp:val=&quot;007F33E7&quot;/&gt;&lt;wsp:rsid wsp:val=&quot;007F4ACB&quot;/&gt;&lt;wsp:rsid wsp:val=&quot;007F7003&quot;/&gt;&lt;wsp:rsid wsp:val=&quot;007F7B70&quot;/&gt;&lt;wsp:rsid wsp:val=&quot;008000C2&quot;/&gt;&lt;wsp:rsid wsp:val=&quot;008063EE&quot;/&gt;&lt;wsp:rsid wsp:val=&quot;00812F9A&quot;/&gt;&lt;wsp:rsid wsp:val=&quot;00817885&quot;/&gt;&lt;wsp:rsid wsp:val=&quot;00820602&quot;/&gt;&lt;wsp:rsid wsp:val=&quot;00825956&quot;/&gt;&lt;wsp:rsid wsp:val=&quot;00834187&quot;/&gt;&lt;wsp:rsid wsp:val=&quot;0083443E&quot;/&gt;&lt;wsp:rsid wsp:val=&quot;00844CE8&quot;/&gt;&lt;wsp:rsid wsp:val=&quot;00845BC8&quot;/&gt;&lt;wsp:rsid wsp:val=&quot;00846E89&quot;/&gt;&lt;wsp:rsid wsp:val=&quot;0085299C&quot;/&gt;&lt;wsp:rsid wsp:val=&quot;00855304&quot;/&gt;&lt;wsp:rsid wsp:val=&quot;00857635&quot;/&gt;&lt;wsp:rsid wsp:val=&quot;00857959&quot;/&gt;&lt;wsp:rsid wsp:val=&quot;0086699F&quot;/&gt;&lt;wsp:rsid wsp:val=&quot;00881165&quot;/&gt;&lt;wsp:rsid wsp:val=&quot;0088790C&quot;/&gt;&lt;wsp:rsid wsp:val=&quot;00890032&quot;/&gt;&lt;wsp:rsid wsp:val=&quot;00891E51&quot;/&gt;&lt;wsp:rsid wsp:val=&quot;00892871&quot;/&gt;&lt;wsp:rsid wsp:val=&quot;00893558&quot;/&gt;&lt;wsp:rsid wsp:val=&quot;00894F80&quot;/&gt;&lt;wsp:rsid wsp:val=&quot;008962C6&quot;/&gt;&lt;wsp:rsid wsp:val=&quot;008A2F55&quot;/&gt;&lt;wsp:rsid wsp:val=&quot;008A38B4&quot;/&gt;&lt;wsp:rsid wsp:val=&quot;008A59D8&quot;/&gt;&lt;wsp:rsid wsp:val=&quot;008A7856&quot;/&gt;&lt;wsp:rsid wsp:val=&quot;008A7DBB&quot;/&gt;&lt;wsp:rsid wsp:val=&quot;008B4100&quot;/&gt;&lt;wsp:rsid wsp:val=&quot;008C55AE&quot;/&gt;&lt;wsp:rsid wsp:val=&quot;008D1218&quot;/&gt;&lt;wsp:rsid wsp:val=&quot;008D2DD2&quot;/&gt;&lt;wsp:rsid wsp:val=&quot;008D4B3D&quot;/&gt;&lt;wsp:rsid wsp:val=&quot;008E1EAF&quot;/&gt;&lt;wsp:rsid wsp:val=&quot;008E2DB4&quot;/&gt;&lt;wsp:rsid wsp:val=&quot;008E4AE5&quot;/&gt;&lt;wsp:rsid wsp:val=&quot;008E5E5F&quot;/&gt;&lt;wsp:rsid wsp:val=&quot;008F13B0&quot;/&gt;&lt;wsp:rsid wsp:val=&quot;008F3E93&quot;/&gt;&lt;wsp:rsid wsp:val=&quot;008F57E2&quot;/&gt;&lt;wsp:rsid wsp:val=&quot;008F7DA3&quot;/&gt;&lt;wsp:rsid wsp:val=&quot;00900D99&quot;/&gt;&lt;wsp:rsid wsp:val=&quot;00902836&quot;/&gt;&lt;wsp:rsid wsp:val=&quot;009040D3&quot;/&gt;&lt;wsp:rsid wsp:val=&quot;009077E5&quot;/&gt;&lt;wsp:rsid wsp:val=&quot;00915E05&quot;/&gt;&lt;wsp:rsid wsp:val=&quot;00923E97&quot;/&gt;&lt;wsp:rsid wsp:val=&quot;009241C7&quot;/&gt;&lt;wsp:rsid wsp:val=&quot;009256A1&quot;/&gt;&lt;wsp:rsid wsp:val=&quot;00926376&quot;/&gt;&lt;wsp:rsid wsp:val=&quot;00931AA5&quot;/&gt;&lt;wsp:rsid wsp:val=&quot;00933A4E&quot;/&gt;&lt;wsp:rsid wsp:val=&quot;0093793B&quot;/&gt;&lt;wsp:rsid wsp:val=&quot;009463EE&quot;/&gt;&lt;wsp:rsid wsp:val=&quot;0094704E&quot;/&gt;&lt;wsp:rsid wsp:val=&quot;009524CA&quot;/&gt;&lt;wsp:rsid wsp:val=&quot;00956CE0&quot;/&gt;&lt;wsp:rsid wsp:val=&quot;009624DE&quot;/&gt;&lt;wsp:rsid wsp:val=&quot;0096487E&quot;/&gt;&lt;wsp:rsid wsp:val=&quot;00964E29&quot;/&gt;&lt;wsp:rsid wsp:val=&quot;00966E79&quot;/&gt;&lt;wsp:rsid wsp:val=&quot;009722E9&quot;/&gt;&lt;wsp:rsid wsp:val=&quot;0097299C&quot;/&gt;&lt;wsp:rsid wsp:val=&quot;00974672&quot;/&gt;&lt;wsp:rsid wsp:val=&quot;00975E8A&quot;/&gt;&lt;wsp:rsid wsp:val=&quot;00976411&quot;/&gt;&lt;wsp:rsid wsp:val=&quot;00985AF4&quot;/&gt;&lt;wsp:rsid wsp:val=&quot;0099078C&quot;/&gt;&lt;wsp:rsid wsp:val=&quot;00997A8B&quot;/&gt;&lt;wsp:rsid wsp:val=&quot;009A1557&quot;/&gt;&lt;wsp:rsid wsp:val=&quot;009A18D6&quot;/&gt;&lt;wsp:rsid wsp:val=&quot;009A2E28&quot;/&gt;&lt;wsp:rsid wsp:val=&quot;009B0EC4&quot;/&gt;&lt;wsp:rsid wsp:val=&quot;009C0486&quot;/&gt;&lt;wsp:rsid wsp:val=&quot;009C1FEA&quot;/&gt;&lt;wsp:rsid wsp:val=&quot;009C2543&quot;/&gt;&lt;wsp:rsid wsp:val=&quot;009C72CC&quot;/&gt;&lt;wsp:rsid wsp:val=&quot;009D06F0&quot;/&gt;&lt;wsp:rsid wsp:val=&quot;009D16F7&quot;/&gt;&lt;wsp:rsid wsp:val=&quot;009D1DFC&quot;/&gt;&lt;wsp:rsid wsp:val=&quot;009D52D0&quot;/&gt;&lt;wsp:rsid wsp:val=&quot;009D71EF&quot;/&gt;&lt;wsp:rsid wsp:val=&quot;009D7BFE&quot;/&gt;&lt;wsp:rsid wsp:val=&quot;009D7FA7&quot;/&gt;&lt;wsp:rsid wsp:val=&quot;009E025C&quot;/&gt;&lt;wsp:rsid wsp:val=&quot;009E0551&quot;/&gt;&lt;wsp:rsid wsp:val=&quot;009E0F36&quot;/&gt;&lt;wsp:rsid wsp:val=&quot;009E33F9&quot;/&gt;&lt;wsp:rsid wsp:val=&quot;009E5D90&quot;/&gt;&lt;wsp:rsid wsp:val=&quot;009E78A1&quot;/&gt;&lt;wsp:rsid wsp:val=&quot;009F3B3D&quot;/&gt;&lt;wsp:rsid wsp:val=&quot;009F4CCE&quot;/&gt;&lt;wsp:rsid wsp:val=&quot;009F631B&quot;/&gt;&lt;wsp:rsid wsp:val=&quot;009F7115&quot;/&gt;&lt;wsp:rsid wsp:val=&quot;009F7E36&quot;/&gt;&lt;wsp:rsid wsp:val=&quot;00A0129F&quot;/&gt;&lt;wsp:rsid wsp:val=&quot;00A03281&quot;/&gt;&lt;wsp:rsid wsp:val=&quot;00A04394&quot;/&gt;&lt;wsp:rsid wsp:val=&quot;00A043BA&quot;/&gt;&lt;wsp:rsid wsp:val=&quot;00A0583F&quot;/&gt;&lt;wsp:rsid wsp:val=&quot;00A14533&quot;/&gt;&lt;wsp:rsid wsp:val=&quot;00A16644&quot;/&gt;&lt;wsp:rsid wsp:val=&quot;00A20781&quot;/&gt;&lt;wsp:rsid wsp:val=&quot;00A2220E&quot;/&gt;&lt;wsp:rsid wsp:val=&quot;00A22502&quot;/&gt;&lt;wsp:rsid wsp:val=&quot;00A31E3F&quot;/&gt;&lt;wsp:rsid wsp:val=&quot;00A3436B&quot;/&gt;&lt;wsp:rsid wsp:val=&quot;00A3449C&quot;/&gt;&lt;wsp:rsid wsp:val=&quot;00A34516&quot;/&gt;&lt;wsp:rsid wsp:val=&quot;00A34D77&quot;/&gt;&lt;wsp:rsid wsp:val=&quot;00A36420&quot;/&gt;&lt;wsp:rsid wsp:val=&quot;00A401B8&quot;/&gt;&lt;wsp:rsid wsp:val=&quot;00A43A53&quot;/&gt;&lt;wsp:rsid wsp:val=&quot;00A45071&quot;/&gt;&lt;wsp:rsid wsp:val=&quot;00A50FB8&quot;/&gt;&lt;wsp:rsid wsp:val=&quot;00A576E2&quot;/&gt;&lt;wsp:rsid wsp:val=&quot;00A63DB5&quot;/&gt;&lt;wsp:rsid wsp:val=&quot;00A6579D&quot;/&gt;&lt;wsp:rsid wsp:val=&quot;00A66026&quot;/&gt;&lt;wsp:rsid wsp:val=&quot;00A71A07&quot;/&gt;&lt;wsp:rsid wsp:val=&quot;00A73DFD&quot;/&gt;&lt;wsp:rsid wsp:val=&quot;00A75C75&quot;/&gt;&lt;wsp:rsid wsp:val=&quot;00A77835&quot;/&gt;&lt;wsp:rsid wsp:val=&quot;00A8073B&quot;/&gt;&lt;wsp:rsid wsp:val=&quot;00A81BC2&quot;/&gt;&lt;wsp:rsid wsp:val=&quot;00A82896&quot;/&gt;&lt;wsp:rsid wsp:val=&quot;00A85E79&quot;/&gt;&lt;wsp:rsid wsp:val=&quot;00A86450&quot;/&gt;&lt;wsp:rsid wsp:val=&quot;00A878AD&quot;/&gt;&lt;wsp:rsid wsp:val=&quot;00A90FAC&quot;/&gt;&lt;wsp:rsid wsp:val=&quot;00A924F1&quot;/&gt;&lt;wsp:rsid wsp:val=&quot;00A95083&quot;/&gt;&lt;wsp:rsid wsp:val=&quot;00AA13E7&quot;/&gt;&lt;wsp:rsid wsp:val=&quot;00AA50A2&quot;/&gt;&lt;wsp:rsid wsp:val=&quot;00AB7A55&quot;/&gt;&lt;wsp:rsid wsp:val=&quot;00AC11CE&quot;/&gt;&lt;wsp:rsid wsp:val=&quot;00AC2DF8&quot;/&gt;&lt;wsp:rsid wsp:val=&quot;00AC3BF6&quot;/&gt;&lt;wsp:rsid wsp:val=&quot;00AC5515&quot;/&gt;&lt;wsp:rsid wsp:val=&quot;00AC5F8A&quot;/&gt;&lt;wsp:rsid wsp:val=&quot;00AE186F&quot;/&gt;&lt;wsp:rsid wsp:val=&quot;00AE51B1&quot;/&gt;&lt;wsp:rsid wsp:val=&quot;00AE5500&quot;/&gt;&lt;wsp:rsid wsp:val=&quot;00AE5CC0&quot;/&gt;&lt;wsp:rsid wsp:val=&quot;00AF02FB&quot;/&gt;&lt;wsp:rsid wsp:val=&quot;00AF1750&quot;/&gt;&lt;wsp:rsid wsp:val=&quot;00AF3533&quot;/&gt;&lt;wsp:rsid wsp:val=&quot;00B01109&quot;/&gt;&lt;wsp:rsid wsp:val=&quot;00B02F4A&quot;/&gt;&lt;wsp:rsid wsp:val=&quot;00B0543C&quot;/&gt;&lt;wsp:rsid wsp:val=&quot;00B0597C&quot;/&gt;&lt;wsp:rsid wsp:val=&quot;00B06B24&quot;/&gt;&lt;wsp:rsid wsp:val=&quot;00B079DF&quot;/&gt;&lt;wsp:rsid wsp:val=&quot;00B1433E&quot;/&gt;&lt;wsp:rsid wsp:val=&quot;00B1591A&quot;/&gt;&lt;wsp:rsid wsp:val=&quot;00B267E9&quot;/&gt;&lt;wsp:rsid wsp:val=&quot;00B35E35&quot;/&gt;&lt;wsp:rsid wsp:val=&quot;00B406C4&quot;/&gt;&lt;wsp:rsid wsp:val=&quot;00B40C13&quot;/&gt;&lt;wsp:rsid wsp:val=&quot;00B43413&quot;/&gt;&lt;wsp:rsid wsp:val=&quot;00B47C10&quot;/&gt;&lt;wsp:rsid wsp:val=&quot;00B507B9&quot;/&gt;&lt;wsp:rsid wsp:val=&quot;00B52188&quot;/&gt;&lt;wsp:rsid wsp:val=&quot;00B523B7&quot;/&gt;&lt;wsp:rsid wsp:val=&quot;00B53E6A&quot;/&gt;&lt;wsp:rsid wsp:val=&quot;00B546DB&quot;/&gt;&lt;wsp:rsid wsp:val=&quot;00B553BB&quot;/&gt;&lt;wsp:rsid wsp:val=&quot;00B55FFD&quot;/&gt;&lt;wsp:rsid wsp:val=&quot;00B634A1&quot;/&gt;&lt;wsp:rsid wsp:val=&quot;00B65A5E&quot;/&gt;&lt;wsp:rsid wsp:val=&quot;00B65C82&quot;/&gt;&lt;wsp:rsid wsp:val=&quot;00B66849&quot;/&gt;&lt;wsp:rsid wsp:val=&quot;00B70DAF&quot;/&gt;&lt;wsp:rsid wsp:val=&quot;00B7263E&quot;/&gt;&lt;wsp:rsid wsp:val=&quot;00B74616&quot;/&gt;&lt;wsp:rsid wsp:val=&quot;00B7600E&quot;/&gt;&lt;wsp:rsid wsp:val=&quot;00B77E4E&quot;/&gt;&lt;wsp:rsid wsp:val=&quot;00B83D9A&quot;/&gt;&lt;wsp:rsid wsp:val=&quot;00B86B11&quot;/&gt;&lt;wsp:rsid wsp:val=&quot;00B87444&quot;/&gt;&lt;wsp:rsid wsp:val=&quot;00B92A9E&quot;/&gt;&lt;wsp:rsid wsp:val=&quot;00B9329D&quot;/&gt;&lt;wsp:rsid wsp:val=&quot;00B93591&quot;/&gt;&lt;wsp:rsid wsp:val=&quot;00B977D2&quot;/&gt;&lt;wsp:rsid wsp:val=&quot;00BA2B06&quot;/&gt;&lt;wsp:rsid wsp:val=&quot;00BA43A3&quot;/&gt;&lt;wsp:rsid wsp:val=&quot;00BA60DD&quot;/&gt;&lt;wsp:rsid wsp:val=&quot;00BB2FFB&quot;/&gt;&lt;wsp:rsid wsp:val=&quot;00BB3F6C&quot;/&gt;&lt;wsp:rsid wsp:val=&quot;00BB527F&quot;/&gt;&lt;wsp:rsid wsp:val=&quot;00BC14EF&quot;/&gt;&lt;wsp:rsid wsp:val=&quot;00BD0445&quot;/&gt;&lt;wsp:rsid wsp:val=&quot;00BD33DD&quot;/&gt;&lt;wsp:rsid wsp:val=&quot;00BE301D&quot;/&gt;&lt;wsp:rsid wsp:val=&quot;00BE6570&quot;/&gt;&lt;wsp:rsid wsp:val=&quot;00BF0318&quot;/&gt;&lt;wsp:rsid wsp:val=&quot;00BF2439&quot;/&gt;&lt;wsp:rsid wsp:val=&quot;00BF2DE0&quot;/&gt;&lt;wsp:rsid wsp:val=&quot;00BF4DA7&quot;/&gt;&lt;wsp:rsid wsp:val=&quot;00BF7DD2&quot;/&gt;&lt;wsp:rsid wsp:val=&quot;00C00598&quot;/&gt;&lt;wsp:rsid wsp:val=&quot;00C01842&quot;/&gt;&lt;wsp:rsid wsp:val=&quot;00C02284&quot;/&gt;&lt;wsp:rsid wsp:val=&quot;00C02A99&quot;/&gt;&lt;wsp:rsid wsp:val=&quot;00C06292&quot;/&gt;&lt;wsp:rsid wsp:val=&quot;00C06313&quot;/&gt;&lt;wsp:rsid wsp:val=&quot;00C074DF&quot;/&gt;&lt;wsp:rsid wsp:val=&quot;00C10E10&quot;/&gt;&lt;wsp:rsid wsp:val=&quot;00C1285C&quot;/&gt;&lt;wsp:rsid wsp:val=&quot;00C14BE3&quot;/&gt;&lt;wsp:rsid wsp:val=&quot;00C17BD7&quot;/&gt;&lt;wsp:rsid wsp:val=&quot;00C20386&quot;/&gt;&lt;wsp:rsid wsp:val=&quot;00C20C97&quot;/&gt;&lt;wsp:rsid wsp:val=&quot;00C246D0&quot;/&gt;&lt;wsp:rsid wsp:val=&quot;00C27EA7&quot;/&gt;&lt;wsp:rsid wsp:val=&quot;00C305C6&quot;/&gt;&lt;wsp:rsid wsp:val=&quot;00C31E3D&quot;/&gt;&lt;wsp:rsid wsp:val=&quot;00C3436F&quot;/&gt;&lt;wsp:rsid wsp:val=&quot;00C352B9&quot;/&gt;&lt;wsp:rsid wsp:val=&quot;00C3534D&quot;/&gt;&lt;wsp:rsid wsp:val=&quot;00C44282&quot;/&gt;&lt;wsp:rsid wsp:val=&quot;00C516B3&quot;/&gt;&lt;wsp:rsid wsp:val=&quot;00C52944&quot;/&gt;&lt;wsp:rsid wsp:val=&quot;00C66F41&quot;/&gt;&lt;wsp:rsid wsp:val=&quot;00C67306&quot;/&gt;&lt;wsp:rsid wsp:val=&quot;00C77548&quot;/&gt;&lt;wsp:rsid wsp:val=&quot;00C8357C&quot;/&gt;&lt;wsp:rsid wsp:val=&quot;00C844DE&quot;/&gt;&lt;wsp:rsid wsp:val=&quot;00C85477&quot;/&gt;&lt;wsp:rsid wsp:val=&quot;00C918E0&quot;/&gt;&lt;wsp:rsid wsp:val=&quot;00C9741E&quot;/&gt;&lt;wsp:rsid wsp:val=&quot;00C97F78&quot;/&gt;&lt;wsp:rsid wsp:val=&quot;00CA1452&quot;/&gt;&lt;wsp:rsid wsp:val=&quot;00CA395D&quot;/&gt;&lt;wsp:rsid wsp:val=&quot;00CA515C&quot;/&gt;&lt;wsp:rsid wsp:val=&quot;00CA6956&quot;/&gt;&lt;wsp:rsid wsp:val=&quot;00CB66E3&quot;/&gt;&lt;wsp:rsid wsp:val=&quot;00CC50ED&quot;/&gt;&lt;wsp:rsid wsp:val=&quot;00CC584A&quot;/&gt;&lt;wsp:rsid wsp:val=&quot;00CC5C27&quot;/&gt;&lt;wsp:rsid wsp:val=&quot;00CD62FE&quot;/&gt;&lt;wsp:rsid wsp:val=&quot;00CE0968&quot;/&gt;&lt;wsp:rsid wsp:val=&quot;00CE3529&quot;/&gt;&lt;wsp:rsid wsp:val=&quot;00CE3B5E&quot;/&gt;&lt;wsp:rsid wsp:val=&quot;00CE3EC0&quot;/&gt;&lt;wsp:rsid wsp:val=&quot;00CE42F9&quot;/&gt;&lt;wsp:rsid wsp:val=&quot;00CE4F38&quot;/&gt;&lt;wsp:rsid wsp:val=&quot;00CE644A&quot;/&gt;&lt;wsp:rsid wsp:val=&quot;00D00DD2&quot;/&gt;&lt;wsp:rsid wsp:val=&quot;00D049BD&quot;/&gt;&lt;wsp:rsid wsp:val=&quot;00D04B5B&quot;/&gt;&lt;wsp:rsid wsp:val=&quot;00D10C52&quot;/&gt;&lt;wsp:rsid wsp:val=&quot;00D1500E&quot;/&gt;&lt;wsp:rsid wsp:val=&quot;00D21A42&quot;/&gt;&lt;wsp:rsid wsp:val=&quot;00D223F1&quot;/&gt;&lt;wsp:rsid wsp:val=&quot;00D22E4C&quot;/&gt;&lt;wsp:rsid wsp:val=&quot;00D27718&quot;/&gt;&lt;wsp:rsid wsp:val=&quot;00D27ECF&quot;/&gt;&lt;wsp:rsid wsp:val=&quot;00D33A79&quot;/&gt;&lt;wsp:rsid wsp:val=&quot;00D35515&quot;/&gt;&lt;wsp:rsid wsp:val=&quot;00D37274&quot;/&gt;&lt;wsp:rsid wsp:val=&quot;00D42976&quot;/&gt;&lt;wsp:rsid wsp:val=&quot;00D45120&quot;/&gt;&lt;wsp:rsid wsp:val=&quot;00D468D2&quot;/&gt;&lt;wsp:rsid wsp:val=&quot;00D5382D&quot;/&gt;&lt;wsp:rsid wsp:val=&quot;00D54BBA&quot;/&gt;&lt;wsp:rsid wsp:val=&quot;00D5719C&quot;/&gt;&lt;wsp:rsid wsp:val=&quot;00D62B59&quot;/&gt;&lt;wsp:rsid wsp:val=&quot;00D62C56&quot;/&gt;&lt;wsp:rsid wsp:val=&quot;00D652F5&quot;/&gt;&lt;wsp:rsid wsp:val=&quot;00D7168D&quot;/&gt;&lt;wsp:rsid wsp:val=&quot;00D73B80&quot;/&gt;&lt;wsp:rsid wsp:val=&quot;00D74AF6&quot;/&gt;&lt;wsp:rsid wsp:val=&quot;00D77D1C&quot;/&gt;&lt;wsp:rsid wsp:val=&quot;00D80652&quot;/&gt;&lt;wsp:rsid wsp:val=&quot;00D84067&quot;/&gt;&lt;wsp:rsid wsp:val=&quot;00D90C25&quot;/&gt;&lt;wsp:rsid wsp:val=&quot;00D9245F&quot;/&gt;&lt;wsp:rsid wsp:val=&quot;00DA0F3C&quot;/&gt;&lt;wsp:rsid wsp:val=&quot;00DA386F&quot;/&gt;&lt;wsp:rsid wsp:val=&quot;00DA712A&quot;/&gt;&lt;wsp:rsid wsp:val=&quot;00DB598A&quot;/&gt;&lt;wsp:rsid wsp:val=&quot;00DC490A&quot;/&gt;&lt;wsp:rsid wsp:val=&quot;00DC56A6&quot;/&gt;&lt;wsp:rsid wsp:val=&quot;00DC66BA&quot;/&gt;&lt;wsp:rsid wsp:val=&quot;00DD598C&quot;/&gt;&lt;wsp:rsid wsp:val=&quot;00DD66ED&quot;/&gt;&lt;wsp:rsid wsp:val=&quot;00DE0E98&quot;/&gt;&lt;wsp:rsid wsp:val=&quot;00DE68A5&quot;/&gt;&lt;wsp:rsid wsp:val=&quot;00DE77DC&quot;/&gt;&lt;wsp:rsid wsp:val=&quot;00DF19F4&quot;/&gt;&lt;wsp:rsid wsp:val=&quot;00DF2FD3&quot;/&gt;&lt;wsp:rsid wsp:val=&quot;00DF30DF&quot;/&gt;&lt;wsp:rsid wsp:val=&quot;00DF3EFA&quot;/&gt;&lt;wsp:rsid wsp:val=&quot;00DF567A&quot;/&gt;&lt;wsp:rsid wsp:val=&quot;00E045B8&quot;/&gt;&lt;wsp:rsid wsp:val=&quot;00E168B5&quot;/&gt;&lt;wsp:rsid wsp:val=&quot;00E25DF3&quot;/&gt;&lt;wsp:rsid wsp:val=&quot;00E262D7&quot;/&gt;&lt;wsp:rsid wsp:val=&quot;00E324F1&quot;/&gt;&lt;wsp:rsid wsp:val=&quot;00E32832&quot;/&gt;&lt;wsp:rsid wsp:val=&quot;00E362FB&quot;/&gt;&lt;wsp:rsid wsp:val=&quot;00E41701&quot;/&gt;&lt;wsp:rsid wsp:val=&quot;00E41D85&quot;/&gt;&lt;wsp:rsid wsp:val=&quot;00E4266D&quot;/&gt;&lt;wsp:rsid wsp:val=&quot;00E447AD&quot;/&gt;&lt;wsp:rsid wsp:val=&quot;00E50B1F&quot;/&gt;&lt;wsp:rsid wsp:val=&quot;00E63BAA&quot;/&gt;&lt;wsp:rsid wsp:val=&quot;00E642A2&quot;/&gt;&lt;wsp:rsid wsp:val=&quot;00E64E1A&quot;/&gt;&lt;wsp:rsid wsp:val=&quot;00E65357&quot;/&gt;&lt;wsp:rsid wsp:val=&quot;00E66AD5&quot;/&gt;&lt;wsp:rsid wsp:val=&quot;00E7223B&quot;/&gt;&lt;wsp:rsid wsp:val=&quot;00E72634&quot;/&gt;&lt;wsp:rsid wsp:val=&quot;00E736DB&quot;/&gt;&lt;wsp:rsid wsp:val=&quot;00E76709&quot;/&gt;&lt;wsp:rsid wsp:val=&quot;00E83D90&quot;/&gt;&lt;wsp:rsid wsp:val=&quot;00E8414D&quot;/&gt;&lt;wsp:rsid wsp:val=&quot;00E8783C&quot;/&gt;&lt;wsp:rsid wsp:val=&quot;00E92DC3&quot;/&gt;&lt;wsp:rsid wsp:val=&quot;00E93F3C&quot;/&gt;&lt;wsp:rsid wsp:val=&quot;00E94ACE&quot;/&gt;&lt;wsp:rsid wsp:val=&quot;00E962C3&quot;/&gt;&lt;wsp:rsid wsp:val=&quot;00EA119E&quot;/&gt;&lt;wsp:rsid wsp:val=&quot;00EB36B2&quot;/&gt;&lt;wsp:rsid wsp:val=&quot;00EB6C80&quot;/&gt;&lt;wsp:rsid wsp:val=&quot;00EB7AEF&quot;/&gt;&lt;wsp:rsid wsp:val=&quot;00EC2BE5&quot;/&gt;&lt;wsp:rsid wsp:val=&quot;00EC7948&quot;/&gt;&lt;wsp:rsid wsp:val=&quot;00ED12AD&quot;/&gt;&lt;wsp:rsid wsp:val=&quot;00ED46E4&quot;/&gt;&lt;wsp:rsid wsp:val=&quot;00EE12F5&quot;/&gt;&lt;wsp:rsid wsp:val=&quot;00EE1A36&quot;/&gt;&lt;wsp:rsid wsp:val=&quot;00EE5EDD&quot;/&gt;&lt;wsp:rsid wsp:val=&quot;00EE7307&quot;/&gt;&lt;wsp:rsid wsp:val=&quot;00EF6A27&quot;/&gt;&lt;wsp:rsid wsp:val=&quot;00F16C14&quot;/&gt;&lt;wsp:rsid wsp:val=&quot;00F2122F&quot;/&gt;&lt;wsp:rsid wsp:val=&quot;00F31A36&quot;/&gt;&lt;wsp:rsid wsp:val=&quot;00F33BFA&quot;/&gt;&lt;wsp:rsid wsp:val=&quot;00F34B1F&quot;/&gt;&lt;wsp:rsid wsp:val=&quot;00F35B4F&quot;/&gt;&lt;wsp:rsid wsp:val=&quot;00F47348&quot;/&gt;&lt;wsp:rsid wsp:val=&quot;00F6031B&quot;/&gt;&lt;wsp:rsid wsp:val=&quot;00F610DE&quot;/&gt;&lt;wsp:rsid wsp:val=&quot;00F700EB&quot;/&gt;&lt;wsp:rsid wsp:val=&quot;00F71AEF&quot;/&gt;&lt;wsp:rsid wsp:val=&quot;00F72A05&quot;/&gt;&lt;wsp:rsid wsp:val=&quot;00F73ED7&quot;/&gt;&lt;wsp:rsid wsp:val=&quot;00F762BE&quot;/&gt;&lt;wsp:rsid wsp:val=&quot;00F77474&quot;/&gt;&lt;wsp:rsid wsp:val=&quot;00F77F70&quot;/&gt;&lt;wsp:rsid wsp:val=&quot;00F85901&quot;/&gt;&lt;wsp:rsid wsp:val=&quot;00F87EA0&quot;/&gt;&lt;wsp:rsid wsp:val=&quot;00F90784&quot;/&gt;&lt;wsp:rsid wsp:val=&quot;00F91AD7&quot;/&gt;&lt;wsp:rsid wsp:val=&quot;00F9238D&quot;/&gt;&lt;wsp:rsid wsp:val=&quot;00F94A3B&quot;/&gt;&lt;wsp:rsid wsp:val=&quot;00FA123F&quot;/&gt;&lt;wsp:rsid wsp:val=&quot;00FA4D7A&quot;/&gt;&lt;wsp:rsid wsp:val=&quot;00FA62E6&quot;/&gt;&lt;wsp:rsid wsp:val=&quot;00FB16EB&quot;/&gt;&lt;wsp:rsid wsp:val=&quot;00FB38E4&quot;/&gt;&lt;wsp:rsid wsp:val=&quot;00FB5392&quot;/&gt;&lt;wsp:rsid wsp:val=&quot;00FB6E4D&quot;/&gt;&lt;wsp:rsid wsp:val=&quot;00FB7655&quot;/&gt;&lt;wsp:rsid wsp:val=&quot;00FC0508&quot;/&gt;&lt;wsp:rsid wsp:val=&quot;00FC0876&quot;/&gt;&lt;wsp:rsid wsp:val=&quot;00FC4747&quot;/&gt;&lt;wsp:rsid wsp:val=&quot;00FC6554&quot;/&gt;&lt;wsp:rsid wsp:val=&quot;00FC7C7A&quot;/&gt;&lt;wsp:rsid wsp:val=&quot;00FD49FC&quot;/&gt;&lt;wsp:rsid wsp:val=&quot;00FD75D7&quot;/&gt;&lt;wsp:rsid wsp:val=&quot;00FE59C1&quot;/&gt;&lt;wsp:rsid wsp:val=&quot;00FF7EBD&quot;/&gt;&lt;/wsp:rsids&gt;&lt;/w:docPr&gt;&lt;w:body&gt;&lt;wx:sect&gt;&lt;w:p wsp:rsidR=&quot;00000000&quot; wsp:rsidRDefault=&quot;0079582A&quot; wsp:rsidP=&quot;0079582A&quot;&gt;&lt;m:oMathPara&gt;&lt;m:oMath&gt;&lt;m:sSubSup&gt;&lt;m:sSubSupPr&gt;&lt;m:ctrlPr&gt;&lt;w:rPr&gt;&lt;w:rFonts w:ascii=&quot;Cambria Math&quot; w:fareast=&quot;Calibri&quot; w:h-ansi=&quot;Cambria Math&quot; w:cs=&quot;Times New Roman&quot;/&gt;&lt;wx:font wx:val=&quot;Cambria Math&quot;/&gt;&lt;w:b/&gt;&lt;w:i/&gt;&lt;w:sz w:val=&quot;20&quot;/&gt;&lt;w:sz-cs w:val=&quot;20&quot;/&gt;&lt;/w:rPr&gt;&lt;/m:ctrlPr&gt;&lt;/m:sSubSupPr&gt;&lt;m:e&gt;&lt;m:r&gt;&lt;m:rPr&gt;&lt;m:sty m:val=&quot;bi&quot;/&gt;&lt;/m:rPr&gt;&lt;w:rPr&gt;&lt;w:rFonts w:ascii=&quot;Cambria Math&quot; w:fareast=&quot;Calibri&quot; w:h-ansi=&quot;Cambria Math&quot; w:cs=&quot;Times New Roman&quot;/&gt;&lt;wx:font wx:val=&quot;Cambria Math&quot;/&gt;&lt;w:b/&gt;&lt;w:i/&gt;&lt;w:sz w:val=&quot;20&quot;/&gt;&lt;w:sz-cs w:val=&quot;20&quot;/&gt;&lt;/w:rPr&gt;&lt;m:t&gt;Ïƒ&lt;/m:t&gt;&lt;/m:r&gt;&lt;/m:e&gt;&lt;m:sub&gt;&lt;m:r&gt;&lt;m:rPr&gt;&lt;m:sty m:val=&quot;bi&quot;/&gt;&lt;/m:rPr&gt;&lt;w:rPr&gt;&lt;w:rFonts w:ascii=&quot;Cambria Math&quot; w:fareast=&quot;Calibri&quot; w:h-ansi=&quot;Cambria Math&quot; w:cs=&quot;Times New Roman&quot;/&gt;&lt;wx:font wx:val=&quot;Cambria Math&quot;/&gt;&lt;w:b/&gt;&lt;w:i/&gt;&lt;w:sz w:val=&quot;20&quot;/&gt;&lt;w:sz-cs w:val=&quot;20&quot;/&gt;&lt;/w:rPr&gt;&lt;m:t&gt;Î_&lt;/m:t&gt;&lt;/m:r&gt;&lt;/m:sub&gt;&lt;m:sup&gt;&lt;m:r&gt;&lt;m:rPr&gt;&lt;m:sty m:val=&quot;bi&quot;/&gt;&lt;/m:rPr&gt;&lt;w:rPr&gt;&lt;w:rFonts w:ascii=&quot;Cambria Math&quot; w:fareast=&quot;Calibri&quot; w:h-ansi=&quot;Calibri&quot; w:cs=&quot;Times New Roman&quot;/&gt;&lt;wx:font wx:val=&quot;Cambria Math&quot;/&gt;&lt;w:b/&gt;&lt;w:i/&gt;&lt;w:sz w:val=&quot;20&quot;/&gt;&lt;w:sz-cs w:val=&quot;20&quot;/&gt;&lt;/w:rPr&gt;&lt;m:t&gt;2&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00156059" w:rsidRPr="00FA5289">
              <w:rPr>
                <w:rFonts w:cs="Times New Roman"/>
                <w:b/>
              </w:rPr>
              <w:fldChar w:fldCharType="end"/>
            </w:r>
            <w:r w:rsidRPr="00FA5289">
              <w:rPr>
                <w:rFonts w:cs="Times New Roman"/>
                <w:b/>
              </w:rPr>
              <w:t xml:space="preserve"> (% of total variance)</w:t>
            </w:r>
          </w:p>
        </w:tc>
        <w:tc>
          <w:tcPr>
            <w:tcW w:w="860" w:type="dxa"/>
            <w:tcBorders>
              <w:top w:val="single" w:sz="4" w:space="0" w:color="auto"/>
              <w:left w:val="nil"/>
              <w:bottom w:val="single" w:sz="4" w:space="0" w:color="auto"/>
              <w:right w:val="nil"/>
            </w:tcBorders>
            <w:shd w:val="clear" w:color="auto" w:fill="BFBFBF"/>
          </w:tcPr>
          <w:p w:rsidR="00022A6E" w:rsidRPr="00FA5289" w:rsidRDefault="00022A6E" w:rsidP="00C92714">
            <w:pPr>
              <w:spacing w:after="0" w:line="240" w:lineRule="auto"/>
              <w:rPr>
                <w:rFonts w:cs="Times New Roman"/>
                <w:b/>
              </w:rPr>
            </w:pPr>
            <w:proofErr w:type="spellStart"/>
            <w:r w:rsidRPr="00FA5289">
              <w:rPr>
                <w:rFonts w:cs="Times New Roman"/>
                <w:b/>
              </w:rPr>
              <w:t>QE</w:t>
            </w:r>
            <w:r w:rsidRPr="00FA5289">
              <w:rPr>
                <w:rFonts w:cs="Times New Roman"/>
                <w:b/>
                <w:vertAlign w:val="subscript"/>
              </w:rPr>
              <w:t>df</w:t>
            </w:r>
            <w:proofErr w:type="spellEnd"/>
          </w:p>
        </w:tc>
      </w:tr>
      <w:tr w:rsidR="00C92714" w:rsidRPr="00022A6E" w:rsidTr="00C92714">
        <w:tc>
          <w:tcPr>
            <w:tcW w:w="959"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rPr>
                <w:rFonts w:cs="Times New Roman"/>
              </w:rPr>
            </w:pPr>
            <w:r w:rsidRPr="00FA5289">
              <w:rPr>
                <w:rFonts w:cs="Times New Roman"/>
              </w:rPr>
              <w:t>BMD Site</w:t>
            </w:r>
          </w:p>
        </w:tc>
        <w:tc>
          <w:tcPr>
            <w:tcW w:w="1559" w:type="dxa"/>
            <w:tcBorders>
              <w:top w:val="single" w:sz="4" w:space="0" w:color="auto"/>
              <w:left w:val="nil"/>
              <w:bottom w:val="nil"/>
              <w:right w:val="nil"/>
            </w:tcBorders>
            <w:vAlign w:val="center"/>
          </w:tcPr>
          <w:p w:rsidR="00022A6E" w:rsidRPr="00FA5289" w:rsidRDefault="00022A6E" w:rsidP="00C92714">
            <w:pPr>
              <w:spacing w:after="0" w:line="240" w:lineRule="auto"/>
              <w:rPr>
                <w:rFonts w:cs="Times New Roman"/>
              </w:rPr>
            </w:pPr>
            <w:r w:rsidRPr="00FA5289">
              <w:rPr>
                <w:rFonts w:cs="Times New Roman"/>
              </w:rPr>
              <w:t>Total Body</w:t>
            </w:r>
          </w:p>
        </w:tc>
        <w:tc>
          <w:tcPr>
            <w:tcW w:w="1276" w:type="dxa"/>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0.26</w:t>
            </w:r>
            <w:r w:rsidRPr="00FA5289">
              <w:rPr>
                <w:rFonts w:cs="Times New Roman"/>
                <w:vertAlign w:val="superscript"/>
              </w:rPr>
              <w:t>*</w:t>
            </w:r>
          </w:p>
        </w:tc>
        <w:tc>
          <w:tcPr>
            <w:tcW w:w="1310" w:type="dxa"/>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0.13 - 0.38</w:t>
            </w:r>
          </w:p>
        </w:tc>
        <w:tc>
          <w:tcPr>
            <w:tcW w:w="1203"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0.009 (13.7%)</w:t>
            </w:r>
          </w:p>
        </w:tc>
        <w:tc>
          <w:tcPr>
            <w:tcW w:w="1137"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0.043 (65.2%)</w:t>
            </w:r>
          </w:p>
        </w:tc>
        <w:tc>
          <w:tcPr>
            <w:tcW w:w="860"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241.3</w:t>
            </w:r>
            <w:r w:rsidRPr="00FA5289">
              <w:rPr>
                <w:rFonts w:cs="Times New Roman"/>
                <w:vertAlign w:val="subscript"/>
              </w:rPr>
              <w:t>42</w:t>
            </w:r>
          </w:p>
        </w:tc>
      </w:tr>
      <w:tr w:rsidR="00C92714" w:rsidRPr="00022A6E" w:rsidTr="00C92714">
        <w:tc>
          <w:tcPr>
            <w:tcW w:w="959" w:type="dxa"/>
            <w:vMerge/>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p>
        </w:tc>
        <w:tc>
          <w:tcPr>
            <w:tcW w:w="1559" w:type="dxa"/>
            <w:tcBorders>
              <w:top w:val="nil"/>
              <w:left w:val="nil"/>
              <w:bottom w:val="nil"/>
              <w:right w:val="nil"/>
            </w:tcBorders>
            <w:vAlign w:val="center"/>
          </w:tcPr>
          <w:p w:rsidR="00022A6E" w:rsidRPr="00FA5289" w:rsidRDefault="00022A6E" w:rsidP="00C92714">
            <w:pPr>
              <w:spacing w:after="0" w:line="240" w:lineRule="auto"/>
              <w:rPr>
                <w:rFonts w:cs="Times New Roman"/>
              </w:rPr>
            </w:pPr>
            <w:r w:rsidRPr="00FA5289">
              <w:rPr>
                <w:rFonts w:cs="Times New Roman"/>
              </w:rPr>
              <w:t>Lumbar Spine</w:t>
            </w:r>
          </w:p>
        </w:tc>
        <w:tc>
          <w:tcPr>
            <w:tcW w:w="1276" w:type="dxa"/>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0.23</w:t>
            </w:r>
            <w:r w:rsidRPr="00FA5289">
              <w:rPr>
                <w:rFonts w:cs="Times New Roman"/>
                <w:vertAlign w:val="superscript"/>
              </w:rPr>
              <w:t>*</w:t>
            </w:r>
          </w:p>
        </w:tc>
        <w:tc>
          <w:tcPr>
            <w:tcW w:w="1310" w:type="dxa"/>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0.10 - 0.35</w:t>
            </w:r>
          </w:p>
        </w:tc>
        <w:tc>
          <w:tcPr>
            <w:tcW w:w="1203" w:type="dxa"/>
            <w:vMerge/>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p>
        </w:tc>
        <w:tc>
          <w:tcPr>
            <w:tcW w:w="1137" w:type="dxa"/>
            <w:vMerge/>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p>
        </w:tc>
        <w:tc>
          <w:tcPr>
            <w:tcW w:w="860" w:type="dxa"/>
            <w:vMerge/>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p>
        </w:tc>
      </w:tr>
      <w:tr w:rsidR="00C92714" w:rsidRPr="00022A6E" w:rsidTr="00C92714">
        <w:tc>
          <w:tcPr>
            <w:tcW w:w="959" w:type="dxa"/>
            <w:vMerge/>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p>
        </w:tc>
        <w:tc>
          <w:tcPr>
            <w:tcW w:w="1559" w:type="dxa"/>
            <w:tcBorders>
              <w:top w:val="nil"/>
              <w:left w:val="nil"/>
              <w:bottom w:val="single" w:sz="4" w:space="0" w:color="auto"/>
              <w:right w:val="nil"/>
            </w:tcBorders>
            <w:vAlign w:val="center"/>
          </w:tcPr>
          <w:p w:rsidR="00022A6E" w:rsidRPr="00FA5289" w:rsidRDefault="00022A6E" w:rsidP="00C92714">
            <w:pPr>
              <w:spacing w:after="0" w:line="240" w:lineRule="auto"/>
              <w:rPr>
                <w:rFonts w:cs="Times New Roman"/>
              </w:rPr>
            </w:pPr>
            <w:r w:rsidRPr="00FA5289">
              <w:rPr>
                <w:rFonts w:cs="Times New Roman"/>
              </w:rPr>
              <w:t>Total Femur</w:t>
            </w:r>
          </w:p>
          <w:p w:rsidR="00022A6E" w:rsidRPr="00FA5289" w:rsidRDefault="00022A6E" w:rsidP="00C92714">
            <w:pPr>
              <w:spacing w:after="0" w:line="240" w:lineRule="auto"/>
              <w:rPr>
                <w:rFonts w:cs="Times New Roman"/>
              </w:rPr>
            </w:pPr>
            <w:r w:rsidRPr="00FA5289">
              <w:rPr>
                <w:rFonts w:cs="Times New Roman"/>
              </w:rPr>
              <w:t>Femoral Neck</w:t>
            </w:r>
          </w:p>
        </w:tc>
        <w:tc>
          <w:tcPr>
            <w:tcW w:w="1276" w:type="dxa"/>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vertAlign w:val="superscript"/>
              </w:rPr>
            </w:pPr>
            <w:r w:rsidRPr="00FA5289">
              <w:rPr>
                <w:rFonts w:cs="Times New Roman"/>
              </w:rPr>
              <w:t>0.27</w:t>
            </w:r>
            <w:r w:rsidRPr="00FA5289">
              <w:rPr>
                <w:rFonts w:cs="Times New Roman"/>
                <w:vertAlign w:val="superscript"/>
              </w:rPr>
              <w:t>*</w:t>
            </w:r>
          </w:p>
          <w:p w:rsidR="00022A6E" w:rsidRPr="00FA5289" w:rsidRDefault="00022A6E" w:rsidP="00C92714">
            <w:pPr>
              <w:spacing w:after="0" w:line="240" w:lineRule="auto"/>
              <w:jc w:val="center"/>
              <w:rPr>
                <w:rFonts w:cs="Times New Roman"/>
              </w:rPr>
            </w:pPr>
            <w:r w:rsidRPr="00FA5289">
              <w:rPr>
                <w:rFonts w:cs="Times New Roman"/>
              </w:rPr>
              <w:t>0.22</w:t>
            </w:r>
            <w:r w:rsidRPr="00FA5289">
              <w:rPr>
                <w:rFonts w:cs="Times New Roman"/>
                <w:vertAlign w:val="superscript"/>
              </w:rPr>
              <w:t>*</w:t>
            </w:r>
          </w:p>
        </w:tc>
        <w:tc>
          <w:tcPr>
            <w:tcW w:w="1310" w:type="dxa"/>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0.12 - 0.40</w:t>
            </w:r>
          </w:p>
          <w:p w:rsidR="00022A6E" w:rsidRPr="00FA5289" w:rsidRDefault="00022A6E" w:rsidP="00C92714">
            <w:pPr>
              <w:spacing w:after="0" w:line="240" w:lineRule="auto"/>
              <w:jc w:val="center"/>
              <w:rPr>
                <w:rFonts w:cs="Times New Roman"/>
              </w:rPr>
            </w:pPr>
            <w:r w:rsidRPr="00FA5289">
              <w:rPr>
                <w:rFonts w:cs="Times New Roman"/>
              </w:rPr>
              <w:t>0.06 - 0.36</w:t>
            </w:r>
          </w:p>
        </w:tc>
        <w:tc>
          <w:tcPr>
            <w:tcW w:w="1203"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c>
          <w:tcPr>
            <w:tcW w:w="1137"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c>
          <w:tcPr>
            <w:tcW w:w="860"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r>
      <w:tr w:rsidR="00C92714" w:rsidRPr="00022A6E" w:rsidTr="00C92714">
        <w:tc>
          <w:tcPr>
            <w:tcW w:w="959" w:type="dxa"/>
            <w:vMerge w:val="restart"/>
            <w:tcBorders>
              <w:top w:val="nil"/>
              <w:left w:val="nil"/>
              <w:bottom w:val="nil"/>
              <w:right w:val="nil"/>
            </w:tcBorders>
            <w:vAlign w:val="center"/>
          </w:tcPr>
          <w:p w:rsidR="00022A6E" w:rsidRPr="00FA5289" w:rsidRDefault="00022A6E" w:rsidP="00C92714">
            <w:pPr>
              <w:spacing w:after="0" w:line="240" w:lineRule="auto"/>
              <w:rPr>
                <w:rFonts w:cs="Times New Roman"/>
              </w:rPr>
            </w:pPr>
            <w:r w:rsidRPr="00FA5289">
              <w:rPr>
                <w:rFonts w:cs="Times New Roman"/>
              </w:rPr>
              <w:t>Age</w:t>
            </w:r>
          </w:p>
        </w:tc>
        <w:tc>
          <w:tcPr>
            <w:tcW w:w="1559" w:type="dxa"/>
            <w:tcBorders>
              <w:top w:val="single" w:sz="4" w:space="0" w:color="auto"/>
              <w:left w:val="nil"/>
              <w:bottom w:val="nil"/>
              <w:right w:val="nil"/>
            </w:tcBorders>
            <w:vAlign w:val="center"/>
          </w:tcPr>
          <w:p w:rsidR="00022A6E" w:rsidRPr="00FA5289" w:rsidRDefault="00022A6E" w:rsidP="00C92714">
            <w:pPr>
              <w:spacing w:after="0" w:line="240" w:lineRule="auto"/>
              <w:rPr>
                <w:rFonts w:cs="Times New Roman"/>
              </w:rPr>
            </w:pPr>
            <w:r w:rsidRPr="00FA5289">
              <w:rPr>
                <w:rFonts w:cs="Times New Roman"/>
              </w:rPr>
              <w:t>&lt;25</w:t>
            </w:r>
          </w:p>
        </w:tc>
        <w:tc>
          <w:tcPr>
            <w:tcW w:w="1276" w:type="dxa"/>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0.25</w:t>
            </w:r>
            <w:r w:rsidRPr="00FA5289">
              <w:rPr>
                <w:rFonts w:cs="Times New Roman"/>
                <w:vertAlign w:val="superscript"/>
              </w:rPr>
              <w:t>*</w:t>
            </w:r>
          </w:p>
        </w:tc>
        <w:tc>
          <w:tcPr>
            <w:tcW w:w="1310" w:type="dxa"/>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0.06 - 0.43</w:t>
            </w:r>
          </w:p>
        </w:tc>
        <w:tc>
          <w:tcPr>
            <w:tcW w:w="1203"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0.008 (10.8%)</w:t>
            </w:r>
          </w:p>
        </w:tc>
        <w:tc>
          <w:tcPr>
            <w:tcW w:w="1137"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0.049 (69.6%)</w:t>
            </w:r>
          </w:p>
        </w:tc>
        <w:tc>
          <w:tcPr>
            <w:tcW w:w="860"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220.1</w:t>
            </w:r>
            <w:r w:rsidRPr="00FA5289">
              <w:rPr>
                <w:rFonts w:cs="Times New Roman"/>
                <w:vertAlign w:val="subscript"/>
              </w:rPr>
              <w:t>43</w:t>
            </w:r>
          </w:p>
        </w:tc>
      </w:tr>
      <w:tr w:rsidR="00C92714" w:rsidRPr="00022A6E" w:rsidTr="00C92714">
        <w:tc>
          <w:tcPr>
            <w:tcW w:w="959" w:type="dxa"/>
            <w:vMerge/>
            <w:tcBorders>
              <w:top w:val="nil"/>
              <w:left w:val="nil"/>
              <w:bottom w:val="nil"/>
              <w:right w:val="nil"/>
            </w:tcBorders>
            <w:vAlign w:val="center"/>
          </w:tcPr>
          <w:p w:rsidR="00022A6E" w:rsidRPr="00FA5289" w:rsidRDefault="00022A6E" w:rsidP="00C92714">
            <w:pPr>
              <w:spacing w:after="0" w:line="240" w:lineRule="auto"/>
              <w:rPr>
                <w:rFonts w:cs="Times New Roman"/>
              </w:rPr>
            </w:pPr>
          </w:p>
        </w:tc>
        <w:tc>
          <w:tcPr>
            <w:tcW w:w="1559" w:type="dxa"/>
            <w:tcBorders>
              <w:top w:val="nil"/>
              <w:left w:val="nil"/>
              <w:bottom w:val="nil"/>
              <w:right w:val="nil"/>
            </w:tcBorders>
            <w:vAlign w:val="center"/>
          </w:tcPr>
          <w:p w:rsidR="00022A6E" w:rsidRPr="00FA5289" w:rsidRDefault="00022A6E" w:rsidP="00C92714">
            <w:pPr>
              <w:spacing w:after="0" w:line="240" w:lineRule="auto"/>
              <w:rPr>
                <w:rFonts w:cs="Times New Roman"/>
              </w:rPr>
            </w:pPr>
            <w:r w:rsidRPr="00FA5289">
              <w:rPr>
                <w:rFonts w:cs="Times New Roman"/>
              </w:rPr>
              <w:t xml:space="preserve">25 </w:t>
            </w:r>
            <w:r w:rsidR="006531EA">
              <w:rPr>
                <w:rFonts w:cs="Times New Roman"/>
              </w:rPr>
              <w:t>–</w:t>
            </w:r>
            <w:r w:rsidRPr="00FA5289">
              <w:rPr>
                <w:rFonts w:cs="Times New Roman"/>
              </w:rPr>
              <w:t xml:space="preserve"> 55</w:t>
            </w:r>
          </w:p>
        </w:tc>
        <w:tc>
          <w:tcPr>
            <w:tcW w:w="1276" w:type="dxa"/>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0.26</w:t>
            </w:r>
            <w:r w:rsidRPr="00FA5289">
              <w:rPr>
                <w:rFonts w:cs="Times New Roman"/>
                <w:vertAlign w:val="superscript"/>
              </w:rPr>
              <w:t>*</w:t>
            </w:r>
          </w:p>
        </w:tc>
        <w:tc>
          <w:tcPr>
            <w:tcW w:w="1310" w:type="dxa"/>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0.07 - 0.44</w:t>
            </w:r>
          </w:p>
        </w:tc>
        <w:tc>
          <w:tcPr>
            <w:tcW w:w="1203" w:type="dxa"/>
            <w:vMerge/>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p>
        </w:tc>
        <w:tc>
          <w:tcPr>
            <w:tcW w:w="1137" w:type="dxa"/>
            <w:vMerge/>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p>
        </w:tc>
        <w:tc>
          <w:tcPr>
            <w:tcW w:w="860" w:type="dxa"/>
            <w:vMerge/>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p>
        </w:tc>
      </w:tr>
      <w:tr w:rsidR="00C92714" w:rsidRPr="00022A6E" w:rsidTr="00C92714">
        <w:tc>
          <w:tcPr>
            <w:tcW w:w="959" w:type="dxa"/>
            <w:vMerge/>
            <w:tcBorders>
              <w:top w:val="nil"/>
              <w:left w:val="nil"/>
              <w:bottom w:val="nil"/>
              <w:right w:val="nil"/>
            </w:tcBorders>
            <w:vAlign w:val="center"/>
          </w:tcPr>
          <w:p w:rsidR="00022A6E" w:rsidRPr="00FA5289" w:rsidRDefault="00022A6E" w:rsidP="00C92714">
            <w:pPr>
              <w:spacing w:after="0" w:line="240" w:lineRule="auto"/>
              <w:rPr>
                <w:rFonts w:cs="Times New Roman"/>
              </w:rPr>
            </w:pPr>
          </w:p>
        </w:tc>
        <w:tc>
          <w:tcPr>
            <w:tcW w:w="1559" w:type="dxa"/>
            <w:tcBorders>
              <w:top w:val="nil"/>
              <w:left w:val="nil"/>
              <w:bottom w:val="single" w:sz="4" w:space="0" w:color="auto"/>
              <w:right w:val="nil"/>
            </w:tcBorders>
            <w:vAlign w:val="center"/>
          </w:tcPr>
          <w:p w:rsidR="00022A6E" w:rsidRPr="00FA5289" w:rsidRDefault="00022A6E" w:rsidP="00C92714">
            <w:pPr>
              <w:spacing w:after="0" w:line="240" w:lineRule="auto"/>
              <w:rPr>
                <w:rFonts w:cs="Times New Roman"/>
              </w:rPr>
            </w:pPr>
            <w:r w:rsidRPr="00FA5289">
              <w:rPr>
                <w:rFonts w:cs="Times New Roman"/>
              </w:rPr>
              <w:t>&gt;55</w:t>
            </w:r>
          </w:p>
        </w:tc>
        <w:tc>
          <w:tcPr>
            <w:tcW w:w="1276" w:type="dxa"/>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0.21</w:t>
            </w:r>
          </w:p>
        </w:tc>
        <w:tc>
          <w:tcPr>
            <w:tcW w:w="1310" w:type="dxa"/>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-0.04 - 0.44</w:t>
            </w:r>
          </w:p>
        </w:tc>
        <w:tc>
          <w:tcPr>
            <w:tcW w:w="1203"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c>
          <w:tcPr>
            <w:tcW w:w="1137"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c>
          <w:tcPr>
            <w:tcW w:w="860"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r>
      <w:tr w:rsidR="00C92714" w:rsidRPr="00022A6E" w:rsidTr="00C92714">
        <w:tc>
          <w:tcPr>
            <w:tcW w:w="959" w:type="dxa"/>
            <w:vMerge w:val="restart"/>
            <w:tcBorders>
              <w:top w:val="nil"/>
              <w:left w:val="nil"/>
              <w:bottom w:val="nil"/>
              <w:right w:val="nil"/>
            </w:tcBorders>
            <w:vAlign w:val="center"/>
          </w:tcPr>
          <w:p w:rsidR="00022A6E" w:rsidRPr="00FA5289" w:rsidRDefault="00022A6E" w:rsidP="00C92714">
            <w:pPr>
              <w:spacing w:after="0" w:line="240" w:lineRule="auto"/>
              <w:rPr>
                <w:rFonts w:cs="Times New Roman"/>
              </w:rPr>
            </w:pPr>
            <w:r w:rsidRPr="00FA5289">
              <w:rPr>
                <w:rFonts w:cs="Times New Roman"/>
              </w:rPr>
              <w:t>BMI Class</w:t>
            </w:r>
          </w:p>
        </w:tc>
        <w:tc>
          <w:tcPr>
            <w:tcW w:w="1559" w:type="dxa"/>
            <w:tcBorders>
              <w:top w:val="single" w:sz="4" w:space="0" w:color="auto"/>
              <w:left w:val="nil"/>
              <w:bottom w:val="nil"/>
              <w:right w:val="nil"/>
            </w:tcBorders>
            <w:vAlign w:val="center"/>
          </w:tcPr>
          <w:p w:rsidR="00022A6E" w:rsidRPr="00FA5289" w:rsidRDefault="00022A6E" w:rsidP="00C92714">
            <w:pPr>
              <w:spacing w:after="0" w:line="240" w:lineRule="auto"/>
              <w:rPr>
                <w:rFonts w:cs="Times New Roman"/>
              </w:rPr>
            </w:pPr>
            <w:r w:rsidRPr="00FA5289">
              <w:rPr>
                <w:rFonts w:cs="Times New Roman"/>
              </w:rPr>
              <w:t>Overweight</w:t>
            </w:r>
          </w:p>
        </w:tc>
        <w:tc>
          <w:tcPr>
            <w:tcW w:w="1276" w:type="dxa"/>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0.26</w:t>
            </w:r>
            <w:r w:rsidRPr="00FA5289">
              <w:rPr>
                <w:rFonts w:cs="Times New Roman"/>
                <w:vertAlign w:val="superscript"/>
              </w:rPr>
              <w:t>*</w:t>
            </w:r>
          </w:p>
        </w:tc>
        <w:tc>
          <w:tcPr>
            <w:tcW w:w="1310" w:type="dxa"/>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0.13 - 0.38</w:t>
            </w:r>
          </w:p>
        </w:tc>
        <w:tc>
          <w:tcPr>
            <w:tcW w:w="1203" w:type="dxa"/>
            <w:vMerge w:val="restart"/>
            <w:tcBorders>
              <w:top w:val="single" w:sz="4" w:space="0" w:color="auto"/>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0.009 (13.5%)</w:t>
            </w:r>
          </w:p>
        </w:tc>
        <w:tc>
          <w:tcPr>
            <w:tcW w:w="1137" w:type="dxa"/>
            <w:vMerge w:val="restart"/>
            <w:tcBorders>
              <w:top w:val="single" w:sz="4" w:space="0" w:color="auto"/>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0.042 (65.4%)</w:t>
            </w:r>
          </w:p>
        </w:tc>
        <w:tc>
          <w:tcPr>
            <w:tcW w:w="860" w:type="dxa"/>
            <w:vMerge w:val="restart"/>
            <w:tcBorders>
              <w:top w:val="single" w:sz="4" w:space="0" w:color="auto"/>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228.1</w:t>
            </w:r>
            <w:r w:rsidRPr="00FA5289">
              <w:rPr>
                <w:rFonts w:cs="Times New Roman"/>
                <w:vertAlign w:val="subscript"/>
              </w:rPr>
              <w:t>42</w:t>
            </w:r>
          </w:p>
        </w:tc>
      </w:tr>
      <w:tr w:rsidR="00C92714" w:rsidRPr="00022A6E" w:rsidTr="00C92714">
        <w:trPr>
          <w:trHeight w:val="459"/>
        </w:trPr>
        <w:tc>
          <w:tcPr>
            <w:tcW w:w="959" w:type="dxa"/>
            <w:vMerge/>
            <w:tcBorders>
              <w:top w:val="nil"/>
              <w:left w:val="nil"/>
              <w:bottom w:val="nil"/>
              <w:right w:val="nil"/>
            </w:tcBorders>
            <w:vAlign w:val="center"/>
          </w:tcPr>
          <w:p w:rsidR="00022A6E" w:rsidRPr="00FA5289" w:rsidRDefault="00022A6E" w:rsidP="00C92714">
            <w:pPr>
              <w:spacing w:after="0" w:line="240" w:lineRule="auto"/>
              <w:rPr>
                <w:rFonts w:cs="Times New Roman"/>
              </w:rPr>
            </w:pPr>
          </w:p>
        </w:tc>
        <w:tc>
          <w:tcPr>
            <w:tcW w:w="1559" w:type="dxa"/>
            <w:tcBorders>
              <w:top w:val="nil"/>
              <w:left w:val="nil"/>
              <w:bottom w:val="single" w:sz="4" w:space="0" w:color="auto"/>
              <w:right w:val="nil"/>
            </w:tcBorders>
            <w:vAlign w:val="center"/>
          </w:tcPr>
          <w:p w:rsidR="00022A6E" w:rsidRPr="00FA5289" w:rsidRDefault="00022A6E" w:rsidP="00C92714">
            <w:pPr>
              <w:spacing w:after="0" w:line="240" w:lineRule="auto"/>
              <w:rPr>
                <w:rFonts w:cs="Times New Roman"/>
              </w:rPr>
            </w:pPr>
            <w:r w:rsidRPr="00FA5289">
              <w:rPr>
                <w:rFonts w:cs="Times New Roman"/>
              </w:rPr>
              <w:t>Obese</w:t>
            </w:r>
          </w:p>
        </w:tc>
        <w:tc>
          <w:tcPr>
            <w:tcW w:w="1276" w:type="dxa"/>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0.25</w:t>
            </w:r>
            <w:r w:rsidRPr="00FA5289">
              <w:rPr>
                <w:rFonts w:cs="Times New Roman"/>
                <w:vertAlign w:val="superscript"/>
              </w:rPr>
              <w:t>*</w:t>
            </w:r>
          </w:p>
        </w:tc>
        <w:tc>
          <w:tcPr>
            <w:tcW w:w="1310" w:type="dxa"/>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0.11 - 0.38</w:t>
            </w:r>
          </w:p>
        </w:tc>
        <w:tc>
          <w:tcPr>
            <w:tcW w:w="1203"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c>
          <w:tcPr>
            <w:tcW w:w="1137"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c>
          <w:tcPr>
            <w:tcW w:w="860"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r>
      <w:tr w:rsidR="00C92714" w:rsidRPr="00022A6E" w:rsidTr="00C92714">
        <w:trPr>
          <w:trHeight w:val="91"/>
        </w:trPr>
        <w:tc>
          <w:tcPr>
            <w:tcW w:w="959" w:type="dxa"/>
            <w:vMerge w:val="restart"/>
            <w:tcBorders>
              <w:top w:val="nil"/>
              <w:left w:val="nil"/>
              <w:bottom w:val="single" w:sz="4" w:space="0" w:color="auto"/>
              <w:right w:val="nil"/>
            </w:tcBorders>
            <w:vAlign w:val="center"/>
          </w:tcPr>
          <w:p w:rsidR="00022A6E" w:rsidRPr="00FA5289" w:rsidRDefault="00022A6E" w:rsidP="00C92714">
            <w:pPr>
              <w:spacing w:after="0" w:line="240" w:lineRule="auto"/>
              <w:rPr>
                <w:rFonts w:cs="Times New Roman"/>
              </w:rPr>
            </w:pPr>
            <w:r w:rsidRPr="00FA5289">
              <w:rPr>
                <w:rFonts w:cs="Times New Roman"/>
              </w:rPr>
              <w:t>Gender</w:t>
            </w:r>
          </w:p>
        </w:tc>
        <w:tc>
          <w:tcPr>
            <w:tcW w:w="1559" w:type="dxa"/>
            <w:tcBorders>
              <w:top w:val="single" w:sz="4" w:space="0" w:color="auto"/>
              <w:left w:val="nil"/>
              <w:bottom w:val="nil"/>
              <w:right w:val="nil"/>
            </w:tcBorders>
            <w:vAlign w:val="center"/>
          </w:tcPr>
          <w:p w:rsidR="00022A6E" w:rsidRPr="00FA5289" w:rsidRDefault="00022A6E" w:rsidP="00C92714">
            <w:pPr>
              <w:spacing w:after="0" w:line="240" w:lineRule="auto"/>
              <w:rPr>
                <w:rFonts w:cs="Times New Roman"/>
              </w:rPr>
            </w:pPr>
            <w:r w:rsidRPr="00FA5289">
              <w:rPr>
                <w:rFonts w:cs="Times New Roman"/>
              </w:rPr>
              <w:t>Men</w:t>
            </w:r>
          </w:p>
        </w:tc>
        <w:tc>
          <w:tcPr>
            <w:tcW w:w="1276" w:type="dxa"/>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0.11</w:t>
            </w:r>
          </w:p>
        </w:tc>
        <w:tc>
          <w:tcPr>
            <w:tcW w:w="1310" w:type="dxa"/>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-0.02 - 0.23</w:t>
            </w:r>
          </w:p>
        </w:tc>
        <w:tc>
          <w:tcPr>
            <w:tcW w:w="1203" w:type="dxa"/>
            <w:vMerge w:val="restart"/>
            <w:tcBorders>
              <w:top w:val="single" w:sz="4" w:space="0" w:color="auto"/>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0.003 (5.3%)</w:t>
            </w:r>
          </w:p>
        </w:tc>
        <w:tc>
          <w:tcPr>
            <w:tcW w:w="1137" w:type="dxa"/>
            <w:vMerge w:val="restart"/>
            <w:tcBorders>
              <w:top w:val="single" w:sz="4" w:space="0" w:color="auto"/>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0.033 (67.1%)</w:t>
            </w:r>
          </w:p>
        </w:tc>
        <w:tc>
          <w:tcPr>
            <w:tcW w:w="860" w:type="dxa"/>
            <w:vMerge w:val="restart"/>
            <w:tcBorders>
              <w:top w:val="single" w:sz="4" w:space="0" w:color="auto"/>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158.4</w:t>
            </w:r>
            <w:r w:rsidRPr="00FA5289">
              <w:rPr>
                <w:rFonts w:cs="Times New Roman"/>
                <w:vertAlign w:val="subscript"/>
              </w:rPr>
              <w:t>44</w:t>
            </w:r>
          </w:p>
        </w:tc>
      </w:tr>
      <w:tr w:rsidR="00C92714" w:rsidRPr="00022A6E" w:rsidTr="00C92714">
        <w:tc>
          <w:tcPr>
            <w:tcW w:w="959" w:type="dxa"/>
            <w:vMerge/>
            <w:tcBorders>
              <w:top w:val="nil"/>
              <w:left w:val="nil"/>
              <w:bottom w:val="single" w:sz="4" w:space="0" w:color="auto"/>
              <w:right w:val="nil"/>
            </w:tcBorders>
            <w:vAlign w:val="center"/>
          </w:tcPr>
          <w:p w:rsidR="00022A6E" w:rsidRPr="00FA5289" w:rsidRDefault="00022A6E" w:rsidP="00C92714">
            <w:pPr>
              <w:spacing w:after="0" w:line="240" w:lineRule="auto"/>
              <w:rPr>
                <w:rFonts w:cs="Times New Roman"/>
              </w:rPr>
            </w:pPr>
          </w:p>
        </w:tc>
        <w:tc>
          <w:tcPr>
            <w:tcW w:w="1559" w:type="dxa"/>
            <w:tcBorders>
              <w:top w:val="nil"/>
              <w:left w:val="nil"/>
              <w:bottom w:val="single" w:sz="4" w:space="0" w:color="auto"/>
              <w:right w:val="nil"/>
            </w:tcBorders>
            <w:vAlign w:val="center"/>
          </w:tcPr>
          <w:p w:rsidR="00022A6E" w:rsidRPr="00FA5289" w:rsidRDefault="00022A6E" w:rsidP="00C92714">
            <w:pPr>
              <w:spacing w:after="0" w:line="240" w:lineRule="auto"/>
              <w:rPr>
                <w:rFonts w:cs="Times New Roman"/>
              </w:rPr>
            </w:pPr>
            <w:r w:rsidRPr="00FA5289">
              <w:rPr>
                <w:rFonts w:cs="Times New Roman"/>
              </w:rPr>
              <w:t>Women</w:t>
            </w:r>
          </w:p>
        </w:tc>
        <w:tc>
          <w:tcPr>
            <w:tcW w:w="1276" w:type="dxa"/>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0.37</w:t>
            </w:r>
            <w:r w:rsidRPr="00FA5289">
              <w:rPr>
                <w:rFonts w:cs="Times New Roman"/>
                <w:vertAlign w:val="superscript"/>
              </w:rPr>
              <w:t>*</w:t>
            </w:r>
          </w:p>
        </w:tc>
        <w:tc>
          <w:tcPr>
            <w:tcW w:w="1310" w:type="dxa"/>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0.26 - 0.47</w:t>
            </w:r>
          </w:p>
        </w:tc>
        <w:tc>
          <w:tcPr>
            <w:tcW w:w="1203"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c>
          <w:tcPr>
            <w:tcW w:w="1137"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c>
          <w:tcPr>
            <w:tcW w:w="860"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r>
    </w:tbl>
    <w:p w:rsidR="00022A6E" w:rsidRPr="00FA5289" w:rsidRDefault="00022A6E" w:rsidP="00022A6E">
      <w:pPr>
        <w:spacing w:line="240" w:lineRule="auto"/>
        <w:rPr>
          <w:rFonts w:cs="Times New Roman"/>
        </w:rPr>
      </w:pPr>
      <w:r w:rsidRPr="00FA5289">
        <w:rPr>
          <w:rFonts w:cs="Times New Roman"/>
          <w:vertAlign w:val="superscript"/>
        </w:rPr>
        <w:tab/>
      </w:r>
      <w:r w:rsidRPr="00FA5289">
        <w:rPr>
          <w:rFonts w:cs="Times New Roman"/>
          <w:vertAlign w:val="superscript"/>
        </w:rPr>
        <w:tab/>
        <w:t xml:space="preserve">* </w:t>
      </w:r>
      <w:r w:rsidRPr="00FA5289">
        <w:rPr>
          <w:rFonts w:cs="Times New Roman"/>
          <w:i/>
        </w:rPr>
        <w:t>P</w:t>
      </w:r>
      <w:r w:rsidRPr="00FA5289">
        <w:rPr>
          <w:rFonts w:cs="Times New Roman"/>
        </w:rPr>
        <w:t xml:space="preserve">&lt; 0.05. †. </w:t>
      </w:r>
      <w:proofErr w:type="spellStart"/>
      <w:r w:rsidRPr="00FA5289">
        <w:rPr>
          <w:rFonts w:cs="Times New Roman"/>
        </w:rPr>
        <w:t>QE</w:t>
      </w:r>
      <w:r w:rsidRPr="00FA5289">
        <w:rPr>
          <w:rFonts w:cs="Times New Roman"/>
          <w:vertAlign w:val="subscript"/>
        </w:rPr>
        <w:t>df</w:t>
      </w:r>
      <w:proofErr w:type="spellEnd"/>
      <w:r w:rsidRPr="00FA5289">
        <w:rPr>
          <w:rFonts w:cs="Times New Roman"/>
        </w:rPr>
        <w:t xml:space="preserve">: Residual heterogeneity test statistic. </w:t>
      </w:r>
    </w:p>
    <w:p w:rsidR="00022A6E" w:rsidRPr="00FA5289" w:rsidRDefault="00022A6E" w:rsidP="00022A6E">
      <w:pPr>
        <w:spacing w:line="240" w:lineRule="auto"/>
      </w:pPr>
    </w:p>
    <w:p w:rsidR="00022A6E" w:rsidRPr="00FA5289" w:rsidRDefault="00022A6E" w:rsidP="00022A6E">
      <w:pPr>
        <w:spacing w:line="240" w:lineRule="auto"/>
      </w:pPr>
    </w:p>
    <w:p w:rsidR="00022A6E" w:rsidRPr="00FA5289" w:rsidRDefault="00022A6E" w:rsidP="00022A6E">
      <w:pPr>
        <w:spacing w:line="240" w:lineRule="auto"/>
        <w:rPr>
          <w:rFonts w:cs="Times New Roman"/>
          <w:b/>
        </w:rPr>
      </w:pPr>
    </w:p>
    <w:p w:rsidR="00022A6E" w:rsidRPr="00FA5289" w:rsidRDefault="00022A6E" w:rsidP="00022A6E">
      <w:pPr>
        <w:spacing w:line="240" w:lineRule="auto"/>
        <w:rPr>
          <w:rFonts w:cs="Times New Roman"/>
          <w:b/>
        </w:rPr>
      </w:pPr>
    </w:p>
    <w:p w:rsidR="00022A6E" w:rsidRPr="00FA5289" w:rsidRDefault="00022A6E" w:rsidP="00022A6E">
      <w:pPr>
        <w:spacing w:line="240" w:lineRule="auto"/>
        <w:rPr>
          <w:rFonts w:cs="Times New Roman"/>
          <w:b/>
        </w:rPr>
      </w:pPr>
    </w:p>
    <w:p w:rsidR="00022A6E" w:rsidRPr="00FA5289" w:rsidRDefault="00022A6E" w:rsidP="00022A6E">
      <w:pPr>
        <w:spacing w:line="240" w:lineRule="auto"/>
        <w:rPr>
          <w:rFonts w:cs="Times New Roman"/>
          <w:b/>
        </w:rPr>
      </w:pPr>
    </w:p>
    <w:p w:rsidR="00022A6E" w:rsidRPr="00FA5289" w:rsidRDefault="00022A6E" w:rsidP="00022A6E">
      <w:pPr>
        <w:spacing w:line="240" w:lineRule="auto"/>
        <w:rPr>
          <w:rFonts w:cs="Times New Roman"/>
          <w:b/>
        </w:rPr>
      </w:pPr>
    </w:p>
    <w:p w:rsidR="00022A6E" w:rsidRPr="00FA5289" w:rsidRDefault="00C55AB0" w:rsidP="00022A6E">
      <w:pPr>
        <w:spacing w:line="240" w:lineRule="auto"/>
        <w:rPr>
          <w:rFonts w:cs="Times New Roman"/>
        </w:rPr>
      </w:pPr>
      <w:proofErr w:type="gramStart"/>
      <w:r w:rsidRPr="00FA5289">
        <w:rPr>
          <w:rFonts w:cs="Times New Roman"/>
          <w:b/>
        </w:rPr>
        <w:lastRenderedPageBreak/>
        <w:t>Table 5</w:t>
      </w:r>
      <w:r w:rsidR="00022A6E" w:rsidRPr="00FA5289">
        <w:rPr>
          <w:rFonts w:cs="Times New Roman"/>
          <w:b/>
        </w:rPr>
        <w:t>:</w:t>
      </w:r>
      <w:r w:rsidR="00ED706F" w:rsidRPr="00FA5289">
        <w:rPr>
          <w:rFonts w:cs="Times New Roman"/>
        </w:rPr>
        <w:t xml:space="preserve"> Results of M</w:t>
      </w:r>
      <w:r w:rsidR="00022A6E" w:rsidRPr="00FA5289">
        <w:rPr>
          <w:rFonts w:cs="Times New Roman"/>
        </w:rPr>
        <w:t>eta</w:t>
      </w:r>
      <w:r w:rsidR="00ED706F" w:rsidRPr="00FA5289">
        <w:rPr>
          <w:rFonts w:cs="Times New Roman"/>
        </w:rPr>
        <w:t>-</w:t>
      </w:r>
      <w:r w:rsidR="00022A6E" w:rsidRPr="00FA5289">
        <w:rPr>
          <w:rFonts w:cs="Times New Roman"/>
        </w:rPr>
        <w:t xml:space="preserve">regressions for </w:t>
      </w:r>
      <w:r w:rsidR="00ED706F" w:rsidRPr="00FA5289">
        <w:rPr>
          <w:rFonts w:cs="Times New Roman"/>
        </w:rPr>
        <w:t>Re</w:t>
      </w:r>
      <w:r w:rsidR="00022A6E" w:rsidRPr="00FA5289">
        <w:rPr>
          <w:rFonts w:cs="Times New Roman"/>
        </w:rPr>
        <w:t xml:space="preserve">lative </w:t>
      </w:r>
      <w:r w:rsidR="00ED706F" w:rsidRPr="00FA5289">
        <w:rPr>
          <w:rFonts w:cs="Times New Roman"/>
        </w:rPr>
        <w:t>A</w:t>
      </w:r>
      <w:r w:rsidR="00022A6E" w:rsidRPr="00FA5289">
        <w:rPr>
          <w:rFonts w:cs="Times New Roman"/>
        </w:rPr>
        <w:t>dipose</w:t>
      </w:r>
      <w:r w:rsidR="00ED706F" w:rsidRPr="00FA5289">
        <w:rPr>
          <w:rFonts w:cs="Times New Roman"/>
        </w:rPr>
        <w:t xml:space="preserve"> M</w:t>
      </w:r>
      <w:r w:rsidR="00022A6E" w:rsidRPr="00FA5289">
        <w:rPr>
          <w:rFonts w:cs="Times New Roman"/>
        </w:rPr>
        <w:t>ass</w:t>
      </w:r>
      <w:r w:rsidR="00ED706F" w:rsidRPr="00FA5289">
        <w:rPr>
          <w:rFonts w:cs="Times New Roman"/>
        </w:rPr>
        <w:t>. Parameter Estimates and Model O</w:t>
      </w:r>
      <w:r w:rsidR="00022A6E" w:rsidRPr="00FA5289">
        <w:rPr>
          <w:rFonts w:cs="Times New Roman"/>
        </w:rPr>
        <w:t>utputs.</w:t>
      </w:r>
      <w:proofErr w:type="gramEnd"/>
      <w:r w:rsidR="00022A6E" w:rsidRPr="00FA5289">
        <w:rPr>
          <w:rFonts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559"/>
        <w:gridCol w:w="1276"/>
        <w:gridCol w:w="1310"/>
        <w:gridCol w:w="1203"/>
        <w:gridCol w:w="1137"/>
        <w:gridCol w:w="860"/>
      </w:tblGrid>
      <w:tr w:rsidR="00C92714" w:rsidRPr="00022A6E" w:rsidTr="00C92714">
        <w:tc>
          <w:tcPr>
            <w:tcW w:w="2518" w:type="dxa"/>
            <w:gridSpan w:val="2"/>
            <w:tcBorders>
              <w:top w:val="single" w:sz="4" w:space="0" w:color="auto"/>
              <w:left w:val="nil"/>
              <w:bottom w:val="single" w:sz="4" w:space="0" w:color="auto"/>
              <w:right w:val="nil"/>
            </w:tcBorders>
            <w:shd w:val="clear" w:color="auto" w:fill="BFBFBF"/>
          </w:tcPr>
          <w:p w:rsidR="00022A6E" w:rsidRPr="00FA5289" w:rsidRDefault="00022A6E" w:rsidP="00C92714">
            <w:pPr>
              <w:spacing w:after="0" w:line="240" w:lineRule="auto"/>
              <w:rPr>
                <w:rFonts w:cs="Times New Roman"/>
                <w:b/>
              </w:rPr>
            </w:pPr>
            <w:r w:rsidRPr="00FA5289">
              <w:rPr>
                <w:rFonts w:cs="Times New Roman"/>
                <w:b/>
              </w:rPr>
              <w:t>Moderator</w:t>
            </w:r>
          </w:p>
        </w:tc>
        <w:tc>
          <w:tcPr>
            <w:tcW w:w="1276" w:type="dxa"/>
            <w:tcBorders>
              <w:top w:val="single" w:sz="4" w:space="0" w:color="auto"/>
              <w:left w:val="nil"/>
              <w:bottom w:val="single" w:sz="4" w:space="0" w:color="auto"/>
              <w:right w:val="nil"/>
            </w:tcBorders>
            <w:shd w:val="clear" w:color="auto" w:fill="BFBFBF"/>
          </w:tcPr>
          <w:p w:rsidR="00022A6E" w:rsidRPr="00FA5289" w:rsidRDefault="00022A6E" w:rsidP="00C92714">
            <w:pPr>
              <w:spacing w:after="0" w:line="240" w:lineRule="auto"/>
              <w:rPr>
                <w:rFonts w:cs="Times New Roman"/>
                <w:b/>
              </w:rPr>
            </w:pPr>
            <w:r w:rsidRPr="00FA5289">
              <w:rPr>
                <w:rFonts w:cs="Times New Roman"/>
                <w:b/>
              </w:rPr>
              <w:t>Correlation Estimate</w:t>
            </w:r>
          </w:p>
        </w:tc>
        <w:tc>
          <w:tcPr>
            <w:tcW w:w="1310" w:type="dxa"/>
            <w:tcBorders>
              <w:top w:val="single" w:sz="4" w:space="0" w:color="auto"/>
              <w:left w:val="nil"/>
              <w:bottom w:val="single" w:sz="4" w:space="0" w:color="auto"/>
              <w:right w:val="nil"/>
            </w:tcBorders>
            <w:shd w:val="clear" w:color="auto" w:fill="BFBFBF"/>
          </w:tcPr>
          <w:p w:rsidR="00022A6E" w:rsidRPr="00FA5289" w:rsidRDefault="00022A6E" w:rsidP="00C92714">
            <w:pPr>
              <w:spacing w:after="0" w:line="240" w:lineRule="auto"/>
              <w:rPr>
                <w:rFonts w:cs="Times New Roman"/>
                <w:b/>
              </w:rPr>
            </w:pPr>
            <w:r w:rsidRPr="00FA5289">
              <w:rPr>
                <w:rFonts w:cs="Times New Roman"/>
                <w:b/>
              </w:rPr>
              <w:t>95% CI</w:t>
            </w:r>
          </w:p>
        </w:tc>
        <w:tc>
          <w:tcPr>
            <w:tcW w:w="1203" w:type="dxa"/>
            <w:tcBorders>
              <w:top w:val="single" w:sz="4" w:space="0" w:color="auto"/>
              <w:left w:val="nil"/>
              <w:bottom w:val="single" w:sz="4" w:space="0" w:color="auto"/>
              <w:right w:val="nil"/>
            </w:tcBorders>
            <w:shd w:val="clear" w:color="auto" w:fill="BFBFBF"/>
          </w:tcPr>
          <w:p w:rsidR="00022A6E" w:rsidRPr="00FA5289" w:rsidRDefault="00022A6E" w:rsidP="00C92714">
            <w:pPr>
              <w:spacing w:after="0" w:line="240" w:lineRule="auto"/>
              <w:rPr>
                <w:rFonts w:cs="Times New Roman"/>
                <w:b/>
              </w:rPr>
            </w:pPr>
            <w:r w:rsidRPr="00FA5289">
              <w:rPr>
                <w:rFonts w:cs="Times New Roman"/>
                <w:b/>
              </w:rPr>
              <w:t xml:space="preserve">Between outcome variance </w:t>
            </w:r>
            <w:r w:rsidR="00156059" w:rsidRPr="00FA5289">
              <w:rPr>
                <w:rFonts w:cs="Times New Roman"/>
                <w:b/>
              </w:rPr>
              <w:fldChar w:fldCharType="begin"/>
            </w:r>
            <w:r w:rsidRPr="00FA5289">
              <w:rPr>
                <w:rFonts w:cs="Times New Roman"/>
                <w:b/>
              </w:rPr>
              <w:instrText xml:space="preserve"> QUOTE </w:instrText>
            </w:r>
            <w:r w:rsidR="00AF4DD8" w:rsidRPr="00156059">
              <w:rPr>
                <w:position w:val="-8"/>
              </w:rPr>
              <w:pict>
                <v:shape id="_x0000_i1075" type="#_x0000_t75" style="width:12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20&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B83D9A&quot;/&gt;&lt;wsp:rsid wsp:val=&quot;00002681&quot;/&gt;&lt;wsp:rsid wsp:val=&quot;00002B39&quot;/&gt;&lt;wsp:rsid wsp:val=&quot;00002CE3&quot;/&gt;&lt;wsp:rsid wsp:val=&quot;00003FA5&quot;/&gt;&lt;wsp:rsid wsp:val=&quot;000069C8&quot;/&gt;&lt;wsp:rsid wsp:val=&quot;00007BE3&quot;/&gt;&lt;wsp:rsid wsp:val=&quot;00016BEF&quot;/&gt;&lt;wsp:rsid wsp:val=&quot;00016F4D&quot;/&gt;&lt;wsp:rsid wsp:val=&quot;00017556&quot;/&gt;&lt;wsp:rsid wsp:val=&quot;00022A6E&quot;/&gt;&lt;wsp:rsid wsp:val=&quot;000278EB&quot;/&gt;&lt;wsp:rsid wsp:val=&quot;00030FC1&quot;/&gt;&lt;wsp:rsid wsp:val=&quot;0003104D&quot;/&gt;&lt;wsp:rsid wsp:val=&quot;0003592D&quot;/&gt;&lt;wsp:rsid wsp:val=&quot;00036BC7&quot;/&gt;&lt;wsp:rsid wsp:val=&quot;0004021F&quot;/&gt;&lt;wsp:rsid wsp:val=&quot;0004648A&quot;/&gt;&lt;wsp:rsid wsp:val=&quot;00047BE4&quot;/&gt;&lt;wsp:rsid wsp:val=&quot;000516EA&quot;/&gt;&lt;wsp:rsid wsp:val=&quot;00051A48&quot;/&gt;&lt;wsp:rsid wsp:val=&quot;00054FFA&quot;/&gt;&lt;wsp:rsid wsp:val=&quot;0006094E&quot;/&gt;&lt;wsp:rsid wsp:val=&quot;00064650&quot;/&gt;&lt;wsp:rsid wsp:val=&quot;00075FAB&quot;/&gt;&lt;wsp:rsid wsp:val=&quot;00084D08&quot;/&gt;&lt;wsp:rsid wsp:val=&quot;00087C01&quot;/&gt;&lt;wsp:rsid wsp:val=&quot;00090692&quot;/&gt;&lt;wsp:rsid wsp:val=&quot;00094375&quot;/&gt;&lt;wsp:rsid wsp:val=&quot;000A0D37&quot;/&gt;&lt;wsp:rsid wsp:val=&quot;000A1339&quot;/&gt;&lt;wsp:rsid wsp:val=&quot;000A2298&quot;/&gt;&lt;wsp:rsid wsp:val=&quot;000A2A14&quot;/&gt;&lt;wsp:rsid wsp:val=&quot;000A4860&quot;/&gt;&lt;wsp:rsid wsp:val=&quot;000A4F42&quot;/&gt;&lt;wsp:rsid wsp:val=&quot;000A60E8&quot;/&gt;&lt;wsp:rsid wsp:val=&quot;000B0C59&quot;/&gt;&lt;wsp:rsid wsp:val=&quot;000B1EA5&quot;/&gt;&lt;wsp:rsid wsp:val=&quot;000B1FEB&quot;/&gt;&lt;wsp:rsid wsp:val=&quot;000B2B75&quot;/&gt;&lt;wsp:rsid wsp:val=&quot;000B5012&quot;/&gt;&lt;wsp:rsid wsp:val=&quot;000B67EC&quot;/&gt;&lt;wsp:rsid wsp:val=&quot;000C0C12&quot;/&gt;&lt;wsp:rsid wsp:val=&quot;000C1E74&quot;/&gt;&lt;wsp:rsid wsp:val=&quot;000C2B8F&quot;/&gt;&lt;wsp:rsid wsp:val=&quot;000C2E27&quot;/&gt;&lt;wsp:rsid wsp:val=&quot;000C3198&quot;/&gt;&lt;wsp:rsid wsp:val=&quot;000D0C5B&quot;/&gt;&lt;wsp:rsid wsp:val=&quot;000D4301&quot;/&gt;&lt;wsp:rsid wsp:val=&quot;000E3D33&quot;/&gt;&lt;wsp:rsid wsp:val=&quot;000E49E7&quot;/&gt;&lt;wsp:rsid wsp:val=&quot;000E6BED&quot;/&gt;&lt;wsp:rsid wsp:val=&quot;000E6BF4&quot;/&gt;&lt;wsp:rsid wsp:val=&quot;000F1665&quot;/&gt;&lt;wsp:rsid wsp:val=&quot;000F22A4&quot;/&gt;&lt;wsp:rsid wsp:val=&quot;00101959&quot;/&gt;&lt;wsp:rsid wsp:val=&quot;001022A2&quot;/&gt;&lt;wsp:rsid wsp:val=&quot;00102875&quot;/&gt;&lt;wsp:rsid wsp:val=&quot;001065F7&quot;/&gt;&lt;wsp:rsid wsp:val=&quot;00106F0B&quot;/&gt;&lt;wsp:rsid wsp:val=&quot;00116000&quot;/&gt;&lt;wsp:rsid wsp:val=&quot;001212E9&quot;/&gt;&lt;wsp:rsid wsp:val=&quot;001221CE&quot;/&gt;&lt;wsp:rsid wsp:val=&quot;00125040&quot;/&gt;&lt;wsp:rsid wsp:val=&quot;00125C66&quot;/&gt;&lt;wsp:rsid wsp:val=&quot;00132C31&quot;/&gt;&lt;wsp:rsid wsp:val=&quot;00133F2C&quot;/&gt;&lt;wsp:rsid wsp:val=&quot;0013611D&quot;/&gt;&lt;wsp:rsid wsp:val=&quot;00144658&quot;/&gt;&lt;wsp:rsid wsp:val=&quot;0014762F&quot;/&gt;&lt;wsp:rsid wsp:val=&quot;0015773B&quot;/&gt;&lt;wsp:rsid wsp:val=&quot;00160202&quot;/&gt;&lt;wsp:rsid wsp:val=&quot;00160241&quot;/&gt;&lt;wsp:rsid wsp:val=&quot;0016187F&quot;/&gt;&lt;wsp:rsid wsp:val=&quot;00162691&quot;/&gt;&lt;wsp:rsid wsp:val=&quot;00162C69&quot;/&gt;&lt;wsp:rsid wsp:val=&quot;001676A3&quot;/&gt;&lt;wsp:rsid wsp:val=&quot;0016792B&quot;/&gt;&lt;wsp:rsid wsp:val=&quot;00167BB4&quot;/&gt;&lt;wsp:rsid wsp:val=&quot;00181B28&quot;/&gt;&lt;wsp:rsid wsp:val=&quot;0019197F&quot;/&gt;&lt;wsp:rsid wsp:val=&quot;001956D4&quot;/&gt;&lt;wsp:rsid wsp:val=&quot;001A5B99&quot;/&gt;&lt;wsp:rsid wsp:val=&quot;001A6387&quot;/&gt;&lt;wsp:rsid wsp:val=&quot;001A6A49&quot;/&gt;&lt;wsp:rsid wsp:val=&quot;001B4D51&quot;/&gt;&lt;wsp:rsid wsp:val=&quot;001B5581&quot;/&gt;&lt;wsp:rsid wsp:val=&quot;001B761B&quot;/&gt;&lt;wsp:rsid wsp:val=&quot;001B7E04&quot;/&gt;&lt;wsp:rsid wsp:val=&quot;001C11D0&quot;/&gt;&lt;wsp:rsid wsp:val=&quot;001C5147&quot;/&gt;&lt;wsp:rsid wsp:val=&quot;001D002F&quot;/&gt;&lt;wsp:rsid wsp:val=&quot;001D21E6&quot;/&gt;&lt;wsp:rsid wsp:val=&quot;001D54A9&quot;/&gt;&lt;wsp:rsid wsp:val=&quot;001D5911&quot;/&gt;&lt;wsp:rsid wsp:val=&quot;001D72A2&quot;/&gt;&lt;wsp:rsid wsp:val=&quot;00214054&quot;/&gt;&lt;wsp:rsid wsp:val=&quot;00223420&quot;/&gt;&lt;wsp:rsid wsp:val=&quot;00223B9C&quot;/&gt;&lt;wsp:rsid wsp:val=&quot;0022612A&quot;/&gt;&lt;wsp:rsid wsp:val=&quot;00226D4C&quot;/&gt;&lt;wsp:rsid wsp:val=&quot;002308B8&quot;/&gt;&lt;wsp:rsid wsp:val=&quot;002309EB&quot;/&gt;&lt;wsp:rsid wsp:val=&quot;0023101D&quot;/&gt;&lt;wsp:rsid wsp:val=&quot;002310C6&quot;/&gt;&lt;wsp:rsid wsp:val=&quot;002321B1&quot;/&gt;&lt;wsp:rsid wsp:val=&quot;0023257D&quot;/&gt;&lt;wsp:rsid wsp:val=&quot;00232FDF&quot;/&gt;&lt;wsp:rsid wsp:val=&quot;002346DC&quot;/&gt;&lt;wsp:rsid wsp:val=&quot;0023635F&quot;/&gt;&lt;wsp:rsid wsp:val=&quot;00241F35&quot;/&gt;&lt;wsp:rsid wsp:val=&quot;00250F35&quot;/&gt;&lt;wsp:rsid wsp:val=&quot;00253C60&quot;/&gt;&lt;wsp:rsid wsp:val=&quot;00256945&quot;/&gt;&lt;wsp:rsid wsp:val=&quot;002642CB&quot;/&gt;&lt;wsp:rsid wsp:val=&quot;0026556B&quot;/&gt;&lt;wsp:rsid wsp:val=&quot;00270694&quot;/&gt;&lt;wsp:rsid wsp:val=&quot;00270781&quot;/&gt;&lt;wsp:rsid wsp:val=&quot;00271E97&quot;/&gt;&lt;wsp:rsid wsp:val=&quot;002908EE&quot;/&gt;&lt;wsp:rsid wsp:val=&quot;00292401&quot;/&gt;&lt;wsp:rsid wsp:val=&quot;0029391A&quot;/&gt;&lt;wsp:rsid wsp:val=&quot;0029659A&quot;/&gt;&lt;wsp:rsid wsp:val=&quot;002A0C23&quot;/&gt;&lt;wsp:rsid wsp:val=&quot;002A27DA&quot;/&gt;&lt;wsp:rsid wsp:val=&quot;002B29EB&quot;/&gt;&lt;wsp:rsid wsp:val=&quot;002B3683&quot;/&gt;&lt;wsp:rsid wsp:val=&quot;002B3C67&quot;/&gt;&lt;wsp:rsid wsp:val=&quot;002B70CB&quot;/&gt;&lt;wsp:rsid wsp:val=&quot;002C007F&quot;/&gt;&lt;wsp:rsid wsp:val=&quot;002D03B2&quot;/&gt;&lt;wsp:rsid wsp:val=&quot;002D2717&quot;/&gt;&lt;wsp:rsid wsp:val=&quot;002D37C6&quot;/&gt;&lt;wsp:rsid wsp:val=&quot;002D4812&quot;/&gt;&lt;wsp:rsid wsp:val=&quot;002D54F2&quot;/&gt;&lt;wsp:rsid wsp:val=&quot;002D5955&quot;/&gt;&lt;wsp:rsid wsp:val=&quot;002E161B&quot;/&gt;&lt;wsp:rsid wsp:val=&quot;002E4B34&quot;/&gt;&lt;wsp:rsid wsp:val=&quot;002E6007&quot;/&gt;&lt;wsp:rsid wsp:val=&quot;002F3AB4&quot;/&gt;&lt;wsp:rsid wsp:val=&quot;002F4A17&quot;/&gt;&lt;wsp:rsid wsp:val=&quot;002F4F68&quot;/&gt;&lt;wsp:rsid wsp:val=&quot;003020C0&quot;/&gt;&lt;wsp:rsid wsp:val=&quot;0030216A&quot;/&gt;&lt;wsp:rsid wsp:val=&quot;00302207&quot;/&gt;&lt;wsp:rsid wsp:val=&quot;00302A29&quot;/&gt;&lt;wsp:rsid wsp:val=&quot;003110BA&quot;/&gt;&lt;wsp:rsid wsp:val=&quot;003133BD&quot;/&gt;&lt;wsp:rsid wsp:val=&quot;00321DBF&quot;/&gt;&lt;wsp:rsid wsp:val=&quot;00323BA2&quot;/&gt;&lt;wsp:rsid wsp:val=&quot;003247E5&quot;/&gt;&lt;wsp:rsid wsp:val=&quot;00327B96&quot;/&gt;&lt;wsp:rsid wsp:val=&quot;00330A0A&quot;/&gt;&lt;wsp:rsid wsp:val=&quot;003350EB&quot;/&gt;&lt;wsp:rsid wsp:val=&quot;00337860&quot;/&gt;&lt;wsp:rsid wsp:val=&quot;00341326&quot;/&gt;&lt;wsp:rsid wsp:val=&quot;003419EC&quot;/&gt;&lt;wsp:rsid wsp:val=&quot;003430E0&quot;/&gt;&lt;wsp:rsid wsp:val=&quot;00343CDF&quot;/&gt;&lt;wsp:rsid wsp:val=&quot;003450E6&quot;/&gt;&lt;wsp:rsid wsp:val=&quot;00350AF0&quot;/&gt;&lt;wsp:rsid wsp:val=&quot;00350E69&quot;/&gt;&lt;wsp:rsid wsp:val=&quot;003532C9&quot;/&gt;&lt;wsp:rsid wsp:val=&quot;003536C6&quot;/&gt;&lt;wsp:rsid wsp:val=&quot;003560BC&quot;/&gt;&lt;wsp:rsid wsp:val=&quot;003567DD&quot;/&gt;&lt;wsp:rsid wsp:val=&quot;0036459D&quot;/&gt;&lt;wsp:rsid wsp:val=&quot;00367107&quot;/&gt;&lt;wsp:rsid wsp:val=&quot;00374C60&quot;/&gt;&lt;wsp:rsid wsp:val=&quot;003822B8&quot;/&gt;&lt;wsp:rsid wsp:val=&quot;00384522&quot;/&gt;&lt;wsp:rsid wsp:val=&quot;00386528&quot;/&gt;&lt;wsp:rsid wsp:val=&quot;003A0D9E&quot;/&gt;&lt;wsp:rsid wsp:val=&quot;003A760E&quot;/&gt;&lt;wsp:rsid wsp:val=&quot;003A7B4F&quot;/&gt;&lt;wsp:rsid wsp:val=&quot;003B3450&quot;/&gt;&lt;wsp:rsid wsp:val=&quot;003C0577&quot;/&gt;&lt;wsp:rsid wsp:val=&quot;003C4281&quot;/&gt;&lt;wsp:rsid wsp:val=&quot;003C70A3&quot;/&gt;&lt;wsp:rsid wsp:val=&quot;003C735D&quot;/&gt;&lt;wsp:rsid wsp:val=&quot;003F01F9&quot;/&gt;&lt;wsp:rsid wsp:val=&quot;003F270D&quot;/&gt;&lt;wsp:rsid wsp:val=&quot;003F304C&quot;/&gt;&lt;wsp:rsid wsp:val=&quot;003F4135&quot;/&gt;&lt;wsp:rsid wsp:val=&quot;003F612B&quot;/&gt;&lt;wsp:rsid wsp:val=&quot;00400C74&quot;/&gt;&lt;wsp:rsid wsp:val=&quot;004027FB&quot;/&gt;&lt;wsp:rsid wsp:val=&quot;00402FA5&quot;/&gt;&lt;wsp:rsid wsp:val=&quot;00403417&quot;/&gt;&lt;wsp:rsid wsp:val=&quot;00405152&quot;/&gt;&lt;wsp:rsid wsp:val=&quot;004054DA&quot;/&gt;&lt;wsp:rsid wsp:val=&quot;00405F0F&quot;/&gt;&lt;wsp:rsid wsp:val=&quot;00412400&quot;/&gt;&lt;wsp:rsid wsp:val=&quot;0041666B&quot;/&gt;&lt;wsp:rsid wsp:val=&quot;0042091A&quot;/&gt;&lt;wsp:rsid wsp:val=&quot;00424343&quot;/&gt;&lt;wsp:rsid wsp:val=&quot;0042455D&quot;/&gt;&lt;wsp:rsid wsp:val=&quot;0042481C&quot;/&gt;&lt;wsp:rsid wsp:val=&quot;00427007&quot;/&gt;&lt;wsp:rsid wsp:val=&quot;0043333C&quot;/&gt;&lt;wsp:rsid wsp:val=&quot;00441345&quot;/&gt;&lt;wsp:rsid wsp:val=&quot;00441722&quot;/&gt;&lt;wsp:rsid wsp:val=&quot;00443153&quot;/&gt;&lt;wsp:rsid wsp:val=&quot;00444774&quot;/&gt;&lt;wsp:rsid wsp:val=&quot;0044504C&quot;/&gt;&lt;wsp:rsid wsp:val=&quot;004472B0&quot;/&gt;&lt;wsp:rsid wsp:val=&quot;00450F7F&quot;/&gt;&lt;wsp:rsid wsp:val=&quot;00466BA5&quot;/&gt;&lt;wsp:rsid wsp:val=&quot;00467581&quot;/&gt;&lt;wsp:rsid wsp:val=&quot;00470AB2&quot;/&gt;&lt;wsp:rsid wsp:val=&quot;004715C0&quot;/&gt;&lt;wsp:rsid wsp:val=&quot;00474E99&quot;/&gt;&lt;wsp:rsid wsp:val=&quot;00476399&quot;/&gt;&lt;wsp:rsid wsp:val=&quot;004766D2&quot;/&gt;&lt;wsp:rsid wsp:val=&quot;00476798&quot;/&gt;&lt;wsp:rsid wsp:val=&quot;00480C80&quot;/&gt;&lt;wsp:rsid wsp:val=&quot;0048461B&quot;/&gt;&lt;wsp:rsid wsp:val=&quot;00485852&quot;/&gt;&lt;wsp:rsid wsp:val=&quot;004878F0&quot;/&gt;&lt;wsp:rsid wsp:val=&quot;00490E8E&quot;/&gt;&lt;wsp:rsid wsp:val=&quot;00491B21&quot;/&gt;&lt;wsp:rsid wsp:val=&quot;004940E7&quot;/&gt;&lt;wsp:rsid wsp:val=&quot;004A3150&quot;/&gt;&lt;wsp:rsid wsp:val=&quot;004A5F7F&quot;/&gt;&lt;wsp:rsid wsp:val=&quot;004A6A65&quot;/&gt;&lt;wsp:rsid wsp:val=&quot;004A72DC&quot;/&gt;&lt;wsp:rsid wsp:val=&quot;004A7539&quot;/&gt;&lt;wsp:rsid wsp:val=&quot;004A7D61&quot;/&gt;&lt;wsp:rsid wsp:val=&quot;004B3873&quot;/&gt;&lt;wsp:rsid wsp:val=&quot;004C1211&quot;/&gt;&lt;wsp:rsid wsp:val=&quot;004C71FC&quot;/&gt;&lt;wsp:rsid wsp:val=&quot;004D0AFD&quot;/&gt;&lt;wsp:rsid wsp:val=&quot;004D2442&quot;/&gt;&lt;wsp:rsid wsp:val=&quot;004D2882&quot;/&gt;&lt;wsp:rsid wsp:val=&quot;004D36EF&quot;/&gt;&lt;wsp:rsid wsp:val=&quot;004D4246&quot;/&gt;&lt;wsp:rsid wsp:val=&quot;004D4B83&quot;/&gt;&lt;wsp:rsid wsp:val=&quot;004D73DF&quot;/&gt;&lt;wsp:rsid wsp:val=&quot;004D76C5&quot;/&gt;&lt;wsp:rsid wsp:val=&quot;004E254F&quot;/&gt;&lt;wsp:rsid wsp:val=&quot;004E6D8C&quot;/&gt;&lt;wsp:rsid wsp:val=&quot;004F16BF&quot;/&gt;&lt;wsp:rsid wsp:val=&quot;004F3987&quot;/&gt;&lt;wsp:rsid wsp:val=&quot;004F749C&quot;/&gt;&lt;wsp:rsid wsp:val=&quot;00500338&quot;/&gt;&lt;wsp:rsid wsp:val=&quot;005038D7&quot;/&gt;&lt;wsp:rsid wsp:val=&quot;00504432&quot;/&gt;&lt;wsp:rsid wsp:val=&quot;005047E3&quot;/&gt;&lt;wsp:rsid wsp:val=&quot;005048FE&quot;/&gt;&lt;wsp:rsid wsp:val=&quot;005067E3&quot;/&gt;&lt;wsp:rsid wsp:val=&quot;00511385&quot;/&gt;&lt;wsp:rsid wsp:val=&quot;00520D4A&quot;/&gt;&lt;wsp:rsid wsp:val=&quot;00523F84&quot;/&gt;&lt;wsp:rsid wsp:val=&quot;0052718D&quot;/&gt;&lt;wsp:rsid wsp:val=&quot;00531495&quot;/&gt;&lt;wsp:rsid wsp:val=&quot;00535147&quot;/&gt;&lt;wsp:rsid wsp:val=&quot;005357B4&quot;/&gt;&lt;wsp:rsid wsp:val=&quot;00536AF3&quot;/&gt;&lt;wsp:rsid wsp:val=&quot;005458C4&quot;/&gt;&lt;wsp:rsid wsp:val=&quot;005458CF&quot;/&gt;&lt;wsp:rsid wsp:val=&quot;00546D12&quot;/&gt;&lt;wsp:rsid wsp:val=&quot;00552A99&quot;/&gt;&lt;wsp:rsid wsp:val=&quot;00556426&quot;/&gt;&lt;wsp:rsid wsp:val=&quot;00560E6E&quot;/&gt;&lt;wsp:rsid wsp:val=&quot;00561C42&quot;/&gt;&lt;wsp:rsid wsp:val=&quot;00561E55&quot;/&gt;&lt;wsp:rsid wsp:val=&quot;00562E3C&quot;/&gt;&lt;wsp:rsid wsp:val=&quot;005633D4&quot;/&gt;&lt;wsp:rsid wsp:val=&quot;005645D8&quot;/&gt;&lt;wsp:rsid wsp:val=&quot;005656F7&quot;/&gt;&lt;wsp:rsid wsp:val=&quot;00570EBD&quot;/&gt;&lt;wsp:rsid wsp:val=&quot;005736E5&quot;/&gt;&lt;wsp:rsid wsp:val=&quot;005746FA&quot;/&gt;&lt;wsp:rsid wsp:val=&quot;00576230&quot;/&gt;&lt;wsp:rsid wsp:val=&quot;00577D58&quot;/&gt;&lt;wsp:rsid wsp:val=&quot;00582DC6&quot;/&gt;&lt;wsp:rsid wsp:val=&quot;00584037&quot;/&gt;&lt;wsp:rsid wsp:val=&quot;005855F0&quot;/&gt;&lt;wsp:rsid wsp:val=&quot;00593120&quot;/&gt;&lt;wsp:rsid wsp:val=&quot;005B13C7&quot;/&gt;&lt;wsp:rsid wsp:val=&quot;005B386A&quot;/&gt;&lt;wsp:rsid wsp:val=&quot;005B3B53&quot;/&gt;&lt;wsp:rsid wsp:val=&quot;005B3E7B&quot;/&gt;&lt;wsp:rsid wsp:val=&quot;005C05AB&quot;/&gt;&lt;wsp:rsid wsp:val=&quot;005C5ECF&quot;/&gt;&lt;wsp:rsid wsp:val=&quot;005C7FA2&quot;/&gt;&lt;wsp:rsid wsp:val=&quot;005D3ACB&quot;/&gt;&lt;wsp:rsid wsp:val=&quot;005D3F20&quot;/&gt;&lt;wsp:rsid wsp:val=&quot;005D688A&quot;/&gt;&lt;wsp:rsid wsp:val=&quot;005E4282&quot;/&gt;&lt;wsp:rsid wsp:val=&quot;005E481B&quot;/&gt;&lt;wsp:rsid wsp:val=&quot;005E7CA8&quot;/&gt;&lt;wsp:rsid wsp:val=&quot;005F0CA9&quot;/&gt;&lt;wsp:rsid wsp:val=&quot;005F1FC8&quot;/&gt;&lt;wsp:rsid wsp:val=&quot;005F24CB&quot;/&gt;&lt;wsp:rsid wsp:val=&quot;005F3613&quot;/&gt;&lt;wsp:rsid wsp:val=&quot;006024DA&quot;/&gt;&lt;wsp:rsid wsp:val=&quot;00613B7A&quot;/&gt;&lt;wsp:rsid wsp:val=&quot;00625D17&quot;/&gt;&lt;wsp:rsid wsp:val=&quot;00631A7F&quot;/&gt;&lt;wsp:rsid wsp:val=&quot;00636D04&quot;/&gt;&lt;wsp:rsid wsp:val=&quot;00636E7C&quot;/&gt;&lt;wsp:rsid wsp:val=&quot;00637111&quot;/&gt;&lt;wsp:rsid wsp:val=&quot;006376F6&quot;/&gt;&lt;wsp:rsid wsp:val=&quot;00640684&quot;/&gt;&lt;wsp:rsid wsp:val=&quot;00643D6B&quot;/&gt;&lt;wsp:rsid wsp:val=&quot;00643E33&quot;/&gt;&lt;wsp:rsid wsp:val=&quot;00646A4F&quot;/&gt;&lt;wsp:rsid wsp:val=&quot;00651842&quot;/&gt;&lt;wsp:rsid wsp:val=&quot;00651FE3&quot;/&gt;&lt;wsp:rsid wsp:val=&quot;00663F89&quot;/&gt;&lt;wsp:rsid wsp:val=&quot;00665627&quot;/&gt;&lt;wsp:rsid wsp:val=&quot;00665809&quot;/&gt;&lt;wsp:rsid wsp:val=&quot;00665A76&quot;/&gt;&lt;wsp:rsid wsp:val=&quot;00670744&quot;/&gt;&lt;wsp:rsid wsp:val=&quot;00675726&quot;/&gt;&lt;wsp:rsid wsp:val=&quot;006772AB&quot;/&gt;&lt;wsp:rsid wsp:val=&quot;006775FA&quot;/&gt;&lt;wsp:rsid wsp:val=&quot;006815DE&quot;/&gt;&lt;wsp:rsid wsp:val=&quot;00681E28&quot;/&gt;&lt;wsp:rsid wsp:val=&quot;0068625C&quot;/&gt;&lt;wsp:rsid wsp:val=&quot;006867FD&quot;/&gt;&lt;wsp:rsid wsp:val=&quot;00691D3C&quot;/&gt;&lt;wsp:rsid wsp:val=&quot;0069254B&quot;/&gt;&lt;wsp:rsid wsp:val=&quot;00693D0F&quot;/&gt;&lt;wsp:rsid wsp:val=&quot;00694054&quot;/&gt;&lt;wsp:rsid wsp:val=&quot;006942C5&quot;/&gt;&lt;wsp:rsid wsp:val=&quot;00694DDA&quot;/&gt;&lt;wsp:rsid wsp:val=&quot;00697059&quot;/&gt;&lt;wsp:rsid wsp:val=&quot;006A2D20&quot;/&gt;&lt;wsp:rsid wsp:val=&quot;006A3E1A&quot;/&gt;&lt;wsp:rsid wsp:val=&quot;006A6F12&quot;/&gt;&lt;wsp:rsid wsp:val=&quot;006B0430&quot;/&gt;&lt;wsp:rsid wsp:val=&quot;006B38ED&quot;/&gt;&lt;wsp:rsid wsp:val=&quot;006B456F&quot;/&gt;&lt;wsp:rsid wsp:val=&quot;006B46F3&quot;/&gt;&lt;wsp:rsid wsp:val=&quot;006B478A&quot;/&gt;&lt;wsp:rsid wsp:val=&quot;006C1F31&quot;/&gt;&lt;wsp:rsid wsp:val=&quot;006C2BF5&quot;/&gt;&lt;wsp:rsid wsp:val=&quot;006D0A48&quot;/&gt;&lt;wsp:rsid wsp:val=&quot;006D21B3&quot;/&gt;&lt;wsp:rsid wsp:val=&quot;006D2DAD&quot;/&gt;&lt;wsp:rsid wsp:val=&quot;006D3BA6&quot;/&gt;&lt;wsp:rsid wsp:val=&quot;006D58ED&quot;/&gt;&lt;wsp:rsid wsp:val=&quot;006E0EF5&quot;/&gt;&lt;wsp:rsid wsp:val=&quot;006E68EE&quot;/&gt;&lt;wsp:rsid wsp:val=&quot;006F0165&quot;/&gt;&lt;wsp:rsid wsp:val=&quot;006F1C10&quot;/&gt;&lt;wsp:rsid wsp:val=&quot;007049F4&quot;/&gt;&lt;wsp:rsid wsp:val=&quot;00716982&quot;/&gt;&lt;wsp:rsid wsp:val=&quot;00720D0A&quot;/&gt;&lt;wsp:rsid wsp:val=&quot;007246E9&quot;/&gt;&lt;wsp:rsid wsp:val=&quot;00724801&quot;/&gt;&lt;wsp:rsid wsp:val=&quot;00726AC2&quot;/&gt;&lt;wsp:rsid wsp:val=&quot;00727C48&quot;/&gt;&lt;wsp:rsid wsp:val=&quot;00732E64&quot;/&gt;&lt;wsp:rsid wsp:val=&quot;00734206&quot;/&gt;&lt;wsp:rsid wsp:val=&quot;00735D81&quot;/&gt;&lt;wsp:rsid wsp:val=&quot;00745F7A&quot;/&gt;&lt;wsp:rsid wsp:val=&quot;0076143A&quot;/&gt;&lt;wsp:rsid wsp:val=&quot;00762646&quot;/&gt;&lt;wsp:rsid wsp:val=&quot;00764566&quot;/&gt;&lt;wsp:rsid wsp:val=&quot;007815BA&quot;/&gt;&lt;wsp:rsid wsp:val=&quot;00782D19&quot;/&gt;&lt;wsp:rsid wsp:val=&quot;00791B8B&quot;/&gt;&lt;wsp:rsid wsp:val=&quot;00792BFE&quot;/&gt;&lt;wsp:rsid wsp:val=&quot;00795254&quot;/&gt;&lt;wsp:rsid wsp:val=&quot;00797066&quot;/&gt;&lt;wsp:rsid wsp:val=&quot;007A263C&quot;/&gt;&lt;wsp:rsid wsp:val=&quot;007B0297&quot;/&gt;&lt;wsp:rsid wsp:val=&quot;007B0345&quot;/&gt;&lt;wsp:rsid wsp:val=&quot;007B15AE&quot;/&gt;&lt;wsp:rsid wsp:val=&quot;007B186A&quot;/&gt;&lt;wsp:rsid wsp:val=&quot;007B2584&quot;/&gt;&lt;wsp:rsid wsp:val=&quot;007B4B49&quot;/&gt;&lt;wsp:rsid wsp:val=&quot;007B7BFE&quot;/&gt;&lt;wsp:rsid wsp:val=&quot;007C078B&quot;/&gt;&lt;wsp:rsid wsp:val=&quot;007C1B3B&quot;/&gt;&lt;wsp:rsid wsp:val=&quot;007C61DD&quot;/&gt;&lt;wsp:rsid wsp:val=&quot;007D37D1&quot;/&gt;&lt;wsp:rsid wsp:val=&quot;007D3D6F&quot;/&gt;&lt;wsp:rsid wsp:val=&quot;007D4D68&quot;/&gt;&lt;wsp:rsid wsp:val=&quot;007D7B43&quot;/&gt;&lt;wsp:rsid wsp:val=&quot;007E07D1&quot;/&gt;&lt;wsp:rsid wsp:val=&quot;007E2C87&quot;/&gt;&lt;wsp:rsid wsp:val=&quot;007F08D0&quot;/&gt;&lt;wsp:rsid wsp:val=&quot;007F33E7&quot;/&gt;&lt;wsp:rsid wsp:val=&quot;007F4ACB&quot;/&gt;&lt;wsp:rsid wsp:val=&quot;007F7003&quot;/&gt;&lt;wsp:rsid wsp:val=&quot;007F7B70&quot;/&gt;&lt;wsp:rsid wsp:val=&quot;008000C2&quot;/&gt;&lt;wsp:rsid wsp:val=&quot;008063EE&quot;/&gt;&lt;wsp:rsid wsp:val=&quot;00812F9A&quot;/&gt;&lt;wsp:rsid wsp:val=&quot;00817885&quot;/&gt;&lt;wsp:rsid wsp:val=&quot;00820602&quot;/&gt;&lt;wsp:rsid wsp:val=&quot;00825956&quot;/&gt;&lt;wsp:rsid wsp:val=&quot;00834187&quot;/&gt;&lt;wsp:rsid wsp:val=&quot;0083443E&quot;/&gt;&lt;wsp:rsid wsp:val=&quot;00844CE8&quot;/&gt;&lt;wsp:rsid wsp:val=&quot;00845BC8&quot;/&gt;&lt;wsp:rsid wsp:val=&quot;00846E89&quot;/&gt;&lt;wsp:rsid wsp:val=&quot;0085299C&quot;/&gt;&lt;wsp:rsid wsp:val=&quot;00855304&quot;/&gt;&lt;wsp:rsid wsp:val=&quot;00857635&quot;/&gt;&lt;wsp:rsid wsp:val=&quot;00857959&quot;/&gt;&lt;wsp:rsid wsp:val=&quot;0086699F&quot;/&gt;&lt;wsp:rsid wsp:val=&quot;00881165&quot;/&gt;&lt;wsp:rsid wsp:val=&quot;0088790C&quot;/&gt;&lt;wsp:rsid wsp:val=&quot;00890032&quot;/&gt;&lt;wsp:rsid wsp:val=&quot;00891E51&quot;/&gt;&lt;wsp:rsid wsp:val=&quot;00892871&quot;/&gt;&lt;wsp:rsid wsp:val=&quot;00893558&quot;/&gt;&lt;wsp:rsid wsp:val=&quot;00894F80&quot;/&gt;&lt;wsp:rsid wsp:val=&quot;008962C6&quot;/&gt;&lt;wsp:rsid wsp:val=&quot;008A2F55&quot;/&gt;&lt;wsp:rsid wsp:val=&quot;008A38B4&quot;/&gt;&lt;wsp:rsid wsp:val=&quot;008A59D8&quot;/&gt;&lt;wsp:rsid wsp:val=&quot;008A7856&quot;/&gt;&lt;wsp:rsid wsp:val=&quot;008A7DBB&quot;/&gt;&lt;wsp:rsid wsp:val=&quot;008B4100&quot;/&gt;&lt;wsp:rsid wsp:val=&quot;008C55AE&quot;/&gt;&lt;wsp:rsid wsp:val=&quot;008D1218&quot;/&gt;&lt;wsp:rsid wsp:val=&quot;008D2DD2&quot;/&gt;&lt;wsp:rsid wsp:val=&quot;008D4B3D&quot;/&gt;&lt;wsp:rsid wsp:val=&quot;008E1EAF&quot;/&gt;&lt;wsp:rsid wsp:val=&quot;008E2DB4&quot;/&gt;&lt;wsp:rsid wsp:val=&quot;008E4AE5&quot;/&gt;&lt;wsp:rsid wsp:val=&quot;008E5E5F&quot;/&gt;&lt;wsp:rsid wsp:val=&quot;008F13B0&quot;/&gt;&lt;wsp:rsid wsp:val=&quot;008F3E93&quot;/&gt;&lt;wsp:rsid wsp:val=&quot;008F57E2&quot;/&gt;&lt;wsp:rsid wsp:val=&quot;008F7DA3&quot;/&gt;&lt;wsp:rsid wsp:val=&quot;00900D99&quot;/&gt;&lt;wsp:rsid wsp:val=&quot;00902836&quot;/&gt;&lt;wsp:rsid wsp:val=&quot;009040D3&quot;/&gt;&lt;wsp:rsid wsp:val=&quot;009077E5&quot;/&gt;&lt;wsp:rsid wsp:val=&quot;00915E05&quot;/&gt;&lt;wsp:rsid wsp:val=&quot;00923E97&quot;/&gt;&lt;wsp:rsid wsp:val=&quot;009241C7&quot;/&gt;&lt;wsp:rsid wsp:val=&quot;009256A1&quot;/&gt;&lt;wsp:rsid wsp:val=&quot;00926376&quot;/&gt;&lt;wsp:rsid wsp:val=&quot;00931AA5&quot;/&gt;&lt;wsp:rsid wsp:val=&quot;00933A4E&quot;/&gt;&lt;wsp:rsid wsp:val=&quot;0093793B&quot;/&gt;&lt;wsp:rsid wsp:val=&quot;009463EE&quot;/&gt;&lt;wsp:rsid wsp:val=&quot;0094704E&quot;/&gt;&lt;wsp:rsid wsp:val=&quot;009524CA&quot;/&gt;&lt;wsp:rsid wsp:val=&quot;00956CE0&quot;/&gt;&lt;wsp:rsid wsp:val=&quot;009624DE&quot;/&gt;&lt;wsp:rsid wsp:val=&quot;0096487E&quot;/&gt;&lt;wsp:rsid wsp:val=&quot;00964E29&quot;/&gt;&lt;wsp:rsid wsp:val=&quot;00966E79&quot;/&gt;&lt;wsp:rsid wsp:val=&quot;009722E9&quot;/&gt;&lt;wsp:rsid wsp:val=&quot;0097299C&quot;/&gt;&lt;wsp:rsid wsp:val=&quot;00974672&quot;/&gt;&lt;wsp:rsid wsp:val=&quot;00975E8A&quot;/&gt;&lt;wsp:rsid wsp:val=&quot;00976411&quot;/&gt;&lt;wsp:rsid wsp:val=&quot;00985AF4&quot;/&gt;&lt;wsp:rsid wsp:val=&quot;0099078C&quot;/&gt;&lt;wsp:rsid wsp:val=&quot;00997A8B&quot;/&gt;&lt;wsp:rsid wsp:val=&quot;009A1557&quot;/&gt;&lt;wsp:rsid wsp:val=&quot;009A18D6&quot;/&gt;&lt;wsp:rsid wsp:val=&quot;009A2E28&quot;/&gt;&lt;wsp:rsid wsp:val=&quot;009B0EC4&quot;/&gt;&lt;wsp:rsid wsp:val=&quot;009C0486&quot;/&gt;&lt;wsp:rsid wsp:val=&quot;009C1FEA&quot;/&gt;&lt;wsp:rsid wsp:val=&quot;009C2543&quot;/&gt;&lt;wsp:rsid wsp:val=&quot;009C72CC&quot;/&gt;&lt;wsp:rsid wsp:val=&quot;009D06F0&quot;/&gt;&lt;wsp:rsid wsp:val=&quot;009D16F7&quot;/&gt;&lt;wsp:rsid wsp:val=&quot;009D1DFC&quot;/&gt;&lt;wsp:rsid wsp:val=&quot;009D52D0&quot;/&gt;&lt;wsp:rsid wsp:val=&quot;009D71EF&quot;/&gt;&lt;wsp:rsid wsp:val=&quot;009D7BFE&quot;/&gt;&lt;wsp:rsid wsp:val=&quot;009D7FA7&quot;/&gt;&lt;wsp:rsid wsp:val=&quot;009E025C&quot;/&gt;&lt;wsp:rsid wsp:val=&quot;009E0551&quot;/&gt;&lt;wsp:rsid wsp:val=&quot;009E0F36&quot;/&gt;&lt;wsp:rsid wsp:val=&quot;009E33F9&quot;/&gt;&lt;wsp:rsid wsp:val=&quot;009E5D90&quot;/&gt;&lt;wsp:rsid wsp:val=&quot;009E78A1&quot;/&gt;&lt;wsp:rsid wsp:val=&quot;009F3B3D&quot;/&gt;&lt;wsp:rsid wsp:val=&quot;009F4CCE&quot;/&gt;&lt;wsp:rsid wsp:val=&quot;009F631B&quot;/&gt;&lt;wsp:rsid wsp:val=&quot;009F7115&quot;/&gt;&lt;wsp:rsid wsp:val=&quot;009F7E36&quot;/&gt;&lt;wsp:rsid wsp:val=&quot;00A0129F&quot;/&gt;&lt;wsp:rsid wsp:val=&quot;00A03281&quot;/&gt;&lt;wsp:rsid wsp:val=&quot;00A04394&quot;/&gt;&lt;wsp:rsid wsp:val=&quot;00A043BA&quot;/&gt;&lt;wsp:rsid wsp:val=&quot;00A0583F&quot;/&gt;&lt;wsp:rsid wsp:val=&quot;00A14533&quot;/&gt;&lt;wsp:rsid wsp:val=&quot;00A16644&quot;/&gt;&lt;wsp:rsid wsp:val=&quot;00A20781&quot;/&gt;&lt;wsp:rsid wsp:val=&quot;00A2220E&quot;/&gt;&lt;wsp:rsid wsp:val=&quot;00A22502&quot;/&gt;&lt;wsp:rsid wsp:val=&quot;00A31E3F&quot;/&gt;&lt;wsp:rsid wsp:val=&quot;00A3436B&quot;/&gt;&lt;wsp:rsid wsp:val=&quot;00A3449C&quot;/&gt;&lt;wsp:rsid wsp:val=&quot;00A34516&quot;/&gt;&lt;wsp:rsid wsp:val=&quot;00A34D77&quot;/&gt;&lt;wsp:rsid wsp:val=&quot;00A36420&quot;/&gt;&lt;wsp:rsid wsp:val=&quot;00A401B8&quot;/&gt;&lt;wsp:rsid wsp:val=&quot;00A43A53&quot;/&gt;&lt;wsp:rsid wsp:val=&quot;00A45071&quot;/&gt;&lt;wsp:rsid wsp:val=&quot;00A50FB8&quot;/&gt;&lt;wsp:rsid wsp:val=&quot;00A576E2&quot;/&gt;&lt;wsp:rsid wsp:val=&quot;00A63DB5&quot;/&gt;&lt;wsp:rsid wsp:val=&quot;00A6579D&quot;/&gt;&lt;wsp:rsid wsp:val=&quot;00A66026&quot;/&gt;&lt;wsp:rsid wsp:val=&quot;00A71A07&quot;/&gt;&lt;wsp:rsid wsp:val=&quot;00A73DFD&quot;/&gt;&lt;wsp:rsid wsp:val=&quot;00A75C75&quot;/&gt;&lt;wsp:rsid wsp:val=&quot;00A77835&quot;/&gt;&lt;wsp:rsid wsp:val=&quot;00A8073B&quot;/&gt;&lt;wsp:rsid wsp:val=&quot;00A81BC2&quot;/&gt;&lt;wsp:rsid wsp:val=&quot;00A82896&quot;/&gt;&lt;wsp:rsid wsp:val=&quot;00A85E79&quot;/&gt;&lt;wsp:rsid wsp:val=&quot;00A86450&quot;/&gt;&lt;wsp:rsid wsp:val=&quot;00A878AD&quot;/&gt;&lt;wsp:rsid wsp:val=&quot;00A90FAC&quot;/&gt;&lt;wsp:rsid wsp:val=&quot;00A924F1&quot;/&gt;&lt;wsp:rsid wsp:val=&quot;00A95083&quot;/&gt;&lt;wsp:rsid wsp:val=&quot;00AA13E7&quot;/&gt;&lt;wsp:rsid wsp:val=&quot;00AA50A2&quot;/&gt;&lt;wsp:rsid wsp:val=&quot;00AB7A55&quot;/&gt;&lt;wsp:rsid wsp:val=&quot;00AC11CE&quot;/&gt;&lt;wsp:rsid wsp:val=&quot;00AC2DF8&quot;/&gt;&lt;wsp:rsid wsp:val=&quot;00AC3BF6&quot;/&gt;&lt;wsp:rsid wsp:val=&quot;00AC5515&quot;/&gt;&lt;wsp:rsid wsp:val=&quot;00AC5F8A&quot;/&gt;&lt;wsp:rsid wsp:val=&quot;00AE186F&quot;/&gt;&lt;wsp:rsid wsp:val=&quot;00AE51B1&quot;/&gt;&lt;wsp:rsid wsp:val=&quot;00AE5500&quot;/&gt;&lt;wsp:rsid wsp:val=&quot;00AE5CC0&quot;/&gt;&lt;wsp:rsid wsp:val=&quot;00AF02FB&quot;/&gt;&lt;wsp:rsid wsp:val=&quot;00AF1750&quot;/&gt;&lt;wsp:rsid wsp:val=&quot;00AF3533&quot;/&gt;&lt;wsp:rsid wsp:val=&quot;00B01109&quot;/&gt;&lt;wsp:rsid wsp:val=&quot;00B02F4A&quot;/&gt;&lt;wsp:rsid wsp:val=&quot;00B0543C&quot;/&gt;&lt;wsp:rsid wsp:val=&quot;00B0597C&quot;/&gt;&lt;wsp:rsid wsp:val=&quot;00B06B24&quot;/&gt;&lt;wsp:rsid wsp:val=&quot;00B079DF&quot;/&gt;&lt;wsp:rsid wsp:val=&quot;00B1433E&quot;/&gt;&lt;wsp:rsid wsp:val=&quot;00B1591A&quot;/&gt;&lt;wsp:rsid wsp:val=&quot;00B267E9&quot;/&gt;&lt;wsp:rsid wsp:val=&quot;00B35E35&quot;/&gt;&lt;wsp:rsid wsp:val=&quot;00B406C4&quot;/&gt;&lt;wsp:rsid wsp:val=&quot;00B40C13&quot;/&gt;&lt;wsp:rsid wsp:val=&quot;00B43413&quot;/&gt;&lt;wsp:rsid wsp:val=&quot;00B47C10&quot;/&gt;&lt;wsp:rsid wsp:val=&quot;00B507B9&quot;/&gt;&lt;wsp:rsid wsp:val=&quot;00B52188&quot;/&gt;&lt;wsp:rsid wsp:val=&quot;00B523B7&quot;/&gt;&lt;wsp:rsid wsp:val=&quot;00B53E6A&quot;/&gt;&lt;wsp:rsid wsp:val=&quot;00B546DB&quot;/&gt;&lt;wsp:rsid wsp:val=&quot;00B553BB&quot;/&gt;&lt;wsp:rsid wsp:val=&quot;00B55FFD&quot;/&gt;&lt;wsp:rsid wsp:val=&quot;00B634A1&quot;/&gt;&lt;wsp:rsid wsp:val=&quot;00B65A5E&quot;/&gt;&lt;wsp:rsid wsp:val=&quot;00B65C82&quot;/&gt;&lt;wsp:rsid wsp:val=&quot;00B66849&quot;/&gt;&lt;wsp:rsid wsp:val=&quot;00B70DAF&quot;/&gt;&lt;wsp:rsid wsp:val=&quot;00B7263E&quot;/&gt;&lt;wsp:rsid wsp:val=&quot;00B74616&quot;/&gt;&lt;wsp:rsid wsp:val=&quot;00B7600E&quot;/&gt;&lt;wsp:rsid wsp:val=&quot;00B77E4E&quot;/&gt;&lt;wsp:rsid wsp:val=&quot;00B83D9A&quot;/&gt;&lt;wsp:rsid wsp:val=&quot;00B86B11&quot;/&gt;&lt;wsp:rsid wsp:val=&quot;00B87444&quot;/&gt;&lt;wsp:rsid wsp:val=&quot;00B92A9E&quot;/&gt;&lt;wsp:rsid wsp:val=&quot;00B9329D&quot;/&gt;&lt;wsp:rsid wsp:val=&quot;00B93591&quot;/&gt;&lt;wsp:rsid wsp:val=&quot;00B977D2&quot;/&gt;&lt;wsp:rsid wsp:val=&quot;00BA2B06&quot;/&gt;&lt;wsp:rsid wsp:val=&quot;00BA43A3&quot;/&gt;&lt;wsp:rsid wsp:val=&quot;00BA60DD&quot;/&gt;&lt;wsp:rsid wsp:val=&quot;00BB2FFB&quot;/&gt;&lt;wsp:rsid wsp:val=&quot;00BB3F6C&quot;/&gt;&lt;wsp:rsid wsp:val=&quot;00BB527F&quot;/&gt;&lt;wsp:rsid wsp:val=&quot;00BC14EF&quot;/&gt;&lt;wsp:rsid wsp:val=&quot;00BD0445&quot;/&gt;&lt;wsp:rsid wsp:val=&quot;00BD33DD&quot;/&gt;&lt;wsp:rsid wsp:val=&quot;00BE301D&quot;/&gt;&lt;wsp:rsid wsp:val=&quot;00BE6570&quot;/&gt;&lt;wsp:rsid wsp:val=&quot;00BF0318&quot;/&gt;&lt;wsp:rsid wsp:val=&quot;00BF2439&quot;/&gt;&lt;wsp:rsid wsp:val=&quot;00BF2DE0&quot;/&gt;&lt;wsp:rsid wsp:val=&quot;00BF4DA7&quot;/&gt;&lt;wsp:rsid wsp:val=&quot;00BF7DD2&quot;/&gt;&lt;wsp:rsid wsp:val=&quot;00C00598&quot;/&gt;&lt;wsp:rsid wsp:val=&quot;00C01842&quot;/&gt;&lt;wsp:rsid wsp:val=&quot;00C02284&quot;/&gt;&lt;wsp:rsid wsp:val=&quot;00C02A99&quot;/&gt;&lt;wsp:rsid wsp:val=&quot;00C06292&quot;/&gt;&lt;wsp:rsid wsp:val=&quot;00C06313&quot;/&gt;&lt;wsp:rsid wsp:val=&quot;00C074DF&quot;/&gt;&lt;wsp:rsid wsp:val=&quot;00C10E10&quot;/&gt;&lt;wsp:rsid wsp:val=&quot;00C1285C&quot;/&gt;&lt;wsp:rsid wsp:val=&quot;00C14BE3&quot;/&gt;&lt;wsp:rsid wsp:val=&quot;00C17BD7&quot;/&gt;&lt;wsp:rsid wsp:val=&quot;00C20386&quot;/&gt;&lt;wsp:rsid wsp:val=&quot;00C20C97&quot;/&gt;&lt;wsp:rsid wsp:val=&quot;00C246D0&quot;/&gt;&lt;wsp:rsid wsp:val=&quot;00C27EA7&quot;/&gt;&lt;wsp:rsid wsp:val=&quot;00C305C6&quot;/&gt;&lt;wsp:rsid wsp:val=&quot;00C31E3D&quot;/&gt;&lt;wsp:rsid wsp:val=&quot;00C3436F&quot;/&gt;&lt;wsp:rsid wsp:val=&quot;00C352B9&quot;/&gt;&lt;wsp:rsid wsp:val=&quot;00C3534D&quot;/&gt;&lt;wsp:rsid wsp:val=&quot;00C44282&quot;/&gt;&lt;wsp:rsid wsp:val=&quot;00C516B3&quot;/&gt;&lt;wsp:rsid wsp:val=&quot;00C52944&quot;/&gt;&lt;wsp:rsid wsp:val=&quot;00C66F41&quot;/&gt;&lt;wsp:rsid wsp:val=&quot;00C67306&quot;/&gt;&lt;wsp:rsid wsp:val=&quot;00C77548&quot;/&gt;&lt;wsp:rsid wsp:val=&quot;00C8357C&quot;/&gt;&lt;wsp:rsid wsp:val=&quot;00C844DE&quot;/&gt;&lt;wsp:rsid wsp:val=&quot;00C85477&quot;/&gt;&lt;wsp:rsid wsp:val=&quot;00C918E0&quot;/&gt;&lt;wsp:rsid wsp:val=&quot;00C9741E&quot;/&gt;&lt;wsp:rsid wsp:val=&quot;00C97F78&quot;/&gt;&lt;wsp:rsid wsp:val=&quot;00CA1452&quot;/&gt;&lt;wsp:rsid wsp:val=&quot;00CA395D&quot;/&gt;&lt;wsp:rsid wsp:val=&quot;00CA515C&quot;/&gt;&lt;wsp:rsid wsp:val=&quot;00CA6956&quot;/&gt;&lt;wsp:rsid wsp:val=&quot;00CB66E3&quot;/&gt;&lt;wsp:rsid wsp:val=&quot;00CC50ED&quot;/&gt;&lt;wsp:rsid wsp:val=&quot;00CC584A&quot;/&gt;&lt;wsp:rsid wsp:val=&quot;00CC5C27&quot;/&gt;&lt;wsp:rsid wsp:val=&quot;00CD62FE&quot;/&gt;&lt;wsp:rsid wsp:val=&quot;00CE0968&quot;/&gt;&lt;wsp:rsid wsp:val=&quot;00CE3529&quot;/&gt;&lt;wsp:rsid wsp:val=&quot;00CE3B5E&quot;/&gt;&lt;wsp:rsid wsp:val=&quot;00CE3EC0&quot;/&gt;&lt;wsp:rsid wsp:val=&quot;00CE42F9&quot;/&gt;&lt;wsp:rsid wsp:val=&quot;00CE4F38&quot;/&gt;&lt;wsp:rsid wsp:val=&quot;00CE644A&quot;/&gt;&lt;wsp:rsid wsp:val=&quot;00D00DD2&quot;/&gt;&lt;wsp:rsid wsp:val=&quot;00D049BD&quot;/&gt;&lt;wsp:rsid wsp:val=&quot;00D04B5B&quot;/&gt;&lt;wsp:rsid wsp:val=&quot;00D10C52&quot;/&gt;&lt;wsp:rsid wsp:val=&quot;00D1500E&quot;/&gt;&lt;wsp:rsid wsp:val=&quot;00D21A42&quot;/&gt;&lt;wsp:rsid wsp:val=&quot;00D223F1&quot;/&gt;&lt;wsp:rsid wsp:val=&quot;00D22E4C&quot;/&gt;&lt;wsp:rsid wsp:val=&quot;00D27718&quot;/&gt;&lt;wsp:rsid wsp:val=&quot;00D27ECF&quot;/&gt;&lt;wsp:rsid wsp:val=&quot;00D33A79&quot;/&gt;&lt;wsp:rsid wsp:val=&quot;00D35515&quot;/&gt;&lt;wsp:rsid wsp:val=&quot;00D37274&quot;/&gt;&lt;wsp:rsid wsp:val=&quot;00D42976&quot;/&gt;&lt;wsp:rsid wsp:val=&quot;00D45120&quot;/&gt;&lt;wsp:rsid wsp:val=&quot;00D468D2&quot;/&gt;&lt;wsp:rsid wsp:val=&quot;00D5382D&quot;/&gt;&lt;wsp:rsid wsp:val=&quot;00D54BBA&quot;/&gt;&lt;wsp:rsid wsp:val=&quot;00D5719C&quot;/&gt;&lt;wsp:rsid wsp:val=&quot;00D62B59&quot;/&gt;&lt;wsp:rsid wsp:val=&quot;00D62C56&quot;/&gt;&lt;wsp:rsid wsp:val=&quot;00D652F5&quot;/&gt;&lt;wsp:rsid wsp:val=&quot;00D7168D&quot;/&gt;&lt;wsp:rsid wsp:val=&quot;00D73B80&quot;/&gt;&lt;wsp:rsid wsp:val=&quot;00D74AF6&quot;/&gt;&lt;wsp:rsid wsp:val=&quot;00D77D1C&quot;/&gt;&lt;wsp:rsid wsp:val=&quot;00D80652&quot;/&gt;&lt;wsp:rsid wsp:val=&quot;00D84067&quot;/&gt;&lt;wsp:rsid wsp:val=&quot;00D90C25&quot;/&gt;&lt;wsp:rsid wsp:val=&quot;00D9245F&quot;/&gt;&lt;wsp:rsid wsp:val=&quot;00DA0F3C&quot;/&gt;&lt;wsp:rsid wsp:val=&quot;00DA386F&quot;/&gt;&lt;wsp:rsid wsp:val=&quot;00DA712A&quot;/&gt;&lt;wsp:rsid wsp:val=&quot;00DB598A&quot;/&gt;&lt;wsp:rsid wsp:val=&quot;00DC490A&quot;/&gt;&lt;wsp:rsid wsp:val=&quot;00DC56A6&quot;/&gt;&lt;wsp:rsid wsp:val=&quot;00DC66BA&quot;/&gt;&lt;wsp:rsid wsp:val=&quot;00DD598C&quot;/&gt;&lt;wsp:rsid wsp:val=&quot;00DD66ED&quot;/&gt;&lt;wsp:rsid wsp:val=&quot;00DE0E98&quot;/&gt;&lt;wsp:rsid wsp:val=&quot;00DE68A5&quot;/&gt;&lt;wsp:rsid wsp:val=&quot;00DE77DC&quot;/&gt;&lt;wsp:rsid wsp:val=&quot;00DF19F4&quot;/&gt;&lt;wsp:rsid wsp:val=&quot;00DF2FD3&quot;/&gt;&lt;wsp:rsid wsp:val=&quot;00DF30DF&quot;/&gt;&lt;wsp:rsid wsp:val=&quot;00DF3EFA&quot;/&gt;&lt;wsp:rsid wsp:val=&quot;00DF567A&quot;/&gt;&lt;wsp:rsid wsp:val=&quot;00E045B8&quot;/&gt;&lt;wsp:rsid wsp:val=&quot;00E168B5&quot;/&gt;&lt;wsp:rsid wsp:val=&quot;00E25DF3&quot;/&gt;&lt;wsp:rsid wsp:val=&quot;00E262D7&quot;/&gt;&lt;wsp:rsid wsp:val=&quot;00E324F1&quot;/&gt;&lt;wsp:rsid wsp:val=&quot;00E32832&quot;/&gt;&lt;wsp:rsid wsp:val=&quot;00E362FB&quot;/&gt;&lt;wsp:rsid wsp:val=&quot;00E41701&quot;/&gt;&lt;wsp:rsid wsp:val=&quot;00E41D85&quot;/&gt;&lt;wsp:rsid wsp:val=&quot;00E4266D&quot;/&gt;&lt;wsp:rsid wsp:val=&quot;00E447AD&quot;/&gt;&lt;wsp:rsid wsp:val=&quot;00E50B1F&quot;/&gt;&lt;wsp:rsid wsp:val=&quot;00E63BAA&quot;/&gt;&lt;wsp:rsid wsp:val=&quot;00E642A2&quot;/&gt;&lt;wsp:rsid wsp:val=&quot;00E64E1A&quot;/&gt;&lt;wsp:rsid wsp:val=&quot;00E65357&quot;/&gt;&lt;wsp:rsid wsp:val=&quot;00E66AD5&quot;/&gt;&lt;wsp:rsid wsp:val=&quot;00E7223B&quot;/&gt;&lt;wsp:rsid wsp:val=&quot;00E72634&quot;/&gt;&lt;wsp:rsid wsp:val=&quot;00E736DB&quot;/&gt;&lt;wsp:rsid wsp:val=&quot;00E76709&quot;/&gt;&lt;wsp:rsid wsp:val=&quot;00E83D90&quot;/&gt;&lt;wsp:rsid wsp:val=&quot;00E8414D&quot;/&gt;&lt;wsp:rsid wsp:val=&quot;00E8783C&quot;/&gt;&lt;wsp:rsid wsp:val=&quot;00E92DC3&quot;/&gt;&lt;wsp:rsid wsp:val=&quot;00E93F3C&quot;/&gt;&lt;wsp:rsid wsp:val=&quot;00E94ACE&quot;/&gt;&lt;wsp:rsid wsp:val=&quot;00E962C3&quot;/&gt;&lt;wsp:rsid wsp:val=&quot;00EA119E&quot;/&gt;&lt;wsp:rsid wsp:val=&quot;00EB36B2&quot;/&gt;&lt;wsp:rsid wsp:val=&quot;00EB6C80&quot;/&gt;&lt;wsp:rsid wsp:val=&quot;00EB7AEF&quot;/&gt;&lt;wsp:rsid wsp:val=&quot;00EC2BE5&quot;/&gt;&lt;wsp:rsid wsp:val=&quot;00EC7948&quot;/&gt;&lt;wsp:rsid wsp:val=&quot;00ED12AD&quot;/&gt;&lt;wsp:rsid wsp:val=&quot;00ED46E4&quot;/&gt;&lt;wsp:rsid wsp:val=&quot;00EE12F5&quot;/&gt;&lt;wsp:rsid wsp:val=&quot;00EE1A36&quot;/&gt;&lt;wsp:rsid wsp:val=&quot;00EE5EDD&quot;/&gt;&lt;wsp:rsid wsp:val=&quot;00EE7307&quot;/&gt;&lt;wsp:rsid wsp:val=&quot;00EF6A27&quot;/&gt;&lt;wsp:rsid wsp:val=&quot;00F16C14&quot;/&gt;&lt;wsp:rsid wsp:val=&quot;00F2122F&quot;/&gt;&lt;wsp:rsid wsp:val=&quot;00F31A36&quot;/&gt;&lt;wsp:rsid wsp:val=&quot;00F33BFA&quot;/&gt;&lt;wsp:rsid wsp:val=&quot;00F34B1F&quot;/&gt;&lt;wsp:rsid wsp:val=&quot;00F35B4F&quot;/&gt;&lt;wsp:rsid wsp:val=&quot;00F47348&quot;/&gt;&lt;wsp:rsid wsp:val=&quot;00F6031B&quot;/&gt;&lt;wsp:rsid wsp:val=&quot;00F610DE&quot;/&gt;&lt;wsp:rsid wsp:val=&quot;00F700EB&quot;/&gt;&lt;wsp:rsid wsp:val=&quot;00F71AEF&quot;/&gt;&lt;wsp:rsid wsp:val=&quot;00F72A05&quot;/&gt;&lt;wsp:rsid wsp:val=&quot;00F73ED7&quot;/&gt;&lt;wsp:rsid wsp:val=&quot;00F762BE&quot;/&gt;&lt;wsp:rsid wsp:val=&quot;00F77474&quot;/&gt;&lt;wsp:rsid wsp:val=&quot;00F77F70&quot;/&gt;&lt;wsp:rsid wsp:val=&quot;00F85901&quot;/&gt;&lt;wsp:rsid wsp:val=&quot;00F87EA0&quot;/&gt;&lt;wsp:rsid wsp:val=&quot;00F90784&quot;/&gt;&lt;wsp:rsid wsp:val=&quot;00F91AD7&quot;/&gt;&lt;wsp:rsid wsp:val=&quot;00F9238D&quot;/&gt;&lt;wsp:rsid wsp:val=&quot;00F94A3B&quot;/&gt;&lt;wsp:rsid wsp:val=&quot;00FA123F&quot;/&gt;&lt;wsp:rsid wsp:val=&quot;00FA4D7A&quot;/&gt;&lt;wsp:rsid wsp:val=&quot;00FA62E6&quot;/&gt;&lt;wsp:rsid wsp:val=&quot;00FB16EB&quot;/&gt;&lt;wsp:rsid wsp:val=&quot;00FB38E4&quot;/&gt;&lt;wsp:rsid wsp:val=&quot;00FB5392&quot;/&gt;&lt;wsp:rsid wsp:val=&quot;00FB6E4D&quot;/&gt;&lt;wsp:rsid wsp:val=&quot;00FB7655&quot;/&gt;&lt;wsp:rsid wsp:val=&quot;00FC0508&quot;/&gt;&lt;wsp:rsid wsp:val=&quot;00FC0876&quot;/&gt;&lt;wsp:rsid wsp:val=&quot;00FC4747&quot;/&gt;&lt;wsp:rsid wsp:val=&quot;00FC6554&quot;/&gt;&lt;wsp:rsid wsp:val=&quot;00FC7C7A&quot;/&gt;&lt;wsp:rsid wsp:val=&quot;00FD49FC&quot;/&gt;&lt;wsp:rsid wsp:val=&quot;00FD75D7&quot;/&gt;&lt;wsp:rsid wsp:val=&quot;00FE59C1&quot;/&gt;&lt;wsp:rsid wsp:val=&quot;00FF7EBD&quot;/&gt;&lt;/wsp:rsids&gt;&lt;/w:docPr&gt;&lt;w:body&gt;&lt;wx:sect&gt;&lt;w:p wsp:rsidR=&quot;00000000&quot; wsp:rsidRDefault=&quot;007B0297&quot; wsp:rsidP=&quot;007B0297&quot;&gt;&lt;m:oMathPara&gt;&lt;m:oMath&gt;&lt;m:sSubSup&gt;&lt;m:sSubSupPr&gt;&lt;m:ctrlPr&gt;&lt;w:rPr&gt;&lt;w:rFonts w:ascii=&quot;Cambria Math&quot; w:fareast=&quot;Calibri&quot; w:h-ansi=&quot;Cambria Math&quot; w:cs=&quot;Times New Roman&quot;/&gt;&lt;wx:font wx:val=&quot;Cambria Math&quot;/&gt;&lt;w:b/&gt;&lt;w:i/&gt;&lt;w:sz w:val=&quot;20&quot;/&gt;&lt;w:sz-cs w:val=&quot;20&quot;/&gt;&lt;/w:rPr&gt;&lt;/m:ctrlPr&gt;&lt;/m:sSubSupPr&gt;&lt;m:e&gt;&lt;m:r&gt;&lt;m:rPr&gt;&lt;m:sty m:val=&quot;bi&quot;/&gt;&lt;/m:rPr&gt;&lt;w:rPr&gt;&lt;w:rFonts w:ascii=&quot;Cambria Math&quot; w:fareast=&quot;Calibri&quot; w:h-ansi=&quot;Cambria Math&quot; w:cs=&quot;Times New Roman&quot;/&gt;&lt;wx:font wx:val=&quot;Cambria Math&quot;/&gt;&lt;w:b/&gt;&lt;w:i/&gt;&lt;w:sz w:val=&quot;20&quot;/&gt;&lt;w:sz-cs w:val=&quot;20&quot;/&gt;&lt;/w:rPr&gt;&lt;m:t&gt;Ïƒ&lt;/m:t&gt;&lt;/m:r&gt;&lt;/m:e&gt;&lt;m:sub&gt;&lt;m:r&gt;&lt;m:rPr&gt;&lt;m:sty m:val=&quot;bi&quot;/&gt;&lt;/m:rPr&gt;&lt;w:rPr&gt;&lt;w:rFonts w:ascii=&quot;Cambria Math&quot; w:fareast=&quot;Calibri&quot; w:h-ansi=&quot;Cambria Math&quot; w:cs=&quot;Times New Roman&quot;/&gt;&lt;wx:font wx:val=&quot;Cambria Math&quot;/&gt;&lt;w:b/&gt;&lt;w:i/&gt;&lt;w:sz w:val=&quot;20&quot;/&gt;&lt;w:sz-cs w:val=&quot;20&quot;/&gt;&lt;/w:rPr&gt;&lt;m:t&gt;Î_&lt;/m:t&gt;&lt;/m:r&gt;&lt;/m:sub&gt;&lt;m:sup&gt;&lt;m:r&gt;&lt;m:rPr&gt;&lt;m:sty m:val=&quot;bi&quot;/&gt;&lt;/m:rPr&gt;&lt;w:rPr&gt;&lt;w:rFonts w:ascii=&quot;Cambria Math&quot; w:fareast=&quot;Calibri&quot; w:h-ansi=&quot;Calibri&quot; w:cs=&quot;Times New Roman&quot;/&gt;&lt;wx:font wx:val=&quot;Cambria Math&quot;/&gt;&lt;w:b/&gt;&lt;w:i/&gt;&lt;w:sz w:val=&quot;20&quot;/&gt;&lt;w:sz-cs w:val=&quot;20&quot;/&gt;&lt;/w:rPr&gt;&lt;m:t&gt;2&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FA5289">
              <w:rPr>
                <w:rFonts w:cs="Times New Roman"/>
                <w:b/>
              </w:rPr>
              <w:instrText xml:space="preserve"> </w:instrText>
            </w:r>
            <w:r w:rsidR="00156059" w:rsidRPr="00FA5289">
              <w:rPr>
                <w:rFonts w:cs="Times New Roman"/>
                <w:b/>
              </w:rPr>
              <w:fldChar w:fldCharType="separate"/>
            </w:r>
            <w:r w:rsidR="00AF4DD8" w:rsidRPr="00156059">
              <w:rPr>
                <w:position w:val="-8"/>
              </w:rPr>
              <w:pict>
                <v:shape id="_x0000_i1076" type="#_x0000_t75" style="width:12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20&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B83D9A&quot;/&gt;&lt;wsp:rsid wsp:val=&quot;00002681&quot;/&gt;&lt;wsp:rsid wsp:val=&quot;00002B39&quot;/&gt;&lt;wsp:rsid wsp:val=&quot;00002CE3&quot;/&gt;&lt;wsp:rsid wsp:val=&quot;00003FA5&quot;/&gt;&lt;wsp:rsid wsp:val=&quot;000069C8&quot;/&gt;&lt;wsp:rsid wsp:val=&quot;00007BE3&quot;/&gt;&lt;wsp:rsid wsp:val=&quot;00016BEF&quot;/&gt;&lt;wsp:rsid wsp:val=&quot;00016F4D&quot;/&gt;&lt;wsp:rsid wsp:val=&quot;00017556&quot;/&gt;&lt;wsp:rsid wsp:val=&quot;00022A6E&quot;/&gt;&lt;wsp:rsid wsp:val=&quot;000278EB&quot;/&gt;&lt;wsp:rsid wsp:val=&quot;00030FC1&quot;/&gt;&lt;wsp:rsid wsp:val=&quot;0003104D&quot;/&gt;&lt;wsp:rsid wsp:val=&quot;0003592D&quot;/&gt;&lt;wsp:rsid wsp:val=&quot;00036BC7&quot;/&gt;&lt;wsp:rsid wsp:val=&quot;0004021F&quot;/&gt;&lt;wsp:rsid wsp:val=&quot;0004648A&quot;/&gt;&lt;wsp:rsid wsp:val=&quot;00047BE4&quot;/&gt;&lt;wsp:rsid wsp:val=&quot;000516EA&quot;/&gt;&lt;wsp:rsid wsp:val=&quot;00051A48&quot;/&gt;&lt;wsp:rsid wsp:val=&quot;00054FFA&quot;/&gt;&lt;wsp:rsid wsp:val=&quot;0006094E&quot;/&gt;&lt;wsp:rsid wsp:val=&quot;00064650&quot;/&gt;&lt;wsp:rsid wsp:val=&quot;00075FAB&quot;/&gt;&lt;wsp:rsid wsp:val=&quot;00084D08&quot;/&gt;&lt;wsp:rsid wsp:val=&quot;00087C01&quot;/&gt;&lt;wsp:rsid wsp:val=&quot;00090692&quot;/&gt;&lt;wsp:rsid wsp:val=&quot;00094375&quot;/&gt;&lt;wsp:rsid wsp:val=&quot;000A0D37&quot;/&gt;&lt;wsp:rsid wsp:val=&quot;000A1339&quot;/&gt;&lt;wsp:rsid wsp:val=&quot;000A2298&quot;/&gt;&lt;wsp:rsid wsp:val=&quot;000A2A14&quot;/&gt;&lt;wsp:rsid wsp:val=&quot;000A4860&quot;/&gt;&lt;wsp:rsid wsp:val=&quot;000A4F42&quot;/&gt;&lt;wsp:rsid wsp:val=&quot;000A60E8&quot;/&gt;&lt;wsp:rsid wsp:val=&quot;000B0C59&quot;/&gt;&lt;wsp:rsid wsp:val=&quot;000B1EA5&quot;/&gt;&lt;wsp:rsid wsp:val=&quot;000B1FEB&quot;/&gt;&lt;wsp:rsid wsp:val=&quot;000B2B75&quot;/&gt;&lt;wsp:rsid wsp:val=&quot;000B5012&quot;/&gt;&lt;wsp:rsid wsp:val=&quot;000B67EC&quot;/&gt;&lt;wsp:rsid wsp:val=&quot;000C0C12&quot;/&gt;&lt;wsp:rsid wsp:val=&quot;000C1E74&quot;/&gt;&lt;wsp:rsid wsp:val=&quot;000C2B8F&quot;/&gt;&lt;wsp:rsid wsp:val=&quot;000C2E27&quot;/&gt;&lt;wsp:rsid wsp:val=&quot;000C3198&quot;/&gt;&lt;wsp:rsid wsp:val=&quot;000D0C5B&quot;/&gt;&lt;wsp:rsid wsp:val=&quot;000D4301&quot;/&gt;&lt;wsp:rsid wsp:val=&quot;000E3D33&quot;/&gt;&lt;wsp:rsid wsp:val=&quot;000E49E7&quot;/&gt;&lt;wsp:rsid wsp:val=&quot;000E6BED&quot;/&gt;&lt;wsp:rsid wsp:val=&quot;000E6BF4&quot;/&gt;&lt;wsp:rsid wsp:val=&quot;000F1665&quot;/&gt;&lt;wsp:rsid wsp:val=&quot;000F22A4&quot;/&gt;&lt;wsp:rsid wsp:val=&quot;00101959&quot;/&gt;&lt;wsp:rsid wsp:val=&quot;001022A2&quot;/&gt;&lt;wsp:rsid wsp:val=&quot;00102875&quot;/&gt;&lt;wsp:rsid wsp:val=&quot;001065F7&quot;/&gt;&lt;wsp:rsid wsp:val=&quot;00106F0B&quot;/&gt;&lt;wsp:rsid wsp:val=&quot;00116000&quot;/&gt;&lt;wsp:rsid wsp:val=&quot;001212E9&quot;/&gt;&lt;wsp:rsid wsp:val=&quot;001221CE&quot;/&gt;&lt;wsp:rsid wsp:val=&quot;00125040&quot;/&gt;&lt;wsp:rsid wsp:val=&quot;00125C66&quot;/&gt;&lt;wsp:rsid wsp:val=&quot;00132C31&quot;/&gt;&lt;wsp:rsid wsp:val=&quot;00133F2C&quot;/&gt;&lt;wsp:rsid wsp:val=&quot;0013611D&quot;/&gt;&lt;wsp:rsid wsp:val=&quot;00144658&quot;/&gt;&lt;wsp:rsid wsp:val=&quot;0014762F&quot;/&gt;&lt;wsp:rsid wsp:val=&quot;0015773B&quot;/&gt;&lt;wsp:rsid wsp:val=&quot;00160202&quot;/&gt;&lt;wsp:rsid wsp:val=&quot;00160241&quot;/&gt;&lt;wsp:rsid wsp:val=&quot;0016187F&quot;/&gt;&lt;wsp:rsid wsp:val=&quot;00162691&quot;/&gt;&lt;wsp:rsid wsp:val=&quot;00162C69&quot;/&gt;&lt;wsp:rsid wsp:val=&quot;001676A3&quot;/&gt;&lt;wsp:rsid wsp:val=&quot;0016792B&quot;/&gt;&lt;wsp:rsid wsp:val=&quot;00167BB4&quot;/&gt;&lt;wsp:rsid wsp:val=&quot;00181B28&quot;/&gt;&lt;wsp:rsid wsp:val=&quot;0019197F&quot;/&gt;&lt;wsp:rsid wsp:val=&quot;001956D4&quot;/&gt;&lt;wsp:rsid wsp:val=&quot;001A5B99&quot;/&gt;&lt;wsp:rsid wsp:val=&quot;001A6387&quot;/&gt;&lt;wsp:rsid wsp:val=&quot;001A6A49&quot;/&gt;&lt;wsp:rsid wsp:val=&quot;001B4D51&quot;/&gt;&lt;wsp:rsid wsp:val=&quot;001B5581&quot;/&gt;&lt;wsp:rsid wsp:val=&quot;001B761B&quot;/&gt;&lt;wsp:rsid wsp:val=&quot;001B7E04&quot;/&gt;&lt;wsp:rsid wsp:val=&quot;001C11D0&quot;/&gt;&lt;wsp:rsid wsp:val=&quot;001C5147&quot;/&gt;&lt;wsp:rsid wsp:val=&quot;001D002F&quot;/&gt;&lt;wsp:rsid wsp:val=&quot;001D21E6&quot;/&gt;&lt;wsp:rsid wsp:val=&quot;001D54A9&quot;/&gt;&lt;wsp:rsid wsp:val=&quot;001D5911&quot;/&gt;&lt;wsp:rsid wsp:val=&quot;001D72A2&quot;/&gt;&lt;wsp:rsid wsp:val=&quot;00214054&quot;/&gt;&lt;wsp:rsid wsp:val=&quot;00223420&quot;/&gt;&lt;wsp:rsid wsp:val=&quot;00223B9C&quot;/&gt;&lt;wsp:rsid wsp:val=&quot;0022612A&quot;/&gt;&lt;wsp:rsid wsp:val=&quot;00226D4C&quot;/&gt;&lt;wsp:rsid wsp:val=&quot;002308B8&quot;/&gt;&lt;wsp:rsid wsp:val=&quot;002309EB&quot;/&gt;&lt;wsp:rsid wsp:val=&quot;0023101D&quot;/&gt;&lt;wsp:rsid wsp:val=&quot;002310C6&quot;/&gt;&lt;wsp:rsid wsp:val=&quot;002321B1&quot;/&gt;&lt;wsp:rsid wsp:val=&quot;0023257D&quot;/&gt;&lt;wsp:rsid wsp:val=&quot;00232FDF&quot;/&gt;&lt;wsp:rsid wsp:val=&quot;002346DC&quot;/&gt;&lt;wsp:rsid wsp:val=&quot;0023635F&quot;/&gt;&lt;wsp:rsid wsp:val=&quot;00241F35&quot;/&gt;&lt;wsp:rsid wsp:val=&quot;00250F35&quot;/&gt;&lt;wsp:rsid wsp:val=&quot;00253C60&quot;/&gt;&lt;wsp:rsid wsp:val=&quot;00256945&quot;/&gt;&lt;wsp:rsid wsp:val=&quot;002642CB&quot;/&gt;&lt;wsp:rsid wsp:val=&quot;0026556B&quot;/&gt;&lt;wsp:rsid wsp:val=&quot;00270694&quot;/&gt;&lt;wsp:rsid wsp:val=&quot;00270781&quot;/&gt;&lt;wsp:rsid wsp:val=&quot;00271E97&quot;/&gt;&lt;wsp:rsid wsp:val=&quot;002908EE&quot;/&gt;&lt;wsp:rsid wsp:val=&quot;00292401&quot;/&gt;&lt;wsp:rsid wsp:val=&quot;0029391A&quot;/&gt;&lt;wsp:rsid wsp:val=&quot;0029659A&quot;/&gt;&lt;wsp:rsid wsp:val=&quot;002A0C23&quot;/&gt;&lt;wsp:rsid wsp:val=&quot;002A27DA&quot;/&gt;&lt;wsp:rsid wsp:val=&quot;002B29EB&quot;/&gt;&lt;wsp:rsid wsp:val=&quot;002B3683&quot;/&gt;&lt;wsp:rsid wsp:val=&quot;002B3C67&quot;/&gt;&lt;wsp:rsid wsp:val=&quot;002B70CB&quot;/&gt;&lt;wsp:rsid wsp:val=&quot;002C007F&quot;/&gt;&lt;wsp:rsid wsp:val=&quot;002D03B2&quot;/&gt;&lt;wsp:rsid wsp:val=&quot;002D2717&quot;/&gt;&lt;wsp:rsid wsp:val=&quot;002D37C6&quot;/&gt;&lt;wsp:rsid wsp:val=&quot;002D4812&quot;/&gt;&lt;wsp:rsid wsp:val=&quot;002D54F2&quot;/&gt;&lt;wsp:rsid wsp:val=&quot;002D5955&quot;/&gt;&lt;wsp:rsid wsp:val=&quot;002E161B&quot;/&gt;&lt;wsp:rsid wsp:val=&quot;002E4B34&quot;/&gt;&lt;wsp:rsid wsp:val=&quot;002E6007&quot;/&gt;&lt;wsp:rsid wsp:val=&quot;002F3AB4&quot;/&gt;&lt;wsp:rsid wsp:val=&quot;002F4A17&quot;/&gt;&lt;wsp:rsid wsp:val=&quot;002F4F68&quot;/&gt;&lt;wsp:rsid wsp:val=&quot;003020C0&quot;/&gt;&lt;wsp:rsid wsp:val=&quot;0030216A&quot;/&gt;&lt;wsp:rsid wsp:val=&quot;00302207&quot;/&gt;&lt;wsp:rsid wsp:val=&quot;00302A29&quot;/&gt;&lt;wsp:rsid wsp:val=&quot;003110BA&quot;/&gt;&lt;wsp:rsid wsp:val=&quot;003133BD&quot;/&gt;&lt;wsp:rsid wsp:val=&quot;00321DBF&quot;/&gt;&lt;wsp:rsid wsp:val=&quot;00323BA2&quot;/&gt;&lt;wsp:rsid wsp:val=&quot;003247E5&quot;/&gt;&lt;wsp:rsid wsp:val=&quot;00327B96&quot;/&gt;&lt;wsp:rsid wsp:val=&quot;00330A0A&quot;/&gt;&lt;wsp:rsid wsp:val=&quot;003350EB&quot;/&gt;&lt;wsp:rsid wsp:val=&quot;00337860&quot;/&gt;&lt;wsp:rsid wsp:val=&quot;00341326&quot;/&gt;&lt;wsp:rsid wsp:val=&quot;003419EC&quot;/&gt;&lt;wsp:rsid wsp:val=&quot;003430E0&quot;/&gt;&lt;wsp:rsid wsp:val=&quot;00343CDF&quot;/&gt;&lt;wsp:rsid wsp:val=&quot;003450E6&quot;/&gt;&lt;wsp:rsid wsp:val=&quot;00350AF0&quot;/&gt;&lt;wsp:rsid wsp:val=&quot;00350E69&quot;/&gt;&lt;wsp:rsid wsp:val=&quot;003532C9&quot;/&gt;&lt;wsp:rsid wsp:val=&quot;003536C6&quot;/&gt;&lt;wsp:rsid wsp:val=&quot;003560BC&quot;/&gt;&lt;wsp:rsid wsp:val=&quot;003567DD&quot;/&gt;&lt;wsp:rsid wsp:val=&quot;0036459D&quot;/&gt;&lt;wsp:rsid wsp:val=&quot;00367107&quot;/&gt;&lt;wsp:rsid wsp:val=&quot;00374C60&quot;/&gt;&lt;wsp:rsid wsp:val=&quot;003822B8&quot;/&gt;&lt;wsp:rsid wsp:val=&quot;00384522&quot;/&gt;&lt;wsp:rsid wsp:val=&quot;00386528&quot;/&gt;&lt;wsp:rsid wsp:val=&quot;003A0D9E&quot;/&gt;&lt;wsp:rsid wsp:val=&quot;003A760E&quot;/&gt;&lt;wsp:rsid wsp:val=&quot;003A7B4F&quot;/&gt;&lt;wsp:rsid wsp:val=&quot;003B3450&quot;/&gt;&lt;wsp:rsid wsp:val=&quot;003C0577&quot;/&gt;&lt;wsp:rsid wsp:val=&quot;003C4281&quot;/&gt;&lt;wsp:rsid wsp:val=&quot;003C70A3&quot;/&gt;&lt;wsp:rsid wsp:val=&quot;003C735D&quot;/&gt;&lt;wsp:rsid wsp:val=&quot;003F01F9&quot;/&gt;&lt;wsp:rsid wsp:val=&quot;003F270D&quot;/&gt;&lt;wsp:rsid wsp:val=&quot;003F304C&quot;/&gt;&lt;wsp:rsid wsp:val=&quot;003F4135&quot;/&gt;&lt;wsp:rsid wsp:val=&quot;003F612B&quot;/&gt;&lt;wsp:rsid wsp:val=&quot;00400C74&quot;/&gt;&lt;wsp:rsid wsp:val=&quot;004027FB&quot;/&gt;&lt;wsp:rsid wsp:val=&quot;00402FA5&quot;/&gt;&lt;wsp:rsid wsp:val=&quot;00403417&quot;/&gt;&lt;wsp:rsid wsp:val=&quot;00405152&quot;/&gt;&lt;wsp:rsid wsp:val=&quot;004054DA&quot;/&gt;&lt;wsp:rsid wsp:val=&quot;00405F0F&quot;/&gt;&lt;wsp:rsid wsp:val=&quot;00412400&quot;/&gt;&lt;wsp:rsid wsp:val=&quot;0041666B&quot;/&gt;&lt;wsp:rsid wsp:val=&quot;0042091A&quot;/&gt;&lt;wsp:rsid wsp:val=&quot;00424343&quot;/&gt;&lt;wsp:rsid wsp:val=&quot;0042455D&quot;/&gt;&lt;wsp:rsid wsp:val=&quot;0042481C&quot;/&gt;&lt;wsp:rsid wsp:val=&quot;00427007&quot;/&gt;&lt;wsp:rsid wsp:val=&quot;0043333C&quot;/&gt;&lt;wsp:rsid wsp:val=&quot;00441345&quot;/&gt;&lt;wsp:rsid wsp:val=&quot;00441722&quot;/&gt;&lt;wsp:rsid wsp:val=&quot;00443153&quot;/&gt;&lt;wsp:rsid wsp:val=&quot;00444774&quot;/&gt;&lt;wsp:rsid wsp:val=&quot;0044504C&quot;/&gt;&lt;wsp:rsid wsp:val=&quot;004472B0&quot;/&gt;&lt;wsp:rsid wsp:val=&quot;00450F7F&quot;/&gt;&lt;wsp:rsid wsp:val=&quot;00466BA5&quot;/&gt;&lt;wsp:rsid wsp:val=&quot;00467581&quot;/&gt;&lt;wsp:rsid wsp:val=&quot;00470AB2&quot;/&gt;&lt;wsp:rsid wsp:val=&quot;004715C0&quot;/&gt;&lt;wsp:rsid wsp:val=&quot;00474E99&quot;/&gt;&lt;wsp:rsid wsp:val=&quot;00476399&quot;/&gt;&lt;wsp:rsid wsp:val=&quot;004766D2&quot;/&gt;&lt;wsp:rsid wsp:val=&quot;00476798&quot;/&gt;&lt;wsp:rsid wsp:val=&quot;00480C80&quot;/&gt;&lt;wsp:rsid wsp:val=&quot;0048461B&quot;/&gt;&lt;wsp:rsid wsp:val=&quot;00485852&quot;/&gt;&lt;wsp:rsid wsp:val=&quot;004878F0&quot;/&gt;&lt;wsp:rsid wsp:val=&quot;00490E8E&quot;/&gt;&lt;wsp:rsid wsp:val=&quot;00491B21&quot;/&gt;&lt;wsp:rsid wsp:val=&quot;004940E7&quot;/&gt;&lt;wsp:rsid wsp:val=&quot;004A3150&quot;/&gt;&lt;wsp:rsid wsp:val=&quot;004A5F7F&quot;/&gt;&lt;wsp:rsid wsp:val=&quot;004A6A65&quot;/&gt;&lt;wsp:rsid wsp:val=&quot;004A72DC&quot;/&gt;&lt;wsp:rsid wsp:val=&quot;004A7539&quot;/&gt;&lt;wsp:rsid wsp:val=&quot;004A7D61&quot;/&gt;&lt;wsp:rsid wsp:val=&quot;004B3873&quot;/&gt;&lt;wsp:rsid wsp:val=&quot;004C1211&quot;/&gt;&lt;wsp:rsid wsp:val=&quot;004C71FC&quot;/&gt;&lt;wsp:rsid wsp:val=&quot;004D0AFD&quot;/&gt;&lt;wsp:rsid wsp:val=&quot;004D2442&quot;/&gt;&lt;wsp:rsid wsp:val=&quot;004D2882&quot;/&gt;&lt;wsp:rsid wsp:val=&quot;004D36EF&quot;/&gt;&lt;wsp:rsid wsp:val=&quot;004D4246&quot;/&gt;&lt;wsp:rsid wsp:val=&quot;004D4B83&quot;/&gt;&lt;wsp:rsid wsp:val=&quot;004D73DF&quot;/&gt;&lt;wsp:rsid wsp:val=&quot;004D76C5&quot;/&gt;&lt;wsp:rsid wsp:val=&quot;004E254F&quot;/&gt;&lt;wsp:rsid wsp:val=&quot;004E6D8C&quot;/&gt;&lt;wsp:rsid wsp:val=&quot;004F16BF&quot;/&gt;&lt;wsp:rsid wsp:val=&quot;004F3987&quot;/&gt;&lt;wsp:rsid wsp:val=&quot;004F749C&quot;/&gt;&lt;wsp:rsid wsp:val=&quot;00500338&quot;/&gt;&lt;wsp:rsid wsp:val=&quot;005038D7&quot;/&gt;&lt;wsp:rsid wsp:val=&quot;00504432&quot;/&gt;&lt;wsp:rsid wsp:val=&quot;005047E3&quot;/&gt;&lt;wsp:rsid wsp:val=&quot;005048FE&quot;/&gt;&lt;wsp:rsid wsp:val=&quot;005067E3&quot;/&gt;&lt;wsp:rsid wsp:val=&quot;00511385&quot;/&gt;&lt;wsp:rsid wsp:val=&quot;00520D4A&quot;/&gt;&lt;wsp:rsid wsp:val=&quot;00523F84&quot;/&gt;&lt;wsp:rsid wsp:val=&quot;0052718D&quot;/&gt;&lt;wsp:rsid wsp:val=&quot;00531495&quot;/&gt;&lt;wsp:rsid wsp:val=&quot;00535147&quot;/&gt;&lt;wsp:rsid wsp:val=&quot;005357B4&quot;/&gt;&lt;wsp:rsid wsp:val=&quot;00536AF3&quot;/&gt;&lt;wsp:rsid wsp:val=&quot;005458C4&quot;/&gt;&lt;wsp:rsid wsp:val=&quot;005458CF&quot;/&gt;&lt;wsp:rsid wsp:val=&quot;00546D12&quot;/&gt;&lt;wsp:rsid wsp:val=&quot;00552A99&quot;/&gt;&lt;wsp:rsid wsp:val=&quot;00556426&quot;/&gt;&lt;wsp:rsid wsp:val=&quot;00560E6E&quot;/&gt;&lt;wsp:rsid wsp:val=&quot;00561C42&quot;/&gt;&lt;wsp:rsid wsp:val=&quot;00561E55&quot;/&gt;&lt;wsp:rsid wsp:val=&quot;00562E3C&quot;/&gt;&lt;wsp:rsid wsp:val=&quot;005633D4&quot;/&gt;&lt;wsp:rsid wsp:val=&quot;005645D8&quot;/&gt;&lt;wsp:rsid wsp:val=&quot;005656F7&quot;/&gt;&lt;wsp:rsid wsp:val=&quot;00570EBD&quot;/&gt;&lt;wsp:rsid wsp:val=&quot;005736E5&quot;/&gt;&lt;wsp:rsid wsp:val=&quot;005746FA&quot;/&gt;&lt;wsp:rsid wsp:val=&quot;00576230&quot;/&gt;&lt;wsp:rsid wsp:val=&quot;00577D58&quot;/&gt;&lt;wsp:rsid wsp:val=&quot;00582DC6&quot;/&gt;&lt;wsp:rsid wsp:val=&quot;00584037&quot;/&gt;&lt;wsp:rsid wsp:val=&quot;005855F0&quot;/&gt;&lt;wsp:rsid wsp:val=&quot;00593120&quot;/&gt;&lt;wsp:rsid wsp:val=&quot;005B13C7&quot;/&gt;&lt;wsp:rsid wsp:val=&quot;005B386A&quot;/&gt;&lt;wsp:rsid wsp:val=&quot;005B3B53&quot;/&gt;&lt;wsp:rsid wsp:val=&quot;005B3E7B&quot;/&gt;&lt;wsp:rsid wsp:val=&quot;005C05AB&quot;/&gt;&lt;wsp:rsid wsp:val=&quot;005C5ECF&quot;/&gt;&lt;wsp:rsid wsp:val=&quot;005C7FA2&quot;/&gt;&lt;wsp:rsid wsp:val=&quot;005D3ACB&quot;/&gt;&lt;wsp:rsid wsp:val=&quot;005D3F20&quot;/&gt;&lt;wsp:rsid wsp:val=&quot;005D688A&quot;/&gt;&lt;wsp:rsid wsp:val=&quot;005E4282&quot;/&gt;&lt;wsp:rsid wsp:val=&quot;005E481B&quot;/&gt;&lt;wsp:rsid wsp:val=&quot;005E7CA8&quot;/&gt;&lt;wsp:rsid wsp:val=&quot;005F0CA9&quot;/&gt;&lt;wsp:rsid wsp:val=&quot;005F1FC8&quot;/&gt;&lt;wsp:rsid wsp:val=&quot;005F24CB&quot;/&gt;&lt;wsp:rsid wsp:val=&quot;005F3613&quot;/&gt;&lt;wsp:rsid wsp:val=&quot;006024DA&quot;/&gt;&lt;wsp:rsid wsp:val=&quot;00613B7A&quot;/&gt;&lt;wsp:rsid wsp:val=&quot;00625D17&quot;/&gt;&lt;wsp:rsid wsp:val=&quot;00631A7F&quot;/&gt;&lt;wsp:rsid wsp:val=&quot;00636D04&quot;/&gt;&lt;wsp:rsid wsp:val=&quot;00636E7C&quot;/&gt;&lt;wsp:rsid wsp:val=&quot;00637111&quot;/&gt;&lt;wsp:rsid wsp:val=&quot;006376F6&quot;/&gt;&lt;wsp:rsid wsp:val=&quot;00640684&quot;/&gt;&lt;wsp:rsid wsp:val=&quot;00643D6B&quot;/&gt;&lt;wsp:rsid wsp:val=&quot;00643E33&quot;/&gt;&lt;wsp:rsid wsp:val=&quot;00646A4F&quot;/&gt;&lt;wsp:rsid wsp:val=&quot;00651842&quot;/&gt;&lt;wsp:rsid wsp:val=&quot;00651FE3&quot;/&gt;&lt;wsp:rsid wsp:val=&quot;00663F89&quot;/&gt;&lt;wsp:rsid wsp:val=&quot;00665627&quot;/&gt;&lt;wsp:rsid wsp:val=&quot;00665809&quot;/&gt;&lt;wsp:rsid wsp:val=&quot;00665A76&quot;/&gt;&lt;wsp:rsid wsp:val=&quot;00670744&quot;/&gt;&lt;wsp:rsid wsp:val=&quot;00675726&quot;/&gt;&lt;wsp:rsid wsp:val=&quot;006772AB&quot;/&gt;&lt;wsp:rsid wsp:val=&quot;006775FA&quot;/&gt;&lt;wsp:rsid wsp:val=&quot;006815DE&quot;/&gt;&lt;wsp:rsid wsp:val=&quot;00681E28&quot;/&gt;&lt;wsp:rsid wsp:val=&quot;0068625C&quot;/&gt;&lt;wsp:rsid wsp:val=&quot;006867FD&quot;/&gt;&lt;wsp:rsid wsp:val=&quot;00691D3C&quot;/&gt;&lt;wsp:rsid wsp:val=&quot;0069254B&quot;/&gt;&lt;wsp:rsid wsp:val=&quot;00693D0F&quot;/&gt;&lt;wsp:rsid wsp:val=&quot;00694054&quot;/&gt;&lt;wsp:rsid wsp:val=&quot;006942C5&quot;/&gt;&lt;wsp:rsid wsp:val=&quot;00694DDA&quot;/&gt;&lt;wsp:rsid wsp:val=&quot;00697059&quot;/&gt;&lt;wsp:rsid wsp:val=&quot;006A2D20&quot;/&gt;&lt;wsp:rsid wsp:val=&quot;006A3E1A&quot;/&gt;&lt;wsp:rsid wsp:val=&quot;006A6F12&quot;/&gt;&lt;wsp:rsid wsp:val=&quot;006B0430&quot;/&gt;&lt;wsp:rsid wsp:val=&quot;006B38ED&quot;/&gt;&lt;wsp:rsid wsp:val=&quot;006B456F&quot;/&gt;&lt;wsp:rsid wsp:val=&quot;006B46F3&quot;/&gt;&lt;wsp:rsid wsp:val=&quot;006B478A&quot;/&gt;&lt;wsp:rsid wsp:val=&quot;006C1F31&quot;/&gt;&lt;wsp:rsid wsp:val=&quot;006C2BF5&quot;/&gt;&lt;wsp:rsid wsp:val=&quot;006D0A48&quot;/&gt;&lt;wsp:rsid wsp:val=&quot;006D21B3&quot;/&gt;&lt;wsp:rsid wsp:val=&quot;006D2DAD&quot;/&gt;&lt;wsp:rsid wsp:val=&quot;006D3BA6&quot;/&gt;&lt;wsp:rsid wsp:val=&quot;006D58ED&quot;/&gt;&lt;wsp:rsid wsp:val=&quot;006E0EF5&quot;/&gt;&lt;wsp:rsid wsp:val=&quot;006E68EE&quot;/&gt;&lt;wsp:rsid wsp:val=&quot;006F0165&quot;/&gt;&lt;wsp:rsid wsp:val=&quot;006F1C10&quot;/&gt;&lt;wsp:rsid wsp:val=&quot;007049F4&quot;/&gt;&lt;wsp:rsid wsp:val=&quot;00716982&quot;/&gt;&lt;wsp:rsid wsp:val=&quot;00720D0A&quot;/&gt;&lt;wsp:rsid wsp:val=&quot;007246E9&quot;/&gt;&lt;wsp:rsid wsp:val=&quot;00724801&quot;/&gt;&lt;wsp:rsid wsp:val=&quot;00726AC2&quot;/&gt;&lt;wsp:rsid wsp:val=&quot;00727C48&quot;/&gt;&lt;wsp:rsid wsp:val=&quot;00732E64&quot;/&gt;&lt;wsp:rsid wsp:val=&quot;00734206&quot;/&gt;&lt;wsp:rsid wsp:val=&quot;00735D81&quot;/&gt;&lt;wsp:rsid wsp:val=&quot;00745F7A&quot;/&gt;&lt;wsp:rsid wsp:val=&quot;0076143A&quot;/&gt;&lt;wsp:rsid wsp:val=&quot;00762646&quot;/&gt;&lt;wsp:rsid wsp:val=&quot;00764566&quot;/&gt;&lt;wsp:rsid wsp:val=&quot;007815BA&quot;/&gt;&lt;wsp:rsid wsp:val=&quot;00782D19&quot;/&gt;&lt;wsp:rsid wsp:val=&quot;00791B8B&quot;/&gt;&lt;wsp:rsid wsp:val=&quot;00792BFE&quot;/&gt;&lt;wsp:rsid wsp:val=&quot;00795254&quot;/&gt;&lt;wsp:rsid wsp:val=&quot;00797066&quot;/&gt;&lt;wsp:rsid wsp:val=&quot;007A263C&quot;/&gt;&lt;wsp:rsid wsp:val=&quot;007B0297&quot;/&gt;&lt;wsp:rsid wsp:val=&quot;007B0345&quot;/&gt;&lt;wsp:rsid wsp:val=&quot;007B15AE&quot;/&gt;&lt;wsp:rsid wsp:val=&quot;007B186A&quot;/&gt;&lt;wsp:rsid wsp:val=&quot;007B2584&quot;/&gt;&lt;wsp:rsid wsp:val=&quot;007B4B49&quot;/&gt;&lt;wsp:rsid wsp:val=&quot;007B7BFE&quot;/&gt;&lt;wsp:rsid wsp:val=&quot;007C078B&quot;/&gt;&lt;wsp:rsid wsp:val=&quot;007C1B3B&quot;/&gt;&lt;wsp:rsid wsp:val=&quot;007C61DD&quot;/&gt;&lt;wsp:rsid wsp:val=&quot;007D37D1&quot;/&gt;&lt;wsp:rsid wsp:val=&quot;007D3D6F&quot;/&gt;&lt;wsp:rsid wsp:val=&quot;007D4D68&quot;/&gt;&lt;wsp:rsid wsp:val=&quot;007D7B43&quot;/&gt;&lt;wsp:rsid wsp:val=&quot;007E07D1&quot;/&gt;&lt;wsp:rsid wsp:val=&quot;007E2C87&quot;/&gt;&lt;wsp:rsid wsp:val=&quot;007F08D0&quot;/&gt;&lt;wsp:rsid wsp:val=&quot;007F33E7&quot;/&gt;&lt;wsp:rsid wsp:val=&quot;007F4ACB&quot;/&gt;&lt;wsp:rsid wsp:val=&quot;007F7003&quot;/&gt;&lt;wsp:rsid wsp:val=&quot;007F7B70&quot;/&gt;&lt;wsp:rsid wsp:val=&quot;008000C2&quot;/&gt;&lt;wsp:rsid wsp:val=&quot;008063EE&quot;/&gt;&lt;wsp:rsid wsp:val=&quot;00812F9A&quot;/&gt;&lt;wsp:rsid wsp:val=&quot;00817885&quot;/&gt;&lt;wsp:rsid wsp:val=&quot;00820602&quot;/&gt;&lt;wsp:rsid wsp:val=&quot;00825956&quot;/&gt;&lt;wsp:rsid wsp:val=&quot;00834187&quot;/&gt;&lt;wsp:rsid wsp:val=&quot;0083443E&quot;/&gt;&lt;wsp:rsid wsp:val=&quot;00844CE8&quot;/&gt;&lt;wsp:rsid wsp:val=&quot;00845BC8&quot;/&gt;&lt;wsp:rsid wsp:val=&quot;00846E89&quot;/&gt;&lt;wsp:rsid wsp:val=&quot;0085299C&quot;/&gt;&lt;wsp:rsid wsp:val=&quot;00855304&quot;/&gt;&lt;wsp:rsid wsp:val=&quot;00857635&quot;/&gt;&lt;wsp:rsid wsp:val=&quot;00857959&quot;/&gt;&lt;wsp:rsid wsp:val=&quot;0086699F&quot;/&gt;&lt;wsp:rsid wsp:val=&quot;00881165&quot;/&gt;&lt;wsp:rsid wsp:val=&quot;0088790C&quot;/&gt;&lt;wsp:rsid wsp:val=&quot;00890032&quot;/&gt;&lt;wsp:rsid wsp:val=&quot;00891E51&quot;/&gt;&lt;wsp:rsid wsp:val=&quot;00892871&quot;/&gt;&lt;wsp:rsid wsp:val=&quot;00893558&quot;/&gt;&lt;wsp:rsid wsp:val=&quot;00894F80&quot;/&gt;&lt;wsp:rsid wsp:val=&quot;008962C6&quot;/&gt;&lt;wsp:rsid wsp:val=&quot;008A2F55&quot;/&gt;&lt;wsp:rsid wsp:val=&quot;008A38B4&quot;/&gt;&lt;wsp:rsid wsp:val=&quot;008A59D8&quot;/&gt;&lt;wsp:rsid wsp:val=&quot;008A7856&quot;/&gt;&lt;wsp:rsid wsp:val=&quot;008A7DBB&quot;/&gt;&lt;wsp:rsid wsp:val=&quot;008B4100&quot;/&gt;&lt;wsp:rsid wsp:val=&quot;008C55AE&quot;/&gt;&lt;wsp:rsid wsp:val=&quot;008D1218&quot;/&gt;&lt;wsp:rsid wsp:val=&quot;008D2DD2&quot;/&gt;&lt;wsp:rsid wsp:val=&quot;008D4B3D&quot;/&gt;&lt;wsp:rsid wsp:val=&quot;008E1EAF&quot;/&gt;&lt;wsp:rsid wsp:val=&quot;008E2DB4&quot;/&gt;&lt;wsp:rsid wsp:val=&quot;008E4AE5&quot;/&gt;&lt;wsp:rsid wsp:val=&quot;008E5E5F&quot;/&gt;&lt;wsp:rsid wsp:val=&quot;008F13B0&quot;/&gt;&lt;wsp:rsid wsp:val=&quot;008F3E93&quot;/&gt;&lt;wsp:rsid wsp:val=&quot;008F57E2&quot;/&gt;&lt;wsp:rsid wsp:val=&quot;008F7DA3&quot;/&gt;&lt;wsp:rsid wsp:val=&quot;00900D99&quot;/&gt;&lt;wsp:rsid wsp:val=&quot;00902836&quot;/&gt;&lt;wsp:rsid wsp:val=&quot;009040D3&quot;/&gt;&lt;wsp:rsid wsp:val=&quot;009077E5&quot;/&gt;&lt;wsp:rsid wsp:val=&quot;00915E05&quot;/&gt;&lt;wsp:rsid wsp:val=&quot;00923E97&quot;/&gt;&lt;wsp:rsid wsp:val=&quot;009241C7&quot;/&gt;&lt;wsp:rsid wsp:val=&quot;009256A1&quot;/&gt;&lt;wsp:rsid wsp:val=&quot;00926376&quot;/&gt;&lt;wsp:rsid wsp:val=&quot;00931AA5&quot;/&gt;&lt;wsp:rsid wsp:val=&quot;00933A4E&quot;/&gt;&lt;wsp:rsid wsp:val=&quot;0093793B&quot;/&gt;&lt;wsp:rsid wsp:val=&quot;009463EE&quot;/&gt;&lt;wsp:rsid wsp:val=&quot;0094704E&quot;/&gt;&lt;wsp:rsid wsp:val=&quot;009524CA&quot;/&gt;&lt;wsp:rsid wsp:val=&quot;00956CE0&quot;/&gt;&lt;wsp:rsid wsp:val=&quot;009624DE&quot;/&gt;&lt;wsp:rsid wsp:val=&quot;0096487E&quot;/&gt;&lt;wsp:rsid wsp:val=&quot;00964E29&quot;/&gt;&lt;wsp:rsid wsp:val=&quot;00966E79&quot;/&gt;&lt;wsp:rsid wsp:val=&quot;009722E9&quot;/&gt;&lt;wsp:rsid wsp:val=&quot;0097299C&quot;/&gt;&lt;wsp:rsid wsp:val=&quot;00974672&quot;/&gt;&lt;wsp:rsid wsp:val=&quot;00975E8A&quot;/&gt;&lt;wsp:rsid wsp:val=&quot;00976411&quot;/&gt;&lt;wsp:rsid wsp:val=&quot;00985AF4&quot;/&gt;&lt;wsp:rsid wsp:val=&quot;0099078C&quot;/&gt;&lt;wsp:rsid wsp:val=&quot;00997A8B&quot;/&gt;&lt;wsp:rsid wsp:val=&quot;009A1557&quot;/&gt;&lt;wsp:rsid wsp:val=&quot;009A18D6&quot;/&gt;&lt;wsp:rsid wsp:val=&quot;009A2E28&quot;/&gt;&lt;wsp:rsid wsp:val=&quot;009B0EC4&quot;/&gt;&lt;wsp:rsid wsp:val=&quot;009C0486&quot;/&gt;&lt;wsp:rsid wsp:val=&quot;009C1FEA&quot;/&gt;&lt;wsp:rsid wsp:val=&quot;009C2543&quot;/&gt;&lt;wsp:rsid wsp:val=&quot;009C72CC&quot;/&gt;&lt;wsp:rsid wsp:val=&quot;009D06F0&quot;/&gt;&lt;wsp:rsid wsp:val=&quot;009D16F7&quot;/&gt;&lt;wsp:rsid wsp:val=&quot;009D1DFC&quot;/&gt;&lt;wsp:rsid wsp:val=&quot;009D52D0&quot;/&gt;&lt;wsp:rsid wsp:val=&quot;009D71EF&quot;/&gt;&lt;wsp:rsid wsp:val=&quot;009D7BFE&quot;/&gt;&lt;wsp:rsid wsp:val=&quot;009D7FA7&quot;/&gt;&lt;wsp:rsid wsp:val=&quot;009E025C&quot;/&gt;&lt;wsp:rsid wsp:val=&quot;009E0551&quot;/&gt;&lt;wsp:rsid wsp:val=&quot;009E0F36&quot;/&gt;&lt;wsp:rsid wsp:val=&quot;009E33F9&quot;/&gt;&lt;wsp:rsid wsp:val=&quot;009E5D90&quot;/&gt;&lt;wsp:rsid wsp:val=&quot;009E78A1&quot;/&gt;&lt;wsp:rsid wsp:val=&quot;009F3B3D&quot;/&gt;&lt;wsp:rsid wsp:val=&quot;009F4CCE&quot;/&gt;&lt;wsp:rsid wsp:val=&quot;009F631B&quot;/&gt;&lt;wsp:rsid wsp:val=&quot;009F7115&quot;/&gt;&lt;wsp:rsid wsp:val=&quot;009F7E36&quot;/&gt;&lt;wsp:rsid wsp:val=&quot;00A0129F&quot;/&gt;&lt;wsp:rsid wsp:val=&quot;00A03281&quot;/&gt;&lt;wsp:rsid wsp:val=&quot;00A04394&quot;/&gt;&lt;wsp:rsid wsp:val=&quot;00A043BA&quot;/&gt;&lt;wsp:rsid wsp:val=&quot;00A0583F&quot;/&gt;&lt;wsp:rsid wsp:val=&quot;00A14533&quot;/&gt;&lt;wsp:rsid wsp:val=&quot;00A16644&quot;/&gt;&lt;wsp:rsid wsp:val=&quot;00A20781&quot;/&gt;&lt;wsp:rsid wsp:val=&quot;00A2220E&quot;/&gt;&lt;wsp:rsid wsp:val=&quot;00A22502&quot;/&gt;&lt;wsp:rsid wsp:val=&quot;00A31E3F&quot;/&gt;&lt;wsp:rsid wsp:val=&quot;00A3436B&quot;/&gt;&lt;wsp:rsid wsp:val=&quot;00A3449C&quot;/&gt;&lt;wsp:rsid wsp:val=&quot;00A34516&quot;/&gt;&lt;wsp:rsid wsp:val=&quot;00A34D77&quot;/&gt;&lt;wsp:rsid wsp:val=&quot;00A36420&quot;/&gt;&lt;wsp:rsid wsp:val=&quot;00A401B8&quot;/&gt;&lt;wsp:rsid wsp:val=&quot;00A43A53&quot;/&gt;&lt;wsp:rsid wsp:val=&quot;00A45071&quot;/&gt;&lt;wsp:rsid wsp:val=&quot;00A50FB8&quot;/&gt;&lt;wsp:rsid wsp:val=&quot;00A576E2&quot;/&gt;&lt;wsp:rsid wsp:val=&quot;00A63DB5&quot;/&gt;&lt;wsp:rsid wsp:val=&quot;00A6579D&quot;/&gt;&lt;wsp:rsid wsp:val=&quot;00A66026&quot;/&gt;&lt;wsp:rsid wsp:val=&quot;00A71A07&quot;/&gt;&lt;wsp:rsid wsp:val=&quot;00A73DFD&quot;/&gt;&lt;wsp:rsid wsp:val=&quot;00A75C75&quot;/&gt;&lt;wsp:rsid wsp:val=&quot;00A77835&quot;/&gt;&lt;wsp:rsid wsp:val=&quot;00A8073B&quot;/&gt;&lt;wsp:rsid wsp:val=&quot;00A81BC2&quot;/&gt;&lt;wsp:rsid wsp:val=&quot;00A82896&quot;/&gt;&lt;wsp:rsid wsp:val=&quot;00A85E79&quot;/&gt;&lt;wsp:rsid wsp:val=&quot;00A86450&quot;/&gt;&lt;wsp:rsid wsp:val=&quot;00A878AD&quot;/&gt;&lt;wsp:rsid wsp:val=&quot;00A90FAC&quot;/&gt;&lt;wsp:rsid wsp:val=&quot;00A924F1&quot;/&gt;&lt;wsp:rsid wsp:val=&quot;00A95083&quot;/&gt;&lt;wsp:rsid wsp:val=&quot;00AA13E7&quot;/&gt;&lt;wsp:rsid wsp:val=&quot;00AA50A2&quot;/&gt;&lt;wsp:rsid wsp:val=&quot;00AB7A55&quot;/&gt;&lt;wsp:rsid wsp:val=&quot;00AC11CE&quot;/&gt;&lt;wsp:rsid wsp:val=&quot;00AC2DF8&quot;/&gt;&lt;wsp:rsid wsp:val=&quot;00AC3BF6&quot;/&gt;&lt;wsp:rsid wsp:val=&quot;00AC5515&quot;/&gt;&lt;wsp:rsid wsp:val=&quot;00AC5F8A&quot;/&gt;&lt;wsp:rsid wsp:val=&quot;00AE186F&quot;/&gt;&lt;wsp:rsid wsp:val=&quot;00AE51B1&quot;/&gt;&lt;wsp:rsid wsp:val=&quot;00AE5500&quot;/&gt;&lt;wsp:rsid wsp:val=&quot;00AE5CC0&quot;/&gt;&lt;wsp:rsid wsp:val=&quot;00AF02FB&quot;/&gt;&lt;wsp:rsid wsp:val=&quot;00AF1750&quot;/&gt;&lt;wsp:rsid wsp:val=&quot;00AF3533&quot;/&gt;&lt;wsp:rsid wsp:val=&quot;00B01109&quot;/&gt;&lt;wsp:rsid wsp:val=&quot;00B02F4A&quot;/&gt;&lt;wsp:rsid wsp:val=&quot;00B0543C&quot;/&gt;&lt;wsp:rsid wsp:val=&quot;00B0597C&quot;/&gt;&lt;wsp:rsid wsp:val=&quot;00B06B24&quot;/&gt;&lt;wsp:rsid wsp:val=&quot;00B079DF&quot;/&gt;&lt;wsp:rsid wsp:val=&quot;00B1433E&quot;/&gt;&lt;wsp:rsid wsp:val=&quot;00B1591A&quot;/&gt;&lt;wsp:rsid wsp:val=&quot;00B267E9&quot;/&gt;&lt;wsp:rsid wsp:val=&quot;00B35E35&quot;/&gt;&lt;wsp:rsid wsp:val=&quot;00B406C4&quot;/&gt;&lt;wsp:rsid wsp:val=&quot;00B40C13&quot;/&gt;&lt;wsp:rsid wsp:val=&quot;00B43413&quot;/&gt;&lt;wsp:rsid wsp:val=&quot;00B47C10&quot;/&gt;&lt;wsp:rsid wsp:val=&quot;00B507B9&quot;/&gt;&lt;wsp:rsid wsp:val=&quot;00B52188&quot;/&gt;&lt;wsp:rsid wsp:val=&quot;00B523B7&quot;/&gt;&lt;wsp:rsid wsp:val=&quot;00B53E6A&quot;/&gt;&lt;wsp:rsid wsp:val=&quot;00B546DB&quot;/&gt;&lt;wsp:rsid wsp:val=&quot;00B553BB&quot;/&gt;&lt;wsp:rsid wsp:val=&quot;00B55FFD&quot;/&gt;&lt;wsp:rsid wsp:val=&quot;00B634A1&quot;/&gt;&lt;wsp:rsid wsp:val=&quot;00B65A5E&quot;/&gt;&lt;wsp:rsid wsp:val=&quot;00B65C82&quot;/&gt;&lt;wsp:rsid wsp:val=&quot;00B66849&quot;/&gt;&lt;wsp:rsid wsp:val=&quot;00B70DAF&quot;/&gt;&lt;wsp:rsid wsp:val=&quot;00B7263E&quot;/&gt;&lt;wsp:rsid wsp:val=&quot;00B74616&quot;/&gt;&lt;wsp:rsid wsp:val=&quot;00B7600E&quot;/&gt;&lt;wsp:rsid wsp:val=&quot;00B77E4E&quot;/&gt;&lt;wsp:rsid wsp:val=&quot;00B83D9A&quot;/&gt;&lt;wsp:rsid wsp:val=&quot;00B86B11&quot;/&gt;&lt;wsp:rsid wsp:val=&quot;00B87444&quot;/&gt;&lt;wsp:rsid wsp:val=&quot;00B92A9E&quot;/&gt;&lt;wsp:rsid wsp:val=&quot;00B9329D&quot;/&gt;&lt;wsp:rsid wsp:val=&quot;00B93591&quot;/&gt;&lt;wsp:rsid wsp:val=&quot;00B977D2&quot;/&gt;&lt;wsp:rsid wsp:val=&quot;00BA2B06&quot;/&gt;&lt;wsp:rsid wsp:val=&quot;00BA43A3&quot;/&gt;&lt;wsp:rsid wsp:val=&quot;00BA60DD&quot;/&gt;&lt;wsp:rsid wsp:val=&quot;00BB2FFB&quot;/&gt;&lt;wsp:rsid wsp:val=&quot;00BB3F6C&quot;/&gt;&lt;wsp:rsid wsp:val=&quot;00BB527F&quot;/&gt;&lt;wsp:rsid wsp:val=&quot;00BC14EF&quot;/&gt;&lt;wsp:rsid wsp:val=&quot;00BD0445&quot;/&gt;&lt;wsp:rsid wsp:val=&quot;00BD33DD&quot;/&gt;&lt;wsp:rsid wsp:val=&quot;00BE301D&quot;/&gt;&lt;wsp:rsid wsp:val=&quot;00BE6570&quot;/&gt;&lt;wsp:rsid wsp:val=&quot;00BF0318&quot;/&gt;&lt;wsp:rsid wsp:val=&quot;00BF2439&quot;/&gt;&lt;wsp:rsid wsp:val=&quot;00BF2DE0&quot;/&gt;&lt;wsp:rsid wsp:val=&quot;00BF4DA7&quot;/&gt;&lt;wsp:rsid wsp:val=&quot;00BF7DD2&quot;/&gt;&lt;wsp:rsid wsp:val=&quot;00C00598&quot;/&gt;&lt;wsp:rsid wsp:val=&quot;00C01842&quot;/&gt;&lt;wsp:rsid wsp:val=&quot;00C02284&quot;/&gt;&lt;wsp:rsid wsp:val=&quot;00C02A99&quot;/&gt;&lt;wsp:rsid wsp:val=&quot;00C06292&quot;/&gt;&lt;wsp:rsid wsp:val=&quot;00C06313&quot;/&gt;&lt;wsp:rsid wsp:val=&quot;00C074DF&quot;/&gt;&lt;wsp:rsid wsp:val=&quot;00C10E10&quot;/&gt;&lt;wsp:rsid wsp:val=&quot;00C1285C&quot;/&gt;&lt;wsp:rsid wsp:val=&quot;00C14BE3&quot;/&gt;&lt;wsp:rsid wsp:val=&quot;00C17BD7&quot;/&gt;&lt;wsp:rsid wsp:val=&quot;00C20386&quot;/&gt;&lt;wsp:rsid wsp:val=&quot;00C20C97&quot;/&gt;&lt;wsp:rsid wsp:val=&quot;00C246D0&quot;/&gt;&lt;wsp:rsid wsp:val=&quot;00C27EA7&quot;/&gt;&lt;wsp:rsid wsp:val=&quot;00C305C6&quot;/&gt;&lt;wsp:rsid wsp:val=&quot;00C31E3D&quot;/&gt;&lt;wsp:rsid wsp:val=&quot;00C3436F&quot;/&gt;&lt;wsp:rsid wsp:val=&quot;00C352B9&quot;/&gt;&lt;wsp:rsid wsp:val=&quot;00C3534D&quot;/&gt;&lt;wsp:rsid wsp:val=&quot;00C44282&quot;/&gt;&lt;wsp:rsid wsp:val=&quot;00C516B3&quot;/&gt;&lt;wsp:rsid wsp:val=&quot;00C52944&quot;/&gt;&lt;wsp:rsid wsp:val=&quot;00C66F41&quot;/&gt;&lt;wsp:rsid wsp:val=&quot;00C67306&quot;/&gt;&lt;wsp:rsid wsp:val=&quot;00C77548&quot;/&gt;&lt;wsp:rsid wsp:val=&quot;00C8357C&quot;/&gt;&lt;wsp:rsid wsp:val=&quot;00C844DE&quot;/&gt;&lt;wsp:rsid wsp:val=&quot;00C85477&quot;/&gt;&lt;wsp:rsid wsp:val=&quot;00C918E0&quot;/&gt;&lt;wsp:rsid wsp:val=&quot;00C9741E&quot;/&gt;&lt;wsp:rsid wsp:val=&quot;00C97F78&quot;/&gt;&lt;wsp:rsid wsp:val=&quot;00CA1452&quot;/&gt;&lt;wsp:rsid wsp:val=&quot;00CA395D&quot;/&gt;&lt;wsp:rsid wsp:val=&quot;00CA515C&quot;/&gt;&lt;wsp:rsid wsp:val=&quot;00CA6956&quot;/&gt;&lt;wsp:rsid wsp:val=&quot;00CB66E3&quot;/&gt;&lt;wsp:rsid wsp:val=&quot;00CC50ED&quot;/&gt;&lt;wsp:rsid wsp:val=&quot;00CC584A&quot;/&gt;&lt;wsp:rsid wsp:val=&quot;00CC5C27&quot;/&gt;&lt;wsp:rsid wsp:val=&quot;00CD62FE&quot;/&gt;&lt;wsp:rsid wsp:val=&quot;00CE0968&quot;/&gt;&lt;wsp:rsid wsp:val=&quot;00CE3529&quot;/&gt;&lt;wsp:rsid wsp:val=&quot;00CE3B5E&quot;/&gt;&lt;wsp:rsid wsp:val=&quot;00CE3EC0&quot;/&gt;&lt;wsp:rsid wsp:val=&quot;00CE42F9&quot;/&gt;&lt;wsp:rsid wsp:val=&quot;00CE4F38&quot;/&gt;&lt;wsp:rsid wsp:val=&quot;00CE644A&quot;/&gt;&lt;wsp:rsid wsp:val=&quot;00D00DD2&quot;/&gt;&lt;wsp:rsid wsp:val=&quot;00D049BD&quot;/&gt;&lt;wsp:rsid wsp:val=&quot;00D04B5B&quot;/&gt;&lt;wsp:rsid wsp:val=&quot;00D10C52&quot;/&gt;&lt;wsp:rsid wsp:val=&quot;00D1500E&quot;/&gt;&lt;wsp:rsid wsp:val=&quot;00D21A42&quot;/&gt;&lt;wsp:rsid wsp:val=&quot;00D223F1&quot;/&gt;&lt;wsp:rsid wsp:val=&quot;00D22E4C&quot;/&gt;&lt;wsp:rsid wsp:val=&quot;00D27718&quot;/&gt;&lt;wsp:rsid wsp:val=&quot;00D27ECF&quot;/&gt;&lt;wsp:rsid wsp:val=&quot;00D33A79&quot;/&gt;&lt;wsp:rsid wsp:val=&quot;00D35515&quot;/&gt;&lt;wsp:rsid wsp:val=&quot;00D37274&quot;/&gt;&lt;wsp:rsid wsp:val=&quot;00D42976&quot;/&gt;&lt;wsp:rsid wsp:val=&quot;00D45120&quot;/&gt;&lt;wsp:rsid wsp:val=&quot;00D468D2&quot;/&gt;&lt;wsp:rsid wsp:val=&quot;00D5382D&quot;/&gt;&lt;wsp:rsid wsp:val=&quot;00D54BBA&quot;/&gt;&lt;wsp:rsid wsp:val=&quot;00D5719C&quot;/&gt;&lt;wsp:rsid wsp:val=&quot;00D62B59&quot;/&gt;&lt;wsp:rsid wsp:val=&quot;00D62C56&quot;/&gt;&lt;wsp:rsid wsp:val=&quot;00D652F5&quot;/&gt;&lt;wsp:rsid wsp:val=&quot;00D7168D&quot;/&gt;&lt;wsp:rsid wsp:val=&quot;00D73B80&quot;/&gt;&lt;wsp:rsid wsp:val=&quot;00D74AF6&quot;/&gt;&lt;wsp:rsid wsp:val=&quot;00D77D1C&quot;/&gt;&lt;wsp:rsid wsp:val=&quot;00D80652&quot;/&gt;&lt;wsp:rsid wsp:val=&quot;00D84067&quot;/&gt;&lt;wsp:rsid wsp:val=&quot;00D90C25&quot;/&gt;&lt;wsp:rsid wsp:val=&quot;00D9245F&quot;/&gt;&lt;wsp:rsid wsp:val=&quot;00DA0F3C&quot;/&gt;&lt;wsp:rsid wsp:val=&quot;00DA386F&quot;/&gt;&lt;wsp:rsid wsp:val=&quot;00DA712A&quot;/&gt;&lt;wsp:rsid wsp:val=&quot;00DB598A&quot;/&gt;&lt;wsp:rsid wsp:val=&quot;00DC490A&quot;/&gt;&lt;wsp:rsid wsp:val=&quot;00DC56A6&quot;/&gt;&lt;wsp:rsid wsp:val=&quot;00DC66BA&quot;/&gt;&lt;wsp:rsid wsp:val=&quot;00DD598C&quot;/&gt;&lt;wsp:rsid wsp:val=&quot;00DD66ED&quot;/&gt;&lt;wsp:rsid wsp:val=&quot;00DE0E98&quot;/&gt;&lt;wsp:rsid wsp:val=&quot;00DE68A5&quot;/&gt;&lt;wsp:rsid wsp:val=&quot;00DE77DC&quot;/&gt;&lt;wsp:rsid wsp:val=&quot;00DF19F4&quot;/&gt;&lt;wsp:rsid wsp:val=&quot;00DF2FD3&quot;/&gt;&lt;wsp:rsid wsp:val=&quot;00DF30DF&quot;/&gt;&lt;wsp:rsid wsp:val=&quot;00DF3EFA&quot;/&gt;&lt;wsp:rsid wsp:val=&quot;00DF567A&quot;/&gt;&lt;wsp:rsid wsp:val=&quot;00E045B8&quot;/&gt;&lt;wsp:rsid wsp:val=&quot;00E168B5&quot;/&gt;&lt;wsp:rsid wsp:val=&quot;00E25DF3&quot;/&gt;&lt;wsp:rsid wsp:val=&quot;00E262D7&quot;/&gt;&lt;wsp:rsid wsp:val=&quot;00E324F1&quot;/&gt;&lt;wsp:rsid wsp:val=&quot;00E32832&quot;/&gt;&lt;wsp:rsid wsp:val=&quot;00E362FB&quot;/&gt;&lt;wsp:rsid wsp:val=&quot;00E41701&quot;/&gt;&lt;wsp:rsid wsp:val=&quot;00E41D85&quot;/&gt;&lt;wsp:rsid wsp:val=&quot;00E4266D&quot;/&gt;&lt;wsp:rsid wsp:val=&quot;00E447AD&quot;/&gt;&lt;wsp:rsid wsp:val=&quot;00E50B1F&quot;/&gt;&lt;wsp:rsid wsp:val=&quot;00E63BAA&quot;/&gt;&lt;wsp:rsid wsp:val=&quot;00E642A2&quot;/&gt;&lt;wsp:rsid wsp:val=&quot;00E64E1A&quot;/&gt;&lt;wsp:rsid wsp:val=&quot;00E65357&quot;/&gt;&lt;wsp:rsid wsp:val=&quot;00E66AD5&quot;/&gt;&lt;wsp:rsid wsp:val=&quot;00E7223B&quot;/&gt;&lt;wsp:rsid wsp:val=&quot;00E72634&quot;/&gt;&lt;wsp:rsid wsp:val=&quot;00E736DB&quot;/&gt;&lt;wsp:rsid wsp:val=&quot;00E76709&quot;/&gt;&lt;wsp:rsid wsp:val=&quot;00E83D90&quot;/&gt;&lt;wsp:rsid wsp:val=&quot;00E8414D&quot;/&gt;&lt;wsp:rsid wsp:val=&quot;00E8783C&quot;/&gt;&lt;wsp:rsid wsp:val=&quot;00E92DC3&quot;/&gt;&lt;wsp:rsid wsp:val=&quot;00E93F3C&quot;/&gt;&lt;wsp:rsid wsp:val=&quot;00E94ACE&quot;/&gt;&lt;wsp:rsid wsp:val=&quot;00E962C3&quot;/&gt;&lt;wsp:rsid wsp:val=&quot;00EA119E&quot;/&gt;&lt;wsp:rsid wsp:val=&quot;00EB36B2&quot;/&gt;&lt;wsp:rsid wsp:val=&quot;00EB6C80&quot;/&gt;&lt;wsp:rsid wsp:val=&quot;00EB7AEF&quot;/&gt;&lt;wsp:rsid wsp:val=&quot;00EC2BE5&quot;/&gt;&lt;wsp:rsid wsp:val=&quot;00EC7948&quot;/&gt;&lt;wsp:rsid wsp:val=&quot;00ED12AD&quot;/&gt;&lt;wsp:rsid wsp:val=&quot;00ED46E4&quot;/&gt;&lt;wsp:rsid wsp:val=&quot;00EE12F5&quot;/&gt;&lt;wsp:rsid wsp:val=&quot;00EE1A36&quot;/&gt;&lt;wsp:rsid wsp:val=&quot;00EE5EDD&quot;/&gt;&lt;wsp:rsid wsp:val=&quot;00EE7307&quot;/&gt;&lt;wsp:rsid wsp:val=&quot;00EF6A27&quot;/&gt;&lt;wsp:rsid wsp:val=&quot;00F16C14&quot;/&gt;&lt;wsp:rsid wsp:val=&quot;00F2122F&quot;/&gt;&lt;wsp:rsid wsp:val=&quot;00F31A36&quot;/&gt;&lt;wsp:rsid wsp:val=&quot;00F33BFA&quot;/&gt;&lt;wsp:rsid wsp:val=&quot;00F34B1F&quot;/&gt;&lt;wsp:rsid wsp:val=&quot;00F35B4F&quot;/&gt;&lt;wsp:rsid wsp:val=&quot;00F47348&quot;/&gt;&lt;wsp:rsid wsp:val=&quot;00F6031B&quot;/&gt;&lt;wsp:rsid wsp:val=&quot;00F610DE&quot;/&gt;&lt;wsp:rsid wsp:val=&quot;00F700EB&quot;/&gt;&lt;wsp:rsid wsp:val=&quot;00F71AEF&quot;/&gt;&lt;wsp:rsid wsp:val=&quot;00F72A05&quot;/&gt;&lt;wsp:rsid wsp:val=&quot;00F73ED7&quot;/&gt;&lt;wsp:rsid wsp:val=&quot;00F762BE&quot;/&gt;&lt;wsp:rsid wsp:val=&quot;00F77474&quot;/&gt;&lt;wsp:rsid wsp:val=&quot;00F77F70&quot;/&gt;&lt;wsp:rsid wsp:val=&quot;00F85901&quot;/&gt;&lt;wsp:rsid wsp:val=&quot;00F87EA0&quot;/&gt;&lt;wsp:rsid wsp:val=&quot;00F90784&quot;/&gt;&lt;wsp:rsid wsp:val=&quot;00F91AD7&quot;/&gt;&lt;wsp:rsid wsp:val=&quot;00F9238D&quot;/&gt;&lt;wsp:rsid wsp:val=&quot;00F94A3B&quot;/&gt;&lt;wsp:rsid wsp:val=&quot;00FA123F&quot;/&gt;&lt;wsp:rsid wsp:val=&quot;00FA4D7A&quot;/&gt;&lt;wsp:rsid wsp:val=&quot;00FA62E6&quot;/&gt;&lt;wsp:rsid wsp:val=&quot;00FB16EB&quot;/&gt;&lt;wsp:rsid wsp:val=&quot;00FB38E4&quot;/&gt;&lt;wsp:rsid wsp:val=&quot;00FB5392&quot;/&gt;&lt;wsp:rsid wsp:val=&quot;00FB6E4D&quot;/&gt;&lt;wsp:rsid wsp:val=&quot;00FB7655&quot;/&gt;&lt;wsp:rsid wsp:val=&quot;00FC0508&quot;/&gt;&lt;wsp:rsid wsp:val=&quot;00FC0876&quot;/&gt;&lt;wsp:rsid wsp:val=&quot;00FC4747&quot;/&gt;&lt;wsp:rsid wsp:val=&quot;00FC6554&quot;/&gt;&lt;wsp:rsid wsp:val=&quot;00FC7C7A&quot;/&gt;&lt;wsp:rsid wsp:val=&quot;00FD49FC&quot;/&gt;&lt;wsp:rsid wsp:val=&quot;00FD75D7&quot;/&gt;&lt;wsp:rsid wsp:val=&quot;00FE59C1&quot;/&gt;&lt;wsp:rsid wsp:val=&quot;00FF7EBD&quot;/&gt;&lt;/wsp:rsids&gt;&lt;/w:docPr&gt;&lt;w:body&gt;&lt;wx:sect&gt;&lt;w:p wsp:rsidR=&quot;00000000&quot; wsp:rsidRDefault=&quot;007B0297&quot; wsp:rsidP=&quot;007B0297&quot;&gt;&lt;m:oMathPara&gt;&lt;m:oMath&gt;&lt;m:sSubSup&gt;&lt;m:sSubSupPr&gt;&lt;m:ctrlPr&gt;&lt;w:rPr&gt;&lt;w:rFonts w:ascii=&quot;Cambria Math&quot; w:fareast=&quot;Calibri&quot; w:h-ansi=&quot;Cambria Math&quot; w:cs=&quot;Times New Roman&quot;/&gt;&lt;wx:font wx:val=&quot;Cambria Math&quot;/&gt;&lt;w:b/&gt;&lt;w:i/&gt;&lt;w:sz w:val=&quot;20&quot;/&gt;&lt;w:sz-cs w:val=&quot;20&quot;/&gt;&lt;/w:rPr&gt;&lt;/m:ctrlPr&gt;&lt;/m:sSubSupPr&gt;&lt;m:e&gt;&lt;m:r&gt;&lt;m:rPr&gt;&lt;m:sty m:val=&quot;bi&quot;/&gt;&lt;/m:rPr&gt;&lt;w:rPr&gt;&lt;w:rFonts w:ascii=&quot;Cambria Math&quot; w:fareast=&quot;Calibri&quot; w:h-ansi=&quot;Cambria Math&quot; w:cs=&quot;Times New Roman&quot;/&gt;&lt;wx:font wx:val=&quot;Cambria Math&quot;/&gt;&lt;w:b/&gt;&lt;w:i/&gt;&lt;w:sz w:val=&quot;20&quot;/&gt;&lt;w:sz-cs w:val=&quot;20&quot;/&gt;&lt;/w:rPr&gt;&lt;m:t&gt;Ïƒ&lt;/m:t&gt;&lt;/m:r&gt;&lt;/m:e&gt;&lt;m:sub&gt;&lt;m:r&gt;&lt;m:rPr&gt;&lt;m:sty m:val=&quot;bi&quot;/&gt;&lt;/m:rPr&gt;&lt;w:rPr&gt;&lt;w:rFonts w:ascii=&quot;Cambria Math&quot; w:fareast=&quot;Calibri&quot; w:h-ansi=&quot;Cambria Math&quot; w:cs=&quot;Times New Roman&quot;/&gt;&lt;wx:font wx:val=&quot;Cambria Math&quot;/&gt;&lt;w:b/&gt;&lt;w:i/&gt;&lt;w:sz w:val=&quot;20&quot;/&gt;&lt;w:sz-cs w:val=&quot;20&quot;/&gt;&lt;/w:rPr&gt;&lt;m:t&gt;Î_&lt;/m:t&gt;&lt;/m:r&gt;&lt;/m:sub&gt;&lt;m:sup&gt;&lt;m:r&gt;&lt;m:rPr&gt;&lt;m:sty m:val=&quot;bi&quot;/&gt;&lt;/m:rPr&gt;&lt;w:rPr&gt;&lt;w:rFonts w:ascii=&quot;Cambria Math&quot; w:fareast=&quot;Calibri&quot; w:h-ansi=&quot;Calibri&quot; w:cs=&quot;Times New Roman&quot;/&gt;&lt;wx:font wx:val=&quot;Cambria Math&quot;/&gt;&lt;w:b/&gt;&lt;w:i/&gt;&lt;w:sz w:val=&quot;20&quot;/&gt;&lt;w:sz-cs w:val=&quot;20&quot;/&gt;&lt;/w:rPr&gt;&lt;m:t&gt;2&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00156059" w:rsidRPr="00FA5289">
              <w:rPr>
                <w:rFonts w:cs="Times New Roman"/>
                <w:b/>
              </w:rPr>
              <w:fldChar w:fldCharType="end"/>
            </w:r>
            <w:r w:rsidRPr="00FA5289">
              <w:rPr>
                <w:rFonts w:cs="Times New Roman"/>
                <w:b/>
              </w:rPr>
              <w:t xml:space="preserve"> (% of total variance)</w:t>
            </w:r>
          </w:p>
        </w:tc>
        <w:tc>
          <w:tcPr>
            <w:tcW w:w="1137" w:type="dxa"/>
            <w:tcBorders>
              <w:top w:val="single" w:sz="4" w:space="0" w:color="auto"/>
              <w:left w:val="nil"/>
              <w:bottom w:val="single" w:sz="4" w:space="0" w:color="auto"/>
              <w:right w:val="nil"/>
            </w:tcBorders>
            <w:shd w:val="clear" w:color="auto" w:fill="BFBFBF"/>
          </w:tcPr>
          <w:p w:rsidR="00022A6E" w:rsidRPr="00FA5289" w:rsidRDefault="00022A6E" w:rsidP="00C92714">
            <w:pPr>
              <w:spacing w:after="0" w:line="240" w:lineRule="auto"/>
              <w:rPr>
                <w:rFonts w:cs="Times New Roman"/>
                <w:b/>
              </w:rPr>
            </w:pPr>
            <w:r w:rsidRPr="00FA5289">
              <w:rPr>
                <w:rFonts w:cs="Times New Roman"/>
                <w:b/>
              </w:rPr>
              <w:t xml:space="preserve">Between study variance </w:t>
            </w:r>
            <w:r w:rsidR="00156059" w:rsidRPr="00FA5289">
              <w:rPr>
                <w:rFonts w:cs="Times New Roman"/>
                <w:b/>
              </w:rPr>
              <w:fldChar w:fldCharType="begin"/>
            </w:r>
            <w:r w:rsidRPr="00FA5289">
              <w:rPr>
                <w:rFonts w:cs="Times New Roman"/>
                <w:b/>
              </w:rPr>
              <w:instrText xml:space="preserve"> QUOTE </w:instrText>
            </w:r>
            <w:r w:rsidR="00AF4DD8" w:rsidRPr="00156059">
              <w:rPr>
                <w:position w:val="-11"/>
              </w:rPr>
              <w:pict>
                <v:shape id="_x0000_i1077" type="#_x0000_t75" style="width:1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20&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B83D9A&quot;/&gt;&lt;wsp:rsid wsp:val=&quot;00002681&quot;/&gt;&lt;wsp:rsid wsp:val=&quot;00002B39&quot;/&gt;&lt;wsp:rsid wsp:val=&quot;00002CE3&quot;/&gt;&lt;wsp:rsid wsp:val=&quot;00003FA5&quot;/&gt;&lt;wsp:rsid wsp:val=&quot;000069C8&quot;/&gt;&lt;wsp:rsid wsp:val=&quot;00007BE3&quot;/&gt;&lt;wsp:rsid wsp:val=&quot;00016BEF&quot;/&gt;&lt;wsp:rsid wsp:val=&quot;00016F4D&quot;/&gt;&lt;wsp:rsid wsp:val=&quot;00017556&quot;/&gt;&lt;wsp:rsid wsp:val=&quot;00022A6E&quot;/&gt;&lt;wsp:rsid wsp:val=&quot;000278EB&quot;/&gt;&lt;wsp:rsid wsp:val=&quot;00030FC1&quot;/&gt;&lt;wsp:rsid wsp:val=&quot;0003104D&quot;/&gt;&lt;wsp:rsid wsp:val=&quot;0003592D&quot;/&gt;&lt;wsp:rsid wsp:val=&quot;00036BC7&quot;/&gt;&lt;wsp:rsid wsp:val=&quot;0004021F&quot;/&gt;&lt;wsp:rsid wsp:val=&quot;0004648A&quot;/&gt;&lt;wsp:rsid wsp:val=&quot;00047BE4&quot;/&gt;&lt;wsp:rsid wsp:val=&quot;000516EA&quot;/&gt;&lt;wsp:rsid wsp:val=&quot;00051A48&quot;/&gt;&lt;wsp:rsid wsp:val=&quot;00054FFA&quot;/&gt;&lt;wsp:rsid wsp:val=&quot;0006094E&quot;/&gt;&lt;wsp:rsid wsp:val=&quot;00064650&quot;/&gt;&lt;wsp:rsid wsp:val=&quot;00075FAB&quot;/&gt;&lt;wsp:rsid wsp:val=&quot;00084D08&quot;/&gt;&lt;wsp:rsid wsp:val=&quot;00087C01&quot;/&gt;&lt;wsp:rsid wsp:val=&quot;00090692&quot;/&gt;&lt;wsp:rsid wsp:val=&quot;00094375&quot;/&gt;&lt;wsp:rsid wsp:val=&quot;000A0D37&quot;/&gt;&lt;wsp:rsid wsp:val=&quot;000A1339&quot;/&gt;&lt;wsp:rsid wsp:val=&quot;000A2298&quot;/&gt;&lt;wsp:rsid wsp:val=&quot;000A2A14&quot;/&gt;&lt;wsp:rsid wsp:val=&quot;000A4860&quot;/&gt;&lt;wsp:rsid wsp:val=&quot;000A4F42&quot;/&gt;&lt;wsp:rsid wsp:val=&quot;000A60E8&quot;/&gt;&lt;wsp:rsid wsp:val=&quot;000B0C59&quot;/&gt;&lt;wsp:rsid wsp:val=&quot;000B1EA5&quot;/&gt;&lt;wsp:rsid wsp:val=&quot;000B1FEB&quot;/&gt;&lt;wsp:rsid wsp:val=&quot;000B2B75&quot;/&gt;&lt;wsp:rsid wsp:val=&quot;000B5012&quot;/&gt;&lt;wsp:rsid wsp:val=&quot;000B67EC&quot;/&gt;&lt;wsp:rsid wsp:val=&quot;000C0C12&quot;/&gt;&lt;wsp:rsid wsp:val=&quot;000C1E74&quot;/&gt;&lt;wsp:rsid wsp:val=&quot;000C2B8F&quot;/&gt;&lt;wsp:rsid wsp:val=&quot;000C2E27&quot;/&gt;&lt;wsp:rsid wsp:val=&quot;000C3198&quot;/&gt;&lt;wsp:rsid wsp:val=&quot;000D0C5B&quot;/&gt;&lt;wsp:rsid wsp:val=&quot;000D4301&quot;/&gt;&lt;wsp:rsid wsp:val=&quot;000E3D33&quot;/&gt;&lt;wsp:rsid wsp:val=&quot;000E49E7&quot;/&gt;&lt;wsp:rsid wsp:val=&quot;000E6BED&quot;/&gt;&lt;wsp:rsid wsp:val=&quot;000E6BF4&quot;/&gt;&lt;wsp:rsid wsp:val=&quot;000F1665&quot;/&gt;&lt;wsp:rsid wsp:val=&quot;000F22A4&quot;/&gt;&lt;wsp:rsid wsp:val=&quot;00101959&quot;/&gt;&lt;wsp:rsid wsp:val=&quot;001022A2&quot;/&gt;&lt;wsp:rsid wsp:val=&quot;00102875&quot;/&gt;&lt;wsp:rsid wsp:val=&quot;001065F7&quot;/&gt;&lt;wsp:rsid wsp:val=&quot;00106F0B&quot;/&gt;&lt;wsp:rsid wsp:val=&quot;00116000&quot;/&gt;&lt;wsp:rsid wsp:val=&quot;001212E9&quot;/&gt;&lt;wsp:rsid wsp:val=&quot;001221CE&quot;/&gt;&lt;wsp:rsid wsp:val=&quot;00125040&quot;/&gt;&lt;wsp:rsid wsp:val=&quot;00125C66&quot;/&gt;&lt;wsp:rsid wsp:val=&quot;00132C31&quot;/&gt;&lt;wsp:rsid wsp:val=&quot;00133F2C&quot;/&gt;&lt;wsp:rsid wsp:val=&quot;0013611D&quot;/&gt;&lt;wsp:rsid wsp:val=&quot;00144658&quot;/&gt;&lt;wsp:rsid wsp:val=&quot;0014762F&quot;/&gt;&lt;wsp:rsid wsp:val=&quot;0015773B&quot;/&gt;&lt;wsp:rsid wsp:val=&quot;00160202&quot;/&gt;&lt;wsp:rsid wsp:val=&quot;00160241&quot;/&gt;&lt;wsp:rsid wsp:val=&quot;0016187F&quot;/&gt;&lt;wsp:rsid wsp:val=&quot;00162691&quot;/&gt;&lt;wsp:rsid wsp:val=&quot;00162C69&quot;/&gt;&lt;wsp:rsid wsp:val=&quot;001676A3&quot;/&gt;&lt;wsp:rsid wsp:val=&quot;0016792B&quot;/&gt;&lt;wsp:rsid wsp:val=&quot;00167BB4&quot;/&gt;&lt;wsp:rsid wsp:val=&quot;00181B28&quot;/&gt;&lt;wsp:rsid wsp:val=&quot;0019197F&quot;/&gt;&lt;wsp:rsid wsp:val=&quot;001956D4&quot;/&gt;&lt;wsp:rsid wsp:val=&quot;001A5B99&quot;/&gt;&lt;wsp:rsid wsp:val=&quot;001A6387&quot;/&gt;&lt;wsp:rsid wsp:val=&quot;001A6A49&quot;/&gt;&lt;wsp:rsid wsp:val=&quot;001B4D51&quot;/&gt;&lt;wsp:rsid wsp:val=&quot;001B5581&quot;/&gt;&lt;wsp:rsid wsp:val=&quot;001B761B&quot;/&gt;&lt;wsp:rsid wsp:val=&quot;001B7E04&quot;/&gt;&lt;wsp:rsid wsp:val=&quot;001C11D0&quot;/&gt;&lt;wsp:rsid wsp:val=&quot;001C5147&quot;/&gt;&lt;wsp:rsid wsp:val=&quot;001D002F&quot;/&gt;&lt;wsp:rsid wsp:val=&quot;001D21E6&quot;/&gt;&lt;wsp:rsid wsp:val=&quot;001D54A9&quot;/&gt;&lt;wsp:rsid wsp:val=&quot;001D5911&quot;/&gt;&lt;wsp:rsid wsp:val=&quot;001D72A2&quot;/&gt;&lt;wsp:rsid wsp:val=&quot;00214054&quot;/&gt;&lt;wsp:rsid wsp:val=&quot;00223420&quot;/&gt;&lt;wsp:rsid wsp:val=&quot;00223B9C&quot;/&gt;&lt;wsp:rsid wsp:val=&quot;0022612A&quot;/&gt;&lt;wsp:rsid wsp:val=&quot;00226D4C&quot;/&gt;&lt;wsp:rsid wsp:val=&quot;002308B8&quot;/&gt;&lt;wsp:rsid wsp:val=&quot;002309EB&quot;/&gt;&lt;wsp:rsid wsp:val=&quot;0023101D&quot;/&gt;&lt;wsp:rsid wsp:val=&quot;002310C6&quot;/&gt;&lt;wsp:rsid wsp:val=&quot;002321B1&quot;/&gt;&lt;wsp:rsid wsp:val=&quot;0023257D&quot;/&gt;&lt;wsp:rsid wsp:val=&quot;00232FDF&quot;/&gt;&lt;wsp:rsid wsp:val=&quot;002346DC&quot;/&gt;&lt;wsp:rsid wsp:val=&quot;0023635F&quot;/&gt;&lt;wsp:rsid wsp:val=&quot;00241F35&quot;/&gt;&lt;wsp:rsid wsp:val=&quot;00250F35&quot;/&gt;&lt;wsp:rsid wsp:val=&quot;00253C60&quot;/&gt;&lt;wsp:rsid wsp:val=&quot;00256945&quot;/&gt;&lt;wsp:rsid wsp:val=&quot;002642CB&quot;/&gt;&lt;wsp:rsid wsp:val=&quot;0026556B&quot;/&gt;&lt;wsp:rsid wsp:val=&quot;00270694&quot;/&gt;&lt;wsp:rsid wsp:val=&quot;00270781&quot;/&gt;&lt;wsp:rsid wsp:val=&quot;00271E97&quot;/&gt;&lt;wsp:rsid wsp:val=&quot;002908EE&quot;/&gt;&lt;wsp:rsid wsp:val=&quot;00292401&quot;/&gt;&lt;wsp:rsid wsp:val=&quot;0029391A&quot;/&gt;&lt;wsp:rsid wsp:val=&quot;0029659A&quot;/&gt;&lt;wsp:rsid wsp:val=&quot;002A0C23&quot;/&gt;&lt;wsp:rsid wsp:val=&quot;002A27DA&quot;/&gt;&lt;wsp:rsid wsp:val=&quot;002B29EB&quot;/&gt;&lt;wsp:rsid wsp:val=&quot;002B3683&quot;/&gt;&lt;wsp:rsid wsp:val=&quot;002B3C67&quot;/&gt;&lt;wsp:rsid wsp:val=&quot;002B70CB&quot;/&gt;&lt;wsp:rsid wsp:val=&quot;002C007F&quot;/&gt;&lt;wsp:rsid wsp:val=&quot;002D03B2&quot;/&gt;&lt;wsp:rsid wsp:val=&quot;002D2717&quot;/&gt;&lt;wsp:rsid wsp:val=&quot;002D37C6&quot;/&gt;&lt;wsp:rsid wsp:val=&quot;002D4812&quot;/&gt;&lt;wsp:rsid wsp:val=&quot;002D54F2&quot;/&gt;&lt;wsp:rsid wsp:val=&quot;002D5955&quot;/&gt;&lt;wsp:rsid wsp:val=&quot;002E161B&quot;/&gt;&lt;wsp:rsid wsp:val=&quot;002E4B34&quot;/&gt;&lt;wsp:rsid wsp:val=&quot;002E6007&quot;/&gt;&lt;wsp:rsid wsp:val=&quot;002F3AB4&quot;/&gt;&lt;wsp:rsid wsp:val=&quot;002F4A17&quot;/&gt;&lt;wsp:rsid wsp:val=&quot;002F4F68&quot;/&gt;&lt;wsp:rsid wsp:val=&quot;003020C0&quot;/&gt;&lt;wsp:rsid wsp:val=&quot;0030216A&quot;/&gt;&lt;wsp:rsid wsp:val=&quot;00302207&quot;/&gt;&lt;wsp:rsid wsp:val=&quot;00302A29&quot;/&gt;&lt;wsp:rsid wsp:val=&quot;003110BA&quot;/&gt;&lt;wsp:rsid wsp:val=&quot;003133BD&quot;/&gt;&lt;wsp:rsid wsp:val=&quot;00321DBF&quot;/&gt;&lt;wsp:rsid wsp:val=&quot;00323BA2&quot;/&gt;&lt;wsp:rsid wsp:val=&quot;003247E5&quot;/&gt;&lt;wsp:rsid wsp:val=&quot;00327B96&quot;/&gt;&lt;wsp:rsid wsp:val=&quot;00330A0A&quot;/&gt;&lt;wsp:rsid wsp:val=&quot;003350EB&quot;/&gt;&lt;wsp:rsid wsp:val=&quot;00337860&quot;/&gt;&lt;wsp:rsid wsp:val=&quot;00341326&quot;/&gt;&lt;wsp:rsid wsp:val=&quot;003419EC&quot;/&gt;&lt;wsp:rsid wsp:val=&quot;003430E0&quot;/&gt;&lt;wsp:rsid wsp:val=&quot;00343CDF&quot;/&gt;&lt;wsp:rsid wsp:val=&quot;003450E6&quot;/&gt;&lt;wsp:rsid wsp:val=&quot;00350AF0&quot;/&gt;&lt;wsp:rsid wsp:val=&quot;00350E69&quot;/&gt;&lt;wsp:rsid wsp:val=&quot;003532C9&quot;/&gt;&lt;wsp:rsid wsp:val=&quot;003536C6&quot;/&gt;&lt;wsp:rsid wsp:val=&quot;003560BC&quot;/&gt;&lt;wsp:rsid wsp:val=&quot;003567DD&quot;/&gt;&lt;wsp:rsid wsp:val=&quot;0036459D&quot;/&gt;&lt;wsp:rsid wsp:val=&quot;00367107&quot;/&gt;&lt;wsp:rsid wsp:val=&quot;00374C60&quot;/&gt;&lt;wsp:rsid wsp:val=&quot;003822B8&quot;/&gt;&lt;wsp:rsid wsp:val=&quot;00384522&quot;/&gt;&lt;wsp:rsid wsp:val=&quot;00386528&quot;/&gt;&lt;wsp:rsid wsp:val=&quot;003A0D9E&quot;/&gt;&lt;wsp:rsid wsp:val=&quot;003A760E&quot;/&gt;&lt;wsp:rsid wsp:val=&quot;003A7B4F&quot;/&gt;&lt;wsp:rsid wsp:val=&quot;003B3450&quot;/&gt;&lt;wsp:rsid wsp:val=&quot;003C0577&quot;/&gt;&lt;wsp:rsid wsp:val=&quot;003C4281&quot;/&gt;&lt;wsp:rsid wsp:val=&quot;003C70A3&quot;/&gt;&lt;wsp:rsid wsp:val=&quot;003C735D&quot;/&gt;&lt;wsp:rsid wsp:val=&quot;003F01F9&quot;/&gt;&lt;wsp:rsid wsp:val=&quot;003F270D&quot;/&gt;&lt;wsp:rsid wsp:val=&quot;003F304C&quot;/&gt;&lt;wsp:rsid wsp:val=&quot;003F4135&quot;/&gt;&lt;wsp:rsid wsp:val=&quot;003F612B&quot;/&gt;&lt;wsp:rsid wsp:val=&quot;00400C74&quot;/&gt;&lt;wsp:rsid wsp:val=&quot;004027FB&quot;/&gt;&lt;wsp:rsid wsp:val=&quot;00402FA5&quot;/&gt;&lt;wsp:rsid wsp:val=&quot;00403417&quot;/&gt;&lt;wsp:rsid wsp:val=&quot;00405152&quot;/&gt;&lt;wsp:rsid wsp:val=&quot;004054DA&quot;/&gt;&lt;wsp:rsid wsp:val=&quot;00405F0F&quot;/&gt;&lt;wsp:rsid wsp:val=&quot;00412400&quot;/&gt;&lt;wsp:rsid wsp:val=&quot;0041666B&quot;/&gt;&lt;wsp:rsid wsp:val=&quot;0042091A&quot;/&gt;&lt;wsp:rsid wsp:val=&quot;00424343&quot;/&gt;&lt;wsp:rsid wsp:val=&quot;0042455D&quot;/&gt;&lt;wsp:rsid wsp:val=&quot;0042481C&quot;/&gt;&lt;wsp:rsid wsp:val=&quot;00427007&quot;/&gt;&lt;wsp:rsid wsp:val=&quot;0043333C&quot;/&gt;&lt;wsp:rsid wsp:val=&quot;00441345&quot;/&gt;&lt;wsp:rsid wsp:val=&quot;00441722&quot;/&gt;&lt;wsp:rsid wsp:val=&quot;00443153&quot;/&gt;&lt;wsp:rsid wsp:val=&quot;00444774&quot;/&gt;&lt;wsp:rsid wsp:val=&quot;0044504C&quot;/&gt;&lt;wsp:rsid wsp:val=&quot;004472B0&quot;/&gt;&lt;wsp:rsid wsp:val=&quot;00450F7F&quot;/&gt;&lt;wsp:rsid wsp:val=&quot;00466BA5&quot;/&gt;&lt;wsp:rsid wsp:val=&quot;00467581&quot;/&gt;&lt;wsp:rsid wsp:val=&quot;00470AB2&quot;/&gt;&lt;wsp:rsid wsp:val=&quot;004715C0&quot;/&gt;&lt;wsp:rsid wsp:val=&quot;00474E99&quot;/&gt;&lt;wsp:rsid wsp:val=&quot;00476399&quot;/&gt;&lt;wsp:rsid wsp:val=&quot;004766D2&quot;/&gt;&lt;wsp:rsid wsp:val=&quot;00476798&quot;/&gt;&lt;wsp:rsid wsp:val=&quot;00480C80&quot;/&gt;&lt;wsp:rsid wsp:val=&quot;0048461B&quot;/&gt;&lt;wsp:rsid wsp:val=&quot;00485852&quot;/&gt;&lt;wsp:rsid wsp:val=&quot;004878F0&quot;/&gt;&lt;wsp:rsid wsp:val=&quot;00490E8E&quot;/&gt;&lt;wsp:rsid wsp:val=&quot;00491B21&quot;/&gt;&lt;wsp:rsid wsp:val=&quot;004940E7&quot;/&gt;&lt;wsp:rsid wsp:val=&quot;004A3150&quot;/&gt;&lt;wsp:rsid wsp:val=&quot;004A5F7F&quot;/&gt;&lt;wsp:rsid wsp:val=&quot;004A6A65&quot;/&gt;&lt;wsp:rsid wsp:val=&quot;004A72DC&quot;/&gt;&lt;wsp:rsid wsp:val=&quot;004A7539&quot;/&gt;&lt;wsp:rsid wsp:val=&quot;004A7D61&quot;/&gt;&lt;wsp:rsid wsp:val=&quot;004B3873&quot;/&gt;&lt;wsp:rsid wsp:val=&quot;004C1211&quot;/&gt;&lt;wsp:rsid wsp:val=&quot;004C71FC&quot;/&gt;&lt;wsp:rsid wsp:val=&quot;004D0AFD&quot;/&gt;&lt;wsp:rsid wsp:val=&quot;004D2442&quot;/&gt;&lt;wsp:rsid wsp:val=&quot;004D2882&quot;/&gt;&lt;wsp:rsid wsp:val=&quot;004D36EF&quot;/&gt;&lt;wsp:rsid wsp:val=&quot;004D4246&quot;/&gt;&lt;wsp:rsid wsp:val=&quot;004D4B83&quot;/&gt;&lt;wsp:rsid wsp:val=&quot;004D73DF&quot;/&gt;&lt;wsp:rsid wsp:val=&quot;004D76C5&quot;/&gt;&lt;wsp:rsid wsp:val=&quot;004E254F&quot;/&gt;&lt;wsp:rsid wsp:val=&quot;004E6D8C&quot;/&gt;&lt;wsp:rsid wsp:val=&quot;004F16BF&quot;/&gt;&lt;wsp:rsid wsp:val=&quot;004F3987&quot;/&gt;&lt;wsp:rsid wsp:val=&quot;004F749C&quot;/&gt;&lt;wsp:rsid wsp:val=&quot;00500338&quot;/&gt;&lt;wsp:rsid wsp:val=&quot;005038D7&quot;/&gt;&lt;wsp:rsid wsp:val=&quot;00504432&quot;/&gt;&lt;wsp:rsid wsp:val=&quot;005047E3&quot;/&gt;&lt;wsp:rsid wsp:val=&quot;005048FE&quot;/&gt;&lt;wsp:rsid wsp:val=&quot;005067E3&quot;/&gt;&lt;wsp:rsid wsp:val=&quot;00511385&quot;/&gt;&lt;wsp:rsid wsp:val=&quot;00520D4A&quot;/&gt;&lt;wsp:rsid wsp:val=&quot;00523F84&quot;/&gt;&lt;wsp:rsid wsp:val=&quot;0052718D&quot;/&gt;&lt;wsp:rsid wsp:val=&quot;00531495&quot;/&gt;&lt;wsp:rsid wsp:val=&quot;00535147&quot;/&gt;&lt;wsp:rsid wsp:val=&quot;005357B4&quot;/&gt;&lt;wsp:rsid wsp:val=&quot;00536AF3&quot;/&gt;&lt;wsp:rsid wsp:val=&quot;005458C4&quot;/&gt;&lt;wsp:rsid wsp:val=&quot;005458CF&quot;/&gt;&lt;wsp:rsid wsp:val=&quot;00546D12&quot;/&gt;&lt;wsp:rsid wsp:val=&quot;00552A99&quot;/&gt;&lt;wsp:rsid wsp:val=&quot;00556426&quot;/&gt;&lt;wsp:rsid wsp:val=&quot;00560E6E&quot;/&gt;&lt;wsp:rsid wsp:val=&quot;00561C42&quot;/&gt;&lt;wsp:rsid wsp:val=&quot;00561E55&quot;/&gt;&lt;wsp:rsid wsp:val=&quot;00562E3C&quot;/&gt;&lt;wsp:rsid wsp:val=&quot;005633D4&quot;/&gt;&lt;wsp:rsid wsp:val=&quot;005645D8&quot;/&gt;&lt;wsp:rsid wsp:val=&quot;005656F7&quot;/&gt;&lt;wsp:rsid wsp:val=&quot;00570EBD&quot;/&gt;&lt;wsp:rsid wsp:val=&quot;005736E5&quot;/&gt;&lt;wsp:rsid wsp:val=&quot;005746FA&quot;/&gt;&lt;wsp:rsid wsp:val=&quot;00576230&quot;/&gt;&lt;wsp:rsid wsp:val=&quot;00577D58&quot;/&gt;&lt;wsp:rsid wsp:val=&quot;00582DC6&quot;/&gt;&lt;wsp:rsid wsp:val=&quot;00584037&quot;/&gt;&lt;wsp:rsid wsp:val=&quot;005855F0&quot;/&gt;&lt;wsp:rsid wsp:val=&quot;00593120&quot;/&gt;&lt;wsp:rsid wsp:val=&quot;00594979&quot;/&gt;&lt;wsp:rsid wsp:val=&quot;005B13C7&quot;/&gt;&lt;wsp:rsid wsp:val=&quot;005B386A&quot;/&gt;&lt;wsp:rsid wsp:val=&quot;005B3B53&quot;/&gt;&lt;wsp:rsid wsp:val=&quot;005B3E7B&quot;/&gt;&lt;wsp:rsid wsp:val=&quot;005C05AB&quot;/&gt;&lt;wsp:rsid wsp:val=&quot;005C5ECF&quot;/&gt;&lt;wsp:rsid wsp:val=&quot;005C7FA2&quot;/&gt;&lt;wsp:rsid wsp:val=&quot;005D3ACB&quot;/&gt;&lt;wsp:rsid wsp:val=&quot;005D3F20&quot;/&gt;&lt;wsp:rsid wsp:val=&quot;005D688A&quot;/&gt;&lt;wsp:rsid wsp:val=&quot;005E4282&quot;/&gt;&lt;wsp:rsid wsp:val=&quot;005E481B&quot;/&gt;&lt;wsp:rsid wsp:val=&quot;005E7CA8&quot;/&gt;&lt;wsp:rsid wsp:val=&quot;005F0CA9&quot;/&gt;&lt;wsp:rsid wsp:val=&quot;005F1FC8&quot;/&gt;&lt;wsp:rsid wsp:val=&quot;005F24CB&quot;/&gt;&lt;wsp:rsid wsp:val=&quot;005F3613&quot;/&gt;&lt;wsp:rsid wsp:val=&quot;006024DA&quot;/&gt;&lt;wsp:rsid wsp:val=&quot;00613B7A&quot;/&gt;&lt;wsp:rsid wsp:val=&quot;00625D17&quot;/&gt;&lt;wsp:rsid wsp:val=&quot;00631A7F&quot;/&gt;&lt;wsp:rsid wsp:val=&quot;00636D04&quot;/&gt;&lt;wsp:rsid wsp:val=&quot;00636E7C&quot;/&gt;&lt;wsp:rsid wsp:val=&quot;00637111&quot;/&gt;&lt;wsp:rsid wsp:val=&quot;006376F6&quot;/&gt;&lt;wsp:rsid wsp:val=&quot;00640684&quot;/&gt;&lt;wsp:rsid wsp:val=&quot;00643D6B&quot;/&gt;&lt;wsp:rsid wsp:val=&quot;00643E33&quot;/&gt;&lt;wsp:rsid wsp:val=&quot;00646A4F&quot;/&gt;&lt;wsp:rsid wsp:val=&quot;00651842&quot;/&gt;&lt;wsp:rsid wsp:val=&quot;00651FE3&quot;/&gt;&lt;wsp:rsid wsp:val=&quot;00663F89&quot;/&gt;&lt;wsp:rsid wsp:val=&quot;00665627&quot;/&gt;&lt;wsp:rsid wsp:val=&quot;00665809&quot;/&gt;&lt;wsp:rsid wsp:val=&quot;00665A76&quot;/&gt;&lt;wsp:rsid wsp:val=&quot;00670744&quot;/&gt;&lt;wsp:rsid wsp:val=&quot;00675726&quot;/&gt;&lt;wsp:rsid wsp:val=&quot;006772AB&quot;/&gt;&lt;wsp:rsid wsp:val=&quot;006775FA&quot;/&gt;&lt;wsp:rsid wsp:val=&quot;006815DE&quot;/&gt;&lt;wsp:rsid wsp:val=&quot;00681E28&quot;/&gt;&lt;wsp:rsid wsp:val=&quot;0068625C&quot;/&gt;&lt;wsp:rsid wsp:val=&quot;006867FD&quot;/&gt;&lt;wsp:rsid wsp:val=&quot;00691D3C&quot;/&gt;&lt;wsp:rsid wsp:val=&quot;0069254B&quot;/&gt;&lt;wsp:rsid wsp:val=&quot;00693D0F&quot;/&gt;&lt;wsp:rsid wsp:val=&quot;00694054&quot;/&gt;&lt;wsp:rsid wsp:val=&quot;006942C5&quot;/&gt;&lt;wsp:rsid wsp:val=&quot;00694DDA&quot;/&gt;&lt;wsp:rsid wsp:val=&quot;00697059&quot;/&gt;&lt;wsp:rsid wsp:val=&quot;006A2D20&quot;/&gt;&lt;wsp:rsid wsp:val=&quot;006A3E1A&quot;/&gt;&lt;wsp:rsid wsp:val=&quot;006A6F12&quot;/&gt;&lt;wsp:rsid wsp:val=&quot;006B0430&quot;/&gt;&lt;wsp:rsid wsp:val=&quot;006B38ED&quot;/&gt;&lt;wsp:rsid wsp:val=&quot;006B456F&quot;/&gt;&lt;wsp:rsid wsp:val=&quot;006B46F3&quot;/&gt;&lt;wsp:rsid wsp:val=&quot;006B478A&quot;/&gt;&lt;wsp:rsid wsp:val=&quot;006C1F31&quot;/&gt;&lt;wsp:rsid wsp:val=&quot;006C2BF5&quot;/&gt;&lt;wsp:rsid wsp:val=&quot;006D0A48&quot;/&gt;&lt;wsp:rsid wsp:val=&quot;006D21B3&quot;/&gt;&lt;wsp:rsid wsp:val=&quot;006D2DAD&quot;/&gt;&lt;wsp:rsid wsp:val=&quot;006D3BA6&quot;/&gt;&lt;wsp:rsid wsp:val=&quot;006D58ED&quot;/&gt;&lt;wsp:rsid wsp:val=&quot;006E0EF5&quot;/&gt;&lt;wsp:rsid wsp:val=&quot;006E68EE&quot;/&gt;&lt;wsp:rsid wsp:val=&quot;006F0165&quot;/&gt;&lt;wsp:rsid wsp:val=&quot;006F1C10&quot;/&gt;&lt;wsp:rsid wsp:val=&quot;007049F4&quot;/&gt;&lt;wsp:rsid wsp:val=&quot;00716982&quot;/&gt;&lt;wsp:rsid wsp:val=&quot;00720D0A&quot;/&gt;&lt;wsp:rsid wsp:val=&quot;007246E9&quot;/&gt;&lt;wsp:rsid wsp:val=&quot;00724801&quot;/&gt;&lt;wsp:rsid wsp:val=&quot;00726AC2&quot;/&gt;&lt;wsp:rsid wsp:val=&quot;00727C48&quot;/&gt;&lt;wsp:rsid wsp:val=&quot;00732E64&quot;/&gt;&lt;wsp:rsid wsp:val=&quot;00734206&quot;/&gt;&lt;wsp:rsid wsp:val=&quot;00735D81&quot;/&gt;&lt;wsp:rsid wsp:val=&quot;00745F7A&quot;/&gt;&lt;wsp:rsid wsp:val=&quot;0076143A&quot;/&gt;&lt;wsp:rsid wsp:val=&quot;00762646&quot;/&gt;&lt;wsp:rsid wsp:val=&quot;00764566&quot;/&gt;&lt;wsp:rsid wsp:val=&quot;007815BA&quot;/&gt;&lt;wsp:rsid wsp:val=&quot;00782D19&quot;/&gt;&lt;wsp:rsid wsp:val=&quot;00791B8B&quot;/&gt;&lt;wsp:rsid wsp:val=&quot;00792BFE&quot;/&gt;&lt;wsp:rsid wsp:val=&quot;00795254&quot;/&gt;&lt;wsp:rsid wsp:val=&quot;00797066&quot;/&gt;&lt;wsp:rsid wsp:val=&quot;007A263C&quot;/&gt;&lt;wsp:rsid wsp:val=&quot;007B0345&quot;/&gt;&lt;wsp:rsid wsp:val=&quot;007B15AE&quot;/&gt;&lt;wsp:rsid wsp:val=&quot;007B186A&quot;/&gt;&lt;wsp:rsid wsp:val=&quot;007B2584&quot;/&gt;&lt;wsp:rsid wsp:val=&quot;007B4B49&quot;/&gt;&lt;wsp:rsid wsp:val=&quot;007B7BFE&quot;/&gt;&lt;wsp:rsid wsp:val=&quot;007C078B&quot;/&gt;&lt;wsp:rsid wsp:val=&quot;007C1B3B&quot;/&gt;&lt;wsp:rsid wsp:val=&quot;007C61DD&quot;/&gt;&lt;wsp:rsid wsp:val=&quot;007D37D1&quot;/&gt;&lt;wsp:rsid wsp:val=&quot;007D3D6F&quot;/&gt;&lt;wsp:rsid wsp:val=&quot;007D4D68&quot;/&gt;&lt;wsp:rsid wsp:val=&quot;007D7B43&quot;/&gt;&lt;wsp:rsid wsp:val=&quot;007E07D1&quot;/&gt;&lt;wsp:rsid wsp:val=&quot;007E2C87&quot;/&gt;&lt;wsp:rsid wsp:val=&quot;007F08D0&quot;/&gt;&lt;wsp:rsid wsp:val=&quot;007F33E7&quot;/&gt;&lt;wsp:rsid wsp:val=&quot;007F4ACB&quot;/&gt;&lt;wsp:rsid wsp:val=&quot;007F7003&quot;/&gt;&lt;wsp:rsid wsp:val=&quot;007F7B70&quot;/&gt;&lt;wsp:rsid wsp:val=&quot;008000C2&quot;/&gt;&lt;wsp:rsid wsp:val=&quot;008063EE&quot;/&gt;&lt;wsp:rsid wsp:val=&quot;00812F9A&quot;/&gt;&lt;wsp:rsid wsp:val=&quot;00817885&quot;/&gt;&lt;wsp:rsid wsp:val=&quot;00820602&quot;/&gt;&lt;wsp:rsid wsp:val=&quot;00825956&quot;/&gt;&lt;wsp:rsid wsp:val=&quot;00834187&quot;/&gt;&lt;wsp:rsid wsp:val=&quot;0083443E&quot;/&gt;&lt;wsp:rsid wsp:val=&quot;00844CE8&quot;/&gt;&lt;wsp:rsid wsp:val=&quot;00845BC8&quot;/&gt;&lt;wsp:rsid wsp:val=&quot;00846E89&quot;/&gt;&lt;wsp:rsid wsp:val=&quot;0085299C&quot;/&gt;&lt;wsp:rsid wsp:val=&quot;00855304&quot;/&gt;&lt;wsp:rsid wsp:val=&quot;00857635&quot;/&gt;&lt;wsp:rsid wsp:val=&quot;00857959&quot;/&gt;&lt;wsp:rsid wsp:val=&quot;0086699F&quot;/&gt;&lt;wsp:rsid wsp:val=&quot;00881165&quot;/&gt;&lt;wsp:rsid wsp:val=&quot;0088790C&quot;/&gt;&lt;wsp:rsid wsp:val=&quot;00890032&quot;/&gt;&lt;wsp:rsid wsp:val=&quot;00891E51&quot;/&gt;&lt;wsp:rsid wsp:val=&quot;00892871&quot;/&gt;&lt;wsp:rsid wsp:val=&quot;00893558&quot;/&gt;&lt;wsp:rsid wsp:val=&quot;00894F80&quot;/&gt;&lt;wsp:rsid wsp:val=&quot;008962C6&quot;/&gt;&lt;wsp:rsid wsp:val=&quot;008A2F55&quot;/&gt;&lt;wsp:rsid wsp:val=&quot;008A38B4&quot;/&gt;&lt;wsp:rsid wsp:val=&quot;008A59D8&quot;/&gt;&lt;wsp:rsid wsp:val=&quot;008A7856&quot;/&gt;&lt;wsp:rsid wsp:val=&quot;008A7DBB&quot;/&gt;&lt;wsp:rsid wsp:val=&quot;008B4100&quot;/&gt;&lt;wsp:rsid wsp:val=&quot;008C55AE&quot;/&gt;&lt;wsp:rsid wsp:val=&quot;008D1218&quot;/&gt;&lt;wsp:rsid wsp:val=&quot;008D2DD2&quot;/&gt;&lt;wsp:rsid wsp:val=&quot;008D4B3D&quot;/&gt;&lt;wsp:rsid wsp:val=&quot;008E1EAF&quot;/&gt;&lt;wsp:rsid wsp:val=&quot;008E2DB4&quot;/&gt;&lt;wsp:rsid wsp:val=&quot;008E4AE5&quot;/&gt;&lt;wsp:rsid wsp:val=&quot;008E5E5F&quot;/&gt;&lt;wsp:rsid wsp:val=&quot;008F13B0&quot;/&gt;&lt;wsp:rsid wsp:val=&quot;008F3E93&quot;/&gt;&lt;wsp:rsid wsp:val=&quot;008F57E2&quot;/&gt;&lt;wsp:rsid wsp:val=&quot;008F7DA3&quot;/&gt;&lt;wsp:rsid wsp:val=&quot;00900D99&quot;/&gt;&lt;wsp:rsid wsp:val=&quot;00902836&quot;/&gt;&lt;wsp:rsid wsp:val=&quot;009040D3&quot;/&gt;&lt;wsp:rsid wsp:val=&quot;009077E5&quot;/&gt;&lt;wsp:rsid wsp:val=&quot;00915E05&quot;/&gt;&lt;wsp:rsid wsp:val=&quot;00923E97&quot;/&gt;&lt;wsp:rsid wsp:val=&quot;009241C7&quot;/&gt;&lt;wsp:rsid wsp:val=&quot;009256A1&quot;/&gt;&lt;wsp:rsid wsp:val=&quot;00926376&quot;/&gt;&lt;wsp:rsid wsp:val=&quot;00931AA5&quot;/&gt;&lt;wsp:rsid wsp:val=&quot;00933A4E&quot;/&gt;&lt;wsp:rsid wsp:val=&quot;0093793B&quot;/&gt;&lt;wsp:rsid wsp:val=&quot;009463EE&quot;/&gt;&lt;wsp:rsid wsp:val=&quot;0094704E&quot;/&gt;&lt;wsp:rsid wsp:val=&quot;009524CA&quot;/&gt;&lt;wsp:rsid wsp:val=&quot;00956CE0&quot;/&gt;&lt;wsp:rsid wsp:val=&quot;009624DE&quot;/&gt;&lt;wsp:rsid wsp:val=&quot;0096487E&quot;/&gt;&lt;wsp:rsid wsp:val=&quot;00964E29&quot;/&gt;&lt;wsp:rsid wsp:val=&quot;00966E79&quot;/&gt;&lt;wsp:rsid wsp:val=&quot;009722E9&quot;/&gt;&lt;wsp:rsid wsp:val=&quot;0097299C&quot;/&gt;&lt;wsp:rsid wsp:val=&quot;00974672&quot;/&gt;&lt;wsp:rsid wsp:val=&quot;00975E8A&quot;/&gt;&lt;wsp:rsid wsp:val=&quot;00976411&quot;/&gt;&lt;wsp:rsid wsp:val=&quot;00985AF4&quot;/&gt;&lt;wsp:rsid wsp:val=&quot;0099078C&quot;/&gt;&lt;wsp:rsid wsp:val=&quot;00997A8B&quot;/&gt;&lt;wsp:rsid wsp:val=&quot;009A1557&quot;/&gt;&lt;wsp:rsid wsp:val=&quot;009A18D6&quot;/&gt;&lt;wsp:rsid wsp:val=&quot;009A2E28&quot;/&gt;&lt;wsp:rsid wsp:val=&quot;009B0EC4&quot;/&gt;&lt;wsp:rsid wsp:val=&quot;009C0486&quot;/&gt;&lt;wsp:rsid wsp:val=&quot;009C1FEA&quot;/&gt;&lt;wsp:rsid wsp:val=&quot;009C2543&quot;/&gt;&lt;wsp:rsid wsp:val=&quot;009C72CC&quot;/&gt;&lt;wsp:rsid wsp:val=&quot;009D06F0&quot;/&gt;&lt;wsp:rsid wsp:val=&quot;009D16F7&quot;/&gt;&lt;wsp:rsid wsp:val=&quot;009D1DFC&quot;/&gt;&lt;wsp:rsid wsp:val=&quot;009D52D0&quot;/&gt;&lt;wsp:rsid wsp:val=&quot;009D71EF&quot;/&gt;&lt;wsp:rsid wsp:val=&quot;009D7BFE&quot;/&gt;&lt;wsp:rsid wsp:val=&quot;009D7FA7&quot;/&gt;&lt;wsp:rsid wsp:val=&quot;009E025C&quot;/&gt;&lt;wsp:rsid wsp:val=&quot;009E0551&quot;/&gt;&lt;wsp:rsid wsp:val=&quot;009E0F36&quot;/&gt;&lt;wsp:rsid wsp:val=&quot;009E33F9&quot;/&gt;&lt;wsp:rsid wsp:val=&quot;009E5D90&quot;/&gt;&lt;wsp:rsid wsp:val=&quot;009E78A1&quot;/&gt;&lt;wsp:rsid wsp:val=&quot;009F3B3D&quot;/&gt;&lt;wsp:rsid wsp:val=&quot;009F4CCE&quot;/&gt;&lt;wsp:rsid wsp:val=&quot;009F631B&quot;/&gt;&lt;wsp:rsid wsp:val=&quot;009F7115&quot;/&gt;&lt;wsp:rsid wsp:val=&quot;009F7E36&quot;/&gt;&lt;wsp:rsid wsp:val=&quot;00A0129F&quot;/&gt;&lt;wsp:rsid wsp:val=&quot;00A03281&quot;/&gt;&lt;wsp:rsid wsp:val=&quot;00A04394&quot;/&gt;&lt;wsp:rsid wsp:val=&quot;00A043BA&quot;/&gt;&lt;wsp:rsid wsp:val=&quot;00A0583F&quot;/&gt;&lt;wsp:rsid wsp:val=&quot;00A14533&quot;/&gt;&lt;wsp:rsid wsp:val=&quot;00A16644&quot;/&gt;&lt;wsp:rsid wsp:val=&quot;00A20781&quot;/&gt;&lt;wsp:rsid wsp:val=&quot;00A2220E&quot;/&gt;&lt;wsp:rsid wsp:val=&quot;00A22502&quot;/&gt;&lt;wsp:rsid wsp:val=&quot;00A31E3F&quot;/&gt;&lt;wsp:rsid wsp:val=&quot;00A3436B&quot;/&gt;&lt;wsp:rsid wsp:val=&quot;00A3449C&quot;/&gt;&lt;wsp:rsid wsp:val=&quot;00A34516&quot;/&gt;&lt;wsp:rsid wsp:val=&quot;00A34D77&quot;/&gt;&lt;wsp:rsid wsp:val=&quot;00A36420&quot;/&gt;&lt;wsp:rsid wsp:val=&quot;00A401B8&quot;/&gt;&lt;wsp:rsid wsp:val=&quot;00A43A53&quot;/&gt;&lt;wsp:rsid wsp:val=&quot;00A45071&quot;/&gt;&lt;wsp:rsid wsp:val=&quot;00A50FB8&quot;/&gt;&lt;wsp:rsid wsp:val=&quot;00A576E2&quot;/&gt;&lt;wsp:rsid wsp:val=&quot;00A63DB5&quot;/&gt;&lt;wsp:rsid wsp:val=&quot;00A6579D&quot;/&gt;&lt;wsp:rsid wsp:val=&quot;00A66026&quot;/&gt;&lt;wsp:rsid wsp:val=&quot;00A71A07&quot;/&gt;&lt;wsp:rsid wsp:val=&quot;00A73DFD&quot;/&gt;&lt;wsp:rsid wsp:val=&quot;00A75C75&quot;/&gt;&lt;wsp:rsid wsp:val=&quot;00A77835&quot;/&gt;&lt;wsp:rsid wsp:val=&quot;00A8073B&quot;/&gt;&lt;wsp:rsid wsp:val=&quot;00A81BC2&quot;/&gt;&lt;wsp:rsid wsp:val=&quot;00A82896&quot;/&gt;&lt;wsp:rsid wsp:val=&quot;00A85E79&quot;/&gt;&lt;wsp:rsid wsp:val=&quot;00A86450&quot;/&gt;&lt;wsp:rsid wsp:val=&quot;00A878AD&quot;/&gt;&lt;wsp:rsid wsp:val=&quot;00A90FAC&quot;/&gt;&lt;wsp:rsid wsp:val=&quot;00A924F1&quot;/&gt;&lt;wsp:rsid wsp:val=&quot;00A95083&quot;/&gt;&lt;wsp:rsid wsp:val=&quot;00AA13E7&quot;/&gt;&lt;wsp:rsid wsp:val=&quot;00AA50A2&quot;/&gt;&lt;wsp:rsid wsp:val=&quot;00AB7A55&quot;/&gt;&lt;wsp:rsid wsp:val=&quot;00AC11CE&quot;/&gt;&lt;wsp:rsid wsp:val=&quot;00AC2DF8&quot;/&gt;&lt;wsp:rsid wsp:val=&quot;00AC3BF6&quot;/&gt;&lt;wsp:rsid wsp:val=&quot;00AC5515&quot;/&gt;&lt;wsp:rsid wsp:val=&quot;00AC5F8A&quot;/&gt;&lt;wsp:rsid wsp:val=&quot;00AE186F&quot;/&gt;&lt;wsp:rsid wsp:val=&quot;00AE51B1&quot;/&gt;&lt;wsp:rsid wsp:val=&quot;00AE5500&quot;/&gt;&lt;wsp:rsid wsp:val=&quot;00AE5CC0&quot;/&gt;&lt;wsp:rsid wsp:val=&quot;00AF02FB&quot;/&gt;&lt;wsp:rsid wsp:val=&quot;00AF1750&quot;/&gt;&lt;wsp:rsid wsp:val=&quot;00AF3533&quot;/&gt;&lt;wsp:rsid wsp:val=&quot;00B01109&quot;/&gt;&lt;wsp:rsid wsp:val=&quot;00B02F4A&quot;/&gt;&lt;wsp:rsid wsp:val=&quot;00B0543C&quot;/&gt;&lt;wsp:rsid wsp:val=&quot;00B0597C&quot;/&gt;&lt;wsp:rsid wsp:val=&quot;00B06B24&quot;/&gt;&lt;wsp:rsid wsp:val=&quot;00B079DF&quot;/&gt;&lt;wsp:rsid wsp:val=&quot;00B1433E&quot;/&gt;&lt;wsp:rsid wsp:val=&quot;00B1591A&quot;/&gt;&lt;wsp:rsid wsp:val=&quot;00B267E9&quot;/&gt;&lt;wsp:rsid wsp:val=&quot;00B35E35&quot;/&gt;&lt;wsp:rsid wsp:val=&quot;00B406C4&quot;/&gt;&lt;wsp:rsid wsp:val=&quot;00B40C13&quot;/&gt;&lt;wsp:rsid wsp:val=&quot;00B43413&quot;/&gt;&lt;wsp:rsid wsp:val=&quot;00B47C10&quot;/&gt;&lt;wsp:rsid wsp:val=&quot;00B507B9&quot;/&gt;&lt;wsp:rsid wsp:val=&quot;00B52188&quot;/&gt;&lt;wsp:rsid wsp:val=&quot;00B523B7&quot;/&gt;&lt;wsp:rsid wsp:val=&quot;00B53E6A&quot;/&gt;&lt;wsp:rsid wsp:val=&quot;00B546DB&quot;/&gt;&lt;wsp:rsid wsp:val=&quot;00B553BB&quot;/&gt;&lt;wsp:rsid wsp:val=&quot;00B55FFD&quot;/&gt;&lt;wsp:rsid wsp:val=&quot;00B634A1&quot;/&gt;&lt;wsp:rsid wsp:val=&quot;00B65A5E&quot;/&gt;&lt;wsp:rsid wsp:val=&quot;00B65C82&quot;/&gt;&lt;wsp:rsid wsp:val=&quot;00B66849&quot;/&gt;&lt;wsp:rsid wsp:val=&quot;00B70DAF&quot;/&gt;&lt;wsp:rsid wsp:val=&quot;00B7263E&quot;/&gt;&lt;wsp:rsid wsp:val=&quot;00B74616&quot;/&gt;&lt;wsp:rsid wsp:val=&quot;00B7600E&quot;/&gt;&lt;wsp:rsid wsp:val=&quot;00B77E4E&quot;/&gt;&lt;wsp:rsid wsp:val=&quot;00B83D9A&quot;/&gt;&lt;wsp:rsid wsp:val=&quot;00B86B11&quot;/&gt;&lt;wsp:rsid wsp:val=&quot;00B87444&quot;/&gt;&lt;wsp:rsid wsp:val=&quot;00B92A9E&quot;/&gt;&lt;wsp:rsid wsp:val=&quot;00B9329D&quot;/&gt;&lt;wsp:rsid wsp:val=&quot;00B93591&quot;/&gt;&lt;wsp:rsid wsp:val=&quot;00B977D2&quot;/&gt;&lt;wsp:rsid wsp:val=&quot;00BA2B06&quot;/&gt;&lt;wsp:rsid wsp:val=&quot;00BA43A3&quot;/&gt;&lt;wsp:rsid wsp:val=&quot;00BA60DD&quot;/&gt;&lt;wsp:rsid wsp:val=&quot;00BB2FFB&quot;/&gt;&lt;wsp:rsid wsp:val=&quot;00BB3F6C&quot;/&gt;&lt;wsp:rsid wsp:val=&quot;00BB527F&quot;/&gt;&lt;wsp:rsid wsp:val=&quot;00BC14EF&quot;/&gt;&lt;wsp:rsid wsp:val=&quot;00BD0445&quot;/&gt;&lt;wsp:rsid wsp:val=&quot;00BD33DD&quot;/&gt;&lt;wsp:rsid wsp:val=&quot;00BE301D&quot;/&gt;&lt;wsp:rsid wsp:val=&quot;00BE6570&quot;/&gt;&lt;wsp:rsid wsp:val=&quot;00BF0318&quot;/&gt;&lt;wsp:rsid wsp:val=&quot;00BF2439&quot;/&gt;&lt;wsp:rsid wsp:val=&quot;00BF2DE0&quot;/&gt;&lt;wsp:rsid wsp:val=&quot;00BF4DA7&quot;/&gt;&lt;wsp:rsid wsp:val=&quot;00BF7DD2&quot;/&gt;&lt;wsp:rsid wsp:val=&quot;00C00598&quot;/&gt;&lt;wsp:rsid wsp:val=&quot;00C01842&quot;/&gt;&lt;wsp:rsid wsp:val=&quot;00C02284&quot;/&gt;&lt;wsp:rsid wsp:val=&quot;00C02A99&quot;/&gt;&lt;wsp:rsid wsp:val=&quot;00C06292&quot;/&gt;&lt;wsp:rsid wsp:val=&quot;00C06313&quot;/&gt;&lt;wsp:rsid wsp:val=&quot;00C074DF&quot;/&gt;&lt;wsp:rsid wsp:val=&quot;00C10E10&quot;/&gt;&lt;wsp:rsid wsp:val=&quot;00C1285C&quot;/&gt;&lt;wsp:rsid wsp:val=&quot;00C14BE3&quot;/&gt;&lt;wsp:rsid wsp:val=&quot;00C17BD7&quot;/&gt;&lt;wsp:rsid wsp:val=&quot;00C20386&quot;/&gt;&lt;wsp:rsid wsp:val=&quot;00C20C97&quot;/&gt;&lt;wsp:rsid wsp:val=&quot;00C246D0&quot;/&gt;&lt;wsp:rsid wsp:val=&quot;00C27EA7&quot;/&gt;&lt;wsp:rsid wsp:val=&quot;00C305C6&quot;/&gt;&lt;wsp:rsid wsp:val=&quot;00C31E3D&quot;/&gt;&lt;wsp:rsid wsp:val=&quot;00C3436F&quot;/&gt;&lt;wsp:rsid wsp:val=&quot;00C352B9&quot;/&gt;&lt;wsp:rsid wsp:val=&quot;00C3534D&quot;/&gt;&lt;wsp:rsid wsp:val=&quot;00C44282&quot;/&gt;&lt;wsp:rsid wsp:val=&quot;00C516B3&quot;/&gt;&lt;wsp:rsid wsp:val=&quot;00C52944&quot;/&gt;&lt;wsp:rsid wsp:val=&quot;00C66F41&quot;/&gt;&lt;wsp:rsid wsp:val=&quot;00C67306&quot;/&gt;&lt;wsp:rsid wsp:val=&quot;00C77548&quot;/&gt;&lt;wsp:rsid wsp:val=&quot;00C8357C&quot;/&gt;&lt;wsp:rsid wsp:val=&quot;00C844DE&quot;/&gt;&lt;wsp:rsid wsp:val=&quot;00C85477&quot;/&gt;&lt;wsp:rsid wsp:val=&quot;00C918E0&quot;/&gt;&lt;wsp:rsid wsp:val=&quot;00C9741E&quot;/&gt;&lt;wsp:rsid wsp:val=&quot;00C97F78&quot;/&gt;&lt;wsp:rsid wsp:val=&quot;00CA1452&quot;/&gt;&lt;wsp:rsid wsp:val=&quot;00CA395D&quot;/&gt;&lt;wsp:rsid wsp:val=&quot;00CA515C&quot;/&gt;&lt;wsp:rsid wsp:val=&quot;00CA6956&quot;/&gt;&lt;wsp:rsid wsp:val=&quot;00CB66E3&quot;/&gt;&lt;wsp:rsid wsp:val=&quot;00CC50ED&quot;/&gt;&lt;wsp:rsid wsp:val=&quot;00CC584A&quot;/&gt;&lt;wsp:rsid wsp:val=&quot;00CC5C27&quot;/&gt;&lt;wsp:rsid wsp:val=&quot;00CD62FE&quot;/&gt;&lt;wsp:rsid wsp:val=&quot;00CE0968&quot;/&gt;&lt;wsp:rsid wsp:val=&quot;00CE3529&quot;/&gt;&lt;wsp:rsid wsp:val=&quot;00CE3B5E&quot;/&gt;&lt;wsp:rsid wsp:val=&quot;00CE3EC0&quot;/&gt;&lt;wsp:rsid wsp:val=&quot;00CE42F9&quot;/&gt;&lt;wsp:rsid wsp:val=&quot;00CE4F38&quot;/&gt;&lt;wsp:rsid wsp:val=&quot;00CE644A&quot;/&gt;&lt;wsp:rsid wsp:val=&quot;00D00DD2&quot;/&gt;&lt;wsp:rsid wsp:val=&quot;00D049BD&quot;/&gt;&lt;wsp:rsid wsp:val=&quot;00D04B5B&quot;/&gt;&lt;wsp:rsid wsp:val=&quot;00D10C52&quot;/&gt;&lt;wsp:rsid wsp:val=&quot;00D1500E&quot;/&gt;&lt;wsp:rsid wsp:val=&quot;00D21A42&quot;/&gt;&lt;wsp:rsid wsp:val=&quot;00D223F1&quot;/&gt;&lt;wsp:rsid wsp:val=&quot;00D22E4C&quot;/&gt;&lt;wsp:rsid wsp:val=&quot;00D27718&quot;/&gt;&lt;wsp:rsid wsp:val=&quot;00D27ECF&quot;/&gt;&lt;wsp:rsid wsp:val=&quot;00D33A79&quot;/&gt;&lt;wsp:rsid wsp:val=&quot;00D35515&quot;/&gt;&lt;wsp:rsid wsp:val=&quot;00D37274&quot;/&gt;&lt;wsp:rsid wsp:val=&quot;00D42976&quot;/&gt;&lt;wsp:rsid wsp:val=&quot;00D45120&quot;/&gt;&lt;wsp:rsid wsp:val=&quot;00D468D2&quot;/&gt;&lt;wsp:rsid wsp:val=&quot;00D5382D&quot;/&gt;&lt;wsp:rsid wsp:val=&quot;00D54BBA&quot;/&gt;&lt;wsp:rsid wsp:val=&quot;00D5719C&quot;/&gt;&lt;wsp:rsid wsp:val=&quot;00D62B59&quot;/&gt;&lt;wsp:rsid wsp:val=&quot;00D62C56&quot;/&gt;&lt;wsp:rsid wsp:val=&quot;00D652F5&quot;/&gt;&lt;wsp:rsid wsp:val=&quot;00D7168D&quot;/&gt;&lt;wsp:rsid wsp:val=&quot;00D73B80&quot;/&gt;&lt;wsp:rsid wsp:val=&quot;00D74AF6&quot;/&gt;&lt;wsp:rsid wsp:val=&quot;00D77D1C&quot;/&gt;&lt;wsp:rsid wsp:val=&quot;00D80652&quot;/&gt;&lt;wsp:rsid wsp:val=&quot;00D84067&quot;/&gt;&lt;wsp:rsid wsp:val=&quot;00D90C25&quot;/&gt;&lt;wsp:rsid wsp:val=&quot;00D9245F&quot;/&gt;&lt;wsp:rsid wsp:val=&quot;00DA0F3C&quot;/&gt;&lt;wsp:rsid wsp:val=&quot;00DA386F&quot;/&gt;&lt;wsp:rsid wsp:val=&quot;00DA712A&quot;/&gt;&lt;wsp:rsid wsp:val=&quot;00DB598A&quot;/&gt;&lt;wsp:rsid wsp:val=&quot;00DC490A&quot;/&gt;&lt;wsp:rsid wsp:val=&quot;00DC56A6&quot;/&gt;&lt;wsp:rsid wsp:val=&quot;00DC66BA&quot;/&gt;&lt;wsp:rsid wsp:val=&quot;00DD598C&quot;/&gt;&lt;wsp:rsid wsp:val=&quot;00DD66ED&quot;/&gt;&lt;wsp:rsid wsp:val=&quot;00DE0E98&quot;/&gt;&lt;wsp:rsid wsp:val=&quot;00DE68A5&quot;/&gt;&lt;wsp:rsid wsp:val=&quot;00DE77DC&quot;/&gt;&lt;wsp:rsid wsp:val=&quot;00DF19F4&quot;/&gt;&lt;wsp:rsid wsp:val=&quot;00DF2FD3&quot;/&gt;&lt;wsp:rsid wsp:val=&quot;00DF30DF&quot;/&gt;&lt;wsp:rsid wsp:val=&quot;00DF3EFA&quot;/&gt;&lt;wsp:rsid wsp:val=&quot;00DF567A&quot;/&gt;&lt;wsp:rsid wsp:val=&quot;00E045B8&quot;/&gt;&lt;wsp:rsid wsp:val=&quot;00E168B5&quot;/&gt;&lt;wsp:rsid wsp:val=&quot;00E25DF3&quot;/&gt;&lt;wsp:rsid wsp:val=&quot;00E262D7&quot;/&gt;&lt;wsp:rsid wsp:val=&quot;00E324F1&quot;/&gt;&lt;wsp:rsid wsp:val=&quot;00E32832&quot;/&gt;&lt;wsp:rsid wsp:val=&quot;00E362FB&quot;/&gt;&lt;wsp:rsid wsp:val=&quot;00E41701&quot;/&gt;&lt;wsp:rsid wsp:val=&quot;00E41D85&quot;/&gt;&lt;wsp:rsid wsp:val=&quot;00E4266D&quot;/&gt;&lt;wsp:rsid wsp:val=&quot;00E447AD&quot;/&gt;&lt;wsp:rsid wsp:val=&quot;00E50B1F&quot;/&gt;&lt;wsp:rsid wsp:val=&quot;00E63BAA&quot;/&gt;&lt;wsp:rsid wsp:val=&quot;00E642A2&quot;/&gt;&lt;wsp:rsid wsp:val=&quot;00E64E1A&quot;/&gt;&lt;wsp:rsid wsp:val=&quot;00E65357&quot;/&gt;&lt;wsp:rsid wsp:val=&quot;00E66AD5&quot;/&gt;&lt;wsp:rsid wsp:val=&quot;00E7223B&quot;/&gt;&lt;wsp:rsid wsp:val=&quot;00E72634&quot;/&gt;&lt;wsp:rsid wsp:val=&quot;00E736DB&quot;/&gt;&lt;wsp:rsid wsp:val=&quot;00E76709&quot;/&gt;&lt;wsp:rsid wsp:val=&quot;00E83D90&quot;/&gt;&lt;wsp:rsid wsp:val=&quot;00E8414D&quot;/&gt;&lt;wsp:rsid wsp:val=&quot;00E8783C&quot;/&gt;&lt;wsp:rsid wsp:val=&quot;00E92DC3&quot;/&gt;&lt;wsp:rsid wsp:val=&quot;00E93F3C&quot;/&gt;&lt;wsp:rsid wsp:val=&quot;00E94ACE&quot;/&gt;&lt;wsp:rsid wsp:val=&quot;00E962C3&quot;/&gt;&lt;wsp:rsid wsp:val=&quot;00EA119E&quot;/&gt;&lt;wsp:rsid wsp:val=&quot;00EB36B2&quot;/&gt;&lt;wsp:rsid wsp:val=&quot;00EB6C80&quot;/&gt;&lt;wsp:rsid wsp:val=&quot;00EB7AEF&quot;/&gt;&lt;wsp:rsid wsp:val=&quot;00EC2BE5&quot;/&gt;&lt;wsp:rsid wsp:val=&quot;00EC7948&quot;/&gt;&lt;wsp:rsid wsp:val=&quot;00ED12AD&quot;/&gt;&lt;wsp:rsid wsp:val=&quot;00ED46E4&quot;/&gt;&lt;wsp:rsid wsp:val=&quot;00EE12F5&quot;/&gt;&lt;wsp:rsid wsp:val=&quot;00EE1A36&quot;/&gt;&lt;wsp:rsid wsp:val=&quot;00EE5EDD&quot;/&gt;&lt;wsp:rsid wsp:val=&quot;00EE7307&quot;/&gt;&lt;wsp:rsid wsp:val=&quot;00EF6A27&quot;/&gt;&lt;wsp:rsid wsp:val=&quot;00F16C14&quot;/&gt;&lt;wsp:rsid wsp:val=&quot;00F2122F&quot;/&gt;&lt;wsp:rsid wsp:val=&quot;00F31A36&quot;/&gt;&lt;wsp:rsid wsp:val=&quot;00F33BFA&quot;/&gt;&lt;wsp:rsid wsp:val=&quot;00F34B1F&quot;/&gt;&lt;wsp:rsid wsp:val=&quot;00F35B4F&quot;/&gt;&lt;wsp:rsid wsp:val=&quot;00F47348&quot;/&gt;&lt;wsp:rsid wsp:val=&quot;00F6031B&quot;/&gt;&lt;wsp:rsid wsp:val=&quot;00F610DE&quot;/&gt;&lt;wsp:rsid wsp:val=&quot;00F700EB&quot;/&gt;&lt;wsp:rsid wsp:val=&quot;00F71AEF&quot;/&gt;&lt;wsp:rsid wsp:val=&quot;00F72A05&quot;/&gt;&lt;wsp:rsid wsp:val=&quot;00F73ED7&quot;/&gt;&lt;wsp:rsid wsp:val=&quot;00F762BE&quot;/&gt;&lt;wsp:rsid wsp:val=&quot;00F77474&quot;/&gt;&lt;wsp:rsid wsp:val=&quot;00F77F70&quot;/&gt;&lt;wsp:rsid wsp:val=&quot;00F85901&quot;/&gt;&lt;wsp:rsid wsp:val=&quot;00F87EA0&quot;/&gt;&lt;wsp:rsid wsp:val=&quot;00F90784&quot;/&gt;&lt;wsp:rsid wsp:val=&quot;00F91AD7&quot;/&gt;&lt;wsp:rsid wsp:val=&quot;00F9238D&quot;/&gt;&lt;wsp:rsid wsp:val=&quot;00F94A3B&quot;/&gt;&lt;wsp:rsid wsp:val=&quot;00FA123F&quot;/&gt;&lt;wsp:rsid wsp:val=&quot;00FA4D7A&quot;/&gt;&lt;wsp:rsid wsp:val=&quot;00FA62E6&quot;/&gt;&lt;wsp:rsid wsp:val=&quot;00FB16EB&quot;/&gt;&lt;wsp:rsid wsp:val=&quot;00FB38E4&quot;/&gt;&lt;wsp:rsid wsp:val=&quot;00FB5392&quot;/&gt;&lt;wsp:rsid wsp:val=&quot;00FB6E4D&quot;/&gt;&lt;wsp:rsid wsp:val=&quot;00FB7655&quot;/&gt;&lt;wsp:rsid wsp:val=&quot;00FC0508&quot;/&gt;&lt;wsp:rsid wsp:val=&quot;00FC0876&quot;/&gt;&lt;wsp:rsid wsp:val=&quot;00FC4747&quot;/&gt;&lt;wsp:rsid wsp:val=&quot;00FC6554&quot;/&gt;&lt;wsp:rsid wsp:val=&quot;00FC7C7A&quot;/&gt;&lt;wsp:rsid wsp:val=&quot;00FD49FC&quot;/&gt;&lt;wsp:rsid wsp:val=&quot;00FD75D7&quot;/&gt;&lt;wsp:rsid wsp:val=&quot;00FE59C1&quot;/&gt;&lt;wsp:rsid wsp:val=&quot;00FF7EBD&quot;/&gt;&lt;/wsp:rsids&gt;&lt;/w:docPr&gt;&lt;w:body&gt;&lt;wx:sect&gt;&lt;w:p wsp:rsidR=&quot;00000000&quot; wsp:rsidRDefault=&quot;00594979&quot; wsp:rsidP=&quot;00594979&quot;&gt;&lt;m:oMathPara&gt;&lt;m:oMath&gt;&lt;m:sSubSup&gt;&lt;m:sSubSupPr&gt;&lt;m:ctrlPr&gt;&lt;w:rPr&gt;&lt;w:rFonts w:ascii=&quot;Cambria Math&quot; w:fareast=&quot;Calibri&quot; w:h-ansi=&quot;Cambria Math&quot; w:cs=&quot;Times New Roman&quot;/&gt;&lt;wx:font wx:val=&quot;Cambria Math&quot;/&gt;&lt;w:b/&gt;&lt;w:i/&gt;&lt;w:sz w:val=&quot;20&quot;/&gt;&lt;w:sz-cs w:val=&quot;20&quot;/&gt;&lt;/w:rPr&gt;&lt;/m:ctrlPr&gt;&lt;/m:sSubSupPr&gt;&lt;m:e&gt;&lt;m:r&gt;&lt;m:rPr&gt;&lt;m:sty m:val=&quot;bi&quot;/&gt;&lt;/m:rPr&gt;&lt;w:rPr&gt;&lt;w:rFonts w:ascii=&quot;Cambria Math&quot; w:fareast=&quot;Calibri&quot; w:h-ansi=&quot;Cambria Math&quot; w:cs=&quot;Times New Roman&quot;/&gt;&lt;wx:font wx:val=&quot;Cambria Math&quot;/&gt;&lt;w:b/&gt;&lt;w:i/&gt;&lt;w:sz w:val=&quot;20&quot;/&gt;&lt;w:sz-cs w:val=&quot;20&quot;/&gt;&lt;/w:rPr&gt;&lt;m:t&gt;Ïƒ&lt;/m:t&gt;&lt;/m:r&gt;&lt;/m:e&gt;&lt;m:sub&gt;&lt;m:r&gt;&lt;m:rPr&gt;&lt;m:sty m:val=&quot;bi&quot;/&gt;&lt;/m:rPr&gt;&lt;w:rPr&gt;&lt;w:rFonts w:ascii=&quot;Cambria Math&quot; w:fareast=&quot;Calibri&quot; w:h-ansi=&quot;Cambria Math&quot; w:cs=&quot;Times New Roman&quot;/&gt;&lt;wx:font wx:val=&quot;Cambria Math&quot;/&gt;&lt;w:b/&gt;&lt;w:i/&gt;&lt;w:sz w:val=&quot;20&quot;/&gt;&lt;w:sz-cs w:val=&quot;20&quot;/&gt;&lt;/w:rPr&gt;&lt;m:t&gt;Î_&lt;/m:t&gt;&lt;/m:r&gt;&lt;/m:sub&gt;&lt;m:sup&gt;&lt;m:r&gt;&lt;m:rPr&gt;&lt;m:sty m:val=&quot;bi&quot;/&gt;&lt;/m:rPr&gt;&lt;w:rPr&gt;&lt;w:rFonts w:ascii=&quot;Cambria Math&quot; w:fareast=&quot;Calibri&quot; w:h-ansi=&quot;Calibri&quot; w:cs=&quot;Times New Roman&quot;/&gt;&lt;wx:font wx:val=&quot;Cambria Math&quot;/&gt;&lt;w:b/&gt;&lt;w:i/&gt;&lt;w:sz w:val=&quot;20&quot;/&gt;&lt;w:sz-cs w:val=&quot;20&quot;/&gt;&lt;/w:rPr&gt;&lt;m:t&gt;2&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FA5289">
              <w:rPr>
                <w:rFonts w:cs="Times New Roman"/>
                <w:b/>
              </w:rPr>
              <w:instrText xml:space="preserve"> </w:instrText>
            </w:r>
            <w:r w:rsidR="00156059" w:rsidRPr="00FA5289">
              <w:rPr>
                <w:rFonts w:cs="Times New Roman"/>
                <w:b/>
              </w:rPr>
              <w:fldChar w:fldCharType="separate"/>
            </w:r>
            <w:r w:rsidR="00AF4DD8" w:rsidRPr="00156059">
              <w:rPr>
                <w:position w:val="-11"/>
              </w:rPr>
              <w:pict>
                <v:shape id="_x0000_i1078" type="#_x0000_t75" style="width:1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20&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B83D9A&quot;/&gt;&lt;wsp:rsid wsp:val=&quot;00002681&quot;/&gt;&lt;wsp:rsid wsp:val=&quot;00002B39&quot;/&gt;&lt;wsp:rsid wsp:val=&quot;00002CE3&quot;/&gt;&lt;wsp:rsid wsp:val=&quot;00003FA5&quot;/&gt;&lt;wsp:rsid wsp:val=&quot;000069C8&quot;/&gt;&lt;wsp:rsid wsp:val=&quot;00007BE3&quot;/&gt;&lt;wsp:rsid wsp:val=&quot;00016BEF&quot;/&gt;&lt;wsp:rsid wsp:val=&quot;00016F4D&quot;/&gt;&lt;wsp:rsid wsp:val=&quot;00017556&quot;/&gt;&lt;wsp:rsid wsp:val=&quot;00022A6E&quot;/&gt;&lt;wsp:rsid wsp:val=&quot;000278EB&quot;/&gt;&lt;wsp:rsid wsp:val=&quot;00030FC1&quot;/&gt;&lt;wsp:rsid wsp:val=&quot;0003104D&quot;/&gt;&lt;wsp:rsid wsp:val=&quot;0003592D&quot;/&gt;&lt;wsp:rsid wsp:val=&quot;00036BC7&quot;/&gt;&lt;wsp:rsid wsp:val=&quot;0004021F&quot;/&gt;&lt;wsp:rsid wsp:val=&quot;0004648A&quot;/&gt;&lt;wsp:rsid wsp:val=&quot;00047BE4&quot;/&gt;&lt;wsp:rsid wsp:val=&quot;000516EA&quot;/&gt;&lt;wsp:rsid wsp:val=&quot;00051A48&quot;/&gt;&lt;wsp:rsid wsp:val=&quot;00054FFA&quot;/&gt;&lt;wsp:rsid wsp:val=&quot;0006094E&quot;/&gt;&lt;wsp:rsid wsp:val=&quot;00064650&quot;/&gt;&lt;wsp:rsid wsp:val=&quot;00075FAB&quot;/&gt;&lt;wsp:rsid wsp:val=&quot;00084D08&quot;/&gt;&lt;wsp:rsid wsp:val=&quot;00087C01&quot;/&gt;&lt;wsp:rsid wsp:val=&quot;00090692&quot;/&gt;&lt;wsp:rsid wsp:val=&quot;00094375&quot;/&gt;&lt;wsp:rsid wsp:val=&quot;000A0D37&quot;/&gt;&lt;wsp:rsid wsp:val=&quot;000A1339&quot;/&gt;&lt;wsp:rsid wsp:val=&quot;000A2298&quot;/&gt;&lt;wsp:rsid wsp:val=&quot;000A2A14&quot;/&gt;&lt;wsp:rsid wsp:val=&quot;000A4860&quot;/&gt;&lt;wsp:rsid wsp:val=&quot;000A4F42&quot;/&gt;&lt;wsp:rsid wsp:val=&quot;000A60E8&quot;/&gt;&lt;wsp:rsid wsp:val=&quot;000B0C59&quot;/&gt;&lt;wsp:rsid wsp:val=&quot;000B1EA5&quot;/&gt;&lt;wsp:rsid wsp:val=&quot;000B1FEB&quot;/&gt;&lt;wsp:rsid wsp:val=&quot;000B2B75&quot;/&gt;&lt;wsp:rsid wsp:val=&quot;000B5012&quot;/&gt;&lt;wsp:rsid wsp:val=&quot;000B67EC&quot;/&gt;&lt;wsp:rsid wsp:val=&quot;000C0C12&quot;/&gt;&lt;wsp:rsid wsp:val=&quot;000C1E74&quot;/&gt;&lt;wsp:rsid wsp:val=&quot;000C2B8F&quot;/&gt;&lt;wsp:rsid wsp:val=&quot;000C2E27&quot;/&gt;&lt;wsp:rsid wsp:val=&quot;000C3198&quot;/&gt;&lt;wsp:rsid wsp:val=&quot;000D0C5B&quot;/&gt;&lt;wsp:rsid wsp:val=&quot;000D4301&quot;/&gt;&lt;wsp:rsid wsp:val=&quot;000E3D33&quot;/&gt;&lt;wsp:rsid wsp:val=&quot;000E49E7&quot;/&gt;&lt;wsp:rsid wsp:val=&quot;000E6BED&quot;/&gt;&lt;wsp:rsid wsp:val=&quot;000E6BF4&quot;/&gt;&lt;wsp:rsid wsp:val=&quot;000F1665&quot;/&gt;&lt;wsp:rsid wsp:val=&quot;000F22A4&quot;/&gt;&lt;wsp:rsid wsp:val=&quot;00101959&quot;/&gt;&lt;wsp:rsid wsp:val=&quot;001022A2&quot;/&gt;&lt;wsp:rsid wsp:val=&quot;00102875&quot;/&gt;&lt;wsp:rsid wsp:val=&quot;001065F7&quot;/&gt;&lt;wsp:rsid wsp:val=&quot;00106F0B&quot;/&gt;&lt;wsp:rsid wsp:val=&quot;00116000&quot;/&gt;&lt;wsp:rsid wsp:val=&quot;001212E9&quot;/&gt;&lt;wsp:rsid wsp:val=&quot;001221CE&quot;/&gt;&lt;wsp:rsid wsp:val=&quot;00125040&quot;/&gt;&lt;wsp:rsid wsp:val=&quot;00125C66&quot;/&gt;&lt;wsp:rsid wsp:val=&quot;00132C31&quot;/&gt;&lt;wsp:rsid wsp:val=&quot;00133F2C&quot;/&gt;&lt;wsp:rsid wsp:val=&quot;0013611D&quot;/&gt;&lt;wsp:rsid wsp:val=&quot;00144658&quot;/&gt;&lt;wsp:rsid wsp:val=&quot;0014762F&quot;/&gt;&lt;wsp:rsid wsp:val=&quot;0015773B&quot;/&gt;&lt;wsp:rsid wsp:val=&quot;00160202&quot;/&gt;&lt;wsp:rsid wsp:val=&quot;00160241&quot;/&gt;&lt;wsp:rsid wsp:val=&quot;0016187F&quot;/&gt;&lt;wsp:rsid wsp:val=&quot;00162691&quot;/&gt;&lt;wsp:rsid wsp:val=&quot;00162C69&quot;/&gt;&lt;wsp:rsid wsp:val=&quot;001676A3&quot;/&gt;&lt;wsp:rsid wsp:val=&quot;0016792B&quot;/&gt;&lt;wsp:rsid wsp:val=&quot;00167BB4&quot;/&gt;&lt;wsp:rsid wsp:val=&quot;00181B28&quot;/&gt;&lt;wsp:rsid wsp:val=&quot;0019197F&quot;/&gt;&lt;wsp:rsid wsp:val=&quot;001956D4&quot;/&gt;&lt;wsp:rsid wsp:val=&quot;001A5B99&quot;/&gt;&lt;wsp:rsid wsp:val=&quot;001A6387&quot;/&gt;&lt;wsp:rsid wsp:val=&quot;001A6A49&quot;/&gt;&lt;wsp:rsid wsp:val=&quot;001B4D51&quot;/&gt;&lt;wsp:rsid wsp:val=&quot;001B5581&quot;/&gt;&lt;wsp:rsid wsp:val=&quot;001B761B&quot;/&gt;&lt;wsp:rsid wsp:val=&quot;001B7E04&quot;/&gt;&lt;wsp:rsid wsp:val=&quot;001C11D0&quot;/&gt;&lt;wsp:rsid wsp:val=&quot;001C5147&quot;/&gt;&lt;wsp:rsid wsp:val=&quot;001D002F&quot;/&gt;&lt;wsp:rsid wsp:val=&quot;001D21E6&quot;/&gt;&lt;wsp:rsid wsp:val=&quot;001D54A9&quot;/&gt;&lt;wsp:rsid wsp:val=&quot;001D5911&quot;/&gt;&lt;wsp:rsid wsp:val=&quot;001D72A2&quot;/&gt;&lt;wsp:rsid wsp:val=&quot;00214054&quot;/&gt;&lt;wsp:rsid wsp:val=&quot;00223420&quot;/&gt;&lt;wsp:rsid wsp:val=&quot;00223B9C&quot;/&gt;&lt;wsp:rsid wsp:val=&quot;0022612A&quot;/&gt;&lt;wsp:rsid wsp:val=&quot;00226D4C&quot;/&gt;&lt;wsp:rsid wsp:val=&quot;002308B8&quot;/&gt;&lt;wsp:rsid wsp:val=&quot;002309EB&quot;/&gt;&lt;wsp:rsid wsp:val=&quot;0023101D&quot;/&gt;&lt;wsp:rsid wsp:val=&quot;002310C6&quot;/&gt;&lt;wsp:rsid wsp:val=&quot;002321B1&quot;/&gt;&lt;wsp:rsid wsp:val=&quot;0023257D&quot;/&gt;&lt;wsp:rsid wsp:val=&quot;00232FDF&quot;/&gt;&lt;wsp:rsid wsp:val=&quot;002346DC&quot;/&gt;&lt;wsp:rsid wsp:val=&quot;0023635F&quot;/&gt;&lt;wsp:rsid wsp:val=&quot;00241F35&quot;/&gt;&lt;wsp:rsid wsp:val=&quot;00250F35&quot;/&gt;&lt;wsp:rsid wsp:val=&quot;00253C60&quot;/&gt;&lt;wsp:rsid wsp:val=&quot;00256945&quot;/&gt;&lt;wsp:rsid wsp:val=&quot;002642CB&quot;/&gt;&lt;wsp:rsid wsp:val=&quot;0026556B&quot;/&gt;&lt;wsp:rsid wsp:val=&quot;00270694&quot;/&gt;&lt;wsp:rsid wsp:val=&quot;00270781&quot;/&gt;&lt;wsp:rsid wsp:val=&quot;00271E97&quot;/&gt;&lt;wsp:rsid wsp:val=&quot;002908EE&quot;/&gt;&lt;wsp:rsid wsp:val=&quot;00292401&quot;/&gt;&lt;wsp:rsid wsp:val=&quot;0029391A&quot;/&gt;&lt;wsp:rsid wsp:val=&quot;0029659A&quot;/&gt;&lt;wsp:rsid wsp:val=&quot;002A0C23&quot;/&gt;&lt;wsp:rsid wsp:val=&quot;002A27DA&quot;/&gt;&lt;wsp:rsid wsp:val=&quot;002B29EB&quot;/&gt;&lt;wsp:rsid wsp:val=&quot;002B3683&quot;/&gt;&lt;wsp:rsid wsp:val=&quot;002B3C67&quot;/&gt;&lt;wsp:rsid wsp:val=&quot;002B70CB&quot;/&gt;&lt;wsp:rsid wsp:val=&quot;002C007F&quot;/&gt;&lt;wsp:rsid wsp:val=&quot;002D03B2&quot;/&gt;&lt;wsp:rsid wsp:val=&quot;002D2717&quot;/&gt;&lt;wsp:rsid wsp:val=&quot;002D37C6&quot;/&gt;&lt;wsp:rsid wsp:val=&quot;002D4812&quot;/&gt;&lt;wsp:rsid wsp:val=&quot;002D54F2&quot;/&gt;&lt;wsp:rsid wsp:val=&quot;002D5955&quot;/&gt;&lt;wsp:rsid wsp:val=&quot;002E161B&quot;/&gt;&lt;wsp:rsid wsp:val=&quot;002E4B34&quot;/&gt;&lt;wsp:rsid wsp:val=&quot;002E6007&quot;/&gt;&lt;wsp:rsid wsp:val=&quot;002F3AB4&quot;/&gt;&lt;wsp:rsid wsp:val=&quot;002F4A17&quot;/&gt;&lt;wsp:rsid wsp:val=&quot;002F4F68&quot;/&gt;&lt;wsp:rsid wsp:val=&quot;003020C0&quot;/&gt;&lt;wsp:rsid wsp:val=&quot;0030216A&quot;/&gt;&lt;wsp:rsid wsp:val=&quot;00302207&quot;/&gt;&lt;wsp:rsid wsp:val=&quot;00302A29&quot;/&gt;&lt;wsp:rsid wsp:val=&quot;003110BA&quot;/&gt;&lt;wsp:rsid wsp:val=&quot;003133BD&quot;/&gt;&lt;wsp:rsid wsp:val=&quot;00321DBF&quot;/&gt;&lt;wsp:rsid wsp:val=&quot;00323BA2&quot;/&gt;&lt;wsp:rsid wsp:val=&quot;003247E5&quot;/&gt;&lt;wsp:rsid wsp:val=&quot;00327B96&quot;/&gt;&lt;wsp:rsid wsp:val=&quot;00330A0A&quot;/&gt;&lt;wsp:rsid wsp:val=&quot;003350EB&quot;/&gt;&lt;wsp:rsid wsp:val=&quot;00337860&quot;/&gt;&lt;wsp:rsid wsp:val=&quot;00341326&quot;/&gt;&lt;wsp:rsid wsp:val=&quot;003419EC&quot;/&gt;&lt;wsp:rsid wsp:val=&quot;003430E0&quot;/&gt;&lt;wsp:rsid wsp:val=&quot;00343CDF&quot;/&gt;&lt;wsp:rsid wsp:val=&quot;003450E6&quot;/&gt;&lt;wsp:rsid wsp:val=&quot;00350AF0&quot;/&gt;&lt;wsp:rsid wsp:val=&quot;00350E69&quot;/&gt;&lt;wsp:rsid wsp:val=&quot;003532C9&quot;/&gt;&lt;wsp:rsid wsp:val=&quot;003536C6&quot;/&gt;&lt;wsp:rsid wsp:val=&quot;003560BC&quot;/&gt;&lt;wsp:rsid wsp:val=&quot;003567DD&quot;/&gt;&lt;wsp:rsid wsp:val=&quot;0036459D&quot;/&gt;&lt;wsp:rsid wsp:val=&quot;00367107&quot;/&gt;&lt;wsp:rsid wsp:val=&quot;00374C60&quot;/&gt;&lt;wsp:rsid wsp:val=&quot;003822B8&quot;/&gt;&lt;wsp:rsid wsp:val=&quot;00384522&quot;/&gt;&lt;wsp:rsid wsp:val=&quot;00386528&quot;/&gt;&lt;wsp:rsid wsp:val=&quot;003A0D9E&quot;/&gt;&lt;wsp:rsid wsp:val=&quot;003A760E&quot;/&gt;&lt;wsp:rsid wsp:val=&quot;003A7B4F&quot;/&gt;&lt;wsp:rsid wsp:val=&quot;003B3450&quot;/&gt;&lt;wsp:rsid wsp:val=&quot;003C0577&quot;/&gt;&lt;wsp:rsid wsp:val=&quot;003C4281&quot;/&gt;&lt;wsp:rsid wsp:val=&quot;003C70A3&quot;/&gt;&lt;wsp:rsid wsp:val=&quot;003C735D&quot;/&gt;&lt;wsp:rsid wsp:val=&quot;003F01F9&quot;/&gt;&lt;wsp:rsid wsp:val=&quot;003F270D&quot;/&gt;&lt;wsp:rsid wsp:val=&quot;003F304C&quot;/&gt;&lt;wsp:rsid wsp:val=&quot;003F4135&quot;/&gt;&lt;wsp:rsid wsp:val=&quot;003F612B&quot;/&gt;&lt;wsp:rsid wsp:val=&quot;00400C74&quot;/&gt;&lt;wsp:rsid wsp:val=&quot;004027FB&quot;/&gt;&lt;wsp:rsid wsp:val=&quot;00402FA5&quot;/&gt;&lt;wsp:rsid wsp:val=&quot;00403417&quot;/&gt;&lt;wsp:rsid wsp:val=&quot;00405152&quot;/&gt;&lt;wsp:rsid wsp:val=&quot;004054DA&quot;/&gt;&lt;wsp:rsid wsp:val=&quot;00405F0F&quot;/&gt;&lt;wsp:rsid wsp:val=&quot;00412400&quot;/&gt;&lt;wsp:rsid wsp:val=&quot;0041666B&quot;/&gt;&lt;wsp:rsid wsp:val=&quot;0042091A&quot;/&gt;&lt;wsp:rsid wsp:val=&quot;00424343&quot;/&gt;&lt;wsp:rsid wsp:val=&quot;0042455D&quot;/&gt;&lt;wsp:rsid wsp:val=&quot;0042481C&quot;/&gt;&lt;wsp:rsid wsp:val=&quot;00427007&quot;/&gt;&lt;wsp:rsid wsp:val=&quot;0043333C&quot;/&gt;&lt;wsp:rsid wsp:val=&quot;00441345&quot;/&gt;&lt;wsp:rsid wsp:val=&quot;00441722&quot;/&gt;&lt;wsp:rsid wsp:val=&quot;00443153&quot;/&gt;&lt;wsp:rsid wsp:val=&quot;00444774&quot;/&gt;&lt;wsp:rsid wsp:val=&quot;0044504C&quot;/&gt;&lt;wsp:rsid wsp:val=&quot;004472B0&quot;/&gt;&lt;wsp:rsid wsp:val=&quot;00450F7F&quot;/&gt;&lt;wsp:rsid wsp:val=&quot;00466BA5&quot;/&gt;&lt;wsp:rsid wsp:val=&quot;00467581&quot;/&gt;&lt;wsp:rsid wsp:val=&quot;00470AB2&quot;/&gt;&lt;wsp:rsid wsp:val=&quot;004715C0&quot;/&gt;&lt;wsp:rsid wsp:val=&quot;00474E99&quot;/&gt;&lt;wsp:rsid wsp:val=&quot;00476399&quot;/&gt;&lt;wsp:rsid wsp:val=&quot;004766D2&quot;/&gt;&lt;wsp:rsid wsp:val=&quot;00476798&quot;/&gt;&lt;wsp:rsid wsp:val=&quot;00480C80&quot;/&gt;&lt;wsp:rsid wsp:val=&quot;0048461B&quot;/&gt;&lt;wsp:rsid wsp:val=&quot;00485852&quot;/&gt;&lt;wsp:rsid wsp:val=&quot;004878F0&quot;/&gt;&lt;wsp:rsid wsp:val=&quot;00490E8E&quot;/&gt;&lt;wsp:rsid wsp:val=&quot;00491B21&quot;/&gt;&lt;wsp:rsid wsp:val=&quot;004940E7&quot;/&gt;&lt;wsp:rsid wsp:val=&quot;004A3150&quot;/&gt;&lt;wsp:rsid wsp:val=&quot;004A5F7F&quot;/&gt;&lt;wsp:rsid wsp:val=&quot;004A6A65&quot;/&gt;&lt;wsp:rsid wsp:val=&quot;004A72DC&quot;/&gt;&lt;wsp:rsid wsp:val=&quot;004A7539&quot;/&gt;&lt;wsp:rsid wsp:val=&quot;004A7D61&quot;/&gt;&lt;wsp:rsid wsp:val=&quot;004B3873&quot;/&gt;&lt;wsp:rsid wsp:val=&quot;004C1211&quot;/&gt;&lt;wsp:rsid wsp:val=&quot;004C71FC&quot;/&gt;&lt;wsp:rsid wsp:val=&quot;004D0AFD&quot;/&gt;&lt;wsp:rsid wsp:val=&quot;004D2442&quot;/&gt;&lt;wsp:rsid wsp:val=&quot;004D2882&quot;/&gt;&lt;wsp:rsid wsp:val=&quot;004D36EF&quot;/&gt;&lt;wsp:rsid wsp:val=&quot;004D4246&quot;/&gt;&lt;wsp:rsid wsp:val=&quot;004D4B83&quot;/&gt;&lt;wsp:rsid wsp:val=&quot;004D73DF&quot;/&gt;&lt;wsp:rsid wsp:val=&quot;004D76C5&quot;/&gt;&lt;wsp:rsid wsp:val=&quot;004E254F&quot;/&gt;&lt;wsp:rsid wsp:val=&quot;004E6D8C&quot;/&gt;&lt;wsp:rsid wsp:val=&quot;004F16BF&quot;/&gt;&lt;wsp:rsid wsp:val=&quot;004F3987&quot;/&gt;&lt;wsp:rsid wsp:val=&quot;004F749C&quot;/&gt;&lt;wsp:rsid wsp:val=&quot;00500338&quot;/&gt;&lt;wsp:rsid wsp:val=&quot;005038D7&quot;/&gt;&lt;wsp:rsid wsp:val=&quot;00504432&quot;/&gt;&lt;wsp:rsid wsp:val=&quot;005047E3&quot;/&gt;&lt;wsp:rsid wsp:val=&quot;005048FE&quot;/&gt;&lt;wsp:rsid wsp:val=&quot;005067E3&quot;/&gt;&lt;wsp:rsid wsp:val=&quot;00511385&quot;/&gt;&lt;wsp:rsid wsp:val=&quot;00520D4A&quot;/&gt;&lt;wsp:rsid wsp:val=&quot;00523F84&quot;/&gt;&lt;wsp:rsid wsp:val=&quot;0052718D&quot;/&gt;&lt;wsp:rsid wsp:val=&quot;00531495&quot;/&gt;&lt;wsp:rsid wsp:val=&quot;00535147&quot;/&gt;&lt;wsp:rsid wsp:val=&quot;005357B4&quot;/&gt;&lt;wsp:rsid wsp:val=&quot;00536AF3&quot;/&gt;&lt;wsp:rsid wsp:val=&quot;005458C4&quot;/&gt;&lt;wsp:rsid wsp:val=&quot;005458CF&quot;/&gt;&lt;wsp:rsid wsp:val=&quot;00546D12&quot;/&gt;&lt;wsp:rsid wsp:val=&quot;00552A99&quot;/&gt;&lt;wsp:rsid wsp:val=&quot;00556426&quot;/&gt;&lt;wsp:rsid wsp:val=&quot;00560E6E&quot;/&gt;&lt;wsp:rsid wsp:val=&quot;00561C42&quot;/&gt;&lt;wsp:rsid wsp:val=&quot;00561E55&quot;/&gt;&lt;wsp:rsid wsp:val=&quot;00562E3C&quot;/&gt;&lt;wsp:rsid wsp:val=&quot;005633D4&quot;/&gt;&lt;wsp:rsid wsp:val=&quot;005645D8&quot;/&gt;&lt;wsp:rsid wsp:val=&quot;005656F7&quot;/&gt;&lt;wsp:rsid wsp:val=&quot;00570EBD&quot;/&gt;&lt;wsp:rsid wsp:val=&quot;005736E5&quot;/&gt;&lt;wsp:rsid wsp:val=&quot;005746FA&quot;/&gt;&lt;wsp:rsid wsp:val=&quot;00576230&quot;/&gt;&lt;wsp:rsid wsp:val=&quot;00577D58&quot;/&gt;&lt;wsp:rsid wsp:val=&quot;00582DC6&quot;/&gt;&lt;wsp:rsid wsp:val=&quot;00584037&quot;/&gt;&lt;wsp:rsid wsp:val=&quot;005855F0&quot;/&gt;&lt;wsp:rsid wsp:val=&quot;00593120&quot;/&gt;&lt;wsp:rsid wsp:val=&quot;00594979&quot;/&gt;&lt;wsp:rsid wsp:val=&quot;005B13C7&quot;/&gt;&lt;wsp:rsid wsp:val=&quot;005B386A&quot;/&gt;&lt;wsp:rsid wsp:val=&quot;005B3B53&quot;/&gt;&lt;wsp:rsid wsp:val=&quot;005B3E7B&quot;/&gt;&lt;wsp:rsid wsp:val=&quot;005C05AB&quot;/&gt;&lt;wsp:rsid wsp:val=&quot;005C5ECF&quot;/&gt;&lt;wsp:rsid wsp:val=&quot;005C7FA2&quot;/&gt;&lt;wsp:rsid wsp:val=&quot;005D3ACB&quot;/&gt;&lt;wsp:rsid wsp:val=&quot;005D3F20&quot;/&gt;&lt;wsp:rsid wsp:val=&quot;005D688A&quot;/&gt;&lt;wsp:rsid wsp:val=&quot;005E4282&quot;/&gt;&lt;wsp:rsid wsp:val=&quot;005E481B&quot;/&gt;&lt;wsp:rsid wsp:val=&quot;005E7CA8&quot;/&gt;&lt;wsp:rsid wsp:val=&quot;005F0CA9&quot;/&gt;&lt;wsp:rsid wsp:val=&quot;005F1FC8&quot;/&gt;&lt;wsp:rsid wsp:val=&quot;005F24CB&quot;/&gt;&lt;wsp:rsid wsp:val=&quot;005F3613&quot;/&gt;&lt;wsp:rsid wsp:val=&quot;006024DA&quot;/&gt;&lt;wsp:rsid wsp:val=&quot;00613B7A&quot;/&gt;&lt;wsp:rsid wsp:val=&quot;00625D17&quot;/&gt;&lt;wsp:rsid wsp:val=&quot;00631A7F&quot;/&gt;&lt;wsp:rsid wsp:val=&quot;00636D04&quot;/&gt;&lt;wsp:rsid wsp:val=&quot;00636E7C&quot;/&gt;&lt;wsp:rsid wsp:val=&quot;00637111&quot;/&gt;&lt;wsp:rsid wsp:val=&quot;006376F6&quot;/&gt;&lt;wsp:rsid wsp:val=&quot;00640684&quot;/&gt;&lt;wsp:rsid wsp:val=&quot;00643D6B&quot;/&gt;&lt;wsp:rsid wsp:val=&quot;00643E33&quot;/&gt;&lt;wsp:rsid wsp:val=&quot;00646A4F&quot;/&gt;&lt;wsp:rsid wsp:val=&quot;00651842&quot;/&gt;&lt;wsp:rsid wsp:val=&quot;00651FE3&quot;/&gt;&lt;wsp:rsid wsp:val=&quot;00663F89&quot;/&gt;&lt;wsp:rsid wsp:val=&quot;00665627&quot;/&gt;&lt;wsp:rsid wsp:val=&quot;00665809&quot;/&gt;&lt;wsp:rsid wsp:val=&quot;00665A76&quot;/&gt;&lt;wsp:rsid wsp:val=&quot;00670744&quot;/&gt;&lt;wsp:rsid wsp:val=&quot;00675726&quot;/&gt;&lt;wsp:rsid wsp:val=&quot;006772AB&quot;/&gt;&lt;wsp:rsid wsp:val=&quot;006775FA&quot;/&gt;&lt;wsp:rsid wsp:val=&quot;006815DE&quot;/&gt;&lt;wsp:rsid wsp:val=&quot;00681E28&quot;/&gt;&lt;wsp:rsid wsp:val=&quot;0068625C&quot;/&gt;&lt;wsp:rsid wsp:val=&quot;006867FD&quot;/&gt;&lt;wsp:rsid wsp:val=&quot;00691D3C&quot;/&gt;&lt;wsp:rsid wsp:val=&quot;0069254B&quot;/&gt;&lt;wsp:rsid wsp:val=&quot;00693D0F&quot;/&gt;&lt;wsp:rsid wsp:val=&quot;00694054&quot;/&gt;&lt;wsp:rsid wsp:val=&quot;006942C5&quot;/&gt;&lt;wsp:rsid wsp:val=&quot;00694DDA&quot;/&gt;&lt;wsp:rsid wsp:val=&quot;00697059&quot;/&gt;&lt;wsp:rsid wsp:val=&quot;006A2D20&quot;/&gt;&lt;wsp:rsid wsp:val=&quot;006A3E1A&quot;/&gt;&lt;wsp:rsid wsp:val=&quot;006A6F12&quot;/&gt;&lt;wsp:rsid wsp:val=&quot;006B0430&quot;/&gt;&lt;wsp:rsid wsp:val=&quot;006B38ED&quot;/&gt;&lt;wsp:rsid wsp:val=&quot;006B456F&quot;/&gt;&lt;wsp:rsid wsp:val=&quot;006B46F3&quot;/&gt;&lt;wsp:rsid wsp:val=&quot;006B478A&quot;/&gt;&lt;wsp:rsid wsp:val=&quot;006C1F31&quot;/&gt;&lt;wsp:rsid wsp:val=&quot;006C2BF5&quot;/&gt;&lt;wsp:rsid wsp:val=&quot;006D0A48&quot;/&gt;&lt;wsp:rsid wsp:val=&quot;006D21B3&quot;/&gt;&lt;wsp:rsid wsp:val=&quot;006D2DAD&quot;/&gt;&lt;wsp:rsid wsp:val=&quot;006D3BA6&quot;/&gt;&lt;wsp:rsid wsp:val=&quot;006D58ED&quot;/&gt;&lt;wsp:rsid wsp:val=&quot;006E0EF5&quot;/&gt;&lt;wsp:rsid wsp:val=&quot;006E68EE&quot;/&gt;&lt;wsp:rsid wsp:val=&quot;006F0165&quot;/&gt;&lt;wsp:rsid wsp:val=&quot;006F1C10&quot;/&gt;&lt;wsp:rsid wsp:val=&quot;007049F4&quot;/&gt;&lt;wsp:rsid wsp:val=&quot;00716982&quot;/&gt;&lt;wsp:rsid wsp:val=&quot;00720D0A&quot;/&gt;&lt;wsp:rsid wsp:val=&quot;007246E9&quot;/&gt;&lt;wsp:rsid wsp:val=&quot;00724801&quot;/&gt;&lt;wsp:rsid wsp:val=&quot;00726AC2&quot;/&gt;&lt;wsp:rsid wsp:val=&quot;00727C48&quot;/&gt;&lt;wsp:rsid wsp:val=&quot;00732E64&quot;/&gt;&lt;wsp:rsid wsp:val=&quot;00734206&quot;/&gt;&lt;wsp:rsid wsp:val=&quot;00735D81&quot;/&gt;&lt;wsp:rsid wsp:val=&quot;00745F7A&quot;/&gt;&lt;wsp:rsid wsp:val=&quot;0076143A&quot;/&gt;&lt;wsp:rsid wsp:val=&quot;00762646&quot;/&gt;&lt;wsp:rsid wsp:val=&quot;00764566&quot;/&gt;&lt;wsp:rsid wsp:val=&quot;007815BA&quot;/&gt;&lt;wsp:rsid wsp:val=&quot;00782D19&quot;/&gt;&lt;wsp:rsid wsp:val=&quot;00791B8B&quot;/&gt;&lt;wsp:rsid wsp:val=&quot;00792BFE&quot;/&gt;&lt;wsp:rsid wsp:val=&quot;00795254&quot;/&gt;&lt;wsp:rsid wsp:val=&quot;00797066&quot;/&gt;&lt;wsp:rsid wsp:val=&quot;007A263C&quot;/&gt;&lt;wsp:rsid wsp:val=&quot;007B0345&quot;/&gt;&lt;wsp:rsid wsp:val=&quot;007B15AE&quot;/&gt;&lt;wsp:rsid wsp:val=&quot;007B186A&quot;/&gt;&lt;wsp:rsid wsp:val=&quot;007B2584&quot;/&gt;&lt;wsp:rsid wsp:val=&quot;007B4B49&quot;/&gt;&lt;wsp:rsid wsp:val=&quot;007B7BFE&quot;/&gt;&lt;wsp:rsid wsp:val=&quot;007C078B&quot;/&gt;&lt;wsp:rsid wsp:val=&quot;007C1B3B&quot;/&gt;&lt;wsp:rsid wsp:val=&quot;007C61DD&quot;/&gt;&lt;wsp:rsid wsp:val=&quot;007D37D1&quot;/&gt;&lt;wsp:rsid wsp:val=&quot;007D3D6F&quot;/&gt;&lt;wsp:rsid wsp:val=&quot;007D4D68&quot;/&gt;&lt;wsp:rsid wsp:val=&quot;007D7B43&quot;/&gt;&lt;wsp:rsid wsp:val=&quot;007E07D1&quot;/&gt;&lt;wsp:rsid wsp:val=&quot;007E2C87&quot;/&gt;&lt;wsp:rsid wsp:val=&quot;007F08D0&quot;/&gt;&lt;wsp:rsid wsp:val=&quot;007F33E7&quot;/&gt;&lt;wsp:rsid wsp:val=&quot;007F4ACB&quot;/&gt;&lt;wsp:rsid wsp:val=&quot;007F7003&quot;/&gt;&lt;wsp:rsid wsp:val=&quot;007F7B70&quot;/&gt;&lt;wsp:rsid wsp:val=&quot;008000C2&quot;/&gt;&lt;wsp:rsid wsp:val=&quot;008063EE&quot;/&gt;&lt;wsp:rsid wsp:val=&quot;00812F9A&quot;/&gt;&lt;wsp:rsid wsp:val=&quot;00817885&quot;/&gt;&lt;wsp:rsid wsp:val=&quot;00820602&quot;/&gt;&lt;wsp:rsid wsp:val=&quot;00825956&quot;/&gt;&lt;wsp:rsid wsp:val=&quot;00834187&quot;/&gt;&lt;wsp:rsid wsp:val=&quot;0083443E&quot;/&gt;&lt;wsp:rsid wsp:val=&quot;00844CE8&quot;/&gt;&lt;wsp:rsid wsp:val=&quot;00845BC8&quot;/&gt;&lt;wsp:rsid wsp:val=&quot;00846E89&quot;/&gt;&lt;wsp:rsid wsp:val=&quot;0085299C&quot;/&gt;&lt;wsp:rsid wsp:val=&quot;00855304&quot;/&gt;&lt;wsp:rsid wsp:val=&quot;00857635&quot;/&gt;&lt;wsp:rsid wsp:val=&quot;00857959&quot;/&gt;&lt;wsp:rsid wsp:val=&quot;0086699F&quot;/&gt;&lt;wsp:rsid wsp:val=&quot;00881165&quot;/&gt;&lt;wsp:rsid wsp:val=&quot;0088790C&quot;/&gt;&lt;wsp:rsid wsp:val=&quot;00890032&quot;/&gt;&lt;wsp:rsid wsp:val=&quot;00891E51&quot;/&gt;&lt;wsp:rsid wsp:val=&quot;00892871&quot;/&gt;&lt;wsp:rsid wsp:val=&quot;00893558&quot;/&gt;&lt;wsp:rsid wsp:val=&quot;00894F80&quot;/&gt;&lt;wsp:rsid wsp:val=&quot;008962C6&quot;/&gt;&lt;wsp:rsid wsp:val=&quot;008A2F55&quot;/&gt;&lt;wsp:rsid wsp:val=&quot;008A38B4&quot;/&gt;&lt;wsp:rsid wsp:val=&quot;008A59D8&quot;/&gt;&lt;wsp:rsid wsp:val=&quot;008A7856&quot;/&gt;&lt;wsp:rsid wsp:val=&quot;008A7DBB&quot;/&gt;&lt;wsp:rsid wsp:val=&quot;008B4100&quot;/&gt;&lt;wsp:rsid wsp:val=&quot;008C55AE&quot;/&gt;&lt;wsp:rsid wsp:val=&quot;008D1218&quot;/&gt;&lt;wsp:rsid wsp:val=&quot;008D2DD2&quot;/&gt;&lt;wsp:rsid wsp:val=&quot;008D4B3D&quot;/&gt;&lt;wsp:rsid wsp:val=&quot;008E1EAF&quot;/&gt;&lt;wsp:rsid wsp:val=&quot;008E2DB4&quot;/&gt;&lt;wsp:rsid wsp:val=&quot;008E4AE5&quot;/&gt;&lt;wsp:rsid wsp:val=&quot;008E5E5F&quot;/&gt;&lt;wsp:rsid wsp:val=&quot;008F13B0&quot;/&gt;&lt;wsp:rsid wsp:val=&quot;008F3E93&quot;/&gt;&lt;wsp:rsid wsp:val=&quot;008F57E2&quot;/&gt;&lt;wsp:rsid wsp:val=&quot;008F7DA3&quot;/&gt;&lt;wsp:rsid wsp:val=&quot;00900D99&quot;/&gt;&lt;wsp:rsid wsp:val=&quot;00902836&quot;/&gt;&lt;wsp:rsid wsp:val=&quot;009040D3&quot;/&gt;&lt;wsp:rsid wsp:val=&quot;009077E5&quot;/&gt;&lt;wsp:rsid wsp:val=&quot;00915E05&quot;/&gt;&lt;wsp:rsid wsp:val=&quot;00923E97&quot;/&gt;&lt;wsp:rsid wsp:val=&quot;009241C7&quot;/&gt;&lt;wsp:rsid wsp:val=&quot;009256A1&quot;/&gt;&lt;wsp:rsid wsp:val=&quot;00926376&quot;/&gt;&lt;wsp:rsid wsp:val=&quot;00931AA5&quot;/&gt;&lt;wsp:rsid wsp:val=&quot;00933A4E&quot;/&gt;&lt;wsp:rsid wsp:val=&quot;0093793B&quot;/&gt;&lt;wsp:rsid wsp:val=&quot;009463EE&quot;/&gt;&lt;wsp:rsid wsp:val=&quot;0094704E&quot;/&gt;&lt;wsp:rsid wsp:val=&quot;009524CA&quot;/&gt;&lt;wsp:rsid wsp:val=&quot;00956CE0&quot;/&gt;&lt;wsp:rsid wsp:val=&quot;009624DE&quot;/&gt;&lt;wsp:rsid wsp:val=&quot;0096487E&quot;/&gt;&lt;wsp:rsid wsp:val=&quot;00964E29&quot;/&gt;&lt;wsp:rsid wsp:val=&quot;00966E79&quot;/&gt;&lt;wsp:rsid wsp:val=&quot;009722E9&quot;/&gt;&lt;wsp:rsid wsp:val=&quot;0097299C&quot;/&gt;&lt;wsp:rsid wsp:val=&quot;00974672&quot;/&gt;&lt;wsp:rsid wsp:val=&quot;00975E8A&quot;/&gt;&lt;wsp:rsid wsp:val=&quot;00976411&quot;/&gt;&lt;wsp:rsid wsp:val=&quot;00985AF4&quot;/&gt;&lt;wsp:rsid wsp:val=&quot;0099078C&quot;/&gt;&lt;wsp:rsid wsp:val=&quot;00997A8B&quot;/&gt;&lt;wsp:rsid wsp:val=&quot;009A1557&quot;/&gt;&lt;wsp:rsid wsp:val=&quot;009A18D6&quot;/&gt;&lt;wsp:rsid wsp:val=&quot;009A2E28&quot;/&gt;&lt;wsp:rsid wsp:val=&quot;009B0EC4&quot;/&gt;&lt;wsp:rsid wsp:val=&quot;009C0486&quot;/&gt;&lt;wsp:rsid wsp:val=&quot;009C1FEA&quot;/&gt;&lt;wsp:rsid wsp:val=&quot;009C2543&quot;/&gt;&lt;wsp:rsid wsp:val=&quot;009C72CC&quot;/&gt;&lt;wsp:rsid wsp:val=&quot;009D06F0&quot;/&gt;&lt;wsp:rsid wsp:val=&quot;009D16F7&quot;/&gt;&lt;wsp:rsid wsp:val=&quot;009D1DFC&quot;/&gt;&lt;wsp:rsid wsp:val=&quot;009D52D0&quot;/&gt;&lt;wsp:rsid wsp:val=&quot;009D71EF&quot;/&gt;&lt;wsp:rsid wsp:val=&quot;009D7BFE&quot;/&gt;&lt;wsp:rsid wsp:val=&quot;009D7FA7&quot;/&gt;&lt;wsp:rsid wsp:val=&quot;009E025C&quot;/&gt;&lt;wsp:rsid wsp:val=&quot;009E0551&quot;/&gt;&lt;wsp:rsid wsp:val=&quot;009E0F36&quot;/&gt;&lt;wsp:rsid wsp:val=&quot;009E33F9&quot;/&gt;&lt;wsp:rsid wsp:val=&quot;009E5D90&quot;/&gt;&lt;wsp:rsid wsp:val=&quot;009E78A1&quot;/&gt;&lt;wsp:rsid wsp:val=&quot;009F3B3D&quot;/&gt;&lt;wsp:rsid wsp:val=&quot;009F4CCE&quot;/&gt;&lt;wsp:rsid wsp:val=&quot;009F631B&quot;/&gt;&lt;wsp:rsid wsp:val=&quot;009F7115&quot;/&gt;&lt;wsp:rsid wsp:val=&quot;009F7E36&quot;/&gt;&lt;wsp:rsid wsp:val=&quot;00A0129F&quot;/&gt;&lt;wsp:rsid wsp:val=&quot;00A03281&quot;/&gt;&lt;wsp:rsid wsp:val=&quot;00A04394&quot;/&gt;&lt;wsp:rsid wsp:val=&quot;00A043BA&quot;/&gt;&lt;wsp:rsid wsp:val=&quot;00A0583F&quot;/&gt;&lt;wsp:rsid wsp:val=&quot;00A14533&quot;/&gt;&lt;wsp:rsid wsp:val=&quot;00A16644&quot;/&gt;&lt;wsp:rsid wsp:val=&quot;00A20781&quot;/&gt;&lt;wsp:rsid wsp:val=&quot;00A2220E&quot;/&gt;&lt;wsp:rsid wsp:val=&quot;00A22502&quot;/&gt;&lt;wsp:rsid wsp:val=&quot;00A31E3F&quot;/&gt;&lt;wsp:rsid wsp:val=&quot;00A3436B&quot;/&gt;&lt;wsp:rsid wsp:val=&quot;00A3449C&quot;/&gt;&lt;wsp:rsid wsp:val=&quot;00A34516&quot;/&gt;&lt;wsp:rsid wsp:val=&quot;00A34D77&quot;/&gt;&lt;wsp:rsid wsp:val=&quot;00A36420&quot;/&gt;&lt;wsp:rsid wsp:val=&quot;00A401B8&quot;/&gt;&lt;wsp:rsid wsp:val=&quot;00A43A53&quot;/&gt;&lt;wsp:rsid wsp:val=&quot;00A45071&quot;/&gt;&lt;wsp:rsid wsp:val=&quot;00A50FB8&quot;/&gt;&lt;wsp:rsid wsp:val=&quot;00A576E2&quot;/&gt;&lt;wsp:rsid wsp:val=&quot;00A63DB5&quot;/&gt;&lt;wsp:rsid wsp:val=&quot;00A6579D&quot;/&gt;&lt;wsp:rsid wsp:val=&quot;00A66026&quot;/&gt;&lt;wsp:rsid wsp:val=&quot;00A71A07&quot;/&gt;&lt;wsp:rsid wsp:val=&quot;00A73DFD&quot;/&gt;&lt;wsp:rsid wsp:val=&quot;00A75C75&quot;/&gt;&lt;wsp:rsid wsp:val=&quot;00A77835&quot;/&gt;&lt;wsp:rsid wsp:val=&quot;00A8073B&quot;/&gt;&lt;wsp:rsid wsp:val=&quot;00A81BC2&quot;/&gt;&lt;wsp:rsid wsp:val=&quot;00A82896&quot;/&gt;&lt;wsp:rsid wsp:val=&quot;00A85E79&quot;/&gt;&lt;wsp:rsid wsp:val=&quot;00A86450&quot;/&gt;&lt;wsp:rsid wsp:val=&quot;00A878AD&quot;/&gt;&lt;wsp:rsid wsp:val=&quot;00A90FAC&quot;/&gt;&lt;wsp:rsid wsp:val=&quot;00A924F1&quot;/&gt;&lt;wsp:rsid wsp:val=&quot;00A95083&quot;/&gt;&lt;wsp:rsid wsp:val=&quot;00AA13E7&quot;/&gt;&lt;wsp:rsid wsp:val=&quot;00AA50A2&quot;/&gt;&lt;wsp:rsid wsp:val=&quot;00AB7A55&quot;/&gt;&lt;wsp:rsid wsp:val=&quot;00AC11CE&quot;/&gt;&lt;wsp:rsid wsp:val=&quot;00AC2DF8&quot;/&gt;&lt;wsp:rsid wsp:val=&quot;00AC3BF6&quot;/&gt;&lt;wsp:rsid wsp:val=&quot;00AC5515&quot;/&gt;&lt;wsp:rsid wsp:val=&quot;00AC5F8A&quot;/&gt;&lt;wsp:rsid wsp:val=&quot;00AE186F&quot;/&gt;&lt;wsp:rsid wsp:val=&quot;00AE51B1&quot;/&gt;&lt;wsp:rsid wsp:val=&quot;00AE5500&quot;/&gt;&lt;wsp:rsid wsp:val=&quot;00AE5CC0&quot;/&gt;&lt;wsp:rsid wsp:val=&quot;00AF02FB&quot;/&gt;&lt;wsp:rsid wsp:val=&quot;00AF1750&quot;/&gt;&lt;wsp:rsid wsp:val=&quot;00AF3533&quot;/&gt;&lt;wsp:rsid wsp:val=&quot;00B01109&quot;/&gt;&lt;wsp:rsid wsp:val=&quot;00B02F4A&quot;/&gt;&lt;wsp:rsid wsp:val=&quot;00B0543C&quot;/&gt;&lt;wsp:rsid wsp:val=&quot;00B0597C&quot;/&gt;&lt;wsp:rsid wsp:val=&quot;00B06B24&quot;/&gt;&lt;wsp:rsid wsp:val=&quot;00B079DF&quot;/&gt;&lt;wsp:rsid wsp:val=&quot;00B1433E&quot;/&gt;&lt;wsp:rsid wsp:val=&quot;00B1591A&quot;/&gt;&lt;wsp:rsid wsp:val=&quot;00B267E9&quot;/&gt;&lt;wsp:rsid wsp:val=&quot;00B35E35&quot;/&gt;&lt;wsp:rsid wsp:val=&quot;00B406C4&quot;/&gt;&lt;wsp:rsid wsp:val=&quot;00B40C13&quot;/&gt;&lt;wsp:rsid wsp:val=&quot;00B43413&quot;/&gt;&lt;wsp:rsid wsp:val=&quot;00B47C10&quot;/&gt;&lt;wsp:rsid wsp:val=&quot;00B507B9&quot;/&gt;&lt;wsp:rsid wsp:val=&quot;00B52188&quot;/&gt;&lt;wsp:rsid wsp:val=&quot;00B523B7&quot;/&gt;&lt;wsp:rsid wsp:val=&quot;00B53E6A&quot;/&gt;&lt;wsp:rsid wsp:val=&quot;00B546DB&quot;/&gt;&lt;wsp:rsid wsp:val=&quot;00B553BB&quot;/&gt;&lt;wsp:rsid wsp:val=&quot;00B55FFD&quot;/&gt;&lt;wsp:rsid wsp:val=&quot;00B634A1&quot;/&gt;&lt;wsp:rsid wsp:val=&quot;00B65A5E&quot;/&gt;&lt;wsp:rsid wsp:val=&quot;00B65C82&quot;/&gt;&lt;wsp:rsid wsp:val=&quot;00B66849&quot;/&gt;&lt;wsp:rsid wsp:val=&quot;00B70DAF&quot;/&gt;&lt;wsp:rsid wsp:val=&quot;00B7263E&quot;/&gt;&lt;wsp:rsid wsp:val=&quot;00B74616&quot;/&gt;&lt;wsp:rsid wsp:val=&quot;00B7600E&quot;/&gt;&lt;wsp:rsid wsp:val=&quot;00B77E4E&quot;/&gt;&lt;wsp:rsid wsp:val=&quot;00B83D9A&quot;/&gt;&lt;wsp:rsid wsp:val=&quot;00B86B11&quot;/&gt;&lt;wsp:rsid wsp:val=&quot;00B87444&quot;/&gt;&lt;wsp:rsid wsp:val=&quot;00B92A9E&quot;/&gt;&lt;wsp:rsid wsp:val=&quot;00B9329D&quot;/&gt;&lt;wsp:rsid wsp:val=&quot;00B93591&quot;/&gt;&lt;wsp:rsid wsp:val=&quot;00B977D2&quot;/&gt;&lt;wsp:rsid wsp:val=&quot;00BA2B06&quot;/&gt;&lt;wsp:rsid wsp:val=&quot;00BA43A3&quot;/&gt;&lt;wsp:rsid wsp:val=&quot;00BA60DD&quot;/&gt;&lt;wsp:rsid wsp:val=&quot;00BB2FFB&quot;/&gt;&lt;wsp:rsid wsp:val=&quot;00BB3F6C&quot;/&gt;&lt;wsp:rsid wsp:val=&quot;00BB527F&quot;/&gt;&lt;wsp:rsid wsp:val=&quot;00BC14EF&quot;/&gt;&lt;wsp:rsid wsp:val=&quot;00BD0445&quot;/&gt;&lt;wsp:rsid wsp:val=&quot;00BD33DD&quot;/&gt;&lt;wsp:rsid wsp:val=&quot;00BE301D&quot;/&gt;&lt;wsp:rsid wsp:val=&quot;00BE6570&quot;/&gt;&lt;wsp:rsid wsp:val=&quot;00BF0318&quot;/&gt;&lt;wsp:rsid wsp:val=&quot;00BF2439&quot;/&gt;&lt;wsp:rsid wsp:val=&quot;00BF2DE0&quot;/&gt;&lt;wsp:rsid wsp:val=&quot;00BF4DA7&quot;/&gt;&lt;wsp:rsid wsp:val=&quot;00BF7DD2&quot;/&gt;&lt;wsp:rsid wsp:val=&quot;00C00598&quot;/&gt;&lt;wsp:rsid wsp:val=&quot;00C01842&quot;/&gt;&lt;wsp:rsid wsp:val=&quot;00C02284&quot;/&gt;&lt;wsp:rsid wsp:val=&quot;00C02A99&quot;/&gt;&lt;wsp:rsid wsp:val=&quot;00C06292&quot;/&gt;&lt;wsp:rsid wsp:val=&quot;00C06313&quot;/&gt;&lt;wsp:rsid wsp:val=&quot;00C074DF&quot;/&gt;&lt;wsp:rsid wsp:val=&quot;00C10E10&quot;/&gt;&lt;wsp:rsid wsp:val=&quot;00C1285C&quot;/&gt;&lt;wsp:rsid wsp:val=&quot;00C14BE3&quot;/&gt;&lt;wsp:rsid wsp:val=&quot;00C17BD7&quot;/&gt;&lt;wsp:rsid wsp:val=&quot;00C20386&quot;/&gt;&lt;wsp:rsid wsp:val=&quot;00C20C97&quot;/&gt;&lt;wsp:rsid wsp:val=&quot;00C246D0&quot;/&gt;&lt;wsp:rsid wsp:val=&quot;00C27EA7&quot;/&gt;&lt;wsp:rsid wsp:val=&quot;00C305C6&quot;/&gt;&lt;wsp:rsid wsp:val=&quot;00C31E3D&quot;/&gt;&lt;wsp:rsid wsp:val=&quot;00C3436F&quot;/&gt;&lt;wsp:rsid wsp:val=&quot;00C352B9&quot;/&gt;&lt;wsp:rsid wsp:val=&quot;00C3534D&quot;/&gt;&lt;wsp:rsid wsp:val=&quot;00C44282&quot;/&gt;&lt;wsp:rsid wsp:val=&quot;00C516B3&quot;/&gt;&lt;wsp:rsid wsp:val=&quot;00C52944&quot;/&gt;&lt;wsp:rsid wsp:val=&quot;00C66F41&quot;/&gt;&lt;wsp:rsid wsp:val=&quot;00C67306&quot;/&gt;&lt;wsp:rsid wsp:val=&quot;00C77548&quot;/&gt;&lt;wsp:rsid wsp:val=&quot;00C8357C&quot;/&gt;&lt;wsp:rsid wsp:val=&quot;00C844DE&quot;/&gt;&lt;wsp:rsid wsp:val=&quot;00C85477&quot;/&gt;&lt;wsp:rsid wsp:val=&quot;00C918E0&quot;/&gt;&lt;wsp:rsid wsp:val=&quot;00C9741E&quot;/&gt;&lt;wsp:rsid wsp:val=&quot;00C97F78&quot;/&gt;&lt;wsp:rsid wsp:val=&quot;00CA1452&quot;/&gt;&lt;wsp:rsid wsp:val=&quot;00CA395D&quot;/&gt;&lt;wsp:rsid wsp:val=&quot;00CA515C&quot;/&gt;&lt;wsp:rsid wsp:val=&quot;00CA6956&quot;/&gt;&lt;wsp:rsid wsp:val=&quot;00CB66E3&quot;/&gt;&lt;wsp:rsid wsp:val=&quot;00CC50ED&quot;/&gt;&lt;wsp:rsid wsp:val=&quot;00CC584A&quot;/&gt;&lt;wsp:rsid wsp:val=&quot;00CC5C27&quot;/&gt;&lt;wsp:rsid wsp:val=&quot;00CD62FE&quot;/&gt;&lt;wsp:rsid wsp:val=&quot;00CE0968&quot;/&gt;&lt;wsp:rsid wsp:val=&quot;00CE3529&quot;/&gt;&lt;wsp:rsid wsp:val=&quot;00CE3B5E&quot;/&gt;&lt;wsp:rsid wsp:val=&quot;00CE3EC0&quot;/&gt;&lt;wsp:rsid wsp:val=&quot;00CE42F9&quot;/&gt;&lt;wsp:rsid wsp:val=&quot;00CE4F38&quot;/&gt;&lt;wsp:rsid wsp:val=&quot;00CE644A&quot;/&gt;&lt;wsp:rsid wsp:val=&quot;00D00DD2&quot;/&gt;&lt;wsp:rsid wsp:val=&quot;00D049BD&quot;/&gt;&lt;wsp:rsid wsp:val=&quot;00D04B5B&quot;/&gt;&lt;wsp:rsid wsp:val=&quot;00D10C52&quot;/&gt;&lt;wsp:rsid wsp:val=&quot;00D1500E&quot;/&gt;&lt;wsp:rsid wsp:val=&quot;00D21A42&quot;/&gt;&lt;wsp:rsid wsp:val=&quot;00D223F1&quot;/&gt;&lt;wsp:rsid wsp:val=&quot;00D22E4C&quot;/&gt;&lt;wsp:rsid wsp:val=&quot;00D27718&quot;/&gt;&lt;wsp:rsid wsp:val=&quot;00D27ECF&quot;/&gt;&lt;wsp:rsid wsp:val=&quot;00D33A79&quot;/&gt;&lt;wsp:rsid wsp:val=&quot;00D35515&quot;/&gt;&lt;wsp:rsid wsp:val=&quot;00D37274&quot;/&gt;&lt;wsp:rsid wsp:val=&quot;00D42976&quot;/&gt;&lt;wsp:rsid wsp:val=&quot;00D45120&quot;/&gt;&lt;wsp:rsid wsp:val=&quot;00D468D2&quot;/&gt;&lt;wsp:rsid wsp:val=&quot;00D5382D&quot;/&gt;&lt;wsp:rsid wsp:val=&quot;00D54BBA&quot;/&gt;&lt;wsp:rsid wsp:val=&quot;00D5719C&quot;/&gt;&lt;wsp:rsid wsp:val=&quot;00D62B59&quot;/&gt;&lt;wsp:rsid wsp:val=&quot;00D62C56&quot;/&gt;&lt;wsp:rsid wsp:val=&quot;00D652F5&quot;/&gt;&lt;wsp:rsid wsp:val=&quot;00D7168D&quot;/&gt;&lt;wsp:rsid wsp:val=&quot;00D73B80&quot;/&gt;&lt;wsp:rsid wsp:val=&quot;00D74AF6&quot;/&gt;&lt;wsp:rsid wsp:val=&quot;00D77D1C&quot;/&gt;&lt;wsp:rsid wsp:val=&quot;00D80652&quot;/&gt;&lt;wsp:rsid wsp:val=&quot;00D84067&quot;/&gt;&lt;wsp:rsid wsp:val=&quot;00D90C25&quot;/&gt;&lt;wsp:rsid wsp:val=&quot;00D9245F&quot;/&gt;&lt;wsp:rsid wsp:val=&quot;00DA0F3C&quot;/&gt;&lt;wsp:rsid wsp:val=&quot;00DA386F&quot;/&gt;&lt;wsp:rsid wsp:val=&quot;00DA712A&quot;/&gt;&lt;wsp:rsid wsp:val=&quot;00DB598A&quot;/&gt;&lt;wsp:rsid wsp:val=&quot;00DC490A&quot;/&gt;&lt;wsp:rsid wsp:val=&quot;00DC56A6&quot;/&gt;&lt;wsp:rsid wsp:val=&quot;00DC66BA&quot;/&gt;&lt;wsp:rsid wsp:val=&quot;00DD598C&quot;/&gt;&lt;wsp:rsid wsp:val=&quot;00DD66ED&quot;/&gt;&lt;wsp:rsid wsp:val=&quot;00DE0E98&quot;/&gt;&lt;wsp:rsid wsp:val=&quot;00DE68A5&quot;/&gt;&lt;wsp:rsid wsp:val=&quot;00DE77DC&quot;/&gt;&lt;wsp:rsid wsp:val=&quot;00DF19F4&quot;/&gt;&lt;wsp:rsid wsp:val=&quot;00DF2FD3&quot;/&gt;&lt;wsp:rsid wsp:val=&quot;00DF30DF&quot;/&gt;&lt;wsp:rsid wsp:val=&quot;00DF3EFA&quot;/&gt;&lt;wsp:rsid wsp:val=&quot;00DF567A&quot;/&gt;&lt;wsp:rsid wsp:val=&quot;00E045B8&quot;/&gt;&lt;wsp:rsid wsp:val=&quot;00E168B5&quot;/&gt;&lt;wsp:rsid wsp:val=&quot;00E25DF3&quot;/&gt;&lt;wsp:rsid wsp:val=&quot;00E262D7&quot;/&gt;&lt;wsp:rsid wsp:val=&quot;00E324F1&quot;/&gt;&lt;wsp:rsid wsp:val=&quot;00E32832&quot;/&gt;&lt;wsp:rsid wsp:val=&quot;00E362FB&quot;/&gt;&lt;wsp:rsid wsp:val=&quot;00E41701&quot;/&gt;&lt;wsp:rsid wsp:val=&quot;00E41D85&quot;/&gt;&lt;wsp:rsid wsp:val=&quot;00E4266D&quot;/&gt;&lt;wsp:rsid wsp:val=&quot;00E447AD&quot;/&gt;&lt;wsp:rsid wsp:val=&quot;00E50B1F&quot;/&gt;&lt;wsp:rsid wsp:val=&quot;00E63BAA&quot;/&gt;&lt;wsp:rsid wsp:val=&quot;00E642A2&quot;/&gt;&lt;wsp:rsid wsp:val=&quot;00E64E1A&quot;/&gt;&lt;wsp:rsid wsp:val=&quot;00E65357&quot;/&gt;&lt;wsp:rsid wsp:val=&quot;00E66AD5&quot;/&gt;&lt;wsp:rsid wsp:val=&quot;00E7223B&quot;/&gt;&lt;wsp:rsid wsp:val=&quot;00E72634&quot;/&gt;&lt;wsp:rsid wsp:val=&quot;00E736DB&quot;/&gt;&lt;wsp:rsid wsp:val=&quot;00E76709&quot;/&gt;&lt;wsp:rsid wsp:val=&quot;00E83D90&quot;/&gt;&lt;wsp:rsid wsp:val=&quot;00E8414D&quot;/&gt;&lt;wsp:rsid wsp:val=&quot;00E8783C&quot;/&gt;&lt;wsp:rsid wsp:val=&quot;00E92DC3&quot;/&gt;&lt;wsp:rsid wsp:val=&quot;00E93F3C&quot;/&gt;&lt;wsp:rsid wsp:val=&quot;00E94ACE&quot;/&gt;&lt;wsp:rsid wsp:val=&quot;00E962C3&quot;/&gt;&lt;wsp:rsid wsp:val=&quot;00EA119E&quot;/&gt;&lt;wsp:rsid wsp:val=&quot;00EB36B2&quot;/&gt;&lt;wsp:rsid wsp:val=&quot;00EB6C80&quot;/&gt;&lt;wsp:rsid wsp:val=&quot;00EB7AEF&quot;/&gt;&lt;wsp:rsid wsp:val=&quot;00EC2BE5&quot;/&gt;&lt;wsp:rsid wsp:val=&quot;00EC7948&quot;/&gt;&lt;wsp:rsid wsp:val=&quot;00ED12AD&quot;/&gt;&lt;wsp:rsid wsp:val=&quot;00ED46E4&quot;/&gt;&lt;wsp:rsid wsp:val=&quot;00EE12F5&quot;/&gt;&lt;wsp:rsid wsp:val=&quot;00EE1A36&quot;/&gt;&lt;wsp:rsid wsp:val=&quot;00EE5EDD&quot;/&gt;&lt;wsp:rsid wsp:val=&quot;00EE7307&quot;/&gt;&lt;wsp:rsid wsp:val=&quot;00EF6A27&quot;/&gt;&lt;wsp:rsid wsp:val=&quot;00F16C14&quot;/&gt;&lt;wsp:rsid wsp:val=&quot;00F2122F&quot;/&gt;&lt;wsp:rsid wsp:val=&quot;00F31A36&quot;/&gt;&lt;wsp:rsid wsp:val=&quot;00F33BFA&quot;/&gt;&lt;wsp:rsid wsp:val=&quot;00F34B1F&quot;/&gt;&lt;wsp:rsid wsp:val=&quot;00F35B4F&quot;/&gt;&lt;wsp:rsid wsp:val=&quot;00F47348&quot;/&gt;&lt;wsp:rsid wsp:val=&quot;00F6031B&quot;/&gt;&lt;wsp:rsid wsp:val=&quot;00F610DE&quot;/&gt;&lt;wsp:rsid wsp:val=&quot;00F700EB&quot;/&gt;&lt;wsp:rsid wsp:val=&quot;00F71AEF&quot;/&gt;&lt;wsp:rsid wsp:val=&quot;00F72A05&quot;/&gt;&lt;wsp:rsid wsp:val=&quot;00F73ED7&quot;/&gt;&lt;wsp:rsid wsp:val=&quot;00F762BE&quot;/&gt;&lt;wsp:rsid wsp:val=&quot;00F77474&quot;/&gt;&lt;wsp:rsid wsp:val=&quot;00F77F70&quot;/&gt;&lt;wsp:rsid wsp:val=&quot;00F85901&quot;/&gt;&lt;wsp:rsid wsp:val=&quot;00F87EA0&quot;/&gt;&lt;wsp:rsid wsp:val=&quot;00F90784&quot;/&gt;&lt;wsp:rsid wsp:val=&quot;00F91AD7&quot;/&gt;&lt;wsp:rsid wsp:val=&quot;00F9238D&quot;/&gt;&lt;wsp:rsid wsp:val=&quot;00F94A3B&quot;/&gt;&lt;wsp:rsid wsp:val=&quot;00FA123F&quot;/&gt;&lt;wsp:rsid wsp:val=&quot;00FA4D7A&quot;/&gt;&lt;wsp:rsid wsp:val=&quot;00FA62E6&quot;/&gt;&lt;wsp:rsid wsp:val=&quot;00FB16EB&quot;/&gt;&lt;wsp:rsid wsp:val=&quot;00FB38E4&quot;/&gt;&lt;wsp:rsid wsp:val=&quot;00FB5392&quot;/&gt;&lt;wsp:rsid wsp:val=&quot;00FB6E4D&quot;/&gt;&lt;wsp:rsid wsp:val=&quot;00FB7655&quot;/&gt;&lt;wsp:rsid wsp:val=&quot;00FC0508&quot;/&gt;&lt;wsp:rsid wsp:val=&quot;00FC0876&quot;/&gt;&lt;wsp:rsid wsp:val=&quot;00FC4747&quot;/&gt;&lt;wsp:rsid wsp:val=&quot;00FC6554&quot;/&gt;&lt;wsp:rsid wsp:val=&quot;00FC7C7A&quot;/&gt;&lt;wsp:rsid wsp:val=&quot;00FD49FC&quot;/&gt;&lt;wsp:rsid wsp:val=&quot;00FD75D7&quot;/&gt;&lt;wsp:rsid wsp:val=&quot;00FE59C1&quot;/&gt;&lt;wsp:rsid wsp:val=&quot;00FF7EBD&quot;/&gt;&lt;/wsp:rsids&gt;&lt;/w:docPr&gt;&lt;w:body&gt;&lt;wx:sect&gt;&lt;w:p wsp:rsidR=&quot;00000000&quot; wsp:rsidRDefault=&quot;00594979&quot; wsp:rsidP=&quot;00594979&quot;&gt;&lt;m:oMathPara&gt;&lt;m:oMath&gt;&lt;m:sSubSup&gt;&lt;m:sSubSupPr&gt;&lt;m:ctrlPr&gt;&lt;w:rPr&gt;&lt;w:rFonts w:ascii=&quot;Cambria Math&quot; w:fareast=&quot;Calibri&quot; w:h-ansi=&quot;Cambria Math&quot; w:cs=&quot;Times New Roman&quot;/&gt;&lt;wx:font wx:val=&quot;Cambria Math&quot;/&gt;&lt;w:b/&gt;&lt;w:i/&gt;&lt;w:sz w:val=&quot;20&quot;/&gt;&lt;w:sz-cs w:val=&quot;20&quot;/&gt;&lt;/w:rPr&gt;&lt;/m:ctrlPr&gt;&lt;/m:sSubSupPr&gt;&lt;m:e&gt;&lt;m:r&gt;&lt;m:rPr&gt;&lt;m:sty m:val=&quot;bi&quot;/&gt;&lt;/m:rPr&gt;&lt;w:rPr&gt;&lt;w:rFonts w:ascii=&quot;Cambria Math&quot; w:fareast=&quot;Calibri&quot; w:h-ansi=&quot;Cambria Math&quot; w:cs=&quot;Times New Roman&quot;/&gt;&lt;wx:font wx:val=&quot;Cambria Math&quot;/&gt;&lt;w:b/&gt;&lt;w:i/&gt;&lt;w:sz w:val=&quot;20&quot;/&gt;&lt;w:sz-cs w:val=&quot;20&quot;/&gt;&lt;/w:rPr&gt;&lt;m:t&gt;Ïƒ&lt;/m:t&gt;&lt;/m:r&gt;&lt;/m:e&gt;&lt;m:sub&gt;&lt;m:r&gt;&lt;m:rPr&gt;&lt;m:sty m:val=&quot;bi&quot;/&gt;&lt;/m:rPr&gt;&lt;w:rPr&gt;&lt;w:rFonts w:ascii=&quot;Cambria Math&quot; w:fareast=&quot;Calibri&quot; w:h-ansi=&quot;Cambria Math&quot; w:cs=&quot;Times New Roman&quot;/&gt;&lt;wx:font wx:val=&quot;Cambria Math&quot;/&gt;&lt;w:b/&gt;&lt;w:i/&gt;&lt;w:sz w:val=&quot;20&quot;/&gt;&lt;w:sz-cs w:val=&quot;20&quot;/&gt;&lt;/w:rPr&gt;&lt;m:t&gt;Î_&lt;/m:t&gt;&lt;/m:r&gt;&lt;/m:sub&gt;&lt;m:sup&gt;&lt;m:r&gt;&lt;m:rPr&gt;&lt;m:sty m:val=&quot;bi&quot;/&gt;&lt;/m:rPr&gt;&lt;w:rPr&gt;&lt;w:rFonts w:ascii=&quot;Cambria Math&quot; w:fareast=&quot;Calibri&quot; w:h-ansi=&quot;Calibri&quot; w:cs=&quot;Times New Roman&quot;/&gt;&lt;wx:font wx:val=&quot;Cambria Math&quot;/&gt;&lt;w:b/&gt;&lt;w:i/&gt;&lt;w:sz w:val=&quot;20&quot;/&gt;&lt;w:sz-cs w:val=&quot;20&quot;/&gt;&lt;/w:rPr&gt;&lt;m:t&gt;2&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00156059" w:rsidRPr="00FA5289">
              <w:rPr>
                <w:rFonts w:cs="Times New Roman"/>
                <w:b/>
              </w:rPr>
              <w:fldChar w:fldCharType="end"/>
            </w:r>
            <w:r w:rsidRPr="00FA5289">
              <w:rPr>
                <w:rFonts w:cs="Times New Roman"/>
                <w:b/>
              </w:rPr>
              <w:t xml:space="preserve"> (% of total variance)</w:t>
            </w:r>
          </w:p>
        </w:tc>
        <w:tc>
          <w:tcPr>
            <w:tcW w:w="860" w:type="dxa"/>
            <w:tcBorders>
              <w:top w:val="single" w:sz="4" w:space="0" w:color="auto"/>
              <w:left w:val="nil"/>
              <w:bottom w:val="single" w:sz="4" w:space="0" w:color="auto"/>
              <w:right w:val="nil"/>
            </w:tcBorders>
            <w:shd w:val="clear" w:color="auto" w:fill="BFBFBF"/>
          </w:tcPr>
          <w:p w:rsidR="00022A6E" w:rsidRPr="00FA5289" w:rsidRDefault="00022A6E" w:rsidP="00C92714">
            <w:pPr>
              <w:spacing w:after="0" w:line="240" w:lineRule="auto"/>
              <w:rPr>
                <w:rFonts w:cs="Times New Roman"/>
                <w:b/>
              </w:rPr>
            </w:pPr>
            <w:proofErr w:type="spellStart"/>
            <w:r w:rsidRPr="00FA5289">
              <w:rPr>
                <w:rFonts w:cs="Times New Roman"/>
                <w:b/>
              </w:rPr>
              <w:t>QE</w:t>
            </w:r>
            <w:r w:rsidRPr="00FA5289">
              <w:rPr>
                <w:rFonts w:cs="Times New Roman"/>
                <w:b/>
                <w:vertAlign w:val="subscript"/>
              </w:rPr>
              <w:t>df</w:t>
            </w:r>
            <w:proofErr w:type="spellEnd"/>
          </w:p>
        </w:tc>
      </w:tr>
      <w:tr w:rsidR="00C92714" w:rsidRPr="00022A6E" w:rsidTr="00C92714">
        <w:tc>
          <w:tcPr>
            <w:tcW w:w="959"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rPr>
                <w:rFonts w:cs="Times New Roman"/>
              </w:rPr>
            </w:pPr>
            <w:r w:rsidRPr="00FA5289">
              <w:rPr>
                <w:rFonts w:cs="Times New Roman"/>
              </w:rPr>
              <w:t>Site</w:t>
            </w:r>
          </w:p>
        </w:tc>
        <w:tc>
          <w:tcPr>
            <w:tcW w:w="1559" w:type="dxa"/>
            <w:tcBorders>
              <w:top w:val="single" w:sz="4" w:space="0" w:color="auto"/>
              <w:left w:val="nil"/>
              <w:bottom w:val="nil"/>
              <w:right w:val="nil"/>
            </w:tcBorders>
            <w:vAlign w:val="center"/>
          </w:tcPr>
          <w:p w:rsidR="00022A6E" w:rsidRPr="00FA5289" w:rsidRDefault="00022A6E" w:rsidP="00C92714">
            <w:pPr>
              <w:spacing w:after="0" w:line="240" w:lineRule="auto"/>
              <w:rPr>
                <w:rFonts w:cs="Times New Roman"/>
              </w:rPr>
            </w:pPr>
            <w:r w:rsidRPr="00FA5289">
              <w:rPr>
                <w:rFonts w:cs="Times New Roman"/>
              </w:rPr>
              <w:t>Total Body</w:t>
            </w:r>
          </w:p>
        </w:tc>
        <w:tc>
          <w:tcPr>
            <w:tcW w:w="1276" w:type="dxa"/>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-0.13</w:t>
            </w:r>
          </w:p>
        </w:tc>
        <w:tc>
          <w:tcPr>
            <w:tcW w:w="1310" w:type="dxa"/>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-0.32, 0.07</w:t>
            </w:r>
          </w:p>
        </w:tc>
        <w:tc>
          <w:tcPr>
            <w:tcW w:w="1203"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0.027 (27.2%)</w:t>
            </w:r>
          </w:p>
        </w:tc>
        <w:tc>
          <w:tcPr>
            <w:tcW w:w="1137"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0.060 (60.7%)</w:t>
            </w:r>
          </w:p>
        </w:tc>
        <w:tc>
          <w:tcPr>
            <w:tcW w:w="860"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203.8</w:t>
            </w:r>
            <w:r w:rsidRPr="00FA5289">
              <w:rPr>
                <w:rFonts w:cs="Times New Roman"/>
                <w:vertAlign w:val="subscript"/>
              </w:rPr>
              <w:t>25</w:t>
            </w:r>
          </w:p>
        </w:tc>
      </w:tr>
      <w:tr w:rsidR="00C92714" w:rsidRPr="00022A6E" w:rsidTr="00C92714">
        <w:tc>
          <w:tcPr>
            <w:tcW w:w="959" w:type="dxa"/>
            <w:vMerge/>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p>
        </w:tc>
        <w:tc>
          <w:tcPr>
            <w:tcW w:w="1559" w:type="dxa"/>
            <w:tcBorders>
              <w:top w:val="nil"/>
              <w:left w:val="nil"/>
              <w:bottom w:val="nil"/>
              <w:right w:val="nil"/>
            </w:tcBorders>
            <w:vAlign w:val="center"/>
          </w:tcPr>
          <w:p w:rsidR="00022A6E" w:rsidRPr="00FA5289" w:rsidRDefault="00022A6E" w:rsidP="00C92714">
            <w:pPr>
              <w:spacing w:after="0" w:line="240" w:lineRule="auto"/>
              <w:rPr>
                <w:rFonts w:cs="Times New Roman"/>
              </w:rPr>
            </w:pPr>
            <w:r w:rsidRPr="00FA5289">
              <w:rPr>
                <w:rFonts w:cs="Times New Roman"/>
              </w:rPr>
              <w:t>Lumbar Spine</w:t>
            </w:r>
          </w:p>
        </w:tc>
        <w:tc>
          <w:tcPr>
            <w:tcW w:w="1276" w:type="dxa"/>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-0.08</w:t>
            </w:r>
          </w:p>
        </w:tc>
        <w:tc>
          <w:tcPr>
            <w:tcW w:w="1310" w:type="dxa"/>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-0.28, 0.12</w:t>
            </w:r>
          </w:p>
        </w:tc>
        <w:tc>
          <w:tcPr>
            <w:tcW w:w="1203" w:type="dxa"/>
            <w:vMerge/>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p>
        </w:tc>
        <w:tc>
          <w:tcPr>
            <w:tcW w:w="1137" w:type="dxa"/>
            <w:vMerge/>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p>
        </w:tc>
        <w:tc>
          <w:tcPr>
            <w:tcW w:w="860" w:type="dxa"/>
            <w:vMerge/>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p>
        </w:tc>
      </w:tr>
      <w:tr w:rsidR="00C92714" w:rsidRPr="00022A6E" w:rsidTr="00C92714">
        <w:tc>
          <w:tcPr>
            <w:tcW w:w="959" w:type="dxa"/>
            <w:vMerge/>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p>
        </w:tc>
        <w:tc>
          <w:tcPr>
            <w:tcW w:w="1559" w:type="dxa"/>
            <w:tcBorders>
              <w:top w:val="nil"/>
              <w:left w:val="nil"/>
              <w:bottom w:val="single" w:sz="4" w:space="0" w:color="auto"/>
              <w:right w:val="nil"/>
            </w:tcBorders>
            <w:vAlign w:val="center"/>
          </w:tcPr>
          <w:p w:rsidR="00022A6E" w:rsidRPr="00FA5289" w:rsidRDefault="00022A6E" w:rsidP="00C92714">
            <w:pPr>
              <w:spacing w:after="0" w:line="240" w:lineRule="auto"/>
              <w:rPr>
                <w:rFonts w:cs="Times New Roman"/>
              </w:rPr>
            </w:pPr>
            <w:r w:rsidRPr="00FA5289">
              <w:rPr>
                <w:rFonts w:cs="Times New Roman"/>
              </w:rPr>
              <w:t>Total Femur</w:t>
            </w:r>
          </w:p>
          <w:p w:rsidR="00022A6E" w:rsidRPr="00FA5289" w:rsidRDefault="00022A6E" w:rsidP="00C92714">
            <w:pPr>
              <w:spacing w:after="0" w:line="240" w:lineRule="auto"/>
              <w:rPr>
                <w:rFonts w:cs="Times New Roman"/>
              </w:rPr>
            </w:pPr>
            <w:r w:rsidRPr="00FA5289">
              <w:rPr>
                <w:rFonts w:cs="Times New Roman"/>
              </w:rPr>
              <w:t>Femoral Neck</w:t>
            </w:r>
          </w:p>
        </w:tc>
        <w:tc>
          <w:tcPr>
            <w:tcW w:w="1276" w:type="dxa"/>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vertAlign w:val="superscript"/>
              </w:rPr>
            </w:pPr>
            <w:r w:rsidRPr="00FA5289">
              <w:rPr>
                <w:rFonts w:cs="Times New Roman"/>
              </w:rPr>
              <w:t>-0.20</w:t>
            </w:r>
          </w:p>
          <w:p w:rsidR="00022A6E" w:rsidRPr="00FA5289" w:rsidRDefault="00022A6E" w:rsidP="00C92714">
            <w:pPr>
              <w:spacing w:after="0" w:line="240" w:lineRule="auto"/>
              <w:jc w:val="center"/>
              <w:rPr>
                <w:rFonts w:cs="Times New Roman"/>
              </w:rPr>
            </w:pPr>
            <w:r w:rsidRPr="00FA5289">
              <w:rPr>
                <w:rFonts w:cs="Times New Roman"/>
              </w:rPr>
              <w:t>-0.19</w:t>
            </w:r>
          </w:p>
        </w:tc>
        <w:tc>
          <w:tcPr>
            <w:tcW w:w="1310" w:type="dxa"/>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-0.39, 0.01</w:t>
            </w:r>
          </w:p>
          <w:p w:rsidR="00022A6E" w:rsidRPr="00FA5289" w:rsidRDefault="00022A6E" w:rsidP="00C92714">
            <w:pPr>
              <w:spacing w:after="0" w:line="240" w:lineRule="auto"/>
              <w:jc w:val="center"/>
              <w:rPr>
                <w:rFonts w:cs="Times New Roman"/>
              </w:rPr>
            </w:pPr>
            <w:r w:rsidRPr="00FA5289">
              <w:rPr>
                <w:rFonts w:cs="Times New Roman"/>
              </w:rPr>
              <w:t>-0.44, 0.09</w:t>
            </w:r>
          </w:p>
        </w:tc>
        <w:tc>
          <w:tcPr>
            <w:tcW w:w="1203"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c>
          <w:tcPr>
            <w:tcW w:w="1137"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c>
          <w:tcPr>
            <w:tcW w:w="860"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r>
      <w:tr w:rsidR="00C92714" w:rsidRPr="00022A6E" w:rsidTr="00C92714">
        <w:tc>
          <w:tcPr>
            <w:tcW w:w="959" w:type="dxa"/>
            <w:vMerge w:val="restart"/>
            <w:tcBorders>
              <w:top w:val="nil"/>
              <w:left w:val="nil"/>
              <w:bottom w:val="nil"/>
              <w:right w:val="nil"/>
            </w:tcBorders>
            <w:vAlign w:val="center"/>
          </w:tcPr>
          <w:p w:rsidR="00022A6E" w:rsidRPr="00FA5289" w:rsidRDefault="00022A6E" w:rsidP="00C92714">
            <w:pPr>
              <w:spacing w:after="0" w:line="240" w:lineRule="auto"/>
              <w:rPr>
                <w:rFonts w:cs="Times New Roman"/>
              </w:rPr>
            </w:pPr>
            <w:r w:rsidRPr="00FA5289">
              <w:rPr>
                <w:rFonts w:cs="Times New Roman"/>
              </w:rPr>
              <w:t>Age</w:t>
            </w:r>
          </w:p>
        </w:tc>
        <w:tc>
          <w:tcPr>
            <w:tcW w:w="1559" w:type="dxa"/>
            <w:tcBorders>
              <w:top w:val="single" w:sz="4" w:space="0" w:color="auto"/>
              <w:left w:val="nil"/>
              <w:bottom w:val="nil"/>
              <w:right w:val="nil"/>
            </w:tcBorders>
            <w:vAlign w:val="center"/>
          </w:tcPr>
          <w:p w:rsidR="00022A6E" w:rsidRPr="00FA5289" w:rsidRDefault="00022A6E" w:rsidP="00C92714">
            <w:pPr>
              <w:spacing w:after="0" w:line="240" w:lineRule="auto"/>
              <w:rPr>
                <w:rFonts w:cs="Times New Roman"/>
              </w:rPr>
            </w:pPr>
            <w:r w:rsidRPr="00FA5289">
              <w:rPr>
                <w:rFonts w:cs="Times New Roman"/>
              </w:rPr>
              <w:t>&lt;25</w:t>
            </w:r>
          </w:p>
        </w:tc>
        <w:tc>
          <w:tcPr>
            <w:tcW w:w="1276" w:type="dxa"/>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-0.28</w:t>
            </w:r>
            <w:r w:rsidRPr="00FA5289">
              <w:rPr>
                <w:rFonts w:cs="Times New Roman"/>
                <w:vertAlign w:val="superscript"/>
              </w:rPr>
              <w:t>*</w:t>
            </w:r>
          </w:p>
        </w:tc>
        <w:tc>
          <w:tcPr>
            <w:tcW w:w="1310" w:type="dxa"/>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-0.45, -0.08</w:t>
            </w:r>
          </w:p>
        </w:tc>
        <w:tc>
          <w:tcPr>
            <w:tcW w:w="1203"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0.024 (35.9%)</w:t>
            </w:r>
          </w:p>
        </w:tc>
        <w:tc>
          <w:tcPr>
            <w:tcW w:w="1137"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0.0315 (46.5%)</w:t>
            </w:r>
          </w:p>
        </w:tc>
        <w:tc>
          <w:tcPr>
            <w:tcW w:w="860"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140.9</w:t>
            </w:r>
            <w:r w:rsidRPr="00FA5289">
              <w:rPr>
                <w:rFonts w:cs="Times New Roman"/>
                <w:vertAlign w:val="subscript"/>
              </w:rPr>
              <w:t>26</w:t>
            </w:r>
          </w:p>
        </w:tc>
      </w:tr>
      <w:tr w:rsidR="00C92714" w:rsidRPr="00022A6E" w:rsidTr="00C92714">
        <w:tc>
          <w:tcPr>
            <w:tcW w:w="959" w:type="dxa"/>
            <w:vMerge/>
            <w:tcBorders>
              <w:top w:val="nil"/>
              <w:left w:val="nil"/>
              <w:bottom w:val="nil"/>
              <w:right w:val="nil"/>
            </w:tcBorders>
            <w:vAlign w:val="center"/>
          </w:tcPr>
          <w:p w:rsidR="00022A6E" w:rsidRPr="00FA5289" w:rsidRDefault="00022A6E" w:rsidP="00C92714">
            <w:pPr>
              <w:spacing w:after="0" w:line="240" w:lineRule="auto"/>
              <w:rPr>
                <w:rFonts w:cs="Times New Roman"/>
              </w:rPr>
            </w:pPr>
          </w:p>
        </w:tc>
        <w:tc>
          <w:tcPr>
            <w:tcW w:w="1559" w:type="dxa"/>
            <w:tcBorders>
              <w:top w:val="nil"/>
              <w:left w:val="nil"/>
              <w:bottom w:val="nil"/>
              <w:right w:val="nil"/>
            </w:tcBorders>
            <w:vAlign w:val="center"/>
          </w:tcPr>
          <w:p w:rsidR="00022A6E" w:rsidRPr="00FA5289" w:rsidRDefault="00022A6E" w:rsidP="00C92714">
            <w:pPr>
              <w:spacing w:after="0" w:line="240" w:lineRule="auto"/>
              <w:rPr>
                <w:rFonts w:cs="Times New Roman"/>
              </w:rPr>
            </w:pPr>
            <w:r w:rsidRPr="00FA5289">
              <w:rPr>
                <w:rFonts w:cs="Times New Roman"/>
              </w:rPr>
              <w:t xml:space="preserve">25 </w:t>
            </w:r>
            <w:r w:rsidR="006531EA">
              <w:rPr>
                <w:rFonts w:cs="Times New Roman"/>
              </w:rPr>
              <w:t>–</w:t>
            </w:r>
            <w:r w:rsidRPr="00FA5289">
              <w:rPr>
                <w:rFonts w:cs="Times New Roman"/>
              </w:rPr>
              <w:t xml:space="preserve"> 55</w:t>
            </w:r>
          </w:p>
        </w:tc>
        <w:tc>
          <w:tcPr>
            <w:tcW w:w="1276" w:type="dxa"/>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0.12</w:t>
            </w:r>
          </w:p>
        </w:tc>
        <w:tc>
          <w:tcPr>
            <w:tcW w:w="1310" w:type="dxa"/>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-0.11, 0.34</w:t>
            </w:r>
          </w:p>
        </w:tc>
        <w:tc>
          <w:tcPr>
            <w:tcW w:w="1203" w:type="dxa"/>
            <w:vMerge/>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p>
        </w:tc>
        <w:tc>
          <w:tcPr>
            <w:tcW w:w="1137" w:type="dxa"/>
            <w:vMerge/>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p>
        </w:tc>
        <w:tc>
          <w:tcPr>
            <w:tcW w:w="860" w:type="dxa"/>
            <w:vMerge/>
            <w:tcBorders>
              <w:top w:val="nil"/>
              <w:left w:val="nil"/>
              <w:bottom w:val="nil"/>
              <w:right w:val="nil"/>
            </w:tcBorders>
            <w:vAlign w:val="center"/>
          </w:tcPr>
          <w:p w:rsidR="00022A6E" w:rsidRPr="00FA5289" w:rsidRDefault="00022A6E" w:rsidP="00C92714">
            <w:pPr>
              <w:spacing w:after="0" w:line="240" w:lineRule="auto"/>
              <w:jc w:val="center"/>
              <w:rPr>
                <w:rFonts w:cs="Times New Roman"/>
              </w:rPr>
            </w:pPr>
          </w:p>
        </w:tc>
      </w:tr>
      <w:tr w:rsidR="00C92714" w:rsidRPr="00022A6E" w:rsidTr="00C92714">
        <w:tc>
          <w:tcPr>
            <w:tcW w:w="959" w:type="dxa"/>
            <w:vMerge/>
            <w:tcBorders>
              <w:top w:val="nil"/>
              <w:left w:val="nil"/>
              <w:bottom w:val="nil"/>
              <w:right w:val="nil"/>
            </w:tcBorders>
            <w:vAlign w:val="center"/>
          </w:tcPr>
          <w:p w:rsidR="00022A6E" w:rsidRPr="00FA5289" w:rsidRDefault="00022A6E" w:rsidP="00C92714">
            <w:pPr>
              <w:spacing w:after="0" w:line="240" w:lineRule="auto"/>
              <w:rPr>
                <w:rFonts w:cs="Times New Roman"/>
              </w:rPr>
            </w:pPr>
          </w:p>
        </w:tc>
        <w:tc>
          <w:tcPr>
            <w:tcW w:w="1559" w:type="dxa"/>
            <w:tcBorders>
              <w:top w:val="nil"/>
              <w:left w:val="nil"/>
              <w:bottom w:val="single" w:sz="4" w:space="0" w:color="auto"/>
              <w:right w:val="nil"/>
            </w:tcBorders>
            <w:vAlign w:val="center"/>
          </w:tcPr>
          <w:p w:rsidR="00022A6E" w:rsidRPr="00FA5289" w:rsidRDefault="00022A6E" w:rsidP="00C92714">
            <w:pPr>
              <w:spacing w:after="0" w:line="240" w:lineRule="auto"/>
              <w:rPr>
                <w:rFonts w:cs="Times New Roman"/>
              </w:rPr>
            </w:pPr>
            <w:r w:rsidRPr="00FA5289">
              <w:rPr>
                <w:rFonts w:cs="Times New Roman"/>
              </w:rPr>
              <w:t>&gt;55</w:t>
            </w:r>
          </w:p>
        </w:tc>
        <w:tc>
          <w:tcPr>
            <w:tcW w:w="1276" w:type="dxa"/>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-0.21</w:t>
            </w:r>
          </w:p>
        </w:tc>
        <w:tc>
          <w:tcPr>
            <w:tcW w:w="1310" w:type="dxa"/>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-0.44, 0.06</w:t>
            </w:r>
          </w:p>
        </w:tc>
        <w:tc>
          <w:tcPr>
            <w:tcW w:w="1203"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c>
          <w:tcPr>
            <w:tcW w:w="1137"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c>
          <w:tcPr>
            <w:tcW w:w="860"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r>
      <w:tr w:rsidR="00C92714" w:rsidRPr="00022A6E" w:rsidTr="00C92714">
        <w:tc>
          <w:tcPr>
            <w:tcW w:w="959" w:type="dxa"/>
            <w:vMerge w:val="restart"/>
            <w:tcBorders>
              <w:top w:val="nil"/>
              <w:left w:val="nil"/>
              <w:bottom w:val="nil"/>
              <w:right w:val="nil"/>
            </w:tcBorders>
            <w:vAlign w:val="center"/>
          </w:tcPr>
          <w:p w:rsidR="00022A6E" w:rsidRPr="00FA5289" w:rsidRDefault="00022A6E" w:rsidP="00C92714">
            <w:pPr>
              <w:spacing w:after="0" w:line="240" w:lineRule="auto"/>
              <w:rPr>
                <w:rFonts w:cs="Times New Roman"/>
              </w:rPr>
            </w:pPr>
            <w:r w:rsidRPr="00FA5289">
              <w:rPr>
                <w:rFonts w:cs="Times New Roman"/>
              </w:rPr>
              <w:t>BMI Class</w:t>
            </w:r>
          </w:p>
        </w:tc>
        <w:tc>
          <w:tcPr>
            <w:tcW w:w="1559" w:type="dxa"/>
            <w:tcBorders>
              <w:top w:val="single" w:sz="4" w:space="0" w:color="auto"/>
              <w:left w:val="nil"/>
              <w:bottom w:val="nil"/>
              <w:right w:val="nil"/>
            </w:tcBorders>
            <w:vAlign w:val="center"/>
          </w:tcPr>
          <w:p w:rsidR="00022A6E" w:rsidRPr="00FA5289" w:rsidRDefault="00022A6E" w:rsidP="00C92714">
            <w:pPr>
              <w:spacing w:after="0" w:line="240" w:lineRule="auto"/>
              <w:rPr>
                <w:rFonts w:cs="Times New Roman"/>
              </w:rPr>
            </w:pPr>
            <w:r w:rsidRPr="00FA5289">
              <w:rPr>
                <w:rFonts w:cs="Times New Roman"/>
              </w:rPr>
              <w:t>Overweight</w:t>
            </w:r>
          </w:p>
        </w:tc>
        <w:tc>
          <w:tcPr>
            <w:tcW w:w="1276" w:type="dxa"/>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-0.08</w:t>
            </w:r>
          </w:p>
        </w:tc>
        <w:tc>
          <w:tcPr>
            <w:tcW w:w="1310" w:type="dxa"/>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-0.27, 0.11</w:t>
            </w:r>
          </w:p>
        </w:tc>
        <w:tc>
          <w:tcPr>
            <w:tcW w:w="1203"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0.024 (25.0%)</w:t>
            </w:r>
          </w:p>
        </w:tc>
        <w:tc>
          <w:tcPr>
            <w:tcW w:w="1137"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0.060 (62.5%)</w:t>
            </w:r>
          </w:p>
        </w:tc>
        <w:tc>
          <w:tcPr>
            <w:tcW w:w="860"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209.9</w:t>
            </w:r>
            <w:r w:rsidRPr="00FA5289">
              <w:rPr>
                <w:rFonts w:cs="Times New Roman"/>
                <w:vertAlign w:val="subscript"/>
              </w:rPr>
              <w:t>27</w:t>
            </w:r>
          </w:p>
        </w:tc>
      </w:tr>
      <w:tr w:rsidR="00C92714" w:rsidRPr="00022A6E" w:rsidTr="00C92714">
        <w:trPr>
          <w:trHeight w:val="459"/>
        </w:trPr>
        <w:tc>
          <w:tcPr>
            <w:tcW w:w="959" w:type="dxa"/>
            <w:vMerge/>
            <w:tcBorders>
              <w:top w:val="nil"/>
              <w:left w:val="nil"/>
              <w:bottom w:val="nil"/>
              <w:right w:val="nil"/>
            </w:tcBorders>
            <w:vAlign w:val="center"/>
          </w:tcPr>
          <w:p w:rsidR="00022A6E" w:rsidRPr="00FA5289" w:rsidRDefault="00022A6E" w:rsidP="00C92714">
            <w:pPr>
              <w:spacing w:after="0" w:line="240" w:lineRule="auto"/>
              <w:rPr>
                <w:rFonts w:cs="Times New Roman"/>
              </w:rPr>
            </w:pPr>
          </w:p>
        </w:tc>
        <w:tc>
          <w:tcPr>
            <w:tcW w:w="1559" w:type="dxa"/>
            <w:tcBorders>
              <w:top w:val="nil"/>
              <w:left w:val="nil"/>
              <w:bottom w:val="single" w:sz="4" w:space="0" w:color="auto"/>
              <w:right w:val="nil"/>
            </w:tcBorders>
            <w:vAlign w:val="center"/>
          </w:tcPr>
          <w:p w:rsidR="00022A6E" w:rsidRPr="00FA5289" w:rsidRDefault="00022A6E" w:rsidP="00C92714">
            <w:pPr>
              <w:spacing w:after="0" w:line="240" w:lineRule="auto"/>
              <w:rPr>
                <w:rFonts w:cs="Times New Roman"/>
              </w:rPr>
            </w:pPr>
            <w:r w:rsidRPr="00FA5289">
              <w:rPr>
                <w:rFonts w:cs="Times New Roman"/>
              </w:rPr>
              <w:t>Obese</w:t>
            </w:r>
          </w:p>
        </w:tc>
        <w:tc>
          <w:tcPr>
            <w:tcW w:w="1276" w:type="dxa"/>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-0.20</w:t>
            </w:r>
            <w:r w:rsidRPr="00FA5289">
              <w:rPr>
                <w:rFonts w:cs="Times New Roman"/>
                <w:vertAlign w:val="superscript"/>
              </w:rPr>
              <w:t>*</w:t>
            </w:r>
          </w:p>
        </w:tc>
        <w:tc>
          <w:tcPr>
            <w:tcW w:w="1310" w:type="dxa"/>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-0.38, -0.01</w:t>
            </w:r>
          </w:p>
        </w:tc>
        <w:tc>
          <w:tcPr>
            <w:tcW w:w="1203"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c>
          <w:tcPr>
            <w:tcW w:w="1137"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c>
          <w:tcPr>
            <w:tcW w:w="860"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r>
      <w:tr w:rsidR="00C92714" w:rsidRPr="00022A6E" w:rsidTr="00C92714">
        <w:trPr>
          <w:trHeight w:val="91"/>
        </w:trPr>
        <w:tc>
          <w:tcPr>
            <w:tcW w:w="959" w:type="dxa"/>
            <w:vMerge w:val="restart"/>
            <w:tcBorders>
              <w:top w:val="nil"/>
              <w:left w:val="nil"/>
              <w:bottom w:val="single" w:sz="4" w:space="0" w:color="auto"/>
              <w:right w:val="nil"/>
            </w:tcBorders>
            <w:vAlign w:val="center"/>
          </w:tcPr>
          <w:p w:rsidR="00022A6E" w:rsidRPr="00FA5289" w:rsidRDefault="00022A6E" w:rsidP="00C92714">
            <w:pPr>
              <w:spacing w:after="0" w:line="240" w:lineRule="auto"/>
              <w:rPr>
                <w:rFonts w:cs="Times New Roman"/>
              </w:rPr>
            </w:pPr>
            <w:r w:rsidRPr="00FA5289">
              <w:rPr>
                <w:rFonts w:cs="Times New Roman"/>
              </w:rPr>
              <w:t>Gender</w:t>
            </w:r>
          </w:p>
        </w:tc>
        <w:tc>
          <w:tcPr>
            <w:tcW w:w="1559" w:type="dxa"/>
            <w:tcBorders>
              <w:top w:val="single" w:sz="4" w:space="0" w:color="auto"/>
              <w:left w:val="nil"/>
              <w:bottom w:val="nil"/>
              <w:right w:val="nil"/>
            </w:tcBorders>
            <w:vAlign w:val="center"/>
          </w:tcPr>
          <w:p w:rsidR="00022A6E" w:rsidRPr="00FA5289" w:rsidRDefault="00022A6E" w:rsidP="00C92714">
            <w:pPr>
              <w:spacing w:after="0" w:line="240" w:lineRule="auto"/>
              <w:rPr>
                <w:rFonts w:cs="Times New Roman"/>
              </w:rPr>
            </w:pPr>
            <w:r w:rsidRPr="00FA5289">
              <w:rPr>
                <w:rFonts w:cs="Times New Roman"/>
              </w:rPr>
              <w:t xml:space="preserve">Men </w:t>
            </w:r>
          </w:p>
        </w:tc>
        <w:tc>
          <w:tcPr>
            <w:tcW w:w="1276" w:type="dxa"/>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-0.37*</w:t>
            </w:r>
          </w:p>
        </w:tc>
        <w:tc>
          <w:tcPr>
            <w:tcW w:w="1310" w:type="dxa"/>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-0.57, -0.12</w:t>
            </w:r>
          </w:p>
        </w:tc>
        <w:tc>
          <w:tcPr>
            <w:tcW w:w="1203"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0.023 (25.5%)</w:t>
            </w:r>
          </w:p>
        </w:tc>
        <w:tc>
          <w:tcPr>
            <w:tcW w:w="1137"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0.055 (61.3%)</w:t>
            </w:r>
          </w:p>
        </w:tc>
        <w:tc>
          <w:tcPr>
            <w:tcW w:w="860" w:type="dxa"/>
            <w:vMerge w:val="restart"/>
            <w:tcBorders>
              <w:top w:val="single" w:sz="4" w:space="0" w:color="auto"/>
              <w:left w:val="nil"/>
              <w:bottom w:val="nil"/>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166.3</w:t>
            </w:r>
            <w:r w:rsidRPr="00FA5289">
              <w:rPr>
                <w:rFonts w:cs="Times New Roman"/>
                <w:vertAlign w:val="subscript"/>
              </w:rPr>
              <w:t>22</w:t>
            </w:r>
          </w:p>
        </w:tc>
      </w:tr>
      <w:tr w:rsidR="00C92714" w:rsidRPr="00022A6E" w:rsidTr="00C92714">
        <w:tc>
          <w:tcPr>
            <w:tcW w:w="959" w:type="dxa"/>
            <w:vMerge/>
            <w:tcBorders>
              <w:top w:val="nil"/>
              <w:left w:val="nil"/>
              <w:bottom w:val="single" w:sz="4" w:space="0" w:color="auto"/>
              <w:right w:val="nil"/>
            </w:tcBorders>
            <w:vAlign w:val="center"/>
          </w:tcPr>
          <w:p w:rsidR="00022A6E" w:rsidRPr="00FA5289" w:rsidRDefault="00022A6E" w:rsidP="00C92714">
            <w:pPr>
              <w:spacing w:after="0" w:line="240" w:lineRule="auto"/>
              <w:rPr>
                <w:rFonts w:cs="Times New Roman"/>
              </w:rPr>
            </w:pPr>
          </w:p>
        </w:tc>
        <w:tc>
          <w:tcPr>
            <w:tcW w:w="1559" w:type="dxa"/>
            <w:tcBorders>
              <w:top w:val="nil"/>
              <w:left w:val="nil"/>
              <w:bottom w:val="single" w:sz="4" w:space="0" w:color="auto"/>
              <w:right w:val="nil"/>
            </w:tcBorders>
            <w:vAlign w:val="center"/>
          </w:tcPr>
          <w:p w:rsidR="00022A6E" w:rsidRPr="00FA5289" w:rsidRDefault="00022A6E" w:rsidP="00C92714">
            <w:pPr>
              <w:spacing w:after="0" w:line="240" w:lineRule="auto"/>
              <w:rPr>
                <w:rFonts w:cs="Times New Roman"/>
              </w:rPr>
            </w:pPr>
            <w:r w:rsidRPr="00FA5289">
              <w:rPr>
                <w:rFonts w:cs="Times New Roman"/>
              </w:rPr>
              <w:t>Women</w:t>
            </w:r>
          </w:p>
        </w:tc>
        <w:tc>
          <w:tcPr>
            <w:tcW w:w="1276" w:type="dxa"/>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0.03</w:t>
            </w:r>
          </w:p>
        </w:tc>
        <w:tc>
          <w:tcPr>
            <w:tcW w:w="1310" w:type="dxa"/>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r w:rsidRPr="00FA5289">
              <w:rPr>
                <w:rFonts w:cs="Times New Roman"/>
              </w:rPr>
              <w:t>-0.19, 0.25</w:t>
            </w:r>
          </w:p>
        </w:tc>
        <w:tc>
          <w:tcPr>
            <w:tcW w:w="1203"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c>
          <w:tcPr>
            <w:tcW w:w="1137"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c>
          <w:tcPr>
            <w:tcW w:w="860" w:type="dxa"/>
            <w:vMerge/>
            <w:tcBorders>
              <w:top w:val="nil"/>
              <w:left w:val="nil"/>
              <w:bottom w:val="single" w:sz="4" w:space="0" w:color="auto"/>
              <w:right w:val="nil"/>
            </w:tcBorders>
            <w:vAlign w:val="center"/>
          </w:tcPr>
          <w:p w:rsidR="00022A6E" w:rsidRPr="00FA5289" w:rsidRDefault="00022A6E" w:rsidP="00C92714">
            <w:pPr>
              <w:spacing w:after="0" w:line="240" w:lineRule="auto"/>
              <w:jc w:val="center"/>
              <w:rPr>
                <w:rFonts w:cs="Times New Roman"/>
              </w:rPr>
            </w:pPr>
          </w:p>
        </w:tc>
      </w:tr>
    </w:tbl>
    <w:p w:rsidR="00022A6E" w:rsidRPr="00F77F70" w:rsidRDefault="00022A6E" w:rsidP="00DF5855">
      <w:pPr>
        <w:spacing w:line="240" w:lineRule="auto"/>
        <w:rPr>
          <w:sz w:val="24"/>
          <w:szCs w:val="24"/>
        </w:rPr>
      </w:pPr>
      <w:r w:rsidRPr="00FA5289">
        <w:rPr>
          <w:rFonts w:cs="Times New Roman"/>
          <w:vertAlign w:val="superscript"/>
        </w:rPr>
        <w:tab/>
      </w:r>
      <w:r w:rsidRPr="00FA5289">
        <w:rPr>
          <w:rFonts w:cs="Times New Roman"/>
          <w:vertAlign w:val="superscript"/>
        </w:rPr>
        <w:tab/>
        <w:t xml:space="preserve">* </w:t>
      </w:r>
      <w:r w:rsidRPr="00FA5289">
        <w:rPr>
          <w:rFonts w:cs="Times New Roman"/>
          <w:i/>
        </w:rPr>
        <w:t>P</w:t>
      </w:r>
      <w:r w:rsidRPr="00FA5289">
        <w:rPr>
          <w:rFonts w:cs="Times New Roman"/>
        </w:rPr>
        <w:t xml:space="preserve">&lt; 0.05. †. </w:t>
      </w:r>
      <w:proofErr w:type="spellStart"/>
      <w:r w:rsidRPr="00FA5289">
        <w:rPr>
          <w:rFonts w:cs="Times New Roman"/>
        </w:rPr>
        <w:t>QE</w:t>
      </w:r>
      <w:r w:rsidRPr="00FA5289">
        <w:rPr>
          <w:rFonts w:cs="Times New Roman"/>
          <w:vertAlign w:val="subscript"/>
        </w:rPr>
        <w:t>df</w:t>
      </w:r>
      <w:proofErr w:type="spellEnd"/>
      <w:r w:rsidRPr="00FA5289">
        <w:rPr>
          <w:rFonts w:cs="Times New Roman"/>
        </w:rPr>
        <w:t>: Residu</w:t>
      </w:r>
      <w:r w:rsidR="00934979" w:rsidRPr="00FA5289">
        <w:rPr>
          <w:rFonts w:cs="Times New Roman"/>
        </w:rPr>
        <w:t>al heterogeneity test statisti</w:t>
      </w:r>
      <w:r w:rsidR="004D5442">
        <w:rPr>
          <w:rFonts w:cs="Times New Roman"/>
        </w:rPr>
        <w:t>c</w:t>
      </w:r>
    </w:p>
    <w:sectPr w:rsidR="00022A6E" w:rsidRPr="00F77F70" w:rsidSect="00DF5855">
      <w:pgSz w:w="16838" w:h="11906" w:orient="landscape"/>
      <w:pgMar w:top="1440" w:right="1440" w:bottom="1440" w:left="1440" w:header="709" w:footer="709"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C3E8D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387" w:rsidRDefault="003E7387" w:rsidP="00B77E4E">
      <w:pPr>
        <w:spacing w:after="0" w:line="240" w:lineRule="auto"/>
      </w:pPr>
      <w:r>
        <w:separator/>
      </w:r>
    </w:p>
  </w:endnote>
  <w:endnote w:type="continuationSeparator" w:id="0">
    <w:p w:rsidR="003E7387" w:rsidRDefault="003E7387" w:rsidP="00B77E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D8" w:rsidRDefault="00AF4DD8">
    <w:pPr>
      <w:pStyle w:val="Footer"/>
      <w:jc w:val="right"/>
    </w:pPr>
    <w:fldSimple w:instr=" PAGE   \* MERGEFORMAT ">
      <w:r w:rsidR="000C62EB">
        <w:rPr>
          <w:noProof/>
        </w:rPr>
        <w:t>5</w:t>
      </w:r>
    </w:fldSimple>
  </w:p>
  <w:p w:rsidR="00AF4DD8" w:rsidRDefault="00AF4D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387" w:rsidRDefault="003E7387" w:rsidP="00B77E4E">
      <w:pPr>
        <w:spacing w:after="0" w:line="240" w:lineRule="auto"/>
      </w:pPr>
      <w:r>
        <w:separator/>
      </w:r>
    </w:p>
  </w:footnote>
  <w:footnote w:type="continuationSeparator" w:id="0">
    <w:p w:rsidR="003E7387" w:rsidRDefault="003E7387" w:rsidP="00B77E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8000C4"/>
    <w:multiLevelType w:val="hybridMultilevel"/>
    <w:tmpl w:val="2A707D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32C67E0"/>
    <w:multiLevelType w:val="multilevel"/>
    <w:tmpl w:val="85CC6E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DE04CD3"/>
    <w:multiLevelType w:val="hybridMultilevel"/>
    <w:tmpl w:val="EEF6DC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4E444ECB"/>
    <w:multiLevelType w:val="hybridMultilevel"/>
    <w:tmpl w:val="F20EA2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E26A2B"/>
    <w:multiLevelType w:val="hybridMultilevel"/>
    <w:tmpl w:val="859E9D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6C484C7A"/>
    <w:multiLevelType w:val="hybridMultilevel"/>
    <w:tmpl w:val="4B989ED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nsid w:val="74B938AE"/>
    <w:multiLevelType w:val="hybridMultilevel"/>
    <w:tmpl w:val="3BE65B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74EA7DA0"/>
    <w:multiLevelType w:val="hybridMultilevel"/>
    <w:tmpl w:val="73C85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5"/>
  </w:num>
  <w:num w:numId="3">
    <w:abstractNumId w:val="3"/>
  </w:num>
  <w:num w:numId="4">
    <w:abstractNumId w:val="8"/>
  </w:num>
  <w:num w:numId="5">
    <w:abstractNumId w:val="4"/>
  </w:num>
  <w:num w:numId="6">
    <w:abstractNumId w:val="2"/>
  </w:num>
  <w:num w:numId="7">
    <w:abstractNumId w:val="1"/>
  </w:num>
  <w:num w:numId="8">
    <w:abstractNumId w:val="0"/>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oife Healy">
    <w15:presenceInfo w15:providerId="Windows Live" w15:userId="a21d55d460d3616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3D9A"/>
    <w:rsid w:val="00002681"/>
    <w:rsid w:val="00002B39"/>
    <w:rsid w:val="00002CE3"/>
    <w:rsid w:val="00003FA5"/>
    <w:rsid w:val="000069C8"/>
    <w:rsid w:val="00007BE3"/>
    <w:rsid w:val="00016BEF"/>
    <w:rsid w:val="00016F4D"/>
    <w:rsid w:val="00017556"/>
    <w:rsid w:val="00022A6E"/>
    <w:rsid w:val="00026D55"/>
    <w:rsid w:val="000278EB"/>
    <w:rsid w:val="00030FC1"/>
    <w:rsid w:val="0003104D"/>
    <w:rsid w:val="0003592D"/>
    <w:rsid w:val="000368EA"/>
    <w:rsid w:val="00036BC7"/>
    <w:rsid w:val="0004021F"/>
    <w:rsid w:val="00041C78"/>
    <w:rsid w:val="0004648A"/>
    <w:rsid w:val="00047BE4"/>
    <w:rsid w:val="00050DBF"/>
    <w:rsid w:val="000516EA"/>
    <w:rsid w:val="00051A48"/>
    <w:rsid w:val="00054FFA"/>
    <w:rsid w:val="00055107"/>
    <w:rsid w:val="000566F5"/>
    <w:rsid w:val="0005712A"/>
    <w:rsid w:val="0006094E"/>
    <w:rsid w:val="00064650"/>
    <w:rsid w:val="00072647"/>
    <w:rsid w:val="00075FAB"/>
    <w:rsid w:val="0007760A"/>
    <w:rsid w:val="00082DA7"/>
    <w:rsid w:val="00084D08"/>
    <w:rsid w:val="00087C01"/>
    <w:rsid w:val="00090692"/>
    <w:rsid w:val="0009247E"/>
    <w:rsid w:val="00094375"/>
    <w:rsid w:val="000A0D37"/>
    <w:rsid w:val="000A1339"/>
    <w:rsid w:val="000A15BA"/>
    <w:rsid w:val="000A2298"/>
    <w:rsid w:val="000A2A14"/>
    <w:rsid w:val="000A4860"/>
    <w:rsid w:val="000A4F42"/>
    <w:rsid w:val="000A60E8"/>
    <w:rsid w:val="000B0C59"/>
    <w:rsid w:val="000B1EA5"/>
    <w:rsid w:val="000B1FEB"/>
    <w:rsid w:val="000B2B75"/>
    <w:rsid w:val="000B5012"/>
    <w:rsid w:val="000B67EC"/>
    <w:rsid w:val="000B7E96"/>
    <w:rsid w:val="000C0C12"/>
    <w:rsid w:val="000C1E74"/>
    <w:rsid w:val="000C2B8F"/>
    <w:rsid w:val="000C2E27"/>
    <w:rsid w:val="000C3198"/>
    <w:rsid w:val="000C62EB"/>
    <w:rsid w:val="000D0C5B"/>
    <w:rsid w:val="000D4301"/>
    <w:rsid w:val="000D6718"/>
    <w:rsid w:val="000E3D33"/>
    <w:rsid w:val="000E49E7"/>
    <w:rsid w:val="000E6BED"/>
    <w:rsid w:val="000E6BF4"/>
    <w:rsid w:val="000F1665"/>
    <w:rsid w:val="000F22A4"/>
    <w:rsid w:val="000F7DAC"/>
    <w:rsid w:val="0010120E"/>
    <w:rsid w:val="00101959"/>
    <w:rsid w:val="001022A2"/>
    <w:rsid w:val="00102875"/>
    <w:rsid w:val="00105100"/>
    <w:rsid w:val="00105165"/>
    <w:rsid w:val="001065F7"/>
    <w:rsid w:val="0010699F"/>
    <w:rsid w:val="00106F0B"/>
    <w:rsid w:val="00112A61"/>
    <w:rsid w:val="00116000"/>
    <w:rsid w:val="001212E9"/>
    <w:rsid w:val="001221CE"/>
    <w:rsid w:val="00125040"/>
    <w:rsid w:val="00125C66"/>
    <w:rsid w:val="00130983"/>
    <w:rsid w:val="00130CD3"/>
    <w:rsid w:val="00132C31"/>
    <w:rsid w:val="00133F2C"/>
    <w:rsid w:val="0013611D"/>
    <w:rsid w:val="00144658"/>
    <w:rsid w:val="0014762F"/>
    <w:rsid w:val="0015219E"/>
    <w:rsid w:val="00156059"/>
    <w:rsid w:val="0015773B"/>
    <w:rsid w:val="00160202"/>
    <w:rsid w:val="00160241"/>
    <w:rsid w:val="0016187F"/>
    <w:rsid w:val="00162691"/>
    <w:rsid w:val="00162C69"/>
    <w:rsid w:val="001676A3"/>
    <w:rsid w:val="0016792B"/>
    <w:rsid w:val="00167BB4"/>
    <w:rsid w:val="00181B28"/>
    <w:rsid w:val="00183FB4"/>
    <w:rsid w:val="0019197F"/>
    <w:rsid w:val="00193098"/>
    <w:rsid w:val="001956D4"/>
    <w:rsid w:val="001A5B99"/>
    <w:rsid w:val="001A6387"/>
    <w:rsid w:val="001A6A49"/>
    <w:rsid w:val="001B0FBB"/>
    <w:rsid w:val="001B2AC0"/>
    <w:rsid w:val="001B2C3F"/>
    <w:rsid w:val="001B4D51"/>
    <w:rsid w:val="001B5581"/>
    <w:rsid w:val="001B761B"/>
    <w:rsid w:val="001B7E04"/>
    <w:rsid w:val="001C11D0"/>
    <w:rsid w:val="001C16C3"/>
    <w:rsid w:val="001C5147"/>
    <w:rsid w:val="001D002F"/>
    <w:rsid w:val="001D21E6"/>
    <w:rsid w:val="001D54A9"/>
    <w:rsid w:val="001D5911"/>
    <w:rsid w:val="001D72A2"/>
    <w:rsid w:val="001F3947"/>
    <w:rsid w:val="00214054"/>
    <w:rsid w:val="002145EB"/>
    <w:rsid w:val="00223420"/>
    <w:rsid w:val="00223B9C"/>
    <w:rsid w:val="0022612A"/>
    <w:rsid w:val="00226D4C"/>
    <w:rsid w:val="002308B8"/>
    <w:rsid w:val="002309EB"/>
    <w:rsid w:val="0023101D"/>
    <w:rsid w:val="002310C6"/>
    <w:rsid w:val="002321B1"/>
    <w:rsid w:val="0023257D"/>
    <w:rsid w:val="00232FDF"/>
    <w:rsid w:val="002342E6"/>
    <w:rsid w:val="002346DC"/>
    <w:rsid w:val="0023635F"/>
    <w:rsid w:val="0024089D"/>
    <w:rsid w:val="00241CC1"/>
    <w:rsid w:val="00241F35"/>
    <w:rsid w:val="00246C0E"/>
    <w:rsid w:val="00250F35"/>
    <w:rsid w:val="00253C60"/>
    <w:rsid w:val="00256945"/>
    <w:rsid w:val="002642CB"/>
    <w:rsid w:val="0026556B"/>
    <w:rsid w:val="00265E0D"/>
    <w:rsid w:val="00270694"/>
    <w:rsid w:val="00270781"/>
    <w:rsid w:val="00271E97"/>
    <w:rsid w:val="0027710E"/>
    <w:rsid w:val="002908EE"/>
    <w:rsid w:val="00292401"/>
    <w:rsid w:val="0029391A"/>
    <w:rsid w:val="0029659A"/>
    <w:rsid w:val="002A0C23"/>
    <w:rsid w:val="002A27DA"/>
    <w:rsid w:val="002B1719"/>
    <w:rsid w:val="002B29EB"/>
    <w:rsid w:val="002B3683"/>
    <w:rsid w:val="002B3C67"/>
    <w:rsid w:val="002B70CB"/>
    <w:rsid w:val="002C007F"/>
    <w:rsid w:val="002D03B2"/>
    <w:rsid w:val="002D2717"/>
    <w:rsid w:val="002D37C6"/>
    <w:rsid w:val="002D4812"/>
    <w:rsid w:val="002D54F2"/>
    <w:rsid w:val="002D5955"/>
    <w:rsid w:val="002E161B"/>
    <w:rsid w:val="002E4B34"/>
    <w:rsid w:val="002E6007"/>
    <w:rsid w:val="002F3AB4"/>
    <w:rsid w:val="002F4A17"/>
    <w:rsid w:val="002F4F68"/>
    <w:rsid w:val="003020C0"/>
    <w:rsid w:val="0030216A"/>
    <w:rsid w:val="00302207"/>
    <w:rsid w:val="00302A29"/>
    <w:rsid w:val="003110BA"/>
    <w:rsid w:val="003133BD"/>
    <w:rsid w:val="00321DBF"/>
    <w:rsid w:val="00323BA2"/>
    <w:rsid w:val="003247E5"/>
    <w:rsid w:val="00327B96"/>
    <w:rsid w:val="00330A0A"/>
    <w:rsid w:val="003350EB"/>
    <w:rsid w:val="00337860"/>
    <w:rsid w:val="00341326"/>
    <w:rsid w:val="003419EC"/>
    <w:rsid w:val="003430E0"/>
    <w:rsid w:val="00343CDF"/>
    <w:rsid w:val="003450E6"/>
    <w:rsid w:val="00350AF0"/>
    <w:rsid w:val="00350E69"/>
    <w:rsid w:val="003532C9"/>
    <w:rsid w:val="003536C6"/>
    <w:rsid w:val="003560BC"/>
    <w:rsid w:val="003567DD"/>
    <w:rsid w:val="0036459D"/>
    <w:rsid w:val="0036552A"/>
    <w:rsid w:val="00367107"/>
    <w:rsid w:val="00371B54"/>
    <w:rsid w:val="00374C60"/>
    <w:rsid w:val="003822B8"/>
    <w:rsid w:val="00384522"/>
    <w:rsid w:val="00386528"/>
    <w:rsid w:val="00387186"/>
    <w:rsid w:val="0038750A"/>
    <w:rsid w:val="00394693"/>
    <w:rsid w:val="003A0D9E"/>
    <w:rsid w:val="003A3237"/>
    <w:rsid w:val="003A760E"/>
    <w:rsid w:val="003A7B4F"/>
    <w:rsid w:val="003B044B"/>
    <w:rsid w:val="003B3450"/>
    <w:rsid w:val="003B5BE2"/>
    <w:rsid w:val="003C0577"/>
    <w:rsid w:val="003C3008"/>
    <w:rsid w:val="003C4281"/>
    <w:rsid w:val="003C70A3"/>
    <w:rsid w:val="003C735D"/>
    <w:rsid w:val="003E7387"/>
    <w:rsid w:val="003F01F9"/>
    <w:rsid w:val="003F270D"/>
    <w:rsid w:val="003F304C"/>
    <w:rsid w:val="003F4135"/>
    <w:rsid w:val="003F612B"/>
    <w:rsid w:val="00400C74"/>
    <w:rsid w:val="004027FB"/>
    <w:rsid w:val="00402FA5"/>
    <w:rsid w:val="00403417"/>
    <w:rsid w:val="00405152"/>
    <w:rsid w:val="004054DA"/>
    <w:rsid w:val="00405F0F"/>
    <w:rsid w:val="00412400"/>
    <w:rsid w:val="0041666B"/>
    <w:rsid w:val="0042091A"/>
    <w:rsid w:val="00422CD8"/>
    <w:rsid w:val="00423460"/>
    <w:rsid w:val="00424343"/>
    <w:rsid w:val="0042455D"/>
    <w:rsid w:val="0042481C"/>
    <w:rsid w:val="00427007"/>
    <w:rsid w:val="0043333C"/>
    <w:rsid w:val="00437D48"/>
    <w:rsid w:val="00441345"/>
    <w:rsid w:val="00441722"/>
    <w:rsid w:val="00443153"/>
    <w:rsid w:val="00444774"/>
    <w:rsid w:val="0044504C"/>
    <w:rsid w:val="004472B0"/>
    <w:rsid w:val="00450F7F"/>
    <w:rsid w:val="00454921"/>
    <w:rsid w:val="00465910"/>
    <w:rsid w:val="00466BA5"/>
    <w:rsid w:val="00467581"/>
    <w:rsid w:val="004703E3"/>
    <w:rsid w:val="00470AB2"/>
    <w:rsid w:val="004715C0"/>
    <w:rsid w:val="00474E99"/>
    <w:rsid w:val="00476399"/>
    <w:rsid w:val="004766D2"/>
    <w:rsid w:val="00476798"/>
    <w:rsid w:val="00480C80"/>
    <w:rsid w:val="0048202B"/>
    <w:rsid w:val="00482A0B"/>
    <w:rsid w:val="0048461B"/>
    <w:rsid w:val="00485852"/>
    <w:rsid w:val="004878F0"/>
    <w:rsid w:val="00490E8E"/>
    <w:rsid w:val="00491B21"/>
    <w:rsid w:val="004940E7"/>
    <w:rsid w:val="004A3150"/>
    <w:rsid w:val="004A5F7F"/>
    <w:rsid w:val="004A6A65"/>
    <w:rsid w:val="004A72DC"/>
    <w:rsid w:val="004A7539"/>
    <w:rsid w:val="004A7D61"/>
    <w:rsid w:val="004B3873"/>
    <w:rsid w:val="004C1211"/>
    <w:rsid w:val="004C5442"/>
    <w:rsid w:val="004C71FC"/>
    <w:rsid w:val="004D0AFD"/>
    <w:rsid w:val="004D2442"/>
    <w:rsid w:val="004D2882"/>
    <w:rsid w:val="004D36EF"/>
    <w:rsid w:val="004D4246"/>
    <w:rsid w:val="004D4B83"/>
    <w:rsid w:val="004D5442"/>
    <w:rsid w:val="004D73DF"/>
    <w:rsid w:val="004D76C5"/>
    <w:rsid w:val="004E254F"/>
    <w:rsid w:val="004E6D8C"/>
    <w:rsid w:val="004E76F8"/>
    <w:rsid w:val="004F16BF"/>
    <w:rsid w:val="004F2751"/>
    <w:rsid w:val="004F3987"/>
    <w:rsid w:val="004F73FF"/>
    <w:rsid w:val="004F749C"/>
    <w:rsid w:val="00500338"/>
    <w:rsid w:val="005006E0"/>
    <w:rsid w:val="005038D7"/>
    <w:rsid w:val="00504432"/>
    <w:rsid w:val="005047E3"/>
    <w:rsid w:val="005048FE"/>
    <w:rsid w:val="005067E3"/>
    <w:rsid w:val="00511385"/>
    <w:rsid w:val="00520D4A"/>
    <w:rsid w:val="00523F84"/>
    <w:rsid w:val="0052718D"/>
    <w:rsid w:val="00531495"/>
    <w:rsid w:val="00535147"/>
    <w:rsid w:val="005357B4"/>
    <w:rsid w:val="00536AF3"/>
    <w:rsid w:val="005458C4"/>
    <w:rsid w:val="005458CF"/>
    <w:rsid w:val="00546D12"/>
    <w:rsid w:val="00552A99"/>
    <w:rsid w:val="00556426"/>
    <w:rsid w:val="00560E6E"/>
    <w:rsid w:val="00561C42"/>
    <w:rsid w:val="00561E55"/>
    <w:rsid w:val="00562E3C"/>
    <w:rsid w:val="005633D4"/>
    <w:rsid w:val="005645D8"/>
    <w:rsid w:val="005656F7"/>
    <w:rsid w:val="00566DBC"/>
    <w:rsid w:val="00570DBE"/>
    <w:rsid w:val="00570EBD"/>
    <w:rsid w:val="005736E5"/>
    <w:rsid w:val="005746FA"/>
    <w:rsid w:val="00576230"/>
    <w:rsid w:val="00577B77"/>
    <w:rsid w:val="00577D58"/>
    <w:rsid w:val="00582DC6"/>
    <w:rsid w:val="00584037"/>
    <w:rsid w:val="005855F0"/>
    <w:rsid w:val="00593120"/>
    <w:rsid w:val="005978BF"/>
    <w:rsid w:val="00597FA5"/>
    <w:rsid w:val="005B1090"/>
    <w:rsid w:val="005B13C7"/>
    <w:rsid w:val="005B386A"/>
    <w:rsid w:val="005B3B53"/>
    <w:rsid w:val="005B3E7B"/>
    <w:rsid w:val="005C05AB"/>
    <w:rsid w:val="005C57BB"/>
    <w:rsid w:val="005C5ECF"/>
    <w:rsid w:val="005C7FA2"/>
    <w:rsid w:val="005D06B4"/>
    <w:rsid w:val="005D3ACB"/>
    <w:rsid w:val="005D3F20"/>
    <w:rsid w:val="005D688A"/>
    <w:rsid w:val="005E4282"/>
    <w:rsid w:val="005E481B"/>
    <w:rsid w:val="005E7CA8"/>
    <w:rsid w:val="005F0CA9"/>
    <w:rsid w:val="005F1FC8"/>
    <w:rsid w:val="005F24CB"/>
    <w:rsid w:val="005F3613"/>
    <w:rsid w:val="006024DA"/>
    <w:rsid w:val="00606373"/>
    <w:rsid w:val="00613B7A"/>
    <w:rsid w:val="00625D17"/>
    <w:rsid w:val="0063144B"/>
    <w:rsid w:val="00631A7F"/>
    <w:rsid w:val="00636464"/>
    <w:rsid w:val="00636D04"/>
    <w:rsid w:val="00636E7C"/>
    <w:rsid w:val="00637111"/>
    <w:rsid w:val="006376F6"/>
    <w:rsid w:val="00640684"/>
    <w:rsid w:val="00643D6B"/>
    <w:rsid w:val="00643E33"/>
    <w:rsid w:val="00646A4F"/>
    <w:rsid w:val="00651842"/>
    <w:rsid w:val="00651FE3"/>
    <w:rsid w:val="006531EA"/>
    <w:rsid w:val="00663F89"/>
    <w:rsid w:val="00665627"/>
    <w:rsid w:val="00665809"/>
    <w:rsid w:val="00665A76"/>
    <w:rsid w:val="00670744"/>
    <w:rsid w:val="00675726"/>
    <w:rsid w:val="006772AB"/>
    <w:rsid w:val="006775FA"/>
    <w:rsid w:val="006815DE"/>
    <w:rsid w:val="00681E28"/>
    <w:rsid w:val="0068625C"/>
    <w:rsid w:val="006867FD"/>
    <w:rsid w:val="00691D3C"/>
    <w:rsid w:val="0069254B"/>
    <w:rsid w:val="00693D0F"/>
    <w:rsid w:val="00694054"/>
    <w:rsid w:val="006942C5"/>
    <w:rsid w:val="00694DDA"/>
    <w:rsid w:val="00697059"/>
    <w:rsid w:val="006A2D20"/>
    <w:rsid w:val="006A3E1A"/>
    <w:rsid w:val="006A6F12"/>
    <w:rsid w:val="006B0430"/>
    <w:rsid w:val="006B38ED"/>
    <w:rsid w:val="006B456F"/>
    <w:rsid w:val="006B46F3"/>
    <w:rsid w:val="006B478A"/>
    <w:rsid w:val="006B5D4B"/>
    <w:rsid w:val="006C1F31"/>
    <w:rsid w:val="006C2BF5"/>
    <w:rsid w:val="006D0A48"/>
    <w:rsid w:val="006D21B3"/>
    <w:rsid w:val="006D2DAD"/>
    <w:rsid w:val="006D3BA6"/>
    <w:rsid w:val="006D58ED"/>
    <w:rsid w:val="006E0EF5"/>
    <w:rsid w:val="006E37E4"/>
    <w:rsid w:val="006E68EE"/>
    <w:rsid w:val="006F0165"/>
    <w:rsid w:val="006F1C10"/>
    <w:rsid w:val="007049F4"/>
    <w:rsid w:val="00705CF0"/>
    <w:rsid w:val="00716982"/>
    <w:rsid w:val="00720D0A"/>
    <w:rsid w:val="0072141E"/>
    <w:rsid w:val="007246E9"/>
    <w:rsid w:val="00724801"/>
    <w:rsid w:val="00726AC2"/>
    <w:rsid w:val="00727C48"/>
    <w:rsid w:val="00732E64"/>
    <w:rsid w:val="00734206"/>
    <w:rsid w:val="00735D81"/>
    <w:rsid w:val="00742D59"/>
    <w:rsid w:val="00743D85"/>
    <w:rsid w:val="00745F7A"/>
    <w:rsid w:val="0075024E"/>
    <w:rsid w:val="0076143A"/>
    <w:rsid w:val="00762646"/>
    <w:rsid w:val="00764566"/>
    <w:rsid w:val="007731E4"/>
    <w:rsid w:val="007815BA"/>
    <w:rsid w:val="00782D19"/>
    <w:rsid w:val="007910AE"/>
    <w:rsid w:val="00791B8B"/>
    <w:rsid w:val="00792BFE"/>
    <w:rsid w:val="00795254"/>
    <w:rsid w:val="00797066"/>
    <w:rsid w:val="007A263C"/>
    <w:rsid w:val="007B0345"/>
    <w:rsid w:val="007B15AE"/>
    <w:rsid w:val="007B186A"/>
    <w:rsid w:val="007B2584"/>
    <w:rsid w:val="007B4B49"/>
    <w:rsid w:val="007B7BFE"/>
    <w:rsid w:val="007C078B"/>
    <w:rsid w:val="007C1B3B"/>
    <w:rsid w:val="007C61DD"/>
    <w:rsid w:val="007D29E5"/>
    <w:rsid w:val="007D37D1"/>
    <w:rsid w:val="007D3D6F"/>
    <w:rsid w:val="007D4D68"/>
    <w:rsid w:val="007D7B43"/>
    <w:rsid w:val="007E07D1"/>
    <w:rsid w:val="007E2C87"/>
    <w:rsid w:val="007F08D0"/>
    <w:rsid w:val="007F33E7"/>
    <w:rsid w:val="007F3E20"/>
    <w:rsid w:val="007F4ACB"/>
    <w:rsid w:val="007F7003"/>
    <w:rsid w:val="007F7B70"/>
    <w:rsid w:val="008000C2"/>
    <w:rsid w:val="008063EE"/>
    <w:rsid w:val="00810145"/>
    <w:rsid w:val="00812F9A"/>
    <w:rsid w:val="0081755B"/>
    <w:rsid w:val="00817885"/>
    <w:rsid w:val="00820602"/>
    <w:rsid w:val="00825956"/>
    <w:rsid w:val="00834187"/>
    <w:rsid w:val="0083443E"/>
    <w:rsid w:val="0084278E"/>
    <w:rsid w:val="00844CE8"/>
    <w:rsid w:val="00845BC8"/>
    <w:rsid w:val="00846E89"/>
    <w:rsid w:val="0085299C"/>
    <w:rsid w:val="008545EE"/>
    <w:rsid w:val="00855304"/>
    <w:rsid w:val="00857635"/>
    <w:rsid w:val="00857959"/>
    <w:rsid w:val="0086699F"/>
    <w:rsid w:val="00871AA7"/>
    <w:rsid w:val="00881165"/>
    <w:rsid w:val="0088790C"/>
    <w:rsid w:val="00890032"/>
    <w:rsid w:val="00891E51"/>
    <w:rsid w:val="00892871"/>
    <w:rsid w:val="00893558"/>
    <w:rsid w:val="00894F80"/>
    <w:rsid w:val="008962C6"/>
    <w:rsid w:val="008A2F55"/>
    <w:rsid w:val="008A38B4"/>
    <w:rsid w:val="008A59D8"/>
    <w:rsid w:val="008A7856"/>
    <w:rsid w:val="008A7DBB"/>
    <w:rsid w:val="008B4100"/>
    <w:rsid w:val="008B7ED4"/>
    <w:rsid w:val="008C07C5"/>
    <w:rsid w:val="008C49BA"/>
    <w:rsid w:val="008C4E36"/>
    <w:rsid w:val="008C55AE"/>
    <w:rsid w:val="008D1218"/>
    <w:rsid w:val="008D2DD2"/>
    <w:rsid w:val="008D4B3D"/>
    <w:rsid w:val="008E1EAF"/>
    <w:rsid w:val="008E2DB4"/>
    <w:rsid w:val="008E4AE5"/>
    <w:rsid w:val="008E5E5F"/>
    <w:rsid w:val="008F13B0"/>
    <w:rsid w:val="008F3E93"/>
    <w:rsid w:val="008F57E2"/>
    <w:rsid w:val="008F7DA3"/>
    <w:rsid w:val="00900D99"/>
    <w:rsid w:val="00902836"/>
    <w:rsid w:val="009040D3"/>
    <w:rsid w:val="009077E5"/>
    <w:rsid w:val="00910F45"/>
    <w:rsid w:val="009152EE"/>
    <w:rsid w:val="00915E05"/>
    <w:rsid w:val="00923E97"/>
    <w:rsid w:val="009241C7"/>
    <w:rsid w:val="009256A1"/>
    <w:rsid w:val="00926376"/>
    <w:rsid w:val="00931AA5"/>
    <w:rsid w:val="00933A4E"/>
    <w:rsid w:val="00934979"/>
    <w:rsid w:val="0093793B"/>
    <w:rsid w:val="009463EE"/>
    <w:rsid w:val="0094704E"/>
    <w:rsid w:val="0094778B"/>
    <w:rsid w:val="009524CA"/>
    <w:rsid w:val="00956CE0"/>
    <w:rsid w:val="009624DE"/>
    <w:rsid w:val="0096487E"/>
    <w:rsid w:val="00964E29"/>
    <w:rsid w:val="009658C4"/>
    <w:rsid w:val="00966E79"/>
    <w:rsid w:val="009722E9"/>
    <w:rsid w:val="0097299C"/>
    <w:rsid w:val="00974672"/>
    <w:rsid w:val="00975E8A"/>
    <w:rsid w:val="00976411"/>
    <w:rsid w:val="00983016"/>
    <w:rsid w:val="00985AF4"/>
    <w:rsid w:val="0099078C"/>
    <w:rsid w:val="00997A8B"/>
    <w:rsid w:val="009A1557"/>
    <w:rsid w:val="009A18D6"/>
    <w:rsid w:val="009A2E28"/>
    <w:rsid w:val="009B0EC4"/>
    <w:rsid w:val="009C0486"/>
    <w:rsid w:val="009C1FEA"/>
    <w:rsid w:val="009C2543"/>
    <w:rsid w:val="009C3FD6"/>
    <w:rsid w:val="009C72CC"/>
    <w:rsid w:val="009D06F0"/>
    <w:rsid w:val="009D16F7"/>
    <w:rsid w:val="009D1DFC"/>
    <w:rsid w:val="009D52D0"/>
    <w:rsid w:val="009D60E4"/>
    <w:rsid w:val="009D71EF"/>
    <w:rsid w:val="009D7BFE"/>
    <w:rsid w:val="009D7FA7"/>
    <w:rsid w:val="009E025C"/>
    <w:rsid w:val="009E0551"/>
    <w:rsid w:val="009E0F36"/>
    <w:rsid w:val="009E33F9"/>
    <w:rsid w:val="009E3E34"/>
    <w:rsid w:val="009E5D90"/>
    <w:rsid w:val="009E78A1"/>
    <w:rsid w:val="009F3B3D"/>
    <w:rsid w:val="009F4CCE"/>
    <w:rsid w:val="009F631B"/>
    <w:rsid w:val="009F651F"/>
    <w:rsid w:val="009F7115"/>
    <w:rsid w:val="009F7E36"/>
    <w:rsid w:val="00A0129F"/>
    <w:rsid w:val="00A03281"/>
    <w:rsid w:val="00A04184"/>
    <w:rsid w:val="00A04394"/>
    <w:rsid w:val="00A043BA"/>
    <w:rsid w:val="00A0583F"/>
    <w:rsid w:val="00A129BE"/>
    <w:rsid w:val="00A12C33"/>
    <w:rsid w:val="00A14533"/>
    <w:rsid w:val="00A16644"/>
    <w:rsid w:val="00A20781"/>
    <w:rsid w:val="00A2220E"/>
    <w:rsid w:val="00A22502"/>
    <w:rsid w:val="00A30E36"/>
    <w:rsid w:val="00A31E3F"/>
    <w:rsid w:val="00A3436B"/>
    <w:rsid w:val="00A3449C"/>
    <w:rsid w:val="00A34516"/>
    <w:rsid w:val="00A34D77"/>
    <w:rsid w:val="00A36420"/>
    <w:rsid w:val="00A401B8"/>
    <w:rsid w:val="00A43A53"/>
    <w:rsid w:val="00A45071"/>
    <w:rsid w:val="00A50FB8"/>
    <w:rsid w:val="00A55B5F"/>
    <w:rsid w:val="00A576E2"/>
    <w:rsid w:val="00A63DB5"/>
    <w:rsid w:val="00A6579D"/>
    <w:rsid w:val="00A66026"/>
    <w:rsid w:val="00A71A07"/>
    <w:rsid w:val="00A73DFD"/>
    <w:rsid w:val="00A75C75"/>
    <w:rsid w:val="00A77835"/>
    <w:rsid w:val="00A8073B"/>
    <w:rsid w:val="00A81BC2"/>
    <w:rsid w:val="00A82896"/>
    <w:rsid w:val="00A85E79"/>
    <w:rsid w:val="00A86450"/>
    <w:rsid w:val="00A878AD"/>
    <w:rsid w:val="00A90FAC"/>
    <w:rsid w:val="00A924F1"/>
    <w:rsid w:val="00A934EA"/>
    <w:rsid w:val="00A95083"/>
    <w:rsid w:val="00AA13E7"/>
    <w:rsid w:val="00AA43A0"/>
    <w:rsid w:val="00AA50A2"/>
    <w:rsid w:val="00AB54A4"/>
    <w:rsid w:val="00AB7A55"/>
    <w:rsid w:val="00AC11CE"/>
    <w:rsid w:val="00AC21A8"/>
    <w:rsid w:val="00AC2DF8"/>
    <w:rsid w:val="00AC3BF6"/>
    <w:rsid w:val="00AC5515"/>
    <w:rsid w:val="00AC5F8A"/>
    <w:rsid w:val="00AC6EDC"/>
    <w:rsid w:val="00AD311F"/>
    <w:rsid w:val="00AE186F"/>
    <w:rsid w:val="00AE220F"/>
    <w:rsid w:val="00AE51B1"/>
    <w:rsid w:val="00AE5500"/>
    <w:rsid w:val="00AE5CC0"/>
    <w:rsid w:val="00AF02FB"/>
    <w:rsid w:val="00AF1750"/>
    <w:rsid w:val="00AF3533"/>
    <w:rsid w:val="00AF4DD8"/>
    <w:rsid w:val="00B01109"/>
    <w:rsid w:val="00B02F4A"/>
    <w:rsid w:val="00B0543C"/>
    <w:rsid w:val="00B0597C"/>
    <w:rsid w:val="00B06B24"/>
    <w:rsid w:val="00B079DF"/>
    <w:rsid w:val="00B1035B"/>
    <w:rsid w:val="00B1433E"/>
    <w:rsid w:val="00B1591A"/>
    <w:rsid w:val="00B267E9"/>
    <w:rsid w:val="00B35E35"/>
    <w:rsid w:val="00B406C4"/>
    <w:rsid w:val="00B4075A"/>
    <w:rsid w:val="00B40C13"/>
    <w:rsid w:val="00B43413"/>
    <w:rsid w:val="00B47C10"/>
    <w:rsid w:val="00B507B9"/>
    <w:rsid w:val="00B52188"/>
    <w:rsid w:val="00B523B7"/>
    <w:rsid w:val="00B53E6A"/>
    <w:rsid w:val="00B546DB"/>
    <w:rsid w:val="00B553BB"/>
    <w:rsid w:val="00B55FFD"/>
    <w:rsid w:val="00B634A1"/>
    <w:rsid w:val="00B65A5E"/>
    <w:rsid w:val="00B65C82"/>
    <w:rsid w:val="00B66849"/>
    <w:rsid w:val="00B70DAF"/>
    <w:rsid w:val="00B7263E"/>
    <w:rsid w:val="00B74616"/>
    <w:rsid w:val="00B7600E"/>
    <w:rsid w:val="00B77E4E"/>
    <w:rsid w:val="00B83D9A"/>
    <w:rsid w:val="00B86B11"/>
    <w:rsid w:val="00B87444"/>
    <w:rsid w:val="00B92A9E"/>
    <w:rsid w:val="00B9329D"/>
    <w:rsid w:val="00B93591"/>
    <w:rsid w:val="00B93CC7"/>
    <w:rsid w:val="00B96387"/>
    <w:rsid w:val="00B977D2"/>
    <w:rsid w:val="00BA2B06"/>
    <w:rsid w:val="00BA2C41"/>
    <w:rsid w:val="00BA43A3"/>
    <w:rsid w:val="00BA60DD"/>
    <w:rsid w:val="00BB00E7"/>
    <w:rsid w:val="00BB2FFB"/>
    <w:rsid w:val="00BB300D"/>
    <w:rsid w:val="00BB3F6C"/>
    <w:rsid w:val="00BB46B2"/>
    <w:rsid w:val="00BB527F"/>
    <w:rsid w:val="00BC14EF"/>
    <w:rsid w:val="00BD0445"/>
    <w:rsid w:val="00BD33DD"/>
    <w:rsid w:val="00BE301D"/>
    <w:rsid w:val="00BE6570"/>
    <w:rsid w:val="00BF0318"/>
    <w:rsid w:val="00BF2439"/>
    <w:rsid w:val="00BF2DE0"/>
    <w:rsid w:val="00BF4187"/>
    <w:rsid w:val="00BF4DA7"/>
    <w:rsid w:val="00BF7DD2"/>
    <w:rsid w:val="00C00598"/>
    <w:rsid w:val="00C01842"/>
    <w:rsid w:val="00C02284"/>
    <w:rsid w:val="00C02A99"/>
    <w:rsid w:val="00C030C0"/>
    <w:rsid w:val="00C06292"/>
    <w:rsid w:val="00C06313"/>
    <w:rsid w:val="00C074DF"/>
    <w:rsid w:val="00C10E10"/>
    <w:rsid w:val="00C1285C"/>
    <w:rsid w:val="00C14BE3"/>
    <w:rsid w:val="00C17BD7"/>
    <w:rsid w:val="00C20386"/>
    <w:rsid w:val="00C20519"/>
    <w:rsid w:val="00C20C97"/>
    <w:rsid w:val="00C225D7"/>
    <w:rsid w:val="00C246D0"/>
    <w:rsid w:val="00C27EA7"/>
    <w:rsid w:val="00C305C6"/>
    <w:rsid w:val="00C31E3D"/>
    <w:rsid w:val="00C3436F"/>
    <w:rsid w:val="00C352B9"/>
    <w:rsid w:val="00C3534D"/>
    <w:rsid w:val="00C44282"/>
    <w:rsid w:val="00C516B3"/>
    <w:rsid w:val="00C52944"/>
    <w:rsid w:val="00C55AB0"/>
    <w:rsid w:val="00C56B7D"/>
    <w:rsid w:val="00C66F41"/>
    <w:rsid w:val="00C67306"/>
    <w:rsid w:val="00C74328"/>
    <w:rsid w:val="00C75A62"/>
    <w:rsid w:val="00C75D21"/>
    <w:rsid w:val="00C77548"/>
    <w:rsid w:val="00C8357C"/>
    <w:rsid w:val="00C844DE"/>
    <w:rsid w:val="00C84CB2"/>
    <w:rsid w:val="00C85477"/>
    <w:rsid w:val="00C918E0"/>
    <w:rsid w:val="00C92714"/>
    <w:rsid w:val="00C940D2"/>
    <w:rsid w:val="00C9741E"/>
    <w:rsid w:val="00C97F78"/>
    <w:rsid w:val="00CA1452"/>
    <w:rsid w:val="00CA395D"/>
    <w:rsid w:val="00CA515C"/>
    <w:rsid w:val="00CA6956"/>
    <w:rsid w:val="00CA7AAA"/>
    <w:rsid w:val="00CB66E3"/>
    <w:rsid w:val="00CC054D"/>
    <w:rsid w:val="00CC50ED"/>
    <w:rsid w:val="00CC584A"/>
    <w:rsid w:val="00CC5C27"/>
    <w:rsid w:val="00CC5C64"/>
    <w:rsid w:val="00CD62FE"/>
    <w:rsid w:val="00CE0968"/>
    <w:rsid w:val="00CE13E3"/>
    <w:rsid w:val="00CE3529"/>
    <w:rsid w:val="00CE3B5E"/>
    <w:rsid w:val="00CE3EC0"/>
    <w:rsid w:val="00CE42F9"/>
    <w:rsid w:val="00CE4F38"/>
    <w:rsid w:val="00CE644A"/>
    <w:rsid w:val="00CF6F50"/>
    <w:rsid w:val="00D00DD2"/>
    <w:rsid w:val="00D049BD"/>
    <w:rsid w:val="00D04B5B"/>
    <w:rsid w:val="00D10C52"/>
    <w:rsid w:val="00D1500E"/>
    <w:rsid w:val="00D21A42"/>
    <w:rsid w:val="00D223F1"/>
    <w:rsid w:val="00D22E4C"/>
    <w:rsid w:val="00D27718"/>
    <w:rsid w:val="00D27ECF"/>
    <w:rsid w:val="00D33A79"/>
    <w:rsid w:val="00D35515"/>
    <w:rsid w:val="00D37274"/>
    <w:rsid w:val="00D42976"/>
    <w:rsid w:val="00D45120"/>
    <w:rsid w:val="00D468D2"/>
    <w:rsid w:val="00D521A8"/>
    <w:rsid w:val="00D5382D"/>
    <w:rsid w:val="00D54BBA"/>
    <w:rsid w:val="00D5719C"/>
    <w:rsid w:val="00D62B59"/>
    <w:rsid w:val="00D62C56"/>
    <w:rsid w:val="00D652F5"/>
    <w:rsid w:val="00D65425"/>
    <w:rsid w:val="00D7168D"/>
    <w:rsid w:val="00D73B80"/>
    <w:rsid w:val="00D74AF6"/>
    <w:rsid w:val="00D77D1C"/>
    <w:rsid w:val="00D80652"/>
    <w:rsid w:val="00D84067"/>
    <w:rsid w:val="00D86F70"/>
    <w:rsid w:val="00D90C25"/>
    <w:rsid w:val="00D9245F"/>
    <w:rsid w:val="00D961AC"/>
    <w:rsid w:val="00D96F54"/>
    <w:rsid w:val="00DA0F3C"/>
    <w:rsid w:val="00DA386F"/>
    <w:rsid w:val="00DA712A"/>
    <w:rsid w:val="00DB598A"/>
    <w:rsid w:val="00DB5A95"/>
    <w:rsid w:val="00DC490A"/>
    <w:rsid w:val="00DC56A6"/>
    <w:rsid w:val="00DC66BA"/>
    <w:rsid w:val="00DD598C"/>
    <w:rsid w:val="00DD66ED"/>
    <w:rsid w:val="00DE0E98"/>
    <w:rsid w:val="00DE68A5"/>
    <w:rsid w:val="00DE77DC"/>
    <w:rsid w:val="00DE7CBF"/>
    <w:rsid w:val="00DF19F4"/>
    <w:rsid w:val="00DF2FD3"/>
    <w:rsid w:val="00DF30DF"/>
    <w:rsid w:val="00DF3EFA"/>
    <w:rsid w:val="00DF567A"/>
    <w:rsid w:val="00DF5855"/>
    <w:rsid w:val="00E045B8"/>
    <w:rsid w:val="00E168B5"/>
    <w:rsid w:val="00E235E7"/>
    <w:rsid w:val="00E24081"/>
    <w:rsid w:val="00E25DF3"/>
    <w:rsid w:val="00E262D7"/>
    <w:rsid w:val="00E324F1"/>
    <w:rsid w:val="00E32832"/>
    <w:rsid w:val="00E362FB"/>
    <w:rsid w:val="00E41701"/>
    <w:rsid w:val="00E41D85"/>
    <w:rsid w:val="00E4266D"/>
    <w:rsid w:val="00E4311D"/>
    <w:rsid w:val="00E447AD"/>
    <w:rsid w:val="00E50B1F"/>
    <w:rsid w:val="00E63BAA"/>
    <w:rsid w:val="00E642A2"/>
    <w:rsid w:val="00E64E1A"/>
    <w:rsid w:val="00E65357"/>
    <w:rsid w:val="00E66AD5"/>
    <w:rsid w:val="00E7223B"/>
    <w:rsid w:val="00E72634"/>
    <w:rsid w:val="00E736DB"/>
    <w:rsid w:val="00E74B16"/>
    <w:rsid w:val="00E76709"/>
    <w:rsid w:val="00E83D90"/>
    <w:rsid w:val="00E8414D"/>
    <w:rsid w:val="00E8783C"/>
    <w:rsid w:val="00E92DC3"/>
    <w:rsid w:val="00E93F3C"/>
    <w:rsid w:val="00E94ACE"/>
    <w:rsid w:val="00E962C3"/>
    <w:rsid w:val="00EA119E"/>
    <w:rsid w:val="00EA77C3"/>
    <w:rsid w:val="00EB36B2"/>
    <w:rsid w:val="00EB6C80"/>
    <w:rsid w:val="00EB7AEF"/>
    <w:rsid w:val="00EC040C"/>
    <w:rsid w:val="00EC2BE5"/>
    <w:rsid w:val="00EC7948"/>
    <w:rsid w:val="00ED12AD"/>
    <w:rsid w:val="00ED1668"/>
    <w:rsid w:val="00ED2C71"/>
    <w:rsid w:val="00ED46E4"/>
    <w:rsid w:val="00ED706F"/>
    <w:rsid w:val="00EE12F5"/>
    <w:rsid w:val="00EE1A36"/>
    <w:rsid w:val="00EE5EDD"/>
    <w:rsid w:val="00EE7307"/>
    <w:rsid w:val="00EF69E9"/>
    <w:rsid w:val="00EF6A27"/>
    <w:rsid w:val="00EF7B07"/>
    <w:rsid w:val="00F11434"/>
    <w:rsid w:val="00F13FE9"/>
    <w:rsid w:val="00F16C14"/>
    <w:rsid w:val="00F2122F"/>
    <w:rsid w:val="00F301AD"/>
    <w:rsid w:val="00F31A36"/>
    <w:rsid w:val="00F32FA8"/>
    <w:rsid w:val="00F33BFA"/>
    <w:rsid w:val="00F34B1F"/>
    <w:rsid w:val="00F35B4F"/>
    <w:rsid w:val="00F36F76"/>
    <w:rsid w:val="00F47348"/>
    <w:rsid w:val="00F563AC"/>
    <w:rsid w:val="00F6031B"/>
    <w:rsid w:val="00F610DE"/>
    <w:rsid w:val="00F700EB"/>
    <w:rsid w:val="00F71AEF"/>
    <w:rsid w:val="00F72A05"/>
    <w:rsid w:val="00F73ED7"/>
    <w:rsid w:val="00F74189"/>
    <w:rsid w:val="00F762BE"/>
    <w:rsid w:val="00F77474"/>
    <w:rsid w:val="00F77F70"/>
    <w:rsid w:val="00F82B84"/>
    <w:rsid w:val="00F85901"/>
    <w:rsid w:val="00F87C76"/>
    <w:rsid w:val="00F87EA0"/>
    <w:rsid w:val="00F90784"/>
    <w:rsid w:val="00F91AD7"/>
    <w:rsid w:val="00F9238D"/>
    <w:rsid w:val="00F94A3B"/>
    <w:rsid w:val="00FA123F"/>
    <w:rsid w:val="00FA17EC"/>
    <w:rsid w:val="00FA4D7A"/>
    <w:rsid w:val="00FA5289"/>
    <w:rsid w:val="00FA62E6"/>
    <w:rsid w:val="00FA68AB"/>
    <w:rsid w:val="00FB0DED"/>
    <w:rsid w:val="00FB16EB"/>
    <w:rsid w:val="00FB38E4"/>
    <w:rsid w:val="00FB5392"/>
    <w:rsid w:val="00FB5F2A"/>
    <w:rsid w:val="00FB6E4D"/>
    <w:rsid w:val="00FB7655"/>
    <w:rsid w:val="00FC0508"/>
    <w:rsid w:val="00FC0876"/>
    <w:rsid w:val="00FC4747"/>
    <w:rsid w:val="00FC6554"/>
    <w:rsid w:val="00FC7C7A"/>
    <w:rsid w:val="00FD49FC"/>
    <w:rsid w:val="00FD75D7"/>
    <w:rsid w:val="00FE59C1"/>
    <w:rsid w:val="00FF2ADB"/>
    <w:rsid w:val="00FF7EB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BC8"/>
    <w:pPr>
      <w:spacing w:after="200" w:line="276" w:lineRule="auto"/>
    </w:pPr>
    <w:rPr>
      <w:rFonts w:cs="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65627"/>
    <w:rPr>
      <w:sz w:val="16"/>
      <w:szCs w:val="16"/>
    </w:rPr>
  </w:style>
  <w:style w:type="paragraph" w:styleId="CommentText">
    <w:name w:val="annotation text"/>
    <w:basedOn w:val="Normal"/>
    <w:link w:val="CommentTextChar"/>
    <w:uiPriority w:val="99"/>
    <w:semiHidden/>
    <w:rsid w:val="00665627"/>
    <w:pPr>
      <w:spacing w:line="240" w:lineRule="auto"/>
    </w:pPr>
    <w:rPr>
      <w:rFonts w:eastAsia="MS Mincho"/>
      <w:sz w:val="20"/>
      <w:szCs w:val="20"/>
      <w:lang w:val="en-US" w:eastAsia="zh-CN"/>
    </w:rPr>
  </w:style>
  <w:style w:type="character" w:customStyle="1" w:styleId="CommentTextChar">
    <w:name w:val="Comment Text Char"/>
    <w:link w:val="CommentText"/>
    <w:uiPriority w:val="99"/>
    <w:semiHidden/>
    <w:locked/>
    <w:rsid w:val="00665627"/>
    <w:rPr>
      <w:rFonts w:eastAsia="MS Mincho"/>
      <w:sz w:val="20"/>
      <w:szCs w:val="20"/>
      <w:lang w:val="en-US" w:eastAsia="zh-CN"/>
    </w:rPr>
  </w:style>
  <w:style w:type="paragraph" w:styleId="BalloonText">
    <w:name w:val="Balloon Text"/>
    <w:basedOn w:val="Normal"/>
    <w:link w:val="BalloonTextChar"/>
    <w:uiPriority w:val="99"/>
    <w:semiHidden/>
    <w:rsid w:val="006656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65627"/>
    <w:rPr>
      <w:rFonts w:ascii="Tahoma" w:hAnsi="Tahoma" w:cs="Tahoma"/>
      <w:sz w:val="16"/>
      <w:szCs w:val="16"/>
    </w:rPr>
  </w:style>
  <w:style w:type="table" w:styleId="TableGrid">
    <w:name w:val="Table Grid"/>
    <w:basedOn w:val="TableNormal"/>
    <w:uiPriority w:val="59"/>
    <w:rsid w:val="00250F3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74E99"/>
    <w:pPr>
      <w:ind w:left="720"/>
    </w:pPr>
  </w:style>
  <w:style w:type="paragraph" w:styleId="CommentSubject">
    <w:name w:val="annotation subject"/>
    <w:basedOn w:val="CommentText"/>
    <w:next w:val="CommentText"/>
    <w:link w:val="CommentSubjectChar"/>
    <w:uiPriority w:val="99"/>
    <w:semiHidden/>
    <w:rsid w:val="00CE4F38"/>
    <w:rPr>
      <w:rFonts w:eastAsia="Calibri"/>
      <w:b/>
      <w:bCs/>
      <w:lang w:val="en-GB" w:eastAsia="en-US"/>
    </w:rPr>
  </w:style>
  <w:style w:type="character" w:customStyle="1" w:styleId="CommentSubjectChar">
    <w:name w:val="Comment Subject Char"/>
    <w:link w:val="CommentSubject"/>
    <w:uiPriority w:val="99"/>
    <w:semiHidden/>
    <w:locked/>
    <w:rsid w:val="00CE4F38"/>
    <w:rPr>
      <w:rFonts w:eastAsia="MS Mincho"/>
      <w:b/>
      <w:bCs/>
      <w:sz w:val="20"/>
      <w:szCs w:val="20"/>
      <w:lang w:val="en-US" w:eastAsia="zh-CN"/>
    </w:rPr>
  </w:style>
  <w:style w:type="character" w:styleId="LineNumber">
    <w:name w:val="line number"/>
    <w:basedOn w:val="DefaultParagraphFont"/>
    <w:uiPriority w:val="99"/>
    <w:semiHidden/>
    <w:rsid w:val="00B77E4E"/>
  </w:style>
  <w:style w:type="paragraph" w:styleId="Header">
    <w:name w:val="header"/>
    <w:basedOn w:val="Normal"/>
    <w:link w:val="HeaderChar"/>
    <w:uiPriority w:val="99"/>
    <w:semiHidden/>
    <w:rsid w:val="00B77E4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B77E4E"/>
  </w:style>
  <w:style w:type="paragraph" w:styleId="Footer">
    <w:name w:val="footer"/>
    <w:basedOn w:val="Normal"/>
    <w:link w:val="FooterChar"/>
    <w:uiPriority w:val="99"/>
    <w:rsid w:val="00B77E4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77E4E"/>
  </w:style>
  <w:style w:type="table" w:customStyle="1" w:styleId="TableGrid1">
    <w:name w:val="Table Grid1"/>
    <w:basedOn w:val="TableNormal"/>
    <w:next w:val="TableGrid"/>
    <w:uiPriority w:val="59"/>
    <w:rsid w:val="00022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22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22CD8"/>
  </w:style>
  <w:style w:type="character" w:styleId="Emphasis">
    <w:name w:val="Emphasis"/>
    <w:basedOn w:val="DefaultParagraphFont"/>
    <w:uiPriority w:val="20"/>
    <w:qFormat/>
    <w:locked/>
    <w:rsid w:val="00E74B16"/>
    <w:rPr>
      <w:i/>
      <w:iCs/>
    </w:rPr>
  </w:style>
</w:styles>
</file>

<file path=word/webSettings.xml><?xml version="1.0" encoding="utf-8"?>
<w:webSettings xmlns:r="http://schemas.openxmlformats.org/officeDocument/2006/relationships" xmlns:w="http://schemas.openxmlformats.org/wordprocessingml/2006/main">
  <w:divs>
    <w:div w:id="1850871315">
      <w:marLeft w:val="0"/>
      <w:marRight w:val="0"/>
      <w:marTop w:val="0"/>
      <w:marBottom w:val="0"/>
      <w:divBdr>
        <w:top w:val="none" w:sz="0" w:space="0" w:color="auto"/>
        <w:left w:val="none" w:sz="0" w:space="0" w:color="auto"/>
        <w:bottom w:val="none" w:sz="0" w:space="0" w:color="auto"/>
        <w:right w:val="none" w:sz="0" w:space="0" w:color="auto"/>
      </w:divBdr>
    </w:div>
    <w:div w:id="1850871316">
      <w:marLeft w:val="0"/>
      <w:marRight w:val="0"/>
      <w:marTop w:val="0"/>
      <w:marBottom w:val="0"/>
      <w:divBdr>
        <w:top w:val="none" w:sz="0" w:space="0" w:color="auto"/>
        <w:left w:val="none" w:sz="0" w:space="0" w:color="auto"/>
        <w:bottom w:val="none" w:sz="0" w:space="0" w:color="auto"/>
        <w:right w:val="none" w:sz="0" w:space="0" w:color="auto"/>
      </w:divBdr>
    </w:div>
    <w:div w:id="1850871317">
      <w:marLeft w:val="0"/>
      <w:marRight w:val="0"/>
      <w:marTop w:val="0"/>
      <w:marBottom w:val="0"/>
      <w:divBdr>
        <w:top w:val="none" w:sz="0" w:space="0" w:color="auto"/>
        <w:left w:val="none" w:sz="0" w:space="0" w:color="auto"/>
        <w:bottom w:val="none" w:sz="0" w:space="0" w:color="auto"/>
        <w:right w:val="none" w:sz="0" w:space="0" w:color="auto"/>
      </w:divBdr>
    </w:div>
    <w:div w:id="1850871318">
      <w:marLeft w:val="0"/>
      <w:marRight w:val="0"/>
      <w:marTop w:val="0"/>
      <w:marBottom w:val="0"/>
      <w:divBdr>
        <w:top w:val="none" w:sz="0" w:space="0" w:color="auto"/>
        <w:left w:val="none" w:sz="0" w:space="0" w:color="auto"/>
        <w:bottom w:val="none" w:sz="0" w:space="0" w:color="auto"/>
        <w:right w:val="none" w:sz="0" w:space="0" w:color="auto"/>
      </w:divBdr>
    </w:div>
    <w:div w:id="1850871319">
      <w:marLeft w:val="0"/>
      <w:marRight w:val="0"/>
      <w:marTop w:val="0"/>
      <w:marBottom w:val="0"/>
      <w:divBdr>
        <w:top w:val="none" w:sz="0" w:space="0" w:color="auto"/>
        <w:left w:val="none" w:sz="0" w:space="0" w:color="auto"/>
        <w:bottom w:val="none" w:sz="0" w:space="0" w:color="auto"/>
        <w:right w:val="none" w:sz="0" w:space="0" w:color="auto"/>
      </w:divBdr>
    </w:div>
    <w:div w:id="1850871320">
      <w:marLeft w:val="0"/>
      <w:marRight w:val="0"/>
      <w:marTop w:val="0"/>
      <w:marBottom w:val="0"/>
      <w:divBdr>
        <w:top w:val="none" w:sz="0" w:space="0" w:color="auto"/>
        <w:left w:val="none" w:sz="0" w:space="0" w:color="auto"/>
        <w:bottom w:val="none" w:sz="0" w:space="0" w:color="auto"/>
        <w:right w:val="none" w:sz="0" w:space="0" w:color="auto"/>
      </w:divBdr>
    </w:div>
    <w:div w:id="1850871321">
      <w:marLeft w:val="0"/>
      <w:marRight w:val="0"/>
      <w:marTop w:val="0"/>
      <w:marBottom w:val="0"/>
      <w:divBdr>
        <w:top w:val="none" w:sz="0" w:space="0" w:color="auto"/>
        <w:left w:val="none" w:sz="0" w:space="0" w:color="auto"/>
        <w:bottom w:val="none" w:sz="0" w:space="0" w:color="auto"/>
        <w:right w:val="none" w:sz="0" w:space="0" w:color="auto"/>
      </w:divBdr>
    </w:div>
    <w:div w:id="1850871322">
      <w:marLeft w:val="0"/>
      <w:marRight w:val="0"/>
      <w:marTop w:val="0"/>
      <w:marBottom w:val="0"/>
      <w:divBdr>
        <w:top w:val="none" w:sz="0" w:space="0" w:color="auto"/>
        <w:left w:val="none" w:sz="0" w:space="0" w:color="auto"/>
        <w:bottom w:val="none" w:sz="0" w:space="0" w:color="auto"/>
        <w:right w:val="none" w:sz="0" w:space="0" w:color="auto"/>
      </w:divBdr>
    </w:div>
    <w:div w:id="1850871323">
      <w:marLeft w:val="0"/>
      <w:marRight w:val="0"/>
      <w:marTop w:val="0"/>
      <w:marBottom w:val="0"/>
      <w:divBdr>
        <w:top w:val="none" w:sz="0" w:space="0" w:color="auto"/>
        <w:left w:val="none" w:sz="0" w:space="0" w:color="auto"/>
        <w:bottom w:val="none" w:sz="0" w:space="0" w:color="auto"/>
        <w:right w:val="none" w:sz="0" w:space="0" w:color="auto"/>
      </w:divBdr>
    </w:div>
    <w:div w:id="1850871324">
      <w:marLeft w:val="0"/>
      <w:marRight w:val="0"/>
      <w:marTop w:val="0"/>
      <w:marBottom w:val="0"/>
      <w:divBdr>
        <w:top w:val="none" w:sz="0" w:space="0" w:color="auto"/>
        <w:left w:val="none" w:sz="0" w:space="0" w:color="auto"/>
        <w:bottom w:val="none" w:sz="0" w:space="0" w:color="auto"/>
        <w:right w:val="none" w:sz="0" w:space="0" w:color="auto"/>
      </w:divBdr>
    </w:div>
    <w:div w:id="1850871325">
      <w:marLeft w:val="0"/>
      <w:marRight w:val="0"/>
      <w:marTop w:val="0"/>
      <w:marBottom w:val="0"/>
      <w:divBdr>
        <w:top w:val="none" w:sz="0" w:space="0" w:color="auto"/>
        <w:left w:val="none" w:sz="0" w:space="0" w:color="auto"/>
        <w:bottom w:val="none" w:sz="0" w:space="0" w:color="auto"/>
        <w:right w:val="none" w:sz="0" w:space="0" w:color="auto"/>
      </w:divBdr>
    </w:div>
    <w:div w:id="1850871326">
      <w:marLeft w:val="0"/>
      <w:marRight w:val="0"/>
      <w:marTop w:val="0"/>
      <w:marBottom w:val="0"/>
      <w:divBdr>
        <w:top w:val="none" w:sz="0" w:space="0" w:color="auto"/>
        <w:left w:val="none" w:sz="0" w:space="0" w:color="auto"/>
        <w:bottom w:val="none" w:sz="0" w:space="0" w:color="auto"/>
        <w:right w:val="none" w:sz="0" w:space="0" w:color="auto"/>
      </w:divBdr>
    </w:div>
    <w:div w:id="1850871327">
      <w:marLeft w:val="0"/>
      <w:marRight w:val="0"/>
      <w:marTop w:val="0"/>
      <w:marBottom w:val="0"/>
      <w:divBdr>
        <w:top w:val="none" w:sz="0" w:space="0" w:color="auto"/>
        <w:left w:val="none" w:sz="0" w:space="0" w:color="auto"/>
        <w:bottom w:val="none" w:sz="0" w:space="0" w:color="auto"/>
        <w:right w:val="none" w:sz="0" w:space="0" w:color="auto"/>
      </w:divBdr>
    </w:div>
    <w:div w:id="1850871328">
      <w:marLeft w:val="0"/>
      <w:marRight w:val="0"/>
      <w:marTop w:val="0"/>
      <w:marBottom w:val="0"/>
      <w:divBdr>
        <w:top w:val="none" w:sz="0" w:space="0" w:color="auto"/>
        <w:left w:val="none" w:sz="0" w:space="0" w:color="auto"/>
        <w:bottom w:val="none" w:sz="0" w:space="0" w:color="auto"/>
        <w:right w:val="none" w:sz="0" w:space="0" w:color="auto"/>
      </w:divBdr>
    </w:div>
    <w:div w:id="1850871329">
      <w:marLeft w:val="0"/>
      <w:marRight w:val="0"/>
      <w:marTop w:val="0"/>
      <w:marBottom w:val="0"/>
      <w:divBdr>
        <w:top w:val="none" w:sz="0" w:space="0" w:color="auto"/>
        <w:left w:val="none" w:sz="0" w:space="0" w:color="auto"/>
        <w:bottom w:val="none" w:sz="0" w:space="0" w:color="auto"/>
        <w:right w:val="none" w:sz="0" w:space="0" w:color="auto"/>
      </w:divBdr>
    </w:div>
    <w:div w:id="1850871330">
      <w:marLeft w:val="0"/>
      <w:marRight w:val="0"/>
      <w:marTop w:val="0"/>
      <w:marBottom w:val="0"/>
      <w:divBdr>
        <w:top w:val="none" w:sz="0" w:space="0" w:color="auto"/>
        <w:left w:val="none" w:sz="0" w:space="0" w:color="auto"/>
        <w:bottom w:val="none" w:sz="0" w:space="0" w:color="auto"/>
        <w:right w:val="none" w:sz="0" w:space="0" w:color="auto"/>
      </w:divBdr>
    </w:div>
    <w:div w:id="1850871331">
      <w:marLeft w:val="0"/>
      <w:marRight w:val="0"/>
      <w:marTop w:val="0"/>
      <w:marBottom w:val="0"/>
      <w:divBdr>
        <w:top w:val="none" w:sz="0" w:space="0" w:color="auto"/>
        <w:left w:val="none" w:sz="0" w:space="0" w:color="auto"/>
        <w:bottom w:val="none" w:sz="0" w:space="0" w:color="auto"/>
        <w:right w:val="none" w:sz="0" w:space="0" w:color="auto"/>
      </w:divBdr>
    </w:div>
    <w:div w:id="1850871332">
      <w:marLeft w:val="0"/>
      <w:marRight w:val="0"/>
      <w:marTop w:val="0"/>
      <w:marBottom w:val="0"/>
      <w:divBdr>
        <w:top w:val="none" w:sz="0" w:space="0" w:color="auto"/>
        <w:left w:val="none" w:sz="0" w:space="0" w:color="auto"/>
        <w:bottom w:val="none" w:sz="0" w:space="0" w:color="auto"/>
        <w:right w:val="none" w:sz="0" w:space="0" w:color="auto"/>
      </w:divBdr>
    </w:div>
    <w:div w:id="1850871333">
      <w:marLeft w:val="0"/>
      <w:marRight w:val="0"/>
      <w:marTop w:val="0"/>
      <w:marBottom w:val="0"/>
      <w:divBdr>
        <w:top w:val="none" w:sz="0" w:space="0" w:color="auto"/>
        <w:left w:val="none" w:sz="0" w:space="0" w:color="auto"/>
        <w:bottom w:val="none" w:sz="0" w:space="0" w:color="auto"/>
        <w:right w:val="none" w:sz="0" w:space="0" w:color="auto"/>
      </w:divBdr>
    </w:div>
    <w:div w:id="1850871334">
      <w:marLeft w:val="0"/>
      <w:marRight w:val="0"/>
      <w:marTop w:val="0"/>
      <w:marBottom w:val="0"/>
      <w:divBdr>
        <w:top w:val="none" w:sz="0" w:space="0" w:color="auto"/>
        <w:left w:val="none" w:sz="0" w:space="0" w:color="auto"/>
        <w:bottom w:val="none" w:sz="0" w:space="0" w:color="auto"/>
        <w:right w:val="none" w:sz="0" w:space="0" w:color="auto"/>
      </w:divBdr>
    </w:div>
    <w:div w:id="1850871335">
      <w:marLeft w:val="0"/>
      <w:marRight w:val="0"/>
      <w:marTop w:val="0"/>
      <w:marBottom w:val="0"/>
      <w:divBdr>
        <w:top w:val="none" w:sz="0" w:space="0" w:color="auto"/>
        <w:left w:val="none" w:sz="0" w:space="0" w:color="auto"/>
        <w:bottom w:val="none" w:sz="0" w:space="0" w:color="auto"/>
        <w:right w:val="none" w:sz="0" w:space="0" w:color="auto"/>
      </w:divBdr>
    </w:div>
    <w:div w:id="1850871336">
      <w:marLeft w:val="0"/>
      <w:marRight w:val="0"/>
      <w:marTop w:val="0"/>
      <w:marBottom w:val="0"/>
      <w:divBdr>
        <w:top w:val="none" w:sz="0" w:space="0" w:color="auto"/>
        <w:left w:val="none" w:sz="0" w:space="0" w:color="auto"/>
        <w:bottom w:val="none" w:sz="0" w:space="0" w:color="auto"/>
        <w:right w:val="none" w:sz="0" w:space="0" w:color="auto"/>
      </w:divBdr>
    </w:div>
    <w:div w:id="1850871337">
      <w:marLeft w:val="0"/>
      <w:marRight w:val="0"/>
      <w:marTop w:val="0"/>
      <w:marBottom w:val="0"/>
      <w:divBdr>
        <w:top w:val="none" w:sz="0" w:space="0" w:color="auto"/>
        <w:left w:val="none" w:sz="0" w:space="0" w:color="auto"/>
        <w:bottom w:val="none" w:sz="0" w:space="0" w:color="auto"/>
        <w:right w:val="none" w:sz="0" w:space="0" w:color="auto"/>
      </w:divBdr>
    </w:div>
    <w:div w:id="1850871338">
      <w:marLeft w:val="0"/>
      <w:marRight w:val="0"/>
      <w:marTop w:val="0"/>
      <w:marBottom w:val="0"/>
      <w:divBdr>
        <w:top w:val="none" w:sz="0" w:space="0" w:color="auto"/>
        <w:left w:val="none" w:sz="0" w:space="0" w:color="auto"/>
        <w:bottom w:val="none" w:sz="0" w:space="0" w:color="auto"/>
        <w:right w:val="none" w:sz="0" w:space="0" w:color="auto"/>
      </w:divBdr>
    </w:div>
    <w:div w:id="1850871339">
      <w:marLeft w:val="0"/>
      <w:marRight w:val="0"/>
      <w:marTop w:val="0"/>
      <w:marBottom w:val="0"/>
      <w:divBdr>
        <w:top w:val="none" w:sz="0" w:space="0" w:color="auto"/>
        <w:left w:val="none" w:sz="0" w:space="0" w:color="auto"/>
        <w:bottom w:val="none" w:sz="0" w:space="0" w:color="auto"/>
        <w:right w:val="none" w:sz="0" w:space="0" w:color="auto"/>
      </w:divBdr>
    </w:div>
    <w:div w:id="1850871340">
      <w:marLeft w:val="0"/>
      <w:marRight w:val="0"/>
      <w:marTop w:val="0"/>
      <w:marBottom w:val="0"/>
      <w:divBdr>
        <w:top w:val="none" w:sz="0" w:space="0" w:color="auto"/>
        <w:left w:val="none" w:sz="0" w:space="0" w:color="auto"/>
        <w:bottom w:val="none" w:sz="0" w:space="0" w:color="auto"/>
        <w:right w:val="none" w:sz="0" w:space="0" w:color="auto"/>
      </w:divBdr>
    </w:div>
    <w:div w:id="1850871341">
      <w:marLeft w:val="0"/>
      <w:marRight w:val="0"/>
      <w:marTop w:val="0"/>
      <w:marBottom w:val="0"/>
      <w:divBdr>
        <w:top w:val="none" w:sz="0" w:space="0" w:color="auto"/>
        <w:left w:val="none" w:sz="0" w:space="0" w:color="auto"/>
        <w:bottom w:val="none" w:sz="0" w:space="0" w:color="auto"/>
        <w:right w:val="none" w:sz="0" w:space="0" w:color="auto"/>
      </w:divBdr>
    </w:div>
    <w:div w:id="1850871342">
      <w:marLeft w:val="0"/>
      <w:marRight w:val="0"/>
      <w:marTop w:val="0"/>
      <w:marBottom w:val="0"/>
      <w:divBdr>
        <w:top w:val="none" w:sz="0" w:space="0" w:color="auto"/>
        <w:left w:val="none" w:sz="0" w:space="0" w:color="auto"/>
        <w:bottom w:val="none" w:sz="0" w:space="0" w:color="auto"/>
        <w:right w:val="none" w:sz="0" w:space="0" w:color="auto"/>
      </w:divBdr>
    </w:div>
    <w:div w:id="1850871343">
      <w:marLeft w:val="0"/>
      <w:marRight w:val="0"/>
      <w:marTop w:val="0"/>
      <w:marBottom w:val="0"/>
      <w:divBdr>
        <w:top w:val="none" w:sz="0" w:space="0" w:color="auto"/>
        <w:left w:val="none" w:sz="0" w:space="0" w:color="auto"/>
        <w:bottom w:val="none" w:sz="0" w:space="0" w:color="auto"/>
        <w:right w:val="none" w:sz="0" w:space="0" w:color="auto"/>
      </w:divBdr>
    </w:div>
    <w:div w:id="1850871344">
      <w:marLeft w:val="0"/>
      <w:marRight w:val="0"/>
      <w:marTop w:val="0"/>
      <w:marBottom w:val="0"/>
      <w:divBdr>
        <w:top w:val="none" w:sz="0" w:space="0" w:color="auto"/>
        <w:left w:val="none" w:sz="0" w:space="0" w:color="auto"/>
        <w:bottom w:val="none" w:sz="0" w:space="0" w:color="auto"/>
        <w:right w:val="none" w:sz="0" w:space="0" w:color="auto"/>
      </w:divBdr>
    </w:div>
    <w:div w:id="1850871345">
      <w:marLeft w:val="0"/>
      <w:marRight w:val="0"/>
      <w:marTop w:val="0"/>
      <w:marBottom w:val="0"/>
      <w:divBdr>
        <w:top w:val="none" w:sz="0" w:space="0" w:color="auto"/>
        <w:left w:val="none" w:sz="0" w:space="0" w:color="auto"/>
        <w:bottom w:val="none" w:sz="0" w:space="0" w:color="auto"/>
        <w:right w:val="none" w:sz="0" w:space="0" w:color="auto"/>
      </w:divBdr>
    </w:div>
    <w:div w:id="1850871346">
      <w:marLeft w:val="0"/>
      <w:marRight w:val="0"/>
      <w:marTop w:val="0"/>
      <w:marBottom w:val="0"/>
      <w:divBdr>
        <w:top w:val="none" w:sz="0" w:space="0" w:color="auto"/>
        <w:left w:val="none" w:sz="0" w:space="0" w:color="auto"/>
        <w:bottom w:val="none" w:sz="0" w:space="0" w:color="auto"/>
        <w:right w:val="none" w:sz="0" w:space="0" w:color="auto"/>
      </w:divBdr>
    </w:div>
    <w:div w:id="1850871347">
      <w:marLeft w:val="0"/>
      <w:marRight w:val="0"/>
      <w:marTop w:val="0"/>
      <w:marBottom w:val="0"/>
      <w:divBdr>
        <w:top w:val="none" w:sz="0" w:space="0" w:color="auto"/>
        <w:left w:val="none" w:sz="0" w:space="0" w:color="auto"/>
        <w:bottom w:val="none" w:sz="0" w:space="0" w:color="auto"/>
        <w:right w:val="none" w:sz="0" w:space="0" w:color="auto"/>
      </w:divBdr>
    </w:div>
    <w:div w:id="1850871348">
      <w:marLeft w:val="0"/>
      <w:marRight w:val="0"/>
      <w:marTop w:val="0"/>
      <w:marBottom w:val="0"/>
      <w:divBdr>
        <w:top w:val="none" w:sz="0" w:space="0" w:color="auto"/>
        <w:left w:val="none" w:sz="0" w:space="0" w:color="auto"/>
        <w:bottom w:val="none" w:sz="0" w:space="0" w:color="auto"/>
        <w:right w:val="none" w:sz="0" w:space="0" w:color="auto"/>
      </w:divBdr>
    </w:div>
    <w:div w:id="1850871349">
      <w:marLeft w:val="0"/>
      <w:marRight w:val="0"/>
      <w:marTop w:val="0"/>
      <w:marBottom w:val="0"/>
      <w:divBdr>
        <w:top w:val="none" w:sz="0" w:space="0" w:color="auto"/>
        <w:left w:val="none" w:sz="0" w:space="0" w:color="auto"/>
        <w:bottom w:val="none" w:sz="0" w:space="0" w:color="auto"/>
        <w:right w:val="none" w:sz="0" w:space="0" w:color="auto"/>
      </w:divBdr>
    </w:div>
    <w:div w:id="1850871350">
      <w:marLeft w:val="0"/>
      <w:marRight w:val="0"/>
      <w:marTop w:val="0"/>
      <w:marBottom w:val="0"/>
      <w:divBdr>
        <w:top w:val="none" w:sz="0" w:space="0" w:color="auto"/>
        <w:left w:val="none" w:sz="0" w:space="0" w:color="auto"/>
        <w:bottom w:val="none" w:sz="0" w:space="0" w:color="auto"/>
        <w:right w:val="none" w:sz="0" w:space="0" w:color="auto"/>
      </w:divBdr>
    </w:div>
    <w:div w:id="1850871351">
      <w:marLeft w:val="0"/>
      <w:marRight w:val="0"/>
      <w:marTop w:val="0"/>
      <w:marBottom w:val="0"/>
      <w:divBdr>
        <w:top w:val="none" w:sz="0" w:space="0" w:color="auto"/>
        <w:left w:val="none" w:sz="0" w:space="0" w:color="auto"/>
        <w:bottom w:val="none" w:sz="0" w:space="0" w:color="auto"/>
        <w:right w:val="none" w:sz="0" w:space="0" w:color="auto"/>
      </w:divBdr>
    </w:div>
    <w:div w:id="1850871352">
      <w:marLeft w:val="0"/>
      <w:marRight w:val="0"/>
      <w:marTop w:val="0"/>
      <w:marBottom w:val="0"/>
      <w:divBdr>
        <w:top w:val="none" w:sz="0" w:space="0" w:color="auto"/>
        <w:left w:val="none" w:sz="0" w:space="0" w:color="auto"/>
        <w:bottom w:val="none" w:sz="0" w:space="0" w:color="auto"/>
        <w:right w:val="none" w:sz="0" w:space="0" w:color="auto"/>
      </w:divBdr>
    </w:div>
    <w:div w:id="1850871353">
      <w:marLeft w:val="0"/>
      <w:marRight w:val="0"/>
      <w:marTop w:val="0"/>
      <w:marBottom w:val="0"/>
      <w:divBdr>
        <w:top w:val="none" w:sz="0" w:space="0" w:color="auto"/>
        <w:left w:val="none" w:sz="0" w:space="0" w:color="auto"/>
        <w:bottom w:val="none" w:sz="0" w:space="0" w:color="auto"/>
        <w:right w:val="none" w:sz="0" w:space="0" w:color="auto"/>
      </w:divBdr>
    </w:div>
    <w:div w:id="1850871354">
      <w:marLeft w:val="0"/>
      <w:marRight w:val="0"/>
      <w:marTop w:val="0"/>
      <w:marBottom w:val="0"/>
      <w:divBdr>
        <w:top w:val="none" w:sz="0" w:space="0" w:color="auto"/>
        <w:left w:val="none" w:sz="0" w:space="0" w:color="auto"/>
        <w:bottom w:val="none" w:sz="0" w:space="0" w:color="auto"/>
        <w:right w:val="none" w:sz="0" w:space="0" w:color="auto"/>
      </w:divBdr>
    </w:div>
    <w:div w:id="1850871355">
      <w:marLeft w:val="0"/>
      <w:marRight w:val="0"/>
      <w:marTop w:val="0"/>
      <w:marBottom w:val="0"/>
      <w:divBdr>
        <w:top w:val="none" w:sz="0" w:space="0" w:color="auto"/>
        <w:left w:val="none" w:sz="0" w:space="0" w:color="auto"/>
        <w:bottom w:val="none" w:sz="0" w:space="0" w:color="auto"/>
        <w:right w:val="none" w:sz="0" w:space="0" w:color="auto"/>
      </w:divBdr>
    </w:div>
    <w:div w:id="1850871356">
      <w:marLeft w:val="0"/>
      <w:marRight w:val="0"/>
      <w:marTop w:val="0"/>
      <w:marBottom w:val="0"/>
      <w:divBdr>
        <w:top w:val="none" w:sz="0" w:space="0" w:color="auto"/>
        <w:left w:val="none" w:sz="0" w:space="0" w:color="auto"/>
        <w:bottom w:val="none" w:sz="0" w:space="0" w:color="auto"/>
        <w:right w:val="none" w:sz="0" w:space="0" w:color="auto"/>
      </w:divBdr>
    </w:div>
    <w:div w:id="1850871357">
      <w:marLeft w:val="0"/>
      <w:marRight w:val="0"/>
      <w:marTop w:val="0"/>
      <w:marBottom w:val="0"/>
      <w:divBdr>
        <w:top w:val="none" w:sz="0" w:space="0" w:color="auto"/>
        <w:left w:val="none" w:sz="0" w:space="0" w:color="auto"/>
        <w:bottom w:val="none" w:sz="0" w:space="0" w:color="auto"/>
        <w:right w:val="none" w:sz="0" w:space="0" w:color="auto"/>
      </w:divBdr>
    </w:div>
    <w:div w:id="1850871358">
      <w:marLeft w:val="0"/>
      <w:marRight w:val="0"/>
      <w:marTop w:val="0"/>
      <w:marBottom w:val="0"/>
      <w:divBdr>
        <w:top w:val="none" w:sz="0" w:space="0" w:color="auto"/>
        <w:left w:val="none" w:sz="0" w:space="0" w:color="auto"/>
        <w:bottom w:val="none" w:sz="0" w:space="0" w:color="auto"/>
        <w:right w:val="none" w:sz="0" w:space="0" w:color="auto"/>
      </w:divBdr>
    </w:div>
    <w:div w:id="1850871359">
      <w:marLeft w:val="0"/>
      <w:marRight w:val="0"/>
      <w:marTop w:val="0"/>
      <w:marBottom w:val="0"/>
      <w:divBdr>
        <w:top w:val="none" w:sz="0" w:space="0" w:color="auto"/>
        <w:left w:val="none" w:sz="0" w:space="0" w:color="auto"/>
        <w:bottom w:val="none" w:sz="0" w:space="0" w:color="auto"/>
        <w:right w:val="none" w:sz="0" w:space="0" w:color="auto"/>
      </w:divBdr>
    </w:div>
    <w:div w:id="1850871360">
      <w:marLeft w:val="0"/>
      <w:marRight w:val="0"/>
      <w:marTop w:val="0"/>
      <w:marBottom w:val="0"/>
      <w:divBdr>
        <w:top w:val="none" w:sz="0" w:space="0" w:color="auto"/>
        <w:left w:val="none" w:sz="0" w:space="0" w:color="auto"/>
        <w:bottom w:val="none" w:sz="0" w:space="0" w:color="auto"/>
        <w:right w:val="none" w:sz="0" w:space="0" w:color="auto"/>
      </w:divBdr>
    </w:div>
    <w:div w:id="1850871361">
      <w:marLeft w:val="0"/>
      <w:marRight w:val="0"/>
      <w:marTop w:val="0"/>
      <w:marBottom w:val="0"/>
      <w:divBdr>
        <w:top w:val="none" w:sz="0" w:space="0" w:color="auto"/>
        <w:left w:val="none" w:sz="0" w:space="0" w:color="auto"/>
        <w:bottom w:val="none" w:sz="0" w:space="0" w:color="auto"/>
        <w:right w:val="none" w:sz="0" w:space="0" w:color="auto"/>
      </w:divBdr>
    </w:div>
    <w:div w:id="1850871362">
      <w:marLeft w:val="0"/>
      <w:marRight w:val="0"/>
      <w:marTop w:val="0"/>
      <w:marBottom w:val="0"/>
      <w:divBdr>
        <w:top w:val="none" w:sz="0" w:space="0" w:color="auto"/>
        <w:left w:val="none" w:sz="0" w:space="0" w:color="auto"/>
        <w:bottom w:val="none" w:sz="0" w:space="0" w:color="auto"/>
        <w:right w:val="none" w:sz="0" w:space="0" w:color="auto"/>
      </w:divBdr>
    </w:div>
    <w:div w:id="1850871363">
      <w:marLeft w:val="0"/>
      <w:marRight w:val="0"/>
      <w:marTop w:val="0"/>
      <w:marBottom w:val="0"/>
      <w:divBdr>
        <w:top w:val="none" w:sz="0" w:space="0" w:color="auto"/>
        <w:left w:val="none" w:sz="0" w:space="0" w:color="auto"/>
        <w:bottom w:val="none" w:sz="0" w:space="0" w:color="auto"/>
        <w:right w:val="none" w:sz="0" w:space="0" w:color="auto"/>
      </w:divBdr>
    </w:div>
    <w:div w:id="1850871364">
      <w:marLeft w:val="0"/>
      <w:marRight w:val="0"/>
      <w:marTop w:val="0"/>
      <w:marBottom w:val="0"/>
      <w:divBdr>
        <w:top w:val="none" w:sz="0" w:space="0" w:color="auto"/>
        <w:left w:val="none" w:sz="0" w:space="0" w:color="auto"/>
        <w:bottom w:val="none" w:sz="0" w:space="0" w:color="auto"/>
        <w:right w:val="none" w:sz="0" w:space="0" w:color="auto"/>
      </w:divBdr>
    </w:div>
    <w:div w:id="1850871365">
      <w:marLeft w:val="0"/>
      <w:marRight w:val="0"/>
      <w:marTop w:val="0"/>
      <w:marBottom w:val="0"/>
      <w:divBdr>
        <w:top w:val="none" w:sz="0" w:space="0" w:color="auto"/>
        <w:left w:val="none" w:sz="0" w:space="0" w:color="auto"/>
        <w:bottom w:val="none" w:sz="0" w:space="0" w:color="auto"/>
        <w:right w:val="none" w:sz="0" w:space="0" w:color="auto"/>
      </w:divBdr>
    </w:div>
    <w:div w:id="1850871366">
      <w:marLeft w:val="0"/>
      <w:marRight w:val="0"/>
      <w:marTop w:val="0"/>
      <w:marBottom w:val="0"/>
      <w:divBdr>
        <w:top w:val="none" w:sz="0" w:space="0" w:color="auto"/>
        <w:left w:val="none" w:sz="0" w:space="0" w:color="auto"/>
        <w:bottom w:val="none" w:sz="0" w:space="0" w:color="auto"/>
        <w:right w:val="none" w:sz="0" w:space="0" w:color="auto"/>
      </w:divBdr>
    </w:div>
    <w:div w:id="1850871367">
      <w:marLeft w:val="0"/>
      <w:marRight w:val="0"/>
      <w:marTop w:val="0"/>
      <w:marBottom w:val="0"/>
      <w:divBdr>
        <w:top w:val="none" w:sz="0" w:space="0" w:color="auto"/>
        <w:left w:val="none" w:sz="0" w:space="0" w:color="auto"/>
        <w:bottom w:val="none" w:sz="0" w:space="0" w:color="auto"/>
        <w:right w:val="none" w:sz="0" w:space="0" w:color="auto"/>
      </w:divBdr>
    </w:div>
    <w:div w:id="1850871368">
      <w:marLeft w:val="0"/>
      <w:marRight w:val="0"/>
      <w:marTop w:val="0"/>
      <w:marBottom w:val="0"/>
      <w:divBdr>
        <w:top w:val="none" w:sz="0" w:space="0" w:color="auto"/>
        <w:left w:val="none" w:sz="0" w:space="0" w:color="auto"/>
        <w:bottom w:val="none" w:sz="0" w:space="0" w:color="auto"/>
        <w:right w:val="none" w:sz="0" w:space="0" w:color="auto"/>
      </w:divBdr>
    </w:div>
    <w:div w:id="1850871369">
      <w:marLeft w:val="0"/>
      <w:marRight w:val="0"/>
      <w:marTop w:val="0"/>
      <w:marBottom w:val="0"/>
      <w:divBdr>
        <w:top w:val="none" w:sz="0" w:space="0" w:color="auto"/>
        <w:left w:val="none" w:sz="0" w:space="0" w:color="auto"/>
        <w:bottom w:val="none" w:sz="0" w:space="0" w:color="auto"/>
        <w:right w:val="none" w:sz="0" w:space="0" w:color="auto"/>
      </w:divBdr>
    </w:div>
    <w:div w:id="1850871370">
      <w:marLeft w:val="0"/>
      <w:marRight w:val="0"/>
      <w:marTop w:val="0"/>
      <w:marBottom w:val="0"/>
      <w:divBdr>
        <w:top w:val="none" w:sz="0" w:space="0" w:color="auto"/>
        <w:left w:val="none" w:sz="0" w:space="0" w:color="auto"/>
        <w:bottom w:val="none" w:sz="0" w:space="0" w:color="auto"/>
        <w:right w:val="none" w:sz="0" w:space="0" w:color="auto"/>
      </w:divBdr>
    </w:div>
    <w:div w:id="1850871371">
      <w:marLeft w:val="0"/>
      <w:marRight w:val="0"/>
      <w:marTop w:val="0"/>
      <w:marBottom w:val="0"/>
      <w:divBdr>
        <w:top w:val="none" w:sz="0" w:space="0" w:color="auto"/>
        <w:left w:val="none" w:sz="0" w:space="0" w:color="auto"/>
        <w:bottom w:val="none" w:sz="0" w:space="0" w:color="auto"/>
        <w:right w:val="none" w:sz="0" w:space="0" w:color="auto"/>
      </w:divBdr>
    </w:div>
    <w:div w:id="1850871372">
      <w:marLeft w:val="0"/>
      <w:marRight w:val="0"/>
      <w:marTop w:val="0"/>
      <w:marBottom w:val="0"/>
      <w:divBdr>
        <w:top w:val="none" w:sz="0" w:space="0" w:color="auto"/>
        <w:left w:val="none" w:sz="0" w:space="0" w:color="auto"/>
        <w:bottom w:val="none" w:sz="0" w:space="0" w:color="auto"/>
        <w:right w:val="none" w:sz="0" w:space="0" w:color="auto"/>
      </w:divBdr>
    </w:div>
    <w:div w:id="1850871373">
      <w:marLeft w:val="0"/>
      <w:marRight w:val="0"/>
      <w:marTop w:val="0"/>
      <w:marBottom w:val="0"/>
      <w:divBdr>
        <w:top w:val="none" w:sz="0" w:space="0" w:color="auto"/>
        <w:left w:val="none" w:sz="0" w:space="0" w:color="auto"/>
        <w:bottom w:val="none" w:sz="0" w:space="0" w:color="auto"/>
        <w:right w:val="none" w:sz="0" w:space="0" w:color="auto"/>
      </w:divBdr>
    </w:div>
    <w:div w:id="1850871374">
      <w:marLeft w:val="0"/>
      <w:marRight w:val="0"/>
      <w:marTop w:val="0"/>
      <w:marBottom w:val="0"/>
      <w:divBdr>
        <w:top w:val="none" w:sz="0" w:space="0" w:color="auto"/>
        <w:left w:val="none" w:sz="0" w:space="0" w:color="auto"/>
        <w:bottom w:val="none" w:sz="0" w:space="0" w:color="auto"/>
        <w:right w:val="none" w:sz="0" w:space="0" w:color="auto"/>
      </w:divBdr>
    </w:div>
    <w:div w:id="18508713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4.png"/><Relationship Id="rId37"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microsoft.com/office/2011/relationships/people" Target="peop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9BCDD5-9FF9-41CB-ABAB-CCD7D07D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31</Pages>
  <Words>69642</Words>
  <Characters>396965</Characters>
  <Application>Microsoft Office Word</Application>
  <DocSecurity>0</DocSecurity>
  <Lines>3308</Lines>
  <Paragraphs>931</Paragraphs>
  <ScaleCrop>false</ScaleCrop>
  <HeadingPairs>
    <vt:vector size="2" baseType="variant">
      <vt:variant>
        <vt:lpstr>Title</vt:lpstr>
      </vt:variant>
      <vt:variant>
        <vt:i4>1</vt:i4>
      </vt:variant>
    </vt:vector>
  </HeadingPairs>
  <TitlesOfParts>
    <vt:vector size="1" baseType="lpstr">
      <vt:lpstr>Does adipose tissue mass positively or negatively influence bone mass in an overweight or obese population</vt:lpstr>
    </vt:vector>
  </TitlesOfParts>
  <Company>DCU</Company>
  <LinksUpToDate>false</LinksUpToDate>
  <CharactersWithSpaces>465676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adipose tissue mass positively or negatively influence bone mass in an overweight or obese population</dc:title>
  <dc:creator>eimeardol</dc:creator>
  <cp:lastModifiedBy>eimeardol</cp:lastModifiedBy>
  <cp:revision>5</cp:revision>
  <cp:lastPrinted>2015-10-07T15:36:00Z</cp:lastPrinted>
  <dcterms:created xsi:type="dcterms:W3CDTF">2017-06-15T18:49:00Z</dcterms:created>
  <dcterms:modified xsi:type="dcterms:W3CDTF">2017-06-15T22:38:00Z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748ea068-fbcd-31fe-b188-239ed5d16d8b</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