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C1A" w:rsidRPr="00AD1F5C" w:rsidRDefault="00D32C1A" w:rsidP="00AD1F5C">
      <w:pPr>
        <w:autoSpaceDE w:val="0"/>
        <w:autoSpaceDN w:val="0"/>
        <w:adjustRightInd w:val="0"/>
        <w:spacing w:after="0" w:line="360" w:lineRule="auto"/>
        <w:jc w:val="both"/>
        <w:rPr>
          <w:rFonts w:ascii="Times New Roman" w:hAnsi="Times New Roman" w:cs="Times New Roman"/>
          <w:b/>
          <w:sz w:val="24"/>
          <w:szCs w:val="24"/>
        </w:rPr>
      </w:pPr>
      <w:bookmarkStart w:id="0" w:name="_GoBack"/>
      <w:bookmarkEnd w:id="0"/>
      <w:r w:rsidRPr="00AD1F5C">
        <w:rPr>
          <w:rFonts w:ascii="Times New Roman" w:hAnsi="Times New Roman" w:cs="Times New Roman"/>
          <w:b/>
          <w:sz w:val="24"/>
          <w:szCs w:val="24"/>
        </w:rPr>
        <w:t>Calls for Police Service: Understanding the demand profile and the UK police response.</w:t>
      </w:r>
    </w:p>
    <w:p w:rsidR="00D32C1A" w:rsidRPr="00AD1F5C" w:rsidRDefault="00D32C1A" w:rsidP="00AD1F5C">
      <w:pPr>
        <w:spacing w:before="100" w:beforeAutospacing="1" w:line="360" w:lineRule="auto"/>
        <w:jc w:val="center"/>
        <w:rPr>
          <w:rFonts w:ascii="Times New Roman" w:hAnsi="Times New Roman" w:cs="Times New Roman"/>
          <w:sz w:val="24"/>
          <w:szCs w:val="24"/>
        </w:rPr>
      </w:pPr>
      <w:r w:rsidRPr="00AD1F5C">
        <w:rPr>
          <w:rFonts w:ascii="Times New Roman" w:hAnsi="Times New Roman" w:cs="Times New Roman"/>
          <w:sz w:val="24"/>
          <w:szCs w:val="24"/>
        </w:rPr>
        <w:t>Dr. Laura Boulton</w:t>
      </w:r>
    </w:p>
    <w:p w:rsidR="00D32C1A" w:rsidRPr="00AD1F5C" w:rsidRDefault="00D32C1A" w:rsidP="00AD1F5C">
      <w:pPr>
        <w:spacing w:before="100" w:beforeAutospacing="1" w:line="360" w:lineRule="auto"/>
        <w:jc w:val="center"/>
        <w:rPr>
          <w:rFonts w:ascii="Times New Roman" w:hAnsi="Times New Roman" w:cs="Times New Roman"/>
          <w:sz w:val="24"/>
          <w:szCs w:val="24"/>
        </w:rPr>
      </w:pPr>
      <w:r w:rsidRPr="00AD1F5C">
        <w:rPr>
          <w:rFonts w:ascii="Times New Roman" w:hAnsi="Times New Roman" w:cs="Times New Roman"/>
          <w:sz w:val="24"/>
          <w:szCs w:val="24"/>
        </w:rPr>
        <w:t xml:space="preserve">Policing and Criminal Investigation, School of Forensic and Applied Science, University of Central Lancashire, Preston, PR1 2HE, email: </w:t>
      </w:r>
      <w:hyperlink r:id="rId7" w:history="1">
        <w:r w:rsidRPr="00AD1F5C">
          <w:rPr>
            <w:rStyle w:val="Hyperlink"/>
            <w:rFonts w:ascii="Times New Roman" w:hAnsi="Times New Roman" w:cs="Times New Roman"/>
            <w:sz w:val="24"/>
            <w:szCs w:val="24"/>
          </w:rPr>
          <w:t>lboulton1@uclan.ac.uk</w:t>
        </w:r>
      </w:hyperlink>
      <w:r w:rsidRPr="00AD1F5C">
        <w:rPr>
          <w:rFonts w:ascii="Times New Roman" w:hAnsi="Times New Roman" w:cs="Times New Roman"/>
          <w:sz w:val="24"/>
          <w:szCs w:val="24"/>
        </w:rPr>
        <w:t>, tel: 00 44 (0)1772 894386</w:t>
      </w:r>
    </w:p>
    <w:p w:rsidR="002351C9" w:rsidRPr="00AD1F5C" w:rsidRDefault="002351C9" w:rsidP="00AD1F5C">
      <w:pPr>
        <w:spacing w:before="100" w:beforeAutospacing="1" w:line="360" w:lineRule="auto"/>
        <w:jc w:val="center"/>
        <w:rPr>
          <w:rFonts w:ascii="Times New Roman" w:hAnsi="Times New Roman" w:cs="Times New Roman"/>
          <w:sz w:val="24"/>
          <w:szCs w:val="24"/>
          <w:vertAlign w:val="superscript"/>
        </w:rPr>
      </w:pPr>
      <w:r w:rsidRPr="00AD1F5C">
        <w:rPr>
          <w:rFonts w:ascii="Times New Roman" w:hAnsi="Times New Roman" w:cs="Times New Roman"/>
          <w:sz w:val="24"/>
          <w:szCs w:val="24"/>
        </w:rPr>
        <w:t>Dr. Michelle McManus</w:t>
      </w:r>
      <w:r w:rsidRPr="00AD1F5C">
        <w:rPr>
          <w:rStyle w:val="FootnoteReference"/>
          <w:rFonts w:ascii="Times New Roman" w:hAnsi="Times New Roman" w:cs="Times New Roman"/>
          <w:sz w:val="24"/>
          <w:szCs w:val="24"/>
        </w:rPr>
        <w:footnoteReference w:id="1"/>
      </w:r>
    </w:p>
    <w:p w:rsidR="002351C9" w:rsidRPr="00AD1F5C" w:rsidRDefault="002351C9" w:rsidP="00AD1F5C">
      <w:pPr>
        <w:spacing w:before="100" w:beforeAutospacing="1" w:line="360" w:lineRule="auto"/>
        <w:jc w:val="center"/>
        <w:rPr>
          <w:rFonts w:ascii="Times New Roman" w:hAnsi="Times New Roman" w:cs="Times New Roman"/>
          <w:sz w:val="24"/>
          <w:szCs w:val="24"/>
        </w:rPr>
      </w:pPr>
      <w:r w:rsidRPr="00AD1F5C">
        <w:rPr>
          <w:rFonts w:ascii="Times New Roman" w:hAnsi="Times New Roman" w:cs="Times New Roman"/>
          <w:sz w:val="24"/>
          <w:szCs w:val="24"/>
        </w:rPr>
        <w:t xml:space="preserve">Policing and Criminal Investigation, School of Forensic and Applied Science, University of Central Lancashire, Preston, PR1 2HE, email: </w:t>
      </w:r>
      <w:hyperlink r:id="rId8" w:history="1">
        <w:r w:rsidRPr="00AD1F5C">
          <w:rPr>
            <w:rStyle w:val="Hyperlink"/>
            <w:rFonts w:ascii="Times New Roman" w:hAnsi="Times New Roman" w:cs="Times New Roman"/>
            <w:sz w:val="24"/>
            <w:szCs w:val="24"/>
          </w:rPr>
          <w:t>mamcmanus@uclan.ac.uk</w:t>
        </w:r>
      </w:hyperlink>
      <w:r w:rsidRPr="00AD1F5C">
        <w:rPr>
          <w:rFonts w:ascii="Times New Roman" w:hAnsi="Times New Roman" w:cs="Times New Roman"/>
          <w:sz w:val="24"/>
          <w:szCs w:val="24"/>
        </w:rPr>
        <w:t>, tel: 00 44 (0)1772 894154</w:t>
      </w:r>
    </w:p>
    <w:p w:rsidR="00D63B98" w:rsidRPr="00AD1F5C" w:rsidRDefault="00D32C1A" w:rsidP="00AD1F5C">
      <w:pPr>
        <w:spacing w:before="100" w:beforeAutospacing="1" w:line="360" w:lineRule="auto"/>
        <w:jc w:val="center"/>
        <w:rPr>
          <w:rFonts w:ascii="Times New Roman" w:hAnsi="Times New Roman" w:cs="Times New Roman"/>
          <w:sz w:val="24"/>
          <w:szCs w:val="24"/>
        </w:rPr>
      </w:pPr>
      <w:r w:rsidRPr="00AD1F5C">
        <w:rPr>
          <w:rFonts w:ascii="Times New Roman" w:hAnsi="Times New Roman" w:cs="Times New Roman"/>
          <w:sz w:val="24"/>
          <w:szCs w:val="24"/>
        </w:rPr>
        <w:t>Lauren Metcalfe</w:t>
      </w:r>
    </w:p>
    <w:p w:rsidR="00D63B98" w:rsidRPr="00AD1F5C" w:rsidRDefault="00D63B98" w:rsidP="00AD1F5C">
      <w:pPr>
        <w:spacing w:before="100" w:beforeAutospacing="1" w:line="360" w:lineRule="auto"/>
        <w:jc w:val="center"/>
        <w:rPr>
          <w:rFonts w:ascii="Times New Roman" w:hAnsi="Times New Roman" w:cs="Times New Roman"/>
          <w:sz w:val="24"/>
          <w:szCs w:val="24"/>
        </w:rPr>
      </w:pPr>
      <w:r w:rsidRPr="00AD1F5C">
        <w:rPr>
          <w:rFonts w:ascii="Times New Roman" w:hAnsi="Times New Roman" w:cs="Times New Roman"/>
          <w:sz w:val="24"/>
          <w:szCs w:val="24"/>
        </w:rPr>
        <w:t xml:space="preserve">Policing and Criminal Investigation, </w:t>
      </w:r>
      <w:r w:rsidR="00D32C1A" w:rsidRPr="00AD1F5C">
        <w:rPr>
          <w:rFonts w:ascii="Times New Roman" w:hAnsi="Times New Roman" w:cs="Times New Roman"/>
          <w:sz w:val="24"/>
          <w:szCs w:val="24"/>
        </w:rPr>
        <w:t>School of Forensic and Applied Science</w:t>
      </w:r>
      <w:r w:rsidRPr="00AD1F5C">
        <w:rPr>
          <w:rFonts w:ascii="Times New Roman" w:hAnsi="Times New Roman" w:cs="Times New Roman"/>
          <w:sz w:val="24"/>
          <w:szCs w:val="24"/>
        </w:rPr>
        <w:t>, University of Central Lancashire, Preston, PR1 2HE, email:</w:t>
      </w:r>
      <w:r w:rsidR="00AB25E5" w:rsidRPr="00AD1F5C">
        <w:rPr>
          <w:rFonts w:ascii="Times New Roman" w:hAnsi="Times New Roman" w:cs="Times New Roman"/>
          <w:sz w:val="24"/>
          <w:szCs w:val="24"/>
        </w:rPr>
        <w:t xml:space="preserve"> </w:t>
      </w:r>
      <w:hyperlink r:id="rId9" w:history="1">
        <w:r w:rsidR="00D32C1A" w:rsidRPr="00AD1F5C">
          <w:rPr>
            <w:rStyle w:val="Hyperlink"/>
            <w:rFonts w:ascii="Times New Roman" w:hAnsi="Times New Roman" w:cs="Times New Roman"/>
            <w:sz w:val="24"/>
            <w:szCs w:val="24"/>
          </w:rPr>
          <w:t>LMetcalfe@uclan.ac.uk</w:t>
        </w:r>
      </w:hyperlink>
      <w:r w:rsidR="00AB25E5" w:rsidRPr="00AD1F5C">
        <w:rPr>
          <w:rFonts w:ascii="Times New Roman" w:hAnsi="Times New Roman" w:cs="Times New Roman"/>
          <w:sz w:val="24"/>
          <w:szCs w:val="24"/>
        </w:rPr>
        <w:t xml:space="preserve"> </w:t>
      </w:r>
    </w:p>
    <w:p w:rsidR="00D32C1A" w:rsidRPr="00AD1F5C" w:rsidRDefault="00D32C1A" w:rsidP="00AD1F5C">
      <w:pPr>
        <w:spacing w:before="100" w:beforeAutospacing="1" w:line="360" w:lineRule="auto"/>
        <w:jc w:val="center"/>
        <w:rPr>
          <w:rFonts w:ascii="Times New Roman" w:hAnsi="Times New Roman" w:cs="Times New Roman"/>
          <w:sz w:val="24"/>
          <w:szCs w:val="24"/>
        </w:rPr>
      </w:pPr>
      <w:r w:rsidRPr="00AD1F5C">
        <w:rPr>
          <w:rFonts w:ascii="Times New Roman" w:hAnsi="Times New Roman" w:cs="Times New Roman"/>
          <w:sz w:val="24"/>
          <w:szCs w:val="24"/>
        </w:rPr>
        <w:t>David Brian</w:t>
      </w:r>
    </w:p>
    <w:p w:rsidR="00D32C1A" w:rsidRPr="00AD1F5C" w:rsidRDefault="00D32C1A" w:rsidP="00AD1F5C">
      <w:pPr>
        <w:spacing w:before="100" w:beforeAutospacing="1" w:line="360" w:lineRule="auto"/>
        <w:jc w:val="center"/>
        <w:rPr>
          <w:rFonts w:ascii="Times New Roman" w:hAnsi="Times New Roman" w:cs="Times New Roman"/>
          <w:sz w:val="24"/>
          <w:szCs w:val="24"/>
        </w:rPr>
      </w:pPr>
      <w:r w:rsidRPr="00AD1F5C">
        <w:rPr>
          <w:rFonts w:ascii="Times New Roman" w:hAnsi="Times New Roman" w:cs="Times New Roman"/>
          <w:sz w:val="24"/>
          <w:szCs w:val="24"/>
        </w:rPr>
        <w:t xml:space="preserve">Policing and Criminal Investigation, School of Forensic and Applied Science, University of Central Lancashire, Preston, PR1 2HE, email : </w:t>
      </w:r>
      <w:hyperlink r:id="rId10" w:history="1">
        <w:r w:rsidRPr="00AD1F5C">
          <w:rPr>
            <w:rStyle w:val="Hyperlink"/>
            <w:rFonts w:ascii="Times New Roman" w:hAnsi="Times New Roman" w:cs="Times New Roman"/>
            <w:sz w:val="24"/>
            <w:szCs w:val="24"/>
          </w:rPr>
          <w:t>djbrian@uclan.ac.uk</w:t>
        </w:r>
      </w:hyperlink>
      <w:r w:rsidRPr="00AD1F5C">
        <w:rPr>
          <w:rStyle w:val="Hyperlink"/>
          <w:rFonts w:ascii="Times New Roman" w:hAnsi="Times New Roman" w:cs="Times New Roman"/>
          <w:sz w:val="24"/>
          <w:szCs w:val="24"/>
        </w:rPr>
        <w:t>,</w:t>
      </w:r>
      <w:r w:rsidRPr="00AD1F5C">
        <w:rPr>
          <w:rFonts w:ascii="Times New Roman" w:hAnsi="Times New Roman" w:cs="Times New Roman"/>
          <w:sz w:val="24"/>
          <w:szCs w:val="24"/>
        </w:rPr>
        <w:t xml:space="preserve"> tel: 00 44 (0) 1772 893539</w:t>
      </w:r>
    </w:p>
    <w:p w:rsidR="00F35149" w:rsidRPr="00AD1F5C" w:rsidRDefault="00D32C1A" w:rsidP="00AD1F5C">
      <w:pPr>
        <w:spacing w:before="100" w:beforeAutospacing="1" w:after="100" w:afterAutospacing="1" w:line="360" w:lineRule="auto"/>
        <w:jc w:val="center"/>
        <w:rPr>
          <w:rFonts w:ascii="Times New Roman" w:hAnsi="Times New Roman" w:cs="Times New Roman"/>
          <w:sz w:val="24"/>
          <w:szCs w:val="24"/>
        </w:rPr>
      </w:pPr>
      <w:r w:rsidRPr="00AD1F5C">
        <w:rPr>
          <w:rFonts w:ascii="Times New Roman" w:hAnsi="Times New Roman" w:cs="Times New Roman"/>
          <w:sz w:val="24"/>
          <w:szCs w:val="24"/>
        </w:rPr>
        <w:t>Ian Dawson</w:t>
      </w:r>
    </w:p>
    <w:p w:rsidR="00D32C1A" w:rsidRPr="00AD1F5C" w:rsidRDefault="00D32C1A" w:rsidP="00AD1F5C">
      <w:pPr>
        <w:spacing w:line="360" w:lineRule="auto"/>
        <w:jc w:val="center"/>
        <w:rPr>
          <w:rFonts w:ascii="Times New Roman" w:hAnsi="Times New Roman" w:cs="Times New Roman"/>
          <w:sz w:val="24"/>
          <w:szCs w:val="24"/>
        </w:rPr>
      </w:pPr>
      <w:r w:rsidRPr="00AD1F5C">
        <w:rPr>
          <w:rFonts w:ascii="Times New Roman" w:hAnsi="Times New Roman" w:cs="Times New Roman"/>
          <w:sz w:val="24"/>
          <w:szCs w:val="24"/>
        </w:rPr>
        <w:t xml:space="preserve">T/Superintendent – Head of Corporate Development &amp; Futures, HQ Operations, Lancashire Constabulary | Preston PR4 5SB, email:  </w:t>
      </w:r>
      <w:hyperlink r:id="rId11" w:history="1">
        <w:r w:rsidRPr="00AD1F5C">
          <w:rPr>
            <w:rStyle w:val="Hyperlink"/>
            <w:rFonts w:ascii="Times New Roman" w:hAnsi="Times New Roman" w:cs="Times New Roman"/>
            <w:sz w:val="24"/>
            <w:szCs w:val="24"/>
          </w:rPr>
          <w:t>ian.dawson@lancashire.pnn.police.uk</w:t>
        </w:r>
      </w:hyperlink>
      <w:r w:rsidRPr="00AD1F5C">
        <w:rPr>
          <w:rFonts w:ascii="Times New Roman" w:hAnsi="Times New Roman" w:cs="Times New Roman"/>
          <w:sz w:val="24"/>
          <w:szCs w:val="24"/>
        </w:rPr>
        <w:t xml:space="preserve"> </w:t>
      </w:r>
    </w:p>
    <w:p w:rsidR="00935998" w:rsidRPr="00AD1F5C" w:rsidRDefault="00D32C1A" w:rsidP="00AD1F5C">
      <w:pPr>
        <w:spacing w:line="360" w:lineRule="auto"/>
        <w:jc w:val="center"/>
        <w:rPr>
          <w:rFonts w:ascii="Times New Roman" w:hAnsi="Times New Roman" w:cs="Times New Roman"/>
          <w:sz w:val="24"/>
          <w:szCs w:val="24"/>
        </w:rPr>
      </w:pPr>
      <w:r w:rsidRPr="00AD1F5C">
        <w:rPr>
          <w:rFonts w:ascii="Times New Roman" w:hAnsi="Times New Roman" w:cs="Times New Roman"/>
          <w:sz w:val="24"/>
          <w:szCs w:val="24"/>
        </w:rPr>
        <w:lastRenderedPageBreak/>
        <w:t>Tel: 00 44 (0) 1772 412613</w:t>
      </w:r>
    </w:p>
    <w:p w:rsidR="00574EF3" w:rsidRPr="00AD1F5C" w:rsidRDefault="00574EF3" w:rsidP="00AD1F5C">
      <w:pPr>
        <w:spacing w:after="0" w:line="360" w:lineRule="auto"/>
        <w:rPr>
          <w:rFonts w:ascii="Times New Roman" w:hAnsi="Times New Roman" w:cs="Times New Roman"/>
          <w:b/>
          <w:sz w:val="24"/>
          <w:szCs w:val="24"/>
        </w:rPr>
      </w:pPr>
    </w:p>
    <w:p w:rsidR="00574EF3" w:rsidRPr="00AD1F5C" w:rsidRDefault="00574EF3" w:rsidP="00AD1F5C">
      <w:pPr>
        <w:spacing w:after="0" w:line="360" w:lineRule="auto"/>
        <w:rPr>
          <w:rFonts w:ascii="Times New Roman" w:hAnsi="Times New Roman" w:cs="Times New Roman"/>
          <w:b/>
          <w:sz w:val="24"/>
          <w:szCs w:val="24"/>
        </w:rPr>
      </w:pPr>
    </w:p>
    <w:p w:rsidR="00574EF3" w:rsidRPr="00AD1F5C" w:rsidRDefault="00574EF3" w:rsidP="00AD1F5C">
      <w:pPr>
        <w:spacing w:after="0" w:line="360" w:lineRule="auto"/>
        <w:rPr>
          <w:rFonts w:ascii="Times New Roman" w:hAnsi="Times New Roman" w:cs="Times New Roman"/>
          <w:b/>
          <w:sz w:val="24"/>
          <w:szCs w:val="24"/>
        </w:rPr>
      </w:pPr>
    </w:p>
    <w:p w:rsidR="00574EF3" w:rsidRPr="00AD1F5C" w:rsidRDefault="00574EF3" w:rsidP="00AD1F5C">
      <w:pPr>
        <w:spacing w:after="0" w:line="360" w:lineRule="auto"/>
        <w:rPr>
          <w:rFonts w:ascii="Times New Roman" w:hAnsi="Times New Roman" w:cs="Times New Roman"/>
          <w:b/>
          <w:sz w:val="24"/>
          <w:szCs w:val="24"/>
        </w:rPr>
      </w:pPr>
    </w:p>
    <w:p w:rsidR="00574EF3" w:rsidRPr="00AD1F5C" w:rsidRDefault="00574EF3" w:rsidP="00AD1F5C">
      <w:pPr>
        <w:spacing w:after="0" w:line="360" w:lineRule="auto"/>
        <w:rPr>
          <w:rFonts w:ascii="Times New Roman" w:hAnsi="Times New Roman" w:cs="Times New Roman"/>
          <w:b/>
          <w:sz w:val="24"/>
          <w:szCs w:val="24"/>
        </w:rPr>
      </w:pPr>
    </w:p>
    <w:p w:rsidR="00873664" w:rsidRPr="00AD1F5C" w:rsidRDefault="00873664" w:rsidP="00AD1F5C">
      <w:pPr>
        <w:spacing w:after="0" w:line="360" w:lineRule="auto"/>
        <w:rPr>
          <w:rFonts w:ascii="Times New Roman" w:hAnsi="Times New Roman" w:cs="Times New Roman"/>
          <w:b/>
          <w:sz w:val="24"/>
          <w:szCs w:val="24"/>
        </w:rPr>
      </w:pPr>
      <w:r w:rsidRPr="00AD1F5C">
        <w:rPr>
          <w:rFonts w:ascii="Times New Roman" w:hAnsi="Times New Roman" w:cs="Times New Roman"/>
          <w:b/>
          <w:sz w:val="24"/>
          <w:szCs w:val="24"/>
        </w:rPr>
        <w:t>Author Biographies</w:t>
      </w:r>
    </w:p>
    <w:p w:rsidR="00873664" w:rsidRPr="00AD1F5C" w:rsidRDefault="00873664" w:rsidP="00AD1F5C">
      <w:pPr>
        <w:spacing w:after="0" w:line="360" w:lineRule="auto"/>
        <w:rPr>
          <w:rFonts w:ascii="Times New Roman" w:hAnsi="Times New Roman" w:cs="Times New Roman"/>
          <w:b/>
          <w:sz w:val="24"/>
          <w:szCs w:val="24"/>
        </w:rPr>
      </w:pPr>
    </w:p>
    <w:p w:rsidR="00883554" w:rsidRPr="00AD1F5C" w:rsidRDefault="00883554" w:rsidP="00AD1F5C">
      <w:pPr>
        <w:spacing w:after="0" w:line="360" w:lineRule="auto"/>
        <w:rPr>
          <w:rFonts w:ascii="Times New Roman" w:hAnsi="Times New Roman" w:cs="Times New Roman"/>
          <w:sz w:val="24"/>
          <w:szCs w:val="24"/>
        </w:rPr>
      </w:pPr>
      <w:r w:rsidRPr="00AD1F5C">
        <w:rPr>
          <w:rFonts w:ascii="Times New Roman" w:hAnsi="Times New Roman" w:cs="Times New Roman"/>
          <w:sz w:val="24"/>
          <w:szCs w:val="24"/>
        </w:rPr>
        <w:t>Dr. Laura Boulton</w:t>
      </w:r>
    </w:p>
    <w:p w:rsidR="00883554" w:rsidRPr="00AD1F5C" w:rsidRDefault="00883554" w:rsidP="00AD1F5C">
      <w:pPr>
        <w:spacing w:line="360" w:lineRule="auto"/>
        <w:rPr>
          <w:rFonts w:ascii="Times New Roman" w:hAnsi="Times New Roman" w:cs="Times New Roman"/>
          <w:sz w:val="24"/>
          <w:szCs w:val="24"/>
        </w:rPr>
      </w:pPr>
      <w:r w:rsidRPr="00AD1F5C">
        <w:rPr>
          <w:rFonts w:ascii="Times New Roman" w:hAnsi="Times New Roman" w:cs="Times New Roman"/>
          <w:sz w:val="24"/>
          <w:szCs w:val="24"/>
        </w:rPr>
        <w:t>Laura is a Lecturer in Policing at University of Central Lancashire (UCLan). She completed her PhD in 2014 exploring how expertise, cognitive executive functioning, neuropsychology and human factors influence the decision making of Authorised Firearms Officers in order to develop a model of decision making during armed confrontations. Providing an evidence base that can be practically utilised by Police practitioners to impact change in practice was the underlying motivation for this research. Throughout her PhD she worked in collaboration with Merseyside Police, North West Ambulance Service and Merseyside Fire and Rescue Service. She now lectures on Master’s Degree programmes at UCLAN.</w:t>
      </w:r>
    </w:p>
    <w:p w:rsidR="00883554" w:rsidRPr="00AD1F5C" w:rsidRDefault="00883554" w:rsidP="00AD1F5C">
      <w:pPr>
        <w:spacing w:after="0" w:line="360" w:lineRule="auto"/>
        <w:rPr>
          <w:rFonts w:ascii="Times New Roman" w:hAnsi="Times New Roman" w:cs="Times New Roman"/>
          <w:sz w:val="24"/>
          <w:szCs w:val="24"/>
        </w:rPr>
      </w:pPr>
      <w:r w:rsidRPr="00AD1F5C">
        <w:rPr>
          <w:rFonts w:ascii="Times New Roman" w:hAnsi="Times New Roman" w:cs="Times New Roman"/>
          <w:sz w:val="24"/>
          <w:szCs w:val="24"/>
        </w:rPr>
        <w:t>Dr. Michelle McManus</w:t>
      </w:r>
    </w:p>
    <w:p w:rsidR="00883554" w:rsidRPr="00AD1F5C" w:rsidRDefault="00883554" w:rsidP="00AD1F5C">
      <w:pPr>
        <w:spacing w:after="0" w:line="360" w:lineRule="auto"/>
        <w:rPr>
          <w:rFonts w:ascii="Times New Roman" w:hAnsi="Times New Roman" w:cs="Times New Roman"/>
          <w:sz w:val="24"/>
          <w:szCs w:val="24"/>
        </w:rPr>
      </w:pPr>
      <w:r w:rsidRPr="00AD1F5C">
        <w:rPr>
          <w:rFonts w:ascii="Times New Roman" w:hAnsi="Times New Roman" w:cs="Times New Roman"/>
          <w:sz w:val="24"/>
          <w:szCs w:val="24"/>
        </w:rPr>
        <w:t xml:space="preserve">Senior Lecturer at University of Central Lancashire (UCLan). Completed her PhD in 2012 exploring risk factors for child sexual abuse within indecent image of children offending. Her doctoral research assisted with the creation of KIRAT (Kent Internet Risk Assessment Tool), a risk management tool for use by the police to assess the risk of contact abuse in those individuals accessing indecent images of children. This was rolled out for national use by CEOP in 2012. Due to the number of domestic abuse research projects completed with various constabularies across the UK, Dr. McManus sits on various </w:t>
      </w:r>
      <w:r w:rsidRPr="00AD1F5C">
        <w:rPr>
          <w:rFonts w:ascii="Times New Roman" w:hAnsi="Times New Roman" w:cs="Times New Roman"/>
          <w:sz w:val="24"/>
          <w:szCs w:val="24"/>
        </w:rPr>
        <w:lastRenderedPageBreak/>
        <w:t>groups such as: College of Policing Domestic Abuse Risk Assessment Task Force Group, Homicide Working Group Child Death Subgroup and Lancashire Evidenced Based Research Group. She is also Director of Studies for 3 PhD students exploring various aspects of Domestic Abuse.</w:t>
      </w:r>
    </w:p>
    <w:p w:rsidR="00883554" w:rsidRPr="00AD1F5C" w:rsidRDefault="00883554" w:rsidP="00AD1F5C">
      <w:pPr>
        <w:spacing w:after="0" w:line="360" w:lineRule="auto"/>
        <w:rPr>
          <w:rFonts w:ascii="Times New Roman" w:hAnsi="Times New Roman" w:cs="Times New Roman"/>
          <w:sz w:val="24"/>
          <w:szCs w:val="24"/>
        </w:rPr>
      </w:pPr>
    </w:p>
    <w:p w:rsidR="00873664" w:rsidRPr="00D73DD6" w:rsidRDefault="00CB72AC" w:rsidP="00D73DD6">
      <w:pPr>
        <w:spacing w:after="0" w:line="360" w:lineRule="auto"/>
        <w:rPr>
          <w:rFonts w:ascii="Times New Roman" w:hAnsi="Times New Roman" w:cs="Times New Roman"/>
          <w:sz w:val="24"/>
          <w:szCs w:val="24"/>
        </w:rPr>
      </w:pPr>
      <w:r w:rsidRPr="00D73DD6">
        <w:rPr>
          <w:rFonts w:ascii="Times New Roman" w:hAnsi="Times New Roman" w:cs="Times New Roman"/>
          <w:sz w:val="24"/>
          <w:szCs w:val="24"/>
        </w:rPr>
        <w:t>Lauren Metcalfe</w:t>
      </w:r>
    </w:p>
    <w:p w:rsidR="00D73DD6" w:rsidRPr="00D73DD6" w:rsidRDefault="00D73DD6" w:rsidP="00D73DD6">
      <w:pPr>
        <w:pStyle w:val="NormalWeb"/>
        <w:shd w:val="clear" w:color="auto" w:fill="FFFFFF"/>
        <w:spacing w:after="200" w:line="360" w:lineRule="auto"/>
        <w:rPr>
          <w:color w:val="000000"/>
        </w:rPr>
      </w:pPr>
      <w:r w:rsidRPr="00D73DD6">
        <w:rPr>
          <w:color w:val="000000"/>
        </w:rPr>
        <w:t xml:space="preserve">Having studied in the field of policing for the past 7 years, Lauren has enthusiastically worked to undertake and promote Evidence Based Policing research.  Lauren is currently submitting her PhD thesis surrounding the nature of gang related gun crime in Preston, Lancashire; assessing the complexities of the issue, profiling the individuals involved and working towards more effective preventative measures for the future.  With the intention for the project having real world impact, she has collaborated with various organisations throughout the PhD, including Lancashire Constabulary and Lancashire Probation Service, to implement projects designed to assist in deterring such types of crime. </w:t>
      </w:r>
    </w:p>
    <w:p w:rsidR="00CB72AC" w:rsidRPr="00AD1F5C" w:rsidRDefault="00CB72AC" w:rsidP="00AD1F5C">
      <w:pPr>
        <w:spacing w:after="0" w:line="360" w:lineRule="auto"/>
        <w:rPr>
          <w:rFonts w:ascii="Times New Roman" w:hAnsi="Times New Roman" w:cs="Times New Roman"/>
          <w:sz w:val="24"/>
          <w:szCs w:val="24"/>
        </w:rPr>
      </w:pPr>
    </w:p>
    <w:p w:rsidR="00883554" w:rsidRPr="00AD1F5C" w:rsidRDefault="00883554" w:rsidP="00AD1F5C">
      <w:pPr>
        <w:spacing w:after="0" w:line="360" w:lineRule="auto"/>
        <w:rPr>
          <w:rFonts w:ascii="Times New Roman" w:hAnsi="Times New Roman" w:cs="Times New Roman"/>
          <w:sz w:val="24"/>
          <w:szCs w:val="24"/>
        </w:rPr>
      </w:pPr>
      <w:r w:rsidRPr="00AD1F5C">
        <w:rPr>
          <w:rFonts w:ascii="Times New Roman" w:hAnsi="Times New Roman" w:cs="Times New Roman"/>
          <w:sz w:val="24"/>
          <w:szCs w:val="24"/>
        </w:rPr>
        <w:t>David Brian</w:t>
      </w:r>
    </w:p>
    <w:p w:rsidR="00883554" w:rsidRPr="00AD1F5C" w:rsidRDefault="00883554" w:rsidP="00AD1F5C">
      <w:pPr>
        <w:spacing w:after="0" w:line="360" w:lineRule="auto"/>
        <w:rPr>
          <w:rFonts w:ascii="Times New Roman" w:hAnsi="Times New Roman" w:cs="Times New Roman"/>
          <w:sz w:val="24"/>
          <w:szCs w:val="24"/>
        </w:rPr>
      </w:pPr>
      <w:r w:rsidRPr="00AD1F5C">
        <w:rPr>
          <w:rFonts w:ascii="Times New Roman" w:hAnsi="Times New Roman" w:cs="Times New Roman"/>
          <w:sz w:val="24"/>
          <w:szCs w:val="24"/>
        </w:rPr>
        <w:t>Dave is a Lecturer at the University of Central Lancashire (UCLan).  Dave was a police officer for 30years reaching the Rank of Detective Superintendent. He now lectures on Master’s Degree programmes at UCLAN and as an invited speaker at other universities. Dave is currently studying for a Professional Doctorate in Elite Performance and is a researcher in the field of policing and acts a supervisor to a number of Phd students undertaking research into multi agency working, domestic abuse, the protection of vulnerable people and early action, sexual consent and public engagement with police services.</w:t>
      </w:r>
    </w:p>
    <w:p w:rsidR="00D05FFB" w:rsidRDefault="00D05FFB" w:rsidP="006A6DC0">
      <w:pPr>
        <w:spacing w:after="0" w:line="360" w:lineRule="auto"/>
        <w:rPr>
          <w:rFonts w:ascii="Times New Roman" w:hAnsi="Times New Roman" w:cs="Times New Roman"/>
          <w:sz w:val="24"/>
          <w:szCs w:val="24"/>
        </w:rPr>
      </w:pPr>
    </w:p>
    <w:p w:rsidR="00CB72AC" w:rsidRPr="006A6DC0" w:rsidRDefault="00CB72AC" w:rsidP="006A6DC0">
      <w:pPr>
        <w:spacing w:after="0" w:line="360" w:lineRule="auto"/>
        <w:rPr>
          <w:rFonts w:ascii="Times New Roman" w:hAnsi="Times New Roman" w:cs="Times New Roman"/>
          <w:sz w:val="24"/>
          <w:szCs w:val="24"/>
        </w:rPr>
      </w:pPr>
      <w:r w:rsidRPr="006A6DC0">
        <w:rPr>
          <w:rFonts w:ascii="Times New Roman" w:hAnsi="Times New Roman" w:cs="Times New Roman"/>
          <w:sz w:val="24"/>
          <w:szCs w:val="24"/>
        </w:rPr>
        <w:t>Ian Dawson</w:t>
      </w:r>
    </w:p>
    <w:p w:rsidR="00883554" w:rsidRPr="006A6DC0" w:rsidRDefault="006A6DC0" w:rsidP="006A6DC0">
      <w:pPr>
        <w:autoSpaceDE w:val="0"/>
        <w:autoSpaceDN w:val="0"/>
        <w:adjustRightInd w:val="0"/>
        <w:spacing w:after="0" w:line="360" w:lineRule="auto"/>
        <w:jc w:val="both"/>
        <w:rPr>
          <w:rFonts w:ascii="Times New Roman" w:eastAsia="Times New Roman" w:hAnsi="Times New Roman" w:cs="Times New Roman"/>
          <w:b/>
          <w:bCs/>
          <w:sz w:val="24"/>
          <w:szCs w:val="24"/>
        </w:rPr>
      </w:pPr>
      <w:r w:rsidRPr="006A6DC0">
        <w:rPr>
          <w:rFonts w:ascii="Times New Roman" w:hAnsi="Times New Roman" w:cs="Times New Roman"/>
          <w:sz w:val="24"/>
          <w:szCs w:val="24"/>
        </w:rPr>
        <w:lastRenderedPageBreak/>
        <w:t>Ian is a Temporary Superintendent in Lancashire Constabulary. He has been a Police Officer for 23 years and developed the Constabulary’s approach to Evidence Based Policing which over the last 5 years has developed and delivered over 40 research projects, the majority of which have been in partnership with UCLan. As Head of Corporate Development and Futures Ian now leads on Evidence Based Policing for the Constabulary. The Constabulary also collaborates as part of Consortiums with Liverpool University, the N8 group of Universities and the Open University and has supported funding awards in excess of £6 million for Policing research. Ian has also acquired European Union funding for Domestic Abuse victim research. He is currently studying for a M.St. in Criminology and Police Management at Cambridge University</w:t>
      </w: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CB72AC" w:rsidRPr="00AD1F5C" w:rsidRDefault="00CB72AC"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b/>
          <w:bCs/>
          <w:color w:val="000000"/>
          <w:sz w:val="24"/>
          <w:szCs w:val="24"/>
        </w:rPr>
      </w:pPr>
      <w:r w:rsidRPr="00AD1F5C">
        <w:rPr>
          <w:rFonts w:ascii="Times New Roman" w:eastAsia="Times New Roman" w:hAnsi="Times New Roman" w:cs="Times New Roman"/>
          <w:b/>
          <w:bCs/>
          <w:color w:val="000000"/>
          <w:sz w:val="24"/>
          <w:szCs w:val="24"/>
        </w:rPr>
        <w:t>Abstract</w:t>
      </w: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D1F5C">
        <w:rPr>
          <w:rFonts w:ascii="Times New Roman" w:eastAsia="Times New Roman" w:hAnsi="Times New Roman" w:cs="Times New Roman"/>
          <w:b/>
          <w:bCs/>
          <w:color w:val="000000"/>
          <w:sz w:val="24"/>
          <w:szCs w:val="24"/>
        </w:rPr>
        <w:lastRenderedPageBreak/>
        <w:t xml:space="preserve">Purpose </w:t>
      </w:r>
      <w:r w:rsidRPr="00AD1F5C">
        <w:rPr>
          <w:rFonts w:ascii="Times New Roman" w:eastAsia="Times New Roman" w:hAnsi="Times New Roman" w:cs="Times New Roman"/>
          <w:color w:val="000000"/>
          <w:sz w:val="24"/>
          <w:szCs w:val="24"/>
        </w:rPr>
        <w:t>– The purpose of this research paper is to identify and understand the demand profile of a division of Lancashire Police Constabulary in order to assist Police administrators in the evaluation of demand and understanding of Policing response.</w:t>
      </w: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D1F5C">
        <w:rPr>
          <w:rFonts w:ascii="Times New Roman" w:eastAsia="Times New Roman" w:hAnsi="Times New Roman" w:cs="Times New Roman"/>
          <w:b/>
          <w:bCs/>
          <w:color w:val="000000"/>
          <w:sz w:val="24"/>
          <w:szCs w:val="24"/>
        </w:rPr>
        <w:t xml:space="preserve">Design/methodology/approach </w:t>
      </w:r>
      <w:r w:rsidRPr="00AD1F5C">
        <w:rPr>
          <w:rFonts w:ascii="Times New Roman" w:eastAsia="Times New Roman" w:hAnsi="Times New Roman" w:cs="Times New Roman"/>
          <w:color w:val="000000"/>
          <w:sz w:val="24"/>
          <w:szCs w:val="24"/>
        </w:rPr>
        <w:t>– Police data records regarding all offences within the</w:t>
      </w: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D1F5C">
        <w:rPr>
          <w:rFonts w:ascii="Times New Roman" w:eastAsia="Times New Roman" w:hAnsi="Times New Roman" w:cs="Times New Roman"/>
          <w:color w:val="000000"/>
          <w:sz w:val="24"/>
          <w:szCs w:val="24"/>
        </w:rPr>
        <w:t>Central Division of Lancashire Police Constabulary over the year of 2013 were examined. Descriptive statistics were used to identify the top ten demand addresses in five categories (residential, statutory bodies, retail, nightlife, and young people’s services), and the incident classifications, time frames and response codes that were most associated with these addresses. Further content analysis was conducted on the top ten residential addresses in order to identify specific characteristics of residential demand.</w:t>
      </w: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D1F5C">
        <w:rPr>
          <w:rFonts w:ascii="Times New Roman" w:eastAsia="Times New Roman" w:hAnsi="Times New Roman" w:cs="Times New Roman"/>
          <w:b/>
          <w:bCs/>
          <w:color w:val="000000"/>
          <w:sz w:val="24"/>
          <w:szCs w:val="24"/>
        </w:rPr>
        <w:t xml:space="preserve">Findings </w:t>
      </w:r>
      <w:r w:rsidRPr="00AD1F5C">
        <w:rPr>
          <w:rFonts w:ascii="Times New Roman" w:eastAsia="Times New Roman" w:hAnsi="Times New Roman" w:cs="Times New Roman"/>
          <w:color w:val="000000"/>
          <w:sz w:val="24"/>
          <w:szCs w:val="24"/>
        </w:rPr>
        <w:t>- The majority of Lancashire Constabulary resources are being spent dealing with non-traditional police demand. The most demanding residents were found to have one or more of the following properties; (i) to be of white – Northern European origin, (ii) to be unemployed, (iii) to be associated with mental health issues, domestic violence incidents or substance abuse, and (iv) to have previously had other agency involvement.</w:t>
      </w: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D1F5C">
        <w:rPr>
          <w:rFonts w:ascii="Times New Roman" w:eastAsia="Times New Roman" w:hAnsi="Times New Roman" w:cs="Times New Roman"/>
          <w:b/>
          <w:bCs/>
          <w:color w:val="000000"/>
          <w:sz w:val="24"/>
          <w:szCs w:val="24"/>
        </w:rPr>
        <w:t xml:space="preserve">Practical Implications </w:t>
      </w:r>
      <w:r w:rsidRPr="00AD1F5C">
        <w:rPr>
          <w:rFonts w:ascii="Times New Roman" w:eastAsia="Times New Roman" w:hAnsi="Times New Roman" w:cs="Times New Roman"/>
          <w:color w:val="000000"/>
          <w:sz w:val="24"/>
          <w:szCs w:val="24"/>
        </w:rPr>
        <w:t>- These results indicate that the police could potentially reduce the demand for service by enhancing work within two key areas; partnership working and early intervention.</w:t>
      </w: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D1F5C">
        <w:rPr>
          <w:rFonts w:ascii="Times New Roman" w:eastAsia="Times New Roman" w:hAnsi="Times New Roman" w:cs="Times New Roman"/>
          <w:b/>
          <w:bCs/>
          <w:color w:val="000000"/>
          <w:sz w:val="24"/>
          <w:szCs w:val="24"/>
        </w:rPr>
        <w:t xml:space="preserve">Originality/value </w:t>
      </w:r>
      <w:r w:rsidRPr="00AD1F5C">
        <w:rPr>
          <w:rFonts w:ascii="Times New Roman" w:eastAsia="Times New Roman" w:hAnsi="Times New Roman" w:cs="Times New Roman"/>
          <w:color w:val="000000"/>
          <w:sz w:val="24"/>
          <w:szCs w:val="24"/>
        </w:rPr>
        <w:t>– In this time of austerity and police budget cuts, it is important to understand the demand on the UK police service in an attempt to reduce it.</w:t>
      </w: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D1F5C">
        <w:rPr>
          <w:rFonts w:ascii="Times New Roman" w:eastAsia="Times New Roman" w:hAnsi="Times New Roman" w:cs="Times New Roman"/>
          <w:b/>
          <w:bCs/>
          <w:color w:val="000000"/>
          <w:sz w:val="24"/>
          <w:szCs w:val="24"/>
        </w:rPr>
        <w:t xml:space="preserve">Keywords </w:t>
      </w:r>
      <w:r w:rsidRPr="00AD1F5C">
        <w:rPr>
          <w:rFonts w:ascii="Times New Roman" w:eastAsia="Times New Roman" w:hAnsi="Times New Roman" w:cs="Times New Roman"/>
          <w:color w:val="000000"/>
          <w:sz w:val="24"/>
          <w:szCs w:val="24"/>
        </w:rPr>
        <w:t>– UK; police; mixed methods; demand; resource management; partnership working; early intervention.</w:t>
      </w:r>
    </w:p>
    <w:p w:rsidR="00614FDD" w:rsidRPr="00AD1F5C" w:rsidRDefault="00614FDD" w:rsidP="00AD1F5C">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D1F5C">
        <w:rPr>
          <w:rFonts w:ascii="Times New Roman" w:eastAsia="Times New Roman" w:hAnsi="Times New Roman" w:cs="Times New Roman"/>
          <w:b/>
          <w:bCs/>
          <w:color w:val="000000"/>
          <w:sz w:val="24"/>
          <w:szCs w:val="24"/>
        </w:rPr>
        <w:t xml:space="preserve">Paper type </w:t>
      </w:r>
      <w:r w:rsidRPr="00AD1F5C">
        <w:rPr>
          <w:rFonts w:ascii="Times New Roman" w:eastAsia="Times New Roman" w:hAnsi="Times New Roman" w:cs="Times New Roman"/>
          <w:color w:val="000000"/>
          <w:sz w:val="24"/>
          <w:szCs w:val="24"/>
        </w:rPr>
        <w:t>– Research paper</w:t>
      </w:r>
    </w:p>
    <w:p w:rsidR="00614FDD" w:rsidRDefault="00614FDD" w:rsidP="00AD1F5C">
      <w:pPr>
        <w:spacing w:line="360" w:lineRule="auto"/>
        <w:jc w:val="center"/>
        <w:rPr>
          <w:rFonts w:ascii="Times New Roman" w:hAnsi="Times New Roman" w:cs="Times New Roman"/>
          <w:sz w:val="24"/>
          <w:szCs w:val="24"/>
        </w:rPr>
      </w:pPr>
    </w:p>
    <w:p w:rsidR="001769A6" w:rsidRDefault="001769A6" w:rsidP="00AD1F5C">
      <w:pPr>
        <w:spacing w:line="360" w:lineRule="auto"/>
        <w:jc w:val="center"/>
        <w:rPr>
          <w:rFonts w:ascii="Times New Roman" w:hAnsi="Times New Roman" w:cs="Times New Roman"/>
          <w:sz w:val="24"/>
          <w:szCs w:val="24"/>
        </w:rPr>
      </w:pPr>
    </w:p>
    <w:p w:rsidR="001769A6" w:rsidRDefault="001769A6" w:rsidP="00AD1F5C">
      <w:pPr>
        <w:spacing w:line="360" w:lineRule="auto"/>
        <w:jc w:val="center"/>
        <w:rPr>
          <w:rFonts w:ascii="Times New Roman" w:hAnsi="Times New Roman" w:cs="Times New Roman"/>
          <w:sz w:val="24"/>
          <w:szCs w:val="24"/>
        </w:rPr>
      </w:pPr>
    </w:p>
    <w:p w:rsidR="001769A6" w:rsidRDefault="001769A6" w:rsidP="00AD1F5C">
      <w:pPr>
        <w:spacing w:line="360" w:lineRule="auto"/>
        <w:jc w:val="center"/>
        <w:rPr>
          <w:rFonts w:ascii="Times New Roman" w:hAnsi="Times New Roman" w:cs="Times New Roman"/>
          <w:sz w:val="24"/>
          <w:szCs w:val="24"/>
        </w:rPr>
      </w:pPr>
    </w:p>
    <w:p w:rsidR="001769A6" w:rsidRDefault="001769A6" w:rsidP="00AD1F5C">
      <w:pPr>
        <w:spacing w:line="360" w:lineRule="auto"/>
        <w:jc w:val="center"/>
        <w:rPr>
          <w:rFonts w:ascii="Times New Roman" w:hAnsi="Times New Roman" w:cs="Times New Roman"/>
          <w:sz w:val="24"/>
          <w:szCs w:val="24"/>
        </w:rPr>
      </w:pPr>
    </w:p>
    <w:p w:rsidR="001769A6" w:rsidRDefault="001769A6" w:rsidP="00AD1F5C">
      <w:pPr>
        <w:spacing w:line="360" w:lineRule="auto"/>
        <w:jc w:val="center"/>
        <w:rPr>
          <w:rFonts w:ascii="Times New Roman" w:hAnsi="Times New Roman" w:cs="Times New Roman"/>
          <w:sz w:val="24"/>
          <w:szCs w:val="24"/>
        </w:rPr>
      </w:pPr>
    </w:p>
    <w:p w:rsidR="001769A6" w:rsidRDefault="001769A6" w:rsidP="00AD1F5C">
      <w:pPr>
        <w:spacing w:line="360" w:lineRule="auto"/>
        <w:jc w:val="center"/>
        <w:rPr>
          <w:rFonts w:ascii="Times New Roman" w:hAnsi="Times New Roman" w:cs="Times New Roman"/>
          <w:sz w:val="24"/>
          <w:szCs w:val="24"/>
        </w:rPr>
      </w:pP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b/>
          <w:bCs/>
          <w:color w:val="000000"/>
          <w:sz w:val="24"/>
          <w:szCs w:val="24"/>
        </w:rPr>
        <w:t>Introduction</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 xml:space="preserve">As a result of cuts to the police funding budget (HMIC, 2013), police administrators need to achieve a balance between reducing cost and maintenance of service quality whilst meeting service demands (Taylor Griffiths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2014). Achieving such a balance is challenged by the polices expanding responsibilities, i.e. new roles in community policing, security, and emerging crimes such as cyber enabled crime, (College of Policing, 2015). Therefore, in order to strike an appropriate balance between competing priorities and tight budget constraints, police forces are seeking to identify major resource consumers in order to understand how they can be addressed to re</w:t>
      </w:r>
      <w:r>
        <w:rPr>
          <w:rFonts w:ascii="Times New Roman" w:hAnsi="Times New Roman" w:cs="Times New Roman"/>
          <w:color w:val="000000"/>
          <w:sz w:val="24"/>
          <w:szCs w:val="24"/>
        </w:rPr>
        <w:t>duce the strain on the service.</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Traditionally, reported crime statistics have served as a basis for police resource management analyses as a measure of worklo</w:t>
      </w:r>
      <w:r>
        <w:rPr>
          <w:rFonts w:ascii="Times New Roman" w:hAnsi="Times New Roman" w:cs="Times New Roman"/>
          <w:color w:val="000000"/>
          <w:sz w:val="24"/>
          <w:szCs w:val="24"/>
        </w:rPr>
        <w:t xml:space="preserve">ad (Wilson, 2012). </w:t>
      </w:r>
      <w:r w:rsidRPr="00E212E7">
        <w:rPr>
          <w:rFonts w:ascii="Times New Roman" w:hAnsi="Times New Roman" w:cs="Times New Roman"/>
          <w:color w:val="000000"/>
          <w:sz w:val="24"/>
          <w:szCs w:val="24"/>
        </w:rPr>
        <w:t>However</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recently, the College of Policing (2015) have reported that forces feel that the use of reported crime statistics in this way is inadequate: such statistics only reflect what is commonly referred to as ‘traditional police business’ (typically associated with criminal offences and could rarely be solved by other agencies) and fail to consider that the ever increasing level of ‘non-traditional police business’ being dealt with by officers on a daily basis is also likely affect demand (Wilson, 2012). Despite evidence to suggest that crime has been decreasing since 1995 and that calls for police service received through the emergency ‘999’ number has decreased by 23% since their </w:t>
      </w:r>
      <w:r w:rsidRPr="00E212E7">
        <w:rPr>
          <w:rFonts w:ascii="Times New Roman" w:hAnsi="Times New Roman" w:cs="Times New Roman"/>
          <w:color w:val="000000"/>
          <w:sz w:val="24"/>
          <w:szCs w:val="24"/>
        </w:rPr>
        <w:lastRenderedPageBreak/>
        <w:t>peak in 2006/7, there is a widespread perception across UK forces that the demand on officers and staff has been, at least, maintained (College of Policing, 2015). This effect may reflect a combination of the increase in certain serious and complex crime types (i.e. violence against the person, shoplifting, sexual offense, fraud and public order), the high number of convictions (nearly 1 million) and penalty notices (34,000) issued for non-notifiable offences, and the 14% (35,000) reduction in Police officers and staff in 2014 (College of Policing, 2015). Nonetheless, there have been few empirical studies that can fully account for and describe the current public demand profile on the UK police service.</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 xml:space="preserve">Previous research that has examined citizen demand for police services has typically found that the majority of police calls (between 80% - 90%) </w:t>
      </w:r>
      <w:r>
        <w:rPr>
          <w:rFonts w:ascii="Times New Roman" w:hAnsi="Times New Roman" w:cs="Times New Roman"/>
          <w:color w:val="000000"/>
          <w:sz w:val="24"/>
          <w:szCs w:val="24"/>
        </w:rPr>
        <w:t>were</w:t>
      </w:r>
      <w:r w:rsidRPr="00E212E7">
        <w:rPr>
          <w:rFonts w:ascii="Times New Roman" w:hAnsi="Times New Roman" w:cs="Times New Roman"/>
          <w:color w:val="000000"/>
          <w:sz w:val="24"/>
          <w:szCs w:val="24"/>
        </w:rPr>
        <w:t xml:space="preserve"> not directly related to crime prevention or control, but instead involve</w:t>
      </w:r>
      <w:r>
        <w:rPr>
          <w:rFonts w:ascii="Times New Roman" w:hAnsi="Times New Roman" w:cs="Times New Roman"/>
          <w:color w:val="000000"/>
          <w:sz w:val="24"/>
          <w:szCs w:val="24"/>
        </w:rPr>
        <w:t>d</w:t>
      </w:r>
      <w:r w:rsidRPr="00E212E7">
        <w:rPr>
          <w:rFonts w:ascii="Times New Roman" w:hAnsi="Times New Roman" w:cs="Times New Roman"/>
          <w:color w:val="000000"/>
          <w:sz w:val="24"/>
          <w:szCs w:val="24"/>
        </w:rPr>
        <w:t xml:space="preserve"> resolving disputes, noncriminal behaviour complaints and requesting public service assistance (Hill and Paynich, 2014; Johnson and Rhodes, 2009). </w:t>
      </w:r>
      <w:r>
        <w:rPr>
          <w:rFonts w:ascii="Times New Roman" w:hAnsi="Times New Roman" w:cs="Times New Roman"/>
          <w:color w:val="000000"/>
          <w:sz w:val="24"/>
          <w:szCs w:val="24"/>
        </w:rPr>
        <w:t xml:space="preserve">However, whilst this statistic is strongly supported, it is important to consider the context of these calls. Her Majesty’s Inspectorate of the Constabulary (2012) state that despite not currently being classed as crime fighting activity, at least 80% of the officers time is spent dealing with incidents that involve protecting people from becoming victims of crime or to prevent crimes occurring.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Supporting this, the College o</w:t>
      </w:r>
      <w:r>
        <w:rPr>
          <w:rFonts w:ascii="Times New Roman" w:hAnsi="Times New Roman" w:cs="Times New Roman"/>
          <w:color w:val="000000"/>
          <w:sz w:val="24"/>
          <w:szCs w:val="24"/>
        </w:rPr>
        <w:t xml:space="preserve">f Policing (2015) have recently </w:t>
      </w:r>
      <w:r w:rsidRPr="00E212E7">
        <w:rPr>
          <w:rFonts w:ascii="Times New Roman" w:hAnsi="Times New Roman" w:cs="Times New Roman"/>
          <w:color w:val="000000"/>
          <w:sz w:val="24"/>
          <w:szCs w:val="24"/>
        </w:rPr>
        <w:t>reported that the demand generated by public safety and welfare incidents is increasing, and within some forces represents the largest number of reported incidents. This suggests that there have been significant changes in the basic focus of policing from conventional reactive policing (i.e. crime detection and control, order maintenance, registering and investigating crime, patrolling and responding to emergency calls) to proactive community policing (</w:t>
      </w:r>
      <w:r>
        <w:rPr>
          <w:rFonts w:ascii="Times New Roman" w:hAnsi="Times New Roman" w:cs="Times New Roman"/>
          <w:color w:val="000000"/>
          <w:sz w:val="24"/>
          <w:szCs w:val="24"/>
        </w:rPr>
        <w:t xml:space="preserve">HMIC, 2012; </w:t>
      </w:r>
      <w:r w:rsidRPr="00E212E7">
        <w:rPr>
          <w:rFonts w:ascii="Times New Roman" w:hAnsi="Times New Roman" w:cs="Times New Roman"/>
          <w:color w:val="000000"/>
          <w:sz w:val="24"/>
          <w:szCs w:val="24"/>
        </w:rPr>
        <w:t xml:space="preserve">Vinod Kumar, 2014). </w:t>
      </w:r>
      <w:r w:rsidRPr="00E212E7">
        <w:rPr>
          <w:rFonts w:ascii="Times New Roman" w:hAnsi="Times New Roman" w:cs="Times New Roman"/>
          <w:color w:val="000000"/>
          <w:sz w:val="24"/>
          <w:szCs w:val="24"/>
        </w:rPr>
        <w:lastRenderedPageBreak/>
        <w:t xml:space="preserve">Based on the theoretical framework of the Broken Windows theory (Wilson and Kelling, 1982), community policing seeks to address minor offences in order to prevent more serious offences and violent crime occurring (Srinivasan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xml:space="preserve">, 2013).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preventative community policing approach is said to be critical because it reduces crime and the demands that go with it (HMIC, 2012). </w:t>
      </w:r>
      <w:r w:rsidRPr="00E212E7">
        <w:rPr>
          <w:rFonts w:ascii="Times New Roman" w:hAnsi="Times New Roman" w:cs="Times New Roman"/>
          <w:color w:val="000000"/>
          <w:sz w:val="24"/>
          <w:szCs w:val="24"/>
        </w:rPr>
        <w:t>However, whilst reduced rates of property crime (Caudill</w:t>
      </w:r>
      <w:r>
        <w:rPr>
          <w:rFonts w:ascii="Times New Roman" w:hAnsi="Times New Roman" w:cs="Times New Roman"/>
          <w:color w:val="000000"/>
          <w:sz w:val="24"/>
          <w:szCs w:val="24"/>
        </w:rPr>
        <w:t xml:space="preserve">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xml:space="preserve">, 2013) and violent crime (Ratcliffe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2011) provides evidence to support the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prioritisation of proactive community policing (Worrall and Kovandzic, 2010), doing so also</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requires additional police resources at a greater cost (College of Policing, 2015Vinod Kumar, 2014</w:t>
      </w:r>
      <w:r>
        <w:rPr>
          <w:rFonts w:ascii="Times New Roman" w:hAnsi="Times New Roman" w:cs="Times New Roman"/>
          <w:color w:val="000000"/>
          <w:sz w:val="24"/>
          <w:szCs w:val="24"/>
        </w:rPr>
        <w:t xml:space="preserve">). </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i/>
          <w:iCs/>
          <w:color w:val="000000"/>
          <w:sz w:val="24"/>
          <w:szCs w:val="24"/>
        </w:rPr>
        <w:t>Repeat and/or demanding callers</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The ‘iron law of troublesome places’ claims that a small propor</w:t>
      </w:r>
      <w:r>
        <w:rPr>
          <w:rFonts w:ascii="Times New Roman" w:hAnsi="Times New Roman" w:cs="Times New Roman"/>
          <w:color w:val="000000"/>
          <w:sz w:val="24"/>
          <w:szCs w:val="24"/>
        </w:rPr>
        <w:t xml:space="preserve">tion of locations are likely to </w:t>
      </w:r>
      <w:r w:rsidRPr="00E212E7">
        <w:rPr>
          <w:rFonts w:ascii="Times New Roman" w:hAnsi="Times New Roman" w:cs="Times New Roman"/>
          <w:color w:val="000000"/>
          <w:sz w:val="24"/>
          <w:szCs w:val="24"/>
        </w:rPr>
        <w:t xml:space="preserve">account for the majority of reported incidents of crime and disorder (Bichler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2013;</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Wilcox and Eck, 2011). For instance, a minority of patients have been found to account f</w:t>
      </w:r>
      <w:r>
        <w:rPr>
          <w:rFonts w:ascii="Times New Roman" w:hAnsi="Times New Roman" w:cs="Times New Roman"/>
          <w:color w:val="000000"/>
          <w:sz w:val="24"/>
          <w:szCs w:val="24"/>
        </w:rPr>
        <w:t xml:space="preserve">or </w:t>
      </w:r>
      <w:r w:rsidRPr="00E212E7">
        <w:rPr>
          <w:rFonts w:ascii="Times New Roman" w:hAnsi="Times New Roman" w:cs="Times New Roman"/>
          <w:color w:val="000000"/>
          <w:sz w:val="24"/>
          <w:szCs w:val="24"/>
        </w:rPr>
        <w:t xml:space="preserve">the majority of calls for the ambulance service (Edwards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2014). Similarly, some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‘troubled families’ who often have many generations di</w:t>
      </w:r>
      <w:r>
        <w:rPr>
          <w:rFonts w:ascii="Times New Roman" w:hAnsi="Times New Roman" w:cs="Times New Roman"/>
          <w:color w:val="000000"/>
          <w:sz w:val="24"/>
          <w:szCs w:val="24"/>
        </w:rPr>
        <w:t xml:space="preserve">splaying the same problems, may </w:t>
      </w:r>
      <w:r w:rsidRPr="00E212E7">
        <w:rPr>
          <w:rFonts w:ascii="Times New Roman" w:hAnsi="Times New Roman" w:cs="Times New Roman"/>
          <w:color w:val="000000"/>
          <w:sz w:val="24"/>
          <w:szCs w:val="24"/>
        </w:rPr>
        <w:t>require more resources than others (Home Office, n.d). Repe</w:t>
      </w:r>
      <w:r>
        <w:rPr>
          <w:rFonts w:ascii="Times New Roman" w:hAnsi="Times New Roman" w:cs="Times New Roman"/>
          <w:color w:val="000000"/>
          <w:sz w:val="24"/>
          <w:szCs w:val="24"/>
        </w:rPr>
        <w:t xml:space="preserve">at and/or demanding callers can </w:t>
      </w:r>
      <w:r w:rsidRPr="00E212E7">
        <w:rPr>
          <w:rFonts w:ascii="Times New Roman" w:hAnsi="Times New Roman" w:cs="Times New Roman"/>
          <w:color w:val="000000"/>
          <w:sz w:val="24"/>
          <w:szCs w:val="24"/>
        </w:rPr>
        <w:t>place a significant burden on emergency services in gen</w:t>
      </w:r>
      <w:r>
        <w:rPr>
          <w:rFonts w:ascii="Times New Roman" w:hAnsi="Times New Roman" w:cs="Times New Roman"/>
          <w:color w:val="000000"/>
          <w:sz w:val="24"/>
          <w:szCs w:val="24"/>
        </w:rPr>
        <w:t xml:space="preserve">eral; both in terms of time and </w:t>
      </w:r>
      <w:r w:rsidRPr="00E212E7">
        <w:rPr>
          <w:rFonts w:ascii="Times New Roman" w:hAnsi="Times New Roman" w:cs="Times New Roman"/>
          <w:color w:val="000000"/>
          <w:sz w:val="24"/>
          <w:szCs w:val="24"/>
        </w:rPr>
        <w:t>financial resources, and many factors can influence how people interact with the police in</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particular.</w:t>
      </w:r>
      <w:r>
        <w:rPr>
          <w:rFonts w:ascii="Times New Roman" w:hAnsi="Times New Roman" w:cs="Times New Roman"/>
          <w:color w:val="000000"/>
          <w:sz w:val="24"/>
          <w:szCs w:val="24"/>
        </w:rPr>
        <w:t xml:space="preserve"> For example, c</w:t>
      </w:r>
      <w:r w:rsidRPr="00E212E7">
        <w:rPr>
          <w:rFonts w:ascii="Times New Roman" w:hAnsi="Times New Roman" w:cs="Times New Roman"/>
          <w:color w:val="000000"/>
          <w:sz w:val="24"/>
          <w:szCs w:val="24"/>
        </w:rPr>
        <w:t>ommunity differences can strongly impact police resource requirements</w:t>
      </w:r>
      <w:r>
        <w:rPr>
          <w:rFonts w:ascii="Times New Roman" w:hAnsi="Times New Roman" w:cs="Times New Roman"/>
          <w:color w:val="000000"/>
          <w:sz w:val="24"/>
          <w:szCs w:val="24"/>
        </w:rPr>
        <w:t xml:space="preserve"> with </w:t>
      </w:r>
      <w:r w:rsidRPr="00E212E7">
        <w:rPr>
          <w:rFonts w:ascii="Times New Roman" w:hAnsi="Times New Roman" w:cs="Times New Roman"/>
          <w:color w:val="000000"/>
          <w:sz w:val="24"/>
          <w:szCs w:val="24"/>
        </w:rPr>
        <w:t>urban setting</w:t>
      </w:r>
      <w:r>
        <w:rPr>
          <w:rFonts w:ascii="Times New Roman" w:hAnsi="Times New Roman" w:cs="Times New Roman"/>
          <w:color w:val="000000"/>
          <w:sz w:val="24"/>
          <w:szCs w:val="24"/>
        </w:rPr>
        <w:t>s</w:t>
      </w:r>
      <w:r w:rsidRPr="00E212E7">
        <w:rPr>
          <w:rFonts w:ascii="Times New Roman" w:hAnsi="Times New Roman" w:cs="Times New Roman"/>
          <w:color w:val="000000"/>
          <w:sz w:val="24"/>
          <w:szCs w:val="24"/>
        </w:rPr>
        <w:t xml:space="preserve"> associated with more public demand that rural</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policing (Johnson and Rhodes, 2009; Taylor Griffith</w:t>
      </w:r>
      <w:r>
        <w:rPr>
          <w:rFonts w:ascii="Times New Roman" w:hAnsi="Times New Roman" w:cs="Times New Roman"/>
          <w:color w:val="000000"/>
          <w:sz w:val="24"/>
          <w:szCs w:val="24"/>
        </w:rPr>
        <w:t>s</w:t>
      </w:r>
      <w:r w:rsidRPr="00E212E7">
        <w:rPr>
          <w:rFonts w:ascii="Times New Roman" w:hAnsi="Times New Roman" w:cs="Times New Roman"/>
          <w:color w:val="000000"/>
          <w:sz w:val="24"/>
          <w:szCs w:val="24"/>
        </w:rPr>
        <w:t xml:space="preserve">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2014)</w:t>
      </w:r>
      <w:r>
        <w:rPr>
          <w:rFonts w:ascii="Times New Roman" w:hAnsi="Times New Roman" w:cs="Times New Roman"/>
          <w:color w:val="000000"/>
          <w:sz w:val="24"/>
          <w:szCs w:val="24"/>
        </w:rPr>
        <w:t xml:space="preserve">, with this further linked to social deprivation, low collective efficacy and cohesion </w:t>
      </w:r>
      <w:r w:rsidRPr="00E212E7">
        <w:rPr>
          <w:rFonts w:ascii="Times New Roman" w:hAnsi="Times New Roman" w:cs="Times New Roman"/>
          <w:color w:val="000000"/>
          <w:sz w:val="24"/>
          <w:szCs w:val="24"/>
        </w:rPr>
        <w:t xml:space="preserve">(Sampson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1997)</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lastRenderedPageBreak/>
        <w:t>Personal characteristics may also influence whether a person is likely to be a repeat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caller. </w:t>
      </w:r>
      <w:r>
        <w:rPr>
          <w:rFonts w:ascii="Times New Roman" w:hAnsi="Times New Roman" w:cs="Times New Roman"/>
          <w:color w:val="000000"/>
          <w:sz w:val="24"/>
          <w:szCs w:val="24"/>
        </w:rPr>
        <w:t>Key areas have been found to be those associated with alcohol/drugs and those with mental health issues. A</w:t>
      </w:r>
      <w:r w:rsidRPr="00E212E7">
        <w:rPr>
          <w:rFonts w:ascii="Times New Roman" w:hAnsi="Times New Roman" w:cs="Times New Roman"/>
          <w:color w:val="000000"/>
          <w:sz w:val="24"/>
          <w:szCs w:val="24"/>
        </w:rPr>
        <w:t xml:space="preserve"> recent UK report made by the College of Policing (2015) estimates that that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mental health issues account for at least 20% of police time. This pattern suggests that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dealing with individuals with mental health issues could be posing a considerable and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increasing demand on police resources internationally (College of Policing, 2015;</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Health and Social</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Care Information Centre, 2014). </w:t>
      </w:r>
    </w:p>
    <w:p w:rsidR="001769A6" w:rsidRPr="00E212E7"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Demand Management</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As the police strive to meet the demands of their expanding roles and an increasingly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expectant public (Fleming and Grabosky, 2009), there are a few ways in which the police aim</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to manage the demand on their service, including grading incidents appropriately to prioritise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tasks, and using reviews to identify high demand areas in order to implement preventative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measures to reduce reoccurring problems. The ‘troubled families’ programme, which</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involves intensive work with particularly resource demanding families, is a prime example of</w:t>
      </w:r>
      <w:r>
        <w:rPr>
          <w:rFonts w:ascii="Times New Roman" w:hAnsi="Times New Roman" w:cs="Times New Roman"/>
          <w:color w:val="000000"/>
          <w:sz w:val="24"/>
          <w:szCs w:val="24"/>
        </w:rPr>
        <w:t xml:space="preserve"> this. The </w:t>
      </w:r>
      <w:r w:rsidRPr="00E212E7">
        <w:rPr>
          <w:rFonts w:ascii="Times New Roman" w:hAnsi="Times New Roman" w:cs="Times New Roman"/>
          <w:color w:val="000000"/>
          <w:sz w:val="24"/>
          <w:szCs w:val="24"/>
        </w:rPr>
        <w:t>government’s ‘troubled families’ programme has been found to reduce offending</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and antisocial behaviour and thus, reduce the demand on the police (Home Office, n.d).</w:t>
      </w:r>
      <w:r>
        <w:rPr>
          <w:rFonts w:ascii="Times New Roman" w:hAnsi="Times New Roman" w:cs="Times New Roman"/>
          <w:color w:val="000000"/>
          <w:sz w:val="24"/>
          <w:szCs w:val="24"/>
        </w:rPr>
        <w:t xml:space="preserve">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Targeted policing can be seen as an effective tool for curbing demand by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concentrating resources on specific crimes, criminals, victims and areas that are prone to</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cause high demand before calls for assistance occur (Karn, 2013).</w:t>
      </w:r>
      <w:r>
        <w:rPr>
          <w:rFonts w:ascii="Times New Roman" w:hAnsi="Times New Roman" w:cs="Times New Roman"/>
          <w:color w:val="000000"/>
          <w:sz w:val="24"/>
          <w:szCs w:val="24"/>
        </w:rPr>
        <w:t xml:space="preserve"> ‘Hot spot’ policing involves deploying more patrol resources at ‘hot spots’ defined as “small clusters of addresses with frequent hard crime calls as well as substantial soft crime calls for service” (Sherman and Weisburd, 1995, p. 630;). Similarly, problem orientated policing focusses on targeting strategies to specifically identified problems (Weisburd and Eck, 2004). Generally, studies </w:t>
      </w:r>
      <w:r>
        <w:rPr>
          <w:rFonts w:ascii="Times New Roman" w:hAnsi="Times New Roman" w:cs="Times New Roman"/>
          <w:color w:val="000000"/>
          <w:sz w:val="24"/>
          <w:szCs w:val="24"/>
        </w:rPr>
        <w:lastRenderedPageBreak/>
        <w:t xml:space="preserve">show that increases of police presence in places where crime is more concentrated results in significant reductions in crime calls (Weisburd and Braga, 2006). In addition, this effect has been found to have a wider impact, as evidence indicates spatial diffusion benefits to the areas surrounding the policing intervention (Clark and Weisburd, 1994).  </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Aims and Objectives of the Current Study</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As a result of police budget cuts and reduced staffing, it is important to take an evidence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based approach to understand the demand on the police service in an attempt to optimise the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use of resources (Srinivasan, 2013; Taylor Griffith</w:t>
      </w:r>
      <w:r>
        <w:rPr>
          <w:rFonts w:ascii="Times New Roman" w:hAnsi="Times New Roman" w:cs="Times New Roman"/>
          <w:color w:val="000000"/>
          <w:sz w:val="24"/>
          <w:szCs w:val="24"/>
        </w:rPr>
        <w:t>s</w:t>
      </w:r>
      <w:r w:rsidRPr="00E212E7">
        <w:rPr>
          <w:rFonts w:ascii="Times New Roman" w:hAnsi="Times New Roman" w:cs="Times New Roman"/>
          <w:color w:val="000000"/>
          <w:sz w:val="24"/>
          <w:szCs w:val="24"/>
        </w:rPr>
        <w:t xml:space="preserve">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2014). It appears that the majority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of calls to the police involve issues that are not inherently traditional police business (Hill and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Paynich, 2014). However, this is based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on results from dated or non-British based studies. Furthermore, although it appears that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some repeat callers hold specific traits, these are only loosely speculated at this stage. There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are two key objectives to this research;</w:t>
      </w:r>
      <w:r>
        <w:rPr>
          <w:rFonts w:ascii="Times New Roman" w:hAnsi="Times New Roman" w:cs="Times New Roman"/>
          <w:color w:val="000000"/>
          <w:sz w:val="24"/>
          <w:szCs w:val="24"/>
        </w:rPr>
        <w:t xml:space="preserve"> </w:t>
      </w:r>
    </w:p>
    <w:p w:rsidR="001769A6" w:rsidRPr="00E212E7"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(i) To give an overview of where the highest public demand for police resources in</w:t>
      </w:r>
    </w:p>
    <w:p w:rsidR="001769A6" w:rsidRPr="00E212E7"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Lancashire Constabulary’s Central Division has come from; and</w:t>
      </w:r>
    </w:p>
    <w:p w:rsidR="001769A6" w:rsidRPr="00E212E7" w:rsidRDefault="001769A6" w:rsidP="001769A6">
      <w:pPr>
        <w:autoSpaceDE w:val="0"/>
        <w:autoSpaceDN w:val="0"/>
        <w:adjustRightInd w:val="0"/>
        <w:spacing w:after="0" w:line="360" w:lineRule="auto"/>
        <w:ind w:left="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 xml:space="preserve">(ii) To profile the most demanding </w:t>
      </w:r>
      <w:r>
        <w:rPr>
          <w:rFonts w:ascii="Times New Roman" w:hAnsi="Times New Roman" w:cs="Times New Roman"/>
          <w:color w:val="000000"/>
          <w:sz w:val="24"/>
          <w:szCs w:val="24"/>
        </w:rPr>
        <w:t>addresses</w:t>
      </w:r>
      <w:r w:rsidRPr="00E212E7">
        <w:rPr>
          <w:rFonts w:ascii="Times New Roman" w:hAnsi="Times New Roman" w:cs="Times New Roman"/>
          <w:color w:val="000000"/>
          <w:sz w:val="24"/>
          <w:szCs w:val="24"/>
        </w:rPr>
        <w:t xml:space="preserve"> in this area in order to understand why these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particular households/families have such a high demand for police services.</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t>
      </w:r>
      <w:r w:rsidRPr="00E212E7">
        <w:rPr>
          <w:rFonts w:ascii="Times New Roman" w:hAnsi="Times New Roman" w:cs="Times New Roman"/>
          <w:color w:val="000000"/>
          <w:sz w:val="24"/>
          <w:szCs w:val="24"/>
        </w:rPr>
        <w:t>hrough increased understanding of who constitut</w:t>
      </w:r>
      <w:r>
        <w:rPr>
          <w:rFonts w:ascii="Times New Roman" w:hAnsi="Times New Roman" w:cs="Times New Roman"/>
          <w:color w:val="000000"/>
          <w:sz w:val="24"/>
          <w:szCs w:val="24"/>
        </w:rPr>
        <w:t xml:space="preserve">es the main consumers of police </w:t>
      </w:r>
      <w:r w:rsidRPr="00E212E7">
        <w:rPr>
          <w:rFonts w:ascii="Times New Roman" w:hAnsi="Times New Roman" w:cs="Times New Roman"/>
          <w:color w:val="000000"/>
          <w:sz w:val="24"/>
          <w:szCs w:val="24"/>
        </w:rPr>
        <w:t>resources and the reasons behind why there is such a dem</w:t>
      </w:r>
      <w:r>
        <w:rPr>
          <w:rFonts w:ascii="Times New Roman" w:hAnsi="Times New Roman" w:cs="Times New Roman"/>
          <w:color w:val="000000"/>
          <w:sz w:val="24"/>
          <w:szCs w:val="24"/>
        </w:rPr>
        <w:t xml:space="preserve">and from certain addresses, the </w:t>
      </w:r>
      <w:r w:rsidRPr="00E212E7">
        <w:rPr>
          <w:rFonts w:ascii="Times New Roman" w:hAnsi="Times New Roman" w:cs="Times New Roman"/>
          <w:color w:val="000000"/>
          <w:sz w:val="24"/>
          <w:szCs w:val="24"/>
        </w:rPr>
        <w:t>police and their partner agencies will be more informed to better manage these high resource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consumers, thus reducing the demand on the force</w:t>
      </w:r>
      <w:r>
        <w:rPr>
          <w:rFonts w:ascii="Times New Roman" w:hAnsi="Times New Roman" w:cs="Times New Roman"/>
          <w:color w:val="000000"/>
          <w:sz w:val="24"/>
          <w:szCs w:val="24"/>
        </w:rPr>
        <w:t xml:space="preserve"> (College of Policing, 2015)</w:t>
      </w:r>
      <w:r w:rsidRPr="00E212E7">
        <w:rPr>
          <w:rFonts w:ascii="Times New Roman" w:hAnsi="Times New Roman" w:cs="Times New Roman"/>
          <w:color w:val="000000"/>
          <w:sz w:val="24"/>
          <w:szCs w:val="24"/>
        </w:rPr>
        <w:t>.</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both"/>
        <w:rPr>
          <w:rFonts w:ascii="Times New Roman" w:hAnsi="Times New Roman" w:cs="Times New Roman"/>
          <w:b/>
          <w:bCs/>
          <w:color w:val="000000"/>
          <w:sz w:val="24"/>
          <w:szCs w:val="24"/>
        </w:rPr>
      </w:pPr>
      <w:r w:rsidRPr="00E212E7">
        <w:rPr>
          <w:rFonts w:ascii="Times New Roman" w:hAnsi="Times New Roman" w:cs="Times New Roman"/>
          <w:b/>
          <w:bCs/>
          <w:color w:val="000000"/>
          <w:sz w:val="24"/>
          <w:szCs w:val="24"/>
        </w:rPr>
        <w:t>Methodology</w:t>
      </w: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Data and Research Approach</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lastRenderedPageBreak/>
        <w:t>Lancashire Constabulary commissioned this research to identify and understand the demand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profile </w:t>
      </w:r>
      <w:r w:rsidRPr="00F815A9">
        <w:rPr>
          <w:rFonts w:ascii="Times New Roman" w:hAnsi="Times New Roman" w:cs="Times New Roman"/>
          <w:sz w:val="24"/>
          <w:szCs w:val="24"/>
        </w:rPr>
        <w:t xml:space="preserve">across their Central Division. </w:t>
      </w:r>
      <w:r w:rsidRPr="00F815A9">
        <w:rPr>
          <w:rFonts w:ascii="Times New Roman" w:hAnsi="Times New Roman" w:cs="Times New Roman"/>
          <w:sz w:val="24"/>
          <w:szCs w:val="24"/>
          <w:lang w:val="en"/>
        </w:rPr>
        <w:t xml:space="preserve">Lancashire County has an estimated population of nearly 1.5 million with a rich diversity of communities, and Lancashire Constabulary covers 2,000 square miles and has 2889 Police officers and 1920 Police staff (Lancashire Constabulary, 2016). </w:t>
      </w:r>
      <w:r w:rsidRPr="00F815A9">
        <w:rPr>
          <w:rFonts w:ascii="Times New Roman" w:hAnsi="Times New Roman" w:cs="Times New Roman"/>
          <w:sz w:val="24"/>
          <w:szCs w:val="24"/>
        </w:rPr>
        <w:t xml:space="preserve">For this purpose, data was obtained from Lancashire Constabulary data warehouses. Raw data </w:t>
      </w:r>
      <w:r w:rsidRPr="00E212E7">
        <w:rPr>
          <w:rFonts w:ascii="Times New Roman" w:hAnsi="Times New Roman" w:cs="Times New Roman"/>
          <w:color w:val="000000"/>
          <w:sz w:val="24"/>
          <w:szCs w:val="24"/>
        </w:rPr>
        <w:t>was extracted from Command and Contro</w:t>
      </w:r>
      <w:r>
        <w:rPr>
          <w:rFonts w:ascii="Times New Roman" w:hAnsi="Times New Roman" w:cs="Times New Roman"/>
          <w:color w:val="000000"/>
          <w:sz w:val="24"/>
          <w:szCs w:val="24"/>
        </w:rPr>
        <w:t xml:space="preserve">l using a </w:t>
      </w:r>
      <w:r w:rsidRPr="00E212E7">
        <w:rPr>
          <w:rFonts w:ascii="Times New Roman" w:hAnsi="Times New Roman" w:cs="Times New Roman"/>
          <w:color w:val="000000"/>
          <w:sz w:val="24"/>
          <w:szCs w:val="24"/>
        </w:rPr>
        <w:t>search criteria of all calls for service within the Central</w:t>
      </w:r>
      <w:r>
        <w:rPr>
          <w:rFonts w:ascii="Times New Roman" w:hAnsi="Times New Roman" w:cs="Times New Roman"/>
          <w:color w:val="000000"/>
          <w:sz w:val="24"/>
          <w:szCs w:val="24"/>
        </w:rPr>
        <w:t xml:space="preserve"> Division over the year of 2013 </w:t>
      </w:r>
      <w:r w:rsidRPr="00E212E7">
        <w:rPr>
          <w:rFonts w:ascii="Times New Roman" w:hAnsi="Times New Roman" w:cs="Times New Roman"/>
          <w:color w:val="000000"/>
          <w:sz w:val="24"/>
          <w:szCs w:val="24"/>
        </w:rPr>
        <w:t xml:space="preserve">(01/01/13 – 31/12/13). This search resulted in 63,430 records </w:t>
      </w:r>
      <w:r>
        <w:rPr>
          <w:rFonts w:ascii="Times New Roman" w:hAnsi="Times New Roman" w:cs="Times New Roman"/>
          <w:color w:val="000000"/>
          <w:sz w:val="24"/>
          <w:szCs w:val="24"/>
        </w:rPr>
        <w:t xml:space="preserve">being attained. These were then </w:t>
      </w:r>
      <w:r w:rsidRPr="00E212E7">
        <w:rPr>
          <w:rFonts w:ascii="Times New Roman" w:hAnsi="Times New Roman" w:cs="Times New Roman"/>
          <w:color w:val="000000"/>
          <w:sz w:val="24"/>
          <w:szCs w:val="24"/>
        </w:rPr>
        <w:t>compiled into addresses and ordered according to the number o</w:t>
      </w:r>
      <w:r>
        <w:rPr>
          <w:rFonts w:ascii="Times New Roman" w:hAnsi="Times New Roman" w:cs="Times New Roman"/>
          <w:color w:val="000000"/>
          <w:sz w:val="24"/>
          <w:szCs w:val="24"/>
        </w:rPr>
        <w:t xml:space="preserve">f records for each address so </w:t>
      </w:r>
      <w:r w:rsidRPr="00E212E7">
        <w:rPr>
          <w:rFonts w:ascii="Times New Roman" w:hAnsi="Times New Roman" w:cs="Times New Roman"/>
          <w:color w:val="000000"/>
          <w:sz w:val="24"/>
          <w:szCs w:val="24"/>
        </w:rPr>
        <w:t xml:space="preserve">that the top users could be identified. The top ten addresses </w:t>
      </w:r>
      <w:r>
        <w:rPr>
          <w:rFonts w:ascii="Times New Roman" w:hAnsi="Times New Roman" w:cs="Times New Roman"/>
          <w:color w:val="000000"/>
          <w:sz w:val="24"/>
          <w:szCs w:val="24"/>
        </w:rPr>
        <w:t xml:space="preserve">for residential properties were </w:t>
      </w:r>
      <w:r w:rsidRPr="00E212E7">
        <w:rPr>
          <w:rFonts w:ascii="Times New Roman" w:hAnsi="Times New Roman" w:cs="Times New Roman"/>
          <w:color w:val="000000"/>
          <w:sz w:val="24"/>
          <w:szCs w:val="24"/>
        </w:rPr>
        <w:t>compiled as were non-residential addresses within the following categories (see Table I). The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second stage of data collection involved obtaining the detai</w:t>
      </w:r>
      <w:r>
        <w:rPr>
          <w:rFonts w:ascii="Times New Roman" w:hAnsi="Times New Roman" w:cs="Times New Roman"/>
          <w:color w:val="000000"/>
          <w:sz w:val="24"/>
          <w:szCs w:val="24"/>
        </w:rPr>
        <w:t xml:space="preserve">ls of those who were associated </w:t>
      </w:r>
      <w:r w:rsidRPr="00E212E7">
        <w:rPr>
          <w:rFonts w:ascii="Times New Roman" w:hAnsi="Times New Roman" w:cs="Times New Roman"/>
          <w:color w:val="000000"/>
          <w:sz w:val="24"/>
          <w:szCs w:val="24"/>
        </w:rPr>
        <w:t>with the top ten residential addresses.</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r w:rsidRPr="00E212E7">
        <w:rPr>
          <w:rFonts w:ascii="Times New Roman" w:hAnsi="Times New Roman" w:cs="Times New Roman"/>
          <w:color w:val="000000"/>
          <w:sz w:val="24"/>
          <w:szCs w:val="24"/>
        </w:rPr>
        <w:t>[Table I. Property categories]</w:t>
      </w:r>
    </w:p>
    <w:p w:rsidR="001769A6"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Analysis</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 xml:space="preserve">Descriptive results were calculated and analysed using </w:t>
      </w:r>
      <w:r>
        <w:rPr>
          <w:rFonts w:ascii="Times New Roman" w:hAnsi="Times New Roman" w:cs="Times New Roman"/>
          <w:color w:val="000000"/>
          <w:sz w:val="24"/>
          <w:szCs w:val="24"/>
        </w:rPr>
        <w:t>t</w:t>
      </w:r>
      <w:r w:rsidRPr="00E212E7">
        <w:rPr>
          <w:rFonts w:ascii="Times New Roman" w:hAnsi="Times New Roman" w:cs="Times New Roman"/>
          <w:color w:val="000000"/>
          <w:sz w:val="24"/>
          <w:szCs w:val="24"/>
        </w:rPr>
        <w:t>otal counts (</w:t>
      </w:r>
      <w:r w:rsidRPr="00E212E7">
        <w:rPr>
          <w:rFonts w:ascii="Times New Roman" w:hAnsi="Times New Roman" w:cs="Times New Roman"/>
          <w:i/>
          <w:iCs/>
          <w:color w:val="000000"/>
          <w:sz w:val="24"/>
          <w:szCs w:val="24"/>
        </w:rPr>
        <w:t>n</w:t>
      </w:r>
      <w:r w:rsidRPr="00E212E7">
        <w:rPr>
          <w:rFonts w:ascii="Times New Roman" w:hAnsi="Times New Roman" w:cs="Times New Roman"/>
          <w:color w:val="000000"/>
          <w:sz w:val="24"/>
          <w:szCs w:val="24"/>
        </w:rPr>
        <w:t>), percentages and appropriate measures of central tendency. Firstly, the top ten co</w:t>
      </w:r>
      <w:r>
        <w:rPr>
          <w:rFonts w:ascii="Times New Roman" w:hAnsi="Times New Roman" w:cs="Times New Roman"/>
          <w:color w:val="000000"/>
          <w:sz w:val="24"/>
          <w:szCs w:val="24"/>
        </w:rPr>
        <w:t xml:space="preserve">nsumers within each of the five </w:t>
      </w:r>
      <w:r w:rsidRPr="00E212E7">
        <w:rPr>
          <w:rFonts w:ascii="Times New Roman" w:hAnsi="Times New Roman" w:cs="Times New Roman"/>
          <w:color w:val="000000"/>
          <w:sz w:val="24"/>
          <w:szCs w:val="24"/>
        </w:rPr>
        <w:t xml:space="preserve">categories (see Table I) were examined in terms of; (i) incident </w:t>
      </w:r>
      <w:r>
        <w:rPr>
          <w:rFonts w:ascii="Times New Roman" w:hAnsi="Times New Roman" w:cs="Times New Roman"/>
          <w:color w:val="000000"/>
          <w:sz w:val="24"/>
          <w:szCs w:val="24"/>
        </w:rPr>
        <w:t xml:space="preserve">classifications (see Table II), </w:t>
      </w:r>
      <w:r w:rsidRPr="00E212E7">
        <w:rPr>
          <w:rFonts w:ascii="Times New Roman" w:hAnsi="Times New Roman" w:cs="Times New Roman"/>
          <w:color w:val="000000"/>
          <w:sz w:val="24"/>
          <w:szCs w:val="24"/>
        </w:rPr>
        <w:t>(ii) the time frames these are occurring, and (iii) the respon</w:t>
      </w:r>
      <w:r>
        <w:rPr>
          <w:rFonts w:ascii="Times New Roman" w:hAnsi="Times New Roman" w:cs="Times New Roman"/>
          <w:color w:val="000000"/>
          <w:sz w:val="24"/>
          <w:szCs w:val="24"/>
        </w:rPr>
        <w:t xml:space="preserve">se codes that were allocated to </w:t>
      </w:r>
      <w:r w:rsidRPr="00E212E7">
        <w:rPr>
          <w:rFonts w:ascii="Times New Roman" w:hAnsi="Times New Roman" w:cs="Times New Roman"/>
          <w:color w:val="000000"/>
          <w:sz w:val="24"/>
          <w:szCs w:val="24"/>
        </w:rPr>
        <w:t>these incidents (see Table III).</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r w:rsidRPr="00E212E7">
        <w:rPr>
          <w:rFonts w:ascii="Times New Roman" w:hAnsi="Times New Roman" w:cs="Times New Roman"/>
          <w:color w:val="000000"/>
          <w:sz w:val="24"/>
          <w:szCs w:val="24"/>
        </w:rPr>
        <w:t>[Table II. Incident classifications and descriptions]</w:t>
      </w:r>
    </w:p>
    <w:p w:rsidR="001769A6" w:rsidRPr="00E212E7"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r w:rsidRPr="00E212E7">
        <w:rPr>
          <w:rFonts w:ascii="Times New Roman" w:hAnsi="Times New Roman" w:cs="Times New Roman"/>
          <w:color w:val="000000"/>
          <w:sz w:val="24"/>
          <w:szCs w:val="24"/>
        </w:rPr>
        <w:t>[Table III. Response code grades and descriptions]</w:t>
      </w:r>
    </w:p>
    <w:p w:rsidR="001769A6" w:rsidRPr="00E212E7"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Lastly, a content analysis was conducted on residential household and family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characteristics. The profiling of residential addresses considered their local profiles to obtain</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key characteristics and warning markers.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Individual incident logs were also examined to gain an unde</w:t>
      </w:r>
      <w:r>
        <w:rPr>
          <w:rFonts w:ascii="Times New Roman" w:hAnsi="Times New Roman" w:cs="Times New Roman"/>
          <w:color w:val="000000"/>
          <w:sz w:val="24"/>
          <w:szCs w:val="24"/>
        </w:rPr>
        <w:t xml:space="preserve">rstanding about the reasons why </w:t>
      </w:r>
      <w:r w:rsidRPr="00E212E7">
        <w:rPr>
          <w:rFonts w:ascii="Times New Roman" w:hAnsi="Times New Roman" w:cs="Times New Roman"/>
          <w:color w:val="000000"/>
          <w:sz w:val="24"/>
          <w:szCs w:val="24"/>
        </w:rPr>
        <w:t>there was such demand from each address during the year.</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b/>
          <w:bCs/>
          <w:color w:val="000000"/>
          <w:sz w:val="24"/>
          <w:szCs w:val="24"/>
        </w:rPr>
      </w:pPr>
      <w:r w:rsidRPr="00E212E7">
        <w:rPr>
          <w:rFonts w:ascii="Times New Roman" w:hAnsi="Times New Roman" w:cs="Times New Roman"/>
          <w:b/>
          <w:bCs/>
          <w:color w:val="000000"/>
          <w:sz w:val="24"/>
          <w:szCs w:val="24"/>
        </w:rPr>
        <w:t>Results / Findings</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The top ten</w:t>
      </w:r>
      <w:r>
        <w:rPr>
          <w:rFonts w:ascii="Times New Roman" w:hAnsi="Times New Roman" w:cs="Times New Roman"/>
          <w:color w:val="000000"/>
          <w:sz w:val="24"/>
          <w:szCs w:val="24"/>
        </w:rPr>
        <w:t xml:space="preserve"> statutory bodies have the most </w:t>
      </w:r>
      <w:r w:rsidRPr="00E212E7">
        <w:rPr>
          <w:rFonts w:ascii="Times New Roman" w:hAnsi="Times New Roman" w:cs="Times New Roman"/>
          <w:color w:val="000000"/>
          <w:sz w:val="24"/>
          <w:szCs w:val="24"/>
        </w:rPr>
        <w:t>incidents calling for police service (30%) compared with the top ten in the o</w:t>
      </w:r>
      <w:r>
        <w:rPr>
          <w:rFonts w:ascii="Times New Roman" w:hAnsi="Times New Roman" w:cs="Times New Roman"/>
          <w:color w:val="000000"/>
          <w:sz w:val="24"/>
          <w:szCs w:val="24"/>
        </w:rPr>
        <w:t xml:space="preserve">ther address </w:t>
      </w:r>
      <w:r w:rsidRPr="00E212E7">
        <w:rPr>
          <w:rFonts w:ascii="Times New Roman" w:hAnsi="Times New Roman" w:cs="Times New Roman"/>
          <w:color w:val="000000"/>
          <w:sz w:val="24"/>
          <w:szCs w:val="24"/>
        </w:rPr>
        <w:t xml:space="preserve">categories. This is followed by those in the retail category </w:t>
      </w:r>
      <w:r>
        <w:rPr>
          <w:rFonts w:ascii="Times New Roman" w:hAnsi="Times New Roman" w:cs="Times New Roman"/>
          <w:color w:val="000000"/>
          <w:sz w:val="24"/>
          <w:szCs w:val="24"/>
        </w:rPr>
        <w:t xml:space="preserve">(24%) and nightlife (18%), with </w:t>
      </w:r>
      <w:r w:rsidRPr="00E212E7">
        <w:rPr>
          <w:rFonts w:ascii="Times New Roman" w:hAnsi="Times New Roman" w:cs="Times New Roman"/>
          <w:color w:val="000000"/>
          <w:sz w:val="24"/>
          <w:szCs w:val="24"/>
        </w:rPr>
        <w:t>young people’s services and residential requiring the least resources (14% of the total each).</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Incident Classification</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The majority of all reported incidents fell under the classification of ‘other’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1136,</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28.35%) (see Table IV). For the coded classifications, the biggest demand was from welfare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756, 18.87%), nuisance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734, 18.32%), and acquisitive person crime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667,</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16.65%). </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r w:rsidRPr="00E212E7">
        <w:rPr>
          <w:rFonts w:ascii="Times New Roman" w:hAnsi="Times New Roman" w:cs="Times New Roman"/>
          <w:color w:val="000000"/>
          <w:sz w:val="24"/>
          <w:szCs w:val="24"/>
        </w:rPr>
        <w:t>[Table IV. Incident classification for all categories profiled]</w:t>
      </w:r>
    </w:p>
    <w:p w:rsidR="001769A6" w:rsidRPr="00E212E7"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Most of the top ten residential addresses were found to associate with one specific</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incident classification. When exploring the residential demand (see Table V), welfare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incidents accounted for the highest number of the reported incidents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210, 37.91%).</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However, this was skewed by four addresses that accounted for 89.5% of the incidents. This suggests that welfare is a</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distinct problem area for some particular </w:t>
      </w:r>
      <w:r w:rsidRPr="00E212E7">
        <w:rPr>
          <w:rFonts w:ascii="Times New Roman" w:hAnsi="Times New Roman" w:cs="Times New Roman"/>
          <w:color w:val="000000"/>
          <w:sz w:val="24"/>
          <w:szCs w:val="24"/>
        </w:rPr>
        <w:lastRenderedPageBreak/>
        <w:t>households, but that nuisance is causing problems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across a wider amount of addresses. </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r w:rsidRPr="00E212E7">
        <w:rPr>
          <w:rFonts w:ascii="Times New Roman" w:hAnsi="Times New Roman" w:cs="Times New Roman"/>
          <w:color w:val="000000"/>
          <w:sz w:val="24"/>
          <w:szCs w:val="24"/>
        </w:rPr>
        <w:t xml:space="preserve">[Table V. Incident classification </w:t>
      </w:r>
      <w:r w:rsidRPr="001D3EB8">
        <w:rPr>
          <w:rFonts w:ascii="Times New Roman" w:hAnsi="Times New Roman"/>
          <w:sz w:val="24"/>
          <w:szCs w:val="24"/>
        </w:rPr>
        <w:t xml:space="preserve">for </w:t>
      </w:r>
      <w:r>
        <w:rPr>
          <w:rFonts w:ascii="Times New Roman" w:hAnsi="Times New Roman"/>
          <w:sz w:val="24"/>
          <w:szCs w:val="24"/>
        </w:rPr>
        <w:t>individual address categories</w:t>
      </w:r>
      <w:r w:rsidRPr="00E212E7">
        <w:rPr>
          <w:rFonts w:ascii="Times New Roman" w:hAnsi="Times New Roman" w:cs="Times New Roman"/>
          <w:color w:val="000000"/>
          <w:sz w:val="24"/>
          <w:szCs w:val="24"/>
        </w:rPr>
        <w:t>]</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Incidents classified as ‘other’ were found to be the biggest call for services in</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statutory bodies (</w:t>
      </w:r>
      <w:r w:rsidRPr="00E212E7">
        <w:rPr>
          <w:rFonts w:ascii="Times New Roman" w:hAnsi="Times New Roman" w:cs="Times New Roman"/>
          <w:i/>
          <w:iCs/>
          <w:color w:val="000000"/>
          <w:sz w:val="24"/>
          <w:szCs w:val="24"/>
        </w:rPr>
        <w:t xml:space="preserve">n = </w:t>
      </w:r>
      <w:r w:rsidRPr="00E212E7">
        <w:rPr>
          <w:rFonts w:ascii="Times New Roman" w:hAnsi="Times New Roman" w:cs="Times New Roman"/>
          <w:color w:val="000000"/>
          <w:sz w:val="24"/>
          <w:szCs w:val="24"/>
        </w:rPr>
        <w:t>565, 47.28%), and the largest coded incident classifications were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welfare (</w:t>
      </w:r>
      <w:r w:rsidRPr="00E212E7">
        <w:rPr>
          <w:rFonts w:ascii="Times New Roman" w:hAnsi="Times New Roman" w:cs="Times New Roman"/>
          <w:i/>
          <w:iCs/>
          <w:color w:val="000000"/>
          <w:sz w:val="24"/>
          <w:szCs w:val="24"/>
        </w:rPr>
        <w:t xml:space="preserve">n = </w:t>
      </w:r>
      <w:r w:rsidRPr="00E212E7">
        <w:rPr>
          <w:rFonts w:ascii="Times New Roman" w:hAnsi="Times New Roman" w:cs="Times New Roman"/>
          <w:color w:val="000000"/>
          <w:sz w:val="24"/>
          <w:szCs w:val="24"/>
        </w:rPr>
        <w:t>245, 20.5%) and nuisance (</w:t>
      </w:r>
      <w:r w:rsidRPr="00E212E7">
        <w:rPr>
          <w:rFonts w:ascii="Times New Roman" w:hAnsi="Times New Roman" w:cs="Times New Roman"/>
          <w:i/>
          <w:iCs/>
          <w:color w:val="000000"/>
          <w:sz w:val="24"/>
          <w:szCs w:val="24"/>
        </w:rPr>
        <w:t xml:space="preserve">n = </w:t>
      </w:r>
      <w:r w:rsidRPr="00E212E7">
        <w:rPr>
          <w:rFonts w:ascii="Times New Roman" w:hAnsi="Times New Roman" w:cs="Times New Roman"/>
          <w:color w:val="000000"/>
          <w:sz w:val="24"/>
          <w:szCs w:val="24"/>
        </w:rPr>
        <w:t>178, 14.9%) (see Table V). However, this is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skewed by the inclusion of</w:t>
      </w:r>
      <w:r>
        <w:rPr>
          <w:rFonts w:ascii="Times New Roman" w:hAnsi="Times New Roman" w:cs="Times New Roman"/>
          <w:color w:val="000000"/>
          <w:sz w:val="24"/>
          <w:szCs w:val="24"/>
        </w:rPr>
        <w:t xml:space="preserve"> a central hospital</w:t>
      </w:r>
      <w:r w:rsidRPr="00E212E7">
        <w:rPr>
          <w:rFonts w:ascii="Times New Roman" w:hAnsi="Times New Roman" w:cs="Times New Roman"/>
          <w:color w:val="000000"/>
          <w:sz w:val="24"/>
          <w:szCs w:val="24"/>
        </w:rPr>
        <w:t xml:space="preserve"> which generated a large number of</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welfare incidents. If this address is removed, statutory bodies accrue a larger amount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nuisance incidents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104, 20.47%) and ‘other’ incidents (</w:t>
      </w:r>
      <w:r w:rsidRPr="00E212E7">
        <w:rPr>
          <w:rFonts w:ascii="Times New Roman" w:hAnsi="Times New Roman" w:cs="Times New Roman"/>
          <w:i/>
          <w:iCs/>
          <w:color w:val="000000"/>
          <w:sz w:val="24"/>
          <w:szCs w:val="24"/>
        </w:rPr>
        <w:t xml:space="preserve">n = </w:t>
      </w:r>
      <w:r w:rsidRPr="00E212E7">
        <w:rPr>
          <w:rFonts w:ascii="Times New Roman" w:hAnsi="Times New Roman" w:cs="Times New Roman"/>
          <w:color w:val="000000"/>
          <w:sz w:val="24"/>
          <w:szCs w:val="24"/>
        </w:rPr>
        <w:t>234, 46.06%). Despite this, welfare is still the third highest demand intensive classification</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accounting for 11.61% of the incidents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59).</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For the top ten retail addresses, the most demand is focused on the acquisitive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personal crime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475, 49.63%). Again, ‘other’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192) and nuisance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166) incidents were also highly demanding for retail addresses accounting for 20.06%</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and 17.35% respectively.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Within the top ten nightlife addresses, nuisance incidents required the highest demand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208, 28.3%), accounting for an average of 21 incidents per address (see Table V).</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‘Other’ incidents also account for a high volume of police resources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200, 27.21%),</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followed by acquisitive (person) crime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105, 14.29%) and violence against a person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101, 13.74%).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The highest demand within the top ten young people</w:t>
      </w:r>
      <w:r>
        <w:rPr>
          <w:rFonts w:ascii="Times New Roman" w:hAnsi="Times New Roman" w:cs="Times New Roman"/>
          <w:color w:val="000000"/>
          <w:sz w:val="24"/>
          <w:szCs w:val="24"/>
        </w:rPr>
        <w:t xml:space="preserve">’s services addresses was found </w:t>
      </w:r>
      <w:r w:rsidRPr="00E212E7">
        <w:rPr>
          <w:rFonts w:ascii="Times New Roman" w:hAnsi="Times New Roman" w:cs="Times New Roman"/>
          <w:color w:val="000000"/>
          <w:sz w:val="24"/>
          <w:szCs w:val="24"/>
        </w:rPr>
        <w:t>to be welfare incidents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xml:space="preserve">= 231, 40.81%) (see Table </w:t>
      </w:r>
      <w:r>
        <w:rPr>
          <w:rFonts w:ascii="Times New Roman" w:hAnsi="Times New Roman" w:cs="Times New Roman"/>
          <w:color w:val="000000"/>
          <w:sz w:val="24"/>
          <w:szCs w:val="24"/>
        </w:rPr>
        <w:t>V</w:t>
      </w:r>
      <w:r w:rsidRPr="00E212E7">
        <w:rPr>
          <w:rFonts w:ascii="Times New Roman" w:hAnsi="Times New Roman" w:cs="Times New Roman"/>
          <w:color w:val="000000"/>
          <w:sz w:val="24"/>
          <w:szCs w:val="24"/>
        </w:rPr>
        <w:t>). In particular the top two addresses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accounted for 176 of the 231 welfare incidents (76%). Both</w:t>
      </w:r>
      <w:r>
        <w:rPr>
          <w:rFonts w:ascii="Times New Roman" w:hAnsi="Times New Roman" w:cs="Times New Roman"/>
          <w:color w:val="000000"/>
          <w:sz w:val="24"/>
          <w:szCs w:val="24"/>
        </w:rPr>
        <w:t xml:space="preserve"> these addresses are children’s </w:t>
      </w:r>
      <w:r w:rsidRPr="00E212E7">
        <w:rPr>
          <w:rFonts w:ascii="Times New Roman" w:hAnsi="Times New Roman" w:cs="Times New Roman"/>
          <w:color w:val="000000"/>
          <w:sz w:val="24"/>
          <w:szCs w:val="24"/>
        </w:rPr>
        <w:t>homes which indicated a potential need for a more robust pa</w:t>
      </w:r>
      <w:r>
        <w:rPr>
          <w:rFonts w:ascii="Times New Roman" w:hAnsi="Times New Roman" w:cs="Times New Roman"/>
          <w:color w:val="000000"/>
          <w:sz w:val="24"/>
          <w:szCs w:val="24"/>
        </w:rPr>
        <w:t xml:space="preserve">rtnership plan for dealing with </w:t>
      </w:r>
      <w:r w:rsidRPr="00E212E7">
        <w:rPr>
          <w:rFonts w:ascii="Times New Roman" w:hAnsi="Times New Roman" w:cs="Times New Roman"/>
          <w:color w:val="000000"/>
          <w:sz w:val="24"/>
          <w:szCs w:val="24"/>
        </w:rPr>
        <w:t>such addresses</w:t>
      </w:r>
      <w:r>
        <w:rPr>
          <w:rFonts w:ascii="Times New Roman" w:hAnsi="Times New Roman" w:cs="Times New Roman"/>
          <w:color w:val="000000"/>
          <w:sz w:val="24"/>
          <w:szCs w:val="24"/>
        </w:rPr>
        <w:t xml:space="preserve">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lastRenderedPageBreak/>
        <w:t>When comparing incident classifications across the five address categories it can be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seen that welfare and nuisance incidents account for the highest number of coded incidents.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In contrast, across all address categories, acquisitive (household) crime and sexual offences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accounted for the least number of incidents, both of which are typically considered as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traditional police business. When looking at the incident classifications collectively in terms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of ‘traditional police business’ and ‘non-traditional police business’ (removing the ‘other’</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classification) traditional police incidents (acquisitive person and household crime,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conditions, vandalism/criminal damage, violence against the person and sexual offences)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accounted for 26.89% of incidents whereas non-traditional police incidents (disputes,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nuisance, domestic incidents, and welfare) make up 44.78% of incidents.</w:t>
      </w:r>
      <w:r>
        <w:rPr>
          <w:rFonts w:ascii="Times New Roman" w:hAnsi="Times New Roman" w:cs="Times New Roman"/>
          <w:color w:val="000000"/>
          <w:sz w:val="24"/>
          <w:szCs w:val="24"/>
        </w:rPr>
        <w:t xml:space="preserve"> </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Time Frame</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Three time frames encompassed the largest demand: 11:01-14:00, 14:01-17:00 and 17:01-20:00, therefore, with the exception of vandalism/crimin</w:t>
      </w:r>
      <w:r>
        <w:rPr>
          <w:rFonts w:ascii="Times New Roman" w:hAnsi="Times New Roman" w:cs="Times New Roman"/>
          <w:color w:val="000000"/>
          <w:sz w:val="24"/>
          <w:szCs w:val="24"/>
        </w:rPr>
        <w:t xml:space="preserve">al damage incidents, the period </w:t>
      </w:r>
      <w:r w:rsidRPr="00E212E7">
        <w:rPr>
          <w:rFonts w:ascii="Times New Roman" w:hAnsi="Times New Roman" w:cs="Times New Roman"/>
          <w:color w:val="000000"/>
          <w:sz w:val="24"/>
          <w:szCs w:val="24"/>
        </w:rPr>
        <w:t xml:space="preserve">between 11:01 and 20:00 was found to be the most resource intensive (see Figure </w:t>
      </w:r>
      <w:r>
        <w:rPr>
          <w:rFonts w:ascii="Times New Roman" w:hAnsi="Times New Roman" w:cs="Times New Roman"/>
          <w:color w:val="000000"/>
          <w:sz w:val="24"/>
          <w:szCs w:val="24"/>
        </w:rPr>
        <w:t>1</w:t>
      </w:r>
      <w:r w:rsidRPr="00E212E7">
        <w:rPr>
          <w:rFonts w:ascii="Times New Roman" w:hAnsi="Times New Roman" w:cs="Times New Roman"/>
          <w:color w:val="000000"/>
          <w:sz w:val="24"/>
          <w:szCs w:val="24"/>
        </w:rPr>
        <w:t>).</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r w:rsidRPr="00E212E7">
        <w:rPr>
          <w:rFonts w:ascii="Times New Roman" w:hAnsi="Times New Roman" w:cs="Times New Roman"/>
          <w:color w:val="000000"/>
          <w:sz w:val="24"/>
          <w:szCs w:val="24"/>
        </w:rPr>
        <w:t xml:space="preserve">[Figure </w:t>
      </w:r>
      <w:r>
        <w:rPr>
          <w:rFonts w:ascii="Times New Roman" w:hAnsi="Times New Roman" w:cs="Times New Roman"/>
          <w:color w:val="000000"/>
          <w:sz w:val="24"/>
          <w:szCs w:val="24"/>
        </w:rPr>
        <w:t>1</w:t>
      </w:r>
      <w:r w:rsidRPr="00E212E7">
        <w:rPr>
          <w:rFonts w:ascii="Times New Roman" w:hAnsi="Times New Roman" w:cs="Times New Roman"/>
          <w:color w:val="000000"/>
          <w:sz w:val="24"/>
          <w:szCs w:val="24"/>
        </w:rPr>
        <w:t>: A chart showing the time frames for incident classifications across the top ten</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addresses for all categories]</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When looking at the five categories individually, a similar pattern can be seen. For</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residential addresses 17:01-20:00 and 20:01-23:00 were the most demanding time frames, for</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statutory bodies 11:01-14:00 and 14:01-17:00 required the most resources, for retail</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addresses 14:01-17:00 and 17:01 – 20:00 required the most resources, and young people’s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services had a high demand within the time frame 11:01-14:00. Across these four address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categories, the majority of incidents fall </w:t>
      </w:r>
      <w:r w:rsidRPr="00E212E7">
        <w:rPr>
          <w:rFonts w:ascii="Times New Roman" w:hAnsi="Times New Roman" w:cs="Times New Roman"/>
          <w:color w:val="000000"/>
          <w:sz w:val="24"/>
          <w:szCs w:val="24"/>
        </w:rPr>
        <w:lastRenderedPageBreak/>
        <w:t>within one of the three resource intensive periods,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with the only exception being the nightlife addresses which held its peak demand at 02:01-05:00 (see Figure </w:t>
      </w:r>
      <w:r>
        <w:rPr>
          <w:rFonts w:ascii="Times New Roman" w:hAnsi="Times New Roman" w:cs="Times New Roman"/>
          <w:color w:val="000000"/>
          <w:sz w:val="24"/>
          <w:szCs w:val="24"/>
        </w:rPr>
        <w:t>2</w:t>
      </w:r>
      <w:r w:rsidRPr="00E212E7">
        <w:rPr>
          <w:rFonts w:ascii="Times New Roman" w:hAnsi="Times New Roman" w:cs="Times New Roman"/>
          <w:color w:val="000000"/>
          <w:sz w:val="24"/>
          <w:szCs w:val="24"/>
        </w:rPr>
        <w:t>).</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jc w:val="center"/>
        <w:rPr>
          <w:rFonts w:ascii="Times New Roman" w:hAnsi="Times New Roman" w:cs="Times New Roman"/>
          <w:color w:val="000000"/>
          <w:sz w:val="24"/>
          <w:szCs w:val="24"/>
        </w:rPr>
      </w:pPr>
      <w:r w:rsidRPr="00E212E7">
        <w:rPr>
          <w:rFonts w:ascii="Times New Roman" w:hAnsi="Times New Roman" w:cs="Times New Roman"/>
          <w:color w:val="000000"/>
          <w:sz w:val="24"/>
          <w:szCs w:val="24"/>
        </w:rPr>
        <w:t xml:space="preserve">[Figure </w:t>
      </w:r>
      <w:r>
        <w:rPr>
          <w:rFonts w:ascii="Times New Roman" w:hAnsi="Times New Roman" w:cs="Times New Roman"/>
          <w:color w:val="000000"/>
          <w:sz w:val="24"/>
          <w:szCs w:val="24"/>
        </w:rPr>
        <w:t>2</w:t>
      </w:r>
      <w:r w:rsidRPr="00E212E7">
        <w:rPr>
          <w:rFonts w:ascii="Times New Roman" w:hAnsi="Times New Roman" w:cs="Times New Roman"/>
          <w:color w:val="000000"/>
          <w:sz w:val="24"/>
          <w:szCs w:val="24"/>
        </w:rPr>
        <w:t>: A chart showing the mode time frames for incidents occurring for the 5 categories]</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Response Coding</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Across all address categories, the response code (see Table III) given the most was response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code 3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1173, 29.27%) and the response code that was gi</w:t>
      </w:r>
      <w:r>
        <w:rPr>
          <w:rFonts w:ascii="Times New Roman" w:hAnsi="Times New Roman" w:cs="Times New Roman"/>
          <w:color w:val="000000"/>
          <w:sz w:val="24"/>
          <w:szCs w:val="24"/>
        </w:rPr>
        <w:t xml:space="preserve">ven the least was response code </w:t>
      </w:r>
      <w:r w:rsidRPr="00E212E7">
        <w:rPr>
          <w:rFonts w:ascii="Times New Roman" w:hAnsi="Times New Roman" w:cs="Times New Roman"/>
          <w:color w:val="000000"/>
          <w:sz w:val="24"/>
          <w:szCs w:val="24"/>
        </w:rPr>
        <w:t>1 (</w:t>
      </w:r>
      <w:r w:rsidRPr="00E212E7">
        <w:rPr>
          <w:rFonts w:ascii="Times New Roman" w:hAnsi="Times New Roman" w:cs="Times New Roman"/>
          <w:i/>
          <w:iCs/>
          <w:color w:val="000000"/>
          <w:sz w:val="24"/>
          <w:szCs w:val="24"/>
        </w:rPr>
        <w:t xml:space="preserve">n = </w:t>
      </w:r>
      <w:r w:rsidRPr="00E212E7">
        <w:rPr>
          <w:rFonts w:ascii="Times New Roman" w:hAnsi="Times New Roman" w:cs="Times New Roman"/>
          <w:color w:val="000000"/>
          <w:sz w:val="24"/>
          <w:szCs w:val="24"/>
        </w:rPr>
        <w:t>276, 6.89%). This suggests that the majority of police resources are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being used on planned response operations (code 3), and the least demand comes from the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need for emergency response (code 1).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Response codes given for each of the address category were also examined. Response code 2 was the most frequently used code for responding to incidents at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residential addresses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208, 37.55%), whilst response code 5 was the least used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21,</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3.79%). For statutory bodies, response code 4 was found to be the most widely used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406,</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33.97%) and response code 1 was the least used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59, 4.94%). Overall this indicates that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for statutory services, there is little demand for emergency responses and most issues are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resolved through a telephone resolution. For the retail category, response code 3 was the most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used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355, 37.1%), closely followed by response code 2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34.38%), whilst response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codes 1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49, 7.94%) and 5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47, 7.04%) were the least used. Response code 5 was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found to be the most widely used to answer nightlife calls for service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208, 28.3%),</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whilst response code 1 is again the least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40, 5.44%). Response code 3 was used the most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to address issues at the top ten young people’s services addresses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237, 41.87%) and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response code 1 used the least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xml:space="preserve">= 25, 4.95%). </w:t>
      </w:r>
      <w:r w:rsidRPr="00E212E7">
        <w:rPr>
          <w:rFonts w:ascii="Times New Roman" w:hAnsi="Times New Roman" w:cs="Times New Roman"/>
          <w:color w:val="000000"/>
          <w:sz w:val="24"/>
          <w:szCs w:val="24"/>
        </w:rPr>
        <w:lastRenderedPageBreak/>
        <w:t>Therefore, there is rarely need for immediate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response for incidents occurring at young people’s services addresses, with five addresses not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requiring any emergency responses within the year. The residential addresses had a greater</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amount of code 1 emergency responses allocated to incidents (</w:t>
      </w:r>
      <w:r w:rsidRPr="00E212E7">
        <w:rPr>
          <w:rFonts w:ascii="Times New Roman" w:hAnsi="Times New Roman" w:cs="Times New Roman"/>
          <w:i/>
          <w:iCs/>
          <w:color w:val="000000"/>
          <w:sz w:val="24"/>
          <w:szCs w:val="24"/>
        </w:rPr>
        <w:t xml:space="preserve">n </w:t>
      </w:r>
      <w:r w:rsidRPr="00E212E7">
        <w:rPr>
          <w:rFonts w:ascii="Times New Roman" w:hAnsi="Times New Roman" w:cs="Times New Roman"/>
          <w:color w:val="000000"/>
          <w:sz w:val="24"/>
          <w:szCs w:val="24"/>
        </w:rPr>
        <w:t>= 103, 41.8%) than any of</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the other categories, suggesting that the incidents occurring at residential properties require a</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more rapid response.</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Default="001769A6" w:rsidP="001769A6">
      <w:pPr>
        <w:autoSpaceDE w:val="0"/>
        <w:autoSpaceDN w:val="0"/>
        <w:adjustRightInd w:val="0"/>
        <w:spacing w:after="0" w:line="360" w:lineRule="auto"/>
        <w:rPr>
          <w:rFonts w:ascii="TimesNewRoman" w:hAnsi="TimesNewRoman" w:cs="TimesNewRoman"/>
          <w:sz w:val="23"/>
          <w:szCs w:val="23"/>
        </w:rPr>
      </w:pPr>
      <w:r w:rsidRPr="00E212E7">
        <w:rPr>
          <w:rFonts w:ascii="Times New Roman" w:hAnsi="Times New Roman" w:cs="Times New Roman"/>
          <w:i/>
          <w:iCs/>
          <w:color w:val="000000"/>
          <w:sz w:val="24"/>
          <w:szCs w:val="24"/>
        </w:rPr>
        <w:t>Residential Profiling</w:t>
      </w:r>
      <w:r>
        <w:rPr>
          <w:rFonts w:ascii="TimesNewRoman" w:hAnsi="TimesNewRoman" w:cs="TimesNewRoman"/>
          <w:sz w:val="23"/>
          <w:szCs w:val="23"/>
        </w:rPr>
        <w:t xml:space="preserve"> </w:t>
      </w:r>
    </w:p>
    <w:p w:rsidR="001769A6" w:rsidRPr="00E212E7" w:rsidRDefault="001769A6" w:rsidP="001769A6">
      <w:pPr>
        <w:autoSpaceDE w:val="0"/>
        <w:autoSpaceDN w:val="0"/>
        <w:adjustRightInd w:val="0"/>
        <w:spacing w:after="0" w:line="360" w:lineRule="auto"/>
        <w:rPr>
          <w:rFonts w:ascii="Times New Roman" w:hAnsi="Times New Roman" w:cs="Times New Roman"/>
          <w:color w:val="000000"/>
          <w:sz w:val="24"/>
          <w:szCs w:val="24"/>
        </w:rPr>
      </w:pPr>
      <w:r w:rsidRPr="005D046D">
        <w:rPr>
          <w:rFonts w:ascii="Times New Roman" w:hAnsi="Times New Roman" w:cs="Times New Roman"/>
          <w:sz w:val="24"/>
          <w:szCs w:val="24"/>
        </w:rPr>
        <w:t xml:space="preserve">Out of the top ten demanding residential addresses, one was located within an area of high </w:t>
      </w:r>
      <w:r w:rsidRPr="005D046D">
        <w:rPr>
          <w:rFonts w:ascii="Times New Roman" w:hAnsi="Times New Roman" w:cs="Times New Roman"/>
          <w:color w:val="000000"/>
          <w:sz w:val="24"/>
          <w:szCs w:val="24"/>
        </w:rPr>
        <w:t>deprivation, seven were located in areas of medium deprivation, and two were located in</w:t>
      </w:r>
      <w:r>
        <w:rPr>
          <w:rFonts w:ascii="Times New Roman" w:hAnsi="Times New Roman" w:cs="Times New Roman"/>
          <w:color w:val="000000"/>
          <w:sz w:val="24"/>
          <w:szCs w:val="24"/>
        </w:rPr>
        <w:t xml:space="preserve"> </w:t>
      </w:r>
      <w:r w:rsidRPr="005D046D">
        <w:rPr>
          <w:rFonts w:ascii="Times New Roman" w:hAnsi="Times New Roman" w:cs="Times New Roman"/>
          <w:color w:val="000000"/>
          <w:sz w:val="24"/>
          <w:szCs w:val="24"/>
        </w:rPr>
        <w:t>areas of low</w:t>
      </w:r>
      <w:r w:rsidRPr="00E212E7">
        <w:rPr>
          <w:rFonts w:ascii="Times New Roman" w:hAnsi="Times New Roman" w:cs="Times New Roman"/>
          <w:color w:val="000000"/>
          <w:sz w:val="24"/>
          <w:szCs w:val="24"/>
        </w:rPr>
        <w:t xml:space="preserve"> deprivation. All addresses were located in urban res</w:t>
      </w:r>
      <w:r>
        <w:rPr>
          <w:rFonts w:ascii="Times New Roman" w:hAnsi="Times New Roman" w:cs="Times New Roman"/>
          <w:color w:val="000000"/>
          <w:sz w:val="24"/>
          <w:szCs w:val="24"/>
        </w:rPr>
        <w:t xml:space="preserve">idential areas; however they </w:t>
      </w:r>
      <w:r w:rsidRPr="00E212E7">
        <w:rPr>
          <w:rFonts w:ascii="Times New Roman" w:hAnsi="Times New Roman" w:cs="Times New Roman"/>
          <w:color w:val="000000"/>
          <w:sz w:val="24"/>
          <w:szCs w:val="24"/>
        </w:rPr>
        <w:t>were spread out across the city. Four properties were flats, t</w:t>
      </w:r>
      <w:r>
        <w:rPr>
          <w:rFonts w:ascii="Times New Roman" w:hAnsi="Times New Roman" w:cs="Times New Roman"/>
          <w:color w:val="000000"/>
          <w:sz w:val="24"/>
          <w:szCs w:val="24"/>
        </w:rPr>
        <w:t xml:space="preserve">hree were semi-detached housing </w:t>
      </w:r>
      <w:r w:rsidRPr="00E212E7">
        <w:rPr>
          <w:rFonts w:ascii="Times New Roman" w:hAnsi="Times New Roman" w:cs="Times New Roman"/>
          <w:color w:val="000000"/>
          <w:sz w:val="24"/>
          <w:szCs w:val="24"/>
        </w:rPr>
        <w:t>and three were terrace houses. The number of residents in these properties ranged between 1-</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people.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On analysing the socio-demographic qualities of the families, it was found that 100%</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of the family members across all ten households were</w:t>
      </w:r>
      <w:r>
        <w:rPr>
          <w:rFonts w:ascii="Times New Roman" w:hAnsi="Times New Roman" w:cs="Times New Roman"/>
          <w:color w:val="000000"/>
          <w:sz w:val="24"/>
          <w:szCs w:val="24"/>
        </w:rPr>
        <w:t xml:space="preserve"> of ‘White – Northern European’ </w:t>
      </w:r>
      <w:r w:rsidRPr="00E212E7">
        <w:rPr>
          <w:rFonts w:ascii="Times New Roman" w:hAnsi="Times New Roman" w:cs="Times New Roman"/>
          <w:color w:val="000000"/>
          <w:sz w:val="24"/>
          <w:szCs w:val="24"/>
        </w:rPr>
        <w:t>ethnicity. The age range of those who were connected to th</w:t>
      </w:r>
      <w:r>
        <w:rPr>
          <w:rFonts w:ascii="Times New Roman" w:hAnsi="Times New Roman" w:cs="Times New Roman"/>
          <w:color w:val="000000"/>
          <w:sz w:val="24"/>
          <w:szCs w:val="24"/>
        </w:rPr>
        <w:t xml:space="preserve">e top ten addresses was between </w:t>
      </w:r>
      <w:r w:rsidRPr="00E212E7">
        <w:rPr>
          <w:rFonts w:ascii="Times New Roman" w:hAnsi="Times New Roman" w:cs="Times New Roman"/>
          <w:color w:val="000000"/>
          <w:sz w:val="24"/>
          <w:szCs w:val="24"/>
        </w:rPr>
        <w:t>0-84 years old with an average 38 years old. Three of the ten addresses had under 18 year</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olds in the family. Regarding employment status, twenty people (43%) were listed as being</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unemployed and four people (9%) were employed. Four people (9%) were retired, six</w:t>
      </w:r>
      <w:r>
        <w:rPr>
          <w:rFonts w:ascii="Times New Roman" w:hAnsi="Times New Roman" w:cs="Times New Roman"/>
          <w:color w:val="000000"/>
          <w:sz w:val="24"/>
          <w:szCs w:val="24"/>
        </w:rPr>
        <w:t xml:space="preserve"> (13%) </w:t>
      </w:r>
      <w:r w:rsidRPr="00E212E7">
        <w:rPr>
          <w:rFonts w:ascii="Times New Roman" w:hAnsi="Times New Roman" w:cs="Times New Roman"/>
          <w:color w:val="000000"/>
          <w:sz w:val="24"/>
          <w:szCs w:val="24"/>
        </w:rPr>
        <w:t>were school students and the occupation of thirteen peo</w:t>
      </w:r>
      <w:r>
        <w:rPr>
          <w:rFonts w:ascii="Times New Roman" w:hAnsi="Times New Roman" w:cs="Times New Roman"/>
          <w:color w:val="000000"/>
          <w:sz w:val="24"/>
          <w:szCs w:val="24"/>
        </w:rPr>
        <w:t xml:space="preserve">ple (28%) was unknown. Although </w:t>
      </w:r>
      <w:r w:rsidRPr="00E212E7">
        <w:rPr>
          <w:rFonts w:ascii="Times New Roman" w:hAnsi="Times New Roman" w:cs="Times New Roman"/>
          <w:color w:val="000000"/>
          <w:sz w:val="24"/>
          <w:szCs w:val="24"/>
        </w:rPr>
        <w:t xml:space="preserve">there were an equal number of males and females across </w:t>
      </w:r>
      <w:r>
        <w:rPr>
          <w:rFonts w:ascii="Times New Roman" w:hAnsi="Times New Roman" w:cs="Times New Roman"/>
          <w:color w:val="000000"/>
          <w:sz w:val="24"/>
          <w:szCs w:val="24"/>
        </w:rPr>
        <w:t xml:space="preserve">the sample, in 75% of cases the </w:t>
      </w:r>
      <w:r w:rsidRPr="00E212E7">
        <w:rPr>
          <w:rFonts w:ascii="Times New Roman" w:hAnsi="Times New Roman" w:cs="Times New Roman"/>
          <w:color w:val="000000"/>
          <w:sz w:val="24"/>
          <w:szCs w:val="24"/>
        </w:rPr>
        <w:t>person calling for service was a female.</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All of the ten addresses included at least one family member that had been involved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domestic violence incidents, alcohol or substance abuse, o</w:t>
      </w:r>
      <w:r>
        <w:rPr>
          <w:rFonts w:ascii="Times New Roman" w:hAnsi="Times New Roman" w:cs="Times New Roman"/>
          <w:color w:val="000000"/>
          <w:sz w:val="24"/>
          <w:szCs w:val="24"/>
        </w:rPr>
        <w:t xml:space="preserve">r had experienced mental health </w:t>
      </w:r>
      <w:r w:rsidRPr="00E212E7">
        <w:rPr>
          <w:rFonts w:ascii="Times New Roman" w:hAnsi="Times New Roman" w:cs="Times New Roman"/>
          <w:color w:val="000000"/>
          <w:sz w:val="24"/>
          <w:szCs w:val="24"/>
        </w:rPr>
        <w:t xml:space="preserve">issues. Eight out of ten </w:t>
      </w:r>
      <w:r w:rsidRPr="00E212E7">
        <w:rPr>
          <w:rFonts w:ascii="Times New Roman" w:hAnsi="Times New Roman" w:cs="Times New Roman"/>
          <w:color w:val="000000"/>
          <w:sz w:val="24"/>
          <w:szCs w:val="24"/>
        </w:rPr>
        <w:lastRenderedPageBreak/>
        <w:t>addresses include someone in the family</w:t>
      </w:r>
      <w:r>
        <w:rPr>
          <w:rFonts w:ascii="Times New Roman" w:hAnsi="Times New Roman" w:cs="Times New Roman"/>
          <w:color w:val="000000"/>
          <w:sz w:val="24"/>
          <w:szCs w:val="24"/>
        </w:rPr>
        <w:t xml:space="preserve"> with mental health issues, six </w:t>
      </w:r>
      <w:r w:rsidRPr="00E212E7">
        <w:rPr>
          <w:rFonts w:ascii="Times New Roman" w:hAnsi="Times New Roman" w:cs="Times New Roman"/>
          <w:color w:val="000000"/>
          <w:sz w:val="24"/>
          <w:szCs w:val="24"/>
        </w:rPr>
        <w:t>addresses included someone with alcohol addictions or wh</w:t>
      </w:r>
      <w:r>
        <w:rPr>
          <w:rFonts w:ascii="Times New Roman" w:hAnsi="Times New Roman" w:cs="Times New Roman"/>
          <w:color w:val="000000"/>
          <w:sz w:val="24"/>
          <w:szCs w:val="24"/>
        </w:rPr>
        <w:t xml:space="preserve">o regularly partakes in alcohol </w:t>
      </w:r>
      <w:r w:rsidRPr="00E212E7">
        <w:rPr>
          <w:rFonts w:ascii="Times New Roman" w:hAnsi="Times New Roman" w:cs="Times New Roman"/>
          <w:color w:val="000000"/>
          <w:sz w:val="24"/>
          <w:szCs w:val="24"/>
        </w:rPr>
        <w:t>abuse, five of the ten addresses were associated with cases</w:t>
      </w:r>
      <w:r>
        <w:rPr>
          <w:rFonts w:ascii="Times New Roman" w:hAnsi="Times New Roman" w:cs="Times New Roman"/>
          <w:color w:val="000000"/>
          <w:sz w:val="24"/>
          <w:szCs w:val="24"/>
        </w:rPr>
        <w:t xml:space="preserve"> of domestic violence, and four </w:t>
      </w:r>
      <w:r w:rsidRPr="00E212E7">
        <w:rPr>
          <w:rFonts w:ascii="Times New Roman" w:hAnsi="Times New Roman" w:cs="Times New Roman"/>
          <w:color w:val="000000"/>
          <w:sz w:val="24"/>
          <w:szCs w:val="24"/>
        </w:rPr>
        <w:t>addresses included someo</w:t>
      </w:r>
      <w:r>
        <w:rPr>
          <w:rFonts w:ascii="Times New Roman" w:hAnsi="Times New Roman" w:cs="Times New Roman"/>
          <w:color w:val="000000"/>
          <w:sz w:val="24"/>
          <w:szCs w:val="24"/>
        </w:rPr>
        <w:t xml:space="preserve">ne with substance abuse issues. </w:t>
      </w:r>
    </w:p>
    <w:p w:rsidR="001769A6" w:rsidRPr="00E212E7"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The average number of referrals across the addresses was 90, with an average of</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31 referrals per family, and an average of 20 referrals per person. Seven out of the ten</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addresses had been involved with other agencies (e.g. Ambulance Service, Lancashire NHS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Trust, Social Services). From these 90 addresses only five had utilised an intervention (i.e.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crisis team, child protection conferences, Multi-Agency Risk Assessment Conference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referrals, Multi Agency Safeguarding Hub referrals, etc.).</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b/>
          <w:bCs/>
          <w:color w:val="000000"/>
          <w:sz w:val="24"/>
          <w:szCs w:val="24"/>
        </w:rPr>
      </w:pPr>
      <w:r w:rsidRPr="00E212E7">
        <w:rPr>
          <w:rFonts w:ascii="Times New Roman" w:hAnsi="Times New Roman" w:cs="Times New Roman"/>
          <w:b/>
          <w:bCs/>
          <w:color w:val="000000"/>
          <w:sz w:val="24"/>
          <w:szCs w:val="24"/>
        </w:rPr>
        <w:t>Discussion</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The current study took an evidence based approach to understand the demand on the police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service in Lancashire Constabulary’s Central Division in </w:t>
      </w:r>
      <w:r>
        <w:rPr>
          <w:rFonts w:ascii="Times New Roman" w:hAnsi="Times New Roman" w:cs="Times New Roman"/>
          <w:color w:val="000000"/>
          <w:sz w:val="24"/>
          <w:szCs w:val="24"/>
        </w:rPr>
        <w:t xml:space="preserve">order to inform Police decision </w:t>
      </w:r>
      <w:r w:rsidRPr="00E212E7">
        <w:rPr>
          <w:rFonts w:ascii="Times New Roman" w:hAnsi="Times New Roman" w:cs="Times New Roman"/>
          <w:color w:val="000000"/>
          <w:sz w:val="24"/>
          <w:szCs w:val="24"/>
        </w:rPr>
        <w:t>making regarding allocation of police resources (</w:t>
      </w:r>
      <w:r>
        <w:rPr>
          <w:rFonts w:ascii="Times New Roman" w:hAnsi="Times New Roman" w:cs="Times New Roman"/>
          <w:color w:val="000000"/>
          <w:sz w:val="24"/>
          <w:szCs w:val="24"/>
        </w:rPr>
        <w:t xml:space="preserve">Srinivasan, 2013). Whilst </w:t>
      </w:r>
      <w:r w:rsidRPr="00E212E7">
        <w:rPr>
          <w:rFonts w:ascii="Times New Roman" w:hAnsi="Times New Roman" w:cs="Times New Roman"/>
          <w:color w:val="000000"/>
          <w:sz w:val="24"/>
          <w:szCs w:val="24"/>
        </w:rPr>
        <w:t>recorded crime has been found to be decreasing on a natio</w:t>
      </w:r>
      <w:r>
        <w:rPr>
          <w:rFonts w:ascii="Times New Roman" w:hAnsi="Times New Roman" w:cs="Times New Roman"/>
          <w:color w:val="000000"/>
          <w:sz w:val="24"/>
          <w:szCs w:val="24"/>
        </w:rPr>
        <w:t xml:space="preserve">nal scale over the past decade, </w:t>
      </w:r>
      <w:r w:rsidRPr="00E212E7">
        <w:rPr>
          <w:rFonts w:ascii="Times New Roman" w:hAnsi="Times New Roman" w:cs="Times New Roman"/>
          <w:color w:val="000000"/>
          <w:sz w:val="24"/>
          <w:szCs w:val="24"/>
        </w:rPr>
        <w:t>demand on the police service has been maintained in other ways (College of Policing, 2015).</w:t>
      </w:r>
    </w:p>
    <w:p w:rsidR="001769A6" w:rsidRPr="00E212E7"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Overall, the majority of incidents that the police are being requested to d</w:t>
      </w:r>
      <w:r>
        <w:rPr>
          <w:rFonts w:ascii="Times New Roman" w:hAnsi="Times New Roman" w:cs="Times New Roman"/>
          <w:color w:val="000000"/>
          <w:sz w:val="24"/>
          <w:szCs w:val="24"/>
        </w:rPr>
        <w:t xml:space="preserve">eal with are non-traditional </w:t>
      </w:r>
      <w:r w:rsidRPr="00E212E7">
        <w:rPr>
          <w:rFonts w:ascii="Times New Roman" w:hAnsi="Times New Roman" w:cs="Times New Roman"/>
          <w:color w:val="000000"/>
          <w:sz w:val="24"/>
          <w:szCs w:val="24"/>
        </w:rPr>
        <w:t>police business, and therefore require the use of skills such as mediation and social</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service, rather than police statutory powers. In support of prev</w:t>
      </w:r>
      <w:r>
        <w:rPr>
          <w:rFonts w:ascii="Times New Roman" w:hAnsi="Times New Roman" w:cs="Times New Roman"/>
          <w:color w:val="000000"/>
          <w:sz w:val="24"/>
          <w:szCs w:val="24"/>
        </w:rPr>
        <w:t xml:space="preserve">ious literature, only 26.89% of </w:t>
      </w:r>
      <w:r w:rsidRPr="00E212E7">
        <w:rPr>
          <w:rFonts w:ascii="Times New Roman" w:hAnsi="Times New Roman" w:cs="Times New Roman"/>
          <w:color w:val="000000"/>
          <w:sz w:val="24"/>
          <w:szCs w:val="24"/>
        </w:rPr>
        <w:t>the reported incidents from highly demanding addresses w</w:t>
      </w:r>
      <w:r>
        <w:rPr>
          <w:rFonts w:ascii="Times New Roman" w:hAnsi="Times New Roman" w:cs="Times New Roman"/>
          <w:color w:val="000000"/>
          <w:sz w:val="24"/>
          <w:szCs w:val="24"/>
        </w:rPr>
        <w:t xml:space="preserve">ere traditional police business </w:t>
      </w:r>
      <w:r w:rsidRPr="00E212E7">
        <w:rPr>
          <w:rFonts w:ascii="Times New Roman" w:hAnsi="Times New Roman" w:cs="Times New Roman"/>
          <w:color w:val="000000"/>
          <w:sz w:val="24"/>
          <w:szCs w:val="24"/>
        </w:rPr>
        <w:t>(Scott, 1981). In particular, welfare and n</w:t>
      </w:r>
      <w:r>
        <w:rPr>
          <w:rFonts w:ascii="Times New Roman" w:hAnsi="Times New Roman" w:cs="Times New Roman"/>
          <w:color w:val="000000"/>
          <w:sz w:val="24"/>
          <w:szCs w:val="24"/>
        </w:rPr>
        <w:t xml:space="preserve">uisance incidents were found to </w:t>
      </w:r>
      <w:r w:rsidRPr="00E212E7">
        <w:rPr>
          <w:rFonts w:ascii="Times New Roman" w:hAnsi="Times New Roman" w:cs="Times New Roman"/>
          <w:color w:val="000000"/>
          <w:sz w:val="24"/>
          <w:szCs w:val="24"/>
        </w:rPr>
        <w:t>demand the majority of police resources. This supports reports of an 11.5% increase of</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demand gen</w:t>
      </w:r>
      <w:r w:rsidRPr="00E212E7">
        <w:rPr>
          <w:rFonts w:ascii="Times New Roman" w:hAnsi="Times New Roman" w:cs="Times New Roman"/>
          <w:color w:val="000000"/>
          <w:sz w:val="24"/>
          <w:szCs w:val="24"/>
        </w:rPr>
        <w:lastRenderedPageBreak/>
        <w:t>erated by public safety and welfare incidents in Lancashire, West Yorkshire and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South Yorkshire (College of Policing, 2015). As these types of incidents are often not seen as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traditional police work, this is a contraction of the Home Se</w:t>
      </w:r>
      <w:r>
        <w:rPr>
          <w:rFonts w:ascii="Times New Roman" w:hAnsi="Times New Roman" w:cs="Times New Roman"/>
          <w:color w:val="000000"/>
          <w:sz w:val="24"/>
          <w:szCs w:val="24"/>
        </w:rPr>
        <w:t xml:space="preserve">cretary and Home Office’s (n.d) </w:t>
      </w:r>
      <w:r w:rsidRPr="00E212E7">
        <w:rPr>
          <w:rFonts w:ascii="Times New Roman" w:hAnsi="Times New Roman" w:cs="Times New Roman"/>
          <w:color w:val="000000"/>
          <w:sz w:val="24"/>
          <w:szCs w:val="24"/>
        </w:rPr>
        <w:t>view that the police should be used largely in a law enforcem</w:t>
      </w:r>
      <w:r>
        <w:rPr>
          <w:rFonts w:ascii="Times New Roman" w:hAnsi="Times New Roman" w:cs="Times New Roman"/>
          <w:color w:val="000000"/>
          <w:sz w:val="24"/>
          <w:szCs w:val="24"/>
        </w:rPr>
        <w:t xml:space="preserve">ent capacity, and therefore the </w:t>
      </w:r>
      <w:r w:rsidRPr="00E212E7">
        <w:rPr>
          <w:rFonts w:ascii="Times New Roman" w:hAnsi="Times New Roman" w:cs="Times New Roman"/>
          <w:color w:val="000000"/>
          <w:sz w:val="24"/>
          <w:szCs w:val="24"/>
        </w:rPr>
        <w:t>police may not be the most appropriate service to deal w</w:t>
      </w:r>
      <w:r>
        <w:rPr>
          <w:rFonts w:ascii="Times New Roman" w:hAnsi="Times New Roman" w:cs="Times New Roman"/>
          <w:color w:val="000000"/>
          <w:sz w:val="24"/>
          <w:szCs w:val="24"/>
        </w:rPr>
        <w:t xml:space="preserve">ith them. However, it cannot be </w:t>
      </w:r>
      <w:r w:rsidRPr="00E212E7">
        <w:rPr>
          <w:rFonts w:ascii="Times New Roman" w:hAnsi="Times New Roman" w:cs="Times New Roman"/>
          <w:color w:val="000000"/>
          <w:sz w:val="24"/>
          <w:szCs w:val="24"/>
        </w:rPr>
        <w:t>contested from the findings in this report that the role of the police service in England and</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 xml:space="preserve">Wales is changing due to the shift in requirements and expectations (Srinivasan </w:t>
      </w:r>
      <w:r w:rsidRPr="00E212E7">
        <w:rPr>
          <w:rFonts w:ascii="Times New Roman" w:hAnsi="Times New Roman" w:cs="Times New Roman"/>
          <w:i/>
          <w:iCs/>
          <w:color w:val="000000"/>
          <w:sz w:val="24"/>
          <w:szCs w:val="24"/>
        </w:rPr>
        <w:t>et al.</w:t>
      </w:r>
      <w:r w:rsidRPr="00E212E7">
        <w:rPr>
          <w:rFonts w:ascii="Times New Roman" w:hAnsi="Times New Roman" w:cs="Times New Roman"/>
          <w:color w:val="000000"/>
          <w:sz w:val="24"/>
          <w:szCs w:val="24"/>
        </w:rPr>
        <w:t>, 2013). If police officers are trained to become better equipped to deal with these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high frequency</w:t>
      </w:r>
      <w:r>
        <w:rPr>
          <w:rFonts w:ascii="Times New Roman" w:hAnsi="Times New Roman" w:cs="Times New Roman"/>
          <w:color w:val="000000"/>
          <w:sz w:val="24"/>
          <w:szCs w:val="24"/>
        </w:rPr>
        <w:t>,</w:t>
      </w:r>
      <w:r w:rsidRPr="00E212E7">
        <w:rPr>
          <w:rFonts w:ascii="Times New Roman" w:hAnsi="Times New Roman" w:cs="Times New Roman"/>
          <w:color w:val="000000"/>
          <w:sz w:val="24"/>
          <w:szCs w:val="24"/>
        </w:rPr>
        <w:t xml:space="preserve"> but low-level problems or offenses, potential ben</w:t>
      </w:r>
      <w:r>
        <w:rPr>
          <w:rFonts w:ascii="Times New Roman" w:hAnsi="Times New Roman" w:cs="Times New Roman"/>
          <w:color w:val="000000"/>
          <w:sz w:val="24"/>
          <w:szCs w:val="24"/>
        </w:rPr>
        <w:t xml:space="preserve">efits could include the </w:t>
      </w:r>
      <w:r w:rsidRPr="00E212E7">
        <w:rPr>
          <w:rFonts w:ascii="Times New Roman" w:hAnsi="Times New Roman" w:cs="Times New Roman"/>
          <w:color w:val="000000"/>
          <w:sz w:val="24"/>
          <w:szCs w:val="24"/>
        </w:rPr>
        <w:t>reduction of further crime and increased officer environmen</w:t>
      </w:r>
      <w:r>
        <w:rPr>
          <w:rFonts w:ascii="Times New Roman" w:hAnsi="Times New Roman" w:cs="Times New Roman"/>
          <w:color w:val="000000"/>
          <w:sz w:val="24"/>
          <w:szCs w:val="24"/>
        </w:rPr>
        <w:t xml:space="preserve">tal knowledge to improve future </w:t>
      </w:r>
      <w:r w:rsidRPr="00E212E7">
        <w:rPr>
          <w:rFonts w:ascii="Times New Roman" w:hAnsi="Times New Roman" w:cs="Times New Roman"/>
          <w:color w:val="000000"/>
          <w:sz w:val="24"/>
          <w:szCs w:val="24"/>
        </w:rPr>
        <w:t>problem solving (</w:t>
      </w:r>
      <w:r>
        <w:rPr>
          <w:rFonts w:ascii="Times New Roman" w:hAnsi="Times New Roman" w:cs="Times New Roman"/>
          <w:color w:val="000000"/>
          <w:sz w:val="24"/>
          <w:szCs w:val="24"/>
        </w:rPr>
        <w:t xml:space="preserve">Walker and Katz, 2005).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Furthermore, included in the majority of calls for service that were grouped as non-traditional police incidents were calls concerning disputes and domestic incidents and as such, could potentially escalate into a criminal offence and/or pose risk to the people involved without the presence of a police officer. Therefore, the extent to which a tiered policing arrangement could respond to these calls should be considered in light of the potential risk involved and threat of incident escalation as a result of the absence of sworn Police officers.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Supporting previous research, the geographical profiling of demanding residential</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properties found that people in areas of medium deprivation a</w:t>
      </w:r>
      <w:r>
        <w:rPr>
          <w:rFonts w:ascii="Times New Roman" w:hAnsi="Times New Roman" w:cs="Times New Roman"/>
          <w:color w:val="000000"/>
          <w:sz w:val="24"/>
          <w:szCs w:val="24"/>
        </w:rPr>
        <w:t xml:space="preserve">re most likely to be repeat </w:t>
      </w:r>
      <w:r w:rsidRPr="00E212E7">
        <w:rPr>
          <w:rFonts w:ascii="Times New Roman" w:hAnsi="Times New Roman" w:cs="Times New Roman"/>
          <w:color w:val="000000"/>
          <w:sz w:val="24"/>
          <w:szCs w:val="24"/>
        </w:rPr>
        <w:t>callers for police assistance (Johnson and Rhodes, 2009). Those living in areas of low deprivation have les</w:t>
      </w:r>
      <w:r>
        <w:rPr>
          <w:rFonts w:ascii="Times New Roman" w:hAnsi="Times New Roman" w:cs="Times New Roman"/>
          <w:color w:val="000000"/>
          <w:sz w:val="24"/>
          <w:szCs w:val="24"/>
        </w:rPr>
        <w:t xml:space="preserve">s need for the police as, </w:t>
      </w:r>
      <w:r w:rsidRPr="00E212E7">
        <w:rPr>
          <w:rFonts w:ascii="Times New Roman" w:hAnsi="Times New Roman" w:cs="Times New Roman"/>
          <w:color w:val="000000"/>
          <w:sz w:val="24"/>
          <w:szCs w:val="24"/>
        </w:rPr>
        <w:t xml:space="preserve">generally, less crime and disorder occurs within these areas. </w:t>
      </w:r>
      <w:r>
        <w:rPr>
          <w:rFonts w:ascii="Times New Roman" w:hAnsi="Times New Roman" w:cs="Times New Roman"/>
          <w:color w:val="000000"/>
          <w:sz w:val="24"/>
          <w:szCs w:val="24"/>
        </w:rPr>
        <w:t xml:space="preserve">Those living in areas with high </w:t>
      </w:r>
      <w:r w:rsidRPr="00E212E7">
        <w:rPr>
          <w:rFonts w:ascii="Times New Roman" w:hAnsi="Times New Roman" w:cs="Times New Roman"/>
          <w:color w:val="000000"/>
          <w:sz w:val="24"/>
          <w:szCs w:val="24"/>
        </w:rPr>
        <w:t>deprivation may be more likely to experience crime and di</w:t>
      </w:r>
      <w:r>
        <w:rPr>
          <w:rFonts w:ascii="Times New Roman" w:hAnsi="Times New Roman" w:cs="Times New Roman"/>
          <w:color w:val="000000"/>
          <w:sz w:val="24"/>
          <w:szCs w:val="24"/>
        </w:rPr>
        <w:t xml:space="preserve">sorder, but </w:t>
      </w:r>
      <w:r w:rsidRPr="00E212E7">
        <w:rPr>
          <w:rFonts w:ascii="Times New Roman" w:hAnsi="Times New Roman" w:cs="Times New Roman"/>
          <w:color w:val="000000"/>
          <w:sz w:val="24"/>
          <w:szCs w:val="24"/>
        </w:rPr>
        <w:t>may be less likely</w:t>
      </w:r>
      <w:r>
        <w:rPr>
          <w:rFonts w:ascii="Times New Roman" w:hAnsi="Times New Roman" w:cs="Times New Roman"/>
          <w:color w:val="000000"/>
          <w:sz w:val="24"/>
          <w:szCs w:val="24"/>
        </w:rPr>
        <w:t xml:space="preserve"> to call the police. This effect may reflect the commonality of these events, reduced collective efficacy, or may reflect the distrust of the </w:t>
      </w:r>
      <w:r>
        <w:rPr>
          <w:rFonts w:ascii="Times New Roman" w:hAnsi="Times New Roman" w:cs="Times New Roman"/>
          <w:color w:val="000000"/>
          <w:sz w:val="24"/>
          <w:szCs w:val="24"/>
        </w:rPr>
        <w:lastRenderedPageBreak/>
        <w:t xml:space="preserve">police and strained police-community relations in these neighbourhoods (Weisburd and Eck, 2004). Therefore, </w:t>
      </w:r>
      <w:r w:rsidRPr="00E212E7">
        <w:rPr>
          <w:rFonts w:ascii="Times New Roman" w:hAnsi="Times New Roman" w:cs="Times New Roman"/>
          <w:color w:val="000000"/>
          <w:sz w:val="24"/>
          <w:szCs w:val="24"/>
        </w:rPr>
        <w:t>those living in areas of medium deprivation tend to experienc</w:t>
      </w:r>
      <w:r>
        <w:rPr>
          <w:rFonts w:ascii="Times New Roman" w:hAnsi="Times New Roman" w:cs="Times New Roman"/>
          <w:color w:val="000000"/>
          <w:sz w:val="24"/>
          <w:szCs w:val="24"/>
        </w:rPr>
        <w:t xml:space="preserve">e a moderate level of crime and </w:t>
      </w:r>
      <w:r w:rsidRPr="00E212E7">
        <w:rPr>
          <w:rFonts w:ascii="Times New Roman" w:hAnsi="Times New Roman" w:cs="Times New Roman"/>
          <w:color w:val="000000"/>
          <w:sz w:val="24"/>
          <w:szCs w:val="24"/>
        </w:rPr>
        <w:t>disorder but still need the problems to be addressed by authorities, so a</w:t>
      </w:r>
      <w:r>
        <w:rPr>
          <w:rFonts w:ascii="Times New Roman" w:hAnsi="Times New Roman" w:cs="Times New Roman"/>
          <w:color w:val="000000"/>
          <w:sz w:val="24"/>
          <w:szCs w:val="24"/>
        </w:rPr>
        <w:t xml:space="preserve">re the most likely to </w:t>
      </w:r>
      <w:r w:rsidRPr="00E212E7">
        <w:rPr>
          <w:rFonts w:ascii="Times New Roman" w:hAnsi="Times New Roman" w:cs="Times New Roman"/>
          <w:color w:val="000000"/>
          <w:sz w:val="24"/>
          <w:szCs w:val="24"/>
        </w:rPr>
        <w:t>call for service. The type of housing of the top ten addresses fell within three categories: flat,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semi-detached and terrace. Whilst this could indicate relationships between housing types and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cause to call the police, this effect may more simply reflect the area in which the addresses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are situated.</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E212E7">
        <w:rPr>
          <w:rFonts w:ascii="Times New Roman" w:hAnsi="Times New Roman" w:cs="Times New Roman"/>
          <w:color w:val="000000"/>
          <w:sz w:val="24"/>
          <w:szCs w:val="24"/>
        </w:rPr>
        <w:t>espite a void of cited links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between employment status and service demand in previous literature, the current study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found that 43% of family members within the top ten demanding residential addresses were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unemployed, making unemployed people the single largest group likely to demand resources.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All ten of these households were associated with previous issues (i.e. mental health</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issues, incidents of domestic violence, or alcohol and/or </w:t>
      </w:r>
      <w:r>
        <w:rPr>
          <w:rFonts w:ascii="Times New Roman" w:hAnsi="Times New Roman" w:cs="Times New Roman"/>
          <w:color w:val="000000"/>
          <w:sz w:val="24"/>
          <w:szCs w:val="24"/>
        </w:rPr>
        <w:t xml:space="preserve">substance abuse); however, only </w:t>
      </w:r>
      <w:r w:rsidRPr="00E212E7">
        <w:rPr>
          <w:rFonts w:ascii="Times New Roman" w:hAnsi="Times New Roman" w:cs="Times New Roman"/>
          <w:color w:val="000000"/>
          <w:sz w:val="24"/>
          <w:szCs w:val="24"/>
        </w:rPr>
        <w:t>seven had previously received other agency involvement and five had received interventions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aimed to improve their family situation. This indicates that there is potential for agencies to</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work together more effectively with certain families at an earlier stage, when problems are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first visible in order to attempt to prevent future high demand.</w:t>
      </w:r>
    </w:p>
    <w:p w:rsidR="001769A6" w:rsidRPr="00E212E7"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Practical Implications</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These results indicate that the police could potentially reduce the demand for service by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enhancing work within two key areas; (i) </w:t>
      </w:r>
      <w:r>
        <w:rPr>
          <w:rFonts w:ascii="Times New Roman" w:hAnsi="Times New Roman" w:cs="Times New Roman"/>
          <w:color w:val="000000"/>
          <w:sz w:val="24"/>
          <w:szCs w:val="24"/>
        </w:rPr>
        <w:t>early intervention</w:t>
      </w:r>
      <w:r w:rsidRPr="00E212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(ii)</w:t>
      </w:r>
      <w:r w:rsidRPr="00E212E7">
        <w:rPr>
          <w:rFonts w:ascii="Times New Roman" w:hAnsi="Times New Roman" w:cs="Times New Roman"/>
          <w:color w:val="000000"/>
          <w:sz w:val="24"/>
          <w:szCs w:val="24"/>
        </w:rPr>
        <w:t>partnership workin</w:t>
      </w:r>
      <w:r>
        <w:rPr>
          <w:rFonts w:ascii="Times New Roman" w:hAnsi="Times New Roman" w:cs="Times New Roman"/>
          <w:color w:val="000000"/>
          <w:sz w:val="24"/>
          <w:szCs w:val="24"/>
        </w:rPr>
        <w:t xml:space="preserve">g . </w:t>
      </w:r>
      <w:r w:rsidRPr="00E212E7">
        <w:rPr>
          <w:rFonts w:ascii="Times New Roman" w:hAnsi="Times New Roman" w:cs="Times New Roman"/>
          <w:color w:val="000000"/>
          <w:sz w:val="24"/>
          <w:szCs w:val="24"/>
        </w:rPr>
        <w:t>Firstly, the majority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of the residential repeat callers within this study were identified to have been struggling with</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 range of problems for some time. This highlights an area for early intervention to take place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with children who show signs of behavioural problems and </w:t>
      </w:r>
      <w:r>
        <w:rPr>
          <w:rFonts w:ascii="Times New Roman" w:hAnsi="Times New Roman" w:cs="Times New Roman"/>
          <w:color w:val="000000"/>
          <w:sz w:val="24"/>
          <w:szCs w:val="24"/>
        </w:rPr>
        <w:t>with those who start to display m</w:t>
      </w:r>
      <w:r w:rsidRPr="00E212E7">
        <w:rPr>
          <w:rFonts w:ascii="Times New Roman" w:hAnsi="Times New Roman" w:cs="Times New Roman"/>
          <w:color w:val="000000"/>
          <w:sz w:val="24"/>
          <w:szCs w:val="24"/>
        </w:rPr>
        <w:t xml:space="preserve">ental health issues, alcoholic dependencies or substance abuse before they </w:t>
      </w:r>
      <w:r w:rsidRPr="00E212E7">
        <w:rPr>
          <w:rFonts w:ascii="Times New Roman" w:hAnsi="Times New Roman" w:cs="Times New Roman"/>
          <w:color w:val="000000"/>
          <w:sz w:val="24"/>
          <w:szCs w:val="24"/>
        </w:rPr>
        <w:lastRenderedPageBreak/>
        <w:t>reach crisis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point and become high resource consumers. This has become a key aim of Lancashire’s Early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Action Team.</w:t>
      </w:r>
      <w:r>
        <w:rPr>
          <w:rFonts w:ascii="Times New Roman" w:hAnsi="Times New Roman" w:cs="Times New Roman"/>
          <w:color w:val="000000"/>
          <w:sz w:val="24"/>
          <w:szCs w:val="24"/>
        </w:rPr>
        <w:t xml:space="preserve"> Early Action is a multi-agency intervention at the earliest opportunity, delivering sustained solutions to individual and family problems, which is hoped to ultimately build social resilience and create thriving communities. </w:t>
      </w:r>
      <w:r w:rsidRPr="00792E94">
        <w:rPr>
          <w:rFonts w:ascii="Times New Roman" w:hAnsi="Times New Roman" w:cs="Times New Roman"/>
          <w:sz w:val="24"/>
          <w:szCs w:val="24"/>
        </w:rPr>
        <w:t>Early Action applies to both children and adults and aims to reduce vulnerability, improve health and wellbeing, prevent crime and reduce demand across all public services, preventing problems rather than responding to them.</w:t>
      </w:r>
      <w:r>
        <w:rPr>
          <w:rFonts w:ascii="Times New Roman" w:hAnsi="Times New Roman" w:cs="Times New Roman"/>
          <w:color w:val="000000"/>
          <w:sz w:val="24"/>
          <w:szCs w:val="24"/>
        </w:rPr>
        <w:t xml:space="preserve"> </w:t>
      </w:r>
    </w:p>
    <w:p w:rsidR="001769A6" w:rsidRPr="00792E94"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Secondly, as the majority incidents were not traditional police b</w:t>
      </w:r>
      <w:r>
        <w:rPr>
          <w:rFonts w:ascii="Times New Roman" w:hAnsi="Times New Roman" w:cs="Times New Roman"/>
          <w:color w:val="000000"/>
          <w:sz w:val="24"/>
          <w:szCs w:val="24"/>
        </w:rPr>
        <w:t xml:space="preserve">usiness, a large portion of the </w:t>
      </w:r>
      <w:r w:rsidRPr="00E212E7">
        <w:rPr>
          <w:rFonts w:ascii="Times New Roman" w:hAnsi="Times New Roman" w:cs="Times New Roman"/>
          <w:color w:val="000000"/>
          <w:sz w:val="24"/>
          <w:szCs w:val="24"/>
        </w:rPr>
        <w:t>current workload could be more appropriately dealt with by o</w:t>
      </w:r>
      <w:r>
        <w:rPr>
          <w:rFonts w:ascii="Times New Roman" w:hAnsi="Times New Roman" w:cs="Times New Roman"/>
          <w:color w:val="000000"/>
          <w:sz w:val="24"/>
          <w:szCs w:val="24"/>
        </w:rPr>
        <w:t xml:space="preserve">ther agencies or in partnership </w:t>
      </w:r>
      <w:r w:rsidRPr="00E212E7">
        <w:rPr>
          <w:rFonts w:ascii="Times New Roman" w:hAnsi="Times New Roman" w:cs="Times New Roman"/>
          <w:color w:val="000000"/>
          <w:sz w:val="24"/>
          <w:szCs w:val="24"/>
        </w:rPr>
        <w:t>with other agencies. Not only could this improve incident re</w:t>
      </w:r>
      <w:r>
        <w:rPr>
          <w:rFonts w:ascii="Times New Roman" w:hAnsi="Times New Roman" w:cs="Times New Roman"/>
          <w:color w:val="000000"/>
          <w:sz w:val="24"/>
          <w:szCs w:val="24"/>
        </w:rPr>
        <w:t xml:space="preserve">solution time, service and care </w:t>
      </w:r>
      <w:r w:rsidRPr="00E212E7">
        <w:rPr>
          <w:rFonts w:ascii="Times New Roman" w:hAnsi="Times New Roman" w:cs="Times New Roman"/>
          <w:color w:val="000000"/>
          <w:sz w:val="24"/>
          <w:szCs w:val="24"/>
        </w:rPr>
        <w:t>for the caller, the demand on the police would be significantly reduced and resources could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be more appropriately deployed to address traditional police business.</w:t>
      </w:r>
      <w:r>
        <w:rPr>
          <w:rFonts w:ascii="Times New Roman" w:hAnsi="Times New Roman" w:cs="Times New Roman"/>
          <w:color w:val="000000"/>
          <w:sz w:val="24"/>
          <w:szCs w:val="24"/>
        </w:rPr>
        <w:t xml:space="preserve"> For instance, co-responding police-mental health programs that are used to respond to ‘emotionally disturbed persons in the community’ have been found to facilitate strong community services partnerships and reduced justice system demands (Shapiro </w:t>
      </w:r>
      <w:r w:rsidRPr="00C563B2">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2014). In addition, police and mental-health clinician emergency response partnerships have been found to generate service improvements such as more efficient service transition, reduced police officer ‘down time’, and improved interagency knowledge transfer (McKenna, Furness, Oaks and Brown, 2015).  </w:t>
      </w:r>
    </w:p>
    <w:p w:rsidR="001769A6" w:rsidRDefault="001769A6" w:rsidP="001769A6">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Furthermore, early interventions and partnerships should focus on promoting co-production. Co-production involves the development of an equal and reciprocal relationship between the service provider and service user in recognition that the experiences of those who use the services can be utilised to improve it (Clark, 2015). Co-production initiatives have been utilised successfully within the mental healthcare system, i.e. the Lambeth Living Well Collaborative (Innovation Unit, </w:t>
      </w:r>
      <w:r>
        <w:rPr>
          <w:rFonts w:ascii="Times New Roman" w:hAnsi="Times New Roman" w:cs="Times New Roman"/>
          <w:color w:val="000000"/>
          <w:sz w:val="24"/>
          <w:szCs w:val="24"/>
        </w:rPr>
        <w:lastRenderedPageBreak/>
        <w:t xml:space="preserve">n.d). In order to promote co-production within Lancashire Constabulary, </w:t>
      </w:r>
      <w:r w:rsidRPr="00FC2020">
        <w:rPr>
          <w:rFonts w:ascii="Times New Roman" w:hAnsi="Times New Roman" w:cs="Times New Roman"/>
          <w:sz w:val="24"/>
          <w:szCs w:val="24"/>
        </w:rPr>
        <w:t>a new Early Action Support Volunteer role has been created</w:t>
      </w:r>
      <w:r>
        <w:rPr>
          <w:rFonts w:ascii="Times New Roman" w:hAnsi="Times New Roman" w:cs="Times New Roman"/>
          <w:sz w:val="24"/>
          <w:szCs w:val="24"/>
        </w:rPr>
        <w:t xml:space="preserve"> for members of the public in which </w:t>
      </w:r>
      <w:r w:rsidRPr="00FC2020">
        <w:rPr>
          <w:rFonts w:ascii="Times New Roman" w:hAnsi="Times New Roman" w:cs="Times New Roman"/>
          <w:sz w:val="24"/>
          <w:szCs w:val="24"/>
        </w:rPr>
        <w:t>volunteers will provid</w:t>
      </w:r>
      <w:r>
        <w:rPr>
          <w:rFonts w:ascii="Times New Roman" w:hAnsi="Times New Roman" w:cs="Times New Roman"/>
          <w:sz w:val="24"/>
          <w:szCs w:val="24"/>
        </w:rPr>
        <w:t>e</w:t>
      </w:r>
      <w:r w:rsidRPr="00FC2020">
        <w:rPr>
          <w:rFonts w:ascii="Times New Roman" w:hAnsi="Times New Roman" w:cs="Times New Roman"/>
          <w:sz w:val="24"/>
          <w:szCs w:val="24"/>
        </w:rPr>
        <w:t xml:space="preserve"> support and mentoring services for individuals and families who have low to moderate needs and no longer require or receive support from agencies.</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Limitations and future research</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t>One limitation of this research is that the initial data search was based upon the number of</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 xml:space="preserve">incidents linked to addresses rather than the families reporting </w:t>
      </w:r>
      <w:r>
        <w:rPr>
          <w:rFonts w:ascii="Times New Roman" w:hAnsi="Times New Roman" w:cs="Times New Roman"/>
          <w:color w:val="000000"/>
          <w:sz w:val="24"/>
          <w:szCs w:val="24"/>
        </w:rPr>
        <w:t xml:space="preserve">the incidents. As a result, the </w:t>
      </w:r>
      <w:r w:rsidRPr="00E212E7">
        <w:rPr>
          <w:rFonts w:ascii="Times New Roman" w:hAnsi="Times New Roman" w:cs="Times New Roman"/>
          <w:color w:val="000000"/>
          <w:sz w:val="24"/>
          <w:szCs w:val="24"/>
        </w:rPr>
        <w:t>data might not include all calls for service from the families ident</w:t>
      </w:r>
      <w:r>
        <w:rPr>
          <w:rFonts w:ascii="Times New Roman" w:hAnsi="Times New Roman" w:cs="Times New Roman"/>
          <w:color w:val="000000"/>
          <w:sz w:val="24"/>
          <w:szCs w:val="24"/>
        </w:rPr>
        <w:t xml:space="preserve">ified, or certain families that </w:t>
      </w:r>
      <w:r w:rsidRPr="00E212E7">
        <w:rPr>
          <w:rFonts w:ascii="Times New Roman" w:hAnsi="Times New Roman" w:cs="Times New Roman"/>
          <w:color w:val="000000"/>
          <w:sz w:val="24"/>
          <w:szCs w:val="24"/>
        </w:rPr>
        <w:t>have high demand for services may not have been identified du</w:t>
      </w:r>
      <w:r>
        <w:rPr>
          <w:rFonts w:ascii="Times New Roman" w:hAnsi="Times New Roman" w:cs="Times New Roman"/>
          <w:color w:val="000000"/>
          <w:sz w:val="24"/>
          <w:szCs w:val="24"/>
        </w:rPr>
        <w:t xml:space="preserve">e to property relocation during </w:t>
      </w:r>
      <w:r w:rsidRPr="00E212E7">
        <w:rPr>
          <w:rFonts w:ascii="Times New Roman" w:hAnsi="Times New Roman" w:cs="Times New Roman"/>
          <w:color w:val="000000"/>
          <w:sz w:val="24"/>
          <w:szCs w:val="24"/>
        </w:rPr>
        <w:t>2013. In addition, the data in this study only included calls</w:t>
      </w:r>
      <w:r>
        <w:rPr>
          <w:rFonts w:ascii="Times New Roman" w:hAnsi="Times New Roman" w:cs="Times New Roman"/>
          <w:color w:val="000000"/>
          <w:sz w:val="24"/>
          <w:szCs w:val="24"/>
        </w:rPr>
        <w:t xml:space="preserve"> which were coded as incidents. </w:t>
      </w:r>
      <w:r w:rsidRPr="00E212E7">
        <w:rPr>
          <w:rFonts w:ascii="Times New Roman" w:hAnsi="Times New Roman" w:cs="Times New Roman"/>
          <w:color w:val="000000"/>
          <w:sz w:val="24"/>
          <w:szCs w:val="24"/>
        </w:rPr>
        <w:t>There were approximately 700,000 calls received in Lancas</w:t>
      </w:r>
      <w:r>
        <w:rPr>
          <w:rFonts w:ascii="Times New Roman" w:hAnsi="Times New Roman" w:cs="Times New Roman"/>
          <w:color w:val="000000"/>
          <w:sz w:val="24"/>
          <w:szCs w:val="24"/>
        </w:rPr>
        <w:t xml:space="preserve">hire in 2013 which were classed </w:t>
      </w:r>
      <w:r w:rsidRPr="00E212E7">
        <w:rPr>
          <w:rFonts w:ascii="Times New Roman" w:hAnsi="Times New Roman" w:cs="Times New Roman"/>
          <w:color w:val="000000"/>
          <w:sz w:val="24"/>
          <w:szCs w:val="24"/>
        </w:rPr>
        <w:t>as ‘non-incidents’ and these were not included in the current data set. Furthermore, this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research is limited to incidents occurring only during 2013 and in the one specific area</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(Central Division). Future research could examine if the same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families are continuing to demand a large portion of police resources over a number of years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in order to determine the effectiveness of any implemented interventions. This research does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have the potential to be replicated across the different operating divisions with Lancashire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Constabulary to examine if these themes are prevalent across the county.</w:t>
      </w:r>
      <w:r>
        <w:rPr>
          <w:rFonts w:ascii="Times New Roman" w:hAnsi="Times New Roman" w:cs="Times New Roman"/>
          <w:color w:val="000000"/>
          <w:sz w:val="24"/>
          <w:szCs w:val="24"/>
        </w:rPr>
        <w:t xml:space="preserve"> Finally, these results are based on quantitative data only and therefore lack full exploration of any contextual factors that may have impacted the findings. Future research should utilise qualitative data based on real-world examples (i.e. call for service logs), to advance understanding of the topic and any contributing factors.    </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i/>
          <w:iCs/>
          <w:color w:val="000000"/>
          <w:sz w:val="24"/>
          <w:szCs w:val="24"/>
        </w:rPr>
      </w:pPr>
      <w:r w:rsidRPr="00E212E7">
        <w:rPr>
          <w:rFonts w:ascii="Times New Roman" w:hAnsi="Times New Roman" w:cs="Times New Roman"/>
          <w:i/>
          <w:iCs/>
          <w:color w:val="000000"/>
          <w:sz w:val="24"/>
          <w:szCs w:val="24"/>
        </w:rPr>
        <w:t>Conclusions</w:t>
      </w:r>
    </w:p>
    <w:p w:rsidR="001769A6"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r w:rsidRPr="00E212E7">
        <w:rPr>
          <w:rFonts w:ascii="Times New Roman" w:hAnsi="Times New Roman" w:cs="Times New Roman"/>
          <w:color w:val="000000"/>
          <w:sz w:val="24"/>
          <w:szCs w:val="24"/>
        </w:rPr>
        <w:lastRenderedPageBreak/>
        <w:t xml:space="preserve">The requirements and expectations of the police </w:t>
      </w:r>
      <w:r>
        <w:rPr>
          <w:rFonts w:ascii="Times New Roman" w:hAnsi="Times New Roman" w:cs="Times New Roman"/>
          <w:color w:val="000000"/>
          <w:sz w:val="24"/>
          <w:szCs w:val="24"/>
        </w:rPr>
        <w:t>are</w:t>
      </w:r>
      <w:r w:rsidRPr="00E212E7">
        <w:rPr>
          <w:rFonts w:ascii="Times New Roman" w:hAnsi="Times New Roman" w:cs="Times New Roman"/>
          <w:color w:val="000000"/>
          <w:sz w:val="24"/>
          <w:szCs w:val="24"/>
        </w:rPr>
        <w:t xml:space="preserve"> constantly changing and it is important</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that the police stay relevant by addressing current demands. In order to efficiently achieve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this, the demand profile for Lancashire should be continuously monitored to ensure services</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fit this demand. This research found that the majority of incidents being dealt with by the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police within Lancashire Constabulary’s Central Division are not inherently traditional police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work. Furthermore, incidents most typically associated with traditional police work were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found to occur the least in this sample. This suggests that reducing demand and addressing</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key issues requires increased involvement with other agencies to enable the most appropriate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and effective response regarding calls for service. This multi-agency early response could</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also free resources and reduce overall costs. Furthering the results of this study, Lancashire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Constabulary are currently engaged in a large funded project around transforming Public</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Services within Lancashire by engaging with a range of public services who will collectively</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provide the most appropriate support, at the earliest point possible in that individuals life.</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Early identification and appropriate use of interventions are key to reduce the likelihood of</w:t>
      </w:r>
      <w:r>
        <w:rPr>
          <w:rFonts w:ascii="Times New Roman" w:hAnsi="Times New Roman" w:cs="Times New Roman"/>
          <w:color w:val="000000"/>
          <w:sz w:val="24"/>
          <w:szCs w:val="24"/>
        </w:rPr>
        <w:t xml:space="preserve"> </w:t>
      </w:r>
      <w:r w:rsidRPr="00E212E7">
        <w:rPr>
          <w:rFonts w:ascii="Times New Roman" w:hAnsi="Times New Roman" w:cs="Times New Roman"/>
          <w:color w:val="000000"/>
          <w:sz w:val="24"/>
          <w:szCs w:val="24"/>
        </w:rPr>
        <w:t>individuals escalating to crisis point.</w:t>
      </w:r>
    </w:p>
    <w:p w:rsidR="001769A6" w:rsidRPr="00E212E7" w:rsidRDefault="001769A6" w:rsidP="001769A6">
      <w:pPr>
        <w:autoSpaceDE w:val="0"/>
        <w:autoSpaceDN w:val="0"/>
        <w:adjustRightInd w:val="0"/>
        <w:spacing w:after="0" w:line="360" w:lineRule="auto"/>
        <w:jc w:val="both"/>
        <w:rPr>
          <w:rFonts w:ascii="Times New Roman" w:hAnsi="Times New Roman" w:cs="Times New Roman"/>
          <w:color w:val="000000"/>
          <w:sz w:val="24"/>
          <w:szCs w:val="24"/>
        </w:rPr>
      </w:pPr>
    </w:p>
    <w:p w:rsidR="00B019B7" w:rsidRDefault="00B019B7" w:rsidP="001769A6">
      <w:pPr>
        <w:autoSpaceDE w:val="0"/>
        <w:autoSpaceDN w:val="0"/>
        <w:adjustRightInd w:val="0"/>
        <w:spacing w:after="0" w:line="360" w:lineRule="auto"/>
        <w:jc w:val="both"/>
        <w:rPr>
          <w:rFonts w:ascii="Times New Roman" w:hAnsi="Times New Roman" w:cs="Times New Roman"/>
          <w:b/>
          <w:bCs/>
          <w:color w:val="000000"/>
          <w:sz w:val="24"/>
          <w:szCs w:val="24"/>
        </w:rPr>
      </w:pPr>
    </w:p>
    <w:p w:rsidR="00B019B7" w:rsidRDefault="00B019B7" w:rsidP="001769A6">
      <w:pPr>
        <w:autoSpaceDE w:val="0"/>
        <w:autoSpaceDN w:val="0"/>
        <w:adjustRightInd w:val="0"/>
        <w:spacing w:after="0" w:line="360" w:lineRule="auto"/>
        <w:jc w:val="both"/>
        <w:rPr>
          <w:rFonts w:ascii="Times New Roman" w:hAnsi="Times New Roman" w:cs="Times New Roman"/>
          <w:b/>
          <w:bCs/>
          <w:color w:val="000000"/>
          <w:sz w:val="24"/>
          <w:szCs w:val="24"/>
        </w:rPr>
      </w:pPr>
    </w:p>
    <w:p w:rsidR="00B019B7" w:rsidRDefault="00B019B7" w:rsidP="001769A6">
      <w:pPr>
        <w:autoSpaceDE w:val="0"/>
        <w:autoSpaceDN w:val="0"/>
        <w:adjustRightInd w:val="0"/>
        <w:spacing w:after="0" w:line="360" w:lineRule="auto"/>
        <w:jc w:val="both"/>
        <w:rPr>
          <w:rFonts w:ascii="Times New Roman" w:hAnsi="Times New Roman" w:cs="Times New Roman"/>
          <w:b/>
          <w:bCs/>
          <w:color w:val="000000"/>
          <w:sz w:val="24"/>
          <w:szCs w:val="24"/>
        </w:rPr>
      </w:pPr>
    </w:p>
    <w:p w:rsidR="00B019B7" w:rsidRDefault="00B019B7" w:rsidP="001769A6">
      <w:pPr>
        <w:autoSpaceDE w:val="0"/>
        <w:autoSpaceDN w:val="0"/>
        <w:adjustRightInd w:val="0"/>
        <w:spacing w:after="0" w:line="360" w:lineRule="auto"/>
        <w:jc w:val="both"/>
        <w:rPr>
          <w:rFonts w:ascii="Times New Roman" w:hAnsi="Times New Roman" w:cs="Times New Roman"/>
          <w:b/>
          <w:bCs/>
          <w:color w:val="000000"/>
          <w:sz w:val="24"/>
          <w:szCs w:val="24"/>
        </w:rPr>
      </w:pPr>
    </w:p>
    <w:p w:rsidR="00B019B7" w:rsidRDefault="00B019B7" w:rsidP="001769A6">
      <w:pPr>
        <w:autoSpaceDE w:val="0"/>
        <w:autoSpaceDN w:val="0"/>
        <w:adjustRightInd w:val="0"/>
        <w:spacing w:after="0" w:line="360" w:lineRule="auto"/>
        <w:jc w:val="both"/>
        <w:rPr>
          <w:rFonts w:ascii="Times New Roman" w:hAnsi="Times New Roman" w:cs="Times New Roman"/>
          <w:b/>
          <w:bCs/>
          <w:color w:val="000000"/>
          <w:sz w:val="24"/>
          <w:szCs w:val="24"/>
        </w:rPr>
      </w:pPr>
    </w:p>
    <w:p w:rsidR="001769A6" w:rsidRPr="00E212E7" w:rsidRDefault="001769A6" w:rsidP="001769A6">
      <w:pPr>
        <w:autoSpaceDE w:val="0"/>
        <w:autoSpaceDN w:val="0"/>
        <w:adjustRightInd w:val="0"/>
        <w:spacing w:after="0" w:line="360" w:lineRule="auto"/>
        <w:jc w:val="both"/>
        <w:rPr>
          <w:rFonts w:ascii="Times New Roman" w:hAnsi="Times New Roman" w:cs="Times New Roman"/>
          <w:b/>
          <w:bCs/>
          <w:color w:val="000000"/>
          <w:sz w:val="24"/>
          <w:szCs w:val="24"/>
        </w:rPr>
      </w:pPr>
      <w:r w:rsidRPr="00E212E7">
        <w:rPr>
          <w:rFonts w:ascii="Times New Roman" w:hAnsi="Times New Roman" w:cs="Times New Roman"/>
          <w:b/>
          <w:bCs/>
          <w:color w:val="000000"/>
          <w:sz w:val="24"/>
          <w:szCs w:val="24"/>
        </w:rPr>
        <w:t>References</w:t>
      </w:r>
    </w:p>
    <w:p w:rsidR="001769A6" w:rsidRDefault="001769A6" w:rsidP="001769A6">
      <w:pPr>
        <w:spacing w:line="360" w:lineRule="auto"/>
        <w:ind w:left="709" w:hanging="709"/>
        <w:rPr>
          <w:rFonts w:ascii="Times New Roman" w:hAnsi="Times New Roman"/>
          <w:sz w:val="24"/>
          <w:szCs w:val="24"/>
        </w:rPr>
      </w:pPr>
      <w:r>
        <w:rPr>
          <w:rFonts w:ascii="Times New Roman" w:hAnsi="Times New Roman"/>
          <w:sz w:val="24"/>
          <w:szCs w:val="24"/>
        </w:rPr>
        <w:t>Bichler, G., Schmerler, K.</w:t>
      </w:r>
      <w:r w:rsidRPr="00EE2FFA">
        <w:rPr>
          <w:rFonts w:ascii="Times New Roman" w:hAnsi="Times New Roman"/>
          <w:sz w:val="24"/>
          <w:szCs w:val="24"/>
        </w:rPr>
        <w:t xml:space="preserve"> and Enriquez, J. (2013), "Curbing nuisance motels: an evaluation of police as place regulators", </w:t>
      </w:r>
      <w:r w:rsidRPr="00EE2FFA">
        <w:rPr>
          <w:rFonts w:ascii="Times New Roman" w:hAnsi="Times New Roman"/>
          <w:i/>
          <w:sz w:val="24"/>
          <w:szCs w:val="24"/>
        </w:rPr>
        <w:t xml:space="preserve">Policing: An International Journal of Police Strategies &amp; Management, </w:t>
      </w:r>
      <w:r>
        <w:rPr>
          <w:rFonts w:ascii="Times New Roman" w:hAnsi="Times New Roman"/>
          <w:sz w:val="24"/>
          <w:szCs w:val="24"/>
        </w:rPr>
        <w:t>Vol. 36 No. 2, pp. 437-462.</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lastRenderedPageBreak/>
        <w:t>Caudill, J.W., Getty, R</w:t>
      </w:r>
      <w:r>
        <w:rPr>
          <w:rFonts w:ascii="Times New Roman" w:hAnsi="Times New Roman"/>
          <w:sz w:val="24"/>
          <w:szCs w:val="24"/>
        </w:rPr>
        <w:t>.</w:t>
      </w:r>
      <w:r w:rsidRPr="00EE2FFA">
        <w:rPr>
          <w:rFonts w:ascii="Times New Roman" w:hAnsi="Times New Roman"/>
          <w:sz w:val="24"/>
          <w:szCs w:val="24"/>
        </w:rPr>
        <w:t xml:space="preserve">., Smith, R., Patten, R. and Trulson, C.R. (2013), “Discouraging window breakers: the lagged effects of police activity on crime”, </w:t>
      </w:r>
      <w:r w:rsidRPr="00EE2FFA">
        <w:rPr>
          <w:rFonts w:ascii="Times New Roman" w:hAnsi="Times New Roman"/>
          <w:i/>
          <w:sz w:val="24"/>
          <w:szCs w:val="24"/>
        </w:rPr>
        <w:t>Journal of Criminal Justice</w:t>
      </w:r>
      <w:r>
        <w:rPr>
          <w:rFonts w:ascii="Times New Roman" w:hAnsi="Times New Roman"/>
          <w:sz w:val="24"/>
          <w:szCs w:val="24"/>
        </w:rPr>
        <w:t xml:space="preserve">, Vol. 41 No. 1, pp. 18-23. </w:t>
      </w:r>
    </w:p>
    <w:p w:rsidR="001769A6" w:rsidRDefault="001769A6" w:rsidP="001769A6">
      <w:pPr>
        <w:spacing w:line="360" w:lineRule="auto"/>
        <w:ind w:left="709" w:hanging="709"/>
        <w:rPr>
          <w:rFonts w:ascii="Times New Roman" w:hAnsi="Times New Roman"/>
          <w:sz w:val="24"/>
          <w:szCs w:val="24"/>
        </w:rPr>
      </w:pPr>
      <w:r>
        <w:rPr>
          <w:rFonts w:ascii="Times New Roman" w:hAnsi="Times New Roman"/>
          <w:sz w:val="24"/>
          <w:szCs w:val="24"/>
        </w:rPr>
        <w:t xml:space="preserve">Clark, M. (2015), “Co-production in mental healthcare”, </w:t>
      </w:r>
      <w:r w:rsidRPr="00B42455">
        <w:rPr>
          <w:rFonts w:ascii="Times New Roman" w:hAnsi="Times New Roman"/>
          <w:i/>
          <w:sz w:val="24"/>
          <w:szCs w:val="24"/>
        </w:rPr>
        <w:t>Mental Health Review Journal,</w:t>
      </w:r>
      <w:r>
        <w:rPr>
          <w:rFonts w:ascii="Times New Roman" w:hAnsi="Times New Roman"/>
          <w:sz w:val="24"/>
          <w:szCs w:val="24"/>
        </w:rPr>
        <w:t xml:space="preserve"> Vol. 20 No. 4.</w:t>
      </w:r>
    </w:p>
    <w:p w:rsidR="001769A6" w:rsidRDefault="001769A6" w:rsidP="001769A6">
      <w:pPr>
        <w:spacing w:line="360" w:lineRule="auto"/>
        <w:ind w:left="709" w:hanging="709"/>
        <w:rPr>
          <w:rFonts w:ascii="Times New Roman" w:hAnsi="Times New Roman"/>
          <w:sz w:val="24"/>
          <w:szCs w:val="24"/>
        </w:rPr>
      </w:pPr>
      <w:r>
        <w:rPr>
          <w:rFonts w:ascii="Times New Roman" w:hAnsi="Times New Roman"/>
          <w:sz w:val="24"/>
          <w:szCs w:val="24"/>
        </w:rPr>
        <w:t>Clark, R.V. and Weisburd, D. (1994), “Diffusion of crime control benefits: Observations on the reverse of displacement”,</w:t>
      </w:r>
      <w:r w:rsidRPr="00FD14BF">
        <w:rPr>
          <w:rFonts w:ascii="Times New Roman" w:hAnsi="Times New Roman"/>
          <w:sz w:val="24"/>
          <w:szCs w:val="24"/>
        </w:rPr>
        <w:t xml:space="preserve"> </w:t>
      </w:r>
      <w:r w:rsidRPr="00EE2FFA">
        <w:rPr>
          <w:rFonts w:ascii="Times New Roman" w:hAnsi="Times New Roman"/>
          <w:sz w:val="24"/>
          <w:szCs w:val="24"/>
        </w:rPr>
        <w:t xml:space="preserve">in </w:t>
      </w:r>
      <w:r>
        <w:rPr>
          <w:rFonts w:ascii="Times New Roman" w:hAnsi="Times New Roman"/>
          <w:sz w:val="24"/>
          <w:szCs w:val="24"/>
        </w:rPr>
        <w:t>Clark, R.V.</w:t>
      </w:r>
      <w:r w:rsidRPr="00EE2FFA">
        <w:rPr>
          <w:rFonts w:ascii="Times New Roman" w:hAnsi="Times New Roman"/>
          <w:sz w:val="24"/>
          <w:szCs w:val="24"/>
        </w:rPr>
        <w:t xml:space="preserve"> (Ed</w:t>
      </w:r>
      <w:r>
        <w:rPr>
          <w:rFonts w:ascii="Times New Roman" w:hAnsi="Times New Roman"/>
          <w:sz w:val="24"/>
          <w:szCs w:val="24"/>
        </w:rPr>
        <w:t>.</w:t>
      </w:r>
      <w:r w:rsidRPr="00EE2FFA">
        <w:rPr>
          <w:rFonts w:ascii="Times New Roman" w:hAnsi="Times New Roman"/>
          <w:sz w:val="24"/>
          <w:szCs w:val="24"/>
        </w:rPr>
        <w:t>)</w:t>
      </w:r>
      <w:r>
        <w:rPr>
          <w:rFonts w:ascii="Times New Roman" w:hAnsi="Times New Roman"/>
          <w:sz w:val="24"/>
          <w:szCs w:val="24"/>
        </w:rPr>
        <w:t>,</w:t>
      </w:r>
      <w:r w:rsidRPr="00EE2FFA">
        <w:rPr>
          <w:rFonts w:ascii="Times New Roman" w:hAnsi="Times New Roman"/>
          <w:sz w:val="24"/>
          <w:szCs w:val="24"/>
        </w:rPr>
        <w:t xml:space="preserve"> </w:t>
      </w:r>
      <w:r>
        <w:rPr>
          <w:rFonts w:ascii="Times New Roman" w:hAnsi="Times New Roman"/>
          <w:i/>
          <w:sz w:val="24"/>
          <w:szCs w:val="24"/>
        </w:rPr>
        <w:t>Crime Prevention Studies</w:t>
      </w:r>
      <w:r w:rsidRPr="00EE2FFA">
        <w:rPr>
          <w:rFonts w:ascii="Times New Roman" w:hAnsi="Times New Roman"/>
          <w:sz w:val="24"/>
          <w:szCs w:val="24"/>
        </w:rPr>
        <w:t>, C</w:t>
      </w:r>
      <w:r>
        <w:rPr>
          <w:rFonts w:ascii="Times New Roman" w:hAnsi="Times New Roman"/>
          <w:sz w:val="24"/>
          <w:szCs w:val="24"/>
        </w:rPr>
        <w:t>riminal Justice Press, Monsey, NY, pp. 165-183.</w:t>
      </w:r>
    </w:p>
    <w:p w:rsidR="001769A6" w:rsidRDefault="001769A6" w:rsidP="001769A6">
      <w:pPr>
        <w:spacing w:line="360" w:lineRule="auto"/>
        <w:ind w:left="709" w:hanging="709"/>
        <w:rPr>
          <w:rFonts w:ascii="Times New Roman" w:hAnsi="Times New Roman"/>
          <w:sz w:val="24"/>
          <w:szCs w:val="24"/>
        </w:rPr>
      </w:pPr>
      <w:r w:rsidRPr="00C03568">
        <w:rPr>
          <w:rFonts w:ascii="Times New Roman" w:hAnsi="Times New Roman"/>
          <w:sz w:val="24"/>
          <w:szCs w:val="24"/>
        </w:rPr>
        <w:t xml:space="preserve">College of Policing (2015), “College of policing analysis: estimating demand on the police service”, available at: </w:t>
      </w:r>
      <w:hyperlink r:id="rId12" w:history="1">
        <w:r w:rsidRPr="00C03568">
          <w:rPr>
            <w:rStyle w:val="Hyperlink"/>
            <w:rFonts w:ascii="Times New Roman" w:hAnsi="Times New Roman"/>
            <w:sz w:val="24"/>
            <w:szCs w:val="24"/>
          </w:rPr>
          <w:t>http://www.college.police.uk/documents/demand_report_21_1_15.pdf</w:t>
        </w:r>
      </w:hyperlink>
      <w:r w:rsidRPr="00C03568">
        <w:rPr>
          <w:rFonts w:ascii="Times New Roman" w:hAnsi="Times New Roman"/>
          <w:sz w:val="24"/>
          <w:szCs w:val="24"/>
        </w:rPr>
        <w:t xml:space="preserve"> (accessed 09 March 2015).</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Edwards, M.J., Bassett, G., Sinden, L</w:t>
      </w:r>
      <w:r>
        <w:rPr>
          <w:rFonts w:ascii="Times New Roman" w:hAnsi="Times New Roman"/>
          <w:sz w:val="24"/>
          <w:szCs w:val="24"/>
        </w:rPr>
        <w:t>.</w:t>
      </w:r>
      <w:r w:rsidRPr="00EE2FFA">
        <w:rPr>
          <w:rFonts w:ascii="Times New Roman" w:hAnsi="Times New Roman"/>
          <w:sz w:val="24"/>
          <w:szCs w:val="24"/>
        </w:rPr>
        <w:t xml:space="preserve"> and Fothergill, R.T. (2014), “Frequent callers to the ambulance service: patient profiling and impact of case management on patient utilisation of the ambulance service”, </w:t>
      </w:r>
      <w:r w:rsidRPr="00EE2FFA">
        <w:rPr>
          <w:rFonts w:ascii="Times New Roman" w:hAnsi="Times New Roman"/>
          <w:i/>
          <w:iCs/>
          <w:sz w:val="24"/>
          <w:szCs w:val="24"/>
        </w:rPr>
        <w:t>Emergency Medicine Journal</w:t>
      </w:r>
      <w:r w:rsidRPr="00EE2FFA">
        <w:rPr>
          <w:rFonts w:ascii="Times New Roman" w:hAnsi="Times New Roman"/>
          <w:sz w:val="24"/>
          <w:szCs w:val="24"/>
        </w:rPr>
        <w:t>, Vol. 0, pp. 1-5</w:t>
      </w:r>
      <w:r>
        <w:rPr>
          <w:rFonts w:ascii="Times New Roman" w:hAnsi="Times New Roman"/>
          <w:sz w:val="24"/>
          <w:szCs w:val="24"/>
        </w:rPr>
        <w:t>,</w:t>
      </w:r>
      <w:r w:rsidRPr="00EE2FFA">
        <w:rPr>
          <w:rFonts w:ascii="Times New Roman" w:hAnsi="Times New Roman"/>
          <w:sz w:val="24"/>
          <w:szCs w:val="24"/>
        </w:rPr>
        <w:t xml:space="preserve"> available at: </w:t>
      </w:r>
      <w:hyperlink r:id="rId13" w:history="1">
        <w:r w:rsidRPr="00EE2FFA">
          <w:rPr>
            <w:rStyle w:val="Hyperlink"/>
            <w:rFonts w:ascii="Times New Roman" w:hAnsi="Times New Roman"/>
            <w:sz w:val="24"/>
            <w:szCs w:val="24"/>
          </w:rPr>
          <w:t>http://emj.bmj.com/content/early/2014/10/13/emermed-2013-203496.full.pdf+html</w:t>
        </w:r>
      </w:hyperlink>
      <w:r>
        <w:rPr>
          <w:rFonts w:ascii="Times New Roman" w:hAnsi="Times New Roman"/>
          <w:sz w:val="24"/>
          <w:szCs w:val="24"/>
        </w:rPr>
        <w:t xml:space="preserve"> (accessed 27 January 2015).</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Fleming, J. and Grabosky, P. (2009), “Managing the demand for police services, or how to control an insatiable appetite”, </w:t>
      </w:r>
      <w:r w:rsidRPr="00EE2FFA">
        <w:rPr>
          <w:rFonts w:ascii="Times New Roman" w:hAnsi="Times New Roman"/>
          <w:i/>
          <w:iCs/>
          <w:sz w:val="24"/>
          <w:szCs w:val="24"/>
        </w:rPr>
        <w:t>Policing</w:t>
      </w:r>
      <w:r w:rsidRPr="00EE2FFA">
        <w:rPr>
          <w:rFonts w:ascii="Times New Roman" w:hAnsi="Times New Roman"/>
          <w:sz w:val="24"/>
          <w:szCs w:val="24"/>
        </w:rPr>
        <w:t>, Vol. 3 No. 3, pp. 281-291.</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Hill, B. and Paynich, R. (2014), </w:t>
      </w:r>
      <w:r w:rsidRPr="00EE2FFA">
        <w:rPr>
          <w:rFonts w:ascii="Times New Roman" w:hAnsi="Times New Roman"/>
          <w:i/>
          <w:sz w:val="24"/>
          <w:szCs w:val="24"/>
        </w:rPr>
        <w:t xml:space="preserve">Fundamentals of Crime Mapping, </w:t>
      </w:r>
      <w:r w:rsidRPr="00EE2FFA">
        <w:rPr>
          <w:rFonts w:ascii="Times New Roman" w:hAnsi="Times New Roman"/>
          <w:sz w:val="24"/>
          <w:szCs w:val="24"/>
        </w:rPr>
        <w:t>2</w:t>
      </w:r>
      <w:r w:rsidRPr="00EE2FFA">
        <w:rPr>
          <w:rFonts w:ascii="Times New Roman" w:hAnsi="Times New Roman"/>
          <w:sz w:val="24"/>
          <w:szCs w:val="24"/>
          <w:vertAlign w:val="superscript"/>
        </w:rPr>
        <w:t>nd</w:t>
      </w:r>
      <w:r w:rsidRPr="00EE2FFA">
        <w:rPr>
          <w:rFonts w:ascii="Times New Roman" w:hAnsi="Times New Roman"/>
          <w:sz w:val="24"/>
          <w:szCs w:val="24"/>
        </w:rPr>
        <w:t xml:space="preserve"> ed, Jones and Bartlett Learni</w:t>
      </w:r>
      <w:r>
        <w:rPr>
          <w:rFonts w:ascii="Times New Roman" w:hAnsi="Times New Roman"/>
          <w:sz w:val="24"/>
          <w:szCs w:val="24"/>
        </w:rPr>
        <w:t>ng, Burlington, Massachusetts.</w:t>
      </w:r>
    </w:p>
    <w:p w:rsidR="001769A6" w:rsidRDefault="001769A6" w:rsidP="001769A6">
      <w:pPr>
        <w:spacing w:line="360" w:lineRule="auto"/>
        <w:ind w:left="709" w:hanging="709"/>
        <w:rPr>
          <w:rFonts w:ascii="Times New Roman" w:hAnsi="Times New Roman"/>
          <w:sz w:val="24"/>
          <w:szCs w:val="24"/>
        </w:rPr>
      </w:pPr>
      <w:r>
        <w:rPr>
          <w:rFonts w:ascii="Times New Roman" w:hAnsi="Times New Roman"/>
          <w:sz w:val="24"/>
          <w:szCs w:val="24"/>
        </w:rPr>
        <w:lastRenderedPageBreak/>
        <w:t xml:space="preserve">HMIC. (2012), “Taking time for crime: A study of how police officers prevent crime in the field”, available at: </w:t>
      </w:r>
      <w:hyperlink r:id="rId14" w:history="1">
        <w:r w:rsidRPr="00D31C8A">
          <w:rPr>
            <w:rStyle w:val="Hyperlink"/>
            <w:rFonts w:ascii="Times New Roman" w:hAnsi="Times New Roman"/>
            <w:sz w:val="24"/>
            <w:szCs w:val="24"/>
          </w:rPr>
          <w:t>http://www.justiceinspectorates.gov.uk/hmic/media/taking-time-for-crime.pdf</w:t>
        </w:r>
      </w:hyperlink>
      <w:r>
        <w:rPr>
          <w:rFonts w:ascii="Times New Roman" w:hAnsi="Times New Roman"/>
          <w:sz w:val="24"/>
          <w:szCs w:val="24"/>
        </w:rPr>
        <w:t xml:space="preserve"> (accessed 20 November 2015).</w:t>
      </w:r>
    </w:p>
    <w:p w:rsidR="001769A6" w:rsidRPr="00B019B7" w:rsidRDefault="001769A6" w:rsidP="001769A6">
      <w:pPr>
        <w:spacing w:line="360" w:lineRule="auto"/>
        <w:ind w:left="709" w:hanging="709"/>
        <w:rPr>
          <w:rStyle w:val="A0"/>
          <w:rFonts w:ascii="Times New Roman" w:hAnsi="Times New Roman"/>
          <w:b w:val="0"/>
          <w:bCs w:val="0"/>
          <w:sz w:val="24"/>
          <w:szCs w:val="24"/>
        </w:rPr>
      </w:pPr>
      <w:r w:rsidRPr="00EE2FFA">
        <w:rPr>
          <w:rFonts w:ascii="Times New Roman" w:hAnsi="Times New Roman"/>
          <w:sz w:val="24"/>
          <w:szCs w:val="24"/>
        </w:rPr>
        <w:t xml:space="preserve">HMIC. (2013), </w:t>
      </w:r>
      <w:r w:rsidRPr="00B019B7">
        <w:rPr>
          <w:rFonts w:ascii="Times New Roman" w:hAnsi="Times New Roman"/>
          <w:sz w:val="24"/>
          <w:szCs w:val="24"/>
        </w:rPr>
        <w:t>“</w:t>
      </w:r>
      <w:r w:rsidRPr="00B019B7">
        <w:rPr>
          <w:rStyle w:val="A0"/>
          <w:rFonts w:ascii="Times New Roman" w:hAnsi="Times New Roman"/>
          <w:b w:val="0"/>
          <w:sz w:val="24"/>
          <w:szCs w:val="24"/>
        </w:rPr>
        <w:t>Lancashire Constabulary’s response to the funding challenge</w:t>
      </w:r>
      <w:r w:rsidRPr="00B019B7">
        <w:rPr>
          <w:rStyle w:val="A0"/>
          <w:rFonts w:ascii="Times New Roman" w:hAnsi="Times New Roman"/>
          <w:b w:val="0"/>
          <w:i/>
          <w:sz w:val="24"/>
          <w:szCs w:val="24"/>
        </w:rPr>
        <w:t>”,</w:t>
      </w:r>
      <w:r w:rsidRPr="00B019B7">
        <w:rPr>
          <w:rStyle w:val="A0"/>
          <w:rFonts w:ascii="Times New Roman" w:hAnsi="Times New Roman"/>
          <w:b w:val="0"/>
          <w:sz w:val="24"/>
          <w:szCs w:val="24"/>
        </w:rPr>
        <w:t xml:space="preserve"> available at: </w:t>
      </w:r>
      <w:hyperlink r:id="rId15" w:history="1">
        <w:r w:rsidRPr="00B019B7">
          <w:rPr>
            <w:rStyle w:val="Hyperlink"/>
            <w:rFonts w:ascii="Times New Roman" w:hAnsi="Times New Roman"/>
            <w:sz w:val="24"/>
            <w:szCs w:val="24"/>
          </w:rPr>
          <w:t>http://www.hmic.gov.uk/media/lancashire-response-to-the-funding-challenge.pdf</w:t>
        </w:r>
      </w:hyperlink>
      <w:r w:rsidRPr="00B019B7">
        <w:rPr>
          <w:rStyle w:val="A0"/>
          <w:rFonts w:ascii="Times New Roman" w:hAnsi="Times New Roman"/>
          <w:b w:val="0"/>
          <w:sz w:val="24"/>
          <w:szCs w:val="24"/>
        </w:rPr>
        <w:t xml:space="preserve"> (accessed 27 January 2015).</w:t>
      </w:r>
    </w:p>
    <w:p w:rsidR="001769A6" w:rsidRPr="00B019B7" w:rsidRDefault="001769A6" w:rsidP="001769A6">
      <w:pPr>
        <w:spacing w:line="360" w:lineRule="auto"/>
        <w:ind w:left="709" w:hanging="709"/>
        <w:rPr>
          <w:rStyle w:val="A0"/>
          <w:rFonts w:ascii="Times New Roman" w:hAnsi="Times New Roman"/>
          <w:b w:val="0"/>
          <w:bCs w:val="0"/>
          <w:sz w:val="24"/>
          <w:szCs w:val="24"/>
        </w:rPr>
      </w:pPr>
      <w:r w:rsidRPr="00B019B7">
        <w:rPr>
          <w:rStyle w:val="A0"/>
          <w:rFonts w:ascii="Times New Roman" w:hAnsi="Times New Roman"/>
          <w:b w:val="0"/>
          <w:sz w:val="24"/>
          <w:szCs w:val="24"/>
        </w:rPr>
        <w:t xml:space="preserve">Home Office. (n.d), “Have you got what it takes? Tackling troubled families”, available at </w:t>
      </w:r>
      <w:hyperlink r:id="rId16" w:history="1">
        <w:r w:rsidRPr="00B019B7">
          <w:rPr>
            <w:rStyle w:val="Hyperlink"/>
            <w:rFonts w:ascii="Times New Roman" w:hAnsi="Times New Roman"/>
            <w:sz w:val="24"/>
            <w:szCs w:val="24"/>
          </w:rPr>
          <w:t>https://www.gov.uk/government/uploads/system/uploads/attachment_data/file/117408/tackling-troubled-families.pdf</w:t>
        </w:r>
      </w:hyperlink>
      <w:r w:rsidRPr="00B019B7">
        <w:rPr>
          <w:rStyle w:val="A0"/>
          <w:rFonts w:ascii="Times New Roman" w:hAnsi="Times New Roman"/>
          <w:b w:val="0"/>
          <w:sz w:val="24"/>
          <w:szCs w:val="24"/>
        </w:rPr>
        <w:t xml:space="preserve"> (accessed 27 January 2015).</w:t>
      </w:r>
    </w:p>
    <w:p w:rsidR="001769A6" w:rsidRDefault="001769A6" w:rsidP="001769A6">
      <w:pPr>
        <w:spacing w:line="360" w:lineRule="auto"/>
        <w:ind w:left="709" w:hanging="709"/>
        <w:rPr>
          <w:rFonts w:ascii="Times New Roman" w:hAnsi="Times New Roman"/>
          <w:color w:val="221E1F"/>
          <w:sz w:val="24"/>
          <w:szCs w:val="24"/>
        </w:rPr>
      </w:pPr>
      <w:r>
        <w:rPr>
          <w:rFonts w:ascii="Times New Roman" w:hAnsi="Times New Roman"/>
          <w:color w:val="221E1F"/>
          <w:sz w:val="24"/>
          <w:szCs w:val="24"/>
        </w:rPr>
        <w:t xml:space="preserve">Innovation Unit. (n.d.), Co-production in mental Health, [online], available at: </w:t>
      </w:r>
      <w:hyperlink r:id="rId17" w:history="1">
        <w:r w:rsidRPr="005A26CC">
          <w:rPr>
            <w:rStyle w:val="Hyperlink"/>
            <w:rFonts w:ascii="Times New Roman" w:hAnsi="Times New Roman"/>
            <w:sz w:val="24"/>
            <w:szCs w:val="24"/>
          </w:rPr>
          <w:t>http://innovationunit.org/our-projects/projects/co-production-mental-health</w:t>
        </w:r>
      </w:hyperlink>
      <w:r>
        <w:rPr>
          <w:rFonts w:ascii="Times New Roman" w:hAnsi="Times New Roman"/>
          <w:color w:val="221E1F"/>
          <w:sz w:val="24"/>
          <w:szCs w:val="24"/>
        </w:rPr>
        <w:t xml:space="preserve"> (accessed 20 November 2015). </w:t>
      </w:r>
    </w:p>
    <w:p w:rsidR="001769A6" w:rsidRDefault="001769A6" w:rsidP="001769A6">
      <w:pPr>
        <w:spacing w:line="360" w:lineRule="auto"/>
        <w:ind w:left="709" w:hanging="709"/>
        <w:rPr>
          <w:rFonts w:ascii="Times New Roman" w:hAnsi="Times New Roman"/>
          <w:sz w:val="24"/>
          <w:szCs w:val="24"/>
        </w:rPr>
      </w:pPr>
      <w:r w:rsidRPr="0002280D">
        <w:rPr>
          <w:rFonts w:ascii="Times New Roman" w:hAnsi="Times New Roman"/>
          <w:color w:val="221E1F"/>
          <w:sz w:val="24"/>
          <w:szCs w:val="24"/>
        </w:rPr>
        <w:t xml:space="preserve">Health and Social Care Information Centre, </w:t>
      </w:r>
      <w:r>
        <w:rPr>
          <w:rFonts w:ascii="Times New Roman" w:hAnsi="Times New Roman"/>
          <w:color w:val="221E1F"/>
          <w:sz w:val="24"/>
          <w:szCs w:val="24"/>
        </w:rPr>
        <w:t>(</w:t>
      </w:r>
      <w:r w:rsidRPr="0002280D">
        <w:rPr>
          <w:rFonts w:ascii="Times New Roman" w:hAnsi="Times New Roman"/>
          <w:color w:val="221E1F"/>
          <w:sz w:val="24"/>
          <w:szCs w:val="24"/>
        </w:rPr>
        <w:t>2014</w:t>
      </w:r>
      <w:r>
        <w:rPr>
          <w:rFonts w:ascii="Times New Roman" w:hAnsi="Times New Roman"/>
          <w:color w:val="221E1F"/>
          <w:sz w:val="24"/>
          <w:szCs w:val="24"/>
        </w:rPr>
        <w:t>) “</w:t>
      </w:r>
      <w:r w:rsidRPr="0002280D">
        <w:rPr>
          <w:rFonts w:ascii="Times New Roman" w:eastAsia="Times New Roman" w:hAnsi="Times New Roman"/>
          <w:bCs/>
          <w:color w:val="2C2C2C"/>
          <w:spacing w:val="-5"/>
          <w:kern w:val="36"/>
          <w:sz w:val="24"/>
          <w:szCs w:val="24"/>
          <w:lang w:eastAsia="en-GB"/>
        </w:rPr>
        <w:t>Inpatients Formally Detained in Hospitals Under the Mental Health Act 1983 and Patients Subject to Supervised Community Treatment, England - 2013-2014, Annual figures</w:t>
      </w:r>
      <w:r>
        <w:rPr>
          <w:rFonts w:ascii="Times New Roman" w:eastAsia="Times New Roman" w:hAnsi="Times New Roman"/>
          <w:bCs/>
          <w:color w:val="2C2C2C"/>
          <w:spacing w:val="-5"/>
          <w:kern w:val="36"/>
          <w:sz w:val="24"/>
          <w:szCs w:val="24"/>
          <w:lang w:eastAsia="en-GB"/>
        </w:rPr>
        <w:t xml:space="preserve">”, available at: </w:t>
      </w:r>
      <w:r w:rsidRPr="0002280D">
        <w:rPr>
          <w:rFonts w:ascii="Times New Roman" w:eastAsia="Times New Roman" w:hAnsi="Times New Roman"/>
          <w:vanish/>
          <w:color w:val="000000"/>
          <w:sz w:val="24"/>
          <w:szCs w:val="24"/>
          <w:lang w:eastAsia="en-GB"/>
        </w:rPr>
        <w:t>14:46 March 09, 2015 - 09:30 October 29, 2014</w:t>
      </w:r>
      <w:hyperlink r:id="rId18" w:history="1">
        <w:r w:rsidRPr="0002280D">
          <w:rPr>
            <w:rStyle w:val="Hyperlink"/>
            <w:rFonts w:ascii="Times New Roman" w:hAnsi="Times New Roman"/>
            <w:sz w:val="24"/>
            <w:szCs w:val="24"/>
          </w:rPr>
          <w:t>http://www.hscic.gov.uk/catalogue/PUB15812</w:t>
        </w:r>
      </w:hyperlink>
      <w:r>
        <w:rPr>
          <w:rFonts w:ascii="Times New Roman" w:hAnsi="Times New Roman"/>
          <w:color w:val="221E1F"/>
          <w:sz w:val="24"/>
          <w:szCs w:val="24"/>
        </w:rPr>
        <w:t xml:space="preserve"> (accessed 09 March 2015).</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Johnson, R.R. and Rhodes, T.N. (2009), “Urban and small town comparison of citizen demand for police services”, </w:t>
      </w:r>
      <w:r w:rsidRPr="00EE2FFA">
        <w:rPr>
          <w:rFonts w:ascii="Times New Roman" w:hAnsi="Times New Roman"/>
          <w:i/>
          <w:iCs/>
          <w:sz w:val="24"/>
          <w:szCs w:val="24"/>
        </w:rPr>
        <w:t>International Journal of Police Science &amp; Management</w:t>
      </w:r>
      <w:r w:rsidRPr="00EE2FFA">
        <w:rPr>
          <w:rFonts w:ascii="Times New Roman" w:hAnsi="Times New Roman"/>
          <w:sz w:val="24"/>
          <w:szCs w:val="24"/>
        </w:rPr>
        <w:t xml:space="preserve">, Vol. </w:t>
      </w:r>
      <w:r>
        <w:rPr>
          <w:rFonts w:ascii="Times New Roman" w:hAnsi="Times New Roman"/>
          <w:iCs/>
          <w:sz w:val="24"/>
          <w:szCs w:val="24"/>
        </w:rPr>
        <w:t xml:space="preserve">11 </w:t>
      </w:r>
      <w:r w:rsidRPr="00EE2FFA">
        <w:rPr>
          <w:rFonts w:ascii="Times New Roman" w:hAnsi="Times New Roman"/>
          <w:iCs/>
          <w:sz w:val="24"/>
          <w:szCs w:val="24"/>
        </w:rPr>
        <w:t xml:space="preserve">No. </w:t>
      </w:r>
      <w:r w:rsidRPr="00EE2FFA">
        <w:rPr>
          <w:rFonts w:ascii="Times New Roman" w:hAnsi="Times New Roman"/>
          <w:sz w:val="24"/>
          <w:szCs w:val="24"/>
        </w:rPr>
        <w:t>1, pp. 27-38.</w:t>
      </w:r>
    </w:p>
    <w:p w:rsidR="001769A6" w:rsidRDefault="001769A6" w:rsidP="001769A6">
      <w:pPr>
        <w:spacing w:line="360" w:lineRule="auto"/>
        <w:ind w:left="709" w:hanging="709"/>
        <w:rPr>
          <w:rFonts w:ascii="Times New Roman" w:hAnsi="Times New Roman" w:cs="Times New Roman"/>
          <w:color w:val="333333"/>
          <w:sz w:val="24"/>
          <w:szCs w:val="24"/>
        </w:rPr>
      </w:pPr>
      <w:r w:rsidRPr="00EE2FFA">
        <w:rPr>
          <w:rFonts w:ascii="Times New Roman" w:hAnsi="Times New Roman"/>
          <w:sz w:val="24"/>
          <w:szCs w:val="24"/>
        </w:rPr>
        <w:t xml:space="preserve">Karn, J. (2013), </w:t>
      </w:r>
      <w:r w:rsidRPr="00EE2FFA">
        <w:rPr>
          <w:rFonts w:ascii="Times New Roman" w:hAnsi="Times New Roman"/>
          <w:i/>
          <w:sz w:val="24"/>
          <w:szCs w:val="24"/>
          <w:lang w:eastAsia="en-GB"/>
        </w:rPr>
        <w:t xml:space="preserve">Policing and Crime Reduction: The evidence and its implications for practice, </w:t>
      </w:r>
      <w:r>
        <w:rPr>
          <w:rFonts w:ascii="Times New Roman" w:hAnsi="Times New Roman"/>
          <w:sz w:val="24"/>
          <w:szCs w:val="24"/>
          <w:lang w:eastAsia="en-GB"/>
        </w:rPr>
        <w:t>The Police Foundation, London.</w:t>
      </w:r>
    </w:p>
    <w:p w:rsidR="001769A6" w:rsidRPr="006268CD" w:rsidRDefault="001769A6" w:rsidP="001769A6">
      <w:pPr>
        <w:spacing w:line="360" w:lineRule="auto"/>
        <w:ind w:left="709" w:hanging="709"/>
        <w:rPr>
          <w:rFonts w:ascii="Times New Roman" w:hAnsi="Times New Roman" w:cs="Times New Roman"/>
          <w:color w:val="333333"/>
          <w:sz w:val="24"/>
          <w:szCs w:val="24"/>
        </w:rPr>
      </w:pPr>
      <w:r w:rsidRPr="006268CD">
        <w:rPr>
          <w:rFonts w:ascii="Times New Roman" w:hAnsi="Times New Roman" w:cs="Times New Roman"/>
          <w:color w:val="333333"/>
          <w:sz w:val="24"/>
          <w:szCs w:val="24"/>
        </w:rPr>
        <w:lastRenderedPageBreak/>
        <w:t>Lancashire Constabulary</w:t>
      </w:r>
      <w:r>
        <w:rPr>
          <w:rFonts w:ascii="Times New Roman" w:hAnsi="Times New Roman" w:cs="Times New Roman"/>
          <w:color w:val="333333"/>
          <w:sz w:val="24"/>
          <w:szCs w:val="24"/>
        </w:rPr>
        <w:t>, (</w:t>
      </w:r>
      <w:r w:rsidRPr="006268CD">
        <w:rPr>
          <w:rFonts w:ascii="Times New Roman" w:hAnsi="Times New Roman" w:cs="Times New Roman"/>
          <w:color w:val="333333"/>
          <w:sz w:val="24"/>
          <w:szCs w:val="24"/>
        </w:rPr>
        <w:t>2016</w:t>
      </w:r>
      <w:r>
        <w:rPr>
          <w:rFonts w:ascii="Times New Roman" w:hAnsi="Times New Roman" w:cs="Times New Roman"/>
          <w:color w:val="333333"/>
          <w:sz w:val="24"/>
          <w:szCs w:val="24"/>
        </w:rPr>
        <w:t xml:space="preserve">) About Us, [online], available at: </w:t>
      </w:r>
      <w:hyperlink r:id="rId19" w:history="1">
        <w:r w:rsidRPr="006268CD">
          <w:rPr>
            <w:rStyle w:val="Hyperlink"/>
            <w:rFonts w:ascii="Times New Roman" w:hAnsi="Times New Roman" w:cs="Times New Roman"/>
            <w:sz w:val="24"/>
            <w:szCs w:val="24"/>
          </w:rPr>
          <w:t>http://www.lancashire.police.uk/about-us</w:t>
        </w:r>
      </w:hyperlink>
      <w:r>
        <w:rPr>
          <w:rFonts w:ascii="Times New Roman" w:hAnsi="Times New Roman" w:cs="Times New Roman"/>
          <w:color w:val="333333"/>
          <w:sz w:val="24"/>
          <w:szCs w:val="24"/>
        </w:rPr>
        <w:t xml:space="preserve"> (a</w:t>
      </w:r>
      <w:r w:rsidRPr="006268CD">
        <w:rPr>
          <w:rFonts w:ascii="Times New Roman" w:hAnsi="Times New Roman" w:cs="Times New Roman"/>
          <w:color w:val="333333"/>
          <w:sz w:val="24"/>
          <w:szCs w:val="24"/>
        </w:rPr>
        <w:t xml:space="preserve">ccessed 12 January </w:t>
      </w:r>
      <w:r>
        <w:rPr>
          <w:rFonts w:ascii="Times New Roman" w:hAnsi="Times New Roman" w:cs="Times New Roman"/>
          <w:color w:val="333333"/>
          <w:sz w:val="24"/>
          <w:szCs w:val="24"/>
        </w:rPr>
        <w:t>20</w:t>
      </w:r>
      <w:r w:rsidRPr="006268CD">
        <w:rPr>
          <w:rFonts w:ascii="Times New Roman" w:hAnsi="Times New Roman" w:cs="Times New Roman"/>
          <w:color w:val="333333"/>
          <w:sz w:val="24"/>
          <w:szCs w:val="24"/>
        </w:rPr>
        <w:t>16</w:t>
      </w:r>
      <w:r>
        <w:rPr>
          <w:rFonts w:ascii="Times New Roman" w:hAnsi="Times New Roman" w:cs="Times New Roman"/>
          <w:color w:val="333333"/>
          <w:sz w:val="24"/>
          <w:szCs w:val="24"/>
        </w:rPr>
        <w:t>)</w:t>
      </w:r>
      <w:r w:rsidRPr="006268CD">
        <w:rPr>
          <w:rFonts w:ascii="Times New Roman" w:hAnsi="Times New Roman" w:cs="Times New Roman"/>
          <w:color w:val="333333"/>
          <w:sz w:val="24"/>
          <w:szCs w:val="24"/>
        </w:rPr>
        <w:t>.</w:t>
      </w:r>
    </w:p>
    <w:p w:rsidR="001769A6" w:rsidRDefault="001769A6" w:rsidP="001769A6">
      <w:pPr>
        <w:spacing w:line="360" w:lineRule="auto"/>
        <w:ind w:left="709" w:hanging="709"/>
        <w:rPr>
          <w:rFonts w:ascii="Times New Roman" w:hAnsi="Times New Roman"/>
          <w:color w:val="000000"/>
          <w:sz w:val="24"/>
          <w:szCs w:val="24"/>
        </w:rPr>
      </w:pPr>
      <w:r>
        <w:rPr>
          <w:rFonts w:ascii="Times New Roman" w:hAnsi="Times New Roman"/>
          <w:color w:val="000000"/>
          <w:sz w:val="24"/>
          <w:szCs w:val="24"/>
        </w:rPr>
        <w:t xml:space="preserve">McKenna, B., Furness, T., Oaks, J. and Brown, S. (2015), “Police and mental health clinician partnership in response to mental health crisis: A qualitative study”, </w:t>
      </w:r>
      <w:r w:rsidRPr="00BC7B33">
        <w:rPr>
          <w:rFonts w:ascii="Times New Roman" w:hAnsi="Times New Roman"/>
          <w:i/>
          <w:color w:val="000000"/>
          <w:sz w:val="24"/>
          <w:szCs w:val="24"/>
        </w:rPr>
        <w:t>International Journal of Mental Health Nursing,</w:t>
      </w:r>
      <w:r>
        <w:rPr>
          <w:rFonts w:ascii="Times New Roman" w:hAnsi="Times New Roman"/>
          <w:color w:val="000000"/>
          <w:sz w:val="24"/>
          <w:szCs w:val="24"/>
        </w:rPr>
        <w:t xml:space="preserve"> Vol. 24 No. 5, pp. 386-393.</w:t>
      </w:r>
    </w:p>
    <w:p w:rsidR="001769A6" w:rsidRDefault="001769A6" w:rsidP="001769A6">
      <w:pPr>
        <w:spacing w:line="360" w:lineRule="auto"/>
        <w:ind w:left="709" w:hanging="709"/>
        <w:rPr>
          <w:rStyle w:val="A0"/>
          <w:rFonts w:ascii="Times New Roman" w:hAnsi="Times New Roman"/>
          <w:b w:val="0"/>
          <w:bCs w:val="0"/>
          <w:sz w:val="24"/>
          <w:szCs w:val="24"/>
        </w:rPr>
      </w:pPr>
      <w:r w:rsidRPr="00EE2FFA">
        <w:rPr>
          <w:rFonts w:ascii="Times New Roman" w:hAnsi="Times New Roman"/>
          <w:sz w:val="24"/>
          <w:szCs w:val="24"/>
        </w:rPr>
        <w:t xml:space="preserve">Ratcliffe, J.H., Taniguchi, T., Groff, E.R. and Wood, J.D. (2011), “The Philadelphia foot patrol experiment: a randomized controlled trial of police patrol effectiveness in violent crime hotspots”, </w:t>
      </w:r>
      <w:r w:rsidRPr="00EE2FFA">
        <w:rPr>
          <w:rFonts w:ascii="Times New Roman" w:hAnsi="Times New Roman"/>
          <w:i/>
          <w:sz w:val="24"/>
          <w:szCs w:val="24"/>
        </w:rPr>
        <w:t>Criminology</w:t>
      </w:r>
      <w:r w:rsidRPr="00EE2FFA">
        <w:rPr>
          <w:rFonts w:ascii="Times New Roman" w:hAnsi="Times New Roman"/>
          <w:sz w:val="24"/>
          <w:szCs w:val="24"/>
        </w:rPr>
        <w:t>, Vol. 49 No. 3, pp. 795-831.</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Sampson, R.J., Raudenbush, S.W. and Earls, F. (1997), “Neighbourhoods and Violent Crime: A Multilevel Study of Collective Efficacy”, </w:t>
      </w:r>
      <w:r w:rsidRPr="00C03568">
        <w:rPr>
          <w:rFonts w:ascii="Times New Roman" w:hAnsi="Times New Roman"/>
          <w:i/>
          <w:iCs/>
          <w:sz w:val="24"/>
          <w:szCs w:val="24"/>
        </w:rPr>
        <w:t>Science</w:t>
      </w:r>
      <w:r w:rsidRPr="00EE2FFA">
        <w:rPr>
          <w:rFonts w:ascii="Times New Roman" w:hAnsi="Times New Roman"/>
          <w:iCs/>
          <w:sz w:val="24"/>
          <w:szCs w:val="24"/>
        </w:rPr>
        <w:t xml:space="preserve">, Vol. </w:t>
      </w:r>
      <w:r w:rsidRPr="00EE2FFA">
        <w:rPr>
          <w:rFonts w:ascii="Times New Roman" w:hAnsi="Times New Roman"/>
          <w:sz w:val="24"/>
          <w:szCs w:val="24"/>
        </w:rPr>
        <w:t>277, pp. 918-924.</w:t>
      </w:r>
    </w:p>
    <w:p w:rsidR="001769A6" w:rsidRPr="00B019B7" w:rsidRDefault="001769A6" w:rsidP="001769A6">
      <w:pPr>
        <w:spacing w:line="360" w:lineRule="auto"/>
        <w:ind w:left="709" w:hanging="709"/>
        <w:rPr>
          <w:rStyle w:val="A0"/>
          <w:rFonts w:ascii="Times New Roman" w:hAnsi="Times New Roman"/>
          <w:b w:val="0"/>
          <w:bCs w:val="0"/>
          <w:sz w:val="24"/>
          <w:szCs w:val="24"/>
        </w:rPr>
      </w:pPr>
      <w:r w:rsidRPr="00B019B7">
        <w:rPr>
          <w:rStyle w:val="A0"/>
          <w:rFonts w:ascii="Times New Roman" w:hAnsi="Times New Roman"/>
          <w:b w:val="0"/>
          <w:sz w:val="24"/>
          <w:szCs w:val="24"/>
        </w:rPr>
        <w:t xml:space="preserve">Scott, E.J. (1981), </w:t>
      </w:r>
      <w:r w:rsidRPr="00B019B7">
        <w:rPr>
          <w:rStyle w:val="A0"/>
          <w:rFonts w:ascii="Times New Roman" w:hAnsi="Times New Roman"/>
          <w:b w:val="0"/>
          <w:i/>
          <w:sz w:val="24"/>
          <w:szCs w:val="24"/>
        </w:rPr>
        <w:t>Calls for Service – Citizen Demand and Initial Police Response</w:t>
      </w:r>
      <w:r w:rsidRPr="00B019B7">
        <w:rPr>
          <w:rStyle w:val="A0"/>
          <w:rFonts w:ascii="Times New Roman" w:hAnsi="Times New Roman"/>
          <w:b w:val="0"/>
          <w:sz w:val="24"/>
          <w:szCs w:val="24"/>
        </w:rPr>
        <w:t>, National Institute of Justice, Washington, DC.</w:t>
      </w:r>
    </w:p>
    <w:p w:rsidR="001769A6" w:rsidRDefault="001769A6" w:rsidP="001769A6">
      <w:pPr>
        <w:spacing w:line="360" w:lineRule="auto"/>
        <w:ind w:left="709" w:hanging="709"/>
        <w:rPr>
          <w:rFonts w:ascii="Times New Roman" w:hAnsi="Times New Roman"/>
          <w:sz w:val="24"/>
          <w:szCs w:val="24"/>
        </w:rPr>
      </w:pPr>
      <w:r w:rsidRPr="00B019B7">
        <w:rPr>
          <w:rFonts w:ascii="Times New Roman" w:hAnsi="Times New Roman"/>
          <w:sz w:val="24"/>
          <w:szCs w:val="24"/>
        </w:rPr>
        <w:t xml:space="preserve">Shapiro, G.K., Cusi, A., Kirst, M., O’Camp, P., Nakhost, A., and Stergiopoulos, V. (2014), “Co-responding police-mental health programs: A review”, </w:t>
      </w:r>
      <w:r w:rsidRPr="00B019B7">
        <w:rPr>
          <w:rFonts w:ascii="Times New Roman" w:hAnsi="Times New Roman"/>
          <w:i/>
          <w:sz w:val="24"/>
          <w:szCs w:val="24"/>
        </w:rPr>
        <w:t>Administration and Policy</w:t>
      </w:r>
      <w:r w:rsidRPr="00C563B2">
        <w:rPr>
          <w:rFonts w:ascii="Times New Roman" w:hAnsi="Times New Roman"/>
          <w:i/>
          <w:sz w:val="24"/>
          <w:szCs w:val="24"/>
        </w:rPr>
        <w:t xml:space="preserve"> in Mental Health and Mental Health Services Research, </w:t>
      </w:r>
      <w:r>
        <w:rPr>
          <w:rFonts w:ascii="Times New Roman" w:hAnsi="Times New Roman"/>
          <w:sz w:val="24"/>
          <w:szCs w:val="24"/>
        </w:rPr>
        <w:t>Vol. 42 No. 5, pp. 1-15.</w:t>
      </w:r>
    </w:p>
    <w:p w:rsidR="001769A6" w:rsidRDefault="001769A6" w:rsidP="001769A6">
      <w:pPr>
        <w:spacing w:line="360" w:lineRule="auto"/>
        <w:ind w:left="709" w:hanging="709"/>
        <w:rPr>
          <w:rFonts w:ascii="Times New Roman" w:hAnsi="Times New Roman"/>
          <w:sz w:val="24"/>
          <w:szCs w:val="24"/>
        </w:rPr>
      </w:pPr>
      <w:r>
        <w:rPr>
          <w:rFonts w:ascii="Times New Roman" w:hAnsi="Times New Roman"/>
          <w:sz w:val="24"/>
          <w:szCs w:val="24"/>
        </w:rPr>
        <w:t xml:space="preserve">Sherman, L.W. and Weisburd, D. (1995), “General deterrent effects of Police patrol in crime “hot spots”: A randomized, controlled trial”, </w:t>
      </w:r>
      <w:r w:rsidRPr="00897245">
        <w:rPr>
          <w:rFonts w:ascii="Times New Roman" w:hAnsi="Times New Roman"/>
          <w:i/>
          <w:sz w:val="24"/>
          <w:szCs w:val="24"/>
        </w:rPr>
        <w:t>Justice Quarterly,</w:t>
      </w:r>
      <w:r>
        <w:rPr>
          <w:rFonts w:ascii="Times New Roman" w:hAnsi="Times New Roman"/>
          <w:sz w:val="24"/>
          <w:szCs w:val="24"/>
        </w:rPr>
        <w:t xml:space="preserve"> Vol. 12 No. 4, pp. 625-648.</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Srinivasan, S., Sorrell, T.P., Brooks, J.P., Edwards, D.J. and McDougle, R.D. (2013), "Workforce assessment method for </w:t>
      </w:r>
      <w:r w:rsidRPr="00EE2FFA">
        <w:rPr>
          <w:rFonts w:ascii="Times New Roman" w:hAnsi="Times New Roman"/>
          <w:sz w:val="24"/>
          <w:szCs w:val="24"/>
        </w:rPr>
        <w:lastRenderedPageBreak/>
        <w:t xml:space="preserve">an urban police department ", </w:t>
      </w:r>
      <w:r w:rsidRPr="00EE2FFA">
        <w:rPr>
          <w:rFonts w:ascii="Times New Roman" w:hAnsi="Times New Roman"/>
          <w:i/>
          <w:sz w:val="24"/>
          <w:szCs w:val="24"/>
        </w:rPr>
        <w:t>Policing: An International Journal of Police Strategies &amp; Management</w:t>
      </w:r>
      <w:r w:rsidRPr="00EE2FFA">
        <w:rPr>
          <w:rFonts w:ascii="Times New Roman" w:hAnsi="Times New Roman"/>
          <w:sz w:val="24"/>
          <w:szCs w:val="24"/>
        </w:rPr>
        <w:t>, Vol. 36 No. 4, pp. 702-718.</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Taylor Griffiths, C., Pollard, N. and Stamatakis, T. (2014), “Assessing the effectiveness and efficiency of a police service: the analytics of operational reviews”, </w:t>
      </w:r>
      <w:r w:rsidRPr="00EE2FFA">
        <w:rPr>
          <w:rFonts w:ascii="Times New Roman" w:hAnsi="Times New Roman"/>
          <w:i/>
          <w:iCs/>
          <w:sz w:val="24"/>
          <w:szCs w:val="24"/>
        </w:rPr>
        <w:t>Police Practice and Research</w:t>
      </w:r>
      <w:r w:rsidRPr="00EE2FFA">
        <w:rPr>
          <w:rFonts w:ascii="Times New Roman" w:hAnsi="Times New Roman"/>
          <w:sz w:val="24"/>
          <w:szCs w:val="24"/>
        </w:rPr>
        <w:t>, working paper, Australian Institute of Police Management, Manly, 27 January.</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Vinod Kumar, T.K. (2014),"Differing services, rising expectations, and greater demands", </w:t>
      </w:r>
      <w:r w:rsidRPr="00EE2FFA">
        <w:rPr>
          <w:rFonts w:ascii="Times New Roman" w:hAnsi="Times New Roman"/>
          <w:i/>
          <w:sz w:val="24"/>
          <w:szCs w:val="24"/>
        </w:rPr>
        <w:t>Policing: An International Journal of Police Strategies &amp; Management</w:t>
      </w:r>
      <w:r w:rsidRPr="00EE2FFA">
        <w:rPr>
          <w:rFonts w:ascii="Times New Roman" w:hAnsi="Times New Roman"/>
          <w:sz w:val="24"/>
          <w:szCs w:val="24"/>
        </w:rPr>
        <w:t>, Vol. 37 No. 1, pp. 170-189.</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Walker, S. and Katz, C.M. (2005). </w:t>
      </w:r>
      <w:r w:rsidRPr="00EE2FFA">
        <w:rPr>
          <w:rFonts w:ascii="Times New Roman" w:hAnsi="Times New Roman"/>
          <w:i/>
          <w:sz w:val="24"/>
          <w:szCs w:val="24"/>
        </w:rPr>
        <w:t>The police in America: An introduction,</w:t>
      </w:r>
      <w:r w:rsidRPr="00EE2FFA">
        <w:rPr>
          <w:rFonts w:ascii="Times New Roman" w:hAnsi="Times New Roman"/>
          <w:sz w:val="24"/>
          <w:szCs w:val="24"/>
        </w:rPr>
        <w:t xml:space="preserve"> McGraw Hill, Boston.</w:t>
      </w:r>
    </w:p>
    <w:p w:rsidR="001769A6" w:rsidRDefault="001769A6" w:rsidP="001769A6">
      <w:pPr>
        <w:spacing w:line="360" w:lineRule="auto"/>
        <w:ind w:left="709" w:hanging="709"/>
        <w:rPr>
          <w:rFonts w:ascii="Times New Roman" w:hAnsi="Times New Roman"/>
          <w:sz w:val="24"/>
          <w:szCs w:val="24"/>
        </w:rPr>
      </w:pPr>
      <w:r>
        <w:rPr>
          <w:rFonts w:ascii="Times New Roman" w:hAnsi="Times New Roman"/>
          <w:sz w:val="24"/>
          <w:szCs w:val="24"/>
        </w:rPr>
        <w:t xml:space="preserve">Weisburd, D. and Braga, A.A. (2006), “Hot spots policing as a model for police innovation”, </w:t>
      </w:r>
      <w:r w:rsidRPr="00EE2FFA">
        <w:rPr>
          <w:rFonts w:ascii="Times New Roman" w:hAnsi="Times New Roman"/>
          <w:sz w:val="24"/>
          <w:szCs w:val="24"/>
        </w:rPr>
        <w:t>in Weisburd, D. and Braga, A.A. (Eds</w:t>
      </w:r>
      <w:r>
        <w:rPr>
          <w:rFonts w:ascii="Times New Roman" w:hAnsi="Times New Roman"/>
          <w:sz w:val="24"/>
          <w:szCs w:val="24"/>
        </w:rPr>
        <w:t>.</w:t>
      </w:r>
      <w:r w:rsidRPr="00EE2FFA">
        <w:rPr>
          <w:rFonts w:ascii="Times New Roman" w:hAnsi="Times New Roman"/>
          <w:sz w:val="24"/>
          <w:szCs w:val="24"/>
        </w:rPr>
        <w:t>)</w:t>
      </w:r>
      <w:r>
        <w:rPr>
          <w:rFonts w:ascii="Times New Roman" w:hAnsi="Times New Roman"/>
          <w:sz w:val="24"/>
          <w:szCs w:val="24"/>
        </w:rPr>
        <w:t>,</w:t>
      </w:r>
      <w:r w:rsidRPr="00EE2FFA">
        <w:rPr>
          <w:rFonts w:ascii="Times New Roman" w:hAnsi="Times New Roman"/>
          <w:sz w:val="24"/>
          <w:szCs w:val="24"/>
        </w:rPr>
        <w:t xml:space="preserve"> </w:t>
      </w:r>
      <w:r w:rsidRPr="00EE2FFA">
        <w:rPr>
          <w:rFonts w:ascii="Times New Roman" w:hAnsi="Times New Roman"/>
          <w:i/>
          <w:sz w:val="24"/>
          <w:szCs w:val="24"/>
        </w:rPr>
        <w:t>Police Innovation. Contrasting Perspectives</w:t>
      </w:r>
      <w:r w:rsidRPr="00EE2FFA">
        <w:rPr>
          <w:rFonts w:ascii="Times New Roman" w:hAnsi="Times New Roman"/>
          <w:sz w:val="24"/>
          <w:szCs w:val="24"/>
        </w:rPr>
        <w:t>, Cambridge Universi</w:t>
      </w:r>
      <w:r>
        <w:rPr>
          <w:rFonts w:ascii="Times New Roman" w:hAnsi="Times New Roman"/>
          <w:sz w:val="24"/>
          <w:szCs w:val="24"/>
        </w:rPr>
        <w:t>ty Press, Cambridge, pp. 225-244.</w:t>
      </w:r>
    </w:p>
    <w:p w:rsidR="001769A6" w:rsidRDefault="001769A6" w:rsidP="001769A6">
      <w:pPr>
        <w:spacing w:line="360" w:lineRule="auto"/>
        <w:ind w:left="709" w:hanging="709"/>
        <w:rPr>
          <w:rFonts w:ascii="Times New Roman" w:hAnsi="Times New Roman"/>
          <w:sz w:val="24"/>
          <w:szCs w:val="24"/>
        </w:rPr>
      </w:pPr>
      <w:r>
        <w:rPr>
          <w:rFonts w:ascii="Times New Roman" w:hAnsi="Times New Roman"/>
          <w:sz w:val="24"/>
          <w:szCs w:val="24"/>
        </w:rPr>
        <w:t xml:space="preserve">Weisburd, D. and Eck, J.E. (2004), “What can police do to reduce crime, disorder and fear?”, </w:t>
      </w:r>
      <w:r>
        <w:rPr>
          <w:rFonts w:ascii="Times New Roman" w:hAnsi="Times New Roman"/>
          <w:i/>
          <w:sz w:val="24"/>
          <w:szCs w:val="24"/>
        </w:rPr>
        <w:t>The A</w:t>
      </w:r>
      <w:r w:rsidRPr="00913F26">
        <w:rPr>
          <w:rFonts w:ascii="Times New Roman" w:hAnsi="Times New Roman"/>
          <w:i/>
          <w:sz w:val="24"/>
          <w:szCs w:val="24"/>
        </w:rPr>
        <w:t>nnals of the American Academy of Political and Social Science,</w:t>
      </w:r>
      <w:r>
        <w:rPr>
          <w:rFonts w:ascii="Times New Roman" w:hAnsi="Times New Roman"/>
          <w:sz w:val="24"/>
          <w:szCs w:val="24"/>
        </w:rPr>
        <w:t xml:space="preserve"> Vol. 593 No. 1, pp. 42-65.</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Wilcox, P. and Eck, J.E. (2011), “Criminology of the unpopular: implications for policy aimed at payday lending facilities”, </w:t>
      </w:r>
      <w:r w:rsidRPr="00EE2FFA">
        <w:rPr>
          <w:rFonts w:ascii="Times New Roman" w:hAnsi="Times New Roman"/>
          <w:i/>
          <w:sz w:val="24"/>
          <w:szCs w:val="24"/>
        </w:rPr>
        <w:t>Criminology and Public Policy</w:t>
      </w:r>
      <w:r>
        <w:rPr>
          <w:rFonts w:ascii="Times New Roman" w:hAnsi="Times New Roman"/>
          <w:sz w:val="24"/>
          <w:szCs w:val="24"/>
        </w:rPr>
        <w:t>, Vol. 10 No. 2, pp. 473-482.</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Wilson, J.M. (2012), "Articulating the dynamic police staffing challenge", </w:t>
      </w:r>
      <w:r w:rsidRPr="00EE2FFA">
        <w:rPr>
          <w:rFonts w:ascii="Times New Roman" w:hAnsi="Times New Roman"/>
          <w:i/>
          <w:sz w:val="24"/>
          <w:szCs w:val="24"/>
        </w:rPr>
        <w:t>Policing: An International Journal of Police Strategies &amp; Management,</w:t>
      </w:r>
      <w:r w:rsidRPr="00EE2FFA">
        <w:rPr>
          <w:rFonts w:ascii="Times New Roman" w:hAnsi="Times New Roman"/>
          <w:sz w:val="24"/>
          <w:szCs w:val="24"/>
        </w:rPr>
        <w:t xml:space="preserve"> Vol. 35 No. 2, pp. 327-355.</w:t>
      </w:r>
    </w:p>
    <w:p w:rsidR="001769A6"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t xml:space="preserve">Wilson, J. and Kelling, G. (1982), “Broken Windows”, </w:t>
      </w:r>
      <w:r w:rsidRPr="00EE2FFA">
        <w:rPr>
          <w:rFonts w:ascii="Times New Roman" w:hAnsi="Times New Roman"/>
          <w:i/>
          <w:iCs/>
          <w:sz w:val="24"/>
          <w:szCs w:val="24"/>
        </w:rPr>
        <w:t>Atlantic Monthly</w:t>
      </w:r>
      <w:r w:rsidRPr="00EE2FFA">
        <w:rPr>
          <w:rFonts w:ascii="Times New Roman" w:hAnsi="Times New Roman"/>
          <w:iCs/>
          <w:sz w:val="24"/>
          <w:szCs w:val="24"/>
        </w:rPr>
        <w:t>,</w:t>
      </w:r>
      <w:r w:rsidRPr="00EE2FFA">
        <w:rPr>
          <w:rFonts w:ascii="Times New Roman" w:hAnsi="Times New Roman"/>
          <w:i/>
          <w:iCs/>
          <w:sz w:val="24"/>
          <w:szCs w:val="24"/>
        </w:rPr>
        <w:t xml:space="preserve"> </w:t>
      </w:r>
      <w:r w:rsidRPr="00EE2FFA">
        <w:rPr>
          <w:rFonts w:ascii="Times New Roman" w:hAnsi="Times New Roman"/>
          <w:iCs/>
          <w:sz w:val="24"/>
          <w:szCs w:val="24"/>
        </w:rPr>
        <w:t xml:space="preserve">Vol. </w:t>
      </w:r>
      <w:r w:rsidRPr="00EE2FFA">
        <w:rPr>
          <w:rFonts w:ascii="Times New Roman" w:hAnsi="Times New Roman"/>
          <w:sz w:val="24"/>
          <w:szCs w:val="24"/>
        </w:rPr>
        <w:t>249 No. 3, pp. 29-38.</w:t>
      </w:r>
    </w:p>
    <w:p w:rsidR="001769A6" w:rsidRPr="003D38F0" w:rsidRDefault="001769A6" w:rsidP="001769A6">
      <w:pPr>
        <w:spacing w:line="360" w:lineRule="auto"/>
        <w:ind w:left="709" w:hanging="709"/>
        <w:rPr>
          <w:rFonts w:ascii="Times New Roman" w:hAnsi="Times New Roman"/>
          <w:sz w:val="24"/>
          <w:szCs w:val="24"/>
        </w:rPr>
      </w:pPr>
      <w:r w:rsidRPr="00EE2FFA">
        <w:rPr>
          <w:rFonts w:ascii="Times New Roman" w:hAnsi="Times New Roman"/>
          <w:sz w:val="24"/>
          <w:szCs w:val="24"/>
        </w:rPr>
        <w:lastRenderedPageBreak/>
        <w:t xml:space="preserve">Worrall, J.L. and Kovandzic, T.V. (2010), “Police levels and crime rates: an instrumental variables approach”, </w:t>
      </w:r>
      <w:r w:rsidRPr="00EE2FFA">
        <w:rPr>
          <w:rFonts w:ascii="Times New Roman" w:hAnsi="Times New Roman"/>
          <w:i/>
          <w:sz w:val="24"/>
          <w:szCs w:val="24"/>
        </w:rPr>
        <w:t>Social Science Research</w:t>
      </w:r>
      <w:r w:rsidRPr="00EE2FFA">
        <w:rPr>
          <w:rFonts w:ascii="Times New Roman" w:hAnsi="Times New Roman"/>
          <w:sz w:val="24"/>
          <w:szCs w:val="24"/>
        </w:rPr>
        <w:t>, Vol. 39 No. 3, pp. 506-516.</w:t>
      </w: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Pr="001D3EB8" w:rsidRDefault="00B019B7" w:rsidP="00B019B7">
      <w:pPr>
        <w:spacing w:line="360" w:lineRule="auto"/>
        <w:jc w:val="both"/>
        <w:rPr>
          <w:rFonts w:ascii="Times New Roman" w:hAnsi="Times New Roman"/>
          <w:sz w:val="24"/>
          <w:szCs w:val="24"/>
        </w:rPr>
      </w:pPr>
      <w:r w:rsidRPr="001D3EB8">
        <w:rPr>
          <w:rFonts w:ascii="Times New Roman" w:hAnsi="Times New Roman"/>
          <w:sz w:val="24"/>
          <w:szCs w:val="24"/>
        </w:rPr>
        <w:t>Figure 1: A chart showing the time frames for incident classifications across the top ten addresses for all categories</w:t>
      </w:r>
    </w:p>
    <w:p w:rsidR="00B019B7" w:rsidRDefault="00B019B7" w:rsidP="00B019B7">
      <w:r>
        <w:rPr>
          <w:rFonts w:ascii="Times New Roman" w:hAnsi="Times New Roman"/>
          <w:noProof/>
          <w:sz w:val="24"/>
          <w:szCs w:val="24"/>
          <w:lang w:eastAsia="en-GB"/>
        </w:rPr>
        <w:lastRenderedPageBreak/>
        <w:drawing>
          <wp:inline distT="0" distB="0" distL="0" distR="0" wp14:anchorId="64172F0B" wp14:editId="6874ACC2">
            <wp:extent cx="6105525" cy="3067050"/>
            <wp:effectExtent l="0" t="0" r="9525" b="0"/>
            <wp:docPr id="2" name="Picture 2" descr="time gan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gant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5525" cy="3067050"/>
                    </a:xfrm>
                    <a:prstGeom prst="rect">
                      <a:avLst/>
                    </a:prstGeom>
                    <a:noFill/>
                    <a:ln>
                      <a:noFill/>
                    </a:ln>
                  </pic:spPr>
                </pic:pic>
              </a:graphicData>
            </a:graphic>
          </wp:inline>
        </w:drawing>
      </w:r>
    </w:p>
    <w:p w:rsidR="00B019B7" w:rsidRDefault="00B019B7" w:rsidP="00B019B7"/>
    <w:p w:rsidR="00B019B7" w:rsidRDefault="00B019B7" w:rsidP="00B019B7">
      <w:pPr>
        <w:spacing w:line="360" w:lineRule="auto"/>
        <w:jc w:val="both"/>
        <w:rPr>
          <w:rFonts w:ascii="Times New Roman" w:hAnsi="Times New Roman"/>
          <w:sz w:val="24"/>
          <w:szCs w:val="24"/>
        </w:rPr>
      </w:pPr>
    </w:p>
    <w:p w:rsidR="00B019B7" w:rsidRPr="001D3EB8" w:rsidRDefault="00B019B7" w:rsidP="00B019B7">
      <w:pPr>
        <w:spacing w:line="360" w:lineRule="auto"/>
        <w:jc w:val="both"/>
        <w:rPr>
          <w:rFonts w:ascii="Times New Roman" w:hAnsi="Times New Roman"/>
          <w:sz w:val="24"/>
          <w:szCs w:val="24"/>
        </w:rPr>
      </w:pPr>
      <w:r w:rsidRPr="001D3EB8">
        <w:rPr>
          <w:rFonts w:ascii="Times New Roman" w:hAnsi="Times New Roman"/>
          <w:sz w:val="24"/>
          <w:szCs w:val="24"/>
        </w:rPr>
        <w:t>F</w:t>
      </w:r>
      <w:r>
        <w:rPr>
          <w:rFonts w:ascii="Times New Roman" w:hAnsi="Times New Roman"/>
          <w:sz w:val="24"/>
          <w:szCs w:val="24"/>
        </w:rPr>
        <w:t>igure 2</w:t>
      </w:r>
      <w:r w:rsidRPr="001D3EB8">
        <w:rPr>
          <w:rFonts w:ascii="Times New Roman" w:hAnsi="Times New Roman"/>
          <w:sz w:val="24"/>
          <w:szCs w:val="24"/>
        </w:rPr>
        <w:t>: A chart showing the mode time frames for incidents occurring for the 5 categories</w:t>
      </w:r>
    </w:p>
    <w:p w:rsidR="00B019B7" w:rsidRDefault="00B019B7" w:rsidP="00B019B7">
      <w:r>
        <w:rPr>
          <w:rFonts w:ascii="Times New Roman" w:hAnsi="Times New Roman"/>
          <w:i/>
          <w:noProof/>
          <w:sz w:val="24"/>
          <w:szCs w:val="24"/>
          <w:lang w:eastAsia="en-GB"/>
        </w:rPr>
        <w:drawing>
          <wp:inline distT="0" distB="0" distL="0" distR="0" wp14:anchorId="5F1480AA" wp14:editId="3098F311">
            <wp:extent cx="6000750" cy="1800225"/>
            <wp:effectExtent l="0" t="0" r="0" b="9525"/>
            <wp:docPr id="3" name="Picture 3" descr="time mode for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me mode for categori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00750" cy="1800225"/>
                    </a:xfrm>
                    <a:prstGeom prst="rect">
                      <a:avLst/>
                    </a:prstGeom>
                    <a:noFill/>
                    <a:ln>
                      <a:noFill/>
                    </a:ln>
                  </pic:spPr>
                </pic:pic>
              </a:graphicData>
            </a:graphic>
          </wp:inline>
        </w:drawing>
      </w:r>
    </w:p>
    <w:p w:rsidR="001769A6" w:rsidRDefault="001769A6" w:rsidP="00AD1F5C">
      <w:pPr>
        <w:spacing w:line="360" w:lineRule="auto"/>
        <w:jc w:val="center"/>
        <w:rPr>
          <w:rFonts w:ascii="Times New Roman" w:hAnsi="Times New Roman" w:cs="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Pr="001D3EB8" w:rsidRDefault="00B019B7" w:rsidP="00B019B7">
      <w:pPr>
        <w:spacing w:line="360" w:lineRule="auto"/>
        <w:jc w:val="both"/>
        <w:rPr>
          <w:rFonts w:ascii="Times New Roman" w:hAnsi="Times New Roman"/>
          <w:sz w:val="24"/>
          <w:szCs w:val="24"/>
        </w:rPr>
      </w:pPr>
      <w:r w:rsidRPr="001D3EB8">
        <w:rPr>
          <w:rFonts w:ascii="Times New Roman" w:hAnsi="Times New Roman"/>
          <w:sz w:val="24"/>
          <w:szCs w:val="24"/>
        </w:rPr>
        <w:t>Table I. Property categories</w:t>
      </w:r>
    </w:p>
    <w:tbl>
      <w:tblPr>
        <w:tblW w:w="0" w:type="auto"/>
        <w:tblBorders>
          <w:top w:val="single" w:sz="8" w:space="0" w:color="auto"/>
          <w:insideH w:val="single" w:sz="8" w:space="0" w:color="auto"/>
        </w:tblBorders>
        <w:tblLook w:val="04A0" w:firstRow="1" w:lastRow="0" w:firstColumn="1" w:lastColumn="0" w:noHBand="0" w:noVBand="1"/>
      </w:tblPr>
      <w:tblGrid>
        <w:gridCol w:w="2802"/>
        <w:gridCol w:w="6440"/>
      </w:tblGrid>
      <w:tr w:rsidR="00B019B7" w:rsidRPr="00D8426D" w:rsidTr="00F815A9">
        <w:tc>
          <w:tcPr>
            <w:tcW w:w="2802" w:type="dxa"/>
            <w:tcBorders>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Category</w:t>
            </w:r>
          </w:p>
        </w:tc>
        <w:tc>
          <w:tcPr>
            <w:tcW w:w="6440" w:type="dxa"/>
            <w:tcBorders>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Description</w:t>
            </w:r>
          </w:p>
        </w:tc>
      </w:tr>
      <w:tr w:rsidR="00B019B7" w:rsidRPr="00D8426D" w:rsidTr="00F815A9">
        <w:tc>
          <w:tcPr>
            <w:tcW w:w="2802" w:type="dxa"/>
            <w:tcBorders>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Residential</w:t>
            </w:r>
          </w:p>
        </w:tc>
        <w:tc>
          <w:tcPr>
            <w:tcW w:w="6440" w:type="dxa"/>
            <w:tcBorders>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Residential addresses excluding children’s homes and residential care homes.</w:t>
            </w:r>
          </w:p>
        </w:tc>
      </w:tr>
      <w:tr w:rsidR="00B019B7" w:rsidRPr="00D8426D" w:rsidTr="00F815A9">
        <w:tc>
          <w:tcPr>
            <w:tcW w:w="2802"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Statutory Bodies</w:t>
            </w:r>
          </w:p>
        </w:tc>
        <w:tc>
          <w:tcPr>
            <w:tcW w:w="6440"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NHS facilities, prisons, probation, council</w:t>
            </w:r>
          </w:p>
        </w:tc>
      </w:tr>
      <w:tr w:rsidR="00B019B7" w:rsidRPr="00D8426D" w:rsidTr="00F815A9">
        <w:tc>
          <w:tcPr>
            <w:tcW w:w="2802"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Retail</w:t>
            </w:r>
          </w:p>
        </w:tc>
        <w:tc>
          <w:tcPr>
            <w:tcW w:w="6440"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Supermarkets, clothing stores, convenience stores, convenience food outlets, department stores</w:t>
            </w:r>
          </w:p>
        </w:tc>
      </w:tr>
      <w:tr w:rsidR="00B019B7" w:rsidRPr="00D8426D" w:rsidTr="00F815A9">
        <w:tc>
          <w:tcPr>
            <w:tcW w:w="2802"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lastRenderedPageBreak/>
              <w:t>Nightlife</w:t>
            </w:r>
          </w:p>
        </w:tc>
        <w:tc>
          <w:tcPr>
            <w:tcW w:w="6440"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Bars, clubs and pubs in the area</w:t>
            </w:r>
          </w:p>
        </w:tc>
      </w:tr>
      <w:tr w:rsidR="00B019B7" w:rsidRPr="00D8426D" w:rsidTr="00F815A9">
        <w:tc>
          <w:tcPr>
            <w:tcW w:w="2802" w:type="dxa"/>
            <w:tcBorders>
              <w:top w:val="nil"/>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color w:val="000000"/>
                <w:sz w:val="24"/>
                <w:szCs w:val="24"/>
                <w:lang w:eastAsia="en-GB"/>
              </w:rPr>
              <w:t>Young People’s Services</w:t>
            </w:r>
          </w:p>
        </w:tc>
        <w:tc>
          <w:tcPr>
            <w:tcW w:w="6440" w:type="dxa"/>
            <w:tcBorders>
              <w:top w:val="nil"/>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Schools and children’s homes</w:t>
            </w:r>
          </w:p>
        </w:tc>
      </w:tr>
    </w:tbl>
    <w:p w:rsidR="00B019B7" w:rsidRDefault="00B019B7" w:rsidP="00B019B7">
      <w:pPr>
        <w:spacing w:line="360" w:lineRule="auto"/>
        <w:jc w:val="both"/>
        <w:rPr>
          <w:rFonts w:ascii="Times New Roman" w:hAnsi="Times New Roman"/>
          <w:i/>
          <w:sz w:val="24"/>
          <w:szCs w:val="24"/>
        </w:rPr>
      </w:pPr>
    </w:p>
    <w:p w:rsidR="00B019B7" w:rsidRDefault="00B019B7" w:rsidP="00B019B7">
      <w:pPr>
        <w:spacing w:line="360" w:lineRule="auto"/>
        <w:jc w:val="both"/>
        <w:rPr>
          <w:rFonts w:ascii="Times New Roman" w:hAnsi="Times New Roman"/>
          <w:sz w:val="24"/>
          <w:szCs w:val="24"/>
        </w:rPr>
      </w:pPr>
    </w:p>
    <w:p w:rsidR="00B019B7" w:rsidRPr="008F1A71" w:rsidRDefault="00B019B7" w:rsidP="00B019B7">
      <w:pPr>
        <w:spacing w:line="360" w:lineRule="auto"/>
        <w:jc w:val="both"/>
        <w:rPr>
          <w:rFonts w:ascii="Times New Roman" w:hAnsi="Times New Roman"/>
          <w:i/>
          <w:sz w:val="24"/>
          <w:szCs w:val="24"/>
        </w:rPr>
      </w:pPr>
      <w:r w:rsidRPr="001D3EB8">
        <w:rPr>
          <w:rFonts w:ascii="Times New Roman" w:hAnsi="Times New Roman"/>
          <w:sz w:val="24"/>
          <w:szCs w:val="24"/>
        </w:rPr>
        <w:t>Table II. Incident classifications and descriptions.</w:t>
      </w:r>
    </w:p>
    <w:tbl>
      <w:tblPr>
        <w:tblW w:w="0" w:type="auto"/>
        <w:tblBorders>
          <w:top w:val="single" w:sz="8" w:space="0" w:color="auto"/>
          <w:insideH w:val="single" w:sz="8" w:space="0" w:color="auto"/>
        </w:tblBorders>
        <w:tblLook w:val="04A0" w:firstRow="1" w:lastRow="0" w:firstColumn="1" w:lastColumn="0" w:noHBand="0" w:noVBand="1"/>
      </w:tblPr>
      <w:tblGrid>
        <w:gridCol w:w="3085"/>
        <w:gridCol w:w="6157"/>
      </w:tblGrid>
      <w:tr w:rsidR="00B019B7" w:rsidRPr="00D8426D" w:rsidTr="00F815A9">
        <w:tc>
          <w:tcPr>
            <w:tcW w:w="3085" w:type="dxa"/>
            <w:tcBorders>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Incident classification</w:t>
            </w:r>
          </w:p>
        </w:tc>
        <w:tc>
          <w:tcPr>
            <w:tcW w:w="6157" w:type="dxa"/>
            <w:tcBorders>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Description</w:t>
            </w:r>
          </w:p>
        </w:tc>
      </w:tr>
      <w:tr w:rsidR="00B019B7" w:rsidRPr="00D8426D" w:rsidTr="00F815A9">
        <w:tc>
          <w:tcPr>
            <w:tcW w:w="3085" w:type="dxa"/>
            <w:tcBorders>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Acquisitive (household)</w:t>
            </w:r>
          </w:p>
        </w:tc>
        <w:tc>
          <w:tcPr>
            <w:tcW w:w="6157" w:type="dxa"/>
            <w:tcBorders>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Burglary</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Acquisitive (person)</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Theft, robbery</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Conditions</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Bail conditions, breach of bail/curfew/license, absconded</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Disputes</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Civil disputes, personal</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Nuisance</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Nuisance, hoax calls, abandoned calls, suspicious circumstances</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Vandalism/Criminal damage</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Criminal damage, vandalism, vehicle crime, public order, arson</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Violence against the person</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Assault, wounding, ABH, GBH, homicide</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Sexual offences</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Sexual offences, rape</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Domestic incidents</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Domestic incidents</w:t>
            </w:r>
          </w:p>
        </w:tc>
      </w:tr>
      <w:tr w:rsidR="00B019B7" w:rsidRPr="00D8426D" w:rsidTr="00F815A9">
        <w:tc>
          <w:tcPr>
            <w:tcW w:w="3085"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Welfare</w:t>
            </w:r>
          </w:p>
        </w:tc>
        <w:tc>
          <w:tcPr>
            <w:tcW w:w="6157"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Concern for safety, collapse/illness/injury, missing from home, truancy</w:t>
            </w:r>
          </w:p>
        </w:tc>
      </w:tr>
      <w:tr w:rsidR="00B019B7" w:rsidRPr="00D8426D" w:rsidTr="00F815A9">
        <w:tc>
          <w:tcPr>
            <w:tcW w:w="3085" w:type="dxa"/>
            <w:tcBorders>
              <w:top w:val="nil"/>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Other</w:t>
            </w:r>
          </w:p>
        </w:tc>
        <w:tc>
          <w:tcPr>
            <w:tcW w:w="6157" w:type="dxa"/>
            <w:tcBorders>
              <w:top w:val="nil"/>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 xml:space="preserve">Any other classification not included </w:t>
            </w:r>
            <w:r>
              <w:rPr>
                <w:rFonts w:ascii="Times New Roman" w:eastAsia="Times New Roman" w:hAnsi="Times New Roman"/>
                <w:sz w:val="24"/>
                <w:szCs w:val="24"/>
                <w:lang w:eastAsia="en-GB"/>
              </w:rPr>
              <w:t>previously</w:t>
            </w:r>
            <w:r w:rsidRPr="00D8426D">
              <w:rPr>
                <w:rFonts w:ascii="Times New Roman" w:eastAsia="Times New Roman" w:hAnsi="Times New Roman"/>
                <w:sz w:val="24"/>
                <w:szCs w:val="24"/>
                <w:lang w:eastAsia="en-GB"/>
              </w:rPr>
              <w:t>, i.e. l</w:t>
            </w:r>
            <w:r w:rsidRPr="00D8426D">
              <w:rPr>
                <w:rFonts w:ascii="Times New Roman" w:eastAsia="Times New Roman" w:hAnsi="Times New Roman"/>
                <w:color w:val="000000"/>
                <w:sz w:val="24"/>
                <w:szCs w:val="24"/>
                <w:lang w:eastAsia="en-GB"/>
              </w:rPr>
              <w:t>ost/recovered property, police generated activity and messages</w:t>
            </w:r>
          </w:p>
        </w:tc>
      </w:tr>
    </w:tbl>
    <w:p w:rsidR="00B019B7" w:rsidRDefault="00B019B7" w:rsidP="00B019B7">
      <w:pPr>
        <w:spacing w:line="360" w:lineRule="auto"/>
        <w:jc w:val="both"/>
        <w:rPr>
          <w:rFonts w:ascii="Times New Roman" w:hAnsi="Times New Roman"/>
          <w:sz w:val="24"/>
          <w:szCs w:val="24"/>
        </w:rPr>
      </w:pPr>
    </w:p>
    <w:p w:rsidR="00B019B7" w:rsidRDefault="00B019B7" w:rsidP="00B019B7">
      <w:pPr>
        <w:spacing w:line="360" w:lineRule="auto"/>
        <w:jc w:val="both"/>
        <w:rPr>
          <w:rFonts w:ascii="Times New Roman" w:hAnsi="Times New Roman"/>
          <w:sz w:val="24"/>
          <w:szCs w:val="24"/>
        </w:rPr>
      </w:pPr>
    </w:p>
    <w:p w:rsidR="00B019B7" w:rsidRPr="001D3EB8" w:rsidRDefault="00B019B7" w:rsidP="00B019B7">
      <w:pPr>
        <w:spacing w:line="360" w:lineRule="auto"/>
        <w:jc w:val="both"/>
        <w:rPr>
          <w:rFonts w:ascii="Times New Roman" w:hAnsi="Times New Roman"/>
          <w:sz w:val="24"/>
          <w:szCs w:val="24"/>
        </w:rPr>
      </w:pPr>
      <w:r w:rsidRPr="001D3EB8">
        <w:rPr>
          <w:rFonts w:ascii="Times New Roman" w:hAnsi="Times New Roman"/>
          <w:sz w:val="24"/>
          <w:szCs w:val="24"/>
        </w:rPr>
        <w:t xml:space="preserve">Table III. Response code </w:t>
      </w:r>
      <w:r>
        <w:rPr>
          <w:rFonts w:ascii="Times New Roman" w:hAnsi="Times New Roman"/>
          <w:sz w:val="24"/>
          <w:szCs w:val="24"/>
        </w:rPr>
        <w:t>grades and descriptions</w:t>
      </w:r>
      <w:r w:rsidRPr="001D3EB8">
        <w:rPr>
          <w:rFonts w:ascii="Times New Roman" w:hAnsi="Times New Roman"/>
          <w:sz w:val="24"/>
          <w:szCs w:val="24"/>
        </w:rPr>
        <w:t>.</w:t>
      </w:r>
    </w:p>
    <w:tbl>
      <w:tblPr>
        <w:tblW w:w="0" w:type="auto"/>
        <w:tblBorders>
          <w:top w:val="single" w:sz="8" w:space="0" w:color="auto"/>
          <w:insideH w:val="single" w:sz="8" w:space="0" w:color="auto"/>
        </w:tblBorders>
        <w:tblLook w:val="04A0" w:firstRow="1" w:lastRow="0" w:firstColumn="1" w:lastColumn="0" w:noHBand="0" w:noVBand="1"/>
      </w:tblPr>
      <w:tblGrid>
        <w:gridCol w:w="959"/>
        <w:gridCol w:w="1559"/>
        <w:gridCol w:w="6724"/>
      </w:tblGrid>
      <w:tr w:rsidR="00B019B7" w:rsidRPr="00D8426D" w:rsidTr="00F815A9">
        <w:tc>
          <w:tcPr>
            <w:tcW w:w="959" w:type="dxa"/>
            <w:tcBorders>
              <w:bottom w:val="single" w:sz="8" w:space="0" w:color="auto"/>
            </w:tcBorders>
            <w:shd w:val="clear" w:color="auto" w:fill="auto"/>
          </w:tcPr>
          <w:p w:rsidR="00B019B7" w:rsidRDefault="00B019B7" w:rsidP="00F815A9">
            <w:pPr>
              <w:spacing w:after="0" w:line="360" w:lineRule="auto"/>
              <w:rPr>
                <w:rFonts w:ascii="Times New Roman" w:eastAsia="Times New Roman" w:hAnsi="Times New Roman"/>
                <w:sz w:val="24"/>
                <w:szCs w:val="24"/>
                <w:lang w:eastAsia="en-GB"/>
              </w:rPr>
            </w:pPr>
          </w:p>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Code</w:t>
            </w:r>
          </w:p>
        </w:tc>
        <w:tc>
          <w:tcPr>
            <w:tcW w:w="1559" w:type="dxa"/>
            <w:tcBorders>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p>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Grade</w:t>
            </w:r>
          </w:p>
        </w:tc>
        <w:tc>
          <w:tcPr>
            <w:tcW w:w="6724" w:type="dxa"/>
            <w:tcBorders>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p>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Description</w:t>
            </w:r>
          </w:p>
        </w:tc>
      </w:tr>
      <w:tr w:rsidR="00B019B7" w:rsidRPr="00D8426D" w:rsidTr="00F815A9">
        <w:tc>
          <w:tcPr>
            <w:tcW w:w="959" w:type="dxa"/>
            <w:tcBorders>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1</w:t>
            </w:r>
          </w:p>
        </w:tc>
        <w:tc>
          <w:tcPr>
            <w:tcW w:w="1559" w:type="dxa"/>
            <w:tcBorders>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Emergency Response</w:t>
            </w:r>
          </w:p>
        </w:tc>
        <w:tc>
          <w:tcPr>
            <w:tcW w:w="6724" w:type="dxa"/>
            <w:tcBorders>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An incident where there is likely to be a risk of danger to life; use</w:t>
            </w:r>
            <w:r>
              <w:rPr>
                <w:rFonts w:ascii="Times New Roman" w:eastAsia="Times New Roman" w:hAnsi="Times New Roman"/>
                <w:sz w:val="24"/>
                <w:szCs w:val="24"/>
                <w:lang w:eastAsia="en-GB"/>
              </w:rPr>
              <w:t>/</w:t>
            </w:r>
            <w:r w:rsidRPr="00D8426D">
              <w:rPr>
                <w:rFonts w:ascii="Times New Roman" w:eastAsia="Times New Roman" w:hAnsi="Times New Roman"/>
                <w:sz w:val="24"/>
                <w:szCs w:val="24"/>
                <w:lang w:eastAsia="en-GB"/>
              </w:rPr>
              <w:t>immediate threat of use</w:t>
            </w:r>
            <w:r>
              <w:rPr>
                <w:rFonts w:ascii="Times New Roman" w:eastAsia="Times New Roman" w:hAnsi="Times New Roman"/>
                <w:sz w:val="24"/>
                <w:szCs w:val="24"/>
                <w:lang w:eastAsia="en-GB"/>
              </w:rPr>
              <w:t xml:space="preserve"> </w:t>
            </w:r>
            <w:r w:rsidRPr="00D8426D">
              <w:rPr>
                <w:rFonts w:ascii="Times New Roman" w:eastAsia="Times New Roman" w:hAnsi="Times New Roman"/>
                <w:sz w:val="24"/>
                <w:szCs w:val="24"/>
                <w:lang w:eastAsia="en-GB"/>
              </w:rPr>
              <w:t>of violence; serious injury to a person; serious damage to property. Attendance usually within 15</w:t>
            </w:r>
            <w:r>
              <w:rPr>
                <w:rFonts w:ascii="Times New Roman" w:eastAsia="Times New Roman" w:hAnsi="Times New Roman"/>
                <w:sz w:val="24"/>
                <w:szCs w:val="24"/>
                <w:lang w:eastAsia="en-GB"/>
              </w:rPr>
              <w:t xml:space="preserve"> minutes</w:t>
            </w:r>
            <w:r w:rsidRPr="00D8426D">
              <w:rPr>
                <w:rFonts w:ascii="Times New Roman" w:eastAsia="Times New Roman" w:hAnsi="Times New Roman"/>
                <w:sz w:val="24"/>
                <w:szCs w:val="24"/>
                <w:lang w:eastAsia="en-GB"/>
              </w:rPr>
              <w:t>.</w:t>
            </w:r>
          </w:p>
        </w:tc>
      </w:tr>
      <w:tr w:rsidR="00B019B7" w:rsidRPr="00D8426D" w:rsidTr="00F815A9">
        <w:tc>
          <w:tcPr>
            <w:tcW w:w="959"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2</w:t>
            </w:r>
          </w:p>
        </w:tc>
        <w:tc>
          <w:tcPr>
            <w:tcW w:w="1559"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Priority Response</w:t>
            </w:r>
          </w:p>
        </w:tc>
        <w:tc>
          <w:tcPr>
            <w:tcW w:w="6724"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A degree of importance or urgency associated with the initial police action but an emergency response is not required. Attendance usually within 1</w:t>
            </w:r>
            <w:r>
              <w:rPr>
                <w:rFonts w:ascii="Times New Roman" w:eastAsia="Times New Roman" w:hAnsi="Times New Roman"/>
                <w:sz w:val="24"/>
                <w:szCs w:val="24"/>
                <w:lang w:eastAsia="en-GB"/>
              </w:rPr>
              <w:t xml:space="preserve"> </w:t>
            </w:r>
            <w:r w:rsidRPr="00D8426D">
              <w:rPr>
                <w:rFonts w:ascii="Times New Roman" w:eastAsia="Times New Roman" w:hAnsi="Times New Roman"/>
                <w:sz w:val="24"/>
                <w:szCs w:val="24"/>
                <w:lang w:eastAsia="en-GB"/>
              </w:rPr>
              <w:t>h</w:t>
            </w:r>
            <w:r>
              <w:rPr>
                <w:rFonts w:ascii="Times New Roman" w:eastAsia="Times New Roman" w:hAnsi="Times New Roman"/>
                <w:sz w:val="24"/>
                <w:szCs w:val="24"/>
                <w:lang w:eastAsia="en-GB"/>
              </w:rPr>
              <w:t>ou</w:t>
            </w:r>
            <w:r w:rsidRPr="00D8426D">
              <w:rPr>
                <w:rFonts w:ascii="Times New Roman" w:eastAsia="Times New Roman" w:hAnsi="Times New Roman"/>
                <w:sz w:val="24"/>
                <w:szCs w:val="24"/>
                <w:lang w:eastAsia="en-GB"/>
              </w:rPr>
              <w:t>r.</w:t>
            </w:r>
          </w:p>
        </w:tc>
      </w:tr>
      <w:tr w:rsidR="00B019B7" w:rsidRPr="00D8426D" w:rsidTr="00F815A9">
        <w:tc>
          <w:tcPr>
            <w:tcW w:w="959"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3</w:t>
            </w:r>
          </w:p>
        </w:tc>
        <w:tc>
          <w:tcPr>
            <w:tcW w:w="1559"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Planned Response</w:t>
            </w:r>
          </w:p>
          <w:p w:rsidR="00B019B7" w:rsidRPr="00D8426D" w:rsidRDefault="00B019B7" w:rsidP="00F815A9">
            <w:pPr>
              <w:spacing w:after="0" w:line="360" w:lineRule="auto"/>
              <w:rPr>
                <w:rFonts w:ascii="Times New Roman" w:eastAsia="Times New Roman" w:hAnsi="Times New Roman"/>
                <w:sz w:val="24"/>
                <w:szCs w:val="24"/>
                <w:lang w:eastAsia="en-GB"/>
              </w:rPr>
            </w:pPr>
          </w:p>
          <w:p w:rsidR="00B019B7" w:rsidRPr="00D8426D" w:rsidRDefault="00B019B7" w:rsidP="00F815A9">
            <w:pPr>
              <w:spacing w:after="0" w:line="360" w:lineRule="auto"/>
              <w:rPr>
                <w:rFonts w:ascii="Times New Roman" w:eastAsia="Times New Roman" w:hAnsi="Times New Roman"/>
                <w:sz w:val="24"/>
                <w:szCs w:val="24"/>
                <w:lang w:eastAsia="en-GB"/>
              </w:rPr>
            </w:pPr>
          </w:p>
        </w:tc>
        <w:tc>
          <w:tcPr>
            <w:tcW w:w="6724"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Response time is not critical in apprehending offenders so response given by a member of the Neighbourhood Police Teams, an appointment at a fixed surgery or an appointment by a scheduled car. Attendance usually within 48</w:t>
            </w:r>
            <w:r>
              <w:rPr>
                <w:rFonts w:ascii="Times New Roman" w:eastAsia="Times New Roman" w:hAnsi="Times New Roman"/>
                <w:sz w:val="24"/>
                <w:szCs w:val="24"/>
                <w:lang w:eastAsia="en-GB"/>
              </w:rPr>
              <w:t xml:space="preserve"> </w:t>
            </w:r>
            <w:r w:rsidRPr="00D8426D">
              <w:rPr>
                <w:rFonts w:ascii="Times New Roman" w:eastAsia="Times New Roman" w:hAnsi="Times New Roman"/>
                <w:sz w:val="24"/>
                <w:szCs w:val="24"/>
                <w:lang w:eastAsia="en-GB"/>
              </w:rPr>
              <w:t>h</w:t>
            </w:r>
            <w:r>
              <w:rPr>
                <w:rFonts w:ascii="Times New Roman" w:eastAsia="Times New Roman" w:hAnsi="Times New Roman"/>
                <w:sz w:val="24"/>
                <w:szCs w:val="24"/>
                <w:lang w:eastAsia="en-GB"/>
              </w:rPr>
              <w:t>ou</w:t>
            </w:r>
            <w:r w:rsidRPr="00D8426D">
              <w:rPr>
                <w:rFonts w:ascii="Times New Roman" w:eastAsia="Times New Roman" w:hAnsi="Times New Roman"/>
                <w:sz w:val="24"/>
                <w:szCs w:val="24"/>
                <w:lang w:eastAsia="en-GB"/>
              </w:rPr>
              <w:t>rs, or at an agreed time.</w:t>
            </w:r>
          </w:p>
        </w:tc>
      </w:tr>
      <w:tr w:rsidR="00B019B7" w:rsidRPr="00D8426D" w:rsidTr="00F815A9">
        <w:tc>
          <w:tcPr>
            <w:tcW w:w="959"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4</w:t>
            </w:r>
          </w:p>
        </w:tc>
        <w:tc>
          <w:tcPr>
            <w:tcW w:w="1559"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Telephone Resolution</w:t>
            </w:r>
          </w:p>
        </w:tc>
        <w:tc>
          <w:tcPr>
            <w:tcW w:w="6724" w:type="dxa"/>
            <w:tcBorders>
              <w:top w:val="nil"/>
              <w:bottom w:val="nil"/>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Resolution sorted at first contact. Does not require any further intervention outside the Communications Centre other than the passing of information or the recording of minor crimes.</w:t>
            </w:r>
          </w:p>
        </w:tc>
      </w:tr>
      <w:tr w:rsidR="00B019B7" w:rsidRPr="00D8426D" w:rsidTr="00F815A9">
        <w:tc>
          <w:tcPr>
            <w:tcW w:w="959" w:type="dxa"/>
            <w:tcBorders>
              <w:top w:val="nil"/>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5</w:t>
            </w:r>
          </w:p>
        </w:tc>
        <w:tc>
          <w:tcPr>
            <w:tcW w:w="1559" w:type="dxa"/>
            <w:tcBorders>
              <w:top w:val="nil"/>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Police Report Only</w:t>
            </w:r>
          </w:p>
        </w:tc>
        <w:tc>
          <w:tcPr>
            <w:tcW w:w="6724" w:type="dxa"/>
            <w:tcBorders>
              <w:top w:val="nil"/>
              <w:bottom w:val="single" w:sz="8" w:space="0" w:color="auto"/>
            </w:tcBorders>
            <w:shd w:val="clear" w:color="auto" w:fill="auto"/>
          </w:tcPr>
          <w:p w:rsidR="00B019B7" w:rsidRPr="00D8426D" w:rsidRDefault="00B019B7" w:rsidP="00F815A9">
            <w:pPr>
              <w:spacing w:after="0" w:line="360" w:lineRule="auto"/>
              <w:rPr>
                <w:rFonts w:ascii="Times New Roman" w:eastAsia="Times New Roman" w:hAnsi="Times New Roman"/>
                <w:sz w:val="24"/>
                <w:szCs w:val="24"/>
                <w:lang w:eastAsia="en-GB"/>
              </w:rPr>
            </w:pPr>
            <w:r w:rsidRPr="00D8426D">
              <w:rPr>
                <w:rFonts w:ascii="Times New Roman" w:eastAsia="Times New Roman" w:hAnsi="Times New Roman"/>
                <w:sz w:val="24"/>
                <w:szCs w:val="24"/>
                <w:lang w:eastAsia="en-GB"/>
              </w:rPr>
              <w:t>Where public assistance is not required, but an incident has occurred and a report needs to be written.</w:t>
            </w:r>
          </w:p>
        </w:tc>
      </w:tr>
    </w:tbl>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Default="00B019B7" w:rsidP="00B019B7">
      <w:pPr>
        <w:spacing w:line="360" w:lineRule="auto"/>
        <w:jc w:val="both"/>
        <w:rPr>
          <w:rFonts w:ascii="Times New Roman" w:hAnsi="Times New Roman"/>
          <w:b/>
          <w:sz w:val="24"/>
          <w:szCs w:val="24"/>
        </w:rPr>
      </w:pPr>
    </w:p>
    <w:p w:rsidR="00B019B7" w:rsidRPr="001D3EB8" w:rsidRDefault="00B019B7" w:rsidP="00B019B7">
      <w:pPr>
        <w:spacing w:line="360" w:lineRule="auto"/>
        <w:jc w:val="both"/>
        <w:rPr>
          <w:rFonts w:ascii="Times New Roman" w:hAnsi="Times New Roman"/>
          <w:sz w:val="24"/>
          <w:szCs w:val="24"/>
        </w:rPr>
      </w:pPr>
      <w:r w:rsidRPr="001D3EB8">
        <w:rPr>
          <w:rFonts w:ascii="Times New Roman" w:hAnsi="Times New Roman"/>
          <w:sz w:val="24"/>
          <w:szCs w:val="24"/>
        </w:rPr>
        <w:t>Table IV</w:t>
      </w:r>
      <w:r>
        <w:rPr>
          <w:rFonts w:ascii="Times New Roman" w:hAnsi="Times New Roman"/>
          <w:sz w:val="24"/>
          <w:szCs w:val="24"/>
        </w:rPr>
        <w:t>.</w:t>
      </w:r>
      <w:r w:rsidRPr="001D3EB8">
        <w:rPr>
          <w:rFonts w:ascii="Times New Roman" w:hAnsi="Times New Roman"/>
          <w:sz w:val="24"/>
          <w:szCs w:val="24"/>
        </w:rPr>
        <w:t xml:space="preserve"> Incident classification for all categories profiled</w:t>
      </w:r>
    </w:p>
    <w:tbl>
      <w:tblPr>
        <w:tblW w:w="0" w:type="auto"/>
        <w:tblBorders>
          <w:top w:val="single" w:sz="8" w:space="0" w:color="000000"/>
          <w:bottom w:val="single" w:sz="8" w:space="0" w:color="000000"/>
        </w:tblBorders>
        <w:tblLook w:val="06A0" w:firstRow="1" w:lastRow="0" w:firstColumn="1" w:lastColumn="0" w:noHBand="1" w:noVBand="1"/>
      </w:tblPr>
      <w:tblGrid>
        <w:gridCol w:w="3227"/>
        <w:gridCol w:w="964"/>
        <w:gridCol w:w="1549"/>
        <w:gridCol w:w="1265"/>
        <w:gridCol w:w="914"/>
        <w:gridCol w:w="1323"/>
      </w:tblGrid>
      <w:tr w:rsidR="00B019B7" w:rsidRPr="00D8426D" w:rsidTr="00F815A9">
        <w:tc>
          <w:tcPr>
            <w:tcW w:w="3227" w:type="dxa"/>
            <w:tcBorders>
              <w:top w:val="single" w:sz="8" w:space="0" w:color="000000"/>
              <w:bottom w:val="single" w:sz="8" w:space="0" w:color="000000"/>
            </w:tcBorders>
            <w:shd w:val="clear" w:color="auto" w:fill="auto"/>
          </w:tcPr>
          <w:p w:rsidR="00B019B7" w:rsidRPr="00D8426D" w:rsidRDefault="00B019B7" w:rsidP="00F815A9">
            <w:pPr>
              <w:spacing w:after="0" w:line="360" w:lineRule="auto"/>
              <w:rPr>
                <w:rFonts w:ascii="Times New Roman" w:hAnsi="Times New Roman"/>
                <w:bCs/>
                <w:color w:val="000000"/>
                <w:sz w:val="24"/>
                <w:szCs w:val="24"/>
              </w:rPr>
            </w:pPr>
          </w:p>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Incident classification</w:t>
            </w:r>
          </w:p>
        </w:tc>
        <w:tc>
          <w:tcPr>
            <w:tcW w:w="964" w:type="dxa"/>
            <w:tcBorders>
              <w:top w:val="single" w:sz="8" w:space="0" w:color="000000"/>
              <w:bottom w:val="single" w:sz="8" w:space="0" w:color="000000"/>
            </w:tcBorders>
            <w:shd w:val="clear" w:color="auto" w:fill="auto"/>
          </w:tcPr>
          <w:p w:rsidR="00B019B7" w:rsidRPr="00D8426D" w:rsidRDefault="00B019B7" w:rsidP="00F815A9">
            <w:pPr>
              <w:spacing w:after="0" w:line="360" w:lineRule="auto"/>
              <w:jc w:val="center"/>
              <w:rPr>
                <w:rFonts w:ascii="Times New Roman" w:hAnsi="Times New Roman"/>
                <w:bCs/>
                <w:i/>
                <w:color w:val="000000"/>
                <w:sz w:val="24"/>
                <w:szCs w:val="24"/>
              </w:rPr>
            </w:pPr>
          </w:p>
          <w:p w:rsidR="00B019B7" w:rsidRPr="00D8426D" w:rsidRDefault="00B019B7" w:rsidP="00F815A9">
            <w:pPr>
              <w:spacing w:after="0" w:line="360" w:lineRule="auto"/>
              <w:jc w:val="center"/>
              <w:rPr>
                <w:rFonts w:ascii="Times New Roman" w:hAnsi="Times New Roman"/>
                <w:bCs/>
                <w:i/>
                <w:color w:val="000000"/>
                <w:sz w:val="24"/>
                <w:szCs w:val="24"/>
              </w:rPr>
            </w:pPr>
            <w:r w:rsidRPr="00D8426D">
              <w:rPr>
                <w:rFonts w:ascii="Times New Roman" w:hAnsi="Times New Roman"/>
                <w:bCs/>
                <w:i/>
                <w:color w:val="000000"/>
                <w:sz w:val="24"/>
                <w:szCs w:val="24"/>
              </w:rPr>
              <w:t>n</w:t>
            </w:r>
          </w:p>
        </w:tc>
        <w:tc>
          <w:tcPr>
            <w:tcW w:w="1549" w:type="dxa"/>
            <w:tcBorders>
              <w:top w:val="single" w:sz="8" w:space="0" w:color="000000"/>
              <w:bottom w:val="single" w:sz="8" w:space="0" w:color="000000"/>
            </w:tcBorders>
            <w:shd w:val="clear" w:color="auto" w:fill="auto"/>
          </w:tcPr>
          <w:p w:rsidR="00B019B7" w:rsidRPr="00D8426D" w:rsidRDefault="00B019B7" w:rsidP="00F815A9">
            <w:pPr>
              <w:spacing w:after="0" w:line="360" w:lineRule="auto"/>
              <w:jc w:val="center"/>
              <w:rPr>
                <w:rFonts w:ascii="Times New Roman" w:hAnsi="Times New Roman"/>
                <w:bCs/>
                <w:color w:val="000000"/>
                <w:sz w:val="24"/>
                <w:szCs w:val="24"/>
              </w:rPr>
            </w:pPr>
            <w:r w:rsidRPr="00D8426D">
              <w:rPr>
                <w:rFonts w:ascii="Times New Roman" w:hAnsi="Times New Roman"/>
                <w:bCs/>
                <w:color w:val="000000"/>
                <w:sz w:val="24"/>
                <w:szCs w:val="24"/>
              </w:rPr>
              <w:t>% of total incidents</w:t>
            </w:r>
          </w:p>
        </w:tc>
        <w:tc>
          <w:tcPr>
            <w:tcW w:w="1265" w:type="dxa"/>
            <w:tcBorders>
              <w:top w:val="single" w:sz="8" w:space="0" w:color="000000"/>
              <w:bottom w:val="single" w:sz="8" w:space="0" w:color="000000"/>
            </w:tcBorders>
            <w:shd w:val="clear" w:color="auto" w:fill="auto"/>
          </w:tcPr>
          <w:p w:rsidR="00B019B7" w:rsidRPr="00D8426D" w:rsidRDefault="00B019B7" w:rsidP="00F815A9">
            <w:pPr>
              <w:spacing w:after="0" w:line="360" w:lineRule="auto"/>
              <w:jc w:val="center"/>
              <w:rPr>
                <w:rFonts w:ascii="Times New Roman" w:hAnsi="Times New Roman"/>
                <w:bCs/>
                <w:i/>
                <w:color w:val="000000"/>
                <w:sz w:val="24"/>
                <w:szCs w:val="24"/>
              </w:rPr>
            </w:pPr>
          </w:p>
          <w:p w:rsidR="00B019B7" w:rsidRPr="00D8426D" w:rsidRDefault="00B019B7" w:rsidP="00F815A9">
            <w:pPr>
              <w:spacing w:after="0" w:line="360" w:lineRule="auto"/>
              <w:jc w:val="center"/>
              <w:rPr>
                <w:rFonts w:ascii="Times New Roman" w:hAnsi="Times New Roman"/>
                <w:bCs/>
                <w:i/>
                <w:color w:val="000000"/>
                <w:sz w:val="24"/>
                <w:szCs w:val="24"/>
              </w:rPr>
            </w:pPr>
            <w:r w:rsidRPr="00D8426D">
              <w:rPr>
                <w:rFonts w:ascii="Times New Roman" w:hAnsi="Times New Roman"/>
                <w:bCs/>
                <w:i/>
                <w:color w:val="000000"/>
                <w:sz w:val="24"/>
                <w:szCs w:val="24"/>
              </w:rPr>
              <w:t>M</w:t>
            </w:r>
          </w:p>
        </w:tc>
        <w:tc>
          <w:tcPr>
            <w:tcW w:w="914" w:type="dxa"/>
            <w:tcBorders>
              <w:top w:val="single" w:sz="8" w:space="0" w:color="000000"/>
              <w:bottom w:val="single" w:sz="8" w:space="0" w:color="000000"/>
            </w:tcBorders>
            <w:shd w:val="clear" w:color="auto" w:fill="auto"/>
          </w:tcPr>
          <w:p w:rsidR="00B019B7" w:rsidRPr="00D8426D" w:rsidRDefault="00B019B7" w:rsidP="00F815A9">
            <w:pPr>
              <w:spacing w:after="0" w:line="360" w:lineRule="auto"/>
              <w:jc w:val="center"/>
              <w:rPr>
                <w:rFonts w:ascii="Times New Roman" w:hAnsi="Times New Roman"/>
                <w:bCs/>
                <w:color w:val="000000"/>
                <w:sz w:val="24"/>
                <w:szCs w:val="24"/>
              </w:rPr>
            </w:pPr>
          </w:p>
          <w:p w:rsidR="00B019B7" w:rsidRPr="00D8426D" w:rsidRDefault="00B019B7" w:rsidP="00F815A9">
            <w:pPr>
              <w:spacing w:after="0" w:line="360" w:lineRule="auto"/>
              <w:jc w:val="center"/>
              <w:rPr>
                <w:rFonts w:ascii="Times New Roman" w:hAnsi="Times New Roman"/>
                <w:bCs/>
                <w:color w:val="000000"/>
                <w:sz w:val="24"/>
                <w:szCs w:val="24"/>
              </w:rPr>
            </w:pPr>
            <w:r w:rsidRPr="00D8426D">
              <w:rPr>
                <w:rFonts w:ascii="Times New Roman" w:hAnsi="Times New Roman"/>
                <w:bCs/>
                <w:color w:val="000000"/>
                <w:sz w:val="24"/>
                <w:szCs w:val="24"/>
              </w:rPr>
              <w:t>SD</w:t>
            </w:r>
          </w:p>
        </w:tc>
        <w:tc>
          <w:tcPr>
            <w:tcW w:w="1323" w:type="dxa"/>
            <w:tcBorders>
              <w:top w:val="single" w:sz="8" w:space="0" w:color="000000"/>
              <w:bottom w:val="single" w:sz="8" w:space="0" w:color="000000"/>
            </w:tcBorders>
            <w:shd w:val="clear" w:color="auto" w:fill="auto"/>
          </w:tcPr>
          <w:p w:rsidR="00B019B7" w:rsidRPr="00D8426D" w:rsidRDefault="00B019B7" w:rsidP="00F815A9">
            <w:pPr>
              <w:spacing w:after="0" w:line="360" w:lineRule="auto"/>
              <w:jc w:val="center"/>
              <w:rPr>
                <w:rFonts w:ascii="Times New Roman" w:hAnsi="Times New Roman"/>
                <w:bCs/>
                <w:i/>
                <w:color w:val="000000"/>
                <w:sz w:val="24"/>
                <w:szCs w:val="24"/>
              </w:rPr>
            </w:pPr>
          </w:p>
          <w:p w:rsidR="00B019B7" w:rsidRPr="00D8426D" w:rsidRDefault="00B019B7" w:rsidP="00F815A9">
            <w:pPr>
              <w:spacing w:after="0" w:line="360" w:lineRule="auto"/>
              <w:jc w:val="center"/>
              <w:rPr>
                <w:rFonts w:ascii="Times New Roman" w:hAnsi="Times New Roman"/>
                <w:bCs/>
                <w:i/>
                <w:color w:val="000000"/>
                <w:sz w:val="24"/>
                <w:szCs w:val="24"/>
              </w:rPr>
            </w:pPr>
            <w:r w:rsidRPr="00D8426D">
              <w:rPr>
                <w:rFonts w:ascii="Times New Roman" w:hAnsi="Times New Roman"/>
                <w:bCs/>
                <w:i/>
                <w:color w:val="000000"/>
                <w:sz w:val="24"/>
                <w:szCs w:val="24"/>
              </w:rPr>
              <w:t>Mdn</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Other</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1136</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28.35</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23.18</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47.09</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12</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Welfare</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756</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18.87</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16.09</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33.02</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4</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Nuisance</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734</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18.32</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15.29</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14.35</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12.5</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 xml:space="preserve">Acquisitive (person) </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667</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16.65</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17.55</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22.4</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7</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Disputes</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209</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5.22</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4.98</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5.46</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3</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 xml:space="preserve">Violence against the person </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203</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5.07</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5.64</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5.17</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4.5</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Vandalism/criminal damage</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97</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2.42</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2.85</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2.02</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Domestic incidents</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95</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2.37</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5.28</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9.22</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1.5</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Conditions</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80</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4.71</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7.27</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Sexual offences</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20</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0.5</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1.67</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1.72</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w:t>
            </w:r>
          </w:p>
        </w:tc>
      </w:tr>
      <w:tr w:rsidR="00B019B7" w:rsidRPr="00D8426D" w:rsidTr="00F815A9">
        <w:tc>
          <w:tcPr>
            <w:tcW w:w="322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Acquisitive (household)</w:t>
            </w:r>
          </w:p>
        </w:tc>
        <w:tc>
          <w:tcPr>
            <w:tcW w:w="96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10</w:t>
            </w:r>
          </w:p>
        </w:tc>
        <w:tc>
          <w:tcPr>
            <w:tcW w:w="1549"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0.25</w:t>
            </w:r>
          </w:p>
        </w:tc>
        <w:tc>
          <w:tcPr>
            <w:tcW w:w="1265"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1.43</w:t>
            </w:r>
          </w:p>
        </w:tc>
        <w:tc>
          <w:tcPr>
            <w:tcW w:w="914"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0.79</w:t>
            </w:r>
          </w:p>
        </w:tc>
        <w:tc>
          <w:tcPr>
            <w:tcW w:w="132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w:t>
            </w:r>
          </w:p>
        </w:tc>
      </w:tr>
    </w:tbl>
    <w:p w:rsidR="00B019B7" w:rsidRDefault="00B019B7" w:rsidP="00B019B7">
      <w:pPr>
        <w:spacing w:line="360" w:lineRule="auto"/>
        <w:jc w:val="both"/>
        <w:rPr>
          <w:rFonts w:ascii="Times New Roman" w:hAnsi="Times New Roman"/>
          <w:sz w:val="24"/>
          <w:szCs w:val="24"/>
        </w:rPr>
      </w:pPr>
    </w:p>
    <w:p w:rsidR="00B019B7" w:rsidRDefault="00B019B7">
      <w:pPr>
        <w:spacing w:after="160" w:line="259" w:lineRule="auto"/>
        <w:rPr>
          <w:rFonts w:ascii="Times New Roman" w:hAnsi="Times New Roman"/>
          <w:sz w:val="24"/>
          <w:szCs w:val="24"/>
        </w:rPr>
      </w:pPr>
      <w:r>
        <w:rPr>
          <w:rFonts w:ascii="Times New Roman" w:hAnsi="Times New Roman"/>
          <w:sz w:val="24"/>
          <w:szCs w:val="24"/>
        </w:rPr>
        <w:br w:type="page"/>
      </w:r>
    </w:p>
    <w:p w:rsidR="00B019B7" w:rsidRDefault="00B019B7" w:rsidP="00B019B7">
      <w:pPr>
        <w:spacing w:line="360" w:lineRule="auto"/>
        <w:jc w:val="both"/>
        <w:rPr>
          <w:rFonts w:ascii="Times New Roman" w:hAnsi="Times New Roman"/>
          <w:sz w:val="24"/>
          <w:szCs w:val="24"/>
        </w:rPr>
        <w:sectPr w:rsidR="00B019B7">
          <w:pgSz w:w="11906" w:h="16838"/>
          <w:pgMar w:top="1440" w:right="1440" w:bottom="1440" w:left="1440" w:header="708" w:footer="708" w:gutter="0"/>
          <w:cols w:space="708"/>
          <w:docGrid w:linePitch="360"/>
        </w:sectPr>
      </w:pPr>
    </w:p>
    <w:p w:rsidR="00B019B7" w:rsidRPr="001D3EB8" w:rsidRDefault="00B019B7" w:rsidP="00B019B7">
      <w:pPr>
        <w:spacing w:line="360" w:lineRule="auto"/>
        <w:jc w:val="both"/>
        <w:rPr>
          <w:rFonts w:ascii="Times New Roman" w:hAnsi="Times New Roman"/>
          <w:sz w:val="24"/>
          <w:szCs w:val="24"/>
        </w:rPr>
      </w:pPr>
      <w:r w:rsidRPr="001D3EB8">
        <w:rPr>
          <w:rFonts w:ascii="Times New Roman" w:hAnsi="Times New Roman"/>
          <w:sz w:val="24"/>
          <w:szCs w:val="24"/>
        </w:rPr>
        <w:lastRenderedPageBreak/>
        <w:t>Table V</w:t>
      </w:r>
      <w:r>
        <w:rPr>
          <w:rFonts w:ascii="Times New Roman" w:hAnsi="Times New Roman"/>
          <w:sz w:val="24"/>
          <w:szCs w:val="24"/>
        </w:rPr>
        <w:t>.</w:t>
      </w:r>
      <w:r w:rsidRPr="001D3EB8">
        <w:rPr>
          <w:rFonts w:ascii="Times New Roman" w:hAnsi="Times New Roman"/>
          <w:sz w:val="24"/>
          <w:szCs w:val="24"/>
        </w:rPr>
        <w:t xml:space="preserve"> Incident classification for </w:t>
      </w:r>
      <w:r>
        <w:rPr>
          <w:rFonts w:ascii="Times New Roman" w:hAnsi="Times New Roman"/>
          <w:sz w:val="24"/>
          <w:szCs w:val="24"/>
        </w:rPr>
        <w:t xml:space="preserve">individual address categories </w:t>
      </w:r>
    </w:p>
    <w:tbl>
      <w:tblPr>
        <w:tblW w:w="14034" w:type="dxa"/>
        <w:tblBorders>
          <w:top w:val="single" w:sz="8" w:space="0" w:color="000000"/>
          <w:bottom w:val="single" w:sz="8" w:space="0" w:color="000000"/>
        </w:tblBorders>
        <w:tblLayout w:type="fixed"/>
        <w:tblLook w:val="06A0" w:firstRow="1" w:lastRow="0" w:firstColumn="1" w:lastColumn="0" w:noHBand="1" w:noVBand="1"/>
      </w:tblPr>
      <w:tblGrid>
        <w:gridCol w:w="2977"/>
        <w:gridCol w:w="2693"/>
        <w:gridCol w:w="1843"/>
        <w:gridCol w:w="1843"/>
        <w:gridCol w:w="2126"/>
        <w:gridCol w:w="2552"/>
      </w:tblGrid>
      <w:tr w:rsidR="00B019B7" w:rsidRPr="00D8426D" w:rsidTr="00F815A9">
        <w:tc>
          <w:tcPr>
            <w:tcW w:w="2977" w:type="dxa"/>
            <w:tcBorders>
              <w:top w:val="single" w:sz="8" w:space="0" w:color="000000"/>
              <w:bottom w:val="single" w:sz="8" w:space="0" w:color="000000"/>
            </w:tcBorders>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Incident classification</w:t>
            </w:r>
          </w:p>
        </w:tc>
        <w:tc>
          <w:tcPr>
            <w:tcW w:w="2693" w:type="dxa"/>
            <w:tcBorders>
              <w:top w:val="single" w:sz="8" w:space="0" w:color="000000"/>
              <w:bottom w:val="single" w:sz="8" w:space="0" w:color="000000"/>
            </w:tcBorders>
            <w:shd w:val="clear" w:color="auto" w:fill="auto"/>
          </w:tcPr>
          <w:p w:rsidR="00B019B7" w:rsidRPr="00F47582" w:rsidRDefault="00B019B7" w:rsidP="00F815A9">
            <w:pPr>
              <w:spacing w:after="0" w:line="360" w:lineRule="auto"/>
              <w:jc w:val="center"/>
              <w:rPr>
                <w:rFonts w:ascii="Times New Roman" w:hAnsi="Times New Roman"/>
                <w:bCs/>
                <w:color w:val="000000"/>
                <w:sz w:val="24"/>
                <w:szCs w:val="24"/>
              </w:rPr>
            </w:pPr>
            <w:r w:rsidRPr="00F47582">
              <w:rPr>
                <w:rFonts w:ascii="Times New Roman" w:hAnsi="Times New Roman"/>
                <w:bCs/>
                <w:color w:val="000000"/>
                <w:sz w:val="24"/>
                <w:szCs w:val="24"/>
              </w:rPr>
              <w:t>Categories</w:t>
            </w:r>
            <w:r>
              <w:rPr>
                <w:rFonts w:ascii="Times New Roman" w:hAnsi="Times New Roman"/>
                <w:bCs/>
                <w:color w:val="000000"/>
                <w:sz w:val="24"/>
                <w:szCs w:val="24"/>
              </w:rPr>
              <w:t xml:space="preserve"> </w:t>
            </w:r>
          </w:p>
        </w:tc>
        <w:tc>
          <w:tcPr>
            <w:tcW w:w="1843" w:type="dxa"/>
            <w:tcBorders>
              <w:top w:val="single" w:sz="8" w:space="0" w:color="000000"/>
              <w:bottom w:val="single" w:sz="8" w:space="0" w:color="000000"/>
            </w:tcBorders>
            <w:shd w:val="clear" w:color="auto" w:fill="auto"/>
          </w:tcPr>
          <w:p w:rsidR="00B019B7" w:rsidRPr="00F47582" w:rsidRDefault="00B019B7" w:rsidP="00F815A9">
            <w:pPr>
              <w:spacing w:after="0" w:line="360" w:lineRule="auto"/>
              <w:rPr>
                <w:rFonts w:ascii="Times New Roman" w:hAnsi="Times New Roman"/>
                <w:bCs/>
                <w:color w:val="000000"/>
                <w:sz w:val="24"/>
                <w:szCs w:val="24"/>
              </w:rPr>
            </w:pPr>
          </w:p>
        </w:tc>
        <w:tc>
          <w:tcPr>
            <w:tcW w:w="1843" w:type="dxa"/>
            <w:tcBorders>
              <w:top w:val="single" w:sz="8" w:space="0" w:color="000000"/>
              <w:bottom w:val="single" w:sz="8" w:space="0" w:color="000000"/>
            </w:tcBorders>
            <w:shd w:val="clear" w:color="auto" w:fill="auto"/>
          </w:tcPr>
          <w:p w:rsidR="00B019B7" w:rsidRPr="00D8426D" w:rsidRDefault="00B019B7" w:rsidP="00F815A9">
            <w:pPr>
              <w:spacing w:after="0" w:line="360" w:lineRule="auto"/>
              <w:jc w:val="center"/>
              <w:rPr>
                <w:rFonts w:ascii="Times New Roman" w:hAnsi="Times New Roman"/>
                <w:bCs/>
                <w:i/>
                <w:color w:val="000000"/>
                <w:sz w:val="24"/>
                <w:szCs w:val="24"/>
              </w:rPr>
            </w:pPr>
          </w:p>
        </w:tc>
        <w:tc>
          <w:tcPr>
            <w:tcW w:w="2126" w:type="dxa"/>
            <w:tcBorders>
              <w:top w:val="single" w:sz="8" w:space="0" w:color="000000"/>
              <w:bottom w:val="single" w:sz="8" w:space="0" w:color="000000"/>
            </w:tcBorders>
            <w:shd w:val="clear" w:color="auto" w:fill="auto"/>
          </w:tcPr>
          <w:p w:rsidR="00B019B7" w:rsidRPr="00D8426D" w:rsidRDefault="00B019B7" w:rsidP="00F815A9">
            <w:pPr>
              <w:spacing w:after="0" w:line="360" w:lineRule="auto"/>
              <w:jc w:val="center"/>
              <w:rPr>
                <w:rFonts w:ascii="Times New Roman" w:hAnsi="Times New Roman"/>
                <w:bCs/>
                <w:color w:val="000000"/>
                <w:sz w:val="24"/>
                <w:szCs w:val="24"/>
              </w:rPr>
            </w:pPr>
          </w:p>
        </w:tc>
        <w:tc>
          <w:tcPr>
            <w:tcW w:w="2552" w:type="dxa"/>
            <w:tcBorders>
              <w:top w:val="single" w:sz="8" w:space="0" w:color="000000"/>
              <w:bottom w:val="single" w:sz="8" w:space="0" w:color="000000"/>
            </w:tcBorders>
            <w:shd w:val="clear" w:color="auto" w:fill="auto"/>
          </w:tcPr>
          <w:p w:rsidR="00B019B7" w:rsidRPr="00D8426D" w:rsidRDefault="00B019B7" w:rsidP="00F815A9">
            <w:pPr>
              <w:spacing w:after="0" w:line="360" w:lineRule="auto"/>
              <w:jc w:val="center"/>
              <w:rPr>
                <w:rFonts w:ascii="Times New Roman" w:hAnsi="Times New Roman"/>
                <w:bCs/>
                <w:i/>
                <w:color w:val="000000"/>
                <w:sz w:val="24"/>
                <w:szCs w:val="24"/>
              </w:rPr>
            </w:pPr>
          </w:p>
        </w:tc>
      </w:tr>
      <w:tr w:rsidR="00B019B7" w:rsidRPr="00D8426D" w:rsidTr="00F815A9">
        <w:tc>
          <w:tcPr>
            <w:tcW w:w="2977" w:type="dxa"/>
            <w:tcBorders>
              <w:top w:val="single" w:sz="8" w:space="0" w:color="000000"/>
              <w:bottom w:val="single" w:sz="8" w:space="0" w:color="000000"/>
            </w:tcBorders>
            <w:shd w:val="clear" w:color="auto" w:fill="auto"/>
          </w:tcPr>
          <w:p w:rsidR="00B019B7" w:rsidRPr="00D8426D" w:rsidRDefault="00B019B7" w:rsidP="00F815A9">
            <w:pPr>
              <w:spacing w:after="0" w:line="360" w:lineRule="auto"/>
              <w:rPr>
                <w:rFonts w:ascii="Times New Roman" w:hAnsi="Times New Roman"/>
                <w:bCs/>
                <w:color w:val="000000"/>
                <w:sz w:val="24"/>
                <w:szCs w:val="24"/>
              </w:rPr>
            </w:pPr>
          </w:p>
        </w:tc>
        <w:tc>
          <w:tcPr>
            <w:tcW w:w="2693" w:type="dxa"/>
            <w:tcBorders>
              <w:top w:val="single" w:sz="8" w:space="0" w:color="000000"/>
              <w:bottom w:val="single" w:sz="8" w:space="0" w:color="000000"/>
            </w:tcBorders>
            <w:shd w:val="clear" w:color="auto" w:fill="auto"/>
          </w:tcPr>
          <w:p w:rsidR="00B019B7" w:rsidRDefault="00B019B7" w:rsidP="00F815A9">
            <w:pPr>
              <w:spacing w:after="0" w:line="360" w:lineRule="auto"/>
              <w:jc w:val="center"/>
              <w:rPr>
                <w:rFonts w:ascii="Times New Roman" w:hAnsi="Times New Roman"/>
                <w:bCs/>
                <w:i/>
                <w:color w:val="000000"/>
                <w:sz w:val="24"/>
                <w:szCs w:val="24"/>
              </w:rPr>
            </w:pPr>
            <w:r w:rsidRPr="004D623A">
              <w:rPr>
                <w:rFonts w:ascii="Times New Roman" w:hAnsi="Times New Roman"/>
                <w:bCs/>
                <w:i/>
                <w:color w:val="000000"/>
                <w:sz w:val="24"/>
                <w:szCs w:val="24"/>
              </w:rPr>
              <w:t>Residential addresses</w:t>
            </w:r>
          </w:p>
          <w:p w:rsidR="00B019B7" w:rsidRPr="004D623A" w:rsidRDefault="00B019B7" w:rsidP="00F815A9">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 xml:space="preserve">n </w:t>
            </w:r>
            <w:r w:rsidRPr="00F47582">
              <w:rPr>
                <w:rFonts w:ascii="Times New Roman" w:hAnsi="Times New Roman"/>
                <w:bCs/>
                <w:color w:val="000000"/>
                <w:sz w:val="24"/>
                <w:szCs w:val="24"/>
              </w:rPr>
              <w:t>(%)</w:t>
            </w:r>
          </w:p>
        </w:tc>
        <w:tc>
          <w:tcPr>
            <w:tcW w:w="1843" w:type="dxa"/>
            <w:tcBorders>
              <w:top w:val="single" w:sz="8" w:space="0" w:color="000000"/>
              <w:bottom w:val="single" w:sz="8" w:space="0" w:color="000000"/>
            </w:tcBorders>
            <w:shd w:val="clear" w:color="auto" w:fill="auto"/>
          </w:tcPr>
          <w:p w:rsidR="00B019B7" w:rsidRDefault="00B019B7" w:rsidP="00F815A9">
            <w:pPr>
              <w:spacing w:after="0" w:line="360" w:lineRule="auto"/>
              <w:jc w:val="center"/>
              <w:rPr>
                <w:rFonts w:ascii="Times New Roman" w:hAnsi="Times New Roman"/>
                <w:bCs/>
                <w:i/>
                <w:color w:val="000000"/>
                <w:sz w:val="24"/>
                <w:szCs w:val="24"/>
              </w:rPr>
            </w:pPr>
            <w:r w:rsidRPr="004D623A">
              <w:rPr>
                <w:rFonts w:ascii="Times New Roman" w:hAnsi="Times New Roman"/>
                <w:bCs/>
                <w:i/>
                <w:color w:val="000000"/>
                <w:sz w:val="24"/>
                <w:szCs w:val="24"/>
              </w:rPr>
              <w:t>Statutory bodies</w:t>
            </w:r>
          </w:p>
          <w:p w:rsidR="00B019B7" w:rsidRPr="004D623A" w:rsidRDefault="00B019B7" w:rsidP="00F815A9">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 xml:space="preserve">n </w:t>
            </w:r>
            <w:r w:rsidRPr="00F47582">
              <w:rPr>
                <w:rFonts w:ascii="Times New Roman" w:hAnsi="Times New Roman"/>
                <w:bCs/>
                <w:color w:val="000000"/>
                <w:sz w:val="24"/>
                <w:szCs w:val="24"/>
              </w:rPr>
              <w:t>(%)</w:t>
            </w:r>
          </w:p>
        </w:tc>
        <w:tc>
          <w:tcPr>
            <w:tcW w:w="1843" w:type="dxa"/>
            <w:tcBorders>
              <w:top w:val="single" w:sz="8" w:space="0" w:color="000000"/>
              <w:bottom w:val="single" w:sz="8" w:space="0" w:color="000000"/>
            </w:tcBorders>
            <w:shd w:val="clear" w:color="auto" w:fill="auto"/>
          </w:tcPr>
          <w:p w:rsidR="00B019B7" w:rsidRDefault="00B019B7" w:rsidP="00F815A9">
            <w:pPr>
              <w:spacing w:after="0" w:line="360" w:lineRule="auto"/>
              <w:jc w:val="center"/>
              <w:rPr>
                <w:rFonts w:ascii="Times New Roman" w:hAnsi="Times New Roman"/>
                <w:bCs/>
                <w:i/>
                <w:color w:val="000000"/>
                <w:sz w:val="24"/>
                <w:szCs w:val="24"/>
              </w:rPr>
            </w:pPr>
            <w:r w:rsidRPr="004D623A">
              <w:rPr>
                <w:rFonts w:ascii="Times New Roman" w:hAnsi="Times New Roman"/>
                <w:bCs/>
                <w:i/>
                <w:color w:val="000000"/>
                <w:sz w:val="24"/>
                <w:szCs w:val="24"/>
              </w:rPr>
              <w:t>Retail addresses</w:t>
            </w:r>
          </w:p>
          <w:p w:rsidR="00B019B7" w:rsidRPr="004D623A" w:rsidRDefault="00B019B7" w:rsidP="00F815A9">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 xml:space="preserve">n </w:t>
            </w:r>
            <w:r w:rsidRPr="00F47582">
              <w:rPr>
                <w:rFonts w:ascii="Times New Roman" w:hAnsi="Times New Roman"/>
                <w:bCs/>
                <w:color w:val="000000"/>
                <w:sz w:val="24"/>
                <w:szCs w:val="24"/>
              </w:rPr>
              <w:t>(%)</w:t>
            </w:r>
          </w:p>
        </w:tc>
        <w:tc>
          <w:tcPr>
            <w:tcW w:w="2126" w:type="dxa"/>
            <w:tcBorders>
              <w:top w:val="single" w:sz="8" w:space="0" w:color="000000"/>
              <w:bottom w:val="single" w:sz="8" w:space="0" w:color="000000"/>
            </w:tcBorders>
            <w:shd w:val="clear" w:color="auto" w:fill="auto"/>
          </w:tcPr>
          <w:p w:rsidR="00B019B7" w:rsidRDefault="00B019B7" w:rsidP="00F815A9">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Nightlife addresses</w:t>
            </w:r>
          </w:p>
          <w:p w:rsidR="00B019B7" w:rsidRPr="004D623A" w:rsidRDefault="00B019B7" w:rsidP="00F815A9">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 xml:space="preserve">n </w:t>
            </w:r>
            <w:r w:rsidRPr="00F47582">
              <w:rPr>
                <w:rFonts w:ascii="Times New Roman" w:hAnsi="Times New Roman"/>
                <w:bCs/>
                <w:color w:val="000000"/>
                <w:sz w:val="24"/>
                <w:szCs w:val="24"/>
              </w:rPr>
              <w:t>(%)</w:t>
            </w:r>
          </w:p>
        </w:tc>
        <w:tc>
          <w:tcPr>
            <w:tcW w:w="2552" w:type="dxa"/>
            <w:tcBorders>
              <w:top w:val="single" w:sz="8" w:space="0" w:color="000000"/>
              <w:bottom w:val="single" w:sz="8" w:space="0" w:color="000000"/>
            </w:tcBorders>
            <w:shd w:val="clear" w:color="auto" w:fill="auto"/>
          </w:tcPr>
          <w:p w:rsidR="00B019B7" w:rsidRDefault="00B019B7" w:rsidP="00F815A9">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Young people’s services</w:t>
            </w:r>
          </w:p>
          <w:p w:rsidR="00B019B7" w:rsidRPr="004D623A" w:rsidRDefault="00B019B7" w:rsidP="00F815A9">
            <w:pPr>
              <w:spacing w:after="0" w:line="360" w:lineRule="auto"/>
              <w:jc w:val="center"/>
              <w:rPr>
                <w:rFonts w:ascii="Times New Roman" w:hAnsi="Times New Roman"/>
                <w:bCs/>
                <w:i/>
                <w:color w:val="000000"/>
                <w:sz w:val="24"/>
                <w:szCs w:val="24"/>
              </w:rPr>
            </w:pPr>
            <w:r>
              <w:rPr>
                <w:rFonts w:ascii="Times New Roman" w:hAnsi="Times New Roman"/>
                <w:bCs/>
                <w:i/>
                <w:color w:val="000000"/>
                <w:sz w:val="24"/>
                <w:szCs w:val="24"/>
              </w:rPr>
              <w:t xml:space="preserve">n </w:t>
            </w:r>
            <w:r w:rsidRPr="00F47582">
              <w:rPr>
                <w:rFonts w:ascii="Times New Roman" w:hAnsi="Times New Roman"/>
                <w:bCs/>
                <w:color w:val="000000"/>
                <w:sz w:val="24"/>
                <w:szCs w:val="24"/>
              </w:rPr>
              <w:t>(%)</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Other</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74 (13.36)</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565</w:t>
            </w:r>
            <w:r>
              <w:rPr>
                <w:rFonts w:ascii="Times New Roman" w:hAnsi="Times New Roman"/>
                <w:color w:val="000000"/>
                <w:sz w:val="24"/>
                <w:szCs w:val="24"/>
              </w:rPr>
              <w:t xml:space="preserve"> (47.28)</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192 (20.06)</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200 (28.3)</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105 (18.55)</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Welfare</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210 (37.91</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245</w:t>
            </w:r>
            <w:r>
              <w:rPr>
                <w:rFonts w:ascii="Times New Roman" w:hAnsi="Times New Roman"/>
                <w:color w:val="000000"/>
                <w:sz w:val="24"/>
                <w:szCs w:val="24"/>
              </w:rPr>
              <w:t xml:space="preserve"> (20.5)</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24 (2.51)</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46 (6.26)</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231 (40.81)</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Nuisance</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97 (17.51)</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178</w:t>
            </w:r>
            <w:r>
              <w:rPr>
                <w:rFonts w:ascii="Times New Roman" w:hAnsi="Times New Roman"/>
                <w:color w:val="000000"/>
                <w:sz w:val="24"/>
                <w:szCs w:val="24"/>
              </w:rPr>
              <w:t xml:space="preserve"> (14.9)</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166 (17.35)</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208 (28.3)</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85 (15.02)</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 xml:space="preserve">Acquisitive (person) </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8 (1.44)</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51</w:t>
            </w:r>
            <w:r>
              <w:rPr>
                <w:rFonts w:ascii="Times New Roman" w:hAnsi="Times New Roman"/>
                <w:color w:val="000000"/>
                <w:sz w:val="24"/>
                <w:szCs w:val="24"/>
              </w:rPr>
              <w:t xml:space="preserve"> (4.27)</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475 (49.63)</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105 (14.29)</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28 (4.95)</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Disputes</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55 (9.93)</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37 (3.1)</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57 (5.96)</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40 (5.44)</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20 (3.53)</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 xml:space="preserve">Violence against the person </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15 (2.71)</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47 (3.93)</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14 (1.46)</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101 (13.74)</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26 (4.59)</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Vandalism/criminal damage</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 (2.35)</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22 (1.84)</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21 (2.19)</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22 (2.99)</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19 (3.36)</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Domestic incidents</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76 (13.72)</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7 (0.59)</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 (0.52)</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5 (0.82)</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 (0.35)</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Conditions</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 (0.72)</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26 (2.18)</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 (0.1)</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6 (0.82)</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14 (7.6)</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Sexual offences</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2 (0.36)</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13 (1.09)</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 (0.1)</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 (0.1)</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3 (0.53)</w:t>
            </w:r>
          </w:p>
        </w:tc>
      </w:tr>
      <w:tr w:rsidR="00B019B7" w:rsidRPr="00D8426D" w:rsidTr="00F815A9">
        <w:tc>
          <w:tcPr>
            <w:tcW w:w="2977" w:type="dxa"/>
            <w:shd w:val="clear" w:color="auto" w:fill="auto"/>
          </w:tcPr>
          <w:p w:rsidR="00B019B7" w:rsidRPr="00D8426D" w:rsidRDefault="00B019B7" w:rsidP="00F815A9">
            <w:pPr>
              <w:spacing w:after="0" w:line="360" w:lineRule="auto"/>
              <w:rPr>
                <w:rFonts w:ascii="Times New Roman" w:hAnsi="Times New Roman"/>
                <w:bCs/>
                <w:color w:val="000000"/>
                <w:sz w:val="24"/>
                <w:szCs w:val="24"/>
              </w:rPr>
            </w:pPr>
            <w:r w:rsidRPr="00D8426D">
              <w:rPr>
                <w:rFonts w:ascii="Times New Roman" w:hAnsi="Times New Roman"/>
                <w:bCs/>
                <w:color w:val="000000"/>
                <w:sz w:val="24"/>
                <w:szCs w:val="24"/>
              </w:rPr>
              <w:t>Acquisitive (household)</w:t>
            </w:r>
          </w:p>
        </w:tc>
        <w:tc>
          <w:tcPr>
            <w:tcW w:w="269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0 (0)</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sidRPr="00D8426D">
              <w:rPr>
                <w:rFonts w:ascii="Times New Roman" w:hAnsi="Times New Roman"/>
                <w:color w:val="000000"/>
                <w:sz w:val="24"/>
                <w:szCs w:val="24"/>
              </w:rPr>
              <w:t>4</w:t>
            </w:r>
            <w:r>
              <w:rPr>
                <w:rFonts w:ascii="Times New Roman" w:hAnsi="Times New Roman"/>
                <w:color w:val="000000"/>
                <w:sz w:val="24"/>
                <w:szCs w:val="24"/>
              </w:rPr>
              <w:t xml:space="preserve"> (0.33)</w:t>
            </w:r>
          </w:p>
        </w:tc>
        <w:tc>
          <w:tcPr>
            <w:tcW w:w="1843"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 (0.1)</w:t>
            </w:r>
          </w:p>
        </w:tc>
        <w:tc>
          <w:tcPr>
            <w:tcW w:w="2126"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1 (0.1)</w:t>
            </w:r>
          </w:p>
        </w:tc>
        <w:tc>
          <w:tcPr>
            <w:tcW w:w="2552" w:type="dxa"/>
            <w:shd w:val="clear" w:color="auto" w:fill="auto"/>
          </w:tcPr>
          <w:p w:rsidR="00B019B7" w:rsidRPr="00D8426D" w:rsidRDefault="00B019B7" w:rsidP="00F815A9">
            <w:pPr>
              <w:spacing w:after="0" w:line="360" w:lineRule="auto"/>
              <w:jc w:val="center"/>
              <w:rPr>
                <w:rFonts w:ascii="Times New Roman" w:hAnsi="Times New Roman"/>
                <w:color w:val="000000"/>
                <w:sz w:val="24"/>
                <w:szCs w:val="24"/>
              </w:rPr>
            </w:pPr>
            <w:r>
              <w:rPr>
                <w:rFonts w:ascii="Times New Roman" w:hAnsi="Times New Roman"/>
                <w:color w:val="000000"/>
                <w:sz w:val="24"/>
                <w:szCs w:val="24"/>
              </w:rPr>
              <w:t>4 (0.71)</w:t>
            </w:r>
          </w:p>
        </w:tc>
      </w:tr>
    </w:tbl>
    <w:p w:rsidR="00B019B7" w:rsidRDefault="00B019B7" w:rsidP="00B019B7"/>
    <w:p w:rsidR="00B019B7" w:rsidRPr="00AD1F5C" w:rsidRDefault="00B019B7" w:rsidP="00AD1F5C">
      <w:pPr>
        <w:spacing w:line="360" w:lineRule="auto"/>
        <w:jc w:val="center"/>
        <w:rPr>
          <w:rFonts w:ascii="Times New Roman" w:hAnsi="Times New Roman" w:cs="Times New Roman"/>
          <w:sz w:val="24"/>
          <w:szCs w:val="24"/>
        </w:rPr>
      </w:pPr>
    </w:p>
    <w:sectPr w:rsidR="00B019B7" w:rsidRPr="00AD1F5C" w:rsidSect="00B019B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54B" w:rsidRDefault="005E754B" w:rsidP="00D63B98">
      <w:pPr>
        <w:spacing w:after="0" w:line="240" w:lineRule="auto"/>
      </w:pPr>
      <w:r>
        <w:separator/>
      </w:r>
    </w:p>
  </w:endnote>
  <w:endnote w:type="continuationSeparator" w:id="0">
    <w:p w:rsidR="005E754B" w:rsidRDefault="005E754B" w:rsidP="00D6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54B" w:rsidRDefault="005E754B" w:rsidP="00D63B98">
      <w:pPr>
        <w:spacing w:after="0" w:line="240" w:lineRule="auto"/>
      </w:pPr>
      <w:r>
        <w:separator/>
      </w:r>
    </w:p>
  </w:footnote>
  <w:footnote w:type="continuationSeparator" w:id="0">
    <w:p w:rsidR="005E754B" w:rsidRDefault="005E754B" w:rsidP="00D63B98">
      <w:pPr>
        <w:spacing w:after="0" w:line="240" w:lineRule="auto"/>
      </w:pPr>
      <w:r>
        <w:continuationSeparator/>
      </w:r>
    </w:p>
  </w:footnote>
  <w:footnote w:id="1">
    <w:p w:rsidR="002351C9" w:rsidRDefault="002351C9" w:rsidP="002351C9">
      <w:pPr>
        <w:pStyle w:val="FootnoteText"/>
      </w:pPr>
      <w:r>
        <w:rPr>
          <w:rStyle w:val="FootnoteReference"/>
        </w:rPr>
        <w:footnoteRef/>
      </w:r>
      <w:r>
        <w:t xml:space="preserve"> Corresponding author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98"/>
    <w:rsid w:val="001639A1"/>
    <w:rsid w:val="001769A6"/>
    <w:rsid w:val="00200372"/>
    <w:rsid w:val="002351C9"/>
    <w:rsid w:val="00363A7B"/>
    <w:rsid w:val="004055E0"/>
    <w:rsid w:val="004E78B4"/>
    <w:rsid w:val="005406B3"/>
    <w:rsid w:val="00552F52"/>
    <w:rsid w:val="00574EF3"/>
    <w:rsid w:val="005E754B"/>
    <w:rsid w:val="00614FDD"/>
    <w:rsid w:val="006A6DC0"/>
    <w:rsid w:val="007462F0"/>
    <w:rsid w:val="007A3897"/>
    <w:rsid w:val="00806F79"/>
    <w:rsid w:val="00873664"/>
    <w:rsid w:val="00883554"/>
    <w:rsid w:val="0089639C"/>
    <w:rsid w:val="008C1284"/>
    <w:rsid w:val="00A02E7A"/>
    <w:rsid w:val="00AB25E5"/>
    <w:rsid w:val="00AD1F5C"/>
    <w:rsid w:val="00B019B7"/>
    <w:rsid w:val="00CB72AC"/>
    <w:rsid w:val="00D05FFB"/>
    <w:rsid w:val="00D32C1A"/>
    <w:rsid w:val="00D63B98"/>
    <w:rsid w:val="00D73DD6"/>
    <w:rsid w:val="00E40382"/>
    <w:rsid w:val="00F35149"/>
    <w:rsid w:val="00FA3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4B8EB-E8F3-490A-8550-4D2AE0C4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B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3B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3B98"/>
    <w:rPr>
      <w:sz w:val="20"/>
      <w:szCs w:val="20"/>
    </w:rPr>
  </w:style>
  <w:style w:type="character" w:styleId="FootnoteReference">
    <w:name w:val="footnote reference"/>
    <w:basedOn w:val="DefaultParagraphFont"/>
    <w:uiPriority w:val="99"/>
    <w:semiHidden/>
    <w:unhideWhenUsed/>
    <w:rsid w:val="00D63B98"/>
    <w:rPr>
      <w:vertAlign w:val="superscript"/>
    </w:rPr>
  </w:style>
  <w:style w:type="character" w:styleId="Hyperlink">
    <w:name w:val="Hyperlink"/>
    <w:basedOn w:val="DefaultParagraphFont"/>
    <w:uiPriority w:val="99"/>
    <w:unhideWhenUsed/>
    <w:rsid w:val="00D63B98"/>
    <w:rPr>
      <w:color w:val="0563C1" w:themeColor="hyperlink"/>
      <w:u w:val="single"/>
    </w:rPr>
  </w:style>
  <w:style w:type="character" w:styleId="CommentReference">
    <w:name w:val="annotation reference"/>
    <w:basedOn w:val="DefaultParagraphFont"/>
    <w:uiPriority w:val="99"/>
    <w:semiHidden/>
    <w:unhideWhenUsed/>
    <w:rsid w:val="00D63B98"/>
    <w:rPr>
      <w:sz w:val="16"/>
      <w:szCs w:val="16"/>
    </w:rPr>
  </w:style>
  <w:style w:type="paragraph" w:styleId="CommentText">
    <w:name w:val="annotation text"/>
    <w:basedOn w:val="Normal"/>
    <w:link w:val="CommentTextChar"/>
    <w:uiPriority w:val="99"/>
    <w:semiHidden/>
    <w:unhideWhenUsed/>
    <w:rsid w:val="00D63B98"/>
    <w:pPr>
      <w:spacing w:line="240" w:lineRule="auto"/>
    </w:pPr>
    <w:rPr>
      <w:sz w:val="20"/>
      <w:szCs w:val="20"/>
    </w:rPr>
  </w:style>
  <w:style w:type="character" w:customStyle="1" w:styleId="CommentTextChar">
    <w:name w:val="Comment Text Char"/>
    <w:basedOn w:val="DefaultParagraphFont"/>
    <w:link w:val="CommentText"/>
    <w:uiPriority w:val="99"/>
    <w:semiHidden/>
    <w:rsid w:val="00D63B98"/>
    <w:rPr>
      <w:sz w:val="20"/>
      <w:szCs w:val="20"/>
    </w:rPr>
  </w:style>
  <w:style w:type="paragraph" w:customStyle="1" w:styleId="Default">
    <w:name w:val="Default"/>
    <w:rsid w:val="00D63B98"/>
    <w:pPr>
      <w:autoSpaceDE w:val="0"/>
      <w:autoSpaceDN w:val="0"/>
      <w:adjustRightInd w:val="0"/>
      <w:spacing w:after="0" w:line="240" w:lineRule="auto"/>
    </w:pPr>
    <w:rPr>
      <w:rFonts w:ascii="Calibri" w:hAnsi="Calibri" w:cs="Calibri"/>
      <w:color w:val="000000"/>
      <w:sz w:val="24"/>
      <w:szCs w:val="24"/>
    </w:rPr>
  </w:style>
  <w:style w:type="paragraph" w:customStyle="1" w:styleId="Correspondencedetails">
    <w:name w:val="Correspondence details"/>
    <w:basedOn w:val="Normal"/>
    <w:qFormat/>
    <w:rsid w:val="00D63B98"/>
    <w:pPr>
      <w:spacing w:before="240" w:after="0" w:line="360" w:lineRule="auto"/>
    </w:pPr>
    <w:rPr>
      <w:rFonts w:ascii="Times New Roman" w:eastAsia="Times New Roman" w:hAnsi="Times New Roman" w:cs="Times New Roman"/>
      <w:sz w:val="24"/>
      <w:szCs w:val="24"/>
      <w:lang w:eastAsia="en-GB"/>
    </w:rPr>
  </w:style>
  <w:style w:type="paragraph" w:customStyle="1" w:styleId="Notesoncontributors">
    <w:name w:val="Notes on contributors"/>
    <w:basedOn w:val="Normal"/>
    <w:qFormat/>
    <w:rsid w:val="00D63B98"/>
    <w:pPr>
      <w:spacing w:before="240" w:after="0" w:line="36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D63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B98"/>
    <w:rPr>
      <w:rFonts w:ascii="Tahoma" w:hAnsi="Tahoma" w:cs="Tahoma"/>
      <w:sz w:val="16"/>
      <w:szCs w:val="16"/>
    </w:rPr>
  </w:style>
  <w:style w:type="paragraph" w:customStyle="1" w:styleId="Acknowledgements">
    <w:name w:val="Acknowledgements"/>
    <w:basedOn w:val="Normal"/>
    <w:next w:val="Normal"/>
    <w:qFormat/>
    <w:rsid w:val="00F35149"/>
    <w:pPr>
      <w:spacing w:before="120" w:after="0" w:line="360" w:lineRule="auto"/>
    </w:pPr>
    <w:rPr>
      <w:rFonts w:ascii="Times New Roman" w:eastAsia="Times New Roman" w:hAnsi="Times New Roman" w:cs="Times New Roman"/>
      <w:szCs w:val="24"/>
      <w:lang w:eastAsia="en-GB"/>
    </w:rPr>
  </w:style>
  <w:style w:type="paragraph" w:styleId="NormalWeb">
    <w:name w:val="Normal (Web)"/>
    <w:basedOn w:val="Normal"/>
    <w:uiPriority w:val="99"/>
    <w:semiHidden/>
    <w:unhideWhenUsed/>
    <w:rsid w:val="00D73DD6"/>
    <w:pPr>
      <w:spacing w:after="0" w:line="240" w:lineRule="auto"/>
    </w:pPr>
    <w:rPr>
      <w:rFonts w:ascii="Times New Roman" w:hAnsi="Times New Roman" w:cs="Times New Roman"/>
      <w:sz w:val="24"/>
      <w:szCs w:val="24"/>
      <w:lang w:eastAsia="en-GB"/>
    </w:rPr>
  </w:style>
  <w:style w:type="character" w:customStyle="1" w:styleId="A0">
    <w:name w:val="A0"/>
    <w:uiPriority w:val="99"/>
    <w:rsid w:val="001769A6"/>
    <w:rPr>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7959">
      <w:bodyDiv w:val="1"/>
      <w:marLeft w:val="0"/>
      <w:marRight w:val="0"/>
      <w:marTop w:val="0"/>
      <w:marBottom w:val="0"/>
      <w:divBdr>
        <w:top w:val="none" w:sz="0" w:space="0" w:color="auto"/>
        <w:left w:val="none" w:sz="0" w:space="0" w:color="auto"/>
        <w:bottom w:val="none" w:sz="0" w:space="0" w:color="auto"/>
        <w:right w:val="none" w:sz="0" w:space="0" w:color="auto"/>
      </w:divBdr>
    </w:div>
    <w:div w:id="904410233">
      <w:bodyDiv w:val="1"/>
      <w:marLeft w:val="0"/>
      <w:marRight w:val="0"/>
      <w:marTop w:val="0"/>
      <w:marBottom w:val="0"/>
      <w:divBdr>
        <w:top w:val="none" w:sz="0" w:space="0" w:color="auto"/>
        <w:left w:val="none" w:sz="0" w:space="0" w:color="auto"/>
        <w:bottom w:val="none" w:sz="0" w:space="0" w:color="auto"/>
        <w:right w:val="none" w:sz="0" w:space="0" w:color="auto"/>
      </w:divBdr>
    </w:div>
    <w:div w:id="165375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cmanus@uclan.ac.uk" TargetMode="External"/><Relationship Id="rId13" Type="http://schemas.openxmlformats.org/officeDocument/2006/relationships/hyperlink" Target="http://emj.bmj.com/content/early/2014/10/13/emermed-2013-203496.full.pdf+html" TargetMode="External"/><Relationship Id="rId18" Type="http://schemas.openxmlformats.org/officeDocument/2006/relationships/hyperlink" Target="http://www.hscic.gov.uk/catalogue/PUB15812"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mailto:lboulton1@uclan.ac.uk" TargetMode="External"/><Relationship Id="rId12" Type="http://schemas.openxmlformats.org/officeDocument/2006/relationships/hyperlink" Target="http://www.college.police.uk/documents/demand_report_21_1_15.pdf" TargetMode="External"/><Relationship Id="rId17" Type="http://schemas.openxmlformats.org/officeDocument/2006/relationships/hyperlink" Target="http://innovationunit.org/our-projects/projects/co-production-mental-health" TargetMode="External"/><Relationship Id="rId2" Type="http://schemas.openxmlformats.org/officeDocument/2006/relationships/styles" Target="styles.xml"/><Relationship Id="rId16" Type="http://schemas.openxmlformats.org/officeDocument/2006/relationships/hyperlink" Target="https://www.gov.uk/government/uploads/system/uploads/attachment_data/file/117408/tackling-troubled-families.pdf"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an.dawson@lancashire.pnn.police.uk" TargetMode="External"/><Relationship Id="rId5" Type="http://schemas.openxmlformats.org/officeDocument/2006/relationships/footnotes" Target="footnotes.xml"/><Relationship Id="rId15" Type="http://schemas.openxmlformats.org/officeDocument/2006/relationships/hyperlink" Target="http://www.hmic.gov.uk/media/lancashire-response-to-the-funding-challenge.pdf" TargetMode="External"/><Relationship Id="rId23" Type="http://schemas.openxmlformats.org/officeDocument/2006/relationships/theme" Target="theme/theme1.xml"/><Relationship Id="rId10" Type="http://schemas.openxmlformats.org/officeDocument/2006/relationships/hyperlink" Target="mailto:djbrian@uclan.ac.uk" TargetMode="External"/><Relationship Id="rId19" Type="http://schemas.openxmlformats.org/officeDocument/2006/relationships/hyperlink" Target="http://www.lancashire.police.uk/about-us" TargetMode="External"/><Relationship Id="rId4" Type="http://schemas.openxmlformats.org/officeDocument/2006/relationships/webSettings" Target="webSettings.xml"/><Relationship Id="rId9" Type="http://schemas.openxmlformats.org/officeDocument/2006/relationships/hyperlink" Target="mailto:LMetcalfe@uclan.ac.uk" TargetMode="External"/><Relationship Id="rId14" Type="http://schemas.openxmlformats.org/officeDocument/2006/relationships/hyperlink" Target="http://www.justiceinspectorates.gov.uk/hmic/media/taking-time-for-crim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690D5B0E-2664-454E-A4A8-CA096323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7254</Words>
  <Characters>41350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Central Lancashire</Company>
  <LinksUpToDate>false</LinksUpToDate>
  <CharactersWithSpaces>48507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Boulton</dc:creator>
  <cp:lastModifiedBy>BRACEGIRDLE Jocey</cp:lastModifiedBy>
  <cp:revision>2</cp:revision>
  <dcterms:created xsi:type="dcterms:W3CDTF">2017-10-16T15:20:00Z</dcterms:created>
  <dcterms:modified xsi:type="dcterms:W3CDTF">2017-10-16T15:20:00Z</dcterms:modified>
</cp:coreProperties>
</file>