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0AB" w:rsidRPr="00871EA6" w:rsidRDefault="00C630AB" w:rsidP="00C630AB">
      <w:pPr>
        <w:pBdr>
          <w:top w:val="single" w:sz="4" w:space="1" w:color="auto"/>
        </w:pBdr>
        <w:spacing w:line="240" w:lineRule="auto"/>
        <w:jc w:val="right"/>
        <w:rPr>
          <w:b/>
          <w:color w:val="auto"/>
          <w:sz w:val="6"/>
          <w:szCs w:val="6"/>
        </w:rPr>
      </w:pPr>
      <w:bookmarkStart w:id="0" w:name="_GoBack"/>
      <w:bookmarkEnd w:id="0"/>
      <w:r w:rsidRPr="00871EA6">
        <w:rPr>
          <w:noProof/>
          <w:color w:val="auto"/>
          <w:lang w:val="en-US"/>
        </w:rPr>
        <w:drawing>
          <wp:anchor distT="0" distB="0" distL="114300" distR="114300" simplePos="0" relativeHeight="251658240" behindDoc="0" locked="0" layoutInCell="1" allowOverlap="1">
            <wp:simplePos x="0" y="0"/>
            <wp:positionH relativeFrom="column">
              <wp:posOffset>18415</wp:posOffset>
            </wp:positionH>
            <wp:positionV relativeFrom="paragraph">
              <wp:posOffset>26670</wp:posOffset>
            </wp:positionV>
            <wp:extent cx="1158240" cy="495300"/>
            <wp:effectExtent l="0" t="0" r="3810" b="0"/>
            <wp:wrapNone/>
            <wp:docPr id="1" name="Obraz 1" descr="LOGO UE ang black 1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UE ang black 100.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240" cy="495300"/>
                    </a:xfrm>
                    <a:prstGeom prst="rect">
                      <a:avLst/>
                    </a:prstGeom>
                    <a:noFill/>
                    <a:ln>
                      <a:noFill/>
                    </a:ln>
                  </pic:spPr>
                </pic:pic>
              </a:graphicData>
            </a:graphic>
          </wp:anchor>
        </w:drawing>
      </w:r>
    </w:p>
    <w:p w:rsidR="00C630AB" w:rsidRPr="00871EA6" w:rsidRDefault="00C630AB" w:rsidP="00C630AB">
      <w:pPr>
        <w:spacing w:line="288" w:lineRule="atLeast"/>
        <w:jc w:val="right"/>
        <w:rPr>
          <w:b/>
          <w:color w:val="auto"/>
          <w:sz w:val="28"/>
          <w:szCs w:val="28"/>
        </w:rPr>
      </w:pPr>
      <w:r w:rsidRPr="00871EA6">
        <w:rPr>
          <w:b/>
          <w:color w:val="auto"/>
          <w:sz w:val="28"/>
          <w:szCs w:val="28"/>
        </w:rPr>
        <w:t>Journal of Economics and Management</w:t>
      </w:r>
    </w:p>
    <w:p w:rsidR="00C630AB" w:rsidRPr="00871EA6" w:rsidRDefault="00C630AB" w:rsidP="00C630AB">
      <w:pPr>
        <w:tabs>
          <w:tab w:val="left" w:pos="2410"/>
          <w:tab w:val="right" w:pos="7144"/>
        </w:tabs>
        <w:spacing w:before="60" w:line="288" w:lineRule="atLeast"/>
        <w:rPr>
          <w:b/>
          <w:color w:val="auto"/>
          <w:spacing w:val="-6"/>
          <w:sz w:val="20"/>
          <w:szCs w:val="20"/>
          <w:lang w:val="en-US"/>
        </w:rPr>
      </w:pPr>
      <w:r w:rsidRPr="00871EA6">
        <w:rPr>
          <w:b/>
          <w:color w:val="auto"/>
          <w:sz w:val="28"/>
          <w:szCs w:val="28"/>
        </w:rPr>
        <w:tab/>
      </w:r>
      <w:r w:rsidRPr="00871EA6">
        <w:rPr>
          <w:color w:val="auto"/>
          <w:sz w:val="20"/>
          <w:szCs w:val="20"/>
        </w:rPr>
        <w:t>ISSN 1732-1948</w:t>
      </w:r>
      <w:r w:rsidRPr="00871EA6">
        <w:rPr>
          <w:b/>
          <w:color w:val="auto"/>
          <w:sz w:val="20"/>
          <w:szCs w:val="20"/>
        </w:rPr>
        <w:tab/>
      </w:r>
      <w:r w:rsidRPr="00871EA6">
        <w:rPr>
          <w:color w:val="auto"/>
          <w:spacing w:val="-6"/>
          <w:sz w:val="20"/>
          <w:szCs w:val="20"/>
          <w:highlight w:val="yellow"/>
        </w:rPr>
        <w:t xml:space="preserve">Vol. </w:t>
      </w:r>
      <w:r w:rsidR="00406562" w:rsidRPr="00871EA6">
        <w:rPr>
          <w:color w:val="auto"/>
          <w:spacing w:val="-6"/>
          <w:sz w:val="20"/>
          <w:szCs w:val="20"/>
          <w:highlight w:val="yellow"/>
        </w:rPr>
        <w:t>??</w:t>
      </w:r>
      <w:r w:rsidRPr="00871EA6">
        <w:rPr>
          <w:color w:val="auto"/>
          <w:spacing w:val="-6"/>
          <w:sz w:val="20"/>
          <w:szCs w:val="20"/>
          <w:highlight w:val="yellow"/>
        </w:rPr>
        <w:t xml:space="preserve"> </w:t>
      </w:r>
      <w:r w:rsidRPr="00871EA6">
        <w:rPr>
          <w:color w:val="auto"/>
          <w:spacing w:val="-6"/>
          <w:sz w:val="20"/>
          <w:szCs w:val="20"/>
          <w:highlight w:val="yellow"/>
          <w:lang w:val="en-US"/>
        </w:rPr>
        <w:t>(</w:t>
      </w:r>
      <w:r w:rsidR="00406562" w:rsidRPr="00871EA6">
        <w:rPr>
          <w:color w:val="auto"/>
          <w:spacing w:val="-6"/>
          <w:sz w:val="20"/>
          <w:szCs w:val="20"/>
          <w:highlight w:val="yellow"/>
          <w:lang w:val="en-US"/>
        </w:rPr>
        <w:t>?</w:t>
      </w:r>
      <w:r w:rsidRPr="00871EA6">
        <w:rPr>
          <w:color w:val="auto"/>
          <w:spacing w:val="-6"/>
          <w:sz w:val="20"/>
          <w:szCs w:val="20"/>
          <w:highlight w:val="yellow"/>
          <w:lang w:val="en-US"/>
        </w:rPr>
        <w:t xml:space="preserve">) </w:t>
      </w:r>
      <w:r w:rsidRPr="00871EA6">
        <w:rPr>
          <w:color w:val="auto"/>
          <w:spacing w:val="-6"/>
          <w:sz w:val="16"/>
          <w:szCs w:val="16"/>
          <w:highlight w:val="yellow"/>
        </w:rPr>
        <w:sym w:font="Symbol" w:char="F0B7"/>
      </w:r>
      <w:r w:rsidRPr="00871EA6">
        <w:rPr>
          <w:color w:val="auto"/>
          <w:spacing w:val="-6"/>
          <w:sz w:val="16"/>
          <w:szCs w:val="16"/>
          <w:highlight w:val="yellow"/>
          <w:lang w:val="en-US"/>
        </w:rPr>
        <w:t xml:space="preserve"> </w:t>
      </w:r>
      <w:r w:rsidR="005A306C" w:rsidRPr="00871EA6">
        <w:rPr>
          <w:color w:val="auto"/>
          <w:spacing w:val="-6"/>
          <w:sz w:val="20"/>
          <w:szCs w:val="20"/>
          <w:highlight w:val="yellow"/>
          <w:lang w:val="en-US"/>
        </w:rPr>
        <w:t>201?</w:t>
      </w:r>
    </w:p>
    <w:p w:rsidR="00C630AB" w:rsidRPr="00871EA6" w:rsidRDefault="00C630AB" w:rsidP="00C630AB">
      <w:pPr>
        <w:pBdr>
          <w:bottom w:val="single" w:sz="4" w:space="1" w:color="auto"/>
        </w:pBdr>
        <w:tabs>
          <w:tab w:val="left" w:pos="2410"/>
          <w:tab w:val="right" w:pos="7144"/>
        </w:tabs>
        <w:spacing w:line="240" w:lineRule="auto"/>
        <w:rPr>
          <w:b/>
          <w:color w:val="auto"/>
          <w:sz w:val="6"/>
          <w:szCs w:val="6"/>
          <w:lang w:val="en-US"/>
        </w:rPr>
      </w:pPr>
    </w:p>
    <w:p w:rsidR="00C55157" w:rsidRPr="00871EA6" w:rsidRDefault="00C55157" w:rsidP="00C55157">
      <w:pPr>
        <w:tabs>
          <w:tab w:val="left" w:pos="2410"/>
          <w:tab w:val="right" w:pos="7144"/>
        </w:tabs>
        <w:spacing w:line="240" w:lineRule="auto"/>
        <w:ind w:firstLine="0"/>
        <w:rPr>
          <w:i/>
          <w:color w:val="CC9900"/>
          <w:sz w:val="22"/>
          <w:szCs w:val="22"/>
          <w:lang w:val="en-US"/>
        </w:rPr>
      </w:pPr>
    </w:p>
    <w:p w:rsidR="00C55157" w:rsidRPr="00871EA6" w:rsidRDefault="00C55157" w:rsidP="00C55157">
      <w:pPr>
        <w:tabs>
          <w:tab w:val="left" w:pos="2410"/>
          <w:tab w:val="right" w:pos="7144"/>
        </w:tabs>
        <w:spacing w:line="240" w:lineRule="auto"/>
        <w:ind w:firstLine="0"/>
        <w:rPr>
          <w:i/>
          <w:color w:val="CC9900"/>
          <w:sz w:val="22"/>
          <w:szCs w:val="22"/>
          <w:lang w:val="en-US"/>
        </w:rPr>
      </w:pPr>
    </w:p>
    <w:p w:rsidR="00C630AB" w:rsidRPr="00871EA6" w:rsidRDefault="006871A8" w:rsidP="00AA5DF1">
      <w:pPr>
        <w:tabs>
          <w:tab w:val="left" w:pos="3969"/>
        </w:tabs>
        <w:spacing w:after="60" w:line="240" w:lineRule="auto"/>
        <w:ind w:firstLine="0"/>
        <w:jc w:val="left"/>
        <w:rPr>
          <w:b/>
          <w:color w:val="auto"/>
          <w:kern w:val="22"/>
        </w:rPr>
      </w:pPr>
      <w:r w:rsidRPr="00871EA6">
        <w:rPr>
          <w:b/>
          <w:color w:val="auto"/>
          <w:kern w:val="22"/>
        </w:rPr>
        <w:t>Albulenë Kastrati</w:t>
      </w:r>
      <w:r w:rsidR="003259BE" w:rsidRPr="00871EA6">
        <w:rPr>
          <w:b/>
          <w:color w:val="auto"/>
          <w:kern w:val="22"/>
        </w:rPr>
        <w:t xml:space="preserve">                         </w:t>
      </w:r>
      <w:r w:rsidR="00005EB7" w:rsidRPr="00871EA6">
        <w:rPr>
          <w:b/>
          <w:color w:val="auto"/>
          <w:kern w:val="22"/>
        </w:rPr>
        <w:t>N</w:t>
      </w:r>
      <w:r w:rsidRPr="00871EA6">
        <w:rPr>
          <w:b/>
          <w:color w:val="auto"/>
          <w:kern w:val="22"/>
        </w:rPr>
        <w:t>ick Adnett</w:t>
      </w:r>
    </w:p>
    <w:p w:rsidR="00D27CC7" w:rsidRPr="00871EA6" w:rsidRDefault="00D27CC7" w:rsidP="00AA5DF1">
      <w:pPr>
        <w:tabs>
          <w:tab w:val="left" w:pos="3969"/>
        </w:tabs>
        <w:spacing w:line="240" w:lineRule="auto"/>
        <w:ind w:firstLine="0"/>
        <w:jc w:val="left"/>
        <w:rPr>
          <w:color w:val="auto"/>
          <w:kern w:val="22"/>
          <w:sz w:val="20"/>
          <w:szCs w:val="20"/>
        </w:rPr>
      </w:pPr>
      <w:r w:rsidRPr="00871EA6">
        <w:rPr>
          <w:color w:val="auto"/>
          <w:kern w:val="22"/>
          <w:sz w:val="20"/>
          <w:szCs w:val="20"/>
        </w:rPr>
        <w:t>ORCID ID: 0000-0002-0735-1220</w:t>
      </w:r>
      <w:r w:rsidR="00F0502F" w:rsidRPr="00871EA6">
        <w:rPr>
          <w:color w:val="auto"/>
          <w:kern w:val="22"/>
          <w:sz w:val="20"/>
          <w:szCs w:val="20"/>
        </w:rPr>
        <w:t xml:space="preserve">           School of Business, Leadership and Economics</w:t>
      </w:r>
    </w:p>
    <w:p w:rsidR="00902151" w:rsidRPr="00871EA6" w:rsidRDefault="006871A8" w:rsidP="00AA5DF1">
      <w:pPr>
        <w:tabs>
          <w:tab w:val="left" w:pos="3969"/>
        </w:tabs>
        <w:spacing w:line="240" w:lineRule="auto"/>
        <w:ind w:firstLine="0"/>
        <w:jc w:val="left"/>
        <w:rPr>
          <w:color w:val="auto"/>
          <w:kern w:val="22"/>
          <w:sz w:val="20"/>
          <w:szCs w:val="20"/>
        </w:rPr>
      </w:pPr>
      <w:r w:rsidRPr="00871EA6">
        <w:rPr>
          <w:color w:val="auto"/>
          <w:kern w:val="22"/>
          <w:sz w:val="20"/>
          <w:szCs w:val="20"/>
        </w:rPr>
        <w:t xml:space="preserve">Economics Faculty </w:t>
      </w:r>
      <w:r w:rsidR="00902151" w:rsidRPr="00871EA6">
        <w:rPr>
          <w:color w:val="auto"/>
          <w:kern w:val="22"/>
          <w:sz w:val="20"/>
          <w:szCs w:val="20"/>
        </w:rPr>
        <w:t xml:space="preserve">           </w:t>
      </w:r>
      <w:r w:rsidR="00F0502F" w:rsidRPr="00871EA6">
        <w:rPr>
          <w:color w:val="auto"/>
          <w:kern w:val="22"/>
          <w:sz w:val="20"/>
          <w:szCs w:val="20"/>
        </w:rPr>
        <w:t xml:space="preserve">                        Staffordshire University, Stoke-on-Trent, UK</w:t>
      </w:r>
      <w:r w:rsidR="00902151" w:rsidRPr="00871EA6">
        <w:rPr>
          <w:color w:val="auto"/>
          <w:kern w:val="22"/>
          <w:sz w:val="20"/>
          <w:szCs w:val="20"/>
        </w:rPr>
        <w:t xml:space="preserve">    </w:t>
      </w:r>
      <w:r w:rsidR="003259BE" w:rsidRPr="00871EA6">
        <w:rPr>
          <w:color w:val="auto"/>
          <w:kern w:val="22"/>
          <w:sz w:val="20"/>
          <w:szCs w:val="20"/>
        </w:rPr>
        <w:t xml:space="preserve">                    </w:t>
      </w:r>
    </w:p>
    <w:p w:rsidR="00902151" w:rsidRPr="00871EA6" w:rsidRDefault="006871A8" w:rsidP="00902151">
      <w:pPr>
        <w:tabs>
          <w:tab w:val="left" w:pos="3969"/>
        </w:tabs>
        <w:spacing w:line="240" w:lineRule="auto"/>
        <w:ind w:left="3969" w:hanging="3969"/>
        <w:jc w:val="left"/>
        <w:rPr>
          <w:color w:val="auto"/>
          <w:kern w:val="22"/>
          <w:sz w:val="20"/>
          <w:szCs w:val="20"/>
        </w:rPr>
      </w:pPr>
      <w:r w:rsidRPr="00871EA6">
        <w:rPr>
          <w:color w:val="auto"/>
          <w:kern w:val="22"/>
          <w:sz w:val="20"/>
          <w:szCs w:val="20"/>
        </w:rPr>
        <w:t>AAB College, Prishtina, Kosovo</w:t>
      </w:r>
      <w:r w:rsidR="00902151" w:rsidRPr="00871EA6">
        <w:rPr>
          <w:color w:val="auto"/>
          <w:kern w:val="22"/>
          <w:sz w:val="20"/>
          <w:szCs w:val="20"/>
        </w:rPr>
        <w:t xml:space="preserve"> </w:t>
      </w:r>
      <w:r w:rsidR="003259BE" w:rsidRPr="00871EA6">
        <w:rPr>
          <w:color w:val="auto"/>
          <w:kern w:val="22"/>
          <w:sz w:val="20"/>
          <w:szCs w:val="20"/>
        </w:rPr>
        <w:t xml:space="preserve">            </w:t>
      </w:r>
      <w:r w:rsidR="00F0502F" w:rsidRPr="00871EA6">
        <w:rPr>
          <w:color w:val="auto"/>
          <w:kern w:val="22"/>
          <w:sz w:val="20"/>
          <w:szCs w:val="20"/>
        </w:rPr>
        <w:t xml:space="preserve"> </w:t>
      </w:r>
      <w:hyperlink r:id="rId9" w:history="1">
        <w:r w:rsidR="00F0502F" w:rsidRPr="00871EA6">
          <w:rPr>
            <w:rStyle w:val="Hyperlink"/>
            <w:kern w:val="22"/>
            <w:sz w:val="20"/>
            <w:szCs w:val="20"/>
          </w:rPr>
          <w:t>n.j.adnett@staffs.ac.uk</w:t>
        </w:r>
      </w:hyperlink>
      <w:r w:rsidR="003259BE" w:rsidRPr="00871EA6">
        <w:rPr>
          <w:color w:val="auto"/>
          <w:kern w:val="22"/>
          <w:sz w:val="20"/>
          <w:szCs w:val="20"/>
        </w:rPr>
        <w:t xml:space="preserve"> </w:t>
      </w:r>
    </w:p>
    <w:p w:rsidR="003259BE" w:rsidRPr="00871EA6" w:rsidRDefault="00B33052" w:rsidP="00902151">
      <w:pPr>
        <w:tabs>
          <w:tab w:val="left" w:pos="3969"/>
        </w:tabs>
        <w:spacing w:line="240" w:lineRule="auto"/>
        <w:ind w:left="3969" w:hanging="3969"/>
        <w:jc w:val="left"/>
        <w:rPr>
          <w:color w:val="auto"/>
          <w:kern w:val="22"/>
          <w:sz w:val="20"/>
          <w:szCs w:val="20"/>
        </w:rPr>
      </w:pPr>
      <w:hyperlink r:id="rId10" w:history="1">
        <w:r w:rsidR="00E051B1" w:rsidRPr="00871EA6">
          <w:rPr>
            <w:rStyle w:val="Hyperlink"/>
            <w:kern w:val="22"/>
            <w:sz w:val="20"/>
            <w:szCs w:val="20"/>
          </w:rPr>
          <w:t>albulenekastrati@gmail.com</w:t>
        </w:r>
      </w:hyperlink>
      <w:r w:rsidR="00E051B1" w:rsidRPr="00871EA6">
        <w:rPr>
          <w:color w:val="auto"/>
          <w:kern w:val="22"/>
          <w:sz w:val="20"/>
          <w:szCs w:val="20"/>
        </w:rPr>
        <w:t xml:space="preserve">                       </w:t>
      </w:r>
      <w:r w:rsidR="00E051B1" w:rsidRPr="00871EA6">
        <w:rPr>
          <w:color w:val="auto"/>
          <w:kern w:val="22"/>
          <w:sz w:val="20"/>
          <w:szCs w:val="20"/>
        </w:rPr>
        <w:tab/>
      </w:r>
      <w:r w:rsidR="00E051B1" w:rsidRPr="00871EA6">
        <w:rPr>
          <w:color w:val="auto"/>
          <w:kern w:val="22"/>
          <w:sz w:val="20"/>
          <w:szCs w:val="20"/>
        </w:rPr>
        <w:tab/>
      </w:r>
    </w:p>
    <w:p w:rsidR="00902151" w:rsidRPr="00871EA6" w:rsidRDefault="00902151" w:rsidP="00902151">
      <w:pPr>
        <w:tabs>
          <w:tab w:val="left" w:pos="3969"/>
        </w:tabs>
        <w:spacing w:line="240" w:lineRule="auto"/>
        <w:ind w:left="3969" w:hanging="3969"/>
        <w:jc w:val="left"/>
        <w:rPr>
          <w:color w:val="auto"/>
          <w:kern w:val="22"/>
          <w:sz w:val="20"/>
          <w:szCs w:val="20"/>
        </w:rPr>
      </w:pPr>
      <w:r w:rsidRPr="00871EA6">
        <w:rPr>
          <w:color w:val="auto"/>
          <w:kern w:val="22"/>
          <w:sz w:val="20"/>
          <w:szCs w:val="20"/>
        </w:rPr>
        <w:t xml:space="preserve">                                        </w:t>
      </w:r>
    </w:p>
    <w:p w:rsidR="00C630AB" w:rsidRPr="00871EA6" w:rsidRDefault="00C630AB" w:rsidP="00AA5DF1">
      <w:pPr>
        <w:tabs>
          <w:tab w:val="left" w:pos="3969"/>
        </w:tabs>
        <w:spacing w:line="240" w:lineRule="auto"/>
        <w:ind w:firstLine="0"/>
        <w:jc w:val="left"/>
        <w:rPr>
          <w:color w:val="auto"/>
          <w:kern w:val="22"/>
          <w:sz w:val="20"/>
          <w:szCs w:val="20"/>
        </w:rPr>
      </w:pPr>
      <w:r w:rsidRPr="00871EA6">
        <w:rPr>
          <w:color w:val="auto"/>
          <w:kern w:val="22"/>
          <w:sz w:val="20"/>
          <w:szCs w:val="20"/>
        </w:rPr>
        <w:tab/>
      </w:r>
    </w:p>
    <w:p w:rsidR="006871A8" w:rsidRPr="00871EA6" w:rsidRDefault="006871A8" w:rsidP="006871A8">
      <w:pPr>
        <w:tabs>
          <w:tab w:val="left" w:pos="3969"/>
        </w:tabs>
        <w:spacing w:after="60" w:line="240" w:lineRule="auto"/>
        <w:ind w:firstLine="0"/>
        <w:jc w:val="left"/>
        <w:rPr>
          <w:b/>
          <w:color w:val="auto"/>
          <w:kern w:val="22"/>
        </w:rPr>
      </w:pPr>
      <w:r w:rsidRPr="00871EA6">
        <w:rPr>
          <w:b/>
          <w:color w:val="auto"/>
          <w:kern w:val="22"/>
        </w:rPr>
        <w:t>Valentin Toçi</w:t>
      </w:r>
      <w:r w:rsidRPr="00871EA6">
        <w:rPr>
          <w:b/>
          <w:color w:val="auto"/>
          <w:kern w:val="22"/>
        </w:rPr>
        <w:tab/>
      </w:r>
    </w:p>
    <w:p w:rsidR="00946FC4" w:rsidRPr="00871EA6" w:rsidRDefault="00946FC4" w:rsidP="00946FC4">
      <w:pPr>
        <w:tabs>
          <w:tab w:val="left" w:pos="3969"/>
        </w:tabs>
        <w:spacing w:line="240" w:lineRule="auto"/>
        <w:ind w:firstLine="0"/>
        <w:jc w:val="left"/>
        <w:rPr>
          <w:color w:val="auto"/>
          <w:kern w:val="22"/>
          <w:sz w:val="20"/>
          <w:szCs w:val="20"/>
        </w:rPr>
      </w:pPr>
      <w:r w:rsidRPr="00871EA6">
        <w:rPr>
          <w:sz w:val="20"/>
          <w:szCs w:val="20"/>
        </w:rPr>
        <w:t>ORCID ID: 0000-0003-1062-918X</w:t>
      </w:r>
    </w:p>
    <w:p w:rsidR="006871A8" w:rsidRPr="00871EA6" w:rsidRDefault="006871A8" w:rsidP="006871A8">
      <w:pPr>
        <w:tabs>
          <w:tab w:val="left" w:pos="3969"/>
        </w:tabs>
        <w:spacing w:line="240" w:lineRule="auto"/>
        <w:ind w:firstLine="0"/>
        <w:jc w:val="left"/>
        <w:rPr>
          <w:color w:val="auto"/>
          <w:kern w:val="22"/>
          <w:sz w:val="20"/>
          <w:szCs w:val="20"/>
        </w:rPr>
      </w:pPr>
      <w:r w:rsidRPr="00871EA6">
        <w:rPr>
          <w:color w:val="auto"/>
          <w:kern w:val="22"/>
          <w:sz w:val="20"/>
          <w:szCs w:val="20"/>
        </w:rPr>
        <w:t xml:space="preserve">Economics Faculty </w:t>
      </w:r>
      <w:r w:rsidRPr="00871EA6">
        <w:rPr>
          <w:color w:val="auto"/>
          <w:kern w:val="22"/>
          <w:sz w:val="20"/>
          <w:szCs w:val="20"/>
        </w:rPr>
        <w:tab/>
      </w:r>
    </w:p>
    <w:p w:rsidR="006871A8" w:rsidRPr="00871EA6" w:rsidRDefault="006871A8" w:rsidP="006871A8">
      <w:pPr>
        <w:tabs>
          <w:tab w:val="left" w:pos="3969"/>
        </w:tabs>
        <w:spacing w:line="240" w:lineRule="auto"/>
        <w:ind w:firstLine="0"/>
        <w:jc w:val="left"/>
        <w:rPr>
          <w:color w:val="auto"/>
          <w:kern w:val="22"/>
          <w:sz w:val="20"/>
          <w:szCs w:val="20"/>
        </w:rPr>
      </w:pPr>
      <w:r w:rsidRPr="00871EA6">
        <w:rPr>
          <w:color w:val="auto"/>
          <w:kern w:val="22"/>
          <w:sz w:val="20"/>
          <w:szCs w:val="20"/>
        </w:rPr>
        <w:t>University of Prishtina, Prishtina, Kosovo</w:t>
      </w:r>
      <w:r w:rsidRPr="00871EA6">
        <w:rPr>
          <w:color w:val="auto"/>
          <w:kern w:val="22"/>
          <w:sz w:val="20"/>
          <w:szCs w:val="20"/>
        </w:rPr>
        <w:tab/>
      </w:r>
    </w:p>
    <w:p w:rsidR="006871A8" w:rsidRPr="00871EA6" w:rsidRDefault="00B33052" w:rsidP="006871A8">
      <w:pPr>
        <w:spacing w:line="240" w:lineRule="auto"/>
        <w:ind w:firstLine="0"/>
        <w:rPr>
          <w:i/>
          <w:caps/>
          <w:color w:val="CC9900"/>
          <w:sz w:val="22"/>
          <w:lang w:val="en-US"/>
        </w:rPr>
      </w:pPr>
      <w:hyperlink r:id="rId11" w:history="1">
        <w:r w:rsidR="00E051B1" w:rsidRPr="00871EA6">
          <w:rPr>
            <w:rStyle w:val="Hyperlink"/>
            <w:kern w:val="22"/>
            <w:sz w:val="20"/>
            <w:szCs w:val="20"/>
          </w:rPr>
          <w:t>valentintoci@gmail.com</w:t>
        </w:r>
      </w:hyperlink>
      <w:r w:rsidR="00E051B1" w:rsidRPr="00871EA6">
        <w:rPr>
          <w:color w:val="auto"/>
          <w:kern w:val="22"/>
          <w:sz w:val="20"/>
          <w:szCs w:val="20"/>
        </w:rPr>
        <w:tab/>
      </w:r>
    </w:p>
    <w:p w:rsidR="00D27CC7" w:rsidRPr="00871EA6" w:rsidRDefault="00D27CC7" w:rsidP="00C630AB">
      <w:pPr>
        <w:spacing w:line="240" w:lineRule="auto"/>
        <w:ind w:firstLine="0"/>
        <w:jc w:val="left"/>
        <w:rPr>
          <w:b/>
          <w:color w:val="auto"/>
          <w:sz w:val="28"/>
          <w:szCs w:val="28"/>
          <w:lang w:val="en-US"/>
        </w:rPr>
      </w:pPr>
    </w:p>
    <w:p w:rsidR="00D27CC7" w:rsidRPr="00871EA6" w:rsidRDefault="00D27CC7" w:rsidP="00C630AB">
      <w:pPr>
        <w:spacing w:line="240" w:lineRule="auto"/>
        <w:ind w:firstLine="0"/>
        <w:jc w:val="left"/>
        <w:rPr>
          <w:b/>
          <w:color w:val="auto"/>
          <w:sz w:val="28"/>
          <w:szCs w:val="28"/>
          <w:lang w:val="en-US"/>
        </w:rPr>
      </w:pPr>
    </w:p>
    <w:p w:rsidR="00C630AB" w:rsidRPr="00871EA6" w:rsidRDefault="00902151" w:rsidP="00C630AB">
      <w:pPr>
        <w:spacing w:line="240" w:lineRule="auto"/>
        <w:ind w:firstLine="0"/>
        <w:jc w:val="left"/>
        <w:rPr>
          <w:b/>
          <w:caps/>
          <w:color w:val="auto"/>
          <w:sz w:val="28"/>
          <w:szCs w:val="28"/>
          <w:lang w:val="en-US"/>
        </w:rPr>
      </w:pPr>
      <w:r w:rsidRPr="00871EA6">
        <w:rPr>
          <w:b/>
          <w:color w:val="auto"/>
          <w:sz w:val="28"/>
          <w:szCs w:val="28"/>
          <w:lang w:val="en-US"/>
        </w:rPr>
        <w:t xml:space="preserve">The relationship between </w:t>
      </w:r>
      <w:r w:rsidR="00746510" w:rsidRPr="00871EA6">
        <w:rPr>
          <w:b/>
          <w:color w:val="auto"/>
          <w:sz w:val="28"/>
          <w:szCs w:val="28"/>
          <w:lang w:val="en-US"/>
        </w:rPr>
        <w:t xml:space="preserve">the </w:t>
      </w:r>
      <w:r w:rsidR="00871EA6">
        <w:rPr>
          <w:b/>
          <w:color w:val="auto"/>
          <w:sz w:val="28"/>
          <w:szCs w:val="28"/>
          <w:lang w:val="en-US"/>
        </w:rPr>
        <w:t>o</w:t>
      </w:r>
      <w:r w:rsidRPr="00871EA6">
        <w:rPr>
          <w:b/>
          <w:color w:val="auto"/>
          <w:sz w:val="28"/>
          <w:szCs w:val="28"/>
          <w:lang w:val="en-US"/>
        </w:rPr>
        <w:t xml:space="preserve">utput </w:t>
      </w:r>
      <w:r w:rsidR="00871EA6">
        <w:rPr>
          <w:b/>
          <w:color w:val="auto"/>
          <w:sz w:val="28"/>
          <w:szCs w:val="28"/>
          <w:lang w:val="en-US"/>
        </w:rPr>
        <w:t>g</w:t>
      </w:r>
      <w:r w:rsidRPr="00871EA6">
        <w:rPr>
          <w:b/>
          <w:color w:val="auto"/>
          <w:sz w:val="28"/>
          <w:szCs w:val="28"/>
          <w:lang w:val="en-US"/>
        </w:rPr>
        <w:t xml:space="preserve">ap and </w:t>
      </w:r>
      <w:r w:rsidR="00871EA6">
        <w:rPr>
          <w:b/>
          <w:color w:val="auto"/>
          <w:sz w:val="28"/>
          <w:szCs w:val="28"/>
          <w:lang w:val="en-US"/>
        </w:rPr>
        <w:t>e</w:t>
      </w:r>
      <w:r w:rsidRPr="00871EA6">
        <w:rPr>
          <w:b/>
          <w:color w:val="auto"/>
          <w:sz w:val="28"/>
          <w:szCs w:val="28"/>
          <w:lang w:val="en-US"/>
        </w:rPr>
        <w:t xml:space="preserve">xcess </w:t>
      </w:r>
      <w:r w:rsidR="00871EA6">
        <w:rPr>
          <w:b/>
          <w:color w:val="auto"/>
          <w:sz w:val="28"/>
          <w:szCs w:val="28"/>
          <w:lang w:val="en-US"/>
        </w:rPr>
        <w:t>l</w:t>
      </w:r>
      <w:r w:rsidRPr="00871EA6">
        <w:rPr>
          <w:b/>
          <w:color w:val="auto"/>
          <w:sz w:val="28"/>
          <w:szCs w:val="28"/>
          <w:lang w:val="en-US"/>
        </w:rPr>
        <w:t>iquidity: Evidence from Czech Republic, Estonia and Kosovo</w:t>
      </w:r>
      <w:r w:rsidR="009C2AB6" w:rsidRPr="00871EA6">
        <w:rPr>
          <w:b/>
          <w:color w:val="auto"/>
          <w:sz w:val="28"/>
          <w:szCs w:val="28"/>
          <w:lang w:val="en-US"/>
        </w:rPr>
        <w:t xml:space="preserve"> </w:t>
      </w:r>
    </w:p>
    <w:p w:rsidR="009C2AB6" w:rsidRPr="00871EA6" w:rsidRDefault="009C2AB6" w:rsidP="009C2AB6">
      <w:pPr>
        <w:tabs>
          <w:tab w:val="left" w:pos="2410"/>
          <w:tab w:val="right" w:pos="7144"/>
        </w:tabs>
        <w:spacing w:line="240" w:lineRule="auto"/>
        <w:ind w:firstLine="0"/>
        <w:rPr>
          <w:i/>
          <w:color w:val="CC9900"/>
          <w:sz w:val="22"/>
          <w:szCs w:val="22"/>
          <w:lang w:val="en-US"/>
        </w:rPr>
      </w:pPr>
    </w:p>
    <w:p w:rsidR="009C2AB6" w:rsidRPr="00871EA6" w:rsidRDefault="009C2AB6" w:rsidP="009C2AB6">
      <w:pPr>
        <w:tabs>
          <w:tab w:val="left" w:pos="2410"/>
          <w:tab w:val="right" w:pos="7144"/>
        </w:tabs>
        <w:spacing w:line="240" w:lineRule="auto"/>
        <w:ind w:firstLine="0"/>
        <w:rPr>
          <w:i/>
          <w:color w:val="CC9900"/>
          <w:sz w:val="22"/>
          <w:szCs w:val="22"/>
          <w:lang w:val="en-US"/>
        </w:rPr>
      </w:pPr>
    </w:p>
    <w:p w:rsidR="00E27D90" w:rsidRPr="00871EA6" w:rsidRDefault="00C82030" w:rsidP="00146EC2">
      <w:pPr>
        <w:pStyle w:val="Heading1"/>
        <w:keepNext w:val="0"/>
        <w:keepLines w:val="0"/>
        <w:numPr>
          <w:ilvl w:val="0"/>
          <w:numId w:val="0"/>
        </w:numPr>
        <w:spacing w:before="0" w:line="240" w:lineRule="auto"/>
        <w:jc w:val="both"/>
        <w:rPr>
          <w:color w:val="auto"/>
          <w:sz w:val="24"/>
          <w:szCs w:val="22"/>
          <w:lang w:val="en-US"/>
        </w:rPr>
      </w:pPr>
      <w:r w:rsidRPr="00871EA6">
        <w:rPr>
          <w:color w:val="auto"/>
          <w:sz w:val="24"/>
          <w:szCs w:val="22"/>
          <w:lang w:val="en-US"/>
        </w:rPr>
        <w:t>Abstract</w:t>
      </w:r>
      <w:r w:rsidR="00406562" w:rsidRPr="00871EA6">
        <w:rPr>
          <w:color w:val="auto"/>
          <w:sz w:val="24"/>
          <w:szCs w:val="22"/>
          <w:lang w:val="en-US"/>
        </w:rPr>
        <w:t xml:space="preserve"> </w:t>
      </w:r>
    </w:p>
    <w:p w:rsidR="00146EC2" w:rsidRPr="00871EA6" w:rsidRDefault="00146EC2" w:rsidP="00146EC2">
      <w:pPr>
        <w:tabs>
          <w:tab w:val="left" w:pos="2410"/>
          <w:tab w:val="right" w:pos="7144"/>
        </w:tabs>
        <w:spacing w:line="240" w:lineRule="auto"/>
        <w:ind w:firstLine="0"/>
        <w:rPr>
          <w:i/>
          <w:color w:val="CC9900"/>
          <w:sz w:val="22"/>
          <w:szCs w:val="22"/>
          <w:lang w:val="en-US"/>
        </w:rPr>
      </w:pPr>
    </w:p>
    <w:p w:rsidR="00E6607D" w:rsidRPr="00871EA6" w:rsidRDefault="00E27D90" w:rsidP="00E27D90">
      <w:pPr>
        <w:pStyle w:val="Heading1"/>
        <w:keepNext w:val="0"/>
        <w:keepLines w:val="0"/>
        <w:numPr>
          <w:ilvl w:val="0"/>
          <w:numId w:val="0"/>
        </w:numPr>
        <w:spacing w:before="0" w:line="240" w:lineRule="auto"/>
        <w:jc w:val="both"/>
        <w:rPr>
          <w:color w:val="0070C0"/>
          <w:sz w:val="20"/>
          <w:szCs w:val="22"/>
          <w:lang w:val="en-US"/>
        </w:rPr>
      </w:pPr>
      <w:r w:rsidRPr="00871EA6">
        <w:rPr>
          <w:color w:val="auto"/>
          <w:sz w:val="20"/>
          <w:szCs w:val="22"/>
          <w:lang w:val="en-US"/>
        </w:rPr>
        <w:t xml:space="preserve">  </w:t>
      </w:r>
      <w:r w:rsidR="00E6607D" w:rsidRPr="00871EA6">
        <w:rPr>
          <w:color w:val="auto"/>
          <w:sz w:val="20"/>
          <w:szCs w:val="22"/>
          <w:lang w:val="en-US"/>
        </w:rPr>
        <w:t>Aim/Purpose</w:t>
      </w:r>
      <w:r w:rsidR="00146EC2" w:rsidRPr="00871EA6">
        <w:rPr>
          <w:color w:val="auto"/>
          <w:sz w:val="20"/>
          <w:szCs w:val="22"/>
          <w:lang w:val="en-US"/>
        </w:rPr>
        <w:t xml:space="preserve"> – </w:t>
      </w:r>
      <w:r w:rsidRPr="00871EA6">
        <w:rPr>
          <w:b w:val="0"/>
          <w:sz w:val="20"/>
          <w:szCs w:val="20"/>
        </w:rPr>
        <w:t xml:space="preserve">Banks in European Transition Economies are proportionally lending less than their counterparts in the eurozone in the face of seemingly profitable loan opportunities, whilst apparently continuously holding excess liquidity. The question that arises is whether banks in European Transition Economies are </w:t>
      </w:r>
      <w:r w:rsidR="00E051B1" w:rsidRPr="00871EA6">
        <w:rPr>
          <w:b w:val="0"/>
          <w:sz w:val="20"/>
          <w:szCs w:val="20"/>
        </w:rPr>
        <w:t xml:space="preserve">holding excess liquidity that </w:t>
      </w:r>
      <w:r w:rsidRPr="00871EA6">
        <w:rPr>
          <w:b w:val="0"/>
          <w:sz w:val="20"/>
          <w:szCs w:val="20"/>
        </w:rPr>
        <w:t>widen</w:t>
      </w:r>
      <w:r w:rsidR="00E051B1" w:rsidRPr="00871EA6">
        <w:rPr>
          <w:b w:val="0"/>
          <w:sz w:val="20"/>
          <w:szCs w:val="20"/>
        </w:rPr>
        <w:t>s</w:t>
      </w:r>
      <w:r w:rsidR="00746510" w:rsidRPr="00871EA6">
        <w:rPr>
          <w:b w:val="0"/>
          <w:sz w:val="20"/>
          <w:szCs w:val="20"/>
        </w:rPr>
        <w:t xml:space="preserve"> </w:t>
      </w:r>
      <w:r w:rsidRPr="00871EA6">
        <w:rPr>
          <w:b w:val="0"/>
          <w:sz w:val="20"/>
          <w:szCs w:val="20"/>
        </w:rPr>
        <w:t>the output gap?</w:t>
      </w:r>
      <w:r w:rsidR="00E051B1" w:rsidRPr="00871EA6">
        <w:rPr>
          <w:b w:val="0"/>
          <w:sz w:val="20"/>
          <w:szCs w:val="20"/>
        </w:rPr>
        <w:t xml:space="preserve"> </w:t>
      </w:r>
      <w:r w:rsidRPr="00871EA6">
        <w:t xml:space="preserve"> </w:t>
      </w:r>
    </w:p>
    <w:p w:rsidR="00C82379" w:rsidRPr="00871EA6" w:rsidRDefault="00E27D90" w:rsidP="00C82379">
      <w:pPr>
        <w:spacing w:line="240" w:lineRule="auto"/>
        <w:ind w:firstLine="0"/>
        <w:rPr>
          <w:rStyle w:val="Emphasis"/>
          <w:b/>
          <w:sz w:val="20"/>
          <w:szCs w:val="20"/>
        </w:rPr>
      </w:pPr>
      <w:r w:rsidRPr="00871EA6">
        <w:rPr>
          <w:b/>
          <w:color w:val="auto"/>
          <w:sz w:val="20"/>
          <w:szCs w:val="22"/>
          <w:lang w:val="en-US"/>
        </w:rPr>
        <w:t xml:space="preserve">  </w:t>
      </w:r>
      <w:r w:rsidR="00E6607D" w:rsidRPr="00871EA6">
        <w:rPr>
          <w:b/>
          <w:color w:val="auto"/>
          <w:sz w:val="20"/>
          <w:szCs w:val="22"/>
          <w:lang w:val="en-US"/>
        </w:rPr>
        <w:t>Design/methodology/</w:t>
      </w:r>
      <w:r w:rsidR="00E6607D" w:rsidRPr="00871EA6">
        <w:rPr>
          <w:b/>
          <w:color w:val="auto"/>
          <w:sz w:val="20"/>
          <w:szCs w:val="20"/>
          <w:lang w:val="en-US"/>
        </w:rPr>
        <w:t>approach</w:t>
      </w:r>
      <w:r w:rsidR="00146EC2" w:rsidRPr="00871EA6">
        <w:rPr>
          <w:b/>
          <w:color w:val="auto"/>
          <w:sz w:val="20"/>
          <w:szCs w:val="20"/>
          <w:lang w:val="en-US"/>
        </w:rPr>
        <w:t xml:space="preserve"> –</w:t>
      </w:r>
      <w:r w:rsidR="00E051B1" w:rsidRPr="00871EA6">
        <w:rPr>
          <w:b/>
          <w:color w:val="auto"/>
          <w:sz w:val="20"/>
          <w:szCs w:val="20"/>
          <w:lang w:val="en-US"/>
        </w:rPr>
        <w:t xml:space="preserve"> </w:t>
      </w:r>
      <w:r w:rsidR="00E051B1" w:rsidRPr="00871EA6">
        <w:rPr>
          <w:rFonts w:eastAsiaTheme="majorEastAsia"/>
          <w:sz w:val="20"/>
          <w:szCs w:val="20"/>
        </w:rPr>
        <w:t xml:space="preserve">Given </w:t>
      </w:r>
      <w:r w:rsidR="00746510" w:rsidRPr="00871EA6">
        <w:rPr>
          <w:rFonts w:eastAsiaTheme="majorEastAsia"/>
          <w:sz w:val="20"/>
          <w:szCs w:val="20"/>
        </w:rPr>
        <w:t>its</w:t>
      </w:r>
      <w:r w:rsidR="00E051B1" w:rsidRPr="00871EA6">
        <w:rPr>
          <w:rFonts w:eastAsiaTheme="majorEastAsia"/>
          <w:sz w:val="20"/>
          <w:szCs w:val="20"/>
        </w:rPr>
        <w:t xml:space="preserve"> endogenous nature, the</w:t>
      </w:r>
      <w:r w:rsidR="00C82379" w:rsidRPr="00871EA6">
        <w:rPr>
          <w:rFonts w:eastAsiaTheme="majorEastAsia"/>
          <w:sz w:val="20"/>
          <w:szCs w:val="20"/>
        </w:rPr>
        <w:t xml:space="preserve"> relationship </w:t>
      </w:r>
      <w:r w:rsidR="00E051B1" w:rsidRPr="00871EA6">
        <w:rPr>
          <w:rFonts w:eastAsiaTheme="majorEastAsia"/>
          <w:sz w:val="20"/>
          <w:szCs w:val="20"/>
        </w:rPr>
        <w:t xml:space="preserve">between </w:t>
      </w:r>
      <w:r w:rsidR="00746510" w:rsidRPr="00871EA6">
        <w:rPr>
          <w:rFonts w:eastAsiaTheme="majorEastAsia"/>
          <w:sz w:val="20"/>
          <w:szCs w:val="20"/>
        </w:rPr>
        <w:t xml:space="preserve">the </w:t>
      </w:r>
      <w:r w:rsidR="00E051B1" w:rsidRPr="00871EA6">
        <w:rPr>
          <w:rFonts w:eastAsiaTheme="majorEastAsia"/>
          <w:sz w:val="20"/>
          <w:szCs w:val="20"/>
        </w:rPr>
        <w:t xml:space="preserve">output gap and excess liquidity </w:t>
      </w:r>
      <w:r w:rsidR="00C82379" w:rsidRPr="00871EA6">
        <w:rPr>
          <w:rFonts w:eastAsiaTheme="majorEastAsia"/>
          <w:sz w:val="20"/>
          <w:szCs w:val="20"/>
        </w:rPr>
        <w:t xml:space="preserve">is estimated using Seemingly Unrelated Regressions method. </w:t>
      </w:r>
      <w:r w:rsidR="00C82379" w:rsidRPr="00871EA6">
        <w:rPr>
          <w:color w:val="auto"/>
          <w:sz w:val="20"/>
          <w:szCs w:val="20"/>
          <w:lang w:val="en-US"/>
        </w:rPr>
        <w:t xml:space="preserve">The research sample covers </w:t>
      </w:r>
      <w:r w:rsidR="00E051B1" w:rsidRPr="00871EA6">
        <w:rPr>
          <w:color w:val="auto"/>
          <w:sz w:val="20"/>
          <w:szCs w:val="20"/>
          <w:lang w:val="en-US"/>
        </w:rPr>
        <w:t>three</w:t>
      </w:r>
      <w:r w:rsidR="00E051B1" w:rsidRPr="00871EA6">
        <w:rPr>
          <w:sz w:val="20"/>
          <w:szCs w:val="20"/>
        </w:rPr>
        <w:t xml:space="preserve"> European Transition Economies for</w:t>
      </w:r>
      <w:r w:rsidR="00E051B1" w:rsidRPr="00871EA6">
        <w:rPr>
          <w:color w:val="auto"/>
          <w:sz w:val="20"/>
          <w:szCs w:val="20"/>
          <w:lang w:val="en-US"/>
        </w:rPr>
        <w:t xml:space="preserve"> </w:t>
      </w:r>
      <w:r w:rsidR="00C82379" w:rsidRPr="00871EA6">
        <w:rPr>
          <w:color w:val="auto"/>
          <w:sz w:val="20"/>
          <w:szCs w:val="20"/>
          <w:lang w:val="en-US"/>
        </w:rPr>
        <w:t xml:space="preserve">the period </w:t>
      </w:r>
      <w:r w:rsidR="00C82379" w:rsidRPr="00871EA6">
        <w:rPr>
          <w:rFonts w:eastAsiaTheme="majorEastAsia"/>
          <w:iCs/>
          <w:sz w:val="20"/>
          <w:szCs w:val="20"/>
        </w:rPr>
        <w:t>2004Q1 – 2013Q4.</w:t>
      </w:r>
    </w:p>
    <w:p w:rsidR="00E6607D" w:rsidRPr="00871EA6" w:rsidRDefault="00E27D90" w:rsidP="00C82379">
      <w:pPr>
        <w:spacing w:line="240" w:lineRule="auto"/>
        <w:ind w:firstLine="0"/>
        <w:rPr>
          <w:color w:val="0070C0"/>
          <w:sz w:val="20"/>
          <w:szCs w:val="22"/>
          <w:lang w:val="en-US"/>
        </w:rPr>
      </w:pPr>
      <w:r w:rsidRPr="00871EA6">
        <w:rPr>
          <w:b/>
          <w:color w:val="auto"/>
          <w:sz w:val="20"/>
          <w:szCs w:val="20"/>
          <w:lang w:val="en-US"/>
        </w:rPr>
        <w:t xml:space="preserve">  </w:t>
      </w:r>
      <w:r w:rsidR="00E6607D" w:rsidRPr="00871EA6">
        <w:rPr>
          <w:b/>
          <w:color w:val="auto"/>
          <w:sz w:val="20"/>
          <w:szCs w:val="20"/>
          <w:lang w:val="en-US"/>
        </w:rPr>
        <w:t>Findings</w:t>
      </w:r>
      <w:r w:rsidR="00146EC2" w:rsidRPr="00871EA6">
        <w:rPr>
          <w:b/>
          <w:color w:val="auto"/>
          <w:sz w:val="20"/>
          <w:szCs w:val="20"/>
          <w:lang w:val="en-US"/>
        </w:rPr>
        <w:t xml:space="preserve"> –</w:t>
      </w:r>
      <w:r w:rsidR="00E6607D" w:rsidRPr="00871EA6">
        <w:rPr>
          <w:color w:val="0070C0"/>
          <w:sz w:val="20"/>
          <w:szCs w:val="20"/>
          <w:lang w:val="en-US"/>
        </w:rPr>
        <w:t xml:space="preserve"> </w:t>
      </w:r>
      <w:r w:rsidR="00BD2750" w:rsidRPr="00871EA6">
        <w:rPr>
          <w:rFonts w:eastAsiaTheme="majorEastAsia"/>
          <w:sz w:val="20"/>
          <w:szCs w:val="20"/>
        </w:rPr>
        <w:t>The results indicate that rather than being in a causal relationship, excess liquidity and the output gap are found to be correlated via common observed and unobserved determinants.</w:t>
      </w:r>
    </w:p>
    <w:p w:rsidR="00E6607D" w:rsidRPr="00871EA6" w:rsidRDefault="00E27D90" w:rsidP="00E6607D">
      <w:pPr>
        <w:spacing w:line="240" w:lineRule="auto"/>
        <w:ind w:firstLine="0"/>
        <w:rPr>
          <w:color w:val="0070C0"/>
          <w:sz w:val="20"/>
          <w:szCs w:val="22"/>
          <w:lang w:val="en-US"/>
        </w:rPr>
      </w:pPr>
      <w:r w:rsidRPr="00871EA6">
        <w:rPr>
          <w:b/>
          <w:color w:val="auto"/>
          <w:sz w:val="20"/>
          <w:szCs w:val="22"/>
          <w:lang w:val="en-US"/>
        </w:rPr>
        <w:t xml:space="preserve">  </w:t>
      </w:r>
      <w:r w:rsidR="00E6607D" w:rsidRPr="00871EA6">
        <w:rPr>
          <w:b/>
          <w:color w:val="auto"/>
          <w:sz w:val="20"/>
          <w:szCs w:val="22"/>
          <w:lang w:val="en-US"/>
        </w:rPr>
        <w:t>Research implications/limitations</w:t>
      </w:r>
      <w:r w:rsidR="00146EC2" w:rsidRPr="00871EA6">
        <w:rPr>
          <w:b/>
          <w:color w:val="auto"/>
          <w:sz w:val="20"/>
          <w:szCs w:val="22"/>
          <w:lang w:val="en-US"/>
        </w:rPr>
        <w:t xml:space="preserve"> –</w:t>
      </w:r>
      <w:r w:rsidR="00925DA5" w:rsidRPr="00871EA6">
        <w:t xml:space="preserve"> </w:t>
      </w:r>
      <w:r w:rsidR="00925DA5" w:rsidRPr="00871EA6">
        <w:rPr>
          <w:rFonts w:eastAsiaTheme="majorEastAsia"/>
          <w:sz w:val="20"/>
          <w:szCs w:val="20"/>
        </w:rPr>
        <w:t>The most important policy implication of this research is that since the relationship between output gap and excess liquidity is not causal, reducing excess liquidity will not necessarily lead to a smaller (negative) output gap.</w:t>
      </w:r>
      <w:r w:rsidR="00E358D3" w:rsidRPr="00871EA6">
        <w:rPr>
          <w:rFonts w:eastAsiaTheme="majorEastAsia"/>
          <w:sz w:val="20"/>
          <w:szCs w:val="20"/>
        </w:rPr>
        <w:t xml:space="preserve"> There seems to be no straightforward policy framework informed by a clear transmission mechanism from excess liquidity to output gap.</w:t>
      </w:r>
    </w:p>
    <w:p w:rsidR="00061A55" w:rsidRPr="00871EA6" w:rsidRDefault="00E27D90" w:rsidP="00061A55">
      <w:pPr>
        <w:spacing w:line="240" w:lineRule="auto"/>
        <w:ind w:firstLine="0"/>
        <w:rPr>
          <w:b/>
          <w:color w:val="auto"/>
          <w:sz w:val="20"/>
          <w:szCs w:val="22"/>
          <w:lang w:val="en-US"/>
        </w:rPr>
      </w:pPr>
      <w:r w:rsidRPr="00871EA6">
        <w:rPr>
          <w:b/>
          <w:color w:val="auto"/>
          <w:sz w:val="20"/>
          <w:szCs w:val="22"/>
          <w:lang w:val="en-US"/>
        </w:rPr>
        <w:t xml:space="preserve">  </w:t>
      </w:r>
      <w:r w:rsidR="00E6607D" w:rsidRPr="00871EA6">
        <w:rPr>
          <w:b/>
          <w:color w:val="auto"/>
          <w:sz w:val="20"/>
          <w:szCs w:val="22"/>
          <w:lang w:val="en-US"/>
        </w:rPr>
        <w:t>Originality/value/contribution</w:t>
      </w:r>
      <w:r w:rsidR="00146EC2" w:rsidRPr="00871EA6">
        <w:rPr>
          <w:b/>
          <w:color w:val="auto"/>
          <w:sz w:val="20"/>
          <w:szCs w:val="22"/>
          <w:lang w:val="en-US"/>
        </w:rPr>
        <w:t xml:space="preserve"> – </w:t>
      </w:r>
      <w:r w:rsidR="003536E8" w:rsidRPr="00871EA6">
        <w:rPr>
          <w:rFonts w:eastAsiaTheme="majorEastAsia"/>
          <w:sz w:val="20"/>
          <w:szCs w:val="20"/>
        </w:rPr>
        <w:t>This study is novel in two respects.</w:t>
      </w:r>
      <w:r w:rsidR="003536E8" w:rsidRPr="00871EA6">
        <w:rPr>
          <w:b/>
          <w:color w:val="auto"/>
          <w:sz w:val="20"/>
          <w:szCs w:val="22"/>
          <w:lang w:val="en-US"/>
        </w:rPr>
        <w:t xml:space="preserve"> </w:t>
      </w:r>
      <w:r w:rsidR="001D495D" w:rsidRPr="00871EA6">
        <w:rPr>
          <w:rFonts w:eastAsiaTheme="majorEastAsia"/>
          <w:sz w:val="20"/>
          <w:szCs w:val="20"/>
        </w:rPr>
        <w:t xml:space="preserve">Firstly, </w:t>
      </w:r>
      <w:r w:rsidR="001C3A35" w:rsidRPr="00871EA6">
        <w:rPr>
          <w:rFonts w:eastAsiaTheme="majorEastAsia"/>
          <w:sz w:val="20"/>
          <w:szCs w:val="20"/>
        </w:rPr>
        <w:t xml:space="preserve">assuming </w:t>
      </w:r>
      <w:r w:rsidR="001D495D" w:rsidRPr="00871EA6">
        <w:rPr>
          <w:rFonts w:eastAsiaTheme="majorEastAsia"/>
          <w:sz w:val="20"/>
          <w:szCs w:val="20"/>
        </w:rPr>
        <w:t xml:space="preserve">endogeneity, a new conceptual relationship between output gap and excess liquidity is </w:t>
      </w:r>
      <w:r w:rsidR="001D495D" w:rsidRPr="00871EA6">
        <w:rPr>
          <w:rFonts w:eastAsiaTheme="majorEastAsia"/>
          <w:sz w:val="20"/>
          <w:szCs w:val="20"/>
        </w:rPr>
        <w:lastRenderedPageBreak/>
        <w:t>presented. Secondly, empirical evidence is presented using the system equation method Seemingly Unrelated Regression, not previously used in this context.</w:t>
      </w:r>
      <w:r w:rsidR="001D495D" w:rsidRPr="00871EA6">
        <w:rPr>
          <w:b/>
          <w:color w:val="auto"/>
          <w:sz w:val="20"/>
          <w:szCs w:val="22"/>
          <w:lang w:val="en-US"/>
        </w:rPr>
        <w:t xml:space="preserve"> </w:t>
      </w:r>
    </w:p>
    <w:p w:rsidR="009C2AB6" w:rsidRPr="00871EA6" w:rsidRDefault="009C2AB6" w:rsidP="009C2AB6">
      <w:pPr>
        <w:tabs>
          <w:tab w:val="left" w:pos="2410"/>
          <w:tab w:val="right" w:pos="7144"/>
        </w:tabs>
        <w:spacing w:line="240" w:lineRule="auto"/>
        <w:ind w:firstLine="0"/>
        <w:rPr>
          <w:i/>
          <w:color w:val="CC9900"/>
          <w:sz w:val="22"/>
          <w:szCs w:val="22"/>
          <w:lang w:val="en-US"/>
        </w:rPr>
      </w:pPr>
    </w:p>
    <w:p w:rsidR="00784ED4" w:rsidRPr="00871EA6" w:rsidRDefault="00061A55" w:rsidP="00061A55">
      <w:pPr>
        <w:spacing w:line="240" w:lineRule="auto"/>
        <w:ind w:firstLine="0"/>
        <w:rPr>
          <w:color w:val="auto"/>
          <w:sz w:val="20"/>
          <w:szCs w:val="22"/>
          <w:lang w:val="en-US"/>
        </w:rPr>
      </w:pPr>
      <w:r w:rsidRPr="00871EA6">
        <w:rPr>
          <w:b/>
          <w:color w:val="auto"/>
          <w:sz w:val="20"/>
          <w:szCs w:val="22"/>
          <w:lang w:val="en-US"/>
        </w:rPr>
        <w:t>Keywords:</w:t>
      </w:r>
      <w:r w:rsidRPr="00871EA6">
        <w:rPr>
          <w:color w:val="auto"/>
          <w:sz w:val="20"/>
          <w:szCs w:val="22"/>
          <w:lang w:val="en-US"/>
        </w:rPr>
        <w:t xml:space="preserve"> </w:t>
      </w:r>
      <w:r w:rsidR="00F51A7E" w:rsidRPr="00871EA6">
        <w:rPr>
          <w:color w:val="auto"/>
          <w:sz w:val="20"/>
          <w:szCs w:val="22"/>
          <w:lang w:val="en-US"/>
        </w:rPr>
        <w:t>output gap, excess liquidity, transition economies, system equation m</w:t>
      </w:r>
      <w:r w:rsidR="00784ED4" w:rsidRPr="00871EA6">
        <w:rPr>
          <w:color w:val="auto"/>
          <w:sz w:val="20"/>
          <w:szCs w:val="22"/>
          <w:lang w:val="en-US"/>
        </w:rPr>
        <w:t>odels</w:t>
      </w:r>
    </w:p>
    <w:p w:rsidR="00061A55" w:rsidRPr="00871EA6" w:rsidRDefault="00061A55" w:rsidP="00061A55">
      <w:pPr>
        <w:spacing w:line="240" w:lineRule="auto"/>
        <w:ind w:firstLine="0"/>
        <w:rPr>
          <w:color w:val="auto"/>
          <w:sz w:val="20"/>
          <w:szCs w:val="22"/>
          <w:lang w:val="en-US"/>
        </w:rPr>
      </w:pPr>
      <w:r w:rsidRPr="00871EA6">
        <w:rPr>
          <w:b/>
          <w:color w:val="auto"/>
          <w:sz w:val="20"/>
          <w:szCs w:val="22"/>
          <w:lang w:val="en-US"/>
        </w:rPr>
        <w:t>JEL Classification:</w:t>
      </w:r>
      <w:r w:rsidRPr="00871EA6">
        <w:rPr>
          <w:color w:val="auto"/>
          <w:sz w:val="20"/>
          <w:szCs w:val="22"/>
          <w:lang w:val="en-US"/>
        </w:rPr>
        <w:t xml:space="preserve"> </w:t>
      </w:r>
      <w:r w:rsidR="00784ED4" w:rsidRPr="00871EA6">
        <w:rPr>
          <w:color w:val="auto"/>
          <w:sz w:val="20"/>
          <w:szCs w:val="22"/>
          <w:lang w:val="en-US"/>
        </w:rPr>
        <w:t>E32, E51, P2, C3</w:t>
      </w:r>
      <w:r w:rsidR="000C34C3" w:rsidRPr="00871EA6">
        <w:rPr>
          <w:color w:val="auto"/>
          <w:sz w:val="20"/>
          <w:szCs w:val="22"/>
          <w:lang w:val="en-US"/>
        </w:rPr>
        <w:t>.</w:t>
      </w:r>
      <w:r w:rsidR="00784ED4" w:rsidRPr="00871EA6">
        <w:rPr>
          <w:color w:val="auto"/>
          <w:sz w:val="20"/>
          <w:szCs w:val="22"/>
          <w:lang w:val="en-US"/>
        </w:rPr>
        <w:t xml:space="preserve"> </w:t>
      </w:r>
    </w:p>
    <w:p w:rsidR="009C2AB6" w:rsidRPr="00871EA6" w:rsidRDefault="009C2AB6" w:rsidP="009C2AB6">
      <w:pPr>
        <w:tabs>
          <w:tab w:val="left" w:pos="2410"/>
          <w:tab w:val="right" w:pos="7144"/>
        </w:tabs>
        <w:spacing w:line="240" w:lineRule="auto"/>
        <w:ind w:firstLine="0"/>
        <w:rPr>
          <w:i/>
          <w:color w:val="CC9900"/>
          <w:sz w:val="22"/>
          <w:szCs w:val="22"/>
          <w:lang w:val="en-US"/>
        </w:rPr>
      </w:pPr>
    </w:p>
    <w:p w:rsidR="009C2AB6" w:rsidRPr="00871EA6" w:rsidRDefault="009C2AB6" w:rsidP="009C2AB6">
      <w:pPr>
        <w:tabs>
          <w:tab w:val="left" w:pos="2410"/>
          <w:tab w:val="right" w:pos="7144"/>
        </w:tabs>
        <w:spacing w:line="240" w:lineRule="auto"/>
        <w:ind w:firstLine="0"/>
        <w:rPr>
          <w:i/>
          <w:color w:val="CC9900"/>
          <w:sz w:val="22"/>
          <w:szCs w:val="22"/>
          <w:lang w:val="en-US"/>
        </w:rPr>
      </w:pPr>
    </w:p>
    <w:p w:rsidR="00C82030" w:rsidRPr="00871EA6" w:rsidRDefault="00C82030" w:rsidP="00715A49">
      <w:pPr>
        <w:pStyle w:val="Heading1"/>
        <w:keepNext w:val="0"/>
        <w:keepLines w:val="0"/>
        <w:numPr>
          <w:ilvl w:val="0"/>
          <w:numId w:val="22"/>
        </w:numPr>
        <w:spacing w:before="0" w:line="240" w:lineRule="auto"/>
        <w:ind w:left="426" w:hanging="426"/>
        <w:jc w:val="both"/>
        <w:rPr>
          <w:color w:val="auto"/>
          <w:sz w:val="24"/>
          <w:szCs w:val="22"/>
          <w:lang w:val="en-US"/>
        </w:rPr>
      </w:pPr>
      <w:r w:rsidRPr="00871EA6">
        <w:rPr>
          <w:color w:val="auto"/>
          <w:sz w:val="24"/>
          <w:szCs w:val="22"/>
          <w:lang w:val="en-US"/>
        </w:rPr>
        <w:t>Introduction</w:t>
      </w:r>
      <w:r w:rsidR="00AA5DF1" w:rsidRPr="00871EA6">
        <w:rPr>
          <w:color w:val="auto"/>
          <w:sz w:val="24"/>
          <w:szCs w:val="22"/>
          <w:lang w:val="en-US"/>
        </w:rPr>
        <w:t xml:space="preserve"> </w:t>
      </w:r>
    </w:p>
    <w:p w:rsidR="008D0B4E" w:rsidRPr="00871EA6" w:rsidRDefault="008D0B4E" w:rsidP="008D0B4E">
      <w:pPr>
        <w:tabs>
          <w:tab w:val="left" w:pos="2410"/>
          <w:tab w:val="right" w:pos="7144"/>
        </w:tabs>
        <w:spacing w:line="240" w:lineRule="auto"/>
        <w:ind w:firstLine="0"/>
        <w:rPr>
          <w:i/>
          <w:color w:val="CC9900"/>
          <w:sz w:val="22"/>
          <w:szCs w:val="22"/>
          <w:lang w:val="en-US"/>
        </w:rPr>
      </w:pPr>
    </w:p>
    <w:p w:rsidR="004478A5" w:rsidRPr="00871EA6" w:rsidRDefault="00511BC1" w:rsidP="004478A5">
      <w:pPr>
        <w:spacing w:line="290" w:lineRule="atLeast"/>
        <w:ind w:firstLine="425"/>
        <w:rPr>
          <w:color w:val="FF0000"/>
          <w:sz w:val="22"/>
          <w:szCs w:val="22"/>
        </w:rPr>
      </w:pPr>
      <w:r w:rsidRPr="00871EA6">
        <w:rPr>
          <w:color w:val="auto"/>
          <w:sz w:val="22"/>
          <w:szCs w:val="22"/>
        </w:rPr>
        <w:t xml:space="preserve">The desire to see banks lend more to the private sector is a familiar refrain in the transition context. Given that banks in European Transition Economies (ETEs) are proportionally lending less than their counterparts in the eurozone in the face of seemingly profitable loan opportunities, then the question arises: </w:t>
      </w:r>
      <w:r w:rsidR="00DB70FA" w:rsidRPr="00871EA6">
        <w:rPr>
          <w:color w:val="auto"/>
          <w:sz w:val="22"/>
          <w:szCs w:val="22"/>
        </w:rPr>
        <w:t xml:space="preserve">is </w:t>
      </w:r>
      <w:r w:rsidR="00746510" w:rsidRPr="00871EA6">
        <w:rPr>
          <w:color w:val="auto"/>
          <w:sz w:val="22"/>
          <w:szCs w:val="22"/>
        </w:rPr>
        <w:t xml:space="preserve">the </w:t>
      </w:r>
      <w:r w:rsidR="00DB70FA" w:rsidRPr="00871EA6">
        <w:rPr>
          <w:color w:val="auto"/>
          <w:sz w:val="22"/>
          <w:szCs w:val="22"/>
        </w:rPr>
        <w:t>output gap emanating from excess liquidity, or both are determined by a wider system</w:t>
      </w:r>
      <w:r w:rsidRPr="00871EA6">
        <w:rPr>
          <w:color w:val="auto"/>
          <w:sz w:val="22"/>
          <w:szCs w:val="22"/>
        </w:rPr>
        <w:t>?</w:t>
      </w:r>
    </w:p>
    <w:p w:rsidR="00DB70FA" w:rsidRPr="00871EA6" w:rsidRDefault="00DB70FA" w:rsidP="00511BC1">
      <w:pPr>
        <w:spacing w:line="290" w:lineRule="atLeast"/>
        <w:ind w:firstLine="425"/>
        <w:rPr>
          <w:color w:val="auto"/>
          <w:sz w:val="22"/>
          <w:szCs w:val="22"/>
        </w:rPr>
      </w:pPr>
    </w:p>
    <w:p w:rsidR="002B48BB" w:rsidRPr="00871EA6" w:rsidRDefault="00DB70FA" w:rsidP="00E73A3C">
      <w:pPr>
        <w:spacing w:line="290" w:lineRule="atLeast"/>
        <w:ind w:firstLine="425"/>
        <w:rPr>
          <w:color w:val="auto"/>
          <w:sz w:val="22"/>
          <w:szCs w:val="22"/>
        </w:rPr>
      </w:pPr>
      <w:r w:rsidRPr="00871EA6">
        <w:rPr>
          <w:color w:val="auto"/>
          <w:sz w:val="22"/>
          <w:szCs w:val="22"/>
        </w:rPr>
        <w:t>B</w:t>
      </w:r>
      <w:r w:rsidR="00511BC1" w:rsidRPr="00871EA6">
        <w:rPr>
          <w:color w:val="auto"/>
          <w:sz w:val="22"/>
          <w:szCs w:val="22"/>
        </w:rPr>
        <w:t>ank lending to the private sector is relatively low in ETEs</w:t>
      </w:r>
      <w:r w:rsidRPr="00871EA6">
        <w:rPr>
          <w:color w:val="auto"/>
          <w:sz w:val="22"/>
          <w:szCs w:val="22"/>
        </w:rPr>
        <w:t xml:space="preserve">, </w:t>
      </w:r>
      <w:r w:rsidR="00511BC1" w:rsidRPr="00871EA6">
        <w:rPr>
          <w:color w:val="auto"/>
          <w:sz w:val="22"/>
          <w:szCs w:val="22"/>
        </w:rPr>
        <w:t>around 40 percent of GDP, average 2000-2014</w:t>
      </w:r>
      <w:r w:rsidRPr="00871EA6">
        <w:rPr>
          <w:color w:val="auto"/>
          <w:sz w:val="22"/>
          <w:szCs w:val="22"/>
        </w:rPr>
        <w:t xml:space="preserve">, </w:t>
      </w:r>
      <w:r w:rsidR="00511BC1" w:rsidRPr="00871EA6">
        <w:rPr>
          <w:color w:val="auto"/>
          <w:sz w:val="22"/>
          <w:szCs w:val="22"/>
        </w:rPr>
        <w:t xml:space="preserve">compared to the lending in the </w:t>
      </w:r>
      <w:r w:rsidRPr="00871EA6">
        <w:rPr>
          <w:color w:val="auto"/>
          <w:sz w:val="22"/>
          <w:szCs w:val="22"/>
        </w:rPr>
        <w:t xml:space="preserve">eurozone, </w:t>
      </w:r>
      <w:r w:rsidR="00511BC1" w:rsidRPr="00871EA6">
        <w:rPr>
          <w:color w:val="auto"/>
          <w:sz w:val="22"/>
          <w:szCs w:val="22"/>
        </w:rPr>
        <w:t>around 93 percent of GDP (World Bank, 2015 and ECB, 2015). This low lending ratio becomes even more important for economic activity, given that banks in most ETEs are the main funding source, with capital markets being non-existent or only in their infancy.</w:t>
      </w:r>
      <w:r w:rsidRPr="00871EA6">
        <w:rPr>
          <w:color w:val="auto"/>
          <w:sz w:val="22"/>
          <w:szCs w:val="22"/>
        </w:rPr>
        <w:t xml:space="preserve"> On the other hand, </w:t>
      </w:r>
      <w:r w:rsidR="00004C8D" w:rsidRPr="00871EA6">
        <w:rPr>
          <w:color w:val="auto"/>
          <w:sz w:val="22"/>
          <w:szCs w:val="22"/>
        </w:rPr>
        <w:t xml:space="preserve">banks in many of the ETEs appear to be keeping reserves in excess of the Reserve Requirement Ratio required by the central bank as well as above the mandatory liquidity ratio. For example, over the span of 2000-2014, several ETEs have on average accumulated excess liquidity to total assets ratio of 19 percent, </w:t>
      </w:r>
      <w:r w:rsidR="004478A5" w:rsidRPr="00871EA6">
        <w:rPr>
          <w:color w:val="auto"/>
          <w:sz w:val="22"/>
          <w:szCs w:val="22"/>
        </w:rPr>
        <w:t>in</w:t>
      </w:r>
      <w:r w:rsidR="00004C8D" w:rsidRPr="00871EA6">
        <w:rPr>
          <w:color w:val="auto"/>
          <w:sz w:val="22"/>
          <w:szCs w:val="22"/>
        </w:rPr>
        <w:t xml:space="preserve"> the Czech Republic, Estonia and Kosovo</w:t>
      </w:r>
      <w:r w:rsidR="004478A5" w:rsidRPr="00871EA6">
        <w:rPr>
          <w:color w:val="auto"/>
          <w:sz w:val="22"/>
          <w:szCs w:val="22"/>
        </w:rPr>
        <w:t xml:space="preserve"> this ratio was</w:t>
      </w:r>
      <w:r w:rsidR="00004C8D" w:rsidRPr="00871EA6">
        <w:rPr>
          <w:color w:val="auto"/>
          <w:sz w:val="22"/>
          <w:szCs w:val="22"/>
        </w:rPr>
        <w:t xml:space="preserve"> 14.2 percent, 5 percent and 25 percent, respectively. </w:t>
      </w:r>
      <w:r w:rsidR="004478A5" w:rsidRPr="00871EA6">
        <w:rPr>
          <w:color w:val="auto"/>
          <w:sz w:val="22"/>
          <w:szCs w:val="22"/>
        </w:rPr>
        <w:t xml:space="preserve">This </w:t>
      </w:r>
      <w:r w:rsidR="005625B9" w:rsidRPr="00871EA6">
        <w:rPr>
          <w:color w:val="auto"/>
          <w:sz w:val="22"/>
          <w:szCs w:val="22"/>
        </w:rPr>
        <w:t xml:space="preserve">may </w:t>
      </w:r>
      <w:r w:rsidR="00511BC1" w:rsidRPr="00871EA6">
        <w:rPr>
          <w:color w:val="auto"/>
          <w:sz w:val="22"/>
          <w:szCs w:val="22"/>
        </w:rPr>
        <w:t xml:space="preserve">suggest that banks in ETEs could further extend their lending. </w:t>
      </w:r>
      <w:r w:rsidR="00E73A3C" w:rsidRPr="00871EA6">
        <w:rPr>
          <w:color w:val="auto"/>
          <w:sz w:val="22"/>
          <w:szCs w:val="22"/>
        </w:rPr>
        <w:t>Moreover, t</w:t>
      </w:r>
      <w:r w:rsidR="00511BC1" w:rsidRPr="00871EA6">
        <w:rPr>
          <w:color w:val="auto"/>
          <w:sz w:val="22"/>
          <w:szCs w:val="22"/>
        </w:rPr>
        <w:t xml:space="preserve">he net interest margin in ETEs was around 6.5 percent, compared to </w:t>
      </w:r>
      <w:r w:rsidR="00E73A3C" w:rsidRPr="00871EA6">
        <w:rPr>
          <w:color w:val="auto"/>
          <w:sz w:val="22"/>
          <w:szCs w:val="22"/>
        </w:rPr>
        <w:t>just</w:t>
      </w:r>
      <w:r w:rsidR="00511BC1" w:rsidRPr="00871EA6">
        <w:rPr>
          <w:color w:val="auto"/>
          <w:sz w:val="22"/>
          <w:szCs w:val="22"/>
        </w:rPr>
        <w:t xml:space="preserve"> 2.2 </w:t>
      </w:r>
      <w:r w:rsidR="005625B9" w:rsidRPr="00871EA6">
        <w:rPr>
          <w:color w:val="auto"/>
          <w:sz w:val="22"/>
          <w:szCs w:val="22"/>
        </w:rPr>
        <w:t xml:space="preserve">percent </w:t>
      </w:r>
      <w:r w:rsidR="00511BC1" w:rsidRPr="00871EA6">
        <w:rPr>
          <w:color w:val="auto"/>
          <w:sz w:val="22"/>
          <w:szCs w:val="22"/>
        </w:rPr>
        <w:t xml:space="preserve">in </w:t>
      </w:r>
      <w:r w:rsidR="00E73A3C" w:rsidRPr="00871EA6">
        <w:rPr>
          <w:color w:val="auto"/>
          <w:sz w:val="22"/>
          <w:szCs w:val="22"/>
        </w:rPr>
        <w:t xml:space="preserve">the </w:t>
      </w:r>
      <w:r w:rsidR="00511BC1" w:rsidRPr="00871EA6">
        <w:rPr>
          <w:color w:val="auto"/>
          <w:sz w:val="22"/>
          <w:szCs w:val="22"/>
        </w:rPr>
        <w:t xml:space="preserve">eurozone, average 2000-2014 (World Bank, 2015 and ECB, 2015).  </w:t>
      </w:r>
    </w:p>
    <w:p w:rsidR="002B48BB" w:rsidRPr="00871EA6" w:rsidRDefault="002B48BB" w:rsidP="00E73A3C">
      <w:pPr>
        <w:spacing w:line="290" w:lineRule="atLeast"/>
        <w:ind w:firstLine="425"/>
        <w:rPr>
          <w:color w:val="auto"/>
          <w:sz w:val="22"/>
          <w:szCs w:val="22"/>
        </w:rPr>
      </w:pPr>
    </w:p>
    <w:p w:rsidR="00511BC1" w:rsidRPr="00871EA6" w:rsidRDefault="00511BC1" w:rsidP="00E73A3C">
      <w:pPr>
        <w:spacing w:line="290" w:lineRule="atLeast"/>
        <w:ind w:firstLine="425"/>
        <w:rPr>
          <w:color w:val="auto"/>
          <w:sz w:val="22"/>
          <w:szCs w:val="22"/>
        </w:rPr>
      </w:pPr>
      <w:r w:rsidRPr="00871EA6">
        <w:rPr>
          <w:color w:val="auto"/>
          <w:sz w:val="22"/>
          <w:szCs w:val="22"/>
        </w:rPr>
        <w:t xml:space="preserve">Despite available funds and the seemingly profitable opportunities to expand lending, banks in many ETEs have persistently accumulated excess liquidity. </w:t>
      </w:r>
      <w:r w:rsidR="00E73A3C" w:rsidRPr="00871EA6">
        <w:rPr>
          <w:color w:val="auto"/>
          <w:sz w:val="22"/>
          <w:szCs w:val="22"/>
        </w:rPr>
        <w:t>T</w:t>
      </w:r>
      <w:r w:rsidRPr="00871EA6">
        <w:rPr>
          <w:color w:val="auto"/>
          <w:sz w:val="22"/>
          <w:szCs w:val="22"/>
        </w:rPr>
        <w:t xml:space="preserve">hough part of this excess liquidity held may reflect profit-maximizing banking behaviour and may simply be precautionary in nature, the involuntarily held part is an underutilized resource (Agenor et al., 2004 and Saxegaard, 2006). Excess liquidity in most cases is non-remunerated and even in the cases where </w:t>
      </w:r>
      <w:r w:rsidRPr="00871EA6">
        <w:rPr>
          <w:color w:val="auto"/>
          <w:sz w:val="22"/>
          <w:szCs w:val="22"/>
        </w:rPr>
        <w:lastRenderedPageBreak/>
        <w:t>they are remunerated the interest rates earned are very low. Thus</w:t>
      </w:r>
      <w:r w:rsidR="005625B9" w:rsidRPr="00871EA6">
        <w:rPr>
          <w:color w:val="auto"/>
          <w:sz w:val="22"/>
          <w:szCs w:val="22"/>
        </w:rPr>
        <w:t xml:space="preserve">, </w:t>
      </w:r>
      <w:r w:rsidRPr="00871EA6">
        <w:rPr>
          <w:color w:val="auto"/>
          <w:sz w:val="22"/>
          <w:szCs w:val="22"/>
        </w:rPr>
        <w:t xml:space="preserve">excess liquidity </w:t>
      </w:r>
      <w:r w:rsidR="005625B9" w:rsidRPr="00871EA6">
        <w:rPr>
          <w:color w:val="auto"/>
          <w:sz w:val="22"/>
          <w:szCs w:val="22"/>
        </w:rPr>
        <w:t>and less</w:t>
      </w:r>
      <w:r w:rsidRPr="00871EA6">
        <w:rPr>
          <w:color w:val="auto"/>
          <w:sz w:val="22"/>
          <w:szCs w:val="22"/>
        </w:rPr>
        <w:t xml:space="preserve"> lending in the economy </w:t>
      </w:r>
      <w:r w:rsidR="00E73A3C" w:rsidRPr="00871EA6">
        <w:rPr>
          <w:color w:val="auto"/>
          <w:sz w:val="22"/>
          <w:szCs w:val="22"/>
        </w:rPr>
        <w:t>c</w:t>
      </w:r>
      <w:r w:rsidRPr="00871EA6">
        <w:rPr>
          <w:color w:val="auto"/>
          <w:sz w:val="22"/>
          <w:szCs w:val="22"/>
        </w:rPr>
        <w:t xml:space="preserve">ould </w:t>
      </w:r>
      <w:r w:rsidR="005625B9" w:rsidRPr="00871EA6">
        <w:rPr>
          <w:color w:val="auto"/>
          <w:sz w:val="22"/>
          <w:szCs w:val="22"/>
        </w:rPr>
        <w:t>be reflected in</w:t>
      </w:r>
      <w:r w:rsidRPr="00871EA6">
        <w:rPr>
          <w:color w:val="auto"/>
          <w:sz w:val="22"/>
          <w:szCs w:val="22"/>
        </w:rPr>
        <w:t xml:space="preserve"> the output gap. </w:t>
      </w:r>
    </w:p>
    <w:p w:rsidR="00380E3C" w:rsidRPr="00871EA6" w:rsidRDefault="00380E3C" w:rsidP="00E73A3C">
      <w:pPr>
        <w:spacing w:line="290" w:lineRule="atLeast"/>
        <w:ind w:firstLine="425"/>
        <w:rPr>
          <w:color w:val="auto"/>
          <w:sz w:val="22"/>
          <w:szCs w:val="22"/>
        </w:rPr>
      </w:pPr>
    </w:p>
    <w:p w:rsidR="00511BC1" w:rsidRPr="00871EA6" w:rsidRDefault="00D86066" w:rsidP="00511BC1">
      <w:pPr>
        <w:spacing w:line="290" w:lineRule="atLeast"/>
        <w:ind w:firstLine="425"/>
        <w:rPr>
          <w:color w:val="auto"/>
          <w:sz w:val="22"/>
          <w:szCs w:val="22"/>
        </w:rPr>
      </w:pPr>
      <w:r w:rsidRPr="00871EA6">
        <w:rPr>
          <w:color w:val="auto"/>
          <w:sz w:val="22"/>
          <w:szCs w:val="22"/>
        </w:rPr>
        <w:t xml:space="preserve">Some of the factors implying the presence of a large output gap in ETEs are relatively high unemployment rate (Kosovo 43 percent compared to an average of 9 percent in the </w:t>
      </w:r>
      <w:r w:rsidR="00BB6298" w:rsidRPr="00871EA6">
        <w:rPr>
          <w:color w:val="auto"/>
          <w:sz w:val="22"/>
          <w:szCs w:val="22"/>
        </w:rPr>
        <w:t>e</w:t>
      </w:r>
      <w:r w:rsidRPr="00871EA6">
        <w:rPr>
          <w:color w:val="auto"/>
          <w:sz w:val="22"/>
          <w:szCs w:val="22"/>
        </w:rPr>
        <w:t xml:space="preserve">urozone countries between 2000 and 2014) and around 20 percent unutilized capacity at firm level (EBRD, 2009). Furthermore, the estimated results for the output gap for the selected ETEs, namely Czech Republic, Estonia and Kosovo, are ± 4 percent, 5.8 percent and 5 percent respectively, as compared to the </w:t>
      </w:r>
      <w:r w:rsidR="00BB6298" w:rsidRPr="00871EA6">
        <w:rPr>
          <w:color w:val="auto"/>
          <w:sz w:val="22"/>
          <w:szCs w:val="22"/>
        </w:rPr>
        <w:t>e</w:t>
      </w:r>
      <w:r w:rsidRPr="00871EA6">
        <w:rPr>
          <w:color w:val="auto"/>
          <w:sz w:val="22"/>
          <w:szCs w:val="22"/>
        </w:rPr>
        <w:t>urozone 0.2 percent (average 2000 – 2013), suggesting that the output gap in ETEs may be relatively larger than those in the eurozone. Furthermore, in transition economies the ‘cycle’ also reflects structural effects on potential output that may be reflected in the persistent underutilisation of resources, i.e. a negative output gap</w:t>
      </w:r>
      <w:r w:rsidR="006B080B" w:rsidRPr="00871EA6">
        <w:rPr>
          <w:color w:val="auto"/>
          <w:sz w:val="22"/>
          <w:szCs w:val="22"/>
        </w:rPr>
        <w:t xml:space="preserve"> </w:t>
      </w:r>
      <w:r w:rsidRPr="00871EA6">
        <w:rPr>
          <w:color w:val="auto"/>
          <w:sz w:val="22"/>
          <w:szCs w:val="22"/>
        </w:rPr>
        <w:t>(Kastrati et al., 2017).</w:t>
      </w:r>
    </w:p>
    <w:p w:rsidR="00380E3C" w:rsidRPr="00871EA6" w:rsidRDefault="00380E3C" w:rsidP="00511BC1">
      <w:pPr>
        <w:spacing w:line="290" w:lineRule="atLeast"/>
        <w:ind w:firstLine="425"/>
        <w:rPr>
          <w:color w:val="auto"/>
          <w:sz w:val="22"/>
          <w:szCs w:val="22"/>
        </w:rPr>
      </w:pPr>
    </w:p>
    <w:p w:rsidR="00511BC1" w:rsidRPr="00871EA6" w:rsidRDefault="00511BC1" w:rsidP="00511BC1">
      <w:pPr>
        <w:spacing w:line="290" w:lineRule="atLeast"/>
        <w:ind w:firstLine="425"/>
        <w:rPr>
          <w:color w:val="auto"/>
          <w:sz w:val="22"/>
          <w:szCs w:val="22"/>
        </w:rPr>
      </w:pPr>
      <w:r w:rsidRPr="00871EA6">
        <w:rPr>
          <w:color w:val="auto"/>
          <w:sz w:val="22"/>
          <w:szCs w:val="22"/>
        </w:rPr>
        <w:t xml:space="preserve">Following the Global Financial Crisis (GFC) and the fiscal crises in Greece and other </w:t>
      </w:r>
      <w:r w:rsidR="005625B9" w:rsidRPr="00871EA6">
        <w:rPr>
          <w:color w:val="auto"/>
          <w:sz w:val="22"/>
          <w:szCs w:val="22"/>
        </w:rPr>
        <w:t xml:space="preserve">eurozone </w:t>
      </w:r>
      <w:r w:rsidRPr="00871EA6">
        <w:rPr>
          <w:color w:val="auto"/>
          <w:sz w:val="22"/>
          <w:szCs w:val="22"/>
        </w:rPr>
        <w:t>countries, the concept of the output gap has regained attention as an indicator of the cyclical position of the economy. For example, the concept of the output gap has acquired operational but not legal consideration in the Growth and Stability Pact in European Union, as this measure provides an essential input for calculating indicators of the structural (i.e. cyclically adjusted) fiscal balance (European Commission, 2001; Billmeier, 2004). Several recent studies pay special attention to the cyclical position of the economy as proxied by the output gap (</w:t>
      </w:r>
      <w:r w:rsidR="00E73A3C" w:rsidRPr="00871EA6">
        <w:rPr>
          <w:color w:val="auto"/>
          <w:sz w:val="22"/>
          <w:szCs w:val="22"/>
        </w:rPr>
        <w:t xml:space="preserve">e.g. </w:t>
      </w:r>
      <w:r w:rsidRPr="00871EA6">
        <w:rPr>
          <w:color w:val="auto"/>
          <w:sz w:val="22"/>
          <w:szCs w:val="22"/>
        </w:rPr>
        <w:t>OECD, 2010;</w:t>
      </w:r>
      <w:r w:rsidR="00E73A3C" w:rsidRPr="00871EA6">
        <w:rPr>
          <w:color w:val="auto"/>
          <w:sz w:val="22"/>
          <w:szCs w:val="22"/>
        </w:rPr>
        <w:t xml:space="preserve"> </w:t>
      </w:r>
      <w:r w:rsidRPr="00871EA6">
        <w:rPr>
          <w:color w:val="auto"/>
          <w:sz w:val="22"/>
          <w:szCs w:val="22"/>
        </w:rPr>
        <w:t>Roub</w:t>
      </w:r>
      <w:r w:rsidR="00C00D14" w:rsidRPr="00871EA6">
        <w:rPr>
          <w:color w:val="auto"/>
          <w:sz w:val="22"/>
          <w:szCs w:val="22"/>
        </w:rPr>
        <w:t>i</w:t>
      </w:r>
      <w:r w:rsidRPr="00871EA6">
        <w:rPr>
          <w:color w:val="auto"/>
          <w:sz w:val="22"/>
          <w:szCs w:val="22"/>
        </w:rPr>
        <w:t xml:space="preserve">ni, 2015). </w:t>
      </w:r>
    </w:p>
    <w:p w:rsidR="002B48BB" w:rsidRPr="00871EA6" w:rsidRDefault="002B48BB" w:rsidP="00511BC1">
      <w:pPr>
        <w:spacing w:line="290" w:lineRule="atLeast"/>
        <w:ind w:firstLine="425"/>
        <w:rPr>
          <w:color w:val="auto"/>
          <w:sz w:val="22"/>
          <w:szCs w:val="22"/>
        </w:rPr>
      </w:pPr>
    </w:p>
    <w:p w:rsidR="00511BC1" w:rsidRPr="00871EA6" w:rsidRDefault="00511BC1" w:rsidP="00511BC1">
      <w:pPr>
        <w:spacing w:line="290" w:lineRule="atLeast"/>
        <w:ind w:firstLine="425"/>
        <w:rPr>
          <w:color w:val="auto"/>
          <w:sz w:val="22"/>
          <w:szCs w:val="22"/>
        </w:rPr>
      </w:pPr>
      <w:r w:rsidRPr="00871EA6">
        <w:rPr>
          <w:color w:val="auto"/>
          <w:sz w:val="22"/>
          <w:szCs w:val="22"/>
        </w:rPr>
        <w:t xml:space="preserve">The majority of recent discussion has concentrated on finding a causal relationship between finance and growth and most studies conclude that financial markets have an impact on the real economy via financial accelerators, economic multipliers and/or amplification of financial shocks (Borio, 2012; Biggs </w:t>
      </w:r>
      <w:r w:rsidR="006938DA">
        <w:rPr>
          <w:color w:val="auto"/>
          <w:sz w:val="22"/>
          <w:szCs w:val="22"/>
          <w:lang w:val="en-US"/>
        </w:rPr>
        <w:t>&amp;</w:t>
      </w:r>
      <w:r w:rsidRPr="00871EA6">
        <w:rPr>
          <w:color w:val="auto"/>
          <w:sz w:val="22"/>
          <w:szCs w:val="22"/>
        </w:rPr>
        <w:t xml:space="preserve"> Mayer, 2013). However, within the growth and finance nexus little or no research has been conducted </w:t>
      </w:r>
      <w:r w:rsidR="00004C8D" w:rsidRPr="00871EA6">
        <w:rPr>
          <w:color w:val="auto"/>
          <w:sz w:val="22"/>
          <w:szCs w:val="22"/>
        </w:rPr>
        <w:t>on</w:t>
      </w:r>
      <w:r w:rsidRPr="00871EA6">
        <w:rPr>
          <w:color w:val="auto"/>
          <w:sz w:val="22"/>
          <w:szCs w:val="22"/>
        </w:rPr>
        <w:t xml:space="preserve"> investigating the relationship between the business cycle (output gap) and excess liquidity (an indicator of </w:t>
      </w:r>
      <w:r w:rsidR="00004C8D" w:rsidRPr="00871EA6">
        <w:rPr>
          <w:color w:val="auto"/>
          <w:sz w:val="22"/>
          <w:szCs w:val="22"/>
        </w:rPr>
        <w:t xml:space="preserve">the </w:t>
      </w:r>
      <w:r w:rsidRPr="00871EA6">
        <w:rPr>
          <w:color w:val="auto"/>
          <w:sz w:val="22"/>
          <w:szCs w:val="22"/>
        </w:rPr>
        <w:t>credit cycle), from the perspective of underutilized resources and even less so in the transition context.</w:t>
      </w:r>
      <w:r w:rsidR="00EA3B54" w:rsidRPr="00871EA6">
        <w:rPr>
          <w:color w:val="auto"/>
          <w:sz w:val="22"/>
          <w:szCs w:val="22"/>
        </w:rPr>
        <w:t xml:space="preserve"> </w:t>
      </w:r>
      <w:r w:rsidR="00C55D12" w:rsidRPr="00871EA6">
        <w:rPr>
          <w:color w:val="auto"/>
          <w:sz w:val="22"/>
          <w:szCs w:val="22"/>
        </w:rPr>
        <w:t xml:space="preserve">Given the potential endogenous nature of the relationship between the output gap and excess liquidity we test whether this relationship is simultaneously determined via observed and unobserved components. To investigate the relationship between the output gap and excess liquidity, this study presents evidence from three representative countries of ETEs, namely the Czech Republic, Estonia and Kosovo. </w:t>
      </w:r>
      <w:r w:rsidR="00EA3B54" w:rsidRPr="00871EA6">
        <w:rPr>
          <w:color w:val="auto"/>
          <w:sz w:val="22"/>
          <w:szCs w:val="22"/>
        </w:rPr>
        <w:t>The reasons for choosing these countries are twofold. First</w:t>
      </w:r>
      <w:r w:rsidR="00EA3B54" w:rsidRPr="00871EA6">
        <w:rPr>
          <w:color w:val="auto"/>
          <w:sz w:val="22"/>
          <w:szCs w:val="22"/>
        </w:rPr>
        <w:lastRenderedPageBreak/>
        <w:t>ly, the three selected countries represent different regions and levels of development. The Czech Republic represents the economically more developed countries that have completed the transition process. Representing the Baltic countries, Estonia is also a country severely hit by the GFC even though a successful example of a quick recovery. Kosovo, representing the SEE countries, is one of the least developed countries in ETEs and is lagging behind in the transition process. Secondly, the selected countries are also representative of the diversity of economic structure and evolution post-transition.</w:t>
      </w:r>
    </w:p>
    <w:p w:rsidR="003732BF" w:rsidRPr="00871EA6" w:rsidRDefault="003732BF" w:rsidP="00511BC1">
      <w:pPr>
        <w:spacing w:line="290" w:lineRule="atLeast"/>
        <w:ind w:firstLine="425"/>
        <w:rPr>
          <w:color w:val="auto"/>
          <w:sz w:val="22"/>
          <w:szCs w:val="22"/>
        </w:rPr>
      </w:pPr>
    </w:p>
    <w:p w:rsidR="00625164" w:rsidRPr="00871EA6" w:rsidRDefault="00625164" w:rsidP="00511BC1">
      <w:pPr>
        <w:spacing w:line="290" w:lineRule="atLeast"/>
        <w:ind w:firstLine="425"/>
        <w:rPr>
          <w:color w:val="auto"/>
          <w:sz w:val="22"/>
          <w:szCs w:val="22"/>
        </w:rPr>
      </w:pPr>
      <w:r w:rsidRPr="00871EA6">
        <w:rPr>
          <w:color w:val="auto"/>
          <w:sz w:val="22"/>
          <w:szCs w:val="22"/>
        </w:rPr>
        <w:t xml:space="preserve">The objective of exploring the theoretical and empirical relationship between the output gap and excess liquidity is novel, as this relationship has not been previously investigated for ETEs. The empirical investigation is novel in a further respect since an econometric method not previously used in this context, Seemingly Unrelated Regression, is applied </w:t>
      </w:r>
      <w:r w:rsidR="0052640A" w:rsidRPr="00871EA6">
        <w:rPr>
          <w:color w:val="auto"/>
          <w:sz w:val="22"/>
          <w:szCs w:val="22"/>
        </w:rPr>
        <w:t>assuming</w:t>
      </w:r>
      <w:r w:rsidRPr="00871EA6">
        <w:rPr>
          <w:color w:val="auto"/>
          <w:sz w:val="22"/>
          <w:szCs w:val="22"/>
        </w:rPr>
        <w:t xml:space="preserve"> potential endogeneity.</w:t>
      </w:r>
    </w:p>
    <w:p w:rsidR="00625164" w:rsidRPr="00871EA6" w:rsidRDefault="00625164" w:rsidP="00511BC1">
      <w:pPr>
        <w:spacing w:line="290" w:lineRule="atLeast"/>
        <w:ind w:firstLine="425"/>
        <w:rPr>
          <w:color w:val="auto"/>
          <w:sz w:val="22"/>
          <w:szCs w:val="22"/>
        </w:rPr>
      </w:pPr>
    </w:p>
    <w:p w:rsidR="004E5C8F" w:rsidRPr="00871EA6" w:rsidRDefault="00511BC1" w:rsidP="00511BC1">
      <w:pPr>
        <w:spacing w:line="290" w:lineRule="atLeast"/>
        <w:ind w:firstLine="425"/>
        <w:rPr>
          <w:color w:val="auto"/>
          <w:sz w:val="22"/>
          <w:szCs w:val="22"/>
        </w:rPr>
      </w:pPr>
      <w:r w:rsidRPr="00871EA6">
        <w:rPr>
          <w:color w:val="auto"/>
          <w:sz w:val="22"/>
          <w:szCs w:val="22"/>
        </w:rPr>
        <w:t xml:space="preserve">The rest of the paper is organized as follows. Section 2 explores </w:t>
      </w:r>
      <w:r w:rsidR="00F93390" w:rsidRPr="00871EA6">
        <w:rPr>
          <w:color w:val="auto"/>
          <w:sz w:val="22"/>
          <w:szCs w:val="22"/>
        </w:rPr>
        <w:t>the theoretical relationship between excess liquidity as an underutilised resource potentially leading to less credit available and the output gap, and the endogenous relationship between the two</w:t>
      </w:r>
      <w:r w:rsidR="00946FC4" w:rsidRPr="00871EA6">
        <w:rPr>
          <w:color w:val="auto"/>
          <w:sz w:val="22"/>
          <w:szCs w:val="22"/>
        </w:rPr>
        <w:t xml:space="preserve">. </w:t>
      </w:r>
      <w:r w:rsidRPr="00871EA6">
        <w:rPr>
          <w:color w:val="auto"/>
          <w:sz w:val="22"/>
          <w:szCs w:val="22"/>
        </w:rPr>
        <w:t xml:space="preserve">Section 3 </w:t>
      </w:r>
      <w:r w:rsidR="004478A5" w:rsidRPr="00871EA6">
        <w:rPr>
          <w:color w:val="auto"/>
          <w:sz w:val="22"/>
          <w:szCs w:val="22"/>
        </w:rPr>
        <w:t>explains the</w:t>
      </w:r>
      <w:r w:rsidRPr="00871EA6">
        <w:rPr>
          <w:color w:val="auto"/>
          <w:sz w:val="22"/>
          <w:szCs w:val="22"/>
        </w:rPr>
        <w:t xml:space="preserve"> </w:t>
      </w:r>
      <w:r w:rsidR="00F93390" w:rsidRPr="00871EA6">
        <w:rPr>
          <w:color w:val="auto"/>
          <w:sz w:val="22"/>
          <w:szCs w:val="22"/>
        </w:rPr>
        <w:t xml:space="preserve">research methodology and </w:t>
      </w:r>
      <w:r w:rsidR="00BB6298" w:rsidRPr="00871EA6">
        <w:rPr>
          <w:color w:val="auto"/>
          <w:sz w:val="22"/>
          <w:szCs w:val="22"/>
        </w:rPr>
        <w:t xml:space="preserve">data. </w:t>
      </w:r>
      <w:r w:rsidRPr="00871EA6">
        <w:rPr>
          <w:color w:val="auto"/>
          <w:sz w:val="22"/>
          <w:szCs w:val="22"/>
        </w:rPr>
        <w:t>The estimated results and their interpretation is presented in section 4. Section 5 conclud</w:t>
      </w:r>
      <w:r w:rsidR="000542DE" w:rsidRPr="00871EA6">
        <w:rPr>
          <w:color w:val="auto"/>
          <w:sz w:val="22"/>
          <w:szCs w:val="22"/>
        </w:rPr>
        <w:t>es</w:t>
      </w:r>
      <w:r w:rsidRPr="00871EA6">
        <w:rPr>
          <w:color w:val="auto"/>
          <w:sz w:val="22"/>
          <w:szCs w:val="22"/>
        </w:rPr>
        <w:t>.</w:t>
      </w:r>
    </w:p>
    <w:p w:rsidR="004E5C8F" w:rsidRPr="00871EA6" w:rsidRDefault="004E5C8F" w:rsidP="00511BC1">
      <w:pPr>
        <w:spacing w:line="290" w:lineRule="atLeast"/>
        <w:ind w:firstLine="425"/>
        <w:rPr>
          <w:color w:val="auto"/>
          <w:sz w:val="22"/>
          <w:szCs w:val="22"/>
        </w:rPr>
      </w:pPr>
    </w:p>
    <w:p w:rsidR="006B050D" w:rsidRPr="00871EA6" w:rsidRDefault="005663B1" w:rsidP="0063174D">
      <w:pPr>
        <w:pStyle w:val="Heading1"/>
        <w:keepNext w:val="0"/>
        <w:keepLines w:val="0"/>
        <w:numPr>
          <w:ilvl w:val="0"/>
          <w:numId w:val="22"/>
        </w:numPr>
        <w:spacing w:before="0" w:line="240" w:lineRule="auto"/>
        <w:ind w:left="284" w:hanging="284"/>
        <w:rPr>
          <w:color w:val="auto"/>
          <w:sz w:val="24"/>
          <w:szCs w:val="22"/>
          <w:lang w:val="en-US"/>
        </w:rPr>
      </w:pPr>
      <w:r w:rsidRPr="00871EA6">
        <w:rPr>
          <w:color w:val="auto"/>
          <w:sz w:val="24"/>
          <w:szCs w:val="22"/>
          <w:lang w:val="en-US"/>
        </w:rPr>
        <w:t>The</w:t>
      </w:r>
      <w:r w:rsidR="004478A5" w:rsidRPr="00871EA6">
        <w:rPr>
          <w:color w:val="auto"/>
          <w:sz w:val="24"/>
          <w:szCs w:val="22"/>
          <w:lang w:val="en-US"/>
        </w:rPr>
        <w:t xml:space="preserve"> the</w:t>
      </w:r>
      <w:r w:rsidRPr="00871EA6">
        <w:rPr>
          <w:color w:val="auto"/>
          <w:sz w:val="24"/>
          <w:szCs w:val="22"/>
          <w:lang w:val="en-US"/>
        </w:rPr>
        <w:t>oretical relationship between output gap and excess liquidity</w:t>
      </w:r>
    </w:p>
    <w:p w:rsidR="008D0B4E" w:rsidRPr="00871EA6" w:rsidRDefault="008D0B4E" w:rsidP="008D0B4E">
      <w:pPr>
        <w:tabs>
          <w:tab w:val="left" w:pos="2410"/>
          <w:tab w:val="right" w:pos="7144"/>
        </w:tabs>
        <w:spacing w:line="240" w:lineRule="auto"/>
        <w:ind w:firstLine="0"/>
        <w:rPr>
          <w:i/>
          <w:color w:val="CC9900"/>
          <w:sz w:val="22"/>
          <w:szCs w:val="22"/>
          <w:lang w:val="en-US"/>
        </w:rPr>
      </w:pPr>
    </w:p>
    <w:p w:rsidR="00C04A2D" w:rsidRPr="00871EA6" w:rsidRDefault="00C04A2D" w:rsidP="00C04A2D">
      <w:pPr>
        <w:spacing w:line="290" w:lineRule="atLeast"/>
        <w:ind w:firstLine="425"/>
        <w:rPr>
          <w:color w:val="auto"/>
          <w:sz w:val="22"/>
          <w:szCs w:val="22"/>
          <w:lang w:val="en-US"/>
        </w:rPr>
      </w:pPr>
      <w:r w:rsidRPr="00871EA6">
        <w:rPr>
          <w:color w:val="auto"/>
          <w:sz w:val="22"/>
          <w:szCs w:val="22"/>
          <w:lang w:val="en-US"/>
        </w:rPr>
        <w:t>In seeking to explore the relationship between the output gap and excess liquidity</w:t>
      </w:r>
      <w:r w:rsidR="000542DE" w:rsidRPr="00871EA6">
        <w:rPr>
          <w:color w:val="auto"/>
          <w:sz w:val="22"/>
          <w:szCs w:val="22"/>
          <w:lang w:val="en-US"/>
        </w:rPr>
        <w:t>,</w:t>
      </w:r>
      <w:r w:rsidRPr="00871EA6">
        <w:rPr>
          <w:color w:val="auto"/>
          <w:sz w:val="22"/>
          <w:szCs w:val="22"/>
          <w:lang w:val="en-US"/>
        </w:rPr>
        <w:t xml:space="preserve"> this investigation initially hypothesised a one-way causal relationship. The presence of excess liquidity in the banking sector, given that it holds back further lending, can be considered as an underutilized resource. Thus, the accumulation of excess liquidity in transition economies is expected to have two effects via the same causal mechanism: the level of lending is lower, thus as a consequence, the growth of output is likely to be constrained due to a capital shortage. In addition, given relatively high lending interest rates in TEs, banks may ration borrowers, despite high demand for loans, thus extending a smaller portion of their funds while accumulating excess reserves (Stiglitz </w:t>
      </w:r>
      <w:r w:rsidR="00871EA6">
        <w:rPr>
          <w:color w:val="auto"/>
          <w:sz w:val="22"/>
          <w:szCs w:val="22"/>
          <w:lang w:val="en-US"/>
        </w:rPr>
        <w:t>&amp;</w:t>
      </w:r>
      <w:r w:rsidR="00871EA6" w:rsidRPr="00871EA6">
        <w:rPr>
          <w:color w:val="auto"/>
          <w:sz w:val="22"/>
          <w:szCs w:val="22"/>
          <w:lang w:val="en-US"/>
        </w:rPr>
        <w:t xml:space="preserve"> </w:t>
      </w:r>
      <w:r w:rsidRPr="00871EA6">
        <w:rPr>
          <w:color w:val="auto"/>
          <w:sz w:val="22"/>
          <w:szCs w:val="22"/>
          <w:lang w:val="en-US"/>
        </w:rPr>
        <w:t xml:space="preserve">Weiss, 1981; Hashi </w:t>
      </w:r>
      <w:r w:rsidR="006938DA">
        <w:rPr>
          <w:color w:val="auto"/>
          <w:sz w:val="22"/>
          <w:szCs w:val="22"/>
          <w:lang w:val="en-US"/>
        </w:rPr>
        <w:t>&amp;</w:t>
      </w:r>
      <w:r w:rsidRPr="00871EA6">
        <w:rPr>
          <w:color w:val="auto"/>
          <w:sz w:val="22"/>
          <w:szCs w:val="22"/>
          <w:lang w:val="en-US"/>
        </w:rPr>
        <w:t xml:space="preserve"> Toçi, 2010). If this is the case, the lack of credit dampens growth, then the causality runs from finance to growth. On the other side, banks in many ETEs may argue that excess liquidity is simply an outcome of depressed econo</w:t>
      </w:r>
      <w:r w:rsidRPr="00871EA6">
        <w:rPr>
          <w:color w:val="auto"/>
          <w:sz w:val="22"/>
          <w:szCs w:val="22"/>
          <w:lang w:val="en-US"/>
        </w:rPr>
        <w:lastRenderedPageBreak/>
        <w:t>mies, the lack of feasible projects to invest and low loan demand. If this is the case, then causality between the two runs the other way around.</w:t>
      </w:r>
    </w:p>
    <w:p w:rsidR="00C04A2D" w:rsidRPr="00871EA6" w:rsidRDefault="00C04A2D" w:rsidP="00C04A2D">
      <w:pPr>
        <w:spacing w:line="290" w:lineRule="atLeast"/>
        <w:ind w:firstLine="425"/>
        <w:rPr>
          <w:color w:val="auto"/>
          <w:sz w:val="22"/>
          <w:szCs w:val="22"/>
          <w:lang w:val="en-US"/>
        </w:rPr>
      </w:pPr>
    </w:p>
    <w:p w:rsidR="00D703EE" w:rsidRPr="00871EA6" w:rsidRDefault="00D703EE" w:rsidP="00D703EE">
      <w:pPr>
        <w:spacing w:line="290" w:lineRule="atLeast"/>
        <w:ind w:firstLine="425"/>
        <w:rPr>
          <w:color w:val="auto"/>
          <w:sz w:val="22"/>
          <w:szCs w:val="22"/>
        </w:rPr>
      </w:pPr>
      <w:r w:rsidRPr="00871EA6">
        <w:rPr>
          <w:color w:val="auto"/>
          <w:sz w:val="22"/>
          <w:szCs w:val="22"/>
        </w:rPr>
        <w:t xml:space="preserve">In addition to the increased importance of business cycles in policymaking, another theoretical linkage that has regained attention is the relationship between financial markets and business cycles (Furlanetto et al. (2014) Brunnermeier </w:t>
      </w:r>
      <w:r w:rsidR="006938DA">
        <w:rPr>
          <w:color w:val="auto"/>
          <w:sz w:val="22"/>
          <w:szCs w:val="22"/>
          <w:lang w:val="en-US"/>
        </w:rPr>
        <w:t>&amp;</w:t>
      </w:r>
      <w:r w:rsidRPr="00871EA6">
        <w:rPr>
          <w:color w:val="auto"/>
          <w:sz w:val="22"/>
          <w:szCs w:val="22"/>
        </w:rPr>
        <w:t xml:space="preserve"> Sannikov, 2014; Morley, 2015;). These studies argue that business cycles and financial cycles are closely linked and cannot be understood separately for several reasons. For example, Furlanetto et al. (2014) argue that financial frictions are a significant source of economic instability and may amplify the volatility of the output gap. Furthermore, Biggs and Mayer (2013) argue that business cycles and financial (credit) cycles are so closely correlated with each other, to the point where one could be used as a proxy for the other. Whereas, Borio et al. (2013) argue that information on financial cycles should be incorporated to improve estimates of potential output and the output gap. A recent study investigating the relationship between financial and business cycles in Brazil (Krznar </w:t>
      </w:r>
      <w:r w:rsidR="006938DA">
        <w:rPr>
          <w:color w:val="auto"/>
          <w:sz w:val="22"/>
          <w:szCs w:val="22"/>
          <w:lang w:val="en-US"/>
        </w:rPr>
        <w:t>&amp;</w:t>
      </w:r>
      <w:r w:rsidRPr="00871EA6">
        <w:rPr>
          <w:color w:val="auto"/>
          <w:sz w:val="22"/>
          <w:szCs w:val="22"/>
        </w:rPr>
        <w:t xml:space="preserve"> Matheson, 2017), claim that these two variables are ‘tightly correlated’ (and that their trend is endogenously determined) and estimate this relationship with causal relationship equations: the credit cycle causing the business cycle and the business cycle also causing the credit cycle with a lag in between. Therefore, the endogenous nature of the relationship between the output gap and excess liquidity has been established solidly in recent literature.  </w:t>
      </w:r>
    </w:p>
    <w:p w:rsidR="00D703EE" w:rsidRPr="00871EA6" w:rsidRDefault="00D703EE" w:rsidP="00D703EE">
      <w:pPr>
        <w:spacing w:line="290" w:lineRule="atLeast"/>
        <w:ind w:firstLine="425"/>
        <w:rPr>
          <w:color w:val="auto"/>
          <w:sz w:val="22"/>
          <w:szCs w:val="22"/>
        </w:rPr>
      </w:pPr>
    </w:p>
    <w:p w:rsidR="00C04A2D" w:rsidRPr="00871EA6" w:rsidRDefault="00C04A2D" w:rsidP="00C04A2D">
      <w:pPr>
        <w:spacing w:line="290" w:lineRule="atLeast"/>
        <w:ind w:firstLine="425"/>
        <w:rPr>
          <w:color w:val="auto"/>
          <w:sz w:val="22"/>
          <w:szCs w:val="22"/>
          <w:lang w:val="en-US"/>
        </w:rPr>
      </w:pPr>
      <w:r w:rsidRPr="00871EA6">
        <w:rPr>
          <w:color w:val="auto"/>
          <w:sz w:val="22"/>
          <w:szCs w:val="22"/>
          <w:lang w:val="en-US"/>
        </w:rPr>
        <w:t>The presence of a (negative) output gap indicates that the economy could produce more with the existing resources, i.e. that there are under</w:t>
      </w:r>
      <w:r w:rsidR="00213F80" w:rsidRPr="00871EA6">
        <w:rPr>
          <w:color w:val="auto"/>
          <w:sz w:val="22"/>
          <w:szCs w:val="22"/>
          <w:lang w:val="en-US"/>
        </w:rPr>
        <w:t>-</w:t>
      </w:r>
      <w:r w:rsidRPr="00871EA6">
        <w:rPr>
          <w:color w:val="auto"/>
          <w:sz w:val="22"/>
          <w:szCs w:val="22"/>
          <w:lang w:val="en-US"/>
        </w:rPr>
        <w:t>utilised resources. Whilst, excess liquidity means that there are under</w:t>
      </w:r>
      <w:r w:rsidR="00213F80" w:rsidRPr="00871EA6">
        <w:rPr>
          <w:color w:val="auto"/>
          <w:sz w:val="22"/>
          <w:szCs w:val="22"/>
          <w:lang w:val="en-US"/>
        </w:rPr>
        <w:t>-</w:t>
      </w:r>
      <w:r w:rsidRPr="00871EA6">
        <w:rPr>
          <w:color w:val="auto"/>
          <w:sz w:val="22"/>
          <w:szCs w:val="22"/>
          <w:lang w:val="en-US"/>
        </w:rPr>
        <w:t>utilised savings in the banking system. Hence, they both represent different indicators of under</w:t>
      </w:r>
      <w:r w:rsidR="00213F80" w:rsidRPr="00871EA6">
        <w:rPr>
          <w:color w:val="auto"/>
          <w:sz w:val="22"/>
          <w:szCs w:val="22"/>
          <w:lang w:val="en-US"/>
        </w:rPr>
        <w:t>-</w:t>
      </w:r>
      <w:r w:rsidRPr="00871EA6">
        <w:rPr>
          <w:color w:val="auto"/>
          <w:sz w:val="22"/>
          <w:szCs w:val="22"/>
          <w:lang w:val="en-US"/>
        </w:rPr>
        <w:t>utilised resources or two different perspectives that describe the general state of the economy, which in a Keynesian model reflects equilibrium in a depressed economy. Thus, in addition to a causal or simultaneous</w:t>
      </w:r>
      <w:r w:rsidR="006C63D9" w:rsidRPr="00871EA6">
        <w:rPr>
          <w:color w:val="auto"/>
          <w:sz w:val="22"/>
          <w:szCs w:val="22"/>
          <w:lang w:val="en-US"/>
        </w:rPr>
        <w:t xml:space="preserve">ly causal </w:t>
      </w:r>
      <w:r w:rsidRPr="00871EA6">
        <w:rPr>
          <w:color w:val="auto"/>
          <w:sz w:val="22"/>
          <w:szCs w:val="22"/>
          <w:lang w:val="en-US"/>
        </w:rPr>
        <w:t xml:space="preserve">relationship, a third possible relationship between output gap and excess liquidity is that they may be </w:t>
      </w:r>
      <w:r w:rsidR="00DB482B" w:rsidRPr="00871EA6">
        <w:rPr>
          <w:color w:val="auto"/>
          <w:sz w:val="22"/>
          <w:szCs w:val="22"/>
          <w:lang w:val="en-US"/>
        </w:rPr>
        <w:t xml:space="preserve">endogenously and </w:t>
      </w:r>
      <w:r w:rsidRPr="00871EA6">
        <w:rPr>
          <w:color w:val="auto"/>
          <w:sz w:val="22"/>
          <w:szCs w:val="22"/>
          <w:lang w:val="en-US"/>
        </w:rPr>
        <w:t>jointly determined by other factors</w:t>
      </w:r>
      <w:r w:rsidR="006C63D9" w:rsidRPr="00871EA6">
        <w:rPr>
          <w:color w:val="auto"/>
          <w:sz w:val="22"/>
          <w:szCs w:val="22"/>
          <w:lang w:val="en-US"/>
        </w:rPr>
        <w:t xml:space="preserve">. </w:t>
      </w:r>
      <w:r w:rsidRPr="00871EA6">
        <w:rPr>
          <w:color w:val="auto"/>
          <w:sz w:val="22"/>
          <w:szCs w:val="22"/>
          <w:lang w:val="en-US"/>
        </w:rPr>
        <w:t>Biggs and Mayer (2013) argue that business cycles and financial (credit) cycles are so closely correlated that one could be used as proxy for the other. This suggests that excess liquidity, seen as potential new flow of credit, and the output gap are different ways of looking at the same phenomenon, i.e. they both reflect the general state of the economic activity</w:t>
      </w:r>
      <w:r w:rsidR="001141B8" w:rsidRPr="00871EA6">
        <w:rPr>
          <w:color w:val="auto"/>
          <w:sz w:val="22"/>
          <w:szCs w:val="22"/>
          <w:lang w:val="en-US"/>
        </w:rPr>
        <w:t>.</w:t>
      </w:r>
      <w:r w:rsidRPr="00871EA6">
        <w:rPr>
          <w:color w:val="auto"/>
          <w:sz w:val="22"/>
          <w:szCs w:val="22"/>
          <w:lang w:val="en-US"/>
        </w:rPr>
        <w:t xml:space="preserve"> </w:t>
      </w:r>
      <w:r w:rsidR="001141B8" w:rsidRPr="00871EA6">
        <w:rPr>
          <w:color w:val="auto"/>
          <w:sz w:val="22"/>
          <w:szCs w:val="22"/>
          <w:lang w:val="en-US"/>
        </w:rPr>
        <w:t xml:space="preserve">If this is the case, then causality – where excess liquidity is causing the outout gap, or the output gap is leading to higher level of excess liquidity accumulation </w:t>
      </w:r>
      <w:r w:rsidR="006C63D9" w:rsidRPr="00871EA6">
        <w:rPr>
          <w:color w:val="auto"/>
          <w:sz w:val="22"/>
          <w:szCs w:val="22"/>
          <w:lang w:val="en-US"/>
        </w:rPr>
        <w:t xml:space="preserve">– </w:t>
      </w:r>
      <w:r w:rsidR="001141B8" w:rsidRPr="00871EA6">
        <w:rPr>
          <w:color w:val="auto"/>
          <w:sz w:val="22"/>
          <w:szCs w:val="22"/>
          <w:lang w:val="en-US"/>
        </w:rPr>
        <w:t xml:space="preserve">may be a wrong assumption. </w:t>
      </w:r>
      <w:r w:rsidRPr="00871EA6">
        <w:rPr>
          <w:color w:val="auto"/>
          <w:sz w:val="22"/>
          <w:szCs w:val="22"/>
          <w:lang w:val="en-US"/>
        </w:rPr>
        <w:t xml:space="preserve">If the relationship </w:t>
      </w:r>
      <w:r w:rsidRPr="00871EA6">
        <w:rPr>
          <w:color w:val="auto"/>
          <w:sz w:val="22"/>
          <w:szCs w:val="22"/>
          <w:lang w:val="en-US"/>
        </w:rPr>
        <w:lastRenderedPageBreak/>
        <w:t>between the output gap and excess liquidity is one of correlation, then both are outcomes of a wider system</w:t>
      </w:r>
      <w:r w:rsidR="001141B8" w:rsidRPr="00871EA6">
        <w:rPr>
          <w:color w:val="auto"/>
          <w:sz w:val="22"/>
          <w:szCs w:val="22"/>
          <w:lang w:val="en-US"/>
        </w:rPr>
        <w:t>, that is they are both being pushed, i.e. caused by other factors. In</w:t>
      </w:r>
      <w:r w:rsidRPr="00871EA6">
        <w:rPr>
          <w:color w:val="auto"/>
          <w:sz w:val="22"/>
          <w:szCs w:val="22"/>
          <w:lang w:val="en-US"/>
        </w:rPr>
        <w:t xml:space="preserve"> addition to being co-determined, output gap and excess liquidity may also be separately determined by other observed and unobserved influences, which do not enter in the feedback cycle.  In a transition context, some of these unobserved factors impacting both may be: institutional change (Raiser et al.</w:t>
      </w:r>
      <w:r w:rsidR="00213F80" w:rsidRPr="00871EA6">
        <w:rPr>
          <w:color w:val="auto"/>
          <w:sz w:val="22"/>
          <w:szCs w:val="22"/>
          <w:lang w:val="en-US"/>
        </w:rPr>
        <w:t>,</w:t>
      </w:r>
      <w:r w:rsidRPr="00871EA6">
        <w:rPr>
          <w:color w:val="auto"/>
          <w:sz w:val="22"/>
          <w:szCs w:val="22"/>
          <w:lang w:val="en-US"/>
        </w:rPr>
        <w:t xml:space="preserve"> 2001), managerial and governmental competencies, weak accounting standards (Hay, et al. 1996), culture, socio-economic factors and politica</w:t>
      </w:r>
      <w:r w:rsidR="002E151E" w:rsidRPr="00871EA6">
        <w:rPr>
          <w:color w:val="auto"/>
          <w:sz w:val="22"/>
          <w:szCs w:val="22"/>
          <w:lang w:val="en-US"/>
        </w:rPr>
        <w:t>l systems (Carvalho et al., 2016</w:t>
      </w:r>
      <w:r w:rsidRPr="00871EA6">
        <w:rPr>
          <w:color w:val="auto"/>
          <w:sz w:val="22"/>
          <w:szCs w:val="22"/>
          <w:lang w:val="en-US"/>
        </w:rPr>
        <w:t xml:space="preserve">).  </w:t>
      </w:r>
    </w:p>
    <w:p w:rsidR="00C04A2D" w:rsidRPr="00871EA6" w:rsidRDefault="00C04A2D" w:rsidP="00C04A2D">
      <w:pPr>
        <w:spacing w:line="290" w:lineRule="atLeast"/>
        <w:ind w:firstLine="425"/>
        <w:rPr>
          <w:color w:val="auto"/>
          <w:sz w:val="22"/>
          <w:szCs w:val="22"/>
          <w:lang w:val="en-US"/>
        </w:rPr>
      </w:pPr>
    </w:p>
    <w:p w:rsidR="00B66FA6" w:rsidRPr="00871EA6" w:rsidRDefault="00DB482B" w:rsidP="00C04A2D">
      <w:pPr>
        <w:spacing w:line="290" w:lineRule="atLeast"/>
        <w:ind w:firstLine="425"/>
        <w:rPr>
          <w:color w:val="auto"/>
          <w:sz w:val="22"/>
          <w:szCs w:val="22"/>
          <w:lang w:val="en-US"/>
        </w:rPr>
      </w:pPr>
      <w:r w:rsidRPr="00871EA6">
        <w:rPr>
          <w:color w:val="auto"/>
          <w:sz w:val="22"/>
          <w:szCs w:val="22"/>
          <w:lang w:val="en-US"/>
        </w:rPr>
        <w:t xml:space="preserve">Based on the theoretical elaboration, </w:t>
      </w:r>
      <w:r w:rsidR="00C04A2D" w:rsidRPr="00871EA6">
        <w:rPr>
          <w:color w:val="auto"/>
          <w:sz w:val="22"/>
          <w:szCs w:val="22"/>
          <w:lang w:val="en-US"/>
        </w:rPr>
        <w:t xml:space="preserve">the relationship between the output gap and excess liquidity may be more complex than initially envisaged. </w:t>
      </w:r>
      <w:r w:rsidR="00AE5B79" w:rsidRPr="00871EA6">
        <w:rPr>
          <w:color w:val="auto"/>
          <w:sz w:val="22"/>
          <w:szCs w:val="22"/>
          <w:lang w:val="en-US"/>
        </w:rPr>
        <w:t>S</w:t>
      </w:r>
      <w:r w:rsidRPr="00871EA6">
        <w:rPr>
          <w:color w:val="auto"/>
          <w:sz w:val="22"/>
          <w:szCs w:val="22"/>
          <w:lang w:val="en-US"/>
        </w:rPr>
        <w:t xml:space="preserve">ince the relationship between the output gap and excess liquidity is potentially endogenous, a different empirical approach is needed to reflect </w:t>
      </w:r>
      <w:r w:rsidR="00AE5B79" w:rsidRPr="00871EA6">
        <w:rPr>
          <w:color w:val="auto"/>
          <w:sz w:val="22"/>
          <w:szCs w:val="22"/>
          <w:lang w:val="en-US"/>
        </w:rPr>
        <w:t xml:space="preserve">endogeneity. Therefore, as a corollary of this theoretical reconsideration, we examine this relationship with its empirical counterpart, that of Seemingly Unrelated Regressions (SUR). This approach will be </w:t>
      </w:r>
      <w:r w:rsidR="002B0BD9" w:rsidRPr="00871EA6">
        <w:rPr>
          <w:color w:val="auto"/>
          <w:sz w:val="22"/>
          <w:szCs w:val="22"/>
          <w:lang w:val="en-US"/>
        </w:rPr>
        <w:t>presented</w:t>
      </w:r>
      <w:r w:rsidR="00AE5B79" w:rsidRPr="00871EA6">
        <w:rPr>
          <w:color w:val="auto"/>
          <w:sz w:val="22"/>
          <w:szCs w:val="22"/>
          <w:lang w:val="en-US"/>
        </w:rPr>
        <w:t xml:space="preserve"> in the following section. </w:t>
      </w:r>
    </w:p>
    <w:p w:rsidR="008D0B4E" w:rsidRPr="00871EA6" w:rsidRDefault="008D0B4E" w:rsidP="008D0B4E">
      <w:pPr>
        <w:tabs>
          <w:tab w:val="left" w:pos="2410"/>
          <w:tab w:val="right" w:pos="7144"/>
        </w:tabs>
        <w:spacing w:line="240" w:lineRule="auto"/>
        <w:ind w:firstLine="0"/>
        <w:rPr>
          <w:i/>
          <w:color w:val="CC9900"/>
          <w:sz w:val="22"/>
          <w:szCs w:val="22"/>
          <w:lang w:val="en-US"/>
        </w:rPr>
      </w:pPr>
    </w:p>
    <w:p w:rsidR="008D0B4E" w:rsidRPr="00871EA6" w:rsidRDefault="008D0B4E" w:rsidP="008D0B4E">
      <w:pPr>
        <w:tabs>
          <w:tab w:val="left" w:pos="2410"/>
          <w:tab w:val="right" w:pos="7144"/>
        </w:tabs>
        <w:spacing w:line="240" w:lineRule="auto"/>
        <w:ind w:firstLine="0"/>
        <w:rPr>
          <w:i/>
          <w:color w:val="CC9900"/>
          <w:sz w:val="22"/>
          <w:szCs w:val="22"/>
          <w:lang w:val="en-US"/>
        </w:rPr>
      </w:pPr>
    </w:p>
    <w:p w:rsidR="00DB52E8" w:rsidRPr="00871EA6" w:rsidRDefault="00AA4C81" w:rsidP="00715A49">
      <w:pPr>
        <w:pStyle w:val="Heading1"/>
        <w:keepNext w:val="0"/>
        <w:keepLines w:val="0"/>
        <w:numPr>
          <w:ilvl w:val="0"/>
          <w:numId w:val="22"/>
        </w:numPr>
        <w:spacing w:before="0" w:line="240" w:lineRule="auto"/>
        <w:ind w:left="426" w:hanging="426"/>
        <w:rPr>
          <w:color w:val="auto"/>
          <w:sz w:val="24"/>
          <w:szCs w:val="22"/>
          <w:lang w:val="en-US"/>
        </w:rPr>
      </w:pPr>
      <w:r w:rsidRPr="00871EA6">
        <w:rPr>
          <w:color w:val="auto"/>
          <w:sz w:val="24"/>
          <w:szCs w:val="22"/>
          <w:lang w:val="en-US"/>
        </w:rPr>
        <w:t xml:space="preserve">Research methodology </w:t>
      </w:r>
      <w:r w:rsidR="00B66FA6" w:rsidRPr="00871EA6">
        <w:rPr>
          <w:color w:val="auto"/>
          <w:sz w:val="24"/>
          <w:szCs w:val="22"/>
          <w:lang w:val="en-US"/>
        </w:rPr>
        <w:t>and data</w:t>
      </w:r>
    </w:p>
    <w:p w:rsidR="008D0B4E" w:rsidRPr="00871EA6" w:rsidRDefault="008D0B4E" w:rsidP="008D0B4E">
      <w:pPr>
        <w:tabs>
          <w:tab w:val="left" w:pos="2410"/>
          <w:tab w:val="right" w:pos="7144"/>
        </w:tabs>
        <w:spacing w:line="240" w:lineRule="auto"/>
        <w:ind w:firstLine="0"/>
        <w:rPr>
          <w:i/>
          <w:color w:val="CC9900"/>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 xml:space="preserve">Agenor et al. (2004) used the output gap as an independent variable in their model of precautionary excess liquidity. However, because they were unable to explain the counterintuitive coefficient sign they dropped </w:t>
      </w:r>
      <w:r w:rsidR="00213F80" w:rsidRPr="00871EA6">
        <w:rPr>
          <w:color w:val="auto"/>
          <w:sz w:val="22"/>
          <w:szCs w:val="22"/>
          <w:lang w:val="en-US"/>
        </w:rPr>
        <w:t>it</w:t>
      </w:r>
      <w:r w:rsidRPr="00871EA6">
        <w:rPr>
          <w:color w:val="auto"/>
          <w:sz w:val="22"/>
          <w:szCs w:val="22"/>
          <w:lang w:val="en-US"/>
        </w:rPr>
        <w:t xml:space="preserve"> from their model. Th</w:t>
      </w:r>
      <w:r w:rsidR="00044E9A" w:rsidRPr="00871EA6">
        <w:rPr>
          <w:color w:val="auto"/>
          <w:sz w:val="22"/>
          <w:szCs w:val="22"/>
          <w:lang w:val="en-US"/>
        </w:rPr>
        <w:t>at finding</w:t>
      </w:r>
      <w:r w:rsidRPr="00871EA6">
        <w:rPr>
          <w:color w:val="auto"/>
          <w:sz w:val="22"/>
          <w:szCs w:val="22"/>
          <w:lang w:val="en-US"/>
        </w:rPr>
        <w:t xml:space="preserve"> together with the new conceptual </w:t>
      </w:r>
      <w:r w:rsidR="00414BA8" w:rsidRPr="00871EA6">
        <w:rPr>
          <w:color w:val="auto"/>
          <w:sz w:val="22"/>
          <w:szCs w:val="22"/>
          <w:lang w:val="en-US"/>
        </w:rPr>
        <w:t xml:space="preserve">relationship </w:t>
      </w:r>
      <w:r w:rsidRPr="00871EA6">
        <w:rPr>
          <w:color w:val="auto"/>
          <w:sz w:val="22"/>
          <w:szCs w:val="22"/>
          <w:lang w:val="en-US"/>
        </w:rPr>
        <w:t>between excess liquidity and the output gap</w:t>
      </w:r>
      <w:r w:rsidR="00044E9A" w:rsidRPr="00871EA6">
        <w:rPr>
          <w:color w:val="auto"/>
          <w:sz w:val="22"/>
          <w:szCs w:val="22"/>
          <w:lang w:val="en-US"/>
        </w:rPr>
        <w:t xml:space="preserve"> outlined above</w:t>
      </w:r>
      <w:r w:rsidRPr="00871EA6">
        <w:rPr>
          <w:color w:val="auto"/>
          <w:sz w:val="22"/>
          <w:szCs w:val="22"/>
          <w:lang w:val="en-US"/>
        </w:rPr>
        <w:t>, led to a theoretical reconsideration of the relationship between these two variables and the adoption of a correspondingly different empirical approa</w:t>
      </w:r>
      <w:r w:rsidR="002B0BD9" w:rsidRPr="00871EA6">
        <w:rPr>
          <w:color w:val="auto"/>
          <w:sz w:val="22"/>
          <w:szCs w:val="22"/>
          <w:lang w:val="en-US"/>
        </w:rPr>
        <w:t>ch.</w:t>
      </w:r>
      <w:r w:rsidR="00742AB0" w:rsidRPr="00871EA6">
        <w:rPr>
          <w:rStyle w:val="FootnoteReference"/>
          <w:color w:val="auto"/>
          <w:sz w:val="22"/>
          <w:szCs w:val="22"/>
          <w:lang w:val="en-US"/>
        </w:rPr>
        <w:footnoteReference w:id="1"/>
      </w:r>
      <w:r w:rsidR="00E82111" w:rsidRPr="00871EA6">
        <w:rPr>
          <w:color w:val="auto"/>
          <w:sz w:val="22"/>
          <w:szCs w:val="22"/>
          <w:lang w:val="en-US"/>
        </w:rPr>
        <w:t xml:space="preserve"> </w:t>
      </w:r>
      <w:r w:rsidRPr="00871EA6">
        <w:rPr>
          <w:color w:val="auto"/>
          <w:sz w:val="22"/>
          <w:szCs w:val="22"/>
          <w:lang w:val="en-US"/>
        </w:rPr>
        <w:t xml:space="preserve">These two variables are brought together by common underlying determinants, both observed and unobserved. The common observed and unobserved determinants may be correlated between the error terms of the output gap and excess liquidity regression equations, in which case more efficient estimators are gained by estimating the equations representing output gap and excess liquidity jointly. </w:t>
      </w:r>
      <w:r w:rsidR="002B0BD9" w:rsidRPr="00871EA6">
        <w:rPr>
          <w:color w:val="auto"/>
          <w:sz w:val="22"/>
          <w:szCs w:val="22"/>
          <w:lang w:val="en-US"/>
        </w:rPr>
        <w:t>Therefore,</w:t>
      </w:r>
      <w:r w:rsidR="006344E8" w:rsidRPr="00871EA6">
        <w:rPr>
          <w:color w:val="auto"/>
          <w:sz w:val="22"/>
          <w:szCs w:val="22"/>
          <w:lang w:val="en-US"/>
        </w:rPr>
        <w:t xml:space="preserve"> we </w:t>
      </w:r>
      <w:r w:rsidR="002D094C" w:rsidRPr="00871EA6">
        <w:rPr>
          <w:color w:val="auto"/>
          <w:sz w:val="22"/>
          <w:szCs w:val="22"/>
          <w:lang w:val="en-US"/>
        </w:rPr>
        <w:t>follow System Equation Method, namely Zellner’s (1962) Seemingly Unrelated Regression (SUR) model, g</w:t>
      </w:r>
      <w:r w:rsidRPr="00871EA6">
        <w:rPr>
          <w:color w:val="auto"/>
          <w:sz w:val="22"/>
          <w:szCs w:val="22"/>
          <w:lang w:val="en-US"/>
        </w:rPr>
        <w:t>iven the specific nature of the data series (correlation) and the possible phenomenon of contemporaneous correlation among the countries</w:t>
      </w:r>
      <w:r w:rsidR="002D094C" w:rsidRPr="00871EA6">
        <w:rPr>
          <w:color w:val="auto"/>
          <w:sz w:val="22"/>
          <w:szCs w:val="22"/>
          <w:lang w:val="en-US"/>
        </w:rPr>
        <w:t xml:space="preserve">. </w:t>
      </w:r>
      <w:r w:rsidR="002B0BD9" w:rsidRPr="00871EA6">
        <w:rPr>
          <w:color w:val="auto"/>
          <w:sz w:val="22"/>
          <w:szCs w:val="22"/>
          <w:lang w:val="en-US"/>
        </w:rPr>
        <w:t>We</w:t>
      </w:r>
      <w:r w:rsidR="006344E8" w:rsidRPr="00871EA6">
        <w:rPr>
          <w:color w:val="auto"/>
          <w:sz w:val="22"/>
          <w:szCs w:val="22"/>
          <w:lang w:val="en-US"/>
        </w:rPr>
        <w:t xml:space="preserve"> test </w:t>
      </w:r>
      <w:r w:rsidR="0060304E" w:rsidRPr="00871EA6">
        <w:rPr>
          <w:color w:val="auto"/>
          <w:sz w:val="22"/>
          <w:szCs w:val="22"/>
          <w:lang w:val="en-US"/>
        </w:rPr>
        <w:t xml:space="preserve">the </w:t>
      </w:r>
      <w:r w:rsidR="006344E8" w:rsidRPr="00871EA6">
        <w:rPr>
          <w:color w:val="auto"/>
          <w:sz w:val="22"/>
          <w:szCs w:val="22"/>
          <w:lang w:val="en-US"/>
        </w:rPr>
        <w:t xml:space="preserve">hypothesis </w:t>
      </w:r>
      <w:r w:rsidR="0060304E" w:rsidRPr="00871EA6">
        <w:rPr>
          <w:color w:val="auto"/>
          <w:sz w:val="22"/>
          <w:szCs w:val="22"/>
        </w:rPr>
        <w:t>whether this relationship is simultaneously determined via observed and unobserved components.</w:t>
      </w:r>
    </w:p>
    <w:p w:rsidR="00B66FA6" w:rsidRPr="00871EA6" w:rsidRDefault="00B66FA6"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 xml:space="preserve">Since </w:t>
      </w:r>
      <w:r w:rsidR="00044E9A" w:rsidRPr="00871EA6">
        <w:rPr>
          <w:color w:val="auto"/>
          <w:sz w:val="22"/>
          <w:szCs w:val="22"/>
          <w:lang w:val="en-US"/>
        </w:rPr>
        <w:t xml:space="preserve">the </w:t>
      </w:r>
      <w:r w:rsidRPr="00871EA6">
        <w:rPr>
          <w:color w:val="auto"/>
          <w:sz w:val="22"/>
          <w:szCs w:val="22"/>
          <w:lang w:val="en-US"/>
        </w:rPr>
        <w:t>output gap and excess liquidity are potentially endogenous, they may both represent dependent variables within a wider system. Since this study is interested in the effect of both variables jointly, the SUR method provides a systematic framework for estimation of the determinants of the output gap and excess liquidity. In other words, the system-equation approach via the SUR method enables mutual exogeneity and mutual endogeneity</w:t>
      </w:r>
      <w:r w:rsidR="002D094C" w:rsidRPr="00871EA6">
        <w:rPr>
          <w:color w:val="auto"/>
          <w:sz w:val="22"/>
          <w:szCs w:val="22"/>
          <w:lang w:val="en-US"/>
        </w:rPr>
        <w:t xml:space="preserve"> </w:t>
      </w:r>
      <w:r w:rsidRPr="00871EA6">
        <w:rPr>
          <w:color w:val="auto"/>
          <w:sz w:val="22"/>
          <w:szCs w:val="22"/>
          <w:lang w:val="en-US"/>
        </w:rPr>
        <w:t xml:space="preserve">between the </w:t>
      </w:r>
      <w:r w:rsidR="002D094C" w:rsidRPr="00871EA6">
        <w:rPr>
          <w:color w:val="auto"/>
          <w:sz w:val="22"/>
          <w:szCs w:val="22"/>
          <w:lang w:val="en-US"/>
        </w:rPr>
        <w:t xml:space="preserve">variables </w:t>
      </w:r>
      <w:r w:rsidR="00044E9A" w:rsidRPr="00871EA6">
        <w:rPr>
          <w:color w:val="auto"/>
          <w:sz w:val="22"/>
          <w:szCs w:val="22"/>
          <w:lang w:val="en-US"/>
        </w:rPr>
        <w:t xml:space="preserve">to be tested </w:t>
      </w:r>
      <w:r w:rsidR="002D094C" w:rsidRPr="00871EA6">
        <w:rPr>
          <w:color w:val="auto"/>
          <w:sz w:val="22"/>
          <w:szCs w:val="22"/>
          <w:lang w:val="en-US"/>
        </w:rPr>
        <w:t>(Efendic et al., 2011)</w:t>
      </w:r>
      <w:r w:rsidRPr="00871EA6">
        <w:rPr>
          <w:color w:val="auto"/>
          <w:sz w:val="22"/>
          <w:szCs w:val="22"/>
          <w:lang w:val="en-US"/>
        </w:rPr>
        <w:t>.</w:t>
      </w:r>
    </w:p>
    <w:p w:rsidR="00B66FA6" w:rsidRDefault="00B66FA6" w:rsidP="00B66FA6">
      <w:pPr>
        <w:spacing w:line="290" w:lineRule="atLeast"/>
        <w:ind w:firstLine="425"/>
        <w:rPr>
          <w:color w:val="auto"/>
          <w:sz w:val="22"/>
          <w:szCs w:val="22"/>
          <w:lang w:val="en-US"/>
        </w:rPr>
      </w:pPr>
    </w:p>
    <w:p w:rsidR="006938DA" w:rsidRPr="00871EA6" w:rsidRDefault="006938DA"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p>
    <w:p w:rsidR="0086246B" w:rsidRPr="00871EA6" w:rsidRDefault="006938DA" w:rsidP="0086246B">
      <w:pPr>
        <w:spacing w:after="100" w:line="240" w:lineRule="auto"/>
        <w:ind w:left="794" w:hanging="794"/>
        <w:jc w:val="left"/>
        <w:rPr>
          <w:b/>
          <w:color w:val="auto"/>
          <w:sz w:val="20"/>
          <w:szCs w:val="22"/>
          <w:lang w:val="en-US"/>
        </w:rPr>
      </w:pPr>
      <w:r>
        <w:rPr>
          <w:b/>
          <w:color w:val="auto"/>
          <w:sz w:val="20"/>
          <w:szCs w:val="22"/>
          <w:lang w:val="en-US"/>
        </w:rPr>
        <w:t>[</w:t>
      </w:r>
      <w:r w:rsidR="0086246B" w:rsidRPr="00871EA6">
        <w:rPr>
          <w:b/>
          <w:color w:val="auto"/>
          <w:sz w:val="20"/>
          <w:szCs w:val="22"/>
          <w:lang w:val="en-US"/>
        </w:rPr>
        <w:t xml:space="preserve">Figure 1. </w:t>
      </w:r>
      <w:r>
        <w:rPr>
          <w:b/>
          <w:color w:val="auto"/>
          <w:sz w:val="20"/>
          <w:szCs w:val="22"/>
          <w:lang w:val="en-US"/>
        </w:rPr>
        <w:t>Here]</w:t>
      </w:r>
      <w:r w:rsidR="0086246B" w:rsidRPr="00871EA6">
        <w:rPr>
          <w:color w:val="auto"/>
          <w:sz w:val="20"/>
          <w:szCs w:val="22"/>
          <w:lang w:val="en-US"/>
        </w:rPr>
        <w:t xml:space="preserve"> </w:t>
      </w:r>
    </w:p>
    <w:p w:rsidR="00B66FA6" w:rsidRDefault="00B66FA6" w:rsidP="00B66FA6">
      <w:pPr>
        <w:spacing w:line="290" w:lineRule="atLeast"/>
        <w:ind w:firstLine="425"/>
        <w:rPr>
          <w:color w:val="auto"/>
          <w:sz w:val="22"/>
          <w:szCs w:val="22"/>
          <w:lang w:val="en-US"/>
        </w:rPr>
      </w:pPr>
    </w:p>
    <w:p w:rsidR="006938DA" w:rsidRDefault="006938DA" w:rsidP="00B66FA6">
      <w:pPr>
        <w:spacing w:line="290" w:lineRule="atLeast"/>
        <w:ind w:firstLine="425"/>
        <w:rPr>
          <w:color w:val="auto"/>
          <w:sz w:val="22"/>
          <w:szCs w:val="22"/>
          <w:lang w:val="en-US"/>
        </w:rPr>
      </w:pPr>
    </w:p>
    <w:p w:rsidR="006938DA" w:rsidRDefault="006938DA" w:rsidP="00B66FA6">
      <w:pPr>
        <w:spacing w:line="290" w:lineRule="atLeast"/>
        <w:ind w:firstLine="425"/>
        <w:rPr>
          <w:color w:val="auto"/>
          <w:sz w:val="22"/>
          <w:szCs w:val="22"/>
          <w:lang w:val="en-US"/>
        </w:rPr>
      </w:pPr>
    </w:p>
    <w:p w:rsidR="006938DA" w:rsidRPr="00871EA6" w:rsidRDefault="006938DA"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As depicted in Figure 1, the output gap and excess liquidity may appear to reflect the general state of economic activity, thus both are considered to represent a separate dependent variable in a set of equations. Moreover, the SUR allows for specific determinants to be included in each separate equation.  Given that this dataset comprises a panel of three countries, initially it would be possible to employ a panel SUR with 3xT equations, with two equations for excess liquidity and one equation for the output gap. However, based on Maddala (1997), the SUR estimation method enjoys the virtue of estimating different slope coefficients for each cross-sectional unit. Estimating the model within a panel framework 3xT would impose restrictions on the investigation of the heterogeneity among countries in our sample. With this approach</w:t>
      </w:r>
      <w:r w:rsidR="00044E9A" w:rsidRPr="00871EA6">
        <w:rPr>
          <w:color w:val="auto"/>
          <w:sz w:val="22"/>
          <w:szCs w:val="22"/>
          <w:lang w:val="en-US"/>
        </w:rPr>
        <w:t xml:space="preserve"> it</w:t>
      </w:r>
      <w:r w:rsidRPr="00871EA6">
        <w:rPr>
          <w:color w:val="auto"/>
          <w:sz w:val="22"/>
          <w:szCs w:val="22"/>
          <w:lang w:val="en-US"/>
        </w:rPr>
        <w:t xml:space="preserve"> is possible to have three equations estimating the same panel dataset. So, instead of using a panel SUR with 3xT equations, the estimation procedure will be disaggregated into 9XT equations, where 9 equations are </w:t>
      </w:r>
      <w:r w:rsidR="006D2B8D" w:rsidRPr="00871EA6">
        <w:rPr>
          <w:color w:val="auto"/>
          <w:sz w:val="22"/>
          <w:szCs w:val="22"/>
          <w:lang w:val="en-US"/>
        </w:rPr>
        <w:t>specified</w:t>
      </w:r>
      <w:r w:rsidRPr="00871EA6">
        <w:rPr>
          <w:color w:val="auto"/>
          <w:sz w:val="22"/>
          <w:szCs w:val="22"/>
          <w:lang w:val="en-US"/>
        </w:rPr>
        <w:t xml:space="preserve">, 3 for each of the three countries for all three dependent variables (precautionary excess liquidity: 3xELP, involuntary excess liquidity: 3xELI, the output gap: 3xOG). A 3xT equations system in a panel framework </w:t>
      </w:r>
      <w:r w:rsidR="006D2B8D" w:rsidRPr="00871EA6">
        <w:rPr>
          <w:color w:val="auto"/>
          <w:sz w:val="22"/>
          <w:szCs w:val="22"/>
          <w:lang w:val="en-US"/>
        </w:rPr>
        <w:t xml:space="preserve">is not suitable for two reasons. </w:t>
      </w:r>
      <w:r w:rsidR="00526ECF" w:rsidRPr="00871EA6">
        <w:rPr>
          <w:color w:val="auto"/>
          <w:sz w:val="22"/>
          <w:szCs w:val="22"/>
          <w:lang w:val="en-US"/>
        </w:rPr>
        <w:t>First, a</w:t>
      </w:r>
      <w:r w:rsidRPr="00871EA6">
        <w:rPr>
          <w:color w:val="auto"/>
          <w:sz w:val="22"/>
          <w:szCs w:val="22"/>
          <w:lang w:val="en-US"/>
        </w:rPr>
        <w:t xml:space="preserve"> 3xT approach imposes slope homogeneity across countries; the only variation would be the fixed effects in the dummy variables or in the error term, whereas estimating separately (country by country with 9 equations), allows complete slope heterogeneity across countries. This way, with a 9xT structure, instead of restricting the model in a panel framework, a more flexible and technically less demanding structure is enabled. More information would be extracted, and the residuals in the SUR would pick up not only the time-invariant factors, but also the time-variant ones (Maddala, 1997). </w:t>
      </w:r>
      <w:r w:rsidR="00526ECF" w:rsidRPr="00871EA6">
        <w:rPr>
          <w:color w:val="auto"/>
          <w:sz w:val="22"/>
          <w:szCs w:val="22"/>
          <w:lang w:val="en-US"/>
        </w:rPr>
        <w:t>Second, b</w:t>
      </w:r>
      <w:r w:rsidRPr="00871EA6">
        <w:rPr>
          <w:color w:val="auto"/>
          <w:sz w:val="22"/>
          <w:szCs w:val="22"/>
          <w:lang w:val="en-US"/>
        </w:rPr>
        <w:t>ecause of the relatively long T-periods, dynamic modelling in a panel framework due to serial correlation is complicated either with a FE or RE approach. Therefore, the SUR model estimated is static.</w:t>
      </w:r>
      <w:r w:rsidR="00526ECF" w:rsidRPr="00871EA6">
        <w:rPr>
          <w:color w:val="auto"/>
          <w:sz w:val="22"/>
          <w:szCs w:val="22"/>
          <w:lang w:val="en-US"/>
        </w:rPr>
        <w:t xml:space="preserve"> </w:t>
      </w:r>
      <w:r w:rsidRPr="00871EA6">
        <w:rPr>
          <w:color w:val="auto"/>
          <w:sz w:val="22"/>
          <w:szCs w:val="22"/>
          <w:lang w:val="en-US"/>
        </w:rPr>
        <w:t>In other words, the same model is modelled but within a more flexible structure, which enables maximising the heterogeneity between parameters, this way maximising the advantages of the SUR approach.</w:t>
      </w:r>
    </w:p>
    <w:p w:rsidR="00B66FA6" w:rsidRPr="00871EA6" w:rsidRDefault="00B66FA6"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Regarding all the single equations as potentially part of a multiple-equation system, the 9 by T equations to be estimated simultaneously as a system of equations via the SUR method are presented as in Table 1</w:t>
      </w:r>
      <w:r w:rsidR="0063174D">
        <w:rPr>
          <w:color w:val="auto"/>
          <w:sz w:val="22"/>
          <w:szCs w:val="22"/>
          <w:lang w:val="en-US"/>
        </w:rPr>
        <w:t>.</w:t>
      </w:r>
    </w:p>
    <w:p w:rsidR="00B66FA6" w:rsidRPr="00871EA6" w:rsidRDefault="00B66FA6"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p>
    <w:p w:rsidR="00034B3F" w:rsidRPr="00871EA6" w:rsidRDefault="00034B3F" w:rsidP="00034B3F">
      <w:pPr>
        <w:spacing w:line="240" w:lineRule="auto"/>
        <w:rPr>
          <w:color w:val="0070C0"/>
          <w:sz w:val="22"/>
          <w:szCs w:val="22"/>
          <w:lang w:val="en-US"/>
        </w:rPr>
      </w:pPr>
    </w:p>
    <w:p w:rsidR="00034B3F" w:rsidRPr="00871EA6" w:rsidRDefault="002A145C" w:rsidP="00034B3F">
      <w:pPr>
        <w:spacing w:after="100" w:line="240" w:lineRule="auto"/>
        <w:ind w:left="794" w:hanging="794"/>
        <w:jc w:val="left"/>
        <w:rPr>
          <w:color w:val="auto"/>
          <w:sz w:val="20"/>
          <w:szCs w:val="22"/>
          <w:lang w:val="en-US"/>
        </w:rPr>
      </w:pPr>
      <w:r>
        <w:rPr>
          <w:b/>
          <w:color w:val="auto"/>
          <w:sz w:val="20"/>
          <w:szCs w:val="22"/>
          <w:lang w:val="en-US"/>
        </w:rPr>
        <w:t>[</w:t>
      </w:r>
      <w:r w:rsidR="00034B3F" w:rsidRPr="00871EA6">
        <w:rPr>
          <w:b/>
          <w:color w:val="auto"/>
          <w:sz w:val="20"/>
          <w:szCs w:val="22"/>
          <w:lang w:val="en-US"/>
        </w:rPr>
        <w:t xml:space="preserve">Table 1. </w:t>
      </w:r>
      <w:r>
        <w:rPr>
          <w:b/>
          <w:color w:val="auto"/>
          <w:sz w:val="20"/>
          <w:szCs w:val="22"/>
          <w:lang w:val="en-US"/>
        </w:rPr>
        <w:t>Here]</w:t>
      </w:r>
      <w:r w:rsidR="00034B3F" w:rsidRPr="00871EA6">
        <w:rPr>
          <w:b/>
          <w:color w:val="auto"/>
          <w:sz w:val="20"/>
          <w:szCs w:val="22"/>
          <w:lang w:val="en-US"/>
        </w:rPr>
        <w:tab/>
      </w:r>
      <w:r w:rsidR="00034B3F" w:rsidRPr="00871EA6">
        <w:rPr>
          <w:color w:val="auto"/>
          <w:sz w:val="20"/>
          <w:szCs w:val="22"/>
          <w:lang w:val="en-US"/>
        </w:rPr>
        <w:t xml:space="preserve"> </w:t>
      </w:r>
    </w:p>
    <w:p w:rsidR="00B66FA6" w:rsidRDefault="00B66FA6" w:rsidP="00B66FA6">
      <w:pPr>
        <w:spacing w:line="290" w:lineRule="atLeast"/>
        <w:ind w:firstLine="425"/>
        <w:rPr>
          <w:color w:val="auto"/>
          <w:sz w:val="22"/>
          <w:szCs w:val="22"/>
          <w:lang w:val="en-US"/>
        </w:rPr>
      </w:pPr>
    </w:p>
    <w:p w:rsidR="002A145C" w:rsidRDefault="002A145C" w:rsidP="00B66FA6">
      <w:pPr>
        <w:spacing w:line="290" w:lineRule="atLeast"/>
        <w:ind w:firstLine="425"/>
        <w:rPr>
          <w:color w:val="auto"/>
          <w:sz w:val="22"/>
          <w:szCs w:val="22"/>
          <w:lang w:val="en-US"/>
        </w:rPr>
      </w:pPr>
    </w:p>
    <w:p w:rsidR="002A145C" w:rsidRPr="00871EA6" w:rsidRDefault="002A145C"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p>
    <w:p w:rsidR="002A128B" w:rsidRPr="00871EA6" w:rsidRDefault="00B66FA6" w:rsidP="00B66FA6">
      <w:pPr>
        <w:spacing w:line="290" w:lineRule="atLeast"/>
        <w:ind w:firstLine="425"/>
        <w:rPr>
          <w:color w:val="auto"/>
          <w:sz w:val="22"/>
          <w:szCs w:val="22"/>
          <w:lang w:val="en-US"/>
        </w:rPr>
      </w:pPr>
      <w:r w:rsidRPr="00871EA6">
        <w:rPr>
          <w:color w:val="auto"/>
          <w:sz w:val="22"/>
          <w:szCs w:val="22"/>
          <w:lang w:val="en-US"/>
        </w:rPr>
        <w:t>Correlation coefficients (</w:t>
      </w:r>
      <w:r w:rsidRPr="00871EA6">
        <w:rPr>
          <w:i/>
          <w:color w:val="auto"/>
          <w:sz w:val="22"/>
          <w:szCs w:val="22"/>
          <w:lang w:val="en-US"/>
        </w:rPr>
        <w:t>ρ</w:t>
      </w:r>
      <w:r w:rsidRPr="00871EA6">
        <w:rPr>
          <w:color w:val="auto"/>
          <w:sz w:val="22"/>
          <w:szCs w:val="22"/>
          <w:lang w:val="en-US"/>
        </w:rPr>
        <w:t>) are calculated for each pair of error terms across the nine equations in the system.</w:t>
      </w:r>
      <w:r w:rsidR="00526ECF" w:rsidRPr="00871EA6">
        <w:rPr>
          <w:color w:val="auto"/>
          <w:sz w:val="22"/>
          <w:szCs w:val="22"/>
          <w:lang w:val="en-US"/>
        </w:rPr>
        <w:t xml:space="preserve"> </w:t>
      </w:r>
    </w:p>
    <w:p w:rsidR="002A128B" w:rsidRPr="00871EA6" w:rsidRDefault="002A128B"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 xml:space="preserve">In </w:t>
      </w:r>
      <w:r w:rsidR="00FD4303" w:rsidRPr="00871EA6">
        <w:rPr>
          <w:sz w:val="22"/>
          <w:szCs w:val="22"/>
        </w:rPr>
        <w:t xml:space="preserve">Table 1, equations (1) to (9), </w:t>
      </w:r>
      <w:r w:rsidR="00FD4303" w:rsidRPr="00871EA6">
        <w:rPr>
          <w:i/>
          <w:sz w:val="22"/>
          <w:szCs w:val="22"/>
        </w:rPr>
        <w:t>EL</w:t>
      </w:r>
      <w:r w:rsidR="00FD4303" w:rsidRPr="00871EA6">
        <w:rPr>
          <w:i/>
          <w:sz w:val="22"/>
          <w:szCs w:val="22"/>
          <w:vertAlign w:val="superscript"/>
        </w:rPr>
        <w:t>I</w:t>
      </w:r>
      <w:r w:rsidR="00FD4303" w:rsidRPr="00871EA6">
        <w:rPr>
          <w:i/>
          <w:sz w:val="22"/>
          <w:szCs w:val="22"/>
          <w:vertAlign w:val="subscript"/>
        </w:rPr>
        <w:t>t</w:t>
      </w:r>
      <w:r w:rsidR="00FD4303" w:rsidRPr="00871EA6">
        <w:rPr>
          <w:i/>
          <w:sz w:val="22"/>
          <w:szCs w:val="22"/>
        </w:rPr>
        <w:t xml:space="preserve"> </w:t>
      </w:r>
      <w:r w:rsidR="00FD4303" w:rsidRPr="00871EA6">
        <w:rPr>
          <w:sz w:val="22"/>
          <w:szCs w:val="22"/>
        </w:rPr>
        <w:t xml:space="preserve">and </w:t>
      </w:r>
      <w:r w:rsidR="00FD4303" w:rsidRPr="00871EA6">
        <w:rPr>
          <w:i/>
          <w:sz w:val="22"/>
          <w:szCs w:val="22"/>
        </w:rPr>
        <w:t>EL</w:t>
      </w:r>
      <w:r w:rsidR="00FD4303" w:rsidRPr="00871EA6">
        <w:rPr>
          <w:i/>
          <w:sz w:val="22"/>
          <w:szCs w:val="22"/>
          <w:vertAlign w:val="superscript"/>
        </w:rPr>
        <w:t>p</w:t>
      </w:r>
      <w:r w:rsidR="00FD4303" w:rsidRPr="00871EA6">
        <w:rPr>
          <w:i/>
          <w:sz w:val="22"/>
          <w:szCs w:val="22"/>
          <w:vertAlign w:val="subscript"/>
        </w:rPr>
        <w:t>t</w:t>
      </w:r>
      <w:r w:rsidR="00FD4303" w:rsidRPr="00871EA6">
        <w:rPr>
          <w:sz w:val="22"/>
          <w:szCs w:val="22"/>
        </w:rPr>
        <w:t xml:space="preserve"> stand for the</w:t>
      </w:r>
      <w:r w:rsidR="00FD4303" w:rsidRPr="00871EA6">
        <w:rPr>
          <w:i/>
          <w:sz w:val="22"/>
          <w:szCs w:val="22"/>
        </w:rPr>
        <w:t xml:space="preserve"> </w:t>
      </w:r>
      <w:r w:rsidR="00FD4303" w:rsidRPr="00871EA6">
        <w:rPr>
          <w:sz w:val="22"/>
          <w:szCs w:val="22"/>
        </w:rPr>
        <w:t>ratio of involuntary and precautionary excess liquidity to total assets, respectively, in each country</w:t>
      </w:r>
      <w:r w:rsidR="00FD4303" w:rsidRPr="00871EA6">
        <w:rPr>
          <w:i/>
          <w:sz w:val="22"/>
          <w:szCs w:val="22"/>
        </w:rPr>
        <w:t xml:space="preserve"> </w:t>
      </w:r>
      <w:r w:rsidR="00FD4303" w:rsidRPr="00871EA6">
        <w:rPr>
          <w:sz w:val="22"/>
          <w:szCs w:val="22"/>
        </w:rPr>
        <w:t>at time</w:t>
      </w:r>
      <w:r w:rsidR="00FD4303" w:rsidRPr="00871EA6">
        <w:rPr>
          <w:i/>
          <w:sz w:val="22"/>
          <w:szCs w:val="22"/>
        </w:rPr>
        <w:t xml:space="preserve"> t</w:t>
      </w:r>
      <w:r w:rsidR="00FD4303" w:rsidRPr="00871EA6">
        <w:rPr>
          <w:sz w:val="22"/>
          <w:szCs w:val="22"/>
        </w:rPr>
        <w:t xml:space="preserve">. As suggested by theory (Agenor, et al., 2004; Saxegaard, 2006), excess liquidity will be estimated by two separate equations, namely precautionary excess liquidity and involuntary excess liquidity. Precautionary excess liquidity is the part of excess liquidity voluntarily held by banks due to a perceived increase in the risk of default. In this case, this part of excess liquidity represents banks’ optimising behaviour. On the other hand, involuntary excess liquidity represents the part accumulated because banks are unable to lend, due to factors outside of banks’ control, e g. lack of demand for loans, lack of alternative vehicles to invest, deficient markets and institutions, etc., and which do </w:t>
      </w:r>
      <w:r w:rsidR="00FD4303" w:rsidRPr="00871EA6">
        <w:rPr>
          <w:rFonts w:ascii="TimesNewRomanPSMT" w:hAnsi="TimesNewRomanPSMT" w:cs="TimesNewRomanPSMT"/>
          <w:sz w:val="22"/>
          <w:szCs w:val="22"/>
          <w:lang w:val="en-US" w:eastAsia="hr-HR"/>
        </w:rPr>
        <w:t>not provide a convenience return which offsets the opportunity cost of holding them</w:t>
      </w:r>
      <w:r w:rsidR="00FD4303" w:rsidRPr="00871EA6">
        <w:rPr>
          <w:sz w:val="22"/>
          <w:szCs w:val="22"/>
        </w:rPr>
        <w:t>. The rationale for including two sets of excess liquidity equations is explained in Saxegaard (2006), where excess liquidity is presented as a phenomenon reflecting both the supply side (risk perception) and the demand side (involuntary build-up)</w:t>
      </w:r>
      <w:r w:rsidRPr="00871EA6">
        <w:rPr>
          <w:color w:val="auto"/>
          <w:sz w:val="22"/>
          <w:szCs w:val="22"/>
          <w:lang w:val="en-US"/>
        </w:rPr>
        <w:t xml:space="preserve"> factors. </w:t>
      </w:r>
    </w:p>
    <w:p w:rsidR="00B66FA6" w:rsidRPr="00871EA6" w:rsidRDefault="00B66FA6"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 xml:space="preserve">In </w:t>
      </w:r>
      <w:r w:rsidR="00FD4303" w:rsidRPr="00871EA6">
        <w:rPr>
          <w:sz w:val="22"/>
          <w:szCs w:val="22"/>
        </w:rPr>
        <w:t xml:space="preserve">short, precautionary excess liquidity (superscripted with ‘p’, i.e. </w:t>
      </w:r>
      <w:r w:rsidR="00FD4303" w:rsidRPr="00871EA6">
        <w:rPr>
          <w:i/>
          <w:sz w:val="22"/>
          <w:szCs w:val="22"/>
        </w:rPr>
        <w:t>EL</w:t>
      </w:r>
      <w:r w:rsidR="00FD4303" w:rsidRPr="00871EA6">
        <w:rPr>
          <w:i/>
          <w:sz w:val="22"/>
          <w:szCs w:val="22"/>
          <w:vertAlign w:val="superscript"/>
        </w:rPr>
        <w:t>p</w:t>
      </w:r>
      <w:r w:rsidR="00FD4303" w:rsidRPr="00871EA6">
        <w:rPr>
          <w:i/>
          <w:sz w:val="22"/>
          <w:szCs w:val="22"/>
          <w:vertAlign w:val="subscript"/>
        </w:rPr>
        <w:t>t</w:t>
      </w:r>
      <w:r w:rsidR="00FD4303" w:rsidRPr="00871EA6">
        <w:rPr>
          <w:sz w:val="22"/>
          <w:szCs w:val="22"/>
        </w:rPr>
        <w:t>) encompasses regulatory, banking and risk</w:t>
      </w:r>
      <w:r w:rsidR="00526ECF" w:rsidRPr="00871EA6">
        <w:rPr>
          <w:sz w:val="22"/>
          <w:szCs w:val="22"/>
        </w:rPr>
        <w:t>-</w:t>
      </w:r>
      <w:r w:rsidR="00FD4303" w:rsidRPr="00871EA6">
        <w:rPr>
          <w:sz w:val="22"/>
          <w:szCs w:val="22"/>
        </w:rPr>
        <w:t xml:space="preserve">perceived variables, whereas the involuntary excess liquidity (superscripted with ‘I’, i.e. </w:t>
      </w:r>
      <w:r w:rsidR="00FD4303" w:rsidRPr="00871EA6">
        <w:rPr>
          <w:i/>
          <w:sz w:val="22"/>
          <w:szCs w:val="22"/>
        </w:rPr>
        <w:t>EL</w:t>
      </w:r>
      <w:r w:rsidR="00FD4303" w:rsidRPr="00871EA6">
        <w:rPr>
          <w:i/>
          <w:sz w:val="22"/>
          <w:szCs w:val="22"/>
          <w:vertAlign w:val="superscript"/>
        </w:rPr>
        <w:t>I</w:t>
      </w:r>
      <w:r w:rsidR="00FD4303" w:rsidRPr="00871EA6">
        <w:rPr>
          <w:i/>
          <w:sz w:val="22"/>
          <w:szCs w:val="22"/>
          <w:vertAlign w:val="subscript"/>
        </w:rPr>
        <w:t>t</w:t>
      </w:r>
      <w:r w:rsidR="00FD4303" w:rsidRPr="00871EA6">
        <w:rPr>
          <w:sz w:val="22"/>
          <w:szCs w:val="22"/>
        </w:rPr>
        <w:t xml:space="preserve">) encompasses mainly factors that lead to involuntary build-up of excess reserves, like the public’s decisions to deposit, investors’ deposits or the strength of the legal rights variables. In involuntary excess liquidity equations an interaction variable between credit and a GFC dummy was added, </w:t>
      </w:r>
      <w:r w:rsidR="00FD4303" w:rsidRPr="00871EA6">
        <w:rPr>
          <w:i/>
          <w:sz w:val="22"/>
          <w:szCs w:val="22"/>
        </w:rPr>
        <w:t>Credlevel</w:t>
      </w:r>
      <w:r w:rsidR="00FD4303" w:rsidRPr="00871EA6">
        <w:rPr>
          <w:sz w:val="22"/>
          <w:szCs w:val="22"/>
        </w:rPr>
        <w:t>, to account for a possible behaviour of this variable post GFC. The</w:t>
      </w:r>
      <w:r w:rsidR="00FD4303" w:rsidRPr="00871EA6">
        <w:rPr>
          <w:i/>
          <w:sz w:val="22"/>
          <w:szCs w:val="22"/>
        </w:rPr>
        <w:t xml:space="preserve"> δ</w:t>
      </w:r>
      <w:r w:rsidR="00FD4303" w:rsidRPr="00871EA6">
        <w:rPr>
          <w:sz w:val="22"/>
          <w:szCs w:val="22"/>
        </w:rPr>
        <w:t xml:space="preserve"> is the constant term, </w:t>
      </w:r>
      <w:r w:rsidR="00FD4303" w:rsidRPr="00871EA6">
        <w:rPr>
          <w:i/>
          <w:sz w:val="22"/>
          <w:szCs w:val="22"/>
        </w:rPr>
        <w:t>δ</w:t>
      </w:r>
      <w:r w:rsidR="00FD4303" w:rsidRPr="00871EA6">
        <w:rPr>
          <w:i/>
          <w:sz w:val="22"/>
          <w:szCs w:val="22"/>
          <w:vertAlign w:val="subscript"/>
        </w:rPr>
        <w:t xml:space="preserve">1 </w:t>
      </w:r>
      <w:r w:rsidR="00FD4303" w:rsidRPr="00871EA6">
        <w:rPr>
          <w:sz w:val="22"/>
          <w:szCs w:val="22"/>
        </w:rPr>
        <w:t xml:space="preserve">to </w:t>
      </w:r>
      <w:r w:rsidR="00FD4303" w:rsidRPr="00871EA6">
        <w:rPr>
          <w:i/>
          <w:sz w:val="22"/>
          <w:szCs w:val="22"/>
        </w:rPr>
        <w:t>δ</w:t>
      </w:r>
      <w:r w:rsidR="00FD4303" w:rsidRPr="00871EA6">
        <w:rPr>
          <w:i/>
          <w:sz w:val="22"/>
          <w:szCs w:val="22"/>
          <w:vertAlign w:val="subscript"/>
        </w:rPr>
        <w:t xml:space="preserve">24 </w:t>
      </w:r>
      <w:r w:rsidR="00FD4303" w:rsidRPr="00871EA6">
        <w:rPr>
          <w:sz w:val="22"/>
          <w:szCs w:val="22"/>
        </w:rPr>
        <w:t xml:space="preserve">are the parameter estimates of the independent variables, and </w:t>
      </w:r>
      <w:r w:rsidR="00FD4303" w:rsidRPr="00871EA6">
        <w:rPr>
          <w:i/>
          <w:sz w:val="22"/>
          <w:szCs w:val="22"/>
        </w:rPr>
        <w:t>ε</w:t>
      </w:r>
      <w:r w:rsidR="00FD4303" w:rsidRPr="00871EA6">
        <w:rPr>
          <w:i/>
          <w:sz w:val="22"/>
          <w:szCs w:val="22"/>
          <w:vertAlign w:val="subscript"/>
        </w:rPr>
        <w:t>t</w:t>
      </w:r>
      <w:r w:rsidR="00FD4303" w:rsidRPr="00871EA6">
        <w:rPr>
          <w:sz w:val="22"/>
          <w:szCs w:val="22"/>
        </w:rPr>
        <w:t xml:space="preserve">, </w:t>
      </w:r>
      <w:r w:rsidR="00FD4303" w:rsidRPr="00871EA6">
        <w:rPr>
          <w:i/>
          <w:sz w:val="22"/>
          <w:szCs w:val="22"/>
        </w:rPr>
        <w:t>e</w:t>
      </w:r>
      <w:r w:rsidR="00FD4303" w:rsidRPr="00871EA6">
        <w:rPr>
          <w:i/>
          <w:sz w:val="22"/>
          <w:szCs w:val="22"/>
          <w:vertAlign w:val="subscript"/>
        </w:rPr>
        <w:t xml:space="preserve">t , </w:t>
      </w:r>
      <w:r w:rsidR="00FD4303" w:rsidRPr="00871EA6">
        <w:rPr>
          <w:i/>
          <w:sz w:val="22"/>
          <w:szCs w:val="22"/>
        </w:rPr>
        <w:t>ν</w:t>
      </w:r>
      <w:r w:rsidR="00FD4303" w:rsidRPr="00871EA6">
        <w:rPr>
          <w:i/>
          <w:sz w:val="22"/>
          <w:szCs w:val="22"/>
          <w:vertAlign w:val="subscript"/>
        </w:rPr>
        <w:t>t</w:t>
      </w:r>
      <w:r w:rsidR="00FD4303" w:rsidRPr="00871EA6">
        <w:rPr>
          <w:sz w:val="22"/>
          <w:szCs w:val="22"/>
        </w:rPr>
        <w:t xml:space="preserve"> are the error</w:t>
      </w:r>
      <w:r w:rsidRPr="00871EA6">
        <w:rPr>
          <w:color w:val="auto"/>
          <w:sz w:val="22"/>
          <w:szCs w:val="22"/>
          <w:lang w:val="en-US"/>
        </w:rPr>
        <w:t xml:space="preserve"> terms.</w:t>
      </w:r>
    </w:p>
    <w:p w:rsidR="00B66FA6" w:rsidRPr="00871EA6" w:rsidRDefault="00B66FA6"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The inclusion of the output gap equation in the system of equations is novel: previous studies that have investigated the determinants of excess liquidity did not consider a possible endogenous relationship between the two (for example Saxegaard, 2006). On the other side, theoretical guidance in setting up an output gap equation is both limited and vague. However, from basic theor</w:t>
      </w:r>
      <w:r w:rsidR="00992AB4" w:rsidRPr="00871EA6">
        <w:rPr>
          <w:color w:val="auto"/>
          <w:sz w:val="22"/>
          <w:szCs w:val="22"/>
          <w:lang w:val="en-US"/>
        </w:rPr>
        <w:t>y</w:t>
      </w:r>
      <w:r w:rsidRPr="00871EA6">
        <w:rPr>
          <w:color w:val="auto"/>
          <w:sz w:val="22"/>
          <w:szCs w:val="22"/>
          <w:lang w:val="en-US"/>
        </w:rPr>
        <w:t xml:space="preserve"> the output gap has been commonly used as a proxy for the demand side of the economy (Gordon, 1997). Thus, as a variable reflecting the state of the aggregate demand in the economy should include all the factors comprising a full aggregate demand identity. Kennedy (2009) argue that a system equation approach may also include identities (e.g. </w:t>
      </w:r>
      <w:r w:rsidRPr="00871EA6">
        <w:rPr>
          <w:i/>
          <w:color w:val="auto"/>
          <w:sz w:val="22"/>
          <w:szCs w:val="22"/>
          <w:lang w:val="en-US"/>
        </w:rPr>
        <w:t>Y ≡ C + I + G + NX</w:t>
      </w:r>
      <w:r w:rsidRPr="00871EA6">
        <w:rPr>
          <w:color w:val="auto"/>
          <w:sz w:val="22"/>
          <w:szCs w:val="22"/>
          <w:lang w:val="en-US"/>
        </w:rPr>
        <w:t xml:space="preserve">). With a purpose of setting up a fully specified aggregate demand equation as a requirement in the SUR models and following Moinescu (2012), output gap equations (3), (6) and (9) are specified </w:t>
      </w:r>
      <w:r w:rsidR="00526ECF" w:rsidRPr="00871EA6">
        <w:rPr>
          <w:color w:val="auto"/>
          <w:sz w:val="22"/>
          <w:szCs w:val="22"/>
          <w:lang w:val="en-US"/>
        </w:rPr>
        <w:t>(</w:t>
      </w:r>
      <w:r w:rsidR="0063174D">
        <w:rPr>
          <w:color w:val="auto"/>
          <w:sz w:val="22"/>
          <w:szCs w:val="22"/>
          <w:lang w:val="en-US"/>
        </w:rPr>
        <w:t>T</w:t>
      </w:r>
      <w:r w:rsidR="00526ECF" w:rsidRPr="00871EA6">
        <w:rPr>
          <w:color w:val="auto"/>
          <w:sz w:val="22"/>
          <w:szCs w:val="22"/>
          <w:lang w:val="en-US"/>
        </w:rPr>
        <w:t>able 1)</w:t>
      </w:r>
      <w:r w:rsidRPr="00871EA6">
        <w:rPr>
          <w:color w:val="auto"/>
          <w:sz w:val="22"/>
          <w:szCs w:val="22"/>
          <w:lang w:val="en-US"/>
        </w:rPr>
        <w:t>.</w:t>
      </w:r>
    </w:p>
    <w:p w:rsidR="00B66FA6" w:rsidRPr="00871EA6" w:rsidRDefault="00B66FA6"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 xml:space="preserve">The </w:t>
      </w:r>
      <w:r w:rsidR="00727276" w:rsidRPr="00871EA6">
        <w:rPr>
          <w:i/>
          <w:sz w:val="22"/>
          <w:szCs w:val="22"/>
        </w:rPr>
        <w:t>OG</w:t>
      </w:r>
      <w:r w:rsidR="00727276" w:rsidRPr="00871EA6">
        <w:rPr>
          <w:i/>
          <w:sz w:val="22"/>
          <w:szCs w:val="22"/>
          <w:vertAlign w:val="subscript"/>
        </w:rPr>
        <w:t xml:space="preserve">t </w:t>
      </w:r>
      <w:r w:rsidR="00727276" w:rsidRPr="00871EA6">
        <w:rPr>
          <w:sz w:val="22"/>
          <w:szCs w:val="22"/>
        </w:rPr>
        <w:t>stands for the ratio of output gap to GDP in each period of the respective country.</w:t>
      </w:r>
      <w:r w:rsidR="00BD10E4" w:rsidRPr="00871EA6">
        <w:rPr>
          <w:rStyle w:val="FootnoteReference"/>
          <w:sz w:val="22"/>
          <w:szCs w:val="22"/>
        </w:rPr>
        <w:footnoteReference w:id="2"/>
      </w:r>
      <w:r w:rsidR="00727276" w:rsidRPr="00871EA6">
        <w:rPr>
          <w:sz w:val="22"/>
          <w:szCs w:val="22"/>
        </w:rPr>
        <w:t xml:space="preserve"> </w:t>
      </w:r>
      <w:r w:rsidR="00727276" w:rsidRPr="00871EA6">
        <w:rPr>
          <w:i/>
          <w:sz w:val="22"/>
          <w:szCs w:val="22"/>
        </w:rPr>
        <w:t>CREDF</w:t>
      </w:r>
      <w:r w:rsidR="00727276" w:rsidRPr="00871EA6">
        <w:rPr>
          <w:i/>
          <w:sz w:val="22"/>
          <w:szCs w:val="22"/>
          <w:vertAlign w:val="subscript"/>
        </w:rPr>
        <w:t xml:space="preserve">t-2 </w:t>
      </w:r>
      <w:r w:rsidR="00727276" w:rsidRPr="00871EA6">
        <w:rPr>
          <w:sz w:val="22"/>
          <w:szCs w:val="22"/>
        </w:rPr>
        <w:t xml:space="preserve">denotes the credit to GDP ratio, which is based on the credit accelerator theory (Bernanke, 2007) and feeds consumption and investment. </w:t>
      </w:r>
      <w:r w:rsidR="00BD10E4" w:rsidRPr="00871EA6">
        <w:rPr>
          <w:sz w:val="22"/>
          <w:szCs w:val="22"/>
        </w:rPr>
        <w:t xml:space="preserve">Establishing </w:t>
      </w:r>
      <w:r w:rsidR="00727276" w:rsidRPr="00871EA6">
        <w:rPr>
          <w:sz w:val="22"/>
          <w:szCs w:val="22"/>
        </w:rPr>
        <w:t xml:space="preserve">endogeneity between </w:t>
      </w:r>
      <w:r w:rsidR="00727276" w:rsidRPr="00871EA6">
        <w:rPr>
          <w:i/>
          <w:sz w:val="22"/>
          <w:szCs w:val="22"/>
        </w:rPr>
        <w:t>OG</w:t>
      </w:r>
      <w:r w:rsidR="00727276" w:rsidRPr="00871EA6">
        <w:rPr>
          <w:i/>
          <w:sz w:val="22"/>
          <w:szCs w:val="22"/>
          <w:vertAlign w:val="subscript"/>
        </w:rPr>
        <w:t xml:space="preserve"> </w:t>
      </w:r>
      <w:r w:rsidR="00727276" w:rsidRPr="00871EA6">
        <w:rPr>
          <w:sz w:val="22"/>
          <w:szCs w:val="22"/>
        </w:rPr>
        <w:t xml:space="preserve">and </w:t>
      </w:r>
      <w:r w:rsidR="00727276" w:rsidRPr="00871EA6">
        <w:rPr>
          <w:i/>
          <w:sz w:val="22"/>
          <w:szCs w:val="22"/>
        </w:rPr>
        <w:t>CREDF</w:t>
      </w:r>
      <w:r w:rsidR="00727276" w:rsidRPr="00871EA6">
        <w:rPr>
          <w:sz w:val="22"/>
          <w:szCs w:val="22"/>
        </w:rPr>
        <w:t>,</w:t>
      </w:r>
      <w:r w:rsidR="00727276" w:rsidRPr="00871EA6">
        <w:rPr>
          <w:i/>
          <w:sz w:val="22"/>
          <w:szCs w:val="22"/>
        </w:rPr>
        <w:t xml:space="preserve"> </w:t>
      </w:r>
      <w:r w:rsidR="00727276" w:rsidRPr="00871EA6">
        <w:rPr>
          <w:sz w:val="22"/>
          <w:szCs w:val="22"/>
        </w:rPr>
        <w:t>the second lag of the credit flow will be used on the grounds that lagged values of endogenous variables are treated as predetermined, and are not simultaneously determined in the current time period (Studenmund, 2006). By the logic</w:t>
      </w:r>
      <w:r w:rsidR="002A128B" w:rsidRPr="00871EA6">
        <w:rPr>
          <w:sz w:val="22"/>
          <w:szCs w:val="22"/>
        </w:rPr>
        <w:t xml:space="preserve"> of ‘weak exogeneity’</w:t>
      </w:r>
      <w:r w:rsidR="00727276" w:rsidRPr="00871EA6">
        <w:rPr>
          <w:sz w:val="22"/>
          <w:szCs w:val="22"/>
        </w:rPr>
        <w:t>, all other explanatory variables have a one period lag, i.e. in order to have ‘weak exogenous’ explanatory variables</w:t>
      </w:r>
      <w:r w:rsidRPr="00871EA6">
        <w:rPr>
          <w:color w:val="auto"/>
          <w:sz w:val="22"/>
          <w:szCs w:val="22"/>
          <w:lang w:val="en-US"/>
        </w:rPr>
        <w:t xml:space="preserve"> (Wooldridge, 2010). </w:t>
      </w:r>
    </w:p>
    <w:p w:rsidR="00B66FA6" w:rsidRPr="00871EA6" w:rsidRDefault="00B66FA6" w:rsidP="00B66FA6">
      <w:pPr>
        <w:spacing w:line="290" w:lineRule="atLeast"/>
        <w:ind w:firstLine="425"/>
        <w:rPr>
          <w:color w:val="auto"/>
          <w:sz w:val="22"/>
          <w:szCs w:val="22"/>
          <w:lang w:val="en-US"/>
        </w:rPr>
      </w:pPr>
    </w:p>
    <w:p w:rsidR="00B66FA6" w:rsidRPr="00871EA6" w:rsidRDefault="00B66FA6" w:rsidP="00B66FA6">
      <w:pPr>
        <w:spacing w:line="290" w:lineRule="atLeast"/>
        <w:ind w:firstLine="425"/>
        <w:rPr>
          <w:color w:val="auto"/>
          <w:sz w:val="22"/>
          <w:szCs w:val="22"/>
          <w:lang w:val="en-US"/>
        </w:rPr>
      </w:pPr>
      <w:r w:rsidRPr="00871EA6">
        <w:rPr>
          <w:color w:val="auto"/>
          <w:sz w:val="22"/>
          <w:szCs w:val="22"/>
          <w:lang w:val="en-US"/>
        </w:rPr>
        <w:t xml:space="preserve">Given </w:t>
      </w:r>
      <w:r w:rsidR="00EC228F" w:rsidRPr="00871EA6">
        <w:rPr>
          <w:sz w:val="22"/>
          <w:szCs w:val="22"/>
        </w:rPr>
        <w:t xml:space="preserve">that two of the countries in the sample are EU countries and Kosovo has very strong trade relationships with the EU, the output gap of the European Union divided by GDP, </w:t>
      </w:r>
      <w:r w:rsidR="00EC228F" w:rsidRPr="00871EA6">
        <w:rPr>
          <w:i/>
          <w:sz w:val="22"/>
          <w:szCs w:val="22"/>
        </w:rPr>
        <w:t>OGEU</w:t>
      </w:r>
      <w:r w:rsidR="00EC228F" w:rsidRPr="00871EA6">
        <w:rPr>
          <w:i/>
          <w:sz w:val="22"/>
          <w:szCs w:val="22"/>
          <w:vertAlign w:val="subscript"/>
        </w:rPr>
        <w:t>t</w:t>
      </w:r>
      <w:r w:rsidR="00EC228F" w:rsidRPr="00871EA6">
        <w:rPr>
          <w:sz w:val="22"/>
          <w:szCs w:val="22"/>
        </w:rPr>
        <w:t xml:space="preserve">, is taken to proxy the external sector (foreign demand) and is considered as exogenous. Given the lack of a publicly available measure for the quarterly output gap of </w:t>
      </w:r>
      <w:r w:rsidR="00992AB4" w:rsidRPr="00871EA6">
        <w:rPr>
          <w:sz w:val="22"/>
          <w:szCs w:val="22"/>
        </w:rPr>
        <w:t xml:space="preserve">the </w:t>
      </w:r>
      <w:r w:rsidR="00BB6298" w:rsidRPr="00871EA6">
        <w:rPr>
          <w:sz w:val="22"/>
          <w:szCs w:val="22"/>
        </w:rPr>
        <w:t>e</w:t>
      </w:r>
      <w:r w:rsidR="00EC228F" w:rsidRPr="00871EA6">
        <w:rPr>
          <w:sz w:val="22"/>
          <w:szCs w:val="22"/>
        </w:rPr>
        <w:t xml:space="preserve">urozone, this unobserved component was estimated via the Hodrick-Prescott filter. Moinescu (2012) uses the long-term interest rate (bond yield) as a proxy for the fiscal stance. However, given that the issuance of the government securities in Kosovo started only </w:t>
      </w:r>
      <w:r w:rsidR="00992AB4" w:rsidRPr="00871EA6">
        <w:rPr>
          <w:sz w:val="22"/>
          <w:szCs w:val="22"/>
        </w:rPr>
        <w:t>in</w:t>
      </w:r>
      <w:r w:rsidR="00EC228F" w:rsidRPr="00871EA6">
        <w:rPr>
          <w:sz w:val="22"/>
          <w:szCs w:val="22"/>
        </w:rPr>
        <w:t xml:space="preserve"> 2012, it </w:t>
      </w:r>
      <w:r w:rsidR="00992AB4" w:rsidRPr="00871EA6">
        <w:rPr>
          <w:sz w:val="22"/>
          <w:szCs w:val="22"/>
        </w:rPr>
        <w:t>is</w:t>
      </w:r>
      <w:r w:rsidR="00EC228F" w:rsidRPr="00871EA6">
        <w:rPr>
          <w:sz w:val="22"/>
          <w:szCs w:val="22"/>
        </w:rPr>
        <w:t xml:space="preserve"> not possible to utilise this measure</w:t>
      </w:r>
      <w:r w:rsidR="00992AB4" w:rsidRPr="00871EA6">
        <w:rPr>
          <w:sz w:val="22"/>
          <w:szCs w:val="22"/>
        </w:rPr>
        <w:t xml:space="preserve"> and </w:t>
      </w:r>
      <w:r w:rsidR="00EC228F" w:rsidRPr="00871EA6">
        <w:rPr>
          <w:sz w:val="22"/>
          <w:szCs w:val="22"/>
        </w:rPr>
        <w:t xml:space="preserve">government expenditure, </w:t>
      </w:r>
      <w:r w:rsidR="00EC228F" w:rsidRPr="00871EA6">
        <w:rPr>
          <w:i/>
          <w:sz w:val="22"/>
          <w:szCs w:val="22"/>
        </w:rPr>
        <w:t>GOVEXP</w:t>
      </w:r>
      <w:r w:rsidR="00EC228F" w:rsidRPr="00871EA6">
        <w:rPr>
          <w:i/>
          <w:sz w:val="22"/>
          <w:szCs w:val="22"/>
          <w:vertAlign w:val="subscript"/>
        </w:rPr>
        <w:t>t</w:t>
      </w:r>
      <w:r w:rsidR="00EC228F" w:rsidRPr="00871EA6">
        <w:rPr>
          <w:sz w:val="22"/>
          <w:szCs w:val="22"/>
        </w:rPr>
        <w:t xml:space="preserve">, </w:t>
      </w:r>
      <w:r w:rsidR="00992AB4" w:rsidRPr="00871EA6">
        <w:rPr>
          <w:sz w:val="22"/>
          <w:szCs w:val="22"/>
        </w:rPr>
        <w:t>is used instead</w:t>
      </w:r>
      <w:r w:rsidR="00EC228F" w:rsidRPr="00871EA6">
        <w:rPr>
          <w:sz w:val="22"/>
          <w:szCs w:val="22"/>
        </w:rPr>
        <w:t xml:space="preserve">. To control for possible correlated cross-country shocks, year dummies </w:t>
      </w:r>
      <w:r w:rsidR="00EC228F" w:rsidRPr="00871EA6">
        <w:rPr>
          <w:i/>
          <w:sz w:val="22"/>
          <w:szCs w:val="22"/>
        </w:rPr>
        <w:t xml:space="preserve">d2005- d12014 </w:t>
      </w:r>
      <w:r w:rsidR="00EC228F" w:rsidRPr="00871EA6">
        <w:rPr>
          <w:sz w:val="22"/>
          <w:szCs w:val="22"/>
        </w:rPr>
        <w:t>will be included</w:t>
      </w:r>
      <w:r w:rsidR="00EC228F" w:rsidRPr="00871EA6">
        <w:rPr>
          <w:i/>
          <w:sz w:val="22"/>
          <w:szCs w:val="22"/>
        </w:rPr>
        <w:t xml:space="preserve"> </w:t>
      </w:r>
      <w:r w:rsidR="00EC228F" w:rsidRPr="00871EA6">
        <w:rPr>
          <w:sz w:val="22"/>
          <w:szCs w:val="22"/>
        </w:rPr>
        <w:t>(</w:t>
      </w:r>
      <w:r w:rsidR="00EC228F" w:rsidRPr="00871EA6">
        <w:rPr>
          <w:i/>
          <w:sz w:val="22"/>
          <w:szCs w:val="22"/>
        </w:rPr>
        <w:t>d2004</w:t>
      </w:r>
      <w:r w:rsidR="00EC228F" w:rsidRPr="00871EA6">
        <w:rPr>
          <w:sz w:val="22"/>
          <w:szCs w:val="22"/>
        </w:rPr>
        <w:t xml:space="preserve"> set as a benchmark). To account for possible structural breaks in the series due to the incidence of the financial crisis,</w:t>
      </w:r>
      <w:r w:rsidR="00992AB4" w:rsidRPr="00871EA6">
        <w:rPr>
          <w:sz w:val="22"/>
          <w:szCs w:val="22"/>
        </w:rPr>
        <w:t xml:space="preserve"> a</w:t>
      </w:r>
      <w:r w:rsidR="00EC228F" w:rsidRPr="00871EA6">
        <w:rPr>
          <w:sz w:val="22"/>
          <w:szCs w:val="22"/>
        </w:rPr>
        <w:t xml:space="preserve"> </w:t>
      </w:r>
      <w:r w:rsidR="00EC228F" w:rsidRPr="00871EA6">
        <w:rPr>
          <w:i/>
          <w:sz w:val="22"/>
          <w:szCs w:val="22"/>
        </w:rPr>
        <w:t>GFC</w:t>
      </w:r>
      <w:r w:rsidR="00EC228F" w:rsidRPr="00871EA6">
        <w:rPr>
          <w:sz w:val="22"/>
          <w:szCs w:val="22"/>
        </w:rPr>
        <w:t xml:space="preserve"> dummy</w:t>
      </w:r>
      <w:r w:rsidR="00EC228F" w:rsidRPr="00871EA6">
        <w:rPr>
          <w:i/>
          <w:sz w:val="22"/>
          <w:szCs w:val="22"/>
        </w:rPr>
        <w:t xml:space="preserve"> </w:t>
      </w:r>
      <w:r w:rsidR="00EC228F" w:rsidRPr="00871EA6">
        <w:rPr>
          <w:sz w:val="22"/>
          <w:szCs w:val="22"/>
        </w:rPr>
        <w:t xml:space="preserve">was also included. The </w:t>
      </w:r>
      <w:r w:rsidR="00EC228F" w:rsidRPr="00871EA6">
        <w:rPr>
          <w:i/>
          <w:sz w:val="22"/>
          <w:szCs w:val="22"/>
        </w:rPr>
        <w:t>δ</w:t>
      </w:r>
      <w:r w:rsidR="00EC228F" w:rsidRPr="00871EA6">
        <w:rPr>
          <w:sz w:val="22"/>
          <w:szCs w:val="22"/>
        </w:rPr>
        <w:t xml:space="preserve"> is the constant term, whereas the </w:t>
      </w:r>
      <w:r w:rsidR="00EC228F" w:rsidRPr="00871EA6">
        <w:rPr>
          <w:i/>
          <w:sz w:val="22"/>
          <w:szCs w:val="22"/>
        </w:rPr>
        <w:t>δ</w:t>
      </w:r>
      <w:r w:rsidR="00EC228F" w:rsidRPr="00871EA6">
        <w:rPr>
          <w:i/>
          <w:sz w:val="22"/>
          <w:szCs w:val="22"/>
          <w:vertAlign w:val="subscript"/>
        </w:rPr>
        <w:t xml:space="preserve">1 </w:t>
      </w:r>
      <w:r w:rsidR="00EC228F" w:rsidRPr="00871EA6">
        <w:rPr>
          <w:sz w:val="22"/>
          <w:szCs w:val="22"/>
        </w:rPr>
        <w:t xml:space="preserve">to </w:t>
      </w:r>
      <w:r w:rsidR="00EC228F" w:rsidRPr="00871EA6">
        <w:rPr>
          <w:i/>
          <w:sz w:val="22"/>
          <w:szCs w:val="22"/>
        </w:rPr>
        <w:t>δ</w:t>
      </w:r>
      <w:r w:rsidR="00EC228F" w:rsidRPr="00871EA6">
        <w:rPr>
          <w:i/>
          <w:sz w:val="22"/>
          <w:szCs w:val="22"/>
          <w:vertAlign w:val="subscript"/>
        </w:rPr>
        <w:t xml:space="preserve">n </w:t>
      </w:r>
      <w:r w:rsidR="00EC228F" w:rsidRPr="00871EA6">
        <w:rPr>
          <w:sz w:val="22"/>
          <w:szCs w:val="22"/>
        </w:rPr>
        <w:t>are the parameter estimates of the independent variables</w:t>
      </w:r>
      <w:r w:rsidR="00992AB4" w:rsidRPr="00871EA6">
        <w:rPr>
          <w:sz w:val="22"/>
          <w:szCs w:val="22"/>
        </w:rPr>
        <w:t xml:space="preserve">  and</w:t>
      </w:r>
      <w:r w:rsidR="00EC228F" w:rsidRPr="00871EA6">
        <w:rPr>
          <w:i/>
          <w:sz w:val="22"/>
          <w:szCs w:val="22"/>
          <w:vertAlign w:val="subscript"/>
        </w:rPr>
        <w:t xml:space="preserve"> </w:t>
      </w:r>
      <w:r w:rsidR="00EC228F" w:rsidRPr="00871EA6">
        <w:rPr>
          <w:i/>
          <w:sz w:val="22"/>
          <w:szCs w:val="22"/>
        </w:rPr>
        <w:t>ν</w:t>
      </w:r>
      <w:r w:rsidR="00EC228F" w:rsidRPr="00871EA6">
        <w:rPr>
          <w:i/>
          <w:sz w:val="22"/>
          <w:szCs w:val="22"/>
          <w:vertAlign w:val="subscript"/>
        </w:rPr>
        <w:t xml:space="preserve">t </w:t>
      </w:r>
      <w:r w:rsidR="00EC228F" w:rsidRPr="00871EA6">
        <w:rPr>
          <w:sz w:val="22"/>
          <w:szCs w:val="22"/>
        </w:rPr>
        <w:t xml:space="preserve">is the error </w:t>
      </w:r>
      <w:r w:rsidRPr="00871EA6">
        <w:rPr>
          <w:color w:val="auto"/>
          <w:sz w:val="22"/>
          <w:szCs w:val="22"/>
          <w:lang w:val="en-US"/>
        </w:rPr>
        <w:t>term.</w:t>
      </w:r>
    </w:p>
    <w:p w:rsidR="00B66FA6" w:rsidRPr="00871EA6" w:rsidRDefault="00B66FA6" w:rsidP="00B66FA6">
      <w:pPr>
        <w:spacing w:line="290" w:lineRule="atLeast"/>
        <w:ind w:firstLine="425"/>
        <w:rPr>
          <w:color w:val="auto"/>
          <w:sz w:val="22"/>
          <w:szCs w:val="22"/>
          <w:lang w:val="en-US"/>
        </w:rPr>
      </w:pPr>
    </w:p>
    <w:p w:rsidR="00B66FA6" w:rsidRPr="00871EA6" w:rsidRDefault="00B66FA6" w:rsidP="00C46DBA">
      <w:pPr>
        <w:spacing w:line="290" w:lineRule="atLeast"/>
        <w:ind w:firstLine="425"/>
        <w:rPr>
          <w:color w:val="auto"/>
          <w:sz w:val="22"/>
          <w:szCs w:val="22"/>
          <w:lang w:val="en-US"/>
        </w:rPr>
      </w:pPr>
      <w:r w:rsidRPr="00871EA6">
        <w:rPr>
          <w:color w:val="auto"/>
          <w:sz w:val="22"/>
          <w:szCs w:val="22"/>
          <w:lang w:val="en-US"/>
        </w:rPr>
        <w:t xml:space="preserve">Finally, </w:t>
      </w:r>
      <w:r w:rsidR="00092D3D" w:rsidRPr="00871EA6">
        <w:rPr>
          <w:color w:val="auto"/>
          <w:sz w:val="22"/>
          <w:szCs w:val="22"/>
          <w:lang w:val="en-US"/>
        </w:rPr>
        <w:t>the ρ term in the SUR framework measures the extent of correlation between the equations. The non-zero covariance of the respective error terms reflects the idea that unobserved variables are shared between these errors</w:t>
      </w:r>
      <w:r w:rsidR="00C24D23" w:rsidRPr="00871EA6">
        <w:rPr>
          <w:color w:val="auto"/>
          <w:sz w:val="22"/>
          <w:szCs w:val="22"/>
          <w:lang w:val="en-US"/>
        </w:rPr>
        <w:t xml:space="preserve">. </w:t>
      </w:r>
      <w:r w:rsidR="00092D3D" w:rsidRPr="00871EA6">
        <w:rPr>
          <w:color w:val="auto"/>
          <w:sz w:val="22"/>
          <w:szCs w:val="22"/>
          <w:lang w:val="en-US"/>
        </w:rPr>
        <w:t>When a correlated error is included, then the coefficient on the estimates of EL and OG will most likely be reduced and improved. This is because, a part of the relationship between indicators of excess liquidity and output gap comes from the influence of common (although unobserved</w:t>
      </w:r>
      <w:r w:rsidR="00EC49B6" w:rsidRPr="00871EA6">
        <w:rPr>
          <w:color w:val="auto"/>
          <w:sz w:val="22"/>
          <w:szCs w:val="22"/>
          <w:lang w:val="en-US"/>
        </w:rPr>
        <w:t>) variables</w:t>
      </w:r>
      <w:r w:rsidRPr="00871EA6">
        <w:rPr>
          <w:color w:val="auto"/>
          <w:sz w:val="22"/>
          <w:szCs w:val="22"/>
          <w:lang w:val="en-US"/>
        </w:rPr>
        <w:t>.</w:t>
      </w:r>
      <w:r w:rsidR="003650C4" w:rsidRPr="00871EA6">
        <w:rPr>
          <w:color w:val="auto"/>
          <w:sz w:val="22"/>
          <w:szCs w:val="22"/>
          <w:lang w:val="en-US"/>
        </w:rPr>
        <w:t xml:space="preserve"> </w:t>
      </w:r>
      <w:r w:rsidRPr="00871EA6">
        <w:rPr>
          <w:color w:val="auto"/>
          <w:sz w:val="22"/>
          <w:szCs w:val="22"/>
          <w:lang w:val="en-US"/>
        </w:rPr>
        <w:t>Table 2 sets out the model variables with</w:t>
      </w:r>
      <w:r w:rsidR="00BD10E4" w:rsidRPr="00871EA6">
        <w:rPr>
          <w:color w:val="auto"/>
          <w:sz w:val="22"/>
          <w:szCs w:val="22"/>
          <w:lang w:val="en-US"/>
        </w:rPr>
        <w:t xml:space="preserve"> symbols, </w:t>
      </w:r>
      <w:r w:rsidRPr="00871EA6">
        <w:rPr>
          <w:color w:val="auto"/>
          <w:sz w:val="22"/>
          <w:szCs w:val="22"/>
          <w:lang w:val="en-US"/>
        </w:rPr>
        <w:t>descripti</w:t>
      </w:r>
      <w:r w:rsidR="00BD10E4" w:rsidRPr="00871EA6">
        <w:rPr>
          <w:color w:val="auto"/>
          <w:sz w:val="22"/>
          <w:szCs w:val="22"/>
          <w:lang w:val="en-US"/>
        </w:rPr>
        <w:t xml:space="preserve">on, if they are interpolated, </w:t>
      </w:r>
      <w:r w:rsidR="000472A4" w:rsidRPr="00871EA6">
        <w:rPr>
          <w:color w:val="auto"/>
          <w:sz w:val="22"/>
          <w:szCs w:val="22"/>
          <w:lang w:val="en-US"/>
        </w:rPr>
        <w:t>seasonally</w:t>
      </w:r>
      <w:r w:rsidR="00BD10E4" w:rsidRPr="00871EA6">
        <w:rPr>
          <w:color w:val="auto"/>
          <w:sz w:val="22"/>
          <w:szCs w:val="22"/>
          <w:lang w:val="en-US"/>
        </w:rPr>
        <w:t xml:space="preserve"> adjusted and their source</w:t>
      </w:r>
      <w:r w:rsidRPr="00871EA6">
        <w:rPr>
          <w:color w:val="auto"/>
          <w:sz w:val="22"/>
          <w:szCs w:val="22"/>
          <w:lang w:val="en-US"/>
        </w:rPr>
        <w:t>.</w:t>
      </w:r>
    </w:p>
    <w:p w:rsidR="00C24D23" w:rsidRPr="00871EA6" w:rsidRDefault="00C24D23" w:rsidP="000B2CC8">
      <w:pPr>
        <w:spacing w:line="240" w:lineRule="auto"/>
        <w:ind w:firstLine="425"/>
        <w:rPr>
          <w:sz w:val="22"/>
          <w:szCs w:val="22"/>
        </w:rPr>
      </w:pPr>
    </w:p>
    <w:p w:rsidR="00C24D23" w:rsidRPr="00871EA6" w:rsidRDefault="00C24D23" w:rsidP="000B2CC8">
      <w:pPr>
        <w:spacing w:line="240" w:lineRule="auto"/>
        <w:ind w:firstLine="425"/>
        <w:rPr>
          <w:color w:val="auto"/>
          <w:sz w:val="22"/>
          <w:szCs w:val="22"/>
          <w:lang w:val="en-US"/>
        </w:rPr>
      </w:pPr>
    </w:p>
    <w:p w:rsidR="00C24D23" w:rsidRPr="00871EA6" w:rsidRDefault="00C24D23" w:rsidP="000B2CC8">
      <w:pPr>
        <w:spacing w:line="240" w:lineRule="auto"/>
        <w:ind w:firstLine="425"/>
        <w:rPr>
          <w:color w:val="auto"/>
          <w:sz w:val="22"/>
          <w:szCs w:val="22"/>
          <w:lang w:val="en-US"/>
        </w:rPr>
      </w:pPr>
    </w:p>
    <w:p w:rsidR="00C24D23" w:rsidRPr="00871EA6" w:rsidRDefault="00C24D23" w:rsidP="000B2CC8">
      <w:pPr>
        <w:spacing w:line="240" w:lineRule="auto"/>
        <w:ind w:firstLine="425"/>
        <w:rPr>
          <w:color w:val="auto"/>
          <w:sz w:val="22"/>
          <w:szCs w:val="22"/>
          <w:lang w:val="en-US"/>
        </w:rPr>
      </w:pPr>
    </w:p>
    <w:p w:rsidR="00C24D23" w:rsidRPr="00871EA6" w:rsidRDefault="00C24D23" w:rsidP="000B2CC8">
      <w:pPr>
        <w:spacing w:line="240" w:lineRule="auto"/>
        <w:ind w:firstLine="425"/>
        <w:rPr>
          <w:color w:val="auto"/>
          <w:sz w:val="22"/>
          <w:szCs w:val="22"/>
          <w:lang w:val="en-US"/>
        </w:rPr>
      </w:pPr>
    </w:p>
    <w:p w:rsidR="00C24D23" w:rsidRPr="00871EA6" w:rsidRDefault="00C24D23" w:rsidP="000B2CC8">
      <w:pPr>
        <w:spacing w:line="240" w:lineRule="auto"/>
        <w:ind w:firstLine="425"/>
        <w:rPr>
          <w:color w:val="auto"/>
          <w:sz w:val="22"/>
          <w:szCs w:val="22"/>
          <w:lang w:val="en-US"/>
        </w:rPr>
      </w:pPr>
    </w:p>
    <w:p w:rsidR="000B2CC8" w:rsidRPr="00871EA6" w:rsidRDefault="000B2CC8" w:rsidP="000B2CC8">
      <w:pPr>
        <w:rPr>
          <w:b/>
          <w:noProof/>
        </w:rPr>
      </w:pPr>
      <w:r w:rsidRPr="00871EA6">
        <w:rPr>
          <w:b/>
          <w:noProof/>
        </w:rPr>
        <w:t xml:space="preserve">                                            </w:t>
      </w:r>
    </w:p>
    <w:p w:rsidR="003E095E" w:rsidRPr="00871EA6" w:rsidRDefault="005370BE" w:rsidP="003E095E">
      <w:pPr>
        <w:spacing w:after="100" w:line="240" w:lineRule="auto"/>
        <w:ind w:left="794" w:hanging="794"/>
        <w:jc w:val="left"/>
        <w:rPr>
          <w:color w:val="auto"/>
          <w:sz w:val="20"/>
          <w:szCs w:val="22"/>
          <w:lang w:val="en-US"/>
        </w:rPr>
      </w:pPr>
      <w:r>
        <w:rPr>
          <w:b/>
          <w:color w:val="auto"/>
          <w:sz w:val="20"/>
          <w:szCs w:val="22"/>
          <w:lang w:val="en-US"/>
        </w:rPr>
        <w:t>[</w:t>
      </w:r>
      <w:r w:rsidR="003E095E" w:rsidRPr="00871EA6">
        <w:rPr>
          <w:b/>
          <w:color w:val="auto"/>
          <w:sz w:val="20"/>
          <w:szCs w:val="22"/>
          <w:lang w:val="en-US"/>
        </w:rPr>
        <w:t>Table 2.</w:t>
      </w:r>
      <w:r w:rsidR="003E095E" w:rsidRPr="00871EA6">
        <w:rPr>
          <w:color w:val="auto"/>
          <w:sz w:val="20"/>
          <w:szCs w:val="22"/>
          <w:lang w:val="en-US"/>
        </w:rPr>
        <w:t xml:space="preserve"> </w:t>
      </w:r>
      <w:r w:rsidR="002A145C">
        <w:rPr>
          <w:color w:val="auto"/>
          <w:sz w:val="20"/>
          <w:szCs w:val="22"/>
          <w:lang w:val="en-US"/>
        </w:rPr>
        <w:t xml:space="preserve"> </w:t>
      </w:r>
      <w:r w:rsidR="002A145C" w:rsidRPr="00457ED3">
        <w:rPr>
          <w:b/>
          <w:color w:val="auto"/>
          <w:sz w:val="20"/>
          <w:szCs w:val="22"/>
          <w:lang w:val="en-US"/>
        </w:rPr>
        <w:t>Here</w:t>
      </w:r>
      <w:r w:rsidR="002A145C">
        <w:rPr>
          <w:color w:val="auto"/>
          <w:sz w:val="20"/>
          <w:szCs w:val="22"/>
          <w:lang w:val="en-US"/>
        </w:rPr>
        <w:t>]</w:t>
      </w:r>
      <w:r w:rsidR="003E095E" w:rsidRPr="00871EA6">
        <w:rPr>
          <w:color w:val="auto"/>
          <w:sz w:val="20"/>
          <w:szCs w:val="22"/>
          <w:lang w:val="en-US"/>
        </w:rPr>
        <w:tab/>
        <w:t xml:space="preserve"> </w:t>
      </w:r>
    </w:p>
    <w:p w:rsidR="003E095E" w:rsidRPr="00871EA6" w:rsidRDefault="003E095E" w:rsidP="003E095E">
      <w:pPr>
        <w:spacing w:after="100" w:line="240" w:lineRule="auto"/>
        <w:ind w:left="2016" w:hanging="2016"/>
        <w:jc w:val="left"/>
        <w:rPr>
          <w:color w:val="auto"/>
          <w:sz w:val="20"/>
          <w:szCs w:val="22"/>
          <w:lang w:val="en-US"/>
        </w:rPr>
      </w:pPr>
    </w:p>
    <w:p w:rsidR="003E095E" w:rsidRDefault="003E095E" w:rsidP="003E095E">
      <w:pPr>
        <w:spacing w:after="100" w:line="240" w:lineRule="auto"/>
        <w:ind w:left="794" w:hanging="794"/>
        <w:jc w:val="left"/>
        <w:rPr>
          <w:color w:val="auto"/>
          <w:sz w:val="16"/>
          <w:szCs w:val="16"/>
          <w:lang w:val="en-US"/>
        </w:rPr>
      </w:pPr>
    </w:p>
    <w:p w:rsidR="000B2CC8" w:rsidRPr="00871EA6" w:rsidRDefault="000B2CC8" w:rsidP="0063174D">
      <w:pPr>
        <w:spacing w:before="240" w:line="240" w:lineRule="auto"/>
        <w:ind w:firstLine="426"/>
        <w:rPr>
          <w:sz w:val="22"/>
          <w:szCs w:val="22"/>
        </w:rPr>
      </w:pPr>
      <w:r w:rsidRPr="00871EA6">
        <w:rPr>
          <w:sz w:val="22"/>
          <w:szCs w:val="22"/>
        </w:rPr>
        <w:t xml:space="preserve">After discussing the preferred estimation approach, a discussion of the results follows.  </w:t>
      </w:r>
    </w:p>
    <w:p w:rsidR="00C46DBA" w:rsidRPr="00871EA6" w:rsidRDefault="00C46DBA" w:rsidP="00C46DBA">
      <w:pPr>
        <w:pStyle w:val="Heading1"/>
        <w:keepNext w:val="0"/>
        <w:keepLines w:val="0"/>
        <w:numPr>
          <w:ilvl w:val="0"/>
          <w:numId w:val="0"/>
        </w:numPr>
        <w:tabs>
          <w:tab w:val="left" w:pos="2410"/>
          <w:tab w:val="right" w:pos="7144"/>
        </w:tabs>
        <w:spacing w:before="0" w:line="240" w:lineRule="auto"/>
        <w:ind w:left="426"/>
        <w:rPr>
          <w:i/>
          <w:color w:val="CC9900"/>
          <w:sz w:val="22"/>
          <w:szCs w:val="22"/>
          <w:lang w:val="en-US"/>
        </w:rPr>
      </w:pPr>
    </w:p>
    <w:p w:rsidR="00C46DBA" w:rsidRPr="00871EA6" w:rsidRDefault="00C46DBA" w:rsidP="00C46DBA">
      <w:pPr>
        <w:pStyle w:val="Heading1"/>
        <w:keepNext w:val="0"/>
        <w:keepLines w:val="0"/>
        <w:numPr>
          <w:ilvl w:val="0"/>
          <w:numId w:val="0"/>
        </w:numPr>
        <w:tabs>
          <w:tab w:val="left" w:pos="2410"/>
          <w:tab w:val="right" w:pos="7144"/>
        </w:tabs>
        <w:spacing w:before="0" w:line="240" w:lineRule="auto"/>
        <w:ind w:left="426"/>
        <w:rPr>
          <w:i/>
          <w:color w:val="CC9900"/>
          <w:sz w:val="22"/>
          <w:szCs w:val="22"/>
          <w:lang w:val="en-US"/>
        </w:rPr>
      </w:pPr>
    </w:p>
    <w:p w:rsidR="00C24D23" w:rsidRPr="00871EA6" w:rsidRDefault="00BB6298" w:rsidP="002A145C">
      <w:pPr>
        <w:pStyle w:val="Heading1"/>
        <w:keepNext w:val="0"/>
        <w:keepLines w:val="0"/>
        <w:numPr>
          <w:ilvl w:val="0"/>
          <w:numId w:val="0"/>
        </w:numPr>
        <w:tabs>
          <w:tab w:val="left" w:pos="2410"/>
          <w:tab w:val="right" w:pos="7144"/>
        </w:tabs>
        <w:spacing w:before="0" w:line="240" w:lineRule="auto"/>
        <w:ind w:left="426" w:hanging="426"/>
        <w:rPr>
          <w:i/>
          <w:color w:val="CC9900"/>
          <w:sz w:val="22"/>
          <w:szCs w:val="22"/>
          <w:lang w:val="en-US"/>
        </w:rPr>
      </w:pPr>
      <w:r w:rsidRPr="00871EA6">
        <w:rPr>
          <w:color w:val="auto"/>
          <w:sz w:val="24"/>
          <w:szCs w:val="22"/>
          <w:lang w:val="en-US"/>
        </w:rPr>
        <w:t xml:space="preserve">4. </w:t>
      </w:r>
      <w:r w:rsidR="00E7185D" w:rsidRPr="00871EA6">
        <w:rPr>
          <w:color w:val="auto"/>
          <w:sz w:val="24"/>
          <w:szCs w:val="22"/>
          <w:lang w:val="en-US"/>
        </w:rPr>
        <w:t xml:space="preserve">Research findings </w:t>
      </w:r>
      <w:r w:rsidR="00777A8F" w:rsidRPr="00871EA6">
        <w:rPr>
          <w:color w:val="auto"/>
          <w:sz w:val="24"/>
          <w:szCs w:val="22"/>
          <w:lang w:val="en-US"/>
        </w:rPr>
        <w:t>and discussion</w:t>
      </w:r>
      <w:r w:rsidR="00E7185D" w:rsidRPr="00871EA6">
        <w:rPr>
          <w:color w:val="auto"/>
          <w:sz w:val="24"/>
          <w:szCs w:val="22"/>
          <w:lang w:val="en-US"/>
        </w:rPr>
        <w:t xml:space="preserve">  </w:t>
      </w:r>
    </w:p>
    <w:p w:rsidR="008D0B4E" w:rsidRPr="00871EA6" w:rsidRDefault="00E7185D" w:rsidP="00C24D23">
      <w:pPr>
        <w:pStyle w:val="Heading1"/>
        <w:keepNext w:val="0"/>
        <w:keepLines w:val="0"/>
        <w:numPr>
          <w:ilvl w:val="0"/>
          <w:numId w:val="0"/>
        </w:numPr>
        <w:tabs>
          <w:tab w:val="left" w:pos="2410"/>
          <w:tab w:val="right" w:pos="7144"/>
        </w:tabs>
        <w:spacing w:before="0" w:line="240" w:lineRule="auto"/>
        <w:ind w:left="426"/>
        <w:rPr>
          <w:i/>
          <w:color w:val="CC9900"/>
          <w:sz w:val="22"/>
          <w:szCs w:val="22"/>
          <w:lang w:val="en-US"/>
        </w:rPr>
      </w:pPr>
      <w:r w:rsidRPr="00871EA6">
        <w:rPr>
          <w:color w:val="auto"/>
          <w:sz w:val="24"/>
          <w:szCs w:val="22"/>
          <w:lang w:val="en-US"/>
        </w:rPr>
        <w:t xml:space="preserve"> </w:t>
      </w:r>
    </w:p>
    <w:p w:rsidR="00473E52" w:rsidRPr="00871EA6" w:rsidRDefault="00473E52" w:rsidP="00473E52">
      <w:pPr>
        <w:spacing w:line="290" w:lineRule="atLeast"/>
        <w:ind w:firstLine="425"/>
        <w:rPr>
          <w:color w:val="auto"/>
          <w:sz w:val="22"/>
          <w:szCs w:val="22"/>
          <w:lang w:val="en-US"/>
        </w:rPr>
      </w:pPr>
      <w:r w:rsidRPr="00871EA6">
        <w:rPr>
          <w:color w:val="auto"/>
          <w:sz w:val="22"/>
          <w:szCs w:val="22"/>
          <w:lang w:val="en-US"/>
        </w:rPr>
        <w:t xml:space="preserve">The Breusch-Pagan test assesses the contemporaneous covariance independence between the error terms and provides evidence in support of contemporaneous cross-sectional correlation among the error terms, meaning that there is an efficiency gain from employing the SUR method. Additionally, the correlation matrix of the Breusch-Pagan test provides evidence in support of the idea that there are common and linked systematic unobservables associated with both, excess liquidity and the output gap. The results (Table 3) indicate that the SUR model can explain some of the determinants of excess liquidity and the output gap, especially for Kosovo and Estonia. The results for the overall country-specific equations indicate that the model has strong explanatory power, even though the statistical significance of the separate variables are weak or insignificant. The joint-significance results indicate that 10 out of the 13 regressors in the model are jointly significant at conventional levels of significance. This may be a sign of multicollinearity in the data. </w:t>
      </w:r>
    </w:p>
    <w:p w:rsidR="00473E52" w:rsidRPr="00871EA6" w:rsidRDefault="00473E52" w:rsidP="00473E52">
      <w:pPr>
        <w:spacing w:line="290" w:lineRule="atLeast"/>
        <w:ind w:firstLine="425"/>
        <w:rPr>
          <w:color w:val="auto"/>
          <w:sz w:val="22"/>
          <w:szCs w:val="22"/>
          <w:lang w:val="en-US"/>
        </w:rPr>
      </w:pPr>
    </w:p>
    <w:p w:rsidR="006C46D1" w:rsidRPr="00871EA6" w:rsidRDefault="006C46D1" w:rsidP="00861F57">
      <w:pPr>
        <w:spacing w:after="100" w:line="240" w:lineRule="auto"/>
        <w:ind w:left="794" w:hanging="794"/>
        <w:jc w:val="left"/>
        <w:rPr>
          <w:b/>
          <w:color w:val="auto"/>
          <w:sz w:val="20"/>
          <w:szCs w:val="22"/>
          <w:lang w:val="en-US"/>
        </w:rPr>
      </w:pPr>
    </w:p>
    <w:p w:rsidR="006C46D1" w:rsidRPr="00871EA6" w:rsidRDefault="006C46D1" w:rsidP="00861F57">
      <w:pPr>
        <w:spacing w:after="100" w:line="240" w:lineRule="auto"/>
        <w:ind w:left="794" w:hanging="794"/>
        <w:jc w:val="left"/>
        <w:rPr>
          <w:b/>
          <w:color w:val="auto"/>
          <w:sz w:val="20"/>
          <w:szCs w:val="22"/>
          <w:lang w:val="en-US"/>
        </w:rPr>
      </w:pPr>
    </w:p>
    <w:p w:rsidR="00861F57" w:rsidRPr="00871EA6" w:rsidRDefault="002A145C" w:rsidP="006C46D1">
      <w:pPr>
        <w:spacing w:after="100" w:line="240" w:lineRule="auto"/>
        <w:ind w:left="2016" w:hanging="2016"/>
        <w:jc w:val="left"/>
        <w:rPr>
          <w:color w:val="auto"/>
          <w:sz w:val="20"/>
          <w:szCs w:val="22"/>
          <w:lang w:val="en-US"/>
        </w:rPr>
      </w:pPr>
      <w:r>
        <w:rPr>
          <w:b/>
          <w:color w:val="auto"/>
          <w:sz w:val="20"/>
          <w:szCs w:val="22"/>
          <w:lang w:val="en-US"/>
        </w:rPr>
        <w:t>[</w:t>
      </w:r>
      <w:r w:rsidR="00861F57" w:rsidRPr="00871EA6">
        <w:rPr>
          <w:b/>
          <w:color w:val="auto"/>
          <w:sz w:val="20"/>
          <w:szCs w:val="22"/>
          <w:lang w:val="en-US"/>
        </w:rPr>
        <w:t xml:space="preserve">Table </w:t>
      </w:r>
      <w:r w:rsidR="006C46D1" w:rsidRPr="00871EA6">
        <w:rPr>
          <w:b/>
          <w:color w:val="auto"/>
          <w:sz w:val="20"/>
          <w:szCs w:val="22"/>
          <w:lang w:val="en-US"/>
        </w:rPr>
        <w:t>3</w:t>
      </w:r>
      <w:r w:rsidR="00861F57" w:rsidRPr="00871EA6">
        <w:rPr>
          <w:b/>
          <w:color w:val="auto"/>
          <w:sz w:val="20"/>
          <w:szCs w:val="22"/>
          <w:lang w:val="en-US"/>
        </w:rPr>
        <w:t xml:space="preserve">. </w:t>
      </w:r>
      <w:r>
        <w:rPr>
          <w:b/>
          <w:color w:val="auto"/>
          <w:sz w:val="20"/>
          <w:szCs w:val="22"/>
          <w:lang w:val="en-US"/>
        </w:rPr>
        <w:t>Here]</w:t>
      </w:r>
    </w:p>
    <w:p w:rsidR="00861F57" w:rsidRPr="00871EA6" w:rsidRDefault="00861F57" w:rsidP="00861F57">
      <w:pPr>
        <w:spacing w:after="100" w:line="240" w:lineRule="auto"/>
        <w:ind w:left="794" w:hanging="794"/>
        <w:jc w:val="left"/>
        <w:rPr>
          <w:color w:val="auto"/>
          <w:sz w:val="20"/>
          <w:szCs w:val="22"/>
          <w:lang w:val="en-US"/>
        </w:rPr>
      </w:pPr>
    </w:p>
    <w:p w:rsidR="00473E52" w:rsidRPr="00871EA6" w:rsidRDefault="00473E52" w:rsidP="00473E52">
      <w:pPr>
        <w:spacing w:line="290" w:lineRule="atLeast"/>
        <w:ind w:firstLine="425"/>
        <w:rPr>
          <w:color w:val="auto"/>
          <w:sz w:val="22"/>
          <w:szCs w:val="22"/>
          <w:lang w:val="en-US"/>
        </w:rPr>
      </w:pPr>
    </w:p>
    <w:p w:rsidR="00473E52" w:rsidRPr="00871EA6" w:rsidRDefault="00473E52" w:rsidP="00473E52">
      <w:pPr>
        <w:spacing w:line="290" w:lineRule="atLeast"/>
        <w:ind w:firstLine="425"/>
        <w:rPr>
          <w:color w:val="auto"/>
          <w:sz w:val="22"/>
          <w:szCs w:val="22"/>
          <w:lang w:val="en-US"/>
        </w:rPr>
      </w:pPr>
      <w:r w:rsidRPr="00871EA6">
        <w:rPr>
          <w:color w:val="auto"/>
          <w:sz w:val="22"/>
          <w:szCs w:val="22"/>
          <w:lang w:val="en-US"/>
        </w:rPr>
        <w:t xml:space="preserve">With </w:t>
      </w:r>
      <w:r w:rsidR="003D4F9A" w:rsidRPr="00871EA6">
        <w:rPr>
          <w:sz w:val="22"/>
          <w:szCs w:val="22"/>
        </w:rPr>
        <w:t xml:space="preserve">regard to the determinants of precautionary excess liquidity, more variables appear to be significant in Estonia and Kosovo than in the Czech Republic (where none of the explanatory variables turned out to have a statistically significant impact). As expected, the reserve requirement ratio </w:t>
      </w:r>
      <w:r w:rsidR="00BB6298" w:rsidRPr="00871EA6">
        <w:rPr>
          <w:sz w:val="22"/>
          <w:szCs w:val="22"/>
        </w:rPr>
        <w:t>(</w:t>
      </w:r>
      <w:r w:rsidR="00BB6298" w:rsidRPr="00871EA6">
        <w:rPr>
          <w:i/>
          <w:sz w:val="22"/>
          <w:szCs w:val="22"/>
        </w:rPr>
        <w:t>rrr</w:t>
      </w:r>
      <w:r w:rsidR="00BB6298" w:rsidRPr="00871EA6">
        <w:rPr>
          <w:sz w:val="22"/>
          <w:szCs w:val="22"/>
        </w:rPr>
        <w:t>)</w:t>
      </w:r>
      <w:r w:rsidR="00C24D23" w:rsidRPr="00871EA6">
        <w:rPr>
          <w:sz w:val="22"/>
          <w:szCs w:val="22"/>
        </w:rPr>
        <w:t xml:space="preserve"> </w:t>
      </w:r>
      <w:r w:rsidR="003D4F9A" w:rsidRPr="00871EA6">
        <w:rPr>
          <w:sz w:val="22"/>
          <w:szCs w:val="22"/>
        </w:rPr>
        <w:t xml:space="preserve">appears with a negative coefficient for all three countries, which is in line with the theory suggesting that rising the reserve ratio (which are typically non-remunerated in these countries), also raises the overall cost of holding reserves and thus may induce banks to reduce their precautionary holdings of excess liquidity. However, this variable is significant only in the case of Estonia, which may be plausible because this ratio was unchanged throughout the period for the Czech Republic and Kosovo. There were two policy induced changes in the </w:t>
      </w:r>
      <w:r w:rsidR="00BB6298" w:rsidRPr="00871EA6">
        <w:rPr>
          <w:i/>
          <w:sz w:val="22"/>
          <w:szCs w:val="22"/>
        </w:rPr>
        <w:t>rrr</w:t>
      </w:r>
      <w:r w:rsidR="00BB6298" w:rsidRPr="00871EA6">
        <w:rPr>
          <w:sz w:val="22"/>
          <w:szCs w:val="22"/>
        </w:rPr>
        <w:t xml:space="preserve"> </w:t>
      </w:r>
      <w:r w:rsidR="003D4F9A" w:rsidRPr="00871EA6">
        <w:rPr>
          <w:sz w:val="22"/>
          <w:szCs w:val="22"/>
        </w:rPr>
        <w:t xml:space="preserve">in Estonia. The first one associated with an increasing concern with maintaining the stability of the financial system is likely to have caused increases in the </w:t>
      </w:r>
      <w:r w:rsidR="00BB6298" w:rsidRPr="00871EA6">
        <w:rPr>
          <w:i/>
          <w:sz w:val="22"/>
          <w:szCs w:val="22"/>
        </w:rPr>
        <w:t>rrr</w:t>
      </w:r>
      <w:r w:rsidR="00BB6298" w:rsidRPr="00871EA6" w:rsidDel="00BB6298">
        <w:rPr>
          <w:sz w:val="22"/>
          <w:szCs w:val="22"/>
        </w:rPr>
        <w:t xml:space="preserve"> </w:t>
      </w:r>
      <w:r w:rsidR="003D4F9A" w:rsidRPr="00871EA6">
        <w:rPr>
          <w:sz w:val="22"/>
          <w:szCs w:val="22"/>
        </w:rPr>
        <w:t>for prudential reasons at the beginning of 2007; the second one more of a gradual shift towards converging with the ECB reserve ratio of two</w:t>
      </w:r>
      <w:r w:rsidR="00684C78" w:rsidRPr="00871EA6">
        <w:rPr>
          <w:sz w:val="22"/>
          <w:szCs w:val="22"/>
        </w:rPr>
        <w:t xml:space="preserve"> </w:t>
      </w:r>
      <w:r w:rsidRPr="00871EA6">
        <w:rPr>
          <w:color w:val="auto"/>
          <w:sz w:val="22"/>
          <w:szCs w:val="22"/>
          <w:lang w:val="en-US"/>
        </w:rPr>
        <w:t xml:space="preserve">percent. </w:t>
      </w:r>
    </w:p>
    <w:p w:rsidR="00473E52" w:rsidRPr="00871EA6" w:rsidRDefault="00473E52" w:rsidP="00473E52">
      <w:pPr>
        <w:spacing w:line="290" w:lineRule="atLeast"/>
        <w:ind w:firstLine="425"/>
        <w:rPr>
          <w:color w:val="auto"/>
          <w:sz w:val="22"/>
          <w:szCs w:val="22"/>
          <w:lang w:val="en-US"/>
        </w:rPr>
      </w:pPr>
    </w:p>
    <w:p w:rsidR="00473E52" w:rsidRPr="00871EA6" w:rsidRDefault="00473E52" w:rsidP="00473E52">
      <w:pPr>
        <w:spacing w:line="290" w:lineRule="atLeast"/>
        <w:ind w:firstLine="425"/>
        <w:rPr>
          <w:color w:val="auto"/>
          <w:sz w:val="22"/>
          <w:szCs w:val="22"/>
          <w:lang w:val="en-US"/>
        </w:rPr>
      </w:pPr>
      <w:r w:rsidRPr="00871EA6">
        <w:rPr>
          <w:color w:val="auto"/>
          <w:sz w:val="22"/>
          <w:szCs w:val="22"/>
          <w:lang w:val="en-US"/>
        </w:rPr>
        <w:t xml:space="preserve">The </w:t>
      </w:r>
      <w:r w:rsidR="003D4F9A" w:rsidRPr="00871EA6">
        <w:rPr>
          <w:sz w:val="22"/>
          <w:szCs w:val="22"/>
        </w:rPr>
        <w:t>deposit interest rate (</w:t>
      </w:r>
      <w:r w:rsidR="003D4F9A" w:rsidRPr="00871EA6">
        <w:rPr>
          <w:i/>
          <w:sz w:val="22"/>
          <w:szCs w:val="22"/>
        </w:rPr>
        <w:t>idep</w:t>
      </w:r>
      <w:r w:rsidR="003D4F9A" w:rsidRPr="00871EA6">
        <w:rPr>
          <w:sz w:val="22"/>
          <w:szCs w:val="22"/>
        </w:rPr>
        <w:t xml:space="preserve">), approximating the funding costs of the banks, also appears to have reduced uniformly the precautionary excess liquidity, however it is statistically significant for Kosovo only. A one percentage point (pp) increase in the deposit interest rate would reduce the change in precautionary excess liquidity by 1.6 pp. This is not in line with orthodox theory suggesting that, ceteris paribus, when funding costs increase, banks are expected to hold larger amounts of excess reserves to prevent liquidity shortages. As noted above, banks in ETEs typically relied heavily on their domestic deposits as their main funding source. While deposit interest rates were relatively lower in the Czech Republic and Estonia, in Kosovo they sometimes reached 5 percent and thus may be considered to be relatively costly. Thus, orthodox theory may not necessarily explain the behaviour of excess liquidity with regard to the funding costs in ETEs. If the cost of acquiring liabilities increases, then the quantity acquired should fall because banks would rather use up their own excess funds to finance loans or other investments. The insignificant and low coefficients on changes of deposit interest rates for the Czech Republic and Estonia may reflect, amongst other factors, the convergence process of interest rates in the </w:t>
      </w:r>
      <w:r w:rsidR="00BB6298" w:rsidRPr="00871EA6">
        <w:rPr>
          <w:sz w:val="22"/>
          <w:szCs w:val="22"/>
        </w:rPr>
        <w:t>e</w:t>
      </w:r>
      <w:r w:rsidR="003D4F9A" w:rsidRPr="00871EA6">
        <w:rPr>
          <w:sz w:val="22"/>
          <w:szCs w:val="22"/>
        </w:rPr>
        <w:t>urozone. This may imply that deposit interest rates reflect low funding costs. The volatility of credit (</w:t>
      </w:r>
      <w:r w:rsidR="003D4F9A" w:rsidRPr="00871EA6">
        <w:rPr>
          <w:i/>
          <w:sz w:val="22"/>
          <w:szCs w:val="22"/>
        </w:rPr>
        <w:t>Volcred</w:t>
      </w:r>
      <w:r w:rsidR="003D4F9A" w:rsidRPr="00871EA6">
        <w:rPr>
          <w:sz w:val="22"/>
          <w:szCs w:val="22"/>
        </w:rPr>
        <w:t xml:space="preserve">) appears </w:t>
      </w:r>
      <w:r w:rsidR="007A6026" w:rsidRPr="00871EA6">
        <w:rPr>
          <w:sz w:val="22"/>
          <w:szCs w:val="22"/>
        </w:rPr>
        <w:t xml:space="preserve">to have no </w:t>
      </w:r>
      <w:r w:rsidR="003D4F9A" w:rsidRPr="00871EA6">
        <w:rPr>
          <w:sz w:val="22"/>
          <w:szCs w:val="22"/>
        </w:rPr>
        <w:t>significant impact on the precautionary excess liquidity. The volatility of deposits (</w:t>
      </w:r>
      <w:r w:rsidR="003D4F9A" w:rsidRPr="00871EA6">
        <w:rPr>
          <w:i/>
          <w:sz w:val="22"/>
          <w:szCs w:val="22"/>
        </w:rPr>
        <w:t>VolDep</w:t>
      </w:r>
      <w:r w:rsidR="003D4F9A" w:rsidRPr="00871EA6">
        <w:rPr>
          <w:sz w:val="22"/>
          <w:szCs w:val="22"/>
        </w:rPr>
        <w:t xml:space="preserve">) is significant only for Kosovo. The negative coefficient is not in line with theory suggesting that as volatility of deposits increases banks act to insure themselves against shortfalls in liquidity by increasing the precautionary excess liquidity. </w:t>
      </w:r>
      <w:r w:rsidR="007A6026" w:rsidRPr="00871EA6">
        <w:rPr>
          <w:sz w:val="22"/>
          <w:szCs w:val="22"/>
        </w:rPr>
        <w:t>However</w:t>
      </w:r>
      <w:r w:rsidR="003D4F9A" w:rsidRPr="00871EA6">
        <w:rPr>
          <w:sz w:val="22"/>
          <w:szCs w:val="22"/>
        </w:rPr>
        <w:t xml:space="preserve">, Saxegaard (2006) also reports a negative coefficient on this variable. A 1 pp change in the volatility of deposits, ceteris paribus, would reduce the change in precautionary excess liquidity by 1.4 pp, implying that banks in Kosovo </w:t>
      </w:r>
      <w:r w:rsidR="003D4F9A" w:rsidRPr="00871EA6">
        <w:rPr>
          <w:rFonts w:ascii="TimesNewRomanPSMT" w:hAnsi="TimesNewRomanPSMT" w:cs="TimesNewRomanPSMT"/>
          <w:sz w:val="22"/>
          <w:szCs w:val="22"/>
          <w:lang w:val="en-US" w:eastAsia="hr-HR"/>
        </w:rPr>
        <w:t xml:space="preserve">try to protect themselves from sudden surges in the demand for cash </w:t>
      </w:r>
      <w:r w:rsidR="003D4F9A" w:rsidRPr="00871EA6">
        <w:rPr>
          <w:sz w:val="22"/>
          <w:szCs w:val="22"/>
        </w:rPr>
        <w:t>when deposits are more volatile and less predictable. The volatility of the growth rate (</w:t>
      </w:r>
      <w:r w:rsidR="003D4F9A" w:rsidRPr="00871EA6">
        <w:rPr>
          <w:i/>
          <w:sz w:val="22"/>
          <w:szCs w:val="22"/>
        </w:rPr>
        <w:t>Volgdp</w:t>
      </w:r>
      <w:r w:rsidR="003D4F9A" w:rsidRPr="00871EA6">
        <w:rPr>
          <w:sz w:val="22"/>
          <w:szCs w:val="22"/>
        </w:rPr>
        <w:t xml:space="preserve">) is only significant in the case of Kosovo and the coefficient has the expected sign. A one unit increase in the volatility of growth rate, ceteris paribus, would increase the insecurity regarding the economic performance thus increase the change in precautionary excess liquidity by </w:t>
      </w:r>
      <w:r w:rsidRPr="00871EA6">
        <w:rPr>
          <w:color w:val="auto"/>
          <w:sz w:val="22"/>
          <w:szCs w:val="22"/>
          <w:lang w:val="en-US"/>
        </w:rPr>
        <w:t xml:space="preserve">0.9 pp. </w:t>
      </w:r>
    </w:p>
    <w:p w:rsidR="00473E52" w:rsidRPr="00871EA6" w:rsidRDefault="00473E52" w:rsidP="00473E52">
      <w:pPr>
        <w:spacing w:line="290" w:lineRule="atLeast"/>
        <w:ind w:firstLine="425"/>
        <w:rPr>
          <w:color w:val="auto"/>
          <w:sz w:val="22"/>
          <w:szCs w:val="22"/>
          <w:lang w:val="en-US"/>
        </w:rPr>
      </w:pPr>
    </w:p>
    <w:p w:rsidR="00473E52" w:rsidRPr="00871EA6" w:rsidRDefault="00473E52" w:rsidP="00473E52">
      <w:pPr>
        <w:spacing w:line="290" w:lineRule="atLeast"/>
        <w:ind w:firstLine="425"/>
        <w:rPr>
          <w:color w:val="auto"/>
          <w:sz w:val="22"/>
          <w:szCs w:val="22"/>
          <w:lang w:val="en-US"/>
        </w:rPr>
      </w:pPr>
      <w:r w:rsidRPr="00871EA6">
        <w:rPr>
          <w:color w:val="auto"/>
          <w:sz w:val="22"/>
          <w:szCs w:val="22"/>
          <w:lang w:val="en-US"/>
        </w:rPr>
        <w:t xml:space="preserve">The </w:t>
      </w:r>
      <w:r w:rsidR="0041137D" w:rsidRPr="00871EA6">
        <w:rPr>
          <w:sz w:val="22"/>
          <w:szCs w:val="22"/>
        </w:rPr>
        <w:t>changes in non-performing loans ratio (</w:t>
      </w:r>
      <w:r w:rsidR="0041137D" w:rsidRPr="00871EA6">
        <w:rPr>
          <w:i/>
          <w:sz w:val="22"/>
          <w:szCs w:val="22"/>
        </w:rPr>
        <w:t>NPLs</w:t>
      </w:r>
      <w:r w:rsidR="0041137D" w:rsidRPr="00871EA6">
        <w:rPr>
          <w:sz w:val="22"/>
          <w:szCs w:val="22"/>
        </w:rPr>
        <w:t xml:space="preserve">), approximating a risk measure for banks, is statistically significant in the Estonia and Kosovo cases, nevertheless, the respective coefficients have opposite signs. As expected, a one pp increase in the change of NPL rate would, ceteris paribus, induce banks to increase the change in precautionary excess liquidity ratio in Kosovo by 0.4 pp. In Estonia, the change in the NPL ratio would, other things being equal, reduce the increase in precautionary excess liquidity by 2.9 pp. This finding is not in line with expectations, since higher NPLs reduce the expected income of banks thus inducing them to lend less and hold more excess reserves. One explanation may be weak liquidity management skills (Murthi et al., 1996) and a failure to properly monitor and screen loan applications. Secondly, regardless of the rising NPLs which may also reflect past decisions on the issuance of the loans that appear in current financial reports of the banks, deposit flows have been lower post-crisis, so banks have had to use their own excess funds </w:t>
      </w:r>
      <w:r w:rsidR="007E357B" w:rsidRPr="00871EA6">
        <w:rPr>
          <w:sz w:val="22"/>
          <w:szCs w:val="22"/>
        </w:rPr>
        <w:t xml:space="preserve">to expand lending. </w:t>
      </w:r>
      <w:r w:rsidR="0041137D" w:rsidRPr="00871EA6">
        <w:rPr>
          <w:sz w:val="22"/>
          <w:szCs w:val="22"/>
        </w:rPr>
        <w:t>The changes in the ratio of equity to assets (</w:t>
      </w:r>
      <w:r w:rsidR="0041137D" w:rsidRPr="00871EA6">
        <w:rPr>
          <w:i/>
          <w:sz w:val="22"/>
          <w:szCs w:val="22"/>
        </w:rPr>
        <w:t>Eq</w:t>
      </w:r>
      <w:r w:rsidR="0041137D" w:rsidRPr="00871EA6">
        <w:rPr>
          <w:sz w:val="22"/>
          <w:szCs w:val="22"/>
        </w:rPr>
        <w:t>) appear to induce banks to hold less precautionary excess liquidity, although significant only for Kosovo. This finding is in line with expectations since equity already serves as a precautionary buffer, albeit for longer term obligations. Meanwhile, additional equity requirements are policy-induced restrictions on the banks, i.e. restricted funds that banks cannot use for doing business, so they also represent additional costs. Therefore, when required to increase the</w:t>
      </w:r>
      <w:r w:rsidR="007A6026" w:rsidRPr="00871EA6">
        <w:rPr>
          <w:sz w:val="22"/>
          <w:szCs w:val="22"/>
        </w:rPr>
        <w:t>ir</w:t>
      </w:r>
      <w:r w:rsidR="0041137D" w:rsidRPr="00871EA6">
        <w:rPr>
          <w:sz w:val="22"/>
          <w:szCs w:val="22"/>
        </w:rPr>
        <w:t xml:space="preserve"> equity to assets ratio, banks may want to hold less precautionary excess reserves. Finally, the year dummies controlling for the common shocks across countries are significant in the two countries severely hit by the financial crisis in 2008, the Czech Republic and especially Estonia. In 2008, the positive year dummy coefficients indicate that banks in the Czech Republic and Estonia accumulated more precautionary excess liquidity as compared to the benchmark year of 2004. Also, 2012 and 2013 appear significant having in mind that they represent periods of stagnation following a recuperating period</w:t>
      </w:r>
      <w:r w:rsidRPr="00871EA6">
        <w:rPr>
          <w:color w:val="auto"/>
          <w:sz w:val="22"/>
          <w:szCs w:val="22"/>
          <w:lang w:val="en-US"/>
        </w:rPr>
        <w:t xml:space="preserve">. </w:t>
      </w:r>
    </w:p>
    <w:p w:rsidR="00473E52" w:rsidRPr="00871EA6" w:rsidRDefault="00473E52" w:rsidP="00473E52">
      <w:pPr>
        <w:spacing w:line="290" w:lineRule="atLeast"/>
        <w:ind w:firstLine="425"/>
        <w:rPr>
          <w:color w:val="auto"/>
          <w:sz w:val="22"/>
          <w:szCs w:val="22"/>
          <w:lang w:val="en-US"/>
        </w:rPr>
      </w:pPr>
    </w:p>
    <w:p w:rsidR="00473E52" w:rsidRPr="00871EA6" w:rsidRDefault="00473E52" w:rsidP="00473E52">
      <w:pPr>
        <w:spacing w:line="290" w:lineRule="atLeast"/>
        <w:ind w:firstLine="425"/>
        <w:rPr>
          <w:color w:val="auto"/>
          <w:sz w:val="22"/>
          <w:szCs w:val="22"/>
          <w:lang w:val="en-US"/>
        </w:rPr>
      </w:pPr>
      <w:r w:rsidRPr="00871EA6">
        <w:rPr>
          <w:color w:val="auto"/>
          <w:sz w:val="22"/>
          <w:szCs w:val="22"/>
          <w:lang w:val="en-US"/>
        </w:rPr>
        <w:t xml:space="preserve">The </w:t>
      </w:r>
      <w:r w:rsidR="0041137D" w:rsidRPr="00871EA6">
        <w:rPr>
          <w:sz w:val="22"/>
          <w:szCs w:val="22"/>
        </w:rPr>
        <w:t>determinants of involuntary excess liquidity seem to have a higher impact on the behaviour of excess liquidity for the Czech Republic than in the other two countries (CZ (2) in Table 3).  The change of deposits to GDP ratio (</w:t>
      </w:r>
      <w:r w:rsidR="0041137D" w:rsidRPr="00871EA6">
        <w:rPr>
          <w:i/>
          <w:sz w:val="22"/>
          <w:szCs w:val="22"/>
        </w:rPr>
        <w:t>Dep</w:t>
      </w:r>
      <w:r w:rsidR="0041137D" w:rsidRPr="00871EA6">
        <w:rPr>
          <w:sz w:val="22"/>
          <w:szCs w:val="22"/>
        </w:rPr>
        <w:t>) appears to negatively impact the excess liquidity to assets ratio in all three countries, even though this impact is statistically significant only in the case of the Czech Republic. A one pp change in deposits to GDP ratio reduces the change in involuntary excess liquidity ratio by 0.09 pp. This finding is not in line with theory suggesting that an increase in deposits is thought to reflect in an increase of involuntary excess liquidity. The government deposits to GDP ratios (</w:t>
      </w:r>
      <w:r w:rsidR="0041137D" w:rsidRPr="00871EA6">
        <w:rPr>
          <w:i/>
          <w:sz w:val="22"/>
          <w:szCs w:val="22"/>
        </w:rPr>
        <w:t>Govdep</w:t>
      </w:r>
      <w:r w:rsidR="0041137D" w:rsidRPr="00871EA6">
        <w:rPr>
          <w:sz w:val="22"/>
          <w:szCs w:val="22"/>
        </w:rPr>
        <w:t>) are statistically insignificant in all three countries. This may be due to the government deposits being much lower than overall deposits and thus having an insignificant impact. The effect of a change in the credit to GDP ratio (</w:t>
      </w:r>
      <w:r w:rsidR="0041137D" w:rsidRPr="00871EA6">
        <w:rPr>
          <w:i/>
          <w:sz w:val="22"/>
          <w:szCs w:val="22"/>
        </w:rPr>
        <w:t>Cred</w:t>
      </w:r>
      <w:r w:rsidR="0041137D" w:rsidRPr="00871EA6">
        <w:rPr>
          <w:sz w:val="22"/>
          <w:szCs w:val="22"/>
        </w:rPr>
        <w:t xml:space="preserve">) also has a statistically insignificant effect on the accumulation for the changes of involuntary excess liquidity to assets ratio in all three countries. Even though </w:t>
      </w:r>
      <w:r w:rsidR="0041137D" w:rsidRPr="00871EA6">
        <w:rPr>
          <w:i/>
          <w:sz w:val="22"/>
          <w:szCs w:val="22"/>
        </w:rPr>
        <w:t>Cred</w:t>
      </w:r>
      <w:r w:rsidR="0041137D" w:rsidRPr="00871EA6">
        <w:rPr>
          <w:sz w:val="22"/>
          <w:szCs w:val="22"/>
        </w:rPr>
        <w:t xml:space="preserve"> is the only common variable linking excess liquidity with the output gap, its impact does not appear to be dominant in explaining the accumulation or reduction of the involuntary excess liquidity. As will be discussed below, this may partially be due to other external factors influencing the whole system. The estimated results also indicate an insignificant impact with regard to the loan interest rate (</w:t>
      </w:r>
      <w:r w:rsidR="0041137D" w:rsidRPr="00871EA6">
        <w:rPr>
          <w:i/>
          <w:sz w:val="22"/>
          <w:szCs w:val="22"/>
        </w:rPr>
        <w:t>iloan</w:t>
      </w:r>
      <w:r w:rsidR="0041137D" w:rsidRPr="00871EA6">
        <w:rPr>
          <w:sz w:val="22"/>
          <w:szCs w:val="22"/>
        </w:rPr>
        <w:t>).</w:t>
      </w:r>
      <w:r w:rsidR="0041137D" w:rsidRPr="00871EA6">
        <w:rPr>
          <w:rStyle w:val="FootnoteReference"/>
          <w:sz w:val="22"/>
          <w:szCs w:val="22"/>
        </w:rPr>
        <w:footnoteReference w:id="3"/>
      </w:r>
      <w:r w:rsidR="0041137D" w:rsidRPr="00871EA6">
        <w:rPr>
          <w:sz w:val="22"/>
          <w:szCs w:val="22"/>
        </w:rPr>
        <w:t xml:space="preserve"> The FDI to GDP ratio (</w:t>
      </w:r>
      <w:r w:rsidR="0041137D" w:rsidRPr="00871EA6">
        <w:rPr>
          <w:i/>
          <w:sz w:val="22"/>
          <w:szCs w:val="22"/>
        </w:rPr>
        <w:t>FDI</w:t>
      </w:r>
      <w:r w:rsidR="0041137D" w:rsidRPr="00871EA6">
        <w:rPr>
          <w:sz w:val="22"/>
          <w:szCs w:val="22"/>
        </w:rPr>
        <w:t xml:space="preserve">) is highly significant for </w:t>
      </w:r>
      <w:r w:rsidR="00154DFE" w:rsidRPr="00871EA6">
        <w:rPr>
          <w:sz w:val="22"/>
          <w:szCs w:val="22"/>
        </w:rPr>
        <w:t xml:space="preserve">the </w:t>
      </w:r>
      <w:r w:rsidR="0041137D" w:rsidRPr="00871EA6">
        <w:rPr>
          <w:sz w:val="22"/>
          <w:szCs w:val="22"/>
        </w:rPr>
        <w:t>Czech Republic and Estonia, but insignificant for Kosovo. This result is to be expected, because the FDI inflows represent a more important funding source in the former two countries. A one pp increase in the FDI inflows to GDP ratio would increase the changes in involuntary excess liquidity by 0.35 pp in the Czech Republic, while decreasing it in Estonia by 0.19 pp, ceteris paribus. In the case of Estonia this result may be picking up the after-crisis behaviour when the FDI inflows reduced</w:t>
      </w:r>
      <w:r w:rsidR="0041137D" w:rsidRPr="00871EA6">
        <w:rPr>
          <w:color w:val="auto"/>
          <w:sz w:val="22"/>
          <w:szCs w:val="22"/>
          <w:lang w:val="en-US"/>
        </w:rPr>
        <w:t xml:space="preserve"> drastically.</w:t>
      </w:r>
      <w:r w:rsidR="0041137D" w:rsidRPr="00871EA6">
        <w:rPr>
          <w:rStyle w:val="FootnoteReference"/>
          <w:sz w:val="22"/>
          <w:szCs w:val="22"/>
        </w:rPr>
        <w:footnoteReference w:id="4"/>
      </w:r>
    </w:p>
    <w:p w:rsidR="00473E52" w:rsidRPr="00871EA6" w:rsidRDefault="00473E52" w:rsidP="00473E52">
      <w:pPr>
        <w:spacing w:line="290" w:lineRule="atLeast"/>
        <w:ind w:firstLine="425"/>
        <w:rPr>
          <w:color w:val="auto"/>
          <w:sz w:val="22"/>
          <w:szCs w:val="22"/>
          <w:lang w:val="en-US"/>
        </w:rPr>
      </w:pPr>
    </w:p>
    <w:p w:rsidR="00473E52" w:rsidRPr="00871EA6" w:rsidRDefault="00473E52" w:rsidP="00473E52">
      <w:pPr>
        <w:spacing w:line="290" w:lineRule="atLeast"/>
        <w:ind w:firstLine="425"/>
        <w:rPr>
          <w:color w:val="auto"/>
          <w:sz w:val="22"/>
          <w:szCs w:val="22"/>
          <w:lang w:val="en-US"/>
        </w:rPr>
      </w:pPr>
      <w:r w:rsidRPr="00871EA6">
        <w:rPr>
          <w:color w:val="auto"/>
          <w:sz w:val="22"/>
          <w:szCs w:val="22"/>
          <w:lang w:val="en-US"/>
        </w:rPr>
        <w:t xml:space="preserve">Considering </w:t>
      </w:r>
      <w:r w:rsidR="0041137D" w:rsidRPr="00871EA6">
        <w:rPr>
          <w:sz w:val="22"/>
          <w:szCs w:val="22"/>
        </w:rPr>
        <w:t>the likely importance of a rule of law index (</w:t>
      </w:r>
      <w:r w:rsidR="0041137D" w:rsidRPr="00871EA6">
        <w:rPr>
          <w:i/>
          <w:sz w:val="22"/>
          <w:szCs w:val="22"/>
        </w:rPr>
        <w:t>RLI</w:t>
      </w:r>
      <w:r w:rsidR="0041137D" w:rsidRPr="00871EA6">
        <w:rPr>
          <w:sz w:val="22"/>
          <w:szCs w:val="22"/>
        </w:rPr>
        <w:t xml:space="preserve">) in the transition context, the preferred SUR specification includes such an index in all the equations. Nevertheless, consistent with the theory, the </w:t>
      </w:r>
      <w:r w:rsidR="0041137D" w:rsidRPr="00871EA6">
        <w:rPr>
          <w:i/>
          <w:sz w:val="22"/>
          <w:szCs w:val="22"/>
        </w:rPr>
        <w:t>RLI</w:t>
      </w:r>
      <w:r w:rsidR="0041137D" w:rsidRPr="00871EA6">
        <w:rPr>
          <w:sz w:val="22"/>
          <w:szCs w:val="22"/>
        </w:rPr>
        <w:t xml:space="preserve"> index turns insignificant in the precautionary excess liquidity and the output gap equations. Furthermore, most of the model remains similar to the main specified SUR model, regarding the coefficient</w:t>
      </w:r>
      <w:r w:rsidR="00154DFE" w:rsidRPr="00871EA6">
        <w:rPr>
          <w:sz w:val="22"/>
          <w:szCs w:val="22"/>
        </w:rPr>
        <w:t>s</w:t>
      </w:r>
      <w:r w:rsidR="0041137D" w:rsidRPr="00871EA6">
        <w:rPr>
          <w:sz w:val="22"/>
          <w:szCs w:val="22"/>
        </w:rPr>
        <w:t xml:space="preserve"> sign, size and significance. The generated results regarding the RLI indicate quite a similar impact on Czech and Estonian involuntary excess liquidity, quantitatively and qualitatively. On the other side, this index seems to have a profound impact on the Kosovo banking system. The relatively large coefficient magnitude in all three countries can be explained by the relatively small range of the </w:t>
      </w:r>
      <w:r w:rsidR="0041137D" w:rsidRPr="00871EA6">
        <w:rPr>
          <w:i/>
          <w:sz w:val="22"/>
          <w:szCs w:val="22"/>
        </w:rPr>
        <w:t>RLI</w:t>
      </w:r>
      <w:r w:rsidR="0041137D" w:rsidRPr="00871EA6">
        <w:rPr>
          <w:sz w:val="22"/>
          <w:szCs w:val="22"/>
        </w:rPr>
        <w:t xml:space="preserve"> index (from -2.5 to +2.5). Thus, the interpreted results for the </w:t>
      </w:r>
      <w:r w:rsidR="0041137D" w:rsidRPr="00871EA6">
        <w:rPr>
          <w:i/>
          <w:sz w:val="22"/>
          <w:szCs w:val="22"/>
        </w:rPr>
        <w:t>RLI</w:t>
      </w:r>
      <w:r w:rsidR="0041137D" w:rsidRPr="00871EA6">
        <w:rPr>
          <w:sz w:val="22"/>
          <w:szCs w:val="22"/>
        </w:rPr>
        <w:t xml:space="preserve"> indicator will only be </w:t>
      </w:r>
      <w:r w:rsidR="00AF6543" w:rsidRPr="00871EA6">
        <w:rPr>
          <w:sz w:val="22"/>
          <w:szCs w:val="22"/>
        </w:rPr>
        <w:t xml:space="preserve">in </w:t>
      </w:r>
      <w:r w:rsidR="0041137D" w:rsidRPr="00871EA6">
        <w:rPr>
          <w:sz w:val="22"/>
          <w:szCs w:val="22"/>
        </w:rPr>
        <w:t>qualitative terms. A better perception of the extent that private agents have confidence in and abide with the legal, institutional and political framework is expected to contribute to reducing the asymmetric information</w:t>
      </w:r>
      <w:r w:rsidR="00AF6543" w:rsidRPr="00871EA6">
        <w:rPr>
          <w:sz w:val="22"/>
          <w:szCs w:val="22"/>
        </w:rPr>
        <w:t xml:space="preserve"> and moral hazard</w:t>
      </w:r>
      <w:r w:rsidR="0041137D" w:rsidRPr="00871EA6">
        <w:rPr>
          <w:sz w:val="22"/>
          <w:szCs w:val="22"/>
        </w:rPr>
        <w:t xml:space="preserve"> problem between banks and borrowers and</w:t>
      </w:r>
      <w:r w:rsidR="00AF6543" w:rsidRPr="00871EA6">
        <w:rPr>
          <w:sz w:val="22"/>
          <w:szCs w:val="22"/>
        </w:rPr>
        <w:t>,</w:t>
      </w:r>
      <w:r w:rsidR="0041137D" w:rsidRPr="00871EA6">
        <w:rPr>
          <w:sz w:val="22"/>
          <w:szCs w:val="22"/>
        </w:rPr>
        <w:t xml:space="preserve"> as such</w:t>
      </w:r>
      <w:r w:rsidR="00AF6543" w:rsidRPr="00871EA6">
        <w:rPr>
          <w:sz w:val="22"/>
          <w:szCs w:val="22"/>
        </w:rPr>
        <w:t>,</w:t>
      </w:r>
      <w:r w:rsidR="0041137D" w:rsidRPr="00871EA6">
        <w:rPr>
          <w:sz w:val="22"/>
          <w:szCs w:val="22"/>
        </w:rPr>
        <w:t xml:space="preserve"> induce the banks to issue more loans and hold less excess reserves. </w:t>
      </w:r>
      <w:r w:rsidR="00154DFE" w:rsidRPr="00871EA6">
        <w:rPr>
          <w:sz w:val="22"/>
          <w:szCs w:val="22"/>
        </w:rPr>
        <w:t>However,</w:t>
      </w:r>
      <w:r w:rsidR="0041137D" w:rsidRPr="00871EA6">
        <w:rPr>
          <w:sz w:val="22"/>
          <w:szCs w:val="22"/>
        </w:rPr>
        <w:t xml:space="preserve"> the situation in transition economies may be more complex. This is because with better institutional and legal frameworks, higher transparency may be required from borrowers during the application process, such as improved financial reporting and tax paying evidence. Hellström (2009) found that the quality of financial accounts in transition economies was lower than in the developed countries (with special reference to the Czech Republic), which directly impacts on the investors’ decisions. Based on practitioner’s knowledge, enterprises in Kosovo, tend to hold two types of accounting reports: one with deflated numbers for the tax authorities, and another one with inflated profits for the banks when applying for a loan. Therefore, better institutional and judicial institutions in transition economies would require the fuller disclosure of information and given the unrealistic situation prevailing (much lower profits and thus lower repayment capabilities), would actually induce banks to increase the involuntary excess liquidity holdings. Thus, the positive sign of the RLI may be exp</w:t>
      </w:r>
      <w:r w:rsidR="00154DFE" w:rsidRPr="00871EA6">
        <w:rPr>
          <w:sz w:val="22"/>
          <w:szCs w:val="22"/>
        </w:rPr>
        <w:t xml:space="preserve">lained </w:t>
      </w:r>
      <w:r w:rsidR="0041137D" w:rsidRPr="00871EA6">
        <w:rPr>
          <w:sz w:val="22"/>
          <w:szCs w:val="22"/>
        </w:rPr>
        <w:t>in this</w:t>
      </w:r>
      <w:r w:rsidRPr="00871EA6">
        <w:rPr>
          <w:color w:val="auto"/>
          <w:sz w:val="22"/>
          <w:szCs w:val="22"/>
          <w:lang w:val="en-US"/>
        </w:rPr>
        <w:t xml:space="preserve"> sample. </w:t>
      </w:r>
    </w:p>
    <w:p w:rsidR="00473E52" w:rsidRPr="00871EA6" w:rsidRDefault="00473E52" w:rsidP="00473E52">
      <w:pPr>
        <w:spacing w:line="290" w:lineRule="atLeast"/>
        <w:ind w:firstLine="425"/>
        <w:rPr>
          <w:color w:val="auto"/>
          <w:sz w:val="22"/>
          <w:szCs w:val="22"/>
          <w:lang w:val="en-US"/>
        </w:rPr>
      </w:pPr>
    </w:p>
    <w:p w:rsidR="00473E52" w:rsidRPr="00871EA6" w:rsidRDefault="00473E52" w:rsidP="00473E52">
      <w:pPr>
        <w:spacing w:line="290" w:lineRule="atLeast"/>
        <w:ind w:firstLine="425"/>
        <w:rPr>
          <w:color w:val="auto"/>
          <w:sz w:val="22"/>
          <w:szCs w:val="22"/>
          <w:lang w:val="en-US"/>
        </w:rPr>
      </w:pPr>
      <w:r w:rsidRPr="00871EA6">
        <w:rPr>
          <w:color w:val="auto"/>
          <w:sz w:val="22"/>
          <w:szCs w:val="22"/>
          <w:lang w:val="en-US"/>
        </w:rPr>
        <w:t xml:space="preserve">The results presented in Table 3 indicate that the determinants of the output gap to GDP ratio act in a similar fashion in the Czech Republic and Estonia but differently in Kosovo. The changes in credit to GDP ratio appear to negatively impact the output gap in Estonia and Kosovo, however the impact is significant only in the latter. This finding is in line with the arguments of Biggs and Mayer (2013) who suggest that the business cycle and the change in credit, i.e. ‘credit impulse’, are positively correlated. As expected, a higher credit impulse is expected to raise consumption and investment, therefore reflected in </w:t>
      </w:r>
      <w:r w:rsidR="00154DFE" w:rsidRPr="00871EA6">
        <w:rPr>
          <w:color w:val="auto"/>
          <w:sz w:val="22"/>
          <w:szCs w:val="22"/>
          <w:lang w:val="en-US"/>
        </w:rPr>
        <w:t>faster</w:t>
      </w:r>
      <w:r w:rsidRPr="00871EA6">
        <w:rPr>
          <w:color w:val="auto"/>
          <w:sz w:val="22"/>
          <w:szCs w:val="22"/>
          <w:lang w:val="en-US"/>
        </w:rPr>
        <w:t xml:space="preserve"> growth and a lower output gap. The credit impulse variable is significant only in the Kosovo case. On the other side, as expected, the results suggest that the output gap of Eurozone is highly and positively correlated with the output gap to GDP of the Czech Republic and Estonia. A one pp increase in the (below potential) output gap of the Eurozone, on average, would increase the (below potential) output gap in the Czech Republic and Estonia by 0.3 and 0.7 pp, respectively. This result is as expected, given that both the Czech Republic and Estonia are part of the</w:t>
      </w:r>
      <w:r w:rsidR="00154DFE" w:rsidRPr="00871EA6">
        <w:rPr>
          <w:color w:val="auto"/>
          <w:sz w:val="22"/>
          <w:szCs w:val="22"/>
          <w:lang w:val="en-US"/>
        </w:rPr>
        <w:t xml:space="preserve"> </w:t>
      </w:r>
      <w:r w:rsidRPr="00871EA6">
        <w:rPr>
          <w:color w:val="auto"/>
          <w:sz w:val="22"/>
          <w:szCs w:val="22"/>
          <w:lang w:val="en-US"/>
        </w:rPr>
        <w:t>EU. Furthermore, from 2011 Estonia was also part of the Euro area. Therefore, these two countries, besides having close external sector relations with Eurozone countries, are also closely linked due to similar or converging towards the same policy frameworks regarding monetary, financial and fiscal sectors. This finding is in line with the findings of Moinescu (2012) who also finds that the Eurozone output gap has the largest impact (and positively correlated) on these countries’ output gaps.</w:t>
      </w:r>
    </w:p>
    <w:p w:rsidR="00473E52" w:rsidRPr="00871EA6" w:rsidRDefault="00473E52" w:rsidP="00473E52">
      <w:pPr>
        <w:spacing w:line="290" w:lineRule="atLeast"/>
        <w:ind w:firstLine="425"/>
        <w:rPr>
          <w:color w:val="auto"/>
          <w:sz w:val="22"/>
          <w:szCs w:val="22"/>
          <w:lang w:val="en-US"/>
        </w:rPr>
      </w:pPr>
    </w:p>
    <w:p w:rsidR="00473E52" w:rsidRPr="00871EA6" w:rsidRDefault="00473E52" w:rsidP="00473E52">
      <w:pPr>
        <w:spacing w:line="290" w:lineRule="atLeast"/>
        <w:ind w:firstLine="425"/>
        <w:rPr>
          <w:color w:val="auto"/>
          <w:sz w:val="22"/>
          <w:szCs w:val="22"/>
          <w:lang w:val="en-US"/>
        </w:rPr>
      </w:pPr>
      <w:r w:rsidRPr="00871EA6">
        <w:rPr>
          <w:color w:val="auto"/>
          <w:sz w:val="22"/>
          <w:szCs w:val="22"/>
          <w:lang w:val="en-US"/>
        </w:rPr>
        <w:t>Overall, the SUR model does not provide a fundamental variable that would affect both, excess liquidity and the output gap significantly and in the same direction. The only variable in common, the credit to GDP variable (Cred), is insignificant in most cases and with opposite sign</w:t>
      </w:r>
      <w:r w:rsidR="00154DFE" w:rsidRPr="00871EA6">
        <w:rPr>
          <w:color w:val="auto"/>
          <w:sz w:val="22"/>
          <w:szCs w:val="22"/>
          <w:lang w:val="en-US"/>
        </w:rPr>
        <w:t>s</w:t>
      </w:r>
      <w:r w:rsidRPr="00871EA6">
        <w:rPr>
          <w:color w:val="auto"/>
          <w:sz w:val="22"/>
          <w:szCs w:val="22"/>
          <w:lang w:val="en-US"/>
        </w:rPr>
        <w:t xml:space="preserve"> in the excess liquidity </w:t>
      </w:r>
      <w:r w:rsidR="00154DFE" w:rsidRPr="00871EA6">
        <w:rPr>
          <w:color w:val="auto"/>
          <w:sz w:val="22"/>
          <w:szCs w:val="22"/>
          <w:lang w:val="en-US"/>
        </w:rPr>
        <w:t xml:space="preserve">and </w:t>
      </w:r>
      <w:r w:rsidRPr="00871EA6">
        <w:rPr>
          <w:color w:val="auto"/>
          <w:sz w:val="22"/>
          <w:szCs w:val="22"/>
          <w:lang w:val="en-US"/>
        </w:rPr>
        <w:t>output gap equations. Given the high explanatory power of these equations but the relatively low significance of the individual variables in the model, the model seems to be more correlated via the unobserved determinants rather than via the observables</w:t>
      </w:r>
      <w:r w:rsidR="00154DFE" w:rsidRPr="00871EA6">
        <w:rPr>
          <w:color w:val="auto"/>
          <w:sz w:val="22"/>
          <w:szCs w:val="22"/>
          <w:lang w:val="en-US"/>
        </w:rPr>
        <w:t>.</w:t>
      </w:r>
      <w:r w:rsidRPr="00871EA6">
        <w:rPr>
          <w:color w:val="auto"/>
          <w:sz w:val="22"/>
          <w:szCs w:val="22"/>
          <w:lang w:val="en-US"/>
        </w:rPr>
        <w:t xml:space="preserve"> The year dummies picking up otherwise unobserved factors impacting both excess liquidity and the output gap suggest the following pattern: for the Czech Republic, the unobserved factors prior to 2008 appear to negatively impact the excess liquidity </w:t>
      </w:r>
      <w:r w:rsidR="00B823B7" w:rsidRPr="00871EA6">
        <w:rPr>
          <w:color w:val="auto"/>
          <w:sz w:val="22"/>
          <w:szCs w:val="22"/>
          <w:lang w:val="en-US"/>
        </w:rPr>
        <w:t>and positively the output gap,</w:t>
      </w:r>
      <w:r w:rsidRPr="00871EA6">
        <w:rPr>
          <w:color w:val="auto"/>
          <w:sz w:val="22"/>
          <w:szCs w:val="22"/>
          <w:lang w:val="en-US"/>
        </w:rPr>
        <w:t xml:space="preserve"> whereas from 2008 onwards (except for 2013) these unobserved factors act as a system, consistently pushing the two variables to increase. In Estonia the pattern is less clear, however in 2008 the unobserved factors act in opposite directions, whereas in 2012 and 2013 these factors seem to reduce both, excess liquidity and the output gap. In the case of Kosovo, the underlying unobserved factors in most cases seem to reduce excess liquidity while inducing an increase in the output gap. </w:t>
      </w:r>
    </w:p>
    <w:p w:rsidR="00473E52" w:rsidRPr="00871EA6" w:rsidRDefault="00473E52" w:rsidP="00473E52">
      <w:pPr>
        <w:spacing w:line="290" w:lineRule="atLeast"/>
        <w:ind w:firstLine="425"/>
        <w:rPr>
          <w:color w:val="auto"/>
          <w:sz w:val="22"/>
          <w:szCs w:val="22"/>
          <w:lang w:val="en-US"/>
        </w:rPr>
      </w:pPr>
    </w:p>
    <w:p w:rsidR="00047B09" w:rsidRPr="00871EA6" w:rsidRDefault="00473E52" w:rsidP="00473E52">
      <w:pPr>
        <w:spacing w:line="290" w:lineRule="atLeast"/>
        <w:ind w:firstLine="425"/>
        <w:rPr>
          <w:color w:val="auto"/>
          <w:sz w:val="22"/>
          <w:szCs w:val="22"/>
          <w:lang w:val="en-US"/>
        </w:rPr>
      </w:pPr>
      <w:r w:rsidRPr="00871EA6">
        <w:rPr>
          <w:color w:val="auto"/>
          <w:sz w:val="22"/>
          <w:szCs w:val="22"/>
          <w:lang w:val="en-US"/>
        </w:rPr>
        <w:t xml:space="preserve">In addition to the common and specific observable factors, it was found that the unobserved factors driving </w:t>
      </w:r>
      <w:r w:rsidR="00373FB8" w:rsidRPr="00871EA6">
        <w:rPr>
          <w:color w:val="auto"/>
          <w:sz w:val="22"/>
          <w:szCs w:val="22"/>
          <w:lang w:val="en-US"/>
        </w:rPr>
        <w:t xml:space="preserve">the </w:t>
      </w:r>
      <w:r w:rsidRPr="00871EA6">
        <w:rPr>
          <w:color w:val="auto"/>
          <w:sz w:val="22"/>
          <w:szCs w:val="22"/>
          <w:lang w:val="en-US"/>
        </w:rPr>
        <w:t>output gap and excess liquidity jointly as a system were even more pronounced than the observed part of the model. A careful analysis of the correlations in the Breusch-Pagan test, as well as information picked up by the year dummies (which do not encompass information on any specific policy variable), all indicated that the output gap and excess liquidity were jointly affected by the unobserved part of the model, be it in the same or opposite direction. The year dummies serve as evidence indicating that both types of excess liquidity (precautionary and involuntary) and the output gap have common determinants, picking up common global events. This is to be expected, given that all three countries in the sample are small open economies and they are also prone to common external developments, which once more support the idea that they are linked via the common observed and unobserved factors. Therefore, in this system the linkage comes from either unobserved non-systematic events in the error term, or unobserved systematic influences captured by the period effects</w:t>
      </w:r>
      <w:r w:rsidR="00373FB8" w:rsidRPr="00871EA6">
        <w:rPr>
          <w:color w:val="auto"/>
          <w:sz w:val="22"/>
          <w:szCs w:val="22"/>
          <w:lang w:val="en-US"/>
        </w:rPr>
        <w:t>.</w:t>
      </w:r>
      <w:r w:rsidRPr="00871EA6">
        <w:rPr>
          <w:color w:val="auto"/>
          <w:sz w:val="22"/>
          <w:szCs w:val="22"/>
          <w:lang w:val="en-US"/>
        </w:rPr>
        <w:t xml:space="preserve"> </w:t>
      </w:r>
    </w:p>
    <w:p w:rsidR="008D0B4E" w:rsidRPr="00871EA6" w:rsidRDefault="008D0B4E" w:rsidP="008D0B4E">
      <w:pPr>
        <w:tabs>
          <w:tab w:val="left" w:pos="2410"/>
          <w:tab w:val="right" w:pos="7144"/>
        </w:tabs>
        <w:spacing w:line="240" w:lineRule="auto"/>
        <w:ind w:firstLine="0"/>
        <w:rPr>
          <w:i/>
          <w:color w:val="CC9900"/>
          <w:sz w:val="22"/>
          <w:szCs w:val="22"/>
          <w:lang w:val="en-US"/>
        </w:rPr>
      </w:pPr>
    </w:p>
    <w:p w:rsidR="008D0B4E" w:rsidRPr="00871EA6" w:rsidRDefault="008D0B4E" w:rsidP="008D0B4E">
      <w:pPr>
        <w:tabs>
          <w:tab w:val="left" w:pos="2410"/>
          <w:tab w:val="right" w:pos="7144"/>
        </w:tabs>
        <w:spacing w:line="240" w:lineRule="auto"/>
        <w:ind w:firstLine="0"/>
        <w:rPr>
          <w:i/>
          <w:color w:val="CC9900"/>
          <w:sz w:val="22"/>
          <w:szCs w:val="22"/>
          <w:lang w:val="en-US"/>
        </w:rPr>
      </w:pPr>
    </w:p>
    <w:p w:rsidR="00733580" w:rsidRPr="00871EA6" w:rsidRDefault="00733580" w:rsidP="00733580">
      <w:pPr>
        <w:pStyle w:val="Heading1"/>
        <w:keepNext w:val="0"/>
        <w:keepLines w:val="0"/>
        <w:numPr>
          <w:ilvl w:val="0"/>
          <w:numId w:val="23"/>
        </w:numPr>
        <w:spacing w:before="0" w:line="240" w:lineRule="auto"/>
        <w:ind w:left="426" w:hanging="426"/>
        <w:rPr>
          <w:color w:val="auto"/>
          <w:sz w:val="24"/>
          <w:szCs w:val="22"/>
          <w:lang w:val="en-US"/>
        </w:rPr>
      </w:pPr>
      <w:r w:rsidRPr="00871EA6">
        <w:rPr>
          <w:color w:val="auto"/>
          <w:sz w:val="24"/>
          <w:szCs w:val="22"/>
          <w:lang w:val="en-US"/>
        </w:rPr>
        <w:t>Conclusions</w:t>
      </w:r>
    </w:p>
    <w:p w:rsidR="00733580" w:rsidRPr="00871EA6" w:rsidRDefault="00733580" w:rsidP="00733580">
      <w:pPr>
        <w:pStyle w:val="Heading1"/>
        <w:keepNext w:val="0"/>
        <w:keepLines w:val="0"/>
        <w:numPr>
          <w:ilvl w:val="0"/>
          <w:numId w:val="0"/>
        </w:numPr>
        <w:spacing w:before="0" w:line="240" w:lineRule="auto"/>
        <w:rPr>
          <w:b w:val="0"/>
          <w:color w:val="auto"/>
          <w:sz w:val="22"/>
          <w:szCs w:val="22"/>
          <w:lang w:val="en-US"/>
        </w:rPr>
      </w:pPr>
    </w:p>
    <w:p w:rsidR="00D97B06" w:rsidRPr="00871EA6" w:rsidRDefault="00D97B06" w:rsidP="00D97B06">
      <w:pPr>
        <w:spacing w:line="290" w:lineRule="atLeast"/>
        <w:ind w:firstLine="425"/>
        <w:rPr>
          <w:color w:val="auto"/>
          <w:sz w:val="22"/>
          <w:szCs w:val="22"/>
          <w:lang w:val="en-US"/>
        </w:rPr>
      </w:pPr>
      <w:r w:rsidRPr="00871EA6">
        <w:rPr>
          <w:color w:val="auto"/>
          <w:sz w:val="22"/>
          <w:szCs w:val="22"/>
          <w:lang w:val="en-US"/>
        </w:rPr>
        <w:t xml:space="preserve">Compared to previous studies investigating the output gap and the determinants of excess liquidity, this investigation was novel in two respects. Firstly, a new conceptual relationship between the output gap and excess liquidity was introduced and secondly, </w:t>
      </w:r>
      <w:r w:rsidR="00261080" w:rsidRPr="00871EA6">
        <w:rPr>
          <w:color w:val="auto"/>
          <w:sz w:val="22"/>
          <w:szCs w:val="22"/>
          <w:lang w:val="en-US"/>
        </w:rPr>
        <w:t>empirical evidence is presented using the system equation method Seemingly Unrelated Regression, not previously used in this context.</w:t>
      </w:r>
    </w:p>
    <w:p w:rsidR="00D97B06" w:rsidRPr="00871EA6" w:rsidRDefault="00D97B06" w:rsidP="00D97B06">
      <w:pPr>
        <w:spacing w:line="290" w:lineRule="atLeast"/>
        <w:ind w:firstLine="425"/>
        <w:rPr>
          <w:color w:val="auto"/>
          <w:sz w:val="22"/>
          <w:szCs w:val="22"/>
          <w:lang w:val="en-US"/>
        </w:rPr>
      </w:pPr>
    </w:p>
    <w:p w:rsidR="00D97B06" w:rsidRPr="00871EA6" w:rsidRDefault="00D97B06" w:rsidP="00D97B06">
      <w:pPr>
        <w:spacing w:line="290" w:lineRule="atLeast"/>
        <w:ind w:firstLine="425"/>
        <w:rPr>
          <w:color w:val="auto"/>
          <w:sz w:val="22"/>
          <w:szCs w:val="22"/>
          <w:lang w:val="en-US"/>
        </w:rPr>
      </w:pPr>
      <w:r w:rsidRPr="00871EA6">
        <w:rPr>
          <w:color w:val="auto"/>
          <w:sz w:val="22"/>
          <w:szCs w:val="22"/>
          <w:lang w:val="en-US"/>
        </w:rPr>
        <w:t xml:space="preserve">Initially, the </w:t>
      </w:r>
      <w:r w:rsidR="005F1C8A" w:rsidRPr="00871EA6">
        <w:rPr>
          <w:color w:val="auto"/>
          <w:sz w:val="22"/>
          <w:szCs w:val="22"/>
          <w:lang w:val="en-US"/>
        </w:rPr>
        <w:t xml:space="preserve">aim of this study was to </w:t>
      </w:r>
      <w:r w:rsidR="00A94E8B" w:rsidRPr="00871EA6">
        <w:rPr>
          <w:color w:val="auto"/>
          <w:sz w:val="22"/>
          <w:szCs w:val="22"/>
          <w:lang w:val="en-US"/>
        </w:rPr>
        <w:t xml:space="preserve">investigate whether underutilized excess liquidity </w:t>
      </w:r>
      <w:r w:rsidR="001B3247" w:rsidRPr="00871EA6">
        <w:rPr>
          <w:color w:val="auto"/>
          <w:sz w:val="22"/>
          <w:szCs w:val="22"/>
          <w:lang w:val="en-US"/>
        </w:rPr>
        <w:t>is holding back bank lending and possibly impacting the output gap. However, it</w:t>
      </w:r>
      <w:r w:rsidRPr="00871EA6">
        <w:rPr>
          <w:color w:val="auto"/>
          <w:sz w:val="22"/>
          <w:szCs w:val="22"/>
          <w:lang w:val="en-US"/>
        </w:rPr>
        <w:t xml:space="preserve"> was</w:t>
      </w:r>
      <w:r w:rsidR="001B3247" w:rsidRPr="00871EA6">
        <w:rPr>
          <w:color w:val="auto"/>
          <w:sz w:val="22"/>
          <w:szCs w:val="22"/>
          <w:lang w:val="en-US"/>
        </w:rPr>
        <w:t xml:space="preserve"> theoretically</w:t>
      </w:r>
      <w:r w:rsidRPr="00871EA6">
        <w:rPr>
          <w:color w:val="auto"/>
          <w:sz w:val="22"/>
          <w:szCs w:val="22"/>
          <w:lang w:val="en-US"/>
        </w:rPr>
        <w:t xml:space="preserve"> argued that excess liquidity and the output gap </w:t>
      </w:r>
      <w:r w:rsidR="00882C22" w:rsidRPr="00871EA6">
        <w:rPr>
          <w:color w:val="auto"/>
          <w:sz w:val="22"/>
          <w:szCs w:val="22"/>
          <w:lang w:val="en-US"/>
        </w:rPr>
        <w:t>are</w:t>
      </w:r>
      <w:r w:rsidRPr="00871EA6">
        <w:rPr>
          <w:color w:val="auto"/>
          <w:sz w:val="22"/>
          <w:szCs w:val="22"/>
          <w:lang w:val="en-US"/>
        </w:rPr>
        <w:t xml:space="preserve"> not necessarily in a causal relationship, but rather in a correlation relationship</w:t>
      </w:r>
      <w:r w:rsidR="00882C22" w:rsidRPr="00871EA6">
        <w:rPr>
          <w:color w:val="auto"/>
          <w:sz w:val="22"/>
          <w:szCs w:val="22"/>
          <w:lang w:val="en-US"/>
        </w:rPr>
        <w:t xml:space="preserve">. </w:t>
      </w:r>
      <w:r w:rsidRPr="00871EA6">
        <w:rPr>
          <w:color w:val="auto"/>
          <w:sz w:val="22"/>
          <w:szCs w:val="22"/>
          <w:lang w:val="en-US"/>
        </w:rPr>
        <w:t xml:space="preserve">Furthermore, the current study </w:t>
      </w:r>
      <w:r w:rsidR="00882C22" w:rsidRPr="00871EA6">
        <w:rPr>
          <w:color w:val="auto"/>
          <w:sz w:val="22"/>
          <w:szCs w:val="22"/>
          <w:lang w:val="en-US"/>
        </w:rPr>
        <w:t>con</w:t>
      </w:r>
      <w:r w:rsidRPr="00871EA6">
        <w:rPr>
          <w:color w:val="auto"/>
          <w:sz w:val="22"/>
          <w:szCs w:val="22"/>
          <w:lang w:val="en-US"/>
        </w:rPr>
        <w:t xml:space="preserve">firms the Krznar and Matheson (2017) findings that the output gap and excess liquidity are positively correlated. Nevertheless, the causation approach of Krznar and Matheson appears to be theoretically and empirically incorrect, since it does not take into account the endogenous nature of the two (these authors estimate a bivariate VAR model for comparison reasons only). Thus, the initial research question was rephrased to ‘what is the relationship between excess liquidity and the output gap’. </w:t>
      </w:r>
      <w:r w:rsidR="00882C22" w:rsidRPr="00871EA6">
        <w:rPr>
          <w:color w:val="auto"/>
          <w:sz w:val="22"/>
          <w:szCs w:val="22"/>
          <w:lang w:val="en-US"/>
        </w:rPr>
        <w:t>A</w:t>
      </w:r>
      <w:r w:rsidRPr="00871EA6">
        <w:rPr>
          <w:color w:val="auto"/>
          <w:sz w:val="22"/>
          <w:szCs w:val="22"/>
          <w:lang w:val="en-US"/>
        </w:rPr>
        <w:t xml:space="preserve"> critical assessment of theories that investigate the behaviour of the business cycle with respect to financial factors provided the background to the conduct of empirical analysis. For the latter purpose, macro-level data for three countries were used, including regulatory, financial, institutional and fiscal variables. This study found that treating the output gap and excess liquidity from a single causal point of view </w:t>
      </w:r>
      <w:r w:rsidR="00882C22" w:rsidRPr="00871EA6">
        <w:rPr>
          <w:color w:val="auto"/>
          <w:sz w:val="22"/>
          <w:szCs w:val="22"/>
          <w:lang w:val="en-US"/>
        </w:rPr>
        <w:t>was</w:t>
      </w:r>
      <w:r w:rsidRPr="00871EA6">
        <w:rPr>
          <w:color w:val="auto"/>
          <w:sz w:val="22"/>
          <w:szCs w:val="22"/>
          <w:lang w:val="en-US"/>
        </w:rPr>
        <w:t xml:space="preserve"> conceptually misconceived. This is because, a correlation relationship indicates that both variables are an outcome of a wider system and do not necessarily cause each other. After due consideration, a </w:t>
      </w:r>
      <w:r w:rsidR="00FA7CCB" w:rsidRPr="00871EA6">
        <w:rPr>
          <w:color w:val="auto"/>
          <w:sz w:val="22"/>
          <w:szCs w:val="22"/>
          <w:lang w:val="en-US"/>
        </w:rPr>
        <w:t>S</w:t>
      </w:r>
      <w:r w:rsidRPr="00871EA6">
        <w:rPr>
          <w:color w:val="auto"/>
          <w:sz w:val="22"/>
          <w:szCs w:val="22"/>
          <w:lang w:val="en-US"/>
        </w:rPr>
        <w:t>ystem</w:t>
      </w:r>
      <w:r w:rsidR="00FA7CCB" w:rsidRPr="00871EA6">
        <w:rPr>
          <w:color w:val="auto"/>
          <w:sz w:val="22"/>
          <w:szCs w:val="22"/>
          <w:lang w:val="en-US"/>
        </w:rPr>
        <w:t xml:space="preserve"> E</w:t>
      </w:r>
      <w:r w:rsidRPr="00871EA6">
        <w:rPr>
          <w:color w:val="auto"/>
          <w:sz w:val="22"/>
          <w:szCs w:val="22"/>
          <w:lang w:val="en-US"/>
        </w:rPr>
        <w:t>quation</w:t>
      </w:r>
      <w:r w:rsidR="00FA7CCB" w:rsidRPr="00871EA6">
        <w:rPr>
          <w:color w:val="auto"/>
          <w:sz w:val="22"/>
          <w:szCs w:val="22"/>
          <w:lang w:val="en-US"/>
        </w:rPr>
        <w:t>s</w:t>
      </w:r>
      <w:r w:rsidRPr="00871EA6">
        <w:rPr>
          <w:color w:val="auto"/>
          <w:sz w:val="22"/>
          <w:szCs w:val="22"/>
          <w:lang w:val="en-US"/>
        </w:rPr>
        <w:t xml:space="preserve"> approach, the SUR method</w:t>
      </w:r>
      <w:r w:rsidR="00FA7CCB" w:rsidRPr="00871EA6">
        <w:rPr>
          <w:color w:val="auto"/>
          <w:sz w:val="22"/>
          <w:szCs w:val="22"/>
          <w:lang w:val="en-US"/>
        </w:rPr>
        <w:t>,</w:t>
      </w:r>
      <w:r w:rsidRPr="00871EA6">
        <w:rPr>
          <w:color w:val="auto"/>
          <w:sz w:val="22"/>
          <w:szCs w:val="22"/>
          <w:lang w:val="en-US"/>
        </w:rPr>
        <w:t xml:space="preserve"> which accounts for endogeneity between output gap and excess liquidity was considered to be the most appropriate method. This approach allowed the equations of output gap and excess liquidity to be correlated via common observed and unobserved determinants.</w:t>
      </w:r>
    </w:p>
    <w:p w:rsidR="00D97B06" w:rsidRPr="00871EA6" w:rsidRDefault="00D97B06" w:rsidP="00D97B06">
      <w:pPr>
        <w:spacing w:line="290" w:lineRule="atLeast"/>
        <w:ind w:firstLine="425"/>
        <w:rPr>
          <w:color w:val="auto"/>
          <w:sz w:val="22"/>
          <w:szCs w:val="22"/>
          <w:lang w:val="en-US"/>
        </w:rPr>
      </w:pPr>
    </w:p>
    <w:p w:rsidR="00D97B06" w:rsidRPr="00871EA6" w:rsidRDefault="00D97B06" w:rsidP="00D97B06">
      <w:pPr>
        <w:spacing w:line="290" w:lineRule="atLeast"/>
        <w:ind w:firstLine="425"/>
        <w:rPr>
          <w:color w:val="auto"/>
          <w:sz w:val="22"/>
          <w:szCs w:val="22"/>
          <w:lang w:val="en-US"/>
        </w:rPr>
      </w:pPr>
      <w:r w:rsidRPr="00871EA6">
        <w:rPr>
          <w:color w:val="auto"/>
          <w:sz w:val="22"/>
          <w:szCs w:val="22"/>
          <w:lang w:val="en-US"/>
        </w:rPr>
        <w:t xml:space="preserve">One of the key findings of this analysis is that precautionary </w:t>
      </w:r>
      <w:r w:rsidR="000B701B" w:rsidRPr="00871EA6">
        <w:rPr>
          <w:color w:val="auto"/>
          <w:sz w:val="22"/>
          <w:szCs w:val="22"/>
          <w:lang w:val="en-US"/>
        </w:rPr>
        <w:t xml:space="preserve">motive </w:t>
      </w:r>
      <w:r w:rsidRPr="00871EA6">
        <w:rPr>
          <w:color w:val="auto"/>
          <w:sz w:val="22"/>
          <w:szCs w:val="22"/>
          <w:lang w:val="en-US"/>
        </w:rPr>
        <w:t>appear to have a more significant impact on excess liquidity in Kosovo and Estonia, while the involuntary motive</w:t>
      </w:r>
      <w:r w:rsidR="00921821" w:rsidRPr="00871EA6">
        <w:rPr>
          <w:color w:val="auto"/>
          <w:sz w:val="22"/>
          <w:szCs w:val="22"/>
          <w:lang w:val="en-US"/>
        </w:rPr>
        <w:t xml:space="preserve"> for excess liquidity</w:t>
      </w:r>
      <w:r w:rsidRPr="00871EA6">
        <w:rPr>
          <w:color w:val="auto"/>
          <w:sz w:val="22"/>
          <w:szCs w:val="22"/>
          <w:lang w:val="en-US"/>
        </w:rPr>
        <w:t xml:space="preserve"> prevails in the Czech Republic. The external sector</w:t>
      </w:r>
      <w:r w:rsidR="00882C22" w:rsidRPr="00871EA6">
        <w:rPr>
          <w:color w:val="auto"/>
          <w:sz w:val="22"/>
          <w:szCs w:val="22"/>
          <w:lang w:val="en-US"/>
        </w:rPr>
        <w:t>,</w:t>
      </w:r>
      <w:r w:rsidRPr="00871EA6">
        <w:rPr>
          <w:color w:val="auto"/>
          <w:sz w:val="22"/>
          <w:szCs w:val="22"/>
          <w:lang w:val="en-US"/>
        </w:rPr>
        <w:t xml:space="preserve"> as proxied by the eurozone business cycle</w:t>
      </w:r>
      <w:r w:rsidR="00882C22" w:rsidRPr="00871EA6">
        <w:rPr>
          <w:color w:val="auto"/>
          <w:sz w:val="22"/>
          <w:szCs w:val="22"/>
          <w:lang w:val="en-US"/>
        </w:rPr>
        <w:t>,</w:t>
      </w:r>
      <w:r w:rsidRPr="00871EA6">
        <w:rPr>
          <w:color w:val="auto"/>
          <w:sz w:val="22"/>
          <w:szCs w:val="22"/>
          <w:lang w:val="en-US"/>
        </w:rPr>
        <w:t xml:space="preserve"> appear to persistently push the business cycles in the Czech Republic and Estonia</w:t>
      </w:r>
      <w:r w:rsidR="00AD6EB4" w:rsidRPr="00871EA6">
        <w:rPr>
          <w:color w:val="auto"/>
          <w:sz w:val="22"/>
          <w:szCs w:val="22"/>
          <w:lang w:val="en-US"/>
        </w:rPr>
        <w:t xml:space="preserve"> in the same direction</w:t>
      </w:r>
      <w:r w:rsidRPr="00871EA6">
        <w:rPr>
          <w:color w:val="auto"/>
          <w:sz w:val="22"/>
          <w:szCs w:val="22"/>
          <w:lang w:val="en-US"/>
        </w:rPr>
        <w:t xml:space="preserve">, while domestic financial developments have the greatest impact on the business cycle in Kosovo. Another key finding is that there is no clear transmission mechanism from excess liquidity to the output gap, thus there is no simple causal relationship between the two. The precautionary and involuntary excess liquidity and the output gap are more strongly linked via the unobserved common factors rather than by the common observables, indicating that they are located in a complex system. </w:t>
      </w:r>
    </w:p>
    <w:p w:rsidR="00D97B06" w:rsidRPr="00871EA6" w:rsidRDefault="00D97B06" w:rsidP="00D97B06">
      <w:pPr>
        <w:spacing w:line="290" w:lineRule="atLeast"/>
        <w:ind w:firstLine="425"/>
        <w:rPr>
          <w:color w:val="auto"/>
          <w:sz w:val="22"/>
          <w:szCs w:val="22"/>
          <w:lang w:val="en-US"/>
        </w:rPr>
      </w:pPr>
    </w:p>
    <w:p w:rsidR="00E07DAC" w:rsidRPr="00871EA6" w:rsidRDefault="00D97B06" w:rsidP="00D97B06">
      <w:pPr>
        <w:spacing w:line="290" w:lineRule="atLeast"/>
        <w:ind w:firstLine="425"/>
        <w:rPr>
          <w:color w:val="auto"/>
          <w:sz w:val="22"/>
          <w:szCs w:val="22"/>
          <w:lang w:val="en-US"/>
        </w:rPr>
      </w:pPr>
      <w:r w:rsidRPr="00871EA6">
        <w:rPr>
          <w:color w:val="auto"/>
          <w:sz w:val="22"/>
          <w:szCs w:val="22"/>
          <w:lang w:val="en-US"/>
        </w:rPr>
        <w:t>The most important policy implication of this research is that since the relationship between output gap and excess liquidity is not causal, reducing excess liquidity will not necessarily lead to a smaller (negative) output gap. This is because, the output gap and excess liquidity are bound together in a correlation relationship, which means that both are an outcome of the general state of the economic activity, i.e. both represent under</w:t>
      </w:r>
      <w:r w:rsidR="00AD6EB4" w:rsidRPr="00871EA6">
        <w:rPr>
          <w:color w:val="auto"/>
          <w:sz w:val="22"/>
          <w:szCs w:val="22"/>
          <w:lang w:val="en-US"/>
        </w:rPr>
        <w:t>-</w:t>
      </w:r>
      <w:r w:rsidRPr="00871EA6">
        <w:rPr>
          <w:color w:val="auto"/>
          <w:sz w:val="22"/>
          <w:szCs w:val="22"/>
          <w:lang w:val="en-US"/>
        </w:rPr>
        <w:t xml:space="preserve">utilised resources </w:t>
      </w:r>
      <w:r w:rsidR="00AD6EB4" w:rsidRPr="00871EA6">
        <w:rPr>
          <w:color w:val="auto"/>
          <w:sz w:val="22"/>
          <w:szCs w:val="22"/>
          <w:lang w:val="en-US"/>
        </w:rPr>
        <w:t>in</w:t>
      </w:r>
      <w:r w:rsidRPr="00871EA6">
        <w:rPr>
          <w:color w:val="auto"/>
          <w:sz w:val="22"/>
          <w:szCs w:val="22"/>
          <w:lang w:val="en-US"/>
        </w:rPr>
        <w:t xml:space="preserve"> a depressed economy</w:t>
      </w:r>
      <w:r w:rsidR="006D3CA4" w:rsidRPr="00871EA6">
        <w:rPr>
          <w:color w:val="auto"/>
          <w:sz w:val="22"/>
          <w:szCs w:val="22"/>
          <w:lang w:val="en-US"/>
        </w:rPr>
        <w:t xml:space="preserve">. </w:t>
      </w:r>
      <w:r w:rsidRPr="00871EA6">
        <w:rPr>
          <w:color w:val="auto"/>
          <w:sz w:val="22"/>
          <w:szCs w:val="22"/>
          <w:lang w:val="en-US"/>
        </w:rPr>
        <w:t xml:space="preserve">If the relationship between output gap and excess liquidity is one of correlation, then instead of pushing banks to reduce excess liquidity and increase lending so the output gap may decrease, other ‘third party’ factors need to change so that </w:t>
      </w:r>
      <w:r w:rsidR="006D3CA4" w:rsidRPr="00871EA6">
        <w:rPr>
          <w:color w:val="auto"/>
          <w:sz w:val="22"/>
          <w:szCs w:val="22"/>
          <w:lang w:val="en-US"/>
        </w:rPr>
        <w:t>these two</w:t>
      </w:r>
      <w:r w:rsidRPr="00871EA6">
        <w:rPr>
          <w:color w:val="auto"/>
          <w:sz w:val="22"/>
          <w:szCs w:val="22"/>
          <w:lang w:val="en-US"/>
        </w:rPr>
        <w:t xml:space="preserve"> variables of interest will improve. However, no potential policy variable was identified in this analysis. There seems to be no straightforward policy framework informed by a clear transmission mechanism from one to the other. Therefore, a policy whereby the regulatory authority induces banks to reduce excess liquidity in order to increase lending and thus decrease the output gap may not have the desired effects or may even produce quite unintended consequences, such as causing inefficient lending e.g. a new wave of bad loans or causing a higher (negative) output gap. Instead, a more complex policy framework is needed where other factors outside of the system need to be identified that are capable of pushing both variables in the desired direction. For this reason, additional empirical </w:t>
      </w:r>
      <w:r w:rsidR="00AD6EB4" w:rsidRPr="00871EA6">
        <w:rPr>
          <w:color w:val="auto"/>
          <w:sz w:val="22"/>
          <w:szCs w:val="22"/>
          <w:lang w:val="en-US"/>
        </w:rPr>
        <w:t xml:space="preserve">analysis is needed </w:t>
      </w:r>
      <w:r w:rsidRPr="00871EA6">
        <w:rPr>
          <w:color w:val="auto"/>
          <w:sz w:val="22"/>
          <w:szCs w:val="22"/>
          <w:lang w:val="en-US"/>
        </w:rPr>
        <w:t>to fully understand the underlying relationship between output gap and excess liquidit</w:t>
      </w:r>
      <w:r w:rsidR="00AD6EB4" w:rsidRPr="00871EA6">
        <w:rPr>
          <w:color w:val="auto"/>
          <w:sz w:val="22"/>
          <w:szCs w:val="22"/>
          <w:lang w:val="en-US"/>
        </w:rPr>
        <w:t>y</w:t>
      </w:r>
      <w:r w:rsidRPr="00871EA6">
        <w:rPr>
          <w:color w:val="auto"/>
          <w:sz w:val="22"/>
          <w:szCs w:val="22"/>
          <w:lang w:val="en-US"/>
        </w:rPr>
        <w:t>.</w:t>
      </w:r>
      <w:r w:rsidR="00C46DBA" w:rsidRPr="00871EA6">
        <w:rPr>
          <w:color w:val="auto"/>
          <w:sz w:val="22"/>
          <w:szCs w:val="22"/>
          <w:lang w:val="en-US"/>
        </w:rPr>
        <w:t xml:space="preserve"> </w:t>
      </w:r>
      <w:r w:rsidR="00AD6EB4" w:rsidRPr="00871EA6">
        <w:rPr>
          <w:color w:val="auto"/>
          <w:sz w:val="22"/>
          <w:szCs w:val="22"/>
          <w:lang w:val="en-US"/>
        </w:rPr>
        <w:t>F</w:t>
      </w:r>
      <w:r w:rsidR="00E07DAC" w:rsidRPr="00871EA6">
        <w:rPr>
          <w:sz w:val="22"/>
          <w:szCs w:val="22"/>
        </w:rPr>
        <w:t>uture investigation</w:t>
      </w:r>
      <w:r w:rsidR="00AD6EB4" w:rsidRPr="00871EA6">
        <w:rPr>
          <w:sz w:val="22"/>
          <w:szCs w:val="22"/>
        </w:rPr>
        <w:t>s</w:t>
      </w:r>
      <w:r w:rsidR="00E07DAC" w:rsidRPr="00871EA6">
        <w:rPr>
          <w:sz w:val="22"/>
          <w:szCs w:val="22"/>
        </w:rPr>
        <w:t xml:space="preserve"> should focus on </w:t>
      </w:r>
      <w:r w:rsidR="00AD6EB4" w:rsidRPr="00871EA6">
        <w:rPr>
          <w:sz w:val="22"/>
          <w:szCs w:val="22"/>
        </w:rPr>
        <w:t xml:space="preserve">the </w:t>
      </w:r>
      <w:r w:rsidR="00E07DAC" w:rsidRPr="00871EA6">
        <w:rPr>
          <w:sz w:val="22"/>
          <w:szCs w:val="22"/>
        </w:rPr>
        <w:t xml:space="preserve">structural changes needed to improve business cycles. </w:t>
      </w:r>
      <w:r w:rsidR="006D3CA4" w:rsidRPr="00871EA6">
        <w:rPr>
          <w:sz w:val="22"/>
          <w:szCs w:val="22"/>
        </w:rPr>
        <w:t>In addition to r</w:t>
      </w:r>
      <w:r w:rsidR="00E07DAC" w:rsidRPr="00871EA6">
        <w:rPr>
          <w:sz w:val="22"/>
          <w:szCs w:val="22"/>
        </w:rPr>
        <w:t>egulatory, financial and fiscal variables in the model</w:t>
      </w:r>
      <w:r w:rsidR="006D3CA4" w:rsidRPr="00871EA6">
        <w:rPr>
          <w:sz w:val="22"/>
          <w:szCs w:val="22"/>
        </w:rPr>
        <w:t>, in the future research</w:t>
      </w:r>
      <w:r w:rsidR="00E07DAC" w:rsidRPr="00871EA6">
        <w:rPr>
          <w:sz w:val="22"/>
          <w:szCs w:val="22"/>
        </w:rPr>
        <w:t xml:space="preserve"> should </w:t>
      </w:r>
      <w:r w:rsidR="006D3CA4" w:rsidRPr="00871EA6">
        <w:rPr>
          <w:sz w:val="22"/>
          <w:szCs w:val="22"/>
        </w:rPr>
        <w:t xml:space="preserve">consider variables </w:t>
      </w:r>
      <w:r w:rsidR="00E07DAC" w:rsidRPr="00871EA6">
        <w:rPr>
          <w:sz w:val="22"/>
          <w:szCs w:val="22"/>
        </w:rPr>
        <w:t>that reflect the innovation potential of analysed economies</w:t>
      </w:r>
      <w:r w:rsidR="006D3CA4" w:rsidRPr="00871EA6">
        <w:rPr>
          <w:sz w:val="22"/>
          <w:szCs w:val="22"/>
        </w:rPr>
        <w:t>.</w:t>
      </w:r>
    </w:p>
    <w:p w:rsidR="00D97B06" w:rsidRPr="00871EA6" w:rsidRDefault="00D97B06" w:rsidP="00D97B06">
      <w:pPr>
        <w:tabs>
          <w:tab w:val="left" w:pos="2410"/>
          <w:tab w:val="right" w:pos="7144"/>
        </w:tabs>
        <w:spacing w:line="240" w:lineRule="auto"/>
        <w:ind w:firstLine="0"/>
        <w:rPr>
          <w:i/>
          <w:color w:val="CC9900"/>
          <w:sz w:val="22"/>
          <w:szCs w:val="22"/>
          <w:lang w:val="en-US"/>
        </w:rPr>
      </w:pPr>
    </w:p>
    <w:p w:rsidR="00D97B06" w:rsidRPr="00871EA6" w:rsidRDefault="00D97B06" w:rsidP="00D97B06">
      <w:pPr>
        <w:tabs>
          <w:tab w:val="left" w:pos="2410"/>
          <w:tab w:val="right" w:pos="7144"/>
        </w:tabs>
        <w:spacing w:line="240" w:lineRule="auto"/>
        <w:ind w:firstLine="0"/>
        <w:rPr>
          <w:i/>
          <w:color w:val="CC9900"/>
          <w:sz w:val="22"/>
          <w:szCs w:val="22"/>
          <w:lang w:val="en-US"/>
        </w:rPr>
      </w:pPr>
    </w:p>
    <w:p w:rsidR="00D97B06" w:rsidRPr="00871EA6" w:rsidRDefault="00D97B06" w:rsidP="00D97B06">
      <w:pPr>
        <w:pStyle w:val="Heading1"/>
        <w:keepNext w:val="0"/>
        <w:keepLines w:val="0"/>
        <w:numPr>
          <w:ilvl w:val="0"/>
          <w:numId w:val="0"/>
        </w:numPr>
        <w:spacing w:before="0" w:line="240" w:lineRule="auto"/>
        <w:rPr>
          <w:color w:val="auto"/>
          <w:sz w:val="24"/>
          <w:szCs w:val="22"/>
          <w:lang w:val="en-US"/>
        </w:rPr>
      </w:pPr>
      <w:r w:rsidRPr="00871EA6">
        <w:rPr>
          <w:color w:val="auto"/>
          <w:sz w:val="24"/>
          <w:szCs w:val="22"/>
          <w:lang w:val="en-US"/>
        </w:rPr>
        <w:t xml:space="preserve">Acknowledgements </w:t>
      </w:r>
    </w:p>
    <w:p w:rsidR="00D97B06" w:rsidRPr="00871EA6" w:rsidRDefault="00D97B06" w:rsidP="00D97B06">
      <w:pPr>
        <w:tabs>
          <w:tab w:val="left" w:pos="2410"/>
          <w:tab w:val="right" w:pos="7144"/>
        </w:tabs>
        <w:spacing w:line="240" w:lineRule="auto"/>
        <w:ind w:firstLine="0"/>
        <w:rPr>
          <w:i/>
          <w:color w:val="CC9900"/>
          <w:sz w:val="22"/>
          <w:szCs w:val="22"/>
          <w:lang w:val="en-US"/>
        </w:rPr>
      </w:pPr>
    </w:p>
    <w:p w:rsidR="00D97B06" w:rsidRPr="00871EA6" w:rsidRDefault="00D97B06" w:rsidP="00D97B06">
      <w:pPr>
        <w:spacing w:line="290" w:lineRule="atLeast"/>
        <w:ind w:firstLine="425"/>
        <w:rPr>
          <w:color w:val="auto"/>
          <w:sz w:val="22"/>
          <w:szCs w:val="22"/>
          <w:lang w:val="en-US"/>
        </w:rPr>
      </w:pPr>
      <w:r w:rsidRPr="00871EA6">
        <w:rPr>
          <w:color w:val="auto"/>
          <w:sz w:val="22"/>
          <w:szCs w:val="22"/>
          <w:lang w:val="en-US"/>
        </w:rPr>
        <w:t>The views expressed in this paper are solely those of the authors. We are grateful to Professor Geoff Pugh</w:t>
      </w:r>
      <w:r w:rsidR="00781331" w:rsidRPr="00871EA6">
        <w:rPr>
          <w:color w:val="auto"/>
          <w:sz w:val="22"/>
          <w:szCs w:val="22"/>
          <w:lang w:val="en-US"/>
        </w:rPr>
        <w:t xml:space="preserve"> and three anonymous referees for helpful comme</w:t>
      </w:r>
      <w:r w:rsidR="00373FB8" w:rsidRPr="00871EA6">
        <w:rPr>
          <w:color w:val="auto"/>
          <w:sz w:val="22"/>
          <w:szCs w:val="22"/>
          <w:lang w:val="en-US"/>
        </w:rPr>
        <w:t>n</w:t>
      </w:r>
      <w:r w:rsidR="00781331" w:rsidRPr="00871EA6">
        <w:rPr>
          <w:color w:val="auto"/>
          <w:sz w:val="22"/>
          <w:szCs w:val="22"/>
          <w:lang w:val="en-US"/>
        </w:rPr>
        <w:t>ts</w:t>
      </w:r>
      <w:r w:rsidRPr="00871EA6">
        <w:rPr>
          <w:color w:val="auto"/>
          <w:sz w:val="22"/>
          <w:szCs w:val="22"/>
          <w:lang w:val="en-US"/>
        </w:rPr>
        <w:t xml:space="preserve">. </w:t>
      </w:r>
    </w:p>
    <w:p w:rsidR="00D97B06" w:rsidRPr="00871EA6" w:rsidRDefault="00D97B06" w:rsidP="00D97B06">
      <w:pPr>
        <w:tabs>
          <w:tab w:val="left" w:pos="2410"/>
          <w:tab w:val="right" w:pos="7144"/>
        </w:tabs>
        <w:spacing w:line="240" w:lineRule="auto"/>
        <w:ind w:firstLine="0"/>
        <w:rPr>
          <w:i/>
          <w:color w:val="CC9900"/>
          <w:sz w:val="22"/>
          <w:szCs w:val="22"/>
          <w:lang w:val="en-US"/>
        </w:rPr>
      </w:pPr>
    </w:p>
    <w:p w:rsidR="00D97B06" w:rsidRPr="00871EA6" w:rsidRDefault="00D97B06" w:rsidP="00D97B06">
      <w:pPr>
        <w:tabs>
          <w:tab w:val="left" w:pos="2410"/>
          <w:tab w:val="right" w:pos="7144"/>
        </w:tabs>
        <w:spacing w:line="240" w:lineRule="auto"/>
        <w:ind w:firstLine="0"/>
        <w:rPr>
          <w:i/>
          <w:color w:val="CC9900"/>
          <w:sz w:val="22"/>
          <w:szCs w:val="22"/>
          <w:lang w:val="en-US"/>
        </w:rPr>
      </w:pPr>
    </w:p>
    <w:p w:rsidR="00D97B06" w:rsidRPr="00871EA6" w:rsidRDefault="00D97B06" w:rsidP="00D97B06">
      <w:pPr>
        <w:pStyle w:val="Heading1"/>
        <w:keepNext w:val="0"/>
        <w:keepLines w:val="0"/>
        <w:numPr>
          <w:ilvl w:val="0"/>
          <w:numId w:val="0"/>
        </w:numPr>
        <w:spacing w:before="0" w:line="240" w:lineRule="auto"/>
        <w:rPr>
          <w:color w:val="auto"/>
          <w:sz w:val="24"/>
          <w:szCs w:val="22"/>
          <w:lang w:val="en-US"/>
        </w:rPr>
      </w:pPr>
      <w:r w:rsidRPr="00871EA6">
        <w:rPr>
          <w:color w:val="auto"/>
          <w:sz w:val="24"/>
          <w:szCs w:val="22"/>
          <w:lang w:val="en-US"/>
        </w:rPr>
        <w:t xml:space="preserve">References </w:t>
      </w:r>
    </w:p>
    <w:p w:rsidR="00D97B06" w:rsidRPr="00871EA6" w:rsidRDefault="00D97B06" w:rsidP="00D97B06">
      <w:pPr>
        <w:tabs>
          <w:tab w:val="left" w:pos="2410"/>
          <w:tab w:val="right" w:pos="7144"/>
        </w:tabs>
        <w:spacing w:line="240" w:lineRule="auto"/>
        <w:ind w:firstLine="0"/>
        <w:rPr>
          <w:i/>
          <w:color w:val="CC9900"/>
          <w:sz w:val="22"/>
          <w:szCs w:val="22"/>
          <w:lang w:val="en-US"/>
        </w:rPr>
      </w:pPr>
    </w:p>
    <w:p w:rsidR="00131B61" w:rsidRPr="00871EA6" w:rsidRDefault="00D97B06" w:rsidP="00C46DBA">
      <w:pPr>
        <w:spacing w:line="240" w:lineRule="auto"/>
        <w:ind w:left="425" w:hanging="425"/>
        <w:rPr>
          <w:rFonts w:eastAsiaTheme="majorEastAsia"/>
          <w:color w:val="auto"/>
          <w:sz w:val="20"/>
          <w:szCs w:val="22"/>
        </w:rPr>
      </w:pPr>
      <w:r w:rsidRPr="00871EA6">
        <w:rPr>
          <w:rFonts w:eastAsia="Times New Roman"/>
          <w:color w:val="auto"/>
          <w:sz w:val="20"/>
          <w:szCs w:val="20"/>
          <w:lang w:val="en-US" w:eastAsia="pt-PT"/>
        </w:rPr>
        <w:t xml:space="preserve">Agenor, </w:t>
      </w:r>
      <w:r w:rsidR="00131B61" w:rsidRPr="00871EA6">
        <w:rPr>
          <w:rFonts w:eastAsia="Times New Roman"/>
          <w:color w:val="auto"/>
          <w:sz w:val="20"/>
          <w:szCs w:val="20"/>
          <w:lang w:val="en-US" w:eastAsia="pt-PT"/>
        </w:rPr>
        <w:t>P.</w:t>
      </w:r>
      <w:r w:rsidRPr="00871EA6">
        <w:rPr>
          <w:rFonts w:eastAsia="Times New Roman"/>
          <w:color w:val="auto"/>
          <w:sz w:val="20"/>
          <w:szCs w:val="20"/>
          <w:lang w:val="en-US" w:eastAsia="pt-PT"/>
        </w:rPr>
        <w:t>, Aizenman, J</w:t>
      </w:r>
      <w:r w:rsidR="00131B61" w:rsidRPr="00871EA6">
        <w:rPr>
          <w:rFonts w:eastAsia="Times New Roman"/>
          <w:color w:val="auto"/>
          <w:sz w:val="20"/>
          <w:szCs w:val="20"/>
          <w:lang w:val="en-US" w:eastAsia="pt-PT"/>
        </w:rPr>
        <w:t>.</w:t>
      </w:r>
      <w:r w:rsidRPr="00871EA6">
        <w:rPr>
          <w:rFonts w:eastAsia="Times New Roman"/>
          <w:color w:val="auto"/>
          <w:sz w:val="20"/>
          <w:szCs w:val="20"/>
          <w:lang w:val="en-US" w:eastAsia="pt-PT"/>
        </w:rPr>
        <w:t xml:space="preserve"> </w:t>
      </w:r>
      <w:r w:rsidR="00436CB5" w:rsidRPr="00871EA6">
        <w:rPr>
          <w:color w:val="auto"/>
          <w:sz w:val="20"/>
          <w:szCs w:val="20"/>
        </w:rPr>
        <w:t xml:space="preserve">&amp; </w:t>
      </w:r>
      <w:r w:rsidRPr="00871EA6">
        <w:rPr>
          <w:rFonts w:eastAsia="Times New Roman"/>
          <w:color w:val="auto"/>
          <w:sz w:val="20"/>
          <w:szCs w:val="20"/>
          <w:lang w:val="en-US" w:eastAsia="pt-PT"/>
        </w:rPr>
        <w:t xml:space="preserve"> Hoffmaister, A</w:t>
      </w:r>
      <w:r w:rsidR="00131B61" w:rsidRPr="00871EA6">
        <w:rPr>
          <w:rFonts w:eastAsia="Times New Roman"/>
          <w:color w:val="auto"/>
          <w:sz w:val="20"/>
          <w:szCs w:val="20"/>
          <w:lang w:val="en-US" w:eastAsia="pt-PT"/>
        </w:rPr>
        <w:t>.</w:t>
      </w:r>
      <w:r w:rsidR="00FD715E" w:rsidRPr="00871EA6">
        <w:rPr>
          <w:rFonts w:eastAsia="Times New Roman"/>
          <w:color w:val="auto"/>
          <w:sz w:val="20"/>
          <w:szCs w:val="20"/>
          <w:lang w:val="en-US" w:eastAsia="pt-PT"/>
        </w:rPr>
        <w:t>W.</w:t>
      </w:r>
      <w:r w:rsidRPr="00871EA6">
        <w:rPr>
          <w:rFonts w:eastAsia="Times New Roman"/>
          <w:color w:val="auto"/>
          <w:sz w:val="20"/>
          <w:szCs w:val="20"/>
          <w:lang w:val="en-US" w:eastAsia="pt-PT"/>
        </w:rPr>
        <w:t xml:space="preserve"> </w:t>
      </w:r>
      <w:r w:rsidR="00131B61" w:rsidRPr="00871EA6">
        <w:rPr>
          <w:rFonts w:eastAsia="Times New Roman"/>
          <w:color w:val="auto"/>
          <w:sz w:val="20"/>
          <w:szCs w:val="20"/>
          <w:lang w:val="en-US" w:eastAsia="pt-PT"/>
        </w:rPr>
        <w:t>(</w:t>
      </w:r>
      <w:r w:rsidRPr="00871EA6">
        <w:rPr>
          <w:rFonts w:eastAsia="Times New Roman"/>
          <w:color w:val="auto"/>
          <w:sz w:val="20"/>
          <w:szCs w:val="20"/>
          <w:lang w:val="en-US" w:eastAsia="pt-PT"/>
        </w:rPr>
        <w:t>2004</w:t>
      </w:r>
      <w:r w:rsidR="00131B61" w:rsidRPr="00871EA6">
        <w:rPr>
          <w:rFonts w:eastAsia="Times New Roman"/>
          <w:color w:val="auto"/>
          <w:sz w:val="20"/>
          <w:szCs w:val="20"/>
          <w:lang w:val="en-US" w:eastAsia="pt-PT"/>
        </w:rPr>
        <w:t xml:space="preserve">). </w:t>
      </w:r>
      <w:r w:rsidR="00436CB5" w:rsidRPr="00871EA6">
        <w:rPr>
          <w:rFonts w:eastAsia="Times New Roman"/>
          <w:color w:val="auto"/>
          <w:sz w:val="20"/>
          <w:szCs w:val="20"/>
          <w:lang w:val="en-US" w:eastAsia="pt-PT"/>
        </w:rPr>
        <w:t>The credit crunch in East Asia: What can bank excess liquid assets tell u</w:t>
      </w:r>
      <w:r w:rsidRPr="00871EA6">
        <w:rPr>
          <w:rFonts w:eastAsia="Times New Roman"/>
          <w:color w:val="auto"/>
          <w:sz w:val="20"/>
          <w:szCs w:val="20"/>
          <w:lang w:val="en-US" w:eastAsia="pt-PT"/>
        </w:rPr>
        <w:t xml:space="preserve">s? </w:t>
      </w:r>
      <w:r w:rsidRPr="00871EA6">
        <w:rPr>
          <w:rFonts w:eastAsia="Times New Roman"/>
          <w:i/>
          <w:color w:val="auto"/>
          <w:sz w:val="20"/>
          <w:szCs w:val="20"/>
          <w:lang w:val="en-US" w:eastAsia="pt-PT"/>
        </w:rPr>
        <w:t>Journal of International Money and Finance</w:t>
      </w:r>
      <w:r w:rsidRPr="00871EA6">
        <w:rPr>
          <w:rFonts w:eastAsia="Times New Roman"/>
          <w:color w:val="auto"/>
          <w:sz w:val="20"/>
          <w:szCs w:val="20"/>
          <w:lang w:val="en-US" w:eastAsia="pt-PT"/>
        </w:rPr>
        <w:t xml:space="preserve"> </w:t>
      </w:r>
      <w:r w:rsidRPr="001F7375">
        <w:rPr>
          <w:rFonts w:eastAsia="Times New Roman"/>
          <w:i/>
          <w:color w:val="auto"/>
          <w:sz w:val="20"/>
          <w:szCs w:val="20"/>
          <w:lang w:val="en-US" w:eastAsia="pt-PT"/>
        </w:rPr>
        <w:t>23</w:t>
      </w:r>
      <w:r w:rsidRPr="001F7375">
        <w:rPr>
          <w:rFonts w:eastAsia="Times New Roman"/>
          <w:color w:val="auto"/>
          <w:sz w:val="20"/>
          <w:szCs w:val="20"/>
          <w:lang w:val="en-US" w:eastAsia="pt-PT"/>
        </w:rPr>
        <w:t xml:space="preserve"> (1)</w:t>
      </w:r>
      <w:r w:rsidR="0063174D" w:rsidRPr="001F7375">
        <w:rPr>
          <w:rFonts w:eastAsia="Times New Roman"/>
          <w:color w:val="auto"/>
          <w:sz w:val="20"/>
          <w:szCs w:val="20"/>
          <w:lang w:val="en-US" w:eastAsia="pt-PT"/>
        </w:rPr>
        <w:t>,</w:t>
      </w:r>
      <w:r w:rsidR="0063174D">
        <w:rPr>
          <w:rFonts w:eastAsia="Times New Roman"/>
          <w:color w:val="auto"/>
          <w:sz w:val="20"/>
          <w:szCs w:val="20"/>
          <w:lang w:val="en-US" w:eastAsia="pt-PT"/>
        </w:rPr>
        <w:t xml:space="preserve"> </w:t>
      </w:r>
      <w:r w:rsidRPr="00871EA6">
        <w:rPr>
          <w:rFonts w:eastAsia="Times New Roman"/>
          <w:color w:val="auto"/>
          <w:sz w:val="20"/>
          <w:szCs w:val="20"/>
          <w:lang w:val="en-US" w:eastAsia="pt-PT"/>
        </w:rPr>
        <w:t>27 – 49.</w:t>
      </w:r>
      <w:r w:rsidR="00131B61" w:rsidRPr="00871EA6">
        <w:rPr>
          <w:rFonts w:eastAsiaTheme="majorEastAsia"/>
          <w:color w:val="auto"/>
          <w:sz w:val="20"/>
          <w:szCs w:val="22"/>
        </w:rPr>
        <w:t xml:space="preserve">  </w:t>
      </w:r>
      <w:hyperlink r:id="rId12" w:history="1">
        <w:r w:rsidR="00131B61" w:rsidRPr="00871EA6">
          <w:rPr>
            <w:rStyle w:val="Hyperlink"/>
            <w:rFonts w:eastAsiaTheme="majorEastAsia"/>
            <w:sz w:val="20"/>
            <w:szCs w:val="22"/>
          </w:rPr>
          <w:t>https://doi.org/10.1016/j.jimonfin.2003.08.008</w:t>
        </w:r>
      </w:hyperlink>
      <w:r w:rsidR="00433688" w:rsidRPr="00871EA6">
        <w:rPr>
          <w:rStyle w:val="Hyperlink"/>
          <w:rFonts w:eastAsiaTheme="majorEastAsia"/>
          <w:sz w:val="20"/>
          <w:szCs w:val="22"/>
        </w:rPr>
        <w:t>.</w:t>
      </w:r>
    </w:p>
    <w:p w:rsidR="00131B61" w:rsidRPr="00871EA6" w:rsidRDefault="00131B61" w:rsidP="00C46DBA">
      <w:pPr>
        <w:spacing w:line="240" w:lineRule="auto"/>
        <w:ind w:left="425" w:hanging="425"/>
        <w:rPr>
          <w:rFonts w:eastAsiaTheme="majorEastAsia"/>
          <w:color w:val="auto"/>
          <w:sz w:val="20"/>
          <w:szCs w:val="22"/>
        </w:rPr>
      </w:pPr>
    </w:p>
    <w:p w:rsidR="00EC0A80"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Bank for </w:t>
      </w:r>
      <w:r w:rsidR="00B45E01" w:rsidRPr="00871EA6">
        <w:rPr>
          <w:rFonts w:eastAsiaTheme="majorEastAsia"/>
          <w:color w:val="auto"/>
          <w:sz w:val="20"/>
          <w:szCs w:val="22"/>
        </w:rPr>
        <w:t>International Settlements</w:t>
      </w:r>
      <w:r w:rsidRPr="00871EA6">
        <w:rPr>
          <w:rFonts w:eastAsiaTheme="majorEastAsia"/>
          <w:color w:val="auto"/>
          <w:sz w:val="20"/>
          <w:szCs w:val="22"/>
        </w:rPr>
        <w:t xml:space="preserve"> </w:t>
      </w:r>
      <w:r w:rsidR="00C443AF" w:rsidRPr="00871EA6">
        <w:rPr>
          <w:rFonts w:eastAsiaTheme="majorEastAsia"/>
          <w:color w:val="auto"/>
          <w:sz w:val="20"/>
          <w:szCs w:val="22"/>
        </w:rPr>
        <w:t>(</w:t>
      </w:r>
      <w:r w:rsidRPr="00871EA6">
        <w:rPr>
          <w:rFonts w:eastAsiaTheme="majorEastAsia"/>
          <w:color w:val="auto"/>
          <w:sz w:val="20"/>
          <w:szCs w:val="22"/>
        </w:rPr>
        <w:t>2014</w:t>
      </w:r>
      <w:r w:rsidR="00C443AF" w:rsidRPr="00871EA6">
        <w:rPr>
          <w:rFonts w:eastAsiaTheme="majorEastAsia"/>
          <w:color w:val="auto"/>
          <w:sz w:val="20"/>
          <w:szCs w:val="22"/>
        </w:rPr>
        <w:t>)</w:t>
      </w:r>
      <w:r w:rsidRPr="00871EA6">
        <w:rPr>
          <w:rFonts w:eastAsiaTheme="majorEastAsia"/>
          <w:color w:val="auto"/>
          <w:sz w:val="20"/>
          <w:szCs w:val="22"/>
        </w:rPr>
        <w:t xml:space="preserve">. </w:t>
      </w:r>
      <w:r w:rsidRPr="00871EA6">
        <w:rPr>
          <w:rFonts w:eastAsiaTheme="majorEastAsia"/>
          <w:i/>
          <w:color w:val="auto"/>
          <w:sz w:val="20"/>
          <w:szCs w:val="22"/>
        </w:rPr>
        <w:t>Growth and inflation: Drivers and prospects.</w:t>
      </w:r>
      <w:r w:rsidR="00EC0A80" w:rsidRPr="00871EA6">
        <w:rPr>
          <w:rFonts w:eastAsiaTheme="majorEastAsia"/>
          <w:color w:val="auto"/>
          <w:sz w:val="20"/>
          <w:szCs w:val="22"/>
        </w:rPr>
        <w:t xml:space="preserve"> Annual Report, </w:t>
      </w:r>
      <w:r w:rsidR="0063174D" w:rsidRPr="00457ED3">
        <w:rPr>
          <w:rFonts w:eastAsiaTheme="majorEastAsia"/>
          <w:color w:val="auto"/>
          <w:sz w:val="20"/>
          <w:szCs w:val="22"/>
        </w:rPr>
        <w:t>No</w:t>
      </w:r>
      <w:r w:rsidR="00EC0A80" w:rsidRPr="00457ED3">
        <w:rPr>
          <w:rFonts w:eastAsiaTheme="majorEastAsia"/>
          <w:color w:val="auto"/>
          <w:sz w:val="20"/>
          <w:szCs w:val="22"/>
        </w:rPr>
        <w:t>.</w:t>
      </w:r>
      <w:r w:rsidR="00EC0A80" w:rsidRPr="00871EA6">
        <w:rPr>
          <w:rFonts w:eastAsiaTheme="majorEastAsia"/>
          <w:color w:val="auto"/>
          <w:sz w:val="20"/>
          <w:szCs w:val="22"/>
        </w:rPr>
        <w:t xml:space="preserve"> 84.</w:t>
      </w:r>
      <w:r w:rsidRPr="00871EA6">
        <w:rPr>
          <w:rFonts w:eastAsiaTheme="majorEastAsia"/>
          <w:color w:val="auto"/>
          <w:sz w:val="20"/>
          <w:szCs w:val="22"/>
        </w:rPr>
        <w:t xml:space="preserve"> Basel</w:t>
      </w:r>
      <w:r w:rsidR="00EC0A80" w:rsidRPr="00871EA6">
        <w:rPr>
          <w:rFonts w:eastAsiaTheme="majorEastAsia"/>
          <w:color w:val="auto"/>
          <w:sz w:val="20"/>
          <w:szCs w:val="22"/>
        </w:rPr>
        <w:t>: Bank for International Settlement</w:t>
      </w:r>
      <w:r w:rsidRPr="00871EA6">
        <w:rPr>
          <w:rFonts w:eastAsiaTheme="majorEastAsia"/>
          <w:color w:val="auto"/>
          <w:sz w:val="20"/>
          <w:szCs w:val="22"/>
        </w:rPr>
        <w:t>.</w:t>
      </w:r>
      <w:r w:rsidR="00EC0A80" w:rsidRPr="00871EA6">
        <w:rPr>
          <w:rFonts w:eastAsiaTheme="majorEastAsia"/>
          <w:color w:val="auto"/>
          <w:sz w:val="20"/>
          <w:szCs w:val="22"/>
        </w:rPr>
        <w:t xml:space="preserve"> </w:t>
      </w:r>
      <w:r w:rsidR="00433688" w:rsidRPr="00871EA6">
        <w:rPr>
          <w:rFonts w:eastAsiaTheme="majorEastAsia"/>
          <w:color w:val="auto"/>
          <w:sz w:val="20"/>
          <w:szCs w:val="22"/>
        </w:rPr>
        <w:t>Retrieved from</w:t>
      </w:r>
    </w:p>
    <w:p w:rsidR="00EC0A80" w:rsidRPr="00871EA6" w:rsidRDefault="00EC0A80"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         </w:t>
      </w:r>
      <w:hyperlink r:id="rId13" w:history="1">
        <w:r w:rsidRPr="00871EA6">
          <w:rPr>
            <w:rStyle w:val="Hyperlink"/>
            <w:rFonts w:eastAsiaTheme="majorEastAsia"/>
            <w:sz w:val="20"/>
            <w:szCs w:val="22"/>
          </w:rPr>
          <w:t>http://www.bis.org/publ/arpdf/ar2014e3.htm</w:t>
        </w:r>
      </w:hyperlink>
      <w:r w:rsidR="00433688" w:rsidRPr="00871EA6">
        <w:rPr>
          <w:rStyle w:val="Hyperlink"/>
          <w:rFonts w:eastAsiaTheme="majorEastAsia"/>
          <w:sz w:val="20"/>
          <w:szCs w:val="22"/>
        </w:rPr>
        <w:t>.</w:t>
      </w:r>
    </w:p>
    <w:p w:rsidR="00D97B06" w:rsidRPr="00871EA6" w:rsidRDefault="00D97B06" w:rsidP="00C46DBA">
      <w:pPr>
        <w:spacing w:line="240" w:lineRule="auto"/>
        <w:ind w:left="425" w:hanging="425"/>
        <w:rPr>
          <w:rFonts w:eastAsiaTheme="majorEastAsia"/>
          <w:color w:val="auto"/>
          <w:sz w:val="20"/>
          <w:szCs w:val="22"/>
        </w:rPr>
      </w:pPr>
    </w:p>
    <w:p w:rsidR="00684C78"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Biggs, </w:t>
      </w:r>
      <w:r w:rsidR="00B45E01" w:rsidRPr="00871EA6">
        <w:rPr>
          <w:rFonts w:eastAsiaTheme="majorEastAsia"/>
          <w:color w:val="auto"/>
          <w:sz w:val="20"/>
          <w:szCs w:val="22"/>
        </w:rPr>
        <w:t>M.</w:t>
      </w:r>
      <w:r w:rsidR="0063174D">
        <w:rPr>
          <w:rFonts w:eastAsiaTheme="majorEastAsia"/>
          <w:color w:val="auto"/>
          <w:sz w:val="20"/>
          <w:szCs w:val="22"/>
        </w:rPr>
        <w:t>,</w:t>
      </w:r>
      <w:r w:rsidRPr="00871EA6">
        <w:rPr>
          <w:rFonts w:eastAsiaTheme="majorEastAsia"/>
          <w:color w:val="auto"/>
          <w:sz w:val="20"/>
          <w:szCs w:val="22"/>
        </w:rPr>
        <w:t xml:space="preserve"> </w:t>
      </w:r>
      <w:r w:rsidR="00B45E01" w:rsidRPr="00871EA6">
        <w:rPr>
          <w:color w:val="auto"/>
          <w:sz w:val="20"/>
          <w:szCs w:val="20"/>
        </w:rPr>
        <w:t xml:space="preserve">&amp; </w:t>
      </w:r>
      <w:r w:rsidRPr="00871EA6">
        <w:rPr>
          <w:rFonts w:eastAsiaTheme="majorEastAsia"/>
          <w:color w:val="auto"/>
          <w:sz w:val="20"/>
          <w:szCs w:val="22"/>
        </w:rPr>
        <w:t xml:space="preserve">Mayer, </w:t>
      </w:r>
      <w:r w:rsidR="00B45E01" w:rsidRPr="00871EA6">
        <w:rPr>
          <w:rFonts w:eastAsiaTheme="majorEastAsia"/>
          <w:color w:val="auto"/>
          <w:sz w:val="20"/>
          <w:szCs w:val="22"/>
        </w:rPr>
        <w:t>T.</w:t>
      </w:r>
      <w:r w:rsidRPr="00871EA6">
        <w:rPr>
          <w:rFonts w:eastAsiaTheme="majorEastAsia"/>
          <w:color w:val="auto"/>
          <w:sz w:val="20"/>
          <w:szCs w:val="22"/>
        </w:rPr>
        <w:t xml:space="preserve"> </w:t>
      </w:r>
      <w:r w:rsidR="00B45E01" w:rsidRPr="00871EA6">
        <w:rPr>
          <w:rFonts w:eastAsiaTheme="majorEastAsia"/>
          <w:color w:val="auto"/>
          <w:sz w:val="20"/>
          <w:szCs w:val="22"/>
        </w:rPr>
        <w:t>(</w:t>
      </w:r>
      <w:r w:rsidRPr="00871EA6">
        <w:rPr>
          <w:rFonts w:eastAsiaTheme="majorEastAsia"/>
          <w:color w:val="auto"/>
          <w:sz w:val="20"/>
          <w:szCs w:val="22"/>
        </w:rPr>
        <w:t>2013</w:t>
      </w:r>
      <w:r w:rsidR="00B45E01" w:rsidRPr="00871EA6">
        <w:rPr>
          <w:rFonts w:eastAsiaTheme="majorEastAsia"/>
          <w:color w:val="auto"/>
          <w:sz w:val="20"/>
          <w:szCs w:val="22"/>
        </w:rPr>
        <w:t>)</w:t>
      </w:r>
      <w:r w:rsidRPr="00871EA6">
        <w:rPr>
          <w:rFonts w:eastAsiaTheme="majorEastAsia"/>
          <w:color w:val="auto"/>
          <w:sz w:val="20"/>
          <w:szCs w:val="22"/>
        </w:rPr>
        <w:t xml:space="preserve">. Bring credit back into the monetary policy framework!. </w:t>
      </w:r>
      <w:r w:rsidRPr="00871EA6">
        <w:rPr>
          <w:rFonts w:eastAsiaTheme="majorEastAsia"/>
          <w:i/>
          <w:color w:val="auto"/>
          <w:sz w:val="20"/>
          <w:szCs w:val="22"/>
        </w:rPr>
        <w:t xml:space="preserve">Political Economy of Financial </w:t>
      </w:r>
      <w:r w:rsidRPr="005370BE">
        <w:rPr>
          <w:rFonts w:eastAsiaTheme="majorEastAsia"/>
          <w:i/>
          <w:color w:val="auto"/>
          <w:sz w:val="20"/>
          <w:szCs w:val="22"/>
        </w:rPr>
        <w:t>Markets</w:t>
      </w:r>
      <w:r w:rsidR="0063174D" w:rsidRPr="005370BE">
        <w:rPr>
          <w:rFonts w:eastAsiaTheme="majorEastAsia"/>
          <w:color w:val="auto"/>
          <w:sz w:val="20"/>
          <w:szCs w:val="22"/>
        </w:rPr>
        <w:t>.</w:t>
      </w:r>
      <w:r w:rsidRPr="005370BE">
        <w:rPr>
          <w:rFonts w:eastAsiaTheme="majorEastAsia"/>
          <w:color w:val="auto"/>
          <w:sz w:val="20"/>
          <w:szCs w:val="22"/>
        </w:rPr>
        <w:t xml:space="preserve"> </w:t>
      </w:r>
      <w:r w:rsidR="00B45E01" w:rsidRPr="005370BE">
        <w:rPr>
          <w:rFonts w:eastAsiaTheme="majorEastAsia"/>
          <w:color w:val="auto"/>
          <w:sz w:val="20"/>
          <w:szCs w:val="22"/>
        </w:rPr>
        <w:t>Frankfurt</w:t>
      </w:r>
      <w:r w:rsidR="00B45E01" w:rsidRPr="00871EA6">
        <w:rPr>
          <w:rFonts w:eastAsiaTheme="majorEastAsia"/>
          <w:color w:val="auto"/>
          <w:sz w:val="20"/>
          <w:szCs w:val="22"/>
        </w:rPr>
        <w:t xml:space="preserve">: </w:t>
      </w:r>
      <w:r w:rsidRPr="00871EA6">
        <w:rPr>
          <w:rFonts w:eastAsiaTheme="majorEastAsia"/>
          <w:color w:val="auto"/>
          <w:sz w:val="20"/>
          <w:szCs w:val="22"/>
        </w:rPr>
        <w:t>Policy Brief</w:t>
      </w:r>
      <w:r w:rsidR="00B45E01" w:rsidRPr="00871EA6">
        <w:rPr>
          <w:rFonts w:eastAsiaTheme="majorEastAsia"/>
          <w:color w:val="auto"/>
          <w:sz w:val="20"/>
          <w:szCs w:val="22"/>
        </w:rPr>
        <w:t>.</w:t>
      </w:r>
    </w:p>
    <w:p w:rsidR="00684C78" w:rsidRPr="00871EA6" w:rsidRDefault="00684C78" w:rsidP="00C46DBA">
      <w:pPr>
        <w:spacing w:line="240" w:lineRule="auto"/>
        <w:ind w:left="425" w:hanging="425"/>
        <w:rPr>
          <w:rFonts w:eastAsiaTheme="majorEastAsia"/>
          <w:color w:val="auto"/>
          <w:sz w:val="20"/>
          <w:szCs w:val="22"/>
        </w:rPr>
      </w:pPr>
    </w:p>
    <w:p w:rsidR="00D91571"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Billmeier, A</w:t>
      </w:r>
      <w:r w:rsidR="003A68A9" w:rsidRPr="00871EA6">
        <w:rPr>
          <w:rFonts w:eastAsiaTheme="majorEastAsia"/>
          <w:color w:val="auto"/>
          <w:sz w:val="20"/>
          <w:szCs w:val="22"/>
        </w:rPr>
        <w:t>.</w:t>
      </w:r>
      <w:r w:rsidRPr="00871EA6">
        <w:rPr>
          <w:rFonts w:eastAsiaTheme="majorEastAsia"/>
          <w:color w:val="auto"/>
          <w:sz w:val="20"/>
          <w:szCs w:val="22"/>
        </w:rPr>
        <w:t xml:space="preserve"> </w:t>
      </w:r>
      <w:r w:rsidR="003A68A9" w:rsidRPr="00871EA6">
        <w:rPr>
          <w:rFonts w:eastAsiaTheme="majorEastAsia"/>
          <w:color w:val="auto"/>
          <w:sz w:val="20"/>
          <w:szCs w:val="22"/>
        </w:rPr>
        <w:t>(</w:t>
      </w:r>
      <w:r w:rsidRPr="00871EA6">
        <w:rPr>
          <w:rFonts w:eastAsiaTheme="majorEastAsia"/>
          <w:color w:val="auto"/>
          <w:sz w:val="20"/>
          <w:szCs w:val="22"/>
        </w:rPr>
        <w:t>2004</w:t>
      </w:r>
      <w:r w:rsidR="003A68A9" w:rsidRPr="00871EA6">
        <w:rPr>
          <w:rFonts w:eastAsiaTheme="majorEastAsia"/>
          <w:color w:val="auto"/>
          <w:sz w:val="20"/>
          <w:szCs w:val="22"/>
        </w:rPr>
        <w:t>)</w:t>
      </w:r>
      <w:r w:rsidR="00FD715E" w:rsidRPr="00871EA6">
        <w:rPr>
          <w:rFonts w:eastAsiaTheme="majorEastAsia"/>
          <w:color w:val="auto"/>
          <w:sz w:val="20"/>
          <w:szCs w:val="22"/>
        </w:rPr>
        <w:t xml:space="preserve">. </w:t>
      </w:r>
      <w:r w:rsidRPr="00871EA6">
        <w:rPr>
          <w:rFonts w:eastAsiaTheme="majorEastAsia"/>
          <w:color w:val="auto"/>
          <w:sz w:val="20"/>
          <w:szCs w:val="22"/>
        </w:rPr>
        <w:t>Ghostbusting: which output gap measure really matters? IMF Working Pape</w:t>
      </w:r>
      <w:r w:rsidR="003A68A9" w:rsidRPr="00871EA6">
        <w:rPr>
          <w:rFonts w:eastAsiaTheme="majorEastAsia"/>
          <w:color w:val="auto"/>
          <w:sz w:val="20"/>
          <w:szCs w:val="22"/>
        </w:rPr>
        <w:t xml:space="preserve">r, </w:t>
      </w:r>
      <w:r w:rsidRPr="00457ED3">
        <w:rPr>
          <w:rFonts w:eastAsiaTheme="majorEastAsia"/>
          <w:color w:val="auto"/>
          <w:sz w:val="20"/>
          <w:szCs w:val="22"/>
        </w:rPr>
        <w:t>146</w:t>
      </w:r>
      <w:r w:rsidR="002A145C">
        <w:rPr>
          <w:rFonts w:eastAsiaTheme="majorEastAsia"/>
          <w:color w:val="auto"/>
          <w:sz w:val="20"/>
          <w:szCs w:val="22"/>
        </w:rPr>
        <w:t>.</w:t>
      </w:r>
      <w:r w:rsidR="008B2484">
        <w:rPr>
          <w:rFonts w:eastAsiaTheme="majorEastAsia"/>
          <w:color w:val="auto"/>
          <w:sz w:val="20"/>
          <w:szCs w:val="22"/>
        </w:rPr>
        <w:t xml:space="preserve"> </w:t>
      </w:r>
      <w:r w:rsidR="00D91571">
        <w:rPr>
          <w:rFonts w:eastAsiaTheme="majorEastAsia"/>
          <w:color w:val="auto"/>
          <w:sz w:val="20"/>
          <w:szCs w:val="22"/>
        </w:rPr>
        <w:t>Retreived from</w:t>
      </w:r>
    </w:p>
    <w:p w:rsidR="00D97B06" w:rsidRPr="00457ED3" w:rsidRDefault="00B33052" w:rsidP="00D91571">
      <w:pPr>
        <w:spacing w:line="240" w:lineRule="auto"/>
        <w:ind w:left="425" w:firstLine="0"/>
        <w:rPr>
          <w:rStyle w:val="Hyperlink"/>
        </w:rPr>
      </w:pPr>
      <w:hyperlink r:id="rId14" w:history="1">
        <w:r w:rsidR="00457ED3" w:rsidRPr="00457ED3">
          <w:rPr>
            <w:rStyle w:val="Hyperlink"/>
            <w:rFonts w:eastAsiaTheme="majorEastAsia"/>
            <w:sz w:val="20"/>
            <w:szCs w:val="22"/>
          </w:rPr>
          <w:t>https://www.sant.ox.ac.uk/sites/default/files/pefmcreditpolicybrief.pdf</w:t>
        </w:r>
      </w:hyperlink>
      <w:r w:rsidR="00433688" w:rsidRPr="00457ED3">
        <w:rPr>
          <w:rStyle w:val="Hyperlink"/>
          <w:rFonts w:eastAsiaTheme="majorEastAsia"/>
          <w:sz w:val="20"/>
          <w:szCs w:val="22"/>
        </w:rPr>
        <w:t>.</w:t>
      </w:r>
    </w:p>
    <w:p w:rsidR="00D97B06" w:rsidRPr="00871EA6" w:rsidRDefault="00D97B06" w:rsidP="00C46DBA">
      <w:pPr>
        <w:spacing w:line="240" w:lineRule="auto"/>
        <w:ind w:left="425" w:hanging="425"/>
        <w:rPr>
          <w:rFonts w:eastAsiaTheme="majorEastAsia"/>
          <w:color w:val="auto"/>
          <w:sz w:val="20"/>
          <w:szCs w:val="22"/>
        </w:rPr>
      </w:pPr>
    </w:p>
    <w:p w:rsidR="00321211"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Borio, C</w:t>
      </w:r>
      <w:r w:rsidR="003359BE" w:rsidRPr="00871EA6">
        <w:rPr>
          <w:rFonts w:eastAsiaTheme="majorEastAsia"/>
          <w:color w:val="auto"/>
          <w:sz w:val="20"/>
          <w:szCs w:val="22"/>
        </w:rPr>
        <w:t xml:space="preserve">., Disyatat, P. </w:t>
      </w:r>
      <w:r w:rsidR="003359BE" w:rsidRPr="00871EA6">
        <w:rPr>
          <w:color w:val="auto"/>
          <w:sz w:val="20"/>
          <w:szCs w:val="20"/>
        </w:rPr>
        <w:t>&amp;</w:t>
      </w:r>
      <w:r w:rsidRPr="00871EA6">
        <w:rPr>
          <w:rFonts w:eastAsiaTheme="majorEastAsia"/>
          <w:color w:val="auto"/>
          <w:sz w:val="20"/>
          <w:szCs w:val="22"/>
        </w:rPr>
        <w:t xml:space="preserve"> Juselius, M</w:t>
      </w:r>
      <w:r w:rsidR="003359BE" w:rsidRPr="00871EA6">
        <w:rPr>
          <w:rFonts w:eastAsiaTheme="majorEastAsia"/>
          <w:color w:val="auto"/>
          <w:sz w:val="20"/>
          <w:szCs w:val="22"/>
        </w:rPr>
        <w:t>. (</w:t>
      </w:r>
      <w:r w:rsidRPr="00871EA6">
        <w:rPr>
          <w:rFonts w:eastAsiaTheme="majorEastAsia"/>
          <w:color w:val="auto"/>
          <w:sz w:val="20"/>
          <w:szCs w:val="22"/>
        </w:rPr>
        <w:t>2013</w:t>
      </w:r>
      <w:r w:rsidR="003359BE" w:rsidRPr="00871EA6">
        <w:rPr>
          <w:rFonts w:eastAsiaTheme="majorEastAsia"/>
          <w:color w:val="auto"/>
          <w:sz w:val="20"/>
          <w:szCs w:val="22"/>
        </w:rPr>
        <w:t>)</w:t>
      </w:r>
      <w:r w:rsidRPr="00871EA6">
        <w:rPr>
          <w:rFonts w:eastAsiaTheme="majorEastAsia"/>
          <w:color w:val="auto"/>
          <w:sz w:val="20"/>
          <w:szCs w:val="22"/>
        </w:rPr>
        <w:t xml:space="preserve">. Rethinking potential output: Embedding information about the financial cycle. </w:t>
      </w:r>
      <w:r w:rsidR="003359BE" w:rsidRPr="0063174D">
        <w:rPr>
          <w:rFonts w:eastAsiaTheme="majorEastAsia"/>
          <w:i/>
          <w:color w:val="auto"/>
          <w:sz w:val="20"/>
          <w:szCs w:val="22"/>
        </w:rPr>
        <w:t>BIS Working Paper</w:t>
      </w:r>
      <w:r w:rsidR="003359BE" w:rsidRPr="00871EA6">
        <w:rPr>
          <w:rFonts w:eastAsiaTheme="majorEastAsia"/>
          <w:color w:val="auto"/>
          <w:sz w:val="20"/>
          <w:szCs w:val="22"/>
        </w:rPr>
        <w:t xml:space="preserve">, </w:t>
      </w:r>
      <w:r w:rsidRPr="00871EA6">
        <w:rPr>
          <w:rFonts w:eastAsiaTheme="majorEastAsia"/>
          <w:i/>
          <w:color w:val="auto"/>
          <w:sz w:val="20"/>
          <w:szCs w:val="22"/>
        </w:rPr>
        <w:t>404</w:t>
      </w:r>
      <w:r w:rsidR="00321211" w:rsidRPr="00871EA6">
        <w:rPr>
          <w:rFonts w:eastAsiaTheme="majorEastAsia"/>
          <w:color w:val="auto"/>
          <w:sz w:val="20"/>
          <w:szCs w:val="22"/>
        </w:rPr>
        <w:t>.</w:t>
      </w:r>
    </w:p>
    <w:p w:rsidR="00D97B06"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 </w:t>
      </w:r>
      <w:r w:rsidR="00321211" w:rsidRPr="00871EA6">
        <w:rPr>
          <w:rFonts w:eastAsiaTheme="majorEastAsia"/>
          <w:color w:val="auto"/>
          <w:sz w:val="20"/>
          <w:szCs w:val="22"/>
        </w:rPr>
        <w:t xml:space="preserve">        </w:t>
      </w:r>
      <w:hyperlink r:id="rId15" w:history="1">
        <w:r w:rsidR="00321211" w:rsidRPr="00871EA6">
          <w:rPr>
            <w:rStyle w:val="Hyperlink"/>
            <w:rFonts w:eastAsiaTheme="majorEastAsia"/>
            <w:sz w:val="20"/>
            <w:szCs w:val="22"/>
          </w:rPr>
          <w:t>http://www.bis.org/publ/work404.htm</w:t>
        </w:r>
      </w:hyperlink>
      <w:r w:rsidR="00433688" w:rsidRPr="00871EA6">
        <w:rPr>
          <w:rStyle w:val="Hyperlink"/>
          <w:rFonts w:eastAsiaTheme="majorEastAsia"/>
          <w:sz w:val="20"/>
          <w:szCs w:val="22"/>
        </w:rPr>
        <w:t>.</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Brunnermeier, M</w:t>
      </w:r>
      <w:r w:rsidR="00321211" w:rsidRPr="00871EA6">
        <w:rPr>
          <w:rFonts w:eastAsiaTheme="majorEastAsia"/>
          <w:color w:val="auto"/>
          <w:sz w:val="20"/>
          <w:szCs w:val="22"/>
        </w:rPr>
        <w:t>.</w:t>
      </w:r>
      <w:r w:rsidRPr="00871EA6">
        <w:rPr>
          <w:rFonts w:eastAsiaTheme="majorEastAsia"/>
          <w:color w:val="auto"/>
          <w:sz w:val="20"/>
          <w:szCs w:val="22"/>
        </w:rPr>
        <w:t xml:space="preserve">, K., </w:t>
      </w:r>
      <w:r w:rsidR="002E151E" w:rsidRPr="00871EA6">
        <w:rPr>
          <w:color w:val="auto"/>
          <w:sz w:val="20"/>
          <w:szCs w:val="20"/>
        </w:rPr>
        <w:t xml:space="preserve">&amp; </w:t>
      </w:r>
      <w:r w:rsidRPr="00871EA6">
        <w:rPr>
          <w:rFonts w:eastAsiaTheme="majorEastAsia"/>
          <w:color w:val="auto"/>
          <w:sz w:val="20"/>
          <w:szCs w:val="22"/>
        </w:rPr>
        <w:t>Sannikov, Y</w:t>
      </w:r>
      <w:r w:rsidR="002E151E" w:rsidRPr="00871EA6">
        <w:rPr>
          <w:rFonts w:eastAsiaTheme="majorEastAsia"/>
          <w:color w:val="auto"/>
          <w:sz w:val="20"/>
          <w:szCs w:val="22"/>
        </w:rPr>
        <w:t>.</w:t>
      </w:r>
      <w:r w:rsidRPr="00871EA6">
        <w:rPr>
          <w:rFonts w:eastAsiaTheme="majorEastAsia"/>
          <w:color w:val="auto"/>
          <w:sz w:val="20"/>
          <w:szCs w:val="22"/>
        </w:rPr>
        <w:t xml:space="preserve"> </w:t>
      </w:r>
      <w:r w:rsidR="002E151E" w:rsidRPr="00871EA6">
        <w:rPr>
          <w:rFonts w:eastAsiaTheme="majorEastAsia"/>
          <w:color w:val="auto"/>
          <w:sz w:val="20"/>
          <w:szCs w:val="22"/>
        </w:rPr>
        <w:t>(</w:t>
      </w:r>
      <w:r w:rsidRPr="00871EA6">
        <w:rPr>
          <w:rFonts w:eastAsiaTheme="majorEastAsia"/>
          <w:color w:val="auto"/>
          <w:sz w:val="20"/>
          <w:szCs w:val="22"/>
        </w:rPr>
        <w:t>2014</w:t>
      </w:r>
      <w:r w:rsidR="002E151E" w:rsidRPr="00871EA6">
        <w:rPr>
          <w:rFonts w:eastAsiaTheme="majorEastAsia"/>
          <w:color w:val="auto"/>
          <w:sz w:val="20"/>
          <w:szCs w:val="22"/>
        </w:rPr>
        <w:t>)</w:t>
      </w:r>
      <w:r w:rsidRPr="00871EA6">
        <w:rPr>
          <w:rFonts w:eastAsiaTheme="majorEastAsia"/>
          <w:color w:val="auto"/>
          <w:sz w:val="20"/>
          <w:szCs w:val="22"/>
        </w:rPr>
        <w:t xml:space="preserve">. A macroeconomic model with a financial sector. </w:t>
      </w:r>
      <w:r w:rsidRPr="00871EA6">
        <w:rPr>
          <w:rFonts w:eastAsiaTheme="majorEastAsia"/>
          <w:i/>
          <w:color w:val="auto"/>
          <w:sz w:val="20"/>
          <w:szCs w:val="22"/>
        </w:rPr>
        <w:t>American Economic Review</w:t>
      </w:r>
      <w:r w:rsidRPr="00871EA6">
        <w:rPr>
          <w:rFonts w:eastAsiaTheme="majorEastAsia"/>
          <w:color w:val="auto"/>
          <w:sz w:val="20"/>
          <w:szCs w:val="22"/>
        </w:rPr>
        <w:t xml:space="preserve"> </w:t>
      </w:r>
      <w:r w:rsidRPr="00871EA6">
        <w:rPr>
          <w:rFonts w:eastAsiaTheme="majorEastAsia"/>
          <w:i/>
          <w:color w:val="auto"/>
          <w:sz w:val="20"/>
          <w:szCs w:val="22"/>
        </w:rPr>
        <w:t>104</w:t>
      </w:r>
      <w:r w:rsidRPr="00871EA6">
        <w:rPr>
          <w:rFonts w:eastAsiaTheme="majorEastAsia"/>
          <w:color w:val="auto"/>
          <w:sz w:val="20"/>
          <w:szCs w:val="22"/>
        </w:rPr>
        <w:t>(2), 379-421.</w:t>
      </w:r>
      <w:r w:rsidR="002E151E" w:rsidRPr="00871EA6">
        <w:rPr>
          <w:rFonts w:eastAsiaTheme="majorEastAsia"/>
          <w:color w:val="auto"/>
          <w:sz w:val="20"/>
          <w:szCs w:val="22"/>
        </w:rPr>
        <w:t xml:space="preserve"> </w:t>
      </w:r>
      <w:hyperlink r:id="rId16" w:history="1">
        <w:r w:rsidR="00E23706" w:rsidRPr="00871EA6">
          <w:rPr>
            <w:rStyle w:val="Hyperlink"/>
            <w:rFonts w:eastAsiaTheme="majorEastAsia"/>
            <w:sz w:val="20"/>
            <w:szCs w:val="22"/>
          </w:rPr>
          <w:t>https://doi:10.1257/aer.104.2.379</w:t>
        </w:r>
      </w:hyperlink>
      <w:r w:rsidR="00E23706" w:rsidRPr="00871EA6">
        <w:rPr>
          <w:rFonts w:eastAsiaTheme="majorEastAsia"/>
          <w:color w:val="auto"/>
          <w:sz w:val="20"/>
          <w:szCs w:val="22"/>
        </w:rPr>
        <w:t>.</w:t>
      </w:r>
    </w:p>
    <w:p w:rsidR="00C46DBA" w:rsidRPr="00871EA6" w:rsidRDefault="00C46DBA" w:rsidP="00C46DBA">
      <w:pPr>
        <w:spacing w:line="240" w:lineRule="auto"/>
        <w:ind w:left="425" w:hanging="425"/>
        <w:rPr>
          <w:rFonts w:eastAsiaTheme="majorEastAsia"/>
          <w:color w:val="auto"/>
          <w:sz w:val="20"/>
          <w:szCs w:val="22"/>
        </w:rPr>
      </w:pPr>
    </w:p>
    <w:p w:rsidR="00D97B06"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Carvalho, A</w:t>
      </w:r>
      <w:r w:rsidR="002E151E" w:rsidRPr="00871EA6">
        <w:rPr>
          <w:rFonts w:eastAsiaTheme="majorEastAsia"/>
          <w:color w:val="auto"/>
          <w:sz w:val="20"/>
          <w:szCs w:val="22"/>
        </w:rPr>
        <w:t>.</w:t>
      </w:r>
      <w:r w:rsidRPr="00871EA6">
        <w:rPr>
          <w:rFonts w:eastAsiaTheme="majorEastAsia"/>
          <w:color w:val="auto"/>
          <w:sz w:val="20"/>
          <w:szCs w:val="22"/>
        </w:rPr>
        <w:t>, Nepal, R</w:t>
      </w:r>
      <w:r w:rsidR="002E151E" w:rsidRPr="00871EA6">
        <w:rPr>
          <w:rFonts w:eastAsiaTheme="majorEastAsia"/>
          <w:color w:val="auto"/>
          <w:sz w:val="20"/>
          <w:szCs w:val="22"/>
        </w:rPr>
        <w:t xml:space="preserve">. </w:t>
      </w:r>
      <w:r w:rsidR="002E151E" w:rsidRPr="00871EA6">
        <w:rPr>
          <w:color w:val="auto"/>
          <w:sz w:val="20"/>
          <w:szCs w:val="20"/>
        </w:rPr>
        <w:t xml:space="preserve">&amp; </w:t>
      </w:r>
      <w:r w:rsidRPr="00871EA6">
        <w:rPr>
          <w:rFonts w:eastAsiaTheme="majorEastAsia"/>
          <w:color w:val="auto"/>
          <w:sz w:val="20"/>
          <w:szCs w:val="22"/>
        </w:rPr>
        <w:t>Tooraj,</w:t>
      </w:r>
      <w:r w:rsidR="002E151E" w:rsidRPr="00871EA6">
        <w:rPr>
          <w:rFonts w:eastAsiaTheme="majorEastAsia"/>
          <w:color w:val="auto"/>
          <w:sz w:val="20"/>
          <w:szCs w:val="22"/>
        </w:rPr>
        <w:t xml:space="preserve"> J.</w:t>
      </w:r>
      <w:r w:rsidRPr="00871EA6">
        <w:rPr>
          <w:rFonts w:eastAsiaTheme="majorEastAsia"/>
          <w:color w:val="auto"/>
          <w:sz w:val="20"/>
          <w:szCs w:val="22"/>
        </w:rPr>
        <w:t xml:space="preserve"> </w:t>
      </w:r>
      <w:r w:rsidR="002E151E" w:rsidRPr="00871EA6">
        <w:rPr>
          <w:rFonts w:eastAsiaTheme="majorEastAsia"/>
          <w:color w:val="auto"/>
          <w:sz w:val="20"/>
          <w:szCs w:val="22"/>
        </w:rPr>
        <w:t>(2016)</w:t>
      </w:r>
      <w:r w:rsidRPr="00871EA6">
        <w:rPr>
          <w:rFonts w:eastAsiaTheme="majorEastAsia"/>
          <w:color w:val="auto"/>
          <w:sz w:val="20"/>
          <w:szCs w:val="22"/>
        </w:rPr>
        <w:t xml:space="preserve">. </w:t>
      </w:r>
      <w:r w:rsidR="002E151E" w:rsidRPr="00871EA6">
        <w:rPr>
          <w:rFonts w:eastAsiaTheme="majorEastAsia"/>
          <w:color w:val="auto"/>
          <w:sz w:val="20"/>
          <w:szCs w:val="22"/>
        </w:rPr>
        <w:t xml:space="preserve">Economic reforms and human development: evidence from transition economies. </w:t>
      </w:r>
      <w:r w:rsidR="002E151E" w:rsidRPr="00871EA6">
        <w:rPr>
          <w:rFonts w:eastAsiaTheme="majorEastAsia"/>
          <w:i/>
          <w:color w:val="auto"/>
          <w:sz w:val="20"/>
          <w:szCs w:val="22"/>
        </w:rPr>
        <w:t>Applied Economics, 14</w:t>
      </w:r>
      <w:r w:rsidR="002E151E" w:rsidRPr="00871EA6">
        <w:rPr>
          <w:rFonts w:eastAsiaTheme="majorEastAsia"/>
          <w:color w:val="auto"/>
          <w:sz w:val="20"/>
          <w:szCs w:val="22"/>
        </w:rPr>
        <w:t xml:space="preserve">(48), 1330-1347. </w:t>
      </w:r>
      <w:hyperlink r:id="rId17" w:history="1">
        <w:r w:rsidR="00E23706" w:rsidRPr="00871EA6">
          <w:rPr>
            <w:rStyle w:val="Hyperlink"/>
            <w:rFonts w:eastAsiaTheme="majorEastAsia"/>
            <w:sz w:val="20"/>
            <w:szCs w:val="22"/>
          </w:rPr>
          <w:t>https://doi.org/10.1080/00036846.2015.1100251</w:t>
        </w:r>
      </w:hyperlink>
      <w:r w:rsidR="00E23706" w:rsidRPr="00871EA6">
        <w:rPr>
          <w:rFonts w:eastAsiaTheme="majorEastAsia"/>
          <w:color w:val="auto"/>
          <w:sz w:val="20"/>
          <w:szCs w:val="22"/>
        </w:rPr>
        <w:t>.</w:t>
      </w:r>
    </w:p>
    <w:p w:rsidR="00D97B06" w:rsidRPr="00871EA6" w:rsidRDefault="00D97B06" w:rsidP="00C46DBA">
      <w:pPr>
        <w:spacing w:line="240" w:lineRule="auto"/>
        <w:ind w:left="425" w:hanging="425"/>
        <w:rPr>
          <w:rFonts w:eastAsiaTheme="majorEastAsia"/>
          <w:color w:val="auto"/>
          <w:sz w:val="20"/>
          <w:szCs w:val="22"/>
        </w:rPr>
      </w:pPr>
    </w:p>
    <w:p w:rsidR="005B3D60"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European Commission </w:t>
      </w:r>
      <w:r w:rsidR="002A377C">
        <w:rPr>
          <w:rFonts w:eastAsiaTheme="majorEastAsia"/>
          <w:color w:val="auto"/>
          <w:sz w:val="20"/>
          <w:szCs w:val="22"/>
        </w:rPr>
        <w:t>(</w:t>
      </w:r>
      <w:r w:rsidRPr="00871EA6">
        <w:rPr>
          <w:rFonts w:eastAsiaTheme="majorEastAsia"/>
          <w:color w:val="auto"/>
          <w:sz w:val="20"/>
          <w:szCs w:val="22"/>
        </w:rPr>
        <w:t>2001</w:t>
      </w:r>
      <w:r w:rsidR="002A377C">
        <w:rPr>
          <w:rFonts w:eastAsiaTheme="majorEastAsia"/>
          <w:color w:val="auto"/>
          <w:sz w:val="20"/>
          <w:szCs w:val="22"/>
        </w:rPr>
        <w:t>)</w:t>
      </w:r>
      <w:r w:rsidRPr="00871EA6">
        <w:rPr>
          <w:rFonts w:eastAsiaTheme="majorEastAsia"/>
          <w:color w:val="auto"/>
          <w:sz w:val="20"/>
          <w:szCs w:val="22"/>
        </w:rPr>
        <w:t>. Economic Policy Committee: Opinion by the Economic Policy Committee on the Commission Communication. Structural Indicators,</w:t>
      </w:r>
      <w:r w:rsidR="005B3D60" w:rsidRPr="00871EA6">
        <w:rPr>
          <w:rFonts w:eastAsiaTheme="majorEastAsia"/>
          <w:color w:val="auto"/>
          <w:sz w:val="20"/>
          <w:szCs w:val="22"/>
        </w:rPr>
        <w:t xml:space="preserve"> ECFIN/01/752-rev1. </w:t>
      </w:r>
      <w:r w:rsidR="008C3271" w:rsidRPr="00871EA6">
        <w:rPr>
          <w:rFonts w:eastAsiaTheme="majorEastAsia"/>
          <w:color w:val="auto"/>
          <w:sz w:val="20"/>
          <w:szCs w:val="22"/>
        </w:rPr>
        <w:t>Retrieved</w:t>
      </w:r>
      <w:r w:rsidR="005B3D60" w:rsidRPr="00871EA6">
        <w:rPr>
          <w:rFonts w:eastAsiaTheme="majorEastAsia"/>
          <w:color w:val="auto"/>
          <w:sz w:val="20"/>
          <w:szCs w:val="22"/>
        </w:rPr>
        <w:t xml:space="preserve"> from</w:t>
      </w:r>
      <w:r w:rsidRPr="00871EA6">
        <w:rPr>
          <w:rFonts w:eastAsiaTheme="majorEastAsia"/>
          <w:color w:val="auto"/>
          <w:sz w:val="20"/>
          <w:szCs w:val="22"/>
        </w:rPr>
        <w:t xml:space="preserve"> </w:t>
      </w:r>
    </w:p>
    <w:p w:rsidR="005B3D60" w:rsidRPr="00871EA6" w:rsidRDefault="005B3D60"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        </w:t>
      </w:r>
      <w:hyperlink r:id="rId18" w:history="1">
        <w:r w:rsidRPr="00871EA6">
          <w:rPr>
            <w:rStyle w:val="Hyperlink"/>
            <w:rFonts w:eastAsiaTheme="majorEastAsia"/>
            <w:sz w:val="20"/>
            <w:szCs w:val="22"/>
          </w:rPr>
          <w:t>http://ec.europa.eu/economy_finance/publications/pages/publication6568_en.pdf</w:t>
        </w:r>
      </w:hyperlink>
      <w:r w:rsidR="00E23706" w:rsidRPr="00871EA6">
        <w:rPr>
          <w:rStyle w:val="Hyperlink"/>
          <w:rFonts w:eastAsiaTheme="majorEastAsia"/>
          <w:sz w:val="20"/>
          <w:szCs w:val="22"/>
        </w:rPr>
        <w:t>.</w:t>
      </w:r>
    </w:p>
    <w:p w:rsidR="005B3D60" w:rsidRPr="00871EA6" w:rsidRDefault="005B3D60" w:rsidP="00C46DBA">
      <w:pPr>
        <w:spacing w:line="240" w:lineRule="auto"/>
        <w:ind w:left="425" w:hanging="425"/>
        <w:rPr>
          <w:rFonts w:eastAsiaTheme="majorEastAsia"/>
          <w:color w:val="auto"/>
          <w:sz w:val="20"/>
          <w:szCs w:val="22"/>
        </w:rPr>
      </w:pPr>
    </w:p>
    <w:p w:rsidR="002A145C" w:rsidRDefault="00E8307F" w:rsidP="00C46DBA">
      <w:pPr>
        <w:spacing w:line="240" w:lineRule="auto"/>
        <w:ind w:left="425" w:hanging="425"/>
        <w:rPr>
          <w:rFonts w:eastAsiaTheme="majorEastAsia"/>
          <w:color w:val="auto"/>
          <w:sz w:val="20"/>
          <w:szCs w:val="22"/>
        </w:rPr>
      </w:pPr>
      <w:r w:rsidRPr="00871EA6">
        <w:rPr>
          <w:rFonts w:eastAsiaTheme="majorEastAsia"/>
          <w:color w:val="auto"/>
          <w:sz w:val="20"/>
          <w:szCs w:val="22"/>
        </w:rPr>
        <w:t>Efendic, A.</w:t>
      </w:r>
      <w:r w:rsidR="00684C78" w:rsidRPr="00871EA6">
        <w:rPr>
          <w:rFonts w:eastAsiaTheme="majorEastAsia"/>
          <w:color w:val="auto"/>
          <w:sz w:val="20"/>
          <w:szCs w:val="22"/>
        </w:rPr>
        <w:t>, Pugh, G</w:t>
      </w:r>
      <w:r w:rsidRPr="00871EA6">
        <w:rPr>
          <w:rFonts w:eastAsiaTheme="majorEastAsia"/>
          <w:color w:val="auto"/>
          <w:sz w:val="20"/>
          <w:szCs w:val="22"/>
        </w:rPr>
        <w:t>.</w:t>
      </w:r>
      <w:r w:rsidR="00684C78" w:rsidRPr="00871EA6">
        <w:rPr>
          <w:rFonts w:eastAsiaTheme="majorEastAsia"/>
          <w:color w:val="auto"/>
          <w:sz w:val="20"/>
          <w:szCs w:val="22"/>
        </w:rPr>
        <w:t>, T.</w:t>
      </w:r>
      <w:r w:rsidRPr="00871EA6">
        <w:rPr>
          <w:rFonts w:eastAsiaTheme="majorEastAsia"/>
          <w:color w:val="auto"/>
          <w:sz w:val="20"/>
          <w:szCs w:val="22"/>
        </w:rPr>
        <w:t xml:space="preserve"> </w:t>
      </w:r>
      <w:r w:rsidRPr="00871EA6">
        <w:rPr>
          <w:color w:val="auto"/>
          <w:sz w:val="20"/>
          <w:szCs w:val="20"/>
        </w:rPr>
        <w:t>&amp;</w:t>
      </w:r>
      <w:r w:rsidR="00684C78" w:rsidRPr="00871EA6">
        <w:rPr>
          <w:rFonts w:eastAsiaTheme="majorEastAsia"/>
          <w:color w:val="auto"/>
          <w:sz w:val="20"/>
          <w:szCs w:val="22"/>
        </w:rPr>
        <w:t xml:space="preserve"> Adnett, </w:t>
      </w:r>
      <w:r w:rsidRPr="00871EA6">
        <w:rPr>
          <w:rFonts w:eastAsiaTheme="majorEastAsia"/>
          <w:color w:val="auto"/>
          <w:sz w:val="20"/>
          <w:szCs w:val="22"/>
        </w:rPr>
        <w:t>N. (</w:t>
      </w:r>
      <w:r w:rsidR="00684C78" w:rsidRPr="00871EA6">
        <w:rPr>
          <w:rFonts w:eastAsiaTheme="majorEastAsia"/>
          <w:color w:val="auto"/>
          <w:sz w:val="20"/>
          <w:szCs w:val="22"/>
        </w:rPr>
        <w:t>2011</w:t>
      </w:r>
      <w:r w:rsidRPr="00871EA6">
        <w:rPr>
          <w:rFonts w:eastAsiaTheme="majorEastAsia"/>
          <w:color w:val="auto"/>
          <w:sz w:val="20"/>
          <w:szCs w:val="22"/>
        </w:rPr>
        <w:t>)</w:t>
      </w:r>
      <w:r w:rsidR="003C7D4E" w:rsidRPr="00871EA6">
        <w:rPr>
          <w:rFonts w:eastAsiaTheme="majorEastAsia"/>
          <w:color w:val="auto"/>
          <w:sz w:val="20"/>
          <w:szCs w:val="22"/>
        </w:rPr>
        <w:t>. Confidence in formal i</w:t>
      </w:r>
      <w:r w:rsidR="00684C78" w:rsidRPr="00871EA6">
        <w:rPr>
          <w:rFonts w:eastAsiaTheme="majorEastAsia"/>
          <w:color w:val="auto"/>
          <w:sz w:val="20"/>
          <w:szCs w:val="22"/>
        </w:rPr>
        <w:t xml:space="preserve">nstitutions and reliance on informal institutions in Bosnia and Herzegovina: An empirical investigation using survey data. </w:t>
      </w:r>
      <w:r w:rsidR="00684C78" w:rsidRPr="00871EA6">
        <w:rPr>
          <w:rFonts w:eastAsiaTheme="majorEastAsia"/>
          <w:i/>
          <w:color w:val="auto"/>
          <w:sz w:val="20"/>
          <w:szCs w:val="22"/>
        </w:rPr>
        <w:t>Economics of Transition</w:t>
      </w:r>
      <w:r w:rsidR="003C7D4E" w:rsidRPr="00871EA6">
        <w:rPr>
          <w:rFonts w:eastAsiaTheme="majorEastAsia"/>
          <w:i/>
          <w:color w:val="auto"/>
          <w:sz w:val="20"/>
          <w:szCs w:val="22"/>
        </w:rPr>
        <w:t>,</w:t>
      </w:r>
      <w:r w:rsidR="00684C78" w:rsidRPr="00871EA6">
        <w:rPr>
          <w:rFonts w:eastAsiaTheme="majorEastAsia"/>
          <w:i/>
          <w:color w:val="auto"/>
          <w:sz w:val="20"/>
          <w:szCs w:val="22"/>
        </w:rPr>
        <w:t xml:space="preserve"> </w:t>
      </w:r>
      <w:r w:rsidR="00684C78" w:rsidRPr="00871EA6">
        <w:rPr>
          <w:rFonts w:eastAsiaTheme="majorEastAsia"/>
          <w:color w:val="auto"/>
          <w:sz w:val="20"/>
          <w:szCs w:val="22"/>
        </w:rPr>
        <w:t>3(19), 521-540.</w:t>
      </w:r>
      <w:r w:rsidR="00D97B06" w:rsidRPr="00871EA6">
        <w:rPr>
          <w:rFonts w:eastAsiaTheme="majorEastAsia"/>
          <w:color w:val="auto"/>
          <w:sz w:val="20"/>
          <w:szCs w:val="22"/>
        </w:rPr>
        <w:t xml:space="preserve"> </w:t>
      </w:r>
    </w:p>
    <w:p w:rsidR="002A145C" w:rsidRDefault="002A145C" w:rsidP="00C46DBA">
      <w:pPr>
        <w:spacing w:line="240" w:lineRule="auto"/>
        <w:ind w:left="425" w:hanging="425"/>
        <w:rPr>
          <w:rFonts w:eastAsiaTheme="majorEastAsia"/>
          <w:color w:val="auto"/>
          <w:sz w:val="20"/>
          <w:szCs w:val="22"/>
        </w:rPr>
      </w:pPr>
      <w:r>
        <w:rPr>
          <w:rFonts w:eastAsiaTheme="majorEastAsia"/>
          <w:color w:val="auto"/>
          <w:sz w:val="20"/>
          <w:szCs w:val="22"/>
        </w:rPr>
        <w:t xml:space="preserve">        </w:t>
      </w:r>
      <w:hyperlink r:id="rId19" w:history="1">
        <w:r w:rsidRPr="009D4040">
          <w:rPr>
            <w:rStyle w:val="Hyperlink"/>
            <w:rFonts w:eastAsiaTheme="majorEastAsia"/>
            <w:sz w:val="20"/>
            <w:szCs w:val="22"/>
          </w:rPr>
          <w:t>https://doi:10.1111/j.1468-0351.2010.00408.x</w:t>
        </w:r>
      </w:hyperlink>
      <w:r>
        <w:rPr>
          <w:rFonts w:eastAsiaTheme="majorEastAsia"/>
          <w:color w:val="auto"/>
          <w:sz w:val="20"/>
          <w:szCs w:val="22"/>
        </w:rPr>
        <w:t>.</w:t>
      </w:r>
    </w:p>
    <w:p w:rsidR="002A145C" w:rsidRPr="00871EA6" w:rsidRDefault="002A145C"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p>
    <w:p w:rsidR="00684C78"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European Bank for Reconstruction and Development </w:t>
      </w:r>
      <w:r w:rsidR="00A03263" w:rsidRPr="00871EA6">
        <w:rPr>
          <w:rFonts w:eastAsiaTheme="majorEastAsia"/>
          <w:color w:val="auto"/>
          <w:sz w:val="20"/>
          <w:szCs w:val="22"/>
        </w:rPr>
        <w:t>(</w:t>
      </w:r>
      <w:r w:rsidRPr="00871EA6">
        <w:rPr>
          <w:rFonts w:eastAsiaTheme="majorEastAsia"/>
          <w:color w:val="auto"/>
          <w:sz w:val="20"/>
          <w:szCs w:val="22"/>
        </w:rPr>
        <w:t>2009</w:t>
      </w:r>
      <w:r w:rsidR="00A03263" w:rsidRPr="00871EA6">
        <w:rPr>
          <w:rFonts w:eastAsiaTheme="majorEastAsia"/>
          <w:color w:val="auto"/>
          <w:sz w:val="20"/>
          <w:szCs w:val="22"/>
        </w:rPr>
        <w:t>)</w:t>
      </w:r>
      <w:r w:rsidRPr="00871EA6">
        <w:rPr>
          <w:rFonts w:eastAsiaTheme="majorEastAsia"/>
          <w:color w:val="auto"/>
          <w:sz w:val="20"/>
          <w:szCs w:val="22"/>
        </w:rPr>
        <w:t>. Business Environment and Enterprise Performance Survey (BEEPS)</w:t>
      </w:r>
      <w:r w:rsidR="00FB43C6">
        <w:rPr>
          <w:rFonts w:eastAsiaTheme="majorEastAsia"/>
          <w:color w:val="auto"/>
          <w:sz w:val="20"/>
          <w:szCs w:val="22"/>
        </w:rPr>
        <w:t>,</w:t>
      </w:r>
      <w:r w:rsidRPr="00871EA6">
        <w:rPr>
          <w:rFonts w:eastAsiaTheme="majorEastAsia"/>
          <w:color w:val="auto"/>
          <w:sz w:val="20"/>
          <w:szCs w:val="22"/>
        </w:rPr>
        <w:t xml:space="preserve"> Panel Questionnaire 2009. </w:t>
      </w:r>
      <w:r w:rsidR="00A03263" w:rsidRPr="00871EA6">
        <w:rPr>
          <w:rFonts w:eastAsiaTheme="majorEastAsia"/>
          <w:color w:val="auto"/>
          <w:sz w:val="20"/>
          <w:szCs w:val="22"/>
        </w:rPr>
        <w:t>Retrieved from</w:t>
      </w:r>
      <w:r w:rsidRPr="00871EA6">
        <w:rPr>
          <w:rFonts w:eastAsiaTheme="majorEastAsia"/>
          <w:color w:val="auto"/>
          <w:sz w:val="20"/>
          <w:szCs w:val="22"/>
        </w:rPr>
        <w:t xml:space="preserve"> </w:t>
      </w:r>
      <w:hyperlink r:id="rId20" w:history="1">
        <w:r w:rsidR="00A03263" w:rsidRPr="00871EA6">
          <w:rPr>
            <w:rStyle w:val="Hyperlink"/>
            <w:rFonts w:eastAsiaTheme="majorEastAsia"/>
            <w:sz w:val="20"/>
            <w:szCs w:val="22"/>
          </w:rPr>
          <w:t>http://ebrd-beeps.com/panel-data/</w:t>
        </w:r>
      </w:hyperlink>
      <w:r w:rsidR="00A03263" w:rsidRPr="00871EA6">
        <w:rPr>
          <w:rFonts w:eastAsiaTheme="majorEastAsia"/>
          <w:color w:val="auto"/>
          <w:sz w:val="20"/>
          <w:szCs w:val="22"/>
        </w:rPr>
        <w:t>.</w:t>
      </w:r>
    </w:p>
    <w:p w:rsidR="00787D45" w:rsidRPr="00871EA6" w:rsidRDefault="00787D45" w:rsidP="00C46DBA">
      <w:pPr>
        <w:spacing w:line="240" w:lineRule="auto"/>
        <w:ind w:left="425" w:hanging="425"/>
        <w:rPr>
          <w:rFonts w:eastAsiaTheme="majorEastAsia"/>
          <w:color w:val="auto"/>
          <w:sz w:val="20"/>
          <w:szCs w:val="22"/>
        </w:rPr>
      </w:pPr>
    </w:p>
    <w:p w:rsidR="00787D45"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European Central Bank </w:t>
      </w:r>
      <w:r w:rsidR="00787D45" w:rsidRPr="00871EA6">
        <w:rPr>
          <w:rFonts w:eastAsiaTheme="majorEastAsia"/>
          <w:color w:val="auto"/>
          <w:sz w:val="20"/>
          <w:szCs w:val="22"/>
        </w:rPr>
        <w:t>(</w:t>
      </w:r>
      <w:r w:rsidRPr="00871EA6">
        <w:rPr>
          <w:rFonts w:eastAsiaTheme="majorEastAsia"/>
          <w:color w:val="auto"/>
          <w:sz w:val="20"/>
          <w:szCs w:val="22"/>
        </w:rPr>
        <w:t>2015</w:t>
      </w:r>
      <w:r w:rsidR="00787D45" w:rsidRPr="00871EA6">
        <w:rPr>
          <w:rFonts w:eastAsiaTheme="majorEastAsia"/>
          <w:color w:val="auto"/>
          <w:sz w:val="20"/>
          <w:szCs w:val="22"/>
        </w:rPr>
        <w:t>)</w:t>
      </w:r>
      <w:r w:rsidRPr="00871EA6">
        <w:rPr>
          <w:rFonts w:eastAsiaTheme="majorEastAsia"/>
          <w:color w:val="auto"/>
          <w:sz w:val="20"/>
          <w:szCs w:val="22"/>
        </w:rPr>
        <w:t xml:space="preserve">. Statistical Bulletins 2000 – 2014. </w:t>
      </w:r>
      <w:r w:rsidR="00787D45" w:rsidRPr="00871EA6">
        <w:rPr>
          <w:rFonts w:eastAsiaTheme="majorEastAsia"/>
          <w:color w:val="auto"/>
          <w:sz w:val="20"/>
          <w:szCs w:val="22"/>
        </w:rPr>
        <w:t>Retrieved from</w:t>
      </w:r>
      <w:r w:rsidRPr="00871EA6">
        <w:rPr>
          <w:rFonts w:eastAsiaTheme="majorEastAsia"/>
          <w:color w:val="auto"/>
          <w:sz w:val="20"/>
          <w:szCs w:val="22"/>
        </w:rPr>
        <w:t xml:space="preserve"> </w:t>
      </w:r>
      <w:hyperlink r:id="rId21" w:history="1">
        <w:r w:rsidR="00787D45" w:rsidRPr="00871EA6">
          <w:rPr>
            <w:rStyle w:val="Hyperlink"/>
            <w:rFonts w:eastAsiaTheme="majorEastAsia"/>
            <w:sz w:val="20"/>
            <w:szCs w:val="22"/>
          </w:rPr>
          <w:t>http://sdw.ecb.europa.eu/reports.do?node=1000004045</w:t>
        </w:r>
      </w:hyperlink>
      <w:r w:rsidR="00787D45" w:rsidRPr="00871EA6">
        <w:rPr>
          <w:rFonts w:eastAsiaTheme="majorEastAsia"/>
          <w:color w:val="auto"/>
          <w:sz w:val="20"/>
          <w:szCs w:val="22"/>
        </w:rPr>
        <w:t>.</w:t>
      </w:r>
    </w:p>
    <w:p w:rsidR="00684C78" w:rsidRPr="00871EA6" w:rsidRDefault="00684C78" w:rsidP="00C46DBA">
      <w:pPr>
        <w:spacing w:line="240" w:lineRule="auto"/>
        <w:ind w:left="425" w:hanging="425"/>
        <w:rPr>
          <w:rFonts w:eastAsiaTheme="majorEastAsia"/>
          <w:color w:val="auto"/>
          <w:sz w:val="20"/>
          <w:szCs w:val="22"/>
        </w:rPr>
      </w:pPr>
    </w:p>
    <w:p w:rsidR="00D97B06" w:rsidRPr="00871EA6" w:rsidRDefault="00684C78"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EUROSTAT </w:t>
      </w:r>
      <w:r w:rsidR="00FB5068" w:rsidRPr="00871EA6">
        <w:rPr>
          <w:rFonts w:eastAsiaTheme="majorEastAsia"/>
          <w:color w:val="auto"/>
          <w:sz w:val="20"/>
          <w:szCs w:val="22"/>
        </w:rPr>
        <w:t>(</w:t>
      </w:r>
      <w:r w:rsidRPr="00871EA6">
        <w:rPr>
          <w:rFonts w:eastAsiaTheme="majorEastAsia"/>
          <w:color w:val="auto"/>
          <w:sz w:val="20"/>
          <w:szCs w:val="22"/>
        </w:rPr>
        <w:t>2015</w:t>
      </w:r>
      <w:r w:rsidR="00FB5068" w:rsidRPr="00871EA6">
        <w:rPr>
          <w:rFonts w:eastAsiaTheme="majorEastAsia"/>
          <w:color w:val="auto"/>
          <w:sz w:val="20"/>
          <w:szCs w:val="22"/>
        </w:rPr>
        <w:t>)</w:t>
      </w:r>
      <w:r w:rsidR="007506F8" w:rsidRPr="00871EA6">
        <w:rPr>
          <w:rFonts w:eastAsiaTheme="majorEastAsia"/>
          <w:color w:val="auto"/>
          <w:sz w:val="20"/>
          <w:szCs w:val="22"/>
        </w:rPr>
        <w:t xml:space="preserve">. Quarterly National Accounts. Retrieved from </w:t>
      </w:r>
      <w:hyperlink r:id="rId22" w:history="1">
        <w:r w:rsidR="007506F8" w:rsidRPr="00871EA6">
          <w:rPr>
            <w:rStyle w:val="Hyperlink"/>
            <w:rFonts w:eastAsiaTheme="majorEastAsia"/>
            <w:sz w:val="20"/>
            <w:szCs w:val="22"/>
          </w:rPr>
          <w:t>http://appsso.eurostat.ec.europa.eu/nui/show.do?dataset=namq_10_gdp&amp;lang=en</w:t>
        </w:r>
      </w:hyperlink>
      <w:r w:rsidR="007506F8" w:rsidRPr="00871EA6">
        <w:rPr>
          <w:rFonts w:eastAsiaTheme="majorEastAsia"/>
          <w:color w:val="auto"/>
          <w:sz w:val="20"/>
          <w:szCs w:val="22"/>
        </w:rPr>
        <w:t>.</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C443AF" w:rsidP="00C46DBA">
      <w:pPr>
        <w:spacing w:line="240" w:lineRule="auto"/>
        <w:ind w:left="425" w:hanging="425"/>
        <w:rPr>
          <w:rFonts w:eastAsiaTheme="majorEastAsia"/>
          <w:color w:val="auto"/>
          <w:sz w:val="20"/>
          <w:szCs w:val="22"/>
        </w:rPr>
      </w:pPr>
      <w:r w:rsidRPr="00871EA6">
        <w:rPr>
          <w:rFonts w:eastAsiaTheme="majorEastAsia"/>
          <w:color w:val="auto"/>
          <w:sz w:val="20"/>
          <w:szCs w:val="22"/>
        </w:rPr>
        <w:t>Furlanetto, F</w:t>
      </w:r>
      <w:r w:rsidR="007506F8" w:rsidRPr="00871EA6">
        <w:rPr>
          <w:rFonts w:eastAsiaTheme="majorEastAsia"/>
          <w:color w:val="auto"/>
          <w:sz w:val="20"/>
          <w:szCs w:val="22"/>
        </w:rPr>
        <w:t>.</w:t>
      </w:r>
      <w:r w:rsidRPr="00871EA6">
        <w:rPr>
          <w:rFonts w:eastAsiaTheme="majorEastAsia"/>
          <w:color w:val="auto"/>
          <w:sz w:val="20"/>
          <w:szCs w:val="22"/>
        </w:rPr>
        <w:t xml:space="preserve">, Gelain, </w:t>
      </w:r>
      <w:r w:rsidR="007506F8" w:rsidRPr="00871EA6">
        <w:rPr>
          <w:rFonts w:eastAsiaTheme="majorEastAsia"/>
          <w:color w:val="auto"/>
          <w:sz w:val="20"/>
          <w:szCs w:val="22"/>
        </w:rPr>
        <w:t xml:space="preserve">P. </w:t>
      </w:r>
      <w:r w:rsidRPr="00871EA6">
        <w:rPr>
          <w:rFonts w:eastAsiaTheme="majorEastAsia"/>
          <w:color w:val="auto"/>
          <w:sz w:val="20"/>
          <w:szCs w:val="22"/>
        </w:rPr>
        <w:t xml:space="preserve"> </w:t>
      </w:r>
      <w:r w:rsidR="007506F8" w:rsidRPr="00871EA6">
        <w:rPr>
          <w:color w:val="auto"/>
          <w:sz w:val="20"/>
          <w:szCs w:val="20"/>
        </w:rPr>
        <w:t xml:space="preserve">&amp; </w:t>
      </w:r>
      <w:r w:rsidRPr="00871EA6">
        <w:rPr>
          <w:rFonts w:eastAsiaTheme="majorEastAsia"/>
          <w:color w:val="auto"/>
          <w:sz w:val="20"/>
          <w:szCs w:val="22"/>
        </w:rPr>
        <w:t>Taheri Sanjani, M</w:t>
      </w:r>
      <w:r w:rsidR="007506F8" w:rsidRPr="00871EA6">
        <w:rPr>
          <w:rFonts w:eastAsiaTheme="majorEastAsia"/>
          <w:color w:val="auto"/>
          <w:sz w:val="20"/>
          <w:szCs w:val="22"/>
        </w:rPr>
        <w:t>.</w:t>
      </w:r>
      <w:r w:rsidRPr="00871EA6">
        <w:rPr>
          <w:rFonts w:eastAsiaTheme="majorEastAsia"/>
          <w:color w:val="auto"/>
          <w:sz w:val="20"/>
          <w:szCs w:val="22"/>
        </w:rPr>
        <w:t xml:space="preserve"> </w:t>
      </w:r>
      <w:r w:rsidR="007506F8" w:rsidRPr="00871EA6">
        <w:rPr>
          <w:rFonts w:eastAsiaTheme="majorEastAsia"/>
          <w:color w:val="auto"/>
          <w:sz w:val="20"/>
          <w:szCs w:val="22"/>
        </w:rPr>
        <w:t>(</w:t>
      </w:r>
      <w:r w:rsidRPr="00871EA6">
        <w:rPr>
          <w:rFonts w:eastAsiaTheme="majorEastAsia"/>
          <w:color w:val="auto"/>
          <w:sz w:val="20"/>
          <w:szCs w:val="22"/>
        </w:rPr>
        <w:t>2014</w:t>
      </w:r>
      <w:r w:rsidR="007506F8" w:rsidRPr="00871EA6">
        <w:rPr>
          <w:rFonts w:eastAsiaTheme="majorEastAsia"/>
          <w:color w:val="auto"/>
          <w:sz w:val="20"/>
          <w:szCs w:val="22"/>
        </w:rPr>
        <w:t>)</w:t>
      </w:r>
      <w:r w:rsidRPr="00871EA6">
        <w:rPr>
          <w:rFonts w:eastAsiaTheme="majorEastAsia"/>
          <w:color w:val="auto"/>
          <w:sz w:val="20"/>
          <w:szCs w:val="22"/>
        </w:rPr>
        <w:t xml:space="preserve">. Output gap in presence of financial frictions and monetary policy trade-offs. </w:t>
      </w:r>
      <w:r w:rsidRPr="00871EA6">
        <w:rPr>
          <w:rFonts w:eastAsiaTheme="majorEastAsia"/>
          <w:i/>
          <w:color w:val="auto"/>
          <w:sz w:val="20"/>
          <w:szCs w:val="22"/>
        </w:rPr>
        <w:t>IMF</w:t>
      </w:r>
      <w:r w:rsidR="00EB4337" w:rsidRPr="00871EA6">
        <w:rPr>
          <w:rFonts w:eastAsiaTheme="majorEastAsia"/>
          <w:i/>
          <w:color w:val="auto"/>
          <w:sz w:val="20"/>
          <w:szCs w:val="22"/>
        </w:rPr>
        <w:t xml:space="preserve"> Working Paper</w:t>
      </w:r>
      <w:r w:rsidR="00EB4337" w:rsidRPr="00871EA6">
        <w:rPr>
          <w:rFonts w:eastAsiaTheme="majorEastAsia"/>
          <w:color w:val="auto"/>
          <w:sz w:val="20"/>
          <w:szCs w:val="22"/>
        </w:rPr>
        <w:t>,</w:t>
      </w:r>
      <w:r w:rsidR="00D97B06" w:rsidRPr="00871EA6">
        <w:rPr>
          <w:rFonts w:eastAsiaTheme="majorEastAsia"/>
          <w:color w:val="auto"/>
          <w:sz w:val="20"/>
          <w:szCs w:val="22"/>
        </w:rPr>
        <w:t xml:space="preserve"> </w:t>
      </w:r>
      <w:r w:rsidR="00EB4337" w:rsidRPr="00871EA6">
        <w:rPr>
          <w:rFonts w:eastAsiaTheme="majorEastAsia"/>
          <w:i/>
          <w:color w:val="auto"/>
          <w:sz w:val="20"/>
          <w:szCs w:val="22"/>
        </w:rPr>
        <w:t>128.</w:t>
      </w:r>
    </w:p>
    <w:p w:rsidR="00712653" w:rsidRPr="00871EA6" w:rsidRDefault="00712653" w:rsidP="00C46DBA">
      <w:pPr>
        <w:spacing w:line="240" w:lineRule="auto"/>
        <w:ind w:left="425" w:hanging="425"/>
        <w:rPr>
          <w:rFonts w:eastAsiaTheme="majorEastAsia"/>
          <w:color w:val="auto"/>
          <w:sz w:val="20"/>
          <w:szCs w:val="22"/>
        </w:rPr>
      </w:pPr>
    </w:p>
    <w:p w:rsidR="007500D5" w:rsidRPr="00871EA6" w:rsidRDefault="00712653"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Gordon, R. J. (1997). The time-varying NAIRU and its implications for economic policy. </w:t>
      </w:r>
      <w:r w:rsidRPr="00871EA6">
        <w:rPr>
          <w:rFonts w:eastAsiaTheme="majorEastAsia"/>
          <w:i/>
          <w:color w:val="auto"/>
          <w:sz w:val="20"/>
          <w:szCs w:val="22"/>
        </w:rPr>
        <w:t>The Journal of Economic Perspectives</w:t>
      </w:r>
      <w:r w:rsidRPr="00871EA6">
        <w:rPr>
          <w:rFonts w:eastAsiaTheme="majorEastAsia"/>
          <w:color w:val="auto"/>
          <w:sz w:val="20"/>
          <w:szCs w:val="22"/>
        </w:rPr>
        <w:t xml:space="preserve">, 11, 11-32. </w:t>
      </w:r>
      <w:hyperlink r:id="rId23" w:history="1">
        <w:r w:rsidR="007500D5" w:rsidRPr="00871EA6">
          <w:rPr>
            <w:rStyle w:val="Hyperlink"/>
            <w:rFonts w:eastAsiaTheme="majorEastAsia"/>
            <w:sz w:val="20"/>
            <w:szCs w:val="22"/>
          </w:rPr>
          <w:t>https://</w:t>
        </w:r>
        <w:r w:rsidR="007500D5" w:rsidRPr="00871EA6">
          <w:rPr>
            <w:rStyle w:val="Hyperlink"/>
            <w:sz w:val="20"/>
            <w:szCs w:val="22"/>
          </w:rPr>
          <w:t>doi</w:t>
        </w:r>
        <w:r w:rsidR="007500D5" w:rsidRPr="00871EA6">
          <w:rPr>
            <w:rStyle w:val="Hyperlink"/>
            <w:rFonts w:eastAsiaTheme="majorEastAsia"/>
            <w:sz w:val="20"/>
            <w:szCs w:val="22"/>
          </w:rPr>
          <w:t>:10.1257/jep.11.1.11</w:t>
        </w:r>
      </w:hyperlink>
      <w:r w:rsidR="007500D5" w:rsidRPr="00871EA6">
        <w:rPr>
          <w:rFonts w:eastAsiaTheme="majorEastAsia"/>
          <w:color w:val="auto"/>
          <w:sz w:val="20"/>
          <w:szCs w:val="22"/>
        </w:rPr>
        <w:t>.</w:t>
      </w:r>
    </w:p>
    <w:p w:rsidR="007500D5" w:rsidRPr="00871EA6" w:rsidRDefault="007500D5" w:rsidP="00C46DBA">
      <w:pPr>
        <w:pBdr>
          <w:bottom w:val="single" w:sz="6" w:space="1" w:color="auto"/>
        </w:pBdr>
        <w:spacing w:line="240" w:lineRule="auto"/>
        <w:ind w:firstLine="0"/>
        <w:rPr>
          <w:rFonts w:ascii="Arial" w:eastAsia="Times New Roman" w:hAnsi="Arial" w:cs="Arial"/>
          <w:vanish/>
          <w:color w:val="auto"/>
          <w:sz w:val="16"/>
          <w:szCs w:val="16"/>
          <w:lang w:val="en-US"/>
        </w:rPr>
      </w:pPr>
      <w:r w:rsidRPr="00871EA6">
        <w:rPr>
          <w:rFonts w:ascii="Arial" w:eastAsia="Times New Roman" w:hAnsi="Arial" w:cs="Arial"/>
          <w:vanish/>
          <w:color w:val="auto"/>
          <w:sz w:val="16"/>
          <w:szCs w:val="16"/>
          <w:lang w:val="en-US"/>
        </w:rPr>
        <w:t>Top of Form</w:t>
      </w:r>
    </w:p>
    <w:p w:rsidR="00D97B06" w:rsidRPr="00871EA6" w:rsidRDefault="00D97B06" w:rsidP="00C46DBA">
      <w:pPr>
        <w:spacing w:line="240" w:lineRule="auto"/>
        <w:ind w:left="425" w:hanging="425"/>
        <w:rPr>
          <w:rFonts w:eastAsiaTheme="majorEastAsia"/>
          <w:color w:val="auto"/>
          <w:sz w:val="20"/>
          <w:szCs w:val="22"/>
        </w:rPr>
      </w:pPr>
    </w:p>
    <w:p w:rsidR="007500D5" w:rsidRPr="00871EA6" w:rsidRDefault="00C443AF"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Hay, </w:t>
      </w:r>
      <w:r w:rsidR="00911A29" w:rsidRPr="00871EA6">
        <w:rPr>
          <w:rFonts w:eastAsiaTheme="majorEastAsia"/>
          <w:color w:val="auto"/>
          <w:sz w:val="20"/>
          <w:szCs w:val="22"/>
        </w:rPr>
        <w:t xml:space="preserve">J. </w:t>
      </w:r>
      <w:r w:rsidRPr="00871EA6">
        <w:rPr>
          <w:rFonts w:eastAsiaTheme="majorEastAsia"/>
          <w:color w:val="auto"/>
          <w:sz w:val="20"/>
          <w:szCs w:val="22"/>
        </w:rPr>
        <w:t xml:space="preserve">R., Shleifer, </w:t>
      </w:r>
      <w:r w:rsidR="00941002" w:rsidRPr="00871EA6">
        <w:rPr>
          <w:rFonts w:eastAsiaTheme="majorEastAsia"/>
          <w:color w:val="auto"/>
          <w:sz w:val="20"/>
          <w:szCs w:val="22"/>
        </w:rPr>
        <w:t xml:space="preserve">A. </w:t>
      </w:r>
      <w:r w:rsidR="00941002" w:rsidRPr="00871EA6">
        <w:rPr>
          <w:color w:val="auto"/>
          <w:sz w:val="20"/>
          <w:szCs w:val="20"/>
        </w:rPr>
        <w:t>&amp;</w:t>
      </w:r>
      <w:r w:rsidRPr="00871EA6">
        <w:rPr>
          <w:rFonts w:eastAsiaTheme="majorEastAsia"/>
          <w:color w:val="auto"/>
          <w:sz w:val="20"/>
          <w:szCs w:val="22"/>
        </w:rPr>
        <w:t xml:space="preserve"> Vishny, R</w:t>
      </w:r>
      <w:r w:rsidR="00941002" w:rsidRPr="00871EA6">
        <w:rPr>
          <w:rFonts w:eastAsiaTheme="majorEastAsia"/>
          <w:color w:val="auto"/>
          <w:sz w:val="20"/>
          <w:szCs w:val="22"/>
        </w:rPr>
        <w:t>.</w:t>
      </w:r>
      <w:r w:rsidRPr="00871EA6">
        <w:rPr>
          <w:rFonts w:eastAsiaTheme="majorEastAsia"/>
          <w:color w:val="auto"/>
          <w:sz w:val="20"/>
          <w:szCs w:val="22"/>
        </w:rPr>
        <w:t xml:space="preserve"> W. </w:t>
      </w:r>
      <w:r w:rsidR="00941002" w:rsidRPr="00871EA6">
        <w:rPr>
          <w:rFonts w:eastAsiaTheme="majorEastAsia"/>
          <w:color w:val="auto"/>
          <w:sz w:val="20"/>
          <w:szCs w:val="22"/>
        </w:rPr>
        <w:t>(</w:t>
      </w:r>
      <w:r w:rsidRPr="00871EA6">
        <w:rPr>
          <w:rFonts w:eastAsiaTheme="majorEastAsia"/>
          <w:color w:val="auto"/>
          <w:sz w:val="20"/>
          <w:szCs w:val="22"/>
        </w:rPr>
        <w:t>1996</w:t>
      </w:r>
      <w:r w:rsidR="00941002" w:rsidRPr="00871EA6">
        <w:rPr>
          <w:rFonts w:eastAsiaTheme="majorEastAsia"/>
          <w:color w:val="auto"/>
          <w:sz w:val="20"/>
          <w:szCs w:val="22"/>
        </w:rPr>
        <w:t>)</w:t>
      </w:r>
      <w:r w:rsidRPr="00871EA6">
        <w:rPr>
          <w:rFonts w:eastAsiaTheme="majorEastAsia"/>
          <w:color w:val="auto"/>
          <w:sz w:val="20"/>
          <w:szCs w:val="22"/>
        </w:rPr>
        <w:t xml:space="preserve">. Toward a theory of legal reform. </w:t>
      </w:r>
      <w:r w:rsidRPr="00871EA6">
        <w:rPr>
          <w:rFonts w:eastAsiaTheme="majorEastAsia"/>
          <w:i/>
          <w:color w:val="auto"/>
          <w:sz w:val="20"/>
          <w:szCs w:val="22"/>
        </w:rPr>
        <w:t>Europe</w:t>
      </w:r>
      <w:r w:rsidR="00941002" w:rsidRPr="00871EA6">
        <w:rPr>
          <w:rFonts w:eastAsiaTheme="majorEastAsia"/>
          <w:i/>
          <w:color w:val="auto"/>
          <w:sz w:val="20"/>
          <w:szCs w:val="22"/>
        </w:rPr>
        <w:t xml:space="preserve">an Economic Review, </w:t>
      </w:r>
      <w:r w:rsidRPr="00871EA6">
        <w:rPr>
          <w:rFonts w:eastAsiaTheme="majorEastAsia"/>
          <w:i/>
          <w:color w:val="auto"/>
          <w:sz w:val="20"/>
          <w:szCs w:val="22"/>
        </w:rPr>
        <w:t>40</w:t>
      </w:r>
      <w:r w:rsidRPr="00871EA6">
        <w:rPr>
          <w:rFonts w:eastAsiaTheme="majorEastAsia"/>
          <w:color w:val="auto"/>
          <w:sz w:val="20"/>
          <w:szCs w:val="22"/>
        </w:rPr>
        <w:t>, 559-567.</w:t>
      </w:r>
      <w:r w:rsidR="00941002" w:rsidRPr="00871EA6">
        <w:rPr>
          <w:rFonts w:eastAsiaTheme="majorEastAsia"/>
          <w:color w:val="auto"/>
          <w:sz w:val="20"/>
          <w:szCs w:val="22"/>
        </w:rPr>
        <w:t xml:space="preserve"> </w:t>
      </w:r>
      <w:hyperlink r:id="rId24" w:history="1">
        <w:r w:rsidR="007500D5" w:rsidRPr="00871EA6">
          <w:rPr>
            <w:rStyle w:val="Hyperlink"/>
            <w:rFonts w:eastAsiaTheme="majorEastAsia"/>
            <w:sz w:val="20"/>
            <w:szCs w:val="22"/>
          </w:rPr>
          <w:t>https://doi.org/10.1016/0014-2921(95)00069-0</w:t>
        </w:r>
      </w:hyperlink>
      <w:r w:rsidR="007500D5" w:rsidRPr="00871EA6">
        <w:rPr>
          <w:rFonts w:eastAsiaTheme="majorEastAsia"/>
          <w:color w:val="auto"/>
          <w:sz w:val="20"/>
          <w:szCs w:val="22"/>
        </w:rPr>
        <w:t>.</w:t>
      </w:r>
    </w:p>
    <w:p w:rsidR="00C46DBA" w:rsidRPr="00871EA6" w:rsidRDefault="00C46DBA" w:rsidP="00C46DBA">
      <w:pPr>
        <w:spacing w:line="240" w:lineRule="auto"/>
        <w:ind w:left="425" w:hanging="425"/>
        <w:rPr>
          <w:rFonts w:eastAsiaTheme="majorEastAsia"/>
          <w:color w:val="auto"/>
          <w:sz w:val="20"/>
          <w:szCs w:val="22"/>
        </w:rPr>
      </w:pPr>
    </w:p>
    <w:p w:rsidR="00D97B06" w:rsidRPr="00871EA6" w:rsidRDefault="00C443AF"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Hashi, </w:t>
      </w:r>
      <w:r w:rsidR="00AA35BC" w:rsidRPr="00871EA6">
        <w:rPr>
          <w:rFonts w:eastAsiaTheme="majorEastAsia"/>
          <w:color w:val="auto"/>
          <w:sz w:val="20"/>
          <w:szCs w:val="22"/>
        </w:rPr>
        <w:t xml:space="preserve">I. </w:t>
      </w:r>
      <w:r w:rsidR="00AA35BC" w:rsidRPr="00871EA6">
        <w:rPr>
          <w:color w:val="auto"/>
          <w:sz w:val="20"/>
          <w:szCs w:val="20"/>
        </w:rPr>
        <w:t>&amp;</w:t>
      </w:r>
      <w:r w:rsidRPr="00871EA6">
        <w:rPr>
          <w:rFonts w:eastAsiaTheme="majorEastAsia"/>
          <w:color w:val="auto"/>
          <w:sz w:val="20"/>
          <w:szCs w:val="22"/>
        </w:rPr>
        <w:t xml:space="preserve"> Toçi, V</w:t>
      </w:r>
      <w:r w:rsidR="00AA35BC" w:rsidRPr="00871EA6">
        <w:rPr>
          <w:rFonts w:eastAsiaTheme="majorEastAsia"/>
          <w:color w:val="auto"/>
          <w:sz w:val="20"/>
          <w:szCs w:val="22"/>
        </w:rPr>
        <w:t>.</w:t>
      </w:r>
      <w:r w:rsidRPr="00871EA6">
        <w:rPr>
          <w:rFonts w:eastAsiaTheme="majorEastAsia"/>
          <w:color w:val="auto"/>
          <w:sz w:val="20"/>
          <w:szCs w:val="22"/>
        </w:rPr>
        <w:t xml:space="preserve"> </w:t>
      </w:r>
      <w:r w:rsidR="00AA35BC" w:rsidRPr="00871EA6">
        <w:rPr>
          <w:rFonts w:eastAsiaTheme="majorEastAsia"/>
          <w:color w:val="auto"/>
          <w:sz w:val="20"/>
          <w:szCs w:val="22"/>
        </w:rPr>
        <w:t>(</w:t>
      </w:r>
      <w:r w:rsidRPr="00871EA6">
        <w:rPr>
          <w:rFonts w:eastAsiaTheme="majorEastAsia"/>
          <w:color w:val="auto"/>
          <w:sz w:val="20"/>
          <w:szCs w:val="22"/>
        </w:rPr>
        <w:t>2010</w:t>
      </w:r>
      <w:r w:rsidR="00AA35BC" w:rsidRPr="00871EA6">
        <w:rPr>
          <w:rFonts w:eastAsiaTheme="majorEastAsia"/>
          <w:color w:val="auto"/>
          <w:sz w:val="20"/>
          <w:szCs w:val="22"/>
        </w:rPr>
        <w:t>)</w:t>
      </w:r>
      <w:r w:rsidRPr="00871EA6">
        <w:rPr>
          <w:rFonts w:eastAsiaTheme="majorEastAsia"/>
          <w:color w:val="auto"/>
          <w:sz w:val="20"/>
          <w:szCs w:val="22"/>
        </w:rPr>
        <w:t xml:space="preserve">. Financing constraints, credit rationing and financing obstacles: Evidence from firm-level data in South-Eastern Europe. </w:t>
      </w:r>
      <w:r w:rsidRPr="00871EA6">
        <w:rPr>
          <w:rFonts w:eastAsiaTheme="majorEastAsia"/>
          <w:i/>
          <w:color w:val="auto"/>
          <w:sz w:val="20"/>
          <w:szCs w:val="22"/>
        </w:rPr>
        <w:t>Economic and Business Review</w:t>
      </w:r>
      <w:r w:rsidR="00AA35BC" w:rsidRPr="00871EA6">
        <w:rPr>
          <w:rFonts w:eastAsiaTheme="majorEastAsia"/>
          <w:i/>
          <w:color w:val="auto"/>
          <w:sz w:val="20"/>
          <w:szCs w:val="22"/>
        </w:rPr>
        <w:t>,</w:t>
      </w:r>
      <w:r w:rsidRPr="00871EA6">
        <w:rPr>
          <w:rFonts w:eastAsiaTheme="majorEastAsia"/>
          <w:i/>
          <w:color w:val="auto"/>
          <w:sz w:val="20"/>
          <w:szCs w:val="22"/>
        </w:rPr>
        <w:t xml:space="preserve"> 1</w:t>
      </w:r>
      <w:r w:rsidRPr="00871EA6">
        <w:rPr>
          <w:rFonts w:eastAsiaTheme="majorEastAsia"/>
          <w:color w:val="auto"/>
          <w:sz w:val="20"/>
          <w:szCs w:val="22"/>
        </w:rPr>
        <w:t>(12), 29-60.</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Hellström, </w:t>
      </w:r>
      <w:r w:rsidR="009B5763" w:rsidRPr="00871EA6">
        <w:rPr>
          <w:rFonts w:eastAsiaTheme="majorEastAsia"/>
          <w:color w:val="auto"/>
          <w:sz w:val="20"/>
          <w:szCs w:val="22"/>
        </w:rPr>
        <w:t>K.</w:t>
      </w:r>
      <w:r w:rsidR="005A3FE1" w:rsidRPr="00871EA6">
        <w:rPr>
          <w:rFonts w:eastAsiaTheme="majorEastAsia"/>
          <w:color w:val="auto"/>
          <w:sz w:val="20"/>
          <w:szCs w:val="22"/>
        </w:rPr>
        <w:t xml:space="preserve"> (2009). </w:t>
      </w:r>
      <w:r w:rsidR="005A3FE1" w:rsidRPr="00871EA6">
        <w:rPr>
          <w:rFonts w:eastAsiaTheme="majorEastAsia"/>
          <w:i/>
          <w:color w:val="auto"/>
          <w:sz w:val="20"/>
          <w:szCs w:val="22"/>
        </w:rPr>
        <w:t>Financial accounting quality in a European transition economy: the case of the Czech Republic</w:t>
      </w:r>
      <w:r w:rsidR="005A3FE1" w:rsidRPr="00871EA6">
        <w:rPr>
          <w:rFonts w:eastAsiaTheme="majorEastAsia"/>
          <w:color w:val="auto"/>
          <w:sz w:val="20"/>
          <w:szCs w:val="22"/>
        </w:rPr>
        <w:t xml:space="preserve">. </w:t>
      </w:r>
      <w:r w:rsidR="005A3FE1" w:rsidRPr="00871EA6">
        <w:rPr>
          <w:sz w:val="20"/>
          <w:szCs w:val="20"/>
        </w:rPr>
        <w:t xml:space="preserve">(Doctoral dissertation, </w:t>
      </w:r>
      <w:r w:rsidR="005A3FE1" w:rsidRPr="00871EA6">
        <w:rPr>
          <w:rFonts w:eastAsiaTheme="majorEastAsia"/>
          <w:color w:val="auto"/>
          <w:sz w:val="20"/>
          <w:szCs w:val="22"/>
        </w:rPr>
        <w:t>Centre for Financial Analysis and Managerial Economics in Accounting</w:t>
      </w:r>
      <w:r w:rsidR="005A3FE1" w:rsidRPr="00871EA6">
        <w:rPr>
          <w:sz w:val="20"/>
          <w:szCs w:val="20"/>
        </w:rPr>
        <w:t xml:space="preserve">). </w:t>
      </w:r>
      <w:r w:rsidR="005A3FE1" w:rsidRPr="00871EA6">
        <w:rPr>
          <w:color w:val="auto"/>
          <w:sz w:val="20"/>
          <w:szCs w:val="20"/>
        </w:rPr>
        <w:t xml:space="preserve">Retrieved from </w:t>
      </w:r>
      <w:hyperlink r:id="rId25" w:history="1">
        <w:r w:rsidR="0056680A" w:rsidRPr="00871EA6">
          <w:rPr>
            <w:rStyle w:val="Hyperlink"/>
            <w:rFonts w:eastAsiaTheme="majorEastAsia"/>
            <w:sz w:val="20"/>
            <w:szCs w:val="22"/>
          </w:rPr>
          <w:t>https://ex.hhs.se/dissertations/220630-FULLTEXT01.pdf</w:t>
        </w:r>
      </w:hyperlink>
      <w:r w:rsidR="0056680A" w:rsidRPr="00871EA6">
        <w:rPr>
          <w:rFonts w:eastAsiaTheme="majorEastAsia"/>
          <w:color w:val="auto"/>
          <w:sz w:val="20"/>
          <w:szCs w:val="22"/>
        </w:rPr>
        <w:t>.</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International Monetary Fund </w:t>
      </w:r>
      <w:r w:rsidR="0056680A" w:rsidRPr="00871EA6">
        <w:rPr>
          <w:rFonts w:eastAsiaTheme="majorEastAsia"/>
          <w:color w:val="auto"/>
          <w:sz w:val="20"/>
          <w:szCs w:val="22"/>
        </w:rPr>
        <w:t>(</w:t>
      </w:r>
      <w:r w:rsidRPr="00871EA6">
        <w:rPr>
          <w:rFonts w:eastAsiaTheme="majorEastAsia"/>
          <w:color w:val="auto"/>
          <w:sz w:val="20"/>
          <w:szCs w:val="22"/>
        </w:rPr>
        <w:t>2016</w:t>
      </w:r>
      <w:r w:rsidR="0056680A" w:rsidRPr="00871EA6">
        <w:rPr>
          <w:rFonts w:eastAsiaTheme="majorEastAsia"/>
          <w:color w:val="auto"/>
          <w:sz w:val="20"/>
          <w:szCs w:val="22"/>
        </w:rPr>
        <w:t xml:space="preserve">). </w:t>
      </w:r>
      <w:r w:rsidRPr="00871EA6">
        <w:rPr>
          <w:rFonts w:eastAsiaTheme="majorEastAsia"/>
          <w:i/>
          <w:color w:val="auto"/>
          <w:sz w:val="20"/>
          <w:szCs w:val="22"/>
        </w:rPr>
        <w:t>World Economic Outlook</w:t>
      </w:r>
      <w:r w:rsidR="00C46DBA" w:rsidRPr="00871EA6">
        <w:rPr>
          <w:rFonts w:eastAsiaTheme="majorEastAsia"/>
          <w:color w:val="auto"/>
          <w:sz w:val="20"/>
          <w:szCs w:val="22"/>
        </w:rPr>
        <w:t xml:space="preserve">, Washington DC: IMF. Retrieved </w:t>
      </w:r>
      <w:r w:rsidR="0056680A" w:rsidRPr="00871EA6">
        <w:rPr>
          <w:rFonts w:eastAsiaTheme="majorEastAsia"/>
          <w:color w:val="auto"/>
          <w:sz w:val="20"/>
          <w:szCs w:val="22"/>
        </w:rPr>
        <w:t xml:space="preserve">from </w:t>
      </w:r>
      <w:hyperlink r:id="rId26" w:history="1">
        <w:r w:rsidR="0056680A" w:rsidRPr="00871EA6">
          <w:rPr>
            <w:rStyle w:val="Hyperlink"/>
            <w:rFonts w:eastAsiaTheme="majorEastAsia"/>
            <w:sz w:val="20"/>
            <w:szCs w:val="22"/>
          </w:rPr>
          <w:t>http://www.imf.org/external/pubs/ft/weo/2015/01/weodata/index.aspx</w:t>
        </w:r>
      </w:hyperlink>
      <w:r w:rsidR="00433688" w:rsidRPr="00871EA6">
        <w:rPr>
          <w:rStyle w:val="Hyperlink"/>
          <w:rFonts w:eastAsiaTheme="majorEastAsia"/>
          <w:sz w:val="20"/>
          <w:szCs w:val="22"/>
        </w:rPr>
        <w:t>.</w:t>
      </w:r>
    </w:p>
    <w:p w:rsidR="0056680A" w:rsidRPr="00871EA6" w:rsidRDefault="0056680A" w:rsidP="00C46DBA">
      <w:pPr>
        <w:spacing w:line="240" w:lineRule="auto"/>
        <w:ind w:left="425" w:hanging="425"/>
        <w:rPr>
          <w:rFonts w:eastAsiaTheme="majorEastAsia"/>
          <w:color w:val="auto"/>
          <w:sz w:val="20"/>
          <w:szCs w:val="22"/>
        </w:rPr>
      </w:pPr>
    </w:p>
    <w:p w:rsidR="00D97B06" w:rsidRPr="00871EA6" w:rsidRDefault="00D97B06" w:rsidP="00FD715E">
      <w:pPr>
        <w:spacing w:line="240" w:lineRule="auto"/>
        <w:ind w:left="425" w:hanging="425"/>
        <w:rPr>
          <w:rFonts w:eastAsiaTheme="majorEastAsia"/>
          <w:color w:val="auto"/>
          <w:sz w:val="20"/>
          <w:szCs w:val="22"/>
        </w:rPr>
      </w:pPr>
      <w:r w:rsidRPr="00871EA6">
        <w:rPr>
          <w:rFonts w:eastAsiaTheme="majorEastAsia"/>
          <w:color w:val="auto"/>
          <w:sz w:val="20"/>
          <w:szCs w:val="22"/>
        </w:rPr>
        <w:t>Kastrati, A</w:t>
      </w:r>
      <w:r w:rsidR="0056680A" w:rsidRPr="00871EA6">
        <w:rPr>
          <w:rFonts w:eastAsiaTheme="majorEastAsia"/>
          <w:color w:val="auto"/>
          <w:sz w:val="20"/>
          <w:szCs w:val="22"/>
        </w:rPr>
        <w:t>.</w:t>
      </w:r>
      <w:r w:rsidRPr="00871EA6">
        <w:rPr>
          <w:rFonts w:eastAsiaTheme="majorEastAsia"/>
          <w:color w:val="auto"/>
          <w:sz w:val="20"/>
          <w:szCs w:val="22"/>
        </w:rPr>
        <w:t xml:space="preserve">, Pugh, </w:t>
      </w:r>
      <w:r w:rsidR="0056680A" w:rsidRPr="00871EA6">
        <w:rPr>
          <w:rFonts w:eastAsiaTheme="majorEastAsia"/>
          <w:color w:val="auto"/>
          <w:sz w:val="20"/>
          <w:szCs w:val="22"/>
        </w:rPr>
        <w:t>G.</w:t>
      </w:r>
      <w:r w:rsidRPr="00871EA6">
        <w:rPr>
          <w:rFonts w:eastAsiaTheme="majorEastAsia"/>
          <w:color w:val="auto"/>
          <w:sz w:val="20"/>
          <w:szCs w:val="22"/>
        </w:rPr>
        <w:t xml:space="preserve"> </w:t>
      </w:r>
      <w:r w:rsidR="0056680A" w:rsidRPr="00871EA6">
        <w:rPr>
          <w:color w:val="auto"/>
          <w:sz w:val="20"/>
          <w:szCs w:val="20"/>
        </w:rPr>
        <w:t>&amp;</w:t>
      </w:r>
      <w:r w:rsidRPr="00871EA6">
        <w:rPr>
          <w:rFonts w:eastAsiaTheme="majorEastAsia"/>
          <w:color w:val="auto"/>
          <w:sz w:val="20"/>
          <w:szCs w:val="22"/>
        </w:rPr>
        <w:t xml:space="preserve"> Toçi, </w:t>
      </w:r>
      <w:r w:rsidR="00E27B2D" w:rsidRPr="00871EA6">
        <w:rPr>
          <w:rFonts w:eastAsiaTheme="majorEastAsia"/>
          <w:color w:val="auto"/>
          <w:sz w:val="20"/>
          <w:szCs w:val="22"/>
        </w:rPr>
        <w:t>V.,</w:t>
      </w:r>
      <w:r w:rsidRPr="00871EA6">
        <w:rPr>
          <w:rFonts w:eastAsiaTheme="majorEastAsia"/>
          <w:color w:val="auto"/>
          <w:sz w:val="20"/>
          <w:szCs w:val="22"/>
        </w:rPr>
        <w:t xml:space="preserve"> </w:t>
      </w:r>
      <w:r w:rsidR="0056680A" w:rsidRPr="00871EA6">
        <w:rPr>
          <w:rFonts w:eastAsiaTheme="majorEastAsia"/>
          <w:color w:val="auto"/>
          <w:sz w:val="20"/>
          <w:szCs w:val="22"/>
        </w:rPr>
        <w:t>(</w:t>
      </w:r>
      <w:r w:rsidRPr="00871EA6">
        <w:rPr>
          <w:rFonts w:eastAsiaTheme="majorEastAsia"/>
          <w:color w:val="auto"/>
          <w:sz w:val="20"/>
          <w:szCs w:val="22"/>
        </w:rPr>
        <w:t>2017</w:t>
      </w:r>
      <w:r w:rsidR="0056680A" w:rsidRPr="00871EA6">
        <w:rPr>
          <w:rFonts w:eastAsiaTheme="majorEastAsia"/>
          <w:color w:val="auto"/>
          <w:sz w:val="20"/>
          <w:szCs w:val="22"/>
        </w:rPr>
        <w:t>). Output Gap in transition e</w:t>
      </w:r>
      <w:r w:rsidRPr="00871EA6">
        <w:rPr>
          <w:rFonts w:eastAsiaTheme="majorEastAsia"/>
          <w:color w:val="auto"/>
          <w:sz w:val="20"/>
          <w:szCs w:val="22"/>
        </w:rPr>
        <w:t>cono</w:t>
      </w:r>
      <w:r w:rsidR="0056680A" w:rsidRPr="00871EA6">
        <w:rPr>
          <w:rFonts w:eastAsiaTheme="majorEastAsia"/>
          <w:color w:val="auto"/>
          <w:sz w:val="20"/>
          <w:szCs w:val="22"/>
        </w:rPr>
        <w:t xml:space="preserve">mies using </w:t>
      </w:r>
      <w:r w:rsidR="00373FB8" w:rsidRPr="00871EA6">
        <w:rPr>
          <w:rFonts w:eastAsiaTheme="majorEastAsia"/>
          <w:color w:val="auto"/>
          <w:sz w:val="20"/>
          <w:szCs w:val="22"/>
        </w:rPr>
        <w:t>u</w:t>
      </w:r>
      <w:r w:rsidR="0056680A" w:rsidRPr="00871EA6">
        <w:rPr>
          <w:rFonts w:eastAsiaTheme="majorEastAsia"/>
          <w:color w:val="auto"/>
          <w:sz w:val="20"/>
          <w:szCs w:val="22"/>
        </w:rPr>
        <w:t>nobserved components m</w:t>
      </w:r>
      <w:r w:rsidRPr="00871EA6">
        <w:rPr>
          <w:rFonts w:eastAsiaTheme="majorEastAsia"/>
          <w:color w:val="auto"/>
          <w:sz w:val="20"/>
          <w:szCs w:val="22"/>
        </w:rPr>
        <w:t xml:space="preserve">ethod: The </w:t>
      </w:r>
      <w:r w:rsidR="0056680A" w:rsidRPr="00871EA6">
        <w:rPr>
          <w:rFonts w:eastAsiaTheme="majorEastAsia"/>
          <w:color w:val="auto"/>
          <w:sz w:val="20"/>
          <w:szCs w:val="22"/>
        </w:rPr>
        <w:t>c</w:t>
      </w:r>
      <w:r w:rsidRPr="00871EA6">
        <w:rPr>
          <w:rFonts w:eastAsiaTheme="majorEastAsia"/>
          <w:color w:val="auto"/>
          <w:sz w:val="20"/>
          <w:szCs w:val="22"/>
        </w:rPr>
        <w:t>ase of Czech Republic, Estonia and Ko</w:t>
      </w:r>
      <w:r w:rsidR="0056680A" w:rsidRPr="00871EA6">
        <w:rPr>
          <w:rFonts w:eastAsiaTheme="majorEastAsia"/>
          <w:color w:val="auto"/>
          <w:sz w:val="20"/>
          <w:szCs w:val="22"/>
        </w:rPr>
        <w:t>sovo.</w:t>
      </w:r>
      <w:r w:rsidRPr="00871EA6">
        <w:rPr>
          <w:rFonts w:eastAsiaTheme="majorEastAsia"/>
          <w:color w:val="auto"/>
          <w:sz w:val="20"/>
          <w:szCs w:val="22"/>
        </w:rPr>
        <w:t xml:space="preserve"> </w:t>
      </w:r>
      <w:r w:rsidRPr="00871EA6">
        <w:rPr>
          <w:rFonts w:eastAsiaTheme="majorEastAsia"/>
          <w:i/>
          <w:color w:val="auto"/>
          <w:sz w:val="20"/>
          <w:szCs w:val="22"/>
        </w:rPr>
        <w:t>Journal of Economic Thought and Practice</w:t>
      </w:r>
      <w:r w:rsidR="0056680A" w:rsidRPr="00871EA6">
        <w:rPr>
          <w:rFonts w:eastAsiaTheme="majorEastAsia"/>
          <w:i/>
          <w:color w:val="auto"/>
          <w:sz w:val="20"/>
          <w:szCs w:val="22"/>
        </w:rPr>
        <w:t>,</w:t>
      </w:r>
      <w:r w:rsidRPr="00871EA6">
        <w:rPr>
          <w:rFonts w:eastAsiaTheme="majorEastAsia"/>
          <w:color w:val="auto"/>
          <w:sz w:val="20"/>
          <w:szCs w:val="22"/>
        </w:rPr>
        <w:t xml:space="preserve"> </w:t>
      </w:r>
      <w:r w:rsidRPr="00871EA6">
        <w:rPr>
          <w:rFonts w:eastAsiaTheme="majorEastAsia"/>
          <w:i/>
          <w:color w:val="auto"/>
          <w:sz w:val="20"/>
          <w:szCs w:val="22"/>
        </w:rPr>
        <w:t>1</w:t>
      </w:r>
      <w:r w:rsidRPr="00871EA6">
        <w:rPr>
          <w:rFonts w:eastAsiaTheme="majorEastAsia"/>
          <w:color w:val="auto"/>
          <w:sz w:val="20"/>
          <w:szCs w:val="22"/>
        </w:rPr>
        <w:t>(23</w:t>
      </w:r>
      <w:r w:rsidR="0056680A" w:rsidRPr="00871EA6">
        <w:rPr>
          <w:rFonts w:eastAsiaTheme="majorEastAsia"/>
          <w:color w:val="auto"/>
          <w:sz w:val="20"/>
          <w:szCs w:val="22"/>
        </w:rPr>
        <w:t>).</w:t>
      </w:r>
      <w:r w:rsidR="00E32C6D" w:rsidRPr="00871EA6">
        <w:rPr>
          <w:rFonts w:eastAsiaTheme="majorEastAsia"/>
          <w:color w:val="auto"/>
          <w:sz w:val="20"/>
          <w:szCs w:val="22"/>
        </w:rPr>
        <w:t xml:space="preserve"> 477-500.</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Kennedy, P</w:t>
      </w:r>
      <w:r w:rsidR="0091168E" w:rsidRPr="00871EA6">
        <w:rPr>
          <w:rFonts w:eastAsiaTheme="majorEastAsia"/>
          <w:color w:val="auto"/>
          <w:sz w:val="20"/>
          <w:szCs w:val="22"/>
        </w:rPr>
        <w:t>.</w:t>
      </w:r>
      <w:r w:rsidRPr="00871EA6">
        <w:rPr>
          <w:rFonts w:eastAsiaTheme="majorEastAsia"/>
          <w:color w:val="auto"/>
          <w:sz w:val="20"/>
          <w:szCs w:val="22"/>
        </w:rPr>
        <w:t xml:space="preserve">, </w:t>
      </w:r>
      <w:r w:rsidR="0091168E" w:rsidRPr="00871EA6">
        <w:rPr>
          <w:rFonts w:eastAsiaTheme="majorEastAsia"/>
          <w:color w:val="auto"/>
          <w:sz w:val="20"/>
          <w:szCs w:val="22"/>
        </w:rPr>
        <w:t>(</w:t>
      </w:r>
      <w:r w:rsidRPr="00871EA6">
        <w:rPr>
          <w:rFonts w:eastAsiaTheme="majorEastAsia"/>
          <w:color w:val="auto"/>
          <w:sz w:val="20"/>
          <w:szCs w:val="22"/>
        </w:rPr>
        <w:t>2009</w:t>
      </w:r>
      <w:r w:rsidR="0091168E" w:rsidRPr="00871EA6">
        <w:rPr>
          <w:rFonts w:eastAsiaTheme="majorEastAsia"/>
          <w:color w:val="auto"/>
          <w:sz w:val="20"/>
          <w:szCs w:val="22"/>
        </w:rPr>
        <w:t>)</w:t>
      </w:r>
      <w:r w:rsidRPr="00871EA6">
        <w:rPr>
          <w:rFonts w:eastAsiaTheme="majorEastAsia"/>
          <w:color w:val="auto"/>
          <w:sz w:val="20"/>
          <w:szCs w:val="22"/>
        </w:rPr>
        <w:t xml:space="preserve">. </w:t>
      </w:r>
      <w:r w:rsidRPr="00871EA6">
        <w:rPr>
          <w:rFonts w:eastAsiaTheme="majorEastAsia"/>
          <w:i/>
          <w:color w:val="auto"/>
          <w:sz w:val="20"/>
          <w:szCs w:val="22"/>
        </w:rPr>
        <w:t>A Guide to Econometrics</w:t>
      </w:r>
      <w:r w:rsidRPr="00871EA6">
        <w:rPr>
          <w:rFonts w:eastAsiaTheme="majorEastAsia"/>
          <w:color w:val="auto"/>
          <w:sz w:val="20"/>
          <w:szCs w:val="22"/>
        </w:rPr>
        <w:t xml:space="preserve">. </w:t>
      </w:r>
      <w:r w:rsidR="0091168E" w:rsidRPr="00871EA6">
        <w:rPr>
          <w:rFonts w:eastAsiaTheme="majorEastAsia"/>
          <w:color w:val="auto"/>
          <w:sz w:val="20"/>
          <w:szCs w:val="22"/>
        </w:rPr>
        <w:t>Oxford: Wiley Blackwell.</w:t>
      </w:r>
    </w:p>
    <w:p w:rsidR="00D97B06" w:rsidRPr="00871EA6" w:rsidRDefault="00D97B06" w:rsidP="00C46DBA">
      <w:pPr>
        <w:spacing w:line="240" w:lineRule="auto"/>
        <w:ind w:left="425" w:hanging="425"/>
        <w:rPr>
          <w:rFonts w:eastAsiaTheme="majorEastAsia"/>
          <w:color w:val="auto"/>
          <w:sz w:val="20"/>
          <w:szCs w:val="22"/>
        </w:rPr>
      </w:pPr>
    </w:p>
    <w:p w:rsidR="00FD715E" w:rsidRPr="00871EA6" w:rsidRDefault="00FD715E" w:rsidP="00FD715E">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Khemrraj, T., (2008). Excess liquidity, oligopolistic loan markets and monetary policy in                    LDCs. UN/DESA Working Paper, 64. </w:t>
      </w:r>
    </w:p>
    <w:p w:rsidR="00FD715E" w:rsidRPr="00871EA6" w:rsidRDefault="00FD715E" w:rsidP="00FD715E">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         </w:t>
      </w:r>
      <w:hyperlink r:id="rId27" w:history="1">
        <w:r w:rsidRPr="00871EA6">
          <w:rPr>
            <w:rStyle w:val="Hyperlink"/>
            <w:rFonts w:eastAsiaTheme="majorEastAsia"/>
            <w:sz w:val="20"/>
            <w:szCs w:val="22"/>
          </w:rPr>
          <w:t>http://www.un.org/esa/desa/papers/2008/wp64_2008.pdf</w:t>
        </w:r>
      </w:hyperlink>
      <w:r w:rsidRPr="00871EA6">
        <w:rPr>
          <w:rFonts w:eastAsiaTheme="majorEastAsia"/>
          <w:color w:val="auto"/>
          <w:sz w:val="20"/>
          <w:szCs w:val="22"/>
        </w:rPr>
        <w:t>.</w:t>
      </w:r>
    </w:p>
    <w:p w:rsidR="001C163A" w:rsidRPr="00871EA6" w:rsidRDefault="001C163A" w:rsidP="001C163A">
      <w:pPr>
        <w:spacing w:line="240" w:lineRule="auto"/>
        <w:ind w:left="425" w:hanging="425"/>
        <w:rPr>
          <w:rFonts w:eastAsiaTheme="majorEastAsia"/>
          <w:color w:val="auto"/>
          <w:sz w:val="20"/>
          <w:szCs w:val="22"/>
        </w:rPr>
      </w:pPr>
    </w:p>
    <w:p w:rsidR="001C163A" w:rsidRPr="00871EA6" w:rsidRDefault="001C163A" w:rsidP="001C163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Krznar, I., &amp; Matheson, T. D., (2017). Financial and business cycles in Brazil. IMF Working Paper, 17.                   </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Maddala, G. S., </w:t>
      </w:r>
      <w:r w:rsidR="00141A78" w:rsidRPr="00871EA6">
        <w:rPr>
          <w:rFonts w:eastAsiaTheme="majorEastAsia"/>
          <w:color w:val="auto"/>
          <w:sz w:val="20"/>
          <w:szCs w:val="22"/>
        </w:rPr>
        <w:t>(</w:t>
      </w:r>
      <w:r w:rsidRPr="00871EA6">
        <w:rPr>
          <w:rFonts w:eastAsiaTheme="majorEastAsia"/>
          <w:color w:val="auto"/>
          <w:sz w:val="20"/>
          <w:szCs w:val="22"/>
        </w:rPr>
        <w:t>1997</w:t>
      </w:r>
      <w:r w:rsidR="00141A78" w:rsidRPr="00871EA6">
        <w:rPr>
          <w:rFonts w:eastAsiaTheme="majorEastAsia"/>
          <w:color w:val="auto"/>
          <w:sz w:val="20"/>
          <w:szCs w:val="22"/>
        </w:rPr>
        <w:t>)</w:t>
      </w:r>
      <w:r w:rsidRPr="00871EA6">
        <w:rPr>
          <w:rFonts w:eastAsiaTheme="majorEastAsia"/>
          <w:color w:val="auto"/>
          <w:sz w:val="20"/>
          <w:szCs w:val="22"/>
        </w:rPr>
        <w:t xml:space="preserve">. </w:t>
      </w:r>
      <w:r w:rsidRPr="00871EA6">
        <w:rPr>
          <w:rFonts w:eastAsiaTheme="majorEastAsia"/>
          <w:i/>
          <w:color w:val="auto"/>
          <w:sz w:val="20"/>
          <w:szCs w:val="22"/>
        </w:rPr>
        <w:t>Introduction to Econometrics.</w:t>
      </w:r>
      <w:r w:rsidRPr="00871EA6">
        <w:rPr>
          <w:rFonts w:eastAsiaTheme="majorEastAsia"/>
          <w:color w:val="auto"/>
          <w:sz w:val="20"/>
          <w:szCs w:val="22"/>
        </w:rPr>
        <w:t xml:space="preserve"> </w:t>
      </w:r>
      <w:r w:rsidR="00141A78" w:rsidRPr="00871EA6">
        <w:rPr>
          <w:rFonts w:eastAsiaTheme="majorEastAsia"/>
          <w:color w:val="auto"/>
          <w:sz w:val="20"/>
          <w:szCs w:val="22"/>
        </w:rPr>
        <w:t>Hoboken, NJ: Wiley Press.</w:t>
      </w:r>
    </w:p>
    <w:p w:rsidR="001C163A" w:rsidRPr="00871EA6" w:rsidRDefault="001C163A" w:rsidP="001C163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Moinescu, B. (2012). Credit flow, output gap and inflation: Nominal convergence challenges for the EU new member states. Journal of Applied Quantitative Methods, 4(7), 1-10.  </w:t>
      </w:r>
    </w:p>
    <w:p w:rsidR="001C163A" w:rsidRPr="00871EA6" w:rsidRDefault="001C163A" w:rsidP="00C46DBA">
      <w:pPr>
        <w:spacing w:line="240" w:lineRule="auto"/>
        <w:ind w:left="425" w:hanging="425"/>
        <w:rPr>
          <w:rFonts w:eastAsiaTheme="majorEastAsia"/>
          <w:color w:val="auto"/>
          <w:sz w:val="20"/>
          <w:szCs w:val="22"/>
        </w:rPr>
      </w:pPr>
    </w:p>
    <w:p w:rsidR="004B5DE7"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Morley, </w:t>
      </w:r>
      <w:r w:rsidR="006257B4" w:rsidRPr="00871EA6">
        <w:rPr>
          <w:rFonts w:eastAsiaTheme="majorEastAsia"/>
          <w:color w:val="auto"/>
          <w:sz w:val="20"/>
          <w:szCs w:val="22"/>
        </w:rPr>
        <w:t>J.,</w:t>
      </w:r>
      <w:r w:rsidRPr="00871EA6">
        <w:rPr>
          <w:rFonts w:eastAsiaTheme="majorEastAsia"/>
          <w:color w:val="auto"/>
          <w:sz w:val="20"/>
          <w:szCs w:val="22"/>
        </w:rPr>
        <w:t xml:space="preserve"> </w:t>
      </w:r>
      <w:r w:rsidR="006257B4" w:rsidRPr="00871EA6">
        <w:rPr>
          <w:rFonts w:eastAsiaTheme="majorEastAsia"/>
          <w:color w:val="auto"/>
          <w:sz w:val="20"/>
          <w:szCs w:val="22"/>
        </w:rPr>
        <w:t>(</w:t>
      </w:r>
      <w:r w:rsidRPr="00871EA6">
        <w:rPr>
          <w:rFonts w:eastAsiaTheme="majorEastAsia"/>
          <w:color w:val="auto"/>
          <w:sz w:val="20"/>
          <w:szCs w:val="22"/>
        </w:rPr>
        <w:t>2015</w:t>
      </w:r>
      <w:r w:rsidR="006257B4" w:rsidRPr="00871EA6">
        <w:rPr>
          <w:rFonts w:eastAsiaTheme="majorEastAsia"/>
          <w:color w:val="auto"/>
          <w:sz w:val="20"/>
          <w:szCs w:val="22"/>
        </w:rPr>
        <w:t>)</w:t>
      </w:r>
      <w:r w:rsidRPr="00871EA6">
        <w:rPr>
          <w:rFonts w:eastAsiaTheme="majorEastAsia"/>
          <w:color w:val="auto"/>
          <w:sz w:val="20"/>
          <w:szCs w:val="22"/>
        </w:rPr>
        <w:t xml:space="preserve">. </w:t>
      </w:r>
      <w:r w:rsidR="006257B4" w:rsidRPr="00871EA6">
        <w:rPr>
          <w:rFonts w:eastAsiaTheme="majorEastAsia"/>
          <w:color w:val="auto"/>
          <w:sz w:val="20"/>
          <w:szCs w:val="22"/>
        </w:rPr>
        <w:t>Macro-financial linkages.</w:t>
      </w:r>
      <w:r w:rsidRPr="00871EA6">
        <w:rPr>
          <w:rFonts w:eastAsiaTheme="majorEastAsia"/>
          <w:color w:val="auto"/>
          <w:sz w:val="20"/>
          <w:szCs w:val="22"/>
        </w:rPr>
        <w:t xml:space="preserve"> </w:t>
      </w:r>
      <w:r w:rsidRPr="00871EA6">
        <w:rPr>
          <w:rFonts w:eastAsiaTheme="majorEastAsia"/>
          <w:i/>
          <w:color w:val="auto"/>
          <w:sz w:val="20"/>
          <w:szCs w:val="22"/>
        </w:rPr>
        <w:t>Economic Surveys,</w:t>
      </w:r>
      <w:r w:rsidRPr="00871EA6">
        <w:rPr>
          <w:rFonts w:eastAsiaTheme="majorEastAsia"/>
          <w:color w:val="auto"/>
          <w:sz w:val="20"/>
          <w:szCs w:val="22"/>
        </w:rPr>
        <w:t xml:space="preserve"> 30</w:t>
      </w:r>
      <w:r w:rsidR="006257B4" w:rsidRPr="00871EA6">
        <w:rPr>
          <w:rFonts w:eastAsiaTheme="majorEastAsia"/>
          <w:color w:val="auto"/>
          <w:sz w:val="20"/>
          <w:szCs w:val="22"/>
        </w:rPr>
        <w:t>(4), 698-</w:t>
      </w:r>
      <w:r w:rsidRPr="00871EA6">
        <w:rPr>
          <w:rFonts w:eastAsiaTheme="majorEastAsia"/>
          <w:color w:val="auto"/>
          <w:sz w:val="20"/>
          <w:szCs w:val="22"/>
        </w:rPr>
        <w:t xml:space="preserve">711. </w:t>
      </w:r>
      <w:hyperlink r:id="rId28" w:history="1">
        <w:r w:rsidR="00750DE3" w:rsidRPr="00871EA6">
          <w:rPr>
            <w:rStyle w:val="Hyperlink"/>
            <w:rFonts w:eastAsiaTheme="majorEastAsia"/>
            <w:sz w:val="20"/>
            <w:szCs w:val="22"/>
          </w:rPr>
          <w:t>https://doi:10.1111/joes.12108</w:t>
        </w:r>
      </w:hyperlink>
      <w:r w:rsidR="00750DE3" w:rsidRPr="00871EA6">
        <w:rPr>
          <w:rFonts w:eastAsiaTheme="majorEastAsia"/>
          <w:color w:val="auto"/>
          <w:sz w:val="20"/>
          <w:szCs w:val="22"/>
        </w:rPr>
        <w:t>.</w:t>
      </w:r>
    </w:p>
    <w:p w:rsidR="00D97B06" w:rsidRPr="00871EA6" w:rsidRDefault="00D97B06" w:rsidP="00C46DBA">
      <w:pPr>
        <w:spacing w:line="240" w:lineRule="auto"/>
        <w:ind w:left="425" w:hanging="425"/>
        <w:rPr>
          <w:rFonts w:eastAsiaTheme="majorEastAsia"/>
          <w:color w:val="auto"/>
          <w:sz w:val="20"/>
          <w:szCs w:val="22"/>
        </w:rPr>
      </w:pPr>
    </w:p>
    <w:p w:rsidR="003C07AB"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Murthi, B. P. S., Srinivasan, K</w:t>
      </w:r>
      <w:r w:rsidR="00556AF2" w:rsidRPr="00871EA6">
        <w:rPr>
          <w:rFonts w:eastAsiaTheme="majorEastAsia"/>
          <w:color w:val="auto"/>
          <w:sz w:val="20"/>
          <w:szCs w:val="22"/>
        </w:rPr>
        <w:t>.</w:t>
      </w:r>
      <w:r w:rsidRPr="00871EA6">
        <w:rPr>
          <w:rFonts w:eastAsiaTheme="majorEastAsia"/>
          <w:color w:val="auto"/>
          <w:sz w:val="20"/>
          <w:szCs w:val="22"/>
        </w:rPr>
        <w:t xml:space="preserve"> </w:t>
      </w:r>
      <w:r w:rsidR="00556AF2" w:rsidRPr="00871EA6">
        <w:rPr>
          <w:color w:val="auto"/>
          <w:sz w:val="20"/>
          <w:szCs w:val="20"/>
        </w:rPr>
        <w:t>&amp;</w:t>
      </w:r>
      <w:r w:rsidRPr="00871EA6">
        <w:rPr>
          <w:rFonts w:eastAsiaTheme="majorEastAsia"/>
          <w:color w:val="auto"/>
          <w:sz w:val="20"/>
          <w:szCs w:val="22"/>
        </w:rPr>
        <w:t xml:space="preserve"> Kalyanaram, </w:t>
      </w:r>
      <w:r w:rsidR="00556AF2" w:rsidRPr="00871EA6">
        <w:rPr>
          <w:rFonts w:eastAsiaTheme="majorEastAsia"/>
          <w:color w:val="auto"/>
          <w:sz w:val="20"/>
          <w:szCs w:val="22"/>
        </w:rPr>
        <w:t>G.</w:t>
      </w:r>
      <w:r w:rsidR="004B5DE7" w:rsidRPr="00871EA6">
        <w:rPr>
          <w:rFonts w:eastAsiaTheme="majorEastAsia"/>
          <w:color w:val="auto"/>
          <w:sz w:val="20"/>
          <w:szCs w:val="22"/>
        </w:rPr>
        <w:t>, (</w:t>
      </w:r>
      <w:r w:rsidR="00556AF2" w:rsidRPr="00871EA6">
        <w:rPr>
          <w:rFonts w:eastAsiaTheme="majorEastAsia"/>
          <w:color w:val="auto"/>
          <w:sz w:val="20"/>
          <w:szCs w:val="22"/>
        </w:rPr>
        <w:t>1</w:t>
      </w:r>
      <w:r w:rsidRPr="00871EA6">
        <w:rPr>
          <w:rFonts w:eastAsiaTheme="majorEastAsia"/>
          <w:color w:val="auto"/>
          <w:sz w:val="20"/>
          <w:szCs w:val="22"/>
        </w:rPr>
        <w:t>996</w:t>
      </w:r>
      <w:r w:rsidR="00556AF2" w:rsidRPr="00871EA6">
        <w:rPr>
          <w:rFonts w:eastAsiaTheme="majorEastAsia"/>
          <w:color w:val="auto"/>
          <w:sz w:val="20"/>
          <w:szCs w:val="22"/>
        </w:rPr>
        <w:t xml:space="preserve">). Controlling for observed and unobserved managerial skills in determining first-mover market share advantages. </w:t>
      </w:r>
      <w:r w:rsidR="00556AF2" w:rsidRPr="00871EA6">
        <w:rPr>
          <w:rFonts w:eastAsiaTheme="majorEastAsia"/>
          <w:i/>
          <w:color w:val="auto"/>
          <w:sz w:val="20"/>
          <w:szCs w:val="22"/>
        </w:rPr>
        <w:t>Journal of Marketing Research, 3</w:t>
      </w:r>
      <w:r w:rsidR="00556AF2" w:rsidRPr="00871EA6">
        <w:rPr>
          <w:rFonts w:eastAsiaTheme="majorEastAsia"/>
          <w:color w:val="auto"/>
          <w:sz w:val="20"/>
          <w:szCs w:val="22"/>
        </w:rPr>
        <w:t>(33), 329-336.</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Organization for Economic Co-operation and Development </w:t>
      </w:r>
      <w:r w:rsidR="003C07AB" w:rsidRPr="00871EA6">
        <w:rPr>
          <w:rFonts w:eastAsiaTheme="majorEastAsia"/>
          <w:color w:val="auto"/>
          <w:sz w:val="20"/>
          <w:szCs w:val="22"/>
        </w:rPr>
        <w:t>(</w:t>
      </w:r>
      <w:r w:rsidRPr="00871EA6">
        <w:rPr>
          <w:rFonts w:eastAsiaTheme="majorEastAsia"/>
          <w:color w:val="auto"/>
          <w:sz w:val="20"/>
          <w:szCs w:val="22"/>
        </w:rPr>
        <w:t>2010</w:t>
      </w:r>
      <w:r w:rsidR="003C07AB" w:rsidRPr="00871EA6">
        <w:rPr>
          <w:rFonts w:eastAsiaTheme="majorEastAsia"/>
          <w:color w:val="auto"/>
          <w:sz w:val="20"/>
          <w:szCs w:val="22"/>
        </w:rPr>
        <w:t xml:space="preserve">). </w:t>
      </w:r>
      <w:r w:rsidR="003C07AB" w:rsidRPr="00871EA6">
        <w:rPr>
          <w:rFonts w:eastAsiaTheme="majorEastAsia"/>
          <w:i/>
          <w:color w:val="auto"/>
          <w:sz w:val="20"/>
          <w:szCs w:val="22"/>
        </w:rPr>
        <w:t>Counter-c</w:t>
      </w:r>
      <w:r w:rsidRPr="00871EA6">
        <w:rPr>
          <w:rFonts w:eastAsiaTheme="majorEastAsia"/>
          <w:i/>
          <w:color w:val="auto"/>
          <w:sz w:val="20"/>
          <w:szCs w:val="22"/>
        </w:rPr>
        <w:t xml:space="preserve">yclical </w:t>
      </w:r>
      <w:r w:rsidR="003C07AB" w:rsidRPr="00871EA6">
        <w:rPr>
          <w:rFonts w:eastAsiaTheme="majorEastAsia"/>
          <w:i/>
          <w:color w:val="auto"/>
          <w:sz w:val="20"/>
          <w:szCs w:val="22"/>
        </w:rPr>
        <w:t xml:space="preserve">economic policy: </w:t>
      </w:r>
      <w:r w:rsidR="00D00781" w:rsidRPr="00871EA6">
        <w:rPr>
          <w:rFonts w:eastAsiaTheme="majorEastAsia"/>
          <w:i/>
          <w:color w:val="auto"/>
          <w:sz w:val="20"/>
          <w:szCs w:val="22"/>
        </w:rPr>
        <w:t>E</w:t>
      </w:r>
      <w:r w:rsidRPr="00871EA6">
        <w:rPr>
          <w:rFonts w:eastAsiaTheme="majorEastAsia"/>
          <w:i/>
          <w:color w:val="auto"/>
          <w:sz w:val="20"/>
          <w:szCs w:val="22"/>
        </w:rPr>
        <w:t>con</w:t>
      </w:r>
      <w:r w:rsidR="00D00781" w:rsidRPr="00871EA6">
        <w:rPr>
          <w:rFonts w:eastAsiaTheme="majorEastAsia"/>
          <w:i/>
          <w:color w:val="auto"/>
          <w:sz w:val="20"/>
          <w:szCs w:val="22"/>
        </w:rPr>
        <w:t>omics Department Policy Notes.</w:t>
      </w:r>
      <w:r w:rsidR="00D00781" w:rsidRPr="00871EA6">
        <w:rPr>
          <w:rFonts w:eastAsiaTheme="majorEastAsia"/>
          <w:color w:val="auto"/>
          <w:sz w:val="20"/>
          <w:szCs w:val="22"/>
        </w:rPr>
        <w:t xml:space="preserve"> Retrieved from </w:t>
      </w:r>
      <w:hyperlink r:id="rId29" w:history="1">
        <w:r w:rsidR="00600F6D" w:rsidRPr="00871EA6">
          <w:rPr>
            <w:rStyle w:val="Hyperlink"/>
            <w:rFonts w:eastAsiaTheme="majorEastAsia"/>
            <w:sz w:val="20"/>
            <w:szCs w:val="22"/>
          </w:rPr>
          <w:t>https://www.oecd.org/tax/public-finance/45105376.pdf</w:t>
        </w:r>
      </w:hyperlink>
      <w:r w:rsidRPr="00871EA6">
        <w:rPr>
          <w:rFonts w:eastAsiaTheme="majorEastAsia"/>
          <w:color w:val="auto"/>
          <w:sz w:val="20"/>
          <w:szCs w:val="22"/>
        </w:rPr>
        <w:t>.</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Raiser, </w:t>
      </w:r>
      <w:r w:rsidR="008F09DB" w:rsidRPr="00871EA6">
        <w:rPr>
          <w:rFonts w:eastAsiaTheme="majorEastAsia"/>
          <w:color w:val="auto"/>
          <w:sz w:val="20"/>
          <w:szCs w:val="22"/>
        </w:rPr>
        <w:t>M.,</w:t>
      </w:r>
      <w:r w:rsidRPr="00871EA6">
        <w:rPr>
          <w:rFonts w:eastAsiaTheme="majorEastAsia"/>
          <w:color w:val="auto"/>
          <w:sz w:val="20"/>
          <w:szCs w:val="22"/>
        </w:rPr>
        <w:t xml:space="preserve"> DiTommaso, M</w:t>
      </w:r>
      <w:r w:rsidR="008F09DB" w:rsidRPr="00871EA6">
        <w:rPr>
          <w:rFonts w:eastAsiaTheme="majorEastAsia"/>
          <w:color w:val="auto"/>
          <w:sz w:val="20"/>
          <w:szCs w:val="22"/>
        </w:rPr>
        <w:t>.</w:t>
      </w:r>
      <w:r w:rsidRPr="00871EA6">
        <w:rPr>
          <w:rFonts w:eastAsiaTheme="majorEastAsia"/>
          <w:color w:val="auto"/>
          <w:sz w:val="20"/>
          <w:szCs w:val="22"/>
        </w:rPr>
        <w:t xml:space="preserve"> L., </w:t>
      </w:r>
      <w:r w:rsidR="008F09DB" w:rsidRPr="00871EA6">
        <w:rPr>
          <w:color w:val="auto"/>
          <w:sz w:val="20"/>
          <w:szCs w:val="20"/>
        </w:rPr>
        <w:t>&amp;</w:t>
      </w:r>
      <w:r w:rsidRPr="00871EA6">
        <w:rPr>
          <w:rFonts w:eastAsiaTheme="majorEastAsia"/>
          <w:color w:val="auto"/>
          <w:sz w:val="20"/>
          <w:szCs w:val="22"/>
        </w:rPr>
        <w:t xml:space="preserve"> Weeks, </w:t>
      </w:r>
      <w:r w:rsidR="008F09DB" w:rsidRPr="00871EA6">
        <w:rPr>
          <w:rFonts w:eastAsiaTheme="majorEastAsia"/>
          <w:color w:val="auto"/>
          <w:sz w:val="20"/>
          <w:szCs w:val="22"/>
        </w:rPr>
        <w:t>M.,</w:t>
      </w:r>
      <w:r w:rsidRPr="00871EA6">
        <w:rPr>
          <w:rFonts w:eastAsiaTheme="majorEastAsia"/>
          <w:color w:val="auto"/>
          <w:sz w:val="20"/>
          <w:szCs w:val="22"/>
        </w:rPr>
        <w:t xml:space="preserve"> </w:t>
      </w:r>
      <w:r w:rsidR="008F09DB" w:rsidRPr="00871EA6">
        <w:rPr>
          <w:rFonts w:eastAsiaTheme="majorEastAsia"/>
          <w:color w:val="auto"/>
          <w:sz w:val="20"/>
          <w:szCs w:val="22"/>
        </w:rPr>
        <w:t>(</w:t>
      </w:r>
      <w:r w:rsidRPr="00871EA6">
        <w:rPr>
          <w:rFonts w:eastAsiaTheme="majorEastAsia"/>
          <w:color w:val="auto"/>
          <w:sz w:val="20"/>
          <w:szCs w:val="22"/>
        </w:rPr>
        <w:t>2001</w:t>
      </w:r>
      <w:r w:rsidR="008F09DB" w:rsidRPr="00871EA6">
        <w:rPr>
          <w:rFonts w:eastAsiaTheme="majorEastAsia"/>
          <w:color w:val="auto"/>
          <w:sz w:val="20"/>
          <w:szCs w:val="22"/>
        </w:rPr>
        <w:t>)</w:t>
      </w:r>
      <w:r w:rsidRPr="00871EA6">
        <w:rPr>
          <w:rFonts w:eastAsiaTheme="majorEastAsia"/>
          <w:color w:val="auto"/>
          <w:sz w:val="20"/>
          <w:szCs w:val="22"/>
        </w:rPr>
        <w:t xml:space="preserve">. </w:t>
      </w:r>
      <w:r w:rsidR="008F09DB" w:rsidRPr="00871EA6">
        <w:rPr>
          <w:rFonts w:eastAsiaTheme="majorEastAsia"/>
          <w:color w:val="auto"/>
          <w:sz w:val="20"/>
          <w:szCs w:val="22"/>
        </w:rPr>
        <w:t xml:space="preserve">The measurements and determinants of institutional change: Evidence from transition economies. </w:t>
      </w:r>
      <w:r w:rsidR="008F09DB" w:rsidRPr="00871EA6">
        <w:rPr>
          <w:rFonts w:eastAsiaTheme="majorEastAsia"/>
          <w:i/>
          <w:color w:val="auto"/>
          <w:sz w:val="20"/>
          <w:szCs w:val="22"/>
        </w:rPr>
        <w:t>EBRD Working Paper, 60.</w:t>
      </w:r>
      <w:r w:rsidR="008F09DB" w:rsidRPr="00871EA6">
        <w:rPr>
          <w:rFonts w:eastAsiaTheme="majorEastAsia"/>
          <w:color w:val="auto"/>
          <w:sz w:val="20"/>
          <w:szCs w:val="22"/>
        </w:rPr>
        <w:t xml:space="preserve"> </w:t>
      </w:r>
    </w:p>
    <w:p w:rsidR="001233E5" w:rsidRPr="00871EA6" w:rsidRDefault="001233E5"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Roubini, </w:t>
      </w:r>
      <w:r w:rsidR="00D2468A" w:rsidRPr="00871EA6">
        <w:rPr>
          <w:rFonts w:eastAsiaTheme="majorEastAsia"/>
          <w:color w:val="auto"/>
          <w:sz w:val="20"/>
          <w:szCs w:val="22"/>
        </w:rPr>
        <w:t>N.</w:t>
      </w:r>
      <w:r w:rsidR="00B36616" w:rsidRPr="00871EA6">
        <w:rPr>
          <w:rFonts w:eastAsiaTheme="majorEastAsia"/>
          <w:color w:val="auto"/>
          <w:sz w:val="20"/>
          <w:szCs w:val="22"/>
        </w:rPr>
        <w:t>,</w:t>
      </w:r>
      <w:r w:rsidRPr="00871EA6">
        <w:rPr>
          <w:rFonts w:eastAsiaTheme="majorEastAsia"/>
          <w:color w:val="auto"/>
          <w:sz w:val="20"/>
          <w:szCs w:val="22"/>
        </w:rPr>
        <w:t xml:space="preserve"> </w:t>
      </w:r>
      <w:r w:rsidR="00D2468A" w:rsidRPr="00871EA6">
        <w:rPr>
          <w:rFonts w:eastAsiaTheme="majorEastAsia"/>
          <w:color w:val="auto"/>
          <w:sz w:val="20"/>
          <w:szCs w:val="22"/>
        </w:rPr>
        <w:t>(</w:t>
      </w:r>
      <w:r w:rsidRPr="00871EA6">
        <w:rPr>
          <w:rFonts w:eastAsiaTheme="majorEastAsia"/>
          <w:color w:val="auto"/>
          <w:sz w:val="20"/>
          <w:szCs w:val="22"/>
        </w:rPr>
        <w:t>2015</w:t>
      </w:r>
      <w:r w:rsidR="00D2468A" w:rsidRPr="00871EA6">
        <w:rPr>
          <w:rFonts w:eastAsiaTheme="majorEastAsia"/>
          <w:color w:val="auto"/>
          <w:sz w:val="20"/>
          <w:szCs w:val="22"/>
        </w:rPr>
        <w:t xml:space="preserve">). </w:t>
      </w:r>
      <w:r w:rsidRPr="00871EA6">
        <w:rPr>
          <w:rFonts w:eastAsiaTheme="majorEastAsia"/>
          <w:color w:val="auto"/>
          <w:sz w:val="20"/>
          <w:szCs w:val="22"/>
        </w:rPr>
        <w:t>Unconven</w:t>
      </w:r>
      <w:r w:rsidR="00D2468A" w:rsidRPr="00871EA6">
        <w:rPr>
          <w:rFonts w:eastAsiaTheme="majorEastAsia"/>
          <w:color w:val="auto"/>
          <w:sz w:val="20"/>
          <w:szCs w:val="22"/>
        </w:rPr>
        <w:t xml:space="preserve">tional Truth.  </w:t>
      </w:r>
      <w:r w:rsidR="00D2468A" w:rsidRPr="00871EA6">
        <w:rPr>
          <w:rFonts w:eastAsiaTheme="majorEastAsia"/>
          <w:i/>
          <w:color w:val="auto"/>
          <w:sz w:val="20"/>
          <w:szCs w:val="22"/>
        </w:rPr>
        <w:t>Project Syndicate</w:t>
      </w:r>
      <w:r w:rsidRPr="00871EA6">
        <w:rPr>
          <w:rFonts w:eastAsiaTheme="majorEastAsia"/>
          <w:i/>
          <w:color w:val="auto"/>
          <w:sz w:val="20"/>
          <w:szCs w:val="22"/>
        </w:rPr>
        <w:t>.</w:t>
      </w:r>
      <w:r w:rsidRPr="00871EA6">
        <w:rPr>
          <w:rFonts w:eastAsiaTheme="majorEastAsia"/>
          <w:color w:val="auto"/>
          <w:sz w:val="20"/>
          <w:szCs w:val="22"/>
        </w:rPr>
        <w:t xml:space="preserve"> </w:t>
      </w:r>
      <w:r w:rsidR="00D2468A" w:rsidRPr="00871EA6">
        <w:rPr>
          <w:rFonts w:eastAsiaTheme="majorEastAsia"/>
          <w:color w:val="auto"/>
          <w:sz w:val="20"/>
          <w:szCs w:val="22"/>
        </w:rPr>
        <w:t>Retrieved from</w:t>
      </w:r>
      <w:r w:rsidRPr="00871EA6">
        <w:rPr>
          <w:rFonts w:eastAsiaTheme="majorEastAsia"/>
          <w:color w:val="auto"/>
          <w:sz w:val="20"/>
          <w:szCs w:val="22"/>
        </w:rPr>
        <w:t xml:space="preserve"> </w:t>
      </w:r>
      <w:hyperlink r:id="rId30" w:history="1">
        <w:r w:rsidR="00D2468A" w:rsidRPr="00871EA6">
          <w:rPr>
            <w:rStyle w:val="Hyperlink"/>
            <w:rFonts w:eastAsiaTheme="majorEastAsia"/>
            <w:sz w:val="20"/>
            <w:szCs w:val="22"/>
          </w:rPr>
          <w:t>http://www.project-syndicate.org/commentary/unconventional-monetary-policies-and-fiscal-stimulus-by-nouriel-roubini-2015-02</w:t>
        </w:r>
      </w:hyperlink>
      <w:r w:rsidRPr="00871EA6">
        <w:rPr>
          <w:rFonts w:eastAsiaTheme="majorEastAsia"/>
          <w:color w:val="auto"/>
          <w:sz w:val="20"/>
          <w:szCs w:val="22"/>
        </w:rPr>
        <w:t>.</w:t>
      </w:r>
    </w:p>
    <w:p w:rsidR="00D2468A" w:rsidRPr="00871EA6" w:rsidRDefault="00D2468A" w:rsidP="00C46DBA">
      <w:pPr>
        <w:spacing w:line="240" w:lineRule="auto"/>
        <w:ind w:left="425" w:hanging="425"/>
        <w:rPr>
          <w:rFonts w:eastAsiaTheme="majorEastAsia"/>
          <w:color w:val="auto"/>
          <w:sz w:val="20"/>
          <w:szCs w:val="22"/>
        </w:rPr>
      </w:pPr>
    </w:p>
    <w:p w:rsidR="00CB413D" w:rsidRPr="00871EA6" w:rsidRDefault="00CB413D" w:rsidP="00C46DBA">
      <w:pPr>
        <w:spacing w:line="240" w:lineRule="auto"/>
        <w:ind w:left="425" w:hanging="425"/>
        <w:rPr>
          <w:rFonts w:eastAsiaTheme="majorEastAsia"/>
          <w:color w:val="auto"/>
          <w:sz w:val="20"/>
          <w:szCs w:val="22"/>
        </w:rPr>
      </w:pPr>
      <w:r w:rsidRPr="00871EA6">
        <w:rPr>
          <w:rFonts w:eastAsiaTheme="majorEastAsia"/>
          <w:color w:val="auto"/>
          <w:sz w:val="20"/>
          <w:szCs w:val="22"/>
        </w:rPr>
        <w:t>Stiglitz, J., E., &amp; Weiss, A., (1981). Credit rationing in markets with imperfect information.</w:t>
      </w:r>
      <w:r w:rsidRPr="00871EA6">
        <w:rPr>
          <w:rFonts w:eastAsiaTheme="majorEastAsia"/>
          <w:i/>
          <w:color w:val="auto"/>
          <w:sz w:val="20"/>
          <w:szCs w:val="22"/>
        </w:rPr>
        <w:t xml:space="preserve"> American Economic Review</w:t>
      </w:r>
      <w:r w:rsidRPr="00871EA6">
        <w:rPr>
          <w:rFonts w:eastAsiaTheme="majorEastAsia"/>
          <w:color w:val="auto"/>
          <w:sz w:val="20"/>
          <w:szCs w:val="22"/>
        </w:rPr>
        <w:t>, 3(71), 393-410.</w:t>
      </w:r>
    </w:p>
    <w:p w:rsidR="00CB413D" w:rsidRPr="00871EA6" w:rsidRDefault="00CB413D"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Saxegaard, </w:t>
      </w:r>
      <w:r w:rsidR="00986530" w:rsidRPr="00871EA6">
        <w:rPr>
          <w:rFonts w:eastAsiaTheme="majorEastAsia"/>
          <w:color w:val="auto"/>
          <w:sz w:val="20"/>
          <w:szCs w:val="22"/>
        </w:rPr>
        <w:t>M.,</w:t>
      </w:r>
      <w:r w:rsidRPr="00871EA6">
        <w:rPr>
          <w:rFonts w:eastAsiaTheme="majorEastAsia"/>
          <w:color w:val="auto"/>
          <w:sz w:val="20"/>
          <w:szCs w:val="22"/>
        </w:rPr>
        <w:t xml:space="preserve"> </w:t>
      </w:r>
      <w:r w:rsidR="00986530" w:rsidRPr="00871EA6">
        <w:rPr>
          <w:rFonts w:eastAsiaTheme="majorEastAsia"/>
          <w:color w:val="auto"/>
          <w:sz w:val="20"/>
          <w:szCs w:val="22"/>
        </w:rPr>
        <w:t>(</w:t>
      </w:r>
      <w:r w:rsidRPr="00871EA6">
        <w:rPr>
          <w:rFonts w:eastAsiaTheme="majorEastAsia"/>
          <w:color w:val="auto"/>
          <w:sz w:val="20"/>
          <w:szCs w:val="22"/>
        </w:rPr>
        <w:t>2006</w:t>
      </w:r>
      <w:r w:rsidR="00986530" w:rsidRPr="00871EA6">
        <w:rPr>
          <w:rFonts w:eastAsiaTheme="majorEastAsia"/>
          <w:color w:val="auto"/>
          <w:sz w:val="20"/>
          <w:szCs w:val="22"/>
        </w:rPr>
        <w:t>)</w:t>
      </w:r>
      <w:r w:rsidRPr="00871EA6">
        <w:rPr>
          <w:rFonts w:eastAsiaTheme="majorEastAsia"/>
          <w:color w:val="auto"/>
          <w:sz w:val="20"/>
          <w:szCs w:val="22"/>
        </w:rPr>
        <w:t xml:space="preserve">. </w:t>
      </w:r>
      <w:r w:rsidR="00986530" w:rsidRPr="00871EA6">
        <w:rPr>
          <w:rFonts w:eastAsiaTheme="majorEastAsia"/>
          <w:color w:val="auto"/>
          <w:sz w:val="20"/>
          <w:szCs w:val="22"/>
        </w:rPr>
        <w:t xml:space="preserve">Excess liquidity and effectiveness of monetary policy: Evidence from Sub-Saharan Africa. </w:t>
      </w:r>
      <w:r w:rsidR="00986530" w:rsidRPr="00871EA6">
        <w:rPr>
          <w:rFonts w:eastAsiaTheme="majorEastAsia"/>
          <w:i/>
          <w:color w:val="auto"/>
          <w:sz w:val="20"/>
          <w:szCs w:val="22"/>
        </w:rPr>
        <w:t>IMF Working Paper, 115.</w:t>
      </w:r>
      <w:r w:rsidR="00986530" w:rsidRPr="00871EA6">
        <w:rPr>
          <w:rFonts w:eastAsiaTheme="majorEastAsia"/>
          <w:color w:val="auto"/>
          <w:sz w:val="20"/>
          <w:szCs w:val="22"/>
        </w:rPr>
        <w:t xml:space="preserve"> </w:t>
      </w:r>
    </w:p>
    <w:p w:rsidR="005459FC" w:rsidRPr="00871EA6" w:rsidRDefault="005459FC" w:rsidP="00C46DBA">
      <w:pPr>
        <w:spacing w:line="240" w:lineRule="auto"/>
        <w:rPr>
          <w:rFonts w:eastAsiaTheme="majorEastAsia"/>
          <w:color w:val="auto"/>
          <w:sz w:val="20"/>
          <w:szCs w:val="22"/>
        </w:rPr>
      </w:pPr>
    </w:p>
    <w:p w:rsidR="00D97B06" w:rsidRPr="00871EA6" w:rsidRDefault="00CB413D"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Studenmund, A. H., </w:t>
      </w:r>
      <w:r w:rsidR="00600F6D" w:rsidRPr="00871EA6">
        <w:rPr>
          <w:rFonts w:eastAsiaTheme="majorEastAsia"/>
          <w:color w:val="auto"/>
          <w:sz w:val="20"/>
          <w:szCs w:val="22"/>
        </w:rPr>
        <w:t>(</w:t>
      </w:r>
      <w:r w:rsidRPr="00871EA6">
        <w:rPr>
          <w:rFonts w:eastAsiaTheme="majorEastAsia"/>
          <w:color w:val="auto"/>
          <w:sz w:val="20"/>
          <w:szCs w:val="22"/>
        </w:rPr>
        <w:t>2006</w:t>
      </w:r>
      <w:r w:rsidR="00600F6D" w:rsidRPr="00871EA6">
        <w:rPr>
          <w:rFonts w:eastAsiaTheme="majorEastAsia"/>
          <w:color w:val="auto"/>
          <w:sz w:val="20"/>
          <w:szCs w:val="22"/>
        </w:rPr>
        <w:t>)</w:t>
      </w:r>
      <w:r w:rsidRPr="00871EA6">
        <w:rPr>
          <w:rFonts w:eastAsiaTheme="majorEastAsia"/>
          <w:color w:val="auto"/>
          <w:sz w:val="20"/>
          <w:szCs w:val="22"/>
        </w:rPr>
        <w:t xml:space="preserve">. </w:t>
      </w:r>
      <w:r w:rsidRPr="00871EA6">
        <w:rPr>
          <w:rFonts w:eastAsiaTheme="majorEastAsia"/>
          <w:i/>
          <w:color w:val="auto"/>
          <w:sz w:val="20"/>
          <w:szCs w:val="22"/>
        </w:rPr>
        <w:t xml:space="preserve">Using Econometrics: </w:t>
      </w:r>
      <w:r w:rsidR="00600F6D" w:rsidRPr="00871EA6">
        <w:rPr>
          <w:rFonts w:eastAsiaTheme="majorEastAsia"/>
          <w:i/>
          <w:color w:val="auto"/>
          <w:sz w:val="20"/>
          <w:szCs w:val="22"/>
        </w:rPr>
        <w:t>A</w:t>
      </w:r>
      <w:r w:rsidRPr="00871EA6">
        <w:rPr>
          <w:rFonts w:eastAsiaTheme="majorEastAsia"/>
          <w:i/>
          <w:color w:val="auto"/>
          <w:sz w:val="20"/>
          <w:szCs w:val="22"/>
        </w:rPr>
        <w:t xml:space="preserve"> Practical Guide</w:t>
      </w:r>
      <w:r w:rsidRPr="00871EA6">
        <w:rPr>
          <w:rFonts w:eastAsiaTheme="majorEastAsia"/>
          <w:color w:val="auto"/>
          <w:sz w:val="20"/>
          <w:szCs w:val="22"/>
        </w:rPr>
        <w:t xml:space="preserve">. Boston: Addison Wesley. </w:t>
      </w: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World Bank </w:t>
      </w:r>
      <w:r w:rsidR="001C4D00" w:rsidRPr="00871EA6">
        <w:rPr>
          <w:rFonts w:eastAsiaTheme="majorEastAsia"/>
          <w:color w:val="auto"/>
          <w:sz w:val="20"/>
          <w:szCs w:val="22"/>
        </w:rPr>
        <w:t>(</w:t>
      </w:r>
      <w:r w:rsidR="00837AA7" w:rsidRPr="00871EA6">
        <w:rPr>
          <w:rFonts w:eastAsiaTheme="majorEastAsia"/>
          <w:color w:val="auto"/>
          <w:sz w:val="20"/>
          <w:szCs w:val="22"/>
        </w:rPr>
        <w:t>2015</w:t>
      </w:r>
      <w:r w:rsidR="001C4D00" w:rsidRPr="00871EA6">
        <w:rPr>
          <w:rFonts w:eastAsiaTheme="majorEastAsia"/>
          <w:color w:val="auto"/>
          <w:sz w:val="20"/>
          <w:szCs w:val="22"/>
        </w:rPr>
        <w:t>)</w:t>
      </w:r>
      <w:r w:rsidR="00FB43C6">
        <w:rPr>
          <w:rFonts w:eastAsiaTheme="majorEastAsia"/>
          <w:color w:val="auto"/>
          <w:sz w:val="20"/>
          <w:szCs w:val="22"/>
        </w:rPr>
        <w:t>.</w:t>
      </w:r>
      <w:r w:rsidR="001C4D00" w:rsidRPr="00871EA6">
        <w:rPr>
          <w:rFonts w:eastAsiaTheme="majorEastAsia"/>
          <w:color w:val="auto"/>
          <w:sz w:val="20"/>
          <w:szCs w:val="22"/>
        </w:rPr>
        <w:t xml:space="preserve"> </w:t>
      </w:r>
      <w:r w:rsidR="001C4D00" w:rsidRPr="00871EA6">
        <w:rPr>
          <w:rFonts w:eastAsiaTheme="majorEastAsia"/>
          <w:i/>
          <w:color w:val="auto"/>
          <w:sz w:val="20"/>
          <w:szCs w:val="22"/>
        </w:rPr>
        <w:t>Financial Sector Indicators</w:t>
      </w:r>
      <w:r w:rsidR="001C4D00" w:rsidRPr="00871EA6">
        <w:rPr>
          <w:rFonts w:eastAsiaTheme="majorEastAsia"/>
          <w:color w:val="auto"/>
          <w:sz w:val="20"/>
          <w:szCs w:val="22"/>
        </w:rPr>
        <w:t>.</w:t>
      </w:r>
      <w:r w:rsidRPr="00871EA6">
        <w:rPr>
          <w:rFonts w:eastAsiaTheme="majorEastAsia"/>
          <w:color w:val="auto"/>
          <w:sz w:val="20"/>
          <w:szCs w:val="22"/>
        </w:rPr>
        <w:t xml:space="preserve"> </w:t>
      </w:r>
      <w:r w:rsidR="001C4D00" w:rsidRPr="00871EA6">
        <w:rPr>
          <w:rFonts w:eastAsiaTheme="majorEastAsia"/>
          <w:color w:val="auto"/>
          <w:sz w:val="20"/>
          <w:szCs w:val="22"/>
        </w:rPr>
        <w:t xml:space="preserve">Retrieved from </w:t>
      </w:r>
      <w:hyperlink r:id="rId31" w:history="1">
        <w:r w:rsidR="001C4D00" w:rsidRPr="00871EA6">
          <w:rPr>
            <w:rStyle w:val="Hyperlink"/>
            <w:rFonts w:eastAsiaTheme="majorEastAsia"/>
            <w:sz w:val="20"/>
            <w:szCs w:val="22"/>
          </w:rPr>
          <w:t>http://data.worldbank.org/topic/financial-sector</w:t>
        </w:r>
      </w:hyperlink>
      <w:r w:rsidRPr="00871EA6">
        <w:rPr>
          <w:rFonts w:eastAsiaTheme="majorEastAsia"/>
          <w:color w:val="auto"/>
          <w:sz w:val="20"/>
          <w:szCs w:val="22"/>
        </w:rPr>
        <w:t xml:space="preserve">. </w:t>
      </w:r>
    </w:p>
    <w:p w:rsidR="00D97B06" w:rsidRPr="00871EA6" w:rsidRDefault="00D97B06" w:rsidP="00C46DBA">
      <w:pPr>
        <w:spacing w:line="240" w:lineRule="auto"/>
        <w:ind w:left="425" w:hanging="425"/>
        <w:rPr>
          <w:rFonts w:eastAsiaTheme="majorEastAsia"/>
          <w:color w:val="auto"/>
          <w:sz w:val="20"/>
          <w:szCs w:val="22"/>
        </w:rPr>
      </w:pPr>
    </w:p>
    <w:p w:rsidR="00D97B06" w:rsidRPr="00871EA6"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Wooldridge, </w:t>
      </w:r>
      <w:r w:rsidR="001C4D00" w:rsidRPr="00871EA6">
        <w:rPr>
          <w:rFonts w:eastAsiaTheme="majorEastAsia"/>
          <w:color w:val="auto"/>
          <w:sz w:val="20"/>
          <w:szCs w:val="22"/>
        </w:rPr>
        <w:t>J.</w:t>
      </w:r>
      <w:r w:rsidRPr="00871EA6">
        <w:rPr>
          <w:rFonts w:eastAsiaTheme="majorEastAsia"/>
          <w:color w:val="auto"/>
          <w:sz w:val="20"/>
          <w:szCs w:val="22"/>
        </w:rPr>
        <w:t xml:space="preserve"> M., </w:t>
      </w:r>
      <w:r w:rsidR="001C4D00" w:rsidRPr="00871EA6">
        <w:rPr>
          <w:rFonts w:eastAsiaTheme="majorEastAsia"/>
          <w:color w:val="auto"/>
          <w:sz w:val="20"/>
          <w:szCs w:val="22"/>
        </w:rPr>
        <w:t>(</w:t>
      </w:r>
      <w:r w:rsidRPr="00871EA6">
        <w:rPr>
          <w:rFonts w:eastAsiaTheme="majorEastAsia"/>
          <w:color w:val="auto"/>
          <w:sz w:val="20"/>
          <w:szCs w:val="22"/>
        </w:rPr>
        <w:t>2010</w:t>
      </w:r>
      <w:r w:rsidR="001C4D00" w:rsidRPr="00871EA6">
        <w:rPr>
          <w:rFonts w:eastAsiaTheme="majorEastAsia"/>
          <w:color w:val="auto"/>
          <w:sz w:val="20"/>
          <w:szCs w:val="22"/>
        </w:rPr>
        <w:t>)</w:t>
      </w:r>
      <w:r w:rsidRPr="00871EA6">
        <w:rPr>
          <w:rFonts w:eastAsiaTheme="majorEastAsia"/>
          <w:color w:val="auto"/>
          <w:sz w:val="20"/>
          <w:szCs w:val="22"/>
        </w:rPr>
        <w:t xml:space="preserve">. </w:t>
      </w:r>
      <w:r w:rsidRPr="00871EA6">
        <w:rPr>
          <w:rFonts w:eastAsiaTheme="majorEastAsia"/>
          <w:i/>
          <w:color w:val="auto"/>
          <w:sz w:val="20"/>
          <w:szCs w:val="22"/>
        </w:rPr>
        <w:t>Econometric Analysis of Cross Section and Panel Data.</w:t>
      </w:r>
      <w:r w:rsidRPr="00871EA6">
        <w:rPr>
          <w:rFonts w:eastAsiaTheme="majorEastAsia"/>
          <w:color w:val="auto"/>
          <w:sz w:val="20"/>
          <w:szCs w:val="22"/>
        </w:rPr>
        <w:t xml:space="preserve"> </w:t>
      </w:r>
      <w:r w:rsidR="00AE28A9" w:rsidRPr="00871EA6">
        <w:rPr>
          <w:rFonts w:eastAsiaTheme="majorEastAsia"/>
          <w:color w:val="auto"/>
          <w:sz w:val="20"/>
          <w:szCs w:val="22"/>
        </w:rPr>
        <w:t>Cambridge: MIT Press.</w:t>
      </w:r>
    </w:p>
    <w:p w:rsidR="00D97B06" w:rsidRPr="00871EA6" w:rsidRDefault="00D97B06" w:rsidP="00C46DBA">
      <w:pPr>
        <w:spacing w:line="240" w:lineRule="auto"/>
        <w:ind w:left="425" w:hanging="425"/>
        <w:rPr>
          <w:rFonts w:eastAsiaTheme="majorEastAsia"/>
          <w:color w:val="auto"/>
          <w:sz w:val="20"/>
          <w:szCs w:val="22"/>
        </w:rPr>
      </w:pPr>
    </w:p>
    <w:p w:rsidR="00433688" w:rsidRDefault="00D97B06" w:rsidP="00C46DBA">
      <w:pPr>
        <w:spacing w:line="240" w:lineRule="auto"/>
        <w:ind w:left="425" w:hanging="425"/>
        <w:rPr>
          <w:rFonts w:eastAsiaTheme="majorEastAsia"/>
          <w:color w:val="auto"/>
          <w:sz w:val="20"/>
          <w:szCs w:val="22"/>
        </w:rPr>
      </w:pPr>
      <w:r w:rsidRPr="00871EA6">
        <w:rPr>
          <w:rFonts w:eastAsiaTheme="majorEastAsia"/>
          <w:color w:val="auto"/>
          <w:sz w:val="20"/>
          <w:szCs w:val="22"/>
        </w:rPr>
        <w:t xml:space="preserve">Zellner, </w:t>
      </w:r>
      <w:r w:rsidR="00AE28A9" w:rsidRPr="00871EA6">
        <w:rPr>
          <w:rFonts w:eastAsiaTheme="majorEastAsia"/>
          <w:color w:val="auto"/>
          <w:sz w:val="20"/>
          <w:szCs w:val="22"/>
        </w:rPr>
        <w:t>A.</w:t>
      </w:r>
      <w:r w:rsidRPr="00871EA6">
        <w:rPr>
          <w:rFonts w:eastAsiaTheme="majorEastAsia"/>
          <w:color w:val="auto"/>
          <w:sz w:val="20"/>
          <w:szCs w:val="22"/>
        </w:rPr>
        <w:t xml:space="preserve"> </w:t>
      </w:r>
      <w:r w:rsidR="00AE28A9" w:rsidRPr="00871EA6">
        <w:rPr>
          <w:rFonts w:eastAsiaTheme="majorEastAsia"/>
          <w:color w:val="auto"/>
          <w:sz w:val="20"/>
          <w:szCs w:val="22"/>
        </w:rPr>
        <w:t>(</w:t>
      </w:r>
      <w:r w:rsidRPr="00871EA6">
        <w:rPr>
          <w:rFonts w:eastAsiaTheme="majorEastAsia"/>
          <w:color w:val="auto"/>
          <w:sz w:val="20"/>
          <w:szCs w:val="22"/>
        </w:rPr>
        <w:t>1962</w:t>
      </w:r>
      <w:r w:rsidR="00AE28A9" w:rsidRPr="00871EA6">
        <w:rPr>
          <w:rFonts w:eastAsiaTheme="majorEastAsia"/>
          <w:color w:val="auto"/>
          <w:sz w:val="20"/>
          <w:szCs w:val="22"/>
        </w:rPr>
        <w:t>)</w:t>
      </w:r>
      <w:r w:rsidRPr="00871EA6">
        <w:rPr>
          <w:rFonts w:eastAsiaTheme="majorEastAsia"/>
          <w:color w:val="auto"/>
          <w:sz w:val="20"/>
          <w:szCs w:val="22"/>
        </w:rPr>
        <w:t xml:space="preserve">. </w:t>
      </w:r>
      <w:r w:rsidR="00AE28A9" w:rsidRPr="00871EA6">
        <w:rPr>
          <w:rFonts w:eastAsiaTheme="majorEastAsia"/>
          <w:color w:val="auto"/>
          <w:sz w:val="20"/>
          <w:szCs w:val="22"/>
        </w:rPr>
        <w:t xml:space="preserve">An efficient method of estimating seemingly unrelated regressions and tests for aggregation bias. </w:t>
      </w:r>
      <w:r w:rsidR="00AE28A9" w:rsidRPr="00871EA6">
        <w:rPr>
          <w:rFonts w:eastAsiaTheme="majorEastAsia"/>
          <w:i/>
          <w:color w:val="auto"/>
          <w:sz w:val="20"/>
          <w:szCs w:val="22"/>
        </w:rPr>
        <w:t>Journal of the American Statistical Association</w:t>
      </w:r>
      <w:r w:rsidR="00AE28A9" w:rsidRPr="00871EA6">
        <w:rPr>
          <w:rFonts w:eastAsiaTheme="majorEastAsia"/>
          <w:color w:val="auto"/>
          <w:sz w:val="20"/>
          <w:szCs w:val="22"/>
        </w:rPr>
        <w:t xml:space="preserve">, </w:t>
      </w:r>
      <w:r w:rsidR="00AE28A9" w:rsidRPr="00871EA6">
        <w:rPr>
          <w:rFonts w:eastAsiaTheme="majorEastAsia"/>
          <w:i/>
          <w:color w:val="auto"/>
          <w:sz w:val="20"/>
          <w:szCs w:val="22"/>
        </w:rPr>
        <w:t>298</w:t>
      </w:r>
      <w:r w:rsidR="00AE28A9" w:rsidRPr="00871EA6">
        <w:rPr>
          <w:rFonts w:eastAsiaTheme="majorEastAsia"/>
          <w:color w:val="auto"/>
          <w:sz w:val="20"/>
          <w:szCs w:val="22"/>
        </w:rPr>
        <w:t xml:space="preserve">(57), 348-368. </w:t>
      </w:r>
      <w:hyperlink r:id="rId32" w:history="1">
        <w:r w:rsidR="00433688" w:rsidRPr="00871EA6">
          <w:rPr>
            <w:rStyle w:val="Hyperlink"/>
            <w:rFonts w:eastAsiaTheme="majorEastAsia"/>
            <w:sz w:val="20"/>
            <w:szCs w:val="22"/>
          </w:rPr>
          <w:t>https://doi/abs/10.1080/01621459.1962.10480664</w:t>
        </w:r>
      </w:hyperlink>
      <w:r w:rsidR="00433688" w:rsidRPr="00871EA6">
        <w:rPr>
          <w:rFonts w:eastAsiaTheme="majorEastAsia"/>
          <w:color w:val="auto"/>
          <w:sz w:val="20"/>
          <w:szCs w:val="22"/>
        </w:rPr>
        <w:t>.</w:t>
      </w:r>
    </w:p>
    <w:p w:rsidR="00433688" w:rsidRPr="00433688" w:rsidRDefault="00433688" w:rsidP="005459FC">
      <w:pPr>
        <w:spacing w:line="240" w:lineRule="auto"/>
        <w:ind w:left="425" w:hanging="425"/>
        <w:rPr>
          <w:rFonts w:eastAsiaTheme="majorEastAsia"/>
          <w:color w:val="auto"/>
          <w:sz w:val="20"/>
          <w:szCs w:val="22"/>
        </w:rPr>
      </w:pPr>
    </w:p>
    <w:p w:rsidR="00433688" w:rsidRDefault="00433688" w:rsidP="005459FC">
      <w:pPr>
        <w:spacing w:line="240" w:lineRule="auto"/>
        <w:ind w:left="425" w:hanging="425"/>
        <w:rPr>
          <w:rFonts w:eastAsiaTheme="majorEastAsia"/>
          <w:color w:val="auto"/>
          <w:sz w:val="20"/>
          <w:szCs w:val="22"/>
        </w:rPr>
      </w:pPr>
    </w:p>
    <w:sectPr w:rsidR="00433688" w:rsidSect="006B7FC5">
      <w:headerReference w:type="even" r:id="rId33"/>
      <w:headerReference w:type="default" r:id="rId34"/>
      <w:type w:val="continuous"/>
      <w:pgSz w:w="11906" w:h="16838" w:code="9"/>
      <w:pgMar w:top="2268" w:right="2381" w:bottom="3232" w:left="2381" w:header="1616" w:footer="2665"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052" w:rsidRDefault="00B33052" w:rsidP="00957823">
      <w:r>
        <w:separator/>
      </w:r>
    </w:p>
    <w:p w:rsidR="00B33052" w:rsidRDefault="00B33052"/>
  </w:endnote>
  <w:endnote w:type="continuationSeparator" w:id="0">
    <w:p w:rsidR="00B33052" w:rsidRDefault="00B33052" w:rsidP="00957823">
      <w:r>
        <w:continuationSeparator/>
      </w:r>
    </w:p>
    <w:p w:rsidR="00B33052" w:rsidRDefault="00B33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052" w:rsidRDefault="00B33052" w:rsidP="002B5F7D">
      <w:pPr>
        <w:spacing w:line="240" w:lineRule="auto"/>
        <w:ind w:firstLine="0"/>
      </w:pPr>
      <w:r>
        <w:separator/>
      </w:r>
    </w:p>
  </w:footnote>
  <w:footnote w:type="continuationSeparator" w:id="0">
    <w:p w:rsidR="00B33052" w:rsidRDefault="00B33052" w:rsidP="00957823">
      <w:r>
        <w:continuationSeparator/>
      </w:r>
    </w:p>
    <w:p w:rsidR="00B33052" w:rsidRDefault="00B33052"/>
  </w:footnote>
  <w:footnote w:id="1">
    <w:p w:rsidR="00E82111" w:rsidRPr="00742AB0" w:rsidRDefault="00E82111" w:rsidP="00742AB0">
      <w:pPr>
        <w:pStyle w:val="FootnoteText"/>
        <w:spacing w:line="240" w:lineRule="auto"/>
        <w:rPr>
          <w:lang w:val="en-US"/>
        </w:rPr>
      </w:pPr>
      <w:r w:rsidRPr="0084331A">
        <w:rPr>
          <w:rStyle w:val="FootnoteReference"/>
        </w:rPr>
        <w:footnoteRef/>
      </w:r>
      <w:r w:rsidRPr="0084331A">
        <w:t xml:space="preserve"> Since the initial argument was constructed on the basis that excess liquidity was expected to have an impact on the output gap, initially the model was estimated via the single equation methods to account for causality, amongst others, the Feasible Generalised </w:t>
      </w:r>
      <w:r w:rsidR="00521E29" w:rsidRPr="0084331A">
        <w:t>Least</w:t>
      </w:r>
      <w:r w:rsidRPr="0084331A">
        <w:t xml:space="preserve"> Squares (FGLS) and Panel Corrected Standard Errors (PCSE). The results are available upon request.</w:t>
      </w:r>
      <w:r>
        <w:t xml:space="preserve"> </w:t>
      </w:r>
    </w:p>
  </w:footnote>
  <w:footnote w:id="2">
    <w:p w:rsidR="00E82111" w:rsidRPr="002A128B" w:rsidRDefault="00E82111" w:rsidP="002A128B">
      <w:pPr>
        <w:pStyle w:val="FootnoteText"/>
        <w:spacing w:line="240" w:lineRule="auto"/>
        <w:rPr>
          <w:sz w:val="20"/>
          <w:szCs w:val="20"/>
          <w:lang w:val="en-US"/>
        </w:rPr>
      </w:pPr>
      <w:r w:rsidRPr="00C24D23">
        <w:rPr>
          <w:rStyle w:val="FootnoteReference"/>
        </w:rPr>
        <w:footnoteRef/>
      </w:r>
      <w:r w:rsidRPr="00C24D23">
        <w:t xml:space="preserve"> </w:t>
      </w:r>
      <w:r w:rsidRPr="00C24D23">
        <w:rPr>
          <w:sz w:val="20"/>
          <w:szCs w:val="20"/>
        </w:rPr>
        <w:t>The estimation procedure for the output gap for the three respective countries is explained in Kastrati et al. (2017).</w:t>
      </w:r>
    </w:p>
  </w:footnote>
  <w:footnote w:id="3">
    <w:p w:rsidR="00E82111" w:rsidRPr="005D7256" w:rsidRDefault="00E82111" w:rsidP="00753662">
      <w:pPr>
        <w:pStyle w:val="FootnoteText"/>
        <w:spacing w:line="240" w:lineRule="auto"/>
        <w:ind w:firstLine="504"/>
      </w:pPr>
      <w:r w:rsidRPr="00B10139">
        <w:rPr>
          <w:rStyle w:val="FootnoteReference"/>
        </w:rPr>
        <w:footnoteRef/>
      </w:r>
      <w:r w:rsidRPr="00B10139">
        <w:t xml:space="preserve"> </w:t>
      </w:r>
      <w:r w:rsidRPr="008D5300">
        <w:t xml:space="preserve">The inclusion of a squared lending interest rate variable in the model to account for a possible non-linear relationship between excess liquidity and lending rates was considered. However, </w:t>
      </w:r>
      <w:r>
        <w:t>it</w:t>
      </w:r>
      <w:r w:rsidRPr="008D5300">
        <w:t xml:space="preserve"> turned out to be insignificant. Saxegaard (2006) argued that the loan rate may be sticky because of imperfect information about potential new borrowers. Sticky loan rate may also be case in </w:t>
      </w:r>
      <w:r>
        <w:t>ETEs</w:t>
      </w:r>
      <w:r w:rsidRPr="008D5300">
        <w:t xml:space="preserve">, because lending interest </w:t>
      </w:r>
      <w:r w:rsidRPr="00612F2C">
        <w:t>rates kept broadly to the same level for over a decade.</w:t>
      </w:r>
    </w:p>
  </w:footnote>
  <w:footnote w:id="4">
    <w:p w:rsidR="00E82111" w:rsidRDefault="00E82111" w:rsidP="00753662">
      <w:pPr>
        <w:pStyle w:val="FootnoteText"/>
        <w:spacing w:line="240" w:lineRule="auto"/>
        <w:ind w:firstLine="504"/>
      </w:pPr>
      <w:r w:rsidRPr="00B10139">
        <w:rPr>
          <w:rStyle w:val="FootnoteReference"/>
        </w:rPr>
        <w:footnoteRef/>
      </w:r>
      <w:r w:rsidRPr="00B10139">
        <w:t xml:space="preserve"> To pick up the post-crisis behaviour of the FDI to GDP in involuntary excess liquidity, this variable was also</w:t>
      </w:r>
      <w:r w:rsidRPr="00A402D7">
        <w:t xml:space="preserve"> interacted with the intercept shift dummy. However, this </w:t>
      </w:r>
      <w:r>
        <w:t>interaction term</w:t>
      </w:r>
      <w:r w:rsidRPr="00A402D7">
        <w:t xml:space="preserve"> turned out </w:t>
      </w:r>
      <w:r>
        <w:t>to be</w:t>
      </w:r>
      <w:r w:rsidRPr="00A402D7">
        <w:t xml:space="preserve"> statistically insignificant as a separate variable</w:t>
      </w:r>
      <w:r>
        <w:t>,</w:t>
      </w:r>
      <w:r w:rsidRPr="00A402D7">
        <w:t xml:space="preserve"> as well as when tested for joint significance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11" w:rsidRPr="00C630AB" w:rsidRDefault="00BC4AEA" w:rsidP="00C630AB">
    <w:pPr>
      <w:framePr w:wrap="around" w:vAnchor="text" w:hAnchor="margin" w:xAlign="outside" w:y="1"/>
      <w:ind w:firstLine="0"/>
      <w:rPr>
        <w:rStyle w:val="PageNumber"/>
        <w:sz w:val="20"/>
      </w:rPr>
    </w:pPr>
    <w:r w:rsidRPr="00C630AB">
      <w:rPr>
        <w:rStyle w:val="PageNumber"/>
        <w:sz w:val="20"/>
      </w:rPr>
      <w:fldChar w:fldCharType="begin"/>
    </w:r>
    <w:r w:rsidR="00E82111" w:rsidRPr="00C630AB">
      <w:rPr>
        <w:rStyle w:val="PageNumber"/>
        <w:sz w:val="20"/>
      </w:rPr>
      <w:instrText xml:space="preserve">PAGE  </w:instrText>
    </w:r>
    <w:r w:rsidRPr="00C630AB">
      <w:rPr>
        <w:rStyle w:val="PageNumber"/>
        <w:sz w:val="20"/>
      </w:rPr>
      <w:fldChar w:fldCharType="separate"/>
    </w:r>
    <w:r w:rsidR="00DF361F">
      <w:rPr>
        <w:rStyle w:val="PageNumber"/>
        <w:noProof/>
        <w:sz w:val="20"/>
      </w:rPr>
      <w:t>6</w:t>
    </w:r>
    <w:r w:rsidRPr="00C630AB">
      <w:rPr>
        <w:rStyle w:val="PageNumber"/>
        <w:sz w:val="20"/>
      </w:rPr>
      <w:fldChar w:fldCharType="end"/>
    </w:r>
  </w:p>
  <w:p w:rsidR="00E82111" w:rsidRPr="00455B0D" w:rsidRDefault="00E82111" w:rsidP="00D63A2E">
    <w:pPr>
      <w:pBdr>
        <w:bottom w:val="single" w:sz="8" w:space="6" w:color="auto"/>
      </w:pBdr>
      <w:spacing w:line="240" w:lineRule="auto"/>
      <w:ind w:firstLine="0"/>
      <w:jc w:val="center"/>
      <w:rPr>
        <w:sz w:val="20"/>
        <w:szCs w:val="20"/>
      </w:rPr>
    </w:pPr>
    <w:r>
      <w:rPr>
        <w:sz w:val="20"/>
        <w:szCs w:val="20"/>
      </w:rPr>
      <w:t>Albulenë Kastrati, Nick Adnett, Valentin Toçi</w:t>
    </w:r>
  </w:p>
  <w:p w:rsidR="00E82111" w:rsidRDefault="00E82111" w:rsidP="00D63A2E">
    <w:pPr>
      <w:spacing w:line="240" w:lineRule="aut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11" w:rsidRPr="00C630AB" w:rsidRDefault="00BC4AEA" w:rsidP="00C630AB">
    <w:pPr>
      <w:framePr w:wrap="around" w:vAnchor="text" w:hAnchor="margin" w:xAlign="outside" w:y="1"/>
      <w:ind w:firstLine="0"/>
      <w:rPr>
        <w:rStyle w:val="PageNumber"/>
        <w:sz w:val="20"/>
      </w:rPr>
    </w:pPr>
    <w:r w:rsidRPr="00C630AB">
      <w:rPr>
        <w:rStyle w:val="PageNumber"/>
        <w:sz w:val="20"/>
      </w:rPr>
      <w:fldChar w:fldCharType="begin"/>
    </w:r>
    <w:r w:rsidR="00E82111" w:rsidRPr="00C630AB">
      <w:rPr>
        <w:rStyle w:val="PageNumber"/>
        <w:sz w:val="20"/>
      </w:rPr>
      <w:instrText xml:space="preserve">PAGE  </w:instrText>
    </w:r>
    <w:r w:rsidRPr="00C630AB">
      <w:rPr>
        <w:rStyle w:val="PageNumber"/>
        <w:sz w:val="20"/>
      </w:rPr>
      <w:fldChar w:fldCharType="separate"/>
    </w:r>
    <w:r w:rsidR="00DF361F">
      <w:rPr>
        <w:rStyle w:val="PageNumber"/>
        <w:noProof/>
        <w:sz w:val="20"/>
      </w:rPr>
      <w:t>5</w:t>
    </w:r>
    <w:r w:rsidRPr="00C630AB">
      <w:rPr>
        <w:rStyle w:val="PageNumber"/>
        <w:sz w:val="20"/>
      </w:rPr>
      <w:fldChar w:fldCharType="end"/>
    </w:r>
  </w:p>
  <w:p w:rsidR="00E82111" w:rsidRPr="00C630AB" w:rsidRDefault="00E82111" w:rsidP="004A7CD7">
    <w:pPr>
      <w:pBdr>
        <w:bottom w:val="single" w:sz="8" w:space="6" w:color="auto"/>
      </w:pBdr>
      <w:spacing w:line="240" w:lineRule="auto"/>
      <w:ind w:firstLine="0"/>
      <w:jc w:val="center"/>
      <w:rPr>
        <w:i/>
        <w:sz w:val="20"/>
        <w:szCs w:val="20"/>
      </w:rPr>
    </w:pPr>
    <w:r w:rsidRPr="004A7CD7">
      <w:rPr>
        <w:i/>
        <w:sz w:val="20"/>
        <w:szCs w:val="20"/>
      </w:rPr>
      <w:t xml:space="preserve">The relationship between Output Gap and Excess Liquidity: Evidence from </w:t>
    </w:r>
    <w:r>
      <w:rPr>
        <w:i/>
        <w:sz w:val="20"/>
        <w:szCs w:val="20"/>
      </w:rPr>
      <w:t xml:space="preserve">             Czech </w:t>
    </w:r>
    <w:r w:rsidRPr="004A7CD7">
      <w:rPr>
        <w:i/>
        <w:sz w:val="20"/>
        <w:szCs w:val="20"/>
      </w:rPr>
      <w:t>Republic, Estonia and Kosovo</w:t>
    </w:r>
  </w:p>
  <w:p w:rsidR="00E82111" w:rsidRDefault="00E82111" w:rsidP="00D63A2E">
    <w:pPr>
      <w:spacing w:line="240" w:lineRule="aut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3F8"/>
    <w:multiLevelType w:val="multilevel"/>
    <w:tmpl w:val="BCA45968"/>
    <w:lvl w:ilvl="0">
      <w:start w:val="1"/>
      <w:numFmt w:val="decimal"/>
      <w:pStyle w:val="Heading1"/>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21179"/>
    <w:multiLevelType w:val="hybridMultilevel"/>
    <w:tmpl w:val="FA30B9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472B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305F2B"/>
    <w:multiLevelType w:val="multilevel"/>
    <w:tmpl w:val="C30414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C535D2"/>
    <w:multiLevelType w:val="hybridMultilevel"/>
    <w:tmpl w:val="F8A6A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B7FC1"/>
    <w:multiLevelType w:val="hybridMultilevel"/>
    <w:tmpl w:val="93D02FCC"/>
    <w:lvl w:ilvl="0" w:tplc="0405000F">
      <w:start w:val="1"/>
      <w:numFmt w:val="decimal"/>
      <w:lvlText w:val="%1."/>
      <w:lvlJc w:val="left"/>
      <w:pPr>
        <w:ind w:left="108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52C726C"/>
    <w:multiLevelType w:val="multilevel"/>
    <w:tmpl w:val="CCE2B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60C42"/>
    <w:multiLevelType w:val="hybridMultilevel"/>
    <w:tmpl w:val="EC84146E"/>
    <w:lvl w:ilvl="0" w:tplc="32C666D4">
      <w:start w:val="1"/>
      <w:numFmt w:val="decimal"/>
      <w:lvlText w:val="%1."/>
      <w:lvlJc w:val="left"/>
      <w:pPr>
        <w:tabs>
          <w:tab w:val="num" w:pos="720"/>
        </w:tabs>
        <w:ind w:left="720" w:hanging="360"/>
      </w:pPr>
    </w:lvl>
    <w:lvl w:ilvl="1" w:tplc="37F87B22" w:tentative="1">
      <w:start w:val="1"/>
      <w:numFmt w:val="decimal"/>
      <w:lvlText w:val="%2."/>
      <w:lvlJc w:val="left"/>
      <w:pPr>
        <w:tabs>
          <w:tab w:val="num" w:pos="1440"/>
        </w:tabs>
        <w:ind w:left="1440" w:hanging="360"/>
      </w:pPr>
    </w:lvl>
    <w:lvl w:ilvl="2" w:tplc="2B84DCF0" w:tentative="1">
      <w:start w:val="1"/>
      <w:numFmt w:val="decimal"/>
      <w:lvlText w:val="%3."/>
      <w:lvlJc w:val="left"/>
      <w:pPr>
        <w:tabs>
          <w:tab w:val="num" w:pos="2160"/>
        </w:tabs>
        <w:ind w:left="2160" w:hanging="360"/>
      </w:pPr>
    </w:lvl>
    <w:lvl w:ilvl="3" w:tplc="62BA18EE" w:tentative="1">
      <w:start w:val="1"/>
      <w:numFmt w:val="decimal"/>
      <w:lvlText w:val="%4."/>
      <w:lvlJc w:val="left"/>
      <w:pPr>
        <w:tabs>
          <w:tab w:val="num" w:pos="2880"/>
        </w:tabs>
        <w:ind w:left="2880" w:hanging="360"/>
      </w:pPr>
    </w:lvl>
    <w:lvl w:ilvl="4" w:tplc="DCC87A22" w:tentative="1">
      <w:start w:val="1"/>
      <w:numFmt w:val="decimal"/>
      <w:lvlText w:val="%5."/>
      <w:lvlJc w:val="left"/>
      <w:pPr>
        <w:tabs>
          <w:tab w:val="num" w:pos="3600"/>
        </w:tabs>
        <w:ind w:left="3600" w:hanging="360"/>
      </w:pPr>
    </w:lvl>
    <w:lvl w:ilvl="5" w:tplc="FC981670" w:tentative="1">
      <w:start w:val="1"/>
      <w:numFmt w:val="decimal"/>
      <w:lvlText w:val="%6."/>
      <w:lvlJc w:val="left"/>
      <w:pPr>
        <w:tabs>
          <w:tab w:val="num" w:pos="4320"/>
        </w:tabs>
        <w:ind w:left="4320" w:hanging="360"/>
      </w:pPr>
    </w:lvl>
    <w:lvl w:ilvl="6" w:tplc="3A205CF6" w:tentative="1">
      <w:start w:val="1"/>
      <w:numFmt w:val="decimal"/>
      <w:lvlText w:val="%7."/>
      <w:lvlJc w:val="left"/>
      <w:pPr>
        <w:tabs>
          <w:tab w:val="num" w:pos="5040"/>
        </w:tabs>
        <w:ind w:left="5040" w:hanging="360"/>
      </w:pPr>
    </w:lvl>
    <w:lvl w:ilvl="7" w:tplc="B3567408" w:tentative="1">
      <w:start w:val="1"/>
      <w:numFmt w:val="decimal"/>
      <w:lvlText w:val="%8."/>
      <w:lvlJc w:val="left"/>
      <w:pPr>
        <w:tabs>
          <w:tab w:val="num" w:pos="5760"/>
        </w:tabs>
        <w:ind w:left="5760" w:hanging="360"/>
      </w:pPr>
    </w:lvl>
    <w:lvl w:ilvl="8" w:tplc="E12E5CB8" w:tentative="1">
      <w:start w:val="1"/>
      <w:numFmt w:val="decimal"/>
      <w:lvlText w:val="%9."/>
      <w:lvlJc w:val="left"/>
      <w:pPr>
        <w:tabs>
          <w:tab w:val="num" w:pos="6480"/>
        </w:tabs>
        <w:ind w:left="6480" w:hanging="360"/>
      </w:pPr>
    </w:lvl>
  </w:abstractNum>
  <w:abstractNum w:abstractNumId="8" w15:restartNumberingAfterBreak="0">
    <w:nsid w:val="1B3E3ED6"/>
    <w:multiLevelType w:val="multilevel"/>
    <w:tmpl w:val="C4DA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C2DA3"/>
    <w:multiLevelType w:val="hybridMultilevel"/>
    <w:tmpl w:val="05C013A4"/>
    <w:lvl w:ilvl="0" w:tplc="B02ABFF6">
      <w:start w:val="1"/>
      <w:numFmt w:val="bullet"/>
      <w:lvlText w:val=""/>
      <w:lvlJc w:val="left"/>
      <w:pPr>
        <w:ind w:left="720" w:hanging="360"/>
      </w:pPr>
      <w:rPr>
        <w:rFonts w:ascii="Symbol" w:hAnsi="Symbol" w:hint="default"/>
        <w:b w:val="0"/>
        <w:i w:val="0"/>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965D3D"/>
    <w:multiLevelType w:val="multilevel"/>
    <w:tmpl w:val="D152DC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9733B"/>
    <w:multiLevelType w:val="hybridMultilevel"/>
    <w:tmpl w:val="ED02FAD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2C63052"/>
    <w:multiLevelType w:val="multilevel"/>
    <w:tmpl w:val="FF7CE9E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33C55BA9"/>
    <w:multiLevelType w:val="hybridMultilevel"/>
    <w:tmpl w:val="4FB66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7932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7026F"/>
    <w:multiLevelType w:val="multilevel"/>
    <w:tmpl w:val="55064F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2C71E6"/>
    <w:multiLevelType w:val="hybridMultilevel"/>
    <w:tmpl w:val="BF1E5158"/>
    <w:lvl w:ilvl="0" w:tplc="D7BE11C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8A438E"/>
    <w:multiLevelType w:val="hybridMultilevel"/>
    <w:tmpl w:val="7B46C248"/>
    <w:lvl w:ilvl="0" w:tplc="8220991C">
      <w:start w:val="1"/>
      <w:numFmt w:val="bullet"/>
      <w:lvlText w:val=""/>
      <w:lvlJc w:val="left"/>
      <w:pPr>
        <w:tabs>
          <w:tab w:val="num" w:pos="964"/>
        </w:tabs>
        <w:ind w:left="964" w:hanging="510"/>
      </w:pPr>
      <w:rPr>
        <w:rFonts w:ascii="Wingdings" w:hAnsi="Wingdings" w:hint="default"/>
      </w:rPr>
    </w:lvl>
    <w:lvl w:ilvl="1" w:tplc="04050019">
      <w:start w:val="1"/>
      <w:numFmt w:val="bullet"/>
      <w:lvlText w:val=""/>
      <w:lvlJc w:val="left"/>
      <w:pPr>
        <w:tabs>
          <w:tab w:val="num" w:pos="1590"/>
        </w:tabs>
        <w:ind w:left="1590" w:hanging="51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6C41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D502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3755F6"/>
    <w:multiLevelType w:val="hybridMultilevel"/>
    <w:tmpl w:val="731EA204"/>
    <w:lvl w:ilvl="0" w:tplc="8220991C">
      <w:start w:val="1"/>
      <w:numFmt w:val="decimal"/>
      <w:lvlText w:val="%1."/>
      <w:lvlJc w:val="left"/>
      <w:pPr>
        <w:tabs>
          <w:tab w:val="num" w:pos="1021"/>
        </w:tabs>
        <w:ind w:left="1021" w:hanging="567"/>
      </w:pPr>
    </w:lvl>
    <w:lvl w:ilvl="1" w:tplc="04050003">
      <w:start w:val="1"/>
      <w:numFmt w:val="lowerLetter"/>
      <w:lvlText w:val="%2."/>
      <w:lvlJc w:val="left"/>
      <w:pPr>
        <w:tabs>
          <w:tab w:val="num" w:pos="825"/>
        </w:tabs>
        <w:ind w:left="825" w:hanging="360"/>
      </w:pPr>
    </w:lvl>
    <w:lvl w:ilvl="2" w:tplc="04050005">
      <w:start w:val="1"/>
      <w:numFmt w:val="lowerRoman"/>
      <w:lvlText w:val="%3."/>
      <w:lvlJc w:val="right"/>
      <w:pPr>
        <w:tabs>
          <w:tab w:val="num" w:pos="1545"/>
        </w:tabs>
        <w:ind w:left="1545" w:hanging="180"/>
      </w:pPr>
    </w:lvl>
    <w:lvl w:ilvl="3" w:tplc="04050001">
      <w:start w:val="1"/>
      <w:numFmt w:val="decimal"/>
      <w:lvlText w:val="%4."/>
      <w:lvlJc w:val="left"/>
      <w:pPr>
        <w:tabs>
          <w:tab w:val="num" w:pos="2265"/>
        </w:tabs>
        <w:ind w:left="2265" w:hanging="360"/>
      </w:pPr>
    </w:lvl>
    <w:lvl w:ilvl="4" w:tplc="04050003">
      <w:start w:val="1"/>
      <w:numFmt w:val="lowerLetter"/>
      <w:lvlText w:val="%5."/>
      <w:lvlJc w:val="left"/>
      <w:pPr>
        <w:tabs>
          <w:tab w:val="num" w:pos="2985"/>
        </w:tabs>
        <w:ind w:left="2985" w:hanging="360"/>
      </w:pPr>
    </w:lvl>
    <w:lvl w:ilvl="5" w:tplc="04050005">
      <w:start w:val="1"/>
      <w:numFmt w:val="lowerRoman"/>
      <w:lvlText w:val="%6."/>
      <w:lvlJc w:val="right"/>
      <w:pPr>
        <w:tabs>
          <w:tab w:val="num" w:pos="3705"/>
        </w:tabs>
        <w:ind w:left="3705" w:hanging="180"/>
      </w:pPr>
    </w:lvl>
    <w:lvl w:ilvl="6" w:tplc="04050001">
      <w:start w:val="1"/>
      <w:numFmt w:val="decimal"/>
      <w:lvlText w:val="%7."/>
      <w:lvlJc w:val="left"/>
      <w:pPr>
        <w:tabs>
          <w:tab w:val="num" w:pos="4425"/>
        </w:tabs>
        <w:ind w:left="4425" w:hanging="360"/>
      </w:pPr>
    </w:lvl>
    <w:lvl w:ilvl="7" w:tplc="04050003">
      <w:start w:val="1"/>
      <w:numFmt w:val="lowerLetter"/>
      <w:lvlText w:val="%8."/>
      <w:lvlJc w:val="left"/>
      <w:pPr>
        <w:tabs>
          <w:tab w:val="num" w:pos="5145"/>
        </w:tabs>
        <w:ind w:left="5145" w:hanging="360"/>
      </w:pPr>
    </w:lvl>
    <w:lvl w:ilvl="8" w:tplc="04050005">
      <w:start w:val="1"/>
      <w:numFmt w:val="lowerRoman"/>
      <w:lvlText w:val="%9."/>
      <w:lvlJc w:val="right"/>
      <w:pPr>
        <w:tabs>
          <w:tab w:val="num" w:pos="5865"/>
        </w:tabs>
        <w:ind w:left="5865" w:hanging="180"/>
      </w:pPr>
    </w:lvl>
  </w:abstractNum>
  <w:abstractNum w:abstractNumId="21" w15:restartNumberingAfterBreak="0">
    <w:nsid w:val="7E0E3AB0"/>
    <w:multiLevelType w:val="multilevel"/>
    <w:tmpl w:val="9A821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14"/>
  </w:num>
  <w:num w:numId="10">
    <w:abstractNumId w:val="2"/>
  </w:num>
  <w:num w:numId="11">
    <w:abstractNumId w:val="6"/>
  </w:num>
  <w:num w:numId="12">
    <w:abstractNumId w:val="19"/>
  </w:num>
  <w:num w:numId="13">
    <w:abstractNumId w:val="21"/>
  </w:num>
  <w:num w:numId="14">
    <w:abstractNumId w:val="3"/>
  </w:num>
  <w:num w:numId="15">
    <w:abstractNumId w:val="10"/>
  </w:num>
  <w:num w:numId="16">
    <w:abstractNumId w:val="18"/>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0"/>
  </w:num>
  <w:num w:numId="20">
    <w:abstractNumId w:val="13"/>
  </w:num>
  <w:num w:numId="21">
    <w:abstractNumId w:val="9"/>
  </w:num>
  <w:num w:numId="22">
    <w:abstractNumId w:val="15"/>
  </w:num>
  <w:num w:numId="23">
    <w:abstractNumId w:val="1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NotTrackFormatting/>
  <w:defaultTabStop w:val="708"/>
  <w:autoHyphenation/>
  <w:consecutiveHyphenLimit w:val="3"/>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ABC"/>
    <w:rsid w:val="00002A58"/>
    <w:rsid w:val="00002D71"/>
    <w:rsid w:val="00004C8D"/>
    <w:rsid w:val="00005EB7"/>
    <w:rsid w:val="00006310"/>
    <w:rsid w:val="000074F8"/>
    <w:rsid w:val="000122F1"/>
    <w:rsid w:val="00013751"/>
    <w:rsid w:val="00022A46"/>
    <w:rsid w:val="000230D2"/>
    <w:rsid w:val="0002370E"/>
    <w:rsid w:val="00026BB2"/>
    <w:rsid w:val="000345BD"/>
    <w:rsid w:val="0003490F"/>
    <w:rsid w:val="00034B3F"/>
    <w:rsid w:val="00035406"/>
    <w:rsid w:val="00037D58"/>
    <w:rsid w:val="00040ACE"/>
    <w:rsid w:val="000416AC"/>
    <w:rsid w:val="00042FC8"/>
    <w:rsid w:val="00044E9A"/>
    <w:rsid w:val="000472A4"/>
    <w:rsid w:val="00047646"/>
    <w:rsid w:val="00047B09"/>
    <w:rsid w:val="0005356F"/>
    <w:rsid w:val="000542DE"/>
    <w:rsid w:val="0005699D"/>
    <w:rsid w:val="00061A55"/>
    <w:rsid w:val="00071478"/>
    <w:rsid w:val="0007366D"/>
    <w:rsid w:val="00081CDD"/>
    <w:rsid w:val="000825C6"/>
    <w:rsid w:val="00086342"/>
    <w:rsid w:val="00092D3D"/>
    <w:rsid w:val="00095500"/>
    <w:rsid w:val="0009590E"/>
    <w:rsid w:val="000A05AD"/>
    <w:rsid w:val="000A22D3"/>
    <w:rsid w:val="000A3575"/>
    <w:rsid w:val="000A67CE"/>
    <w:rsid w:val="000B2939"/>
    <w:rsid w:val="000B2CC8"/>
    <w:rsid w:val="000B6488"/>
    <w:rsid w:val="000B701B"/>
    <w:rsid w:val="000B711D"/>
    <w:rsid w:val="000B7E96"/>
    <w:rsid w:val="000C34C3"/>
    <w:rsid w:val="000D185B"/>
    <w:rsid w:val="000D6AF9"/>
    <w:rsid w:val="000D751E"/>
    <w:rsid w:val="000E1F48"/>
    <w:rsid w:val="000E3FCD"/>
    <w:rsid w:val="000E7B1F"/>
    <w:rsid w:val="000F2CE4"/>
    <w:rsid w:val="000F3C0C"/>
    <w:rsid w:val="000F3EF3"/>
    <w:rsid w:val="000F6301"/>
    <w:rsid w:val="00107C34"/>
    <w:rsid w:val="0011095A"/>
    <w:rsid w:val="001124E0"/>
    <w:rsid w:val="00113C91"/>
    <w:rsid w:val="001141B8"/>
    <w:rsid w:val="00114875"/>
    <w:rsid w:val="001200AA"/>
    <w:rsid w:val="001216F5"/>
    <w:rsid w:val="00122EC3"/>
    <w:rsid w:val="001233E5"/>
    <w:rsid w:val="00126909"/>
    <w:rsid w:val="001304CB"/>
    <w:rsid w:val="00131B61"/>
    <w:rsid w:val="00135AC6"/>
    <w:rsid w:val="00136F71"/>
    <w:rsid w:val="00141A78"/>
    <w:rsid w:val="00142040"/>
    <w:rsid w:val="00146EC2"/>
    <w:rsid w:val="00151DF2"/>
    <w:rsid w:val="00152CFF"/>
    <w:rsid w:val="00154DFE"/>
    <w:rsid w:val="00160C33"/>
    <w:rsid w:val="00163974"/>
    <w:rsid w:val="001671E8"/>
    <w:rsid w:val="00176243"/>
    <w:rsid w:val="00183E25"/>
    <w:rsid w:val="00187ACD"/>
    <w:rsid w:val="001A7F58"/>
    <w:rsid w:val="001B1161"/>
    <w:rsid w:val="001B290C"/>
    <w:rsid w:val="001B3247"/>
    <w:rsid w:val="001B35C8"/>
    <w:rsid w:val="001B4FF7"/>
    <w:rsid w:val="001B6334"/>
    <w:rsid w:val="001C1469"/>
    <w:rsid w:val="001C163A"/>
    <w:rsid w:val="001C1A76"/>
    <w:rsid w:val="001C23DE"/>
    <w:rsid w:val="001C2D2E"/>
    <w:rsid w:val="001C3A35"/>
    <w:rsid w:val="001C4D00"/>
    <w:rsid w:val="001C4F63"/>
    <w:rsid w:val="001D1241"/>
    <w:rsid w:val="001D1C32"/>
    <w:rsid w:val="001D495D"/>
    <w:rsid w:val="001D5DBF"/>
    <w:rsid w:val="001E3AFA"/>
    <w:rsid w:val="001E59EA"/>
    <w:rsid w:val="001E79DD"/>
    <w:rsid w:val="001F5CDC"/>
    <w:rsid w:val="001F7375"/>
    <w:rsid w:val="00205006"/>
    <w:rsid w:val="00213F80"/>
    <w:rsid w:val="00231339"/>
    <w:rsid w:val="0023595E"/>
    <w:rsid w:val="00237402"/>
    <w:rsid w:val="00245022"/>
    <w:rsid w:val="00246915"/>
    <w:rsid w:val="00246F97"/>
    <w:rsid w:val="00247D2A"/>
    <w:rsid w:val="00251E54"/>
    <w:rsid w:val="00253514"/>
    <w:rsid w:val="00256996"/>
    <w:rsid w:val="00261080"/>
    <w:rsid w:val="002675E0"/>
    <w:rsid w:val="00270BC6"/>
    <w:rsid w:val="00270C82"/>
    <w:rsid w:val="0027691E"/>
    <w:rsid w:val="00281B63"/>
    <w:rsid w:val="002838CD"/>
    <w:rsid w:val="00283C41"/>
    <w:rsid w:val="002864A8"/>
    <w:rsid w:val="0029079F"/>
    <w:rsid w:val="00291F8F"/>
    <w:rsid w:val="002A128B"/>
    <w:rsid w:val="002A145C"/>
    <w:rsid w:val="002A179B"/>
    <w:rsid w:val="002A238A"/>
    <w:rsid w:val="002A34E9"/>
    <w:rsid w:val="002A377C"/>
    <w:rsid w:val="002A5227"/>
    <w:rsid w:val="002A561B"/>
    <w:rsid w:val="002B0BD9"/>
    <w:rsid w:val="002B16DF"/>
    <w:rsid w:val="002B30F6"/>
    <w:rsid w:val="002B48BB"/>
    <w:rsid w:val="002B5F7D"/>
    <w:rsid w:val="002C2E95"/>
    <w:rsid w:val="002D094C"/>
    <w:rsid w:val="002E151E"/>
    <w:rsid w:val="002E28B1"/>
    <w:rsid w:val="00301B59"/>
    <w:rsid w:val="0030532A"/>
    <w:rsid w:val="0030650E"/>
    <w:rsid w:val="0031233A"/>
    <w:rsid w:val="00312F26"/>
    <w:rsid w:val="0031752A"/>
    <w:rsid w:val="00321211"/>
    <w:rsid w:val="003259BE"/>
    <w:rsid w:val="00326027"/>
    <w:rsid w:val="00331766"/>
    <w:rsid w:val="003359BE"/>
    <w:rsid w:val="00342452"/>
    <w:rsid w:val="00350B77"/>
    <w:rsid w:val="00350DF9"/>
    <w:rsid w:val="003536E8"/>
    <w:rsid w:val="00357F62"/>
    <w:rsid w:val="00360033"/>
    <w:rsid w:val="003631FC"/>
    <w:rsid w:val="003650C4"/>
    <w:rsid w:val="00365CA3"/>
    <w:rsid w:val="003725FE"/>
    <w:rsid w:val="00372719"/>
    <w:rsid w:val="00372E13"/>
    <w:rsid w:val="003732BF"/>
    <w:rsid w:val="00373442"/>
    <w:rsid w:val="00373FB8"/>
    <w:rsid w:val="00375C44"/>
    <w:rsid w:val="00380E3C"/>
    <w:rsid w:val="003813C7"/>
    <w:rsid w:val="003868CE"/>
    <w:rsid w:val="00392D6D"/>
    <w:rsid w:val="003964B7"/>
    <w:rsid w:val="003A1D15"/>
    <w:rsid w:val="003A61CF"/>
    <w:rsid w:val="003A68A9"/>
    <w:rsid w:val="003B0DFC"/>
    <w:rsid w:val="003B7ED5"/>
    <w:rsid w:val="003C07AB"/>
    <w:rsid w:val="003C17FF"/>
    <w:rsid w:val="003C29FF"/>
    <w:rsid w:val="003C53F7"/>
    <w:rsid w:val="003C7D4E"/>
    <w:rsid w:val="003D3287"/>
    <w:rsid w:val="003D4F9A"/>
    <w:rsid w:val="003E095E"/>
    <w:rsid w:val="003E761B"/>
    <w:rsid w:val="003F0547"/>
    <w:rsid w:val="003F0A82"/>
    <w:rsid w:val="003F20E9"/>
    <w:rsid w:val="003F3344"/>
    <w:rsid w:val="003F7EA6"/>
    <w:rsid w:val="004034B6"/>
    <w:rsid w:val="00404A4F"/>
    <w:rsid w:val="00406562"/>
    <w:rsid w:val="004077B7"/>
    <w:rsid w:val="0041137D"/>
    <w:rsid w:val="00414BA8"/>
    <w:rsid w:val="00424DD2"/>
    <w:rsid w:val="00425BB4"/>
    <w:rsid w:val="00431D2D"/>
    <w:rsid w:val="00433688"/>
    <w:rsid w:val="00436CB5"/>
    <w:rsid w:val="00436DBA"/>
    <w:rsid w:val="00440FE6"/>
    <w:rsid w:val="00442A3C"/>
    <w:rsid w:val="004436ED"/>
    <w:rsid w:val="00443DD8"/>
    <w:rsid w:val="00446B16"/>
    <w:rsid w:val="004478A5"/>
    <w:rsid w:val="004536EA"/>
    <w:rsid w:val="004543E3"/>
    <w:rsid w:val="00457ED3"/>
    <w:rsid w:val="00470154"/>
    <w:rsid w:val="004734D5"/>
    <w:rsid w:val="00473E52"/>
    <w:rsid w:val="004777D3"/>
    <w:rsid w:val="00487117"/>
    <w:rsid w:val="004909C4"/>
    <w:rsid w:val="004913DA"/>
    <w:rsid w:val="004A14C0"/>
    <w:rsid w:val="004A49E7"/>
    <w:rsid w:val="004A686E"/>
    <w:rsid w:val="004A6D3E"/>
    <w:rsid w:val="004A6F2D"/>
    <w:rsid w:val="004A7CD7"/>
    <w:rsid w:val="004B2904"/>
    <w:rsid w:val="004B291E"/>
    <w:rsid w:val="004B5461"/>
    <w:rsid w:val="004B5DE7"/>
    <w:rsid w:val="004C0809"/>
    <w:rsid w:val="004D03EC"/>
    <w:rsid w:val="004D0F26"/>
    <w:rsid w:val="004D0F71"/>
    <w:rsid w:val="004D3E4F"/>
    <w:rsid w:val="004D6CD8"/>
    <w:rsid w:val="004D761A"/>
    <w:rsid w:val="004E3AD3"/>
    <w:rsid w:val="004E5A4E"/>
    <w:rsid w:val="004E5BB5"/>
    <w:rsid w:val="004E5C8F"/>
    <w:rsid w:val="004F734B"/>
    <w:rsid w:val="0050792F"/>
    <w:rsid w:val="00507997"/>
    <w:rsid w:val="00511BC1"/>
    <w:rsid w:val="00521E29"/>
    <w:rsid w:val="005243A8"/>
    <w:rsid w:val="00526072"/>
    <w:rsid w:val="0052640A"/>
    <w:rsid w:val="00526ECF"/>
    <w:rsid w:val="00531E84"/>
    <w:rsid w:val="005370BE"/>
    <w:rsid w:val="00540FB7"/>
    <w:rsid w:val="005459FC"/>
    <w:rsid w:val="005463D5"/>
    <w:rsid w:val="0055086C"/>
    <w:rsid w:val="00550982"/>
    <w:rsid w:val="00556AF2"/>
    <w:rsid w:val="005625B9"/>
    <w:rsid w:val="005636F6"/>
    <w:rsid w:val="005663B1"/>
    <w:rsid w:val="0056680A"/>
    <w:rsid w:val="00570763"/>
    <w:rsid w:val="00571EFC"/>
    <w:rsid w:val="00575209"/>
    <w:rsid w:val="00577A8E"/>
    <w:rsid w:val="00580D1F"/>
    <w:rsid w:val="00585E57"/>
    <w:rsid w:val="005862F7"/>
    <w:rsid w:val="00590346"/>
    <w:rsid w:val="00590847"/>
    <w:rsid w:val="005A306C"/>
    <w:rsid w:val="005A3FE1"/>
    <w:rsid w:val="005A62E1"/>
    <w:rsid w:val="005B2935"/>
    <w:rsid w:val="005B3D60"/>
    <w:rsid w:val="005B5CC7"/>
    <w:rsid w:val="005B658C"/>
    <w:rsid w:val="005C3147"/>
    <w:rsid w:val="005C3E6F"/>
    <w:rsid w:val="005C7249"/>
    <w:rsid w:val="005D09CE"/>
    <w:rsid w:val="005E077F"/>
    <w:rsid w:val="005E27BE"/>
    <w:rsid w:val="005F03B5"/>
    <w:rsid w:val="005F09CF"/>
    <w:rsid w:val="005F1C8A"/>
    <w:rsid w:val="005F20C6"/>
    <w:rsid w:val="005F2D7B"/>
    <w:rsid w:val="005F5E08"/>
    <w:rsid w:val="00600F6D"/>
    <w:rsid w:val="0060304E"/>
    <w:rsid w:val="00606742"/>
    <w:rsid w:val="00607706"/>
    <w:rsid w:val="0061367A"/>
    <w:rsid w:val="0061695F"/>
    <w:rsid w:val="00617A71"/>
    <w:rsid w:val="006217A2"/>
    <w:rsid w:val="00622816"/>
    <w:rsid w:val="00623894"/>
    <w:rsid w:val="00624622"/>
    <w:rsid w:val="00625164"/>
    <w:rsid w:val="006257B4"/>
    <w:rsid w:val="0063174D"/>
    <w:rsid w:val="006344E8"/>
    <w:rsid w:val="00635153"/>
    <w:rsid w:val="006362EC"/>
    <w:rsid w:val="0063770F"/>
    <w:rsid w:val="006378F1"/>
    <w:rsid w:val="00647721"/>
    <w:rsid w:val="00650F7E"/>
    <w:rsid w:val="00652287"/>
    <w:rsid w:val="00654167"/>
    <w:rsid w:val="006552DA"/>
    <w:rsid w:val="00667985"/>
    <w:rsid w:val="00670AB8"/>
    <w:rsid w:val="0067267E"/>
    <w:rsid w:val="00680D15"/>
    <w:rsid w:val="00684C78"/>
    <w:rsid w:val="0068669F"/>
    <w:rsid w:val="006871A8"/>
    <w:rsid w:val="00692958"/>
    <w:rsid w:val="006938DA"/>
    <w:rsid w:val="00695283"/>
    <w:rsid w:val="00695D3A"/>
    <w:rsid w:val="00697246"/>
    <w:rsid w:val="006A06D9"/>
    <w:rsid w:val="006A072D"/>
    <w:rsid w:val="006B050D"/>
    <w:rsid w:val="006B080B"/>
    <w:rsid w:val="006B7FC5"/>
    <w:rsid w:val="006C15E8"/>
    <w:rsid w:val="006C46D1"/>
    <w:rsid w:val="006C606F"/>
    <w:rsid w:val="006C63D9"/>
    <w:rsid w:val="006C7D75"/>
    <w:rsid w:val="006D2B8D"/>
    <w:rsid w:val="006D3CA4"/>
    <w:rsid w:val="006D4FE6"/>
    <w:rsid w:val="006F3BE2"/>
    <w:rsid w:val="006F59D3"/>
    <w:rsid w:val="006F5AB4"/>
    <w:rsid w:val="006F7467"/>
    <w:rsid w:val="006F7ED1"/>
    <w:rsid w:val="0070053A"/>
    <w:rsid w:val="00706F8F"/>
    <w:rsid w:val="00712653"/>
    <w:rsid w:val="00714203"/>
    <w:rsid w:val="00715A49"/>
    <w:rsid w:val="00717163"/>
    <w:rsid w:val="007175FF"/>
    <w:rsid w:val="00717FEE"/>
    <w:rsid w:val="00720D3F"/>
    <w:rsid w:val="00726D2C"/>
    <w:rsid w:val="00727276"/>
    <w:rsid w:val="0073274A"/>
    <w:rsid w:val="00733580"/>
    <w:rsid w:val="00742AB0"/>
    <w:rsid w:val="00746510"/>
    <w:rsid w:val="0074653F"/>
    <w:rsid w:val="00746C4A"/>
    <w:rsid w:val="007500D5"/>
    <w:rsid w:val="007506F8"/>
    <w:rsid w:val="00750DE3"/>
    <w:rsid w:val="00753662"/>
    <w:rsid w:val="00764E43"/>
    <w:rsid w:val="00765AA4"/>
    <w:rsid w:val="00766914"/>
    <w:rsid w:val="00777A8F"/>
    <w:rsid w:val="00781331"/>
    <w:rsid w:val="00782B7D"/>
    <w:rsid w:val="00784920"/>
    <w:rsid w:val="00784ED4"/>
    <w:rsid w:val="00787D45"/>
    <w:rsid w:val="00796AA7"/>
    <w:rsid w:val="007A6026"/>
    <w:rsid w:val="007A69BD"/>
    <w:rsid w:val="007D0401"/>
    <w:rsid w:val="007D30D3"/>
    <w:rsid w:val="007D5346"/>
    <w:rsid w:val="007D7CE0"/>
    <w:rsid w:val="007E357B"/>
    <w:rsid w:val="007F6417"/>
    <w:rsid w:val="007F6E5F"/>
    <w:rsid w:val="007F7157"/>
    <w:rsid w:val="0080054D"/>
    <w:rsid w:val="0080509E"/>
    <w:rsid w:val="008057BB"/>
    <w:rsid w:val="00810B8A"/>
    <w:rsid w:val="0081251F"/>
    <w:rsid w:val="00815E76"/>
    <w:rsid w:val="00827C09"/>
    <w:rsid w:val="0083095D"/>
    <w:rsid w:val="0083467E"/>
    <w:rsid w:val="0083789C"/>
    <w:rsid w:val="00837AA7"/>
    <w:rsid w:val="00840C13"/>
    <w:rsid w:val="0084331A"/>
    <w:rsid w:val="008520F6"/>
    <w:rsid w:val="00861F57"/>
    <w:rsid w:val="0086246B"/>
    <w:rsid w:val="00862E8A"/>
    <w:rsid w:val="00862FB3"/>
    <w:rsid w:val="00867AF7"/>
    <w:rsid w:val="00867C31"/>
    <w:rsid w:val="00871DD4"/>
    <w:rsid w:val="00871EA6"/>
    <w:rsid w:val="00882C22"/>
    <w:rsid w:val="0088394D"/>
    <w:rsid w:val="008905B2"/>
    <w:rsid w:val="0089122A"/>
    <w:rsid w:val="0089392B"/>
    <w:rsid w:val="0089682B"/>
    <w:rsid w:val="008A099E"/>
    <w:rsid w:val="008A5D6F"/>
    <w:rsid w:val="008B0382"/>
    <w:rsid w:val="008B2484"/>
    <w:rsid w:val="008B6571"/>
    <w:rsid w:val="008C15B8"/>
    <w:rsid w:val="008C2B6F"/>
    <w:rsid w:val="008C3271"/>
    <w:rsid w:val="008C35B0"/>
    <w:rsid w:val="008C384B"/>
    <w:rsid w:val="008C4D83"/>
    <w:rsid w:val="008D0B4E"/>
    <w:rsid w:val="008E39BB"/>
    <w:rsid w:val="008E5170"/>
    <w:rsid w:val="008E7750"/>
    <w:rsid w:val="008F09DB"/>
    <w:rsid w:val="008F1EEA"/>
    <w:rsid w:val="008F24F6"/>
    <w:rsid w:val="00902151"/>
    <w:rsid w:val="00903739"/>
    <w:rsid w:val="00906893"/>
    <w:rsid w:val="0091168E"/>
    <w:rsid w:val="00911A29"/>
    <w:rsid w:val="00920F9B"/>
    <w:rsid w:val="00921821"/>
    <w:rsid w:val="00925DA5"/>
    <w:rsid w:val="0092658B"/>
    <w:rsid w:val="0092713D"/>
    <w:rsid w:val="009273CA"/>
    <w:rsid w:val="00930630"/>
    <w:rsid w:val="009325E0"/>
    <w:rsid w:val="00936EA0"/>
    <w:rsid w:val="00937EDB"/>
    <w:rsid w:val="00941002"/>
    <w:rsid w:val="00942DAA"/>
    <w:rsid w:val="00946FC4"/>
    <w:rsid w:val="009551A4"/>
    <w:rsid w:val="009576A3"/>
    <w:rsid w:val="00957823"/>
    <w:rsid w:val="009579D6"/>
    <w:rsid w:val="00960754"/>
    <w:rsid w:val="00960C30"/>
    <w:rsid w:val="00962131"/>
    <w:rsid w:val="009626D4"/>
    <w:rsid w:val="0096273D"/>
    <w:rsid w:val="00963EB4"/>
    <w:rsid w:val="00974D9D"/>
    <w:rsid w:val="00975194"/>
    <w:rsid w:val="00981301"/>
    <w:rsid w:val="00981625"/>
    <w:rsid w:val="00986530"/>
    <w:rsid w:val="00992AB4"/>
    <w:rsid w:val="00993536"/>
    <w:rsid w:val="009A4648"/>
    <w:rsid w:val="009A4D54"/>
    <w:rsid w:val="009B5763"/>
    <w:rsid w:val="009C2AB6"/>
    <w:rsid w:val="009C4881"/>
    <w:rsid w:val="009D257A"/>
    <w:rsid w:val="009D55B9"/>
    <w:rsid w:val="009D6A60"/>
    <w:rsid w:val="009E18E2"/>
    <w:rsid w:val="009E2741"/>
    <w:rsid w:val="009E4E69"/>
    <w:rsid w:val="009E67DC"/>
    <w:rsid w:val="009F063F"/>
    <w:rsid w:val="009F1283"/>
    <w:rsid w:val="009F1FB0"/>
    <w:rsid w:val="009F214A"/>
    <w:rsid w:val="009F2AA0"/>
    <w:rsid w:val="00A021A2"/>
    <w:rsid w:val="00A03263"/>
    <w:rsid w:val="00A06C42"/>
    <w:rsid w:val="00A13207"/>
    <w:rsid w:val="00A16263"/>
    <w:rsid w:val="00A174A7"/>
    <w:rsid w:val="00A24A42"/>
    <w:rsid w:val="00A258A7"/>
    <w:rsid w:val="00A2613B"/>
    <w:rsid w:val="00A339FB"/>
    <w:rsid w:val="00A35883"/>
    <w:rsid w:val="00A401CF"/>
    <w:rsid w:val="00A465C1"/>
    <w:rsid w:val="00A66068"/>
    <w:rsid w:val="00A73E00"/>
    <w:rsid w:val="00A76921"/>
    <w:rsid w:val="00A7700E"/>
    <w:rsid w:val="00A7732D"/>
    <w:rsid w:val="00A8154F"/>
    <w:rsid w:val="00A87C60"/>
    <w:rsid w:val="00A91536"/>
    <w:rsid w:val="00A9161F"/>
    <w:rsid w:val="00A94E8B"/>
    <w:rsid w:val="00A968F3"/>
    <w:rsid w:val="00AA09C2"/>
    <w:rsid w:val="00AA35BC"/>
    <w:rsid w:val="00AA4C81"/>
    <w:rsid w:val="00AA5DF1"/>
    <w:rsid w:val="00AB0AAC"/>
    <w:rsid w:val="00AB24B9"/>
    <w:rsid w:val="00AB3814"/>
    <w:rsid w:val="00AB44FD"/>
    <w:rsid w:val="00AB4ADC"/>
    <w:rsid w:val="00AB745A"/>
    <w:rsid w:val="00AC0C10"/>
    <w:rsid w:val="00AC2F83"/>
    <w:rsid w:val="00AC5716"/>
    <w:rsid w:val="00AC5FC7"/>
    <w:rsid w:val="00AD122C"/>
    <w:rsid w:val="00AD6795"/>
    <w:rsid w:val="00AD6EB4"/>
    <w:rsid w:val="00AE157F"/>
    <w:rsid w:val="00AE28A9"/>
    <w:rsid w:val="00AE4315"/>
    <w:rsid w:val="00AE4709"/>
    <w:rsid w:val="00AE5B79"/>
    <w:rsid w:val="00AF12E9"/>
    <w:rsid w:val="00AF3BD9"/>
    <w:rsid w:val="00AF50F7"/>
    <w:rsid w:val="00AF6543"/>
    <w:rsid w:val="00AF65D9"/>
    <w:rsid w:val="00AF68AA"/>
    <w:rsid w:val="00AF7B92"/>
    <w:rsid w:val="00B070BB"/>
    <w:rsid w:val="00B11E79"/>
    <w:rsid w:val="00B1503B"/>
    <w:rsid w:val="00B16C46"/>
    <w:rsid w:val="00B22435"/>
    <w:rsid w:val="00B2281D"/>
    <w:rsid w:val="00B26C00"/>
    <w:rsid w:val="00B276D7"/>
    <w:rsid w:val="00B27B2D"/>
    <w:rsid w:val="00B31568"/>
    <w:rsid w:val="00B33052"/>
    <w:rsid w:val="00B36616"/>
    <w:rsid w:val="00B37044"/>
    <w:rsid w:val="00B37B50"/>
    <w:rsid w:val="00B4129D"/>
    <w:rsid w:val="00B45BA1"/>
    <w:rsid w:val="00B45E01"/>
    <w:rsid w:val="00B50A9E"/>
    <w:rsid w:val="00B50BF0"/>
    <w:rsid w:val="00B53A36"/>
    <w:rsid w:val="00B54F68"/>
    <w:rsid w:val="00B60B32"/>
    <w:rsid w:val="00B616F9"/>
    <w:rsid w:val="00B65C9F"/>
    <w:rsid w:val="00B66A4B"/>
    <w:rsid w:val="00B66FA6"/>
    <w:rsid w:val="00B729E6"/>
    <w:rsid w:val="00B74E48"/>
    <w:rsid w:val="00B823B7"/>
    <w:rsid w:val="00B877C9"/>
    <w:rsid w:val="00B900A5"/>
    <w:rsid w:val="00B91FDC"/>
    <w:rsid w:val="00B92983"/>
    <w:rsid w:val="00B961D2"/>
    <w:rsid w:val="00BA0008"/>
    <w:rsid w:val="00BA27C1"/>
    <w:rsid w:val="00BB2695"/>
    <w:rsid w:val="00BB6298"/>
    <w:rsid w:val="00BB6CDE"/>
    <w:rsid w:val="00BC320D"/>
    <w:rsid w:val="00BC4AEA"/>
    <w:rsid w:val="00BC7887"/>
    <w:rsid w:val="00BD10E4"/>
    <w:rsid w:val="00BD2750"/>
    <w:rsid w:val="00BE5BEC"/>
    <w:rsid w:val="00BF2025"/>
    <w:rsid w:val="00BF2E56"/>
    <w:rsid w:val="00BF6694"/>
    <w:rsid w:val="00BF6B90"/>
    <w:rsid w:val="00BF6D33"/>
    <w:rsid w:val="00C00D14"/>
    <w:rsid w:val="00C0178F"/>
    <w:rsid w:val="00C04A2D"/>
    <w:rsid w:val="00C138C5"/>
    <w:rsid w:val="00C14932"/>
    <w:rsid w:val="00C15D4B"/>
    <w:rsid w:val="00C20EE5"/>
    <w:rsid w:val="00C2240E"/>
    <w:rsid w:val="00C23170"/>
    <w:rsid w:val="00C24D23"/>
    <w:rsid w:val="00C43733"/>
    <w:rsid w:val="00C443AF"/>
    <w:rsid w:val="00C46804"/>
    <w:rsid w:val="00C46DBA"/>
    <w:rsid w:val="00C50E70"/>
    <w:rsid w:val="00C55157"/>
    <w:rsid w:val="00C55604"/>
    <w:rsid w:val="00C55D12"/>
    <w:rsid w:val="00C61B1D"/>
    <w:rsid w:val="00C630AB"/>
    <w:rsid w:val="00C77DFB"/>
    <w:rsid w:val="00C812E3"/>
    <w:rsid w:val="00C82030"/>
    <w:rsid w:val="00C82379"/>
    <w:rsid w:val="00C9116B"/>
    <w:rsid w:val="00C97734"/>
    <w:rsid w:val="00CA53DD"/>
    <w:rsid w:val="00CB0281"/>
    <w:rsid w:val="00CB1DF0"/>
    <w:rsid w:val="00CB413D"/>
    <w:rsid w:val="00CB5A7A"/>
    <w:rsid w:val="00CB6868"/>
    <w:rsid w:val="00CC1315"/>
    <w:rsid w:val="00CC1FB1"/>
    <w:rsid w:val="00CC297D"/>
    <w:rsid w:val="00CC50E2"/>
    <w:rsid w:val="00CD527B"/>
    <w:rsid w:val="00CE52C8"/>
    <w:rsid w:val="00CE60D7"/>
    <w:rsid w:val="00D00781"/>
    <w:rsid w:val="00D02830"/>
    <w:rsid w:val="00D03072"/>
    <w:rsid w:val="00D0442F"/>
    <w:rsid w:val="00D14B76"/>
    <w:rsid w:val="00D20E56"/>
    <w:rsid w:val="00D2468A"/>
    <w:rsid w:val="00D24A17"/>
    <w:rsid w:val="00D27586"/>
    <w:rsid w:val="00D27CC7"/>
    <w:rsid w:val="00D305D3"/>
    <w:rsid w:val="00D347C4"/>
    <w:rsid w:val="00D471E9"/>
    <w:rsid w:val="00D61302"/>
    <w:rsid w:val="00D63A2E"/>
    <w:rsid w:val="00D703EE"/>
    <w:rsid w:val="00D725DA"/>
    <w:rsid w:val="00D72B0E"/>
    <w:rsid w:val="00D76032"/>
    <w:rsid w:val="00D7707E"/>
    <w:rsid w:val="00D84359"/>
    <w:rsid w:val="00D85C19"/>
    <w:rsid w:val="00D86066"/>
    <w:rsid w:val="00D866CA"/>
    <w:rsid w:val="00D91571"/>
    <w:rsid w:val="00D92C5F"/>
    <w:rsid w:val="00D97B06"/>
    <w:rsid w:val="00DA1A38"/>
    <w:rsid w:val="00DA1CC6"/>
    <w:rsid w:val="00DA2484"/>
    <w:rsid w:val="00DA2A85"/>
    <w:rsid w:val="00DA60FB"/>
    <w:rsid w:val="00DA62CE"/>
    <w:rsid w:val="00DA642C"/>
    <w:rsid w:val="00DA70B1"/>
    <w:rsid w:val="00DB16D8"/>
    <w:rsid w:val="00DB3C13"/>
    <w:rsid w:val="00DB482B"/>
    <w:rsid w:val="00DB52E8"/>
    <w:rsid w:val="00DB642A"/>
    <w:rsid w:val="00DB6485"/>
    <w:rsid w:val="00DB70FA"/>
    <w:rsid w:val="00DC2E5F"/>
    <w:rsid w:val="00DC4828"/>
    <w:rsid w:val="00DD08BD"/>
    <w:rsid w:val="00DD0EF9"/>
    <w:rsid w:val="00DD6FC8"/>
    <w:rsid w:val="00DE1E0B"/>
    <w:rsid w:val="00DE2BCE"/>
    <w:rsid w:val="00DE4EF4"/>
    <w:rsid w:val="00DF212D"/>
    <w:rsid w:val="00DF2842"/>
    <w:rsid w:val="00DF361F"/>
    <w:rsid w:val="00DF5CDB"/>
    <w:rsid w:val="00DF5FF1"/>
    <w:rsid w:val="00E0291E"/>
    <w:rsid w:val="00E04B85"/>
    <w:rsid w:val="00E051B1"/>
    <w:rsid w:val="00E0788C"/>
    <w:rsid w:val="00E07DAC"/>
    <w:rsid w:val="00E10D21"/>
    <w:rsid w:val="00E1273A"/>
    <w:rsid w:val="00E230B0"/>
    <w:rsid w:val="00E23706"/>
    <w:rsid w:val="00E27B2D"/>
    <w:rsid w:val="00E27D90"/>
    <w:rsid w:val="00E32C6D"/>
    <w:rsid w:val="00E33D5F"/>
    <w:rsid w:val="00E358D3"/>
    <w:rsid w:val="00E41806"/>
    <w:rsid w:val="00E41ABC"/>
    <w:rsid w:val="00E42B7B"/>
    <w:rsid w:val="00E50276"/>
    <w:rsid w:val="00E53F9E"/>
    <w:rsid w:val="00E57257"/>
    <w:rsid w:val="00E6607D"/>
    <w:rsid w:val="00E67743"/>
    <w:rsid w:val="00E67CD7"/>
    <w:rsid w:val="00E70A36"/>
    <w:rsid w:val="00E70D28"/>
    <w:rsid w:val="00E7185D"/>
    <w:rsid w:val="00E72EE7"/>
    <w:rsid w:val="00E73A3C"/>
    <w:rsid w:val="00E74108"/>
    <w:rsid w:val="00E746F4"/>
    <w:rsid w:val="00E7490F"/>
    <w:rsid w:val="00E760AA"/>
    <w:rsid w:val="00E814F2"/>
    <w:rsid w:val="00E81C87"/>
    <w:rsid w:val="00E82111"/>
    <w:rsid w:val="00E8307F"/>
    <w:rsid w:val="00E931D7"/>
    <w:rsid w:val="00E96D5D"/>
    <w:rsid w:val="00EA2B89"/>
    <w:rsid w:val="00EA31E4"/>
    <w:rsid w:val="00EA3B54"/>
    <w:rsid w:val="00EB040D"/>
    <w:rsid w:val="00EB0EEC"/>
    <w:rsid w:val="00EB2C2F"/>
    <w:rsid w:val="00EB2E80"/>
    <w:rsid w:val="00EB402A"/>
    <w:rsid w:val="00EB4337"/>
    <w:rsid w:val="00EB72CB"/>
    <w:rsid w:val="00EC093E"/>
    <w:rsid w:val="00EC0A80"/>
    <w:rsid w:val="00EC228F"/>
    <w:rsid w:val="00EC2CD4"/>
    <w:rsid w:val="00EC49B6"/>
    <w:rsid w:val="00EC53A7"/>
    <w:rsid w:val="00EC7D2E"/>
    <w:rsid w:val="00EF0CA0"/>
    <w:rsid w:val="00EF18B3"/>
    <w:rsid w:val="00EF4802"/>
    <w:rsid w:val="00F000A3"/>
    <w:rsid w:val="00F0502F"/>
    <w:rsid w:val="00F05C9D"/>
    <w:rsid w:val="00F10A4A"/>
    <w:rsid w:val="00F127A9"/>
    <w:rsid w:val="00F14043"/>
    <w:rsid w:val="00F179A4"/>
    <w:rsid w:val="00F200C0"/>
    <w:rsid w:val="00F255DE"/>
    <w:rsid w:val="00F315AC"/>
    <w:rsid w:val="00F33074"/>
    <w:rsid w:val="00F334BE"/>
    <w:rsid w:val="00F51A7E"/>
    <w:rsid w:val="00F60B49"/>
    <w:rsid w:val="00F63BDA"/>
    <w:rsid w:val="00F817E1"/>
    <w:rsid w:val="00F83F15"/>
    <w:rsid w:val="00F9202E"/>
    <w:rsid w:val="00F93390"/>
    <w:rsid w:val="00FA111C"/>
    <w:rsid w:val="00FA2294"/>
    <w:rsid w:val="00FA277D"/>
    <w:rsid w:val="00FA7CCB"/>
    <w:rsid w:val="00FB0DF9"/>
    <w:rsid w:val="00FB43C6"/>
    <w:rsid w:val="00FB5068"/>
    <w:rsid w:val="00FB672F"/>
    <w:rsid w:val="00FC4117"/>
    <w:rsid w:val="00FC6506"/>
    <w:rsid w:val="00FC6EA8"/>
    <w:rsid w:val="00FD053F"/>
    <w:rsid w:val="00FD4303"/>
    <w:rsid w:val="00FD715E"/>
    <w:rsid w:val="00FE320B"/>
    <w:rsid w:val="00FE3AD9"/>
    <w:rsid w:val="00FF5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61B44-52E9-426F-B2AF-4CCB4ABE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95E"/>
    <w:pPr>
      <w:spacing w:after="0" w:line="360" w:lineRule="auto"/>
      <w:ind w:firstLine="567"/>
      <w:jc w:val="both"/>
    </w:pPr>
    <w:rPr>
      <w:rFonts w:ascii="Times New Roman" w:hAnsi="Times New Roman" w:cs="Times New Roman"/>
      <w:color w:val="0D0D0D" w:themeColor="text1" w:themeTint="F2"/>
      <w:sz w:val="24"/>
      <w:szCs w:val="24"/>
      <w:lang w:val="en-GB"/>
    </w:rPr>
  </w:style>
  <w:style w:type="paragraph" w:styleId="Heading1">
    <w:name w:val="heading 1"/>
    <w:basedOn w:val="Normal"/>
    <w:next w:val="Normal"/>
    <w:link w:val="Heading1Char"/>
    <w:uiPriority w:val="9"/>
    <w:qFormat/>
    <w:rsid w:val="00114875"/>
    <w:pPr>
      <w:keepNext/>
      <w:keepLines/>
      <w:numPr>
        <w:numId w:val="19"/>
      </w:numPr>
      <w:spacing w:before="240"/>
      <w:ind w:left="426" w:hanging="426"/>
      <w:jc w:val="left"/>
      <w:outlineLvl w:val="0"/>
    </w:pPr>
    <w:rPr>
      <w:rFonts w:eastAsiaTheme="majorEastAsia"/>
      <w:b/>
      <w:sz w:val="28"/>
      <w:szCs w:val="28"/>
    </w:rPr>
  </w:style>
  <w:style w:type="paragraph" w:styleId="Heading2">
    <w:name w:val="heading 2"/>
    <w:basedOn w:val="Heading1"/>
    <w:next w:val="Normal"/>
    <w:link w:val="Heading2Char"/>
    <w:uiPriority w:val="9"/>
    <w:unhideWhenUsed/>
    <w:qFormat/>
    <w:rsid w:val="00114875"/>
    <w:pPr>
      <w:numPr>
        <w:numId w:val="0"/>
      </w:numPr>
      <w:outlineLvl w:val="1"/>
    </w:pPr>
    <w:rPr>
      <w:sz w:val="26"/>
      <w:szCs w:val="26"/>
    </w:rPr>
  </w:style>
  <w:style w:type="paragraph" w:styleId="Heading3">
    <w:name w:val="heading 3"/>
    <w:basedOn w:val="Normal"/>
    <w:next w:val="Normal"/>
    <w:link w:val="Heading3Char"/>
    <w:uiPriority w:val="9"/>
    <w:semiHidden/>
    <w:unhideWhenUsed/>
    <w:qFormat/>
    <w:rsid w:val="00C61B1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F68A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875"/>
    <w:rPr>
      <w:rFonts w:ascii="Times New Roman" w:eastAsiaTheme="majorEastAsia" w:hAnsi="Times New Roman" w:cs="Times New Roman"/>
      <w:b/>
      <w:color w:val="0D0D0D" w:themeColor="text1" w:themeTint="F2"/>
      <w:sz w:val="28"/>
      <w:szCs w:val="28"/>
      <w:lang w:val="en-GB"/>
    </w:rPr>
  </w:style>
  <w:style w:type="paragraph" w:styleId="Header">
    <w:name w:val="header"/>
    <w:basedOn w:val="Normal"/>
    <w:link w:val="HeaderChar"/>
    <w:uiPriority w:val="99"/>
    <w:unhideWhenUsed/>
    <w:rsid w:val="00D63A2E"/>
    <w:pPr>
      <w:tabs>
        <w:tab w:val="center" w:pos="4536"/>
        <w:tab w:val="right" w:pos="9072"/>
      </w:tabs>
      <w:spacing w:line="240" w:lineRule="auto"/>
    </w:pPr>
  </w:style>
  <w:style w:type="character" w:customStyle="1" w:styleId="HeaderChar">
    <w:name w:val="Header Char"/>
    <w:basedOn w:val="DefaultParagraphFont"/>
    <w:link w:val="Header"/>
    <w:uiPriority w:val="99"/>
    <w:rsid w:val="00D63A2E"/>
    <w:rPr>
      <w:rFonts w:ascii="Times New Roman" w:hAnsi="Times New Roman" w:cs="Times New Roman"/>
      <w:color w:val="0D0D0D" w:themeColor="text1" w:themeTint="F2"/>
      <w:sz w:val="24"/>
      <w:szCs w:val="24"/>
      <w:lang w:val="en-GB"/>
    </w:rPr>
  </w:style>
  <w:style w:type="paragraph" w:styleId="ListParagraph">
    <w:name w:val="List Paragraph"/>
    <w:basedOn w:val="Normal"/>
    <w:uiPriority w:val="34"/>
    <w:rsid w:val="00974D9D"/>
    <w:pPr>
      <w:ind w:left="720"/>
      <w:contextualSpacing/>
    </w:pPr>
  </w:style>
  <w:style w:type="character" w:customStyle="1" w:styleId="Heading4Char">
    <w:name w:val="Heading 4 Char"/>
    <w:basedOn w:val="DefaultParagraphFont"/>
    <w:link w:val="Heading4"/>
    <w:uiPriority w:val="9"/>
    <w:rsid w:val="00AF68A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114875"/>
    <w:rPr>
      <w:rFonts w:ascii="Times New Roman" w:eastAsiaTheme="majorEastAsia" w:hAnsi="Times New Roman" w:cs="Times New Roman"/>
      <w:b/>
      <w:color w:val="0D0D0D" w:themeColor="text1" w:themeTint="F2"/>
      <w:sz w:val="26"/>
      <w:szCs w:val="26"/>
      <w:lang w:val="en-GB"/>
    </w:rPr>
  </w:style>
  <w:style w:type="character" w:customStyle="1" w:styleId="Heading3Char">
    <w:name w:val="Heading 3 Char"/>
    <w:basedOn w:val="DefaultParagraphFont"/>
    <w:link w:val="Heading3"/>
    <w:uiPriority w:val="9"/>
    <w:semiHidden/>
    <w:rsid w:val="00C61B1D"/>
    <w:rPr>
      <w:rFonts w:asciiTheme="majorHAnsi" w:eastAsiaTheme="majorEastAsia" w:hAnsiTheme="majorHAnsi" w:cstheme="majorBidi"/>
      <w:color w:val="1F4D78" w:themeColor="accent1" w:themeShade="7F"/>
      <w:sz w:val="24"/>
      <w:szCs w:val="24"/>
    </w:rPr>
  </w:style>
  <w:style w:type="paragraph" w:styleId="FootnoteText">
    <w:name w:val="footnote text"/>
    <w:aliases w:val="Stil 1, Char,Char"/>
    <w:basedOn w:val="Normal"/>
    <w:link w:val="FootnoteTextChar"/>
    <w:uiPriority w:val="99"/>
    <w:unhideWhenUsed/>
    <w:rsid w:val="00C61B1D"/>
    <w:pPr>
      <w:overflowPunct w:val="0"/>
      <w:autoSpaceDE w:val="0"/>
      <w:autoSpaceDN w:val="0"/>
    </w:pPr>
    <w:rPr>
      <w:sz w:val="18"/>
      <w:szCs w:val="18"/>
      <w:lang w:eastAsia="cs-CZ"/>
    </w:rPr>
  </w:style>
  <w:style w:type="character" w:customStyle="1" w:styleId="FootnoteTextChar">
    <w:name w:val="Footnote Text Char"/>
    <w:aliases w:val="Stil 1 Char, Char Char,Char Char"/>
    <w:basedOn w:val="DefaultParagraphFont"/>
    <w:link w:val="FootnoteText"/>
    <w:uiPriority w:val="99"/>
    <w:rsid w:val="00C61B1D"/>
    <w:rPr>
      <w:rFonts w:ascii="Times New Roman" w:hAnsi="Times New Roman" w:cs="Times New Roman"/>
      <w:sz w:val="18"/>
      <w:szCs w:val="18"/>
      <w:lang w:eastAsia="cs-CZ"/>
    </w:rPr>
  </w:style>
  <w:style w:type="character" w:styleId="FootnoteReference">
    <w:name w:val="footnote reference"/>
    <w:basedOn w:val="DefaultParagraphFont"/>
    <w:uiPriority w:val="99"/>
    <w:unhideWhenUsed/>
    <w:rsid w:val="00C61B1D"/>
    <w:rPr>
      <w:vertAlign w:val="superscript"/>
    </w:rPr>
  </w:style>
  <w:style w:type="paragraph" w:styleId="BalloonText">
    <w:name w:val="Balloon Text"/>
    <w:basedOn w:val="Normal"/>
    <w:link w:val="BalloonTextChar"/>
    <w:uiPriority w:val="99"/>
    <w:semiHidden/>
    <w:unhideWhenUsed/>
    <w:rsid w:val="006477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21"/>
    <w:rPr>
      <w:rFonts w:ascii="Segoe UI" w:hAnsi="Segoe UI" w:cs="Segoe UI"/>
      <w:sz w:val="18"/>
      <w:szCs w:val="18"/>
    </w:rPr>
  </w:style>
  <w:style w:type="character" w:styleId="CommentReference">
    <w:name w:val="annotation reference"/>
    <w:basedOn w:val="DefaultParagraphFont"/>
    <w:uiPriority w:val="99"/>
    <w:semiHidden/>
    <w:unhideWhenUsed/>
    <w:rsid w:val="004D0F71"/>
    <w:rPr>
      <w:sz w:val="16"/>
      <w:szCs w:val="16"/>
    </w:rPr>
  </w:style>
  <w:style w:type="paragraph" w:styleId="CommentText">
    <w:name w:val="annotation text"/>
    <w:basedOn w:val="Normal"/>
    <w:link w:val="CommentTextChar"/>
    <w:uiPriority w:val="99"/>
    <w:semiHidden/>
    <w:unhideWhenUsed/>
    <w:rsid w:val="004D0F71"/>
    <w:pPr>
      <w:spacing w:line="240" w:lineRule="auto"/>
    </w:pPr>
    <w:rPr>
      <w:sz w:val="20"/>
      <w:szCs w:val="20"/>
    </w:rPr>
  </w:style>
  <w:style w:type="character" w:customStyle="1" w:styleId="CommentTextChar">
    <w:name w:val="Comment Text Char"/>
    <w:basedOn w:val="DefaultParagraphFont"/>
    <w:link w:val="CommentText"/>
    <w:uiPriority w:val="99"/>
    <w:semiHidden/>
    <w:rsid w:val="004D0F71"/>
    <w:rPr>
      <w:sz w:val="20"/>
      <w:szCs w:val="20"/>
    </w:rPr>
  </w:style>
  <w:style w:type="paragraph" w:styleId="CommentSubject">
    <w:name w:val="annotation subject"/>
    <w:basedOn w:val="CommentText"/>
    <w:next w:val="CommentText"/>
    <w:link w:val="CommentSubjectChar"/>
    <w:uiPriority w:val="99"/>
    <w:semiHidden/>
    <w:unhideWhenUsed/>
    <w:rsid w:val="004D0F71"/>
    <w:rPr>
      <w:b/>
      <w:bCs/>
    </w:rPr>
  </w:style>
  <w:style w:type="character" w:customStyle="1" w:styleId="CommentSubjectChar">
    <w:name w:val="Comment Subject Char"/>
    <w:basedOn w:val="CommentTextChar"/>
    <w:link w:val="CommentSubject"/>
    <w:uiPriority w:val="99"/>
    <w:semiHidden/>
    <w:rsid w:val="004D0F71"/>
    <w:rPr>
      <w:b/>
      <w:bCs/>
      <w:sz w:val="20"/>
      <w:szCs w:val="20"/>
    </w:rPr>
  </w:style>
  <w:style w:type="paragraph" w:styleId="Footer">
    <w:name w:val="footer"/>
    <w:basedOn w:val="Normal"/>
    <w:link w:val="FooterChar"/>
    <w:uiPriority w:val="99"/>
    <w:unhideWhenUsed/>
    <w:rsid w:val="00E10D21"/>
    <w:pPr>
      <w:tabs>
        <w:tab w:val="center" w:pos="4536"/>
        <w:tab w:val="right" w:pos="9072"/>
      </w:tabs>
      <w:spacing w:line="240" w:lineRule="auto"/>
    </w:pPr>
  </w:style>
  <w:style w:type="character" w:customStyle="1" w:styleId="FooterChar">
    <w:name w:val="Footer Char"/>
    <w:basedOn w:val="DefaultParagraphFont"/>
    <w:link w:val="Footer"/>
    <w:uiPriority w:val="99"/>
    <w:rsid w:val="00E10D21"/>
    <w:rPr>
      <w:rFonts w:ascii="Times New Roman" w:hAnsi="Times New Roman" w:cs="Times New Roman"/>
      <w:color w:val="0D0D0D" w:themeColor="text1" w:themeTint="F2"/>
      <w:sz w:val="24"/>
      <w:szCs w:val="24"/>
      <w:lang w:val="en-GB"/>
    </w:rPr>
  </w:style>
  <w:style w:type="character" w:styleId="Strong">
    <w:name w:val="Strong"/>
    <w:basedOn w:val="DefaultParagraphFont"/>
    <w:uiPriority w:val="22"/>
    <w:qFormat/>
    <w:rsid w:val="00AB3814"/>
    <w:rPr>
      <w:bCs/>
      <w:sz w:val="32"/>
      <w:szCs w:val="32"/>
    </w:rPr>
  </w:style>
  <w:style w:type="character" w:styleId="PageNumber">
    <w:name w:val="page number"/>
    <w:uiPriority w:val="99"/>
    <w:rsid w:val="00C630AB"/>
  </w:style>
  <w:style w:type="paragraph" w:customStyle="1" w:styleId="JIMtext">
    <w:name w:val="JIM_text"/>
    <w:basedOn w:val="Normal"/>
    <w:qFormat/>
    <w:rsid w:val="00810B8A"/>
    <w:pPr>
      <w:widowControl w:val="0"/>
      <w:tabs>
        <w:tab w:val="left" w:pos="567"/>
      </w:tabs>
      <w:autoSpaceDE w:val="0"/>
      <w:autoSpaceDN w:val="0"/>
      <w:adjustRightInd w:val="0"/>
      <w:spacing w:after="60" w:line="240" w:lineRule="auto"/>
    </w:pPr>
    <w:rPr>
      <w:rFonts w:ascii="Times-Roman" w:eastAsia="Times New Roman" w:hAnsi="Times-Roman" w:cs="Times-Roman"/>
      <w:sz w:val="20"/>
      <w:szCs w:val="20"/>
      <w:lang w:val="en-US" w:eastAsia="pt-PT"/>
    </w:rPr>
  </w:style>
  <w:style w:type="character" w:styleId="Hyperlink">
    <w:name w:val="Hyperlink"/>
    <w:basedOn w:val="DefaultParagraphFont"/>
    <w:unhideWhenUsed/>
    <w:rsid w:val="00FA2294"/>
    <w:rPr>
      <w:color w:val="0563C1" w:themeColor="hyperlink"/>
      <w:u w:val="single"/>
    </w:rPr>
  </w:style>
  <w:style w:type="character" w:styleId="Emphasis">
    <w:name w:val="Emphasis"/>
    <w:uiPriority w:val="20"/>
    <w:qFormat/>
    <w:rsid w:val="00C82379"/>
    <w:rPr>
      <w:i/>
      <w:iCs/>
    </w:rPr>
  </w:style>
  <w:style w:type="character" w:styleId="FollowedHyperlink">
    <w:name w:val="FollowedHyperlink"/>
    <w:basedOn w:val="DefaultParagraphFont"/>
    <w:uiPriority w:val="99"/>
    <w:semiHidden/>
    <w:unhideWhenUsed/>
    <w:rsid w:val="00B65C9F"/>
    <w:rPr>
      <w:color w:val="954F72" w:themeColor="followedHyperlink"/>
      <w:u w:val="single"/>
    </w:rPr>
  </w:style>
  <w:style w:type="paragraph" w:styleId="NoSpacing">
    <w:name w:val="No Spacing"/>
    <w:uiPriority w:val="1"/>
    <w:qFormat/>
    <w:rsid w:val="0027691E"/>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136F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meta-info-label">
    <w:name w:val="article-header__meta-info-label"/>
    <w:basedOn w:val="DefaultParagraphFont"/>
    <w:rsid w:val="004B5DE7"/>
  </w:style>
  <w:style w:type="character" w:customStyle="1" w:styleId="article-headermeta-info-data">
    <w:name w:val="article-header__meta-info-data"/>
    <w:basedOn w:val="DefaultParagraphFont"/>
    <w:rsid w:val="004B5DE7"/>
  </w:style>
  <w:style w:type="character" w:customStyle="1" w:styleId="doi">
    <w:name w:val="doi"/>
    <w:basedOn w:val="DefaultParagraphFont"/>
    <w:rsid w:val="007500D5"/>
  </w:style>
  <w:style w:type="paragraph" w:styleId="z-TopofForm">
    <w:name w:val="HTML Top of Form"/>
    <w:basedOn w:val="Normal"/>
    <w:next w:val="Normal"/>
    <w:link w:val="z-TopofFormChar"/>
    <w:hidden/>
    <w:uiPriority w:val="99"/>
    <w:semiHidden/>
    <w:unhideWhenUsed/>
    <w:rsid w:val="007500D5"/>
    <w:pPr>
      <w:pBdr>
        <w:bottom w:val="single" w:sz="6" w:space="1" w:color="auto"/>
      </w:pBdr>
      <w:spacing w:line="240" w:lineRule="auto"/>
      <w:ind w:firstLine="0"/>
      <w:jc w:val="center"/>
    </w:pPr>
    <w:rPr>
      <w:rFonts w:ascii="Arial" w:eastAsia="Times New Roman"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500D5"/>
    <w:rPr>
      <w:rFonts w:ascii="Arial" w:eastAsia="Times New Roman" w:hAnsi="Arial" w:cs="Arial"/>
      <w:vanish/>
      <w:sz w:val="16"/>
      <w:szCs w:val="16"/>
      <w:lang w:val="en-US"/>
    </w:rPr>
  </w:style>
  <w:style w:type="character" w:customStyle="1" w:styleId="orcid-id-https">
    <w:name w:val="orcid-id-https"/>
    <w:basedOn w:val="DefaultParagraphFont"/>
    <w:rsid w:val="00D27CC7"/>
  </w:style>
  <w:style w:type="character" w:customStyle="1" w:styleId="ng-binding">
    <w:name w:val="ng-binding"/>
    <w:basedOn w:val="DefaultParagraphFont"/>
    <w:rsid w:val="00D27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1073164091">
      <w:bodyDiv w:val="1"/>
      <w:marLeft w:val="0"/>
      <w:marRight w:val="0"/>
      <w:marTop w:val="0"/>
      <w:marBottom w:val="0"/>
      <w:divBdr>
        <w:top w:val="none" w:sz="0" w:space="0" w:color="auto"/>
        <w:left w:val="none" w:sz="0" w:space="0" w:color="auto"/>
        <w:bottom w:val="none" w:sz="0" w:space="0" w:color="auto"/>
        <w:right w:val="none" w:sz="0" w:space="0" w:color="auto"/>
      </w:divBdr>
    </w:div>
    <w:div w:id="1468745990">
      <w:bodyDiv w:val="1"/>
      <w:marLeft w:val="0"/>
      <w:marRight w:val="0"/>
      <w:marTop w:val="0"/>
      <w:marBottom w:val="0"/>
      <w:divBdr>
        <w:top w:val="none" w:sz="0" w:space="0" w:color="auto"/>
        <w:left w:val="none" w:sz="0" w:space="0" w:color="auto"/>
        <w:bottom w:val="none" w:sz="0" w:space="0" w:color="auto"/>
        <w:right w:val="none" w:sz="0" w:space="0" w:color="auto"/>
      </w:divBdr>
    </w:div>
    <w:div w:id="1864593314">
      <w:bodyDiv w:val="1"/>
      <w:marLeft w:val="0"/>
      <w:marRight w:val="0"/>
      <w:marTop w:val="0"/>
      <w:marBottom w:val="0"/>
      <w:divBdr>
        <w:top w:val="none" w:sz="0" w:space="0" w:color="auto"/>
        <w:left w:val="none" w:sz="0" w:space="0" w:color="auto"/>
        <w:bottom w:val="none" w:sz="0" w:space="0" w:color="auto"/>
        <w:right w:val="none" w:sz="0" w:space="0" w:color="auto"/>
      </w:divBdr>
    </w:div>
    <w:div w:id="1889874610">
      <w:bodyDiv w:val="1"/>
      <w:marLeft w:val="0"/>
      <w:marRight w:val="0"/>
      <w:marTop w:val="0"/>
      <w:marBottom w:val="0"/>
      <w:divBdr>
        <w:top w:val="none" w:sz="0" w:space="0" w:color="auto"/>
        <w:left w:val="none" w:sz="0" w:space="0" w:color="auto"/>
        <w:bottom w:val="none" w:sz="0" w:space="0" w:color="auto"/>
        <w:right w:val="none" w:sz="0" w:space="0" w:color="auto"/>
      </w:divBdr>
      <w:divsChild>
        <w:div w:id="1958560774">
          <w:marLeft w:val="0"/>
          <w:marRight w:val="0"/>
          <w:marTop w:val="0"/>
          <w:marBottom w:val="0"/>
          <w:divBdr>
            <w:top w:val="none" w:sz="0" w:space="0" w:color="auto"/>
            <w:left w:val="none" w:sz="0" w:space="0" w:color="auto"/>
            <w:bottom w:val="none" w:sz="0" w:space="0" w:color="auto"/>
            <w:right w:val="none" w:sz="0" w:space="0" w:color="auto"/>
          </w:divBdr>
          <w:divsChild>
            <w:div w:id="1122068233">
              <w:marLeft w:val="0"/>
              <w:marRight w:val="0"/>
              <w:marTop w:val="0"/>
              <w:marBottom w:val="0"/>
              <w:divBdr>
                <w:top w:val="none" w:sz="0" w:space="0" w:color="auto"/>
                <w:left w:val="none" w:sz="0" w:space="0" w:color="auto"/>
                <w:bottom w:val="none" w:sz="0" w:space="0" w:color="auto"/>
                <w:right w:val="none" w:sz="0" w:space="0" w:color="auto"/>
              </w:divBdr>
              <w:divsChild>
                <w:div w:id="2079478198">
                  <w:marLeft w:val="0"/>
                  <w:marRight w:val="0"/>
                  <w:marTop w:val="0"/>
                  <w:marBottom w:val="0"/>
                  <w:divBdr>
                    <w:top w:val="none" w:sz="0" w:space="0" w:color="auto"/>
                    <w:left w:val="none" w:sz="0" w:space="0" w:color="auto"/>
                    <w:bottom w:val="none" w:sz="0" w:space="0" w:color="auto"/>
                    <w:right w:val="none" w:sz="0" w:space="0" w:color="auto"/>
                  </w:divBdr>
                  <w:divsChild>
                    <w:div w:id="2007516869">
                      <w:marLeft w:val="0"/>
                      <w:marRight w:val="0"/>
                      <w:marTop w:val="0"/>
                      <w:marBottom w:val="150"/>
                      <w:divBdr>
                        <w:top w:val="single" w:sz="6" w:space="0" w:color="A6CE39"/>
                        <w:left w:val="single" w:sz="6" w:space="0" w:color="A6CE39"/>
                        <w:bottom w:val="single" w:sz="6" w:space="0" w:color="A6CE39"/>
                        <w:right w:val="single" w:sz="6" w:space="0" w:color="A6CE39"/>
                      </w:divBdr>
                      <w:divsChild>
                        <w:div w:id="1591429782">
                          <w:marLeft w:val="0"/>
                          <w:marRight w:val="0"/>
                          <w:marTop w:val="0"/>
                          <w:marBottom w:val="0"/>
                          <w:divBdr>
                            <w:top w:val="none" w:sz="0" w:space="0" w:color="auto"/>
                            <w:left w:val="none" w:sz="0" w:space="0" w:color="auto"/>
                            <w:bottom w:val="none" w:sz="0" w:space="0" w:color="auto"/>
                            <w:right w:val="none" w:sz="0" w:space="0" w:color="auto"/>
                          </w:divBdr>
                          <w:divsChild>
                            <w:div w:id="1913389165">
                              <w:marLeft w:val="-75"/>
                              <w:marRight w:val="-75"/>
                              <w:marTop w:val="0"/>
                              <w:marBottom w:val="0"/>
                              <w:divBdr>
                                <w:top w:val="none" w:sz="0" w:space="0" w:color="auto"/>
                                <w:left w:val="none" w:sz="0" w:space="0" w:color="auto"/>
                                <w:bottom w:val="none" w:sz="0" w:space="0" w:color="auto"/>
                                <w:right w:val="none" w:sz="0" w:space="0" w:color="auto"/>
                              </w:divBdr>
                              <w:divsChild>
                                <w:div w:id="18620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6200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87804784">
          <w:marLeft w:val="0"/>
          <w:marRight w:val="0"/>
          <w:marTop w:val="0"/>
          <w:marBottom w:val="0"/>
          <w:divBdr>
            <w:top w:val="none" w:sz="0" w:space="0" w:color="auto"/>
            <w:left w:val="none" w:sz="0" w:space="0" w:color="auto"/>
            <w:bottom w:val="none" w:sz="0" w:space="0" w:color="auto"/>
            <w:right w:val="none" w:sz="0" w:space="0" w:color="auto"/>
          </w:divBdr>
          <w:divsChild>
            <w:div w:id="116144346">
              <w:marLeft w:val="0"/>
              <w:marRight w:val="0"/>
              <w:marTop w:val="0"/>
              <w:marBottom w:val="0"/>
              <w:divBdr>
                <w:top w:val="none" w:sz="0" w:space="0" w:color="auto"/>
                <w:left w:val="none" w:sz="0" w:space="0" w:color="auto"/>
                <w:bottom w:val="none" w:sz="0" w:space="0" w:color="auto"/>
                <w:right w:val="none" w:sz="0" w:space="0" w:color="auto"/>
              </w:divBdr>
              <w:divsChild>
                <w:div w:id="1994866949">
                  <w:marLeft w:val="0"/>
                  <w:marRight w:val="0"/>
                  <w:marTop w:val="0"/>
                  <w:marBottom w:val="0"/>
                  <w:divBdr>
                    <w:top w:val="none" w:sz="0" w:space="0" w:color="auto"/>
                    <w:left w:val="none" w:sz="0" w:space="0" w:color="auto"/>
                    <w:bottom w:val="none" w:sz="0" w:space="0" w:color="auto"/>
                    <w:right w:val="none" w:sz="0" w:space="0" w:color="auto"/>
                  </w:divBdr>
                  <w:divsChild>
                    <w:div w:id="1215503668">
                      <w:marLeft w:val="0"/>
                      <w:marRight w:val="0"/>
                      <w:marTop w:val="0"/>
                      <w:marBottom w:val="0"/>
                      <w:divBdr>
                        <w:top w:val="none" w:sz="0" w:space="0" w:color="auto"/>
                        <w:left w:val="none" w:sz="0" w:space="0" w:color="auto"/>
                        <w:bottom w:val="none" w:sz="0" w:space="0" w:color="auto"/>
                        <w:right w:val="none" w:sz="0" w:space="0" w:color="auto"/>
                      </w:divBdr>
                      <w:divsChild>
                        <w:div w:id="1200899218">
                          <w:marLeft w:val="0"/>
                          <w:marRight w:val="0"/>
                          <w:marTop w:val="0"/>
                          <w:marBottom w:val="0"/>
                          <w:divBdr>
                            <w:top w:val="none" w:sz="0" w:space="0" w:color="auto"/>
                            <w:left w:val="none" w:sz="0" w:space="0" w:color="auto"/>
                            <w:bottom w:val="none" w:sz="0" w:space="0" w:color="auto"/>
                            <w:right w:val="none" w:sz="0" w:space="0" w:color="auto"/>
                          </w:divBdr>
                          <w:divsChild>
                            <w:div w:id="1426923250">
                              <w:marLeft w:val="-225"/>
                              <w:marRight w:val="-225"/>
                              <w:marTop w:val="0"/>
                              <w:marBottom w:val="0"/>
                              <w:divBdr>
                                <w:top w:val="none" w:sz="0" w:space="0" w:color="auto"/>
                                <w:left w:val="none" w:sz="0" w:space="0" w:color="auto"/>
                                <w:bottom w:val="none" w:sz="0" w:space="0" w:color="auto"/>
                                <w:right w:val="none" w:sz="0" w:space="0" w:color="auto"/>
                              </w:divBdr>
                              <w:divsChild>
                                <w:div w:id="1193498888">
                                  <w:marLeft w:val="0"/>
                                  <w:marRight w:val="0"/>
                                  <w:marTop w:val="0"/>
                                  <w:marBottom w:val="0"/>
                                  <w:divBdr>
                                    <w:top w:val="none" w:sz="0" w:space="0" w:color="auto"/>
                                    <w:left w:val="none" w:sz="0" w:space="0" w:color="auto"/>
                                    <w:bottom w:val="none" w:sz="0" w:space="0" w:color="auto"/>
                                    <w:right w:val="none" w:sz="0" w:space="0" w:color="auto"/>
                                  </w:divBdr>
                                </w:div>
                                <w:div w:id="1363360811">
                                  <w:marLeft w:val="0"/>
                                  <w:marRight w:val="0"/>
                                  <w:marTop w:val="0"/>
                                  <w:marBottom w:val="0"/>
                                  <w:divBdr>
                                    <w:top w:val="none" w:sz="0" w:space="0" w:color="auto"/>
                                    <w:left w:val="none" w:sz="0" w:space="0" w:color="auto"/>
                                    <w:bottom w:val="none" w:sz="0" w:space="0" w:color="auto"/>
                                    <w:right w:val="none" w:sz="0" w:space="0" w:color="auto"/>
                                  </w:divBdr>
                                  <w:divsChild>
                                    <w:div w:id="17721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is.org/publ/arpdf/ar2014e3.htm" TargetMode="External"/><Relationship Id="rId18" Type="http://schemas.openxmlformats.org/officeDocument/2006/relationships/hyperlink" Target="http://ec.europa.eu/economy_finance/publications/pages/publication6568_en.pdf" TargetMode="External"/><Relationship Id="rId26" Type="http://schemas.openxmlformats.org/officeDocument/2006/relationships/hyperlink" Target="http://www.imf.org/external/pubs/ft/weo/2015/01/weodata/index.aspx" TargetMode="External"/><Relationship Id="rId3" Type="http://schemas.openxmlformats.org/officeDocument/2006/relationships/styles" Target="styles.xml"/><Relationship Id="rId21" Type="http://schemas.openxmlformats.org/officeDocument/2006/relationships/hyperlink" Target="http://sdw.ecb.europa.eu/reports.do?node=100000404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jimonfin.2003.08.008" TargetMode="External"/><Relationship Id="rId17" Type="http://schemas.openxmlformats.org/officeDocument/2006/relationships/hyperlink" Target="https://doi.org/10.1080/00036846.2015.1100251" TargetMode="External"/><Relationship Id="rId25" Type="http://schemas.openxmlformats.org/officeDocument/2006/relationships/hyperlink" Target="https://ex.hhs.se/dissertations/220630-FULLTEXT01.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10.1257/aer.104.2.379" TargetMode="External"/><Relationship Id="rId20" Type="http://schemas.openxmlformats.org/officeDocument/2006/relationships/hyperlink" Target="http://ebrd-beeps.com/panel-data/" TargetMode="External"/><Relationship Id="rId29" Type="http://schemas.openxmlformats.org/officeDocument/2006/relationships/hyperlink" Target="https://www.oecd.org/tax/public-finance/4510537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intoci@gmail.com" TargetMode="External"/><Relationship Id="rId24" Type="http://schemas.openxmlformats.org/officeDocument/2006/relationships/hyperlink" Target="https://doi.org/10.1016/0014-2921(95)00069-0" TargetMode="External"/><Relationship Id="rId32" Type="http://schemas.openxmlformats.org/officeDocument/2006/relationships/hyperlink" Target="https://doi/abs/10.1080/01621459.1962.10480664" TargetMode="External"/><Relationship Id="rId5" Type="http://schemas.openxmlformats.org/officeDocument/2006/relationships/webSettings" Target="webSettings.xml"/><Relationship Id="rId15" Type="http://schemas.openxmlformats.org/officeDocument/2006/relationships/hyperlink" Target="http://www.bis.org/publ/work404.htm" TargetMode="External"/><Relationship Id="rId23" Type="http://schemas.openxmlformats.org/officeDocument/2006/relationships/hyperlink" Target="https://doi:10.1257/jep.11.1.11" TargetMode="External"/><Relationship Id="rId28" Type="http://schemas.openxmlformats.org/officeDocument/2006/relationships/hyperlink" Target="https://doi:10.1111/joes.12108" TargetMode="External"/><Relationship Id="rId36" Type="http://schemas.openxmlformats.org/officeDocument/2006/relationships/theme" Target="theme/theme1.xml"/><Relationship Id="rId10" Type="http://schemas.openxmlformats.org/officeDocument/2006/relationships/hyperlink" Target="mailto:albulenekastrati@gmail.com" TargetMode="External"/><Relationship Id="rId19" Type="http://schemas.openxmlformats.org/officeDocument/2006/relationships/hyperlink" Target="https://doi:10.1111/j.1468-0351.2010.00408.x" TargetMode="External"/><Relationship Id="rId31" Type="http://schemas.openxmlformats.org/officeDocument/2006/relationships/hyperlink" Target="http://data.worldbank.org/topic/financial-sector" TargetMode="External"/><Relationship Id="rId4" Type="http://schemas.openxmlformats.org/officeDocument/2006/relationships/settings" Target="settings.xml"/><Relationship Id="rId9" Type="http://schemas.openxmlformats.org/officeDocument/2006/relationships/hyperlink" Target="mailto:n.j.adnett@staffs.ac.uk" TargetMode="External"/><Relationship Id="rId14" Type="http://schemas.openxmlformats.org/officeDocument/2006/relationships/hyperlink" Target="https://www.sant.ox.ac.uk/sites/default/files/pefmcreditpolicybrief.pdf" TargetMode="External"/><Relationship Id="rId22" Type="http://schemas.openxmlformats.org/officeDocument/2006/relationships/hyperlink" Target="http://appsso.eurostat.ec.europa.eu/nui/show.do?dataset=namq_10_gdp&amp;lang=en" TargetMode="External"/><Relationship Id="rId27" Type="http://schemas.openxmlformats.org/officeDocument/2006/relationships/hyperlink" Target="http://www.un.org/esa/desa/papers/2008/wp64_2008.pdf" TargetMode="External"/><Relationship Id="rId30" Type="http://schemas.openxmlformats.org/officeDocument/2006/relationships/hyperlink" Target="http://www.project-syndicate.org/commentary/unconventional-monetary-policies-and-fiscal-stimulus-by-nouriel-roubini-2015-02"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onika\USTAWI~1\Temp\Template_J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8362-9C53-430F-8C32-9BC262C9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Template_JEM.dotx</Template>
  <TotalTime>0</TotalTime>
  <Pages>6</Pages>
  <Words>7859</Words>
  <Characters>44799</Characters>
  <Application>Microsoft Office Word</Application>
  <DocSecurity>0</DocSecurity>
  <Lines>373</Lines>
  <Paragraphs>105</Paragraphs>
  <ScaleCrop>false</ScaleCrop>
  <HeadingPairs>
    <vt:vector size="6" baseType="variant">
      <vt:variant>
        <vt:lpstr>Title</vt:lpstr>
      </vt:variant>
      <vt:variant>
        <vt:i4>1</vt:i4>
      </vt:variant>
      <vt:variant>
        <vt:lpstr>Tytuł</vt:lpstr>
      </vt:variant>
      <vt:variant>
        <vt:i4>1</vt:i4>
      </vt:variant>
      <vt:variant>
        <vt:lpstr>Název</vt:lpstr>
      </vt:variant>
      <vt:variant>
        <vt:i4>1</vt:i4>
      </vt:variant>
    </vt:vector>
  </HeadingPairs>
  <TitlesOfParts>
    <vt:vector size="3" baseType="lpstr">
      <vt:lpstr/>
      <vt:lpstr/>
      <vt:lpstr/>
    </vt:vector>
  </TitlesOfParts>
  <Company>VŠE</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dc:creator>
  <cp:lastModifiedBy>Nicholas</cp:lastModifiedBy>
  <cp:revision>2</cp:revision>
  <cp:lastPrinted>2017-09-18T08:53:00Z</cp:lastPrinted>
  <dcterms:created xsi:type="dcterms:W3CDTF">2018-02-13T22:22:00Z</dcterms:created>
  <dcterms:modified xsi:type="dcterms:W3CDTF">2018-02-13T22:22:00Z</dcterms:modified>
</cp:coreProperties>
</file>