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02"/>
        <w:tblW w:w="0" w:type="auto"/>
        <w:tblLook w:val="04A0" w:firstRow="1" w:lastRow="0" w:firstColumn="1" w:lastColumn="0" w:noHBand="0" w:noVBand="1"/>
      </w:tblPr>
      <w:tblGrid>
        <w:gridCol w:w="988"/>
        <w:gridCol w:w="1164"/>
        <w:gridCol w:w="1180"/>
        <w:gridCol w:w="916"/>
        <w:gridCol w:w="709"/>
        <w:gridCol w:w="718"/>
        <w:gridCol w:w="841"/>
        <w:gridCol w:w="850"/>
        <w:gridCol w:w="774"/>
        <w:gridCol w:w="901"/>
      </w:tblGrid>
      <w:tr w:rsidR="005818FC" w:rsidRPr="005818FC" w14:paraId="5E9B12E6" w14:textId="77777777" w:rsidTr="005818FC">
        <w:tc>
          <w:tcPr>
            <w:tcW w:w="4248" w:type="dxa"/>
            <w:gridSpan w:val="4"/>
            <w:shd w:val="clear" w:color="auto" w:fill="auto"/>
            <w:noWrap/>
            <w:hideMark/>
          </w:tcPr>
          <w:p w14:paraId="5E32ADE0" w14:textId="77777777" w:rsidR="005818FC" w:rsidRPr="005818FC" w:rsidRDefault="005818FC" w:rsidP="005818FC">
            <w:pPr>
              <w:jc w:val="center"/>
              <w:rPr>
                <w:b/>
                <w:sz w:val="20"/>
                <w:szCs w:val="20"/>
              </w:rPr>
            </w:pPr>
            <w:bookmarkStart w:id="0" w:name="_Hlk504470997"/>
            <w:bookmarkStart w:id="1" w:name="_Hlk504470963"/>
            <w:bookmarkStart w:id="2" w:name="_Hlk504470908"/>
            <w:bookmarkStart w:id="3" w:name="_GoBack"/>
            <w:bookmarkEnd w:id="0"/>
            <w:bookmarkEnd w:id="3"/>
            <w:r w:rsidRPr="005818FC">
              <w:rPr>
                <w:b/>
                <w:sz w:val="24"/>
                <w:szCs w:val="20"/>
              </w:rPr>
              <w:t>WEIGHTINGS APPLIED</w:t>
            </w:r>
          </w:p>
        </w:tc>
        <w:tc>
          <w:tcPr>
            <w:tcW w:w="3892" w:type="dxa"/>
            <w:gridSpan w:val="5"/>
            <w:shd w:val="clear" w:color="auto" w:fill="auto"/>
            <w:noWrap/>
            <w:hideMark/>
          </w:tcPr>
          <w:p w14:paraId="59455E5D" w14:textId="77777777" w:rsidR="005818FC" w:rsidRPr="005818FC" w:rsidRDefault="005818FC" w:rsidP="005818FC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901" w:type="dxa"/>
            <w:noWrap/>
            <w:hideMark/>
          </w:tcPr>
          <w:p w14:paraId="5541F684" w14:textId="77777777" w:rsidR="005818FC" w:rsidRPr="005818FC" w:rsidRDefault="005818FC" w:rsidP="005818FC">
            <w:r w:rsidRPr="005818FC">
              <w:t>VQI</w:t>
            </w:r>
          </w:p>
        </w:tc>
      </w:tr>
      <w:tr w:rsidR="005818FC" w:rsidRPr="005818FC" w14:paraId="3ABDCC77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7E30DF70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Physical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33F8BC61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proofErr w:type="spellStart"/>
            <w:r w:rsidRPr="005818FC">
              <w:rPr>
                <w:sz w:val="20"/>
                <w:szCs w:val="20"/>
              </w:rPr>
              <w:t>Bluespace</w:t>
            </w:r>
            <w:proofErr w:type="spellEnd"/>
          </w:p>
        </w:tc>
        <w:tc>
          <w:tcPr>
            <w:tcW w:w="1180" w:type="dxa"/>
            <w:shd w:val="clear" w:color="auto" w:fill="00B050"/>
            <w:noWrap/>
            <w:hideMark/>
          </w:tcPr>
          <w:p w14:paraId="685FB645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Greenspace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AE05786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Built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A7D15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SUM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AED5A75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Min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EB40D74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r w:rsidRPr="005818FC">
              <w:rPr>
                <w:sz w:val="20"/>
                <w:szCs w:val="20"/>
              </w:rPr>
              <w:t>Mean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74D189" w14:textId="77777777" w:rsidR="005818FC" w:rsidRPr="005818FC" w:rsidRDefault="005818FC" w:rsidP="005818FC">
            <w:r w:rsidRPr="005818FC">
              <w:rPr>
                <w:sz w:val="20"/>
                <w:szCs w:val="20"/>
              </w:rPr>
              <w:t xml:space="preserve">Max 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8977007" w14:textId="77777777" w:rsidR="005818FC" w:rsidRPr="005818FC" w:rsidRDefault="005818FC" w:rsidP="005818FC">
            <w:pPr>
              <w:rPr>
                <w:sz w:val="20"/>
                <w:szCs w:val="20"/>
              </w:rPr>
            </w:pPr>
            <w:proofErr w:type="spellStart"/>
            <w:r w:rsidRPr="005818FC">
              <w:rPr>
                <w:sz w:val="20"/>
                <w:szCs w:val="20"/>
              </w:rPr>
              <w:t>StdevP</w:t>
            </w:r>
            <w:proofErr w:type="spellEnd"/>
          </w:p>
        </w:tc>
        <w:tc>
          <w:tcPr>
            <w:tcW w:w="901" w:type="dxa"/>
            <w:noWrap/>
            <w:hideMark/>
          </w:tcPr>
          <w:p w14:paraId="54B18EBD" w14:textId="77777777" w:rsidR="005818FC" w:rsidRPr="005818FC" w:rsidRDefault="005818FC" w:rsidP="005818FC">
            <w:r w:rsidRPr="005818FC">
              <w:t>Median</w:t>
            </w:r>
          </w:p>
        </w:tc>
      </w:tr>
      <w:tr w:rsidR="005818FC" w:rsidRPr="005818FC" w14:paraId="3BCC9868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1E59C8F9" w14:textId="77777777" w:rsidR="005818FC" w:rsidRPr="005818FC" w:rsidRDefault="005818FC" w:rsidP="005818FC">
            <w:r w:rsidRPr="005818FC">
              <w:t>0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757FC6D4" w14:textId="77777777" w:rsidR="005818FC" w:rsidRPr="005818FC" w:rsidRDefault="005818FC" w:rsidP="005818FC">
            <w:r w:rsidRPr="005818FC">
              <w:t>0.33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41FBB311" w14:textId="77777777" w:rsidR="005818FC" w:rsidRPr="005818FC" w:rsidRDefault="005818FC" w:rsidP="005818FC">
            <w:r w:rsidRPr="005818FC">
              <w:t>0.333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0117D59" w14:textId="77777777" w:rsidR="005818FC" w:rsidRPr="005818FC" w:rsidRDefault="005818FC" w:rsidP="005818FC">
            <w:r w:rsidRPr="005818FC">
              <w:t>0.333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02A7EE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2F1452F" w14:textId="77777777" w:rsidR="005818FC" w:rsidRPr="005818FC" w:rsidRDefault="005818FC" w:rsidP="005818FC">
            <w:r w:rsidRPr="005818FC">
              <w:t>0.254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CF7C8E1" w14:textId="77777777" w:rsidR="005818FC" w:rsidRPr="005818FC" w:rsidRDefault="005818FC" w:rsidP="005818FC">
            <w:r w:rsidRPr="005818FC">
              <w:t>0.545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25168" w14:textId="77777777" w:rsidR="005818FC" w:rsidRPr="005818FC" w:rsidRDefault="005818FC" w:rsidP="005818FC">
            <w:r w:rsidRPr="005818FC">
              <w:t>0.749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D59E251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0.107</w:t>
            </w:r>
          </w:p>
        </w:tc>
        <w:tc>
          <w:tcPr>
            <w:tcW w:w="901" w:type="dxa"/>
            <w:noWrap/>
            <w:hideMark/>
          </w:tcPr>
          <w:p w14:paraId="6C4C079A" w14:textId="77777777" w:rsidR="005818FC" w:rsidRPr="005818FC" w:rsidRDefault="005818FC" w:rsidP="005818FC">
            <w:r w:rsidRPr="005818FC">
              <w:t>0.54</w:t>
            </w:r>
          </w:p>
        </w:tc>
      </w:tr>
      <w:tr w:rsidR="005818FC" w:rsidRPr="005818FC" w14:paraId="200BCB34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32FF9231" w14:textId="77777777" w:rsidR="005818FC" w:rsidRPr="005818FC" w:rsidRDefault="005818FC" w:rsidP="005818FC">
            <w:r w:rsidRPr="005818FC">
              <w:t>0.1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1198356D" w14:textId="77777777" w:rsidR="005818FC" w:rsidRPr="005818FC" w:rsidRDefault="005818FC" w:rsidP="005818FC">
            <w:r w:rsidRPr="005818FC">
              <w:t>0.3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17463EFD" w14:textId="77777777" w:rsidR="005818FC" w:rsidRPr="005818FC" w:rsidRDefault="005818FC" w:rsidP="005818FC">
            <w:r w:rsidRPr="005818FC">
              <w:t>0.3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CEB1FB6" w14:textId="77777777" w:rsidR="005818FC" w:rsidRPr="005818FC" w:rsidRDefault="005818FC" w:rsidP="005818FC">
            <w:r w:rsidRPr="005818FC">
              <w:t>0.3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2C84F9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DF6280A" w14:textId="77777777" w:rsidR="005818FC" w:rsidRPr="005818FC" w:rsidRDefault="005818FC" w:rsidP="005818FC">
            <w:r w:rsidRPr="005818FC">
              <w:t>0.249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76ACA78" w14:textId="77777777" w:rsidR="005818FC" w:rsidRPr="005818FC" w:rsidRDefault="005818FC" w:rsidP="005818FC">
            <w:r w:rsidRPr="005818FC">
              <w:t>0.545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63855" w14:textId="77777777" w:rsidR="005818FC" w:rsidRPr="005818FC" w:rsidRDefault="005818FC" w:rsidP="005818FC">
            <w:r w:rsidRPr="005818FC">
              <w:t>0.735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090BED73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0.100</w:t>
            </w:r>
          </w:p>
        </w:tc>
        <w:tc>
          <w:tcPr>
            <w:tcW w:w="901" w:type="dxa"/>
            <w:noWrap/>
            <w:hideMark/>
          </w:tcPr>
          <w:p w14:paraId="29A0FCB7" w14:textId="77777777" w:rsidR="005818FC" w:rsidRPr="005818FC" w:rsidRDefault="005818FC" w:rsidP="005818FC">
            <w:r w:rsidRPr="005818FC">
              <w:t>0.55</w:t>
            </w:r>
          </w:p>
        </w:tc>
      </w:tr>
      <w:tr w:rsidR="005818FC" w:rsidRPr="005818FC" w14:paraId="682C0DA8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7F7F51BE" w14:textId="77777777" w:rsidR="005818FC" w:rsidRPr="005818FC" w:rsidRDefault="005818FC" w:rsidP="005818FC">
            <w:r w:rsidRPr="005818FC">
              <w:t>0.2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526FEDA5" w14:textId="77777777" w:rsidR="005818FC" w:rsidRPr="005818FC" w:rsidRDefault="005818FC" w:rsidP="005818FC">
            <w:r w:rsidRPr="005818FC">
              <w:t>0.267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2AFCA417" w14:textId="77777777" w:rsidR="005818FC" w:rsidRPr="005818FC" w:rsidRDefault="005818FC" w:rsidP="005818FC">
            <w:r w:rsidRPr="005818FC">
              <w:t>0. 267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392FD555" w14:textId="77777777" w:rsidR="005818FC" w:rsidRPr="005818FC" w:rsidRDefault="005818FC" w:rsidP="005818FC">
            <w:r w:rsidRPr="005818FC">
              <w:t>0. 267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17E296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E5C83FC" w14:textId="77777777" w:rsidR="005818FC" w:rsidRPr="005818FC" w:rsidRDefault="005818FC" w:rsidP="005818FC">
            <w:r w:rsidRPr="005818FC">
              <w:t>0.244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E403F2E" w14:textId="77777777" w:rsidR="005818FC" w:rsidRPr="005818FC" w:rsidRDefault="005818FC" w:rsidP="005818FC">
            <w:r w:rsidRPr="005818FC">
              <w:t>0.545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C47904" w14:textId="77777777" w:rsidR="005818FC" w:rsidRPr="005818FC" w:rsidRDefault="005818FC" w:rsidP="005818FC">
            <w:r w:rsidRPr="005818FC">
              <w:t>0.725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096355DD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0.097</w:t>
            </w:r>
          </w:p>
        </w:tc>
        <w:tc>
          <w:tcPr>
            <w:tcW w:w="901" w:type="dxa"/>
            <w:noWrap/>
            <w:hideMark/>
          </w:tcPr>
          <w:p w14:paraId="42E1B6BB" w14:textId="77777777" w:rsidR="005818FC" w:rsidRPr="005818FC" w:rsidRDefault="005818FC" w:rsidP="005818FC">
            <w:r w:rsidRPr="005818FC">
              <w:t>0.55</w:t>
            </w:r>
          </w:p>
        </w:tc>
      </w:tr>
      <w:tr w:rsidR="005818FC" w:rsidRPr="005818FC" w14:paraId="69551006" w14:textId="77777777" w:rsidTr="005818FC">
        <w:tc>
          <w:tcPr>
            <w:tcW w:w="988" w:type="dxa"/>
            <w:shd w:val="clear" w:color="auto" w:fill="auto"/>
            <w:hideMark/>
          </w:tcPr>
          <w:p w14:paraId="7D14CB2E" w14:textId="77777777" w:rsidR="005818FC" w:rsidRPr="005818FC" w:rsidRDefault="005818FC" w:rsidP="005818FC">
            <w:r w:rsidRPr="005818FC">
              <w:t>0.3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21C3AC28" w14:textId="77777777" w:rsidR="005818FC" w:rsidRPr="005818FC" w:rsidRDefault="005818FC" w:rsidP="005818FC">
            <w:r w:rsidRPr="005818FC">
              <w:t>0.233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6AB04B87" w14:textId="77777777" w:rsidR="005818FC" w:rsidRPr="005818FC" w:rsidRDefault="005818FC" w:rsidP="005818FC">
            <w:r w:rsidRPr="005818FC">
              <w:t>0.233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84E6173" w14:textId="77777777" w:rsidR="005818FC" w:rsidRPr="005818FC" w:rsidRDefault="005818FC" w:rsidP="005818FC">
            <w:r w:rsidRPr="005818FC">
              <w:t>0.233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D1F5E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6A92188" w14:textId="77777777" w:rsidR="005818FC" w:rsidRPr="005818FC" w:rsidRDefault="005818FC" w:rsidP="005818FC">
            <w:r w:rsidRPr="005818FC">
              <w:t>0.238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417823B7" w14:textId="77777777" w:rsidR="005818FC" w:rsidRPr="005818FC" w:rsidRDefault="005818FC" w:rsidP="005818FC">
            <w:r w:rsidRPr="005818FC">
              <w:t>0.544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FEFDFF" w14:textId="77777777" w:rsidR="005818FC" w:rsidRPr="005818FC" w:rsidRDefault="005818FC" w:rsidP="005818FC">
            <w:r w:rsidRPr="005818FC">
              <w:t>0.722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962E34C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0.098</w:t>
            </w:r>
          </w:p>
        </w:tc>
        <w:tc>
          <w:tcPr>
            <w:tcW w:w="901" w:type="dxa"/>
            <w:noWrap/>
            <w:hideMark/>
          </w:tcPr>
          <w:p w14:paraId="51B6B546" w14:textId="77777777" w:rsidR="005818FC" w:rsidRPr="005818FC" w:rsidRDefault="005818FC" w:rsidP="005818FC">
            <w:r w:rsidRPr="005818FC">
              <w:t>0.55</w:t>
            </w:r>
          </w:p>
        </w:tc>
      </w:tr>
      <w:tr w:rsidR="005818FC" w:rsidRPr="005818FC" w14:paraId="12424626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7F54AEF6" w14:textId="77777777" w:rsidR="005818FC" w:rsidRPr="005818FC" w:rsidRDefault="005818FC" w:rsidP="005818FC">
            <w:r w:rsidRPr="005818FC">
              <w:t>0.4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6EC90C13" w14:textId="77777777" w:rsidR="005818FC" w:rsidRPr="005818FC" w:rsidRDefault="005818FC" w:rsidP="005818FC">
            <w:r w:rsidRPr="005818FC">
              <w:t>0.2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31E126B8" w14:textId="77777777" w:rsidR="005818FC" w:rsidRPr="005818FC" w:rsidRDefault="005818FC" w:rsidP="005818FC">
            <w:r w:rsidRPr="005818FC">
              <w:t>0.2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25973763" w14:textId="77777777" w:rsidR="005818FC" w:rsidRPr="005818FC" w:rsidRDefault="005818FC" w:rsidP="005818FC">
            <w:r w:rsidRPr="005818FC">
              <w:t>0.2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4A2F0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F5BA016" w14:textId="77777777" w:rsidR="005818FC" w:rsidRPr="005818FC" w:rsidRDefault="005818FC" w:rsidP="005818FC">
            <w:r w:rsidRPr="005818FC">
              <w:t>0.233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39195019" w14:textId="77777777" w:rsidR="005818FC" w:rsidRPr="005818FC" w:rsidRDefault="005818FC" w:rsidP="005818FC">
            <w:r w:rsidRPr="005818FC">
              <w:t>0.544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229C56" w14:textId="77777777" w:rsidR="005818FC" w:rsidRPr="005818FC" w:rsidRDefault="005818FC" w:rsidP="005818FC">
            <w:r w:rsidRPr="005818FC">
              <w:t>0.719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9D44D23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0.103</w:t>
            </w:r>
          </w:p>
        </w:tc>
        <w:tc>
          <w:tcPr>
            <w:tcW w:w="901" w:type="dxa"/>
            <w:noWrap/>
            <w:hideMark/>
          </w:tcPr>
          <w:p w14:paraId="009FEC8B" w14:textId="77777777" w:rsidR="005818FC" w:rsidRPr="005818FC" w:rsidRDefault="005818FC" w:rsidP="005818FC">
            <w:r w:rsidRPr="005818FC">
              <w:t>0.55</w:t>
            </w:r>
          </w:p>
        </w:tc>
      </w:tr>
      <w:tr w:rsidR="005818FC" w:rsidRPr="005818FC" w14:paraId="4FE0942C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1389D562" w14:textId="77777777" w:rsidR="005818FC" w:rsidRPr="005818FC" w:rsidRDefault="005818FC" w:rsidP="005818FC">
            <w:r w:rsidRPr="005818FC">
              <w:t>0.5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29CBCAB6" w14:textId="77777777" w:rsidR="005818FC" w:rsidRPr="005818FC" w:rsidRDefault="005818FC" w:rsidP="005818FC">
            <w:r w:rsidRPr="005818FC">
              <w:t>0.167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0A2C697F" w14:textId="77777777" w:rsidR="005818FC" w:rsidRPr="005818FC" w:rsidRDefault="005818FC" w:rsidP="005818FC">
            <w:r w:rsidRPr="005818FC">
              <w:t>0.167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64D7DFE6" w14:textId="77777777" w:rsidR="005818FC" w:rsidRPr="005818FC" w:rsidRDefault="005818FC" w:rsidP="005818FC">
            <w:r w:rsidRPr="005818FC">
              <w:t>0.167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B569EF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2ADE337" w14:textId="77777777" w:rsidR="005818FC" w:rsidRPr="005818FC" w:rsidRDefault="005818FC" w:rsidP="005818FC">
            <w:r w:rsidRPr="005818FC">
              <w:t>0.227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3F2BCAE" w14:textId="77777777" w:rsidR="005818FC" w:rsidRPr="005818FC" w:rsidRDefault="005818FC" w:rsidP="005818FC">
            <w:r w:rsidRPr="005818FC">
              <w:t>0.544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D10E3" w14:textId="77777777" w:rsidR="005818FC" w:rsidRPr="005818FC" w:rsidRDefault="005818FC" w:rsidP="005818FC">
            <w:r w:rsidRPr="005818FC">
              <w:t>0.716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5BBDBEB6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0.112</w:t>
            </w:r>
          </w:p>
        </w:tc>
        <w:tc>
          <w:tcPr>
            <w:tcW w:w="901" w:type="dxa"/>
            <w:noWrap/>
            <w:hideMark/>
          </w:tcPr>
          <w:p w14:paraId="194A3BB0" w14:textId="77777777" w:rsidR="005818FC" w:rsidRPr="005818FC" w:rsidRDefault="005818FC" w:rsidP="005818FC">
            <w:r w:rsidRPr="005818FC">
              <w:t>0.54</w:t>
            </w:r>
          </w:p>
        </w:tc>
      </w:tr>
      <w:tr w:rsidR="005818FC" w:rsidRPr="005818FC" w14:paraId="40023E76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75A12F87" w14:textId="77777777" w:rsidR="005818FC" w:rsidRPr="005818FC" w:rsidRDefault="005818FC" w:rsidP="005818FC">
            <w:r w:rsidRPr="005818FC">
              <w:t>0.6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43A93C30" w14:textId="77777777" w:rsidR="005818FC" w:rsidRPr="005818FC" w:rsidRDefault="005818FC" w:rsidP="005818FC">
            <w:r w:rsidRPr="005818FC">
              <w:t>0.133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4E76D7E0" w14:textId="77777777" w:rsidR="005818FC" w:rsidRPr="005818FC" w:rsidRDefault="005818FC" w:rsidP="005818FC">
            <w:r w:rsidRPr="005818FC">
              <w:t>0.133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0448F6E" w14:textId="77777777" w:rsidR="005818FC" w:rsidRPr="005818FC" w:rsidRDefault="005818FC" w:rsidP="005818FC">
            <w:r w:rsidRPr="005818FC">
              <w:t>0.133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F4DBF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496699D" w14:textId="77777777" w:rsidR="005818FC" w:rsidRPr="005818FC" w:rsidRDefault="005818FC" w:rsidP="005818FC">
            <w:r w:rsidRPr="005818FC">
              <w:t>0.222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695E5B9D" w14:textId="77777777" w:rsidR="005818FC" w:rsidRPr="005818FC" w:rsidRDefault="005818FC" w:rsidP="005818FC">
            <w:r w:rsidRPr="005818FC">
              <w:t>0.543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D7CFC" w14:textId="77777777" w:rsidR="005818FC" w:rsidRPr="005818FC" w:rsidRDefault="005818FC" w:rsidP="005818FC">
            <w:r w:rsidRPr="005818FC">
              <w:t>0.714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8E0BF6B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0.122</w:t>
            </w:r>
          </w:p>
        </w:tc>
        <w:tc>
          <w:tcPr>
            <w:tcW w:w="901" w:type="dxa"/>
            <w:noWrap/>
            <w:hideMark/>
          </w:tcPr>
          <w:p w14:paraId="511C269D" w14:textId="77777777" w:rsidR="005818FC" w:rsidRPr="005818FC" w:rsidRDefault="005818FC" w:rsidP="005818FC">
            <w:r w:rsidRPr="005818FC">
              <w:t>0.55</w:t>
            </w:r>
          </w:p>
        </w:tc>
      </w:tr>
      <w:tr w:rsidR="005818FC" w:rsidRPr="005818FC" w14:paraId="22EAD19B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3122FE26" w14:textId="77777777" w:rsidR="005818FC" w:rsidRPr="005818FC" w:rsidRDefault="005818FC" w:rsidP="005818FC">
            <w:r w:rsidRPr="005818FC">
              <w:t>0.7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267CC402" w14:textId="77777777" w:rsidR="005818FC" w:rsidRPr="005818FC" w:rsidRDefault="005818FC" w:rsidP="005818FC">
            <w:r w:rsidRPr="005818FC">
              <w:t>0.1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1B785027" w14:textId="77777777" w:rsidR="005818FC" w:rsidRPr="005818FC" w:rsidRDefault="005818FC" w:rsidP="005818FC">
            <w:r w:rsidRPr="005818FC">
              <w:t>0.1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1A7B052" w14:textId="77777777" w:rsidR="005818FC" w:rsidRPr="005818FC" w:rsidRDefault="005818FC" w:rsidP="005818FC">
            <w:r w:rsidRPr="005818FC">
              <w:t>0.1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2436EB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D5BBC67" w14:textId="77777777" w:rsidR="005818FC" w:rsidRPr="005818FC" w:rsidRDefault="005818FC" w:rsidP="005818FC">
            <w:r w:rsidRPr="005818FC">
              <w:t>0.216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3576588" w14:textId="77777777" w:rsidR="005818FC" w:rsidRPr="005818FC" w:rsidRDefault="005818FC" w:rsidP="005818FC">
            <w:r w:rsidRPr="005818FC">
              <w:t>0.543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EC908" w14:textId="77777777" w:rsidR="005818FC" w:rsidRPr="005818FC" w:rsidRDefault="005818FC" w:rsidP="005818FC">
            <w:r w:rsidRPr="005818FC">
              <w:t>0.735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D2FB57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0.135</w:t>
            </w:r>
          </w:p>
        </w:tc>
        <w:tc>
          <w:tcPr>
            <w:tcW w:w="901" w:type="dxa"/>
            <w:noWrap/>
            <w:hideMark/>
          </w:tcPr>
          <w:p w14:paraId="0C0124BB" w14:textId="77777777" w:rsidR="005818FC" w:rsidRPr="005818FC" w:rsidRDefault="005818FC" w:rsidP="005818FC">
            <w:r w:rsidRPr="005818FC">
              <w:t>0.56</w:t>
            </w:r>
          </w:p>
        </w:tc>
      </w:tr>
      <w:tr w:rsidR="005818FC" w:rsidRPr="005818FC" w14:paraId="45524809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2577FF93" w14:textId="77777777" w:rsidR="005818FC" w:rsidRPr="005818FC" w:rsidRDefault="005818FC" w:rsidP="005818FC">
            <w:r w:rsidRPr="005818FC">
              <w:t>0.8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07948332" w14:textId="77777777" w:rsidR="005818FC" w:rsidRPr="005818FC" w:rsidRDefault="005818FC" w:rsidP="005818FC">
            <w:r w:rsidRPr="005818FC">
              <w:t>0.067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6779D201" w14:textId="77777777" w:rsidR="005818FC" w:rsidRPr="005818FC" w:rsidRDefault="005818FC" w:rsidP="005818FC">
            <w:r w:rsidRPr="005818FC">
              <w:t>0.067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477A5D16" w14:textId="77777777" w:rsidR="005818FC" w:rsidRPr="005818FC" w:rsidRDefault="005818FC" w:rsidP="005818FC">
            <w:r w:rsidRPr="005818FC">
              <w:t>0.067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51DDF9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BBD7027" w14:textId="77777777" w:rsidR="005818FC" w:rsidRPr="005818FC" w:rsidRDefault="005818FC" w:rsidP="005818FC">
            <w:r w:rsidRPr="005818FC">
              <w:t>0.211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D8441B7" w14:textId="77777777" w:rsidR="005818FC" w:rsidRPr="005818FC" w:rsidRDefault="005818FC" w:rsidP="005818FC">
            <w:r w:rsidRPr="005818FC">
              <w:t>0.542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D9D023" w14:textId="77777777" w:rsidR="005818FC" w:rsidRPr="005818FC" w:rsidRDefault="005818FC" w:rsidP="005818FC">
            <w:r w:rsidRPr="005818FC">
              <w:t>0.757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012B392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0.150</w:t>
            </w:r>
          </w:p>
        </w:tc>
        <w:tc>
          <w:tcPr>
            <w:tcW w:w="901" w:type="dxa"/>
            <w:noWrap/>
            <w:hideMark/>
          </w:tcPr>
          <w:p w14:paraId="287FAE66" w14:textId="77777777" w:rsidR="005818FC" w:rsidRPr="005818FC" w:rsidRDefault="005818FC" w:rsidP="005818FC">
            <w:r w:rsidRPr="005818FC">
              <w:t>0.58</w:t>
            </w:r>
          </w:p>
        </w:tc>
      </w:tr>
      <w:tr w:rsidR="005818FC" w:rsidRPr="005818FC" w14:paraId="63082D83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00A257F7" w14:textId="77777777" w:rsidR="005818FC" w:rsidRPr="005818FC" w:rsidRDefault="005818FC" w:rsidP="005818FC">
            <w:r w:rsidRPr="005818FC">
              <w:t>0.9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6F155846" w14:textId="77777777" w:rsidR="005818FC" w:rsidRPr="005818FC" w:rsidRDefault="005818FC" w:rsidP="005818FC">
            <w:r w:rsidRPr="005818FC">
              <w:t>0.033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20E86274" w14:textId="77777777" w:rsidR="005818FC" w:rsidRPr="005818FC" w:rsidRDefault="005818FC" w:rsidP="005818FC">
            <w:r w:rsidRPr="005818FC">
              <w:t>0.033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0E15C640" w14:textId="77777777" w:rsidR="005818FC" w:rsidRPr="005818FC" w:rsidRDefault="005818FC" w:rsidP="005818FC">
            <w:r w:rsidRPr="005818FC">
              <w:t>0.033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632B03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B7600E9" w14:textId="77777777" w:rsidR="005818FC" w:rsidRPr="005818FC" w:rsidRDefault="005818FC" w:rsidP="005818FC">
            <w:r w:rsidRPr="005818FC">
              <w:t>0.205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90DB700" w14:textId="77777777" w:rsidR="005818FC" w:rsidRPr="005818FC" w:rsidRDefault="005818FC" w:rsidP="005818FC">
            <w:r w:rsidRPr="005818FC">
              <w:t>0.542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231FF" w14:textId="77777777" w:rsidR="005818FC" w:rsidRPr="005818FC" w:rsidRDefault="005818FC" w:rsidP="005818FC">
            <w:r w:rsidRPr="005818FC">
              <w:t>0.778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6B4E9EA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0.165</w:t>
            </w:r>
          </w:p>
        </w:tc>
        <w:tc>
          <w:tcPr>
            <w:tcW w:w="901" w:type="dxa"/>
            <w:noWrap/>
            <w:hideMark/>
          </w:tcPr>
          <w:p w14:paraId="057E8D87" w14:textId="77777777" w:rsidR="005818FC" w:rsidRPr="005818FC" w:rsidRDefault="005818FC" w:rsidP="005818FC">
            <w:r w:rsidRPr="005818FC">
              <w:t>0.59</w:t>
            </w:r>
          </w:p>
        </w:tc>
      </w:tr>
      <w:tr w:rsidR="005818FC" w:rsidRPr="005818FC" w14:paraId="1E336F2F" w14:textId="77777777" w:rsidTr="005818FC">
        <w:tc>
          <w:tcPr>
            <w:tcW w:w="988" w:type="dxa"/>
            <w:shd w:val="clear" w:color="auto" w:fill="auto"/>
            <w:noWrap/>
            <w:hideMark/>
          </w:tcPr>
          <w:p w14:paraId="4BC6E0A4" w14:textId="77777777" w:rsidR="005818FC" w:rsidRPr="005818FC" w:rsidRDefault="005818FC" w:rsidP="005818FC">
            <w:r w:rsidRPr="005818FC">
              <w:t>1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14:paraId="27A4DC8E" w14:textId="77777777" w:rsidR="005818FC" w:rsidRPr="005818FC" w:rsidRDefault="005818FC" w:rsidP="005818FC">
            <w:r w:rsidRPr="005818FC">
              <w:t>0</w:t>
            </w:r>
          </w:p>
        </w:tc>
        <w:tc>
          <w:tcPr>
            <w:tcW w:w="1180" w:type="dxa"/>
            <w:shd w:val="clear" w:color="auto" w:fill="00B050"/>
            <w:noWrap/>
            <w:hideMark/>
          </w:tcPr>
          <w:p w14:paraId="7AADF96A" w14:textId="77777777" w:rsidR="005818FC" w:rsidRPr="005818FC" w:rsidRDefault="005818FC" w:rsidP="005818FC">
            <w:r w:rsidRPr="005818FC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14:paraId="7F4662CC" w14:textId="77777777" w:rsidR="005818FC" w:rsidRPr="005818FC" w:rsidRDefault="005818FC" w:rsidP="005818FC">
            <w:r w:rsidRPr="005818FC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491FB9" w14:textId="77777777" w:rsidR="005818FC" w:rsidRPr="005818FC" w:rsidRDefault="005818FC" w:rsidP="005818FC">
            <w:r w:rsidRPr="005818FC">
              <w:t>1.00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252E089" w14:textId="77777777" w:rsidR="005818FC" w:rsidRPr="005818FC" w:rsidRDefault="005818FC" w:rsidP="005818FC">
            <w:r w:rsidRPr="005818FC">
              <w:t>0.200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07CC9EC" w14:textId="77777777" w:rsidR="005818FC" w:rsidRPr="005818FC" w:rsidRDefault="005818FC" w:rsidP="005818FC">
            <w:r w:rsidRPr="005818FC">
              <w:t>0.542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B6123" w14:textId="77777777" w:rsidR="005818FC" w:rsidRPr="005818FC" w:rsidRDefault="005818FC" w:rsidP="005818FC">
            <w:r w:rsidRPr="005818FC">
              <w:t>0.800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2AA660B" w14:textId="77777777" w:rsidR="005818FC" w:rsidRPr="005818FC" w:rsidRDefault="005818FC" w:rsidP="005818FC">
            <w:pPr>
              <w:rPr>
                <w:b/>
              </w:rPr>
            </w:pPr>
            <w:r w:rsidRPr="005818FC">
              <w:rPr>
                <w:b/>
              </w:rPr>
              <w:t>0.182</w:t>
            </w:r>
          </w:p>
        </w:tc>
        <w:tc>
          <w:tcPr>
            <w:tcW w:w="901" w:type="dxa"/>
            <w:noWrap/>
            <w:hideMark/>
          </w:tcPr>
          <w:p w14:paraId="2E195DE2" w14:textId="77777777" w:rsidR="005818FC" w:rsidRPr="005818FC" w:rsidRDefault="005818FC" w:rsidP="005818FC">
            <w:r w:rsidRPr="005818FC">
              <w:t>0.60</w:t>
            </w:r>
          </w:p>
        </w:tc>
      </w:tr>
    </w:tbl>
    <w:bookmarkEnd w:id="1"/>
    <w:p w14:paraId="20658861" w14:textId="3C2A49B2" w:rsidR="005818FC" w:rsidRDefault="00534B76">
      <w:r w:rsidRPr="008F2618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07B13CF5" wp14:editId="7CB2341A">
            <wp:simplePos x="0" y="0"/>
            <wp:positionH relativeFrom="margin">
              <wp:posOffset>5793105</wp:posOffset>
            </wp:positionH>
            <wp:positionV relativeFrom="paragraph">
              <wp:posOffset>861695</wp:posOffset>
            </wp:positionV>
            <wp:extent cx="3204845" cy="2117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7F1">
        <w:rPr>
          <w:sz w:val="21"/>
          <w:szCs w:val="21"/>
        </w:rPr>
        <w:t>S</w:t>
      </w:r>
      <w:r w:rsidR="00050725">
        <w:rPr>
          <w:sz w:val="21"/>
          <w:szCs w:val="21"/>
        </w:rPr>
        <w:t>1</w:t>
      </w:r>
      <w:r w:rsidR="001A27F1">
        <w:rPr>
          <w:sz w:val="21"/>
          <w:szCs w:val="21"/>
        </w:rPr>
        <w:t xml:space="preserve">: </w:t>
      </w:r>
      <w:r w:rsidR="00D040FF" w:rsidRPr="001A27F1">
        <w:rPr>
          <w:b/>
          <w:sz w:val="21"/>
          <w:szCs w:val="21"/>
        </w:rPr>
        <w:t>A sensitivity analysis</w:t>
      </w:r>
      <w:r w:rsidR="00D040FF" w:rsidRPr="008F2618">
        <w:rPr>
          <w:sz w:val="21"/>
          <w:szCs w:val="21"/>
        </w:rPr>
        <w:t xml:space="preserve"> was undertaken to evaluate the impact of different weightings on the final VQI for the </w:t>
      </w:r>
      <w:r w:rsidR="009A0049" w:rsidRPr="008F2618">
        <w:rPr>
          <w:sz w:val="21"/>
          <w:szCs w:val="21"/>
        </w:rPr>
        <w:t>32</w:t>
      </w:r>
      <w:r w:rsidR="00D040FF" w:rsidRPr="008F2618">
        <w:rPr>
          <w:sz w:val="21"/>
          <w:szCs w:val="21"/>
        </w:rPr>
        <w:t xml:space="preserve"> sites. Each of the </w:t>
      </w:r>
      <w:r w:rsidR="009A0049" w:rsidRPr="008F2618">
        <w:rPr>
          <w:sz w:val="21"/>
          <w:szCs w:val="21"/>
        </w:rPr>
        <w:t>4</w:t>
      </w:r>
      <w:r w:rsidR="00D040FF" w:rsidRPr="008F2618">
        <w:rPr>
          <w:sz w:val="21"/>
          <w:szCs w:val="21"/>
        </w:rPr>
        <w:t xml:space="preserve"> themes were taken in order and their weight varied in increments of 10</w:t>
      </w:r>
      <w:r w:rsidR="008F2618">
        <w:rPr>
          <w:sz w:val="21"/>
          <w:szCs w:val="21"/>
        </w:rPr>
        <w:t>%</w:t>
      </w:r>
      <w:r w:rsidR="00D040FF" w:rsidRPr="008F2618">
        <w:rPr>
          <w:sz w:val="21"/>
          <w:szCs w:val="21"/>
        </w:rPr>
        <w:t xml:space="preserve"> with the remaining weights then spread equally between the other </w:t>
      </w:r>
      <w:r w:rsidR="009A0049" w:rsidRPr="008F2618">
        <w:rPr>
          <w:sz w:val="21"/>
          <w:szCs w:val="21"/>
        </w:rPr>
        <w:t>three</w:t>
      </w:r>
      <w:r w:rsidR="00D040FF" w:rsidRPr="008F2618">
        <w:rPr>
          <w:sz w:val="21"/>
          <w:szCs w:val="21"/>
        </w:rPr>
        <w:t xml:space="preserve"> themes. The VQI was then re-calculated for each site and the min, mean, median, max and standard deviation calculated. An example showing the process for the ‘green-space’ is shown in full </w:t>
      </w:r>
      <w:r w:rsidR="003A33C2" w:rsidRPr="008F2618">
        <w:rPr>
          <w:sz w:val="21"/>
          <w:szCs w:val="21"/>
        </w:rPr>
        <w:t>below</w:t>
      </w:r>
      <w:r w:rsidR="003A33C2">
        <w:t>.</w:t>
      </w:r>
      <w:r w:rsidR="009A0049">
        <w:fldChar w:fldCharType="begin"/>
      </w:r>
      <w:r w:rsidR="009A0049">
        <w:instrText xml:space="preserve"> LINK </w:instrText>
      </w:r>
      <w:r w:rsidR="009D259F">
        <w:instrText xml:space="preserve">Excel.Sheet.12 "C:\\Users\\Ruth\\Documents\\Work\\RESEARCH\\IcelandVQI\\ForPaper\\Compare_Weightings Ice_Wales.xlsx" "SENSITIVITY ANALYSIS!R2C13:R14C22" </w:instrText>
      </w:r>
      <w:r w:rsidR="009A0049">
        <w:instrText xml:space="preserve">\a \f 4 \h </w:instrText>
      </w:r>
      <w:r>
        <w:instrText xml:space="preserve"> \* MERGEFORMAT </w:instrText>
      </w:r>
      <w:r w:rsidR="009A0049">
        <w:fldChar w:fldCharType="separate"/>
      </w:r>
    </w:p>
    <w:p w14:paraId="07B13CCB" w14:textId="722DC35B" w:rsidR="008F2618" w:rsidRDefault="009A0049">
      <w:r>
        <w:fldChar w:fldCharType="end"/>
      </w:r>
    </w:p>
    <w:p w14:paraId="6415AF02" w14:textId="77777777" w:rsidR="005818FC" w:rsidRDefault="005818FC">
      <w:pPr>
        <w:rPr>
          <w:sz w:val="21"/>
          <w:szCs w:val="21"/>
        </w:rPr>
      </w:pPr>
    </w:p>
    <w:p w14:paraId="07B13CCC" w14:textId="363D2DE0" w:rsidR="009A0049" w:rsidRPr="008F2618" w:rsidRDefault="00C269A6">
      <w:pPr>
        <w:rPr>
          <w:b/>
          <w:sz w:val="21"/>
          <w:szCs w:val="21"/>
        </w:rPr>
      </w:pPr>
      <w:bookmarkStart w:id="4" w:name="_Hlk504471033"/>
      <w:r w:rsidRPr="008F2618">
        <w:rPr>
          <w:sz w:val="21"/>
          <w:szCs w:val="21"/>
        </w:rPr>
        <w:t xml:space="preserve">As would be expected, extreme manipulations where the greenspace component is either removed or increased to a weighting of over </w:t>
      </w:r>
      <w:r w:rsidR="00880689" w:rsidRPr="008F2618">
        <w:rPr>
          <w:sz w:val="21"/>
          <w:szCs w:val="21"/>
        </w:rPr>
        <w:t>6</w:t>
      </w:r>
      <w:r w:rsidRPr="008F2618">
        <w:rPr>
          <w:sz w:val="21"/>
          <w:szCs w:val="21"/>
        </w:rPr>
        <w:t xml:space="preserve">0%, start to impact on the overall VQI significantly (see chart). This is the case with </w:t>
      </w:r>
      <w:proofErr w:type="gramStart"/>
      <w:r w:rsidRPr="008F2618">
        <w:rPr>
          <w:sz w:val="21"/>
          <w:szCs w:val="21"/>
        </w:rPr>
        <w:t>all of</w:t>
      </w:r>
      <w:proofErr w:type="gramEnd"/>
      <w:r w:rsidRPr="008F2618">
        <w:rPr>
          <w:sz w:val="21"/>
          <w:szCs w:val="21"/>
        </w:rPr>
        <w:t xml:space="preserve"> the </w:t>
      </w:r>
      <w:r w:rsidR="00880689" w:rsidRPr="008F2618">
        <w:rPr>
          <w:sz w:val="21"/>
          <w:szCs w:val="21"/>
        </w:rPr>
        <w:t>four</w:t>
      </w:r>
      <w:r w:rsidRPr="008F2618">
        <w:rPr>
          <w:sz w:val="21"/>
          <w:szCs w:val="21"/>
        </w:rPr>
        <w:t xml:space="preserve"> categories</w:t>
      </w:r>
      <w:r w:rsidR="00880689" w:rsidRPr="008F2618">
        <w:rPr>
          <w:sz w:val="21"/>
          <w:szCs w:val="21"/>
        </w:rPr>
        <w:t>, though the Terrain category is very stable</w:t>
      </w:r>
      <w:r w:rsidRPr="008F2618">
        <w:rPr>
          <w:sz w:val="21"/>
          <w:szCs w:val="21"/>
        </w:rPr>
        <w:t xml:space="preserve">. The category which has the most impact is that of </w:t>
      </w:r>
      <w:r w:rsidR="00880689" w:rsidRPr="008F2618">
        <w:rPr>
          <w:sz w:val="21"/>
          <w:szCs w:val="21"/>
        </w:rPr>
        <w:t xml:space="preserve">Green Space (see </w:t>
      </w:r>
      <w:r w:rsidR="008F2618">
        <w:rPr>
          <w:sz w:val="21"/>
          <w:szCs w:val="21"/>
        </w:rPr>
        <w:t>below</w:t>
      </w:r>
      <w:r w:rsidR="00880689" w:rsidRPr="008F2618">
        <w:rPr>
          <w:sz w:val="21"/>
          <w:szCs w:val="21"/>
        </w:rPr>
        <w:t>)</w:t>
      </w:r>
      <w:r w:rsidRPr="008F2618">
        <w:rPr>
          <w:sz w:val="21"/>
          <w:szCs w:val="21"/>
        </w:rPr>
        <w:t xml:space="preserve">. </w:t>
      </w:r>
      <w:r w:rsidR="008F2618" w:rsidRPr="008F2618">
        <w:rPr>
          <w:sz w:val="21"/>
          <w:szCs w:val="21"/>
        </w:rPr>
        <w:t>If</w:t>
      </w:r>
      <w:r w:rsidRPr="008F2618">
        <w:rPr>
          <w:sz w:val="21"/>
          <w:szCs w:val="21"/>
        </w:rPr>
        <w:t xml:space="preserve"> the weight assigned to </w:t>
      </w:r>
      <w:r w:rsidR="00880689" w:rsidRPr="008F2618">
        <w:rPr>
          <w:sz w:val="21"/>
          <w:szCs w:val="21"/>
        </w:rPr>
        <w:t xml:space="preserve">Blue Space, Green Space or Built/Historic </w:t>
      </w:r>
      <w:r w:rsidRPr="008F2618">
        <w:rPr>
          <w:sz w:val="21"/>
          <w:szCs w:val="21"/>
        </w:rPr>
        <w:t xml:space="preserve">category </w:t>
      </w:r>
      <w:r w:rsidR="008F2618">
        <w:rPr>
          <w:sz w:val="21"/>
          <w:szCs w:val="21"/>
        </w:rPr>
        <w:t>&lt;0.6</w:t>
      </w:r>
      <w:r w:rsidRPr="008F2618">
        <w:rPr>
          <w:sz w:val="21"/>
          <w:szCs w:val="21"/>
        </w:rPr>
        <w:t>, the VQI is stable.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32"/>
        <w:gridCol w:w="1033"/>
        <w:gridCol w:w="1032"/>
        <w:gridCol w:w="1033"/>
        <w:gridCol w:w="1114"/>
      </w:tblGrid>
      <w:tr w:rsidR="00C84CF2" w:rsidRPr="00C84CF2" w14:paraId="07B13CD0" w14:textId="77777777" w:rsidTr="00667DE1">
        <w:trPr>
          <w:trHeight w:val="440"/>
        </w:trPr>
        <w:tc>
          <w:tcPr>
            <w:tcW w:w="1555" w:type="dxa"/>
          </w:tcPr>
          <w:p w14:paraId="07B13CCD" w14:textId="77777777" w:rsidR="00C84CF2" w:rsidRPr="00C84CF2" w:rsidRDefault="00C84CF2" w:rsidP="00C84CF2">
            <w:pPr>
              <w:rPr>
                <w:sz w:val="20"/>
              </w:rPr>
            </w:pPr>
            <w:bookmarkStart w:id="5" w:name="_Hlk504471041"/>
            <w:bookmarkEnd w:id="4"/>
          </w:p>
        </w:tc>
        <w:tc>
          <w:tcPr>
            <w:tcW w:w="4130" w:type="dxa"/>
            <w:gridSpan w:val="4"/>
          </w:tcPr>
          <w:p w14:paraId="07B13CCE" w14:textId="77777777" w:rsidR="00C84CF2" w:rsidRPr="00C84CF2" w:rsidRDefault="00C84CF2" w:rsidP="00C84CF2">
            <w:pPr>
              <w:rPr>
                <w:sz w:val="20"/>
              </w:rPr>
            </w:pPr>
            <w:r w:rsidRPr="00C84CF2">
              <w:rPr>
                <w:sz w:val="20"/>
              </w:rPr>
              <w:t>Median value of the VQI when weighting for that component is set as follows, all others equal.</w:t>
            </w:r>
          </w:p>
        </w:tc>
        <w:tc>
          <w:tcPr>
            <w:tcW w:w="1114" w:type="dxa"/>
          </w:tcPr>
          <w:p w14:paraId="07B13CCF" w14:textId="77777777" w:rsidR="00C84CF2" w:rsidRPr="00C84CF2" w:rsidRDefault="00C84CF2" w:rsidP="00C84CF2">
            <w:pPr>
              <w:rPr>
                <w:sz w:val="20"/>
              </w:rPr>
            </w:pPr>
          </w:p>
        </w:tc>
      </w:tr>
      <w:tr w:rsidR="00A00601" w:rsidRPr="00C84CF2" w14:paraId="07B13CD7" w14:textId="77777777" w:rsidTr="00667DE1">
        <w:trPr>
          <w:trHeight w:val="203"/>
        </w:trPr>
        <w:tc>
          <w:tcPr>
            <w:tcW w:w="1555" w:type="dxa"/>
          </w:tcPr>
          <w:p w14:paraId="07B13CD1" w14:textId="77777777" w:rsidR="00A00601" w:rsidRPr="00C84CF2" w:rsidRDefault="00A00601" w:rsidP="00C84CF2">
            <w:pPr>
              <w:rPr>
                <w:sz w:val="20"/>
              </w:rPr>
            </w:pPr>
          </w:p>
        </w:tc>
        <w:tc>
          <w:tcPr>
            <w:tcW w:w="1032" w:type="dxa"/>
          </w:tcPr>
          <w:p w14:paraId="07B13CD2" w14:textId="77777777" w:rsidR="00A00601" w:rsidRPr="003A33C2" w:rsidRDefault="00C84CF2" w:rsidP="00C84CF2">
            <w:pPr>
              <w:rPr>
                <w:b/>
                <w:sz w:val="24"/>
              </w:rPr>
            </w:pPr>
            <w:r w:rsidRPr="003A33C2">
              <w:rPr>
                <w:b/>
                <w:sz w:val="24"/>
              </w:rPr>
              <w:t>10</w:t>
            </w:r>
          </w:p>
        </w:tc>
        <w:tc>
          <w:tcPr>
            <w:tcW w:w="1033" w:type="dxa"/>
          </w:tcPr>
          <w:p w14:paraId="07B13CD3" w14:textId="77777777" w:rsidR="00A00601" w:rsidRPr="003A33C2" w:rsidRDefault="00C84CF2" w:rsidP="00C84CF2">
            <w:pPr>
              <w:rPr>
                <w:b/>
                <w:sz w:val="24"/>
              </w:rPr>
            </w:pPr>
            <w:r w:rsidRPr="003A33C2">
              <w:rPr>
                <w:b/>
                <w:sz w:val="24"/>
              </w:rPr>
              <w:t>20</w:t>
            </w:r>
          </w:p>
        </w:tc>
        <w:tc>
          <w:tcPr>
            <w:tcW w:w="1032" w:type="dxa"/>
          </w:tcPr>
          <w:p w14:paraId="07B13CD4" w14:textId="77777777" w:rsidR="00A00601" w:rsidRPr="003A33C2" w:rsidRDefault="00C84CF2" w:rsidP="00C84CF2">
            <w:pPr>
              <w:rPr>
                <w:b/>
                <w:sz w:val="24"/>
              </w:rPr>
            </w:pPr>
            <w:r w:rsidRPr="003A33C2">
              <w:rPr>
                <w:b/>
                <w:sz w:val="24"/>
              </w:rPr>
              <w:t>30</w:t>
            </w:r>
          </w:p>
        </w:tc>
        <w:tc>
          <w:tcPr>
            <w:tcW w:w="1033" w:type="dxa"/>
          </w:tcPr>
          <w:p w14:paraId="07B13CD5" w14:textId="77777777" w:rsidR="00A00601" w:rsidRPr="003A33C2" w:rsidRDefault="00C84CF2" w:rsidP="00C84CF2">
            <w:pPr>
              <w:rPr>
                <w:b/>
                <w:sz w:val="24"/>
              </w:rPr>
            </w:pPr>
            <w:r w:rsidRPr="003A33C2">
              <w:rPr>
                <w:b/>
                <w:sz w:val="24"/>
              </w:rPr>
              <w:t>40</w:t>
            </w:r>
          </w:p>
        </w:tc>
        <w:tc>
          <w:tcPr>
            <w:tcW w:w="1114" w:type="dxa"/>
          </w:tcPr>
          <w:p w14:paraId="07B13CD6" w14:textId="77777777" w:rsidR="00A00601" w:rsidRPr="003A33C2" w:rsidRDefault="00C84CF2" w:rsidP="00C84CF2">
            <w:pPr>
              <w:rPr>
                <w:b/>
                <w:sz w:val="24"/>
              </w:rPr>
            </w:pPr>
            <w:r w:rsidRPr="003A33C2">
              <w:rPr>
                <w:b/>
                <w:sz w:val="24"/>
              </w:rPr>
              <w:t>Range</w:t>
            </w:r>
          </w:p>
        </w:tc>
      </w:tr>
      <w:tr w:rsidR="00C84CF2" w:rsidRPr="00C84CF2" w14:paraId="07B13CDE" w14:textId="77777777" w:rsidTr="00667DE1">
        <w:trPr>
          <w:trHeight w:val="337"/>
        </w:trPr>
        <w:tc>
          <w:tcPr>
            <w:tcW w:w="1555" w:type="dxa"/>
          </w:tcPr>
          <w:p w14:paraId="07B13CD8" w14:textId="77777777" w:rsidR="00C84CF2" w:rsidRPr="00C84CF2" w:rsidRDefault="00C84CF2" w:rsidP="00C84CF2">
            <w:pPr>
              <w:rPr>
                <w:sz w:val="20"/>
              </w:rPr>
            </w:pPr>
            <w:r w:rsidRPr="00C84CF2">
              <w:rPr>
                <w:sz w:val="20"/>
              </w:rPr>
              <w:t>Terrain</w:t>
            </w:r>
          </w:p>
        </w:tc>
        <w:tc>
          <w:tcPr>
            <w:tcW w:w="1032" w:type="dxa"/>
          </w:tcPr>
          <w:p w14:paraId="07B13CD9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033" w:type="dxa"/>
          </w:tcPr>
          <w:p w14:paraId="07B13CDA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032" w:type="dxa"/>
          </w:tcPr>
          <w:p w14:paraId="07B13CDB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033" w:type="dxa"/>
          </w:tcPr>
          <w:p w14:paraId="07B13CDC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114" w:type="dxa"/>
          </w:tcPr>
          <w:p w14:paraId="07B13CDD" w14:textId="77777777" w:rsidR="00C84CF2" w:rsidRPr="00BA4586" w:rsidRDefault="00C84CF2" w:rsidP="00C84CF2">
            <w:r w:rsidRPr="00BA4586">
              <w:t>0.00</w:t>
            </w:r>
          </w:p>
        </w:tc>
      </w:tr>
      <w:tr w:rsidR="00C84CF2" w:rsidRPr="00C84CF2" w14:paraId="07B13CE5" w14:textId="77777777" w:rsidTr="00667DE1">
        <w:trPr>
          <w:trHeight w:val="113"/>
        </w:trPr>
        <w:tc>
          <w:tcPr>
            <w:tcW w:w="1555" w:type="dxa"/>
          </w:tcPr>
          <w:p w14:paraId="07B13CDF" w14:textId="77777777" w:rsidR="00C84CF2" w:rsidRPr="00C84CF2" w:rsidRDefault="00C84CF2" w:rsidP="00C84CF2">
            <w:pPr>
              <w:rPr>
                <w:sz w:val="20"/>
              </w:rPr>
            </w:pPr>
            <w:r w:rsidRPr="00C84CF2">
              <w:rPr>
                <w:sz w:val="20"/>
              </w:rPr>
              <w:t>Blue Space</w:t>
            </w:r>
          </w:p>
        </w:tc>
        <w:tc>
          <w:tcPr>
            <w:tcW w:w="1032" w:type="dxa"/>
          </w:tcPr>
          <w:p w14:paraId="07B13CE0" w14:textId="77777777" w:rsidR="00C84CF2" w:rsidRPr="00BA4586" w:rsidRDefault="00C84CF2" w:rsidP="00C84CF2">
            <w:r w:rsidRPr="00BA4586">
              <w:t>0.58</w:t>
            </w:r>
          </w:p>
        </w:tc>
        <w:tc>
          <w:tcPr>
            <w:tcW w:w="1033" w:type="dxa"/>
          </w:tcPr>
          <w:p w14:paraId="07B13CE1" w14:textId="77777777" w:rsidR="00C84CF2" w:rsidRPr="00BA4586" w:rsidRDefault="00C84CF2" w:rsidP="00C84CF2">
            <w:r w:rsidRPr="00BA4586">
              <w:t>0.56</w:t>
            </w:r>
          </w:p>
        </w:tc>
        <w:tc>
          <w:tcPr>
            <w:tcW w:w="1032" w:type="dxa"/>
          </w:tcPr>
          <w:p w14:paraId="07B13CE2" w14:textId="77777777" w:rsidR="00C84CF2" w:rsidRPr="00BA4586" w:rsidRDefault="00C84CF2" w:rsidP="00C84CF2">
            <w:r w:rsidRPr="00BA4586">
              <w:t>0.53</w:t>
            </w:r>
          </w:p>
        </w:tc>
        <w:tc>
          <w:tcPr>
            <w:tcW w:w="1033" w:type="dxa"/>
          </w:tcPr>
          <w:p w14:paraId="07B13CE3" w14:textId="77777777" w:rsidR="00C84CF2" w:rsidRPr="00BA4586" w:rsidRDefault="00C84CF2" w:rsidP="00C84CF2">
            <w:r w:rsidRPr="00BA4586">
              <w:t>0.52</w:t>
            </w:r>
          </w:p>
        </w:tc>
        <w:tc>
          <w:tcPr>
            <w:tcW w:w="1114" w:type="dxa"/>
          </w:tcPr>
          <w:p w14:paraId="07B13CE4" w14:textId="77777777" w:rsidR="00C84CF2" w:rsidRPr="00BA4586" w:rsidRDefault="00C84CF2" w:rsidP="00C84CF2">
            <w:r w:rsidRPr="00BA4586">
              <w:t>0.06</w:t>
            </w:r>
          </w:p>
        </w:tc>
      </w:tr>
      <w:tr w:rsidR="00C84CF2" w:rsidRPr="00C84CF2" w14:paraId="07B13CEC" w14:textId="77777777" w:rsidTr="00667DE1">
        <w:trPr>
          <w:trHeight w:val="132"/>
        </w:trPr>
        <w:tc>
          <w:tcPr>
            <w:tcW w:w="1555" w:type="dxa"/>
          </w:tcPr>
          <w:p w14:paraId="07B13CE6" w14:textId="77777777" w:rsidR="00C84CF2" w:rsidRPr="00C84CF2" w:rsidRDefault="00C84CF2" w:rsidP="00C84CF2">
            <w:pPr>
              <w:rPr>
                <w:sz w:val="20"/>
              </w:rPr>
            </w:pPr>
            <w:r w:rsidRPr="00C84CF2">
              <w:rPr>
                <w:sz w:val="20"/>
              </w:rPr>
              <w:t>Green Space</w:t>
            </w:r>
          </w:p>
        </w:tc>
        <w:tc>
          <w:tcPr>
            <w:tcW w:w="1032" w:type="dxa"/>
          </w:tcPr>
          <w:p w14:paraId="07B13CE7" w14:textId="77777777" w:rsidR="00C84CF2" w:rsidRPr="00BA4586" w:rsidRDefault="00C84CF2" w:rsidP="00C84CF2">
            <w:r w:rsidRPr="00BA4586">
              <w:t>0.50</w:t>
            </w:r>
          </w:p>
        </w:tc>
        <w:tc>
          <w:tcPr>
            <w:tcW w:w="1033" w:type="dxa"/>
          </w:tcPr>
          <w:p w14:paraId="07B13CE8" w14:textId="77777777" w:rsidR="00C84CF2" w:rsidRPr="00BA4586" w:rsidRDefault="00C84CF2" w:rsidP="00C84CF2">
            <w:r w:rsidRPr="00BA4586">
              <w:t>0.53</w:t>
            </w:r>
          </w:p>
        </w:tc>
        <w:tc>
          <w:tcPr>
            <w:tcW w:w="1032" w:type="dxa"/>
          </w:tcPr>
          <w:p w14:paraId="07B13CE9" w14:textId="77777777" w:rsidR="00C84CF2" w:rsidRPr="00BA4586" w:rsidRDefault="00C84CF2" w:rsidP="00C84CF2">
            <w:r w:rsidRPr="00BA4586">
              <w:t>0.56</w:t>
            </w:r>
          </w:p>
        </w:tc>
        <w:tc>
          <w:tcPr>
            <w:tcW w:w="1033" w:type="dxa"/>
          </w:tcPr>
          <w:p w14:paraId="07B13CEA" w14:textId="77777777" w:rsidR="00C84CF2" w:rsidRPr="00BA4586" w:rsidRDefault="00C84CF2" w:rsidP="00C84CF2">
            <w:r w:rsidRPr="00BA4586">
              <w:t>0.60</w:t>
            </w:r>
          </w:p>
        </w:tc>
        <w:tc>
          <w:tcPr>
            <w:tcW w:w="1114" w:type="dxa"/>
          </w:tcPr>
          <w:p w14:paraId="07B13CEB" w14:textId="77777777" w:rsidR="00C84CF2" w:rsidRPr="00BA4586" w:rsidRDefault="00C84CF2" w:rsidP="00C84CF2">
            <w:r w:rsidRPr="00BA4586">
              <w:t>0.10</w:t>
            </w:r>
          </w:p>
        </w:tc>
      </w:tr>
      <w:tr w:rsidR="00C84CF2" w:rsidRPr="00C84CF2" w14:paraId="07B13CF3" w14:textId="77777777" w:rsidTr="00667DE1">
        <w:trPr>
          <w:trHeight w:val="278"/>
        </w:trPr>
        <w:tc>
          <w:tcPr>
            <w:tcW w:w="1555" w:type="dxa"/>
          </w:tcPr>
          <w:p w14:paraId="07B13CED" w14:textId="77777777" w:rsidR="00C84CF2" w:rsidRPr="00C84CF2" w:rsidRDefault="00C84CF2" w:rsidP="00C84CF2">
            <w:pPr>
              <w:rPr>
                <w:sz w:val="20"/>
              </w:rPr>
            </w:pPr>
            <w:r w:rsidRPr="00C84CF2">
              <w:rPr>
                <w:sz w:val="20"/>
              </w:rPr>
              <w:t>Built /Historic</w:t>
            </w:r>
          </w:p>
        </w:tc>
        <w:tc>
          <w:tcPr>
            <w:tcW w:w="1032" w:type="dxa"/>
          </w:tcPr>
          <w:p w14:paraId="07B13CEE" w14:textId="77777777" w:rsidR="00C84CF2" w:rsidRPr="00BA4586" w:rsidRDefault="00C84CF2" w:rsidP="00C84CF2">
            <w:r w:rsidRPr="00BA4586">
              <w:t>0.57</w:t>
            </w:r>
          </w:p>
        </w:tc>
        <w:tc>
          <w:tcPr>
            <w:tcW w:w="1033" w:type="dxa"/>
          </w:tcPr>
          <w:p w14:paraId="07B13CEF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032" w:type="dxa"/>
          </w:tcPr>
          <w:p w14:paraId="07B13CF0" w14:textId="77777777" w:rsidR="00C84CF2" w:rsidRPr="00BA4586" w:rsidRDefault="00C84CF2" w:rsidP="00C84CF2">
            <w:r w:rsidRPr="00BA4586">
              <w:t>0.54</w:t>
            </w:r>
          </w:p>
        </w:tc>
        <w:tc>
          <w:tcPr>
            <w:tcW w:w="1033" w:type="dxa"/>
          </w:tcPr>
          <w:p w14:paraId="07B13CF1" w14:textId="77777777" w:rsidR="00C84CF2" w:rsidRPr="00BA4586" w:rsidRDefault="00C84CF2" w:rsidP="00C84CF2">
            <w:r w:rsidRPr="00BA4586">
              <w:t>0.55</w:t>
            </w:r>
          </w:p>
        </w:tc>
        <w:tc>
          <w:tcPr>
            <w:tcW w:w="1114" w:type="dxa"/>
          </w:tcPr>
          <w:p w14:paraId="07B13CF2" w14:textId="77777777" w:rsidR="00C84CF2" w:rsidRDefault="00C84CF2" w:rsidP="00C84CF2">
            <w:r w:rsidRPr="00BA4586">
              <w:t>0.03</w:t>
            </w:r>
          </w:p>
        </w:tc>
      </w:tr>
      <w:bookmarkEnd w:id="5"/>
      <w:bookmarkEnd w:id="2"/>
    </w:tbl>
    <w:p w14:paraId="07B13CF4" w14:textId="79981A6E" w:rsidR="009A0049" w:rsidRDefault="009A0049"/>
    <w:sectPr w:rsidR="009A0049" w:rsidSect="005D1BF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F5"/>
    <w:rsid w:val="00050725"/>
    <w:rsid w:val="00055D48"/>
    <w:rsid w:val="001A27F1"/>
    <w:rsid w:val="00271E84"/>
    <w:rsid w:val="00361032"/>
    <w:rsid w:val="003A33C2"/>
    <w:rsid w:val="005310BA"/>
    <w:rsid w:val="00534B76"/>
    <w:rsid w:val="00561819"/>
    <w:rsid w:val="005818FC"/>
    <w:rsid w:val="005D1BF5"/>
    <w:rsid w:val="00667DE1"/>
    <w:rsid w:val="006B7DBB"/>
    <w:rsid w:val="00880689"/>
    <w:rsid w:val="008F2618"/>
    <w:rsid w:val="009A0049"/>
    <w:rsid w:val="009D259F"/>
    <w:rsid w:val="00A00601"/>
    <w:rsid w:val="00A42354"/>
    <w:rsid w:val="00BD5A7B"/>
    <w:rsid w:val="00C00C5F"/>
    <w:rsid w:val="00C269A6"/>
    <w:rsid w:val="00C84CF2"/>
    <w:rsid w:val="00C92FE4"/>
    <w:rsid w:val="00CB1CC8"/>
    <w:rsid w:val="00D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3C59"/>
  <w15:chartTrackingRefBased/>
  <w15:docId w15:val="{E71A17C0-5387-4947-B9E5-3BE947E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 Wheelchairs Info</dc:creator>
  <cp:keywords/>
  <dc:description/>
  <cp:lastModifiedBy>Draft Wheelchairs Info</cp:lastModifiedBy>
  <cp:revision>6</cp:revision>
  <cp:lastPrinted>2017-06-27T09:31:00Z</cp:lastPrinted>
  <dcterms:created xsi:type="dcterms:W3CDTF">2017-06-27T09:32:00Z</dcterms:created>
  <dcterms:modified xsi:type="dcterms:W3CDTF">2018-02-14T11:39:00Z</dcterms:modified>
</cp:coreProperties>
</file>