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F257A" w14:textId="77777777" w:rsidR="004A4810" w:rsidRPr="007945E7" w:rsidRDefault="00F37160" w:rsidP="007945E7">
      <w:pPr>
        <w:pStyle w:val="NoSpacing"/>
        <w:rPr>
          <w:rFonts w:ascii="Arial" w:hAnsi="Arial" w:cs="Arial"/>
          <w:sz w:val="24"/>
          <w:szCs w:val="24"/>
        </w:rPr>
      </w:pPr>
      <w:r w:rsidRPr="007945E7">
        <w:rPr>
          <w:rFonts w:ascii="Arial" w:hAnsi="Arial" w:cs="Arial"/>
          <w:sz w:val="24"/>
          <w:szCs w:val="24"/>
        </w:rPr>
        <w:t>Tick borne encephalitis.</w:t>
      </w:r>
    </w:p>
    <w:p w14:paraId="254465BE" w14:textId="77777777" w:rsidR="007858FD" w:rsidRDefault="007858FD" w:rsidP="007945E7">
      <w:pPr>
        <w:pStyle w:val="NoSpacing"/>
        <w:rPr>
          <w:rFonts w:ascii="Arial" w:hAnsi="Arial" w:cs="Arial"/>
          <w:sz w:val="24"/>
          <w:szCs w:val="24"/>
        </w:rPr>
      </w:pPr>
    </w:p>
    <w:p w14:paraId="6D4D71F7" w14:textId="1A017C66" w:rsidR="004135DE" w:rsidRDefault="007858FD" w:rsidP="007945E7">
      <w:pPr>
        <w:pStyle w:val="NoSpacing"/>
        <w:rPr>
          <w:rFonts w:ascii="Arial" w:hAnsi="Arial" w:cs="Arial"/>
          <w:sz w:val="24"/>
          <w:szCs w:val="24"/>
        </w:rPr>
      </w:pPr>
      <w:r>
        <w:rPr>
          <w:rFonts w:ascii="Arial" w:hAnsi="Arial" w:cs="Arial"/>
          <w:sz w:val="24"/>
          <w:szCs w:val="24"/>
        </w:rPr>
        <w:t>Abstract</w:t>
      </w:r>
    </w:p>
    <w:p w14:paraId="3C2607AE" w14:textId="608C0986" w:rsidR="007858FD" w:rsidRDefault="007858FD" w:rsidP="007945E7">
      <w:pPr>
        <w:pStyle w:val="NoSpacing"/>
        <w:rPr>
          <w:rFonts w:ascii="Arial" w:hAnsi="Arial" w:cs="Arial"/>
          <w:sz w:val="24"/>
          <w:szCs w:val="24"/>
        </w:rPr>
      </w:pPr>
      <w:r>
        <w:rPr>
          <w:rFonts w:ascii="Arial" w:hAnsi="Arial" w:cs="Arial"/>
          <w:sz w:val="24"/>
          <w:szCs w:val="24"/>
        </w:rPr>
        <w:t>This article will outline the transmission, risk and prevention of tick-borne encephalitis with details of the vaccines available in UK.</w:t>
      </w:r>
    </w:p>
    <w:p w14:paraId="460E14E5" w14:textId="77777777" w:rsidR="007858FD" w:rsidRDefault="007858FD" w:rsidP="007945E7">
      <w:pPr>
        <w:pStyle w:val="NoSpacing"/>
        <w:rPr>
          <w:rFonts w:ascii="Arial" w:hAnsi="Arial" w:cs="Arial"/>
          <w:sz w:val="24"/>
          <w:szCs w:val="24"/>
        </w:rPr>
      </w:pPr>
    </w:p>
    <w:p w14:paraId="4F19F6DB" w14:textId="77777777" w:rsidR="004A5F62" w:rsidRPr="004A5F62" w:rsidRDefault="004A5F62" w:rsidP="007945E7">
      <w:pPr>
        <w:pStyle w:val="NoSpacing"/>
        <w:rPr>
          <w:rFonts w:ascii="Arial" w:hAnsi="Arial" w:cs="Arial"/>
          <w:b/>
          <w:sz w:val="24"/>
          <w:szCs w:val="24"/>
        </w:rPr>
      </w:pPr>
      <w:r w:rsidRPr="004A5F62">
        <w:rPr>
          <w:rFonts w:ascii="Arial" w:hAnsi="Arial" w:cs="Arial"/>
          <w:b/>
          <w:sz w:val="24"/>
          <w:szCs w:val="24"/>
        </w:rPr>
        <w:t>Introduction</w:t>
      </w:r>
    </w:p>
    <w:p w14:paraId="32201F94" w14:textId="77777777" w:rsidR="00C57C7B" w:rsidRPr="007945E7" w:rsidRDefault="00F37160" w:rsidP="007945E7">
      <w:pPr>
        <w:pStyle w:val="NoSpacing"/>
        <w:rPr>
          <w:rFonts w:ascii="Arial" w:hAnsi="Arial" w:cs="Arial"/>
          <w:sz w:val="24"/>
          <w:szCs w:val="24"/>
        </w:rPr>
      </w:pPr>
      <w:r w:rsidRPr="007945E7">
        <w:rPr>
          <w:rFonts w:ascii="Arial" w:hAnsi="Arial" w:cs="Arial"/>
          <w:sz w:val="24"/>
          <w:szCs w:val="24"/>
        </w:rPr>
        <w:t>Tick-borne encephalitis (TBE) is a disease caused by a virus transmitted to a human primarily from the bite of an infected tick</w:t>
      </w:r>
      <w:r w:rsidR="004135DE" w:rsidRPr="007945E7">
        <w:rPr>
          <w:rFonts w:ascii="Arial" w:hAnsi="Arial" w:cs="Arial"/>
          <w:sz w:val="24"/>
          <w:szCs w:val="24"/>
        </w:rPr>
        <w:t xml:space="preserve"> of the Ixodes species</w:t>
      </w:r>
      <w:r w:rsidRPr="007945E7">
        <w:rPr>
          <w:rFonts w:ascii="Arial" w:hAnsi="Arial" w:cs="Arial"/>
          <w:sz w:val="24"/>
          <w:szCs w:val="24"/>
        </w:rPr>
        <w:t xml:space="preserve">, </w:t>
      </w:r>
      <w:r w:rsidR="004A5F62">
        <w:rPr>
          <w:rFonts w:ascii="Arial" w:hAnsi="Arial" w:cs="Arial"/>
          <w:sz w:val="24"/>
          <w:szCs w:val="24"/>
        </w:rPr>
        <w:t>al</w:t>
      </w:r>
      <w:r w:rsidRPr="007945E7">
        <w:rPr>
          <w:rFonts w:ascii="Arial" w:hAnsi="Arial" w:cs="Arial"/>
          <w:sz w:val="24"/>
          <w:szCs w:val="24"/>
        </w:rPr>
        <w:t xml:space="preserve">though it can also be transmitted through consumption of unpasteurised milk or dairy products from infected animals.   TBE is one of the flaviviruses, others </w:t>
      </w:r>
      <w:r w:rsidR="004135DE" w:rsidRPr="007945E7">
        <w:rPr>
          <w:rFonts w:ascii="Arial" w:hAnsi="Arial" w:cs="Arial"/>
          <w:sz w:val="24"/>
          <w:szCs w:val="24"/>
        </w:rPr>
        <w:t xml:space="preserve">of which </w:t>
      </w:r>
      <w:r w:rsidRPr="007945E7">
        <w:rPr>
          <w:rFonts w:ascii="Arial" w:hAnsi="Arial" w:cs="Arial"/>
          <w:sz w:val="24"/>
          <w:szCs w:val="24"/>
        </w:rPr>
        <w:t>include yellow fever, Japanese encephalitis and dengue.</w:t>
      </w:r>
      <w:r w:rsidR="00C57C7B" w:rsidRPr="007945E7">
        <w:rPr>
          <w:rFonts w:ascii="Arial" w:hAnsi="Arial" w:cs="Arial"/>
          <w:sz w:val="24"/>
          <w:szCs w:val="24"/>
        </w:rPr>
        <w:t xml:space="preserve"> (Travel</w:t>
      </w:r>
      <w:r w:rsidR="004A5F62">
        <w:rPr>
          <w:rFonts w:ascii="Arial" w:hAnsi="Arial" w:cs="Arial"/>
          <w:sz w:val="24"/>
          <w:szCs w:val="24"/>
        </w:rPr>
        <w:t xml:space="preserve"> </w:t>
      </w:r>
      <w:r w:rsidR="00C57C7B" w:rsidRPr="007945E7">
        <w:rPr>
          <w:rFonts w:ascii="Arial" w:hAnsi="Arial" w:cs="Arial"/>
          <w:sz w:val="24"/>
          <w:szCs w:val="24"/>
        </w:rPr>
        <w:t>Health</w:t>
      </w:r>
      <w:r w:rsidR="004A5F62">
        <w:rPr>
          <w:rFonts w:ascii="Arial" w:hAnsi="Arial" w:cs="Arial"/>
          <w:sz w:val="24"/>
          <w:szCs w:val="24"/>
        </w:rPr>
        <w:t xml:space="preserve"> </w:t>
      </w:r>
      <w:r w:rsidR="00C57C7B" w:rsidRPr="007945E7">
        <w:rPr>
          <w:rFonts w:ascii="Arial" w:hAnsi="Arial" w:cs="Arial"/>
          <w:sz w:val="24"/>
          <w:szCs w:val="24"/>
        </w:rPr>
        <w:t>Pro 2017</w:t>
      </w:r>
      <w:r w:rsidR="009D7CB8">
        <w:rPr>
          <w:rFonts w:ascii="Arial" w:hAnsi="Arial" w:cs="Arial"/>
          <w:sz w:val="24"/>
          <w:szCs w:val="24"/>
        </w:rPr>
        <w:t>a</w:t>
      </w:r>
      <w:r w:rsidR="00C57C7B" w:rsidRPr="007945E7">
        <w:rPr>
          <w:rFonts w:ascii="Arial" w:hAnsi="Arial" w:cs="Arial"/>
          <w:sz w:val="24"/>
          <w:szCs w:val="24"/>
        </w:rPr>
        <w:t>).</w:t>
      </w:r>
      <w:r w:rsidRPr="007945E7">
        <w:rPr>
          <w:rFonts w:ascii="Arial" w:hAnsi="Arial" w:cs="Arial"/>
          <w:sz w:val="24"/>
          <w:szCs w:val="24"/>
        </w:rPr>
        <w:t xml:space="preserve"> </w:t>
      </w:r>
    </w:p>
    <w:p w14:paraId="15683973" w14:textId="77777777" w:rsidR="00E14F5E" w:rsidRPr="007945E7" w:rsidRDefault="00E14F5E" w:rsidP="007945E7">
      <w:pPr>
        <w:pStyle w:val="NoSpacing"/>
        <w:rPr>
          <w:rFonts w:ascii="Arial" w:hAnsi="Arial" w:cs="Arial"/>
          <w:sz w:val="24"/>
          <w:szCs w:val="24"/>
        </w:rPr>
      </w:pPr>
    </w:p>
    <w:p w14:paraId="5A70AB98" w14:textId="77777777" w:rsidR="00E14F5E" w:rsidRPr="007945E7" w:rsidRDefault="00E14F5E" w:rsidP="007945E7">
      <w:pPr>
        <w:pStyle w:val="NoSpacing"/>
        <w:rPr>
          <w:rFonts w:ascii="Arial" w:hAnsi="Arial" w:cs="Arial"/>
          <w:bCs/>
          <w:sz w:val="24"/>
          <w:szCs w:val="24"/>
        </w:rPr>
      </w:pPr>
      <w:r w:rsidRPr="007945E7">
        <w:rPr>
          <w:rFonts w:ascii="Arial" w:hAnsi="Arial" w:cs="Arial"/>
          <w:sz w:val="24"/>
          <w:szCs w:val="24"/>
        </w:rPr>
        <w:t>TBE</w:t>
      </w:r>
      <w:r w:rsidR="00C57C7B" w:rsidRPr="007945E7">
        <w:rPr>
          <w:rFonts w:ascii="Arial" w:hAnsi="Arial" w:cs="Arial"/>
          <w:sz w:val="24"/>
          <w:szCs w:val="24"/>
        </w:rPr>
        <w:t xml:space="preserve"> is endemic in large areas across a number of regions of Europe and Asia </w:t>
      </w:r>
      <w:r w:rsidRPr="007945E7">
        <w:rPr>
          <w:rFonts w:ascii="Arial" w:hAnsi="Arial" w:cs="Arial"/>
          <w:sz w:val="24"/>
          <w:szCs w:val="24"/>
        </w:rPr>
        <w:t>where the presence of</w:t>
      </w:r>
      <w:r w:rsidR="00C57C7B" w:rsidRPr="007945E7">
        <w:rPr>
          <w:rFonts w:ascii="Arial" w:hAnsi="Arial" w:cs="Arial"/>
          <w:sz w:val="24"/>
          <w:szCs w:val="24"/>
        </w:rPr>
        <w:t xml:space="preserve"> the reservoir host tick vectors and pathogen</w:t>
      </w:r>
      <w:r w:rsidRPr="007945E7">
        <w:rPr>
          <w:rFonts w:ascii="Arial" w:hAnsi="Arial" w:cs="Arial"/>
          <w:sz w:val="24"/>
          <w:szCs w:val="24"/>
        </w:rPr>
        <w:t xml:space="preserve"> exist</w:t>
      </w:r>
      <w:r w:rsidR="00C57C7B" w:rsidRPr="007945E7">
        <w:rPr>
          <w:rFonts w:ascii="Arial" w:hAnsi="Arial" w:cs="Arial"/>
          <w:sz w:val="24"/>
          <w:szCs w:val="24"/>
        </w:rPr>
        <w:t xml:space="preserve">.   </w:t>
      </w:r>
      <w:r w:rsidR="00FE1DA9" w:rsidRPr="007945E7">
        <w:rPr>
          <w:rFonts w:ascii="Arial" w:hAnsi="Arial" w:cs="Arial"/>
          <w:sz w:val="24"/>
          <w:szCs w:val="24"/>
        </w:rPr>
        <w:t xml:space="preserve">There are three different subtypes of TBE; </w:t>
      </w:r>
      <w:r w:rsidR="00FE1DA9" w:rsidRPr="007945E7">
        <w:rPr>
          <w:rFonts w:ascii="Arial" w:hAnsi="Arial" w:cs="Arial"/>
          <w:bCs/>
          <w:sz w:val="24"/>
          <w:szCs w:val="24"/>
        </w:rPr>
        <w:t>European TBE virus, Siberian TBE virus and Far Eastern TBE virus.</w:t>
      </w:r>
      <w:r w:rsidR="00FE1DA9" w:rsidRPr="007945E7">
        <w:rPr>
          <w:rFonts w:ascii="Arial" w:hAnsi="Arial" w:cs="Arial"/>
          <w:sz w:val="24"/>
          <w:szCs w:val="24"/>
        </w:rPr>
        <w:t xml:space="preserve"> </w:t>
      </w:r>
      <w:r w:rsidRPr="007945E7">
        <w:rPr>
          <w:rFonts w:ascii="Arial" w:hAnsi="Arial" w:cs="Arial"/>
          <w:sz w:val="24"/>
          <w:szCs w:val="24"/>
        </w:rPr>
        <w:t>(</w:t>
      </w:r>
      <w:r w:rsidRPr="007945E7">
        <w:rPr>
          <w:rFonts w:ascii="Arial" w:hAnsi="Arial" w:cs="Arial"/>
          <w:bCs/>
          <w:sz w:val="24"/>
          <w:szCs w:val="24"/>
        </w:rPr>
        <w:t>European Centre for Disease Prevention and Control (ECDC) (2012).</w:t>
      </w:r>
    </w:p>
    <w:p w14:paraId="2F73D69D" w14:textId="77777777" w:rsidR="00021983" w:rsidRPr="007945E7" w:rsidRDefault="00021983" w:rsidP="007945E7">
      <w:pPr>
        <w:pStyle w:val="NoSpacing"/>
        <w:rPr>
          <w:rFonts w:ascii="Arial" w:hAnsi="Arial" w:cs="Arial"/>
          <w:bCs/>
          <w:sz w:val="24"/>
          <w:szCs w:val="24"/>
        </w:rPr>
      </w:pPr>
    </w:p>
    <w:p w14:paraId="09FD0A33" w14:textId="77777777" w:rsidR="00C57C7B" w:rsidRPr="007945E7" w:rsidRDefault="00E14F5E" w:rsidP="007945E7">
      <w:pPr>
        <w:pStyle w:val="NoSpacing"/>
        <w:rPr>
          <w:rFonts w:ascii="Arial" w:hAnsi="Arial" w:cs="Arial"/>
          <w:sz w:val="24"/>
          <w:szCs w:val="24"/>
        </w:rPr>
      </w:pPr>
      <w:r w:rsidRPr="007945E7">
        <w:rPr>
          <w:rFonts w:ascii="Arial" w:hAnsi="Arial" w:cs="Arial"/>
          <w:bCs/>
          <w:sz w:val="24"/>
          <w:szCs w:val="24"/>
        </w:rPr>
        <w:t xml:space="preserve">The World Health Organisation (WHO) report there to be between 10000 and 12000 cases each year but that this is probably an underestimate with potential for underreporting or lack of recognition in sufferers if milder presentation (WHO 2011). </w:t>
      </w:r>
      <w:r w:rsidR="004135DE" w:rsidRPr="007945E7">
        <w:rPr>
          <w:rFonts w:ascii="Arial" w:hAnsi="Arial" w:cs="Arial"/>
          <w:bCs/>
          <w:sz w:val="24"/>
          <w:szCs w:val="24"/>
        </w:rPr>
        <w:t xml:space="preserve"> </w:t>
      </w:r>
    </w:p>
    <w:p w14:paraId="4B7CECBE" w14:textId="77777777" w:rsidR="00C57C7B" w:rsidRPr="007945E7" w:rsidRDefault="00C57C7B" w:rsidP="007945E7">
      <w:pPr>
        <w:pStyle w:val="NoSpacing"/>
        <w:rPr>
          <w:rFonts w:ascii="Arial" w:hAnsi="Arial" w:cs="Arial"/>
          <w:sz w:val="24"/>
          <w:szCs w:val="24"/>
        </w:rPr>
      </w:pPr>
    </w:p>
    <w:p w14:paraId="129300EE" w14:textId="77777777" w:rsidR="00E14F5E" w:rsidRPr="004A5F62" w:rsidRDefault="004A5F62" w:rsidP="007945E7">
      <w:pPr>
        <w:pStyle w:val="NoSpacing"/>
        <w:rPr>
          <w:rFonts w:ascii="Arial" w:hAnsi="Arial" w:cs="Arial"/>
          <w:b/>
          <w:sz w:val="24"/>
          <w:szCs w:val="24"/>
        </w:rPr>
      </w:pPr>
      <w:r w:rsidRPr="004A5F62">
        <w:rPr>
          <w:rFonts w:ascii="Arial" w:hAnsi="Arial" w:cs="Arial"/>
          <w:b/>
          <w:sz w:val="24"/>
          <w:szCs w:val="24"/>
        </w:rPr>
        <w:t>Method of spread</w:t>
      </w:r>
    </w:p>
    <w:p w14:paraId="2C975E03" w14:textId="77777777" w:rsidR="00090BB7" w:rsidRPr="007945E7" w:rsidRDefault="00090BB7" w:rsidP="007945E7">
      <w:pPr>
        <w:pStyle w:val="NoSpacing"/>
        <w:rPr>
          <w:rFonts w:ascii="Arial" w:hAnsi="Arial" w:cs="Arial"/>
          <w:sz w:val="24"/>
          <w:szCs w:val="24"/>
        </w:rPr>
      </w:pPr>
    </w:p>
    <w:p w14:paraId="45FE71BB" w14:textId="77777777" w:rsidR="004135DE" w:rsidRPr="007945E7" w:rsidRDefault="00E14F5E" w:rsidP="007945E7">
      <w:pPr>
        <w:pStyle w:val="NoSpacing"/>
        <w:rPr>
          <w:rFonts w:ascii="Arial" w:hAnsi="Arial" w:cs="Arial"/>
          <w:sz w:val="24"/>
          <w:szCs w:val="24"/>
        </w:rPr>
      </w:pPr>
      <w:r w:rsidRPr="007945E7">
        <w:rPr>
          <w:rFonts w:ascii="Arial" w:hAnsi="Arial" w:cs="Arial"/>
          <w:sz w:val="24"/>
          <w:szCs w:val="24"/>
        </w:rPr>
        <w:t xml:space="preserve">TBE </w:t>
      </w:r>
      <w:r w:rsidR="00090BB7" w:rsidRPr="007945E7">
        <w:rPr>
          <w:rFonts w:ascii="Arial" w:hAnsi="Arial" w:cs="Arial"/>
          <w:sz w:val="24"/>
          <w:szCs w:val="24"/>
        </w:rPr>
        <w:t>is maintained in</w:t>
      </w:r>
      <w:r w:rsidRPr="007945E7">
        <w:rPr>
          <w:rFonts w:ascii="Arial" w:hAnsi="Arial" w:cs="Arial"/>
          <w:sz w:val="24"/>
          <w:szCs w:val="24"/>
        </w:rPr>
        <w:t xml:space="preserve"> nature</w:t>
      </w:r>
      <w:r w:rsidR="00090BB7" w:rsidRPr="007945E7">
        <w:rPr>
          <w:rFonts w:ascii="Arial" w:hAnsi="Arial" w:cs="Arial"/>
          <w:sz w:val="24"/>
          <w:szCs w:val="24"/>
        </w:rPr>
        <w:t xml:space="preserve"> through the cycle of </w:t>
      </w:r>
      <w:r w:rsidR="008F2A00" w:rsidRPr="007945E7">
        <w:rPr>
          <w:rFonts w:ascii="Arial" w:hAnsi="Arial" w:cs="Arial"/>
          <w:sz w:val="24"/>
          <w:szCs w:val="24"/>
        </w:rPr>
        <w:t xml:space="preserve">an </w:t>
      </w:r>
      <w:r w:rsidR="00090BB7" w:rsidRPr="007945E7">
        <w:rPr>
          <w:rFonts w:ascii="Arial" w:hAnsi="Arial" w:cs="Arial"/>
          <w:sz w:val="24"/>
          <w:szCs w:val="24"/>
        </w:rPr>
        <w:t xml:space="preserve">infected tick biting </w:t>
      </w:r>
      <w:r w:rsidR="004A5F62">
        <w:rPr>
          <w:rFonts w:ascii="Arial" w:hAnsi="Arial" w:cs="Arial"/>
          <w:sz w:val="24"/>
          <w:szCs w:val="24"/>
        </w:rPr>
        <w:t xml:space="preserve">and infects </w:t>
      </w:r>
      <w:r w:rsidR="00090BB7" w:rsidRPr="007945E7">
        <w:rPr>
          <w:rFonts w:ascii="Arial" w:hAnsi="Arial" w:cs="Arial"/>
          <w:sz w:val="24"/>
          <w:szCs w:val="24"/>
        </w:rPr>
        <w:t>small animals</w:t>
      </w:r>
      <w:r w:rsidR="004A5F62">
        <w:rPr>
          <w:rFonts w:ascii="Arial" w:hAnsi="Arial" w:cs="Arial"/>
          <w:sz w:val="24"/>
          <w:szCs w:val="24"/>
        </w:rPr>
        <w:t xml:space="preserve"> (voles and mice)</w:t>
      </w:r>
      <w:r w:rsidR="00090BB7" w:rsidRPr="007945E7">
        <w:rPr>
          <w:rFonts w:ascii="Arial" w:hAnsi="Arial" w:cs="Arial"/>
          <w:sz w:val="24"/>
          <w:szCs w:val="24"/>
        </w:rPr>
        <w:t xml:space="preserve">, domestic livestock </w:t>
      </w:r>
      <w:r w:rsidR="004A5F62">
        <w:rPr>
          <w:rFonts w:ascii="Arial" w:hAnsi="Arial" w:cs="Arial"/>
          <w:sz w:val="24"/>
          <w:szCs w:val="24"/>
        </w:rPr>
        <w:t xml:space="preserve">(goats, cows) </w:t>
      </w:r>
      <w:r w:rsidR="00090BB7" w:rsidRPr="007945E7">
        <w:rPr>
          <w:rFonts w:ascii="Arial" w:hAnsi="Arial" w:cs="Arial"/>
          <w:sz w:val="24"/>
          <w:szCs w:val="24"/>
        </w:rPr>
        <w:t>and some bird species</w:t>
      </w:r>
      <w:r w:rsidR="004A5F62">
        <w:rPr>
          <w:rFonts w:ascii="Arial" w:hAnsi="Arial" w:cs="Arial"/>
          <w:sz w:val="24"/>
          <w:szCs w:val="24"/>
        </w:rPr>
        <w:t>.  T</w:t>
      </w:r>
      <w:r w:rsidR="00090BB7" w:rsidRPr="007945E7">
        <w:rPr>
          <w:rFonts w:ascii="Arial" w:hAnsi="Arial" w:cs="Arial"/>
          <w:sz w:val="24"/>
          <w:szCs w:val="24"/>
        </w:rPr>
        <w:t xml:space="preserve">hese act as reservoirs of the virus until the next tick bites and ingests blood containing the virus </w:t>
      </w:r>
      <w:r w:rsidR="004A5F62">
        <w:rPr>
          <w:rFonts w:ascii="Arial" w:hAnsi="Arial" w:cs="Arial"/>
          <w:sz w:val="24"/>
          <w:szCs w:val="24"/>
        </w:rPr>
        <w:t xml:space="preserve">to take onto the next host </w:t>
      </w:r>
      <w:r w:rsidR="00090BB7" w:rsidRPr="007945E7">
        <w:rPr>
          <w:rFonts w:ascii="Arial" w:hAnsi="Arial" w:cs="Arial"/>
          <w:sz w:val="24"/>
          <w:szCs w:val="24"/>
        </w:rPr>
        <w:t>and so the cycle perpetuates</w:t>
      </w:r>
      <w:r w:rsidR="004135DE" w:rsidRPr="007945E7">
        <w:rPr>
          <w:rFonts w:ascii="Arial" w:hAnsi="Arial" w:cs="Arial"/>
          <w:sz w:val="24"/>
          <w:szCs w:val="24"/>
        </w:rPr>
        <w:t xml:space="preserve"> with humans occasionally becoming part of the cycle of infection</w:t>
      </w:r>
      <w:r w:rsidR="00021983" w:rsidRPr="007945E7">
        <w:rPr>
          <w:rFonts w:ascii="Arial" w:hAnsi="Arial" w:cs="Arial"/>
          <w:sz w:val="24"/>
          <w:szCs w:val="24"/>
        </w:rPr>
        <w:t xml:space="preserve"> if encroaching into areas where the virus is present (Public Health England (PHE 2013; Travel Health Pro, 2017</w:t>
      </w:r>
      <w:r w:rsidR="009D7CB8">
        <w:rPr>
          <w:rFonts w:ascii="Arial" w:hAnsi="Arial" w:cs="Arial"/>
          <w:sz w:val="24"/>
          <w:szCs w:val="24"/>
        </w:rPr>
        <w:t>a</w:t>
      </w:r>
      <w:r w:rsidR="00021983" w:rsidRPr="007945E7">
        <w:rPr>
          <w:rFonts w:ascii="Arial" w:hAnsi="Arial" w:cs="Arial"/>
          <w:sz w:val="24"/>
          <w:szCs w:val="24"/>
        </w:rPr>
        <w:t>)</w:t>
      </w:r>
      <w:r w:rsidR="00090BB7" w:rsidRPr="007945E7">
        <w:rPr>
          <w:rFonts w:ascii="Arial" w:hAnsi="Arial" w:cs="Arial"/>
          <w:sz w:val="24"/>
          <w:szCs w:val="24"/>
        </w:rPr>
        <w:t xml:space="preserve">. </w:t>
      </w:r>
    </w:p>
    <w:p w14:paraId="4D5DE834" w14:textId="77777777" w:rsidR="004135DE" w:rsidRPr="007945E7" w:rsidRDefault="004135DE" w:rsidP="007945E7">
      <w:pPr>
        <w:pStyle w:val="NoSpacing"/>
        <w:rPr>
          <w:rFonts w:ascii="Arial" w:hAnsi="Arial" w:cs="Arial"/>
          <w:sz w:val="24"/>
          <w:szCs w:val="24"/>
        </w:rPr>
      </w:pPr>
    </w:p>
    <w:p w14:paraId="26A1E17E" w14:textId="77777777" w:rsidR="004135DE" w:rsidRPr="007945E7" w:rsidRDefault="004135DE" w:rsidP="007945E7">
      <w:pPr>
        <w:pStyle w:val="NoSpacing"/>
        <w:rPr>
          <w:rFonts w:ascii="Arial" w:hAnsi="Arial" w:cs="Arial"/>
          <w:sz w:val="24"/>
          <w:szCs w:val="24"/>
        </w:rPr>
      </w:pPr>
      <w:r w:rsidRPr="007945E7">
        <w:rPr>
          <w:rFonts w:ascii="Arial" w:hAnsi="Arial" w:cs="Arial"/>
          <w:noProof/>
          <w:sz w:val="24"/>
          <w:szCs w:val="24"/>
          <w:lang w:eastAsia="en-GB"/>
        </w:rPr>
        <w:drawing>
          <wp:inline distT="0" distB="0" distL="0" distR="0" wp14:anchorId="15A78540" wp14:editId="56AFA730">
            <wp:extent cx="3330633" cy="2398372"/>
            <wp:effectExtent l="0" t="0" r="3175" b="2540"/>
            <wp:docPr id="2" name="Picture 2" descr="C:\Users\Sharon\Documents\CV profile\Publications\TBE for Practice Nursing\Schematic-drawing-of-the-transmission-cycle-of-tick-borne-encephalitis-vi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ron\Documents\CV profile\Publications\TBE for Practice Nursing\Schematic-drawing-of-the-transmission-cycle-of-tick-borne-encephalitis-vir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905" cy="2407929"/>
                    </a:xfrm>
                    <a:prstGeom prst="rect">
                      <a:avLst/>
                    </a:prstGeom>
                    <a:noFill/>
                    <a:ln>
                      <a:noFill/>
                    </a:ln>
                  </pic:spPr>
                </pic:pic>
              </a:graphicData>
            </a:graphic>
          </wp:inline>
        </w:drawing>
      </w:r>
    </w:p>
    <w:p w14:paraId="2B546702" w14:textId="77777777" w:rsidR="004135DE" w:rsidRPr="007945E7" w:rsidRDefault="004135DE" w:rsidP="007945E7">
      <w:pPr>
        <w:pStyle w:val="NoSpacing"/>
        <w:rPr>
          <w:rFonts w:ascii="Arial" w:hAnsi="Arial" w:cs="Arial"/>
          <w:sz w:val="24"/>
          <w:szCs w:val="24"/>
        </w:rPr>
      </w:pPr>
      <w:r w:rsidRPr="007945E7">
        <w:rPr>
          <w:rFonts w:ascii="Arial" w:hAnsi="Arial" w:cs="Arial"/>
          <w:sz w:val="24"/>
          <w:szCs w:val="24"/>
        </w:rPr>
        <w:t>(Pfeffer and Dobler, 2010)</w:t>
      </w:r>
    </w:p>
    <w:p w14:paraId="60006F19" w14:textId="77777777" w:rsidR="004135DE" w:rsidRPr="007945E7" w:rsidRDefault="004135DE" w:rsidP="007945E7">
      <w:pPr>
        <w:pStyle w:val="NoSpacing"/>
        <w:rPr>
          <w:rFonts w:ascii="Arial" w:hAnsi="Arial" w:cs="Arial"/>
          <w:sz w:val="24"/>
          <w:szCs w:val="24"/>
        </w:rPr>
      </w:pPr>
    </w:p>
    <w:p w14:paraId="0BB2F4D7" w14:textId="77777777" w:rsidR="001C62F7" w:rsidRDefault="001C62F7" w:rsidP="007945E7">
      <w:pPr>
        <w:pStyle w:val="NoSpacing"/>
        <w:rPr>
          <w:rFonts w:ascii="Arial" w:hAnsi="Arial" w:cs="Arial"/>
          <w:sz w:val="24"/>
          <w:szCs w:val="24"/>
        </w:rPr>
      </w:pPr>
    </w:p>
    <w:p w14:paraId="6B679F04" w14:textId="77777777" w:rsidR="001C62F7" w:rsidRDefault="001C62F7" w:rsidP="007945E7">
      <w:pPr>
        <w:pStyle w:val="NoSpacing"/>
        <w:rPr>
          <w:rFonts w:ascii="Arial" w:hAnsi="Arial" w:cs="Arial"/>
          <w:sz w:val="24"/>
          <w:szCs w:val="24"/>
        </w:rPr>
      </w:pPr>
    </w:p>
    <w:p w14:paraId="014C3E2A" w14:textId="77777777" w:rsidR="001C62F7" w:rsidRDefault="001C62F7" w:rsidP="007945E7">
      <w:pPr>
        <w:pStyle w:val="NoSpacing"/>
        <w:rPr>
          <w:rFonts w:ascii="Arial" w:hAnsi="Arial" w:cs="Arial"/>
          <w:sz w:val="24"/>
          <w:szCs w:val="24"/>
        </w:rPr>
      </w:pPr>
    </w:p>
    <w:p w14:paraId="64F97F56" w14:textId="77777777" w:rsidR="001C62F7" w:rsidRDefault="001C62F7" w:rsidP="007945E7">
      <w:pPr>
        <w:pStyle w:val="NoSpacing"/>
        <w:rPr>
          <w:rFonts w:ascii="Arial" w:hAnsi="Arial" w:cs="Arial"/>
          <w:sz w:val="24"/>
          <w:szCs w:val="24"/>
        </w:rPr>
      </w:pPr>
    </w:p>
    <w:p w14:paraId="5296FB48" w14:textId="77777777" w:rsidR="001C62F7" w:rsidRDefault="001C62F7" w:rsidP="007945E7">
      <w:pPr>
        <w:pStyle w:val="NoSpacing"/>
        <w:rPr>
          <w:rFonts w:ascii="Arial" w:hAnsi="Arial" w:cs="Arial"/>
          <w:sz w:val="24"/>
          <w:szCs w:val="24"/>
        </w:rPr>
      </w:pPr>
    </w:p>
    <w:p w14:paraId="0532D3D3" w14:textId="77777777" w:rsidR="001C62F7" w:rsidRDefault="001C62F7" w:rsidP="007945E7">
      <w:pPr>
        <w:pStyle w:val="NoSpacing"/>
        <w:rPr>
          <w:rFonts w:ascii="Arial" w:hAnsi="Arial" w:cs="Arial"/>
          <w:sz w:val="24"/>
          <w:szCs w:val="24"/>
        </w:rPr>
      </w:pPr>
    </w:p>
    <w:p w14:paraId="09F4F0E4" w14:textId="77777777" w:rsidR="001C62F7" w:rsidRDefault="001C62F7" w:rsidP="007945E7">
      <w:pPr>
        <w:pStyle w:val="NoSpacing"/>
        <w:rPr>
          <w:rFonts w:ascii="Arial" w:hAnsi="Arial" w:cs="Arial"/>
          <w:sz w:val="24"/>
          <w:szCs w:val="24"/>
        </w:rPr>
      </w:pPr>
    </w:p>
    <w:p w14:paraId="14CA06E4" w14:textId="77777777" w:rsidR="001C62F7" w:rsidRDefault="001C62F7" w:rsidP="007945E7">
      <w:pPr>
        <w:pStyle w:val="NoSpacing"/>
        <w:rPr>
          <w:rFonts w:ascii="Arial" w:hAnsi="Arial" w:cs="Arial"/>
          <w:sz w:val="24"/>
          <w:szCs w:val="24"/>
        </w:rPr>
      </w:pPr>
    </w:p>
    <w:p w14:paraId="257704D0" w14:textId="77777777" w:rsidR="001C62F7" w:rsidRDefault="001C62F7" w:rsidP="007945E7">
      <w:pPr>
        <w:pStyle w:val="NoSpacing"/>
        <w:rPr>
          <w:rFonts w:ascii="Arial" w:hAnsi="Arial" w:cs="Arial"/>
          <w:sz w:val="24"/>
          <w:szCs w:val="24"/>
        </w:rPr>
      </w:pPr>
    </w:p>
    <w:p w14:paraId="62006AF0" w14:textId="77777777" w:rsidR="007945E7" w:rsidRPr="007945E7" w:rsidRDefault="001C62F7" w:rsidP="007945E7">
      <w:pPr>
        <w:pStyle w:val="NoSpacing"/>
        <w:rPr>
          <w:rFonts w:ascii="Arial" w:hAnsi="Arial" w:cs="Arial"/>
          <w:sz w:val="24"/>
          <w:szCs w:val="24"/>
        </w:rPr>
      </w:pPr>
      <w:r w:rsidRPr="004A5F62">
        <w:rPr>
          <w:rFonts w:ascii="Arial" w:hAnsi="Arial" w:cs="Arial"/>
          <w:b/>
          <w:sz w:val="24"/>
          <w:szCs w:val="24"/>
        </w:rPr>
        <w:t>TBE countries affected</w:t>
      </w:r>
      <w:r>
        <w:rPr>
          <w:rFonts w:ascii="Arial" w:hAnsi="Arial" w:cs="Arial"/>
          <w:sz w:val="24"/>
          <w:szCs w:val="24"/>
        </w:rPr>
        <w:t>.</w:t>
      </w:r>
    </w:p>
    <w:p w14:paraId="45136F0D" w14:textId="77777777" w:rsidR="00021983" w:rsidRDefault="001C62F7" w:rsidP="007945E7">
      <w:pPr>
        <w:pStyle w:val="NoSpacing"/>
        <w:rPr>
          <w:rFonts w:ascii="Arial" w:hAnsi="Arial" w:cs="Arial"/>
          <w:sz w:val="24"/>
          <w:szCs w:val="24"/>
        </w:rPr>
      </w:pPr>
      <w:r w:rsidRPr="001C62F7">
        <w:rPr>
          <w:rFonts w:ascii="Arial" w:hAnsi="Arial" w:cs="Arial"/>
          <w:noProof/>
          <w:sz w:val="24"/>
          <w:szCs w:val="24"/>
          <w:lang w:eastAsia="en-GB"/>
        </w:rPr>
        <w:drawing>
          <wp:inline distT="0" distB="0" distL="0" distR="0" wp14:anchorId="2BADCC75" wp14:editId="45896D2F">
            <wp:extent cx="5731510" cy="2700373"/>
            <wp:effectExtent l="0" t="0" r="2540" b="5080"/>
            <wp:docPr id="10" name="Picture 10" descr="C:\Users\Sharon\Documents\CV profile\Publications\TBE for Practice Nursing\tbe-risk-2017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aron\Documents\CV profile\Publications\TBE for Practice Nursing\tbe-risk-201704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700373"/>
                    </a:xfrm>
                    <a:prstGeom prst="rect">
                      <a:avLst/>
                    </a:prstGeom>
                    <a:noFill/>
                    <a:ln>
                      <a:noFill/>
                    </a:ln>
                  </pic:spPr>
                </pic:pic>
              </a:graphicData>
            </a:graphic>
          </wp:inline>
        </w:drawing>
      </w:r>
    </w:p>
    <w:p w14:paraId="159814DA" w14:textId="77777777" w:rsidR="001C62F7" w:rsidRPr="007945E7" w:rsidRDefault="001C62F7" w:rsidP="007945E7">
      <w:pPr>
        <w:pStyle w:val="NoSpacing"/>
        <w:rPr>
          <w:rFonts w:ascii="Arial" w:hAnsi="Arial" w:cs="Arial"/>
          <w:sz w:val="24"/>
          <w:szCs w:val="24"/>
        </w:rPr>
      </w:pPr>
      <w:r>
        <w:rPr>
          <w:rFonts w:ascii="Arial" w:hAnsi="Arial" w:cs="Arial"/>
          <w:sz w:val="24"/>
          <w:szCs w:val="24"/>
        </w:rPr>
        <w:t>Travel Heath Pro (2017</w:t>
      </w:r>
      <w:r w:rsidR="009D7CB8">
        <w:rPr>
          <w:rFonts w:ascii="Arial" w:hAnsi="Arial" w:cs="Arial"/>
          <w:sz w:val="24"/>
          <w:szCs w:val="24"/>
        </w:rPr>
        <w:t>a</w:t>
      </w:r>
      <w:r>
        <w:rPr>
          <w:rFonts w:ascii="Arial" w:hAnsi="Arial" w:cs="Arial"/>
          <w:sz w:val="24"/>
          <w:szCs w:val="24"/>
        </w:rPr>
        <w:t>).</w:t>
      </w:r>
    </w:p>
    <w:p w14:paraId="06649B7B" w14:textId="77777777" w:rsidR="00021983" w:rsidRPr="007945E7" w:rsidRDefault="00021983" w:rsidP="007945E7">
      <w:pPr>
        <w:pStyle w:val="NoSpacing"/>
        <w:rPr>
          <w:rFonts w:ascii="Arial" w:hAnsi="Arial" w:cs="Arial"/>
          <w:sz w:val="24"/>
          <w:szCs w:val="24"/>
        </w:rPr>
      </w:pPr>
    </w:p>
    <w:p w14:paraId="5CAD7E92" w14:textId="77777777" w:rsidR="00021983" w:rsidRPr="007945E7" w:rsidRDefault="00021983" w:rsidP="007945E7">
      <w:pPr>
        <w:pStyle w:val="NoSpacing"/>
        <w:rPr>
          <w:rFonts w:ascii="Arial" w:hAnsi="Arial" w:cs="Arial"/>
          <w:sz w:val="24"/>
          <w:szCs w:val="24"/>
        </w:rPr>
      </w:pPr>
    </w:p>
    <w:p w14:paraId="06DD8C6C" w14:textId="77777777" w:rsidR="004135DE" w:rsidRPr="004A5F62" w:rsidRDefault="00021983" w:rsidP="004A5F62">
      <w:pPr>
        <w:pStyle w:val="NoSpacing"/>
        <w:tabs>
          <w:tab w:val="left" w:pos="2950"/>
        </w:tabs>
        <w:rPr>
          <w:rFonts w:ascii="Arial" w:hAnsi="Arial" w:cs="Arial"/>
          <w:b/>
          <w:sz w:val="24"/>
          <w:szCs w:val="24"/>
        </w:rPr>
      </w:pPr>
      <w:r w:rsidRPr="004A5F62">
        <w:rPr>
          <w:rFonts w:ascii="Arial" w:hAnsi="Arial" w:cs="Arial"/>
          <w:b/>
          <w:sz w:val="24"/>
          <w:szCs w:val="24"/>
        </w:rPr>
        <w:t>Presentation</w:t>
      </w:r>
      <w:r w:rsidR="001C62F7" w:rsidRPr="004A5F62">
        <w:rPr>
          <w:rFonts w:ascii="Arial" w:hAnsi="Arial" w:cs="Arial"/>
          <w:b/>
          <w:sz w:val="24"/>
          <w:szCs w:val="24"/>
        </w:rPr>
        <w:t xml:space="preserve"> of disease</w:t>
      </w:r>
      <w:r w:rsidR="004A5F62" w:rsidRPr="004A5F62">
        <w:rPr>
          <w:rFonts w:ascii="Arial" w:hAnsi="Arial" w:cs="Arial"/>
          <w:b/>
          <w:sz w:val="24"/>
          <w:szCs w:val="24"/>
        </w:rPr>
        <w:tab/>
      </w:r>
    </w:p>
    <w:p w14:paraId="7C60B57E" w14:textId="77777777" w:rsidR="00021983" w:rsidRPr="007945E7" w:rsidRDefault="00021983" w:rsidP="007945E7">
      <w:pPr>
        <w:pStyle w:val="NoSpacing"/>
        <w:rPr>
          <w:rFonts w:ascii="Arial" w:hAnsi="Arial" w:cs="Arial"/>
          <w:sz w:val="24"/>
          <w:szCs w:val="24"/>
        </w:rPr>
      </w:pPr>
    </w:p>
    <w:p w14:paraId="251F8DB3" w14:textId="77777777" w:rsidR="004135DE" w:rsidRPr="007945E7" w:rsidRDefault="00021983" w:rsidP="007945E7">
      <w:pPr>
        <w:pStyle w:val="NoSpacing"/>
        <w:rPr>
          <w:rFonts w:ascii="Arial" w:hAnsi="Arial" w:cs="Arial"/>
          <w:sz w:val="24"/>
          <w:szCs w:val="24"/>
        </w:rPr>
      </w:pPr>
      <w:r w:rsidRPr="007945E7">
        <w:rPr>
          <w:rFonts w:ascii="Arial" w:hAnsi="Arial" w:cs="Arial"/>
          <w:sz w:val="24"/>
          <w:szCs w:val="24"/>
        </w:rPr>
        <w:t>Incubation can be from four to 28 days</w:t>
      </w:r>
      <w:r w:rsidR="001C62F7">
        <w:rPr>
          <w:rFonts w:ascii="Arial" w:hAnsi="Arial" w:cs="Arial"/>
          <w:sz w:val="24"/>
          <w:szCs w:val="24"/>
        </w:rPr>
        <w:t>,</w:t>
      </w:r>
      <w:r w:rsidRPr="007945E7">
        <w:rPr>
          <w:rFonts w:ascii="Arial" w:hAnsi="Arial" w:cs="Arial"/>
          <w:sz w:val="24"/>
          <w:szCs w:val="24"/>
        </w:rPr>
        <w:t xml:space="preserve"> though the Centres for Disease Control and Prevention (CDC) also report that this can be shorter (3-4 days) for milk borne exposure (CDC, 2017).</w:t>
      </w:r>
    </w:p>
    <w:p w14:paraId="468BC74C" w14:textId="77777777" w:rsidR="00021983" w:rsidRPr="007945E7" w:rsidRDefault="00021983" w:rsidP="007945E7">
      <w:pPr>
        <w:pStyle w:val="NoSpacing"/>
        <w:rPr>
          <w:rFonts w:ascii="Arial" w:hAnsi="Arial" w:cs="Arial"/>
          <w:sz w:val="24"/>
          <w:szCs w:val="24"/>
        </w:rPr>
      </w:pPr>
    </w:p>
    <w:p w14:paraId="7B697C15" w14:textId="77777777" w:rsidR="00021983" w:rsidRDefault="00021983" w:rsidP="007945E7">
      <w:pPr>
        <w:pStyle w:val="NoSpacing"/>
        <w:rPr>
          <w:rFonts w:ascii="Arial" w:hAnsi="Arial" w:cs="Arial"/>
          <w:sz w:val="24"/>
          <w:szCs w:val="24"/>
        </w:rPr>
      </w:pPr>
      <w:r w:rsidRPr="007945E7">
        <w:rPr>
          <w:rFonts w:ascii="Arial" w:hAnsi="Arial" w:cs="Arial"/>
          <w:sz w:val="24"/>
          <w:szCs w:val="24"/>
        </w:rPr>
        <w:t xml:space="preserve">Clinical presentation may range from mild non-specific </w:t>
      </w:r>
      <w:r w:rsidR="00C57C7B" w:rsidRPr="007945E7">
        <w:rPr>
          <w:rFonts w:ascii="Arial" w:hAnsi="Arial" w:cs="Arial"/>
          <w:sz w:val="24"/>
          <w:szCs w:val="24"/>
        </w:rPr>
        <w:t xml:space="preserve">febrile </w:t>
      </w:r>
      <w:r w:rsidRPr="007945E7">
        <w:rPr>
          <w:rFonts w:ascii="Arial" w:hAnsi="Arial" w:cs="Arial"/>
          <w:sz w:val="24"/>
          <w:szCs w:val="24"/>
        </w:rPr>
        <w:t>illness</w:t>
      </w:r>
      <w:r w:rsidR="00C57C7B" w:rsidRPr="007945E7">
        <w:rPr>
          <w:rFonts w:ascii="Arial" w:hAnsi="Arial" w:cs="Arial"/>
          <w:sz w:val="24"/>
          <w:szCs w:val="24"/>
        </w:rPr>
        <w:t xml:space="preserve"> to one with significant </w:t>
      </w:r>
      <w:r w:rsidR="00E14F5E" w:rsidRPr="007945E7">
        <w:rPr>
          <w:rFonts w:ascii="Arial" w:hAnsi="Arial" w:cs="Arial"/>
          <w:sz w:val="24"/>
          <w:szCs w:val="24"/>
        </w:rPr>
        <w:t xml:space="preserve">long term </w:t>
      </w:r>
      <w:r w:rsidR="00C57C7B" w:rsidRPr="007945E7">
        <w:rPr>
          <w:rFonts w:ascii="Arial" w:hAnsi="Arial" w:cs="Arial"/>
          <w:sz w:val="24"/>
          <w:szCs w:val="24"/>
        </w:rPr>
        <w:t xml:space="preserve">sequelae affecting the central nervous system, commonly </w:t>
      </w:r>
      <w:r w:rsidR="001C62F7" w:rsidRPr="007945E7">
        <w:rPr>
          <w:rFonts w:ascii="Arial" w:hAnsi="Arial" w:cs="Arial"/>
          <w:sz w:val="24"/>
          <w:szCs w:val="24"/>
        </w:rPr>
        <w:t>meningoencephalitis</w:t>
      </w:r>
      <w:r w:rsidR="00C57C7B" w:rsidRPr="007945E7">
        <w:rPr>
          <w:rFonts w:ascii="Arial" w:hAnsi="Arial" w:cs="Arial"/>
          <w:sz w:val="24"/>
          <w:szCs w:val="24"/>
        </w:rPr>
        <w:t xml:space="preserve"> and potential life threatening illness (PHE) 2013).</w:t>
      </w:r>
      <w:r w:rsidRPr="007945E7">
        <w:rPr>
          <w:rFonts w:ascii="Arial" w:hAnsi="Arial" w:cs="Arial"/>
          <w:sz w:val="24"/>
          <w:szCs w:val="24"/>
        </w:rPr>
        <w:t xml:space="preserve">  Further the disease is typically biphasic whereby the initial presentation of non-specific flu like illness (fever, fatigue, headache and muscle pains) followed by a period of one to twenty days where the patient does not have any symptoms.  Up to two thirds of patients will not have any further symptoms but one third progress to the second stage of disease (CDC, 2017; Travel Health Pro, 2017</w:t>
      </w:r>
      <w:r w:rsidR="009D7CB8">
        <w:rPr>
          <w:rFonts w:ascii="Arial" w:hAnsi="Arial" w:cs="Arial"/>
          <w:sz w:val="24"/>
          <w:szCs w:val="24"/>
        </w:rPr>
        <w:t>a</w:t>
      </w:r>
      <w:r w:rsidRPr="007945E7">
        <w:rPr>
          <w:rFonts w:ascii="Arial" w:hAnsi="Arial" w:cs="Arial"/>
          <w:sz w:val="24"/>
          <w:szCs w:val="24"/>
        </w:rPr>
        <w:t>).</w:t>
      </w:r>
    </w:p>
    <w:p w14:paraId="18CA2ACA" w14:textId="77777777" w:rsidR="001C62F7" w:rsidRPr="007945E7" w:rsidRDefault="001C62F7" w:rsidP="007945E7">
      <w:pPr>
        <w:pStyle w:val="NoSpacing"/>
        <w:rPr>
          <w:rFonts w:ascii="Arial" w:hAnsi="Arial" w:cs="Arial"/>
          <w:sz w:val="24"/>
          <w:szCs w:val="24"/>
        </w:rPr>
      </w:pPr>
    </w:p>
    <w:p w14:paraId="1ED85649" w14:textId="77777777" w:rsidR="00021983" w:rsidRPr="007945E7" w:rsidRDefault="00021983" w:rsidP="007945E7">
      <w:pPr>
        <w:pStyle w:val="NoSpacing"/>
        <w:rPr>
          <w:rFonts w:ascii="Arial" w:hAnsi="Arial" w:cs="Arial"/>
          <w:sz w:val="24"/>
          <w:szCs w:val="24"/>
        </w:rPr>
      </w:pPr>
      <w:r w:rsidRPr="007945E7">
        <w:rPr>
          <w:rFonts w:ascii="Arial" w:hAnsi="Arial" w:cs="Arial"/>
          <w:sz w:val="24"/>
          <w:szCs w:val="24"/>
        </w:rPr>
        <w:t>The second phase is more likely to present with central nervous system involvement, heralded by a sudden rise in temperature and signs suggesting meningitis (inflammation of the brain lining only)’ meningoencephalitis (affecting the brain and its lining) or in around 10% of cases the more severe presentation of menignoencephalyomyelitis (which also includes the spinal cord).  Those whose disease progresses to the second stage are at much greater risk of long-term sequelae (CDC, 2017; Travel Health Pro, 2017</w:t>
      </w:r>
      <w:r w:rsidR="009D7CB8">
        <w:rPr>
          <w:rFonts w:ascii="Arial" w:hAnsi="Arial" w:cs="Arial"/>
          <w:sz w:val="24"/>
          <w:szCs w:val="24"/>
        </w:rPr>
        <w:t>a</w:t>
      </w:r>
      <w:r w:rsidRPr="007945E7">
        <w:rPr>
          <w:rFonts w:ascii="Arial" w:hAnsi="Arial" w:cs="Arial"/>
          <w:sz w:val="24"/>
          <w:szCs w:val="24"/>
        </w:rPr>
        <w:t xml:space="preserve">). </w:t>
      </w:r>
    </w:p>
    <w:p w14:paraId="6C72EC42" w14:textId="77777777" w:rsidR="00021983" w:rsidRPr="007945E7" w:rsidRDefault="00021983" w:rsidP="007945E7">
      <w:pPr>
        <w:pStyle w:val="NoSpacing"/>
        <w:rPr>
          <w:rFonts w:ascii="Arial" w:hAnsi="Arial" w:cs="Arial"/>
          <w:sz w:val="24"/>
          <w:szCs w:val="24"/>
        </w:rPr>
      </w:pPr>
    </w:p>
    <w:p w14:paraId="0FDE9398" w14:textId="77777777" w:rsidR="007945E7" w:rsidRPr="007945E7" w:rsidRDefault="007945E7" w:rsidP="007945E7">
      <w:pPr>
        <w:pStyle w:val="NoSpacing"/>
        <w:rPr>
          <w:rFonts w:ascii="Arial" w:hAnsi="Arial" w:cs="Arial"/>
          <w:bCs/>
          <w:sz w:val="24"/>
          <w:szCs w:val="24"/>
        </w:rPr>
      </w:pPr>
      <w:r w:rsidRPr="007945E7">
        <w:rPr>
          <w:rFonts w:ascii="Arial" w:hAnsi="Arial" w:cs="Arial"/>
          <w:bCs/>
          <w:sz w:val="24"/>
          <w:szCs w:val="24"/>
        </w:rPr>
        <w:lastRenderedPageBreak/>
        <w:t xml:space="preserve">Variation on severity and long-term sequelae does depend upon with subtype is contracted. </w:t>
      </w:r>
      <w:r w:rsidR="00021983" w:rsidRPr="007945E7">
        <w:rPr>
          <w:rFonts w:ascii="Arial" w:hAnsi="Arial" w:cs="Arial"/>
          <w:sz w:val="24"/>
          <w:szCs w:val="24"/>
        </w:rPr>
        <w:t xml:space="preserve">CDC (2017) report that severity of disease does increase with age, with children reportedly having less severe disease and residual symptoms or neurological disease.  </w:t>
      </w:r>
      <w:r w:rsidR="00021983" w:rsidRPr="007945E7">
        <w:rPr>
          <w:rFonts w:ascii="Arial" w:hAnsi="Arial" w:cs="Arial"/>
          <w:bCs/>
          <w:sz w:val="24"/>
          <w:szCs w:val="24"/>
        </w:rPr>
        <w:t>Goodyer (2004) state</w:t>
      </w:r>
      <w:r w:rsidRPr="007945E7">
        <w:rPr>
          <w:rFonts w:ascii="Arial" w:hAnsi="Arial" w:cs="Arial"/>
          <w:bCs/>
          <w:sz w:val="24"/>
          <w:szCs w:val="24"/>
        </w:rPr>
        <w:t>d</w:t>
      </w:r>
      <w:r w:rsidR="00021983" w:rsidRPr="007945E7">
        <w:rPr>
          <w:rFonts w:ascii="Arial" w:hAnsi="Arial" w:cs="Arial"/>
          <w:bCs/>
          <w:sz w:val="24"/>
          <w:szCs w:val="24"/>
        </w:rPr>
        <w:t xml:space="preserve"> that only 1% of cases prove fatal with the greater risk in the older person</w:t>
      </w:r>
      <w:r w:rsidRPr="007945E7">
        <w:rPr>
          <w:rFonts w:ascii="Arial" w:hAnsi="Arial" w:cs="Arial"/>
          <w:bCs/>
          <w:sz w:val="24"/>
          <w:szCs w:val="24"/>
        </w:rPr>
        <w:t>, though PHE (2013) qualifies that is in the European form, with Travel Health Pro (2017</w:t>
      </w:r>
      <w:r w:rsidR="009D7CB8">
        <w:rPr>
          <w:rFonts w:ascii="Arial" w:hAnsi="Arial" w:cs="Arial"/>
          <w:bCs/>
          <w:sz w:val="24"/>
          <w:szCs w:val="24"/>
        </w:rPr>
        <w:t>a</w:t>
      </w:r>
      <w:r w:rsidRPr="007945E7">
        <w:rPr>
          <w:rFonts w:ascii="Arial" w:hAnsi="Arial" w:cs="Arial"/>
          <w:bCs/>
          <w:sz w:val="24"/>
          <w:szCs w:val="24"/>
        </w:rPr>
        <w:t>) support this and stating that the Siberian and Far Eastern subtypes are associated with more deaths.</w:t>
      </w:r>
    </w:p>
    <w:p w14:paraId="68D0EC2F" w14:textId="77777777" w:rsidR="001C62F7" w:rsidRDefault="001C62F7" w:rsidP="007945E7">
      <w:pPr>
        <w:pStyle w:val="NoSpacing"/>
        <w:rPr>
          <w:rFonts w:ascii="Arial" w:hAnsi="Arial" w:cs="Arial"/>
          <w:bCs/>
          <w:sz w:val="24"/>
          <w:szCs w:val="24"/>
        </w:rPr>
      </w:pPr>
    </w:p>
    <w:p w14:paraId="3201A93B" w14:textId="77777777" w:rsidR="007945E7" w:rsidRPr="007945E7" w:rsidRDefault="007945E7" w:rsidP="007945E7">
      <w:pPr>
        <w:pStyle w:val="NoSpacing"/>
        <w:rPr>
          <w:rFonts w:ascii="Arial" w:hAnsi="Arial" w:cs="Arial"/>
          <w:bCs/>
          <w:sz w:val="24"/>
          <w:szCs w:val="24"/>
        </w:rPr>
      </w:pPr>
      <w:r w:rsidRPr="007945E7">
        <w:rPr>
          <w:rFonts w:ascii="Arial" w:hAnsi="Arial" w:cs="Arial"/>
          <w:bCs/>
          <w:sz w:val="24"/>
          <w:szCs w:val="24"/>
        </w:rPr>
        <w:t>CDC quantify the clinical course and long-term outcome by TBE subtype as below:</w:t>
      </w:r>
    </w:p>
    <w:p w14:paraId="04C61454" w14:textId="77777777" w:rsidR="007945E7" w:rsidRPr="007945E7" w:rsidRDefault="007945E7" w:rsidP="007945E7">
      <w:pPr>
        <w:pStyle w:val="NoSpacing"/>
        <w:rPr>
          <w:rFonts w:ascii="Arial" w:hAnsi="Arial" w:cs="Arial"/>
          <w:bCs/>
          <w:sz w:val="24"/>
          <w:szCs w:val="24"/>
        </w:rPr>
      </w:pPr>
    </w:p>
    <w:p w14:paraId="3E069077" w14:textId="77777777" w:rsidR="00021983" w:rsidRPr="007945E7" w:rsidRDefault="007945E7" w:rsidP="007945E7">
      <w:pPr>
        <w:pStyle w:val="NoSpacing"/>
        <w:rPr>
          <w:rFonts w:ascii="Arial" w:hAnsi="Arial" w:cs="Arial"/>
          <w:sz w:val="24"/>
          <w:szCs w:val="24"/>
        </w:rPr>
      </w:pPr>
      <w:r w:rsidRPr="007945E7">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442E8542" wp14:editId="47BAFF01">
                <wp:simplePos x="0" y="0"/>
                <wp:positionH relativeFrom="margin">
                  <wp:posOffset>1251873</wp:posOffset>
                </wp:positionH>
                <wp:positionV relativeFrom="paragraph">
                  <wp:posOffset>2887</wp:posOffset>
                </wp:positionV>
                <wp:extent cx="3479165" cy="2310765"/>
                <wp:effectExtent l="0" t="0" r="2603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2310765"/>
                        </a:xfrm>
                        <a:prstGeom prst="rect">
                          <a:avLst/>
                        </a:prstGeom>
                        <a:solidFill>
                          <a:srgbClr val="FFFFFF"/>
                        </a:solidFill>
                        <a:ln w="9525">
                          <a:solidFill>
                            <a:srgbClr val="000000"/>
                          </a:solidFill>
                          <a:miter lim="800000"/>
                          <a:headEnd/>
                          <a:tailEnd/>
                        </a:ln>
                      </wps:spPr>
                      <wps:txbx>
                        <w:txbxContent>
                          <w:p w14:paraId="0089350C" w14:textId="77777777" w:rsidR="007945E7" w:rsidRPr="007945E7" w:rsidRDefault="007945E7" w:rsidP="007945E7">
                            <w:pPr>
                              <w:numPr>
                                <w:ilvl w:val="0"/>
                                <w:numId w:val="3"/>
                              </w:numPr>
                              <w:spacing w:before="60" w:after="60" w:line="270" w:lineRule="atLeast"/>
                              <w:ind w:left="375"/>
                              <w:rPr>
                                <w:rFonts w:ascii="Arial" w:eastAsia="Times New Roman" w:hAnsi="Arial" w:cs="Arial"/>
                                <w:color w:val="000000"/>
                                <w:sz w:val="24"/>
                                <w:szCs w:val="24"/>
                                <w:lang w:eastAsia="en-GB"/>
                              </w:rPr>
                            </w:pPr>
                            <w:r w:rsidRPr="007945E7">
                              <w:rPr>
                                <w:rFonts w:ascii="Arial" w:eastAsia="Times New Roman" w:hAnsi="Arial" w:cs="Arial"/>
                                <w:color w:val="000000"/>
                                <w:sz w:val="24"/>
                                <w:szCs w:val="24"/>
                                <w:lang w:eastAsia="en-GB"/>
                              </w:rPr>
                              <w:t>The European subtype is associated with milder disease, a case-fatality ratio of &lt;2%, and neurologic sequelae in up to 30% of patients.</w:t>
                            </w:r>
                          </w:p>
                          <w:p w14:paraId="2AC4B30D" w14:textId="77777777" w:rsidR="007945E7" w:rsidRPr="007945E7" w:rsidRDefault="007945E7" w:rsidP="007945E7">
                            <w:pPr>
                              <w:numPr>
                                <w:ilvl w:val="0"/>
                                <w:numId w:val="3"/>
                              </w:numPr>
                              <w:spacing w:before="60" w:after="60" w:line="270" w:lineRule="atLeast"/>
                              <w:ind w:left="375"/>
                              <w:rPr>
                                <w:rFonts w:ascii="Arial" w:eastAsia="Times New Roman" w:hAnsi="Arial" w:cs="Arial"/>
                                <w:color w:val="000000"/>
                                <w:sz w:val="24"/>
                                <w:szCs w:val="24"/>
                                <w:lang w:eastAsia="en-GB"/>
                              </w:rPr>
                            </w:pPr>
                            <w:r w:rsidRPr="007945E7">
                              <w:rPr>
                                <w:rFonts w:ascii="Arial" w:eastAsia="Times New Roman" w:hAnsi="Arial" w:cs="Arial"/>
                                <w:color w:val="000000"/>
                                <w:sz w:val="24"/>
                                <w:szCs w:val="24"/>
                                <w:lang w:eastAsia="en-GB"/>
                              </w:rPr>
                              <w:t>The Far Eastern subtype is often associated with a more severe disease course, including a case-fatality ratio of 20%–40% and higher rates of severe neurologic sequelae.</w:t>
                            </w:r>
                          </w:p>
                          <w:p w14:paraId="5715BB36" w14:textId="77777777" w:rsidR="007945E7" w:rsidRPr="007945E7" w:rsidRDefault="007945E7" w:rsidP="007945E7">
                            <w:pPr>
                              <w:numPr>
                                <w:ilvl w:val="0"/>
                                <w:numId w:val="3"/>
                              </w:numPr>
                              <w:spacing w:before="60" w:after="60" w:line="270" w:lineRule="atLeast"/>
                              <w:ind w:left="375"/>
                              <w:rPr>
                                <w:rFonts w:ascii="Arial" w:eastAsia="Times New Roman" w:hAnsi="Arial" w:cs="Arial"/>
                                <w:color w:val="000000"/>
                                <w:sz w:val="24"/>
                                <w:szCs w:val="24"/>
                                <w:lang w:eastAsia="en-GB"/>
                              </w:rPr>
                            </w:pPr>
                            <w:r w:rsidRPr="007945E7">
                              <w:rPr>
                                <w:rFonts w:ascii="Arial" w:eastAsia="Times New Roman" w:hAnsi="Arial" w:cs="Arial"/>
                                <w:color w:val="000000"/>
                                <w:sz w:val="24"/>
                                <w:szCs w:val="24"/>
                                <w:lang w:eastAsia="en-GB"/>
                              </w:rPr>
                              <w:t>The Siberian subtype is more frequently associated with chronic or progressive disease and has a case-fatality ratio of 2%–3%.</w:t>
                            </w:r>
                            <w:r>
                              <w:rPr>
                                <w:rFonts w:ascii="Arial" w:eastAsia="Times New Roman" w:hAnsi="Arial" w:cs="Arial"/>
                                <w:color w:val="000000"/>
                                <w:sz w:val="24"/>
                                <w:szCs w:val="24"/>
                                <w:lang w:eastAsia="en-GB"/>
                              </w:rPr>
                              <w:t xml:space="preserve">  (CDC, 2017)</w:t>
                            </w:r>
                          </w:p>
                          <w:p w14:paraId="77BBE283" w14:textId="77777777" w:rsidR="007945E7" w:rsidRDefault="007945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98.55pt;margin-top:.25pt;width:273.95pt;height:18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">
                <v:textbox>
                  <w:txbxContent>
                    <w:p w:rsidR="007945E7" w:rsidRPr="007945E7" w:rsidRDefault="007945E7" w:rsidP="007945E7">
                      <w:pPr>
                        <w:numPr>
                          <w:ilvl w:val="0"/>
                          <w:numId w:val="3"/>
                        </w:numPr>
                        <w:spacing w:before="60" w:after="60" w:line="270" w:lineRule="atLeast"/>
                        <w:ind w:left="375"/>
                        <w:rPr>
                          <w:rFonts w:ascii="Arial" w:eastAsia="Times New Roman" w:hAnsi="Arial" w:cs="Arial"/>
                          <w:color w:val="000000"/>
                          <w:sz w:val="24"/>
                          <w:szCs w:val="24"/>
                          <w:lang w:eastAsia="en-GB"/>
                        </w:rPr>
                      </w:pPr>
                      <w:r w:rsidRPr="007945E7">
                        <w:rPr>
                          <w:rFonts w:ascii="Arial" w:eastAsia="Times New Roman" w:hAnsi="Arial" w:cs="Arial"/>
                          <w:color w:val="000000"/>
                          <w:sz w:val="24"/>
                          <w:szCs w:val="24"/>
                          <w:lang w:eastAsia="en-GB"/>
                        </w:rPr>
                        <w:t>The European subtype is associated with milder disease, a case-fatality ratio of &lt;2%, and neurologic sequelae in up to 30% of patients.</w:t>
                      </w:r>
                    </w:p>
                    <w:p w:rsidR="007945E7" w:rsidRPr="007945E7" w:rsidRDefault="007945E7" w:rsidP="007945E7">
                      <w:pPr>
                        <w:numPr>
                          <w:ilvl w:val="0"/>
                          <w:numId w:val="3"/>
                        </w:numPr>
                        <w:spacing w:before="60" w:after="60" w:line="270" w:lineRule="atLeast"/>
                        <w:ind w:left="375"/>
                        <w:rPr>
                          <w:rFonts w:ascii="Arial" w:eastAsia="Times New Roman" w:hAnsi="Arial" w:cs="Arial"/>
                          <w:color w:val="000000"/>
                          <w:sz w:val="24"/>
                          <w:szCs w:val="24"/>
                          <w:lang w:eastAsia="en-GB"/>
                        </w:rPr>
                      </w:pPr>
                      <w:r w:rsidRPr="007945E7">
                        <w:rPr>
                          <w:rFonts w:ascii="Arial" w:eastAsia="Times New Roman" w:hAnsi="Arial" w:cs="Arial"/>
                          <w:color w:val="000000"/>
                          <w:sz w:val="24"/>
                          <w:szCs w:val="24"/>
                          <w:lang w:eastAsia="en-GB"/>
                        </w:rPr>
                        <w:t>The Far Eastern subtype is often associated with a more severe disease course, including a case-fatality ratio of 20%–40% and higher rates of severe neurologic sequelae.</w:t>
                      </w:r>
                    </w:p>
                    <w:p w:rsidR="007945E7" w:rsidRPr="007945E7" w:rsidRDefault="007945E7" w:rsidP="007945E7">
                      <w:pPr>
                        <w:numPr>
                          <w:ilvl w:val="0"/>
                          <w:numId w:val="3"/>
                        </w:numPr>
                        <w:spacing w:before="60" w:after="60" w:line="270" w:lineRule="atLeast"/>
                        <w:ind w:left="375"/>
                        <w:rPr>
                          <w:rFonts w:ascii="Arial" w:eastAsia="Times New Roman" w:hAnsi="Arial" w:cs="Arial"/>
                          <w:color w:val="000000"/>
                          <w:sz w:val="24"/>
                          <w:szCs w:val="24"/>
                          <w:lang w:eastAsia="en-GB"/>
                        </w:rPr>
                      </w:pPr>
                      <w:r w:rsidRPr="007945E7">
                        <w:rPr>
                          <w:rFonts w:ascii="Arial" w:eastAsia="Times New Roman" w:hAnsi="Arial" w:cs="Arial"/>
                          <w:color w:val="000000"/>
                          <w:sz w:val="24"/>
                          <w:szCs w:val="24"/>
                          <w:lang w:eastAsia="en-GB"/>
                        </w:rPr>
                        <w:t>The Siberian subtype is more frequently associated with chronic or progressive disease and has a case-fatality ratio of 2%–3%.</w:t>
                      </w:r>
                      <w:r>
                        <w:rPr>
                          <w:rFonts w:ascii="Arial" w:eastAsia="Times New Roman" w:hAnsi="Arial" w:cs="Arial"/>
                          <w:color w:val="000000"/>
                          <w:sz w:val="24"/>
                          <w:szCs w:val="24"/>
                          <w:lang w:eastAsia="en-GB"/>
                        </w:rPr>
                        <w:t xml:space="preserve">  (CDC, 2017)</w:t>
                      </w:r>
                    </w:p>
                    <w:p w:rsidR="007945E7" w:rsidRDefault="007945E7"/>
                  </w:txbxContent>
                </v:textbox>
                <w10:wrap type="square" anchorx="margin"/>
              </v:shape>
            </w:pict>
          </mc:Fallback>
        </mc:AlternateContent>
      </w:r>
    </w:p>
    <w:p w14:paraId="1CE0F6AE" w14:textId="77777777" w:rsidR="001C62F7" w:rsidRDefault="001C62F7" w:rsidP="001C62F7">
      <w:pPr>
        <w:rPr>
          <w:rFonts w:ascii="Arial" w:eastAsia="Times New Roman" w:hAnsi="Arial" w:cs="Arial"/>
          <w:color w:val="000000"/>
          <w:sz w:val="24"/>
          <w:szCs w:val="24"/>
          <w:lang w:eastAsia="en-GB"/>
        </w:rPr>
      </w:pPr>
    </w:p>
    <w:p w14:paraId="7D6435B1" w14:textId="77777777" w:rsidR="001C62F7" w:rsidRDefault="001C62F7" w:rsidP="001C62F7">
      <w:pPr>
        <w:rPr>
          <w:rFonts w:ascii="Arial" w:eastAsia="Times New Roman" w:hAnsi="Arial" w:cs="Arial"/>
          <w:color w:val="000000"/>
          <w:sz w:val="24"/>
          <w:szCs w:val="24"/>
          <w:lang w:eastAsia="en-GB"/>
        </w:rPr>
      </w:pPr>
    </w:p>
    <w:p w14:paraId="086CC842" w14:textId="77777777" w:rsidR="001C62F7" w:rsidRDefault="001C62F7" w:rsidP="001C62F7">
      <w:pPr>
        <w:rPr>
          <w:rFonts w:ascii="Arial" w:eastAsia="Times New Roman" w:hAnsi="Arial" w:cs="Arial"/>
          <w:color w:val="000000"/>
          <w:sz w:val="24"/>
          <w:szCs w:val="24"/>
          <w:lang w:eastAsia="en-GB"/>
        </w:rPr>
      </w:pPr>
    </w:p>
    <w:p w14:paraId="504B3051" w14:textId="77777777" w:rsidR="001C62F7" w:rsidRDefault="001C62F7" w:rsidP="001C62F7">
      <w:pPr>
        <w:rPr>
          <w:rFonts w:ascii="Arial" w:eastAsia="Times New Roman" w:hAnsi="Arial" w:cs="Arial"/>
          <w:color w:val="000000"/>
          <w:sz w:val="24"/>
          <w:szCs w:val="24"/>
          <w:lang w:eastAsia="en-GB"/>
        </w:rPr>
      </w:pPr>
    </w:p>
    <w:p w14:paraId="6F8970EF" w14:textId="77777777" w:rsidR="001C62F7" w:rsidRDefault="001C62F7" w:rsidP="001C62F7">
      <w:pPr>
        <w:rPr>
          <w:rFonts w:ascii="Arial" w:eastAsia="Times New Roman" w:hAnsi="Arial" w:cs="Arial"/>
          <w:color w:val="000000"/>
          <w:sz w:val="24"/>
          <w:szCs w:val="24"/>
          <w:lang w:eastAsia="en-GB"/>
        </w:rPr>
      </w:pPr>
    </w:p>
    <w:p w14:paraId="06BE750B" w14:textId="77777777" w:rsidR="001C62F7" w:rsidRDefault="001C62F7" w:rsidP="001C62F7">
      <w:pPr>
        <w:rPr>
          <w:rFonts w:ascii="Arial" w:eastAsia="Times New Roman" w:hAnsi="Arial" w:cs="Arial"/>
          <w:color w:val="000000"/>
          <w:sz w:val="24"/>
          <w:szCs w:val="24"/>
          <w:lang w:eastAsia="en-GB"/>
        </w:rPr>
      </w:pPr>
    </w:p>
    <w:p w14:paraId="539CCFFB" w14:textId="77777777" w:rsidR="001C62F7" w:rsidRDefault="001C62F7" w:rsidP="001C62F7">
      <w:pPr>
        <w:rPr>
          <w:rFonts w:ascii="Arial" w:eastAsia="Times New Roman" w:hAnsi="Arial" w:cs="Arial"/>
          <w:color w:val="000000"/>
          <w:sz w:val="24"/>
          <w:szCs w:val="24"/>
          <w:lang w:eastAsia="en-GB"/>
        </w:rPr>
      </w:pPr>
    </w:p>
    <w:p w14:paraId="41E3B7BC" w14:textId="77777777" w:rsidR="001C62F7" w:rsidRDefault="001C62F7" w:rsidP="001C62F7">
      <w:pPr>
        <w:rPr>
          <w:rFonts w:ascii="Arial" w:eastAsia="Times New Roman" w:hAnsi="Arial" w:cs="Arial"/>
          <w:color w:val="000000"/>
          <w:sz w:val="24"/>
          <w:szCs w:val="24"/>
          <w:lang w:eastAsia="en-GB"/>
        </w:rPr>
      </w:pPr>
    </w:p>
    <w:p w14:paraId="580C822F" w14:textId="77777777" w:rsidR="00EE7188" w:rsidRDefault="00EE7188" w:rsidP="007945E7">
      <w:pPr>
        <w:pStyle w:val="NoSpacing"/>
        <w:rPr>
          <w:rFonts w:ascii="Arial" w:hAnsi="Arial" w:cs="Arial"/>
          <w:sz w:val="24"/>
          <w:szCs w:val="24"/>
        </w:rPr>
      </w:pPr>
    </w:p>
    <w:p w14:paraId="72EB2B93" w14:textId="77777777" w:rsidR="001C62F7" w:rsidRPr="007945E7" w:rsidRDefault="001C62F7" w:rsidP="007945E7">
      <w:pPr>
        <w:pStyle w:val="NoSpacing"/>
        <w:rPr>
          <w:rFonts w:ascii="Arial" w:hAnsi="Arial" w:cs="Arial"/>
          <w:sz w:val="24"/>
          <w:szCs w:val="24"/>
        </w:rPr>
      </w:pPr>
    </w:p>
    <w:p w14:paraId="42F392D3" w14:textId="77777777" w:rsidR="00EE7188" w:rsidRDefault="001C62F7" w:rsidP="007945E7">
      <w:pPr>
        <w:pStyle w:val="NoSpacing"/>
        <w:rPr>
          <w:rFonts w:ascii="Arial" w:hAnsi="Arial" w:cs="Arial"/>
          <w:sz w:val="24"/>
          <w:szCs w:val="24"/>
        </w:rPr>
      </w:pPr>
      <w:r w:rsidRPr="004A5F62">
        <w:rPr>
          <w:rFonts w:ascii="Arial" w:hAnsi="Arial" w:cs="Arial"/>
          <w:b/>
          <w:sz w:val="24"/>
          <w:szCs w:val="24"/>
        </w:rPr>
        <w:t>Who is at risk</w:t>
      </w:r>
      <w:r>
        <w:rPr>
          <w:rFonts w:ascii="Arial" w:hAnsi="Arial" w:cs="Arial"/>
          <w:sz w:val="24"/>
          <w:szCs w:val="24"/>
        </w:rPr>
        <w:t>:</w:t>
      </w:r>
    </w:p>
    <w:p w14:paraId="15547C33" w14:textId="77777777" w:rsidR="001C62F7" w:rsidRDefault="001C62F7" w:rsidP="001C62F7">
      <w:pPr>
        <w:pStyle w:val="NoSpacing"/>
        <w:rPr>
          <w:rFonts w:ascii="Arial" w:hAnsi="Arial" w:cs="Arial"/>
          <w:sz w:val="24"/>
          <w:szCs w:val="24"/>
        </w:rPr>
      </w:pPr>
      <w:r>
        <w:rPr>
          <w:rFonts w:ascii="Arial" w:hAnsi="Arial" w:cs="Arial"/>
          <w:sz w:val="24"/>
          <w:szCs w:val="24"/>
        </w:rPr>
        <w:t xml:space="preserve">ECDC (2012) identified that men aged 40-60 who work outdoors in countries where TBE is present were at greater risk but they also acknowledge that information available from the various countries is variable due to differences in diagnostic criteria and access to laboratory for diagnosis.  Their document </w:t>
      </w:r>
      <w:r w:rsidR="009D7CB8">
        <w:rPr>
          <w:rFonts w:ascii="Arial" w:hAnsi="Arial" w:cs="Arial"/>
          <w:sz w:val="24"/>
          <w:szCs w:val="24"/>
        </w:rPr>
        <w:t>additionally</w:t>
      </w:r>
      <w:r>
        <w:rPr>
          <w:rFonts w:ascii="Arial" w:hAnsi="Arial" w:cs="Arial"/>
          <w:sz w:val="24"/>
          <w:szCs w:val="24"/>
        </w:rPr>
        <w:t xml:space="preserve"> commented that accurate identification of high-risk populations requires much more detailed surveillance data and epidemiological studies to clarify TBE risk for individuals.   However, they also report that TBE has become an international public health problem due </w:t>
      </w:r>
      <w:r w:rsidR="009D7CB8">
        <w:rPr>
          <w:rFonts w:ascii="Arial" w:hAnsi="Arial" w:cs="Arial"/>
          <w:sz w:val="24"/>
          <w:szCs w:val="24"/>
        </w:rPr>
        <w:t xml:space="preserve">to the </w:t>
      </w:r>
      <w:r>
        <w:rPr>
          <w:rFonts w:ascii="Arial" w:hAnsi="Arial" w:cs="Arial"/>
          <w:sz w:val="24"/>
          <w:szCs w:val="24"/>
        </w:rPr>
        <w:t xml:space="preserve">increase in the number of new areas where transmission has been reported, together with increasing mobility within and travel to endemic areas as well as greater public awareness. </w:t>
      </w:r>
    </w:p>
    <w:p w14:paraId="652D784F" w14:textId="77777777" w:rsidR="001C62F7" w:rsidRDefault="001C62F7" w:rsidP="007945E7">
      <w:pPr>
        <w:pStyle w:val="NoSpacing"/>
        <w:rPr>
          <w:rFonts w:ascii="Arial" w:hAnsi="Arial" w:cs="Arial"/>
          <w:sz w:val="24"/>
          <w:szCs w:val="24"/>
        </w:rPr>
      </w:pPr>
    </w:p>
    <w:p w14:paraId="1C6D48FE" w14:textId="77777777" w:rsidR="009D7CB8" w:rsidRDefault="001C62F7" w:rsidP="007945E7">
      <w:pPr>
        <w:pStyle w:val="NoSpacing"/>
        <w:rPr>
          <w:rFonts w:ascii="Arial" w:hAnsi="Arial" w:cs="Arial"/>
          <w:sz w:val="24"/>
          <w:szCs w:val="24"/>
        </w:rPr>
      </w:pPr>
      <w:r>
        <w:rPr>
          <w:rFonts w:ascii="Arial" w:hAnsi="Arial" w:cs="Arial"/>
          <w:sz w:val="24"/>
          <w:szCs w:val="24"/>
        </w:rPr>
        <w:t xml:space="preserve">Not </w:t>
      </w:r>
      <w:r w:rsidR="00716C4A">
        <w:rPr>
          <w:rFonts w:ascii="Arial" w:hAnsi="Arial" w:cs="Arial"/>
          <w:sz w:val="24"/>
          <w:szCs w:val="24"/>
        </w:rPr>
        <w:t>e</w:t>
      </w:r>
      <w:r>
        <w:rPr>
          <w:rFonts w:ascii="Arial" w:hAnsi="Arial" w:cs="Arial"/>
          <w:sz w:val="24"/>
          <w:szCs w:val="24"/>
        </w:rPr>
        <w:t xml:space="preserve">very traveller </w:t>
      </w:r>
      <w:r w:rsidR="009D7CB8">
        <w:rPr>
          <w:rFonts w:ascii="Arial" w:hAnsi="Arial" w:cs="Arial"/>
          <w:sz w:val="24"/>
          <w:szCs w:val="24"/>
        </w:rPr>
        <w:t xml:space="preserve">from the United Kingdom </w:t>
      </w:r>
      <w:r>
        <w:rPr>
          <w:rFonts w:ascii="Arial" w:hAnsi="Arial" w:cs="Arial"/>
          <w:sz w:val="24"/>
          <w:szCs w:val="24"/>
        </w:rPr>
        <w:t>to countries where the TBE virus is present will be at risk, some activities are associated with increased exposure risk</w:t>
      </w:r>
      <w:r w:rsidR="009D7CB8">
        <w:rPr>
          <w:rFonts w:ascii="Arial" w:hAnsi="Arial" w:cs="Arial"/>
          <w:sz w:val="24"/>
          <w:szCs w:val="24"/>
        </w:rPr>
        <w:t xml:space="preserve">.  As infected ticks are </w:t>
      </w:r>
      <w:r w:rsidR="00716C4A">
        <w:rPr>
          <w:rFonts w:ascii="Arial" w:hAnsi="Arial" w:cs="Arial"/>
          <w:sz w:val="24"/>
          <w:szCs w:val="24"/>
        </w:rPr>
        <w:t xml:space="preserve">largely </w:t>
      </w:r>
      <w:r w:rsidR="009D7CB8">
        <w:rPr>
          <w:rFonts w:ascii="Arial" w:hAnsi="Arial" w:cs="Arial"/>
          <w:sz w:val="24"/>
          <w:szCs w:val="24"/>
        </w:rPr>
        <w:t>found in woodland habitats and their immediate surroundings and grasslands</w:t>
      </w:r>
      <w:r w:rsidR="00716C4A">
        <w:rPr>
          <w:rFonts w:ascii="Arial" w:hAnsi="Arial" w:cs="Arial"/>
          <w:sz w:val="24"/>
          <w:szCs w:val="24"/>
        </w:rPr>
        <w:t xml:space="preserve"> undertaking</w:t>
      </w:r>
      <w:r w:rsidR="009D7CB8">
        <w:rPr>
          <w:rFonts w:ascii="Arial" w:hAnsi="Arial" w:cs="Arial"/>
          <w:sz w:val="24"/>
          <w:szCs w:val="24"/>
        </w:rPr>
        <w:t xml:space="preserve"> activities in these areas, such as; rambling, cycling, camping, fishing, hunting and military exercises, increase the potential for exposure. (ECDC 2018).    </w:t>
      </w:r>
    </w:p>
    <w:p w14:paraId="2795E708" w14:textId="77777777" w:rsidR="009D7CB8" w:rsidRDefault="009D7CB8" w:rsidP="007945E7">
      <w:pPr>
        <w:pStyle w:val="NoSpacing"/>
        <w:rPr>
          <w:rFonts w:ascii="Arial" w:hAnsi="Arial" w:cs="Arial"/>
          <w:sz w:val="24"/>
          <w:szCs w:val="24"/>
        </w:rPr>
      </w:pPr>
    </w:p>
    <w:p w14:paraId="3CCCDE92" w14:textId="77777777" w:rsidR="009D7CB8" w:rsidRDefault="009D7CB8" w:rsidP="007945E7">
      <w:pPr>
        <w:pStyle w:val="NoSpacing"/>
        <w:rPr>
          <w:rFonts w:ascii="Arial" w:hAnsi="Arial" w:cs="Arial"/>
          <w:sz w:val="24"/>
          <w:szCs w:val="24"/>
        </w:rPr>
      </w:pPr>
      <w:r>
        <w:rPr>
          <w:rFonts w:ascii="Arial" w:hAnsi="Arial" w:cs="Arial"/>
          <w:sz w:val="24"/>
          <w:szCs w:val="24"/>
        </w:rPr>
        <w:t xml:space="preserve">While sporadic cases have occurred in colder seasons, increased tick activity is associated with wet summers and mild winters, though for each country you should always refer to the country specific advice in order to advice your patient appropriately (Travel Health Pro, 2017b). </w:t>
      </w:r>
    </w:p>
    <w:p w14:paraId="1A835784" w14:textId="77777777" w:rsidR="00A156E2" w:rsidRDefault="00A156E2" w:rsidP="007945E7">
      <w:pPr>
        <w:pStyle w:val="NoSpacing"/>
        <w:rPr>
          <w:rFonts w:ascii="Arial" w:hAnsi="Arial" w:cs="Arial"/>
          <w:sz w:val="24"/>
          <w:szCs w:val="24"/>
        </w:rPr>
      </w:pPr>
    </w:p>
    <w:p w14:paraId="3BC11994" w14:textId="77777777" w:rsidR="001C62F7" w:rsidRDefault="009D7CB8" w:rsidP="007945E7">
      <w:pPr>
        <w:pStyle w:val="NoSpacing"/>
        <w:rPr>
          <w:rFonts w:ascii="Arial" w:hAnsi="Arial" w:cs="Arial"/>
          <w:sz w:val="24"/>
          <w:szCs w:val="24"/>
        </w:rPr>
      </w:pPr>
      <w:r>
        <w:rPr>
          <w:rFonts w:ascii="Arial" w:hAnsi="Arial" w:cs="Arial"/>
          <w:sz w:val="24"/>
          <w:szCs w:val="24"/>
        </w:rPr>
        <w:lastRenderedPageBreak/>
        <w:t>In addition as there is potential transmission of TBE from unpasteurised milk or milk products in affected areas, knowingly consuming these presents a risk to the traveller (ECDC 2018).</w:t>
      </w:r>
    </w:p>
    <w:p w14:paraId="79FF0633" w14:textId="77777777" w:rsidR="009D7CB8" w:rsidRDefault="009D7CB8" w:rsidP="007945E7">
      <w:pPr>
        <w:pStyle w:val="NoSpacing"/>
        <w:rPr>
          <w:rFonts w:ascii="Arial" w:hAnsi="Arial" w:cs="Arial"/>
          <w:sz w:val="24"/>
          <w:szCs w:val="24"/>
        </w:rPr>
      </w:pPr>
    </w:p>
    <w:p w14:paraId="479DBEA6" w14:textId="77777777" w:rsidR="00A156E2" w:rsidRDefault="00A156E2" w:rsidP="007945E7">
      <w:pPr>
        <w:pStyle w:val="NoSpacing"/>
        <w:rPr>
          <w:rFonts w:ascii="Arial" w:hAnsi="Arial" w:cs="Arial"/>
          <w:sz w:val="24"/>
          <w:szCs w:val="24"/>
        </w:rPr>
      </w:pPr>
      <w:r>
        <w:rPr>
          <w:rFonts w:ascii="Arial" w:hAnsi="Arial" w:cs="Arial"/>
          <w:sz w:val="24"/>
          <w:szCs w:val="24"/>
        </w:rPr>
        <w:t>It is also worth noting that many countries where there is high risk of transmission (see map above) are those of Western and Central Europe that do not usually result in traveller seeking pre-travel advice. For example from experience someone travelling to an international scouting jamboree in the Czech Republic in 2006 was advised by the organising group that they needed to be up to date with UK schedule vaccines only.</w:t>
      </w:r>
    </w:p>
    <w:p w14:paraId="09A7C458" w14:textId="77777777" w:rsidR="00F37160" w:rsidRPr="007945E7" w:rsidRDefault="00F37160" w:rsidP="007945E7">
      <w:pPr>
        <w:pStyle w:val="NoSpacing"/>
        <w:rPr>
          <w:rFonts w:ascii="Arial" w:hAnsi="Arial" w:cs="Arial"/>
          <w:sz w:val="24"/>
          <w:szCs w:val="24"/>
        </w:rPr>
      </w:pPr>
    </w:p>
    <w:p w14:paraId="042415E0" w14:textId="77777777" w:rsidR="00806042" w:rsidRPr="004A5F62" w:rsidRDefault="00F37160" w:rsidP="007945E7">
      <w:pPr>
        <w:pStyle w:val="NoSpacing"/>
        <w:rPr>
          <w:rFonts w:ascii="Arial" w:hAnsi="Arial" w:cs="Arial"/>
          <w:b/>
          <w:sz w:val="24"/>
          <w:szCs w:val="24"/>
        </w:rPr>
      </w:pPr>
      <w:r w:rsidRPr="004A5F62">
        <w:rPr>
          <w:rFonts w:ascii="Arial" w:hAnsi="Arial" w:cs="Arial"/>
          <w:b/>
          <w:sz w:val="24"/>
          <w:szCs w:val="24"/>
        </w:rPr>
        <w:t>How can an individual protect themselves?</w:t>
      </w:r>
    </w:p>
    <w:p w14:paraId="7767E4CC" w14:textId="77777777" w:rsidR="00806042" w:rsidRDefault="00806042" w:rsidP="007945E7">
      <w:pPr>
        <w:pStyle w:val="NoSpacing"/>
        <w:rPr>
          <w:rFonts w:ascii="Arial" w:hAnsi="Arial" w:cs="Arial"/>
          <w:sz w:val="24"/>
          <w:szCs w:val="24"/>
        </w:rPr>
      </w:pPr>
    </w:p>
    <w:p w14:paraId="67C16FAD" w14:textId="77777777" w:rsidR="00A156E2" w:rsidRDefault="00A156E2" w:rsidP="007945E7">
      <w:pPr>
        <w:pStyle w:val="NoSpacing"/>
        <w:rPr>
          <w:rFonts w:ascii="Arial" w:hAnsi="Arial" w:cs="Arial"/>
          <w:sz w:val="24"/>
          <w:szCs w:val="24"/>
        </w:rPr>
      </w:pPr>
      <w:r>
        <w:rPr>
          <w:rFonts w:ascii="Arial" w:hAnsi="Arial" w:cs="Arial"/>
          <w:sz w:val="24"/>
          <w:szCs w:val="24"/>
        </w:rPr>
        <w:t xml:space="preserve">Wear </w:t>
      </w:r>
      <w:r w:rsidR="00651C1F">
        <w:rPr>
          <w:rFonts w:ascii="Arial" w:hAnsi="Arial" w:cs="Arial"/>
          <w:sz w:val="24"/>
          <w:szCs w:val="24"/>
        </w:rPr>
        <w:t xml:space="preserve">suitable protective clothing, </w:t>
      </w:r>
      <w:r w:rsidR="00806042">
        <w:rPr>
          <w:rFonts w:ascii="Arial" w:hAnsi="Arial" w:cs="Arial"/>
          <w:sz w:val="24"/>
          <w:szCs w:val="24"/>
        </w:rPr>
        <w:t xml:space="preserve">for example </w:t>
      </w:r>
      <w:r w:rsidR="00651C1F">
        <w:rPr>
          <w:rFonts w:ascii="Arial" w:hAnsi="Arial" w:cs="Arial"/>
          <w:sz w:val="24"/>
          <w:szCs w:val="24"/>
        </w:rPr>
        <w:t>long sleeved tops</w:t>
      </w:r>
      <w:r w:rsidR="00806042">
        <w:rPr>
          <w:rFonts w:ascii="Arial" w:hAnsi="Arial" w:cs="Arial"/>
          <w:sz w:val="24"/>
          <w:szCs w:val="24"/>
        </w:rPr>
        <w:t xml:space="preserve"> and</w:t>
      </w:r>
      <w:r w:rsidR="00651C1F">
        <w:rPr>
          <w:rFonts w:ascii="Arial" w:hAnsi="Arial" w:cs="Arial"/>
          <w:sz w:val="24"/>
          <w:szCs w:val="24"/>
        </w:rPr>
        <w:t xml:space="preserve"> long trousers – tucked into socks</w:t>
      </w:r>
      <w:r w:rsidR="00806042">
        <w:rPr>
          <w:rFonts w:ascii="Arial" w:hAnsi="Arial" w:cs="Arial"/>
          <w:sz w:val="24"/>
          <w:szCs w:val="24"/>
        </w:rPr>
        <w:t>,</w:t>
      </w:r>
      <w:r w:rsidR="00651C1F">
        <w:rPr>
          <w:rFonts w:ascii="Arial" w:hAnsi="Arial" w:cs="Arial"/>
          <w:sz w:val="24"/>
          <w:szCs w:val="24"/>
        </w:rPr>
        <w:t xml:space="preserve"> reduces the skin exposure, in addition clothing that is impregnated with insect repellent either purchased or self-treated works quite effectively (though can be expensive) when used as an adjunct to other measures</w:t>
      </w:r>
      <w:r w:rsidR="00B63225">
        <w:rPr>
          <w:rFonts w:ascii="Arial" w:hAnsi="Arial" w:cs="Arial"/>
          <w:sz w:val="24"/>
          <w:szCs w:val="24"/>
        </w:rPr>
        <w:t>. It would be wise to check clothing, including shoes and bags before entering buildings. (WHO 2011)</w:t>
      </w:r>
      <w:r w:rsidR="00651C1F">
        <w:rPr>
          <w:rFonts w:ascii="Arial" w:hAnsi="Arial" w:cs="Arial"/>
          <w:sz w:val="24"/>
          <w:szCs w:val="24"/>
        </w:rPr>
        <w:t>.</w:t>
      </w:r>
    </w:p>
    <w:p w14:paraId="02E62C93" w14:textId="77777777" w:rsidR="00651C1F" w:rsidRDefault="00651C1F" w:rsidP="007945E7">
      <w:pPr>
        <w:pStyle w:val="NoSpacing"/>
        <w:rPr>
          <w:rFonts w:ascii="Arial" w:hAnsi="Arial" w:cs="Arial"/>
          <w:sz w:val="24"/>
          <w:szCs w:val="24"/>
        </w:rPr>
      </w:pPr>
    </w:p>
    <w:p w14:paraId="5348A605" w14:textId="77777777" w:rsidR="00A156E2" w:rsidRDefault="00A156E2" w:rsidP="007945E7">
      <w:pPr>
        <w:pStyle w:val="NoSpacing"/>
        <w:rPr>
          <w:rFonts w:ascii="Arial" w:hAnsi="Arial" w:cs="Arial"/>
          <w:sz w:val="24"/>
          <w:szCs w:val="24"/>
        </w:rPr>
      </w:pPr>
      <w:r>
        <w:rPr>
          <w:rFonts w:ascii="Arial" w:hAnsi="Arial" w:cs="Arial"/>
          <w:sz w:val="24"/>
          <w:szCs w:val="24"/>
        </w:rPr>
        <w:t>Check skin after potential exposure.  Ticks crawl onto skin or clothing in order to find a suitable place to attach themselves and feed, places to be aware of are skin folds, groin, under arms, the scalp line and at the edges of underclothing.  Regular and careful examination of skin for the small black ticks, often no bigger than a speck of dust before they have fed which when they become engorged and can be the size of a coffee bean, and careful removal as soon as possible is essential.</w:t>
      </w:r>
      <w:r w:rsidR="00B63225">
        <w:rPr>
          <w:rFonts w:ascii="Arial" w:hAnsi="Arial" w:cs="Arial"/>
          <w:sz w:val="24"/>
          <w:szCs w:val="24"/>
        </w:rPr>
        <w:t xml:space="preserve">  (Travel Health Pro 2017a)</w:t>
      </w:r>
      <w:r>
        <w:rPr>
          <w:rFonts w:ascii="Arial" w:hAnsi="Arial" w:cs="Arial"/>
          <w:sz w:val="24"/>
          <w:szCs w:val="24"/>
        </w:rPr>
        <w:t xml:space="preserve">  Getting someone else to look at areas you cannot see yourself </w:t>
      </w:r>
      <w:r w:rsidR="00651C1F">
        <w:rPr>
          <w:rFonts w:ascii="Arial" w:hAnsi="Arial" w:cs="Arial"/>
          <w:sz w:val="24"/>
          <w:szCs w:val="24"/>
        </w:rPr>
        <w:t>is also a good idea.</w:t>
      </w:r>
    </w:p>
    <w:p w14:paraId="2515E483" w14:textId="77777777" w:rsidR="009D7CB8" w:rsidRDefault="009D7CB8" w:rsidP="007945E7">
      <w:pPr>
        <w:pStyle w:val="NoSpacing"/>
        <w:rPr>
          <w:rFonts w:ascii="Arial" w:hAnsi="Arial" w:cs="Arial"/>
          <w:sz w:val="24"/>
          <w:szCs w:val="24"/>
        </w:rPr>
      </w:pPr>
    </w:p>
    <w:p w14:paraId="53EC4623" w14:textId="77777777" w:rsidR="00A156E2" w:rsidRPr="00B63225" w:rsidRDefault="00A156E2" w:rsidP="00B6322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Tick removal </w:t>
      </w:r>
      <w:r w:rsidR="00B63225">
        <w:rPr>
          <w:rFonts w:ascii="Arial" w:hAnsi="Arial" w:cs="Arial"/>
          <w:sz w:val="24"/>
          <w:szCs w:val="24"/>
        </w:rPr>
        <w:t xml:space="preserve">should be undertaken as quickly as possible after identification of the tick.  </w:t>
      </w:r>
      <w:r w:rsidR="00B63225" w:rsidRPr="00B63225">
        <w:rPr>
          <w:rFonts w:ascii="Arial" w:hAnsi="Arial" w:cs="Arial"/>
          <w:sz w:val="24"/>
          <w:szCs w:val="24"/>
        </w:rPr>
        <w:t>An attached tick should be removed using tweezers</w:t>
      </w:r>
      <w:r w:rsidR="00B63225">
        <w:rPr>
          <w:rFonts w:ascii="Arial" w:hAnsi="Arial" w:cs="Arial"/>
          <w:sz w:val="24"/>
          <w:szCs w:val="24"/>
        </w:rPr>
        <w:t xml:space="preserve"> or</w:t>
      </w:r>
      <w:r w:rsidR="00B63225" w:rsidRPr="00B63225">
        <w:rPr>
          <w:rFonts w:ascii="Arial" w:hAnsi="Arial" w:cs="Arial"/>
          <w:sz w:val="24"/>
          <w:szCs w:val="24"/>
        </w:rPr>
        <w:t xml:space="preserve"> fine</w:t>
      </w:r>
      <w:r w:rsidR="00B63225">
        <w:rPr>
          <w:rFonts w:ascii="Arial" w:hAnsi="Arial" w:cs="Arial"/>
          <w:sz w:val="24"/>
          <w:szCs w:val="24"/>
        </w:rPr>
        <w:t xml:space="preserve"> </w:t>
      </w:r>
      <w:r w:rsidR="00B63225" w:rsidRPr="00B63225">
        <w:rPr>
          <w:rFonts w:ascii="Arial" w:hAnsi="Arial" w:cs="Arial"/>
          <w:sz w:val="24"/>
          <w:szCs w:val="24"/>
        </w:rPr>
        <w:t>pointed</w:t>
      </w:r>
      <w:r w:rsidR="00B63225">
        <w:rPr>
          <w:rFonts w:ascii="Arial" w:hAnsi="Arial" w:cs="Arial"/>
          <w:sz w:val="24"/>
          <w:szCs w:val="24"/>
        </w:rPr>
        <w:t xml:space="preserve"> </w:t>
      </w:r>
      <w:r w:rsidR="00B63225" w:rsidRPr="00B63225">
        <w:rPr>
          <w:rFonts w:ascii="Arial" w:hAnsi="Arial" w:cs="Arial"/>
          <w:sz w:val="24"/>
          <w:szCs w:val="24"/>
        </w:rPr>
        <w:t>forceps, grasping it as closely as possible to where</w:t>
      </w:r>
      <w:r w:rsidR="00B63225">
        <w:rPr>
          <w:rFonts w:ascii="Arial" w:hAnsi="Arial" w:cs="Arial"/>
          <w:sz w:val="24"/>
          <w:szCs w:val="24"/>
        </w:rPr>
        <w:t xml:space="preserve"> </w:t>
      </w:r>
      <w:r w:rsidR="00B63225" w:rsidRPr="00B63225">
        <w:rPr>
          <w:rFonts w:ascii="Arial" w:hAnsi="Arial" w:cs="Arial"/>
          <w:sz w:val="24"/>
          <w:szCs w:val="24"/>
        </w:rPr>
        <w:t>it is attached to the skin and pulling it gently upwards, trying</w:t>
      </w:r>
      <w:r w:rsidR="00B63225">
        <w:rPr>
          <w:rFonts w:ascii="Arial" w:hAnsi="Arial" w:cs="Arial"/>
          <w:sz w:val="24"/>
          <w:szCs w:val="24"/>
        </w:rPr>
        <w:t xml:space="preserve"> </w:t>
      </w:r>
      <w:r w:rsidR="00B63225" w:rsidRPr="00B63225">
        <w:rPr>
          <w:rFonts w:ascii="Arial" w:hAnsi="Arial" w:cs="Arial"/>
          <w:sz w:val="24"/>
          <w:szCs w:val="24"/>
        </w:rPr>
        <w:t xml:space="preserve">not to break off the mouth parts. </w:t>
      </w:r>
      <w:r w:rsidR="00B63225">
        <w:rPr>
          <w:rFonts w:ascii="Arial" w:hAnsi="Arial" w:cs="Arial"/>
          <w:sz w:val="24"/>
          <w:szCs w:val="24"/>
        </w:rPr>
        <w:t>It is possible to purchase tick removers, a hook like tool or card in pet stores in UK or on line from a number of sources. Once removed from the s</w:t>
      </w:r>
      <w:r w:rsidR="00B63225" w:rsidRPr="00B63225">
        <w:rPr>
          <w:rFonts w:ascii="Arial" w:hAnsi="Arial" w:cs="Arial"/>
          <w:sz w:val="24"/>
          <w:szCs w:val="24"/>
        </w:rPr>
        <w:t xml:space="preserve">kin </w:t>
      </w:r>
      <w:r w:rsidR="00B63225">
        <w:rPr>
          <w:rFonts w:ascii="Arial" w:hAnsi="Arial" w:cs="Arial"/>
          <w:sz w:val="24"/>
          <w:szCs w:val="24"/>
        </w:rPr>
        <w:t xml:space="preserve">apply </w:t>
      </w:r>
      <w:r w:rsidR="00B63225" w:rsidRPr="00B63225">
        <w:rPr>
          <w:rFonts w:ascii="Arial" w:hAnsi="Arial" w:cs="Arial"/>
          <w:sz w:val="24"/>
          <w:szCs w:val="24"/>
        </w:rPr>
        <w:t xml:space="preserve">disinfectant </w:t>
      </w:r>
      <w:r w:rsidR="00B63225">
        <w:rPr>
          <w:rFonts w:ascii="Arial" w:hAnsi="Arial" w:cs="Arial"/>
          <w:sz w:val="24"/>
          <w:szCs w:val="24"/>
        </w:rPr>
        <w:t xml:space="preserve">to the area </w:t>
      </w:r>
      <w:r w:rsidR="00B63225" w:rsidRPr="00B63225">
        <w:rPr>
          <w:rFonts w:ascii="Arial" w:hAnsi="Arial" w:cs="Arial"/>
          <w:sz w:val="24"/>
          <w:szCs w:val="24"/>
        </w:rPr>
        <w:t>of the tick</w:t>
      </w:r>
      <w:r w:rsidR="00B63225">
        <w:rPr>
          <w:rFonts w:ascii="Arial" w:hAnsi="Arial" w:cs="Arial"/>
          <w:sz w:val="24"/>
          <w:szCs w:val="24"/>
        </w:rPr>
        <w:t xml:space="preserve"> bite</w:t>
      </w:r>
      <w:r w:rsidR="00B63225" w:rsidRPr="00B63225">
        <w:rPr>
          <w:rFonts w:ascii="Arial" w:hAnsi="Arial" w:cs="Arial"/>
          <w:sz w:val="24"/>
          <w:szCs w:val="24"/>
        </w:rPr>
        <w:t xml:space="preserve"> to prevent infection.</w:t>
      </w:r>
      <w:r w:rsidR="00B63225">
        <w:rPr>
          <w:rFonts w:ascii="Arial" w:hAnsi="Arial" w:cs="Arial"/>
          <w:sz w:val="24"/>
          <w:szCs w:val="24"/>
        </w:rPr>
        <w:t xml:space="preserve"> (WHO, 2011)  </w:t>
      </w:r>
    </w:p>
    <w:p w14:paraId="2A4B90AC" w14:textId="77777777" w:rsidR="00A156E2" w:rsidRDefault="00A156E2" w:rsidP="007945E7">
      <w:pPr>
        <w:pStyle w:val="NoSpacing"/>
        <w:rPr>
          <w:rFonts w:ascii="Arial" w:hAnsi="Arial" w:cs="Arial"/>
          <w:sz w:val="24"/>
          <w:szCs w:val="24"/>
        </w:rPr>
      </w:pPr>
    </w:p>
    <w:p w14:paraId="2FF9D5CD" w14:textId="77777777" w:rsidR="00A156E2" w:rsidRDefault="00A156E2" w:rsidP="007945E7">
      <w:pPr>
        <w:pStyle w:val="NoSpacing"/>
        <w:rPr>
          <w:rFonts w:ascii="Arial" w:hAnsi="Arial" w:cs="Arial"/>
          <w:sz w:val="24"/>
          <w:szCs w:val="24"/>
        </w:rPr>
      </w:pPr>
      <w:r>
        <w:rPr>
          <w:rFonts w:ascii="Arial" w:hAnsi="Arial" w:cs="Arial"/>
          <w:sz w:val="24"/>
          <w:szCs w:val="24"/>
        </w:rPr>
        <w:t>Avoid consuming unpasteurised milk products</w:t>
      </w:r>
      <w:r w:rsidR="00651C1F">
        <w:rPr>
          <w:rFonts w:ascii="Arial" w:hAnsi="Arial" w:cs="Arial"/>
          <w:sz w:val="24"/>
          <w:szCs w:val="24"/>
        </w:rPr>
        <w:t xml:space="preserve"> in at risk areas</w:t>
      </w:r>
      <w:r>
        <w:rPr>
          <w:rFonts w:ascii="Arial" w:hAnsi="Arial" w:cs="Arial"/>
          <w:sz w:val="24"/>
          <w:szCs w:val="24"/>
        </w:rPr>
        <w:t>.</w:t>
      </w:r>
    </w:p>
    <w:p w14:paraId="1E8BDF9C" w14:textId="77777777" w:rsidR="00A156E2" w:rsidRDefault="00A156E2" w:rsidP="007945E7">
      <w:pPr>
        <w:pStyle w:val="NoSpacing"/>
        <w:rPr>
          <w:rFonts w:ascii="Arial" w:hAnsi="Arial" w:cs="Arial"/>
          <w:sz w:val="24"/>
          <w:szCs w:val="24"/>
        </w:rPr>
      </w:pPr>
    </w:p>
    <w:p w14:paraId="770E17BE" w14:textId="77777777" w:rsidR="00B63225" w:rsidRPr="00806042" w:rsidRDefault="00B63225" w:rsidP="007945E7">
      <w:pPr>
        <w:pStyle w:val="NoSpacing"/>
        <w:rPr>
          <w:rFonts w:ascii="Arial" w:hAnsi="Arial" w:cs="Arial"/>
          <w:sz w:val="24"/>
          <w:szCs w:val="24"/>
        </w:rPr>
      </w:pPr>
      <w:r>
        <w:rPr>
          <w:rFonts w:ascii="Arial" w:hAnsi="Arial" w:cs="Arial"/>
          <w:sz w:val="24"/>
          <w:szCs w:val="24"/>
        </w:rPr>
        <w:t xml:space="preserve">Medical attention should be sought </w:t>
      </w:r>
      <w:r w:rsidR="00806042">
        <w:rPr>
          <w:rFonts w:ascii="Arial" w:hAnsi="Arial" w:cs="Arial"/>
          <w:sz w:val="24"/>
          <w:szCs w:val="24"/>
        </w:rPr>
        <w:t xml:space="preserve">as soon as possible </w:t>
      </w:r>
      <w:r>
        <w:rPr>
          <w:rFonts w:ascii="Arial" w:hAnsi="Arial" w:cs="Arial"/>
          <w:sz w:val="24"/>
          <w:szCs w:val="24"/>
        </w:rPr>
        <w:t xml:space="preserve">if </w:t>
      </w:r>
      <w:r w:rsidR="00806042">
        <w:rPr>
          <w:rFonts w:ascii="Arial" w:hAnsi="Arial" w:cs="Arial"/>
          <w:sz w:val="24"/>
          <w:szCs w:val="24"/>
        </w:rPr>
        <w:t xml:space="preserve">signs of illness occurs within 28 days of a tick bite (Travel Health Pro, 2017a).  </w:t>
      </w:r>
      <w:r w:rsidR="00806042" w:rsidRPr="00806042">
        <w:rPr>
          <w:rFonts w:ascii="Arial" w:hAnsi="Arial" w:cs="Arial"/>
          <w:color w:val="000000"/>
          <w:sz w:val="24"/>
          <w:szCs w:val="24"/>
        </w:rPr>
        <w:t>A history of tick bite may be a clue to this diagnosis; however, approximately 30% of TBE patients do not recall a tick bite</w:t>
      </w:r>
      <w:r w:rsidR="00806042">
        <w:rPr>
          <w:rFonts w:ascii="Arial" w:hAnsi="Arial" w:cs="Arial"/>
          <w:color w:val="000000"/>
          <w:sz w:val="24"/>
          <w:szCs w:val="24"/>
        </w:rPr>
        <w:t xml:space="preserve"> (CDC, 2017)</w:t>
      </w:r>
    </w:p>
    <w:p w14:paraId="72B1DD70" w14:textId="77777777" w:rsidR="00806042" w:rsidRDefault="00806042" w:rsidP="007945E7">
      <w:pPr>
        <w:pStyle w:val="NoSpacing"/>
        <w:rPr>
          <w:rFonts w:ascii="Arial" w:hAnsi="Arial" w:cs="Arial"/>
          <w:sz w:val="24"/>
          <w:szCs w:val="24"/>
        </w:rPr>
      </w:pPr>
    </w:p>
    <w:p w14:paraId="2C8916FD" w14:textId="77777777" w:rsidR="009D7CB8" w:rsidRPr="004A5F62" w:rsidRDefault="009D7CB8" w:rsidP="007945E7">
      <w:pPr>
        <w:pStyle w:val="NoSpacing"/>
        <w:rPr>
          <w:rFonts w:ascii="Arial" w:hAnsi="Arial" w:cs="Arial"/>
          <w:b/>
          <w:sz w:val="24"/>
          <w:szCs w:val="24"/>
        </w:rPr>
      </w:pPr>
      <w:r w:rsidRPr="004A5F62">
        <w:rPr>
          <w:rFonts w:ascii="Arial" w:hAnsi="Arial" w:cs="Arial"/>
          <w:b/>
          <w:sz w:val="24"/>
          <w:szCs w:val="24"/>
        </w:rPr>
        <w:t>Vaccination</w:t>
      </w:r>
    </w:p>
    <w:p w14:paraId="2243A0C8" w14:textId="77777777" w:rsidR="00806042" w:rsidRDefault="00806042" w:rsidP="007945E7">
      <w:pPr>
        <w:pStyle w:val="NoSpacing"/>
        <w:rPr>
          <w:rFonts w:ascii="Arial" w:hAnsi="Arial" w:cs="Arial"/>
          <w:sz w:val="24"/>
          <w:szCs w:val="24"/>
        </w:rPr>
      </w:pPr>
    </w:p>
    <w:p w14:paraId="177BED54" w14:textId="77777777" w:rsidR="00806042" w:rsidRDefault="00806042" w:rsidP="007945E7">
      <w:pPr>
        <w:pStyle w:val="NoSpacing"/>
        <w:rPr>
          <w:rFonts w:ascii="Arial" w:hAnsi="Arial" w:cs="Arial"/>
          <w:sz w:val="24"/>
          <w:szCs w:val="24"/>
        </w:rPr>
      </w:pPr>
      <w:r>
        <w:rPr>
          <w:rFonts w:ascii="Arial" w:hAnsi="Arial" w:cs="Arial"/>
          <w:sz w:val="24"/>
          <w:szCs w:val="24"/>
        </w:rPr>
        <w:t xml:space="preserve">Vaccination is recommended to anyone living in an area where TBE is endemic, ECDC (2012) report that in Austria vaccine coverage is in the region of 85% of the total population. </w:t>
      </w:r>
    </w:p>
    <w:p w14:paraId="084C6CBC" w14:textId="77777777" w:rsidR="00806042" w:rsidRDefault="00806042" w:rsidP="007945E7">
      <w:pPr>
        <w:pStyle w:val="NoSpacing"/>
        <w:rPr>
          <w:rFonts w:ascii="Arial" w:hAnsi="Arial" w:cs="Arial"/>
          <w:sz w:val="24"/>
          <w:szCs w:val="24"/>
        </w:rPr>
      </w:pPr>
    </w:p>
    <w:p w14:paraId="76F42B21" w14:textId="77777777" w:rsidR="00806042" w:rsidRDefault="00806042" w:rsidP="007945E7">
      <w:pPr>
        <w:pStyle w:val="NoSpacing"/>
        <w:rPr>
          <w:rFonts w:ascii="Arial" w:hAnsi="Arial" w:cs="Arial"/>
          <w:sz w:val="24"/>
          <w:szCs w:val="24"/>
        </w:rPr>
      </w:pPr>
      <w:r>
        <w:rPr>
          <w:rFonts w:ascii="Arial" w:hAnsi="Arial" w:cs="Arial"/>
          <w:sz w:val="24"/>
          <w:szCs w:val="24"/>
        </w:rPr>
        <w:lastRenderedPageBreak/>
        <w:t>In addition those at occupational risk would also be recommended vaccination this includes, laboratory workers who may be exposed to TBE, those in endemic areas working in forestry, farming or on military activities (Travel Health Pro 2017a).</w:t>
      </w:r>
    </w:p>
    <w:p w14:paraId="10279218" w14:textId="77777777" w:rsidR="00806042" w:rsidRDefault="00806042" w:rsidP="007945E7">
      <w:pPr>
        <w:pStyle w:val="NoSpacing"/>
        <w:rPr>
          <w:rFonts w:ascii="Arial" w:hAnsi="Arial" w:cs="Arial"/>
          <w:sz w:val="24"/>
          <w:szCs w:val="24"/>
        </w:rPr>
      </w:pPr>
    </w:p>
    <w:p w14:paraId="591C54FF" w14:textId="77777777" w:rsidR="00806042" w:rsidRPr="004A5F62" w:rsidRDefault="00806042" w:rsidP="007945E7">
      <w:pPr>
        <w:pStyle w:val="NoSpacing"/>
        <w:rPr>
          <w:rFonts w:ascii="Arial" w:hAnsi="Arial" w:cs="Arial"/>
          <w:sz w:val="24"/>
          <w:szCs w:val="24"/>
        </w:rPr>
      </w:pPr>
      <w:r w:rsidRPr="004A5F62">
        <w:rPr>
          <w:rFonts w:ascii="Arial" w:hAnsi="Arial" w:cs="Arial"/>
          <w:sz w:val="24"/>
          <w:szCs w:val="24"/>
        </w:rPr>
        <w:t>Vaccination is also available for travellers but this is not a NHS vaccine and is therefore administered as a private arrangement between the traveller and healthcare provider.</w:t>
      </w:r>
    </w:p>
    <w:p w14:paraId="2EF58FE8" w14:textId="77777777" w:rsidR="00806042" w:rsidRPr="004A5F62" w:rsidRDefault="00806042" w:rsidP="007945E7">
      <w:pPr>
        <w:pStyle w:val="NoSpacing"/>
        <w:rPr>
          <w:rFonts w:ascii="Arial" w:hAnsi="Arial" w:cs="Arial"/>
          <w:sz w:val="24"/>
          <w:szCs w:val="24"/>
        </w:rPr>
      </w:pPr>
    </w:p>
    <w:p w14:paraId="1D9E85E2" w14:textId="77777777" w:rsidR="00806042" w:rsidRPr="004A5F62" w:rsidRDefault="00806042" w:rsidP="007945E7">
      <w:pPr>
        <w:pStyle w:val="NoSpacing"/>
        <w:rPr>
          <w:rFonts w:ascii="Arial" w:hAnsi="Arial" w:cs="Arial"/>
          <w:sz w:val="24"/>
          <w:szCs w:val="24"/>
        </w:rPr>
      </w:pPr>
      <w:r w:rsidRPr="004A5F62">
        <w:rPr>
          <w:rFonts w:ascii="Arial" w:hAnsi="Arial" w:cs="Arial"/>
          <w:sz w:val="24"/>
          <w:szCs w:val="24"/>
        </w:rPr>
        <w:t xml:space="preserve">In UK there is </w:t>
      </w:r>
      <w:r w:rsidR="004A5F62" w:rsidRPr="004A5F62">
        <w:rPr>
          <w:rFonts w:ascii="Arial" w:hAnsi="Arial" w:cs="Arial"/>
          <w:sz w:val="24"/>
          <w:szCs w:val="24"/>
        </w:rPr>
        <w:t>are</w:t>
      </w:r>
      <w:r w:rsidRPr="004A5F62">
        <w:rPr>
          <w:rFonts w:ascii="Arial" w:hAnsi="Arial" w:cs="Arial"/>
          <w:sz w:val="24"/>
          <w:szCs w:val="24"/>
        </w:rPr>
        <w:t xml:space="preserve"> licensed adult and paediatric vaccine</w:t>
      </w:r>
      <w:r w:rsidR="004A5F62" w:rsidRPr="004A5F62">
        <w:rPr>
          <w:rFonts w:ascii="Arial" w:hAnsi="Arial" w:cs="Arial"/>
          <w:sz w:val="24"/>
          <w:szCs w:val="24"/>
        </w:rPr>
        <w:t>s available.</w:t>
      </w:r>
      <w:r w:rsidRPr="004A5F62">
        <w:rPr>
          <w:rFonts w:ascii="Arial" w:hAnsi="Arial" w:cs="Arial"/>
          <w:sz w:val="24"/>
          <w:szCs w:val="24"/>
        </w:rPr>
        <w:t xml:space="preserve"> </w:t>
      </w:r>
    </w:p>
    <w:p w14:paraId="6582F755" w14:textId="77777777" w:rsidR="004A5F62" w:rsidRPr="004A5F62" w:rsidRDefault="004A5F62" w:rsidP="004A5F62">
      <w:pPr>
        <w:pStyle w:val="NormalWeb"/>
        <w:spacing w:before="0" w:beforeAutospacing="0" w:after="143" w:afterAutospacing="0"/>
        <w:rPr>
          <w:rFonts w:ascii="Arial" w:hAnsi="Arial" w:cs="Arial"/>
          <w:color w:val="000000"/>
        </w:rPr>
      </w:pPr>
    </w:p>
    <w:p w14:paraId="6C57559D" w14:textId="77777777" w:rsidR="004A5F62" w:rsidRPr="004A5F62" w:rsidRDefault="004A5F62" w:rsidP="004A5F62">
      <w:pPr>
        <w:pStyle w:val="NormalWeb"/>
        <w:spacing w:before="0" w:beforeAutospacing="0" w:after="143" w:afterAutospacing="0"/>
        <w:rPr>
          <w:rFonts w:ascii="Arial" w:hAnsi="Arial" w:cs="Arial"/>
          <w:color w:val="000000"/>
        </w:rPr>
      </w:pPr>
      <w:r w:rsidRPr="004A5F62">
        <w:rPr>
          <w:rFonts w:ascii="Arial" w:hAnsi="Arial" w:cs="Arial"/>
          <w:color w:val="000000"/>
        </w:rPr>
        <w:t>Adult</w:t>
      </w:r>
    </w:p>
    <w:tbl>
      <w:tblPr>
        <w:tblW w:w="10365" w:type="dxa"/>
        <w:tblBorders>
          <w:top w:val="outset" w:sz="6" w:space="0" w:color="D9D9D9"/>
          <w:left w:val="outset" w:sz="6" w:space="0" w:color="D9D9D9"/>
          <w:bottom w:val="outset" w:sz="6" w:space="0" w:color="D9D9D9"/>
          <w:right w:val="outset" w:sz="6" w:space="0" w:color="D9D9D9"/>
        </w:tblBorders>
        <w:tblCellMar>
          <w:top w:w="30" w:type="dxa"/>
          <w:left w:w="30" w:type="dxa"/>
          <w:bottom w:w="30" w:type="dxa"/>
          <w:right w:w="30" w:type="dxa"/>
        </w:tblCellMar>
        <w:tblLook w:val="04A0" w:firstRow="1" w:lastRow="0" w:firstColumn="1" w:lastColumn="0" w:noHBand="0" w:noVBand="1"/>
      </w:tblPr>
      <w:tblGrid>
        <w:gridCol w:w="1969"/>
        <w:gridCol w:w="1140"/>
        <w:gridCol w:w="3628"/>
        <w:gridCol w:w="3628"/>
      </w:tblGrid>
      <w:tr w:rsidR="004A5F62" w:rsidRPr="004A5F62" w14:paraId="36EA5DC8" w14:textId="77777777" w:rsidTr="004A5F62">
        <w:tc>
          <w:tcPr>
            <w:tcW w:w="950" w:type="pct"/>
            <w:tcBorders>
              <w:top w:val="outset" w:sz="6" w:space="0" w:color="D9D9D9"/>
              <w:left w:val="outset" w:sz="6" w:space="0" w:color="D9D9D9"/>
              <w:bottom w:val="outset" w:sz="6" w:space="0" w:color="D9D9D9"/>
              <w:right w:val="outset" w:sz="6" w:space="0" w:color="D9D9D9"/>
            </w:tcBorders>
            <w:shd w:val="clear" w:color="auto" w:fill="auto"/>
            <w:hideMark/>
          </w:tcPr>
          <w:p w14:paraId="6D7C4ACA"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Basic Immunization</w:t>
            </w:r>
            <w:r w:rsidRPr="004A5F62">
              <w:rPr>
                <w:rFonts w:ascii="Arial" w:eastAsia="Times New Roman" w:hAnsi="Arial" w:cs="Arial"/>
                <w:sz w:val="24"/>
                <w:szCs w:val="24"/>
                <w:lang w:eastAsia="en-GB"/>
              </w:rPr>
              <w:t xml:space="preserve"> </w:t>
            </w:r>
          </w:p>
        </w:tc>
        <w:tc>
          <w:tcPr>
            <w:tcW w:w="550" w:type="pct"/>
            <w:tcBorders>
              <w:top w:val="outset" w:sz="6" w:space="0" w:color="D9D9D9"/>
              <w:left w:val="outset" w:sz="6" w:space="0" w:color="D9D9D9"/>
              <w:bottom w:val="outset" w:sz="6" w:space="0" w:color="D9D9D9"/>
              <w:right w:val="outset" w:sz="6" w:space="0" w:color="D9D9D9"/>
            </w:tcBorders>
            <w:shd w:val="clear" w:color="auto" w:fill="auto"/>
            <w:hideMark/>
          </w:tcPr>
          <w:p w14:paraId="544E10CE"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Dose</w:t>
            </w:r>
            <w:r w:rsidRPr="004A5F62">
              <w:rPr>
                <w:rFonts w:ascii="Arial" w:eastAsia="Times New Roman" w:hAnsi="Arial" w:cs="Arial"/>
                <w:sz w:val="24"/>
                <w:szCs w:val="24"/>
                <w:lang w:eastAsia="en-GB"/>
              </w:rPr>
              <w:t xml:space="preserve"> </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51E79E8E"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Conventional Schedule</w:t>
            </w:r>
            <w:r w:rsidRPr="004A5F62">
              <w:rPr>
                <w:rFonts w:ascii="Arial" w:eastAsia="Times New Roman" w:hAnsi="Arial" w:cs="Arial"/>
                <w:sz w:val="24"/>
                <w:szCs w:val="24"/>
                <w:lang w:eastAsia="en-GB"/>
              </w:rPr>
              <w:t xml:space="preserve"> </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3DBA80C2"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Rapid Immunization Schedule</w:t>
            </w:r>
            <w:r w:rsidRPr="004A5F62">
              <w:rPr>
                <w:rFonts w:ascii="Arial" w:eastAsia="Times New Roman" w:hAnsi="Arial" w:cs="Arial"/>
                <w:sz w:val="24"/>
                <w:szCs w:val="24"/>
                <w:lang w:eastAsia="en-GB"/>
              </w:rPr>
              <w:t xml:space="preserve"> </w:t>
            </w:r>
          </w:p>
        </w:tc>
      </w:tr>
      <w:tr w:rsidR="004A5F62" w:rsidRPr="004A5F62" w14:paraId="2E7D0425" w14:textId="77777777" w:rsidTr="004A5F62">
        <w:tc>
          <w:tcPr>
            <w:tcW w:w="950" w:type="pct"/>
            <w:tcBorders>
              <w:top w:val="outset" w:sz="6" w:space="0" w:color="D9D9D9"/>
              <w:left w:val="outset" w:sz="6" w:space="0" w:color="D9D9D9"/>
              <w:bottom w:val="outset" w:sz="6" w:space="0" w:color="D9D9D9"/>
              <w:right w:val="outset" w:sz="6" w:space="0" w:color="D9D9D9"/>
            </w:tcBorders>
            <w:shd w:val="clear" w:color="auto" w:fill="auto"/>
            <w:hideMark/>
          </w:tcPr>
          <w:p w14:paraId="581C8A30"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1</w:t>
            </w:r>
            <w:r w:rsidRPr="004A5F62">
              <w:rPr>
                <w:rFonts w:ascii="Arial" w:eastAsia="Times New Roman" w:hAnsi="Arial" w:cs="Arial"/>
                <w:sz w:val="24"/>
                <w:szCs w:val="24"/>
                <w:vertAlign w:val="superscript"/>
                <w:lang w:eastAsia="en-GB"/>
              </w:rPr>
              <w:t>st</w:t>
            </w:r>
            <w:r w:rsidRPr="004A5F62">
              <w:rPr>
                <w:rFonts w:ascii="Arial" w:eastAsia="Times New Roman" w:hAnsi="Arial" w:cs="Arial"/>
                <w:sz w:val="24"/>
                <w:szCs w:val="24"/>
                <w:lang w:eastAsia="en-GB"/>
              </w:rPr>
              <w:t xml:space="preserve"> dose</w:t>
            </w:r>
          </w:p>
        </w:tc>
        <w:tc>
          <w:tcPr>
            <w:tcW w:w="550" w:type="pct"/>
            <w:tcBorders>
              <w:top w:val="outset" w:sz="6" w:space="0" w:color="D9D9D9"/>
              <w:left w:val="outset" w:sz="6" w:space="0" w:color="D9D9D9"/>
              <w:bottom w:val="outset" w:sz="6" w:space="0" w:color="D9D9D9"/>
              <w:right w:val="outset" w:sz="6" w:space="0" w:color="D9D9D9"/>
            </w:tcBorders>
            <w:shd w:val="clear" w:color="auto" w:fill="auto"/>
            <w:hideMark/>
          </w:tcPr>
          <w:p w14:paraId="59EE26AE"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0.5 ml </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204ED9D9"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Elected date</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0C081E3F"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Elected date</w:t>
            </w:r>
          </w:p>
        </w:tc>
      </w:tr>
      <w:tr w:rsidR="004A5F62" w:rsidRPr="004A5F62" w14:paraId="69CC07BC" w14:textId="77777777" w:rsidTr="004A5F62">
        <w:tc>
          <w:tcPr>
            <w:tcW w:w="950" w:type="pct"/>
            <w:tcBorders>
              <w:top w:val="outset" w:sz="6" w:space="0" w:color="D9D9D9"/>
              <w:left w:val="outset" w:sz="6" w:space="0" w:color="D9D9D9"/>
              <w:bottom w:val="outset" w:sz="6" w:space="0" w:color="D9D9D9"/>
              <w:right w:val="outset" w:sz="6" w:space="0" w:color="D9D9D9"/>
            </w:tcBorders>
            <w:shd w:val="clear" w:color="auto" w:fill="auto"/>
            <w:hideMark/>
          </w:tcPr>
          <w:p w14:paraId="0D14CE32"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2</w:t>
            </w:r>
            <w:r w:rsidRPr="004A5F62">
              <w:rPr>
                <w:rFonts w:ascii="Arial" w:eastAsia="Times New Roman" w:hAnsi="Arial" w:cs="Arial"/>
                <w:sz w:val="24"/>
                <w:szCs w:val="24"/>
                <w:vertAlign w:val="superscript"/>
                <w:lang w:eastAsia="en-GB"/>
              </w:rPr>
              <w:t>nd</w:t>
            </w:r>
            <w:r w:rsidRPr="004A5F62">
              <w:rPr>
                <w:rFonts w:ascii="Arial" w:eastAsia="Times New Roman" w:hAnsi="Arial" w:cs="Arial"/>
                <w:sz w:val="24"/>
                <w:szCs w:val="24"/>
                <w:lang w:eastAsia="en-GB"/>
              </w:rPr>
              <w:t xml:space="preserve"> dose</w:t>
            </w:r>
          </w:p>
        </w:tc>
        <w:tc>
          <w:tcPr>
            <w:tcW w:w="550" w:type="pct"/>
            <w:tcBorders>
              <w:top w:val="outset" w:sz="6" w:space="0" w:color="D9D9D9"/>
              <w:left w:val="outset" w:sz="6" w:space="0" w:color="D9D9D9"/>
              <w:bottom w:val="outset" w:sz="6" w:space="0" w:color="D9D9D9"/>
              <w:right w:val="outset" w:sz="6" w:space="0" w:color="D9D9D9"/>
            </w:tcBorders>
            <w:shd w:val="clear" w:color="auto" w:fill="auto"/>
            <w:hideMark/>
          </w:tcPr>
          <w:p w14:paraId="723703F7"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0.5 ml </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43A01696"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1 to 3 months after the 1</w:t>
            </w:r>
            <w:r w:rsidRPr="004A5F62">
              <w:rPr>
                <w:rFonts w:ascii="Arial" w:eastAsia="Times New Roman" w:hAnsi="Arial" w:cs="Arial"/>
                <w:sz w:val="24"/>
                <w:szCs w:val="24"/>
                <w:vertAlign w:val="superscript"/>
                <w:lang w:eastAsia="en-GB"/>
              </w:rPr>
              <w:t xml:space="preserve">st </w:t>
            </w:r>
            <w:r w:rsidRPr="004A5F62">
              <w:rPr>
                <w:rFonts w:ascii="Arial" w:eastAsia="Times New Roman" w:hAnsi="Arial" w:cs="Arial"/>
                <w:sz w:val="24"/>
                <w:szCs w:val="24"/>
                <w:lang w:eastAsia="en-GB"/>
              </w:rPr>
              <w:t>vaccination</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6F8F5C12"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14 days after the 1</w:t>
            </w:r>
            <w:r w:rsidRPr="004A5F62">
              <w:rPr>
                <w:rFonts w:ascii="Arial" w:eastAsia="Times New Roman" w:hAnsi="Arial" w:cs="Arial"/>
                <w:sz w:val="24"/>
                <w:szCs w:val="24"/>
                <w:vertAlign w:val="superscript"/>
                <w:lang w:eastAsia="en-GB"/>
              </w:rPr>
              <w:t>st</w:t>
            </w:r>
            <w:r w:rsidRPr="004A5F62">
              <w:rPr>
                <w:rFonts w:ascii="Arial" w:eastAsia="Times New Roman" w:hAnsi="Arial" w:cs="Arial"/>
                <w:sz w:val="24"/>
                <w:szCs w:val="24"/>
                <w:lang w:eastAsia="en-GB"/>
              </w:rPr>
              <w:t xml:space="preserve"> vaccination</w:t>
            </w:r>
          </w:p>
        </w:tc>
      </w:tr>
      <w:tr w:rsidR="004A5F62" w:rsidRPr="004A5F62" w14:paraId="0669C222" w14:textId="77777777" w:rsidTr="004A5F62">
        <w:tc>
          <w:tcPr>
            <w:tcW w:w="950" w:type="pct"/>
            <w:tcBorders>
              <w:top w:val="outset" w:sz="6" w:space="0" w:color="D9D9D9"/>
              <w:left w:val="outset" w:sz="6" w:space="0" w:color="D9D9D9"/>
              <w:bottom w:val="outset" w:sz="6" w:space="0" w:color="D9D9D9"/>
              <w:right w:val="outset" w:sz="6" w:space="0" w:color="D9D9D9"/>
            </w:tcBorders>
            <w:shd w:val="clear" w:color="auto" w:fill="auto"/>
            <w:hideMark/>
          </w:tcPr>
          <w:p w14:paraId="5351B866"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3</w:t>
            </w:r>
            <w:r w:rsidRPr="004A5F62">
              <w:rPr>
                <w:rFonts w:ascii="Arial" w:eastAsia="Times New Roman" w:hAnsi="Arial" w:cs="Arial"/>
                <w:sz w:val="24"/>
                <w:szCs w:val="24"/>
                <w:vertAlign w:val="superscript"/>
                <w:lang w:eastAsia="en-GB"/>
              </w:rPr>
              <w:t xml:space="preserve">rd </w:t>
            </w:r>
            <w:r w:rsidRPr="004A5F62">
              <w:rPr>
                <w:rFonts w:ascii="Arial" w:eastAsia="Times New Roman" w:hAnsi="Arial" w:cs="Arial"/>
                <w:sz w:val="24"/>
                <w:szCs w:val="24"/>
                <w:lang w:eastAsia="en-GB"/>
              </w:rPr>
              <w:t>dose</w:t>
            </w:r>
          </w:p>
        </w:tc>
        <w:tc>
          <w:tcPr>
            <w:tcW w:w="550" w:type="pct"/>
            <w:tcBorders>
              <w:top w:val="outset" w:sz="6" w:space="0" w:color="D9D9D9"/>
              <w:left w:val="outset" w:sz="6" w:space="0" w:color="D9D9D9"/>
              <w:bottom w:val="outset" w:sz="6" w:space="0" w:color="D9D9D9"/>
              <w:right w:val="outset" w:sz="6" w:space="0" w:color="D9D9D9"/>
            </w:tcBorders>
            <w:shd w:val="clear" w:color="auto" w:fill="auto"/>
            <w:hideMark/>
          </w:tcPr>
          <w:p w14:paraId="011BF9A0"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0.5 ml</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29441710"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5 to 12 months after the 2</w:t>
            </w:r>
            <w:r w:rsidRPr="004A5F62">
              <w:rPr>
                <w:rFonts w:ascii="Arial" w:eastAsia="Times New Roman" w:hAnsi="Arial" w:cs="Arial"/>
                <w:sz w:val="24"/>
                <w:szCs w:val="24"/>
                <w:vertAlign w:val="superscript"/>
                <w:lang w:eastAsia="en-GB"/>
              </w:rPr>
              <w:t xml:space="preserve">nd </w:t>
            </w:r>
            <w:r w:rsidRPr="004A5F62">
              <w:rPr>
                <w:rFonts w:ascii="Arial" w:eastAsia="Times New Roman" w:hAnsi="Arial" w:cs="Arial"/>
                <w:sz w:val="24"/>
                <w:szCs w:val="24"/>
                <w:lang w:eastAsia="en-GB"/>
              </w:rPr>
              <w:t>vaccination</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34359389"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5 to 12 months after the 2</w:t>
            </w:r>
            <w:r w:rsidRPr="004A5F62">
              <w:rPr>
                <w:rFonts w:ascii="Arial" w:eastAsia="Times New Roman" w:hAnsi="Arial" w:cs="Arial"/>
                <w:sz w:val="24"/>
                <w:szCs w:val="24"/>
                <w:vertAlign w:val="superscript"/>
                <w:lang w:eastAsia="en-GB"/>
              </w:rPr>
              <w:t xml:space="preserve">nd </w:t>
            </w:r>
            <w:r w:rsidRPr="004A5F62">
              <w:rPr>
                <w:rFonts w:ascii="Arial" w:eastAsia="Times New Roman" w:hAnsi="Arial" w:cs="Arial"/>
                <w:sz w:val="24"/>
                <w:szCs w:val="24"/>
                <w:lang w:eastAsia="en-GB"/>
              </w:rPr>
              <w:t>vaccination</w:t>
            </w:r>
          </w:p>
        </w:tc>
      </w:tr>
    </w:tbl>
    <w:p w14:paraId="22493588"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i/>
          <w:iCs/>
          <w:color w:val="000000"/>
          <w:sz w:val="24"/>
          <w:szCs w:val="24"/>
          <w:lang w:eastAsia="en-GB"/>
        </w:rPr>
        <w:t>Booster doses</w:t>
      </w:r>
      <w:r w:rsidRPr="004A5F62">
        <w:rPr>
          <w:rFonts w:ascii="Arial" w:eastAsia="Times New Roman" w:hAnsi="Arial" w:cs="Arial"/>
          <w:color w:val="000000"/>
          <w:sz w:val="24"/>
          <w:szCs w:val="24"/>
          <w:lang w:eastAsia="en-GB"/>
        </w:rPr>
        <w:t xml:space="preserve"> </w:t>
      </w:r>
    </w:p>
    <w:p w14:paraId="6D9773D0"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i/>
          <w:iCs/>
          <w:color w:val="000000"/>
          <w:sz w:val="24"/>
          <w:szCs w:val="24"/>
          <w:lang w:eastAsia="en-GB"/>
        </w:rPr>
        <w:t>Persons from 16 to 60 years of age</w:t>
      </w:r>
      <w:r w:rsidRPr="004A5F62">
        <w:rPr>
          <w:rFonts w:ascii="Arial" w:eastAsia="Times New Roman" w:hAnsi="Arial" w:cs="Arial"/>
          <w:color w:val="000000"/>
          <w:sz w:val="24"/>
          <w:szCs w:val="24"/>
          <w:lang w:eastAsia="en-GB"/>
        </w:rPr>
        <w:t xml:space="preserve"> </w:t>
      </w:r>
    </w:p>
    <w:p w14:paraId="6642ED1B"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color w:val="000000"/>
          <w:sz w:val="24"/>
          <w:szCs w:val="24"/>
          <w:lang w:eastAsia="en-GB"/>
        </w:rPr>
        <w:t xml:space="preserve">The first booster dose should be given 3 years after the third dose (see section 5.1). </w:t>
      </w:r>
    </w:p>
    <w:p w14:paraId="308F14AE"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color w:val="000000"/>
          <w:sz w:val="24"/>
          <w:szCs w:val="24"/>
          <w:lang w:eastAsia="en-GB"/>
        </w:rPr>
        <w:t xml:space="preserve">Sequential booster doses should be given every 5 years after the last booster dose. </w:t>
      </w:r>
    </w:p>
    <w:p w14:paraId="7C1911F4"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i/>
          <w:iCs/>
          <w:color w:val="000000"/>
          <w:sz w:val="24"/>
          <w:szCs w:val="24"/>
          <w:lang w:eastAsia="en-GB"/>
        </w:rPr>
        <w:t>Persons above 60 years of age</w:t>
      </w:r>
    </w:p>
    <w:p w14:paraId="68D2A710"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color w:val="000000"/>
          <w:sz w:val="24"/>
          <w:szCs w:val="24"/>
          <w:lang w:eastAsia="en-GB"/>
        </w:rPr>
        <w:t>In general, in individuals over 60 years of age the booster intervals should not exceed three years.</w:t>
      </w:r>
    </w:p>
    <w:tbl>
      <w:tblPr>
        <w:tblW w:w="10365" w:type="dxa"/>
        <w:tblBorders>
          <w:top w:val="outset" w:sz="6" w:space="0" w:color="D9D9D9"/>
          <w:left w:val="outset" w:sz="6" w:space="0" w:color="D9D9D9"/>
          <w:bottom w:val="outset" w:sz="6" w:space="0" w:color="D9D9D9"/>
          <w:right w:val="outset" w:sz="6" w:space="0" w:color="D9D9D9"/>
        </w:tblBorders>
        <w:tblCellMar>
          <w:top w:w="30" w:type="dxa"/>
          <w:left w:w="30" w:type="dxa"/>
          <w:bottom w:w="30" w:type="dxa"/>
          <w:right w:w="30" w:type="dxa"/>
        </w:tblCellMar>
        <w:tblLook w:val="04A0" w:firstRow="1" w:lastRow="0" w:firstColumn="1" w:lastColumn="0" w:noHBand="0" w:noVBand="1"/>
      </w:tblPr>
      <w:tblGrid>
        <w:gridCol w:w="4146"/>
        <w:gridCol w:w="1451"/>
        <w:gridCol w:w="4768"/>
      </w:tblGrid>
      <w:tr w:rsidR="004A5F62" w:rsidRPr="004A5F62" w14:paraId="0A1583D1" w14:textId="77777777" w:rsidTr="004A5F62">
        <w:tc>
          <w:tcPr>
            <w:tcW w:w="2000" w:type="pct"/>
            <w:tcBorders>
              <w:top w:val="outset" w:sz="6" w:space="0" w:color="D9D9D9"/>
              <w:left w:val="outset" w:sz="6" w:space="0" w:color="D9D9D9"/>
              <w:bottom w:val="outset" w:sz="6" w:space="0" w:color="D9D9D9"/>
              <w:right w:val="outset" w:sz="6" w:space="0" w:color="D9D9D9"/>
            </w:tcBorders>
            <w:shd w:val="clear" w:color="auto" w:fill="auto"/>
            <w:hideMark/>
          </w:tcPr>
          <w:p w14:paraId="74600087"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Booster dose ≥ 16 to &lt; 60 years</w:t>
            </w:r>
            <w:r w:rsidRPr="004A5F62">
              <w:rPr>
                <w:rFonts w:ascii="Arial" w:eastAsia="Times New Roman" w:hAnsi="Arial" w:cs="Arial"/>
                <w:sz w:val="24"/>
                <w:szCs w:val="24"/>
                <w:lang w:eastAsia="en-GB"/>
              </w:rPr>
              <w:t xml:space="preserve"> </w:t>
            </w:r>
          </w:p>
        </w:tc>
        <w:tc>
          <w:tcPr>
            <w:tcW w:w="700" w:type="pct"/>
            <w:tcBorders>
              <w:top w:val="outset" w:sz="6" w:space="0" w:color="D9D9D9"/>
              <w:left w:val="outset" w:sz="6" w:space="0" w:color="D9D9D9"/>
              <w:bottom w:val="outset" w:sz="6" w:space="0" w:color="D9D9D9"/>
              <w:right w:val="outset" w:sz="6" w:space="0" w:color="D9D9D9"/>
            </w:tcBorders>
            <w:shd w:val="clear" w:color="auto" w:fill="auto"/>
            <w:hideMark/>
          </w:tcPr>
          <w:p w14:paraId="22013494"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Dose</w:t>
            </w:r>
            <w:r w:rsidRPr="004A5F62">
              <w:rPr>
                <w:rFonts w:ascii="Arial" w:eastAsia="Times New Roman" w:hAnsi="Arial" w:cs="Arial"/>
                <w:sz w:val="24"/>
                <w:szCs w:val="24"/>
                <w:lang w:eastAsia="en-GB"/>
              </w:rPr>
              <w:t xml:space="preserve"> </w:t>
            </w:r>
          </w:p>
        </w:tc>
        <w:tc>
          <w:tcPr>
            <w:tcW w:w="2300" w:type="pct"/>
            <w:tcBorders>
              <w:top w:val="outset" w:sz="6" w:space="0" w:color="D9D9D9"/>
              <w:left w:val="outset" w:sz="6" w:space="0" w:color="D9D9D9"/>
              <w:bottom w:val="outset" w:sz="6" w:space="0" w:color="D9D9D9"/>
              <w:right w:val="outset" w:sz="6" w:space="0" w:color="D9D9D9"/>
            </w:tcBorders>
            <w:shd w:val="clear" w:color="auto" w:fill="auto"/>
            <w:hideMark/>
          </w:tcPr>
          <w:p w14:paraId="234ADD38"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Timing</w:t>
            </w:r>
            <w:r w:rsidRPr="004A5F62">
              <w:rPr>
                <w:rFonts w:ascii="Arial" w:eastAsia="Times New Roman" w:hAnsi="Arial" w:cs="Arial"/>
                <w:sz w:val="24"/>
                <w:szCs w:val="24"/>
                <w:lang w:eastAsia="en-GB"/>
              </w:rPr>
              <w:t xml:space="preserve"> </w:t>
            </w:r>
          </w:p>
        </w:tc>
      </w:tr>
      <w:tr w:rsidR="004A5F62" w:rsidRPr="004A5F62" w14:paraId="4065B977" w14:textId="77777777" w:rsidTr="004A5F62">
        <w:tc>
          <w:tcPr>
            <w:tcW w:w="2000" w:type="pct"/>
            <w:tcBorders>
              <w:top w:val="outset" w:sz="6" w:space="0" w:color="D9D9D9"/>
              <w:left w:val="outset" w:sz="6" w:space="0" w:color="D9D9D9"/>
              <w:bottom w:val="outset" w:sz="6" w:space="0" w:color="D9D9D9"/>
              <w:right w:val="outset" w:sz="6" w:space="0" w:color="D9D9D9"/>
            </w:tcBorders>
            <w:shd w:val="clear" w:color="auto" w:fill="auto"/>
            <w:hideMark/>
          </w:tcPr>
          <w:p w14:paraId="766E8D90"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1</w:t>
            </w:r>
            <w:r w:rsidRPr="004A5F62">
              <w:rPr>
                <w:rFonts w:ascii="Arial" w:eastAsia="Times New Roman" w:hAnsi="Arial" w:cs="Arial"/>
                <w:sz w:val="24"/>
                <w:szCs w:val="24"/>
                <w:vertAlign w:val="superscript"/>
                <w:lang w:eastAsia="en-GB"/>
              </w:rPr>
              <w:t>st</w:t>
            </w:r>
            <w:r w:rsidRPr="004A5F62">
              <w:rPr>
                <w:rFonts w:ascii="Arial" w:eastAsia="Times New Roman" w:hAnsi="Arial" w:cs="Arial"/>
                <w:sz w:val="24"/>
                <w:szCs w:val="24"/>
                <w:lang w:eastAsia="en-GB"/>
              </w:rPr>
              <w:t>booster</w:t>
            </w:r>
          </w:p>
        </w:tc>
        <w:tc>
          <w:tcPr>
            <w:tcW w:w="700" w:type="pct"/>
            <w:tcBorders>
              <w:top w:val="outset" w:sz="6" w:space="0" w:color="D9D9D9"/>
              <w:left w:val="outset" w:sz="6" w:space="0" w:color="D9D9D9"/>
              <w:bottom w:val="outset" w:sz="6" w:space="0" w:color="D9D9D9"/>
              <w:right w:val="outset" w:sz="6" w:space="0" w:color="D9D9D9"/>
            </w:tcBorders>
            <w:shd w:val="clear" w:color="auto" w:fill="auto"/>
            <w:hideMark/>
          </w:tcPr>
          <w:p w14:paraId="0A39C6B3"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0.5 ml </w:t>
            </w:r>
          </w:p>
        </w:tc>
        <w:tc>
          <w:tcPr>
            <w:tcW w:w="2300" w:type="pct"/>
            <w:tcBorders>
              <w:top w:val="outset" w:sz="6" w:space="0" w:color="D9D9D9"/>
              <w:left w:val="outset" w:sz="6" w:space="0" w:color="D9D9D9"/>
              <w:bottom w:val="outset" w:sz="6" w:space="0" w:color="D9D9D9"/>
              <w:right w:val="outset" w:sz="6" w:space="0" w:color="D9D9D9"/>
            </w:tcBorders>
            <w:shd w:val="clear" w:color="auto" w:fill="auto"/>
            <w:hideMark/>
          </w:tcPr>
          <w:p w14:paraId="65887E64"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3 years after the 3</w:t>
            </w:r>
            <w:r w:rsidRPr="004A5F62">
              <w:rPr>
                <w:rFonts w:ascii="Arial" w:eastAsia="Times New Roman" w:hAnsi="Arial" w:cs="Arial"/>
                <w:sz w:val="24"/>
                <w:szCs w:val="24"/>
                <w:vertAlign w:val="superscript"/>
                <w:lang w:eastAsia="en-GB"/>
              </w:rPr>
              <w:t xml:space="preserve">rd </w:t>
            </w:r>
            <w:r w:rsidRPr="004A5F62">
              <w:rPr>
                <w:rFonts w:ascii="Arial" w:eastAsia="Times New Roman" w:hAnsi="Arial" w:cs="Arial"/>
                <w:sz w:val="24"/>
                <w:szCs w:val="24"/>
                <w:lang w:eastAsia="en-GB"/>
              </w:rPr>
              <w:t>vaccination</w:t>
            </w:r>
          </w:p>
        </w:tc>
      </w:tr>
      <w:tr w:rsidR="004A5F62" w:rsidRPr="004A5F62" w14:paraId="57A70C14" w14:textId="77777777" w:rsidTr="004A5F62">
        <w:tc>
          <w:tcPr>
            <w:tcW w:w="2000" w:type="pct"/>
            <w:tcBorders>
              <w:top w:val="outset" w:sz="6" w:space="0" w:color="D9D9D9"/>
              <w:left w:val="outset" w:sz="6" w:space="0" w:color="D9D9D9"/>
              <w:bottom w:val="outset" w:sz="6" w:space="0" w:color="D9D9D9"/>
              <w:right w:val="outset" w:sz="6" w:space="0" w:color="D9D9D9"/>
            </w:tcBorders>
            <w:shd w:val="clear" w:color="auto" w:fill="auto"/>
            <w:hideMark/>
          </w:tcPr>
          <w:p w14:paraId="1988DCBB"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Sequential booster doses</w:t>
            </w:r>
          </w:p>
        </w:tc>
        <w:tc>
          <w:tcPr>
            <w:tcW w:w="700" w:type="pct"/>
            <w:tcBorders>
              <w:top w:val="outset" w:sz="6" w:space="0" w:color="D9D9D9"/>
              <w:left w:val="outset" w:sz="6" w:space="0" w:color="D9D9D9"/>
              <w:bottom w:val="outset" w:sz="6" w:space="0" w:color="D9D9D9"/>
              <w:right w:val="outset" w:sz="6" w:space="0" w:color="D9D9D9"/>
            </w:tcBorders>
            <w:shd w:val="clear" w:color="auto" w:fill="auto"/>
            <w:hideMark/>
          </w:tcPr>
          <w:p w14:paraId="3288A4E3"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0.5 ml </w:t>
            </w:r>
          </w:p>
        </w:tc>
        <w:tc>
          <w:tcPr>
            <w:tcW w:w="2300" w:type="pct"/>
            <w:tcBorders>
              <w:top w:val="outset" w:sz="6" w:space="0" w:color="D9D9D9"/>
              <w:left w:val="outset" w:sz="6" w:space="0" w:color="D9D9D9"/>
              <w:bottom w:val="outset" w:sz="6" w:space="0" w:color="D9D9D9"/>
              <w:right w:val="outset" w:sz="6" w:space="0" w:color="D9D9D9"/>
            </w:tcBorders>
            <w:shd w:val="clear" w:color="auto" w:fill="auto"/>
            <w:hideMark/>
          </w:tcPr>
          <w:p w14:paraId="3F2A5FB9"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every 5 years </w:t>
            </w:r>
          </w:p>
        </w:tc>
      </w:tr>
    </w:tbl>
    <w:p w14:paraId="3E874D3B" w14:textId="77777777" w:rsidR="004A5F62" w:rsidRPr="004A5F62" w:rsidRDefault="004A5F62" w:rsidP="004A5F62">
      <w:pPr>
        <w:spacing w:after="0" w:line="240" w:lineRule="auto"/>
        <w:rPr>
          <w:rFonts w:ascii="Arial" w:eastAsia="Times New Roman" w:hAnsi="Arial" w:cs="Arial"/>
          <w:vanish/>
          <w:color w:val="000000"/>
          <w:sz w:val="24"/>
          <w:szCs w:val="24"/>
          <w:lang w:eastAsia="en-GB"/>
        </w:rPr>
      </w:pPr>
    </w:p>
    <w:tbl>
      <w:tblPr>
        <w:tblW w:w="10365" w:type="dxa"/>
        <w:tblBorders>
          <w:top w:val="outset" w:sz="6" w:space="0" w:color="D9D9D9"/>
          <w:left w:val="outset" w:sz="6" w:space="0" w:color="D9D9D9"/>
          <w:bottom w:val="outset" w:sz="6" w:space="0" w:color="D9D9D9"/>
          <w:right w:val="outset" w:sz="6" w:space="0" w:color="D9D9D9"/>
        </w:tblBorders>
        <w:tblCellMar>
          <w:top w:w="30" w:type="dxa"/>
          <w:left w:w="30" w:type="dxa"/>
          <w:bottom w:w="30" w:type="dxa"/>
          <w:right w:w="30" w:type="dxa"/>
        </w:tblCellMar>
        <w:tblLook w:val="04A0" w:firstRow="1" w:lastRow="0" w:firstColumn="1" w:lastColumn="0" w:noHBand="0" w:noVBand="1"/>
      </w:tblPr>
      <w:tblGrid>
        <w:gridCol w:w="4146"/>
        <w:gridCol w:w="1451"/>
        <w:gridCol w:w="4768"/>
      </w:tblGrid>
      <w:tr w:rsidR="004A5F62" w:rsidRPr="004A5F62" w14:paraId="22436B8F" w14:textId="77777777" w:rsidTr="004A5F62">
        <w:tc>
          <w:tcPr>
            <w:tcW w:w="2000" w:type="pct"/>
            <w:tcBorders>
              <w:top w:val="outset" w:sz="6" w:space="0" w:color="D9D9D9"/>
              <w:left w:val="outset" w:sz="6" w:space="0" w:color="D9D9D9"/>
              <w:bottom w:val="outset" w:sz="6" w:space="0" w:color="D9D9D9"/>
              <w:right w:val="outset" w:sz="6" w:space="0" w:color="D9D9D9"/>
            </w:tcBorders>
            <w:shd w:val="clear" w:color="auto" w:fill="auto"/>
            <w:hideMark/>
          </w:tcPr>
          <w:p w14:paraId="67AAB4D6"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Booster dose ≥ 60 years</w:t>
            </w:r>
            <w:r w:rsidRPr="004A5F62">
              <w:rPr>
                <w:rFonts w:ascii="Arial" w:eastAsia="Times New Roman" w:hAnsi="Arial" w:cs="Arial"/>
                <w:sz w:val="24"/>
                <w:szCs w:val="24"/>
                <w:lang w:eastAsia="en-GB"/>
              </w:rPr>
              <w:t xml:space="preserve"> </w:t>
            </w:r>
          </w:p>
        </w:tc>
        <w:tc>
          <w:tcPr>
            <w:tcW w:w="700" w:type="pct"/>
            <w:tcBorders>
              <w:top w:val="outset" w:sz="6" w:space="0" w:color="D9D9D9"/>
              <w:left w:val="outset" w:sz="6" w:space="0" w:color="D9D9D9"/>
              <w:bottom w:val="outset" w:sz="6" w:space="0" w:color="D9D9D9"/>
              <w:right w:val="outset" w:sz="6" w:space="0" w:color="D9D9D9"/>
            </w:tcBorders>
            <w:shd w:val="clear" w:color="auto" w:fill="auto"/>
            <w:hideMark/>
          </w:tcPr>
          <w:p w14:paraId="1AE85EDF"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Dose</w:t>
            </w:r>
            <w:r w:rsidRPr="004A5F62">
              <w:rPr>
                <w:rFonts w:ascii="Arial" w:eastAsia="Times New Roman" w:hAnsi="Arial" w:cs="Arial"/>
                <w:sz w:val="24"/>
                <w:szCs w:val="24"/>
                <w:lang w:eastAsia="en-GB"/>
              </w:rPr>
              <w:t xml:space="preserve"> </w:t>
            </w:r>
          </w:p>
        </w:tc>
        <w:tc>
          <w:tcPr>
            <w:tcW w:w="2300" w:type="pct"/>
            <w:tcBorders>
              <w:top w:val="outset" w:sz="6" w:space="0" w:color="D9D9D9"/>
              <w:left w:val="outset" w:sz="6" w:space="0" w:color="D9D9D9"/>
              <w:bottom w:val="outset" w:sz="6" w:space="0" w:color="D9D9D9"/>
              <w:right w:val="outset" w:sz="6" w:space="0" w:color="D9D9D9"/>
            </w:tcBorders>
            <w:shd w:val="clear" w:color="auto" w:fill="auto"/>
            <w:hideMark/>
          </w:tcPr>
          <w:p w14:paraId="5F8C3E6B"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b/>
                <w:bCs/>
                <w:sz w:val="24"/>
                <w:szCs w:val="24"/>
                <w:lang w:eastAsia="en-GB"/>
              </w:rPr>
              <w:t>Timing</w:t>
            </w:r>
            <w:r w:rsidRPr="004A5F62">
              <w:rPr>
                <w:rFonts w:ascii="Arial" w:eastAsia="Times New Roman" w:hAnsi="Arial" w:cs="Arial"/>
                <w:sz w:val="24"/>
                <w:szCs w:val="24"/>
                <w:lang w:eastAsia="en-GB"/>
              </w:rPr>
              <w:t xml:space="preserve"> </w:t>
            </w:r>
          </w:p>
        </w:tc>
      </w:tr>
      <w:tr w:rsidR="004A5F62" w:rsidRPr="004A5F62" w14:paraId="361DFD4E" w14:textId="77777777" w:rsidTr="004A5F62">
        <w:tc>
          <w:tcPr>
            <w:tcW w:w="2000" w:type="pct"/>
            <w:tcBorders>
              <w:top w:val="outset" w:sz="6" w:space="0" w:color="D9D9D9"/>
              <w:left w:val="outset" w:sz="6" w:space="0" w:color="D9D9D9"/>
              <w:bottom w:val="outset" w:sz="6" w:space="0" w:color="D9D9D9"/>
              <w:right w:val="outset" w:sz="6" w:space="0" w:color="D9D9D9"/>
            </w:tcBorders>
            <w:shd w:val="clear" w:color="auto" w:fill="auto"/>
            <w:hideMark/>
          </w:tcPr>
          <w:p w14:paraId="0F821AE1"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All booster doses</w:t>
            </w:r>
          </w:p>
        </w:tc>
        <w:tc>
          <w:tcPr>
            <w:tcW w:w="700" w:type="pct"/>
            <w:tcBorders>
              <w:top w:val="outset" w:sz="6" w:space="0" w:color="D9D9D9"/>
              <w:left w:val="outset" w:sz="6" w:space="0" w:color="D9D9D9"/>
              <w:bottom w:val="outset" w:sz="6" w:space="0" w:color="D9D9D9"/>
              <w:right w:val="outset" w:sz="6" w:space="0" w:color="D9D9D9"/>
            </w:tcBorders>
            <w:shd w:val="clear" w:color="auto" w:fill="auto"/>
            <w:hideMark/>
          </w:tcPr>
          <w:p w14:paraId="0D4DD99F"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0.5 ml </w:t>
            </w:r>
          </w:p>
        </w:tc>
        <w:tc>
          <w:tcPr>
            <w:tcW w:w="2300" w:type="pct"/>
            <w:tcBorders>
              <w:top w:val="outset" w:sz="6" w:space="0" w:color="D9D9D9"/>
              <w:left w:val="outset" w:sz="6" w:space="0" w:color="D9D9D9"/>
              <w:bottom w:val="outset" w:sz="6" w:space="0" w:color="D9D9D9"/>
              <w:right w:val="outset" w:sz="6" w:space="0" w:color="D9D9D9"/>
            </w:tcBorders>
            <w:shd w:val="clear" w:color="auto" w:fill="auto"/>
            <w:hideMark/>
          </w:tcPr>
          <w:p w14:paraId="7EA25EDB" w14:textId="77777777" w:rsidR="004A5F62" w:rsidRPr="004A5F62" w:rsidRDefault="004A5F62" w:rsidP="004A5F62">
            <w:pPr>
              <w:spacing w:after="0" w:line="240" w:lineRule="auto"/>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every 3 years </w:t>
            </w:r>
          </w:p>
        </w:tc>
      </w:tr>
    </w:tbl>
    <w:p w14:paraId="378B7C04" w14:textId="77777777" w:rsidR="004A5F62" w:rsidRPr="004A5F62" w:rsidRDefault="004A5F62" w:rsidP="004A5F62">
      <w:pPr>
        <w:pStyle w:val="NoSpacing"/>
        <w:rPr>
          <w:rFonts w:ascii="Arial" w:hAnsi="Arial" w:cs="Arial"/>
          <w:sz w:val="24"/>
          <w:szCs w:val="24"/>
        </w:rPr>
      </w:pPr>
      <w:r w:rsidRPr="004A5F62">
        <w:rPr>
          <w:rFonts w:ascii="Arial" w:hAnsi="Arial" w:cs="Arial"/>
          <w:sz w:val="24"/>
          <w:szCs w:val="24"/>
        </w:rPr>
        <w:t>Electronic Medicines Compendium, (2018a)</w:t>
      </w:r>
    </w:p>
    <w:p w14:paraId="7D2187C1" w14:textId="77777777" w:rsidR="00806042" w:rsidRPr="004A5F62" w:rsidRDefault="00806042" w:rsidP="007945E7">
      <w:pPr>
        <w:pStyle w:val="NoSpacing"/>
        <w:rPr>
          <w:rFonts w:ascii="Arial" w:hAnsi="Arial" w:cs="Arial"/>
          <w:sz w:val="24"/>
          <w:szCs w:val="24"/>
        </w:rPr>
      </w:pPr>
    </w:p>
    <w:p w14:paraId="0A62034F" w14:textId="77777777" w:rsidR="004A5F62" w:rsidRPr="004A5F62" w:rsidRDefault="004A5F62" w:rsidP="007945E7">
      <w:pPr>
        <w:pStyle w:val="NoSpacing"/>
        <w:rPr>
          <w:rFonts w:ascii="Arial" w:hAnsi="Arial" w:cs="Arial"/>
          <w:sz w:val="24"/>
          <w:szCs w:val="24"/>
        </w:rPr>
      </w:pPr>
      <w:r w:rsidRPr="004A5F62">
        <w:rPr>
          <w:rFonts w:ascii="Arial" w:hAnsi="Arial" w:cs="Arial"/>
          <w:sz w:val="24"/>
          <w:szCs w:val="24"/>
        </w:rPr>
        <w:t xml:space="preserve">Paediatric </w:t>
      </w:r>
    </w:p>
    <w:p w14:paraId="6D259B7A" w14:textId="77777777" w:rsidR="004A5F62" w:rsidRPr="004A5F62" w:rsidRDefault="004A5F62" w:rsidP="004A5F62">
      <w:pPr>
        <w:spacing w:after="143" w:line="240" w:lineRule="auto"/>
        <w:rPr>
          <w:rFonts w:ascii="Arial" w:eastAsia="Times New Roman" w:hAnsi="Arial" w:cs="Arial"/>
          <w:color w:val="000000"/>
          <w:sz w:val="24"/>
          <w:szCs w:val="24"/>
          <w:lang w:eastAsia="en-GB"/>
        </w:rPr>
      </w:pPr>
    </w:p>
    <w:tbl>
      <w:tblPr>
        <w:tblW w:w="10365" w:type="dxa"/>
        <w:tblBorders>
          <w:top w:val="outset" w:sz="6" w:space="0" w:color="D9D9D9"/>
          <w:left w:val="outset" w:sz="6" w:space="0" w:color="D9D9D9"/>
          <w:bottom w:val="outset" w:sz="6" w:space="0" w:color="D9D9D9"/>
          <w:right w:val="outset" w:sz="6" w:space="0" w:color="D9D9D9"/>
        </w:tblBorders>
        <w:tblCellMar>
          <w:top w:w="30" w:type="dxa"/>
          <w:left w:w="30" w:type="dxa"/>
          <w:bottom w:w="30" w:type="dxa"/>
          <w:right w:w="30" w:type="dxa"/>
        </w:tblCellMar>
        <w:tblLook w:val="04A0" w:firstRow="1" w:lastRow="0" w:firstColumn="1" w:lastColumn="0" w:noHBand="0" w:noVBand="1"/>
      </w:tblPr>
      <w:tblGrid>
        <w:gridCol w:w="2072"/>
        <w:gridCol w:w="1037"/>
        <w:gridCol w:w="3628"/>
        <w:gridCol w:w="3628"/>
      </w:tblGrid>
      <w:tr w:rsidR="004A5F62" w:rsidRPr="004A5F62" w14:paraId="0D61FB2F" w14:textId="77777777" w:rsidTr="004A5F62">
        <w:tc>
          <w:tcPr>
            <w:tcW w:w="1000" w:type="pct"/>
            <w:tcBorders>
              <w:top w:val="outset" w:sz="6" w:space="0" w:color="D9D9D9"/>
              <w:left w:val="outset" w:sz="6" w:space="0" w:color="D9D9D9"/>
              <w:bottom w:val="outset" w:sz="6" w:space="0" w:color="D9D9D9"/>
              <w:right w:val="outset" w:sz="6" w:space="0" w:color="D9D9D9"/>
            </w:tcBorders>
            <w:shd w:val="clear" w:color="auto" w:fill="auto"/>
            <w:hideMark/>
          </w:tcPr>
          <w:p w14:paraId="56CA96D9"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b/>
                <w:bCs/>
                <w:sz w:val="24"/>
                <w:szCs w:val="24"/>
                <w:lang w:eastAsia="en-GB"/>
              </w:rPr>
              <w:t>Basic Immunization</w:t>
            </w:r>
            <w:r w:rsidRPr="004A5F62">
              <w:rPr>
                <w:rFonts w:ascii="Arial" w:eastAsia="Times New Roman" w:hAnsi="Arial" w:cs="Arial"/>
                <w:sz w:val="24"/>
                <w:szCs w:val="24"/>
                <w:lang w:eastAsia="en-GB"/>
              </w:rPr>
              <w:t xml:space="preserve"> </w:t>
            </w:r>
          </w:p>
        </w:tc>
        <w:tc>
          <w:tcPr>
            <w:tcW w:w="500" w:type="pct"/>
            <w:tcBorders>
              <w:top w:val="outset" w:sz="6" w:space="0" w:color="D9D9D9"/>
              <w:left w:val="outset" w:sz="6" w:space="0" w:color="D9D9D9"/>
              <w:bottom w:val="outset" w:sz="6" w:space="0" w:color="D9D9D9"/>
              <w:right w:val="outset" w:sz="6" w:space="0" w:color="D9D9D9"/>
            </w:tcBorders>
            <w:shd w:val="clear" w:color="auto" w:fill="auto"/>
            <w:hideMark/>
          </w:tcPr>
          <w:p w14:paraId="3509E2AB"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b/>
                <w:bCs/>
                <w:sz w:val="24"/>
                <w:szCs w:val="24"/>
                <w:lang w:eastAsia="en-GB"/>
              </w:rPr>
              <w:t>Dose</w:t>
            </w:r>
            <w:r w:rsidRPr="004A5F62">
              <w:rPr>
                <w:rFonts w:ascii="Arial" w:eastAsia="Times New Roman" w:hAnsi="Arial" w:cs="Arial"/>
                <w:sz w:val="24"/>
                <w:szCs w:val="24"/>
                <w:lang w:eastAsia="en-GB"/>
              </w:rPr>
              <w:t xml:space="preserve"> </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574979CF"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b/>
                <w:bCs/>
                <w:sz w:val="24"/>
                <w:szCs w:val="24"/>
                <w:lang w:eastAsia="en-GB"/>
              </w:rPr>
              <w:t>Conventional Schedule</w:t>
            </w:r>
            <w:r w:rsidRPr="004A5F62">
              <w:rPr>
                <w:rFonts w:ascii="Arial" w:eastAsia="Times New Roman" w:hAnsi="Arial" w:cs="Arial"/>
                <w:sz w:val="24"/>
                <w:szCs w:val="24"/>
                <w:lang w:eastAsia="en-GB"/>
              </w:rPr>
              <w:t xml:space="preserve"> </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38D2E32D"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b/>
                <w:bCs/>
                <w:sz w:val="24"/>
                <w:szCs w:val="24"/>
                <w:lang w:eastAsia="en-GB"/>
              </w:rPr>
              <w:t>Rapid Immunization Schedule</w:t>
            </w:r>
            <w:r w:rsidRPr="004A5F62">
              <w:rPr>
                <w:rFonts w:ascii="Arial" w:eastAsia="Times New Roman" w:hAnsi="Arial" w:cs="Arial"/>
                <w:sz w:val="24"/>
                <w:szCs w:val="24"/>
                <w:lang w:eastAsia="en-GB"/>
              </w:rPr>
              <w:t xml:space="preserve"> </w:t>
            </w:r>
          </w:p>
        </w:tc>
      </w:tr>
      <w:tr w:rsidR="004A5F62" w:rsidRPr="004A5F62" w14:paraId="47B5F4B8" w14:textId="77777777" w:rsidTr="004A5F62">
        <w:tc>
          <w:tcPr>
            <w:tcW w:w="1000" w:type="pct"/>
            <w:tcBorders>
              <w:top w:val="outset" w:sz="6" w:space="0" w:color="D9D9D9"/>
              <w:left w:val="outset" w:sz="6" w:space="0" w:color="D9D9D9"/>
              <w:bottom w:val="outset" w:sz="6" w:space="0" w:color="D9D9D9"/>
              <w:right w:val="outset" w:sz="6" w:space="0" w:color="D9D9D9"/>
            </w:tcBorders>
            <w:shd w:val="clear" w:color="auto" w:fill="auto"/>
            <w:hideMark/>
          </w:tcPr>
          <w:p w14:paraId="02EDF8A5"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1</w:t>
            </w:r>
            <w:r w:rsidRPr="004A5F62">
              <w:rPr>
                <w:rFonts w:ascii="Arial" w:eastAsia="Times New Roman" w:hAnsi="Arial" w:cs="Arial"/>
                <w:sz w:val="24"/>
                <w:szCs w:val="24"/>
                <w:vertAlign w:val="superscript"/>
                <w:lang w:eastAsia="en-GB"/>
              </w:rPr>
              <w:t>st</w:t>
            </w:r>
            <w:r w:rsidRPr="004A5F62">
              <w:rPr>
                <w:rFonts w:ascii="Arial" w:eastAsia="Times New Roman" w:hAnsi="Arial" w:cs="Arial"/>
                <w:sz w:val="24"/>
                <w:szCs w:val="24"/>
                <w:lang w:eastAsia="en-GB"/>
              </w:rPr>
              <w:t xml:space="preserve"> dose</w:t>
            </w:r>
          </w:p>
        </w:tc>
        <w:tc>
          <w:tcPr>
            <w:tcW w:w="500" w:type="pct"/>
            <w:tcBorders>
              <w:top w:val="outset" w:sz="6" w:space="0" w:color="D9D9D9"/>
              <w:left w:val="outset" w:sz="6" w:space="0" w:color="D9D9D9"/>
              <w:bottom w:val="outset" w:sz="6" w:space="0" w:color="D9D9D9"/>
              <w:right w:val="outset" w:sz="6" w:space="0" w:color="D9D9D9"/>
            </w:tcBorders>
            <w:shd w:val="clear" w:color="auto" w:fill="auto"/>
            <w:hideMark/>
          </w:tcPr>
          <w:p w14:paraId="7E6878C0"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0.25 ml </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08ED6168"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Elected date</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15BE7C5F"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Elected date</w:t>
            </w:r>
          </w:p>
        </w:tc>
      </w:tr>
      <w:tr w:rsidR="004A5F62" w:rsidRPr="004A5F62" w14:paraId="7A1AB04D" w14:textId="77777777" w:rsidTr="004A5F62">
        <w:tc>
          <w:tcPr>
            <w:tcW w:w="1000" w:type="pct"/>
            <w:tcBorders>
              <w:top w:val="outset" w:sz="6" w:space="0" w:color="D9D9D9"/>
              <w:left w:val="outset" w:sz="6" w:space="0" w:color="D9D9D9"/>
              <w:bottom w:val="outset" w:sz="6" w:space="0" w:color="D9D9D9"/>
              <w:right w:val="outset" w:sz="6" w:space="0" w:color="D9D9D9"/>
            </w:tcBorders>
            <w:shd w:val="clear" w:color="auto" w:fill="auto"/>
            <w:hideMark/>
          </w:tcPr>
          <w:p w14:paraId="2A7A1721"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2</w:t>
            </w:r>
            <w:r w:rsidRPr="004A5F62">
              <w:rPr>
                <w:rFonts w:ascii="Arial" w:eastAsia="Times New Roman" w:hAnsi="Arial" w:cs="Arial"/>
                <w:sz w:val="24"/>
                <w:szCs w:val="24"/>
                <w:vertAlign w:val="superscript"/>
                <w:lang w:eastAsia="en-GB"/>
              </w:rPr>
              <w:t>nd</w:t>
            </w:r>
            <w:r w:rsidRPr="004A5F62">
              <w:rPr>
                <w:rFonts w:ascii="Arial" w:eastAsia="Times New Roman" w:hAnsi="Arial" w:cs="Arial"/>
                <w:sz w:val="24"/>
                <w:szCs w:val="24"/>
                <w:lang w:eastAsia="en-GB"/>
              </w:rPr>
              <w:t xml:space="preserve"> dose</w:t>
            </w:r>
          </w:p>
        </w:tc>
        <w:tc>
          <w:tcPr>
            <w:tcW w:w="500" w:type="pct"/>
            <w:tcBorders>
              <w:top w:val="outset" w:sz="6" w:space="0" w:color="D9D9D9"/>
              <w:left w:val="outset" w:sz="6" w:space="0" w:color="D9D9D9"/>
              <w:bottom w:val="outset" w:sz="6" w:space="0" w:color="D9D9D9"/>
              <w:right w:val="outset" w:sz="6" w:space="0" w:color="D9D9D9"/>
            </w:tcBorders>
            <w:shd w:val="clear" w:color="auto" w:fill="auto"/>
            <w:hideMark/>
          </w:tcPr>
          <w:p w14:paraId="28D61020"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0.25 ml</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37356BE0"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1 to 3 months after the 1</w:t>
            </w:r>
            <w:r w:rsidRPr="004A5F62">
              <w:rPr>
                <w:rFonts w:ascii="Arial" w:eastAsia="Times New Roman" w:hAnsi="Arial" w:cs="Arial"/>
                <w:sz w:val="24"/>
                <w:szCs w:val="24"/>
                <w:vertAlign w:val="superscript"/>
                <w:lang w:eastAsia="en-GB"/>
              </w:rPr>
              <w:t xml:space="preserve">st </w:t>
            </w:r>
            <w:r w:rsidRPr="004A5F62">
              <w:rPr>
                <w:rFonts w:ascii="Arial" w:eastAsia="Times New Roman" w:hAnsi="Arial" w:cs="Arial"/>
                <w:sz w:val="24"/>
                <w:szCs w:val="24"/>
                <w:lang w:eastAsia="en-GB"/>
              </w:rPr>
              <w:t>vaccination</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17783875"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14 days after the 1</w:t>
            </w:r>
            <w:r w:rsidRPr="004A5F62">
              <w:rPr>
                <w:rFonts w:ascii="Arial" w:eastAsia="Times New Roman" w:hAnsi="Arial" w:cs="Arial"/>
                <w:sz w:val="24"/>
                <w:szCs w:val="24"/>
                <w:vertAlign w:val="superscript"/>
                <w:lang w:eastAsia="en-GB"/>
              </w:rPr>
              <w:t>st</w:t>
            </w:r>
            <w:r w:rsidRPr="004A5F62">
              <w:rPr>
                <w:rFonts w:ascii="Arial" w:eastAsia="Times New Roman" w:hAnsi="Arial" w:cs="Arial"/>
                <w:sz w:val="24"/>
                <w:szCs w:val="24"/>
                <w:lang w:eastAsia="en-GB"/>
              </w:rPr>
              <w:t xml:space="preserve"> vaccination</w:t>
            </w:r>
          </w:p>
        </w:tc>
      </w:tr>
      <w:tr w:rsidR="004A5F62" w:rsidRPr="004A5F62" w14:paraId="11855CC6" w14:textId="77777777" w:rsidTr="004A5F62">
        <w:tc>
          <w:tcPr>
            <w:tcW w:w="1000" w:type="pct"/>
            <w:tcBorders>
              <w:top w:val="outset" w:sz="6" w:space="0" w:color="D9D9D9"/>
              <w:left w:val="outset" w:sz="6" w:space="0" w:color="D9D9D9"/>
              <w:bottom w:val="outset" w:sz="6" w:space="0" w:color="D9D9D9"/>
              <w:right w:val="outset" w:sz="6" w:space="0" w:color="D9D9D9"/>
            </w:tcBorders>
            <w:shd w:val="clear" w:color="auto" w:fill="auto"/>
            <w:hideMark/>
          </w:tcPr>
          <w:p w14:paraId="6CEA64F8"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3</w:t>
            </w:r>
            <w:r w:rsidRPr="004A5F62">
              <w:rPr>
                <w:rFonts w:ascii="Arial" w:eastAsia="Times New Roman" w:hAnsi="Arial" w:cs="Arial"/>
                <w:sz w:val="24"/>
                <w:szCs w:val="24"/>
                <w:vertAlign w:val="superscript"/>
                <w:lang w:eastAsia="en-GB"/>
              </w:rPr>
              <w:t xml:space="preserve">rd </w:t>
            </w:r>
            <w:r w:rsidRPr="004A5F62">
              <w:rPr>
                <w:rFonts w:ascii="Arial" w:eastAsia="Times New Roman" w:hAnsi="Arial" w:cs="Arial"/>
                <w:sz w:val="24"/>
                <w:szCs w:val="24"/>
                <w:lang w:eastAsia="en-GB"/>
              </w:rPr>
              <w:t>dose</w:t>
            </w:r>
          </w:p>
        </w:tc>
        <w:tc>
          <w:tcPr>
            <w:tcW w:w="500" w:type="pct"/>
            <w:tcBorders>
              <w:top w:val="outset" w:sz="6" w:space="0" w:color="D9D9D9"/>
              <w:left w:val="outset" w:sz="6" w:space="0" w:color="D9D9D9"/>
              <w:bottom w:val="outset" w:sz="6" w:space="0" w:color="D9D9D9"/>
              <w:right w:val="outset" w:sz="6" w:space="0" w:color="D9D9D9"/>
            </w:tcBorders>
            <w:shd w:val="clear" w:color="auto" w:fill="auto"/>
            <w:hideMark/>
          </w:tcPr>
          <w:p w14:paraId="7730669E"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0.25 ml </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16DDA43A"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5 to 12 months after the 2</w:t>
            </w:r>
            <w:r w:rsidRPr="004A5F62">
              <w:rPr>
                <w:rFonts w:ascii="Arial" w:eastAsia="Times New Roman" w:hAnsi="Arial" w:cs="Arial"/>
                <w:sz w:val="24"/>
                <w:szCs w:val="24"/>
                <w:vertAlign w:val="superscript"/>
                <w:lang w:eastAsia="en-GB"/>
              </w:rPr>
              <w:t xml:space="preserve">nd </w:t>
            </w:r>
            <w:r w:rsidRPr="004A5F62">
              <w:rPr>
                <w:rFonts w:ascii="Arial" w:eastAsia="Times New Roman" w:hAnsi="Arial" w:cs="Arial"/>
                <w:sz w:val="24"/>
                <w:szCs w:val="24"/>
                <w:lang w:eastAsia="en-GB"/>
              </w:rPr>
              <w:t>vaccination</w:t>
            </w:r>
          </w:p>
        </w:tc>
        <w:tc>
          <w:tcPr>
            <w:tcW w:w="1750" w:type="pct"/>
            <w:tcBorders>
              <w:top w:val="outset" w:sz="6" w:space="0" w:color="D9D9D9"/>
              <w:left w:val="outset" w:sz="6" w:space="0" w:color="D9D9D9"/>
              <w:bottom w:val="outset" w:sz="6" w:space="0" w:color="D9D9D9"/>
              <w:right w:val="outset" w:sz="6" w:space="0" w:color="D9D9D9"/>
            </w:tcBorders>
            <w:shd w:val="clear" w:color="auto" w:fill="auto"/>
            <w:hideMark/>
          </w:tcPr>
          <w:p w14:paraId="4FF1FD0B"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5 to 12 months after the 2</w:t>
            </w:r>
            <w:r w:rsidRPr="004A5F62">
              <w:rPr>
                <w:rFonts w:ascii="Arial" w:eastAsia="Times New Roman" w:hAnsi="Arial" w:cs="Arial"/>
                <w:sz w:val="24"/>
                <w:szCs w:val="24"/>
                <w:vertAlign w:val="superscript"/>
                <w:lang w:eastAsia="en-GB"/>
              </w:rPr>
              <w:t xml:space="preserve">nd </w:t>
            </w:r>
            <w:r w:rsidRPr="004A5F62">
              <w:rPr>
                <w:rFonts w:ascii="Arial" w:eastAsia="Times New Roman" w:hAnsi="Arial" w:cs="Arial"/>
                <w:sz w:val="24"/>
                <w:szCs w:val="24"/>
                <w:lang w:eastAsia="en-GB"/>
              </w:rPr>
              <w:t>vaccination</w:t>
            </w:r>
          </w:p>
        </w:tc>
      </w:tr>
    </w:tbl>
    <w:p w14:paraId="4444E03C"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i/>
          <w:iCs/>
          <w:color w:val="000000"/>
          <w:sz w:val="24"/>
          <w:szCs w:val="24"/>
          <w:lang w:eastAsia="en-GB"/>
        </w:rPr>
        <w:t>Booster doses</w:t>
      </w:r>
      <w:r w:rsidRPr="004A5F62">
        <w:rPr>
          <w:rFonts w:ascii="Arial" w:eastAsia="Times New Roman" w:hAnsi="Arial" w:cs="Arial"/>
          <w:color w:val="000000"/>
          <w:sz w:val="24"/>
          <w:szCs w:val="24"/>
          <w:lang w:eastAsia="en-GB"/>
        </w:rPr>
        <w:t xml:space="preserve"> </w:t>
      </w:r>
    </w:p>
    <w:p w14:paraId="215B4281"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color w:val="000000"/>
          <w:sz w:val="24"/>
          <w:szCs w:val="24"/>
          <w:lang w:eastAsia="en-GB"/>
        </w:rPr>
        <w:lastRenderedPageBreak/>
        <w:t xml:space="preserve">The first booster dose should be given 3 years after the third dose (see section 5.1). </w:t>
      </w:r>
    </w:p>
    <w:p w14:paraId="45130722" w14:textId="77777777" w:rsidR="004A5F62" w:rsidRPr="004A5F62" w:rsidRDefault="004A5F62" w:rsidP="004A5F62">
      <w:pPr>
        <w:spacing w:after="143" w:line="240" w:lineRule="auto"/>
        <w:rPr>
          <w:rFonts w:ascii="Arial" w:eastAsia="Times New Roman" w:hAnsi="Arial" w:cs="Arial"/>
          <w:color w:val="000000"/>
          <w:sz w:val="24"/>
          <w:szCs w:val="24"/>
          <w:lang w:eastAsia="en-GB"/>
        </w:rPr>
      </w:pPr>
      <w:r w:rsidRPr="004A5F62">
        <w:rPr>
          <w:rFonts w:ascii="Arial" w:eastAsia="Times New Roman" w:hAnsi="Arial" w:cs="Arial"/>
          <w:color w:val="000000"/>
          <w:sz w:val="24"/>
          <w:szCs w:val="24"/>
          <w:lang w:eastAsia="en-GB"/>
        </w:rPr>
        <w:t>Sequential booster doses should be given every 5 years after the last booster dose.</w:t>
      </w:r>
    </w:p>
    <w:tbl>
      <w:tblPr>
        <w:tblW w:w="10365" w:type="dxa"/>
        <w:tblBorders>
          <w:top w:val="outset" w:sz="6" w:space="0" w:color="D9D9D9"/>
          <w:left w:val="outset" w:sz="6" w:space="0" w:color="D9D9D9"/>
          <w:bottom w:val="outset" w:sz="6" w:space="0" w:color="D9D9D9"/>
          <w:right w:val="outset" w:sz="6" w:space="0" w:color="D9D9D9"/>
        </w:tblBorders>
        <w:tblCellMar>
          <w:top w:w="30" w:type="dxa"/>
          <w:left w:w="30" w:type="dxa"/>
          <w:bottom w:w="30" w:type="dxa"/>
          <w:right w:w="30" w:type="dxa"/>
        </w:tblCellMar>
        <w:tblLook w:val="04A0" w:firstRow="1" w:lastRow="0" w:firstColumn="1" w:lastColumn="0" w:noHBand="0" w:noVBand="1"/>
      </w:tblPr>
      <w:tblGrid>
        <w:gridCol w:w="3939"/>
        <w:gridCol w:w="1969"/>
        <w:gridCol w:w="4457"/>
      </w:tblGrid>
      <w:tr w:rsidR="004A5F62" w:rsidRPr="004A5F62" w14:paraId="71601057" w14:textId="77777777" w:rsidTr="004A5F62">
        <w:tc>
          <w:tcPr>
            <w:tcW w:w="1900" w:type="pct"/>
            <w:tcBorders>
              <w:top w:val="outset" w:sz="6" w:space="0" w:color="D9D9D9"/>
              <w:left w:val="outset" w:sz="6" w:space="0" w:color="D9D9D9"/>
              <w:bottom w:val="outset" w:sz="6" w:space="0" w:color="D9D9D9"/>
              <w:right w:val="outset" w:sz="6" w:space="0" w:color="D9D9D9"/>
            </w:tcBorders>
            <w:shd w:val="clear" w:color="auto" w:fill="auto"/>
            <w:hideMark/>
          </w:tcPr>
          <w:p w14:paraId="06058D01"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b/>
                <w:bCs/>
                <w:sz w:val="24"/>
                <w:szCs w:val="24"/>
                <w:lang w:eastAsia="en-GB"/>
              </w:rPr>
              <w:t xml:space="preserve">Booster dose </w:t>
            </w:r>
          </w:p>
        </w:tc>
        <w:tc>
          <w:tcPr>
            <w:tcW w:w="950" w:type="pct"/>
            <w:tcBorders>
              <w:top w:val="outset" w:sz="6" w:space="0" w:color="D9D9D9"/>
              <w:left w:val="outset" w:sz="6" w:space="0" w:color="D9D9D9"/>
              <w:bottom w:val="outset" w:sz="6" w:space="0" w:color="D9D9D9"/>
              <w:right w:val="outset" w:sz="6" w:space="0" w:color="D9D9D9"/>
            </w:tcBorders>
            <w:shd w:val="clear" w:color="auto" w:fill="auto"/>
            <w:hideMark/>
          </w:tcPr>
          <w:p w14:paraId="1DFF1730"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b/>
                <w:bCs/>
                <w:sz w:val="24"/>
                <w:szCs w:val="24"/>
                <w:lang w:eastAsia="en-GB"/>
              </w:rPr>
              <w:t>Dose</w:t>
            </w:r>
            <w:r w:rsidRPr="004A5F62">
              <w:rPr>
                <w:rFonts w:ascii="Arial" w:eastAsia="Times New Roman" w:hAnsi="Arial" w:cs="Arial"/>
                <w:sz w:val="24"/>
                <w:szCs w:val="24"/>
                <w:lang w:eastAsia="en-GB"/>
              </w:rPr>
              <w:t xml:space="preserve"> </w:t>
            </w:r>
          </w:p>
        </w:tc>
        <w:tc>
          <w:tcPr>
            <w:tcW w:w="2150" w:type="pct"/>
            <w:tcBorders>
              <w:top w:val="outset" w:sz="6" w:space="0" w:color="D9D9D9"/>
              <w:left w:val="outset" w:sz="6" w:space="0" w:color="D9D9D9"/>
              <w:bottom w:val="outset" w:sz="6" w:space="0" w:color="D9D9D9"/>
              <w:right w:val="outset" w:sz="6" w:space="0" w:color="D9D9D9"/>
            </w:tcBorders>
            <w:shd w:val="clear" w:color="auto" w:fill="auto"/>
            <w:hideMark/>
          </w:tcPr>
          <w:p w14:paraId="5E294C46"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b/>
                <w:bCs/>
                <w:sz w:val="24"/>
                <w:szCs w:val="24"/>
                <w:lang w:eastAsia="en-GB"/>
              </w:rPr>
              <w:t>Timing</w:t>
            </w:r>
            <w:r w:rsidRPr="004A5F62">
              <w:rPr>
                <w:rFonts w:ascii="Arial" w:eastAsia="Times New Roman" w:hAnsi="Arial" w:cs="Arial"/>
                <w:sz w:val="24"/>
                <w:szCs w:val="24"/>
                <w:lang w:eastAsia="en-GB"/>
              </w:rPr>
              <w:t xml:space="preserve"> </w:t>
            </w:r>
          </w:p>
        </w:tc>
      </w:tr>
      <w:tr w:rsidR="004A5F62" w:rsidRPr="004A5F62" w14:paraId="35FDEBFC" w14:textId="77777777" w:rsidTr="004A5F62">
        <w:tc>
          <w:tcPr>
            <w:tcW w:w="1900" w:type="pct"/>
            <w:tcBorders>
              <w:top w:val="outset" w:sz="6" w:space="0" w:color="D9D9D9"/>
              <w:left w:val="outset" w:sz="6" w:space="0" w:color="D9D9D9"/>
              <w:bottom w:val="outset" w:sz="6" w:space="0" w:color="D9D9D9"/>
              <w:right w:val="outset" w:sz="6" w:space="0" w:color="D9D9D9"/>
            </w:tcBorders>
            <w:shd w:val="clear" w:color="auto" w:fill="auto"/>
            <w:hideMark/>
          </w:tcPr>
          <w:p w14:paraId="0D5FBD90"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1</w:t>
            </w:r>
            <w:r w:rsidRPr="004A5F62">
              <w:rPr>
                <w:rFonts w:ascii="Arial" w:eastAsia="Times New Roman" w:hAnsi="Arial" w:cs="Arial"/>
                <w:sz w:val="24"/>
                <w:szCs w:val="24"/>
                <w:vertAlign w:val="superscript"/>
                <w:lang w:eastAsia="en-GB"/>
              </w:rPr>
              <w:t>st</w:t>
            </w:r>
            <w:r w:rsidRPr="004A5F62">
              <w:rPr>
                <w:rFonts w:ascii="Arial" w:eastAsia="Times New Roman" w:hAnsi="Arial" w:cs="Arial"/>
                <w:sz w:val="24"/>
                <w:szCs w:val="24"/>
                <w:lang w:eastAsia="en-GB"/>
              </w:rPr>
              <w:t xml:space="preserve"> booster</w:t>
            </w:r>
          </w:p>
        </w:tc>
        <w:tc>
          <w:tcPr>
            <w:tcW w:w="950" w:type="pct"/>
            <w:tcBorders>
              <w:top w:val="outset" w:sz="6" w:space="0" w:color="D9D9D9"/>
              <w:left w:val="outset" w:sz="6" w:space="0" w:color="D9D9D9"/>
              <w:bottom w:val="outset" w:sz="6" w:space="0" w:color="D9D9D9"/>
              <w:right w:val="outset" w:sz="6" w:space="0" w:color="D9D9D9"/>
            </w:tcBorders>
            <w:shd w:val="clear" w:color="auto" w:fill="auto"/>
            <w:hideMark/>
          </w:tcPr>
          <w:p w14:paraId="2CF7FCC7"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0.25 ml </w:t>
            </w:r>
          </w:p>
        </w:tc>
        <w:tc>
          <w:tcPr>
            <w:tcW w:w="2150" w:type="pct"/>
            <w:tcBorders>
              <w:top w:val="outset" w:sz="6" w:space="0" w:color="D9D9D9"/>
              <w:left w:val="outset" w:sz="6" w:space="0" w:color="D9D9D9"/>
              <w:bottom w:val="outset" w:sz="6" w:space="0" w:color="D9D9D9"/>
              <w:right w:val="outset" w:sz="6" w:space="0" w:color="D9D9D9"/>
            </w:tcBorders>
            <w:shd w:val="clear" w:color="auto" w:fill="auto"/>
            <w:hideMark/>
          </w:tcPr>
          <w:p w14:paraId="40A9325D"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3 years after the 3</w:t>
            </w:r>
            <w:r w:rsidRPr="004A5F62">
              <w:rPr>
                <w:rFonts w:ascii="Arial" w:eastAsia="Times New Roman" w:hAnsi="Arial" w:cs="Arial"/>
                <w:sz w:val="24"/>
                <w:szCs w:val="24"/>
                <w:vertAlign w:val="superscript"/>
                <w:lang w:eastAsia="en-GB"/>
              </w:rPr>
              <w:t>rd</w:t>
            </w:r>
            <w:r w:rsidRPr="004A5F62">
              <w:rPr>
                <w:rFonts w:ascii="Arial" w:eastAsia="Times New Roman" w:hAnsi="Arial" w:cs="Arial"/>
                <w:sz w:val="24"/>
                <w:szCs w:val="24"/>
                <w:lang w:eastAsia="en-GB"/>
              </w:rPr>
              <w:t xml:space="preserve"> vaccination</w:t>
            </w:r>
          </w:p>
        </w:tc>
      </w:tr>
      <w:tr w:rsidR="004A5F62" w:rsidRPr="004A5F62" w14:paraId="0197C4B0" w14:textId="77777777" w:rsidTr="004A5F62">
        <w:tc>
          <w:tcPr>
            <w:tcW w:w="1900" w:type="pct"/>
            <w:tcBorders>
              <w:top w:val="outset" w:sz="6" w:space="0" w:color="D9D9D9"/>
              <w:left w:val="outset" w:sz="6" w:space="0" w:color="D9D9D9"/>
              <w:bottom w:val="outset" w:sz="6" w:space="0" w:color="D9D9D9"/>
              <w:right w:val="outset" w:sz="6" w:space="0" w:color="D9D9D9"/>
            </w:tcBorders>
            <w:shd w:val="clear" w:color="auto" w:fill="auto"/>
            <w:hideMark/>
          </w:tcPr>
          <w:p w14:paraId="6952DFFC"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Sequential booster doses</w:t>
            </w:r>
          </w:p>
        </w:tc>
        <w:tc>
          <w:tcPr>
            <w:tcW w:w="950" w:type="pct"/>
            <w:tcBorders>
              <w:top w:val="outset" w:sz="6" w:space="0" w:color="D9D9D9"/>
              <w:left w:val="outset" w:sz="6" w:space="0" w:color="D9D9D9"/>
              <w:bottom w:val="outset" w:sz="6" w:space="0" w:color="D9D9D9"/>
              <w:right w:val="outset" w:sz="6" w:space="0" w:color="D9D9D9"/>
            </w:tcBorders>
            <w:shd w:val="clear" w:color="auto" w:fill="auto"/>
            <w:hideMark/>
          </w:tcPr>
          <w:p w14:paraId="2B67C4A7"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0.25 ml </w:t>
            </w:r>
          </w:p>
        </w:tc>
        <w:tc>
          <w:tcPr>
            <w:tcW w:w="2150" w:type="pct"/>
            <w:tcBorders>
              <w:top w:val="outset" w:sz="6" w:space="0" w:color="D9D9D9"/>
              <w:left w:val="outset" w:sz="6" w:space="0" w:color="D9D9D9"/>
              <w:bottom w:val="outset" w:sz="6" w:space="0" w:color="D9D9D9"/>
              <w:right w:val="outset" w:sz="6" w:space="0" w:color="D9D9D9"/>
            </w:tcBorders>
            <w:shd w:val="clear" w:color="auto" w:fill="auto"/>
            <w:hideMark/>
          </w:tcPr>
          <w:p w14:paraId="46F0090B" w14:textId="77777777" w:rsidR="004A5F62" w:rsidRPr="004A5F62" w:rsidRDefault="004A5F62" w:rsidP="004A5F62">
            <w:pPr>
              <w:spacing w:after="0" w:line="240" w:lineRule="auto"/>
              <w:jc w:val="center"/>
              <w:rPr>
                <w:rFonts w:ascii="Arial" w:eastAsia="Times New Roman" w:hAnsi="Arial" w:cs="Arial"/>
                <w:sz w:val="24"/>
                <w:szCs w:val="24"/>
                <w:lang w:eastAsia="en-GB"/>
              </w:rPr>
            </w:pPr>
            <w:r w:rsidRPr="004A5F62">
              <w:rPr>
                <w:rFonts w:ascii="Arial" w:eastAsia="Times New Roman" w:hAnsi="Arial" w:cs="Arial"/>
                <w:sz w:val="24"/>
                <w:szCs w:val="24"/>
                <w:lang w:eastAsia="en-GB"/>
              </w:rPr>
              <w:t xml:space="preserve">every 5 years </w:t>
            </w:r>
          </w:p>
        </w:tc>
      </w:tr>
    </w:tbl>
    <w:p w14:paraId="366157AC" w14:textId="77777777" w:rsidR="004A5F62" w:rsidRPr="004A5F62" w:rsidRDefault="004A5F62" w:rsidP="007945E7">
      <w:pPr>
        <w:pStyle w:val="NoSpacing"/>
        <w:rPr>
          <w:rFonts w:ascii="Arial" w:hAnsi="Arial" w:cs="Arial"/>
          <w:sz w:val="24"/>
          <w:szCs w:val="24"/>
        </w:rPr>
      </w:pPr>
      <w:r w:rsidRPr="004A5F62">
        <w:rPr>
          <w:rFonts w:ascii="Arial" w:hAnsi="Arial" w:cs="Arial"/>
          <w:sz w:val="24"/>
          <w:szCs w:val="24"/>
        </w:rPr>
        <w:t>(Electronic Medicines Compendium, 2018b)</w:t>
      </w:r>
    </w:p>
    <w:p w14:paraId="4F6D431E" w14:textId="77777777" w:rsidR="009D7CB8" w:rsidRDefault="009D7CB8" w:rsidP="007945E7">
      <w:pPr>
        <w:pStyle w:val="NoSpacing"/>
        <w:rPr>
          <w:rFonts w:ascii="Arial" w:hAnsi="Arial" w:cs="Arial"/>
          <w:sz w:val="24"/>
          <w:szCs w:val="24"/>
        </w:rPr>
      </w:pPr>
    </w:p>
    <w:p w14:paraId="2DB4AED7" w14:textId="77777777" w:rsidR="009D7CB8" w:rsidRDefault="00806042" w:rsidP="007945E7">
      <w:pPr>
        <w:pStyle w:val="NoSpacing"/>
        <w:rPr>
          <w:rFonts w:ascii="Arial" w:hAnsi="Arial" w:cs="Arial"/>
          <w:sz w:val="24"/>
          <w:szCs w:val="24"/>
        </w:rPr>
      </w:pPr>
      <w:r>
        <w:rPr>
          <w:rFonts w:ascii="Arial" w:hAnsi="Arial" w:cs="Arial"/>
          <w:sz w:val="24"/>
          <w:szCs w:val="24"/>
        </w:rPr>
        <w:t>As with all vaccines contraindications include allergy</w:t>
      </w:r>
      <w:r w:rsidR="004A5F62">
        <w:rPr>
          <w:rFonts w:ascii="Arial" w:hAnsi="Arial" w:cs="Arial"/>
          <w:sz w:val="24"/>
          <w:szCs w:val="24"/>
        </w:rPr>
        <w:t xml:space="preserve"> or hypersensitivity </w:t>
      </w:r>
      <w:r>
        <w:rPr>
          <w:rFonts w:ascii="Arial" w:hAnsi="Arial" w:cs="Arial"/>
          <w:sz w:val="24"/>
          <w:szCs w:val="24"/>
        </w:rPr>
        <w:t xml:space="preserve">to previous </w:t>
      </w:r>
      <w:r w:rsidR="004A5F62">
        <w:rPr>
          <w:rFonts w:ascii="Arial" w:hAnsi="Arial" w:cs="Arial"/>
          <w:sz w:val="24"/>
          <w:szCs w:val="24"/>
        </w:rPr>
        <w:t xml:space="preserve">TBE </w:t>
      </w:r>
      <w:r>
        <w:rPr>
          <w:rFonts w:ascii="Arial" w:hAnsi="Arial" w:cs="Arial"/>
          <w:sz w:val="24"/>
          <w:szCs w:val="24"/>
        </w:rPr>
        <w:t>vaccination and any constituent of the vaccine.  Additionally severe egg allergy reaction and severe febrile illness applies to the TBE vaccine.</w:t>
      </w:r>
    </w:p>
    <w:p w14:paraId="07A438E3" w14:textId="77777777" w:rsidR="004A5F62" w:rsidRDefault="004A5F62" w:rsidP="007945E7">
      <w:pPr>
        <w:pStyle w:val="NoSpacing"/>
        <w:rPr>
          <w:rFonts w:ascii="Arial" w:hAnsi="Arial" w:cs="Arial"/>
          <w:sz w:val="24"/>
          <w:szCs w:val="24"/>
        </w:rPr>
      </w:pPr>
    </w:p>
    <w:p w14:paraId="42271A95" w14:textId="77777777" w:rsidR="004A5F62" w:rsidRPr="004A5F62" w:rsidRDefault="004A5F62" w:rsidP="007945E7">
      <w:pPr>
        <w:pStyle w:val="NoSpacing"/>
        <w:rPr>
          <w:rFonts w:ascii="Arial" w:hAnsi="Arial" w:cs="Arial"/>
          <w:b/>
          <w:sz w:val="24"/>
          <w:szCs w:val="24"/>
        </w:rPr>
      </w:pPr>
      <w:r w:rsidRPr="004A5F62">
        <w:rPr>
          <w:rFonts w:ascii="Arial" w:hAnsi="Arial" w:cs="Arial"/>
          <w:b/>
          <w:sz w:val="24"/>
          <w:szCs w:val="24"/>
        </w:rPr>
        <w:t>Conclusion</w:t>
      </w:r>
    </w:p>
    <w:p w14:paraId="71338FDB" w14:textId="77777777" w:rsidR="004A5F62" w:rsidRDefault="004A5F62" w:rsidP="007945E7">
      <w:pPr>
        <w:pStyle w:val="NoSpacing"/>
        <w:rPr>
          <w:rFonts w:ascii="Arial" w:hAnsi="Arial" w:cs="Arial"/>
          <w:sz w:val="24"/>
          <w:szCs w:val="24"/>
        </w:rPr>
      </w:pPr>
      <w:r>
        <w:rPr>
          <w:rFonts w:ascii="Arial" w:hAnsi="Arial" w:cs="Arial"/>
          <w:sz w:val="24"/>
          <w:szCs w:val="24"/>
        </w:rPr>
        <w:t xml:space="preserve">TBE is an endemic disease across much of Europe and Asia, few travellers in the UK seek travel advice pre-travel to many of these areas but will be at risk of potential exposure.  An awareness campaign in your practice may be the way to highlight the issue to those potentially at risk, being aware of preventive measures and sharing this and advising your patients about vaccination if appropriate may be the difference between a safe successful holiday and the potential long-term sequelae from a vaccine preventable illness. </w:t>
      </w:r>
    </w:p>
    <w:p w14:paraId="6222BA92" w14:textId="77777777" w:rsidR="00806042" w:rsidRPr="007945E7" w:rsidRDefault="00806042" w:rsidP="007945E7">
      <w:pPr>
        <w:pStyle w:val="NoSpacing"/>
        <w:rPr>
          <w:rFonts w:ascii="Arial" w:hAnsi="Arial" w:cs="Arial"/>
          <w:sz w:val="24"/>
          <w:szCs w:val="24"/>
        </w:rPr>
      </w:pPr>
    </w:p>
    <w:p w14:paraId="695C502C" w14:textId="77777777" w:rsidR="00EE7188" w:rsidRPr="004A5F62" w:rsidRDefault="009D7CB8" w:rsidP="007945E7">
      <w:pPr>
        <w:pStyle w:val="NoSpacing"/>
        <w:rPr>
          <w:rFonts w:ascii="Arial" w:hAnsi="Arial" w:cs="Arial"/>
          <w:b/>
          <w:sz w:val="24"/>
          <w:szCs w:val="24"/>
        </w:rPr>
      </w:pPr>
      <w:r w:rsidRPr="004A5F62">
        <w:rPr>
          <w:rFonts w:ascii="Arial" w:hAnsi="Arial" w:cs="Arial"/>
          <w:b/>
          <w:sz w:val="24"/>
          <w:szCs w:val="24"/>
        </w:rPr>
        <w:t>Personal comment</w:t>
      </w:r>
      <w:r w:rsidR="004A5F62" w:rsidRPr="004A5F62">
        <w:rPr>
          <w:rFonts w:ascii="Arial" w:hAnsi="Arial" w:cs="Arial"/>
          <w:b/>
          <w:sz w:val="24"/>
          <w:szCs w:val="24"/>
        </w:rPr>
        <w:t>:</w:t>
      </w:r>
    </w:p>
    <w:p w14:paraId="157C9FB9" w14:textId="77777777" w:rsidR="00EE7188" w:rsidRPr="007945E7" w:rsidRDefault="009D7CB8" w:rsidP="007945E7">
      <w:pPr>
        <w:pStyle w:val="NoSpacing"/>
        <w:rPr>
          <w:rFonts w:ascii="Arial" w:hAnsi="Arial" w:cs="Arial"/>
          <w:sz w:val="24"/>
          <w:szCs w:val="24"/>
        </w:rPr>
      </w:pPr>
      <w:r>
        <w:rPr>
          <w:rFonts w:ascii="Arial" w:hAnsi="Arial" w:cs="Arial"/>
          <w:sz w:val="24"/>
          <w:szCs w:val="24"/>
        </w:rPr>
        <w:t xml:space="preserve">On personal trips in Baltic and Central European countries I did not personally consider the tours to pose a risk of TBE based on the itineraries, so did not seek pre-exposure vaccination.  However on both trips I found myself taking a walk through forested areas one guided and one independently, I was fortunately prepared with personal protection having insect repellent and appropriate clothing but on reflection perhaps I ought to have sought vaccination.   I spoke to the tour guides on these trips, in the Baltics the guide knew about TBE and was herself vaccinated regularly. Conversely in Slovakia the guide had experienced a hospital admission as a direct result of TBE which she acknowledged until that point she had no understanding of the virus or her risk as mountain tour guide.  Perhaps reflective of the less affluent economy of Slovakia neither was she aware of or offered TBE vaccination by her healthcare provider.   </w:t>
      </w:r>
    </w:p>
    <w:p w14:paraId="690839B9" w14:textId="77777777" w:rsidR="00EE7188" w:rsidRPr="007945E7" w:rsidRDefault="00EE7188" w:rsidP="007945E7">
      <w:pPr>
        <w:pStyle w:val="NoSpacing"/>
        <w:rPr>
          <w:rFonts w:ascii="Arial" w:hAnsi="Arial" w:cs="Arial"/>
          <w:sz w:val="24"/>
          <w:szCs w:val="24"/>
        </w:rPr>
      </w:pPr>
    </w:p>
    <w:p w14:paraId="7B9B4CEA" w14:textId="77777777" w:rsidR="004A5F62" w:rsidRDefault="004A5F62">
      <w:pPr>
        <w:rPr>
          <w:rFonts w:ascii="Arial" w:hAnsi="Arial" w:cs="Arial"/>
          <w:sz w:val="24"/>
          <w:szCs w:val="24"/>
        </w:rPr>
      </w:pPr>
      <w:r>
        <w:rPr>
          <w:rFonts w:ascii="Arial" w:hAnsi="Arial" w:cs="Arial"/>
          <w:sz w:val="24"/>
          <w:szCs w:val="24"/>
        </w:rPr>
        <w:br w:type="page"/>
      </w:r>
    </w:p>
    <w:p w14:paraId="0FE29DA1" w14:textId="77777777" w:rsidR="00EE7188" w:rsidRPr="007945E7" w:rsidRDefault="00EE7188" w:rsidP="007945E7">
      <w:pPr>
        <w:pStyle w:val="NoSpacing"/>
        <w:rPr>
          <w:rFonts w:ascii="Arial" w:hAnsi="Arial" w:cs="Arial"/>
          <w:sz w:val="24"/>
          <w:szCs w:val="24"/>
        </w:rPr>
      </w:pPr>
    </w:p>
    <w:p w14:paraId="03C5DD45" w14:textId="77777777" w:rsidR="00EE7188" w:rsidRPr="004A5F62" w:rsidRDefault="00EE7188" w:rsidP="007945E7">
      <w:pPr>
        <w:pStyle w:val="NoSpacing"/>
        <w:rPr>
          <w:rFonts w:ascii="Arial" w:hAnsi="Arial" w:cs="Arial"/>
          <w:b/>
          <w:sz w:val="24"/>
          <w:szCs w:val="24"/>
        </w:rPr>
      </w:pPr>
      <w:r w:rsidRPr="004A5F62">
        <w:rPr>
          <w:rFonts w:ascii="Arial" w:hAnsi="Arial" w:cs="Arial"/>
          <w:b/>
          <w:sz w:val="24"/>
          <w:szCs w:val="24"/>
        </w:rPr>
        <w:t>References:</w:t>
      </w:r>
    </w:p>
    <w:p w14:paraId="58C640E2" w14:textId="77777777" w:rsidR="00EE7188" w:rsidRPr="007945E7" w:rsidRDefault="00EE7188" w:rsidP="007945E7">
      <w:pPr>
        <w:pStyle w:val="NoSpacing"/>
        <w:rPr>
          <w:rFonts w:ascii="Arial" w:hAnsi="Arial" w:cs="Arial"/>
          <w:sz w:val="24"/>
          <w:szCs w:val="24"/>
        </w:rPr>
      </w:pPr>
    </w:p>
    <w:p w14:paraId="48B40D5F" w14:textId="77777777" w:rsidR="00021983" w:rsidRPr="007945E7" w:rsidRDefault="00021983" w:rsidP="007945E7">
      <w:pPr>
        <w:pStyle w:val="NoSpacing"/>
        <w:rPr>
          <w:rFonts w:ascii="Arial" w:hAnsi="Arial" w:cs="Arial"/>
          <w:sz w:val="24"/>
          <w:szCs w:val="24"/>
        </w:rPr>
      </w:pPr>
      <w:r w:rsidRPr="007945E7">
        <w:rPr>
          <w:rFonts w:ascii="Arial" w:hAnsi="Arial" w:cs="Arial"/>
          <w:sz w:val="24"/>
          <w:szCs w:val="24"/>
        </w:rPr>
        <w:t xml:space="preserve">Centres for Disease Control and Prevention (CDC) (2017) </w:t>
      </w:r>
      <w:r w:rsidRPr="007858FD">
        <w:rPr>
          <w:rFonts w:ascii="Arial" w:hAnsi="Arial" w:cs="Arial"/>
          <w:i/>
          <w:sz w:val="24"/>
          <w:szCs w:val="24"/>
        </w:rPr>
        <w:t>Yellow Book, Chapter 3, Infection Diseases Related to Travel, Tick-borne Encephalitis</w:t>
      </w:r>
      <w:r w:rsidRPr="009D7CB8">
        <w:rPr>
          <w:rFonts w:ascii="Arial" w:hAnsi="Arial" w:cs="Arial"/>
          <w:sz w:val="24"/>
          <w:szCs w:val="24"/>
          <w:u w:val="single"/>
        </w:rPr>
        <w:t>.</w:t>
      </w:r>
      <w:r w:rsidRPr="007945E7">
        <w:rPr>
          <w:rFonts w:ascii="Arial" w:hAnsi="Arial" w:cs="Arial"/>
          <w:sz w:val="24"/>
          <w:szCs w:val="24"/>
        </w:rPr>
        <w:t xml:space="preserve"> </w:t>
      </w:r>
      <w:hyperlink r:id="rId8" w:history="1">
        <w:r w:rsidRPr="007945E7">
          <w:rPr>
            <w:rStyle w:val="Hyperlink"/>
            <w:rFonts w:ascii="Arial" w:hAnsi="Arial" w:cs="Arial"/>
            <w:sz w:val="24"/>
            <w:szCs w:val="24"/>
          </w:rPr>
          <w:t>https://wwwnc.cdc.gov/travel/yellowbook/2018/infectious-diseases-related-to-travel/tickborne-encephalitis</w:t>
        </w:r>
      </w:hyperlink>
      <w:r w:rsidRPr="007945E7">
        <w:rPr>
          <w:rFonts w:ascii="Arial" w:hAnsi="Arial" w:cs="Arial"/>
          <w:sz w:val="24"/>
          <w:szCs w:val="24"/>
        </w:rPr>
        <w:t xml:space="preserve"> (accessed 04.01.18)</w:t>
      </w:r>
    </w:p>
    <w:p w14:paraId="3E71C53C" w14:textId="77777777" w:rsidR="00021983" w:rsidRDefault="00021983" w:rsidP="007945E7">
      <w:pPr>
        <w:pStyle w:val="NoSpacing"/>
        <w:rPr>
          <w:rFonts w:ascii="Arial" w:hAnsi="Arial" w:cs="Arial"/>
          <w:sz w:val="24"/>
          <w:szCs w:val="24"/>
        </w:rPr>
      </w:pPr>
    </w:p>
    <w:p w14:paraId="2DA872D4" w14:textId="77777777" w:rsidR="004A5F62" w:rsidRDefault="004A5F62" w:rsidP="007945E7">
      <w:pPr>
        <w:pStyle w:val="NoSpacing"/>
        <w:rPr>
          <w:rFonts w:ascii="Arial" w:hAnsi="Arial" w:cs="Arial"/>
          <w:sz w:val="24"/>
          <w:szCs w:val="24"/>
        </w:rPr>
      </w:pPr>
      <w:r>
        <w:rPr>
          <w:rFonts w:ascii="Arial" w:hAnsi="Arial" w:cs="Arial"/>
          <w:sz w:val="24"/>
          <w:szCs w:val="24"/>
        </w:rPr>
        <w:t>Electronic Medicines Compendium</w:t>
      </w:r>
      <w:r w:rsidRPr="004A5F62">
        <w:rPr>
          <w:rFonts w:ascii="Arial" w:hAnsi="Arial" w:cs="Arial"/>
          <w:sz w:val="24"/>
          <w:szCs w:val="24"/>
        </w:rPr>
        <w:t xml:space="preserve">, (2018a) </w:t>
      </w:r>
      <w:r w:rsidRPr="007858FD">
        <w:rPr>
          <w:rFonts w:ascii="Arial" w:hAnsi="Arial" w:cs="Arial"/>
          <w:bCs/>
          <w:i/>
          <w:sz w:val="24"/>
          <w:szCs w:val="24"/>
        </w:rPr>
        <w:t>TicoVac 0.5 ml Suspension for injection in a prefilled syringe</w:t>
      </w:r>
      <w:r>
        <w:rPr>
          <w:rFonts w:ascii="Arial" w:hAnsi="Arial" w:cs="Arial"/>
          <w:bCs/>
          <w:sz w:val="24"/>
          <w:szCs w:val="24"/>
        </w:rPr>
        <w:t xml:space="preserve"> </w:t>
      </w:r>
      <w:hyperlink r:id="rId9" w:history="1">
        <w:r w:rsidRPr="00E4219A">
          <w:rPr>
            <w:rStyle w:val="Hyperlink"/>
            <w:rFonts w:ascii="Arial" w:hAnsi="Arial" w:cs="Arial"/>
            <w:bCs/>
            <w:sz w:val="24"/>
            <w:szCs w:val="24"/>
          </w:rPr>
          <w:t>https://www.medicines.org.uk/emc/medicine/30324</w:t>
        </w:r>
      </w:hyperlink>
      <w:r>
        <w:rPr>
          <w:rFonts w:ascii="Arial" w:hAnsi="Arial" w:cs="Arial"/>
          <w:bCs/>
          <w:sz w:val="24"/>
          <w:szCs w:val="24"/>
        </w:rPr>
        <w:t xml:space="preserve"> (accessed 04.01.18)</w:t>
      </w:r>
    </w:p>
    <w:p w14:paraId="3249F54D" w14:textId="77777777" w:rsidR="004A5F62" w:rsidRPr="007945E7" w:rsidRDefault="004A5F62" w:rsidP="007945E7">
      <w:pPr>
        <w:pStyle w:val="NoSpacing"/>
        <w:rPr>
          <w:rFonts w:ascii="Arial" w:hAnsi="Arial" w:cs="Arial"/>
          <w:sz w:val="24"/>
          <w:szCs w:val="24"/>
        </w:rPr>
      </w:pPr>
    </w:p>
    <w:p w14:paraId="5A544CFC" w14:textId="77777777" w:rsidR="004A5F62" w:rsidRPr="004A5F62" w:rsidRDefault="004A5F62" w:rsidP="007945E7">
      <w:pPr>
        <w:pStyle w:val="NoSpacing"/>
        <w:rPr>
          <w:rFonts w:ascii="Arial" w:hAnsi="Arial" w:cs="Arial"/>
          <w:sz w:val="24"/>
          <w:szCs w:val="24"/>
        </w:rPr>
      </w:pPr>
      <w:r>
        <w:rPr>
          <w:rFonts w:ascii="Arial" w:hAnsi="Arial" w:cs="Arial"/>
          <w:sz w:val="24"/>
          <w:szCs w:val="24"/>
        </w:rPr>
        <w:t xml:space="preserve">Electronic Medicines Compendium, (2018b) </w:t>
      </w:r>
      <w:r w:rsidRPr="007858FD">
        <w:rPr>
          <w:rFonts w:ascii="Arial" w:hAnsi="Arial" w:cs="Arial"/>
          <w:bCs/>
          <w:i/>
          <w:sz w:val="24"/>
          <w:szCs w:val="24"/>
        </w:rPr>
        <w:t>TicoVac Junior 0.25 ml Suspension for injection in a pre-filled syringe</w:t>
      </w:r>
      <w:r>
        <w:rPr>
          <w:rFonts w:ascii="Arial" w:hAnsi="Arial" w:cs="Arial"/>
          <w:bCs/>
          <w:sz w:val="24"/>
          <w:szCs w:val="24"/>
        </w:rPr>
        <w:t xml:space="preserve"> </w:t>
      </w:r>
      <w:hyperlink r:id="rId10" w:history="1">
        <w:r w:rsidRPr="00E4219A">
          <w:rPr>
            <w:rStyle w:val="Hyperlink"/>
            <w:rFonts w:ascii="Arial" w:hAnsi="Arial" w:cs="Arial"/>
            <w:bCs/>
            <w:sz w:val="24"/>
            <w:szCs w:val="24"/>
          </w:rPr>
          <w:t>https://www.medicines.org.uk/emc/medicine/30334</w:t>
        </w:r>
      </w:hyperlink>
      <w:r>
        <w:rPr>
          <w:rFonts w:ascii="Arial" w:hAnsi="Arial" w:cs="Arial"/>
          <w:bCs/>
          <w:sz w:val="24"/>
          <w:szCs w:val="24"/>
        </w:rPr>
        <w:t xml:space="preserve"> (accessed 04.01.178)</w:t>
      </w:r>
    </w:p>
    <w:p w14:paraId="6F1A3A5B" w14:textId="77777777" w:rsidR="004A5F62" w:rsidRDefault="004A5F62" w:rsidP="007945E7">
      <w:pPr>
        <w:pStyle w:val="NoSpacing"/>
        <w:rPr>
          <w:rFonts w:ascii="Arial" w:hAnsi="Arial" w:cs="Arial"/>
          <w:sz w:val="24"/>
          <w:szCs w:val="24"/>
        </w:rPr>
      </w:pPr>
    </w:p>
    <w:p w14:paraId="5C3DBAF4" w14:textId="77777777" w:rsidR="00021983" w:rsidRPr="007858FD" w:rsidRDefault="009D7CB8" w:rsidP="007945E7">
      <w:pPr>
        <w:pStyle w:val="NoSpacing"/>
        <w:rPr>
          <w:rFonts w:ascii="Arial" w:hAnsi="Arial" w:cs="Arial"/>
          <w:i/>
          <w:sz w:val="24"/>
          <w:szCs w:val="24"/>
        </w:rPr>
      </w:pPr>
      <w:r w:rsidRPr="007945E7">
        <w:rPr>
          <w:rFonts w:ascii="Arial" w:hAnsi="Arial" w:cs="Arial"/>
          <w:bCs/>
          <w:sz w:val="24"/>
          <w:szCs w:val="24"/>
        </w:rPr>
        <w:t xml:space="preserve">European Centre for Disease Prevention and Control </w:t>
      </w:r>
      <w:r>
        <w:rPr>
          <w:rFonts w:ascii="Arial" w:hAnsi="Arial" w:cs="Arial"/>
          <w:bCs/>
          <w:sz w:val="24"/>
          <w:szCs w:val="24"/>
        </w:rPr>
        <w:t xml:space="preserve">(ECDC) (2018) </w:t>
      </w:r>
      <w:r w:rsidRPr="007858FD">
        <w:rPr>
          <w:rFonts w:ascii="Arial" w:hAnsi="Arial" w:cs="Arial"/>
          <w:bCs/>
          <w:i/>
          <w:sz w:val="24"/>
          <w:szCs w:val="24"/>
        </w:rPr>
        <w:t>Tick-borne</w:t>
      </w:r>
      <w:r w:rsidRPr="007858FD">
        <w:rPr>
          <w:rFonts w:ascii="Arial" w:hAnsi="Arial" w:cs="Arial"/>
          <w:i/>
          <w:sz w:val="24"/>
          <w:szCs w:val="24"/>
        </w:rPr>
        <w:t xml:space="preserve"> encephalitis Factsheet.</w:t>
      </w:r>
    </w:p>
    <w:p w14:paraId="473A1342" w14:textId="77777777" w:rsidR="009D7CB8" w:rsidRDefault="00057955" w:rsidP="007945E7">
      <w:pPr>
        <w:pStyle w:val="NoSpacing"/>
        <w:rPr>
          <w:rFonts w:ascii="Arial" w:hAnsi="Arial" w:cs="Arial"/>
          <w:sz w:val="24"/>
          <w:szCs w:val="24"/>
        </w:rPr>
      </w:pPr>
      <w:hyperlink r:id="rId11" w:history="1">
        <w:r w:rsidR="009D7CB8" w:rsidRPr="00E4219A">
          <w:rPr>
            <w:rStyle w:val="Hyperlink"/>
            <w:rFonts w:ascii="Arial" w:hAnsi="Arial" w:cs="Arial"/>
            <w:sz w:val="24"/>
            <w:szCs w:val="24"/>
          </w:rPr>
          <w:t>https://ecdc.europa.eu/en/tick-borne-encephalitis/facts/factsheet</w:t>
        </w:r>
      </w:hyperlink>
      <w:r w:rsidR="009D7CB8">
        <w:rPr>
          <w:rFonts w:ascii="Arial" w:hAnsi="Arial" w:cs="Arial"/>
          <w:sz w:val="24"/>
          <w:szCs w:val="24"/>
        </w:rPr>
        <w:t xml:space="preserve"> (accessed 04.01.18)</w:t>
      </w:r>
    </w:p>
    <w:p w14:paraId="1A01A50B" w14:textId="77777777" w:rsidR="009D7CB8" w:rsidRPr="007945E7" w:rsidRDefault="009D7CB8" w:rsidP="007945E7">
      <w:pPr>
        <w:pStyle w:val="NoSpacing"/>
        <w:rPr>
          <w:rFonts w:ascii="Arial" w:hAnsi="Arial" w:cs="Arial"/>
          <w:sz w:val="24"/>
          <w:szCs w:val="24"/>
        </w:rPr>
      </w:pPr>
    </w:p>
    <w:p w14:paraId="4C255736" w14:textId="77777777" w:rsidR="00E14F5E" w:rsidRPr="007945E7" w:rsidRDefault="00C57C7B" w:rsidP="007945E7">
      <w:pPr>
        <w:pStyle w:val="NoSpacing"/>
        <w:rPr>
          <w:rFonts w:ascii="Arial" w:hAnsi="Arial" w:cs="Arial"/>
          <w:bCs/>
          <w:sz w:val="24"/>
          <w:szCs w:val="24"/>
        </w:rPr>
      </w:pPr>
      <w:r w:rsidRPr="007945E7">
        <w:rPr>
          <w:rFonts w:ascii="Arial" w:hAnsi="Arial" w:cs="Arial"/>
          <w:bCs/>
          <w:sz w:val="24"/>
          <w:szCs w:val="24"/>
        </w:rPr>
        <w:t xml:space="preserve">European Centre for Disease Prevention and Control (ECDC) </w:t>
      </w:r>
      <w:r w:rsidR="00E14F5E" w:rsidRPr="007945E7">
        <w:rPr>
          <w:rFonts w:ascii="Arial" w:hAnsi="Arial" w:cs="Arial"/>
          <w:bCs/>
          <w:sz w:val="24"/>
          <w:szCs w:val="24"/>
        </w:rPr>
        <w:t xml:space="preserve">(2012) </w:t>
      </w:r>
      <w:r w:rsidRPr="007945E7">
        <w:rPr>
          <w:rFonts w:ascii="Arial" w:hAnsi="Arial" w:cs="Arial"/>
          <w:bCs/>
          <w:sz w:val="24"/>
          <w:szCs w:val="24"/>
        </w:rPr>
        <w:t xml:space="preserve"> – </w:t>
      </w:r>
      <w:r w:rsidRPr="007858FD">
        <w:rPr>
          <w:rFonts w:ascii="Arial" w:hAnsi="Arial" w:cs="Arial"/>
          <w:bCs/>
          <w:i/>
          <w:sz w:val="24"/>
          <w:szCs w:val="24"/>
        </w:rPr>
        <w:t>Epidemiological situation of tick-borne encephalitis in the European Union and European Free Trade Association countries</w:t>
      </w:r>
      <w:r w:rsidRPr="007945E7">
        <w:rPr>
          <w:rFonts w:ascii="Arial" w:hAnsi="Arial" w:cs="Arial"/>
          <w:bCs/>
          <w:sz w:val="24"/>
          <w:szCs w:val="24"/>
        </w:rPr>
        <w:t xml:space="preserve">. </w:t>
      </w:r>
      <w:hyperlink r:id="rId12" w:history="1">
        <w:r w:rsidR="00E14F5E" w:rsidRPr="007945E7">
          <w:rPr>
            <w:rStyle w:val="Hyperlink"/>
            <w:rFonts w:ascii="Arial" w:hAnsi="Arial" w:cs="Arial"/>
            <w:bCs/>
            <w:sz w:val="24"/>
            <w:szCs w:val="24"/>
          </w:rPr>
          <w:t>https://ecdc.europa.eu/sites/portal/files/media/en/publications/Publications/TBE-in-EU-EFTA.pdf</w:t>
        </w:r>
      </w:hyperlink>
      <w:r w:rsidR="00E14F5E" w:rsidRPr="007945E7">
        <w:rPr>
          <w:rFonts w:ascii="Arial" w:hAnsi="Arial" w:cs="Arial"/>
          <w:bCs/>
          <w:sz w:val="24"/>
          <w:szCs w:val="24"/>
        </w:rPr>
        <w:t xml:space="preserve"> (accessed 30.12.17)</w:t>
      </w:r>
    </w:p>
    <w:p w14:paraId="4F8F7FA5" w14:textId="77777777" w:rsidR="004135DE" w:rsidRPr="007945E7" w:rsidRDefault="004135DE" w:rsidP="007945E7">
      <w:pPr>
        <w:pStyle w:val="NoSpacing"/>
        <w:rPr>
          <w:rFonts w:ascii="Arial" w:hAnsi="Arial" w:cs="Arial"/>
          <w:bCs/>
          <w:sz w:val="24"/>
          <w:szCs w:val="24"/>
        </w:rPr>
      </w:pPr>
    </w:p>
    <w:p w14:paraId="4F20AC4A" w14:textId="77777777" w:rsidR="004135DE" w:rsidRPr="007945E7" w:rsidRDefault="004135DE" w:rsidP="007945E7">
      <w:pPr>
        <w:pStyle w:val="NoSpacing"/>
        <w:rPr>
          <w:rFonts w:ascii="Arial" w:hAnsi="Arial" w:cs="Arial"/>
          <w:bCs/>
          <w:sz w:val="24"/>
          <w:szCs w:val="24"/>
        </w:rPr>
      </w:pPr>
      <w:r w:rsidRPr="007945E7">
        <w:rPr>
          <w:rFonts w:ascii="Arial" w:hAnsi="Arial" w:cs="Arial"/>
          <w:bCs/>
          <w:sz w:val="24"/>
          <w:szCs w:val="24"/>
        </w:rPr>
        <w:t xml:space="preserve">Goodyer, L. (2004) </w:t>
      </w:r>
      <w:r w:rsidRPr="007858FD">
        <w:rPr>
          <w:rFonts w:ascii="Arial" w:hAnsi="Arial" w:cs="Arial"/>
          <w:bCs/>
          <w:i/>
          <w:sz w:val="24"/>
          <w:szCs w:val="24"/>
        </w:rPr>
        <w:t>Travel Medicine for Health Professionals</w:t>
      </w:r>
      <w:r w:rsidRPr="007945E7">
        <w:rPr>
          <w:rFonts w:ascii="Arial" w:hAnsi="Arial" w:cs="Arial"/>
          <w:bCs/>
          <w:sz w:val="24"/>
          <w:szCs w:val="24"/>
        </w:rPr>
        <w:t>. London. Pharmaceutical Press.</w:t>
      </w:r>
    </w:p>
    <w:p w14:paraId="337E7A6F" w14:textId="77777777" w:rsidR="004135DE" w:rsidRPr="007945E7" w:rsidRDefault="004135DE" w:rsidP="007945E7">
      <w:pPr>
        <w:pStyle w:val="NoSpacing"/>
        <w:rPr>
          <w:rFonts w:ascii="Arial" w:hAnsi="Arial" w:cs="Arial"/>
          <w:bCs/>
          <w:sz w:val="24"/>
          <w:szCs w:val="24"/>
        </w:rPr>
      </w:pPr>
    </w:p>
    <w:p w14:paraId="162BCF37" w14:textId="77777777" w:rsidR="004135DE" w:rsidRPr="007945E7" w:rsidRDefault="004135DE" w:rsidP="007945E7">
      <w:pPr>
        <w:pStyle w:val="NoSpacing"/>
        <w:rPr>
          <w:rFonts w:ascii="Arial" w:hAnsi="Arial" w:cs="Arial"/>
          <w:bCs/>
          <w:sz w:val="24"/>
          <w:szCs w:val="24"/>
        </w:rPr>
      </w:pPr>
      <w:r w:rsidRPr="007945E7">
        <w:rPr>
          <w:rFonts w:ascii="Arial" w:hAnsi="Arial" w:cs="Arial"/>
          <w:bCs/>
          <w:sz w:val="24"/>
          <w:szCs w:val="24"/>
        </w:rPr>
        <w:t xml:space="preserve">Pfeffer, M. Dobler, G. (2010) Emergence of zoonitic arboviruses by animal and trade transmission. </w:t>
      </w:r>
      <w:r w:rsidRPr="007858FD">
        <w:rPr>
          <w:rFonts w:ascii="Arial" w:hAnsi="Arial" w:cs="Arial"/>
          <w:bCs/>
          <w:i/>
          <w:sz w:val="24"/>
          <w:szCs w:val="24"/>
        </w:rPr>
        <w:t>Parasites and Vectors</w:t>
      </w:r>
      <w:r w:rsidRPr="007945E7">
        <w:rPr>
          <w:rFonts w:ascii="Arial" w:hAnsi="Arial" w:cs="Arial"/>
          <w:bCs/>
          <w:sz w:val="24"/>
          <w:szCs w:val="24"/>
        </w:rPr>
        <w:t xml:space="preserve"> Vol 3.  No. 35. Open Access via </w:t>
      </w:r>
      <w:hyperlink r:id="rId13" w:history="1">
        <w:r w:rsidRPr="007945E7">
          <w:rPr>
            <w:rStyle w:val="Hyperlink"/>
            <w:rFonts w:ascii="Arial" w:hAnsi="Arial" w:cs="Arial"/>
            <w:bCs/>
            <w:sz w:val="24"/>
            <w:szCs w:val="24"/>
          </w:rPr>
          <w:t>https://www.researchgate.net/publication/43079229_Emergence_of_zoonotic_arboviruses_by_animal_trade_and_migration</w:t>
        </w:r>
      </w:hyperlink>
      <w:r w:rsidRPr="007945E7">
        <w:rPr>
          <w:rFonts w:ascii="Arial" w:hAnsi="Arial" w:cs="Arial"/>
          <w:bCs/>
          <w:sz w:val="24"/>
          <w:szCs w:val="24"/>
        </w:rPr>
        <w:t xml:space="preserve"> (accessed 04.01.18)</w:t>
      </w:r>
    </w:p>
    <w:p w14:paraId="29B9311F" w14:textId="77777777" w:rsidR="004135DE" w:rsidRPr="007945E7" w:rsidRDefault="004135DE" w:rsidP="007945E7">
      <w:pPr>
        <w:pStyle w:val="NoSpacing"/>
        <w:rPr>
          <w:rFonts w:ascii="Arial" w:hAnsi="Arial" w:cs="Arial"/>
          <w:bCs/>
          <w:sz w:val="24"/>
          <w:szCs w:val="24"/>
        </w:rPr>
      </w:pPr>
    </w:p>
    <w:p w14:paraId="409E3852" w14:textId="77777777" w:rsidR="004135DE" w:rsidRPr="007945E7" w:rsidRDefault="004135DE" w:rsidP="007945E7">
      <w:pPr>
        <w:pStyle w:val="NoSpacing"/>
        <w:rPr>
          <w:rFonts w:ascii="Arial" w:hAnsi="Arial" w:cs="Arial"/>
          <w:bCs/>
          <w:sz w:val="24"/>
          <w:szCs w:val="24"/>
        </w:rPr>
      </w:pPr>
    </w:p>
    <w:p w14:paraId="10E37543" w14:textId="77777777" w:rsidR="00C57C7B" w:rsidRPr="007945E7" w:rsidRDefault="00C57C7B" w:rsidP="007945E7">
      <w:pPr>
        <w:pStyle w:val="NoSpacing"/>
        <w:rPr>
          <w:rFonts w:ascii="Arial" w:hAnsi="Arial" w:cs="Arial"/>
          <w:sz w:val="24"/>
          <w:szCs w:val="24"/>
        </w:rPr>
      </w:pPr>
      <w:r w:rsidRPr="007945E7">
        <w:rPr>
          <w:rFonts w:ascii="Arial" w:hAnsi="Arial" w:cs="Arial"/>
          <w:sz w:val="24"/>
          <w:szCs w:val="24"/>
        </w:rPr>
        <w:t xml:space="preserve">Public Health England (PHE) (2013) </w:t>
      </w:r>
      <w:r w:rsidRPr="007858FD">
        <w:rPr>
          <w:rFonts w:ascii="Arial" w:hAnsi="Arial" w:cs="Arial"/>
          <w:i/>
          <w:sz w:val="24"/>
          <w:szCs w:val="24"/>
        </w:rPr>
        <w:t>Chapter 27. Immunisation against Infection Disease (The Green Book).  Rabies</w:t>
      </w:r>
      <w:r w:rsidRPr="007945E7">
        <w:rPr>
          <w:rFonts w:ascii="Arial" w:hAnsi="Arial" w:cs="Arial"/>
          <w:sz w:val="24"/>
          <w:szCs w:val="24"/>
        </w:rPr>
        <w:t xml:space="preserve">. Online </w:t>
      </w:r>
      <w:hyperlink r:id="rId14" w:history="1">
        <w:r w:rsidRPr="007945E7">
          <w:rPr>
            <w:rStyle w:val="Hyperlink"/>
            <w:rFonts w:ascii="Arial" w:hAnsi="Arial" w:cs="Arial"/>
            <w:sz w:val="24"/>
            <w:szCs w:val="24"/>
          </w:rPr>
          <w:t>https://www.gov.uk/government/uploads/system/uploads/attachment_data/file/85762/Green-Book-Chapter-27-v3_0.pdf</w:t>
        </w:r>
      </w:hyperlink>
      <w:r w:rsidRPr="007945E7">
        <w:rPr>
          <w:rFonts w:ascii="Arial" w:hAnsi="Arial" w:cs="Arial"/>
          <w:sz w:val="24"/>
          <w:szCs w:val="24"/>
        </w:rPr>
        <w:t xml:space="preserve">  (accessed 30.12.17)</w:t>
      </w:r>
    </w:p>
    <w:p w14:paraId="01164C28" w14:textId="77777777" w:rsidR="00C57C7B" w:rsidRPr="007945E7" w:rsidRDefault="00C57C7B" w:rsidP="007945E7">
      <w:pPr>
        <w:pStyle w:val="NoSpacing"/>
        <w:rPr>
          <w:rFonts w:ascii="Arial" w:hAnsi="Arial" w:cs="Arial"/>
          <w:sz w:val="24"/>
          <w:szCs w:val="24"/>
        </w:rPr>
      </w:pPr>
    </w:p>
    <w:p w14:paraId="4F745294" w14:textId="77777777" w:rsidR="00FE1DA9" w:rsidRDefault="00FE1DA9" w:rsidP="007945E7">
      <w:pPr>
        <w:pStyle w:val="NoSpacing"/>
        <w:rPr>
          <w:rFonts w:ascii="Arial" w:hAnsi="Arial" w:cs="Arial"/>
          <w:sz w:val="24"/>
          <w:szCs w:val="24"/>
        </w:rPr>
      </w:pPr>
      <w:r w:rsidRPr="007945E7">
        <w:rPr>
          <w:rFonts w:ascii="Arial" w:hAnsi="Arial" w:cs="Arial"/>
          <w:sz w:val="24"/>
          <w:szCs w:val="24"/>
        </w:rPr>
        <w:t>Travel Health Pro (2017</w:t>
      </w:r>
      <w:r w:rsidR="009D7CB8">
        <w:rPr>
          <w:rFonts w:ascii="Arial" w:hAnsi="Arial" w:cs="Arial"/>
          <w:sz w:val="24"/>
          <w:szCs w:val="24"/>
        </w:rPr>
        <w:t>a</w:t>
      </w:r>
      <w:r w:rsidRPr="007945E7">
        <w:rPr>
          <w:rFonts w:ascii="Arial" w:hAnsi="Arial" w:cs="Arial"/>
          <w:sz w:val="24"/>
          <w:szCs w:val="24"/>
        </w:rPr>
        <w:t xml:space="preserve">) </w:t>
      </w:r>
      <w:r w:rsidRPr="007858FD">
        <w:rPr>
          <w:rFonts w:ascii="Arial" w:hAnsi="Arial" w:cs="Arial"/>
          <w:i/>
          <w:sz w:val="24"/>
          <w:szCs w:val="24"/>
        </w:rPr>
        <w:t xml:space="preserve">Tick-borne </w:t>
      </w:r>
      <w:r w:rsidR="004A5F62" w:rsidRPr="007858FD">
        <w:rPr>
          <w:rFonts w:ascii="Arial" w:hAnsi="Arial" w:cs="Arial"/>
          <w:i/>
          <w:sz w:val="24"/>
          <w:szCs w:val="24"/>
        </w:rPr>
        <w:t>encephalitis Factsheet</w:t>
      </w:r>
      <w:r w:rsidRPr="007945E7">
        <w:rPr>
          <w:rFonts w:ascii="Arial" w:hAnsi="Arial" w:cs="Arial"/>
          <w:sz w:val="24"/>
          <w:szCs w:val="24"/>
        </w:rPr>
        <w:t xml:space="preserve"> Online - https://travelhealthpro.org.uk/factsheet/22/tick-borne-encephalitis (accessed 30.12.17)</w:t>
      </w:r>
    </w:p>
    <w:p w14:paraId="3C90CC83" w14:textId="77777777" w:rsidR="009D7CB8" w:rsidRDefault="009D7CB8" w:rsidP="007945E7">
      <w:pPr>
        <w:pStyle w:val="NoSpacing"/>
        <w:rPr>
          <w:rFonts w:ascii="Arial" w:hAnsi="Arial" w:cs="Arial"/>
          <w:sz w:val="24"/>
          <w:szCs w:val="24"/>
        </w:rPr>
      </w:pPr>
    </w:p>
    <w:p w14:paraId="1A028D3E" w14:textId="77777777" w:rsidR="009D7CB8" w:rsidRPr="007945E7" w:rsidRDefault="009D7CB8" w:rsidP="007945E7">
      <w:pPr>
        <w:pStyle w:val="NoSpacing"/>
        <w:rPr>
          <w:rFonts w:ascii="Arial" w:hAnsi="Arial" w:cs="Arial"/>
          <w:sz w:val="24"/>
          <w:szCs w:val="24"/>
        </w:rPr>
      </w:pPr>
      <w:r w:rsidRPr="007945E7">
        <w:rPr>
          <w:rFonts w:ascii="Arial" w:hAnsi="Arial" w:cs="Arial"/>
          <w:sz w:val="24"/>
          <w:szCs w:val="24"/>
        </w:rPr>
        <w:t>Travel Health Pro (2017</w:t>
      </w:r>
      <w:r>
        <w:rPr>
          <w:rFonts w:ascii="Arial" w:hAnsi="Arial" w:cs="Arial"/>
          <w:sz w:val="24"/>
          <w:szCs w:val="24"/>
        </w:rPr>
        <w:t>b</w:t>
      </w:r>
      <w:r w:rsidRPr="007945E7">
        <w:rPr>
          <w:rFonts w:ascii="Arial" w:hAnsi="Arial" w:cs="Arial"/>
          <w:sz w:val="24"/>
          <w:szCs w:val="24"/>
        </w:rPr>
        <w:t xml:space="preserve">) </w:t>
      </w:r>
      <w:r w:rsidR="004A5F62" w:rsidRPr="007858FD">
        <w:rPr>
          <w:rFonts w:ascii="Arial" w:hAnsi="Arial" w:cs="Arial"/>
          <w:i/>
          <w:sz w:val="24"/>
          <w:szCs w:val="24"/>
        </w:rPr>
        <w:t xml:space="preserve">Countries </w:t>
      </w:r>
      <w:proofErr w:type="gramStart"/>
      <w:r w:rsidR="004A5F62" w:rsidRPr="007858FD">
        <w:rPr>
          <w:rFonts w:ascii="Arial" w:hAnsi="Arial" w:cs="Arial"/>
          <w:i/>
          <w:sz w:val="24"/>
          <w:szCs w:val="24"/>
        </w:rPr>
        <w:t>Online</w:t>
      </w:r>
      <w:r w:rsidRPr="007945E7">
        <w:rPr>
          <w:rFonts w:ascii="Arial" w:hAnsi="Arial" w:cs="Arial"/>
          <w:sz w:val="24"/>
          <w:szCs w:val="24"/>
        </w:rPr>
        <w:t xml:space="preserve"> </w:t>
      </w:r>
      <w:r>
        <w:rPr>
          <w:rFonts w:ascii="Arial" w:hAnsi="Arial" w:cs="Arial"/>
          <w:sz w:val="24"/>
          <w:szCs w:val="24"/>
        </w:rPr>
        <w:t xml:space="preserve"> </w:t>
      </w:r>
      <w:proofErr w:type="gramEnd"/>
      <w:hyperlink r:id="rId15" w:history="1">
        <w:r w:rsidRPr="00E4219A">
          <w:rPr>
            <w:rStyle w:val="Hyperlink"/>
            <w:rFonts w:ascii="Arial" w:hAnsi="Arial" w:cs="Arial"/>
            <w:sz w:val="24"/>
            <w:szCs w:val="24"/>
          </w:rPr>
          <w:t>https://travelhealthpro.org.uk/countries</w:t>
        </w:r>
      </w:hyperlink>
      <w:r>
        <w:rPr>
          <w:rFonts w:ascii="Arial" w:hAnsi="Arial" w:cs="Arial"/>
          <w:sz w:val="24"/>
          <w:szCs w:val="24"/>
        </w:rPr>
        <w:t xml:space="preserve"> (accessed 04.01.18)</w:t>
      </w:r>
    </w:p>
    <w:p w14:paraId="6EF13A38" w14:textId="77777777" w:rsidR="004135DE" w:rsidRPr="007945E7" w:rsidRDefault="004135DE" w:rsidP="007945E7">
      <w:pPr>
        <w:pStyle w:val="NoSpacing"/>
        <w:rPr>
          <w:rFonts w:ascii="Arial" w:hAnsi="Arial" w:cs="Arial"/>
          <w:sz w:val="24"/>
          <w:szCs w:val="24"/>
        </w:rPr>
      </w:pPr>
    </w:p>
    <w:p w14:paraId="3753671D" w14:textId="77777777" w:rsidR="00E14F5E" w:rsidRDefault="00E14F5E" w:rsidP="007945E7">
      <w:pPr>
        <w:pStyle w:val="NoSpacing"/>
        <w:rPr>
          <w:rFonts w:ascii="Arial" w:hAnsi="Arial" w:cs="Arial"/>
          <w:bCs/>
          <w:sz w:val="24"/>
          <w:szCs w:val="24"/>
        </w:rPr>
      </w:pPr>
      <w:r w:rsidRPr="007945E7">
        <w:rPr>
          <w:rFonts w:ascii="Arial" w:hAnsi="Arial" w:cs="Arial"/>
          <w:bCs/>
          <w:sz w:val="24"/>
          <w:szCs w:val="24"/>
        </w:rPr>
        <w:t xml:space="preserve">World Health Organisation (WHO) (2011) </w:t>
      </w:r>
      <w:r w:rsidRPr="007858FD">
        <w:rPr>
          <w:rFonts w:ascii="Arial" w:hAnsi="Arial" w:cs="Arial"/>
          <w:bCs/>
          <w:i/>
          <w:sz w:val="24"/>
          <w:szCs w:val="24"/>
        </w:rPr>
        <w:t>Tick-borne encephalitis</w:t>
      </w:r>
      <w:r w:rsidRPr="007945E7">
        <w:rPr>
          <w:rFonts w:ascii="Arial" w:hAnsi="Arial" w:cs="Arial"/>
          <w:bCs/>
          <w:sz w:val="24"/>
          <w:szCs w:val="24"/>
        </w:rPr>
        <w:t xml:space="preserve"> </w:t>
      </w:r>
      <w:hyperlink r:id="rId16" w:history="1">
        <w:r w:rsidRPr="007945E7">
          <w:rPr>
            <w:rStyle w:val="Hyperlink"/>
            <w:rFonts w:ascii="Arial" w:hAnsi="Arial" w:cs="Arial"/>
            <w:bCs/>
            <w:sz w:val="24"/>
            <w:szCs w:val="24"/>
          </w:rPr>
          <w:t>http://www.who.int/immunization/topics/tick_encephalitis/en/</w:t>
        </w:r>
      </w:hyperlink>
      <w:r w:rsidRPr="007945E7">
        <w:rPr>
          <w:rFonts w:ascii="Arial" w:hAnsi="Arial" w:cs="Arial"/>
          <w:bCs/>
          <w:sz w:val="24"/>
          <w:szCs w:val="24"/>
        </w:rPr>
        <w:t xml:space="preserve"> (accessed 04.01.18)</w:t>
      </w:r>
    </w:p>
    <w:p w14:paraId="775640B4" w14:textId="0D9E8A8B" w:rsidR="007858FD" w:rsidRDefault="007858FD" w:rsidP="007945E7">
      <w:pPr>
        <w:pStyle w:val="NoSpacing"/>
        <w:rPr>
          <w:rFonts w:ascii="Arial" w:hAnsi="Arial" w:cs="Arial"/>
          <w:bCs/>
          <w:sz w:val="24"/>
          <w:szCs w:val="24"/>
        </w:rPr>
      </w:pPr>
      <w:r>
        <w:rPr>
          <w:rFonts w:ascii="Arial" w:hAnsi="Arial" w:cs="Arial"/>
          <w:bCs/>
          <w:sz w:val="24"/>
          <w:szCs w:val="24"/>
        </w:rPr>
        <w:lastRenderedPageBreak/>
        <w:t>Key Points</w:t>
      </w:r>
      <w:r w:rsidR="00057955">
        <w:rPr>
          <w:rFonts w:ascii="Arial" w:hAnsi="Arial" w:cs="Arial"/>
          <w:bCs/>
          <w:sz w:val="24"/>
          <w:szCs w:val="24"/>
        </w:rPr>
        <w:t>:</w:t>
      </w:r>
    </w:p>
    <w:p w14:paraId="1635B25E" w14:textId="77777777" w:rsidR="00057955" w:rsidRDefault="00057955" w:rsidP="007945E7">
      <w:pPr>
        <w:pStyle w:val="NoSpacing"/>
        <w:rPr>
          <w:rFonts w:ascii="Arial" w:hAnsi="Arial" w:cs="Arial"/>
          <w:bCs/>
          <w:sz w:val="24"/>
          <w:szCs w:val="24"/>
        </w:rPr>
      </w:pPr>
      <w:bookmarkStart w:id="0" w:name="_GoBack"/>
      <w:bookmarkEnd w:id="0"/>
    </w:p>
    <w:p w14:paraId="42FD303A" w14:textId="0A0DB2D6" w:rsidR="007858FD" w:rsidRDefault="007858FD" w:rsidP="007945E7">
      <w:pPr>
        <w:pStyle w:val="NoSpacing"/>
        <w:rPr>
          <w:rFonts w:ascii="Arial" w:hAnsi="Arial" w:cs="Arial"/>
          <w:bCs/>
          <w:sz w:val="24"/>
          <w:szCs w:val="24"/>
        </w:rPr>
      </w:pPr>
      <w:r>
        <w:rPr>
          <w:rFonts w:ascii="Arial" w:hAnsi="Arial" w:cs="Arial"/>
          <w:bCs/>
          <w:sz w:val="24"/>
          <w:szCs w:val="24"/>
        </w:rPr>
        <w:t>This is a potentially life changing disease that is preventable.</w:t>
      </w:r>
    </w:p>
    <w:p w14:paraId="04F7F9C9" w14:textId="6F8D9FD5" w:rsidR="007858FD" w:rsidRDefault="007858FD" w:rsidP="007945E7">
      <w:pPr>
        <w:pStyle w:val="NoSpacing"/>
        <w:rPr>
          <w:rFonts w:ascii="Arial" w:hAnsi="Arial" w:cs="Arial"/>
          <w:bCs/>
          <w:sz w:val="24"/>
          <w:szCs w:val="24"/>
        </w:rPr>
      </w:pPr>
      <w:r>
        <w:rPr>
          <w:rFonts w:ascii="Arial" w:hAnsi="Arial" w:cs="Arial"/>
          <w:bCs/>
          <w:sz w:val="24"/>
          <w:szCs w:val="24"/>
        </w:rPr>
        <w:t>This disease in areas where traditionally people do not seek pre-travel advice.</w:t>
      </w:r>
    </w:p>
    <w:p w14:paraId="521B01FC" w14:textId="41DE591E" w:rsidR="007858FD" w:rsidRPr="007858FD" w:rsidRDefault="007858FD" w:rsidP="007945E7">
      <w:pPr>
        <w:pStyle w:val="NoSpacing"/>
        <w:rPr>
          <w:rFonts w:ascii="Arial" w:hAnsi="Arial" w:cs="Arial"/>
          <w:bCs/>
          <w:sz w:val="24"/>
          <w:szCs w:val="24"/>
        </w:rPr>
      </w:pPr>
      <w:r>
        <w:rPr>
          <w:rFonts w:ascii="Arial" w:hAnsi="Arial" w:cs="Arial"/>
          <w:bCs/>
          <w:sz w:val="24"/>
          <w:szCs w:val="24"/>
        </w:rPr>
        <w:t>Practice Nurses need to be aware and be able to discuss the potential risks and preventive measure with patients.</w:t>
      </w:r>
    </w:p>
    <w:sectPr w:rsidR="007858FD" w:rsidRPr="007858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A5012"/>
    <w:multiLevelType w:val="multilevel"/>
    <w:tmpl w:val="FA3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0740E"/>
    <w:multiLevelType w:val="multilevel"/>
    <w:tmpl w:val="01A0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F32E09"/>
    <w:multiLevelType w:val="multilevel"/>
    <w:tmpl w:val="947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60"/>
    <w:rsid w:val="00021983"/>
    <w:rsid w:val="00057955"/>
    <w:rsid w:val="00090BB7"/>
    <w:rsid w:val="000C7BBA"/>
    <w:rsid w:val="00132742"/>
    <w:rsid w:val="001C62F7"/>
    <w:rsid w:val="00296512"/>
    <w:rsid w:val="002B18AB"/>
    <w:rsid w:val="004135DE"/>
    <w:rsid w:val="00471D72"/>
    <w:rsid w:val="004A4810"/>
    <w:rsid w:val="004A5F62"/>
    <w:rsid w:val="00500C1D"/>
    <w:rsid w:val="00563EB8"/>
    <w:rsid w:val="005800D9"/>
    <w:rsid w:val="00651C1F"/>
    <w:rsid w:val="00716C4A"/>
    <w:rsid w:val="007858FD"/>
    <w:rsid w:val="007945E7"/>
    <w:rsid w:val="00806042"/>
    <w:rsid w:val="008919DD"/>
    <w:rsid w:val="008F2A00"/>
    <w:rsid w:val="009D7CB8"/>
    <w:rsid w:val="00A01BCE"/>
    <w:rsid w:val="00A156E2"/>
    <w:rsid w:val="00A22133"/>
    <w:rsid w:val="00B63225"/>
    <w:rsid w:val="00C57C7B"/>
    <w:rsid w:val="00CF7A2F"/>
    <w:rsid w:val="00E14F5E"/>
    <w:rsid w:val="00EE7188"/>
    <w:rsid w:val="00F37160"/>
    <w:rsid w:val="00F97821"/>
    <w:rsid w:val="00FE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CBD7"/>
  <w15:chartTrackingRefBased/>
  <w15:docId w15:val="{3799D8C8-8594-40E4-AA95-79960D3B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945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160"/>
    <w:pPr>
      <w:spacing w:after="0" w:line="240" w:lineRule="auto"/>
    </w:pPr>
  </w:style>
  <w:style w:type="character" w:styleId="Hyperlink">
    <w:name w:val="Hyperlink"/>
    <w:basedOn w:val="DefaultParagraphFont"/>
    <w:uiPriority w:val="99"/>
    <w:unhideWhenUsed/>
    <w:rsid w:val="00EE7188"/>
    <w:rPr>
      <w:color w:val="0563C1" w:themeColor="hyperlink"/>
      <w:u w:val="single"/>
    </w:rPr>
  </w:style>
  <w:style w:type="character" w:customStyle="1" w:styleId="Heading3Char">
    <w:name w:val="Heading 3 Char"/>
    <w:basedOn w:val="DefaultParagraphFont"/>
    <w:link w:val="Heading3"/>
    <w:uiPriority w:val="9"/>
    <w:rsid w:val="007945E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45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D7CB8"/>
    <w:rPr>
      <w:i/>
      <w:iCs/>
    </w:rPr>
  </w:style>
  <w:style w:type="character" w:styleId="Strong">
    <w:name w:val="Strong"/>
    <w:basedOn w:val="DefaultParagraphFont"/>
    <w:uiPriority w:val="22"/>
    <w:qFormat/>
    <w:rsid w:val="009D7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469">
      <w:bodyDiv w:val="1"/>
      <w:marLeft w:val="0"/>
      <w:marRight w:val="0"/>
      <w:marTop w:val="0"/>
      <w:marBottom w:val="0"/>
      <w:divBdr>
        <w:top w:val="none" w:sz="0" w:space="0" w:color="auto"/>
        <w:left w:val="none" w:sz="0" w:space="0" w:color="auto"/>
        <w:bottom w:val="none" w:sz="0" w:space="0" w:color="auto"/>
        <w:right w:val="none" w:sz="0" w:space="0" w:color="auto"/>
      </w:divBdr>
    </w:div>
    <w:div w:id="253244874">
      <w:bodyDiv w:val="1"/>
      <w:marLeft w:val="0"/>
      <w:marRight w:val="0"/>
      <w:marTop w:val="0"/>
      <w:marBottom w:val="0"/>
      <w:divBdr>
        <w:top w:val="none" w:sz="0" w:space="0" w:color="auto"/>
        <w:left w:val="none" w:sz="0" w:space="0" w:color="auto"/>
        <w:bottom w:val="none" w:sz="0" w:space="0" w:color="auto"/>
        <w:right w:val="none" w:sz="0" w:space="0" w:color="auto"/>
      </w:divBdr>
    </w:div>
    <w:div w:id="536967753">
      <w:bodyDiv w:val="1"/>
      <w:marLeft w:val="0"/>
      <w:marRight w:val="0"/>
      <w:marTop w:val="0"/>
      <w:marBottom w:val="0"/>
      <w:divBdr>
        <w:top w:val="none" w:sz="0" w:space="0" w:color="auto"/>
        <w:left w:val="none" w:sz="0" w:space="0" w:color="auto"/>
        <w:bottom w:val="none" w:sz="0" w:space="0" w:color="auto"/>
        <w:right w:val="none" w:sz="0" w:space="0" w:color="auto"/>
      </w:divBdr>
    </w:div>
    <w:div w:id="543719200">
      <w:bodyDiv w:val="1"/>
      <w:marLeft w:val="0"/>
      <w:marRight w:val="0"/>
      <w:marTop w:val="0"/>
      <w:marBottom w:val="0"/>
      <w:divBdr>
        <w:top w:val="none" w:sz="0" w:space="0" w:color="auto"/>
        <w:left w:val="none" w:sz="0" w:space="0" w:color="auto"/>
        <w:bottom w:val="none" w:sz="0" w:space="0" w:color="auto"/>
        <w:right w:val="none" w:sz="0" w:space="0" w:color="auto"/>
      </w:divBdr>
    </w:div>
    <w:div w:id="948582621">
      <w:bodyDiv w:val="1"/>
      <w:marLeft w:val="0"/>
      <w:marRight w:val="0"/>
      <w:marTop w:val="0"/>
      <w:marBottom w:val="0"/>
      <w:divBdr>
        <w:top w:val="none" w:sz="0" w:space="0" w:color="auto"/>
        <w:left w:val="none" w:sz="0" w:space="0" w:color="auto"/>
        <w:bottom w:val="none" w:sz="0" w:space="0" w:color="auto"/>
        <w:right w:val="none" w:sz="0" w:space="0" w:color="auto"/>
      </w:divBdr>
    </w:div>
    <w:div w:id="1898468080">
      <w:bodyDiv w:val="1"/>
      <w:marLeft w:val="0"/>
      <w:marRight w:val="0"/>
      <w:marTop w:val="0"/>
      <w:marBottom w:val="0"/>
      <w:divBdr>
        <w:top w:val="none" w:sz="0" w:space="0" w:color="auto"/>
        <w:left w:val="none" w:sz="0" w:space="0" w:color="auto"/>
        <w:bottom w:val="none" w:sz="0" w:space="0" w:color="auto"/>
        <w:right w:val="none" w:sz="0" w:space="0" w:color="auto"/>
      </w:divBdr>
    </w:div>
    <w:div w:id="19456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dc.gov/travel/yellowbook/2018/infectious-diseases-related-to-travel/tickborne-encephalitis" TargetMode="External"/><Relationship Id="rId13" Type="http://schemas.openxmlformats.org/officeDocument/2006/relationships/hyperlink" Target="https://www.researchgate.net/publication/43079229_Emergence_of_zoonotic_arboviruses_by_animal_trade_and_migr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ecdc.europa.eu/sites/portal/files/media/en/publications/Publications/TBE-in-EU-EFT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o.int/immunization/topics/tick_encephalitis/e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cdc.europa.eu/en/tick-borne-encephalitis/facts/factsheet" TargetMode="External"/><Relationship Id="rId5" Type="http://schemas.openxmlformats.org/officeDocument/2006/relationships/webSettings" Target="webSettings.xml"/><Relationship Id="rId15" Type="http://schemas.openxmlformats.org/officeDocument/2006/relationships/hyperlink" Target="https://travelhealthpro.org.uk/countries" TargetMode="External"/><Relationship Id="rId10" Type="http://schemas.openxmlformats.org/officeDocument/2006/relationships/hyperlink" Target="https://www.medicines.org.uk/emc/medicine/30334" TargetMode="External"/><Relationship Id="rId4" Type="http://schemas.openxmlformats.org/officeDocument/2006/relationships/settings" Target="settings.xml"/><Relationship Id="rId9" Type="http://schemas.openxmlformats.org/officeDocument/2006/relationships/hyperlink" Target="https://www.medicines.org.uk/emc/medicine/30324" TargetMode="External"/><Relationship Id="rId14" Type="http://schemas.openxmlformats.org/officeDocument/2006/relationships/hyperlink" Target="https://www.gov.uk/government/uploads/system/uploads/attachment_data/file/85762/Green-Book-Chapter-27-v3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52864-D99F-4378-B5A1-B218156D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Graham</dc:creator>
  <cp:keywords/>
  <dc:description/>
  <cp:lastModifiedBy>Sharon Graham</cp:lastModifiedBy>
  <cp:revision>3</cp:revision>
  <dcterms:created xsi:type="dcterms:W3CDTF">2018-01-11T14:03:00Z</dcterms:created>
  <dcterms:modified xsi:type="dcterms:W3CDTF">2018-01-11T14:17:00Z</dcterms:modified>
</cp:coreProperties>
</file>