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37361" w14:textId="4F9A36A4" w:rsidR="00E36581" w:rsidRPr="00C356A8" w:rsidRDefault="00DA307F" w:rsidP="00DA307F">
      <w:pPr>
        <w:spacing w:line="360" w:lineRule="auto"/>
        <w:rPr>
          <w:b/>
          <w:sz w:val="28"/>
          <w:szCs w:val="28"/>
        </w:rPr>
      </w:pPr>
      <w:r w:rsidRPr="00C356A8">
        <w:rPr>
          <w:b/>
          <w:sz w:val="28"/>
          <w:szCs w:val="28"/>
        </w:rPr>
        <w:t xml:space="preserve">Personal and perceived peer </w:t>
      </w:r>
      <w:r w:rsidR="000B779C" w:rsidRPr="00C356A8">
        <w:rPr>
          <w:b/>
          <w:sz w:val="28"/>
          <w:szCs w:val="28"/>
        </w:rPr>
        <w:t xml:space="preserve">use and </w:t>
      </w:r>
      <w:r w:rsidR="008306A2" w:rsidRPr="00C356A8">
        <w:rPr>
          <w:b/>
          <w:sz w:val="28"/>
          <w:szCs w:val="28"/>
        </w:rPr>
        <w:t xml:space="preserve">attitudes towards </w:t>
      </w:r>
      <w:r w:rsidR="000B779C" w:rsidRPr="00C356A8">
        <w:rPr>
          <w:b/>
          <w:sz w:val="28"/>
          <w:szCs w:val="28"/>
        </w:rPr>
        <w:t>use of</w:t>
      </w:r>
      <w:r w:rsidR="00534ACF" w:rsidRPr="00C356A8">
        <w:rPr>
          <w:b/>
          <w:sz w:val="28"/>
          <w:szCs w:val="28"/>
        </w:rPr>
        <w:t xml:space="preserve"> </w:t>
      </w:r>
      <w:bookmarkStart w:id="0" w:name="_Hlk487988276"/>
      <w:r w:rsidR="00534ACF" w:rsidRPr="00C356A8">
        <w:rPr>
          <w:b/>
          <w:sz w:val="28"/>
          <w:szCs w:val="28"/>
        </w:rPr>
        <w:t xml:space="preserve">non-prescribed </w:t>
      </w:r>
      <w:r w:rsidR="005B4793" w:rsidRPr="00C356A8">
        <w:rPr>
          <w:b/>
          <w:sz w:val="28"/>
          <w:szCs w:val="28"/>
        </w:rPr>
        <w:t xml:space="preserve">prescription </w:t>
      </w:r>
      <w:r w:rsidR="00534ACF" w:rsidRPr="00C356A8">
        <w:rPr>
          <w:b/>
          <w:sz w:val="28"/>
          <w:szCs w:val="28"/>
        </w:rPr>
        <w:t xml:space="preserve">sedatives and sleeping pills </w:t>
      </w:r>
      <w:bookmarkEnd w:id="0"/>
      <w:r w:rsidR="00534ACF" w:rsidRPr="00C356A8">
        <w:rPr>
          <w:b/>
          <w:sz w:val="28"/>
          <w:szCs w:val="28"/>
        </w:rPr>
        <w:t>among university student</w:t>
      </w:r>
      <w:r w:rsidRPr="00C356A8">
        <w:rPr>
          <w:b/>
          <w:sz w:val="28"/>
          <w:szCs w:val="28"/>
        </w:rPr>
        <w:t>s in seven European countries</w:t>
      </w:r>
    </w:p>
    <w:p w14:paraId="36BCF6C6" w14:textId="0D7578DE" w:rsidR="005D0A91" w:rsidRPr="00C356A8" w:rsidRDefault="005D0A91" w:rsidP="005D0A91">
      <w:pPr>
        <w:spacing w:line="360" w:lineRule="auto"/>
        <w:rPr>
          <w:vertAlign w:val="superscript"/>
        </w:rPr>
      </w:pPr>
      <w:r w:rsidRPr="00C356A8">
        <w:t xml:space="preserve">Gesa </w:t>
      </w:r>
      <w:proofErr w:type="spellStart"/>
      <w:proofErr w:type="gramStart"/>
      <w:r w:rsidRPr="00C356A8">
        <w:t>Lehne</w:t>
      </w:r>
      <w:r w:rsidRPr="00C356A8">
        <w:rPr>
          <w:vertAlign w:val="superscript"/>
        </w:rPr>
        <w:t>a,b</w:t>
      </w:r>
      <w:proofErr w:type="spellEnd"/>
      <w:proofErr w:type="gramEnd"/>
      <w:r w:rsidRPr="00C356A8">
        <w:t xml:space="preserve">*, </w:t>
      </w:r>
      <w:proofErr w:type="spellStart"/>
      <w:r w:rsidRPr="00C356A8">
        <w:t>Hajo</w:t>
      </w:r>
      <w:proofErr w:type="spellEnd"/>
      <w:r w:rsidRPr="00C356A8">
        <w:t xml:space="preserve"> </w:t>
      </w:r>
      <w:proofErr w:type="spellStart"/>
      <w:r w:rsidRPr="00C356A8">
        <w:t>Zeeb</w:t>
      </w:r>
      <w:r w:rsidRPr="00C356A8">
        <w:rPr>
          <w:vertAlign w:val="superscript"/>
        </w:rPr>
        <w:t>b,c</w:t>
      </w:r>
      <w:proofErr w:type="spellEnd"/>
      <w:r w:rsidRPr="00C356A8">
        <w:t>, Claudia R</w:t>
      </w:r>
      <w:r w:rsidR="00585929" w:rsidRPr="00C356A8">
        <w:t>.</w:t>
      </w:r>
      <w:r w:rsidRPr="00C356A8">
        <w:t xml:space="preserve"> </w:t>
      </w:r>
      <w:proofErr w:type="spellStart"/>
      <w:r w:rsidRPr="00C356A8">
        <w:t>P</w:t>
      </w:r>
      <w:bookmarkStart w:id="1" w:name="_GoBack"/>
      <w:bookmarkEnd w:id="1"/>
      <w:r w:rsidRPr="00C356A8">
        <w:t>ischke</w:t>
      </w:r>
      <w:r w:rsidRPr="00C356A8">
        <w:rPr>
          <w:vertAlign w:val="superscript"/>
          <w:lang w:val="en-GB"/>
        </w:rPr>
        <w:t>c</w:t>
      </w:r>
      <w:r w:rsidR="005B4793" w:rsidRPr="00C356A8">
        <w:rPr>
          <w:vertAlign w:val="superscript"/>
          <w:lang w:val="en-GB"/>
        </w:rPr>
        <w:t>,d</w:t>
      </w:r>
      <w:proofErr w:type="spellEnd"/>
      <w:r w:rsidRPr="00C356A8">
        <w:t>, Rafa</w:t>
      </w:r>
      <w:r w:rsidR="00DE66D7" w:rsidRPr="00C356A8">
        <w:t>e</w:t>
      </w:r>
      <w:r w:rsidRPr="00C356A8">
        <w:t xml:space="preserve">l </w:t>
      </w:r>
      <w:proofErr w:type="spellStart"/>
      <w:r w:rsidRPr="00C356A8">
        <w:t>Mikolajczyk</w:t>
      </w:r>
      <w:r w:rsidR="005B4793" w:rsidRPr="00C356A8">
        <w:rPr>
          <w:vertAlign w:val="superscript"/>
        </w:rPr>
        <w:t>e</w:t>
      </w:r>
      <w:proofErr w:type="spellEnd"/>
      <w:r w:rsidRPr="00C356A8">
        <w:t>, Bridgette M</w:t>
      </w:r>
      <w:r w:rsidR="00585929" w:rsidRPr="00C356A8">
        <w:t>.</w:t>
      </w:r>
      <w:r w:rsidRPr="00C356A8">
        <w:t xml:space="preserve"> </w:t>
      </w:r>
      <w:proofErr w:type="spellStart"/>
      <w:r w:rsidRPr="00C356A8">
        <w:t>Bewick</w:t>
      </w:r>
      <w:r w:rsidR="005B4793" w:rsidRPr="00C356A8">
        <w:rPr>
          <w:vertAlign w:val="superscript"/>
        </w:rPr>
        <w:t>f</w:t>
      </w:r>
      <w:proofErr w:type="spellEnd"/>
      <w:r w:rsidR="00D827E3" w:rsidRPr="00C356A8">
        <w:t xml:space="preserve">, </w:t>
      </w:r>
      <w:r w:rsidRPr="00C356A8">
        <w:t xml:space="preserve">John </w:t>
      </w:r>
      <w:proofErr w:type="spellStart"/>
      <w:r w:rsidRPr="00C356A8">
        <w:t>McAlaney</w:t>
      </w:r>
      <w:r w:rsidR="005B4793" w:rsidRPr="00C356A8">
        <w:rPr>
          <w:vertAlign w:val="superscript"/>
        </w:rPr>
        <w:t>g</w:t>
      </w:r>
      <w:proofErr w:type="spellEnd"/>
      <w:r w:rsidRPr="00C356A8">
        <w:t xml:space="preserve">, Robert </w:t>
      </w:r>
      <w:r w:rsidR="00FB69AE" w:rsidRPr="00C356A8">
        <w:t>C</w:t>
      </w:r>
      <w:r w:rsidR="00585929" w:rsidRPr="00C356A8">
        <w:t>.</w:t>
      </w:r>
      <w:r w:rsidR="00BF1B55" w:rsidRPr="00C356A8">
        <w:t xml:space="preserve"> </w:t>
      </w:r>
      <w:proofErr w:type="spellStart"/>
      <w:r w:rsidRPr="00C356A8">
        <w:t>Dempsey</w:t>
      </w:r>
      <w:r w:rsidR="005B4793" w:rsidRPr="00C356A8">
        <w:rPr>
          <w:vertAlign w:val="superscript"/>
        </w:rPr>
        <w:t>h</w:t>
      </w:r>
      <w:proofErr w:type="spellEnd"/>
      <w:r w:rsidRPr="00C356A8">
        <w:t xml:space="preserve">, Guido </w:t>
      </w:r>
      <w:r w:rsidR="00317642" w:rsidRPr="00C356A8">
        <w:t>V</w:t>
      </w:r>
      <w:r w:rsidRPr="00C356A8">
        <w:t>an Hal</w:t>
      </w:r>
      <w:r w:rsidR="005B4793" w:rsidRPr="00C356A8">
        <w:rPr>
          <w:vertAlign w:val="superscript"/>
        </w:rPr>
        <w:t>i</w:t>
      </w:r>
      <w:r w:rsidRPr="00C356A8">
        <w:t xml:space="preserve">, Christiane </w:t>
      </w:r>
      <w:proofErr w:type="spellStart"/>
      <w:r w:rsidRPr="00C356A8">
        <w:t>Stock</w:t>
      </w:r>
      <w:r w:rsidR="005B4793" w:rsidRPr="00C356A8">
        <w:rPr>
          <w:vertAlign w:val="superscript"/>
        </w:rPr>
        <w:t>j</w:t>
      </w:r>
      <w:proofErr w:type="spellEnd"/>
      <w:r w:rsidRPr="00C356A8">
        <w:t xml:space="preserve">, </w:t>
      </w:r>
      <w:proofErr w:type="spellStart"/>
      <w:r w:rsidRPr="00C356A8">
        <w:t>Yildiz</w:t>
      </w:r>
      <w:proofErr w:type="spellEnd"/>
      <w:r w:rsidRPr="00C356A8">
        <w:t xml:space="preserve"> </w:t>
      </w:r>
      <w:proofErr w:type="spellStart"/>
      <w:r w:rsidRPr="00C356A8">
        <w:t>Akvardar</w:t>
      </w:r>
      <w:r w:rsidR="005B4793" w:rsidRPr="00C356A8">
        <w:rPr>
          <w:vertAlign w:val="superscript"/>
        </w:rPr>
        <w:t>k</w:t>
      </w:r>
      <w:proofErr w:type="spellEnd"/>
      <w:r w:rsidRPr="00C356A8">
        <w:t xml:space="preserve">, Ondrej </w:t>
      </w:r>
      <w:proofErr w:type="spellStart"/>
      <w:r w:rsidRPr="00C356A8">
        <w:t>Kalina</w:t>
      </w:r>
      <w:r w:rsidR="005B4793" w:rsidRPr="00C356A8">
        <w:rPr>
          <w:vertAlign w:val="superscript"/>
        </w:rPr>
        <w:t>l</w:t>
      </w:r>
      <w:proofErr w:type="spellEnd"/>
      <w:r w:rsidRPr="00C356A8">
        <w:t xml:space="preserve">, Olga </w:t>
      </w:r>
      <w:proofErr w:type="spellStart"/>
      <w:r w:rsidRPr="00C356A8">
        <w:t>Orosova</w:t>
      </w:r>
      <w:r w:rsidR="005B4793" w:rsidRPr="00C356A8">
        <w:rPr>
          <w:vertAlign w:val="superscript"/>
        </w:rPr>
        <w:t>l</w:t>
      </w:r>
      <w:proofErr w:type="spellEnd"/>
      <w:r w:rsidRPr="00C356A8">
        <w:t xml:space="preserve">, Ines </w:t>
      </w:r>
      <w:proofErr w:type="spellStart"/>
      <w:r w:rsidRPr="00C356A8">
        <w:t>Aguinaga-Ontoso</w:t>
      </w:r>
      <w:r w:rsidR="005B4793" w:rsidRPr="00C356A8">
        <w:rPr>
          <w:vertAlign w:val="superscript"/>
        </w:rPr>
        <w:t>m</w:t>
      </w:r>
      <w:proofErr w:type="spellEnd"/>
      <w:r w:rsidR="005373E1" w:rsidRPr="00C356A8">
        <w:t xml:space="preserve">, </w:t>
      </w:r>
      <w:r w:rsidRPr="00C356A8">
        <w:t>Francisco Guillen-</w:t>
      </w:r>
      <w:proofErr w:type="spellStart"/>
      <w:r w:rsidRPr="00C356A8">
        <w:rPr>
          <w:color w:val="000000" w:themeColor="text1"/>
        </w:rPr>
        <w:t>Grima</w:t>
      </w:r>
      <w:r w:rsidR="005B4793" w:rsidRPr="00C356A8">
        <w:rPr>
          <w:color w:val="000000" w:themeColor="text1"/>
          <w:vertAlign w:val="superscript"/>
        </w:rPr>
        <w:t>m</w:t>
      </w:r>
      <w:r w:rsidR="00D827E3" w:rsidRPr="00C356A8">
        <w:rPr>
          <w:color w:val="000000" w:themeColor="text1"/>
          <w:vertAlign w:val="superscript"/>
        </w:rPr>
        <w:t>,</w:t>
      </w:r>
      <w:r w:rsidR="005B4793" w:rsidRPr="00C356A8">
        <w:rPr>
          <w:color w:val="000000" w:themeColor="text1"/>
          <w:vertAlign w:val="superscript"/>
        </w:rPr>
        <w:t>n</w:t>
      </w:r>
      <w:proofErr w:type="spellEnd"/>
      <w:r w:rsidRPr="00C356A8">
        <w:rPr>
          <w:color w:val="000000" w:themeColor="text1"/>
        </w:rPr>
        <w:t xml:space="preserve">, </w:t>
      </w:r>
      <w:r w:rsidRPr="00C356A8">
        <w:t>Stefanie M</w:t>
      </w:r>
      <w:r w:rsidR="00585929" w:rsidRPr="00C356A8">
        <w:t>.</w:t>
      </w:r>
      <w:r w:rsidRPr="00C356A8">
        <w:t xml:space="preserve"> </w:t>
      </w:r>
      <w:proofErr w:type="spellStart"/>
      <w:r w:rsidRPr="00C356A8">
        <w:t>Helmer</w:t>
      </w:r>
      <w:r w:rsidRPr="00C356A8">
        <w:rPr>
          <w:vertAlign w:val="superscript"/>
        </w:rPr>
        <w:t>c,</w:t>
      </w:r>
      <w:r w:rsidR="005B4793" w:rsidRPr="00C356A8">
        <w:rPr>
          <w:vertAlign w:val="superscript"/>
        </w:rPr>
        <w:t>o</w:t>
      </w:r>
      <w:proofErr w:type="spellEnd"/>
      <w:r w:rsidRPr="00C356A8" w:rsidDel="00520E42">
        <w:rPr>
          <w:vertAlign w:val="superscript"/>
        </w:rPr>
        <w:t xml:space="preserve"> </w:t>
      </w:r>
    </w:p>
    <w:p w14:paraId="0A53D05E" w14:textId="77777777" w:rsidR="005D0A91" w:rsidRPr="00C356A8" w:rsidRDefault="005D0A91" w:rsidP="005D0A91">
      <w:pPr>
        <w:spacing w:line="360" w:lineRule="auto"/>
      </w:pPr>
    </w:p>
    <w:p w14:paraId="4C6D4FBC" w14:textId="39D5B228" w:rsidR="005D0A91" w:rsidRPr="00C356A8" w:rsidRDefault="005D0A91" w:rsidP="00772E30">
      <w:pPr>
        <w:spacing w:line="360" w:lineRule="auto"/>
        <w:rPr>
          <w:rFonts w:cstheme="minorHAnsi"/>
          <w:vertAlign w:val="superscript"/>
        </w:rPr>
      </w:pPr>
      <w:r w:rsidRPr="00C356A8">
        <w:rPr>
          <w:rFonts w:cstheme="minorHAnsi"/>
          <w:vertAlign w:val="superscript"/>
        </w:rPr>
        <w:t xml:space="preserve">a </w:t>
      </w:r>
      <w:r w:rsidR="00C3495A" w:rsidRPr="00C356A8">
        <w:rPr>
          <w:rFonts w:cstheme="minorHAnsi"/>
        </w:rPr>
        <w:t>Department of Social Epidemiology, Institute of Public Health and Nursing Research, U</w:t>
      </w:r>
      <w:r w:rsidR="003F3492" w:rsidRPr="00C356A8">
        <w:rPr>
          <w:rFonts w:cstheme="minorHAnsi"/>
        </w:rPr>
        <w:t>niversity of Bremen</w:t>
      </w:r>
      <w:r w:rsidR="00C3495A" w:rsidRPr="00C356A8">
        <w:t>,</w:t>
      </w:r>
      <w:r w:rsidR="00C3495A" w:rsidRPr="00C356A8">
        <w:rPr>
          <w:rFonts w:cstheme="minorHAnsi"/>
        </w:rPr>
        <w:t xml:space="preserve"> </w:t>
      </w:r>
      <w:r w:rsidR="00C3495A" w:rsidRPr="00C356A8">
        <w:t xml:space="preserve">28359 </w:t>
      </w:r>
      <w:r w:rsidRPr="00C356A8">
        <w:rPr>
          <w:rFonts w:cstheme="minorHAnsi"/>
        </w:rPr>
        <w:t>Bremen, German</w:t>
      </w:r>
      <w:r w:rsidR="00C3495A" w:rsidRPr="00C356A8">
        <w:rPr>
          <w:rFonts w:cstheme="minorHAnsi"/>
        </w:rPr>
        <w:t xml:space="preserve">y </w:t>
      </w:r>
    </w:p>
    <w:p w14:paraId="1898B1DF" w14:textId="77777777" w:rsidR="005D0A91" w:rsidRPr="00C356A8" w:rsidRDefault="005D0A91" w:rsidP="00772E30">
      <w:pPr>
        <w:spacing w:line="360" w:lineRule="auto"/>
        <w:rPr>
          <w:rFonts w:cstheme="minorHAnsi"/>
          <w:vertAlign w:val="superscript"/>
        </w:rPr>
      </w:pPr>
      <w:r w:rsidRPr="00C356A8">
        <w:rPr>
          <w:rFonts w:cstheme="minorHAnsi"/>
          <w:vertAlign w:val="superscript"/>
        </w:rPr>
        <w:t xml:space="preserve">b </w:t>
      </w:r>
      <w:r w:rsidRPr="00C356A8">
        <w:rPr>
          <w:rFonts w:cstheme="minorHAnsi"/>
        </w:rPr>
        <w:t>Health Sciences Bremen, University of Bremen, Bremen, Germany</w:t>
      </w:r>
    </w:p>
    <w:p w14:paraId="34EC71EF" w14:textId="05923A7C" w:rsidR="005D0A91" w:rsidRPr="00C356A8" w:rsidRDefault="005D0A91" w:rsidP="00772E30">
      <w:pPr>
        <w:spacing w:line="360" w:lineRule="auto"/>
        <w:rPr>
          <w:rFonts w:cstheme="minorHAnsi"/>
          <w:vertAlign w:val="superscript"/>
        </w:rPr>
      </w:pPr>
      <w:r w:rsidRPr="00C356A8">
        <w:rPr>
          <w:rFonts w:cstheme="minorHAnsi"/>
          <w:vertAlign w:val="superscript"/>
        </w:rPr>
        <w:t xml:space="preserve">c </w:t>
      </w:r>
      <w:r w:rsidR="00C3495A" w:rsidRPr="00C356A8">
        <w:rPr>
          <w:rFonts w:cstheme="minorHAnsi"/>
        </w:rPr>
        <w:t>Department Prevention and Evaluation, L</w:t>
      </w:r>
      <w:r w:rsidRPr="00C356A8">
        <w:rPr>
          <w:rFonts w:cstheme="minorHAnsi"/>
        </w:rPr>
        <w:t>eibniz Institute for Prevention Re</w:t>
      </w:r>
      <w:r w:rsidR="003F3492" w:rsidRPr="00C356A8">
        <w:rPr>
          <w:rFonts w:cstheme="minorHAnsi"/>
        </w:rPr>
        <w:t>search and Epidemiology – BIPS</w:t>
      </w:r>
      <w:r w:rsidR="00C3495A" w:rsidRPr="00C356A8">
        <w:rPr>
          <w:rFonts w:cstheme="minorHAnsi"/>
        </w:rPr>
        <w:t xml:space="preserve">, 28359 </w:t>
      </w:r>
      <w:r w:rsidRPr="00C356A8">
        <w:rPr>
          <w:rFonts w:cstheme="minorHAnsi"/>
        </w:rPr>
        <w:t>Bremen, Germany</w:t>
      </w:r>
      <w:r w:rsidRPr="00C356A8">
        <w:rPr>
          <w:rFonts w:cstheme="minorHAnsi"/>
          <w:vertAlign w:val="superscript"/>
        </w:rPr>
        <w:t xml:space="preserve"> </w:t>
      </w:r>
    </w:p>
    <w:p w14:paraId="3301445D" w14:textId="31A2DD25" w:rsidR="005B4793" w:rsidRPr="00C356A8" w:rsidRDefault="005D0A91" w:rsidP="00B3049C">
      <w:pPr>
        <w:spacing w:line="360" w:lineRule="auto"/>
        <w:rPr>
          <w:rFonts w:asciiTheme="minorHAnsi" w:hAnsiTheme="minorHAnsi" w:cstheme="minorHAnsi"/>
        </w:rPr>
      </w:pPr>
      <w:r w:rsidRPr="00C356A8">
        <w:rPr>
          <w:rFonts w:cstheme="minorHAnsi"/>
          <w:vertAlign w:val="superscript"/>
        </w:rPr>
        <w:t>d</w:t>
      </w:r>
      <w:r w:rsidRPr="00C356A8">
        <w:rPr>
          <w:rFonts w:asciiTheme="minorHAnsi" w:hAnsiTheme="minorHAnsi" w:cstheme="minorHAnsi"/>
        </w:rPr>
        <w:t xml:space="preserve"> </w:t>
      </w:r>
      <w:r w:rsidR="005B4793" w:rsidRPr="00C356A8">
        <w:rPr>
          <w:rFonts w:asciiTheme="minorHAnsi" w:hAnsiTheme="minorHAnsi" w:cstheme="minorHAnsi"/>
        </w:rPr>
        <w:t>Institute for Medical Sociology, Centre for Health and Society, Medical Faculty, Heinrich Heine University Düsseldorf, Düsseldorf, Germany</w:t>
      </w:r>
    </w:p>
    <w:p w14:paraId="7ACAB806" w14:textId="6AAB4010" w:rsidR="00AD1E4D" w:rsidRPr="00C356A8" w:rsidRDefault="005B4793" w:rsidP="00B3049C">
      <w:pPr>
        <w:spacing w:line="360" w:lineRule="auto"/>
      </w:pPr>
      <w:r w:rsidRPr="00C356A8">
        <w:rPr>
          <w:vertAlign w:val="superscript"/>
          <w:lang w:val="en-GB"/>
        </w:rPr>
        <w:t xml:space="preserve">e </w:t>
      </w:r>
      <w:r w:rsidR="00AD1E4D" w:rsidRPr="00C356A8">
        <w:rPr>
          <w:lang w:val="en-GB"/>
        </w:rPr>
        <w:t>Institute of Medical Epidemiology, Biometry and Informatics</w:t>
      </w:r>
      <w:r w:rsidR="00AD1E4D" w:rsidRPr="00C356A8">
        <w:t xml:space="preserve">, </w:t>
      </w:r>
      <w:r w:rsidR="00B3049C" w:rsidRPr="00C356A8">
        <w:t>Martin-Luther-</w:t>
      </w:r>
      <w:r w:rsidR="00AD1E4D" w:rsidRPr="00C356A8">
        <w:t xml:space="preserve">University Halle-Wittenberg, </w:t>
      </w:r>
      <w:r w:rsidR="0003231F" w:rsidRPr="00C356A8">
        <w:t>06112</w:t>
      </w:r>
      <w:r w:rsidR="00C3495A" w:rsidRPr="00C356A8">
        <w:t xml:space="preserve"> </w:t>
      </w:r>
      <w:r w:rsidR="00AD1E4D" w:rsidRPr="00C356A8">
        <w:t>Halle</w:t>
      </w:r>
      <w:r w:rsidR="0003231F" w:rsidRPr="00C356A8">
        <w:t xml:space="preserve"> (Saale)</w:t>
      </w:r>
      <w:r w:rsidR="00AD1E4D" w:rsidRPr="00C356A8">
        <w:t>, Germany</w:t>
      </w:r>
    </w:p>
    <w:p w14:paraId="1DBACD9E" w14:textId="0744D49E" w:rsidR="005D0A91" w:rsidRPr="00C356A8" w:rsidRDefault="005B4793" w:rsidP="00B3049C">
      <w:pPr>
        <w:spacing w:line="360" w:lineRule="auto"/>
        <w:rPr>
          <w:rFonts w:asciiTheme="minorHAnsi" w:hAnsiTheme="minorHAnsi" w:cstheme="minorHAnsi"/>
        </w:rPr>
      </w:pPr>
      <w:r w:rsidRPr="00C356A8">
        <w:rPr>
          <w:vertAlign w:val="superscript"/>
        </w:rPr>
        <w:t>f</w:t>
      </w:r>
      <w:r w:rsidR="005D0A91" w:rsidRPr="00C356A8">
        <w:t xml:space="preserve"> School </w:t>
      </w:r>
      <w:r w:rsidR="005D0A91" w:rsidRPr="00C356A8">
        <w:rPr>
          <w:rFonts w:asciiTheme="minorHAnsi" w:hAnsiTheme="minorHAnsi" w:cstheme="minorHAnsi"/>
        </w:rPr>
        <w:t xml:space="preserve">of Medicine, Leeds Institute of Health Sciences, University of Leeds, </w:t>
      </w:r>
      <w:r w:rsidR="00442AA9" w:rsidRPr="00C356A8">
        <w:rPr>
          <w:rFonts w:asciiTheme="minorHAnsi" w:hAnsiTheme="minorHAnsi" w:cstheme="minorHAnsi"/>
        </w:rPr>
        <w:t xml:space="preserve">Leeds, LS1 3HE, </w:t>
      </w:r>
      <w:r w:rsidR="005D0A91" w:rsidRPr="00C356A8">
        <w:rPr>
          <w:rFonts w:asciiTheme="minorHAnsi" w:hAnsiTheme="minorHAnsi" w:cstheme="minorHAnsi"/>
        </w:rPr>
        <w:t>U</w:t>
      </w:r>
      <w:r w:rsidR="00305D34" w:rsidRPr="00C356A8">
        <w:rPr>
          <w:rFonts w:asciiTheme="minorHAnsi" w:hAnsiTheme="minorHAnsi" w:cstheme="minorHAnsi"/>
        </w:rPr>
        <w:t xml:space="preserve">nited </w:t>
      </w:r>
      <w:r w:rsidR="005D0A91" w:rsidRPr="00C356A8">
        <w:rPr>
          <w:rFonts w:asciiTheme="minorHAnsi" w:hAnsiTheme="minorHAnsi" w:cstheme="minorHAnsi"/>
        </w:rPr>
        <w:t>K</w:t>
      </w:r>
      <w:r w:rsidR="00305D34" w:rsidRPr="00C356A8">
        <w:rPr>
          <w:rFonts w:asciiTheme="minorHAnsi" w:hAnsiTheme="minorHAnsi" w:cstheme="minorHAnsi"/>
        </w:rPr>
        <w:t>ingdom</w:t>
      </w:r>
    </w:p>
    <w:p w14:paraId="226EEE8E" w14:textId="1FF69488" w:rsidR="005D0A91" w:rsidRPr="00C356A8" w:rsidRDefault="005B4793" w:rsidP="00B3049C">
      <w:pPr>
        <w:spacing w:line="360" w:lineRule="auto"/>
        <w:rPr>
          <w:lang w:val="en-GB"/>
        </w:rPr>
      </w:pPr>
      <w:r w:rsidRPr="00C356A8">
        <w:rPr>
          <w:vertAlign w:val="superscript"/>
        </w:rPr>
        <w:t>g</w:t>
      </w:r>
      <w:r w:rsidR="005D0A91" w:rsidRPr="00C356A8">
        <w:t xml:space="preserve"> </w:t>
      </w:r>
      <w:r w:rsidR="00C3495A" w:rsidRPr="00C356A8">
        <w:rPr>
          <w:lang w:val="en-GB"/>
        </w:rPr>
        <w:t>Department of Psychology, Research Centre for Behaviour Change, B</w:t>
      </w:r>
      <w:r w:rsidR="00B3049C" w:rsidRPr="00C356A8">
        <w:rPr>
          <w:lang w:val="en-GB"/>
        </w:rPr>
        <w:t xml:space="preserve">ournemouth University, Bournemouth, </w:t>
      </w:r>
      <w:r w:rsidR="0003231F" w:rsidRPr="00C356A8">
        <w:rPr>
          <w:lang w:val="en-GB"/>
        </w:rPr>
        <w:t xml:space="preserve">BH12 5BB, </w:t>
      </w:r>
      <w:r w:rsidR="00B3049C" w:rsidRPr="00C356A8">
        <w:rPr>
          <w:lang w:val="en-GB"/>
        </w:rPr>
        <w:t>U</w:t>
      </w:r>
      <w:r w:rsidR="00305D34" w:rsidRPr="00C356A8">
        <w:rPr>
          <w:lang w:val="en-GB"/>
        </w:rPr>
        <w:t xml:space="preserve">nited </w:t>
      </w:r>
      <w:r w:rsidR="00B3049C" w:rsidRPr="00C356A8">
        <w:rPr>
          <w:lang w:val="en-GB"/>
        </w:rPr>
        <w:t>K</w:t>
      </w:r>
      <w:r w:rsidR="00305D34" w:rsidRPr="00C356A8">
        <w:rPr>
          <w:lang w:val="en-GB"/>
        </w:rPr>
        <w:t>ingdom</w:t>
      </w:r>
    </w:p>
    <w:p w14:paraId="14C2945B" w14:textId="0107D3FA" w:rsidR="005D0A91" w:rsidRPr="00C356A8" w:rsidRDefault="005B4793" w:rsidP="00E325EE">
      <w:pPr>
        <w:spacing w:line="360" w:lineRule="auto"/>
      </w:pPr>
      <w:r w:rsidRPr="00C356A8">
        <w:rPr>
          <w:vertAlign w:val="superscript"/>
        </w:rPr>
        <w:t>h</w:t>
      </w:r>
      <w:r w:rsidR="005D0A91" w:rsidRPr="00C356A8">
        <w:t xml:space="preserve"> Staffordshire Centre for Psychological Research &amp; Centre for Health Psychology, School of Life Sciences &amp; Education, Staffordshire University, </w:t>
      </w:r>
      <w:r w:rsidR="00442AA9" w:rsidRPr="00C356A8">
        <w:t xml:space="preserve">Stoke-on-Trent, ST4 2DF, </w:t>
      </w:r>
      <w:r w:rsidR="005D0A91" w:rsidRPr="00C356A8">
        <w:t>U</w:t>
      </w:r>
      <w:r w:rsidR="00305D34" w:rsidRPr="00C356A8">
        <w:t xml:space="preserve">nited </w:t>
      </w:r>
      <w:r w:rsidR="005D0A91" w:rsidRPr="00C356A8">
        <w:t>K</w:t>
      </w:r>
      <w:r w:rsidR="00305D34" w:rsidRPr="00C356A8">
        <w:t>ingdom</w:t>
      </w:r>
    </w:p>
    <w:p w14:paraId="07C22793" w14:textId="16CF236F" w:rsidR="005D0A91" w:rsidRPr="00C356A8" w:rsidRDefault="005B4793" w:rsidP="005D0A91">
      <w:pPr>
        <w:spacing w:line="360" w:lineRule="auto"/>
      </w:pPr>
      <w:r w:rsidRPr="00C356A8">
        <w:rPr>
          <w:rFonts w:cstheme="minorHAnsi"/>
          <w:vertAlign w:val="superscript"/>
        </w:rPr>
        <w:t>i</w:t>
      </w:r>
      <w:r w:rsidR="005D0A91" w:rsidRPr="00C356A8">
        <w:rPr>
          <w:rFonts w:asciiTheme="minorHAnsi" w:hAnsiTheme="minorHAnsi" w:cstheme="minorHAnsi"/>
        </w:rPr>
        <w:t xml:space="preserve"> </w:t>
      </w:r>
      <w:r w:rsidR="00C3495A" w:rsidRPr="00C356A8">
        <w:rPr>
          <w:rFonts w:asciiTheme="minorHAnsi" w:hAnsiTheme="minorHAnsi" w:cstheme="minorHAnsi"/>
        </w:rPr>
        <w:t>Epidemiology and Social Medicine, U</w:t>
      </w:r>
      <w:r w:rsidR="005D0A91" w:rsidRPr="00C356A8">
        <w:rPr>
          <w:rFonts w:asciiTheme="minorHAnsi" w:hAnsiTheme="minorHAnsi" w:cstheme="minorHAnsi"/>
        </w:rPr>
        <w:t xml:space="preserve">niversity of Antwerp, </w:t>
      </w:r>
      <w:r w:rsidR="00442AA9" w:rsidRPr="00C356A8">
        <w:rPr>
          <w:rFonts w:asciiTheme="minorHAnsi" w:hAnsiTheme="minorHAnsi" w:cstheme="minorHAnsi"/>
        </w:rPr>
        <w:t xml:space="preserve">2610 </w:t>
      </w:r>
      <w:r w:rsidR="005D0A91" w:rsidRPr="00C356A8">
        <w:rPr>
          <w:rFonts w:asciiTheme="minorHAnsi" w:hAnsiTheme="minorHAnsi" w:cstheme="minorHAnsi"/>
        </w:rPr>
        <w:t>Antwerp, Belgium</w:t>
      </w:r>
    </w:p>
    <w:p w14:paraId="3E74F4F0" w14:textId="7B0CFAE8" w:rsidR="005D0A91" w:rsidRPr="00C356A8" w:rsidRDefault="005B4793" w:rsidP="005D0A91">
      <w:pPr>
        <w:spacing w:line="360" w:lineRule="auto"/>
      </w:pPr>
      <w:r w:rsidRPr="00C356A8">
        <w:rPr>
          <w:vertAlign w:val="superscript"/>
        </w:rPr>
        <w:t>j</w:t>
      </w:r>
      <w:r w:rsidR="005D0A91" w:rsidRPr="00C356A8">
        <w:t xml:space="preserve"> </w:t>
      </w:r>
      <w:r w:rsidR="00C3495A" w:rsidRPr="00C356A8">
        <w:t>Unit for Health Promotion Research, U</w:t>
      </w:r>
      <w:r w:rsidR="005D0A91" w:rsidRPr="00C356A8">
        <w:t xml:space="preserve">niversity of Southern Denmark, </w:t>
      </w:r>
      <w:r w:rsidR="00442AA9" w:rsidRPr="00C356A8">
        <w:t>6700 Esbjerg</w:t>
      </w:r>
      <w:r w:rsidR="005D0A91" w:rsidRPr="00C356A8">
        <w:t xml:space="preserve">, Denmark </w:t>
      </w:r>
    </w:p>
    <w:p w14:paraId="27E5806B" w14:textId="61775475" w:rsidR="005D0A91" w:rsidRPr="00C356A8" w:rsidRDefault="005B4793" w:rsidP="005D0A91">
      <w:pPr>
        <w:spacing w:line="360" w:lineRule="auto"/>
        <w:rPr>
          <w:vertAlign w:val="superscript"/>
        </w:rPr>
      </w:pPr>
      <w:r w:rsidRPr="00C356A8">
        <w:rPr>
          <w:vertAlign w:val="superscript"/>
        </w:rPr>
        <w:t>k</w:t>
      </w:r>
      <w:r w:rsidR="00B3049C" w:rsidRPr="00C356A8">
        <w:rPr>
          <w:rFonts w:cs="Arial"/>
        </w:rPr>
        <w:t xml:space="preserve"> Department of Psychiatr</w:t>
      </w:r>
      <w:r w:rsidR="00B919C0" w:rsidRPr="00C356A8">
        <w:rPr>
          <w:rFonts w:cs="Arial"/>
        </w:rPr>
        <w:t>y</w:t>
      </w:r>
      <w:r w:rsidR="005373E1" w:rsidRPr="00C356A8">
        <w:rPr>
          <w:rFonts w:cs="Arial"/>
        </w:rPr>
        <w:t xml:space="preserve">, Marmara University Medical </w:t>
      </w:r>
      <w:r w:rsidR="00B3049C" w:rsidRPr="00C356A8">
        <w:rPr>
          <w:rFonts w:cs="Arial"/>
        </w:rPr>
        <w:t xml:space="preserve">School, </w:t>
      </w:r>
      <w:r w:rsidR="00442AA9" w:rsidRPr="00C356A8">
        <w:rPr>
          <w:rFonts w:cs="Arial"/>
        </w:rPr>
        <w:t>34722 Istanbul</w:t>
      </w:r>
      <w:r w:rsidR="00B3049C" w:rsidRPr="00C356A8">
        <w:rPr>
          <w:rFonts w:cs="Arial"/>
        </w:rPr>
        <w:t>, Turkey</w:t>
      </w:r>
    </w:p>
    <w:p w14:paraId="2A7C4B8F" w14:textId="4B4B92F2" w:rsidR="005D0A91" w:rsidRPr="00C356A8" w:rsidRDefault="005B4793" w:rsidP="005D0A91">
      <w:pPr>
        <w:spacing w:line="360" w:lineRule="auto"/>
        <w:rPr>
          <w:vertAlign w:val="superscript"/>
        </w:rPr>
      </w:pPr>
      <w:r w:rsidRPr="00C356A8">
        <w:rPr>
          <w:vertAlign w:val="superscript"/>
        </w:rPr>
        <w:t>l</w:t>
      </w:r>
      <w:r w:rsidR="00B3049C" w:rsidRPr="00C356A8">
        <w:rPr>
          <w:vertAlign w:val="superscript"/>
        </w:rPr>
        <w:t xml:space="preserve"> </w:t>
      </w:r>
      <w:r w:rsidR="00B3049C" w:rsidRPr="00C356A8">
        <w:rPr>
          <w:rFonts w:cs="Arial"/>
        </w:rPr>
        <w:t>Departm</w:t>
      </w:r>
      <w:r w:rsidR="005373E1" w:rsidRPr="00C356A8">
        <w:rPr>
          <w:rFonts w:cs="Arial"/>
        </w:rPr>
        <w:t>ent of Educational Psychology &amp;</w:t>
      </w:r>
      <w:r w:rsidR="003F3492" w:rsidRPr="00C356A8">
        <w:rPr>
          <w:rFonts w:cs="Arial"/>
        </w:rPr>
        <w:t xml:space="preserve"> </w:t>
      </w:r>
      <w:r w:rsidR="00B3049C" w:rsidRPr="00C356A8">
        <w:rPr>
          <w:rFonts w:cs="Arial"/>
        </w:rPr>
        <w:t>Health</w:t>
      </w:r>
      <w:r w:rsidR="003F3492" w:rsidRPr="00C356A8">
        <w:rPr>
          <w:rFonts w:cs="Arial"/>
        </w:rPr>
        <w:t xml:space="preserve"> Psychology</w:t>
      </w:r>
      <w:r w:rsidR="00B3049C" w:rsidRPr="00C356A8">
        <w:rPr>
          <w:rFonts w:cs="Arial"/>
        </w:rPr>
        <w:t xml:space="preserve">, PJ </w:t>
      </w:r>
      <w:proofErr w:type="spellStart"/>
      <w:r w:rsidR="00B3049C" w:rsidRPr="00C356A8">
        <w:rPr>
          <w:rFonts w:cs="Arial"/>
        </w:rPr>
        <w:t>Safarik</w:t>
      </w:r>
      <w:proofErr w:type="spellEnd"/>
      <w:r w:rsidR="00B3049C" w:rsidRPr="00C356A8">
        <w:rPr>
          <w:rFonts w:cs="Arial"/>
        </w:rPr>
        <w:t xml:space="preserve"> University in </w:t>
      </w:r>
      <w:proofErr w:type="spellStart"/>
      <w:r w:rsidR="00B3049C" w:rsidRPr="00C356A8">
        <w:rPr>
          <w:rFonts w:cs="Arial"/>
        </w:rPr>
        <w:t>Ko</w:t>
      </w:r>
      <w:r w:rsidR="003F3492" w:rsidRPr="00C356A8">
        <w:rPr>
          <w:rFonts w:cs="Arial"/>
        </w:rPr>
        <w:t>š</w:t>
      </w:r>
      <w:r w:rsidR="00B3049C" w:rsidRPr="00C356A8">
        <w:rPr>
          <w:rFonts w:cs="Arial"/>
        </w:rPr>
        <w:t>ice</w:t>
      </w:r>
      <w:proofErr w:type="spellEnd"/>
      <w:r w:rsidR="00B3049C" w:rsidRPr="00C356A8">
        <w:rPr>
          <w:rFonts w:cs="Arial"/>
        </w:rPr>
        <w:t xml:space="preserve">, </w:t>
      </w:r>
      <w:r w:rsidR="003F3492" w:rsidRPr="00C356A8">
        <w:rPr>
          <w:rFonts w:cs="Arial"/>
        </w:rPr>
        <w:t>041 80</w:t>
      </w:r>
      <w:r w:rsidR="00EB118F" w:rsidRPr="00C356A8">
        <w:rPr>
          <w:rFonts w:cs="Arial"/>
        </w:rPr>
        <w:t xml:space="preserve"> </w:t>
      </w:r>
      <w:proofErr w:type="spellStart"/>
      <w:r w:rsidR="00EB118F" w:rsidRPr="00C356A8">
        <w:rPr>
          <w:rFonts w:cs="Arial"/>
        </w:rPr>
        <w:t>Košice</w:t>
      </w:r>
      <w:proofErr w:type="spellEnd"/>
      <w:r w:rsidR="00EB118F" w:rsidRPr="00C356A8">
        <w:rPr>
          <w:rFonts w:cs="Arial"/>
        </w:rPr>
        <w:t>,</w:t>
      </w:r>
      <w:r w:rsidR="00B3049C" w:rsidRPr="00C356A8">
        <w:rPr>
          <w:rFonts w:cs="Arial"/>
        </w:rPr>
        <w:t xml:space="preserve"> Slovak Republic</w:t>
      </w:r>
    </w:p>
    <w:p w14:paraId="7D6B79BF" w14:textId="09F5923B" w:rsidR="005D0A91" w:rsidRPr="00C356A8" w:rsidRDefault="005B4793" w:rsidP="005D0A91">
      <w:pPr>
        <w:spacing w:line="360" w:lineRule="auto"/>
      </w:pPr>
      <w:r w:rsidRPr="00C356A8">
        <w:rPr>
          <w:vertAlign w:val="superscript"/>
        </w:rPr>
        <w:t>m</w:t>
      </w:r>
      <w:r w:rsidR="005D0A91" w:rsidRPr="00C356A8">
        <w:t xml:space="preserve"> Department of Health Sciences, Public University of Navarra, </w:t>
      </w:r>
      <w:r w:rsidR="00442AA9" w:rsidRPr="00C356A8">
        <w:t>31008 Pamplona</w:t>
      </w:r>
      <w:r w:rsidR="005D0A91" w:rsidRPr="00C356A8">
        <w:t>, Spain</w:t>
      </w:r>
    </w:p>
    <w:p w14:paraId="1F2A9B8F" w14:textId="2E5DE39E" w:rsidR="005D0A91" w:rsidRPr="00C356A8" w:rsidRDefault="005B4793" w:rsidP="005D0A91">
      <w:pPr>
        <w:spacing w:line="360" w:lineRule="auto"/>
        <w:rPr>
          <w:b/>
          <w:bCs/>
          <w:color w:val="000000" w:themeColor="text1"/>
          <w:lang w:val="es-ES"/>
        </w:rPr>
      </w:pPr>
      <w:r w:rsidRPr="00C356A8">
        <w:rPr>
          <w:color w:val="000000" w:themeColor="text1"/>
          <w:vertAlign w:val="superscript"/>
        </w:rPr>
        <w:t>n</w:t>
      </w:r>
      <w:r w:rsidR="005D0A91" w:rsidRPr="00C356A8">
        <w:rPr>
          <w:color w:val="000000" w:themeColor="text1"/>
        </w:rPr>
        <w:t xml:space="preserve"> </w:t>
      </w:r>
      <w:proofErr w:type="spellStart"/>
      <w:r w:rsidR="005D0A91" w:rsidRPr="00C356A8">
        <w:rPr>
          <w:color w:val="000000" w:themeColor="text1"/>
          <w:lang w:val="es-ES"/>
        </w:rPr>
        <w:t>Preventive</w:t>
      </w:r>
      <w:proofErr w:type="spellEnd"/>
      <w:r w:rsidR="005D0A91" w:rsidRPr="00C356A8">
        <w:rPr>
          <w:color w:val="000000" w:themeColor="text1"/>
          <w:lang w:val="es-ES"/>
        </w:rPr>
        <w:t xml:space="preserve"> Medicine, </w:t>
      </w:r>
      <w:proofErr w:type="spellStart"/>
      <w:r w:rsidR="005D0A91" w:rsidRPr="00C356A8">
        <w:rPr>
          <w:color w:val="000000" w:themeColor="text1"/>
          <w:lang w:val="es-ES"/>
        </w:rPr>
        <w:t>Clinica</w:t>
      </w:r>
      <w:proofErr w:type="spellEnd"/>
      <w:r w:rsidR="005D0A91" w:rsidRPr="00C356A8">
        <w:rPr>
          <w:color w:val="000000" w:themeColor="text1"/>
          <w:lang w:val="es-ES"/>
        </w:rPr>
        <w:t xml:space="preserve"> Universidad de Navarra, </w:t>
      </w:r>
      <w:r w:rsidR="00442AA9" w:rsidRPr="00C356A8">
        <w:t>31008 Pamplona,</w:t>
      </w:r>
      <w:r w:rsidR="005D0A91" w:rsidRPr="00C356A8">
        <w:t xml:space="preserve"> Spain</w:t>
      </w:r>
    </w:p>
    <w:p w14:paraId="409E8A80" w14:textId="65C52E35" w:rsidR="005D0A91" w:rsidRPr="00C356A8" w:rsidRDefault="005B4793" w:rsidP="005D0A91">
      <w:pPr>
        <w:spacing w:line="360" w:lineRule="auto"/>
        <w:rPr>
          <w:vertAlign w:val="superscript"/>
        </w:rPr>
      </w:pPr>
      <w:r w:rsidRPr="00C356A8">
        <w:rPr>
          <w:vertAlign w:val="superscript"/>
        </w:rPr>
        <w:t>o</w:t>
      </w:r>
      <w:r w:rsidR="00AD1E4D" w:rsidRPr="00C356A8">
        <w:t xml:space="preserve"> </w:t>
      </w:r>
      <w:r w:rsidR="00C3495A" w:rsidRPr="00C356A8">
        <w:t xml:space="preserve">Institute for Social Medicine, Epidemiology, and Health Economics, </w:t>
      </w:r>
      <w:proofErr w:type="spellStart"/>
      <w:r w:rsidR="00C3495A" w:rsidRPr="00C356A8">
        <w:t>C</w:t>
      </w:r>
      <w:r w:rsidR="00AD1E4D" w:rsidRPr="00C356A8">
        <w:t>harité</w:t>
      </w:r>
      <w:proofErr w:type="spellEnd"/>
      <w:r w:rsidR="00AD1E4D" w:rsidRPr="00C356A8">
        <w:t xml:space="preserve"> – </w:t>
      </w:r>
      <w:proofErr w:type="spellStart"/>
      <w:r w:rsidR="00AD1E4D" w:rsidRPr="00C356A8">
        <w:t>Universitätsmedizin</w:t>
      </w:r>
      <w:proofErr w:type="spellEnd"/>
      <w:r w:rsidR="00AD1E4D" w:rsidRPr="00C356A8">
        <w:t xml:space="preserve"> Berlin, corporate member of </w:t>
      </w:r>
      <w:proofErr w:type="spellStart"/>
      <w:r w:rsidR="00AD1E4D" w:rsidRPr="00C356A8">
        <w:t>Freie</w:t>
      </w:r>
      <w:proofErr w:type="spellEnd"/>
      <w:r w:rsidR="00AD1E4D" w:rsidRPr="00C356A8">
        <w:t xml:space="preserve"> Universität Berlin, Humboldt-Universität </w:t>
      </w:r>
      <w:proofErr w:type="spellStart"/>
      <w:r w:rsidR="00AD1E4D" w:rsidRPr="00C356A8">
        <w:t>zu</w:t>
      </w:r>
      <w:proofErr w:type="spellEnd"/>
      <w:r w:rsidR="00AD1E4D" w:rsidRPr="00C356A8">
        <w:t xml:space="preserve"> Berlin, and Berlin Institute of Health,</w:t>
      </w:r>
      <w:r w:rsidR="005D0A91" w:rsidRPr="00C356A8">
        <w:t xml:space="preserve"> </w:t>
      </w:r>
      <w:r w:rsidR="0003231F" w:rsidRPr="00C356A8">
        <w:t>13353</w:t>
      </w:r>
      <w:r w:rsidR="008A1B72" w:rsidRPr="00C356A8">
        <w:t xml:space="preserve"> </w:t>
      </w:r>
      <w:r w:rsidR="005D0A91" w:rsidRPr="00C356A8">
        <w:t>Berlin, Germany</w:t>
      </w:r>
    </w:p>
    <w:p w14:paraId="6A202C9F" w14:textId="77777777" w:rsidR="009D7CDA" w:rsidRPr="00C356A8" w:rsidRDefault="009D7CDA" w:rsidP="00DB1D45">
      <w:pPr>
        <w:spacing w:line="360" w:lineRule="auto"/>
      </w:pPr>
    </w:p>
    <w:p w14:paraId="75463D67" w14:textId="77777777" w:rsidR="005D0A91" w:rsidRPr="00C356A8" w:rsidRDefault="005D0A91" w:rsidP="00156807">
      <w:pPr>
        <w:spacing w:line="360" w:lineRule="auto"/>
      </w:pPr>
      <w:r w:rsidRPr="00C356A8">
        <w:lastRenderedPageBreak/>
        <w:t>* Corresponding author</w:t>
      </w:r>
    </w:p>
    <w:p w14:paraId="22AE9C4B" w14:textId="77777777" w:rsidR="005D0A91" w:rsidRPr="00C356A8" w:rsidRDefault="005D0A91" w:rsidP="00156807">
      <w:pPr>
        <w:spacing w:line="360" w:lineRule="auto"/>
      </w:pPr>
      <w:r w:rsidRPr="00C356A8">
        <w:t>Gesa Lehne, MA</w:t>
      </w:r>
    </w:p>
    <w:p w14:paraId="1FAEB719" w14:textId="77777777" w:rsidR="005D0A91" w:rsidRPr="00C356A8" w:rsidRDefault="005D0A91" w:rsidP="00156807">
      <w:pPr>
        <w:spacing w:line="360" w:lineRule="auto"/>
      </w:pPr>
      <w:r w:rsidRPr="00C356A8">
        <w:t>Department of Social Epidemiology</w:t>
      </w:r>
    </w:p>
    <w:p w14:paraId="0CB3095C" w14:textId="77777777" w:rsidR="005D0A91" w:rsidRPr="00C356A8" w:rsidRDefault="005D0A91" w:rsidP="005D0A91">
      <w:pPr>
        <w:spacing w:line="360" w:lineRule="auto"/>
      </w:pPr>
      <w:r w:rsidRPr="00C356A8">
        <w:t>Institute of Public Health and Nursing Research</w:t>
      </w:r>
    </w:p>
    <w:p w14:paraId="4B7AC8A4" w14:textId="77777777" w:rsidR="005D0A91" w:rsidRPr="00C356A8" w:rsidRDefault="005D0A91" w:rsidP="005D0A91">
      <w:pPr>
        <w:spacing w:line="360" w:lineRule="auto"/>
      </w:pPr>
      <w:r w:rsidRPr="00C356A8">
        <w:t>University of Bremen</w:t>
      </w:r>
    </w:p>
    <w:p w14:paraId="40701A96" w14:textId="77777777" w:rsidR="005D0A91" w:rsidRPr="00C356A8" w:rsidRDefault="005D0A91" w:rsidP="005D0A91">
      <w:pPr>
        <w:spacing w:line="360" w:lineRule="auto"/>
      </w:pPr>
      <w:r w:rsidRPr="00C356A8">
        <w:t>Grazer Strasse 2a</w:t>
      </w:r>
    </w:p>
    <w:p w14:paraId="27B8D29F" w14:textId="77777777" w:rsidR="005D0A91" w:rsidRPr="00C356A8" w:rsidRDefault="005D0A91" w:rsidP="005D0A91">
      <w:pPr>
        <w:spacing w:line="360" w:lineRule="auto"/>
      </w:pPr>
      <w:r w:rsidRPr="00C356A8">
        <w:t>28359 Bremen</w:t>
      </w:r>
    </w:p>
    <w:p w14:paraId="7874E757" w14:textId="3C6ABE1D" w:rsidR="005D0A91" w:rsidRPr="00C356A8" w:rsidRDefault="005D0A91" w:rsidP="005D0A91">
      <w:pPr>
        <w:spacing w:line="360" w:lineRule="auto"/>
      </w:pPr>
      <w:r w:rsidRPr="00C356A8">
        <w:t>Germany</w:t>
      </w:r>
    </w:p>
    <w:p w14:paraId="660C2DE2" w14:textId="0E53D289" w:rsidR="008A1B72" w:rsidRPr="00C356A8" w:rsidRDefault="008A1B72" w:rsidP="005D0A91">
      <w:pPr>
        <w:spacing w:line="360" w:lineRule="auto"/>
      </w:pPr>
      <w:r w:rsidRPr="00C356A8">
        <w:t>gesa.lehne@uni-bremen.de</w:t>
      </w:r>
    </w:p>
    <w:p w14:paraId="519E7F52" w14:textId="4887491A" w:rsidR="00E36581" w:rsidRPr="00C356A8" w:rsidRDefault="00E36581" w:rsidP="004F6D20">
      <w:pPr>
        <w:spacing w:line="360" w:lineRule="auto"/>
        <w:rPr>
          <w:lang w:val="es-ES"/>
        </w:rPr>
      </w:pPr>
    </w:p>
    <w:p w14:paraId="33924978" w14:textId="52B35D5B" w:rsidR="00D827E3" w:rsidRPr="00C356A8" w:rsidRDefault="008A1B72" w:rsidP="004F6D20">
      <w:pPr>
        <w:spacing w:line="360" w:lineRule="auto"/>
        <w:rPr>
          <w:lang w:val="es-ES"/>
        </w:rPr>
      </w:pPr>
      <w:bookmarkStart w:id="2" w:name="_Hlk498190589"/>
      <w:proofErr w:type="spellStart"/>
      <w:r w:rsidRPr="00C356A8">
        <w:rPr>
          <w:lang w:val="es-ES"/>
        </w:rPr>
        <w:t>Hajo</w:t>
      </w:r>
      <w:proofErr w:type="spellEnd"/>
      <w:r w:rsidRPr="00C356A8">
        <w:rPr>
          <w:lang w:val="es-ES"/>
        </w:rPr>
        <w:t xml:space="preserve"> </w:t>
      </w:r>
      <w:proofErr w:type="spellStart"/>
      <w:r w:rsidRPr="00C356A8">
        <w:rPr>
          <w:lang w:val="es-ES"/>
        </w:rPr>
        <w:t>Zeeb</w:t>
      </w:r>
      <w:proofErr w:type="spellEnd"/>
      <w:r w:rsidRPr="00C356A8">
        <w:rPr>
          <w:lang w:val="es-ES"/>
        </w:rPr>
        <w:t xml:space="preserve">, </w:t>
      </w:r>
      <w:r w:rsidR="007F28C3" w:rsidRPr="00C356A8">
        <w:rPr>
          <w:lang w:val="es-ES"/>
        </w:rPr>
        <w:t>zeeb@bips.uni-bremen.de</w:t>
      </w:r>
    </w:p>
    <w:p w14:paraId="081C18AA" w14:textId="42C19916" w:rsidR="00D827E3" w:rsidRPr="00C356A8" w:rsidRDefault="008A1B72" w:rsidP="004F6D20">
      <w:pPr>
        <w:spacing w:line="360" w:lineRule="auto"/>
        <w:rPr>
          <w:lang w:val="es-ES"/>
        </w:rPr>
      </w:pPr>
      <w:r w:rsidRPr="00C356A8">
        <w:rPr>
          <w:lang w:val="es-ES"/>
        </w:rPr>
        <w:t>Claudia R</w:t>
      </w:r>
      <w:r w:rsidR="00585929" w:rsidRPr="00C356A8">
        <w:rPr>
          <w:lang w:val="es-ES"/>
        </w:rPr>
        <w:t>.</w:t>
      </w:r>
      <w:r w:rsidRPr="00C356A8">
        <w:rPr>
          <w:lang w:val="es-ES"/>
        </w:rPr>
        <w:t xml:space="preserve"> </w:t>
      </w:r>
      <w:proofErr w:type="spellStart"/>
      <w:r w:rsidRPr="00C356A8">
        <w:rPr>
          <w:lang w:val="es-ES"/>
        </w:rPr>
        <w:t>Pischke</w:t>
      </w:r>
      <w:proofErr w:type="spellEnd"/>
      <w:r w:rsidRPr="00C356A8">
        <w:rPr>
          <w:lang w:val="es-ES"/>
        </w:rPr>
        <w:t xml:space="preserve">, </w:t>
      </w:r>
      <w:r w:rsidR="00116D09" w:rsidRPr="00C356A8">
        <w:rPr>
          <w:lang w:val="es-ES"/>
        </w:rPr>
        <w:t>claudia.pischke@leibniz-bips.de</w:t>
      </w:r>
    </w:p>
    <w:p w14:paraId="28C0F8A2" w14:textId="1667714D" w:rsidR="00D827E3" w:rsidRPr="00C356A8" w:rsidRDefault="008A1B72" w:rsidP="004F6D20">
      <w:pPr>
        <w:spacing w:line="360" w:lineRule="auto"/>
        <w:rPr>
          <w:lang w:val="es-ES"/>
        </w:rPr>
      </w:pPr>
      <w:r w:rsidRPr="00C356A8">
        <w:rPr>
          <w:lang w:val="de-DE"/>
        </w:rPr>
        <w:t xml:space="preserve">Rafael Mikolajczyk, </w:t>
      </w:r>
      <w:r w:rsidR="00495C67" w:rsidRPr="00C356A8">
        <w:rPr>
          <w:lang w:val="de-DE"/>
        </w:rPr>
        <w:t>rafael.mikolajczyk@uk-halle.de</w:t>
      </w:r>
    </w:p>
    <w:p w14:paraId="5F356965" w14:textId="0CA29ADF" w:rsidR="00D827E3" w:rsidRPr="00C356A8" w:rsidRDefault="008A1B72" w:rsidP="004F6D20">
      <w:pPr>
        <w:spacing w:line="360" w:lineRule="auto"/>
        <w:rPr>
          <w:lang w:val="de-DE"/>
        </w:rPr>
      </w:pPr>
      <w:r w:rsidRPr="00C356A8">
        <w:rPr>
          <w:lang w:val="de-DE"/>
        </w:rPr>
        <w:t>Bridgette M</w:t>
      </w:r>
      <w:r w:rsidR="00585929" w:rsidRPr="00C356A8">
        <w:rPr>
          <w:lang w:val="de-DE"/>
        </w:rPr>
        <w:t>.</w:t>
      </w:r>
      <w:r w:rsidRPr="00C356A8">
        <w:rPr>
          <w:lang w:val="de-DE"/>
        </w:rPr>
        <w:t xml:space="preserve"> Bewick, </w:t>
      </w:r>
      <w:r w:rsidR="00116D09" w:rsidRPr="00C356A8">
        <w:rPr>
          <w:lang w:val="de-DE"/>
        </w:rPr>
        <w:t>B.M.Bewick@leeds.ac.uk</w:t>
      </w:r>
    </w:p>
    <w:p w14:paraId="028593A4" w14:textId="01F1B34A" w:rsidR="00D827E3" w:rsidRPr="00C356A8" w:rsidRDefault="008A1B72" w:rsidP="004F6D20">
      <w:pPr>
        <w:spacing w:line="360" w:lineRule="auto"/>
        <w:rPr>
          <w:lang w:val="es-ES"/>
        </w:rPr>
      </w:pPr>
      <w:r w:rsidRPr="00C356A8">
        <w:t xml:space="preserve">John </w:t>
      </w:r>
      <w:proofErr w:type="spellStart"/>
      <w:r w:rsidRPr="00C356A8">
        <w:t>McAlaney</w:t>
      </w:r>
      <w:proofErr w:type="spellEnd"/>
      <w:r w:rsidRPr="00C356A8">
        <w:t xml:space="preserve">, </w:t>
      </w:r>
      <w:r w:rsidR="00495C67" w:rsidRPr="00C356A8">
        <w:t>jmcalaney@bournemouth.ac.uk</w:t>
      </w:r>
    </w:p>
    <w:p w14:paraId="2C263556" w14:textId="5AA9D85F" w:rsidR="00D827E3" w:rsidRPr="00C356A8" w:rsidRDefault="008A1B72" w:rsidP="004F6D20">
      <w:pPr>
        <w:spacing w:line="360" w:lineRule="auto"/>
        <w:rPr>
          <w:lang w:val="es-ES"/>
        </w:rPr>
      </w:pPr>
      <w:r w:rsidRPr="00C356A8">
        <w:t>Robert</w:t>
      </w:r>
      <w:r w:rsidR="00FB69AE" w:rsidRPr="00C356A8">
        <w:t xml:space="preserve"> C</w:t>
      </w:r>
      <w:r w:rsidR="00585929" w:rsidRPr="00C356A8">
        <w:t>.</w:t>
      </w:r>
      <w:r w:rsidRPr="00C356A8">
        <w:t xml:space="preserve"> Dempsey, </w:t>
      </w:r>
      <w:r w:rsidR="00495C67" w:rsidRPr="00C356A8">
        <w:t>Robert.Dempsey@staffs.ac.uk</w:t>
      </w:r>
    </w:p>
    <w:p w14:paraId="7CD247CC" w14:textId="769961E2" w:rsidR="00D827E3" w:rsidRPr="00C356A8" w:rsidRDefault="008A1B72" w:rsidP="004F6D20">
      <w:pPr>
        <w:spacing w:line="360" w:lineRule="auto"/>
        <w:rPr>
          <w:lang w:val="es-ES"/>
        </w:rPr>
      </w:pPr>
      <w:r w:rsidRPr="00C356A8">
        <w:t xml:space="preserve">Guido </w:t>
      </w:r>
      <w:r w:rsidR="00317642" w:rsidRPr="00C356A8">
        <w:rPr>
          <w:lang w:val="nl-BE"/>
        </w:rPr>
        <w:t>V</w:t>
      </w:r>
      <w:r w:rsidRPr="00C356A8">
        <w:t xml:space="preserve">an Hal, </w:t>
      </w:r>
      <w:r w:rsidR="00116D09" w:rsidRPr="00C356A8">
        <w:t>guido.vanhal@uantwerpen.be</w:t>
      </w:r>
    </w:p>
    <w:p w14:paraId="475B7498" w14:textId="682FE7E9" w:rsidR="00D827E3" w:rsidRPr="00C356A8" w:rsidRDefault="008A1B72" w:rsidP="004F6D20">
      <w:pPr>
        <w:spacing w:line="360" w:lineRule="auto"/>
        <w:rPr>
          <w:lang w:val="es-ES"/>
        </w:rPr>
      </w:pPr>
      <w:r w:rsidRPr="00C356A8">
        <w:t xml:space="preserve">Christiane Stock, </w:t>
      </w:r>
      <w:r w:rsidR="00495C67" w:rsidRPr="00C356A8">
        <w:t>cstock@health.sdu.dk</w:t>
      </w:r>
    </w:p>
    <w:p w14:paraId="7C7CCBAB" w14:textId="6ADD2A22" w:rsidR="00D827E3" w:rsidRPr="00C356A8" w:rsidRDefault="008A1B72" w:rsidP="004F6D20">
      <w:pPr>
        <w:spacing w:line="360" w:lineRule="auto"/>
        <w:rPr>
          <w:lang w:val="es-ES"/>
        </w:rPr>
      </w:pPr>
      <w:r w:rsidRPr="00C356A8">
        <w:rPr>
          <w:lang w:val="de-DE"/>
        </w:rPr>
        <w:t xml:space="preserve">Yildiz Akvardar, </w:t>
      </w:r>
      <w:r w:rsidR="00495C67" w:rsidRPr="00C356A8">
        <w:rPr>
          <w:lang w:val="de-DE"/>
        </w:rPr>
        <w:t>yildiz.akvardar@marmara.edu.tr</w:t>
      </w:r>
    </w:p>
    <w:p w14:paraId="62638DAD" w14:textId="3E5A8943" w:rsidR="00D827E3" w:rsidRPr="00C356A8" w:rsidRDefault="008A1B72" w:rsidP="004F6D20">
      <w:pPr>
        <w:spacing w:line="360" w:lineRule="auto"/>
        <w:rPr>
          <w:lang w:val="es-ES"/>
        </w:rPr>
      </w:pPr>
      <w:r w:rsidRPr="00C356A8">
        <w:rPr>
          <w:lang w:val="de-DE"/>
        </w:rPr>
        <w:t xml:space="preserve">Ondrej Kalina, </w:t>
      </w:r>
      <w:r w:rsidR="00116D09" w:rsidRPr="00C356A8">
        <w:rPr>
          <w:lang w:val="de-DE"/>
        </w:rPr>
        <w:t>ondrej.kalina@upjs.sk</w:t>
      </w:r>
    </w:p>
    <w:p w14:paraId="26E6E236" w14:textId="633431D6" w:rsidR="00D827E3" w:rsidRPr="00C356A8" w:rsidRDefault="008A1B72" w:rsidP="004F6D20">
      <w:pPr>
        <w:spacing w:line="360" w:lineRule="auto"/>
        <w:rPr>
          <w:lang w:val="es-ES"/>
        </w:rPr>
      </w:pPr>
      <w:r w:rsidRPr="00C356A8">
        <w:t xml:space="preserve">Olga </w:t>
      </w:r>
      <w:proofErr w:type="spellStart"/>
      <w:r w:rsidRPr="00C356A8">
        <w:t>Orosova</w:t>
      </w:r>
      <w:proofErr w:type="spellEnd"/>
      <w:r w:rsidRPr="00C356A8">
        <w:t xml:space="preserve">, </w:t>
      </w:r>
      <w:r w:rsidR="00F714B0" w:rsidRPr="00C356A8">
        <w:t>olga.orosova@upjs.sk</w:t>
      </w:r>
    </w:p>
    <w:p w14:paraId="07916851" w14:textId="71E6410E" w:rsidR="00D827E3" w:rsidRPr="00C356A8" w:rsidRDefault="008A1B72" w:rsidP="004F6D20">
      <w:pPr>
        <w:spacing w:line="360" w:lineRule="auto"/>
        <w:rPr>
          <w:lang w:val="es-ES"/>
        </w:rPr>
      </w:pPr>
      <w:r w:rsidRPr="00C356A8">
        <w:t xml:space="preserve">Ines </w:t>
      </w:r>
      <w:proofErr w:type="spellStart"/>
      <w:r w:rsidRPr="00C356A8">
        <w:t>Aguinaga-Ontoso</w:t>
      </w:r>
      <w:proofErr w:type="spellEnd"/>
      <w:r w:rsidRPr="00C356A8">
        <w:t xml:space="preserve">, </w:t>
      </w:r>
      <w:r w:rsidR="0074446E" w:rsidRPr="00C356A8">
        <w:t>ines.aguinaga@unavarra.es</w:t>
      </w:r>
    </w:p>
    <w:p w14:paraId="47F836A4" w14:textId="4406AAB5" w:rsidR="00D827E3" w:rsidRPr="00C356A8" w:rsidRDefault="008A1B72" w:rsidP="004F6D20">
      <w:pPr>
        <w:spacing w:line="360" w:lineRule="auto"/>
        <w:rPr>
          <w:lang w:val="es-ES"/>
        </w:rPr>
      </w:pPr>
      <w:r w:rsidRPr="00C356A8">
        <w:t>Francisco Guillen-</w:t>
      </w:r>
      <w:proofErr w:type="spellStart"/>
      <w:r w:rsidRPr="00C356A8">
        <w:rPr>
          <w:color w:val="000000" w:themeColor="text1"/>
        </w:rPr>
        <w:t>Grima</w:t>
      </w:r>
      <w:proofErr w:type="spellEnd"/>
      <w:r w:rsidRPr="00C356A8">
        <w:rPr>
          <w:color w:val="000000" w:themeColor="text1"/>
        </w:rPr>
        <w:t xml:space="preserve">, </w:t>
      </w:r>
      <w:r w:rsidR="00495C67" w:rsidRPr="00C356A8">
        <w:rPr>
          <w:color w:val="000000" w:themeColor="text1"/>
        </w:rPr>
        <w:t>frguillen@unav.es</w:t>
      </w:r>
    </w:p>
    <w:p w14:paraId="27AEE4CC" w14:textId="7C97C44D" w:rsidR="00D827E3" w:rsidRPr="00C356A8" w:rsidRDefault="008A1B72" w:rsidP="004F6D20">
      <w:pPr>
        <w:spacing w:line="360" w:lineRule="auto"/>
        <w:rPr>
          <w:lang w:val="de-DE"/>
        </w:rPr>
      </w:pPr>
      <w:r w:rsidRPr="00C356A8">
        <w:rPr>
          <w:lang w:val="de-DE"/>
        </w:rPr>
        <w:t>Stefanie M</w:t>
      </w:r>
      <w:r w:rsidR="00585929" w:rsidRPr="00C356A8">
        <w:rPr>
          <w:lang w:val="de-DE"/>
        </w:rPr>
        <w:t>.</w:t>
      </w:r>
      <w:r w:rsidRPr="00C356A8">
        <w:rPr>
          <w:lang w:val="de-DE"/>
        </w:rPr>
        <w:t xml:space="preserve"> Helmer, </w:t>
      </w:r>
      <w:r w:rsidR="00116D09" w:rsidRPr="00C356A8">
        <w:rPr>
          <w:lang w:val="de-DE"/>
        </w:rPr>
        <w:t>stefanie.helmer@charite.de</w:t>
      </w:r>
    </w:p>
    <w:bookmarkEnd w:id="2"/>
    <w:p w14:paraId="1DDBBFD5" w14:textId="77777777" w:rsidR="00D827E3" w:rsidRPr="00C356A8" w:rsidRDefault="00D827E3" w:rsidP="004F6D20">
      <w:pPr>
        <w:spacing w:line="360" w:lineRule="auto"/>
        <w:rPr>
          <w:lang w:val="es-ES"/>
        </w:rPr>
      </w:pPr>
    </w:p>
    <w:p w14:paraId="4A16AC20" w14:textId="77777777" w:rsidR="00D827E3" w:rsidRPr="00C356A8" w:rsidRDefault="00D827E3" w:rsidP="004F6D20">
      <w:pPr>
        <w:spacing w:line="360" w:lineRule="auto"/>
        <w:rPr>
          <w:lang w:val="es-ES"/>
        </w:rPr>
      </w:pPr>
    </w:p>
    <w:p w14:paraId="02349F83" w14:textId="77777777" w:rsidR="00D827E3" w:rsidRPr="00C356A8" w:rsidRDefault="00D827E3" w:rsidP="004F6D20">
      <w:pPr>
        <w:spacing w:line="360" w:lineRule="auto"/>
        <w:rPr>
          <w:lang w:val="es-ES"/>
        </w:rPr>
      </w:pPr>
    </w:p>
    <w:p w14:paraId="4F535029" w14:textId="77777777" w:rsidR="00D827E3" w:rsidRPr="00C356A8" w:rsidRDefault="00D827E3" w:rsidP="004F6D20">
      <w:pPr>
        <w:spacing w:line="360" w:lineRule="auto"/>
        <w:rPr>
          <w:lang w:val="es-ES"/>
        </w:rPr>
      </w:pPr>
    </w:p>
    <w:p w14:paraId="7DBBD719" w14:textId="77777777" w:rsidR="00D827E3" w:rsidRPr="00C356A8" w:rsidRDefault="00D827E3" w:rsidP="004F6D20">
      <w:pPr>
        <w:spacing w:line="360" w:lineRule="auto"/>
        <w:rPr>
          <w:lang w:val="es-ES"/>
        </w:rPr>
      </w:pPr>
    </w:p>
    <w:p w14:paraId="66530CA2" w14:textId="77777777" w:rsidR="00D827E3" w:rsidRPr="00C356A8" w:rsidRDefault="00D827E3" w:rsidP="004F6D20">
      <w:pPr>
        <w:spacing w:line="360" w:lineRule="auto"/>
        <w:rPr>
          <w:lang w:val="es-ES"/>
        </w:rPr>
      </w:pPr>
    </w:p>
    <w:p w14:paraId="3423AB85" w14:textId="77777777" w:rsidR="00274898" w:rsidRPr="00C356A8" w:rsidRDefault="00274898" w:rsidP="004F6D20">
      <w:pPr>
        <w:spacing w:line="360" w:lineRule="auto"/>
        <w:rPr>
          <w:lang w:val="es-ES"/>
        </w:rPr>
      </w:pPr>
    </w:p>
    <w:p w14:paraId="5E3282AC" w14:textId="77777777" w:rsidR="006226B1" w:rsidRPr="00C356A8" w:rsidRDefault="006226B1" w:rsidP="004F6D20">
      <w:pPr>
        <w:spacing w:line="360" w:lineRule="auto"/>
        <w:rPr>
          <w:lang w:val="es-ES"/>
        </w:rPr>
      </w:pPr>
    </w:p>
    <w:p w14:paraId="6B6581D7" w14:textId="77777777" w:rsidR="006226B1" w:rsidRPr="00C356A8" w:rsidRDefault="006226B1" w:rsidP="004F6D20">
      <w:pPr>
        <w:spacing w:line="360" w:lineRule="auto"/>
        <w:rPr>
          <w:lang w:val="es-ES"/>
        </w:rPr>
      </w:pPr>
    </w:p>
    <w:p w14:paraId="672D48E4" w14:textId="77777777" w:rsidR="006226B1" w:rsidRPr="00C356A8" w:rsidRDefault="006226B1" w:rsidP="004F6D20">
      <w:pPr>
        <w:spacing w:line="360" w:lineRule="auto"/>
        <w:rPr>
          <w:lang w:val="es-ES"/>
        </w:rPr>
      </w:pPr>
    </w:p>
    <w:p w14:paraId="4C30397E" w14:textId="77777777" w:rsidR="006226B1" w:rsidRPr="00C356A8" w:rsidRDefault="006226B1" w:rsidP="004F6D20">
      <w:pPr>
        <w:spacing w:line="360" w:lineRule="auto"/>
        <w:rPr>
          <w:lang w:val="es-ES"/>
        </w:rPr>
      </w:pPr>
    </w:p>
    <w:p w14:paraId="3C0BB515" w14:textId="4D98F2ED" w:rsidR="00DA307F" w:rsidRPr="00C356A8" w:rsidRDefault="00DA307F" w:rsidP="00DA307F">
      <w:pPr>
        <w:spacing w:line="360" w:lineRule="auto"/>
        <w:rPr>
          <w:b/>
          <w:sz w:val="28"/>
          <w:szCs w:val="28"/>
        </w:rPr>
      </w:pPr>
      <w:r w:rsidRPr="00C356A8">
        <w:rPr>
          <w:b/>
          <w:sz w:val="28"/>
          <w:szCs w:val="28"/>
        </w:rPr>
        <w:lastRenderedPageBreak/>
        <w:t>Abstract</w:t>
      </w:r>
    </w:p>
    <w:p w14:paraId="4744BAA3" w14:textId="2A469582" w:rsidR="00EF244A" w:rsidRPr="00C356A8" w:rsidRDefault="008A6358" w:rsidP="00DA307F">
      <w:pPr>
        <w:spacing w:line="360" w:lineRule="auto"/>
        <w:rPr>
          <w:rFonts w:asciiTheme="minorHAnsi" w:hAnsiTheme="minorHAnsi" w:cstheme="minorHAnsi"/>
          <w:color w:val="000000"/>
        </w:rPr>
      </w:pPr>
      <w:bookmarkStart w:id="3" w:name="_Hlk487380796"/>
      <w:r w:rsidRPr="00C356A8">
        <w:rPr>
          <w:b/>
        </w:rPr>
        <w:t>Introduction</w:t>
      </w:r>
      <w:r w:rsidR="00DA307F" w:rsidRPr="00C356A8">
        <w:rPr>
          <w:b/>
        </w:rPr>
        <w:t>:</w:t>
      </w:r>
      <w:r w:rsidR="000B779C" w:rsidRPr="00C356A8">
        <w:rPr>
          <w:b/>
        </w:rPr>
        <w:t xml:space="preserve"> </w:t>
      </w:r>
      <w:r w:rsidR="005B4793" w:rsidRPr="00C356A8">
        <w:t>The use of non-prescribed prescription sedatives and sleeping pills (NPPSSP)</w:t>
      </w:r>
      <w:r w:rsidR="000B779C" w:rsidRPr="00C356A8">
        <w:t xml:space="preserve"> among university students has been </w:t>
      </w:r>
      <w:r w:rsidR="00C66407" w:rsidRPr="00C356A8">
        <w:t xml:space="preserve">described </w:t>
      </w:r>
      <w:r w:rsidR="000B779C" w:rsidRPr="00C356A8">
        <w:t xml:space="preserve">as an important public health issue. </w:t>
      </w:r>
      <w:r w:rsidR="00F3107E" w:rsidRPr="00C356A8">
        <w:t xml:space="preserve">However, </w:t>
      </w:r>
      <w:r w:rsidR="0098734A" w:rsidRPr="00C356A8">
        <w:t xml:space="preserve">the impact of </w:t>
      </w:r>
      <w:r w:rsidR="00195D64" w:rsidRPr="00C356A8">
        <w:t xml:space="preserve">perceived </w:t>
      </w:r>
      <w:r w:rsidR="0098734A" w:rsidRPr="00C356A8">
        <w:t>social norms</w:t>
      </w:r>
      <w:r w:rsidR="00F24860" w:rsidRPr="00C356A8">
        <w:t xml:space="preserve"> on students</w:t>
      </w:r>
      <w:r w:rsidR="00155291" w:rsidRPr="00C356A8">
        <w:t>’</w:t>
      </w:r>
      <w:r w:rsidR="00F24860" w:rsidRPr="00C356A8">
        <w:t xml:space="preserve"> use and </w:t>
      </w:r>
      <w:r w:rsidR="00D60884" w:rsidRPr="00C356A8">
        <w:t>attitudes towards</w:t>
      </w:r>
      <w:r w:rsidR="00F24860" w:rsidRPr="00C356A8">
        <w:t xml:space="preserve"> use of NP</w:t>
      </w:r>
      <w:r w:rsidR="005B4793" w:rsidRPr="00C356A8">
        <w:t>P</w:t>
      </w:r>
      <w:r w:rsidR="00F24860" w:rsidRPr="00C356A8">
        <w:t>SSP</w:t>
      </w:r>
      <w:r w:rsidR="00DC06CF" w:rsidRPr="00C356A8">
        <w:t xml:space="preserve"> i</w:t>
      </w:r>
      <w:r w:rsidR="00653450" w:rsidRPr="00C356A8">
        <w:t>s</w:t>
      </w:r>
      <w:r w:rsidR="00C66407" w:rsidRPr="00C356A8">
        <w:t xml:space="preserve"> still</w:t>
      </w:r>
      <w:r w:rsidR="00653450" w:rsidRPr="00C356A8">
        <w:t xml:space="preserve"> unclear</w:t>
      </w:r>
      <w:r w:rsidR="0098734A" w:rsidRPr="00C356A8">
        <w:t xml:space="preserve">. </w:t>
      </w:r>
      <w:r w:rsidR="00943D2C" w:rsidRPr="00C356A8">
        <w:t>Our a</w:t>
      </w:r>
      <w:r w:rsidR="00433216" w:rsidRPr="00C356A8">
        <w:t xml:space="preserve">im was to </w:t>
      </w:r>
      <w:r w:rsidR="0049264E" w:rsidRPr="00C356A8">
        <w:t xml:space="preserve">investigate </w:t>
      </w:r>
      <w:r w:rsidR="003A1332" w:rsidRPr="00C356A8">
        <w:t>whether perceptions of</w:t>
      </w:r>
      <w:r w:rsidR="00AB3270" w:rsidRPr="00C356A8">
        <w:t xml:space="preserve"> peer use a</w:t>
      </w:r>
      <w:r w:rsidR="0049264E" w:rsidRPr="00C356A8">
        <w:t xml:space="preserve">nd </w:t>
      </w:r>
      <w:r w:rsidR="00AB3270" w:rsidRPr="00C356A8">
        <w:t xml:space="preserve">approval of use </w:t>
      </w:r>
      <w:r w:rsidR="003A1332" w:rsidRPr="00C356A8">
        <w:t xml:space="preserve">are associated with </w:t>
      </w:r>
      <w:r w:rsidR="00653450" w:rsidRPr="00C356A8">
        <w:t xml:space="preserve">students’ </w:t>
      </w:r>
      <w:r w:rsidR="003A1332" w:rsidRPr="00C356A8">
        <w:t xml:space="preserve">personal </w:t>
      </w:r>
      <w:r w:rsidR="00AB3270" w:rsidRPr="00C356A8">
        <w:t xml:space="preserve">use and approval of </w:t>
      </w:r>
      <w:r w:rsidR="0049264E" w:rsidRPr="00C356A8">
        <w:rPr>
          <w:rFonts w:asciiTheme="minorHAnsi" w:hAnsiTheme="minorHAnsi" w:cstheme="minorHAnsi"/>
          <w:color w:val="000000"/>
        </w:rPr>
        <w:t>NP</w:t>
      </w:r>
      <w:r w:rsidR="005B4793" w:rsidRPr="00C356A8">
        <w:rPr>
          <w:rFonts w:asciiTheme="minorHAnsi" w:hAnsiTheme="minorHAnsi" w:cstheme="minorHAnsi"/>
          <w:color w:val="000000"/>
        </w:rPr>
        <w:t>P</w:t>
      </w:r>
      <w:r w:rsidR="0049264E" w:rsidRPr="00C356A8">
        <w:rPr>
          <w:rFonts w:asciiTheme="minorHAnsi" w:hAnsiTheme="minorHAnsi" w:cstheme="minorHAnsi"/>
          <w:color w:val="000000"/>
        </w:rPr>
        <w:t>SSP</w:t>
      </w:r>
      <w:r w:rsidR="00653450" w:rsidRPr="00C356A8">
        <w:rPr>
          <w:rFonts w:asciiTheme="minorHAnsi" w:hAnsiTheme="minorHAnsi" w:cstheme="minorHAnsi"/>
          <w:color w:val="000000"/>
        </w:rPr>
        <w:t xml:space="preserve"> use.</w:t>
      </w:r>
    </w:p>
    <w:p w14:paraId="34A906E5" w14:textId="554142ED" w:rsidR="00DA307F" w:rsidRPr="00C356A8" w:rsidRDefault="00DA307F" w:rsidP="00DA307F">
      <w:pPr>
        <w:spacing w:line="360" w:lineRule="auto"/>
      </w:pPr>
      <w:r w:rsidRPr="00C356A8">
        <w:rPr>
          <w:b/>
        </w:rPr>
        <w:t>Methods:</w:t>
      </w:r>
      <w:r w:rsidR="000B779C" w:rsidRPr="00C356A8">
        <w:t xml:space="preserve"> </w:t>
      </w:r>
      <w:r w:rsidR="00653450" w:rsidRPr="00C356A8">
        <w:t>C</w:t>
      </w:r>
      <w:r w:rsidR="000B779C" w:rsidRPr="00C356A8">
        <w:t xml:space="preserve">ross-sectional data from the Social Norms Intervention for the </w:t>
      </w:r>
      <w:r w:rsidR="00DC06CF" w:rsidRPr="00C356A8">
        <w:t>P</w:t>
      </w:r>
      <w:r w:rsidR="00653450" w:rsidRPr="00C356A8">
        <w:t xml:space="preserve">revention of Polydrug </w:t>
      </w:r>
      <w:r w:rsidR="00DC06CF" w:rsidRPr="00C356A8">
        <w:t>Use</w:t>
      </w:r>
      <w:r w:rsidR="00BE4A89" w:rsidRPr="00C356A8">
        <w:t xml:space="preserve"> (SNIPE)</w:t>
      </w:r>
      <w:r w:rsidR="00653450" w:rsidRPr="00C356A8">
        <w:t xml:space="preserve"> </w:t>
      </w:r>
      <w:r w:rsidR="000B779C" w:rsidRPr="00C356A8">
        <w:t>project containing 4</w:t>
      </w:r>
      <w:r w:rsidR="00440B67" w:rsidRPr="00C356A8">
        <w:t>,</w:t>
      </w:r>
      <w:r w:rsidR="000B779C" w:rsidRPr="00C356A8">
        <w:t xml:space="preserve">482 </w:t>
      </w:r>
      <w:r w:rsidR="00653450" w:rsidRPr="00C356A8">
        <w:t xml:space="preserve">university </w:t>
      </w:r>
      <w:r w:rsidR="000B779C" w:rsidRPr="00C356A8">
        <w:t>students from seven European countries</w:t>
      </w:r>
      <w:r w:rsidR="00653450" w:rsidRPr="00C356A8">
        <w:t xml:space="preserve"> were </w:t>
      </w:r>
      <w:r w:rsidR="00DC06CF" w:rsidRPr="00C356A8">
        <w:t>analyzed</w:t>
      </w:r>
      <w:r w:rsidR="00653450" w:rsidRPr="00C356A8">
        <w:t xml:space="preserve"> to investi</w:t>
      </w:r>
      <w:r w:rsidR="00DC06CF" w:rsidRPr="00C356A8">
        <w:t>gate</w:t>
      </w:r>
      <w:r w:rsidR="00653450" w:rsidRPr="00C356A8">
        <w:t xml:space="preserve"> self-other discrepancies regarding personal use and </w:t>
      </w:r>
      <w:r w:rsidR="00A415DF" w:rsidRPr="00C356A8">
        <w:t>attitudes towards</w:t>
      </w:r>
      <w:r w:rsidR="00653450" w:rsidRPr="00C356A8">
        <w:t xml:space="preserve"> NP</w:t>
      </w:r>
      <w:r w:rsidR="00E71D7B" w:rsidRPr="00C356A8">
        <w:t>P</w:t>
      </w:r>
      <w:r w:rsidR="00653450" w:rsidRPr="00C356A8">
        <w:t>SSP use.</w:t>
      </w:r>
      <w:r w:rsidR="000B779C" w:rsidRPr="00C356A8">
        <w:t xml:space="preserve"> Associations </w:t>
      </w:r>
      <w:r w:rsidR="00653450" w:rsidRPr="00C356A8">
        <w:t xml:space="preserve">between </w:t>
      </w:r>
      <w:r w:rsidR="006A4F6E" w:rsidRPr="00C356A8">
        <w:t xml:space="preserve">personal and </w:t>
      </w:r>
      <w:r w:rsidR="00586D1E" w:rsidRPr="00C356A8">
        <w:t>perceived</w:t>
      </w:r>
      <w:r w:rsidR="00653450" w:rsidRPr="00C356A8">
        <w:t xml:space="preserve"> peer use and </w:t>
      </w:r>
      <w:r w:rsidR="003A1332" w:rsidRPr="00C356A8">
        <w:t xml:space="preserve">between personal and perceived </w:t>
      </w:r>
      <w:r w:rsidR="00653450" w:rsidRPr="00C356A8">
        <w:t xml:space="preserve">approval of use were </w:t>
      </w:r>
      <w:r w:rsidR="00DC06CF" w:rsidRPr="00C356A8">
        <w:t>examined</w:t>
      </w:r>
      <w:r w:rsidR="000B779C" w:rsidRPr="00C356A8">
        <w:t xml:space="preserve"> using </w:t>
      </w:r>
      <w:r w:rsidR="00586D1E" w:rsidRPr="00C356A8">
        <w:t xml:space="preserve">multivariable </w:t>
      </w:r>
      <w:r w:rsidR="000B779C" w:rsidRPr="00C356A8">
        <w:t>logistic regression.</w:t>
      </w:r>
    </w:p>
    <w:p w14:paraId="7692F85D" w14:textId="020F5D6F" w:rsidR="00AB3270" w:rsidRPr="00C356A8" w:rsidRDefault="00DA307F" w:rsidP="00986D90">
      <w:pPr>
        <w:spacing w:line="360" w:lineRule="auto"/>
      </w:pPr>
      <w:r w:rsidRPr="00C356A8">
        <w:rPr>
          <w:b/>
        </w:rPr>
        <w:t>Results:</w:t>
      </w:r>
      <w:r w:rsidR="000B779C" w:rsidRPr="00C356A8">
        <w:rPr>
          <w:b/>
        </w:rPr>
        <w:t xml:space="preserve"> </w:t>
      </w:r>
      <w:r w:rsidR="005D0A91" w:rsidRPr="00C356A8">
        <w:t>The majority (</w:t>
      </w:r>
      <w:r w:rsidR="009030BF" w:rsidRPr="00C356A8">
        <w:t>51.0</w:t>
      </w:r>
      <w:r w:rsidR="00D729DD" w:rsidRPr="00C356A8">
        <w:t>%</w:t>
      </w:r>
      <w:r w:rsidR="005D0A91" w:rsidRPr="00C356A8">
        <w:t>)</w:t>
      </w:r>
      <w:r w:rsidR="00D729DD" w:rsidRPr="00C356A8">
        <w:t xml:space="preserve"> of students perceived the</w:t>
      </w:r>
      <w:r w:rsidR="00653450" w:rsidRPr="00C356A8">
        <w:t>ir peers’</w:t>
      </w:r>
      <w:r w:rsidR="00D729DD" w:rsidRPr="00C356A8">
        <w:t xml:space="preserve"> NP</w:t>
      </w:r>
      <w:r w:rsidR="005B4793" w:rsidRPr="00C356A8">
        <w:t>P</w:t>
      </w:r>
      <w:r w:rsidR="00D729DD" w:rsidRPr="00C356A8">
        <w:t xml:space="preserve">SSP use to be higher than their </w:t>
      </w:r>
      <w:r w:rsidR="00586D1E" w:rsidRPr="00C356A8">
        <w:t xml:space="preserve">personal </w:t>
      </w:r>
      <w:r w:rsidR="00D729DD" w:rsidRPr="00C356A8">
        <w:t xml:space="preserve">use. </w:t>
      </w:r>
      <w:r w:rsidR="00586D1E" w:rsidRPr="00C356A8">
        <w:t xml:space="preserve">92.6% of students perceived </w:t>
      </w:r>
      <w:r w:rsidR="00054099" w:rsidRPr="00C356A8">
        <w:t xml:space="preserve">their </w:t>
      </w:r>
      <w:r w:rsidR="00586D1E" w:rsidRPr="00C356A8">
        <w:t>peer</w:t>
      </w:r>
      <w:r w:rsidR="00054099" w:rsidRPr="00C356A8">
        <w:t>s’ approval of NP</w:t>
      </w:r>
      <w:r w:rsidR="005B4793" w:rsidRPr="00C356A8">
        <w:t>P</w:t>
      </w:r>
      <w:r w:rsidR="00054099" w:rsidRPr="00C356A8">
        <w:t>SSP use to be</w:t>
      </w:r>
      <w:r w:rsidR="00586D1E" w:rsidRPr="00C356A8">
        <w:t xml:space="preserve"> </w:t>
      </w:r>
      <w:r w:rsidR="00054099" w:rsidRPr="00C356A8">
        <w:t>identical</w:t>
      </w:r>
      <w:r w:rsidR="00586D1E" w:rsidRPr="00C356A8">
        <w:t xml:space="preserve"> or higher than their personal approval. </w:t>
      </w:r>
      <w:r w:rsidR="00986D90" w:rsidRPr="00C356A8">
        <w:t xml:space="preserve">Students </w:t>
      </w:r>
      <w:r w:rsidR="00586D1E" w:rsidRPr="00C356A8">
        <w:t>perceiving</w:t>
      </w:r>
      <w:r w:rsidR="00986D90" w:rsidRPr="00C356A8">
        <w:t xml:space="preserve"> </w:t>
      </w:r>
      <w:r w:rsidR="00D729DD" w:rsidRPr="00C356A8">
        <w:t xml:space="preserve">that </w:t>
      </w:r>
      <w:proofErr w:type="gramStart"/>
      <w:r w:rsidR="00D729DD" w:rsidRPr="00C356A8">
        <w:t>the majority of</w:t>
      </w:r>
      <w:proofErr w:type="gramEnd"/>
      <w:r w:rsidR="00D729DD" w:rsidRPr="00C356A8">
        <w:t xml:space="preserve"> peers had used NP</w:t>
      </w:r>
      <w:r w:rsidR="005B4793" w:rsidRPr="00C356A8">
        <w:t>P</w:t>
      </w:r>
      <w:r w:rsidR="00D729DD" w:rsidRPr="00C356A8">
        <w:t xml:space="preserve">SSP at least once </w:t>
      </w:r>
      <w:r w:rsidR="005E420F" w:rsidRPr="00C356A8">
        <w:t>displayed</w:t>
      </w:r>
      <w:r w:rsidR="00D729DD" w:rsidRPr="00C356A8">
        <w:t xml:space="preserve"> higher odds for personal lifetime use (OR: </w:t>
      </w:r>
      <w:r w:rsidR="007D4A90" w:rsidRPr="00C356A8">
        <w:t>1.95, 95% CI: 1.49-2.55</w:t>
      </w:r>
      <w:r w:rsidR="00D729DD" w:rsidRPr="00C356A8">
        <w:t xml:space="preserve">). </w:t>
      </w:r>
      <w:r w:rsidR="00986D90" w:rsidRPr="00C356A8">
        <w:t>P</w:t>
      </w:r>
      <w:r w:rsidR="00653450" w:rsidRPr="00C356A8">
        <w:t>erceived peer approval</w:t>
      </w:r>
      <w:r w:rsidR="00D729DD" w:rsidRPr="00C356A8">
        <w:t xml:space="preserve"> </w:t>
      </w:r>
      <w:r w:rsidR="00653450" w:rsidRPr="00C356A8">
        <w:t>of</w:t>
      </w:r>
      <w:r w:rsidR="00D729DD" w:rsidRPr="00C356A8">
        <w:t xml:space="preserve"> </w:t>
      </w:r>
      <w:r w:rsidR="009507EF" w:rsidRPr="00C356A8">
        <w:t>NP</w:t>
      </w:r>
      <w:r w:rsidR="005B4793" w:rsidRPr="00C356A8">
        <w:t>P</w:t>
      </w:r>
      <w:r w:rsidR="009507EF" w:rsidRPr="00C356A8">
        <w:t xml:space="preserve">SSP </w:t>
      </w:r>
      <w:r w:rsidR="00653450" w:rsidRPr="00C356A8">
        <w:t xml:space="preserve">use </w:t>
      </w:r>
      <w:r w:rsidR="00D729DD" w:rsidRPr="00C356A8">
        <w:t xml:space="preserve">was associated with </w:t>
      </w:r>
      <w:r w:rsidR="009507EF" w:rsidRPr="00C356A8">
        <w:t xml:space="preserve">higher odds for personal approval (OR: </w:t>
      </w:r>
      <w:r w:rsidR="007D4A90" w:rsidRPr="00C356A8">
        <w:rPr>
          <w:rFonts w:asciiTheme="minorHAnsi" w:hAnsiTheme="minorHAnsi" w:cstheme="minorHAnsi"/>
          <w:lang w:val="en"/>
        </w:rPr>
        <w:t>5.49, 95% CI: 4.63-6.51</w:t>
      </w:r>
      <w:r w:rsidR="00D729DD" w:rsidRPr="00C356A8">
        <w:t>).</w:t>
      </w:r>
    </w:p>
    <w:p w14:paraId="6CA638E4" w14:textId="7645EF28" w:rsidR="001656A2" w:rsidRPr="00C356A8" w:rsidRDefault="000B779C" w:rsidP="00DA307F">
      <w:pPr>
        <w:spacing w:line="360" w:lineRule="auto"/>
      </w:pPr>
      <w:r w:rsidRPr="00C356A8">
        <w:rPr>
          <w:b/>
        </w:rPr>
        <w:t xml:space="preserve">Conclusions: </w:t>
      </w:r>
      <w:r w:rsidR="00412919" w:rsidRPr="00C356A8">
        <w:t>Among European university students, p</w:t>
      </w:r>
      <w:r w:rsidR="004F4608" w:rsidRPr="00C356A8">
        <w:t>erceiving</w:t>
      </w:r>
      <w:r w:rsidR="00F3107E" w:rsidRPr="00C356A8">
        <w:t xml:space="preserve"> </w:t>
      </w:r>
      <w:r w:rsidR="004F4608" w:rsidRPr="00C356A8">
        <w:t>NP</w:t>
      </w:r>
      <w:r w:rsidR="005B4793" w:rsidRPr="00C356A8">
        <w:t>P</w:t>
      </w:r>
      <w:r w:rsidR="004F4608" w:rsidRPr="00C356A8">
        <w:t>SSP use</w:t>
      </w:r>
      <w:r w:rsidR="00653450" w:rsidRPr="00C356A8">
        <w:t xml:space="preserve"> and approval of use</w:t>
      </w:r>
      <w:r w:rsidR="004F4608" w:rsidRPr="00C356A8">
        <w:t xml:space="preserve"> to be the norm </w:t>
      </w:r>
      <w:r w:rsidR="00F3107E" w:rsidRPr="00C356A8">
        <w:t>was positively associated with students’ personal NP</w:t>
      </w:r>
      <w:r w:rsidR="005B4793" w:rsidRPr="00C356A8">
        <w:t>P</w:t>
      </w:r>
      <w:r w:rsidR="00F3107E" w:rsidRPr="00C356A8">
        <w:t>SSP use</w:t>
      </w:r>
      <w:r w:rsidR="00653450" w:rsidRPr="00C356A8">
        <w:t xml:space="preserve"> and approval of use, respectively</w:t>
      </w:r>
      <w:r w:rsidR="00F3107E" w:rsidRPr="00C356A8">
        <w:t xml:space="preserve">. </w:t>
      </w:r>
      <w:r w:rsidR="00F24860" w:rsidRPr="00C356A8">
        <w:t xml:space="preserve">Interventions </w:t>
      </w:r>
      <w:r w:rsidR="00E16479" w:rsidRPr="00C356A8">
        <w:t>addressing</w:t>
      </w:r>
      <w:r w:rsidR="00F24860" w:rsidRPr="00C356A8">
        <w:t xml:space="preserve"> </w:t>
      </w:r>
      <w:r w:rsidR="00195D64" w:rsidRPr="00C356A8">
        <w:t xml:space="preserve">perceived </w:t>
      </w:r>
      <w:r w:rsidR="00F24860" w:rsidRPr="00C356A8">
        <w:t xml:space="preserve">social norms may </w:t>
      </w:r>
      <w:r w:rsidR="00C9695D" w:rsidRPr="00C356A8">
        <w:t>prevent or</w:t>
      </w:r>
      <w:r w:rsidR="006226B1" w:rsidRPr="00C356A8">
        <w:t xml:space="preserve"> </w:t>
      </w:r>
      <w:r w:rsidR="00F24860" w:rsidRPr="00C356A8">
        <w:t>reduce NP</w:t>
      </w:r>
      <w:r w:rsidR="005B4793" w:rsidRPr="00C356A8">
        <w:t>P</w:t>
      </w:r>
      <w:r w:rsidR="00F24860" w:rsidRPr="00C356A8">
        <w:t>SSP use among university students.</w:t>
      </w:r>
    </w:p>
    <w:p w14:paraId="29EFFE4E" w14:textId="52F558E4" w:rsidR="003054B6" w:rsidRPr="00C356A8" w:rsidRDefault="003054B6" w:rsidP="00DA307F">
      <w:pPr>
        <w:spacing w:line="360" w:lineRule="auto"/>
      </w:pPr>
      <w:r w:rsidRPr="00C356A8">
        <w:rPr>
          <w:b/>
        </w:rPr>
        <w:t xml:space="preserve">Final trial registration number: </w:t>
      </w:r>
      <w:r w:rsidRPr="00C356A8">
        <w:t>DRKS00004375 on the ‘German Clinical Trials Register’.</w:t>
      </w:r>
    </w:p>
    <w:bookmarkEnd w:id="3"/>
    <w:p w14:paraId="595F9798" w14:textId="627D813A" w:rsidR="00DA307F" w:rsidRPr="00C356A8" w:rsidRDefault="00DA307F" w:rsidP="00DA307F">
      <w:pPr>
        <w:spacing w:line="360" w:lineRule="auto"/>
      </w:pPr>
      <w:r w:rsidRPr="00C356A8">
        <w:rPr>
          <w:b/>
        </w:rPr>
        <w:t>Keywords:</w:t>
      </w:r>
      <w:r w:rsidR="000B779C" w:rsidRPr="00C356A8">
        <w:t xml:space="preserve"> university students</w:t>
      </w:r>
      <w:r w:rsidR="008A6358" w:rsidRPr="00C356A8">
        <w:t>;</w:t>
      </w:r>
      <w:r w:rsidR="000B779C" w:rsidRPr="00C356A8">
        <w:t xml:space="preserve"> non-medical use</w:t>
      </w:r>
      <w:r w:rsidR="008A6358" w:rsidRPr="00C356A8">
        <w:t>;</w:t>
      </w:r>
      <w:r w:rsidR="000B779C" w:rsidRPr="00C356A8">
        <w:t xml:space="preserve"> sedatives</w:t>
      </w:r>
      <w:r w:rsidR="008A6358" w:rsidRPr="00C356A8">
        <w:t>;</w:t>
      </w:r>
      <w:r w:rsidR="000B779C" w:rsidRPr="00C356A8">
        <w:t xml:space="preserve"> sleeping pills</w:t>
      </w:r>
      <w:r w:rsidR="008A6358" w:rsidRPr="00C356A8">
        <w:t>;</w:t>
      </w:r>
      <w:r w:rsidR="000B779C" w:rsidRPr="00C356A8">
        <w:t xml:space="preserve"> </w:t>
      </w:r>
      <w:r w:rsidR="00CF5968" w:rsidRPr="00C356A8">
        <w:t>perceptions</w:t>
      </w:r>
      <w:r w:rsidR="008A6358" w:rsidRPr="00C356A8">
        <w:t>;</w:t>
      </w:r>
      <w:r w:rsidR="00CF5968" w:rsidRPr="00C356A8">
        <w:t xml:space="preserve"> </w:t>
      </w:r>
      <w:r w:rsidR="000B779C" w:rsidRPr="00C356A8">
        <w:t>social norms</w:t>
      </w:r>
    </w:p>
    <w:p w14:paraId="64B90389" w14:textId="6AE3BDF2" w:rsidR="00027F62" w:rsidRPr="00C356A8" w:rsidRDefault="00027F62" w:rsidP="00DA307F">
      <w:pPr>
        <w:spacing w:line="360" w:lineRule="auto"/>
        <w:rPr>
          <w:b/>
          <w:sz w:val="28"/>
          <w:szCs w:val="28"/>
        </w:rPr>
      </w:pPr>
    </w:p>
    <w:p w14:paraId="3DFAD3CB" w14:textId="77777777" w:rsidR="00027F62" w:rsidRPr="00C356A8" w:rsidRDefault="00027F62" w:rsidP="00DA307F">
      <w:pPr>
        <w:spacing w:line="360" w:lineRule="auto"/>
      </w:pPr>
    </w:p>
    <w:p w14:paraId="3309C92F" w14:textId="77777777" w:rsidR="00DA307F" w:rsidRPr="00C356A8" w:rsidRDefault="00DA307F" w:rsidP="00DA307F">
      <w:pPr>
        <w:spacing w:line="360" w:lineRule="auto"/>
        <w:rPr>
          <w:b/>
          <w:sz w:val="28"/>
          <w:szCs w:val="28"/>
        </w:rPr>
      </w:pPr>
    </w:p>
    <w:p w14:paraId="244D961C" w14:textId="77777777" w:rsidR="00DA307F" w:rsidRPr="00C356A8" w:rsidRDefault="00DA307F" w:rsidP="00DA307F">
      <w:pPr>
        <w:spacing w:line="360" w:lineRule="auto"/>
        <w:rPr>
          <w:b/>
          <w:sz w:val="28"/>
          <w:szCs w:val="28"/>
        </w:rPr>
      </w:pPr>
    </w:p>
    <w:p w14:paraId="281D2461" w14:textId="77777777" w:rsidR="00DA307F" w:rsidRPr="00C356A8" w:rsidRDefault="00DA307F" w:rsidP="00DA307F">
      <w:pPr>
        <w:spacing w:line="360" w:lineRule="auto"/>
        <w:rPr>
          <w:b/>
          <w:sz w:val="28"/>
          <w:szCs w:val="28"/>
        </w:rPr>
      </w:pPr>
    </w:p>
    <w:p w14:paraId="29A820D4" w14:textId="77777777" w:rsidR="00456AF5" w:rsidRPr="00C356A8" w:rsidRDefault="00456AF5" w:rsidP="00DA307F">
      <w:pPr>
        <w:spacing w:line="360" w:lineRule="auto"/>
        <w:rPr>
          <w:b/>
          <w:sz w:val="28"/>
          <w:szCs w:val="28"/>
        </w:rPr>
      </w:pPr>
    </w:p>
    <w:p w14:paraId="4F98697B" w14:textId="77777777" w:rsidR="00586D1E" w:rsidRPr="00C356A8" w:rsidRDefault="00586D1E" w:rsidP="00DA307F">
      <w:pPr>
        <w:spacing w:line="360" w:lineRule="auto"/>
        <w:rPr>
          <w:b/>
          <w:sz w:val="28"/>
          <w:szCs w:val="28"/>
        </w:rPr>
      </w:pPr>
    </w:p>
    <w:p w14:paraId="18D17185" w14:textId="77777777" w:rsidR="00586D1E" w:rsidRPr="00C356A8" w:rsidRDefault="00586D1E" w:rsidP="00DA307F">
      <w:pPr>
        <w:spacing w:line="360" w:lineRule="auto"/>
        <w:rPr>
          <w:b/>
          <w:sz w:val="28"/>
          <w:szCs w:val="28"/>
        </w:rPr>
      </w:pPr>
    </w:p>
    <w:p w14:paraId="09EFF519" w14:textId="77777777" w:rsidR="008671C2" w:rsidRPr="00C356A8" w:rsidRDefault="008671C2" w:rsidP="00DA307F">
      <w:pPr>
        <w:spacing w:line="360" w:lineRule="auto"/>
        <w:rPr>
          <w:b/>
          <w:sz w:val="28"/>
          <w:szCs w:val="28"/>
        </w:rPr>
      </w:pPr>
    </w:p>
    <w:p w14:paraId="59093054" w14:textId="03ECB621" w:rsidR="00560F1F" w:rsidRPr="00C356A8" w:rsidRDefault="00D50F03" w:rsidP="00D50F03">
      <w:pPr>
        <w:spacing w:line="360" w:lineRule="auto"/>
        <w:rPr>
          <w:b/>
          <w:sz w:val="28"/>
          <w:szCs w:val="28"/>
        </w:rPr>
      </w:pPr>
      <w:r w:rsidRPr="00C356A8">
        <w:rPr>
          <w:b/>
          <w:sz w:val="28"/>
          <w:szCs w:val="28"/>
        </w:rPr>
        <w:lastRenderedPageBreak/>
        <w:t xml:space="preserve">1. </w:t>
      </w:r>
      <w:r w:rsidR="00772B5D" w:rsidRPr="00C356A8">
        <w:rPr>
          <w:b/>
          <w:sz w:val="28"/>
          <w:szCs w:val="28"/>
        </w:rPr>
        <w:t>Introduction</w:t>
      </w:r>
    </w:p>
    <w:p w14:paraId="03E35B2E" w14:textId="4FD7B25A" w:rsidR="00E308AC" w:rsidRPr="00C356A8" w:rsidRDefault="002F3E26" w:rsidP="00E36581">
      <w:pPr>
        <w:autoSpaceDE w:val="0"/>
        <w:autoSpaceDN w:val="0"/>
        <w:adjustRightInd w:val="0"/>
        <w:spacing w:line="360" w:lineRule="auto"/>
        <w:jc w:val="both"/>
        <w:rPr>
          <w:rFonts w:asciiTheme="minorHAnsi" w:hAnsiTheme="minorHAnsi" w:cstheme="minorHAnsi"/>
        </w:rPr>
      </w:pPr>
      <w:r w:rsidRPr="00C356A8">
        <w:t>The non-m</w:t>
      </w:r>
      <w:r w:rsidR="00B3528F" w:rsidRPr="00C356A8">
        <w:t>edical use of prescription drugs</w:t>
      </w:r>
      <w:r w:rsidR="00FA550D" w:rsidRPr="00C356A8">
        <w:rPr>
          <w:rFonts w:asciiTheme="minorHAnsi" w:hAnsiTheme="minorHAnsi" w:cstheme="minorHAnsi"/>
        </w:rPr>
        <w:t>,</w:t>
      </w:r>
      <w:r w:rsidR="0065706F" w:rsidRPr="00C356A8">
        <w:t xml:space="preserve"> </w:t>
      </w:r>
      <w:r w:rsidR="002743D5" w:rsidRPr="00C356A8">
        <w:t>particularly among young adults,</w:t>
      </w:r>
      <w:r w:rsidR="002C3A97" w:rsidRPr="00C356A8">
        <w:t xml:space="preserve"> </w:t>
      </w:r>
      <w:r w:rsidR="003B7DBF" w:rsidRPr="00C356A8">
        <w:t>has been recognized as an important public health issue</w:t>
      </w:r>
      <w:r w:rsidR="005C1728" w:rsidRPr="00C356A8">
        <w:t xml:space="preserve"> </w:t>
      </w:r>
      <w:r w:rsidR="00810F8A" w:rsidRPr="00C356A8">
        <w:t>world</w:t>
      </w:r>
      <w:r w:rsidR="00864825" w:rsidRPr="00C356A8">
        <w:t xml:space="preserve">wide </w:t>
      </w:r>
      <w:r w:rsidR="00B30DD2" w:rsidRPr="00C356A8">
        <w:rPr>
          <w:noProof/>
        </w:rPr>
        <w:t>(</w:t>
      </w:r>
      <w:r w:rsidR="00AF0D3C" w:rsidRPr="00C356A8">
        <w:rPr>
          <w:noProof/>
        </w:rPr>
        <w:t>Martins &amp; Ghandour, 2017</w:t>
      </w:r>
      <w:r w:rsidR="00B30DD2" w:rsidRPr="00C356A8">
        <w:rPr>
          <w:noProof/>
        </w:rPr>
        <w:t>)</w:t>
      </w:r>
      <w:r w:rsidR="00E6284D" w:rsidRPr="00C356A8">
        <w:rPr>
          <w:rFonts w:asciiTheme="minorHAnsi" w:hAnsiTheme="minorHAnsi" w:cstheme="minorHAnsi"/>
        </w:rPr>
        <w:t xml:space="preserve">. </w:t>
      </w:r>
      <w:r w:rsidR="00C50734" w:rsidRPr="00C356A8">
        <w:rPr>
          <w:rFonts w:asciiTheme="minorHAnsi" w:hAnsiTheme="minorHAnsi" w:cstheme="minorHAnsi"/>
        </w:rPr>
        <w:t>T</w:t>
      </w:r>
      <w:r w:rsidR="00587D06" w:rsidRPr="00C356A8">
        <w:rPr>
          <w:rFonts w:asciiTheme="minorHAnsi" w:hAnsiTheme="minorHAnsi" w:cstheme="minorHAnsi"/>
        </w:rPr>
        <w:t xml:space="preserve">he misuse of </w:t>
      </w:r>
      <w:r w:rsidR="000426F0" w:rsidRPr="00C356A8">
        <w:rPr>
          <w:rFonts w:asciiTheme="minorHAnsi" w:hAnsiTheme="minorHAnsi" w:cstheme="minorHAnsi"/>
        </w:rPr>
        <w:t xml:space="preserve">several </w:t>
      </w:r>
      <w:r w:rsidR="00A069B9" w:rsidRPr="00C356A8">
        <w:rPr>
          <w:rFonts w:asciiTheme="minorHAnsi" w:hAnsiTheme="minorHAnsi" w:cstheme="minorHAnsi"/>
        </w:rPr>
        <w:t xml:space="preserve">prescription drugs, </w:t>
      </w:r>
      <w:r w:rsidR="00FA550D" w:rsidRPr="00C356A8">
        <w:rPr>
          <w:rFonts w:asciiTheme="minorHAnsi" w:hAnsiTheme="minorHAnsi" w:cstheme="minorHAnsi"/>
        </w:rPr>
        <w:t>such as</w:t>
      </w:r>
      <w:r w:rsidR="00A069B9" w:rsidRPr="00C356A8">
        <w:rPr>
          <w:rFonts w:asciiTheme="minorHAnsi" w:hAnsiTheme="minorHAnsi" w:cstheme="minorHAnsi"/>
        </w:rPr>
        <w:t xml:space="preserve"> stimulants, opioids, or tranquilizers, </w:t>
      </w:r>
      <w:r w:rsidR="00C50734" w:rsidRPr="00C356A8">
        <w:rPr>
          <w:rFonts w:asciiTheme="minorHAnsi" w:hAnsiTheme="minorHAnsi" w:cstheme="minorHAnsi"/>
        </w:rPr>
        <w:t>is</w:t>
      </w:r>
      <w:r w:rsidR="00A069B9" w:rsidRPr="00C356A8">
        <w:rPr>
          <w:rFonts w:asciiTheme="minorHAnsi" w:hAnsiTheme="minorHAnsi" w:cstheme="minorHAnsi"/>
        </w:rPr>
        <w:t xml:space="preserve"> associated with </w:t>
      </w:r>
      <w:r w:rsidR="000426F0" w:rsidRPr="00C356A8">
        <w:rPr>
          <w:rFonts w:asciiTheme="minorHAnsi" w:hAnsiTheme="minorHAnsi" w:cstheme="minorHAnsi"/>
        </w:rPr>
        <w:t>a high</w:t>
      </w:r>
      <w:r w:rsidR="00A069B9" w:rsidRPr="00C356A8">
        <w:rPr>
          <w:rFonts w:asciiTheme="minorHAnsi" w:hAnsiTheme="minorHAnsi" w:cstheme="minorHAnsi"/>
        </w:rPr>
        <w:t xml:space="preserve"> potential for </w:t>
      </w:r>
      <w:r w:rsidR="003177FD" w:rsidRPr="00C356A8">
        <w:rPr>
          <w:rFonts w:asciiTheme="minorHAnsi" w:hAnsiTheme="minorHAnsi" w:cstheme="minorHAnsi"/>
        </w:rPr>
        <w:t>addiction</w:t>
      </w:r>
      <w:r w:rsidR="000426F0" w:rsidRPr="00C356A8">
        <w:rPr>
          <w:rFonts w:asciiTheme="minorHAnsi" w:hAnsiTheme="minorHAnsi" w:cstheme="minorHAnsi"/>
        </w:rPr>
        <w:t xml:space="preserve"> and other </w:t>
      </w:r>
      <w:r w:rsidR="006760D0" w:rsidRPr="00C356A8">
        <w:rPr>
          <w:rFonts w:asciiTheme="minorHAnsi" w:hAnsiTheme="minorHAnsi" w:cstheme="minorHAnsi"/>
        </w:rPr>
        <w:t>serious physical and psychosocial consequences</w:t>
      </w:r>
      <w:r w:rsidR="000426F0" w:rsidRPr="00C356A8">
        <w:rPr>
          <w:rFonts w:asciiTheme="minorHAnsi" w:hAnsiTheme="minorHAnsi" w:cstheme="minorHAnsi"/>
        </w:rPr>
        <w:t xml:space="preserve"> </w:t>
      </w:r>
      <w:r w:rsidR="00B30DD2" w:rsidRPr="00C356A8">
        <w:rPr>
          <w:rFonts w:asciiTheme="minorHAnsi" w:hAnsiTheme="minorHAnsi" w:cstheme="minorHAnsi"/>
          <w:noProof/>
        </w:rPr>
        <w:t>(</w:t>
      </w:r>
      <w:r w:rsidR="00AF0D3C" w:rsidRPr="00C356A8">
        <w:rPr>
          <w:rFonts w:asciiTheme="minorHAnsi" w:hAnsiTheme="minorHAnsi" w:cstheme="minorHAnsi"/>
          <w:noProof/>
        </w:rPr>
        <w:t>United Nations Office on Drugs and Crime, 2011</w:t>
      </w:r>
      <w:r w:rsidR="00B30DD2" w:rsidRPr="00C356A8">
        <w:rPr>
          <w:rFonts w:asciiTheme="minorHAnsi" w:hAnsiTheme="minorHAnsi" w:cstheme="minorHAnsi"/>
          <w:noProof/>
        </w:rPr>
        <w:t>)</w:t>
      </w:r>
      <w:r w:rsidR="00C50734" w:rsidRPr="00C356A8">
        <w:rPr>
          <w:rFonts w:asciiTheme="minorHAnsi" w:hAnsiTheme="minorHAnsi" w:cstheme="minorHAnsi"/>
        </w:rPr>
        <w:t>. However,</w:t>
      </w:r>
      <w:r w:rsidR="000426F0" w:rsidRPr="00C356A8">
        <w:rPr>
          <w:rFonts w:asciiTheme="minorHAnsi" w:hAnsiTheme="minorHAnsi" w:cstheme="minorHAnsi"/>
        </w:rPr>
        <w:t xml:space="preserve"> </w:t>
      </w:r>
      <w:r w:rsidR="0065706F" w:rsidRPr="00C356A8">
        <w:rPr>
          <w:rFonts w:asciiTheme="minorHAnsi" w:hAnsiTheme="minorHAnsi" w:cstheme="minorHAnsi"/>
        </w:rPr>
        <w:t>prescription drugs</w:t>
      </w:r>
      <w:r w:rsidR="00C50734" w:rsidRPr="00C356A8">
        <w:rPr>
          <w:rFonts w:asciiTheme="minorHAnsi" w:hAnsiTheme="minorHAnsi" w:cstheme="minorHAnsi"/>
        </w:rPr>
        <w:t xml:space="preserve"> </w:t>
      </w:r>
      <w:r w:rsidR="0065706F" w:rsidRPr="00C356A8">
        <w:rPr>
          <w:rFonts w:asciiTheme="minorHAnsi" w:hAnsiTheme="minorHAnsi" w:cstheme="minorHAnsi"/>
        </w:rPr>
        <w:t xml:space="preserve">are often </w:t>
      </w:r>
      <w:r w:rsidR="00235A0F" w:rsidRPr="00C356A8">
        <w:rPr>
          <w:rFonts w:asciiTheme="minorHAnsi" w:hAnsiTheme="minorHAnsi" w:cstheme="minorHAnsi"/>
        </w:rPr>
        <w:t>perceived to be safer, and more socia</w:t>
      </w:r>
      <w:r w:rsidR="0018141C" w:rsidRPr="00C356A8">
        <w:rPr>
          <w:rFonts w:asciiTheme="minorHAnsi" w:hAnsiTheme="minorHAnsi" w:cstheme="minorHAnsi"/>
        </w:rPr>
        <w:t>lly acceptable than most illicit</w:t>
      </w:r>
      <w:r w:rsidR="00235A0F" w:rsidRPr="00C356A8">
        <w:rPr>
          <w:rFonts w:asciiTheme="minorHAnsi" w:hAnsiTheme="minorHAnsi" w:cstheme="minorHAnsi"/>
        </w:rPr>
        <w:t xml:space="preserve"> </w:t>
      </w:r>
      <w:proofErr w:type="gramStart"/>
      <w:r w:rsidR="00235A0F" w:rsidRPr="00C356A8">
        <w:rPr>
          <w:rFonts w:asciiTheme="minorHAnsi" w:hAnsiTheme="minorHAnsi" w:cstheme="minorHAnsi"/>
        </w:rPr>
        <w:t>drugs</w:t>
      </w:r>
      <w:r w:rsidR="00C66407" w:rsidRPr="00C356A8">
        <w:rPr>
          <w:rFonts w:asciiTheme="minorHAnsi" w:hAnsiTheme="minorHAnsi" w:cstheme="minorHAnsi"/>
        </w:rPr>
        <w:t>,</w:t>
      </w:r>
      <w:r w:rsidR="00C50734" w:rsidRPr="00C356A8">
        <w:rPr>
          <w:rFonts w:asciiTheme="minorHAnsi" w:hAnsiTheme="minorHAnsi" w:cstheme="minorHAnsi"/>
        </w:rPr>
        <w:t xml:space="preserve"> because</w:t>
      </w:r>
      <w:proofErr w:type="gramEnd"/>
      <w:r w:rsidR="00C50734" w:rsidRPr="00C356A8">
        <w:rPr>
          <w:rFonts w:asciiTheme="minorHAnsi" w:hAnsiTheme="minorHAnsi" w:cstheme="minorHAnsi"/>
        </w:rPr>
        <w:t xml:space="preserve"> </w:t>
      </w:r>
      <w:r w:rsidR="00943D2C" w:rsidRPr="00C356A8">
        <w:rPr>
          <w:rFonts w:asciiTheme="minorHAnsi" w:hAnsiTheme="minorHAnsi" w:cstheme="minorHAnsi"/>
        </w:rPr>
        <w:t>they are</w:t>
      </w:r>
      <w:r w:rsidR="00C50734" w:rsidRPr="00C356A8">
        <w:rPr>
          <w:rFonts w:asciiTheme="minorHAnsi" w:hAnsiTheme="minorHAnsi" w:cstheme="minorHAnsi"/>
        </w:rPr>
        <w:t xml:space="preserve"> produced by pharmaceutical companies </w:t>
      </w:r>
      <w:r w:rsidR="0018141C" w:rsidRPr="00C356A8">
        <w:rPr>
          <w:rFonts w:asciiTheme="minorHAnsi" w:hAnsiTheme="minorHAnsi" w:cstheme="minorHAnsi"/>
        </w:rPr>
        <w:t>and usu</w:t>
      </w:r>
      <w:r w:rsidR="00C50734" w:rsidRPr="00C356A8">
        <w:rPr>
          <w:rFonts w:asciiTheme="minorHAnsi" w:hAnsiTheme="minorHAnsi" w:cstheme="minorHAnsi"/>
        </w:rPr>
        <w:t>ally prescribed by physicians</w:t>
      </w:r>
      <w:r w:rsidR="003177FD" w:rsidRPr="00C356A8">
        <w:rPr>
          <w:rFonts w:asciiTheme="minorHAnsi" w:hAnsiTheme="minorHAnsi" w:cstheme="minorHAnsi"/>
        </w:rPr>
        <w:t xml:space="preserve"> </w:t>
      </w:r>
      <w:r w:rsidR="00B30DD2" w:rsidRPr="00C356A8">
        <w:rPr>
          <w:rFonts w:asciiTheme="minorHAnsi" w:hAnsiTheme="minorHAnsi" w:cstheme="minorHAnsi"/>
          <w:noProof/>
        </w:rPr>
        <w:t>(</w:t>
      </w:r>
      <w:r w:rsidR="00AF0D3C" w:rsidRPr="00C356A8">
        <w:rPr>
          <w:rFonts w:asciiTheme="minorHAnsi" w:hAnsiTheme="minorHAnsi" w:cstheme="minorHAnsi"/>
          <w:noProof/>
        </w:rPr>
        <w:t>Bodenlos, Malordy, Noonan, Mayrsohn, &amp; Mistler, 2014; Compton &amp; Volkow, 2006; Hildt, Franke, &amp; Lieb, 2011; Martins &amp; Ghandour, 2017</w:t>
      </w:r>
      <w:r w:rsidR="00B30DD2" w:rsidRPr="00C356A8">
        <w:rPr>
          <w:rFonts w:asciiTheme="minorHAnsi" w:hAnsiTheme="minorHAnsi" w:cstheme="minorHAnsi"/>
          <w:noProof/>
        </w:rPr>
        <w:t>)</w:t>
      </w:r>
      <w:r w:rsidR="000426F0" w:rsidRPr="00C356A8">
        <w:rPr>
          <w:rFonts w:asciiTheme="minorHAnsi" w:hAnsiTheme="minorHAnsi" w:cstheme="minorHAnsi"/>
        </w:rPr>
        <w:t>.</w:t>
      </w:r>
    </w:p>
    <w:p w14:paraId="61249DEE" w14:textId="72E687E3" w:rsidR="00E308AC" w:rsidRPr="00C356A8" w:rsidRDefault="00943D2C" w:rsidP="00CC742F">
      <w:pPr>
        <w:autoSpaceDE w:val="0"/>
        <w:autoSpaceDN w:val="0"/>
        <w:adjustRightInd w:val="0"/>
        <w:spacing w:line="360" w:lineRule="auto"/>
        <w:jc w:val="both"/>
      </w:pPr>
      <w:r w:rsidRPr="00C356A8">
        <w:t>T</w:t>
      </w:r>
      <w:r w:rsidR="003B7DBF" w:rsidRPr="00C356A8">
        <w:t xml:space="preserve">he non-medical use of prescription drugs among university students may serve as a coping strategy to manage the demands of university life and </w:t>
      </w:r>
      <w:r w:rsidRPr="00C356A8">
        <w:t xml:space="preserve">to </w:t>
      </w:r>
      <w:r w:rsidR="003B7DBF" w:rsidRPr="00C356A8">
        <w:t>achieve a better work-life balance</w:t>
      </w:r>
      <w:r w:rsidR="006517A9" w:rsidRPr="00C356A8">
        <w:t xml:space="preserve"> </w:t>
      </w:r>
      <w:r w:rsidR="00B30DD2" w:rsidRPr="00C356A8">
        <w:rPr>
          <w:noProof/>
        </w:rPr>
        <w:t>(</w:t>
      </w:r>
      <w:r w:rsidR="00AF0D3C" w:rsidRPr="00C356A8">
        <w:rPr>
          <w:noProof/>
        </w:rPr>
        <w:t>Hildt, Lieb, &amp; Franke, 2014; Jensen, Forlini, Partridge, &amp; Hall, 2016; Maier, Liechti, Herzig, &amp; Schaub, 2013</w:t>
      </w:r>
      <w:r w:rsidR="00B30DD2" w:rsidRPr="00C356A8">
        <w:rPr>
          <w:noProof/>
        </w:rPr>
        <w:t>)</w:t>
      </w:r>
      <w:r w:rsidR="00501174" w:rsidRPr="00C356A8">
        <w:t>. The</w:t>
      </w:r>
      <w:r w:rsidR="003B7DBF" w:rsidRPr="00C356A8">
        <w:t xml:space="preserve"> phenomenon of taking </w:t>
      </w:r>
      <w:r w:rsidR="00592B38" w:rsidRPr="00C356A8">
        <w:t xml:space="preserve">prescription drugs </w:t>
      </w:r>
      <w:proofErr w:type="gramStart"/>
      <w:r w:rsidR="003B7DBF" w:rsidRPr="00C356A8">
        <w:t>for the purpose of</w:t>
      </w:r>
      <w:proofErr w:type="gramEnd"/>
      <w:r w:rsidR="003B7DBF" w:rsidRPr="00C356A8">
        <w:t xml:space="preserve"> improving </w:t>
      </w:r>
      <w:r w:rsidR="0093259D" w:rsidRPr="00C356A8">
        <w:t xml:space="preserve">cognitive </w:t>
      </w:r>
      <w:r w:rsidR="004552A8" w:rsidRPr="00C356A8">
        <w:t>performance</w:t>
      </w:r>
      <w:r w:rsidR="0093259D" w:rsidRPr="00C356A8">
        <w:t xml:space="preserve"> </w:t>
      </w:r>
      <w:r w:rsidR="000426F0" w:rsidRPr="00C356A8">
        <w:t xml:space="preserve">(e.g., alertness, </w:t>
      </w:r>
      <w:r w:rsidR="0093259D" w:rsidRPr="00C356A8">
        <w:t>concentration</w:t>
      </w:r>
      <w:r w:rsidR="000426F0" w:rsidRPr="00C356A8">
        <w:t xml:space="preserve">, </w:t>
      </w:r>
      <w:r w:rsidR="0093259D" w:rsidRPr="00C356A8">
        <w:t>or memory</w:t>
      </w:r>
      <w:r w:rsidR="000426F0" w:rsidRPr="00C356A8">
        <w:t>)</w:t>
      </w:r>
      <w:r w:rsidR="000B2DB6" w:rsidRPr="00C356A8">
        <w:t xml:space="preserve"> has been termed</w:t>
      </w:r>
      <w:r w:rsidR="0093259D" w:rsidRPr="00C356A8">
        <w:t xml:space="preserve"> </w:t>
      </w:r>
      <w:r w:rsidR="009F4D68" w:rsidRPr="00C356A8">
        <w:rPr>
          <w:i/>
        </w:rPr>
        <w:t>pharmacological cognitive enhancement</w:t>
      </w:r>
      <w:r w:rsidR="00501174" w:rsidRPr="00C356A8">
        <w:t xml:space="preserve"> or </w:t>
      </w:r>
      <w:r w:rsidR="00CF1BB0" w:rsidRPr="00C356A8">
        <w:rPr>
          <w:i/>
        </w:rPr>
        <w:t xml:space="preserve">brain </w:t>
      </w:r>
      <w:r w:rsidR="00501174" w:rsidRPr="00C356A8">
        <w:rPr>
          <w:i/>
        </w:rPr>
        <w:t>doping</w:t>
      </w:r>
      <w:r w:rsidR="005B4DBD" w:rsidRPr="00C356A8">
        <w:t xml:space="preserve"> </w:t>
      </w:r>
      <w:r w:rsidR="00B30DD2" w:rsidRPr="00C356A8">
        <w:rPr>
          <w:noProof/>
        </w:rPr>
        <w:t>(</w:t>
      </w:r>
      <w:r w:rsidR="00AF0D3C" w:rsidRPr="00C356A8">
        <w:rPr>
          <w:noProof/>
        </w:rPr>
        <w:t>Partridge, Bell, Lucke, Yeates, &amp; Hall, 2011</w:t>
      </w:r>
      <w:r w:rsidR="00B30DD2" w:rsidRPr="00C356A8">
        <w:rPr>
          <w:noProof/>
        </w:rPr>
        <w:t>)</w:t>
      </w:r>
      <w:r w:rsidR="003B7DBF" w:rsidRPr="00C356A8">
        <w:t>.</w:t>
      </w:r>
      <w:r w:rsidR="00226A56" w:rsidRPr="00C356A8">
        <w:t xml:space="preserve"> </w:t>
      </w:r>
      <w:r w:rsidR="00942362" w:rsidRPr="00C356A8">
        <w:t>F</w:t>
      </w:r>
      <w:r w:rsidR="00CF1BB0" w:rsidRPr="00C356A8">
        <w:t>urther</w:t>
      </w:r>
      <w:r w:rsidR="00942362" w:rsidRPr="00C356A8">
        <w:t>,</w:t>
      </w:r>
      <w:r w:rsidR="00CF1BB0" w:rsidRPr="00C356A8">
        <w:t xml:space="preserve"> evidence </w:t>
      </w:r>
      <w:r w:rsidR="00C50734" w:rsidRPr="00C356A8">
        <w:t xml:space="preserve">indicates that </w:t>
      </w:r>
      <w:r w:rsidR="00172248" w:rsidRPr="00C356A8">
        <w:t xml:space="preserve">university </w:t>
      </w:r>
      <w:r w:rsidR="009454C5" w:rsidRPr="00C356A8">
        <w:t xml:space="preserve">students </w:t>
      </w:r>
      <w:r w:rsidR="00CF1BB0" w:rsidRPr="00C356A8">
        <w:t xml:space="preserve">use </w:t>
      </w:r>
      <w:r w:rsidR="00AF130A" w:rsidRPr="00C356A8">
        <w:t>sedative</w:t>
      </w:r>
      <w:r w:rsidR="00172248" w:rsidRPr="00C356A8">
        <w:t>s</w:t>
      </w:r>
      <w:r w:rsidR="00AF130A" w:rsidRPr="00C356A8">
        <w:t xml:space="preserve"> </w:t>
      </w:r>
      <w:r w:rsidR="00043D50" w:rsidRPr="00C356A8">
        <w:t xml:space="preserve">to improve sleep or relax </w:t>
      </w:r>
      <w:r w:rsidR="00F35748" w:rsidRPr="00C356A8">
        <w:t>after</w:t>
      </w:r>
      <w:r w:rsidR="004869E6" w:rsidRPr="00C356A8">
        <w:t xml:space="preserve"> stressful day</w:t>
      </w:r>
      <w:r w:rsidR="00F35748" w:rsidRPr="00C356A8">
        <w:t>s</w:t>
      </w:r>
      <w:r w:rsidR="00816CFC" w:rsidRPr="00C356A8">
        <w:t>,</w:t>
      </w:r>
      <w:r w:rsidR="00F35748" w:rsidRPr="00C356A8">
        <w:t xml:space="preserve"> </w:t>
      </w:r>
      <w:r w:rsidR="00C66407" w:rsidRPr="00C356A8">
        <w:t xml:space="preserve">thus </w:t>
      </w:r>
      <w:r w:rsidR="00F35748" w:rsidRPr="00C356A8">
        <w:t>aiming to improve</w:t>
      </w:r>
      <w:r w:rsidR="00816CFC" w:rsidRPr="00C356A8">
        <w:t xml:space="preserve"> cognitive </w:t>
      </w:r>
      <w:r w:rsidR="00FA550D" w:rsidRPr="00C356A8">
        <w:t xml:space="preserve">performance </w:t>
      </w:r>
      <w:r w:rsidR="006F5D2F" w:rsidRPr="00C356A8">
        <w:t>the next day</w:t>
      </w:r>
      <w:r w:rsidR="002C0322" w:rsidRPr="00C356A8">
        <w:t>.</w:t>
      </w:r>
      <w:r w:rsidR="00F96296" w:rsidRPr="00C356A8">
        <w:t xml:space="preserve"> </w:t>
      </w:r>
      <w:r w:rsidR="002C0322" w:rsidRPr="00C356A8">
        <w:t>This</w:t>
      </w:r>
      <w:r w:rsidR="00942362" w:rsidRPr="00C356A8">
        <w:t xml:space="preserve"> is </w:t>
      </w:r>
      <w:r w:rsidR="002C0322" w:rsidRPr="00C356A8">
        <w:t xml:space="preserve">also </w:t>
      </w:r>
      <w:r w:rsidR="00942362" w:rsidRPr="00C356A8">
        <w:t xml:space="preserve">referred to as </w:t>
      </w:r>
      <w:r w:rsidR="00942362" w:rsidRPr="00C356A8">
        <w:rPr>
          <w:i/>
        </w:rPr>
        <w:t>indirect cognitive enhancement</w:t>
      </w:r>
      <w:r w:rsidR="00942362" w:rsidRPr="00C356A8">
        <w:t xml:space="preserve"> </w:t>
      </w:r>
      <w:r w:rsidR="00B30DD2" w:rsidRPr="00C356A8">
        <w:rPr>
          <w:noProof/>
        </w:rPr>
        <w:t>(</w:t>
      </w:r>
      <w:r w:rsidR="00AF0D3C" w:rsidRPr="00C356A8">
        <w:rPr>
          <w:noProof/>
        </w:rPr>
        <w:t>Maier, et al., 2013; Maier &amp; Schaub, 2015</w:t>
      </w:r>
      <w:r w:rsidR="00B30DD2" w:rsidRPr="00C356A8">
        <w:rPr>
          <w:noProof/>
        </w:rPr>
        <w:t>)</w:t>
      </w:r>
      <w:r w:rsidR="00E71960" w:rsidRPr="00C356A8">
        <w:t>.</w:t>
      </w:r>
      <w:r w:rsidR="00961A65" w:rsidRPr="00C356A8">
        <w:t xml:space="preserve"> </w:t>
      </w:r>
      <w:r w:rsidR="00412919" w:rsidRPr="00C356A8">
        <w:t>Academic p</w:t>
      </w:r>
      <w:r w:rsidR="00CC742F" w:rsidRPr="00C356A8">
        <w:t>erformance-enhancing drugs and sedatives</w:t>
      </w:r>
      <w:r w:rsidR="00961A65" w:rsidRPr="00C356A8">
        <w:t xml:space="preserve"> </w:t>
      </w:r>
      <w:r w:rsidR="00852C5F" w:rsidRPr="00C356A8">
        <w:t>are often used in combination</w:t>
      </w:r>
      <w:r w:rsidR="00A40F30" w:rsidRPr="00C356A8">
        <w:t xml:space="preserve">: </w:t>
      </w:r>
      <w:r w:rsidR="005419D3" w:rsidRPr="00C356A8">
        <w:t>w</w:t>
      </w:r>
      <w:r w:rsidR="00E308AC" w:rsidRPr="00C356A8">
        <w:t>hile p</w:t>
      </w:r>
      <w:r w:rsidR="00A40F30" w:rsidRPr="00C356A8">
        <w:t>erformance</w:t>
      </w:r>
      <w:r w:rsidRPr="00C356A8">
        <w:t>-</w:t>
      </w:r>
      <w:r w:rsidR="00A40F30" w:rsidRPr="00C356A8">
        <w:t>enhancing drugs are used</w:t>
      </w:r>
      <w:r w:rsidR="004B3F4D" w:rsidRPr="00C356A8">
        <w:t xml:space="preserve"> to achieve the highest possible perfor</w:t>
      </w:r>
      <w:r w:rsidR="00A24D25" w:rsidRPr="00C356A8">
        <w:t xml:space="preserve">mance level during the </w:t>
      </w:r>
      <w:r w:rsidR="0099241A" w:rsidRPr="00C356A8">
        <w:t>day, s</w:t>
      </w:r>
      <w:r w:rsidR="00A40F30" w:rsidRPr="00C356A8">
        <w:t xml:space="preserve">edatives are used </w:t>
      </w:r>
      <w:r w:rsidR="005419D3" w:rsidRPr="00C356A8">
        <w:t xml:space="preserve">to aid relaxation </w:t>
      </w:r>
      <w:r w:rsidR="00B30DD2" w:rsidRPr="00C356A8">
        <w:rPr>
          <w:noProof/>
        </w:rPr>
        <w:t>(</w:t>
      </w:r>
      <w:r w:rsidR="00AF0D3C" w:rsidRPr="00C356A8">
        <w:rPr>
          <w:noProof/>
        </w:rPr>
        <w:t>Maier, et al., 2013</w:t>
      </w:r>
      <w:r w:rsidR="00B30DD2" w:rsidRPr="00C356A8">
        <w:rPr>
          <w:noProof/>
        </w:rPr>
        <w:t>)</w:t>
      </w:r>
      <w:r w:rsidR="00292564" w:rsidRPr="00C356A8">
        <w:t>.</w:t>
      </w:r>
    </w:p>
    <w:p w14:paraId="0C05F130" w14:textId="3A7790D1" w:rsidR="007F7466" w:rsidRPr="00C356A8" w:rsidRDefault="00950AA6" w:rsidP="00DA1C21">
      <w:pPr>
        <w:autoSpaceDE w:val="0"/>
        <w:autoSpaceDN w:val="0"/>
        <w:adjustRightInd w:val="0"/>
        <w:spacing w:line="360" w:lineRule="auto"/>
        <w:jc w:val="both"/>
        <w:rPr>
          <w:lang w:eastAsia="de-DE"/>
        </w:rPr>
      </w:pPr>
      <w:r w:rsidRPr="00C356A8">
        <w:rPr>
          <w:rFonts w:asciiTheme="minorHAnsi" w:hAnsiTheme="minorHAnsi" w:cstheme="minorHAnsi"/>
        </w:rPr>
        <w:t xml:space="preserve">Typically, peers have a significant impact on </w:t>
      </w:r>
      <w:r w:rsidR="007E26A4" w:rsidRPr="00C356A8">
        <w:rPr>
          <w:rFonts w:asciiTheme="minorHAnsi" w:hAnsiTheme="minorHAnsi" w:cstheme="minorHAnsi"/>
        </w:rPr>
        <w:t>young adults</w:t>
      </w:r>
      <w:r w:rsidRPr="00C356A8">
        <w:rPr>
          <w:rFonts w:asciiTheme="minorHAnsi" w:hAnsiTheme="minorHAnsi" w:cstheme="minorHAnsi"/>
        </w:rPr>
        <w:t>’ behavior</w:t>
      </w:r>
      <w:r w:rsidR="007E26A4" w:rsidRPr="00C356A8">
        <w:rPr>
          <w:rFonts w:asciiTheme="minorHAnsi" w:hAnsiTheme="minorHAnsi" w:cstheme="minorHAnsi"/>
        </w:rPr>
        <w:t>s</w:t>
      </w:r>
      <w:r w:rsidRPr="00C356A8">
        <w:rPr>
          <w:rFonts w:asciiTheme="minorHAnsi" w:hAnsiTheme="minorHAnsi" w:cstheme="minorHAnsi"/>
        </w:rPr>
        <w:t xml:space="preserve"> and </w:t>
      </w:r>
      <w:r w:rsidR="004C4047" w:rsidRPr="00C356A8">
        <w:rPr>
          <w:rFonts w:asciiTheme="minorHAnsi" w:hAnsiTheme="minorHAnsi" w:cstheme="minorHAnsi"/>
        </w:rPr>
        <w:t xml:space="preserve">their </w:t>
      </w:r>
      <w:r w:rsidRPr="00C356A8">
        <w:rPr>
          <w:rFonts w:asciiTheme="minorHAnsi" w:hAnsiTheme="minorHAnsi" w:cstheme="minorHAnsi"/>
        </w:rPr>
        <w:t>attitudes</w:t>
      </w:r>
      <w:r w:rsidR="0062677F" w:rsidRPr="00C356A8">
        <w:rPr>
          <w:rFonts w:asciiTheme="minorHAnsi" w:hAnsiTheme="minorHAnsi" w:cstheme="minorHAnsi"/>
        </w:rPr>
        <w:t>,</w:t>
      </w:r>
      <w:r w:rsidR="00566295" w:rsidRPr="00C356A8">
        <w:rPr>
          <w:rFonts w:asciiTheme="minorHAnsi" w:hAnsiTheme="minorHAnsi" w:cstheme="minorHAnsi"/>
        </w:rPr>
        <w:t xml:space="preserve"> and people tend to </w:t>
      </w:r>
      <w:r w:rsidR="00943D2C" w:rsidRPr="00C356A8">
        <w:rPr>
          <w:rFonts w:asciiTheme="minorHAnsi" w:hAnsiTheme="minorHAnsi" w:cstheme="minorHAnsi"/>
        </w:rPr>
        <w:t xml:space="preserve">adapt </w:t>
      </w:r>
      <w:r w:rsidR="004C4047" w:rsidRPr="00C356A8">
        <w:rPr>
          <w:rFonts w:asciiTheme="minorHAnsi" w:hAnsiTheme="minorHAnsi" w:cstheme="minorHAnsi"/>
        </w:rPr>
        <w:t xml:space="preserve">their </w:t>
      </w:r>
      <w:r w:rsidR="003E23DD" w:rsidRPr="00C356A8">
        <w:rPr>
          <w:rFonts w:asciiTheme="minorHAnsi" w:hAnsiTheme="minorHAnsi" w:cstheme="minorHAnsi"/>
        </w:rPr>
        <w:t xml:space="preserve">personal </w:t>
      </w:r>
      <w:r w:rsidR="004C4047" w:rsidRPr="00C356A8">
        <w:rPr>
          <w:rFonts w:asciiTheme="minorHAnsi" w:hAnsiTheme="minorHAnsi" w:cstheme="minorHAnsi"/>
        </w:rPr>
        <w:t>behavior to match that of</w:t>
      </w:r>
      <w:r w:rsidR="00566295" w:rsidRPr="00C356A8">
        <w:rPr>
          <w:rFonts w:asciiTheme="minorHAnsi" w:hAnsiTheme="minorHAnsi" w:cstheme="minorHAnsi"/>
        </w:rPr>
        <w:t xml:space="preserve"> their peers</w:t>
      </w:r>
      <w:r w:rsidR="006F6E6C" w:rsidRPr="00C356A8">
        <w:rPr>
          <w:rFonts w:asciiTheme="minorHAnsi" w:hAnsiTheme="minorHAnsi" w:cstheme="minorHAnsi"/>
        </w:rPr>
        <w:t xml:space="preserve"> </w:t>
      </w:r>
      <w:r w:rsidR="00B30DD2" w:rsidRPr="00C356A8">
        <w:rPr>
          <w:rFonts w:asciiTheme="minorHAnsi" w:hAnsiTheme="minorHAnsi" w:cstheme="minorHAnsi"/>
          <w:noProof/>
        </w:rPr>
        <w:t>(</w:t>
      </w:r>
      <w:r w:rsidR="002737E1" w:rsidRPr="00C356A8">
        <w:rPr>
          <w:rFonts w:asciiTheme="minorHAnsi" w:hAnsiTheme="minorHAnsi" w:cstheme="minorHAnsi"/>
          <w:noProof/>
        </w:rPr>
        <w:t>Borsari &amp; Carey, 2001</w:t>
      </w:r>
      <w:r w:rsidR="00B30DD2" w:rsidRPr="00C356A8">
        <w:rPr>
          <w:rFonts w:asciiTheme="minorHAnsi" w:hAnsiTheme="minorHAnsi" w:cstheme="minorHAnsi"/>
          <w:noProof/>
        </w:rPr>
        <w:t>)</w:t>
      </w:r>
      <w:r w:rsidR="007E26A4" w:rsidRPr="00C356A8">
        <w:rPr>
          <w:rFonts w:asciiTheme="minorHAnsi" w:hAnsiTheme="minorHAnsi" w:cstheme="minorHAnsi"/>
        </w:rPr>
        <w:t xml:space="preserve">. </w:t>
      </w:r>
      <w:r w:rsidR="00566295" w:rsidRPr="00C356A8">
        <w:rPr>
          <w:rFonts w:asciiTheme="minorHAnsi" w:hAnsiTheme="minorHAnsi" w:cstheme="minorHAnsi"/>
        </w:rPr>
        <w:t>However, a</w:t>
      </w:r>
      <w:r w:rsidRPr="00C356A8">
        <w:rPr>
          <w:rFonts w:asciiTheme="minorHAnsi" w:hAnsiTheme="minorHAnsi" w:cstheme="minorHAnsi"/>
        </w:rPr>
        <w:t xml:space="preserve"> growing body of evidence </w:t>
      </w:r>
      <w:r w:rsidR="00F35748" w:rsidRPr="00C356A8">
        <w:rPr>
          <w:rFonts w:asciiTheme="minorHAnsi" w:hAnsiTheme="minorHAnsi" w:cstheme="minorHAnsi"/>
        </w:rPr>
        <w:t>indi</w:t>
      </w:r>
      <w:r w:rsidR="00C6280B" w:rsidRPr="00C356A8">
        <w:rPr>
          <w:rFonts w:asciiTheme="minorHAnsi" w:hAnsiTheme="minorHAnsi" w:cstheme="minorHAnsi"/>
        </w:rPr>
        <w:t>cates</w:t>
      </w:r>
      <w:r w:rsidR="007E26A4" w:rsidRPr="00C356A8">
        <w:rPr>
          <w:rFonts w:asciiTheme="minorHAnsi" w:hAnsiTheme="minorHAnsi" w:cstheme="minorHAnsi"/>
        </w:rPr>
        <w:t xml:space="preserve"> </w:t>
      </w:r>
      <w:r w:rsidR="00DF5C45" w:rsidRPr="00C356A8">
        <w:rPr>
          <w:rFonts w:asciiTheme="minorHAnsi" w:hAnsiTheme="minorHAnsi" w:cstheme="minorHAnsi"/>
        </w:rPr>
        <w:t xml:space="preserve">that </w:t>
      </w:r>
      <w:r w:rsidR="001474C5" w:rsidRPr="00C356A8">
        <w:rPr>
          <w:rFonts w:asciiTheme="minorHAnsi" w:hAnsiTheme="minorHAnsi" w:cstheme="minorHAnsi"/>
        </w:rPr>
        <w:t>young people’s</w:t>
      </w:r>
      <w:r w:rsidR="007E26A4" w:rsidRPr="00C356A8">
        <w:rPr>
          <w:rFonts w:asciiTheme="minorHAnsi" w:hAnsiTheme="minorHAnsi" w:cstheme="minorHAnsi"/>
        </w:rPr>
        <w:t xml:space="preserve"> </w:t>
      </w:r>
      <w:r w:rsidR="00837C22" w:rsidRPr="00C356A8">
        <w:rPr>
          <w:rFonts w:asciiTheme="minorHAnsi" w:hAnsiTheme="minorHAnsi" w:cstheme="minorHAnsi"/>
        </w:rPr>
        <w:t>percepti</w:t>
      </w:r>
      <w:r w:rsidR="003A57E4" w:rsidRPr="00C356A8">
        <w:rPr>
          <w:rFonts w:asciiTheme="minorHAnsi" w:hAnsiTheme="minorHAnsi" w:cstheme="minorHAnsi"/>
        </w:rPr>
        <w:t>ons</w:t>
      </w:r>
      <w:r w:rsidR="00837C22" w:rsidRPr="00C356A8">
        <w:rPr>
          <w:rFonts w:asciiTheme="minorHAnsi" w:hAnsiTheme="minorHAnsi" w:cstheme="minorHAnsi"/>
        </w:rPr>
        <w:t xml:space="preserve"> of </w:t>
      </w:r>
      <w:r w:rsidR="000C56B4" w:rsidRPr="00C356A8">
        <w:rPr>
          <w:rFonts w:asciiTheme="minorHAnsi" w:hAnsiTheme="minorHAnsi" w:cstheme="minorHAnsi"/>
        </w:rPr>
        <w:t xml:space="preserve">their </w:t>
      </w:r>
      <w:r w:rsidR="00837C22" w:rsidRPr="00C356A8">
        <w:rPr>
          <w:rFonts w:asciiTheme="minorHAnsi" w:hAnsiTheme="minorHAnsi" w:cstheme="minorHAnsi"/>
        </w:rPr>
        <w:t>peer</w:t>
      </w:r>
      <w:r w:rsidR="003A57E4" w:rsidRPr="00C356A8">
        <w:rPr>
          <w:rFonts w:asciiTheme="minorHAnsi" w:hAnsiTheme="minorHAnsi" w:cstheme="minorHAnsi"/>
        </w:rPr>
        <w:t>s</w:t>
      </w:r>
      <w:r w:rsidR="00744DB6" w:rsidRPr="00C356A8">
        <w:rPr>
          <w:rFonts w:asciiTheme="minorHAnsi" w:hAnsiTheme="minorHAnsi" w:cstheme="minorHAnsi"/>
        </w:rPr>
        <w:t>’</w:t>
      </w:r>
      <w:r w:rsidR="003A57E4" w:rsidRPr="00C356A8">
        <w:rPr>
          <w:rFonts w:asciiTheme="minorHAnsi" w:hAnsiTheme="minorHAnsi" w:cstheme="minorHAnsi"/>
        </w:rPr>
        <w:t xml:space="preserve"> behavior</w:t>
      </w:r>
      <w:r w:rsidR="00DF5C45" w:rsidRPr="00C356A8">
        <w:rPr>
          <w:rFonts w:asciiTheme="minorHAnsi" w:hAnsiTheme="minorHAnsi" w:cstheme="minorHAnsi"/>
        </w:rPr>
        <w:t>s</w:t>
      </w:r>
      <w:r w:rsidR="002F71B8" w:rsidRPr="00C356A8">
        <w:rPr>
          <w:rFonts w:asciiTheme="minorHAnsi" w:hAnsiTheme="minorHAnsi" w:cstheme="minorHAnsi"/>
        </w:rPr>
        <w:t xml:space="preserve"> (</w:t>
      </w:r>
      <w:r w:rsidR="002F71B8" w:rsidRPr="00C356A8">
        <w:rPr>
          <w:rFonts w:asciiTheme="minorHAnsi" w:hAnsiTheme="minorHAnsi" w:cstheme="minorHAnsi"/>
          <w:i/>
        </w:rPr>
        <w:t>descriptive norms</w:t>
      </w:r>
      <w:r w:rsidR="002F71B8" w:rsidRPr="00C356A8">
        <w:rPr>
          <w:rFonts w:asciiTheme="minorHAnsi" w:hAnsiTheme="minorHAnsi" w:cstheme="minorHAnsi"/>
        </w:rPr>
        <w:t>)</w:t>
      </w:r>
      <w:r w:rsidR="00DF5C45" w:rsidRPr="00C356A8">
        <w:rPr>
          <w:rFonts w:asciiTheme="minorHAnsi" w:hAnsiTheme="minorHAnsi" w:cstheme="minorHAnsi"/>
        </w:rPr>
        <w:t xml:space="preserve"> and </w:t>
      </w:r>
      <w:r w:rsidR="00A415DF" w:rsidRPr="00C356A8">
        <w:rPr>
          <w:rFonts w:asciiTheme="minorHAnsi" w:hAnsiTheme="minorHAnsi" w:cstheme="minorHAnsi"/>
        </w:rPr>
        <w:t>attitudes towards</w:t>
      </w:r>
      <w:r w:rsidR="009110EE" w:rsidRPr="00C356A8">
        <w:rPr>
          <w:rFonts w:asciiTheme="minorHAnsi" w:hAnsiTheme="minorHAnsi" w:cstheme="minorHAnsi"/>
        </w:rPr>
        <w:t xml:space="preserve"> behaviors</w:t>
      </w:r>
      <w:r w:rsidR="002F71B8" w:rsidRPr="00C356A8">
        <w:rPr>
          <w:rFonts w:asciiTheme="minorHAnsi" w:hAnsiTheme="minorHAnsi" w:cstheme="minorHAnsi"/>
        </w:rPr>
        <w:t xml:space="preserve"> (</w:t>
      </w:r>
      <w:r w:rsidR="002F71B8" w:rsidRPr="00C356A8">
        <w:rPr>
          <w:rFonts w:asciiTheme="minorHAnsi" w:hAnsiTheme="minorHAnsi" w:cstheme="minorHAnsi"/>
          <w:i/>
        </w:rPr>
        <w:t>injunctive norms</w:t>
      </w:r>
      <w:r w:rsidR="002F71B8" w:rsidRPr="00C356A8">
        <w:rPr>
          <w:rFonts w:asciiTheme="minorHAnsi" w:hAnsiTheme="minorHAnsi" w:cstheme="minorHAnsi"/>
        </w:rPr>
        <w:t>)</w:t>
      </w:r>
      <w:r w:rsidR="009110EE" w:rsidRPr="00C356A8">
        <w:rPr>
          <w:rFonts w:asciiTheme="minorHAnsi" w:hAnsiTheme="minorHAnsi" w:cstheme="minorHAnsi"/>
        </w:rPr>
        <w:t xml:space="preserve"> </w:t>
      </w:r>
      <w:r w:rsidR="00DF5C45" w:rsidRPr="00C356A8">
        <w:rPr>
          <w:rFonts w:asciiTheme="minorHAnsi" w:hAnsiTheme="minorHAnsi" w:cstheme="minorHAnsi"/>
        </w:rPr>
        <w:t>are often inaccurate</w:t>
      </w:r>
      <w:r w:rsidR="003A02F2" w:rsidRPr="00C356A8">
        <w:rPr>
          <w:rFonts w:asciiTheme="minorHAnsi" w:hAnsiTheme="minorHAnsi" w:cstheme="minorHAnsi"/>
        </w:rPr>
        <w:t xml:space="preserve"> </w:t>
      </w:r>
      <w:r w:rsidR="00B30DD2" w:rsidRPr="00C356A8">
        <w:rPr>
          <w:rFonts w:asciiTheme="minorHAnsi" w:hAnsiTheme="minorHAnsi" w:cstheme="minorHAnsi"/>
          <w:noProof/>
        </w:rPr>
        <w:t>(</w:t>
      </w:r>
      <w:r w:rsidR="002737E1" w:rsidRPr="00C356A8">
        <w:rPr>
          <w:rFonts w:asciiTheme="minorHAnsi" w:hAnsiTheme="minorHAnsi" w:cstheme="minorHAnsi"/>
          <w:noProof/>
        </w:rPr>
        <w:t>Berkowitz, 2005; Perkins, 2003</w:t>
      </w:r>
      <w:r w:rsidR="00B30DD2" w:rsidRPr="00C356A8">
        <w:rPr>
          <w:rFonts w:asciiTheme="minorHAnsi" w:hAnsiTheme="minorHAnsi" w:cstheme="minorHAnsi"/>
          <w:noProof/>
        </w:rPr>
        <w:t>)</w:t>
      </w:r>
      <w:r w:rsidR="00837C22" w:rsidRPr="00C356A8">
        <w:rPr>
          <w:rFonts w:asciiTheme="minorHAnsi" w:hAnsiTheme="minorHAnsi" w:cstheme="minorHAnsi"/>
        </w:rPr>
        <w:t xml:space="preserve">. </w:t>
      </w:r>
      <w:r w:rsidR="00CC742F" w:rsidRPr="00C356A8">
        <w:rPr>
          <w:rFonts w:asciiTheme="minorHAnsi" w:hAnsiTheme="minorHAnsi" w:cstheme="minorHAnsi"/>
        </w:rPr>
        <w:t>U</w:t>
      </w:r>
      <w:r w:rsidR="00D14631" w:rsidRPr="00C356A8">
        <w:rPr>
          <w:rFonts w:asciiTheme="minorHAnsi" w:hAnsiTheme="minorHAnsi" w:cstheme="minorHAnsi"/>
        </w:rPr>
        <w:t>niversity students</w:t>
      </w:r>
      <w:r w:rsidR="0001606C" w:rsidRPr="00C356A8">
        <w:rPr>
          <w:rFonts w:asciiTheme="minorHAnsi" w:hAnsiTheme="minorHAnsi" w:cstheme="minorHAnsi"/>
        </w:rPr>
        <w:t xml:space="preserve"> tend to falsely believe that their peers behave </w:t>
      </w:r>
      <w:r w:rsidR="009110EE" w:rsidRPr="00C356A8">
        <w:rPr>
          <w:rFonts w:asciiTheme="minorHAnsi" w:hAnsiTheme="minorHAnsi" w:cstheme="minorHAnsi"/>
        </w:rPr>
        <w:t xml:space="preserve">or approve </w:t>
      </w:r>
      <w:r w:rsidR="00943D2C" w:rsidRPr="00C356A8">
        <w:rPr>
          <w:rFonts w:asciiTheme="minorHAnsi" w:hAnsiTheme="minorHAnsi" w:cstheme="minorHAnsi"/>
        </w:rPr>
        <w:t xml:space="preserve">of </w:t>
      </w:r>
      <w:r w:rsidR="009110EE" w:rsidRPr="00C356A8">
        <w:rPr>
          <w:rFonts w:asciiTheme="minorHAnsi" w:hAnsiTheme="minorHAnsi" w:cstheme="minorHAnsi"/>
        </w:rPr>
        <w:t xml:space="preserve">behaviors </w:t>
      </w:r>
      <w:r w:rsidR="0001606C" w:rsidRPr="00C356A8">
        <w:rPr>
          <w:rFonts w:asciiTheme="minorHAnsi" w:hAnsiTheme="minorHAnsi" w:cstheme="minorHAnsi"/>
        </w:rPr>
        <w:t>differently from actual prevailing</w:t>
      </w:r>
      <w:r w:rsidR="009110EE" w:rsidRPr="00C356A8">
        <w:rPr>
          <w:rFonts w:asciiTheme="minorHAnsi" w:hAnsiTheme="minorHAnsi" w:cstheme="minorHAnsi"/>
        </w:rPr>
        <w:t xml:space="preserve"> norms (</w:t>
      </w:r>
      <w:r w:rsidR="009110EE" w:rsidRPr="00C356A8">
        <w:rPr>
          <w:rFonts w:asciiTheme="minorHAnsi" w:hAnsiTheme="minorHAnsi" w:cstheme="minorHAnsi"/>
          <w:i/>
        </w:rPr>
        <w:t>misperceptions</w:t>
      </w:r>
      <w:r w:rsidR="009110EE" w:rsidRPr="00C356A8">
        <w:rPr>
          <w:rFonts w:asciiTheme="minorHAnsi" w:hAnsiTheme="minorHAnsi" w:cstheme="minorHAnsi"/>
        </w:rPr>
        <w:t xml:space="preserve">) </w:t>
      </w:r>
      <w:r w:rsidR="00B30DD2" w:rsidRPr="00C356A8">
        <w:rPr>
          <w:rFonts w:asciiTheme="minorHAnsi" w:hAnsiTheme="minorHAnsi" w:cstheme="minorHAnsi"/>
          <w:noProof/>
        </w:rPr>
        <w:t>(</w:t>
      </w:r>
      <w:r w:rsidR="002737E1" w:rsidRPr="00C356A8">
        <w:rPr>
          <w:rFonts w:asciiTheme="minorHAnsi" w:hAnsiTheme="minorHAnsi" w:cstheme="minorHAnsi"/>
          <w:noProof/>
        </w:rPr>
        <w:t>Berkowitz, 2005; Perkins, 2003</w:t>
      </w:r>
      <w:r w:rsidR="00B30DD2" w:rsidRPr="00C356A8">
        <w:rPr>
          <w:rFonts w:asciiTheme="minorHAnsi" w:hAnsiTheme="minorHAnsi" w:cstheme="minorHAnsi"/>
          <w:noProof/>
        </w:rPr>
        <w:t>)</w:t>
      </w:r>
      <w:r w:rsidR="00F35748" w:rsidRPr="00C356A8">
        <w:rPr>
          <w:rFonts w:asciiTheme="minorHAnsi" w:hAnsiTheme="minorHAnsi" w:cstheme="minorHAnsi"/>
        </w:rPr>
        <w:t>,</w:t>
      </w:r>
      <w:r w:rsidR="009110EE" w:rsidRPr="00C356A8">
        <w:rPr>
          <w:rFonts w:asciiTheme="minorHAnsi" w:hAnsiTheme="minorHAnsi" w:cstheme="minorHAnsi"/>
        </w:rPr>
        <w:t xml:space="preserve"> </w:t>
      </w:r>
      <w:r w:rsidR="00CA3331" w:rsidRPr="00C356A8">
        <w:rPr>
          <w:rFonts w:asciiTheme="minorHAnsi" w:hAnsiTheme="minorHAnsi" w:cstheme="minorHAnsi"/>
        </w:rPr>
        <w:t>and</w:t>
      </w:r>
      <w:r w:rsidR="009110EE" w:rsidRPr="00C356A8">
        <w:rPr>
          <w:rFonts w:asciiTheme="minorHAnsi" w:hAnsiTheme="minorHAnsi" w:cstheme="minorHAnsi"/>
        </w:rPr>
        <w:t xml:space="preserve"> from the</w:t>
      </w:r>
      <w:r w:rsidR="002F71B8" w:rsidRPr="00C356A8">
        <w:rPr>
          <w:rFonts w:asciiTheme="minorHAnsi" w:hAnsiTheme="minorHAnsi" w:cstheme="minorHAnsi"/>
        </w:rPr>
        <w:t>ir</w:t>
      </w:r>
      <w:r w:rsidR="009110EE" w:rsidRPr="00C356A8">
        <w:rPr>
          <w:rFonts w:asciiTheme="minorHAnsi" w:hAnsiTheme="minorHAnsi" w:cstheme="minorHAnsi"/>
        </w:rPr>
        <w:t xml:space="preserve"> </w:t>
      </w:r>
      <w:r w:rsidR="00B03852" w:rsidRPr="00C356A8">
        <w:rPr>
          <w:rFonts w:asciiTheme="minorHAnsi" w:hAnsiTheme="minorHAnsi" w:cstheme="minorHAnsi"/>
        </w:rPr>
        <w:t xml:space="preserve">personal </w:t>
      </w:r>
      <w:r w:rsidR="009110EE" w:rsidRPr="00C356A8">
        <w:rPr>
          <w:rFonts w:asciiTheme="minorHAnsi" w:hAnsiTheme="minorHAnsi" w:cstheme="minorHAnsi"/>
        </w:rPr>
        <w:t xml:space="preserve">behavior and </w:t>
      </w:r>
      <w:r w:rsidR="007C4F13" w:rsidRPr="00C356A8">
        <w:rPr>
          <w:rFonts w:asciiTheme="minorHAnsi" w:hAnsiTheme="minorHAnsi" w:cstheme="minorHAnsi"/>
        </w:rPr>
        <w:t>approval of behavior</w:t>
      </w:r>
      <w:r w:rsidR="009110EE" w:rsidRPr="00C356A8">
        <w:rPr>
          <w:rFonts w:asciiTheme="minorHAnsi" w:hAnsiTheme="minorHAnsi" w:cstheme="minorHAnsi"/>
        </w:rPr>
        <w:t xml:space="preserve"> (</w:t>
      </w:r>
      <w:r w:rsidR="009110EE" w:rsidRPr="00C356A8">
        <w:rPr>
          <w:rFonts w:asciiTheme="minorHAnsi" w:hAnsiTheme="minorHAnsi" w:cstheme="minorHAnsi"/>
          <w:i/>
        </w:rPr>
        <w:t>self-other discrepancies</w:t>
      </w:r>
      <w:r w:rsidR="009110EE" w:rsidRPr="00C356A8">
        <w:rPr>
          <w:rFonts w:asciiTheme="minorHAnsi" w:hAnsiTheme="minorHAnsi" w:cstheme="minorHAnsi"/>
        </w:rPr>
        <w:t xml:space="preserve">) </w:t>
      </w:r>
      <w:r w:rsidR="00B30DD2" w:rsidRPr="00C356A8">
        <w:rPr>
          <w:rFonts w:asciiTheme="minorHAnsi" w:hAnsiTheme="minorHAnsi" w:cstheme="minorHAnsi"/>
          <w:noProof/>
        </w:rPr>
        <w:t>(</w:t>
      </w:r>
      <w:r w:rsidR="002737E1" w:rsidRPr="00C356A8">
        <w:rPr>
          <w:rFonts w:asciiTheme="minorHAnsi" w:hAnsiTheme="minorHAnsi" w:cstheme="minorHAnsi"/>
          <w:noProof/>
        </w:rPr>
        <w:t>Borsari &amp; Carey, 2001</w:t>
      </w:r>
      <w:r w:rsidR="00B30DD2" w:rsidRPr="00C356A8">
        <w:rPr>
          <w:rFonts w:asciiTheme="minorHAnsi" w:hAnsiTheme="minorHAnsi" w:cstheme="minorHAnsi"/>
          <w:noProof/>
        </w:rPr>
        <w:t>)</w:t>
      </w:r>
      <w:r w:rsidR="002F71B8" w:rsidRPr="00C356A8">
        <w:rPr>
          <w:rFonts w:asciiTheme="minorHAnsi" w:hAnsiTheme="minorHAnsi" w:cstheme="minorHAnsi"/>
        </w:rPr>
        <w:t xml:space="preserve">. </w:t>
      </w:r>
      <w:r w:rsidR="00CC742F" w:rsidRPr="00C356A8">
        <w:rPr>
          <w:rFonts w:asciiTheme="minorHAnsi" w:hAnsiTheme="minorHAnsi" w:cstheme="minorHAnsi"/>
        </w:rPr>
        <w:t>Y</w:t>
      </w:r>
      <w:r w:rsidR="00566295" w:rsidRPr="00C356A8">
        <w:rPr>
          <w:rFonts w:asciiTheme="minorHAnsi" w:hAnsiTheme="minorHAnsi" w:cstheme="minorHAnsi"/>
        </w:rPr>
        <w:t>oung people</w:t>
      </w:r>
      <w:r w:rsidR="00CC742F" w:rsidRPr="00C356A8">
        <w:rPr>
          <w:rFonts w:asciiTheme="minorHAnsi" w:hAnsiTheme="minorHAnsi" w:cstheme="minorHAnsi"/>
        </w:rPr>
        <w:t xml:space="preserve"> generally</w:t>
      </w:r>
      <w:r w:rsidR="00566295" w:rsidRPr="00C356A8">
        <w:rPr>
          <w:rFonts w:asciiTheme="minorHAnsi" w:hAnsiTheme="minorHAnsi" w:cstheme="minorHAnsi"/>
        </w:rPr>
        <w:t xml:space="preserve"> overestimate </w:t>
      </w:r>
      <w:r w:rsidR="00BE4A89" w:rsidRPr="00C356A8">
        <w:rPr>
          <w:rFonts w:asciiTheme="minorHAnsi" w:hAnsiTheme="minorHAnsi" w:cstheme="minorHAnsi"/>
        </w:rPr>
        <w:t>how riskily their peers behave</w:t>
      </w:r>
      <w:r w:rsidR="00566295" w:rsidRPr="00C356A8">
        <w:rPr>
          <w:rFonts w:asciiTheme="minorHAnsi" w:hAnsiTheme="minorHAnsi" w:cstheme="minorHAnsi"/>
        </w:rPr>
        <w:t xml:space="preserve">. </w:t>
      </w:r>
      <w:r w:rsidR="00DA1C21" w:rsidRPr="00C356A8">
        <w:rPr>
          <w:rFonts w:asciiTheme="minorHAnsi" w:hAnsiTheme="minorHAnsi" w:cstheme="minorHAnsi"/>
        </w:rPr>
        <w:t>T</w:t>
      </w:r>
      <w:r w:rsidR="00566295" w:rsidRPr="00C356A8">
        <w:rPr>
          <w:rFonts w:asciiTheme="minorHAnsi" w:hAnsiTheme="minorHAnsi" w:cstheme="minorHAnsi"/>
        </w:rPr>
        <w:t xml:space="preserve">hese </w:t>
      </w:r>
      <w:r w:rsidR="00BE4A89" w:rsidRPr="00C356A8">
        <w:rPr>
          <w:rFonts w:asciiTheme="minorHAnsi" w:hAnsiTheme="minorHAnsi" w:cstheme="minorHAnsi"/>
        </w:rPr>
        <w:t>mis</w:t>
      </w:r>
      <w:r w:rsidR="007C4F13" w:rsidRPr="00C356A8">
        <w:rPr>
          <w:rFonts w:asciiTheme="minorHAnsi" w:hAnsiTheme="minorHAnsi" w:cstheme="minorHAnsi"/>
        </w:rPr>
        <w:t xml:space="preserve">perceptions of </w:t>
      </w:r>
      <w:r w:rsidR="0013110A" w:rsidRPr="00C356A8">
        <w:rPr>
          <w:rFonts w:asciiTheme="minorHAnsi" w:hAnsiTheme="minorHAnsi" w:cstheme="minorHAnsi"/>
        </w:rPr>
        <w:t>other’s behavior or</w:t>
      </w:r>
      <w:r w:rsidR="007C4F13" w:rsidRPr="00C356A8">
        <w:rPr>
          <w:rFonts w:asciiTheme="minorHAnsi" w:hAnsiTheme="minorHAnsi" w:cstheme="minorHAnsi"/>
        </w:rPr>
        <w:t xml:space="preserve"> </w:t>
      </w:r>
      <w:r w:rsidR="00A415DF" w:rsidRPr="00C356A8">
        <w:rPr>
          <w:rFonts w:asciiTheme="minorHAnsi" w:hAnsiTheme="minorHAnsi" w:cstheme="minorHAnsi"/>
        </w:rPr>
        <w:t>attitude</w:t>
      </w:r>
      <w:r w:rsidR="00CB29FE" w:rsidRPr="00C356A8">
        <w:rPr>
          <w:rFonts w:asciiTheme="minorHAnsi" w:hAnsiTheme="minorHAnsi" w:cstheme="minorHAnsi"/>
        </w:rPr>
        <w:t>s</w:t>
      </w:r>
      <w:r w:rsidR="00A415DF" w:rsidRPr="00C356A8">
        <w:rPr>
          <w:rFonts w:asciiTheme="minorHAnsi" w:hAnsiTheme="minorHAnsi" w:cstheme="minorHAnsi"/>
        </w:rPr>
        <w:t xml:space="preserve"> towards</w:t>
      </w:r>
      <w:r w:rsidR="007C4F13" w:rsidRPr="00C356A8">
        <w:rPr>
          <w:rFonts w:asciiTheme="minorHAnsi" w:hAnsiTheme="minorHAnsi" w:cstheme="minorHAnsi"/>
        </w:rPr>
        <w:t xml:space="preserve"> behav</w:t>
      </w:r>
      <w:r w:rsidR="00566295" w:rsidRPr="00C356A8">
        <w:rPr>
          <w:rFonts w:asciiTheme="minorHAnsi" w:hAnsiTheme="minorHAnsi" w:cstheme="minorHAnsi"/>
        </w:rPr>
        <w:t xml:space="preserve">ior represent the basis for the adaptation of personal </w:t>
      </w:r>
      <w:r w:rsidR="007C4F13" w:rsidRPr="00C356A8">
        <w:rPr>
          <w:rFonts w:asciiTheme="minorHAnsi" w:hAnsiTheme="minorHAnsi" w:cstheme="minorHAnsi"/>
        </w:rPr>
        <w:t>beh</w:t>
      </w:r>
      <w:r w:rsidR="001479CE" w:rsidRPr="00C356A8">
        <w:rPr>
          <w:rFonts w:asciiTheme="minorHAnsi" w:hAnsiTheme="minorHAnsi" w:cstheme="minorHAnsi"/>
        </w:rPr>
        <w:t xml:space="preserve">avior and </w:t>
      </w:r>
      <w:r w:rsidR="00A415DF" w:rsidRPr="00C356A8">
        <w:rPr>
          <w:rFonts w:asciiTheme="minorHAnsi" w:hAnsiTheme="minorHAnsi" w:cstheme="minorHAnsi"/>
        </w:rPr>
        <w:t>attitude towards</w:t>
      </w:r>
      <w:r w:rsidR="001479CE" w:rsidRPr="00C356A8">
        <w:rPr>
          <w:rFonts w:asciiTheme="minorHAnsi" w:hAnsiTheme="minorHAnsi" w:cstheme="minorHAnsi"/>
        </w:rPr>
        <w:t xml:space="preserve"> </w:t>
      </w:r>
      <w:r w:rsidR="00CB29FE" w:rsidRPr="00C356A8">
        <w:rPr>
          <w:rFonts w:asciiTheme="minorHAnsi" w:hAnsiTheme="minorHAnsi" w:cstheme="minorHAnsi"/>
        </w:rPr>
        <w:t xml:space="preserve">the perceived </w:t>
      </w:r>
      <w:r w:rsidR="00BE61A9" w:rsidRPr="00C356A8">
        <w:rPr>
          <w:rFonts w:asciiTheme="minorHAnsi" w:hAnsiTheme="minorHAnsi" w:cstheme="minorHAnsi"/>
        </w:rPr>
        <w:t>norm</w:t>
      </w:r>
      <w:r w:rsidR="001479CE" w:rsidRPr="00C356A8">
        <w:rPr>
          <w:rFonts w:asciiTheme="minorHAnsi" w:hAnsiTheme="minorHAnsi" w:cstheme="minorHAnsi"/>
        </w:rPr>
        <w:t xml:space="preserve"> </w:t>
      </w:r>
      <w:r w:rsidR="00B30DD2" w:rsidRPr="00C356A8">
        <w:rPr>
          <w:rFonts w:asciiTheme="minorHAnsi" w:hAnsiTheme="minorHAnsi" w:cstheme="minorHAnsi"/>
          <w:noProof/>
        </w:rPr>
        <w:t>(</w:t>
      </w:r>
      <w:r w:rsidR="002737E1" w:rsidRPr="00C356A8">
        <w:rPr>
          <w:rFonts w:asciiTheme="minorHAnsi" w:hAnsiTheme="minorHAnsi" w:cstheme="minorHAnsi"/>
          <w:noProof/>
        </w:rPr>
        <w:t>Berkowitz, 2005</w:t>
      </w:r>
      <w:r w:rsidR="00B30DD2" w:rsidRPr="00C356A8">
        <w:rPr>
          <w:rFonts w:asciiTheme="minorHAnsi" w:hAnsiTheme="minorHAnsi" w:cstheme="minorHAnsi"/>
          <w:noProof/>
        </w:rPr>
        <w:t>)</w:t>
      </w:r>
      <w:r w:rsidR="007C4F13" w:rsidRPr="00C356A8">
        <w:rPr>
          <w:rFonts w:asciiTheme="minorHAnsi" w:hAnsiTheme="minorHAnsi" w:cstheme="minorHAnsi"/>
        </w:rPr>
        <w:t xml:space="preserve">. </w:t>
      </w:r>
      <w:r w:rsidR="00943D2C" w:rsidRPr="00C356A8">
        <w:rPr>
          <w:rFonts w:asciiTheme="minorHAnsi" w:hAnsiTheme="minorHAnsi" w:cstheme="minorHAnsi"/>
        </w:rPr>
        <w:t>Most</w:t>
      </w:r>
      <w:r w:rsidR="0013110A" w:rsidRPr="00C356A8">
        <w:rPr>
          <w:rFonts w:asciiTheme="minorHAnsi" w:hAnsiTheme="minorHAnsi" w:cstheme="minorHAnsi"/>
        </w:rPr>
        <w:t xml:space="preserve"> research on </w:t>
      </w:r>
      <w:r w:rsidR="00BE61A9" w:rsidRPr="00C356A8">
        <w:rPr>
          <w:rFonts w:asciiTheme="minorHAnsi" w:hAnsiTheme="minorHAnsi" w:cstheme="minorHAnsi"/>
        </w:rPr>
        <w:t>mis</w:t>
      </w:r>
      <w:r w:rsidR="0013110A" w:rsidRPr="00C356A8">
        <w:rPr>
          <w:rFonts w:asciiTheme="minorHAnsi" w:hAnsiTheme="minorHAnsi" w:cstheme="minorHAnsi"/>
        </w:rPr>
        <w:t>perceptions</w:t>
      </w:r>
      <w:r w:rsidR="00CD3681" w:rsidRPr="00C356A8">
        <w:rPr>
          <w:rFonts w:asciiTheme="minorHAnsi" w:hAnsiTheme="minorHAnsi" w:cstheme="minorHAnsi"/>
        </w:rPr>
        <w:t xml:space="preserve"> </w:t>
      </w:r>
      <w:r w:rsidR="00477A70" w:rsidRPr="00C356A8">
        <w:rPr>
          <w:rFonts w:asciiTheme="minorHAnsi" w:hAnsiTheme="minorHAnsi" w:cstheme="minorHAnsi"/>
        </w:rPr>
        <w:t>o</w:t>
      </w:r>
      <w:r w:rsidR="0013110A" w:rsidRPr="00C356A8">
        <w:rPr>
          <w:rFonts w:asciiTheme="minorHAnsi" w:hAnsiTheme="minorHAnsi" w:cstheme="minorHAnsi"/>
        </w:rPr>
        <w:t>f health-related behavio</w:t>
      </w:r>
      <w:r w:rsidR="007B7595" w:rsidRPr="00C356A8">
        <w:rPr>
          <w:rFonts w:asciiTheme="minorHAnsi" w:hAnsiTheme="minorHAnsi" w:cstheme="minorHAnsi"/>
        </w:rPr>
        <w:t xml:space="preserve">rs among </w:t>
      </w:r>
      <w:r w:rsidR="00DF4C20" w:rsidRPr="00C356A8">
        <w:rPr>
          <w:rFonts w:asciiTheme="minorHAnsi" w:hAnsiTheme="minorHAnsi" w:cstheme="minorHAnsi"/>
        </w:rPr>
        <w:t xml:space="preserve">university </w:t>
      </w:r>
      <w:r w:rsidR="00D84B6F" w:rsidRPr="00C356A8">
        <w:rPr>
          <w:rFonts w:asciiTheme="minorHAnsi" w:hAnsiTheme="minorHAnsi" w:cstheme="minorHAnsi"/>
        </w:rPr>
        <w:t>student</w:t>
      </w:r>
      <w:r w:rsidR="00F35748" w:rsidRPr="00C356A8">
        <w:rPr>
          <w:rFonts w:asciiTheme="minorHAnsi" w:hAnsiTheme="minorHAnsi" w:cstheme="minorHAnsi"/>
        </w:rPr>
        <w:t>s originate</w:t>
      </w:r>
      <w:r w:rsidR="00BE61A9" w:rsidRPr="00C356A8">
        <w:rPr>
          <w:rFonts w:asciiTheme="minorHAnsi" w:hAnsiTheme="minorHAnsi" w:cstheme="minorHAnsi"/>
        </w:rPr>
        <w:t>d</w:t>
      </w:r>
      <w:r w:rsidR="00F35748" w:rsidRPr="00C356A8">
        <w:rPr>
          <w:rFonts w:asciiTheme="minorHAnsi" w:hAnsiTheme="minorHAnsi" w:cstheme="minorHAnsi"/>
        </w:rPr>
        <w:t xml:space="preserve"> </w:t>
      </w:r>
      <w:r w:rsidR="00BE61A9" w:rsidRPr="00C356A8">
        <w:rPr>
          <w:rFonts w:asciiTheme="minorHAnsi" w:hAnsiTheme="minorHAnsi" w:cstheme="minorHAnsi"/>
        </w:rPr>
        <w:t>in</w:t>
      </w:r>
      <w:r w:rsidR="00F35748" w:rsidRPr="00C356A8">
        <w:rPr>
          <w:rFonts w:asciiTheme="minorHAnsi" w:hAnsiTheme="minorHAnsi" w:cstheme="minorHAnsi"/>
        </w:rPr>
        <w:t xml:space="preserve"> the U</w:t>
      </w:r>
      <w:r w:rsidR="00BE61A9" w:rsidRPr="00C356A8">
        <w:rPr>
          <w:rFonts w:asciiTheme="minorHAnsi" w:hAnsiTheme="minorHAnsi" w:cstheme="minorHAnsi"/>
        </w:rPr>
        <w:t>.</w:t>
      </w:r>
      <w:r w:rsidR="00F35748" w:rsidRPr="00C356A8">
        <w:rPr>
          <w:rFonts w:asciiTheme="minorHAnsi" w:hAnsiTheme="minorHAnsi" w:cstheme="minorHAnsi"/>
        </w:rPr>
        <w:t>S</w:t>
      </w:r>
      <w:r w:rsidR="00BE61A9" w:rsidRPr="00C356A8">
        <w:rPr>
          <w:rFonts w:asciiTheme="minorHAnsi" w:hAnsiTheme="minorHAnsi" w:cstheme="minorHAnsi"/>
        </w:rPr>
        <w:t>.A.</w:t>
      </w:r>
      <w:r w:rsidR="006D723F" w:rsidRPr="00C356A8">
        <w:rPr>
          <w:rFonts w:asciiTheme="minorHAnsi" w:hAnsiTheme="minorHAnsi" w:cstheme="minorHAnsi"/>
        </w:rPr>
        <w:t xml:space="preserve"> </w:t>
      </w:r>
      <w:r w:rsidR="007B7595" w:rsidRPr="00C356A8">
        <w:rPr>
          <w:rFonts w:asciiTheme="minorHAnsi" w:hAnsiTheme="minorHAnsi" w:cstheme="minorHAnsi"/>
        </w:rPr>
        <w:t xml:space="preserve">and </w:t>
      </w:r>
      <w:r w:rsidR="009D7D90" w:rsidRPr="00C356A8">
        <w:rPr>
          <w:rFonts w:asciiTheme="minorHAnsi" w:hAnsiTheme="minorHAnsi" w:cstheme="minorHAnsi"/>
        </w:rPr>
        <w:t>particularly</w:t>
      </w:r>
      <w:r w:rsidR="0085480F" w:rsidRPr="00C356A8">
        <w:rPr>
          <w:rFonts w:asciiTheme="minorHAnsi" w:hAnsiTheme="minorHAnsi" w:cstheme="minorHAnsi"/>
        </w:rPr>
        <w:t xml:space="preserve"> </w:t>
      </w:r>
      <w:r w:rsidR="007B7595" w:rsidRPr="00C356A8">
        <w:rPr>
          <w:rFonts w:asciiTheme="minorHAnsi" w:hAnsiTheme="minorHAnsi" w:cstheme="minorHAnsi"/>
        </w:rPr>
        <w:t xml:space="preserve">refers to </w:t>
      </w:r>
      <w:r w:rsidR="0013110A" w:rsidRPr="00C356A8">
        <w:rPr>
          <w:rFonts w:asciiTheme="minorHAnsi" w:hAnsiTheme="minorHAnsi" w:cstheme="minorHAnsi"/>
        </w:rPr>
        <w:t xml:space="preserve">descriptive norms regarding </w:t>
      </w:r>
      <w:r w:rsidR="00C21368" w:rsidRPr="00C356A8">
        <w:rPr>
          <w:rFonts w:asciiTheme="minorHAnsi" w:hAnsiTheme="minorHAnsi" w:cstheme="minorHAnsi"/>
        </w:rPr>
        <w:t>alcohol</w:t>
      </w:r>
      <w:r w:rsidR="001479CE" w:rsidRPr="00C356A8">
        <w:rPr>
          <w:rFonts w:asciiTheme="minorHAnsi" w:hAnsiTheme="minorHAnsi" w:cstheme="minorHAnsi"/>
        </w:rPr>
        <w:t xml:space="preserve"> consumption </w:t>
      </w:r>
      <w:r w:rsidR="00D060F0" w:rsidRPr="00C356A8">
        <w:rPr>
          <w:rFonts w:asciiTheme="minorHAnsi" w:hAnsiTheme="minorHAnsi" w:cstheme="minorHAnsi"/>
          <w:noProof/>
        </w:rPr>
        <w:t>(</w:t>
      </w:r>
      <w:r w:rsidR="002737E1" w:rsidRPr="00C356A8">
        <w:rPr>
          <w:rFonts w:asciiTheme="minorHAnsi" w:hAnsiTheme="minorHAnsi" w:cstheme="minorHAnsi"/>
          <w:noProof/>
        </w:rPr>
        <w:t>Borsari &amp; Carey, 2001; Perkins, 2014</w:t>
      </w:r>
      <w:r w:rsidR="00D060F0" w:rsidRPr="00C356A8">
        <w:rPr>
          <w:rFonts w:asciiTheme="minorHAnsi" w:hAnsiTheme="minorHAnsi" w:cstheme="minorHAnsi"/>
          <w:noProof/>
        </w:rPr>
        <w:t>)</w:t>
      </w:r>
      <w:r w:rsidR="00C21368" w:rsidRPr="00C356A8">
        <w:rPr>
          <w:rFonts w:asciiTheme="minorHAnsi" w:hAnsiTheme="minorHAnsi" w:cstheme="minorHAnsi"/>
        </w:rPr>
        <w:t xml:space="preserve">. </w:t>
      </w:r>
      <w:r w:rsidR="00BE60EC" w:rsidRPr="00C356A8">
        <w:rPr>
          <w:rFonts w:asciiTheme="minorHAnsi" w:hAnsiTheme="minorHAnsi" w:cstheme="minorHAnsi"/>
        </w:rPr>
        <w:t>In recent years, t</w:t>
      </w:r>
      <w:r w:rsidR="00CB29FE" w:rsidRPr="00C356A8">
        <w:rPr>
          <w:rFonts w:asciiTheme="minorHAnsi" w:hAnsiTheme="minorHAnsi" w:cstheme="minorHAnsi"/>
        </w:rPr>
        <w:t>he</w:t>
      </w:r>
      <w:r w:rsidR="00BE60EC" w:rsidRPr="00C356A8">
        <w:rPr>
          <w:rFonts w:asciiTheme="minorHAnsi" w:hAnsiTheme="minorHAnsi" w:cstheme="minorHAnsi"/>
        </w:rPr>
        <w:t>se</w:t>
      </w:r>
      <w:r w:rsidR="00CB29FE" w:rsidRPr="00C356A8">
        <w:rPr>
          <w:rFonts w:asciiTheme="minorHAnsi" w:hAnsiTheme="minorHAnsi" w:cstheme="minorHAnsi"/>
        </w:rPr>
        <w:t xml:space="preserve"> findings were replicated in Europe </w:t>
      </w:r>
      <w:r w:rsidR="00D060F0" w:rsidRPr="00C356A8">
        <w:rPr>
          <w:rFonts w:asciiTheme="minorHAnsi" w:hAnsiTheme="minorHAnsi" w:cstheme="minorHAnsi"/>
          <w:noProof/>
        </w:rPr>
        <w:t>(</w:t>
      </w:r>
      <w:r w:rsidR="002737E1" w:rsidRPr="00C356A8">
        <w:rPr>
          <w:rFonts w:asciiTheme="minorHAnsi" w:hAnsiTheme="minorHAnsi" w:cstheme="minorHAnsi"/>
          <w:noProof/>
        </w:rPr>
        <w:t>McAlaney, Bewick, &amp; Hughes, 2011; McAlaney, et al., 2015</w:t>
      </w:r>
      <w:r w:rsidR="00D060F0" w:rsidRPr="00C356A8">
        <w:rPr>
          <w:rFonts w:asciiTheme="minorHAnsi" w:hAnsiTheme="minorHAnsi" w:cstheme="minorHAnsi"/>
          <w:noProof/>
        </w:rPr>
        <w:t>)</w:t>
      </w:r>
      <w:r w:rsidR="009064FE" w:rsidRPr="00C356A8">
        <w:rPr>
          <w:rFonts w:asciiTheme="minorHAnsi" w:hAnsiTheme="minorHAnsi" w:cstheme="minorHAnsi"/>
        </w:rPr>
        <w:t xml:space="preserve">. </w:t>
      </w:r>
      <w:r w:rsidR="00C50734" w:rsidRPr="00C356A8">
        <w:rPr>
          <w:rFonts w:asciiTheme="minorHAnsi" w:hAnsiTheme="minorHAnsi" w:cstheme="minorHAnsi"/>
        </w:rPr>
        <w:t>T</w:t>
      </w:r>
      <w:r w:rsidR="0074680A" w:rsidRPr="00C356A8">
        <w:rPr>
          <w:rFonts w:asciiTheme="minorHAnsi" w:hAnsiTheme="minorHAnsi" w:cstheme="minorHAnsi"/>
        </w:rPr>
        <w:t>hese</w:t>
      </w:r>
      <w:r w:rsidR="00E83358" w:rsidRPr="00C356A8">
        <w:rPr>
          <w:rFonts w:asciiTheme="minorHAnsi" w:hAnsiTheme="minorHAnsi" w:cstheme="minorHAnsi"/>
        </w:rPr>
        <w:t xml:space="preserve"> </w:t>
      </w:r>
      <w:r w:rsidR="006A62D4" w:rsidRPr="00C356A8">
        <w:rPr>
          <w:rFonts w:asciiTheme="minorHAnsi" w:hAnsiTheme="minorHAnsi" w:cstheme="minorHAnsi"/>
        </w:rPr>
        <w:t>studies</w:t>
      </w:r>
      <w:r w:rsidR="00E83358" w:rsidRPr="00C356A8">
        <w:rPr>
          <w:rFonts w:asciiTheme="minorHAnsi" w:hAnsiTheme="minorHAnsi" w:cstheme="minorHAnsi"/>
        </w:rPr>
        <w:t xml:space="preserve"> </w:t>
      </w:r>
      <w:r w:rsidR="00D14631" w:rsidRPr="00C356A8">
        <w:rPr>
          <w:rFonts w:asciiTheme="minorHAnsi" w:hAnsiTheme="minorHAnsi" w:cstheme="minorHAnsi"/>
        </w:rPr>
        <w:t>show</w:t>
      </w:r>
      <w:r w:rsidR="0013110A" w:rsidRPr="00C356A8">
        <w:rPr>
          <w:rFonts w:asciiTheme="minorHAnsi" w:hAnsiTheme="minorHAnsi" w:cstheme="minorHAnsi"/>
        </w:rPr>
        <w:t xml:space="preserve"> </w:t>
      </w:r>
      <w:r w:rsidR="0074680A" w:rsidRPr="00C356A8">
        <w:rPr>
          <w:rFonts w:asciiTheme="minorHAnsi" w:hAnsiTheme="minorHAnsi" w:cstheme="minorHAnsi"/>
        </w:rPr>
        <w:t xml:space="preserve">that </w:t>
      </w:r>
      <w:r w:rsidR="00C66407" w:rsidRPr="00C356A8">
        <w:rPr>
          <w:rFonts w:asciiTheme="minorHAnsi" w:hAnsiTheme="minorHAnsi" w:cstheme="minorHAnsi"/>
        </w:rPr>
        <w:lastRenderedPageBreak/>
        <w:t>exaggerated</w:t>
      </w:r>
      <w:r w:rsidR="0074680A" w:rsidRPr="00C356A8">
        <w:rPr>
          <w:rFonts w:asciiTheme="minorHAnsi" w:hAnsiTheme="minorHAnsi" w:cstheme="minorHAnsi"/>
        </w:rPr>
        <w:t xml:space="preserve"> </w:t>
      </w:r>
      <w:r w:rsidR="007C4F13" w:rsidRPr="00C356A8">
        <w:rPr>
          <w:rFonts w:asciiTheme="minorHAnsi" w:hAnsiTheme="minorHAnsi" w:cstheme="minorHAnsi"/>
        </w:rPr>
        <w:t xml:space="preserve">perceptions of </w:t>
      </w:r>
      <w:r w:rsidR="0074680A" w:rsidRPr="00C356A8">
        <w:rPr>
          <w:rFonts w:asciiTheme="minorHAnsi" w:hAnsiTheme="minorHAnsi" w:cstheme="minorHAnsi"/>
        </w:rPr>
        <w:t>peer</w:t>
      </w:r>
      <w:r w:rsidR="007C4F13" w:rsidRPr="00C356A8">
        <w:rPr>
          <w:rFonts w:asciiTheme="minorHAnsi" w:hAnsiTheme="minorHAnsi" w:cstheme="minorHAnsi"/>
        </w:rPr>
        <w:t xml:space="preserve"> </w:t>
      </w:r>
      <w:r w:rsidR="00E83358" w:rsidRPr="00C356A8">
        <w:rPr>
          <w:rFonts w:asciiTheme="minorHAnsi" w:hAnsiTheme="minorHAnsi" w:cstheme="minorHAnsi"/>
        </w:rPr>
        <w:t xml:space="preserve">alcohol consumption </w:t>
      </w:r>
      <w:r w:rsidR="005D7255" w:rsidRPr="00C356A8">
        <w:rPr>
          <w:rFonts w:asciiTheme="minorHAnsi" w:hAnsiTheme="minorHAnsi" w:cstheme="minorHAnsi"/>
        </w:rPr>
        <w:t>are</w:t>
      </w:r>
      <w:r w:rsidR="007C4F13" w:rsidRPr="00C356A8">
        <w:rPr>
          <w:rFonts w:asciiTheme="minorHAnsi" w:hAnsiTheme="minorHAnsi" w:cstheme="minorHAnsi"/>
        </w:rPr>
        <w:t xml:space="preserve"> associated with</w:t>
      </w:r>
      <w:r w:rsidR="002D1A0D" w:rsidRPr="00C356A8">
        <w:rPr>
          <w:rFonts w:asciiTheme="minorHAnsi" w:hAnsiTheme="minorHAnsi" w:cstheme="minorHAnsi"/>
        </w:rPr>
        <w:t xml:space="preserve"> </w:t>
      </w:r>
      <w:r w:rsidR="0074680A" w:rsidRPr="00C356A8">
        <w:rPr>
          <w:rFonts w:asciiTheme="minorHAnsi" w:hAnsiTheme="minorHAnsi" w:cstheme="minorHAnsi"/>
        </w:rPr>
        <w:t xml:space="preserve">increased </w:t>
      </w:r>
      <w:r w:rsidR="007C4F13" w:rsidRPr="00C356A8">
        <w:rPr>
          <w:rFonts w:asciiTheme="minorHAnsi" w:hAnsiTheme="minorHAnsi" w:cstheme="minorHAnsi"/>
        </w:rPr>
        <w:t xml:space="preserve">personal </w:t>
      </w:r>
      <w:r w:rsidR="002D1A0D" w:rsidRPr="00C356A8">
        <w:rPr>
          <w:rFonts w:asciiTheme="minorHAnsi" w:hAnsiTheme="minorHAnsi" w:cstheme="minorHAnsi"/>
        </w:rPr>
        <w:t xml:space="preserve">alcohol </w:t>
      </w:r>
      <w:r w:rsidR="007C4F13" w:rsidRPr="00C356A8">
        <w:rPr>
          <w:rFonts w:asciiTheme="minorHAnsi" w:hAnsiTheme="minorHAnsi" w:cstheme="minorHAnsi"/>
        </w:rPr>
        <w:t>consumption</w:t>
      </w:r>
      <w:r w:rsidR="0074680A" w:rsidRPr="00C356A8">
        <w:rPr>
          <w:rFonts w:asciiTheme="minorHAnsi" w:hAnsiTheme="minorHAnsi" w:cstheme="minorHAnsi"/>
        </w:rPr>
        <w:t xml:space="preserve"> among </w:t>
      </w:r>
      <w:r w:rsidR="00DF4C20" w:rsidRPr="00C356A8">
        <w:rPr>
          <w:rFonts w:asciiTheme="minorHAnsi" w:hAnsiTheme="minorHAnsi" w:cstheme="minorHAnsi"/>
        </w:rPr>
        <w:t xml:space="preserve">university </w:t>
      </w:r>
      <w:r w:rsidR="0074680A" w:rsidRPr="00C356A8">
        <w:rPr>
          <w:rFonts w:asciiTheme="minorHAnsi" w:hAnsiTheme="minorHAnsi" w:cstheme="minorHAnsi"/>
        </w:rPr>
        <w:t>students</w:t>
      </w:r>
      <w:r w:rsidR="002D1A0D" w:rsidRPr="00C356A8">
        <w:rPr>
          <w:rFonts w:asciiTheme="minorHAnsi" w:hAnsiTheme="minorHAnsi" w:cstheme="minorHAnsi"/>
        </w:rPr>
        <w:t xml:space="preserve"> </w:t>
      </w:r>
      <w:r w:rsidR="00CD19FC" w:rsidRPr="00C356A8">
        <w:rPr>
          <w:rFonts w:asciiTheme="minorHAnsi" w:hAnsiTheme="minorHAnsi" w:cstheme="minorHAnsi"/>
          <w:noProof/>
        </w:rPr>
        <w:t>(</w:t>
      </w:r>
      <w:r w:rsidR="002737E1" w:rsidRPr="00C356A8">
        <w:rPr>
          <w:rFonts w:asciiTheme="minorHAnsi" w:hAnsiTheme="minorHAnsi" w:cstheme="minorHAnsi"/>
          <w:noProof/>
        </w:rPr>
        <w:t>Borsari &amp; Carey, 2001; McAlaney, et al., 2011; McAlaney, et al., 2015; Perkins, 2014</w:t>
      </w:r>
      <w:r w:rsidR="00CD19FC" w:rsidRPr="00C356A8">
        <w:rPr>
          <w:rFonts w:asciiTheme="minorHAnsi" w:hAnsiTheme="minorHAnsi" w:cstheme="minorHAnsi"/>
          <w:noProof/>
        </w:rPr>
        <w:t>)</w:t>
      </w:r>
      <w:r w:rsidR="002D1A0D" w:rsidRPr="00C356A8">
        <w:rPr>
          <w:rFonts w:asciiTheme="minorHAnsi" w:hAnsiTheme="minorHAnsi" w:cstheme="minorHAnsi"/>
        </w:rPr>
        <w:t xml:space="preserve">. </w:t>
      </w:r>
      <w:r w:rsidR="00C95331" w:rsidRPr="00C356A8">
        <w:rPr>
          <w:rFonts w:asciiTheme="minorHAnsi" w:hAnsiTheme="minorHAnsi" w:cstheme="minorHAnsi"/>
        </w:rPr>
        <w:t>There is f</w:t>
      </w:r>
      <w:r w:rsidR="002D1A0D" w:rsidRPr="00C356A8">
        <w:rPr>
          <w:rFonts w:asciiTheme="minorHAnsi" w:hAnsiTheme="minorHAnsi" w:cstheme="minorHAnsi"/>
        </w:rPr>
        <w:t xml:space="preserve">urther evidence </w:t>
      </w:r>
      <w:r w:rsidR="00C95331" w:rsidRPr="00C356A8">
        <w:rPr>
          <w:rFonts w:asciiTheme="minorHAnsi" w:hAnsiTheme="minorHAnsi" w:cstheme="minorHAnsi"/>
        </w:rPr>
        <w:t xml:space="preserve">on </w:t>
      </w:r>
      <w:r w:rsidR="004364C7" w:rsidRPr="00C356A8">
        <w:rPr>
          <w:rFonts w:asciiTheme="minorHAnsi" w:hAnsiTheme="minorHAnsi" w:cstheme="minorHAnsi"/>
        </w:rPr>
        <w:t xml:space="preserve">university </w:t>
      </w:r>
      <w:r w:rsidR="00C95331" w:rsidRPr="00C356A8">
        <w:rPr>
          <w:rFonts w:asciiTheme="minorHAnsi" w:hAnsiTheme="minorHAnsi" w:cstheme="minorHAnsi"/>
        </w:rPr>
        <w:t xml:space="preserve">students’ </w:t>
      </w:r>
      <w:r w:rsidR="00BE4A89" w:rsidRPr="00C356A8">
        <w:rPr>
          <w:rFonts w:asciiTheme="minorHAnsi" w:hAnsiTheme="minorHAnsi" w:cstheme="minorHAnsi"/>
        </w:rPr>
        <w:t>mis</w:t>
      </w:r>
      <w:r w:rsidR="00C95331" w:rsidRPr="00C356A8">
        <w:rPr>
          <w:rFonts w:asciiTheme="minorHAnsi" w:hAnsiTheme="minorHAnsi" w:cstheme="minorHAnsi"/>
        </w:rPr>
        <w:t>perceptions of their</w:t>
      </w:r>
      <w:r w:rsidR="002D1A0D" w:rsidRPr="00C356A8">
        <w:rPr>
          <w:rFonts w:asciiTheme="minorHAnsi" w:hAnsiTheme="minorHAnsi" w:cstheme="minorHAnsi"/>
        </w:rPr>
        <w:t xml:space="preserve"> peers’ use of tobacco and illicit substances</w:t>
      </w:r>
      <w:r w:rsidR="00C95331" w:rsidRPr="00C356A8">
        <w:rPr>
          <w:rFonts w:asciiTheme="minorHAnsi" w:hAnsiTheme="minorHAnsi" w:cstheme="minorHAnsi"/>
        </w:rPr>
        <w:t xml:space="preserve"> (e.g.,</w:t>
      </w:r>
      <w:r w:rsidR="002D1A0D" w:rsidRPr="00C356A8">
        <w:rPr>
          <w:rFonts w:asciiTheme="minorHAnsi" w:hAnsiTheme="minorHAnsi" w:cstheme="minorHAnsi"/>
        </w:rPr>
        <w:t xml:space="preserve"> marijuana, cocaine, </w:t>
      </w:r>
      <w:r w:rsidR="005449E7" w:rsidRPr="00C356A8">
        <w:rPr>
          <w:rFonts w:asciiTheme="minorHAnsi" w:hAnsiTheme="minorHAnsi" w:cstheme="minorHAnsi"/>
        </w:rPr>
        <w:t xml:space="preserve">ecstasy, </w:t>
      </w:r>
      <w:r w:rsidR="002D1A0D" w:rsidRPr="00C356A8">
        <w:rPr>
          <w:rFonts w:asciiTheme="minorHAnsi" w:hAnsiTheme="minorHAnsi" w:cstheme="minorHAnsi"/>
        </w:rPr>
        <w:t>and amphetamines</w:t>
      </w:r>
      <w:r w:rsidR="00C95331" w:rsidRPr="00C356A8">
        <w:rPr>
          <w:rFonts w:asciiTheme="minorHAnsi" w:hAnsiTheme="minorHAnsi" w:cstheme="minorHAnsi"/>
        </w:rPr>
        <w:t>)</w:t>
      </w:r>
      <w:r w:rsidR="00DF4C20" w:rsidRPr="00C356A8">
        <w:rPr>
          <w:rFonts w:asciiTheme="minorHAnsi" w:hAnsiTheme="minorHAnsi" w:cstheme="minorHAnsi"/>
        </w:rPr>
        <w:t xml:space="preserve"> </w:t>
      </w:r>
      <w:r w:rsidR="00B30DD2" w:rsidRPr="00C356A8">
        <w:rPr>
          <w:rFonts w:asciiTheme="minorHAnsi" w:hAnsiTheme="minorHAnsi" w:cstheme="minorHAnsi"/>
          <w:noProof/>
        </w:rPr>
        <w:t>(</w:t>
      </w:r>
      <w:r w:rsidR="002737E1" w:rsidRPr="00C356A8">
        <w:rPr>
          <w:rFonts w:asciiTheme="minorHAnsi" w:hAnsiTheme="minorHAnsi" w:cstheme="minorHAnsi"/>
          <w:noProof/>
        </w:rPr>
        <w:t>Arbour-Nicitopoulos, Kwan, Lowe, Taman, &amp; Faulkner, 2010; Bertholet, Faouzi, Studer, Daeppen, &amp; Gmel, 2013; Dempsey, et al., 2016; Helmer, et al., 2014; Kilmer, et al., 2006; Martens, et al., 2006; Perkins, Meilman, Leichliter, Cashin, &amp; Presley, 1999; Pischke, et al., 2015</w:t>
      </w:r>
      <w:r w:rsidR="00B30DD2" w:rsidRPr="00C356A8">
        <w:rPr>
          <w:rFonts w:asciiTheme="minorHAnsi" w:hAnsiTheme="minorHAnsi" w:cstheme="minorHAnsi"/>
          <w:noProof/>
        </w:rPr>
        <w:t>)</w:t>
      </w:r>
      <w:r w:rsidR="00FC1074" w:rsidRPr="00C356A8">
        <w:rPr>
          <w:rFonts w:asciiTheme="minorHAnsi" w:hAnsiTheme="minorHAnsi" w:cstheme="minorHAnsi"/>
        </w:rPr>
        <w:t>,</w:t>
      </w:r>
      <w:r w:rsidR="001F3D61" w:rsidRPr="00C356A8">
        <w:rPr>
          <w:rFonts w:asciiTheme="minorHAnsi" w:hAnsiTheme="minorHAnsi" w:cstheme="minorHAnsi"/>
        </w:rPr>
        <w:t xml:space="preserve"> </w:t>
      </w:r>
      <w:r w:rsidR="002D1A0D" w:rsidRPr="00C356A8">
        <w:rPr>
          <w:lang w:eastAsia="de-DE"/>
        </w:rPr>
        <w:t xml:space="preserve">as well </w:t>
      </w:r>
      <w:r w:rsidR="002835F1" w:rsidRPr="00C356A8">
        <w:rPr>
          <w:lang w:eastAsia="de-DE"/>
        </w:rPr>
        <w:t xml:space="preserve">as </w:t>
      </w:r>
      <w:r w:rsidR="006D5A48" w:rsidRPr="00C356A8">
        <w:rPr>
          <w:lang w:eastAsia="de-DE"/>
        </w:rPr>
        <w:t xml:space="preserve">regarding </w:t>
      </w:r>
      <w:r w:rsidR="00477A70" w:rsidRPr="00C356A8">
        <w:rPr>
          <w:lang w:eastAsia="de-DE"/>
        </w:rPr>
        <w:t xml:space="preserve">risky </w:t>
      </w:r>
      <w:r w:rsidR="001874A2" w:rsidRPr="00C356A8">
        <w:rPr>
          <w:lang w:eastAsia="de-DE"/>
        </w:rPr>
        <w:t>sexual behavior</w:t>
      </w:r>
      <w:r w:rsidR="00BB1D0B" w:rsidRPr="00C356A8">
        <w:rPr>
          <w:lang w:eastAsia="de-DE"/>
        </w:rPr>
        <w:t xml:space="preserve"> </w:t>
      </w:r>
      <w:r w:rsidR="00B30DD2" w:rsidRPr="00C356A8">
        <w:rPr>
          <w:noProof/>
          <w:lang w:eastAsia="de-DE"/>
        </w:rPr>
        <w:t>(</w:t>
      </w:r>
      <w:r w:rsidR="002737E1" w:rsidRPr="00C356A8">
        <w:rPr>
          <w:noProof/>
          <w:lang w:eastAsia="de-DE"/>
        </w:rPr>
        <w:t>Martens, et al., 2006</w:t>
      </w:r>
      <w:r w:rsidR="00B30DD2" w:rsidRPr="00C356A8">
        <w:rPr>
          <w:noProof/>
          <w:lang w:eastAsia="de-DE"/>
        </w:rPr>
        <w:t>)</w:t>
      </w:r>
      <w:r w:rsidR="000C53EB" w:rsidRPr="00C356A8">
        <w:rPr>
          <w:lang w:eastAsia="de-DE"/>
        </w:rPr>
        <w:t>.</w:t>
      </w:r>
    </w:p>
    <w:p w14:paraId="6FEF440E" w14:textId="621811A1" w:rsidR="00E308AC" w:rsidRPr="00C356A8" w:rsidRDefault="00F35748" w:rsidP="00DA1C21">
      <w:pPr>
        <w:autoSpaceDE w:val="0"/>
        <w:autoSpaceDN w:val="0"/>
        <w:adjustRightInd w:val="0"/>
        <w:spacing w:line="360" w:lineRule="auto"/>
        <w:jc w:val="both"/>
        <w:rPr>
          <w:rFonts w:asciiTheme="minorHAnsi" w:hAnsiTheme="minorHAnsi" w:cstheme="minorHAnsi"/>
          <w:color w:val="000000"/>
        </w:rPr>
      </w:pPr>
      <w:r w:rsidRPr="00C356A8">
        <w:rPr>
          <w:lang w:eastAsia="de-DE"/>
        </w:rPr>
        <w:t>S</w:t>
      </w:r>
      <w:r w:rsidR="00227EC0" w:rsidRPr="00C356A8">
        <w:rPr>
          <w:lang w:eastAsia="de-DE"/>
        </w:rPr>
        <w:t>everal</w:t>
      </w:r>
      <w:r w:rsidRPr="00C356A8">
        <w:rPr>
          <w:lang w:eastAsia="de-DE"/>
        </w:rPr>
        <w:t xml:space="preserve"> studies </w:t>
      </w:r>
      <w:r w:rsidR="00BE4A89" w:rsidRPr="00C356A8">
        <w:rPr>
          <w:lang w:eastAsia="de-DE"/>
        </w:rPr>
        <w:t xml:space="preserve">have </w:t>
      </w:r>
      <w:r w:rsidR="0024346C" w:rsidRPr="00C356A8">
        <w:rPr>
          <w:lang w:eastAsia="de-DE"/>
        </w:rPr>
        <w:t xml:space="preserve">examined </w:t>
      </w:r>
      <w:r w:rsidR="002716CE" w:rsidRPr="00C356A8">
        <w:rPr>
          <w:lang w:eastAsia="de-DE"/>
        </w:rPr>
        <w:t xml:space="preserve">misperceptions or self-other </w:t>
      </w:r>
      <w:r w:rsidR="00FA7BEA" w:rsidRPr="00C356A8">
        <w:rPr>
          <w:lang w:eastAsia="de-DE"/>
        </w:rPr>
        <w:t xml:space="preserve">discrepancies </w:t>
      </w:r>
      <w:r w:rsidR="006D5A48" w:rsidRPr="00C356A8">
        <w:rPr>
          <w:lang w:eastAsia="de-DE"/>
        </w:rPr>
        <w:t xml:space="preserve">about </w:t>
      </w:r>
      <w:r w:rsidR="00FA7BEA" w:rsidRPr="00C356A8">
        <w:rPr>
          <w:lang w:eastAsia="de-DE"/>
        </w:rPr>
        <w:t xml:space="preserve">the non-medical use of </w:t>
      </w:r>
      <w:r w:rsidR="0024346C" w:rsidRPr="00C356A8">
        <w:rPr>
          <w:lang w:eastAsia="de-DE"/>
        </w:rPr>
        <w:t>prescripti</w:t>
      </w:r>
      <w:r w:rsidR="00227EC0" w:rsidRPr="00C356A8">
        <w:rPr>
          <w:lang w:eastAsia="de-DE"/>
        </w:rPr>
        <w:t>on</w:t>
      </w:r>
      <w:r w:rsidR="0085480F" w:rsidRPr="00C356A8">
        <w:rPr>
          <w:lang w:eastAsia="de-DE"/>
        </w:rPr>
        <w:t xml:space="preserve"> drugs</w:t>
      </w:r>
      <w:r w:rsidR="00657D68" w:rsidRPr="00C356A8">
        <w:rPr>
          <w:lang w:eastAsia="de-DE"/>
        </w:rPr>
        <w:t>,</w:t>
      </w:r>
      <w:r w:rsidR="00786A8B" w:rsidRPr="00C356A8">
        <w:rPr>
          <w:lang w:eastAsia="de-DE"/>
        </w:rPr>
        <w:t xml:space="preserve"> as well as associations between descriptive norms and personal use, particularly regarding prescription stimulants</w:t>
      </w:r>
      <w:r w:rsidR="000014D8" w:rsidRPr="00C356A8">
        <w:rPr>
          <w:lang w:eastAsia="de-DE"/>
        </w:rPr>
        <w:t xml:space="preserve"> </w:t>
      </w:r>
      <w:r w:rsidR="00AE3C19" w:rsidRPr="00C356A8">
        <w:rPr>
          <w:noProof/>
          <w:lang w:eastAsia="de-DE"/>
        </w:rPr>
        <w:t>(</w:t>
      </w:r>
      <w:r w:rsidR="002737E1" w:rsidRPr="00C356A8">
        <w:rPr>
          <w:noProof/>
          <w:lang w:eastAsia="de-DE"/>
        </w:rPr>
        <w:t>Helmer, et al., 2016; Kilmer, Geisner, Gasser, &amp; Lindgren, 2015; McCabe, 2008; Sanders, Stogner, Seibert, &amp; Miller, 2014; Silvestri &amp; Correia, 2016</w:t>
      </w:r>
      <w:r w:rsidR="00AE3C19" w:rsidRPr="00C356A8">
        <w:rPr>
          <w:noProof/>
          <w:lang w:eastAsia="de-DE"/>
        </w:rPr>
        <w:t>)</w:t>
      </w:r>
      <w:r w:rsidR="006D5A48" w:rsidRPr="00C356A8">
        <w:rPr>
          <w:lang w:eastAsia="de-DE"/>
        </w:rPr>
        <w:t>, with only one study</w:t>
      </w:r>
      <w:r w:rsidR="00657D68" w:rsidRPr="00C356A8">
        <w:rPr>
          <w:lang w:eastAsia="de-DE"/>
        </w:rPr>
        <w:t>,</w:t>
      </w:r>
      <w:r w:rsidR="005419D3" w:rsidRPr="00C356A8">
        <w:rPr>
          <w:lang w:eastAsia="de-DE"/>
        </w:rPr>
        <w:t xml:space="preserve"> to date</w:t>
      </w:r>
      <w:r w:rsidR="00657D68" w:rsidRPr="00C356A8">
        <w:rPr>
          <w:lang w:eastAsia="de-DE"/>
        </w:rPr>
        <w:t>,</w:t>
      </w:r>
      <w:r w:rsidR="005419D3" w:rsidRPr="00C356A8">
        <w:rPr>
          <w:lang w:eastAsia="de-DE"/>
        </w:rPr>
        <w:t xml:space="preserve"> investigating</w:t>
      </w:r>
      <w:r w:rsidR="006D5A48" w:rsidRPr="00C356A8">
        <w:rPr>
          <w:lang w:eastAsia="de-DE"/>
        </w:rPr>
        <w:t xml:space="preserve"> </w:t>
      </w:r>
      <w:r w:rsidR="005B4793" w:rsidRPr="00C356A8">
        <w:rPr>
          <w:lang w:eastAsia="de-DE"/>
        </w:rPr>
        <w:t xml:space="preserve">prescription </w:t>
      </w:r>
      <w:r w:rsidR="006D5A48" w:rsidRPr="00C356A8">
        <w:rPr>
          <w:lang w:eastAsia="de-DE"/>
        </w:rPr>
        <w:t>sedative</w:t>
      </w:r>
      <w:r w:rsidR="005419D3" w:rsidRPr="00C356A8">
        <w:rPr>
          <w:lang w:eastAsia="de-DE"/>
        </w:rPr>
        <w:t xml:space="preserve"> u</w:t>
      </w:r>
      <w:r w:rsidR="006D5A48" w:rsidRPr="00C356A8">
        <w:rPr>
          <w:lang w:eastAsia="de-DE"/>
        </w:rPr>
        <w:t>s</w:t>
      </w:r>
      <w:r w:rsidR="005419D3" w:rsidRPr="00C356A8">
        <w:rPr>
          <w:lang w:eastAsia="de-DE"/>
        </w:rPr>
        <w:t>e</w:t>
      </w:r>
      <w:r w:rsidR="00FE5B1E" w:rsidRPr="00C356A8">
        <w:rPr>
          <w:lang w:eastAsia="de-DE"/>
        </w:rPr>
        <w:t xml:space="preserve"> </w:t>
      </w:r>
      <w:r w:rsidR="00B30DD2" w:rsidRPr="00C356A8">
        <w:rPr>
          <w:noProof/>
          <w:lang w:eastAsia="de-DE"/>
        </w:rPr>
        <w:t>(</w:t>
      </w:r>
      <w:r w:rsidR="00BD6923" w:rsidRPr="00C356A8">
        <w:rPr>
          <w:noProof/>
          <w:lang w:eastAsia="de-DE"/>
        </w:rPr>
        <w:t>Sanders, et al., 2014</w:t>
      </w:r>
      <w:r w:rsidR="00B30DD2" w:rsidRPr="00C356A8">
        <w:rPr>
          <w:noProof/>
          <w:lang w:eastAsia="de-DE"/>
        </w:rPr>
        <w:t>)</w:t>
      </w:r>
      <w:r w:rsidR="00786A8B" w:rsidRPr="00C356A8">
        <w:rPr>
          <w:lang w:eastAsia="de-DE"/>
        </w:rPr>
        <w:t>.</w:t>
      </w:r>
      <w:r w:rsidR="00A575C5" w:rsidRPr="00C356A8">
        <w:rPr>
          <w:rFonts w:asciiTheme="minorHAnsi" w:hAnsiTheme="minorHAnsi" w:cstheme="minorHAnsi"/>
          <w:color w:val="000000"/>
        </w:rPr>
        <w:t xml:space="preserve"> </w:t>
      </w:r>
      <w:r w:rsidR="00DA1C21" w:rsidRPr="00C356A8">
        <w:rPr>
          <w:lang w:eastAsia="de-DE"/>
        </w:rPr>
        <w:t>P</w:t>
      </w:r>
      <w:r w:rsidR="00B30DD2" w:rsidRPr="00C356A8">
        <w:rPr>
          <w:lang w:eastAsia="de-DE"/>
        </w:rPr>
        <w:t>erceived approval among peers</w:t>
      </w:r>
      <w:r w:rsidR="00DA1C21" w:rsidRPr="00C356A8">
        <w:rPr>
          <w:lang w:eastAsia="de-DE"/>
        </w:rPr>
        <w:t xml:space="preserve"> for the non-</w:t>
      </w:r>
      <w:r w:rsidR="005B4793" w:rsidRPr="00C356A8">
        <w:rPr>
          <w:lang w:eastAsia="de-DE"/>
        </w:rPr>
        <w:t>prescribed</w:t>
      </w:r>
      <w:r w:rsidR="00DA1C21" w:rsidRPr="00C356A8">
        <w:rPr>
          <w:lang w:eastAsia="de-DE"/>
        </w:rPr>
        <w:t xml:space="preserve"> use of prescription stimulants</w:t>
      </w:r>
      <w:r w:rsidR="00B30DD2" w:rsidRPr="00C356A8">
        <w:rPr>
          <w:lang w:eastAsia="de-DE"/>
        </w:rPr>
        <w:t xml:space="preserve"> at the same university </w:t>
      </w:r>
      <w:r w:rsidR="00B30DD2" w:rsidRPr="00C356A8">
        <w:rPr>
          <w:noProof/>
          <w:lang w:eastAsia="de-DE"/>
        </w:rPr>
        <w:t>(</w:t>
      </w:r>
      <w:r w:rsidR="00BD6923" w:rsidRPr="00C356A8">
        <w:rPr>
          <w:noProof/>
          <w:lang w:eastAsia="de-DE"/>
        </w:rPr>
        <w:t>Helmer, et al., 2016</w:t>
      </w:r>
      <w:r w:rsidR="00B30DD2" w:rsidRPr="00C356A8">
        <w:rPr>
          <w:noProof/>
          <w:lang w:eastAsia="de-DE"/>
        </w:rPr>
        <w:t>)</w:t>
      </w:r>
      <w:r w:rsidR="00B30DD2" w:rsidRPr="00C356A8">
        <w:rPr>
          <w:lang w:eastAsia="de-DE"/>
        </w:rPr>
        <w:t xml:space="preserve"> and </w:t>
      </w:r>
      <w:r w:rsidR="007B479F" w:rsidRPr="00C356A8">
        <w:rPr>
          <w:lang w:eastAsia="de-DE"/>
        </w:rPr>
        <w:t xml:space="preserve">perceived </w:t>
      </w:r>
      <w:r w:rsidR="00A15CBA" w:rsidRPr="00C356A8">
        <w:rPr>
          <w:lang w:eastAsia="de-DE"/>
        </w:rPr>
        <w:t xml:space="preserve">approval among </w:t>
      </w:r>
      <w:r w:rsidR="007B479F" w:rsidRPr="00C356A8">
        <w:rPr>
          <w:lang w:eastAsia="de-DE"/>
        </w:rPr>
        <w:t>close friend</w:t>
      </w:r>
      <w:r w:rsidR="00A15CBA" w:rsidRPr="00C356A8">
        <w:rPr>
          <w:lang w:eastAsia="de-DE"/>
        </w:rPr>
        <w:t>s</w:t>
      </w:r>
      <w:r w:rsidR="00F53A9B" w:rsidRPr="00C356A8">
        <w:rPr>
          <w:lang w:eastAsia="de-DE"/>
        </w:rPr>
        <w:t xml:space="preserve">, </w:t>
      </w:r>
      <w:r w:rsidR="00657D68" w:rsidRPr="00C356A8">
        <w:rPr>
          <w:lang w:eastAsia="de-DE"/>
        </w:rPr>
        <w:t xml:space="preserve">or by </w:t>
      </w:r>
      <w:r w:rsidR="00F53A9B" w:rsidRPr="00C356A8">
        <w:rPr>
          <w:lang w:eastAsia="de-DE"/>
        </w:rPr>
        <w:t>the typical university student</w:t>
      </w:r>
      <w:r w:rsidR="007B479F" w:rsidRPr="00C356A8">
        <w:rPr>
          <w:lang w:eastAsia="de-DE"/>
        </w:rPr>
        <w:t xml:space="preserve"> </w:t>
      </w:r>
      <w:r w:rsidR="00657D68" w:rsidRPr="00C356A8">
        <w:rPr>
          <w:lang w:eastAsia="de-DE"/>
        </w:rPr>
        <w:t>or</w:t>
      </w:r>
      <w:r w:rsidR="007B479F" w:rsidRPr="00C356A8">
        <w:rPr>
          <w:lang w:eastAsia="de-DE"/>
        </w:rPr>
        <w:t xml:space="preserve"> paren</w:t>
      </w:r>
      <w:r w:rsidR="00A15CBA" w:rsidRPr="00C356A8">
        <w:rPr>
          <w:lang w:eastAsia="de-DE"/>
        </w:rPr>
        <w:t>ts</w:t>
      </w:r>
      <w:r w:rsidR="00B80204" w:rsidRPr="00C356A8">
        <w:rPr>
          <w:lang w:eastAsia="de-DE"/>
        </w:rPr>
        <w:t xml:space="preserve"> </w:t>
      </w:r>
      <w:r w:rsidR="00B30DD2" w:rsidRPr="00C356A8">
        <w:rPr>
          <w:noProof/>
          <w:lang w:eastAsia="de-DE"/>
        </w:rPr>
        <w:t>(</w:t>
      </w:r>
      <w:r w:rsidR="00BD6923" w:rsidRPr="00C356A8">
        <w:rPr>
          <w:noProof/>
          <w:lang w:eastAsia="de-DE"/>
        </w:rPr>
        <w:t>Silvestri &amp; Correia, 2016</w:t>
      </w:r>
      <w:r w:rsidR="00B30DD2" w:rsidRPr="00C356A8">
        <w:rPr>
          <w:noProof/>
          <w:lang w:eastAsia="de-DE"/>
        </w:rPr>
        <w:t>)</w:t>
      </w:r>
      <w:r w:rsidR="00B30DD2" w:rsidRPr="00C356A8">
        <w:rPr>
          <w:lang w:eastAsia="de-DE"/>
        </w:rPr>
        <w:t xml:space="preserve">, </w:t>
      </w:r>
      <w:r w:rsidR="000B2DB6" w:rsidRPr="00C356A8">
        <w:rPr>
          <w:lang w:eastAsia="de-DE"/>
        </w:rPr>
        <w:t>were</w:t>
      </w:r>
      <w:r w:rsidR="007B479F" w:rsidRPr="00C356A8">
        <w:rPr>
          <w:lang w:eastAsia="de-DE"/>
        </w:rPr>
        <w:t xml:space="preserve"> positively associated with personally approv</w:t>
      </w:r>
      <w:r w:rsidR="00A15CBA" w:rsidRPr="00C356A8">
        <w:rPr>
          <w:lang w:eastAsia="de-DE"/>
        </w:rPr>
        <w:t xml:space="preserve">ing </w:t>
      </w:r>
      <w:r w:rsidRPr="00C356A8">
        <w:rPr>
          <w:lang w:eastAsia="de-DE"/>
        </w:rPr>
        <w:t>such</w:t>
      </w:r>
      <w:r w:rsidR="00A15CBA" w:rsidRPr="00C356A8">
        <w:rPr>
          <w:lang w:eastAsia="de-DE"/>
        </w:rPr>
        <w:t xml:space="preserve"> substances</w:t>
      </w:r>
      <w:r w:rsidR="000B2DB6" w:rsidRPr="00C356A8">
        <w:rPr>
          <w:lang w:eastAsia="de-DE"/>
        </w:rPr>
        <w:t xml:space="preserve"> among </w:t>
      </w:r>
      <w:r w:rsidR="00275E0B" w:rsidRPr="00C356A8">
        <w:rPr>
          <w:lang w:eastAsia="de-DE"/>
        </w:rPr>
        <w:t xml:space="preserve">university </w:t>
      </w:r>
      <w:r w:rsidR="000B2DB6" w:rsidRPr="00C356A8">
        <w:rPr>
          <w:lang w:eastAsia="de-DE"/>
        </w:rPr>
        <w:t>students</w:t>
      </w:r>
      <w:r w:rsidR="00A56DA0" w:rsidRPr="00C356A8">
        <w:rPr>
          <w:rFonts w:asciiTheme="minorHAnsi" w:hAnsiTheme="minorHAnsi" w:cstheme="minorHAnsi"/>
          <w:color w:val="000000"/>
        </w:rPr>
        <w:t>.</w:t>
      </w:r>
      <w:r w:rsidRPr="00C356A8">
        <w:rPr>
          <w:rFonts w:asciiTheme="minorHAnsi" w:hAnsiTheme="minorHAnsi" w:cstheme="minorHAnsi"/>
          <w:color w:val="000000"/>
        </w:rPr>
        <w:t xml:space="preserve"> T</w:t>
      </w:r>
      <w:r w:rsidR="00EF788D" w:rsidRPr="00C356A8">
        <w:rPr>
          <w:rFonts w:asciiTheme="minorHAnsi" w:hAnsiTheme="minorHAnsi" w:cstheme="minorHAnsi"/>
          <w:color w:val="000000"/>
        </w:rPr>
        <w:t xml:space="preserve">he role of perceived injunctive norms </w:t>
      </w:r>
      <w:r w:rsidR="00C66407" w:rsidRPr="00C356A8">
        <w:rPr>
          <w:rFonts w:asciiTheme="minorHAnsi" w:hAnsiTheme="minorHAnsi" w:cstheme="minorHAnsi"/>
          <w:color w:val="000000"/>
        </w:rPr>
        <w:t>regard</w:t>
      </w:r>
      <w:r w:rsidR="00657D68" w:rsidRPr="00C356A8">
        <w:rPr>
          <w:rFonts w:asciiTheme="minorHAnsi" w:hAnsiTheme="minorHAnsi" w:cstheme="minorHAnsi"/>
          <w:color w:val="000000"/>
        </w:rPr>
        <w:t>ing</w:t>
      </w:r>
      <w:r w:rsidR="00B364E0" w:rsidRPr="00C356A8">
        <w:rPr>
          <w:rFonts w:asciiTheme="minorHAnsi" w:hAnsiTheme="minorHAnsi" w:cstheme="minorHAnsi"/>
          <w:color w:val="000000"/>
        </w:rPr>
        <w:t xml:space="preserve"> non-medical use of </w:t>
      </w:r>
      <w:r w:rsidR="005B4793" w:rsidRPr="00C356A8">
        <w:rPr>
          <w:rFonts w:asciiTheme="minorHAnsi" w:hAnsiTheme="minorHAnsi" w:cstheme="minorHAnsi"/>
          <w:color w:val="000000"/>
        </w:rPr>
        <w:t xml:space="preserve">prescription </w:t>
      </w:r>
      <w:r w:rsidR="00B364E0" w:rsidRPr="00C356A8">
        <w:rPr>
          <w:rFonts w:asciiTheme="minorHAnsi" w:hAnsiTheme="minorHAnsi" w:cstheme="minorHAnsi"/>
          <w:color w:val="000000"/>
        </w:rPr>
        <w:t>sedatives</w:t>
      </w:r>
      <w:r w:rsidRPr="00C356A8">
        <w:rPr>
          <w:rFonts w:asciiTheme="minorHAnsi" w:hAnsiTheme="minorHAnsi" w:cstheme="minorHAnsi"/>
          <w:color w:val="000000"/>
        </w:rPr>
        <w:t>, however</w:t>
      </w:r>
      <w:r w:rsidR="003F3C4D" w:rsidRPr="00C356A8">
        <w:rPr>
          <w:rFonts w:asciiTheme="minorHAnsi" w:hAnsiTheme="minorHAnsi" w:cstheme="minorHAnsi"/>
          <w:color w:val="000000"/>
        </w:rPr>
        <w:t xml:space="preserve">, </w:t>
      </w:r>
      <w:r w:rsidR="00E71960" w:rsidRPr="00C356A8">
        <w:rPr>
          <w:rFonts w:asciiTheme="minorHAnsi" w:hAnsiTheme="minorHAnsi" w:cstheme="minorHAnsi"/>
          <w:color w:val="000000"/>
        </w:rPr>
        <w:t>has not been investigated so far.</w:t>
      </w:r>
    </w:p>
    <w:p w14:paraId="523FA38A" w14:textId="111EAB8F" w:rsidR="00BF1FF6" w:rsidRPr="00C356A8" w:rsidRDefault="00DA1C21" w:rsidP="00DA1C21">
      <w:pPr>
        <w:autoSpaceDE w:val="0"/>
        <w:autoSpaceDN w:val="0"/>
        <w:adjustRightInd w:val="0"/>
        <w:spacing w:line="360" w:lineRule="auto"/>
        <w:jc w:val="both"/>
        <w:rPr>
          <w:rFonts w:asciiTheme="minorHAnsi" w:hAnsiTheme="minorHAnsi" w:cstheme="minorHAnsi"/>
          <w:color w:val="000000"/>
        </w:rPr>
      </w:pPr>
      <w:r w:rsidRPr="00C356A8">
        <w:rPr>
          <w:rFonts w:asciiTheme="minorHAnsi" w:hAnsiTheme="minorHAnsi" w:cstheme="minorHAnsi"/>
          <w:color w:val="000000"/>
        </w:rPr>
        <w:t>The</w:t>
      </w:r>
      <w:r w:rsidR="00BF1FF6" w:rsidRPr="00C356A8">
        <w:rPr>
          <w:rFonts w:asciiTheme="minorHAnsi" w:hAnsiTheme="minorHAnsi" w:cstheme="minorHAnsi"/>
          <w:color w:val="000000"/>
        </w:rPr>
        <w:t xml:space="preserve"> present study </w:t>
      </w:r>
      <w:r w:rsidRPr="00C356A8">
        <w:rPr>
          <w:rFonts w:asciiTheme="minorHAnsi" w:hAnsiTheme="minorHAnsi" w:cstheme="minorHAnsi"/>
          <w:color w:val="000000"/>
        </w:rPr>
        <w:t xml:space="preserve">aimed </w:t>
      </w:r>
      <w:r w:rsidR="00BF1FF6" w:rsidRPr="00C356A8">
        <w:rPr>
          <w:rFonts w:asciiTheme="minorHAnsi" w:hAnsiTheme="minorHAnsi" w:cstheme="minorHAnsi"/>
          <w:color w:val="000000"/>
        </w:rPr>
        <w:t xml:space="preserve">to </w:t>
      </w:r>
      <w:r w:rsidRPr="00C356A8">
        <w:rPr>
          <w:rFonts w:asciiTheme="minorHAnsi" w:hAnsiTheme="minorHAnsi" w:cstheme="minorHAnsi"/>
          <w:color w:val="000000"/>
        </w:rPr>
        <w:t>investigate</w:t>
      </w:r>
      <w:r w:rsidR="00BF1FF6" w:rsidRPr="00C356A8">
        <w:rPr>
          <w:rFonts w:asciiTheme="minorHAnsi" w:hAnsiTheme="minorHAnsi" w:cstheme="minorHAnsi"/>
          <w:color w:val="000000"/>
        </w:rPr>
        <w:t xml:space="preserve"> self-other discrepancies </w:t>
      </w:r>
      <w:r w:rsidR="00657D68" w:rsidRPr="00C356A8">
        <w:rPr>
          <w:rFonts w:asciiTheme="minorHAnsi" w:hAnsiTheme="minorHAnsi" w:cstheme="minorHAnsi"/>
          <w:color w:val="000000"/>
        </w:rPr>
        <w:t>regarding</w:t>
      </w:r>
      <w:r w:rsidRPr="00C356A8">
        <w:rPr>
          <w:rFonts w:asciiTheme="minorHAnsi" w:hAnsiTheme="minorHAnsi" w:cstheme="minorHAnsi"/>
          <w:color w:val="000000"/>
        </w:rPr>
        <w:t xml:space="preserve"> </w:t>
      </w:r>
      <w:r w:rsidR="00BF1FF6" w:rsidRPr="00C356A8">
        <w:rPr>
          <w:rFonts w:asciiTheme="minorHAnsi" w:hAnsiTheme="minorHAnsi" w:cstheme="minorHAnsi"/>
          <w:color w:val="000000"/>
        </w:rPr>
        <w:t xml:space="preserve">the use and </w:t>
      </w:r>
      <w:r w:rsidR="00A415DF" w:rsidRPr="00C356A8">
        <w:rPr>
          <w:rFonts w:asciiTheme="minorHAnsi" w:hAnsiTheme="minorHAnsi" w:cstheme="minorHAnsi"/>
          <w:color w:val="000000"/>
        </w:rPr>
        <w:t>attitudes towards</w:t>
      </w:r>
      <w:r w:rsidR="00BF1FF6" w:rsidRPr="00C356A8">
        <w:rPr>
          <w:rFonts w:asciiTheme="minorHAnsi" w:hAnsiTheme="minorHAnsi" w:cstheme="minorHAnsi"/>
          <w:color w:val="000000"/>
        </w:rPr>
        <w:t xml:space="preserve"> us</w:t>
      </w:r>
      <w:r w:rsidR="00657D68" w:rsidRPr="00C356A8">
        <w:rPr>
          <w:rFonts w:asciiTheme="minorHAnsi" w:hAnsiTheme="minorHAnsi" w:cstheme="minorHAnsi"/>
          <w:color w:val="000000"/>
        </w:rPr>
        <w:t>ing</w:t>
      </w:r>
      <w:r w:rsidR="00BF1FF6" w:rsidRPr="00C356A8">
        <w:rPr>
          <w:rFonts w:asciiTheme="minorHAnsi" w:hAnsiTheme="minorHAnsi" w:cstheme="minorHAnsi"/>
          <w:color w:val="000000"/>
        </w:rPr>
        <w:t xml:space="preserve"> non-prescribed </w:t>
      </w:r>
      <w:r w:rsidR="005B4793" w:rsidRPr="00C356A8">
        <w:rPr>
          <w:rFonts w:asciiTheme="minorHAnsi" w:hAnsiTheme="minorHAnsi" w:cstheme="minorHAnsi"/>
          <w:color w:val="000000"/>
        </w:rPr>
        <w:t xml:space="preserve">prescription </w:t>
      </w:r>
      <w:r w:rsidR="00BF1FF6" w:rsidRPr="00C356A8">
        <w:rPr>
          <w:rFonts w:asciiTheme="minorHAnsi" w:hAnsiTheme="minorHAnsi" w:cstheme="minorHAnsi"/>
          <w:color w:val="000000"/>
        </w:rPr>
        <w:t>sedatives and sleeping pills (NP</w:t>
      </w:r>
      <w:r w:rsidR="005B4793" w:rsidRPr="00C356A8">
        <w:rPr>
          <w:rFonts w:asciiTheme="minorHAnsi" w:hAnsiTheme="minorHAnsi" w:cstheme="minorHAnsi"/>
          <w:color w:val="000000"/>
        </w:rPr>
        <w:t>P</w:t>
      </w:r>
      <w:r w:rsidR="00BF1FF6" w:rsidRPr="00C356A8">
        <w:rPr>
          <w:rFonts w:asciiTheme="minorHAnsi" w:hAnsiTheme="minorHAnsi" w:cstheme="minorHAnsi"/>
          <w:color w:val="000000"/>
        </w:rPr>
        <w:t xml:space="preserve">SSP) </w:t>
      </w:r>
      <w:r w:rsidR="00F130FD" w:rsidRPr="00C356A8">
        <w:t xml:space="preserve">in a sample of university students from seven European countries. We also aimed </w:t>
      </w:r>
      <w:r w:rsidR="00BF1FF6" w:rsidRPr="00C356A8">
        <w:rPr>
          <w:rFonts w:asciiTheme="minorHAnsi" w:hAnsiTheme="minorHAnsi" w:cstheme="minorHAnsi"/>
          <w:color w:val="000000"/>
        </w:rPr>
        <w:t xml:space="preserve">to </w:t>
      </w:r>
      <w:r w:rsidRPr="00C356A8">
        <w:rPr>
          <w:rFonts w:asciiTheme="minorHAnsi" w:hAnsiTheme="minorHAnsi" w:cstheme="minorHAnsi"/>
          <w:color w:val="000000"/>
        </w:rPr>
        <w:t>investigate if</w:t>
      </w:r>
      <w:r w:rsidR="00D83AB1" w:rsidRPr="00C356A8">
        <w:rPr>
          <w:rFonts w:asciiTheme="minorHAnsi" w:hAnsiTheme="minorHAnsi" w:cstheme="minorHAnsi"/>
          <w:color w:val="000000"/>
        </w:rPr>
        <w:t xml:space="preserve"> perceptions of peer use </w:t>
      </w:r>
      <w:r w:rsidR="001845A2" w:rsidRPr="00C356A8">
        <w:rPr>
          <w:rFonts w:asciiTheme="minorHAnsi" w:hAnsiTheme="minorHAnsi" w:cstheme="minorHAnsi"/>
          <w:color w:val="000000"/>
        </w:rPr>
        <w:t>(</w:t>
      </w:r>
      <w:r w:rsidR="001845A2" w:rsidRPr="00C356A8">
        <w:t>perceived descriptive norm)</w:t>
      </w:r>
      <w:r w:rsidR="001845A2" w:rsidRPr="00C356A8">
        <w:rPr>
          <w:rFonts w:asciiTheme="minorHAnsi" w:hAnsiTheme="minorHAnsi" w:cstheme="minorHAnsi"/>
          <w:color w:val="000000"/>
        </w:rPr>
        <w:t xml:space="preserve"> </w:t>
      </w:r>
      <w:r w:rsidR="00D83AB1" w:rsidRPr="00C356A8">
        <w:rPr>
          <w:rFonts w:asciiTheme="minorHAnsi" w:hAnsiTheme="minorHAnsi" w:cstheme="minorHAnsi"/>
          <w:color w:val="000000"/>
        </w:rPr>
        <w:t>and peer approval of use</w:t>
      </w:r>
      <w:r w:rsidR="001845A2" w:rsidRPr="00C356A8">
        <w:rPr>
          <w:rFonts w:asciiTheme="minorHAnsi" w:hAnsiTheme="minorHAnsi" w:cstheme="minorHAnsi"/>
          <w:color w:val="000000"/>
        </w:rPr>
        <w:t xml:space="preserve"> (</w:t>
      </w:r>
      <w:r w:rsidR="001845A2" w:rsidRPr="00C356A8">
        <w:t>perceived injunctive norm)</w:t>
      </w:r>
      <w:r w:rsidR="001845A2" w:rsidRPr="00C356A8">
        <w:rPr>
          <w:rFonts w:asciiTheme="minorHAnsi" w:hAnsiTheme="minorHAnsi" w:cstheme="minorHAnsi"/>
          <w:color w:val="000000"/>
        </w:rPr>
        <w:t xml:space="preserve"> </w:t>
      </w:r>
      <w:r w:rsidRPr="00C356A8">
        <w:rPr>
          <w:rFonts w:asciiTheme="minorHAnsi" w:hAnsiTheme="minorHAnsi" w:cstheme="minorHAnsi"/>
          <w:color w:val="000000"/>
        </w:rPr>
        <w:t xml:space="preserve">were </w:t>
      </w:r>
      <w:r w:rsidR="00D83AB1" w:rsidRPr="00C356A8">
        <w:rPr>
          <w:rFonts w:asciiTheme="minorHAnsi" w:hAnsiTheme="minorHAnsi" w:cstheme="minorHAnsi"/>
          <w:color w:val="000000"/>
        </w:rPr>
        <w:t>associated</w:t>
      </w:r>
      <w:r w:rsidR="00EF244A" w:rsidRPr="00C356A8">
        <w:rPr>
          <w:rFonts w:asciiTheme="minorHAnsi" w:hAnsiTheme="minorHAnsi" w:cstheme="minorHAnsi"/>
          <w:color w:val="000000"/>
        </w:rPr>
        <w:t xml:space="preserve"> with personal use and approval of NP</w:t>
      </w:r>
      <w:r w:rsidR="005B4793" w:rsidRPr="00C356A8">
        <w:rPr>
          <w:rFonts w:asciiTheme="minorHAnsi" w:hAnsiTheme="minorHAnsi" w:cstheme="minorHAnsi"/>
          <w:color w:val="000000"/>
        </w:rPr>
        <w:t>P</w:t>
      </w:r>
      <w:r w:rsidR="00EF244A" w:rsidRPr="00C356A8">
        <w:rPr>
          <w:rFonts w:asciiTheme="minorHAnsi" w:hAnsiTheme="minorHAnsi" w:cstheme="minorHAnsi"/>
          <w:color w:val="000000"/>
        </w:rPr>
        <w:t>SSP</w:t>
      </w:r>
      <w:r w:rsidR="00F130FD" w:rsidRPr="00C356A8">
        <w:rPr>
          <w:rFonts w:asciiTheme="minorHAnsi" w:hAnsiTheme="minorHAnsi" w:cstheme="minorHAnsi"/>
          <w:color w:val="000000"/>
        </w:rPr>
        <w:t xml:space="preserve"> use in our study population.</w:t>
      </w:r>
      <w:r w:rsidR="005B4793" w:rsidRPr="00C356A8">
        <w:rPr>
          <w:rFonts w:asciiTheme="minorHAnsi" w:hAnsiTheme="minorHAnsi" w:cstheme="minorHAnsi"/>
          <w:color w:val="000000"/>
        </w:rPr>
        <w:t xml:space="preserve"> </w:t>
      </w:r>
    </w:p>
    <w:p w14:paraId="0C00ADF8" w14:textId="52BD8C62" w:rsidR="005B4793" w:rsidRPr="00C356A8" w:rsidRDefault="005B4793" w:rsidP="00DA1C21">
      <w:pPr>
        <w:autoSpaceDE w:val="0"/>
        <w:autoSpaceDN w:val="0"/>
        <w:adjustRightInd w:val="0"/>
        <w:spacing w:line="360" w:lineRule="auto"/>
        <w:jc w:val="both"/>
        <w:rPr>
          <w:rFonts w:asciiTheme="minorHAnsi" w:hAnsiTheme="minorHAnsi" w:cstheme="minorHAnsi"/>
          <w:color w:val="000000"/>
        </w:rPr>
      </w:pPr>
      <w:r w:rsidRPr="00C356A8">
        <w:rPr>
          <w:rFonts w:asciiTheme="minorHAnsi" w:hAnsiTheme="minorHAnsi" w:cstheme="minorHAnsi"/>
          <w:color w:val="000000"/>
        </w:rPr>
        <w:t>To clarify the terminology employed in this study, NPPSSP is used to describe the non-prescribed use of sedatives and sleeping pills which are only available by prescription. This does not include the use of non-prescription products, such as herbal sedatives, which can be acquired without prescription.</w:t>
      </w:r>
    </w:p>
    <w:p w14:paraId="78D23FB4" w14:textId="125059D8" w:rsidR="00DA307F" w:rsidRPr="00C356A8" w:rsidRDefault="00D50F03" w:rsidP="009733F3">
      <w:pPr>
        <w:autoSpaceDE w:val="0"/>
        <w:autoSpaceDN w:val="0"/>
        <w:adjustRightInd w:val="0"/>
        <w:spacing w:before="240" w:line="360" w:lineRule="auto"/>
        <w:jc w:val="both"/>
        <w:rPr>
          <w:rFonts w:asciiTheme="minorHAnsi" w:hAnsiTheme="minorHAnsi" w:cstheme="minorHAnsi"/>
          <w:b/>
          <w:color w:val="000000"/>
          <w:sz w:val="28"/>
          <w:szCs w:val="28"/>
        </w:rPr>
      </w:pPr>
      <w:r w:rsidRPr="00C356A8">
        <w:rPr>
          <w:rFonts w:asciiTheme="minorHAnsi" w:hAnsiTheme="minorHAnsi" w:cstheme="minorHAnsi"/>
          <w:b/>
          <w:color w:val="000000"/>
          <w:sz w:val="28"/>
          <w:szCs w:val="28"/>
        </w:rPr>
        <w:t xml:space="preserve">2. </w:t>
      </w:r>
      <w:r w:rsidR="008B1BBA" w:rsidRPr="00C356A8">
        <w:rPr>
          <w:rFonts w:asciiTheme="minorHAnsi" w:hAnsiTheme="minorHAnsi" w:cstheme="minorHAnsi"/>
          <w:b/>
          <w:color w:val="000000"/>
          <w:sz w:val="28"/>
          <w:szCs w:val="28"/>
        </w:rPr>
        <w:t xml:space="preserve">Material and </w:t>
      </w:r>
      <w:r w:rsidR="00410337" w:rsidRPr="00C356A8">
        <w:rPr>
          <w:rFonts w:asciiTheme="minorHAnsi" w:hAnsiTheme="minorHAnsi" w:cstheme="minorHAnsi"/>
          <w:b/>
          <w:color w:val="000000"/>
          <w:sz w:val="28"/>
          <w:szCs w:val="28"/>
        </w:rPr>
        <w:t>Methods</w:t>
      </w:r>
    </w:p>
    <w:p w14:paraId="68E054A1" w14:textId="4F4CC8AF" w:rsidR="00785E63" w:rsidRPr="00C356A8" w:rsidRDefault="00785E63" w:rsidP="0073341B">
      <w:pPr>
        <w:pStyle w:val="ListParagraph"/>
        <w:numPr>
          <w:ilvl w:val="1"/>
          <w:numId w:val="9"/>
        </w:numPr>
        <w:autoSpaceDE w:val="0"/>
        <w:autoSpaceDN w:val="0"/>
        <w:adjustRightInd w:val="0"/>
        <w:spacing w:before="120" w:line="360" w:lineRule="auto"/>
        <w:ind w:left="357" w:hanging="357"/>
        <w:jc w:val="both"/>
        <w:rPr>
          <w:rFonts w:asciiTheme="minorHAnsi" w:hAnsiTheme="minorHAnsi" w:cstheme="minorHAnsi"/>
          <w:b/>
          <w:color w:val="000000"/>
        </w:rPr>
      </w:pPr>
      <w:r w:rsidRPr="00C356A8">
        <w:rPr>
          <w:rFonts w:asciiTheme="minorHAnsi" w:hAnsiTheme="minorHAnsi" w:cstheme="minorHAnsi"/>
          <w:b/>
          <w:color w:val="000000"/>
        </w:rPr>
        <w:t>Data</w:t>
      </w:r>
    </w:p>
    <w:p w14:paraId="5FA653C0" w14:textId="33C78F12" w:rsidR="00785E63" w:rsidRPr="00C356A8" w:rsidRDefault="00785E63" w:rsidP="00DA4CF9">
      <w:pPr>
        <w:tabs>
          <w:tab w:val="left" w:pos="1276"/>
        </w:tabs>
        <w:autoSpaceDE w:val="0"/>
        <w:autoSpaceDN w:val="0"/>
        <w:adjustRightInd w:val="0"/>
        <w:spacing w:line="360" w:lineRule="auto"/>
        <w:jc w:val="both"/>
        <w:rPr>
          <w:rFonts w:asciiTheme="minorHAnsi" w:hAnsiTheme="minorHAnsi" w:cstheme="minorHAnsi"/>
          <w:color w:val="000000"/>
        </w:rPr>
      </w:pPr>
      <w:r w:rsidRPr="00C356A8">
        <w:rPr>
          <w:rFonts w:asciiTheme="minorHAnsi" w:hAnsiTheme="minorHAnsi" w:cstheme="minorHAnsi"/>
          <w:color w:val="000000"/>
        </w:rPr>
        <w:t>Th</w:t>
      </w:r>
      <w:r w:rsidR="000D2B18" w:rsidRPr="00C356A8">
        <w:rPr>
          <w:rFonts w:asciiTheme="minorHAnsi" w:hAnsiTheme="minorHAnsi" w:cstheme="minorHAnsi"/>
          <w:color w:val="000000"/>
        </w:rPr>
        <w:t>is</w:t>
      </w:r>
      <w:r w:rsidRPr="00C356A8">
        <w:rPr>
          <w:rFonts w:asciiTheme="minorHAnsi" w:hAnsiTheme="minorHAnsi" w:cstheme="minorHAnsi"/>
          <w:color w:val="000000"/>
        </w:rPr>
        <w:t xml:space="preserve"> analysis is based on data from the ‘Social Norms Intervention for the prevention of Polydrug</w:t>
      </w:r>
      <w:r w:rsidR="00DC06CF" w:rsidRPr="00C356A8">
        <w:rPr>
          <w:rFonts w:asciiTheme="minorHAnsi" w:hAnsiTheme="minorHAnsi" w:cstheme="minorHAnsi"/>
          <w:color w:val="000000"/>
        </w:rPr>
        <w:t xml:space="preserve"> </w:t>
      </w:r>
      <w:proofErr w:type="spellStart"/>
      <w:r w:rsidRPr="00C356A8">
        <w:rPr>
          <w:rFonts w:asciiTheme="minorHAnsi" w:hAnsiTheme="minorHAnsi" w:cstheme="minorHAnsi"/>
          <w:color w:val="000000"/>
        </w:rPr>
        <w:t>usE</w:t>
      </w:r>
      <w:proofErr w:type="spellEnd"/>
      <w:r w:rsidRPr="00C356A8">
        <w:rPr>
          <w:rFonts w:asciiTheme="minorHAnsi" w:hAnsiTheme="minorHAnsi" w:cstheme="minorHAnsi"/>
          <w:color w:val="000000"/>
        </w:rPr>
        <w:t>’ (SNIPE)</w:t>
      </w:r>
      <w:r w:rsidR="00FC6ABB" w:rsidRPr="00C356A8">
        <w:rPr>
          <w:rFonts w:asciiTheme="minorHAnsi" w:hAnsiTheme="minorHAnsi" w:cstheme="minorHAnsi"/>
          <w:color w:val="000000"/>
        </w:rPr>
        <w:t xml:space="preserve"> </w:t>
      </w:r>
      <w:r w:rsidRPr="00C356A8">
        <w:rPr>
          <w:rFonts w:asciiTheme="minorHAnsi" w:hAnsiTheme="minorHAnsi" w:cstheme="minorHAnsi"/>
          <w:color w:val="000000"/>
        </w:rPr>
        <w:t xml:space="preserve">project funded by the European Commission (LS/2009-2010/DPIP/AG). SNIPE was a cross-national study including students from universities in Belgium, Denmark, Germany, the Slovak Republic, Spain, Turkey, and the United Kingdom (UK). An overview of the SNIPE study is provided by </w:t>
      </w:r>
      <w:proofErr w:type="spellStart"/>
      <w:r w:rsidRPr="00C356A8">
        <w:rPr>
          <w:rFonts w:asciiTheme="minorHAnsi" w:hAnsiTheme="minorHAnsi" w:cstheme="minorHAnsi"/>
          <w:color w:val="000000"/>
        </w:rPr>
        <w:t>Pischke</w:t>
      </w:r>
      <w:proofErr w:type="spellEnd"/>
      <w:r w:rsidRPr="00C356A8">
        <w:rPr>
          <w:rFonts w:asciiTheme="minorHAnsi" w:hAnsiTheme="minorHAnsi" w:cstheme="minorHAnsi"/>
          <w:color w:val="000000"/>
        </w:rPr>
        <w:t xml:space="preserve"> and colleagues </w:t>
      </w:r>
      <w:r w:rsidR="00100017" w:rsidRPr="00C356A8">
        <w:rPr>
          <w:rFonts w:asciiTheme="minorHAnsi" w:hAnsiTheme="minorHAnsi" w:cstheme="minorHAnsi"/>
          <w:noProof/>
          <w:color w:val="000000"/>
        </w:rPr>
        <w:t>(2012)</w:t>
      </w:r>
      <w:r w:rsidRPr="00C356A8">
        <w:rPr>
          <w:rFonts w:asciiTheme="minorHAnsi" w:hAnsiTheme="minorHAnsi" w:cstheme="minorHAnsi"/>
          <w:color w:val="000000"/>
        </w:rPr>
        <w:t xml:space="preserve">. </w:t>
      </w:r>
      <w:r w:rsidR="000D2B18" w:rsidRPr="00C356A8">
        <w:rPr>
          <w:rFonts w:asciiTheme="minorHAnsi" w:hAnsiTheme="minorHAnsi" w:cstheme="minorHAnsi"/>
          <w:color w:val="000000"/>
        </w:rPr>
        <w:t>In brief</w:t>
      </w:r>
      <w:r w:rsidRPr="00C356A8">
        <w:rPr>
          <w:rFonts w:asciiTheme="minorHAnsi" w:hAnsiTheme="minorHAnsi" w:cstheme="minorHAnsi"/>
          <w:color w:val="000000"/>
        </w:rPr>
        <w:t>, SNIPE aimed to test the feasibility of a web-</w:t>
      </w:r>
      <w:r w:rsidRPr="00C356A8">
        <w:rPr>
          <w:rFonts w:asciiTheme="minorHAnsi" w:hAnsiTheme="minorHAnsi" w:cstheme="minorHAnsi"/>
          <w:color w:val="000000"/>
        </w:rPr>
        <w:lastRenderedPageBreak/>
        <w:t>based, personalized ‘social norms’-feedbac</w:t>
      </w:r>
      <w:r w:rsidR="000D2B18" w:rsidRPr="00C356A8">
        <w:rPr>
          <w:rFonts w:asciiTheme="minorHAnsi" w:hAnsiTheme="minorHAnsi" w:cstheme="minorHAnsi"/>
          <w:color w:val="000000"/>
        </w:rPr>
        <w:t>k</w:t>
      </w:r>
      <w:r w:rsidRPr="00C356A8">
        <w:rPr>
          <w:rFonts w:asciiTheme="minorHAnsi" w:hAnsiTheme="minorHAnsi" w:cstheme="minorHAnsi"/>
          <w:color w:val="000000"/>
        </w:rPr>
        <w:t xml:space="preserve"> for the prevention of licit and illicit substance use for European university students. Participants were recruited from one or more designated intervention and delayed-intervention control universit</w:t>
      </w:r>
      <w:r w:rsidR="00C64808" w:rsidRPr="00C356A8">
        <w:rPr>
          <w:rFonts w:asciiTheme="minorHAnsi" w:hAnsiTheme="minorHAnsi" w:cstheme="minorHAnsi"/>
          <w:color w:val="000000"/>
        </w:rPr>
        <w:t>ies</w:t>
      </w:r>
      <w:r w:rsidRPr="00C356A8">
        <w:rPr>
          <w:rFonts w:asciiTheme="minorHAnsi" w:hAnsiTheme="minorHAnsi" w:cstheme="minorHAnsi"/>
          <w:color w:val="000000"/>
        </w:rPr>
        <w:t xml:space="preserve"> (21 sites in total)</w:t>
      </w:r>
      <w:r w:rsidR="008E0DC3" w:rsidRPr="00C356A8">
        <w:rPr>
          <w:rFonts w:asciiTheme="minorHAnsi" w:hAnsiTheme="minorHAnsi" w:cstheme="minorHAnsi"/>
          <w:color w:val="000000"/>
        </w:rPr>
        <w:t xml:space="preserve"> </w:t>
      </w:r>
      <w:r w:rsidR="00B30DD2" w:rsidRPr="00C356A8">
        <w:rPr>
          <w:rFonts w:asciiTheme="minorHAnsi" w:hAnsiTheme="minorHAnsi" w:cstheme="minorHAnsi"/>
          <w:noProof/>
          <w:color w:val="000000"/>
        </w:rPr>
        <w:t>(</w:t>
      </w:r>
      <w:r w:rsidR="00BD6923" w:rsidRPr="00C356A8">
        <w:rPr>
          <w:rFonts w:asciiTheme="minorHAnsi" w:hAnsiTheme="minorHAnsi" w:cstheme="minorHAnsi"/>
          <w:noProof/>
          <w:color w:val="000000"/>
        </w:rPr>
        <w:t>McAlaney, et al., 2015</w:t>
      </w:r>
      <w:r w:rsidR="00B30DD2" w:rsidRPr="00C356A8">
        <w:rPr>
          <w:rFonts w:asciiTheme="minorHAnsi" w:hAnsiTheme="minorHAnsi" w:cstheme="minorHAnsi"/>
          <w:noProof/>
          <w:color w:val="000000"/>
        </w:rPr>
        <w:t>)</w:t>
      </w:r>
      <w:r w:rsidRPr="00C356A8">
        <w:rPr>
          <w:rFonts w:asciiTheme="minorHAnsi" w:hAnsiTheme="minorHAnsi" w:cstheme="minorHAnsi"/>
          <w:color w:val="000000"/>
        </w:rPr>
        <w:t xml:space="preserve">. Recruitment methods </w:t>
      </w:r>
      <w:r w:rsidR="0036131D" w:rsidRPr="00C356A8">
        <w:rPr>
          <w:rFonts w:asciiTheme="minorHAnsi" w:hAnsiTheme="minorHAnsi" w:cstheme="minorHAnsi"/>
          <w:color w:val="000000"/>
        </w:rPr>
        <w:t>aimed at increasing students’</w:t>
      </w:r>
      <w:r w:rsidRPr="00C356A8">
        <w:rPr>
          <w:rFonts w:asciiTheme="minorHAnsi" w:hAnsiTheme="minorHAnsi" w:cstheme="minorHAnsi"/>
          <w:color w:val="000000"/>
        </w:rPr>
        <w:t xml:space="preserve"> regist</w:t>
      </w:r>
      <w:r w:rsidR="0036131D" w:rsidRPr="00C356A8">
        <w:rPr>
          <w:rFonts w:asciiTheme="minorHAnsi" w:hAnsiTheme="minorHAnsi" w:cstheme="minorHAnsi"/>
          <w:color w:val="000000"/>
        </w:rPr>
        <w:t>rations</w:t>
      </w:r>
      <w:r w:rsidRPr="00C356A8">
        <w:rPr>
          <w:rFonts w:asciiTheme="minorHAnsi" w:hAnsiTheme="minorHAnsi" w:cstheme="minorHAnsi"/>
          <w:color w:val="000000"/>
        </w:rPr>
        <w:t xml:space="preserve"> on the survey website varied between countries and included, inter alia, emails, classroom announcements, social media, and printed flyers. Students who registered on the website received an email including a hyperlink to the survey webpage. Study participation was voluntary</w:t>
      </w:r>
      <w:r w:rsidR="00107F49" w:rsidRPr="00C356A8">
        <w:rPr>
          <w:rFonts w:asciiTheme="minorHAnsi" w:hAnsiTheme="minorHAnsi" w:cstheme="minorHAnsi"/>
          <w:color w:val="000000"/>
        </w:rPr>
        <w:t>,</w:t>
      </w:r>
      <w:r w:rsidRPr="00C356A8">
        <w:rPr>
          <w:rFonts w:asciiTheme="minorHAnsi" w:hAnsiTheme="minorHAnsi" w:cstheme="minorHAnsi"/>
          <w:color w:val="000000"/>
        </w:rPr>
        <w:t xml:space="preserve"> and participants’ information was pseudonymized. For the analysis reported in this manuscript, baseline data from both</w:t>
      </w:r>
      <w:r w:rsidR="009064FE" w:rsidRPr="00C356A8">
        <w:rPr>
          <w:rFonts w:asciiTheme="minorHAnsi" w:hAnsiTheme="minorHAnsi" w:cstheme="minorHAnsi"/>
          <w:color w:val="000000"/>
        </w:rPr>
        <w:t>,</w:t>
      </w:r>
      <w:r w:rsidRPr="00C356A8">
        <w:rPr>
          <w:rFonts w:asciiTheme="minorHAnsi" w:hAnsiTheme="minorHAnsi" w:cstheme="minorHAnsi"/>
          <w:color w:val="000000"/>
        </w:rPr>
        <w:t xml:space="preserve"> students at intervention and students at delayed-intervention control universities</w:t>
      </w:r>
      <w:r w:rsidR="00F76E8F" w:rsidRPr="00C356A8">
        <w:rPr>
          <w:rFonts w:asciiTheme="minorHAnsi" w:hAnsiTheme="minorHAnsi" w:cstheme="minorHAnsi"/>
          <w:color w:val="000000"/>
        </w:rPr>
        <w:t>,</w:t>
      </w:r>
      <w:r w:rsidRPr="00C356A8">
        <w:rPr>
          <w:rFonts w:asciiTheme="minorHAnsi" w:hAnsiTheme="minorHAnsi" w:cstheme="minorHAnsi"/>
          <w:color w:val="000000"/>
        </w:rPr>
        <w:t xml:space="preserve"> were considered. Statistical analysis was conducted on an anonymized dataset. For each site participating in the SNIPE project, ethical approval was obtained from the respective responsible authorities. Participants answered questions on their personal use of licit (</w:t>
      </w:r>
      <w:r w:rsidR="0036657A" w:rsidRPr="00C356A8">
        <w:rPr>
          <w:rFonts w:asciiTheme="minorHAnsi" w:hAnsiTheme="minorHAnsi" w:cstheme="minorHAnsi"/>
          <w:color w:val="000000"/>
        </w:rPr>
        <w:t xml:space="preserve">i.e., </w:t>
      </w:r>
      <w:r w:rsidRPr="00C356A8">
        <w:rPr>
          <w:rFonts w:asciiTheme="minorHAnsi" w:hAnsiTheme="minorHAnsi" w:cstheme="minorHAnsi"/>
          <w:color w:val="000000"/>
        </w:rPr>
        <w:t xml:space="preserve">alcohol, tobacco), and illicit substances (e.g., cocaine, ecstasy, amphetamines), as well as on their personal use of </w:t>
      </w:r>
      <w:r w:rsidR="005B4793" w:rsidRPr="00C356A8">
        <w:rPr>
          <w:rFonts w:asciiTheme="minorHAnsi" w:hAnsiTheme="minorHAnsi" w:cstheme="minorHAnsi"/>
          <w:color w:val="000000"/>
        </w:rPr>
        <w:t xml:space="preserve">non-prescribed prescription </w:t>
      </w:r>
      <w:r w:rsidR="00F76E8F" w:rsidRPr="00C356A8">
        <w:rPr>
          <w:rFonts w:asciiTheme="minorHAnsi" w:hAnsiTheme="minorHAnsi" w:cstheme="minorHAnsi"/>
          <w:color w:val="000000"/>
        </w:rPr>
        <w:t>substances</w:t>
      </w:r>
      <w:r w:rsidRPr="00C356A8">
        <w:rPr>
          <w:rFonts w:asciiTheme="minorHAnsi" w:hAnsiTheme="minorHAnsi" w:cstheme="minorHAnsi"/>
          <w:color w:val="000000"/>
        </w:rPr>
        <w:t xml:space="preserve"> to improve academic performance and NP</w:t>
      </w:r>
      <w:r w:rsidR="005B4793" w:rsidRPr="00C356A8">
        <w:rPr>
          <w:rFonts w:asciiTheme="minorHAnsi" w:hAnsiTheme="minorHAnsi" w:cstheme="minorHAnsi"/>
          <w:color w:val="000000"/>
        </w:rPr>
        <w:t>P</w:t>
      </w:r>
      <w:r w:rsidRPr="00C356A8">
        <w:rPr>
          <w:rFonts w:asciiTheme="minorHAnsi" w:hAnsiTheme="minorHAnsi" w:cstheme="minorHAnsi"/>
          <w:color w:val="000000"/>
        </w:rPr>
        <w:t xml:space="preserve">SSP. Further questions related to the students’ personal attitudes towards use of the </w:t>
      </w:r>
      <w:proofErr w:type="gramStart"/>
      <w:r w:rsidRPr="00C356A8">
        <w:rPr>
          <w:rFonts w:asciiTheme="minorHAnsi" w:hAnsiTheme="minorHAnsi" w:cstheme="minorHAnsi"/>
          <w:color w:val="000000"/>
        </w:rPr>
        <w:t>aforementioned substances</w:t>
      </w:r>
      <w:proofErr w:type="gramEnd"/>
      <w:r w:rsidRPr="00C356A8">
        <w:rPr>
          <w:rFonts w:asciiTheme="minorHAnsi" w:hAnsiTheme="minorHAnsi" w:cstheme="minorHAnsi"/>
          <w:color w:val="000000"/>
        </w:rPr>
        <w:t xml:space="preserve">. Moreover, perceptions of peer substance use and attitudes towards substance use were assessed. Demographic questions, such as on the participants’ age, </w:t>
      </w:r>
      <w:r w:rsidR="00477A70" w:rsidRPr="00C356A8">
        <w:rPr>
          <w:rFonts w:asciiTheme="minorHAnsi" w:hAnsiTheme="minorHAnsi" w:cstheme="minorHAnsi"/>
          <w:color w:val="000000"/>
        </w:rPr>
        <w:t>sex</w:t>
      </w:r>
      <w:r w:rsidRPr="00C356A8">
        <w:rPr>
          <w:rFonts w:asciiTheme="minorHAnsi" w:hAnsiTheme="minorHAnsi" w:cstheme="minorHAnsi"/>
          <w:color w:val="000000"/>
        </w:rPr>
        <w:t>, migrant status, and living situation (living with or without other students)</w:t>
      </w:r>
      <w:r w:rsidR="00C6043F" w:rsidRPr="00C356A8">
        <w:rPr>
          <w:rFonts w:asciiTheme="minorHAnsi" w:hAnsiTheme="minorHAnsi" w:cstheme="minorHAnsi"/>
          <w:color w:val="000000"/>
        </w:rPr>
        <w:t>,</w:t>
      </w:r>
      <w:r w:rsidRPr="00C356A8">
        <w:rPr>
          <w:rFonts w:asciiTheme="minorHAnsi" w:hAnsiTheme="minorHAnsi" w:cstheme="minorHAnsi"/>
          <w:color w:val="000000"/>
        </w:rPr>
        <w:t xml:space="preserve"> were also included.</w:t>
      </w:r>
    </w:p>
    <w:p w14:paraId="55293F24" w14:textId="24BE9741" w:rsidR="00785E63" w:rsidRPr="00C356A8" w:rsidRDefault="00D50F03" w:rsidP="009733F3">
      <w:pPr>
        <w:autoSpaceDE w:val="0"/>
        <w:autoSpaceDN w:val="0"/>
        <w:adjustRightInd w:val="0"/>
        <w:spacing w:before="120" w:line="360" w:lineRule="auto"/>
        <w:jc w:val="both"/>
        <w:rPr>
          <w:rFonts w:asciiTheme="minorHAnsi" w:hAnsiTheme="minorHAnsi" w:cstheme="minorHAnsi"/>
          <w:b/>
          <w:color w:val="000000"/>
        </w:rPr>
      </w:pPr>
      <w:r w:rsidRPr="00C356A8">
        <w:rPr>
          <w:rFonts w:asciiTheme="minorHAnsi" w:hAnsiTheme="minorHAnsi" w:cstheme="minorHAnsi"/>
          <w:b/>
          <w:color w:val="000000"/>
        </w:rPr>
        <w:t xml:space="preserve">2.2 </w:t>
      </w:r>
      <w:r w:rsidR="00785E63" w:rsidRPr="00C356A8">
        <w:rPr>
          <w:rFonts w:asciiTheme="minorHAnsi" w:hAnsiTheme="minorHAnsi" w:cstheme="minorHAnsi"/>
          <w:b/>
          <w:color w:val="000000"/>
        </w:rPr>
        <w:t>Measurements</w:t>
      </w:r>
    </w:p>
    <w:p w14:paraId="62670852" w14:textId="578922E0" w:rsidR="00785E63" w:rsidRPr="00C356A8" w:rsidRDefault="00785E63" w:rsidP="00E36581">
      <w:pPr>
        <w:autoSpaceDE w:val="0"/>
        <w:autoSpaceDN w:val="0"/>
        <w:adjustRightInd w:val="0"/>
        <w:spacing w:line="360" w:lineRule="auto"/>
        <w:jc w:val="both"/>
        <w:rPr>
          <w:rFonts w:asciiTheme="minorHAnsi" w:hAnsiTheme="minorHAnsi" w:cstheme="minorHAnsi"/>
          <w:color w:val="000000"/>
        </w:rPr>
      </w:pPr>
      <w:r w:rsidRPr="00C356A8">
        <w:rPr>
          <w:rFonts w:asciiTheme="minorHAnsi" w:hAnsiTheme="minorHAnsi" w:cstheme="minorHAnsi"/>
          <w:color w:val="000000"/>
        </w:rPr>
        <w:t>Students’ personal use of NP</w:t>
      </w:r>
      <w:r w:rsidR="005B4793" w:rsidRPr="00C356A8">
        <w:rPr>
          <w:rFonts w:asciiTheme="minorHAnsi" w:hAnsiTheme="minorHAnsi" w:cstheme="minorHAnsi"/>
          <w:color w:val="000000"/>
        </w:rPr>
        <w:t>P</w:t>
      </w:r>
      <w:r w:rsidRPr="00C356A8">
        <w:rPr>
          <w:rFonts w:asciiTheme="minorHAnsi" w:hAnsiTheme="minorHAnsi" w:cstheme="minorHAnsi"/>
          <w:color w:val="000000"/>
        </w:rPr>
        <w:t xml:space="preserve">SSP was measured by asking how often they used sedatives or sleeping pills which were not prescribed, followed by a list of </w:t>
      </w:r>
      <w:r w:rsidR="00045750" w:rsidRPr="00C356A8">
        <w:rPr>
          <w:rFonts w:asciiTheme="minorHAnsi" w:hAnsiTheme="minorHAnsi" w:cstheme="minorHAnsi"/>
          <w:color w:val="000000"/>
        </w:rPr>
        <w:t>registered local trade names of prescription sedatives and sleeping pills</w:t>
      </w:r>
      <w:r w:rsidR="00E60BDA" w:rsidRPr="00C356A8">
        <w:rPr>
          <w:rFonts w:asciiTheme="minorHAnsi" w:hAnsiTheme="minorHAnsi" w:cstheme="minorHAnsi"/>
          <w:color w:val="000000"/>
        </w:rPr>
        <w:t xml:space="preserve"> as </w:t>
      </w:r>
      <w:r w:rsidRPr="00C356A8">
        <w:rPr>
          <w:rFonts w:asciiTheme="minorHAnsi" w:hAnsiTheme="minorHAnsi" w:cstheme="minorHAnsi"/>
          <w:color w:val="000000"/>
        </w:rPr>
        <w:t>examples</w:t>
      </w:r>
      <w:r w:rsidR="00E60BDA" w:rsidRPr="00C356A8">
        <w:rPr>
          <w:rFonts w:asciiTheme="minorHAnsi" w:hAnsiTheme="minorHAnsi" w:cstheme="minorHAnsi"/>
          <w:color w:val="000000"/>
        </w:rPr>
        <w:t xml:space="preserve"> (e.g., diazepam, alprazolam, flunitrazepam, midazolam, </w:t>
      </w:r>
      <w:proofErr w:type="spellStart"/>
      <w:r w:rsidR="00E60BDA" w:rsidRPr="00C356A8">
        <w:rPr>
          <w:rFonts w:asciiTheme="minorHAnsi" w:hAnsiTheme="minorHAnsi" w:cstheme="minorHAnsi"/>
          <w:color w:val="000000"/>
        </w:rPr>
        <w:t>stilnoct</w:t>
      </w:r>
      <w:proofErr w:type="spellEnd"/>
      <w:r w:rsidR="00E60BDA" w:rsidRPr="00C356A8">
        <w:rPr>
          <w:rFonts w:asciiTheme="minorHAnsi" w:hAnsiTheme="minorHAnsi" w:cstheme="minorHAnsi"/>
          <w:color w:val="000000"/>
        </w:rPr>
        <w:t xml:space="preserve">). </w:t>
      </w:r>
      <w:r w:rsidRPr="00C356A8">
        <w:rPr>
          <w:rFonts w:asciiTheme="minorHAnsi" w:hAnsiTheme="minorHAnsi" w:cstheme="minorHAnsi"/>
          <w:color w:val="000000"/>
        </w:rPr>
        <w:t>Perceptions of peer NP</w:t>
      </w:r>
      <w:r w:rsidR="00045750" w:rsidRPr="00C356A8">
        <w:rPr>
          <w:rFonts w:asciiTheme="minorHAnsi" w:hAnsiTheme="minorHAnsi" w:cstheme="minorHAnsi"/>
          <w:color w:val="000000"/>
        </w:rPr>
        <w:t>P</w:t>
      </w:r>
      <w:r w:rsidRPr="00C356A8">
        <w:rPr>
          <w:rFonts w:asciiTheme="minorHAnsi" w:hAnsiTheme="minorHAnsi" w:cstheme="minorHAnsi"/>
          <w:color w:val="000000"/>
        </w:rPr>
        <w:t>SSP use</w:t>
      </w:r>
      <w:r w:rsidR="00BE29F7" w:rsidRPr="00C356A8">
        <w:rPr>
          <w:rFonts w:asciiTheme="minorHAnsi" w:hAnsiTheme="minorHAnsi" w:cstheme="minorHAnsi"/>
          <w:color w:val="000000"/>
        </w:rPr>
        <w:t xml:space="preserve"> (perceived descriptive norm)</w:t>
      </w:r>
      <w:r w:rsidRPr="00C356A8">
        <w:rPr>
          <w:rFonts w:asciiTheme="minorHAnsi" w:hAnsiTheme="minorHAnsi" w:cstheme="minorHAnsi"/>
          <w:color w:val="000000"/>
        </w:rPr>
        <w:t xml:space="preserve"> were assessed by asking students</w:t>
      </w:r>
      <w:r w:rsidR="00ED35EA" w:rsidRPr="00C356A8">
        <w:rPr>
          <w:rFonts w:asciiTheme="minorHAnsi" w:hAnsiTheme="minorHAnsi" w:cstheme="minorHAnsi"/>
          <w:color w:val="000000"/>
        </w:rPr>
        <w:t xml:space="preserve"> </w:t>
      </w:r>
      <w:r w:rsidR="000C656E" w:rsidRPr="00C356A8">
        <w:rPr>
          <w:rFonts w:asciiTheme="minorHAnsi" w:hAnsiTheme="minorHAnsi" w:cstheme="minorHAnsi"/>
          <w:color w:val="000000"/>
        </w:rPr>
        <w:t>h</w:t>
      </w:r>
      <w:r w:rsidRPr="00C356A8">
        <w:rPr>
          <w:rFonts w:asciiTheme="minorHAnsi" w:hAnsiTheme="minorHAnsi" w:cstheme="minorHAnsi"/>
          <w:color w:val="000000"/>
        </w:rPr>
        <w:t xml:space="preserve">ow often in the last two months </w:t>
      </w:r>
      <w:r w:rsidR="000C656E" w:rsidRPr="00C356A8">
        <w:rPr>
          <w:rFonts w:asciiTheme="minorHAnsi" w:hAnsiTheme="minorHAnsi" w:cstheme="minorHAnsi"/>
          <w:color w:val="000000"/>
        </w:rPr>
        <w:t>they</w:t>
      </w:r>
      <w:r w:rsidRPr="00C356A8">
        <w:rPr>
          <w:rFonts w:asciiTheme="minorHAnsi" w:hAnsiTheme="minorHAnsi" w:cstheme="minorHAnsi"/>
          <w:color w:val="000000"/>
        </w:rPr>
        <w:t xml:space="preserve"> think most (at least 51%) of the [</w:t>
      </w:r>
      <w:r w:rsidR="009064FE" w:rsidRPr="00C356A8">
        <w:rPr>
          <w:rFonts w:asciiTheme="minorHAnsi" w:hAnsiTheme="minorHAnsi" w:cstheme="minorHAnsi"/>
          <w:color w:val="000000"/>
        </w:rPr>
        <w:t>female in case of a female respondent/male in case of a male respondent</w:t>
      </w:r>
      <w:r w:rsidRPr="00C356A8">
        <w:rPr>
          <w:rFonts w:asciiTheme="minorHAnsi" w:hAnsiTheme="minorHAnsi" w:cstheme="minorHAnsi"/>
          <w:color w:val="000000"/>
        </w:rPr>
        <w:t xml:space="preserve">] students at </w:t>
      </w:r>
      <w:r w:rsidR="000C656E" w:rsidRPr="00C356A8">
        <w:rPr>
          <w:rFonts w:asciiTheme="minorHAnsi" w:hAnsiTheme="minorHAnsi" w:cstheme="minorHAnsi"/>
          <w:color w:val="000000"/>
        </w:rPr>
        <w:t xml:space="preserve">their </w:t>
      </w:r>
      <w:r w:rsidRPr="00C356A8">
        <w:rPr>
          <w:rFonts w:asciiTheme="minorHAnsi" w:hAnsiTheme="minorHAnsi" w:cstheme="minorHAnsi"/>
          <w:color w:val="000000"/>
        </w:rPr>
        <w:t xml:space="preserve">university have used </w:t>
      </w:r>
      <w:r w:rsidR="00E325EE" w:rsidRPr="00C356A8">
        <w:rPr>
          <w:rFonts w:asciiTheme="minorHAnsi" w:hAnsiTheme="minorHAnsi" w:cstheme="minorHAnsi"/>
          <w:color w:val="000000"/>
        </w:rPr>
        <w:t xml:space="preserve">sedatives or sleeping pills which were not prescribed, followed by a list of </w:t>
      </w:r>
      <w:r w:rsidR="00045750" w:rsidRPr="00C356A8">
        <w:rPr>
          <w:rFonts w:asciiTheme="minorHAnsi" w:hAnsiTheme="minorHAnsi" w:cstheme="minorHAnsi"/>
          <w:color w:val="000000"/>
        </w:rPr>
        <w:t>registered local trade names of prescription sedatives and sleeping pills as examples</w:t>
      </w:r>
      <w:r w:rsidR="00E325EE" w:rsidRPr="00C356A8">
        <w:rPr>
          <w:rFonts w:asciiTheme="minorHAnsi" w:hAnsiTheme="minorHAnsi" w:cstheme="minorHAnsi"/>
          <w:color w:val="000000"/>
        </w:rPr>
        <w:t xml:space="preserve"> (e.g., diazepam, alprazolam, flunitrazepam, midazolam, </w:t>
      </w:r>
      <w:proofErr w:type="spellStart"/>
      <w:r w:rsidR="00E325EE" w:rsidRPr="00C356A8">
        <w:rPr>
          <w:rFonts w:asciiTheme="minorHAnsi" w:hAnsiTheme="minorHAnsi" w:cstheme="minorHAnsi"/>
          <w:color w:val="000000"/>
        </w:rPr>
        <w:t>stilnoct</w:t>
      </w:r>
      <w:proofErr w:type="spellEnd"/>
      <w:r w:rsidR="00E325EE" w:rsidRPr="00C356A8">
        <w:rPr>
          <w:rFonts w:asciiTheme="minorHAnsi" w:hAnsiTheme="minorHAnsi" w:cstheme="minorHAnsi"/>
          <w:color w:val="000000"/>
        </w:rPr>
        <w:t>)</w:t>
      </w:r>
      <w:r w:rsidRPr="00C356A8">
        <w:rPr>
          <w:rFonts w:asciiTheme="minorHAnsi" w:hAnsiTheme="minorHAnsi" w:cstheme="minorHAnsi"/>
          <w:color w:val="000000"/>
        </w:rPr>
        <w:t xml:space="preserve">. These questions were tailored to the same sex and university of the respondents. Response options for both questions </w:t>
      </w:r>
      <w:r w:rsidR="0018789B" w:rsidRPr="00C356A8">
        <w:rPr>
          <w:rFonts w:asciiTheme="minorHAnsi" w:hAnsiTheme="minorHAnsi" w:cstheme="minorHAnsi"/>
          <w:color w:val="000000"/>
        </w:rPr>
        <w:t>were</w:t>
      </w:r>
      <w:r w:rsidRPr="00C356A8">
        <w:rPr>
          <w:rFonts w:asciiTheme="minorHAnsi" w:hAnsiTheme="minorHAnsi" w:cstheme="minorHAnsi"/>
          <w:color w:val="000000"/>
        </w:rPr>
        <w:t xml:space="preserve"> ‘Never in my/their life’, ‘Have used but not in the last two months’</w:t>
      </w:r>
      <w:r w:rsidR="0018789B" w:rsidRPr="00C356A8">
        <w:rPr>
          <w:rFonts w:asciiTheme="minorHAnsi" w:hAnsiTheme="minorHAnsi" w:cstheme="minorHAnsi"/>
          <w:color w:val="000000"/>
        </w:rPr>
        <w:t>, ‘Once in the last two months’, ‘</w:t>
      </w:r>
      <w:r w:rsidR="00E61767" w:rsidRPr="00C356A8">
        <w:rPr>
          <w:rFonts w:asciiTheme="minorHAnsi" w:hAnsiTheme="minorHAnsi" w:cstheme="minorHAnsi"/>
          <w:color w:val="000000"/>
        </w:rPr>
        <w:t>Twice</w:t>
      </w:r>
      <w:r w:rsidR="0018789B" w:rsidRPr="00C356A8">
        <w:rPr>
          <w:rFonts w:asciiTheme="minorHAnsi" w:hAnsiTheme="minorHAnsi" w:cstheme="minorHAnsi"/>
          <w:color w:val="000000"/>
        </w:rPr>
        <w:t xml:space="preserve"> in the last two moths’, ‘Once every two weeks in the last two months’, ‘</w:t>
      </w:r>
      <w:r w:rsidR="00685B0B" w:rsidRPr="00C356A8">
        <w:rPr>
          <w:rFonts w:asciiTheme="minorHAnsi" w:hAnsiTheme="minorHAnsi" w:cstheme="minorHAnsi"/>
          <w:color w:val="000000"/>
        </w:rPr>
        <w:t>Weekly</w:t>
      </w:r>
      <w:r w:rsidR="0018789B" w:rsidRPr="00C356A8">
        <w:rPr>
          <w:rFonts w:asciiTheme="minorHAnsi" w:hAnsiTheme="minorHAnsi" w:cstheme="minorHAnsi"/>
          <w:color w:val="000000"/>
        </w:rPr>
        <w:t>’, ‘</w:t>
      </w:r>
      <w:r w:rsidR="00E61767" w:rsidRPr="00C356A8">
        <w:rPr>
          <w:rFonts w:asciiTheme="minorHAnsi" w:hAnsiTheme="minorHAnsi" w:cstheme="minorHAnsi"/>
          <w:color w:val="000000"/>
        </w:rPr>
        <w:t>Twice</w:t>
      </w:r>
      <w:r w:rsidR="0018789B" w:rsidRPr="00C356A8">
        <w:rPr>
          <w:rFonts w:asciiTheme="minorHAnsi" w:hAnsiTheme="minorHAnsi" w:cstheme="minorHAnsi"/>
          <w:color w:val="000000"/>
        </w:rPr>
        <w:t xml:space="preserve"> a week’, ‘Thr</w:t>
      </w:r>
      <w:r w:rsidR="00685B0B" w:rsidRPr="00C356A8">
        <w:rPr>
          <w:rFonts w:asciiTheme="minorHAnsi" w:hAnsiTheme="minorHAnsi" w:cstheme="minorHAnsi"/>
          <w:color w:val="000000"/>
        </w:rPr>
        <w:t>ice a week</w:t>
      </w:r>
      <w:r w:rsidR="0018789B" w:rsidRPr="00C356A8">
        <w:rPr>
          <w:rFonts w:asciiTheme="minorHAnsi" w:hAnsiTheme="minorHAnsi" w:cstheme="minorHAnsi"/>
          <w:color w:val="000000"/>
        </w:rPr>
        <w:t>’, ‘Four tim</w:t>
      </w:r>
      <w:r w:rsidR="00685B0B" w:rsidRPr="00C356A8">
        <w:rPr>
          <w:rFonts w:asciiTheme="minorHAnsi" w:hAnsiTheme="minorHAnsi" w:cstheme="minorHAnsi"/>
          <w:color w:val="000000"/>
        </w:rPr>
        <w:t>es a week</w:t>
      </w:r>
      <w:r w:rsidR="0018789B" w:rsidRPr="00C356A8">
        <w:rPr>
          <w:rFonts w:asciiTheme="minorHAnsi" w:hAnsiTheme="minorHAnsi" w:cstheme="minorHAnsi"/>
          <w:color w:val="000000"/>
        </w:rPr>
        <w:t xml:space="preserve">’, and </w:t>
      </w:r>
      <w:r w:rsidRPr="00C356A8">
        <w:rPr>
          <w:rFonts w:asciiTheme="minorHAnsi" w:hAnsiTheme="minorHAnsi" w:cstheme="minorHAnsi"/>
          <w:color w:val="000000"/>
        </w:rPr>
        <w:t>‘Every day or nearly every day’. Furthermore, information about students’ personal attitude towards NP</w:t>
      </w:r>
      <w:r w:rsidR="00045750" w:rsidRPr="00C356A8">
        <w:rPr>
          <w:rFonts w:asciiTheme="minorHAnsi" w:hAnsiTheme="minorHAnsi" w:cstheme="minorHAnsi"/>
          <w:color w:val="000000"/>
        </w:rPr>
        <w:t>P</w:t>
      </w:r>
      <w:r w:rsidRPr="00C356A8">
        <w:rPr>
          <w:rFonts w:asciiTheme="minorHAnsi" w:hAnsiTheme="minorHAnsi" w:cstheme="minorHAnsi"/>
          <w:color w:val="000000"/>
        </w:rPr>
        <w:t>SSP use was collected by asking</w:t>
      </w:r>
      <w:r w:rsidR="00105409" w:rsidRPr="00C356A8">
        <w:rPr>
          <w:rFonts w:asciiTheme="minorHAnsi" w:hAnsiTheme="minorHAnsi" w:cstheme="minorHAnsi"/>
          <w:color w:val="000000"/>
        </w:rPr>
        <w:t>:</w:t>
      </w:r>
      <w:r w:rsidRPr="00C356A8">
        <w:rPr>
          <w:rFonts w:asciiTheme="minorHAnsi" w:hAnsiTheme="minorHAnsi" w:cstheme="minorHAnsi"/>
          <w:color w:val="000000"/>
        </w:rPr>
        <w:t xml:space="preserve"> “Which of the following best describes your attitude to using each of these substances?”. Concerning students’ perceptions of attitudes towards </w:t>
      </w:r>
      <w:r w:rsidRPr="00C356A8">
        <w:rPr>
          <w:rFonts w:asciiTheme="minorHAnsi" w:hAnsiTheme="minorHAnsi" w:cstheme="minorHAnsi"/>
          <w:color w:val="000000"/>
        </w:rPr>
        <w:lastRenderedPageBreak/>
        <w:t>using NP</w:t>
      </w:r>
      <w:r w:rsidR="001F0A1E" w:rsidRPr="00C356A8">
        <w:rPr>
          <w:rFonts w:asciiTheme="minorHAnsi" w:hAnsiTheme="minorHAnsi" w:cstheme="minorHAnsi"/>
          <w:color w:val="000000"/>
        </w:rPr>
        <w:t>P</w:t>
      </w:r>
      <w:r w:rsidRPr="00C356A8">
        <w:rPr>
          <w:rFonts w:asciiTheme="minorHAnsi" w:hAnsiTheme="minorHAnsi" w:cstheme="minorHAnsi"/>
          <w:color w:val="000000"/>
        </w:rPr>
        <w:t>SSP among their peers</w:t>
      </w:r>
      <w:r w:rsidR="002511A1" w:rsidRPr="00C356A8">
        <w:rPr>
          <w:rFonts w:asciiTheme="minorHAnsi" w:hAnsiTheme="minorHAnsi" w:cstheme="minorHAnsi"/>
          <w:color w:val="000000"/>
        </w:rPr>
        <w:t xml:space="preserve"> (perceived injunctive norm)</w:t>
      </w:r>
      <w:r w:rsidRPr="00C356A8">
        <w:rPr>
          <w:rFonts w:asciiTheme="minorHAnsi" w:hAnsiTheme="minorHAnsi" w:cstheme="minorHAnsi"/>
          <w:color w:val="000000"/>
        </w:rPr>
        <w:t>, respondents were asked</w:t>
      </w:r>
      <w:r w:rsidR="00105409" w:rsidRPr="00C356A8">
        <w:rPr>
          <w:rFonts w:asciiTheme="minorHAnsi" w:hAnsiTheme="minorHAnsi" w:cstheme="minorHAnsi"/>
          <w:color w:val="000000"/>
        </w:rPr>
        <w:t>:</w:t>
      </w:r>
      <w:r w:rsidRPr="00C356A8">
        <w:rPr>
          <w:rFonts w:asciiTheme="minorHAnsi" w:hAnsiTheme="minorHAnsi" w:cstheme="minorHAnsi"/>
          <w:color w:val="000000"/>
        </w:rPr>
        <w:t xml:space="preserve"> “Which of the following do you think best describes the attitude of most (at least 51%) of the [female/male] students at your university to the use of each of these substances?”. Response options for both questions were ‘Never ok to use’, ‘Ok to use occasionally if it </w:t>
      </w:r>
      <w:r w:rsidR="00F22569" w:rsidRPr="00C356A8">
        <w:rPr>
          <w:rFonts w:asciiTheme="minorHAnsi" w:hAnsiTheme="minorHAnsi" w:cstheme="minorHAnsi"/>
          <w:color w:val="000000"/>
        </w:rPr>
        <w:t xml:space="preserve">doesn’t interfere with </w:t>
      </w:r>
      <w:r w:rsidRPr="00C356A8">
        <w:rPr>
          <w:rFonts w:asciiTheme="minorHAnsi" w:hAnsiTheme="minorHAnsi" w:cstheme="minorHAnsi"/>
          <w:color w:val="000000"/>
        </w:rPr>
        <w:t>work</w:t>
      </w:r>
      <w:r w:rsidR="00F22569" w:rsidRPr="00C356A8">
        <w:rPr>
          <w:rFonts w:asciiTheme="minorHAnsi" w:hAnsiTheme="minorHAnsi" w:cstheme="minorHAnsi"/>
          <w:color w:val="000000"/>
        </w:rPr>
        <w:t xml:space="preserve"> or study</w:t>
      </w:r>
      <w:r w:rsidRPr="00C356A8">
        <w:rPr>
          <w:rFonts w:asciiTheme="minorHAnsi" w:hAnsiTheme="minorHAnsi" w:cstheme="minorHAnsi"/>
          <w:color w:val="000000"/>
        </w:rPr>
        <w:t xml:space="preserve">’, ‘Ok to use frequently if it </w:t>
      </w:r>
      <w:r w:rsidR="00F22569" w:rsidRPr="00C356A8">
        <w:rPr>
          <w:rFonts w:asciiTheme="minorHAnsi" w:hAnsiTheme="minorHAnsi" w:cstheme="minorHAnsi"/>
          <w:color w:val="000000"/>
        </w:rPr>
        <w:t xml:space="preserve">doesn’t interfere with </w:t>
      </w:r>
      <w:r w:rsidRPr="00C356A8">
        <w:rPr>
          <w:rFonts w:asciiTheme="minorHAnsi" w:hAnsiTheme="minorHAnsi" w:cstheme="minorHAnsi"/>
          <w:color w:val="000000"/>
        </w:rPr>
        <w:t>work</w:t>
      </w:r>
      <w:r w:rsidR="00F22569" w:rsidRPr="00C356A8">
        <w:rPr>
          <w:rFonts w:asciiTheme="minorHAnsi" w:hAnsiTheme="minorHAnsi" w:cstheme="minorHAnsi"/>
          <w:color w:val="000000"/>
        </w:rPr>
        <w:t xml:space="preserve"> or study</w:t>
      </w:r>
      <w:r w:rsidRPr="00C356A8">
        <w:rPr>
          <w:rFonts w:asciiTheme="minorHAnsi" w:hAnsiTheme="minorHAnsi" w:cstheme="minorHAnsi"/>
          <w:color w:val="000000"/>
        </w:rPr>
        <w:t xml:space="preserve">’, ‘Ok to use occasionally even if </w:t>
      </w:r>
      <w:r w:rsidR="00F22569" w:rsidRPr="00C356A8">
        <w:rPr>
          <w:rFonts w:asciiTheme="minorHAnsi" w:hAnsiTheme="minorHAnsi" w:cstheme="minorHAnsi"/>
          <w:color w:val="000000"/>
        </w:rPr>
        <w:t xml:space="preserve">it does interfere with </w:t>
      </w:r>
      <w:r w:rsidRPr="00C356A8">
        <w:rPr>
          <w:rFonts w:asciiTheme="minorHAnsi" w:hAnsiTheme="minorHAnsi" w:cstheme="minorHAnsi"/>
          <w:color w:val="000000"/>
        </w:rPr>
        <w:t>work</w:t>
      </w:r>
      <w:r w:rsidR="00F22569" w:rsidRPr="00C356A8">
        <w:rPr>
          <w:rFonts w:asciiTheme="minorHAnsi" w:hAnsiTheme="minorHAnsi" w:cstheme="minorHAnsi"/>
          <w:color w:val="000000"/>
        </w:rPr>
        <w:t xml:space="preserve"> or study</w:t>
      </w:r>
      <w:r w:rsidRPr="00C356A8">
        <w:rPr>
          <w:rFonts w:asciiTheme="minorHAnsi" w:hAnsiTheme="minorHAnsi" w:cstheme="minorHAnsi"/>
          <w:color w:val="000000"/>
        </w:rPr>
        <w:t>’, and ‘Ok to use frequently if that is what the person wants to do’. Country, sex, age, year of study, and living situation were considered as potential determinants of NP</w:t>
      </w:r>
      <w:r w:rsidR="001F0A1E" w:rsidRPr="00C356A8">
        <w:rPr>
          <w:rFonts w:asciiTheme="minorHAnsi" w:hAnsiTheme="minorHAnsi" w:cstheme="minorHAnsi"/>
          <w:color w:val="000000"/>
        </w:rPr>
        <w:t>P</w:t>
      </w:r>
      <w:r w:rsidRPr="00C356A8">
        <w:rPr>
          <w:rFonts w:asciiTheme="minorHAnsi" w:hAnsiTheme="minorHAnsi" w:cstheme="minorHAnsi"/>
          <w:color w:val="000000"/>
        </w:rPr>
        <w:t>SSP use/attitude towards NP</w:t>
      </w:r>
      <w:r w:rsidR="001F0A1E" w:rsidRPr="00C356A8">
        <w:rPr>
          <w:rFonts w:asciiTheme="minorHAnsi" w:hAnsiTheme="minorHAnsi" w:cstheme="minorHAnsi"/>
          <w:color w:val="000000"/>
        </w:rPr>
        <w:t>P</w:t>
      </w:r>
      <w:r w:rsidRPr="00C356A8">
        <w:rPr>
          <w:rFonts w:asciiTheme="minorHAnsi" w:hAnsiTheme="minorHAnsi" w:cstheme="minorHAnsi"/>
          <w:color w:val="000000"/>
        </w:rPr>
        <w:t>SSP use.</w:t>
      </w:r>
    </w:p>
    <w:p w14:paraId="238D18A2" w14:textId="5F66CC49" w:rsidR="00785E63" w:rsidRPr="00C356A8" w:rsidRDefault="00EC1151" w:rsidP="009733F3">
      <w:pPr>
        <w:autoSpaceDE w:val="0"/>
        <w:autoSpaceDN w:val="0"/>
        <w:adjustRightInd w:val="0"/>
        <w:spacing w:before="120" w:line="360" w:lineRule="auto"/>
        <w:jc w:val="both"/>
        <w:rPr>
          <w:rFonts w:asciiTheme="minorHAnsi" w:hAnsiTheme="minorHAnsi" w:cstheme="minorHAnsi"/>
          <w:b/>
          <w:color w:val="000000"/>
        </w:rPr>
      </w:pPr>
      <w:r w:rsidRPr="00C356A8">
        <w:rPr>
          <w:rFonts w:asciiTheme="minorHAnsi" w:hAnsiTheme="minorHAnsi" w:cstheme="minorHAnsi"/>
          <w:b/>
          <w:color w:val="000000"/>
        </w:rPr>
        <w:t xml:space="preserve">2.3 </w:t>
      </w:r>
      <w:r w:rsidR="00785E63" w:rsidRPr="00C356A8">
        <w:rPr>
          <w:rFonts w:asciiTheme="minorHAnsi" w:hAnsiTheme="minorHAnsi" w:cstheme="minorHAnsi"/>
          <w:b/>
          <w:color w:val="000000"/>
        </w:rPr>
        <w:t>Statistical analysis</w:t>
      </w:r>
    </w:p>
    <w:p w14:paraId="328ECDB3" w14:textId="388448DC" w:rsidR="00785E63" w:rsidRPr="00C356A8" w:rsidRDefault="00785E63" w:rsidP="00785E63">
      <w:pPr>
        <w:autoSpaceDE w:val="0"/>
        <w:autoSpaceDN w:val="0"/>
        <w:adjustRightInd w:val="0"/>
        <w:spacing w:line="360" w:lineRule="auto"/>
        <w:jc w:val="both"/>
        <w:rPr>
          <w:rFonts w:asciiTheme="minorHAnsi" w:hAnsiTheme="minorHAnsi" w:cstheme="minorHAnsi"/>
          <w:color w:val="000000"/>
        </w:rPr>
      </w:pPr>
      <w:r w:rsidRPr="00C356A8">
        <w:rPr>
          <w:rFonts w:asciiTheme="minorHAnsi" w:hAnsiTheme="minorHAnsi" w:cstheme="minorHAnsi"/>
          <w:color w:val="000000"/>
        </w:rPr>
        <w:t xml:space="preserve">First, </w:t>
      </w:r>
      <w:r w:rsidR="00F130FD" w:rsidRPr="00C356A8">
        <w:rPr>
          <w:rFonts w:asciiTheme="minorHAnsi" w:hAnsiTheme="minorHAnsi" w:cstheme="minorHAnsi"/>
          <w:color w:val="000000"/>
        </w:rPr>
        <w:t xml:space="preserve">frequencies of </w:t>
      </w:r>
      <w:r w:rsidRPr="00C356A8">
        <w:rPr>
          <w:rFonts w:asciiTheme="minorHAnsi" w:hAnsiTheme="minorHAnsi" w:cstheme="minorHAnsi"/>
          <w:color w:val="000000"/>
        </w:rPr>
        <w:t>personal NP</w:t>
      </w:r>
      <w:r w:rsidR="001F0A1E" w:rsidRPr="00C356A8">
        <w:rPr>
          <w:rFonts w:asciiTheme="minorHAnsi" w:hAnsiTheme="minorHAnsi" w:cstheme="minorHAnsi"/>
          <w:color w:val="000000"/>
        </w:rPr>
        <w:t>P</w:t>
      </w:r>
      <w:r w:rsidRPr="00C356A8">
        <w:rPr>
          <w:rFonts w:asciiTheme="minorHAnsi" w:hAnsiTheme="minorHAnsi" w:cstheme="minorHAnsi"/>
          <w:color w:val="000000"/>
        </w:rPr>
        <w:t>SSP use and attitudes towards NP</w:t>
      </w:r>
      <w:r w:rsidR="001F0A1E" w:rsidRPr="00C356A8">
        <w:rPr>
          <w:rFonts w:asciiTheme="minorHAnsi" w:hAnsiTheme="minorHAnsi" w:cstheme="minorHAnsi"/>
          <w:color w:val="000000"/>
        </w:rPr>
        <w:t>P</w:t>
      </w:r>
      <w:r w:rsidRPr="00C356A8">
        <w:rPr>
          <w:rFonts w:asciiTheme="minorHAnsi" w:hAnsiTheme="minorHAnsi" w:cstheme="minorHAnsi"/>
          <w:color w:val="000000"/>
        </w:rPr>
        <w:t xml:space="preserve">SSP use were </w:t>
      </w:r>
      <w:r w:rsidR="009064FE" w:rsidRPr="00C356A8">
        <w:rPr>
          <w:rFonts w:asciiTheme="minorHAnsi" w:hAnsiTheme="minorHAnsi" w:cstheme="minorHAnsi"/>
          <w:color w:val="000000"/>
        </w:rPr>
        <w:t xml:space="preserve">calculated </w:t>
      </w:r>
      <w:r w:rsidR="00FE5A79" w:rsidRPr="00C356A8">
        <w:rPr>
          <w:rFonts w:asciiTheme="minorHAnsi" w:hAnsiTheme="minorHAnsi" w:cstheme="minorHAnsi"/>
          <w:color w:val="000000"/>
        </w:rPr>
        <w:t xml:space="preserve">and </w:t>
      </w:r>
      <w:r w:rsidRPr="00C356A8">
        <w:rPr>
          <w:rFonts w:asciiTheme="minorHAnsi" w:hAnsiTheme="minorHAnsi" w:cstheme="minorHAnsi"/>
          <w:color w:val="000000"/>
        </w:rPr>
        <w:t>95% bootstrap confidence intervals based on 1</w:t>
      </w:r>
      <w:r w:rsidR="00724838" w:rsidRPr="00C356A8">
        <w:rPr>
          <w:rFonts w:asciiTheme="minorHAnsi" w:hAnsiTheme="minorHAnsi" w:cstheme="minorHAnsi"/>
          <w:color w:val="000000"/>
        </w:rPr>
        <w:t>,</w:t>
      </w:r>
      <w:r w:rsidRPr="00C356A8">
        <w:rPr>
          <w:rFonts w:asciiTheme="minorHAnsi" w:hAnsiTheme="minorHAnsi" w:cstheme="minorHAnsi"/>
          <w:color w:val="000000"/>
        </w:rPr>
        <w:t xml:space="preserve">000 bootstrap samples </w:t>
      </w:r>
      <w:r w:rsidR="00FE5A79" w:rsidRPr="00C356A8">
        <w:rPr>
          <w:rFonts w:asciiTheme="minorHAnsi" w:hAnsiTheme="minorHAnsi" w:cstheme="minorHAnsi"/>
          <w:color w:val="000000"/>
        </w:rPr>
        <w:t xml:space="preserve">were </w:t>
      </w:r>
      <w:r w:rsidR="009064FE" w:rsidRPr="00C356A8">
        <w:rPr>
          <w:rFonts w:asciiTheme="minorHAnsi" w:hAnsiTheme="minorHAnsi" w:cstheme="minorHAnsi"/>
          <w:color w:val="000000"/>
        </w:rPr>
        <w:t xml:space="preserve">estimated </w:t>
      </w:r>
      <w:r w:rsidRPr="00C356A8">
        <w:rPr>
          <w:rFonts w:asciiTheme="minorHAnsi" w:hAnsiTheme="minorHAnsi" w:cstheme="minorHAnsi"/>
          <w:color w:val="000000"/>
        </w:rPr>
        <w:t>for each country</w:t>
      </w:r>
      <w:r w:rsidR="00AE39E0" w:rsidRPr="00C356A8">
        <w:rPr>
          <w:rFonts w:asciiTheme="minorHAnsi" w:hAnsiTheme="minorHAnsi" w:cstheme="minorHAnsi"/>
          <w:color w:val="000000"/>
        </w:rPr>
        <w:t>,</w:t>
      </w:r>
      <w:r w:rsidR="009064FE" w:rsidRPr="00C356A8">
        <w:rPr>
          <w:rFonts w:asciiTheme="minorHAnsi" w:hAnsiTheme="minorHAnsi" w:cstheme="minorHAnsi"/>
          <w:color w:val="000000"/>
        </w:rPr>
        <w:t xml:space="preserve"> separately</w:t>
      </w:r>
      <w:r w:rsidRPr="00C356A8">
        <w:rPr>
          <w:rFonts w:asciiTheme="minorHAnsi" w:hAnsiTheme="minorHAnsi" w:cstheme="minorHAnsi"/>
          <w:color w:val="000000"/>
        </w:rPr>
        <w:t>. Second, participants’ self-other discrepancies were classified into three groups to differentiate between students who perceived the NP</w:t>
      </w:r>
      <w:r w:rsidR="001F0A1E" w:rsidRPr="00C356A8">
        <w:rPr>
          <w:rFonts w:asciiTheme="minorHAnsi" w:hAnsiTheme="minorHAnsi" w:cstheme="minorHAnsi"/>
          <w:color w:val="000000"/>
        </w:rPr>
        <w:t>P</w:t>
      </w:r>
      <w:r w:rsidRPr="00C356A8">
        <w:rPr>
          <w:rFonts w:asciiTheme="minorHAnsi" w:hAnsiTheme="minorHAnsi" w:cstheme="minorHAnsi"/>
          <w:color w:val="000000"/>
        </w:rPr>
        <w:t xml:space="preserve">SSP use </w:t>
      </w:r>
      <w:r w:rsidR="00F8465A" w:rsidRPr="00C356A8">
        <w:rPr>
          <w:rFonts w:asciiTheme="minorHAnsi" w:hAnsiTheme="minorHAnsi" w:cstheme="minorHAnsi"/>
          <w:color w:val="000000"/>
        </w:rPr>
        <w:t xml:space="preserve">and </w:t>
      </w:r>
      <w:r w:rsidR="00070336" w:rsidRPr="00C356A8">
        <w:rPr>
          <w:rFonts w:asciiTheme="minorHAnsi" w:hAnsiTheme="minorHAnsi" w:cstheme="minorHAnsi"/>
          <w:color w:val="000000"/>
        </w:rPr>
        <w:t>approval of</w:t>
      </w:r>
      <w:r w:rsidR="00F8465A" w:rsidRPr="00C356A8">
        <w:rPr>
          <w:rFonts w:asciiTheme="minorHAnsi" w:hAnsiTheme="minorHAnsi" w:cstheme="minorHAnsi"/>
          <w:color w:val="000000"/>
        </w:rPr>
        <w:t xml:space="preserve"> NP</w:t>
      </w:r>
      <w:r w:rsidR="001F0A1E" w:rsidRPr="00C356A8">
        <w:rPr>
          <w:rFonts w:asciiTheme="minorHAnsi" w:hAnsiTheme="minorHAnsi" w:cstheme="minorHAnsi"/>
          <w:color w:val="000000"/>
        </w:rPr>
        <w:t>P</w:t>
      </w:r>
      <w:r w:rsidR="00F8465A" w:rsidRPr="00C356A8">
        <w:rPr>
          <w:rFonts w:asciiTheme="minorHAnsi" w:hAnsiTheme="minorHAnsi" w:cstheme="minorHAnsi"/>
          <w:color w:val="000000"/>
        </w:rPr>
        <w:t xml:space="preserve">SSP use </w:t>
      </w:r>
      <w:r w:rsidRPr="00C356A8">
        <w:rPr>
          <w:rFonts w:asciiTheme="minorHAnsi" w:hAnsiTheme="minorHAnsi" w:cstheme="minorHAnsi"/>
          <w:color w:val="000000"/>
        </w:rPr>
        <w:t xml:space="preserve">of </w:t>
      </w:r>
      <w:proofErr w:type="gramStart"/>
      <w:r w:rsidRPr="00C356A8">
        <w:rPr>
          <w:rFonts w:asciiTheme="minorHAnsi" w:hAnsiTheme="minorHAnsi" w:cstheme="minorHAnsi"/>
          <w:color w:val="000000"/>
        </w:rPr>
        <w:t>the majority of</w:t>
      </w:r>
      <w:proofErr w:type="gramEnd"/>
      <w:r w:rsidRPr="00C356A8">
        <w:rPr>
          <w:rFonts w:asciiTheme="minorHAnsi" w:hAnsiTheme="minorHAnsi" w:cstheme="minorHAnsi"/>
          <w:color w:val="000000"/>
        </w:rPr>
        <w:t xml:space="preserve"> their same-sex peers as higher, identical or lower as the</w:t>
      </w:r>
      <w:r w:rsidR="00724838" w:rsidRPr="00C356A8">
        <w:rPr>
          <w:rFonts w:asciiTheme="minorHAnsi" w:hAnsiTheme="minorHAnsi" w:cstheme="minorHAnsi"/>
          <w:color w:val="000000"/>
        </w:rPr>
        <w:t>ir</w:t>
      </w:r>
      <w:r w:rsidRPr="00C356A8">
        <w:rPr>
          <w:rFonts w:asciiTheme="minorHAnsi" w:hAnsiTheme="minorHAnsi" w:cstheme="minorHAnsi"/>
          <w:color w:val="000000"/>
        </w:rPr>
        <w:t xml:space="preserve"> personal </w:t>
      </w:r>
      <w:r w:rsidR="00724838" w:rsidRPr="00C356A8">
        <w:rPr>
          <w:rFonts w:asciiTheme="minorHAnsi" w:hAnsiTheme="minorHAnsi" w:cstheme="minorHAnsi"/>
          <w:color w:val="000000"/>
        </w:rPr>
        <w:t>use</w:t>
      </w:r>
      <w:r w:rsidRPr="00C356A8">
        <w:rPr>
          <w:rFonts w:asciiTheme="minorHAnsi" w:hAnsiTheme="minorHAnsi" w:cstheme="minorHAnsi"/>
          <w:color w:val="000000"/>
        </w:rPr>
        <w:t xml:space="preserve"> </w:t>
      </w:r>
      <w:r w:rsidR="00F8465A" w:rsidRPr="00C356A8">
        <w:rPr>
          <w:rFonts w:asciiTheme="minorHAnsi" w:hAnsiTheme="minorHAnsi" w:cstheme="minorHAnsi"/>
          <w:color w:val="000000"/>
        </w:rPr>
        <w:t xml:space="preserve">and </w:t>
      </w:r>
      <w:r w:rsidR="00070336" w:rsidRPr="00C356A8">
        <w:rPr>
          <w:rFonts w:asciiTheme="minorHAnsi" w:hAnsiTheme="minorHAnsi" w:cstheme="minorHAnsi"/>
          <w:color w:val="000000"/>
        </w:rPr>
        <w:t>approval of use</w:t>
      </w:r>
      <w:r w:rsidRPr="00C356A8">
        <w:rPr>
          <w:rFonts w:asciiTheme="minorHAnsi" w:hAnsiTheme="minorHAnsi" w:cstheme="minorHAnsi"/>
          <w:color w:val="000000"/>
        </w:rPr>
        <w:t>. Third, two binary</w:t>
      </w:r>
      <w:r w:rsidR="009064FE" w:rsidRPr="00C356A8">
        <w:rPr>
          <w:rFonts w:asciiTheme="minorHAnsi" w:hAnsiTheme="minorHAnsi" w:cstheme="minorHAnsi"/>
          <w:color w:val="000000"/>
        </w:rPr>
        <w:t xml:space="preserve"> multivariable</w:t>
      </w:r>
      <w:r w:rsidRPr="00C356A8">
        <w:rPr>
          <w:rFonts w:asciiTheme="minorHAnsi" w:hAnsiTheme="minorHAnsi" w:cstheme="minorHAnsi"/>
          <w:color w:val="000000"/>
        </w:rPr>
        <w:t xml:space="preserve"> logistic regression analyses were conducted to examine associations between perceived and personal NP</w:t>
      </w:r>
      <w:r w:rsidR="001F0A1E" w:rsidRPr="00C356A8">
        <w:rPr>
          <w:rFonts w:asciiTheme="minorHAnsi" w:hAnsiTheme="minorHAnsi" w:cstheme="minorHAnsi"/>
          <w:color w:val="000000"/>
        </w:rPr>
        <w:t>P</w:t>
      </w:r>
      <w:r w:rsidRPr="00C356A8">
        <w:rPr>
          <w:rFonts w:asciiTheme="minorHAnsi" w:hAnsiTheme="minorHAnsi" w:cstheme="minorHAnsi"/>
          <w:color w:val="000000"/>
        </w:rPr>
        <w:t>SSP use (</w:t>
      </w:r>
      <w:r w:rsidR="001F0A1E" w:rsidRPr="00C356A8">
        <w:rPr>
          <w:rFonts w:asciiTheme="minorHAnsi" w:hAnsiTheme="minorHAnsi" w:cstheme="minorHAnsi"/>
          <w:color w:val="000000"/>
        </w:rPr>
        <w:t>descriptive norms model</w:t>
      </w:r>
      <w:r w:rsidRPr="00C356A8">
        <w:rPr>
          <w:rFonts w:asciiTheme="minorHAnsi" w:hAnsiTheme="minorHAnsi" w:cstheme="minorHAnsi"/>
          <w:color w:val="000000"/>
        </w:rPr>
        <w:t>)</w:t>
      </w:r>
      <w:r w:rsidR="00377C93" w:rsidRPr="00C356A8">
        <w:rPr>
          <w:rFonts w:asciiTheme="minorHAnsi" w:hAnsiTheme="minorHAnsi" w:cstheme="minorHAnsi"/>
          <w:color w:val="000000"/>
        </w:rPr>
        <w:t>,</w:t>
      </w:r>
      <w:r w:rsidRPr="00C356A8">
        <w:rPr>
          <w:rFonts w:asciiTheme="minorHAnsi" w:hAnsiTheme="minorHAnsi" w:cstheme="minorHAnsi"/>
          <w:color w:val="000000"/>
        </w:rPr>
        <w:t xml:space="preserve"> and perceived and personal attitudes towards NP</w:t>
      </w:r>
      <w:r w:rsidR="001F0A1E" w:rsidRPr="00C356A8">
        <w:rPr>
          <w:rFonts w:asciiTheme="minorHAnsi" w:hAnsiTheme="minorHAnsi" w:cstheme="minorHAnsi"/>
          <w:color w:val="000000"/>
        </w:rPr>
        <w:t>P</w:t>
      </w:r>
      <w:r w:rsidRPr="00C356A8">
        <w:rPr>
          <w:rFonts w:asciiTheme="minorHAnsi" w:hAnsiTheme="minorHAnsi" w:cstheme="minorHAnsi"/>
          <w:color w:val="000000"/>
        </w:rPr>
        <w:t>SSP use (</w:t>
      </w:r>
      <w:r w:rsidR="001F0A1E" w:rsidRPr="00C356A8">
        <w:rPr>
          <w:rFonts w:asciiTheme="minorHAnsi" w:hAnsiTheme="minorHAnsi" w:cstheme="minorHAnsi"/>
          <w:color w:val="000000"/>
        </w:rPr>
        <w:t>injunctive norms model</w:t>
      </w:r>
      <w:r w:rsidRPr="00C356A8">
        <w:rPr>
          <w:rFonts w:asciiTheme="minorHAnsi" w:hAnsiTheme="minorHAnsi" w:cstheme="minorHAnsi"/>
          <w:color w:val="000000"/>
        </w:rPr>
        <w:t xml:space="preserve">). In </w:t>
      </w:r>
      <w:r w:rsidR="001F0A1E" w:rsidRPr="00C356A8">
        <w:rPr>
          <w:rFonts w:asciiTheme="minorHAnsi" w:hAnsiTheme="minorHAnsi" w:cstheme="minorHAnsi"/>
          <w:color w:val="000000"/>
        </w:rPr>
        <w:t>the descriptive norms model</w:t>
      </w:r>
      <w:r w:rsidRPr="00C356A8">
        <w:rPr>
          <w:rFonts w:asciiTheme="minorHAnsi" w:hAnsiTheme="minorHAnsi" w:cstheme="minorHAnsi"/>
          <w:color w:val="000000"/>
        </w:rPr>
        <w:t xml:space="preserve">, </w:t>
      </w:r>
      <w:r w:rsidR="00724838" w:rsidRPr="00C356A8">
        <w:rPr>
          <w:rFonts w:asciiTheme="minorHAnsi" w:hAnsiTheme="minorHAnsi" w:cstheme="minorHAnsi"/>
          <w:color w:val="000000"/>
        </w:rPr>
        <w:t xml:space="preserve">country, </w:t>
      </w:r>
      <w:r w:rsidRPr="00C356A8">
        <w:rPr>
          <w:rFonts w:asciiTheme="minorHAnsi" w:hAnsiTheme="minorHAnsi" w:cstheme="minorHAnsi"/>
          <w:color w:val="000000"/>
        </w:rPr>
        <w:t>sex, age, year of study, living situation</w:t>
      </w:r>
      <w:r w:rsidR="00377C93" w:rsidRPr="00C356A8">
        <w:rPr>
          <w:rFonts w:asciiTheme="minorHAnsi" w:hAnsiTheme="minorHAnsi" w:cstheme="minorHAnsi"/>
          <w:color w:val="000000"/>
        </w:rPr>
        <w:t>,</w:t>
      </w:r>
      <w:r w:rsidR="00F77D05" w:rsidRPr="00C356A8">
        <w:rPr>
          <w:rFonts w:asciiTheme="minorHAnsi" w:hAnsiTheme="minorHAnsi" w:cstheme="minorHAnsi"/>
          <w:color w:val="000000"/>
        </w:rPr>
        <w:t xml:space="preserve"> </w:t>
      </w:r>
      <w:r w:rsidRPr="00C356A8">
        <w:rPr>
          <w:rFonts w:asciiTheme="minorHAnsi" w:hAnsiTheme="minorHAnsi" w:cstheme="minorHAnsi"/>
          <w:color w:val="000000"/>
        </w:rPr>
        <w:t>perceived NP</w:t>
      </w:r>
      <w:r w:rsidR="001F0A1E" w:rsidRPr="00C356A8">
        <w:rPr>
          <w:rFonts w:asciiTheme="minorHAnsi" w:hAnsiTheme="minorHAnsi" w:cstheme="minorHAnsi"/>
          <w:color w:val="000000"/>
        </w:rPr>
        <w:t>P</w:t>
      </w:r>
      <w:r w:rsidRPr="00C356A8">
        <w:rPr>
          <w:rFonts w:asciiTheme="minorHAnsi" w:hAnsiTheme="minorHAnsi" w:cstheme="minorHAnsi"/>
          <w:color w:val="000000"/>
        </w:rPr>
        <w:t>SSP use</w:t>
      </w:r>
      <w:r w:rsidR="00F77D05" w:rsidRPr="00C356A8">
        <w:rPr>
          <w:rFonts w:asciiTheme="minorHAnsi" w:hAnsiTheme="minorHAnsi" w:cstheme="minorHAnsi"/>
          <w:color w:val="000000"/>
        </w:rPr>
        <w:t>, and personal attitude towards NP</w:t>
      </w:r>
      <w:r w:rsidR="001F0A1E" w:rsidRPr="00C356A8">
        <w:rPr>
          <w:rFonts w:asciiTheme="minorHAnsi" w:hAnsiTheme="minorHAnsi" w:cstheme="minorHAnsi"/>
          <w:color w:val="000000"/>
        </w:rPr>
        <w:t>P</w:t>
      </w:r>
      <w:r w:rsidR="00F77D05" w:rsidRPr="00C356A8">
        <w:rPr>
          <w:rFonts w:asciiTheme="minorHAnsi" w:hAnsiTheme="minorHAnsi" w:cstheme="minorHAnsi"/>
          <w:color w:val="000000"/>
        </w:rPr>
        <w:t>SSP use</w:t>
      </w:r>
      <w:r w:rsidRPr="00C356A8">
        <w:rPr>
          <w:rFonts w:asciiTheme="minorHAnsi" w:hAnsiTheme="minorHAnsi" w:cstheme="minorHAnsi"/>
          <w:color w:val="000000"/>
        </w:rPr>
        <w:t xml:space="preserve"> were included as independent variables. In </w:t>
      </w:r>
      <w:r w:rsidR="001F0A1E" w:rsidRPr="00C356A8">
        <w:rPr>
          <w:rFonts w:asciiTheme="minorHAnsi" w:hAnsiTheme="minorHAnsi" w:cstheme="minorHAnsi"/>
          <w:color w:val="000000"/>
        </w:rPr>
        <w:t>the injunctive norms model</w:t>
      </w:r>
      <w:r w:rsidRPr="00C356A8">
        <w:rPr>
          <w:rFonts w:asciiTheme="minorHAnsi" w:hAnsiTheme="minorHAnsi" w:cstheme="minorHAnsi"/>
          <w:color w:val="000000"/>
        </w:rPr>
        <w:t>, all demographic variables, perceived attitude towards NP</w:t>
      </w:r>
      <w:r w:rsidR="001F0A1E" w:rsidRPr="00C356A8">
        <w:rPr>
          <w:rFonts w:asciiTheme="minorHAnsi" w:hAnsiTheme="minorHAnsi" w:cstheme="minorHAnsi"/>
          <w:color w:val="000000"/>
        </w:rPr>
        <w:t>P</w:t>
      </w:r>
      <w:r w:rsidRPr="00C356A8">
        <w:rPr>
          <w:rFonts w:asciiTheme="minorHAnsi" w:hAnsiTheme="minorHAnsi" w:cstheme="minorHAnsi"/>
          <w:color w:val="000000"/>
        </w:rPr>
        <w:t>SSP use, and personal NP</w:t>
      </w:r>
      <w:r w:rsidR="001F0A1E" w:rsidRPr="00C356A8">
        <w:rPr>
          <w:rFonts w:asciiTheme="minorHAnsi" w:hAnsiTheme="minorHAnsi" w:cstheme="minorHAnsi"/>
          <w:color w:val="000000"/>
        </w:rPr>
        <w:t>P</w:t>
      </w:r>
      <w:r w:rsidRPr="00C356A8">
        <w:rPr>
          <w:rFonts w:asciiTheme="minorHAnsi" w:hAnsiTheme="minorHAnsi" w:cstheme="minorHAnsi"/>
          <w:color w:val="000000"/>
        </w:rPr>
        <w:t xml:space="preserve">SSP use were </w:t>
      </w:r>
      <w:r w:rsidR="00DC06CF" w:rsidRPr="00C356A8">
        <w:rPr>
          <w:rFonts w:asciiTheme="minorHAnsi" w:hAnsiTheme="minorHAnsi" w:cstheme="minorHAnsi"/>
          <w:color w:val="000000"/>
        </w:rPr>
        <w:t>included</w:t>
      </w:r>
      <w:r w:rsidRPr="00C356A8">
        <w:rPr>
          <w:rFonts w:asciiTheme="minorHAnsi" w:hAnsiTheme="minorHAnsi" w:cstheme="minorHAnsi"/>
          <w:color w:val="000000"/>
        </w:rPr>
        <w:t xml:space="preserve"> as independent variables. </w:t>
      </w:r>
      <w:r w:rsidR="001F0A1E" w:rsidRPr="00C356A8">
        <w:rPr>
          <w:rFonts w:asciiTheme="minorHAnsi" w:hAnsiTheme="minorHAnsi" w:cstheme="minorHAnsi"/>
          <w:color w:val="000000"/>
        </w:rPr>
        <w:t xml:space="preserve">In both models, all variables were entered simultaneously (enter method). </w:t>
      </w:r>
      <w:r w:rsidRPr="00C356A8">
        <w:rPr>
          <w:rFonts w:asciiTheme="minorHAnsi" w:hAnsiTheme="minorHAnsi" w:cstheme="minorHAnsi"/>
          <w:color w:val="000000"/>
        </w:rPr>
        <w:t xml:space="preserve">Age was included as a continuous variable, and all other variables </w:t>
      </w:r>
      <w:r w:rsidR="00DC06CF" w:rsidRPr="00C356A8">
        <w:rPr>
          <w:rFonts w:asciiTheme="minorHAnsi" w:hAnsiTheme="minorHAnsi" w:cstheme="minorHAnsi"/>
          <w:color w:val="000000"/>
        </w:rPr>
        <w:t xml:space="preserve">were considered </w:t>
      </w:r>
      <w:r w:rsidRPr="00C356A8">
        <w:rPr>
          <w:rFonts w:asciiTheme="minorHAnsi" w:hAnsiTheme="minorHAnsi" w:cstheme="minorHAnsi"/>
          <w:color w:val="000000"/>
        </w:rPr>
        <w:t xml:space="preserve">as categorical variables. </w:t>
      </w:r>
      <w:r w:rsidR="001F0A1E" w:rsidRPr="00C356A8">
        <w:rPr>
          <w:rFonts w:asciiTheme="minorHAnsi" w:hAnsiTheme="minorHAnsi" w:cstheme="minorHAnsi"/>
          <w:color w:val="000000"/>
        </w:rPr>
        <w:t xml:space="preserve">Categorical variables with more than two categories (i.e., country, year of study, living situation) were each converted into a set of dichotomous variables using dummy coding. </w:t>
      </w:r>
      <w:r w:rsidRPr="00C356A8">
        <w:rPr>
          <w:rFonts w:asciiTheme="minorHAnsi" w:hAnsiTheme="minorHAnsi" w:cstheme="minorHAnsi"/>
          <w:color w:val="000000"/>
        </w:rPr>
        <w:t xml:space="preserve">Both models were checked for the presence of multicollinearity. Tolerance (TOL) values for both </w:t>
      </w:r>
      <w:r w:rsidR="002511A1" w:rsidRPr="00C356A8">
        <w:rPr>
          <w:rFonts w:asciiTheme="minorHAnsi" w:hAnsiTheme="minorHAnsi" w:cstheme="minorHAnsi"/>
          <w:color w:val="000000"/>
        </w:rPr>
        <w:t>models ranged from 0.90 to 1.00</w:t>
      </w:r>
      <w:r w:rsidR="00F130FD" w:rsidRPr="00C356A8">
        <w:rPr>
          <w:rFonts w:asciiTheme="minorHAnsi" w:hAnsiTheme="minorHAnsi" w:cstheme="minorHAnsi"/>
          <w:color w:val="000000"/>
        </w:rPr>
        <w:t xml:space="preserve"> indicating absence of</w:t>
      </w:r>
      <w:r w:rsidRPr="00C356A8">
        <w:rPr>
          <w:rFonts w:asciiTheme="minorHAnsi" w:hAnsiTheme="minorHAnsi" w:cstheme="minorHAnsi"/>
          <w:color w:val="000000"/>
        </w:rPr>
        <w:t xml:space="preserve"> multicollinearity between independent variables.</w:t>
      </w:r>
      <w:r w:rsidR="00724838" w:rsidRPr="00C356A8">
        <w:rPr>
          <w:rFonts w:asciiTheme="minorHAnsi" w:hAnsiTheme="minorHAnsi" w:cstheme="minorHAnsi"/>
          <w:color w:val="000000"/>
        </w:rPr>
        <w:t xml:space="preserve"> </w:t>
      </w:r>
      <w:r w:rsidRPr="00C356A8">
        <w:rPr>
          <w:rFonts w:asciiTheme="minorHAnsi" w:hAnsiTheme="minorHAnsi" w:cstheme="minorHAnsi"/>
          <w:color w:val="000000"/>
        </w:rPr>
        <w:t>To investigate whether sex or country moderates the associations between perception and personal NP</w:t>
      </w:r>
      <w:r w:rsidR="001F0A1E" w:rsidRPr="00C356A8">
        <w:rPr>
          <w:rFonts w:asciiTheme="minorHAnsi" w:hAnsiTheme="minorHAnsi" w:cstheme="minorHAnsi"/>
          <w:color w:val="000000"/>
        </w:rPr>
        <w:t>P</w:t>
      </w:r>
      <w:r w:rsidRPr="00C356A8">
        <w:rPr>
          <w:rFonts w:asciiTheme="minorHAnsi" w:hAnsiTheme="minorHAnsi" w:cstheme="minorHAnsi"/>
          <w:color w:val="000000"/>
        </w:rPr>
        <w:t>SSP use/attitude towards NP</w:t>
      </w:r>
      <w:r w:rsidR="001F0A1E" w:rsidRPr="00C356A8">
        <w:rPr>
          <w:rFonts w:asciiTheme="minorHAnsi" w:hAnsiTheme="minorHAnsi" w:cstheme="minorHAnsi"/>
          <w:color w:val="000000"/>
        </w:rPr>
        <w:t>P</w:t>
      </w:r>
      <w:r w:rsidRPr="00C356A8">
        <w:rPr>
          <w:rFonts w:asciiTheme="minorHAnsi" w:hAnsiTheme="minorHAnsi" w:cstheme="minorHAnsi"/>
          <w:color w:val="000000"/>
        </w:rPr>
        <w:t>SSP use, the two relevant interaction terms were added to both regression models. For significant interaction terms (p &lt; 0.05), stratified analyses were conducted. All statistical analyses were performed using SPSS for windows, version 22.0.</w:t>
      </w:r>
    </w:p>
    <w:p w14:paraId="04CDB7C8" w14:textId="464DD460" w:rsidR="00410337" w:rsidRPr="00C356A8" w:rsidRDefault="00EC1151" w:rsidP="009733F3">
      <w:pPr>
        <w:autoSpaceDE w:val="0"/>
        <w:autoSpaceDN w:val="0"/>
        <w:adjustRightInd w:val="0"/>
        <w:spacing w:before="240" w:line="360" w:lineRule="auto"/>
        <w:jc w:val="both"/>
        <w:rPr>
          <w:rFonts w:asciiTheme="minorHAnsi" w:hAnsiTheme="minorHAnsi" w:cstheme="minorHAnsi"/>
          <w:b/>
          <w:color w:val="000000"/>
          <w:sz w:val="28"/>
          <w:szCs w:val="28"/>
        </w:rPr>
      </w:pPr>
      <w:r w:rsidRPr="00C356A8">
        <w:rPr>
          <w:rFonts w:asciiTheme="minorHAnsi" w:hAnsiTheme="minorHAnsi" w:cstheme="minorHAnsi"/>
          <w:b/>
          <w:color w:val="000000"/>
          <w:sz w:val="28"/>
          <w:szCs w:val="28"/>
        </w:rPr>
        <w:t xml:space="preserve">3. </w:t>
      </w:r>
      <w:r w:rsidR="00410337" w:rsidRPr="00C356A8">
        <w:rPr>
          <w:rFonts w:asciiTheme="minorHAnsi" w:hAnsiTheme="minorHAnsi" w:cstheme="minorHAnsi"/>
          <w:b/>
          <w:color w:val="000000"/>
          <w:sz w:val="28"/>
          <w:szCs w:val="28"/>
        </w:rPr>
        <w:t>Results</w:t>
      </w:r>
    </w:p>
    <w:p w14:paraId="49E4CD21" w14:textId="660D6ED9" w:rsidR="00377C93" w:rsidRPr="00C356A8" w:rsidRDefault="00CD52C0" w:rsidP="007D79E5">
      <w:pPr>
        <w:autoSpaceDE w:val="0"/>
        <w:autoSpaceDN w:val="0"/>
        <w:adjustRightInd w:val="0"/>
        <w:spacing w:line="360" w:lineRule="auto"/>
        <w:jc w:val="both"/>
        <w:rPr>
          <w:rFonts w:asciiTheme="minorHAnsi" w:hAnsiTheme="minorHAnsi" w:cstheme="minorHAnsi"/>
          <w:color w:val="000000"/>
        </w:rPr>
      </w:pPr>
      <w:r w:rsidRPr="00C356A8">
        <w:rPr>
          <w:rFonts w:asciiTheme="minorHAnsi" w:hAnsiTheme="minorHAnsi" w:cstheme="minorHAnsi"/>
          <w:color w:val="000000"/>
        </w:rPr>
        <w:t>The SNIPE study included a total of 4</w:t>
      </w:r>
      <w:r w:rsidR="00724838" w:rsidRPr="00C356A8">
        <w:rPr>
          <w:rFonts w:asciiTheme="minorHAnsi" w:hAnsiTheme="minorHAnsi" w:cstheme="minorHAnsi"/>
          <w:color w:val="000000"/>
        </w:rPr>
        <w:t>,</w:t>
      </w:r>
      <w:r w:rsidRPr="00C356A8">
        <w:rPr>
          <w:rFonts w:asciiTheme="minorHAnsi" w:hAnsiTheme="minorHAnsi" w:cstheme="minorHAnsi"/>
          <w:color w:val="000000"/>
        </w:rPr>
        <w:t>482 university students (71.4% female, mean age</w:t>
      </w:r>
      <w:r w:rsidR="00E01AE7" w:rsidRPr="00C356A8">
        <w:rPr>
          <w:rFonts w:asciiTheme="minorHAnsi" w:hAnsiTheme="minorHAnsi" w:cstheme="minorHAnsi"/>
          <w:color w:val="000000"/>
        </w:rPr>
        <w:t>:</w:t>
      </w:r>
      <w:r w:rsidRPr="00C356A8">
        <w:rPr>
          <w:rFonts w:asciiTheme="minorHAnsi" w:hAnsiTheme="minorHAnsi" w:cstheme="minorHAnsi"/>
          <w:color w:val="000000"/>
        </w:rPr>
        <w:t xml:space="preserve"> 22.4 years). The Slovak Republic (n=1</w:t>
      </w:r>
      <w:r w:rsidR="00511C00" w:rsidRPr="00C356A8">
        <w:rPr>
          <w:rFonts w:asciiTheme="minorHAnsi" w:hAnsiTheme="minorHAnsi" w:cstheme="minorHAnsi"/>
          <w:color w:val="000000"/>
        </w:rPr>
        <w:t>,</w:t>
      </w:r>
      <w:r w:rsidRPr="00C356A8">
        <w:rPr>
          <w:rFonts w:asciiTheme="minorHAnsi" w:hAnsiTheme="minorHAnsi" w:cstheme="minorHAnsi"/>
          <w:color w:val="000000"/>
        </w:rPr>
        <w:t>938</w:t>
      </w:r>
      <w:r w:rsidR="00724838" w:rsidRPr="00C356A8">
        <w:rPr>
          <w:rFonts w:asciiTheme="minorHAnsi" w:hAnsiTheme="minorHAnsi" w:cstheme="minorHAnsi"/>
          <w:color w:val="000000"/>
        </w:rPr>
        <w:t>, 43.2%</w:t>
      </w:r>
      <w:r w:rsidRPr="00C356A8">
        <w:rPr>
          <w:rFonts w:asciiTheme="minorHAnsi" w:hAnsiTheme="minorHAnsi" w:cstheme="minorHAnsi"/>
          <w:color w:val="000000"/>
        </w:rPr>
        <w:t xml:space="preserve">) contributed the highest number of students, followed </w:t>
      </w:r>
      <w:r w:rsidRPr="00C356A8">
        <w:rPr>
          <w:rFonts w:asciiTheme="minorHAnsi" w:hAnsiTheme="minorHAnsi" w:cstheme="minorHAnsi"/>
          <w:color w:val="000000"/>
        </w:rPr>
        <w:lastRenderedPageBreak/>
        <w:t>by Turkey (n=858</w:t>
      </w:r>
      <w:r w:rsidR="00724838" w:rsidRPr="00C356A8">
        <w:rPr>
          <w:rFonts w:asciiTheme="minorHAnsi" w:hAnsiTheme="minorHAnsi" w:cstheme="minorHAnsi"/>
          <w:color w:val="000000"/>
        </w:rPr>
        <w:t>, 19.1%</w:t>
      </w:r>
      <w:r w:rsidRPr="00C356A8">
        <w:rPr>
          <w:rFonts w:asciiTheme="minorHAnsi" w:hAnsiTheme="minorHAnsi" w:cstheme="minorHAnsi"/>
          <w:color w:val="000000"/>
        </w:rPr>
        <w:t>), Germany (n=504</w:t>
      </w:r>
      <w:r w:rsidR="00724838" w:rsidRPr="00C356A8">
        <w:rPr>
          <w:rFonts w:asciiTheme="minorHAnsi" w:hAnsiTheme="minorHAnsi" w:cstheme="minorHAnsi"/>
          <w:color w:val="000000"/>
        </w:rPr>
        <w:t>, 11.2%</w:t>
      </w:r>
      <w:r w:rsidRPr="00C356A8">
        <w:rPr>
          <w:rFonts w:asciiTheme="minorHAnsi" w:hAnsiTheme="minorHAnsi" w:cstheme="minorHAnsi"/>
          <w:color w:val="000000"/>
        </w:rPr>
        <w:t>), Denmark (n=464</w:t>
      </w:r>
      <w:r w:rsidR="00724838" w:rsidRPr="00C356A8">
        <w:rPr>
          <w:rFonts w:asciiTheme="minorHAnsi" w:hAnsiTheme="minorHAnsi" w:cstheme="minorHAnsi"/>
          <w:color w:val="000000"/>
        </w:rPr>
        <w:t>, 10.4%</w:t>
      </w:r>
      <w:r w:rsidRPr="00C356A8">
        <w:rPr>
          <w:rFonts w:asciiTheme="minorHAnsi" w:hAnsiTheme="minorHAnsi" w:cstheme="minorHAnsi"/>
          <w:color w:val="000000"/>
        </w:rPr>
        <w:t>), Belgium (n=426</w:t>
      </w:r>
      <w:r w:rsidR="00724838" w:rsidRPr="00C356A8">
        <w:rPr>
          <w:rFonts w:asciiTheme="minorHAnsi" w:hAnsiTheme="minorHAnsi" w:cstheme="minorHAnsi"/>
          <w:color w:val="000000"/>
        </w:rPr>
        <w:t>, 9.5%</w:t>
      </w:r>
      <w:r w:rsidRPr="00C356A8">
        <w:rPr>
          <w:rFonts w:asciiTheme="minorHAnsi" w:hAnsiTheme="minorHAnsi" w:cstheme="minorHAnsi"/>
          <w:color w:val="000000"/>
        </w:rPr>
        <w:t>), Spain (n=185</w:t>
      </w:r>
      <w:r w:rsidR="00724838" w:rsidRPr="00C356A8">
        <w:rPr>
          <w:rFonts w:asciiTheme="minorHAnsi" w:hAnsiTheme="minorHAnsi" w:cstheme="minorHAnsi"/>
          <w:color w:val="000000"/>
        </w:rPr>
        <w:t>, 4.1%</w:t>
      </w:r>
      <w:r w:rsidRPr="00C356A8">
        <w:rPr>
          <w:rFonts w:asciiTheme="minorHAnsi" w:hAnsiTheme="minorHAnsi" w:cstheme="minorHAnsi"/>
          <w:color w:val="000000"/>
        </w:rPr>
        <w:t>), and the UK (n=107</w:t>
      </w:r>
      <w:r w:rsidR="00724838" w:rsidRPr="00C356A8">
        <w:rPr>
          <w:rFonts w:asciiTheme="minorHAnsi" w:hAnsiTheme="minorHAnsi" w:cstheme="minorHAnsi"/>
          <w:color w:val="000000"/>
        </w:rPr>
        <w:t>, 2.4%</w:t>
      </w:r>
      <w:r w:rsidRPr="00C356A8">
        <w:rPr>
          <w:rFonts w:asciiTheme="minorHAnsi" w:hAnsiTheme="minorHAnsi" w:cstheme="minorHAnsi"/>
          <w:color w:val="000000"/>
        </w:rPr>
        <w:t xml:space="preserve">). A detailed description of the sample characteristics is </w:t>
      </w:r>
      <w:r w:rsidR="00D358F5" w:rsidRPr="00C356A8">
        <w:rPr>
          <w:rFonts w:asciiTheme="minorHAnsi" w:hAnsiTheme="minorHAnsi" w:cstheme="minorHAnsi"/>
          <w:color w:val="000000"/>
        </w:rPr>
        <w:t xml:space="preserve">provided by Helmer et al. </w:t>
      </w:r>
      <w:r w:rsidR="00100017" w:rsidRPr="00C356A8">
        <w:rPr>
          <w:rFonts w:asciiTheme="minorHAnsi" w:hAnsiTheme="minorHAnsi" w:cstheme="minorHAnsi"/>
          <w:noProof/>
          <w:color w:val="000000"/>
        </w:rPr>
        <w:t>(2014)</w:t>
      </w:r>
      <w:r w:rsidR="00F77D05" w:rsidRPr="00C356A8">
        <w:rPr>
          <w:rFonts w:asciiTheme="minorHAnsi" w:hAnsiTheme="minorHAnsi" w:cstheme="minorHAnsi"/>
          <w:color w:val="000000"/>
        </w:rPr>
        <w:t xml:space="preserve">. </w:t>
      </w:r>
      <w:r w:rsidR="007D79E5" w:rsidRPr="00C356A8">
        <w:rPr>
          <w:rFonts w:asciiTheme="minorHAnsi" w:hAnsiTheme="minorHAnsi" w:cstheme="minorHAnsi"/>
          <w:color w:val="000000"/>
        </w:rPr>
        <w:t>I</w:t>
      </w:r>
      <w:r w:rsidR="00F77D05" w:rsidRPr="00C356A8">
        <w:rPr>
          <w:rFonts w:asciiTheme="minorHAnsi" w:hAnsiTheme="minorHAnsi" w:cstheme="minorHAnsi"/>
          <w:color w:val="000000"/>
        </w:rPr>
        <w:t>nformation on sex and NP</w:t>
      </w:r>
      <w:r w:rsidR="001F0A1E" w:rsidRPr="00C356A8">
        <w:rPr>
          <w:rFonts w:asciiTheme="minorHAnsi" w:hAnsiTheme="minorHAnsi" w:cstheme="minorHAnsi"/>
          <w:color w:val="000000"/>
        </w:rPr>
        <w:t>P</w:t>
      </w:r>
      <w:r w:rsidR="00F77D05" w:rsidRPr="00C356A8">
        <w:rPr>
          <w:rFonts w:asciiTheme="minorHAnsi" w:hAnsiTheme="minorHAnsi" w:cstheme="minorHAnsi"/>
          <w:color w:val="000000"/>
        </w:rPr>
        <w:t>SSP use</w:t>
      </w:r>
      <w:r w:rsidR="007D79E5" w:rsidRPr="00C356A8">
        <w:rPr>
          <w:rFonts w:asciiTheme="minorHAnsi" w:hAnsiTheme="minorHAnsi" w:cstheme="minorHAnsi"/>
          <w:color w:val="000000"/>
        </w:rPr>
        <w:t xml:space="preserve"> was provided by 4,412 students, and</w:t>
      </w:r>
      <w:r w:rsidRPr="00C356A8">
        <w:rPr>
          <w:rFonts w:asciiTheme="minorHAnsi" w:hAnsiTheme="minorHAnsi" w:cstheme="minorHAnsi"/>
          <w:color w:val="000000"/>
        </w:rPr>
        <w:t xml:space="preserve"> 4</w:t>
      </w:r>
      <w:r w:rsidR="00E23E9E" w:rsidRPr="00C356A8">
        <w:rPr>
          <w:rFonts w:asciiTheme="minorHAnsi" w:hAnsiTheme="minorHAnsi" w:cstheme="minorHAnsi"/>
          <w:color w:val="000000"/>
        </w:rPr>
        <w:t>,</w:t>
      </w:r>
      <w:r w:rsidR="00210E36" w:rsidRPr="00C356A8">
        <w:rPr>
          <w:rFonts w:asciiTheme="minorHAnsi" w:hAnsiTheme="minorHAnsi" w:cstheme="minorHAnsi"/>
          <w:color w:val="000000"/>
        </w:rPr>
        <w:t>284</w:t>
      </w:r>
      <w:r w:rsidRPr="00C356A8">
        <w:rPr>
          <w:rFonts w:asciiTheme="minorHAnsi" w:hAnsiTheme="minorHAnsi" w:cstheme="minorHAnsi"/>
          <w:color w:val="000000"/>
        </w:rPr>
        <w:t xml:space="preserve"> additionally answered the question regarding thei</w:t>
      </w:r>
      <w:r w:rsidR="00E23E9E" w:rsidRPr="00C356A8">
        <w:rPr>
          <w:rFonts w:asciiTheme="minorHAnsi" w:hAnsiTheme="minorHAnsi" w:cstheme="minorHAnsi"/>
          <w:color w:val="000000"/>
        </w:rPr>
        <w:t>r attitude towards using NP</w:t>
      </w:r>
      <w:r w:rsidR="001F0A1E" w:rsidRPr="00C356A8">
        <w:rPr>
          <w:rFonts w:asciiTheme="minorHAnsi" w:hAnsiTheme="minorHAnsi" w:cstheme="minorHAnsi"/>
          <w:color w:val="000000"/>
        </w:rPr>
        <w:t>P</w:t>
      </w:r>
      <w:r w:rsidR="00E23E9E" w:rsidRPr="00C356A8">
        <w:rPr>
          <w:rFonts w:asciiTheme="minorHAnsi" w:hAnsiTheme="minorHAnsi" w:cstheme="minorHAnsi"/>
          <w:color w:val="000000"/>
        </w:rPr>
        <w:t>SSP.</w:t>
      </w:r>
    </w:p>
    <w:p w14:paraId="5EBF129A" w14:textId="58DA493E" w:rsidR="009733F3" w:rsidRPr="00C356A8" w:rsidRDefault="004400CA" w:rsidP="00CD52C0">
      <w:pPr>
        <w:autoSpaceDE w:val="0"/>
        <w:autoSpaceDN w:val="0"/>
        <w:adjustRightInd w:val="0"/>
        <w:spacing w:line="360" w:lineRule="auto"/>
        <w:jc w:val="both"/>
        <w:rPr>
          <w:rFonts w:asciiTheme="minorHAnsi" w:hAnsiTheme="minorHAnsi" w:cstheme="minorHAnsi"/>
          <w:color w:val="000000"/>
        </w:rPr>
      </w:pPr>
      <w:r w:rsidRPr="00C356A8">
        <w:rPr>
          <w:rFonts w:asciiTheme="minorHAnsi" w:hAnsiTheme="minorHAnsi" w:cstheme="minorHAnsi"/>
          <w:color w:val="000000"/>
        </w:rPr>
        <w:t>Across all participating countries, 9.1% of the students reported having used NP</w:t>
      </w:r>
      <w:r w:rsidR="001F0A1E" w:rsidRPr="00C356A8">
        <w:rPr>
          <w:rFonts w:asciiTheme="minorHAnsi" w:hAnsiTheme="minorHAnsi" w:cstheme="minorHAnsi"/>
          <w:color w:val="000000"/>
        </w:rPr>
        <w:t>P</w:t>
      </w:r>
      <w:r w:rsidRPr="00C356A8">
        <w:rPr>
          <w:rFonts w:asciiTheme="minorHAnsi" w:hAnsiTheme="minorHAnsi" w:cstheme="minorHAnsi"/>
          <w:color w:val="000000"/>
        </w:rPr>
        <w:t xml:space="preserve">SSP at least once in life. </w:t>
      </w:r>
      <w:r w:rsidR="00CD52C0" w:rsidRPr="00C356A8">
        <w:rPr>
          <w:rFonts w:asciiTheme="minorHAnsi" w:hAnsiTheme="minorHAnsi" w:cstheme="minorHAnsi"/>
          <w:color w:val="000000"/>
        </w:rPr>
        <w:t>Lifetime prevalence rates of NP</w:t>
      </w:r>
      <w:r w:rsidR="001F0A1E" w:rsidRPr="00C356A8">
        <w:rPr>
          <w:rFonts w:asciiTheme="minorHAnsi" w:hAnsiTheme="minorHAnsi" w:cstheme="minorHAnsi"/>
          <w:color w:val="000000"/>
        </w:rPr>
        <w:t>P</w:t>
      </w:r>
      <w:r w:rsidR="00CD52C0" w:rsidRPr="00C356A8">
        <w:rPr>
          <w:rFonts w:asciiTheme="minorHAnsi" w:hAnsiTheme="minorHAnsi" w:cstheme="minorHAnsi"/>
          <w:color w:val="000000"/>
        </w:rPr>
        <w:t>SSP use var</w:t>
      </w:r>
      <w:r w:rsidR="0044471E" w:rsidRPr="00C356A8">
        <w:rPr>
          <w:rFonts w:asciiTheme="minorHAnsi" w:hAnsiTheme="minorHAnsi" w:cstheme="minorHAnsi"/>
          <w:color w:val="000000"/>
        </w:rPr>
        <w:t>ied from 4.0% of females and 2.3</w:t>
      </w:r>
      <w:r w:rsidR="00CD52C0" w:rsidRPr="00C356A8">
        <w:rPr>
          <w:rFonts w:asciiTheme="minorHAnsi" w:hAnsiTheme="minorHAnsi" w:cstheme="minorHAnsi"/>
          <w:color w:val="000000"/>
        </w:rPr>
        <w:t xml:space="preserve">% of males in Belgium to 12.5% of females and 18.2% of males in the UK. Across all countries, </w:t>
      </w:r>
      <w:r w:rsidR="004474B1" w:rsidRPr="00C356A8">
        <w:rPr>
          <w:rFonts w:asciiTheme="minorHAnsi" w:hAnsiTheme="minorHAnsi" w:cstheme="minorHAnsi"/>
          <w:color w:val="000000"/>
        </w:rPr>
        <w:t>most</w:t>
      </w:r>
      <w:r w:rsidR="00CD52C0" w:rsidRPr="00C356A8">
        <w:rPr>
          <w:rFonts w:asciiTheme="minorHAnsi" w:hAnsiTheme="minorHAnsi" w:cstheme="minorHAnsi"/>
          <w:color w:val="000000"/>
        </w:rPr>
        <w:t xml:space="preserve"> students stated that ‘it is never okay to use’ NP</w:t>
      </w:r>
      <w:r w:rsidR="00A2760B" w:rsidRPr="00C356A8">
        <w:rPr>
          <w:rFonts w:asciiTheme="minorHAnsi" w:hAnsiTheme="minorHAnsi" w:cstheme="minorHAnsi"/>
          <w:color w:val="000000"/>
        </w:rPr>
        <w:t>P</w:t>
      </w:r>
      <w:r w:rsidR="00CD52C0" w:rsidRPr="00C356A8">
        <w:rPr>
          <w:rFonts w:asciiTheme="minorHAnsi" w:hAnsiTheme="minorHAnsi" w:cstheme="minorHAnsi"/>
          <w:color w:val="000000"/>
        </w:rPr>
        <w:t>SSP with rates vary</w:t>
      </w:r>
      <w:r w:rsidR="0044471E" w:rsidRPr="00C356A8">
        <w:rPr>
          <w:rFonts w:asciiTheme="minorHAnsi" w:hAnsiTheme="minorHAnsi" w:cstheme="minorHAnsi"/>
          <w:color w:val="000000"/>
        </w:rPr>
        <w:t>ing from 56.8% of females in Germany and 62.5</w:t>
      </w:r>
      <w:r w:rsidR="00CD52C0" w:rsidRPr="00C356A8">
        <w:rPr>
          <w:rFonts w:asciiTheme="minorHAnsi" w:hAnsiTheme="minorHAnsi" w:cstheme="minorHAnsi"/>
          <w:color w:val="000000"/>
        </w:rPr>
        <w:t xml:space="preserve">% of males in </w:t>
      </w:r>
      <w:r w:rsidR="0044471E" w:rsidRPr="00C356A8">
        <w:rPr>
          <w:rFonts w:asciiTheme="minorHAnsi" w:hAnsiTheme="minorHAnsi" w:cstheme="minorHAnsi"/>
          <w:color w:val="000000"/>
        </w:rPr>
        <w:t>the UK</w:t>
      </w:r>
      <w:r w:rsidR="00CD52C0" w:rsidRPr="00C356A8">
        <w:rPr>
          <w:rFonts w:asciiTheme="minorHAnsi" w:hAnsiTheme="minorHAnsi" w:cstheme="minorHAnsi"/>
          <w:color w:val="000000"/>
        </w:rPr>
        <w:t xml:space="preserve"> to 84.7% of females and 91.2</w:t>
      </w:r>
      <w:r w:rsidR="00E23E9E" w:rsidRPr="00C356A8">
        <w:rPr>
          <w:rFonts w:asciiTheme="minorHAnsi" w:hAnsiTheme="minorHAnsi" w:cstheme="minorHAnsi"/>
          <w:color w:val="000000"/>
        </w:rPr>
        <w:t>% of males in Turkey (Table 1).</w:t>
      </w:r>
    </w:p>
    <w:p w14:paraId="2C7048FB"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77062CBE"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7ECB480A"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75113B36"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094C05F7"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567BF098"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54B809B4"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6F88C40B"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29F4F891"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53EFD122"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579B0EA3"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5167F061"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4EA5B1A6"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5A00AD2B"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0C8BF4FE"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74B00299"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401FCF03"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487C355A"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7E365DCC"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7EBF697C"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6411F09C"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56ADCC20"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6B7DC7EF"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42FD0992"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458C8265"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pPr>
    </w:p>
    <w:p w14:paraId="5480BAAA" w14:textId="77777777" w:rsidR="00ED6E09" w:rsidRPr="00C356A8" w:rsidRDefault="00ED6E09" w:rsidP="00CD52C0">
      <w:pPr>
        <w:autoSpaceDE w:val="0"/>
        <w:autoSpaceDN w:val="0"/>
        <w:adjustRightInd w:val="0"/>
        <w:spacing w:line="360" w:lineRule="auto"/>
        <w:jc w:val="both"/>
        <w:rPr>
          <w:rFonts w:asciiTheme="minorHAnsi" w:hAnsiTheme="minorHAnsi" w:cstheme="minorHAnsi"/>
          <w:color w:val="000000"/>
        </w:rPr>
        <w:sectPr w:rsidR="00ED6E09" w:rsidRPr="00C356A8" w:rsidSect="00A165F0">
          <w:footerReference w:type="default" r:id="rId8"/>
          <w:pgSz w:w="11906" w:h="16838"/>
          <w:pgMar w:top="1134" w:right="1134" w:bottom="1134" w:left="1134" w:header="709" w:footer="709" w:gutter="0"/>
          <w:lnNumType w:countBy="1" w:restart="continuous"/>
          <w:cols w:space="708"/>
          <w:docGrid w:linePitch="360"/>
        </w:sectPr>
      </w:pPr>
    </w:p>
    <w:p w14:paraId="7665F52D" w14:textId="7123A180" w:rsidR="0073341B" w:rsidRPr="00C356A8" w:rsidRDefault="0073341B" w:rsidP="0073341B">
      <w:pPr>
        <w:autoSpaceDE w:val="0"/>
        <w:autoSpaceDN w:val="0"/>
        <w:adjustRightInd w:val="0"/>
        <w:spacing w:line="360" w:lineRule="auto"/>
        <w:jc w:val="both"/>
        <w:rPr>
          <w:rFonts w:asciiTheme="minorHAnsi" w:hAnsiTheme="minorHAnsi" w:cstheme="minorHAnsi"/>
          <w:b/>
          <w:sz w:val="16"/>
          <w:szCs w:val="16"/>
        </w:rPr>
      </w:pPr>
      <w:r w:rsidRPr="00C356A8">
        <w:rPr>
          <w:rFonts w:asciiTheme="minorHAnsi" w:hAnsiTheme="minorHAnsi" w:cstheme="minorHAnsi"/>
          <w:b/>
          <w:color w:val="000000"/>
        </w:rPr>
        <w:lastRenderedPageBreak/>
        <w:t>Table 1 Personal NP</w:t>
      </w:r>
      <w:r w:rsidR="00A2760B" w:rsidRPr="00C356A8">
        <w:rPr>
          <w:rFonts w:asciiTheme="minorHAnsi" w:hAnsiTheme="minorHAnsi" w:cstheme="minorHAnsi"/>
          <w:b/>
          <w:color w:val="000000"/>
        </w:rPr>
        <w:t>P</w:t>
      </w:r>
      <w:r w:rsidRPr="00C356A8">
        <w:rPr>
          <w:rFonts w:asciiTheme="minorHAnsi" w:hAnsiTheme="minorHAnsi" w:cstheme="minorHAnsi"/>
          <w:b/>
          <w:color w:val="000000"/>
        </w:rPr>
        <w:t>SSP use and attitude towards NP</w:t>
      </w:r>
      <w:r w:rsidR="00A2760B" w:rsidRPr="00C356A8">
        <w:rPr>
          <w:rFonts w:asciiTheme="minorHAnsi" w:hAnsiTheme="minorHAnsi" w:cstheme="minorHAnsi"/>
          <w:b/>
          <w:color w:val="000000"/>
        </w:rPr>
        <w:t>P</w:t>
      </w:r>
      <w:r w:rsidRPr="00C356A8">
        <w:rPr>
          <w:rFonts w:asciiTheme="minorHAnsi" w:hAnsiTheme="minorHAnsi" w:cstheme="minorHAnsi"/>
          <w:b/>
          <w:color w:val="000000"/>
        </w:rPr>
        <w:t>SSP use by country and sex (% and 95% bootstrap CI)</w:t>
      </w:r>
    </w:p>
    <w:tbl>
      <w:tblPr>
        <w:tblW w:w="13891" w:type="dxa"/>
        <w:tblInd w:w="55" w:type="dxa"/>
        <w:tblLayout w:type="fixed"/>
        <w:tblCellMar>
          <w:left w:w="70" w:type="dxa"/>
          <w:right w:w="70" w:type="dxa"/>
        </w:tblCellMar>
        <w:tblLook w:val="04A0" w:firstRow="1" w:lastRow="0" w:firstColumn="1" w:lastColumn="0" w:noHBand="0" w:noVBand="1"/>
      </w:tblPr>
      <w:tblGrid>
        <w:gridCol w:w="2778"/>
        <w:gridCol w:w="1304"/>
        <w:gridCol w:w="1531"/>
        <w:gridCol w:w="1304"/>
        <w:gridCol w:w="1531"/>
        <w:gridCol w:w="1304"/>
        <w:gridCol w:w="1531"/>
        <w:gridCol w:w="1304"/>
        <w:gridCol w:w="1304"/>
      </w:tblGrid>
      <w:tr w:rsidR="0073341B" w:rsidRPr="00C356A8" w14:paraId="163B0DD3" w14:textId="77777777" w:rsidTr="005B4793">
        <w:trPr>
          <w:trHeight w:val="283"/>
        </w:trPr>
        <w:tc>
          <w:tcPr>
            <w:tcW w:w="2778" w:type="dxa"/>
            <w:tcBorders>
              <w:top w:val="single" w:sz="4" w:space="0" w:color="auto"/>
            </w:tcBorders>
            <w:shd w:val="clear" w:color="auto" w:fill="auto"/>
            <w:noWrap/>
            <w:vAlign w:val="bottom"/>
            <w:hideMark/>
          </w:tcPr>
          <w:p w14:paraId="407BBF53" w14:textId="77777777" w:rsidR="0073341B" w:rsidRPr="00C356A8" w:rsidRDefault="0073341B" w:rsidP="005B4793">
            <w:pPr>
              <w:jc w:val="center"/>
              <w:rPr>
                <w:rFonts w:asciiTheme="minorHAnsi" w:hAnsiTheme="minorHAnsi" w:cstheme="minorHAnsi"/>
                <w:color w:val="000000"/>
                <w:sz w:val="16"/>
                <w:szCs w:val="16"/>
                <w:lang w:eastAsia="de-DE"/>
              </w:rPr>
            </w:pPr>
          </w:p>
        </w:tc>
        <w:tc>
          <w:tcPr>
            <w:tcW w:w="2835" w:type="dxa"/>
            <w:gridSpan w:val="2"/>
            <w:tcBorders>
              <w:top w:val="single" w:sz="4" w:space="0" w:color="auto"/>
              <w:bottom w:val="single" w:sz="4" w:space="0" w:color="auto"/>
            </w:tcBorders>
            <w:shd w:val="clear" w:color="auto" w:fill="auto"/>
            <w:noWrap/>
            <w:vAlign w:val="center"/>
            <w:hideMark/>
          </w:tcPr>
          <w:p w14:paraId="6667B648"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Belgium</w:t>
            </w:r>
          </w:p>
        </w:tc>
        <w:tc>
          <w:tcPr>
            <w:tcW w:w="2835" w:type="dxa"/>
            <w:gridSpan w:val="2"/>
            <w:tcBorders>
              <w:top w:val="single" w:sz="4" w:space="0" w:color="auto"/>
              <w:bottom w:val="single" w:sz="4" w:space="0" w:color="auto"/>
            </w:tcBorders>
            <w:shd w:val="clear" w:color="auto" w:fill="auto"/>
            <w:noWrap/>
            <w:vAlign w:val="center"/>
            <w:hideMark/>
          </w:tcPr>
          <w:p w14:paraId="33C8CDE9"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Denmark</w:t>
            </w:r>
          </w:p>
        </w:tc>
        <w:tc>
          <w:tcPr>
            <w:tcW w:w="2835" w:type="dxa"/>
            <w:gridSpan w:val="2"/>
            <w:tcBorders>
              <w:top w:val="single" w:sz="4" w:space="0" w:color="auto"/>
              <w:bottom w:val="single" w:sz="4" w:space="0" w:color="auto"/>
            </w:tcBorders>
            <w:vAlign w:val="center"/>
          </w:tcPr>
          <w:p w14:paraId="399030BF"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Germany</w:t>
            </w:r>
          </w:p>
        </w:tc>
        <w:tc>
          <w:tcPr>
            <w:tcW w:w="2608" w:type="dxa"/>
            <w:gridSpan w:val="2"/>
            <w:tcBorders>
              <w:top w:val="single" w:sz="4" w:space="0" w:color="auto"/>
              <w:bottom w:val="single" w:sz="4" w:space="0" w:color="auto"/>
            </w:tcBorders>
            <w:vAlign w:val="center"/>
          </w:tcPr>
          <w:p w14:paraId="6BAAE5B4"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Slovak Republic</w:t>
            </w:r>
          </w:p>
        </w:tc>
      </w:tr>
      <w:tr w:rsidR="0073341B" w:rsidRPr="00C356A8" w14:paraId="038BAF26" w14:textId="77777777" w:rsidTr="005B4793">
        <w:trPr>
          <w:trHeight w:val="283"/>
        </w:trPr>
        <w:tc>
          <w:tcPr>
            <w:tcW w:w="2778" w:type="dxa"/>
            <w:shd w:val="clear" w:color="auto" w:fill="auto"/>
            <w:noWrap/>
            <w:vAlign w:val="center"/>
          </w:tcPr>
          <w:p w14:paraId="728E0CA0" w14:textId="3EA7E954" w:rsidR="0073341B" w:rsidRPr="00C356A8" w:rsidRDefault="0073341B" w:rsidP="005B4793">
            <w:pPr>
              <w:rPr>
                <w:rFonts w:asciiTheme="minorHAnsi" w:hAnsiTheme="minorHAnsi" w:cstheme="minorHAnsi"/>
                <w:bCs/>
                <w:i/>
                <w:color w:val="000000"/>
                <w:sz w:val="16"/>
                <w:szCs w:val="16"/>
                <w:lang w:eastAsia="de-DE"/>
              </w:rPr>
            </w:pPr>
            <w:r w:rsidRPr="00C356A8">
              <w:rPr>
                <w:rFonts w:asciiTheme="minorHAnsi" w:hAnsiTheme="minorHAnsi" w:cstheme="minorHAnsi"/>
                <w:bCs/>
                <w:i/>
                <w:color w:val="000000"/>
                <w:sz w:val="16"/>
                <w:szCs w:val="16"/>
                <w:lang w:eastAsia="de-DE"/>
              </w:rPr>
              <w:t>NP</w:t>
            </w:r>
            <w:r w:rsidR="00A2760B" w:rsidRPr="00C356A8">
              <w:rPr>
                <w:rFonts w:asciiTheme="minorHAnsi" w:hAnsiTheme="minorHAnsi" w:cstheme="minorHAnsi"/>
                <w:bCs/>
                <w:i/>
                <w:color w:val="000000"/>
                <w:sz w:val="16"/>
                <w:szCs w:val="16"/>
                <w:lang w:eastAsia="de-DE"/>
              </w:rPr>
              <w:t>P</w:t>
            </w:r>
            <w:r w:rsidRPr="00C356A8">
              <w:rPr>
                <w:rFonts w:asciiTheme="minorHAnsi" w:hAnsiTheme="minorHAnsi" w:cstheme="minorHAnsi"/>
                <w:bCs/>
                <w:i/>
                <w:color w:val="000000"/>
                <w:sz w:val="16"/>
                <w:szCs w:val="16"/>
                <w:lang w:eastAsia="de-DE"/>
              </w:rPr>
              <w:t xml:space="preserve">SSP use </w:t>
            </w:r>
            <w:r w:rsidRPr="00C356A8">
              <w:rPr>
                <w:rFonts w:asciiTheme="minorHAnsi" w:hAnsiTheme="minorHAnsi" w:cstheme="minorHAnsi"/>
                <w:bCs/>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=4,412)</w:t>
            </w:r>
          </w:p>
        </w:tc>
        <w:tc>
          <w:tcPr>
            <w:tcW w:w="1304" w:type="dxa"/>
            <w:tcBorders>
              <w:top w:val="single" w:sz="4" w:space="0" w:color="auto"/>
            </w:tcBorders>
            <w:shd w:val="clear" w:color="auto" w:fill="auto"/>
            <w:noWrap/>
            <w:vAlign w:val="center"/>
          </w:tcPr>
          <w:p w14:paraId="4E874013"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86)</w:t>
            </w:r>
          </w:p>
        </w:tc>
        <w:tc>
          <w:tcPr>
            <w:tcW w:w="1531" w:type="dxa"/>
            <w:tcBorders>
              <w:top w:val="single" w:sz="4" w:space="0" w:color="auto"/>
            </w:tcBorders>
            <w:shd w:val="clear" w:color="auto" w:fill="auto"/>
            <w:vAlign w:val="center"/>
          </w:tcPr>
          <w:p w14:paraId="35B1ECC0"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Female</w:t>
            </w:r>
            <w:r w:rsidRPr="00C356A8">
              <w:rPr>
                <w:rFonts w:asciiTheme="minorHAnsi" w:hAnsiTheme="minorHAnsi" w:cstheme="minorHAnsi"/>
                <w:color w:val="000000"/>
                <w:sz w:val="16"/>
                <w:szCs w:val="16"/>
                <w:lang w:eastAsia="de-DE"/>
              </w:rPr>
              <w:t xml:space="preserve"> (</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=321)</w:t>
            </w:r>
          </w:p>
        </w:tc>
        <w:tc>
          <w:tcPr>
            <w:tcW w:w="1304" w:type="dxa"/>
            <w:shd w:val="clear" w:color="auto" w:fill="auto"/>
            <w:vAlign w:val="center"/>
          </w:tcPr>
          <w:p w14:paraId="05D43F0C"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=100)</w:t>
            </w:r>
          </w:p>
        </w:tc>
        <w:tc>
          <w:tcPr>
            <w:tcW w:w="1531" w:type="dxa"/>
            <w:shd w:val="clear" w:color="auto" w:fill="auto"/>
            <w:vAlign w:val="center"/>
          </w:tcPr>
          <w:p w14:paraId="3A8352CD"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Female</w:t>
            </w:r>
            <w:r w:rsidRPr="00C356A8">
              <w:rPr>
                <w:rFonts w:asciiTheme="minorHAnsi" w:hAnsiTheme="minorHAnsi" w:cstheme="minorHAnsi"/>
                <w:color w:val="000000"/>
                <w:sz w:val="16"/>
                <w:szCs w:val="16"/>
                <w:lang w:eastAsia="de-DE"/>
              </w:rPr>
              <w:t xml:space="preserve"> (</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=353)</w:t>
            </w:r>
          </w:p>
        </w:tc>
        <w:tc>
          <w:tcPr>
            <w:tcW w:w="1304" w:type="dxa"/>
            <w:vAlign w:val="center"/>
          </w:tcPr>
          <w:p w14:paraId="5B0C5917"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=207)</w:t>
            </w:r>
          </w:p>
        </w:tc>
        <w:tc>
          <w:tcPr>
            <w:tcW w:w="1531" w:type="dxa"/>
            <w:vAlign w:val="center"/>
          </w:tcPr>
          <w:p w14:paraId="03C2A04D"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Female</w:t>
            </w:r>
            <w:r w:rsidRPr="00C356A8">
              <w:rPr>
                <w:rFonts w:asciiTheme="minorHAnsi" w:hAnsiTheme="minorHAnsi" w:cstheme="minorHAnsi"/>
                <w:color w:val="000000"/>
                <w:sz w:val="16"/>
                <w:szCs w:val="16"/>
                <w:lang w:eastAsia="de-DE"/>
              </w:rPr>
              <w:t xml:space="preserve"> (</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=295)</w:t>
            </w:r>
          </w:p>
        </w:tc>
        <w:tc>
          <w:tcPr>
            <w:tcW w:w="1304" w:type="dxa"/>
            <w:vAlign w:val="center"/>
          </w:tcPr>
          <w:p w14:paraId="5C8C4E63"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=393)</w:t>
            </w:r>
          </w:p>
        </w:tc>
        <w:tc>
          <w:tcPr>
            <w:tcW w:w="1304" w:type="dxa"/>
            <w:vAlign w:val="center"/>
          </w:tcPr>
          <w:p w14:paraId="0DA81072"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Female</w:t>
            </w:r>
            <w:r w:rsidRPr="00C356A8">
              <w:rPr>
                <w:rFonts w:asciiTheme="minorHAnsi" w:hAnsiTheme="minorHAnsi" w:cstheme="minorHAnsi"/>
                <w:color w:val="000000"/>
                <w:sz w:val="16"/>
                <w:szCs w:val="16"/>
                <w:lang w:eastAsia="de-DE"/>
              </w:rPr>
              <w:t xml:space="preserve"> (</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=1,524)</w:t>
            </w:r>
          </w:p>
        </w:tc>
      </w:tr>
      <w:tr w:rsidR="0073341B" w:rsidRPr="00C356A8" w14:paraId="17904FA9" w14:textId="77777777" w:rsidTr="005B4793">
        <w:trPr>
          <w:trHeight w:val="283"/>
        </w:trPr>
        <w:tc>
          <w:tcPr>
            <w:tcW w:w="2778" w:type="dxa"/>
            <w:shd w:val="clear" w:color="auto" w:fill="auto"/>
            <w:noWrap/>
            <w:vAlign w:val="center"/>
          </w:tcPr>
          <w:p w14:paraId="20CAEE18" w14:textId="77777777" w:rsidR="0073341B" w:rsidRPr="00C356A8" w:rsidRDefault="0073341B" w:rsidP="005B4793">
            <w:pPr>
              <w:rPr>
                <w:rFonts w:asciiTheme="minorHAnsi" w:hAnsiTheme="minorHAnsi" w:cstheme="minorHAnsi"/>
                <w:bCs/>
                <w:color w:val="000000"/>
                <w:sz w:val="16"/>
                <w:szCs w:val="16"/>
                <w:lang w:eastAsia="de-DE"/>
              </w:rPr>
            </w:pPr>
            <w:r w:rsidRPr="00C356A8">
              <w:rPr>
                <w:rFonts w:asciiTheme="minorHAnsi" w:hAnsiTheme="minorHAnsi" w:cstheme="minorHAnsi"/>
                <w:bCs/>
                <w:color w:val="000000"/>
                <w:sz w:val="16"/>
                <w:szCs w:val="16"/>
                <w:lang w:eastAsia="de-DE"/>
              </w:rPr>
              <w:t>Used in the last two months</w:t>
            </w:r>
          </w:p>
        </w:tc>
        <w:tc>
          <w:tcPr>
            <w:tcW w:w="1304" w:type="dxa"/>
            <w:shd w:val="clear" w:color="auto" w:fill="auto"/>
            <w:noWrap/>
            <w:vAlign w:val="center"/>
          </w:tcPr>
          <w:p w14:paraId="241CC56B"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1.2 (0.0-3.8)</w:t>
            </w:r>
          </w:p>
        </w:tc>
        <w:tc>
          <w:tcPr>
            <w:tcW w:w="1531" w:type="dxa"/>
            <w:shd w:val="clear" w:color="auto" w:fill="auto"/>
            <w:vAlign w:val="center"/>
          </w:tcPr>
          <w:p w14:paraId="7ECE6445"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1.2 (0.3-2.6)</w:t>
            </w:r>
          </w:p>
        </w:tc>
        <w:tc>
          <w:tcPr>
            <w:tcW w:w="1304" w:type="dxa"/>
            <w:shd w:val="clear" w:color="auto" w:fill="auto"/>
            <w:vAlign w:val="center"/>
          </w:tcPr>
          <w:p w14:paraId="4EE9B96E"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 (0.0-3.3)</w:t>
            </w:r>
          </w:p>
        </w:tc>
        <w:tc>
          <w:tcPr>
            <w:tcW w:w="1531" w:type="dxa"/>
            <w:shd w:val="clear" w:color="auto" w:fill="auto"/>
            <w:vAlign w:val="center"/>
          </w:tcPr>
          <w:p w14:paraId="777B8F4B"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1.7 (0.6-3.3)</w:t>
            </w:r>
          </w:p>
        </w:tc>
        <w:tc>
          <w:tcPr>
            <w:tcW w:w="1304" w:type="dxa"/>
            <w:vAlign w:val="center"/>
          </w:tcPr>
          <w:p w14:paraId="5A352462"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2.9 (0.9-5.4)</w:t>
            </w:r>
          </w:p>
        </w:tc>
        <w:tc>
          <w:tcPr>
            <w:tcW w:w="1531" w:type="dxa"/>
            <w:vAlign w:val="center"/>
          </w:tcPr>
          <w:p w14:paraId="43C1B26C"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3.1 (1.2-5.2)</w:t>
            </w:r>
          </w:p>
        </w:tc>
        <w:tc>
          <w:tcPr>
            <w:tcW w:w="1304" w:type="dxa"/>
            <w:vAlign w:val="center"/>
          </w:tcPr>
          <w:p w14:paraId="78E6A582"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1.5 (0.5-2.9)</w:t>
            </w:r>
          </w:p>
        </w:tc>
        <w:tc>
          <w:tcPr>
            <w:tcW w:w="1304" w:type="dxa"/>
            <w:vAlign w:val="center"/>
          </w:tcPr>
          <w:p w14:paraId="436868FB"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2.7 (1.9-3.5)</w:t>
            </w:r>
          </w:p>
        </w:tc>
      </w:tr>
      <w:tr w:rsidR="0073341B" w:rsidRPr="00C356A8" w14:paraId="0343D972" w14:textId="77777777" w:rsidTr="005B4793">
        <w:trPr>
          <w:trHeight w:val="283"/>
        </w:trPr>
        <w:tc>
          <w:tcPr>
            <w:tcW w:w="2778" w:type="dxa"/>
            <w:shd w:val="clear" w:color="auto" w:fill="auto"/>
            <w:noWrap/>
            <w:vAlign w:val="center"/>
          </w:tcPr>
          <w:p w14:paraId="164CBE25" w14:textId="77777777" w:rsidR="0073341B" w:rsidRPr="00C356A8" w:rsidRDefault="0073341B" w:rsidP="005B4793">
            <w:pPr>
              <w:rPr>
                <w:rFonts w:asciiTheme="minorHAnsi" w:hAnsiTheme="minorHAnsi" w:cstheme="minorHAnsi"/>
                <w:bCs/>
                <w:color w:val="000000"/>
                <w:sz w:val="16"/>
                <w:szCs w:val="16"/>
                <w:lang w:eastAsia="de-DE"/>
              </w:rPr>
            </w:pPr>
            <w:r w:rsidRPr="00C356A8">
              <w:rPr>
                <w:rFonts w:asciiTheme="minorHAnsi" w:hAnsiTheme="minorHAnsi" w:cstheme="minorHAnsi"/>
                <w:bCs/>
                <w:color w:val="000000"/>
                <w:sz w:val="16"/>
                <w:szCs w:val="16"/>
                <w:lang w:eastAsia="de-DE"/>
              </w:rPr>
              <w:t>Used at least once in life</w:t>
            </w:r>
          </w:p>
        </w:tc>
        <w:tc>
          <w:tcPr>
            <w:tcW w:w="1304" w:type="dxa"/>
            <w:shd w:val="clear" w:color="auto" w:fill="auto"/>
            <w:noWrap/>
            <w:vAlign w:val="center"/>
          </w:tcPr>
          <w:p w14:paraId="19274A51"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2.3 (0.0-5.8)</w:t>
            </w:r>
          </w:p>
        </w:tc>
        <w:tc>
          <w:tcPr>
            <w:tcW w:w="1531" w:type="dxa"/>
            <w:shd w:val="clear" w:color="auto" w:fill="auto"/>
            <w:vAlign w:val="center"/>
          </w:tcPr>
          <w:p w14:paraId="135AB3BC"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4.0 (2.1-6.3)</w:t>
            </w:r>
          </w:p>
        </w:tc>
        <w:tc>
          <w:tcPr>
            <w:tcW w:w="1304" w:type="dxa"/>
            <w:shd w:val="clear" w:color="auto" w:fill="auto"/>
            <w:vAlign w:val="center"/>
          </w:tcPr>
          <w:p w14:paraId="19ADF084"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9.0 (3.6-14.7)</w:t>
            </w:r>
          </w:p>
        </w:tc>
        <w:tc>
          <w:tcPr>
            <w:tcW w:w="1531" w:type="dxa"/>
            <w:shd w:val="clear" w:color="auto" w:fill="auto"/>
            <w:vAlign w:val="center"/>
          </w:tcPr>
          <w:p w14:paraId="40F0BACA"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5.9 (3.4-8.6)</w:t>
            </w:r>
          </w:p>
        </w:tc>
        <w:tc>
          <w:tcPr>
            <w:tcW w:w="1304" w:type="dxa"/>
            <w:vAlign w:val="center"/>
          </w:tcPr>
          <w:p w14:paraId="6E3AB21E"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11.1 (6.7-15.6)</w:t>
            </w:r>
          </w:p>
        </w:tc>
        <w:tc>
          <w:tcPr>
            <w:tcW w:w="1531" w:type="dxa"/>
            <w:vAlign w:val="center"/>
          </w:tcPr>
          <w:p w14:paraId="5CD027D3"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10.2 (6.6-13.7)</w:t>
            </w:r>
          </w:p>
        </w:tc>
        <w:tc>
          <w:tcPr>
            <w:tcW w:w="1304" w:type="dxa"/>
            <w:vAlign w:val="center"/>
          </w:tcPr>
          <w:p w14:paraId="3894BE77"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6.4 (3.9-8.9)</w:t>
            </w:r>
          </w:p>
        </w:tc>
        <w:tc>
          <w:tcPr>
            <w:tcW w:w="1304" w:type="dxa"/>
            <w:vAlign w:val="center"/>
          </w:tcPr>
          <w:p w14:paraId="3D5BBBE3"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11.6 (10.0-13.2)</w:t>
            </w:r>
          </w:p>
        </w:tc>
      </w:tr>
      <w:tr w:rsidR="0073341B" w:rsidRPr="00C356A8" w14:paraId="0502FC60" w14:textId="77777777" w:rsidTr="005B4793">
        <w:trPr>
          <w:trHeight w:val="113"/>
        </w:trPr>
        <w:tc>
          <w:tcPr>
            <w:tcW w:w="2778" w:type="dxa"/>
            <w:shd w:val="clear" w:color="auto" w:fill="auto"/>
            <w:noWrap/>
            <w:vAlign w:val="center"/>
          </w:tcPr>
          <w:p w14:paraId="5CF9A60E" w14:textId="77777777" w:rsidR="0073341B" w:rsidRPr="00C356A8" w:rsidRDefault="0073341B" w:rsidP="005B4793">
            <w:pPr>
              <w:rPr>
                <w:rFonts w:asciiTheme="minorHAnsi" w:hAnsiTheme="minorHAnsi" w:cstheme="minorHAnsi"/>
                <w:bCs/>
                <w:color w:val="000000"/>
                <w:sz w:val="16"/>
                <w:szCs w:val="16"/>
                <w:lang w:eastAsia="de-DE"/>
              </w:rPr>
            </w:pPr>
          </w:p>
        </w:tc>
        <w:tc>
          <w:tcPr>
            <w:tcW w:w="1304" w:type="dxa"/>
            <w:shd w:val="clear" w:color="auto" w:fill="auto"/>
            <w:noWrap/>
            <w:vAlign w:val="center"/>
          </w:tcPr>
          <w:p w14:paraId="70645767" w14:textId="77777777" w:rsidR="0073341B" w:rsidRPr="00C356A8" w:rsidRDefault="0073341B" w:rsidP="005B4793">
            <w:pPr>
              <w:rPr>
                <w:rFonts w:asciiTheme="minorHAnsi" w:hAnsiTheme="minorHAnsi" w:cstheme="minorHAnsi"/>
                <w:color w:val="000000"/>
                <w:sz w:val="16"/>
                <w:szCs w:val="16"/>
                <w:lang w:eastAsia="de-DE"/>
              </w:rPr>
            </w:pPr>
          </w:p>
        </w:tc>
        <w:tc>
          <w:tcPr>
            <w:tcW w:w="1531" w:type="dxa"/>
            <w:shd w:val="clear" w:color="auto" w:fill="auto"/>
            <w:vAlign w:val="center"/>
          </w:tcPr>
          <w:p w14:paraId="547A05F9" w14:textId="77777777" w:rsidR="0073341B" w:rsidRPr="00C356A8" w:rsidRDefault="0073341B" w:rsidP="005B4793">
            <w:pPr>
              <w:rPr>
                <w:rFonts w:asciiTheme="minorHAnsi" w:hAnsiTheme="minorHAnsi" w:cstheme="minorHAnsi"/>
                <w:color w:val="000000"/>
                <w:sz w:val="16"/>
                <w:szCs w:val="16"/>
                <w:lang w:eastAsia="de-DE"/>
              </w:rPr>
            </w:pPr>
          </w:p>
        </w:tc>
        <w:tc>
          <w:tcPr>
            <w:tcW w:w="1304" w:type="dxa"/>
            <w:shd w:val="clear" w:color="auto" w:fill="auto"/>
            <w:vAlign w:val="center"/>
          </w:tcPr>
          <w:p w14:paraId="68440F86" w14:textId="77777777" w:rsidR="0073341B" w:rsidRPr="00C356A8" w:rsidRDefault="0073341B" w:rsidP="005B4793">
            <w:pPr>
              <w:rPr>
                <w:rFonts w:asciiTheme="minorHAnsi" w:hAnsiTheme="minorHAnsi" w:cstheme="minorHAnsi"/>
                <w:color w:val="000000"/>
                <w:sz w:val="16"/>
                <w:szCs w:val="16"/>
                <w:lang w:eastAsia="de-DE"/>
              </w:rPr>
            </w:pPr>
          </w:p>
        </w:tc>
        <w:tc>
          <w:tcPr>
            <w:tcW w:w="1531" w:type="dxa"/>
            <w:shd w:val="clear" w:color="auto" w:fill="auto"/>
            <w:vAlign w:val="center"/>
          </w:tcPr>
          <w:p w14:paraId="1614815E" w14:textId="77777777" w:rsidR="0073341B" w:rsidRPr="00C356A8" w:rsidRDefault="0073341B" w:rsidP="005B4793">
            <w:pPr>
              <w:rPr>
                <w:rFonts w:asciiTheme="minorHAnsi" w:hAnsiTheme="minorHAnsi" w:cstheme="minorHAnsi"/>
                <w:color w:val="000000"/>
                <w:sz w:val="16"/>
                <w:szCs w:val="16"/>
                <w:lang w:eastAsia="de-DE"/>
              </w:rPr>
            </w:pPr>
          </w:p>
        </w:tc>
        <w:tc>
          <w:tcPr>
            <w:tcW w:w="1304" w:type="dxa"/>
            <w:vAlign w:val="center"/>
          </w:tcPr>
          <w:p w14:paraId="2BB3A607" w14:textId="77777777" w:rsidR="0073341B" w:rsidRPr="00C356A8" w:rsidRDefault="0073341B" w:rsidP="005B4793">
            <w:pPr>
              <w:rPr>
                <w:rFonts w:asciiTheme="minorHAnsi" w:hAnsiTheme="minorHAnsi" w:cstheme="minorHAnsi"/>
                <w:color w:val="000000"/>
                <w:sz w:val="16"/>
                <w:szCs w:val="16"/>
                <w:lang w:eastAsia="de-DE"/>
              </w:rPr>
            </w:pPr>
          </w:p>
        </w:tc>
        <w:tc>
          <w:tcPr>
            <w:tcW w:w="1531" w:type="dxa"/>
            <w:vAlign w:val="center"/>
          </w:tcPr>
          <w:p w14:paraId="25F51AD5" w14:textId="77777777" w:rsidR="0073341B" w:rsidRPr="00C356A8" w:rsidRDefault="0073341B" w:rsidP="005B4793">
            <w:pPr>
              <w:rPr>
                <w:rFonts w:asciiTheme="minorHAnsi" w:hAnsiTheme="minorHAnsi" w:cstheme="minorHAnsi"/>
                <w:color w:val="000000"/>
                <w:sz w:val="16"/>
                <w:szCs w:val="16"/>
                <w:lang w:eastAsia="de-DE"/>
              </w:rPr>
            </w:pPr>
          </w:p>
        </w:tc>
        <w:tc>
          <w:tcPr>
            <w:tcW w:w="1304" w:type="dxa"/>
            <w:vAlign w:val="center"/>
          </w:tcPr>
          <w:p w14:paraId="47133160" w14:textId="77777777" w:rsidR="0073341B" w:rsidRPr="00C356A8" w:rsidRDefault="0073341B" w:rsidP="005B4793">
            <w:pPr>
              <w:rPr>
                <w:rFonts w:asciiTheme="minorHAnsi" w:hAnsiTheme="minorHAnsi" w:cstheme="minorHAnsi"/>
                <w:color w:val="000000"/>
                <w:sz w:val="16"/>
                <w:szCs w:val="16"/>
                <w:lang w:eastAsia="de-DE"/>
              </w:rPr>
            </w:pPr>
          </w:p>
        </w:tc>
        <w:tc>
          <w:tcPr>
            <w:tcW w:w="1304" w:type="dxa"/>
            <w:vAlign w:val="center"/>
          </w:tcPr>
          <w:p w14:paraId="4659FB1A" w14:textId="77777777" w:rsidR="0073341B" w:rsidRPr="00C356A8" w:rsidRDefault="0073341B" w:rsidP="005B4793">
            <w:pPr>
              <w:rPr>
                <w:rFonts w:asciiTheme="minorHAnsi" w:hAnsiTheme="minorHAnsi" w:cstheme="minorHAnsi"/>
                <w:color w:val="000000"/>
                <w:sz w:val="16"/>
                <w:szCs w:val="16"/>
                <w:lang w:eastAsia="de-DE"/>
              </w:rPr>
            </w:pPr>
          </w:p>
        </w:tc>
      </w:tr>
      <w:tr w:rsidR="0073341B" w:rsidRPr="00C356A8" w14:paraId="6F79F1D6" w14:textId="77777777" w:rsidTr="005B4793">
        <w:trPr>
          <w:trHeight w:val="283"/>
        </w:trPr>
        <w:tc>
          <w:tcPr>
            <w:tcW w:w="2778" w:type="dxa"/>
            <w:shd w:val="clear" w:color="auto" w:fill="auto"/>
            <w:noWrap/>
            <w:vAlign w:val="center"/>
          </w:tcPr>
          <w:p w14:paraId="5E989FE0" w14:textId="502AFDF4" w:rsidR="0073341B" w:rsidRPr="00C356A8" w:rsidRDefault="0073341B" w:rsidP="005B4793">
            <w:pPr>
              <w:rPr>
                <w:rFonts w:asciiTheme="minorHAnsi" w:hAnsiTheme="minorHAnsi" w:cstheme="minorHAnsi"/>
                <w:bCs/>
                <w:i/>
                <w:color w:val="000000"/>
                <w:sz w:val="16"/>
                <w:szCs w:val="16"/>
                <w:lang w:eastAsia="de-DE"/>
              </w:rPr>
            </w:pPr>
            <w:r w:rsidRPr="00C356A8">
              <w:rPr>
                <w:rFonts w:asciiTheme="minorHAnsi" w:hAnsiTheme="minorHAnsi" w:cstheme="minorHAnsi"/>
                <w:bCs/>
                <w:i/>
                <w:color w:val="000000"/>
                <w:sz w:val="16"/>
                <w:szCs w:val="16"/>
                <w:lang w:eastAsia="de-DE"/>
              </w:rPr>
              <w:t>Attitude towards NP</w:t>
            </w:r>
            <w:r w:rsidR="00A2760B" w:rsidRPr="00C356A8">
              <w:rPr>
                <w:rFonts w:asciiTheme="minorHAnsi" w:hAnsiTheme="minorHAnsi" w:cstheme="minorHAnsi"/>
                <w:bCs/>
                <w:i/>
                <w:color w:val="000000"/>
                <w:sz w:val="16"/>
                <w:szCs w:val="16"/>
                <w:lang w:eastAsia="de-DE"/>
              </w:rPr>
              <w:t>P</w:t>
            </w:r>
            <w:r w:rsidRPr="00C356A8">
              <w:rPr>
                <w:rFonts w:asciiTheme="minorHAnsi" w:hAnsiTheme="minorHAnsi" w:cstheme="minorHAnsi"/>
                <w:bCs/>
                <w:i/>
                <w:color w:val="000000"/>
                <w:sz w:val="16"/>
                <w:szCs w:val="16"/>
                <w:lang w:eastAsia="de-DE"/>
              </w:rPr>
              <w:t xml:space="preserve">SSP use </w:t>
            </w:r>
            <w:r w:rsidRPr="00C356A8">
              <w:rPr>
                <w:rFonts w:asciiTheme="minorHAnsi" w:hAnsiTheme="minorHAnsi" w:cstheme="minorHAnsi"/>
                <w:bCs/>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=4,284)</w:t>
            </w:r>
          </w:p>
        </w:tc>
        <w:tc>
          <w:tcPr>
            <w:tcW w:w="1304" w:type="dxa"/>
            <w:shd w:val="clear" w:color="auto" w:fill="auto"/>
            <w:noWrap/>
            <w:vAlign w:val="center"/>
          </w:tcPr>
          <w:p w14:paraId="203A4CA3"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85)</w:t>
            </w:r>
          </w:p>
        </w:tc>
        <w:tc>
          <w:tcPr>
            <w:tcW w:w="1531" w:type="dxa"/>
            <w:shd w:val="clear" w:color="auto" w:fill="auto"/>
            <w:vAlign w:val="center"/>
          </w:tcPr>
          <w:p w14:paraId="779AD125"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Female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=316)</w:t>
            </w:r>
          </w:p>
        </w:tc>
        <w:tc>
          <w:tcPr>
            <w:tcW w:w="1304" w:type="dxa"/>
            <w:shd w:val="clear" w:color="auto" w:fill="auto"/>
            <w:vAlign w:val="center"/>
          </w:tcPr>
          <w:p w14:paraId="095660AC"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=95)</w:t>
            </w:r>
          </w:p>
        </w:tc>
        <w:tc>
          <w:tcPr>
            <w:tcW w:w="1531" w:type="dxa"/>
            <w:shd w:val="clear" w:color="auto" w:fill="auto"/>
            <w:vAlign w:val="center"/>
          </w:tcPr>
          <w:p w14:paraId="51C74D12"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Female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=348)</w:t>
            </w:r>
          </w:p>
        </w:tc>
        <w:tc>
          <w:tcPr>
            <w:tcW w:w="1304" w:type="dxa"/>
            <w:vAlign w:val="center"/>
          </w:tcPr>
          <w:p w14:paraId="65E49A48"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Male</w:t>
            </w:r>
            <w:r w:rsidRPr="00C356A8">
              <w:rPr>
                <w:rFonts w:asciiTheme="minorHAnsi" w:hAnsiTheme="minorHAnsi" w:cstheme="minorHAnsi"/>
                <w:color w:val="000000"/>
                <w:sz w:val="16"/>
                <w:szCs w:val="16"/>
                <w:lang w:eastAsia="de-DE"/>
              </w:rPr>
              <w:t xml:space="preserve"> (</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=203)</w:t>
            </w:r>
          </w:p>
        </w:tc>
        <w:tc>
          <w:tcPr>
            <w:tcW w:w="1531" w:type="dxa"/>
            <w:vAlign w:val="center"/>
          </w:tcPr>
          <w:p w14:paraId="0DFFA7D5"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Female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=292)</w:t>
            </w:r>
          </w:p>
        </w:tc>
        <w:tc>
          <w:tcPr>
            <w:tcW w:w="1304" w:type="dxa"/>
            <w:vAlign w:val="center"/>
          </w:tcPr>
          <w:p w14:paraId="23D64A88"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=384)</w:t>
            </w:r>
          </w:p>
        </w:tc>
        <w:tc>
          <w:tcPr>
            <w:tcW w:w="1304" w:type="dxa"/>
            <w:vAlign w:val="center"/>
          </w:tcPr>
          <w:p w14:paraId="6EF60710"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Female</w:t>
            </w:r>
            <w:r w:rsidRPr="00C356A8">
              <w:rPr>
                <w:rFonts w:asciiTheme="minorHAnsi" w:hAnsiTheme="minorHAnsi" w:cstheme="minorHAnsi"/>
                <w:color w:val="000000"/>
                <w:sz w:val="16"/>
                <w:szCs w:val="16"/>
                <w:lang w:eastAsia="de-DE"/>
              </w:rPr>
              <w:t xml:space="preserve"> (</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=1,489)</w:t>
            </w:r>
          </w:p>
        </w:tc>
      </w:tr>
      <w:tr w:rsidR="0073341B" w:rsidRPr="00C356A8" w14:paraId="37A41713" w14:textId="77777777" w:rsidTr="005B4793">
        <w:trPr>
          <w:trHeight w:val="283"/>
        </w:trPr>
        <w:tc>
          <w:tcPr>
            <w:tcW w:w="2778" w:type="dxa"/>
            <w:shd w:val="clear" w:color="auto" w:fill="auto"/>
            <w:noWrap/>
            <w:vAlign w:val="center"/>
          </w:tcPr>
          <w:p w14:paraId="343F96DA"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Never ok to use</w:t>
            </w:r>
          </w:p>
        </w:tc>
        <w:tc>
          <w:tcPr>
            <w:tcW w:w="1304" w:type="dxa"/>
            <w:shd w:val="clear" w:color="auto" w:fill="auto"/>
            <w:noWrap/>
            <w:vAlign w:val="center"/>
          </w:tcPr>
          <w:p w14:paraId="068B09A2"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83.5 (75.0-91.5)</w:t>
            </w:r>
          </w:p>
        </w:tc>
        <w:tc>
          <w:tcPr>
            <w:tcW w:w="1531" w:type="dxa"/>
            <w:shd w:val="clear" w:color="auto" w:fill="auto"/>
            <w:vAlign w:val="center"/>
          </w:tcPr>
          <w:p w14:paraId="1EFD3690"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72.2 (67.1-77.1)</w:t>
            </w:r>
          </w:p>
        </w:tc>
        <w:tc>
          <w:tcPr>
            <w:tcW w:w="1304" w:type="dxa"/>
            <w:shd w:val="clear" w:color="auto" w:fill="auto"/>
            <w:vAlign w:val="center"/>
          </w:tcPr>
          <w:p w14:paraId="7322FA51"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65.3 (55.9-74.0)</w:t>
            </w:r>
          </w:p>
        </w:tc>
        <w:tc>
          <w:tcPr>
            <w:tcW w:w="1531" w:type="dxa"/>
            <w:shd w:val="clear" w:color="auto" w:fill="auto"/>
            <w:vAlign w:val="center"/>
          </w:tcPr>
          <w:p w14:paraId="1FE9E49F"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75.3 (70.7-79.6)</w:t>
            </w:r>
          </w:p>
        </w:tc>
        <w:tc>
          <w:tcPr>
            <w:tcW w:w="1304" w:type="dxa"/>
            <w:vAlign w:val="center"/>
          </w:tcPr>
          <w:p w14:paraId="6AF47084"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64.0 (57.1-70.4)</w:t>
            </w:r>
          </w:p>
        </w:tc>
        <w:tc>
          <w:tcPr>
            <w:tcW w:w="1531" w:type="dxa"/>
            <w:vAlign w:val="center"/>
          </w:tcPr>
          <w:p w14:paraId="3E8D601B"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56.8 (51.0-62.6)</w:t>
            </w:r>
          </w:p>
        </w:tc>
        <w:tc>
          <w:tcPr>
            <w:tcW w:w="1304" w:type="dxa"/>
            <w:vAlign w:val="center"/>
          </w:tcPr>
          <w:p w14:paraId="50ACB1DE"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83.3 (79.4-86.9)</w:t>
            </w:r>
          </w:p>
        </w:tc>
        <w:tc>
          <w:tcPr>
            <w:tcW w:w="1304" w:type="dxa"/>
            <w:vAlign w:val="center"/>
          </w:tcPr>
          <w:p w14:paraId="0C30651F"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73.1 (70.8-75.4)</w:t>
            </w:r>
          </w:p>
        </w:tc>
      </w:tr>
      <w:tr w:rsidR="0073341B" w:rsidRPr="00C356A8" w14:paraId="09159374" w14:textId="77777777" w:rsidTr="005B4793">
        <w:trPr>
          <w:trHeight w:val="283"/>
        </w:trPr>
        <w:tc>
          <w:tcPr>
            <w:tcW w:w="2778" w:type="dxa"/>
            <w:shd w:val="clear" w:color="auto" w:fill="auto"/>
            <w:noWrap/>
            <w:vAlign w:val="center"/>
          </w:tcPr>
          <w:p w14:paraId="2D161250" w14:textId="77777777" w:rsidR="0073341B" w:rsidRPr="00C356A8" w:rsidRDefault="0073341B" w:rsidP="005B4793">
            <w:pPr>
              <w:rPr>
                <w:rFonts w:asciiTheme="minorHAnsi" w:hAnsiTheme="minorHAnsi" w:cstheme="minorHAnsi"/>
                <w:color w:val="000000"/>
                <w:sz w:val="16"/>
                <w:szCs w:val="16"/>
                <w:vertAlign w:val="superscript"/>
                <w:lang w:eastAsia="de-DE"/>
              </w:rPr>
            </w:pPr>
            <w:r w:rsidRPr="00C356A8">
              <w:rPr>
                <w:rFonts w:asciiTheme="minorHAnsi" w:hAnsiTheme="minorHAnsi" w:cstheme="minorHAnsi"/>
                <w:color w:val="000000"/>
                <w:sz w:val="16"/>
                <w:szCs w:val="16"/>
                <w:lang w:eastAsia="de-DE"/>
              </w:rPr>
              <w:t xml:space="preserve">Ok to use if it doesn’t interfere with work or </w:t>
            </w:r>
            <w:proofErr w:type="spellStart"/>
            <w:r w:rsidRPr="00C356A8">
              <w:rPr>
                <w:rFonts w:asciiTheme="minorHAnsi" w:hAnsiTheme="minorHAnsi" w:cstheme="minorHAnsi"/>
                <w:color w:val="000000"/>
                <w:sz w:val="16"/>
                <w:szCs w:val="16"/>
                <w:lang w:eastAsia="de-DE"/>
              </w:rPr>
              <w:t>study</w:t>
            </w:r>
            <w:r w:rsidRPr="00C356A8">
              <w:rPr>
                <w:rFonts w:asciiTheme="minorHAnsi" w:hAnsiTheme="minorHAnsi" w:cstheme="minorHAnsi"/>
                <w:color w:val="000000"/>
                <w:sz w:val="16"/>
                <w:szCs w:val="16"/>
                <w:vertAlign w:val="superscript"/>
                <w:lang w:eastAsia="de-DE"/>
              </w:rPr>
              <w:t>a</w:t>
            </w:r>
            <w:proofErr w:type="spellEnd"/>
          </w:p>
        </w:tc>
        <w:tc>
          <w:tcPr>
            <w:tcW w:w="1304" w:type="dxa"/>
            <w:shd w:val="clear" w:color="auto" w:fill="auto"/>
            <w:noWrap/>
            <w:vAlign w:val="center"/>
          </w:tcPr>
          <w:p w14:paraId="42C95BCE"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15.3 (7.9-23.5)</w:t>
            </w:r>
          </w:p>
        </w:tc>
        <w:tc>
          <w:tcPr>
            <w:tcW w:w="1531" w:type="dxa"/>
            <w:shd w:val="clear" w:color="auto" w:fill="auto"/>
            <w:vAlign w:val="center"/>
          </w:tcPr>
          <w:p w14:paraId="41D3D862"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26.2 (21.6-31.6)</w:t>
            </w:r>
          </w:p>
        </w:tc>
        <w:tc>
          <w:tcPr>
            <w:tcW w:w="1304" w:type="dxa"/>
            <w:shd w:val="clear" w:color="auto" w:fill="auto"/>
            <w:vAlign w:val="center"/>
          </w:tcPr>
          <w:p w14:paraId="77210CAD"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28.4 (20.6-37.5)</w:t>
            </w:r>
          </w:p>
        </w:tc>
        <w:tc>
          <w:tcPr>
            <w:tcW w:w="1531" w:type="dxa"/>
            <w:shd w:val="clear" w:color="auto" w:fill="auto"/>
            <w:vAlign w:val="center"/>
          </w:tcPr>
          <w:p w14:paraId="49F04A53"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21.3 (17.3-25.9)</w:t>
            </w:r>
          </w:p>
        </w:tc>
        <w:tc>
          <w:tcPr>
            <w:tcW w:w="1304" w:type="dxa"/>
            <w:vAlign w:val="center"/>
          </w:tcPr>
          <w:p w14:paraId="22602733"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30.0 (23.9-37.0)</w:t>
            </w:r>
          </w:p>
        </w:tc>
        <w:tc>
          <w:tcPr>
            <w:tcW w:w="1531" w:type="dxa"/>
            <w:vAlign w:val="center"/>
          </w:tcPr>
          <w:p w14:paraId="5DCC8938"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38.0 (32.4-43.7)</w:t>
            </w:r>
          </w:p>
        </w:tc>
        <w:tc>
          <w:tcPr>
            <w:tcW w:w="1304" w:type="dxa"/>
            <w:vAlign w:val="center"/>
          </w:tcPr>
          <w:p w14:paraId="0AB9244E"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15.1 (11.7-18.8)</w:t>
            </w:r>
          </w:p>
        </w:tc>
        <w:tc>
          <w:tcPr>
            <w:tcW w:w="1304" w:type="dxa"/>
            <w:vAlign w:val="center"/>
          </w:tcPr>
          <w:p w14:paraId="7BB27A95"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25.6 (23.4-27.8)</w:t>
            </w:r>
          </w:p>
        </w:tc>
      </w:tr>
      <w:tr w:rsidR="0073341B" w:rsidRPr="00C356A8" w14:paraId="2475CB85" w14:textId="77777777" w:rsidTr="005B4793">
        <w:trPr>
          <w:trHeight w:val="283"/>
        </w:trPr>
        <w:tc>
          <w:tcPr>
            <w:tcW w:w="2778" w:type="dxa"/>
            <w:tcBorders>
              <w:bottom w:val="single" w:sz="4" w:space="0" w:color="auto"/>
            </w:tcBorders>
            <w:shd w:val="clear" w:color="auto" w:fill="auto"/>
            <w:noWrap/>
            <w:vAlign w:val="center"/>
          </w:tcPr>
          <w:p w14:paraId="1BC67D38" w14:textId="77777777" w:rsidR="0073341B" w:rsidRPr="00C356A8" w:rsidRDefault="0073341B" w:rsidP="005B4793">
            <w:pPr>
              <w:rPr>
                <w:rFonts w:asciiTheme="minorHAnsi" w:hAnsiTheme="minorHAnsi" w:cstheme="minorHAnsi"/>
                <w:color w:val="000000"/>
                <w:sz w:val="16"/>
                <w:szCs w:val="16"/>
                <w:vertAlign w:val="superscript"/>
                <w:lang w:eastAsia="de-DE"/>
              </w:rPr>
            </w:pPr>
            <w:r w:rsidRPr="00C356A8">
              <w:rPr>
                <w:rFonts w:asciiTheme="minorHAnsi" w:hAnsiTheme="minorHAnsi" w:cstheme="minorHAnsi"/>
                <w:color w:val="000000"/>
                <w:sz w:val="16"/>
                <w:szCs w:val="16"/>
                <w:lang w:eastAsia="de-DE"/>
              </w:rPr>
              <w:t xml:space="preserve">Ok to </w:t>
            </w:r>
            <w:proofErr w:type="spellStart"/>
            <w:r w:rsidRPr="00C356A8">
              <w:rPr>
                <w:rFonts w:asciiTheme="minorHAnsi" w:hAnsiTheme="minorHAnsi" w:cstheme="minorHAnsi"/>
                <w:color w:val="000000"/>
                <w:sz w:val="16"/>
                <w:szCs w:val="16"/>
                <w:lang w:eastAsia="de-DE"/>
              </w:rPr>
              <w:t>use</w:t>
            </w:r>
            <w:r w:rsidRPr="00C356A8">
              <w:rPr>
                <w:rFonts w:asciiTheme="minorHAnsi" w:hAnsiTheme="minorHAnsi" w:cstheme="minorHAnsi"/>
                <w:color w:val="000000"/>
                <w:sz w:val="16"/>
                <w:szCs w:val="16"/>
                <w:vertAlign w:val="superscript"/>
                <w:lang w:eastAsia="de-DE"/>
              </w:rPr>
              <w:t>b</w:t>
            </w:r>
            <w:proofErr w:type="spellEnd"/>
          </w:p>
        </w:tc>
        <w:tc>
          <w:tcPr>
            <w:tcW w:w="1304" w:type="dxa"/>
            <w:tcBorders>
              <w:bottom w:val="single" w:sz="4" w:space="0" w:color="auto"/>
            </w:tcBorders>
            <w:shd w:val="clear" w:color="auto" w:fill="auto"/>
            <w:noWrap/>
            <w:vAlign w:val="center"/>
          </w:tcPr>
          <w:p w14:paraId="28BE8A0A"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1.2 (0.0-3.8)</w:t>
            </w:r>
          </w:p>
        </w:tc>
        <w:tc>
          <w:tcPr>
            <w:tcW w:w="1531" w:type="dxa"/>
            <w:tcBorders>
              <w:bottom w:val="single" w:sz="4" w:space="0" w:color="auto"/>
            </w:tcBorders>
            <w:shd w:val="clear" w:color="auto" w:fill="auto"/>
            <w:vAlign w:val="center"/>
          </w:tcPr>
          <w:p w14:paraId="30C25A0E"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1.3 (0.3-2.8)</w:t>
            </w:r>
          </w:p>
        </w:tc>
        <w:tc>
          <w:tcPr>
            <w:tcW w:w="1304" w:type="dxa"/>
            <w:tcBorders>
              <w:bottom w:val="single" w:sz="4" w:space="0" w:color="auto"/>
            </w:tcBorders>
            <w:shd w:val="clear" w:color="auto" w:fill="auto"/>
            <w:vAlign w:val="center"/>
          </w:tcPr>
          <w:p w14:paraId="2B059C4F"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6.3 (2.0-11.8)</w:t>
            </w:r>
          </w:p>
        </w:tc>
        <w:tc>
          <w:tcPr>
            <w:tcW w:w="1531" w:type="dxa"/>
            <w:tcBorders>
              <w:bottom w:val="single" w:sz="4" w:space="0" w:color="auto"/>
            </w:tcBorders>
            <w:shd w:val="clear" w:color="auto" w:fill="auto"/>
            <w:vAlign w:val="center"/>
          </w:tcPr>
          <w:p w14:paraId="114A58A5"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3.4 (1.7-5.3)</w:t>
            </w:r>
          </w:p>
        </w:tc>
        <w:tc>
          <w:tcPr>
            <w:tcW w:w="1304" w:type="dxa"/>
            <w:tcBorders>
              <w:bottom w:val="single" w:sz="4" w:space="0" w:color="auto"/>
            </w:tcBorders>
            <w:vAlign w:val="center"/>
          </w:tcPr>
          <w:p w14:paraId="6C377287"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5.9 (2.7-9.5)</w:t>
            </w:r>
          </w:p>
        </w:tc>
        <w:tc>
          <w:tcPr>
            <w:tcW w:w="1531" w:type="dxa"/>
            <w:tcBorders>
              <w:bottom w:val="single" w:sz="4" w:space="0" w:color="auto"/>
            </w:tcBorders>
            <w:vAlign w:val="center"/>
          </w:tcPr>
          <w:p w14:paraId="263194EA"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5.1 (2.7-7.9)</w:t>
            </w:r>
          </w:p>
        </w:tc>
        <w:tc>
          <w:tcPr>
            <w:tcW w:w="1304" w:type="dxa"/>
            <w:tcBorders>
              <w:bottom w:val="single" w:sz="4" w:space="0" w:color="auto"/>
            </w:tcBorders>
            <w:vAlign w:val="center"/>
          </w:tcPr>
          <w:p w14:paraId="572A8FD3"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1.6 (0.5-3.1)</w:t>
            </w:r>
          </w:p>
        </w:tc>
        <w:tc>
          <w:tcPr>
            <w:tcW w:w="1304" w:type="dxa"/>
            <w:tcBorders>
              <w:bottom w:val="single" w:sz="4" w:space="0" w:color="auto"/>
            </w:tcBorders>
            <w:vAlign w:val="center"/>
          </w:tcPr>
          <w:p w14:paraId="16DC820C"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1.3 (0.8-2.0)</w:t>
            </w:r>
          </w:p>
        </w:tc>
      </w:tr>
    </w:tbl>
    <w:p w14:paraId="560D79E4" w14:textId="77777777" w:rsidR="0073341B" w:rsidRPr="00C356A8" w:rsidRDefault="0073341B" w:rsidP="0073341B">
      <w:pPr>
        <w:spacing w:line="360" w:lineRule="auto"/>
        <w:rPr>
          <w:sz w:val="18"/>
          <w:szCs w:val="18"/>
        </w:rPr>
      </w:pPr>
    </w:p>
    <w:p w14:paraId="5E0A1218" w14:textId="77777777" w:rsidR="0073341B" w:rsidRPr="00C356A8" w:rsidRDefault="0073341B" w:rsidP="0073341B">
      <w:pPr>
        <w:spacing w:line="360" w:lineRule="auto"/>
        <w:rPr>
          <w:sz w:val="18"/>
          <w:szCs w:val="18"/>
        </w:rPr>
      </w:pPr>
    </w:p>
    <w:tbl>
      <w:tblPr>
        <w:tblW w:w="10999" w:type="dxa"/>
        <w:tblInd w:w="55" w:type="dxa"/>
        <w:tblCellMar>
          <w:left w:w="70" w:type="dxa"/>
          <w:right w:w="70" w:type="dxa"/>
        </w:tblCellMar>
        <w:tblLook w:val="04A0" w:firstRow="1" w:lastRow="0" w:firstColumn="1" w:lastColumn="0" w:noHBand="0" w:noVBand="1"/>
      </w:tblPr>
      <w:tblGrid>
        <w:gridCol w:w="2778"/>
        <w:gridCol w:w="1304"/>
        <w:gridCol w:w="1531"/>
        <w:gridCol w:w="1304"/>
        <w:gridCol w:w="1531"/>
        <w:gridCol w:w="1304"/>
        <w:gridCol w:w="1247"/>
      </w:tblGrid>
      <w:tr w:rsidR="0073341B" w:rsidRPr="00C356A8" w14:paraId="0F64DFE4" w14:textId="77777777" w:rsidTr="005B4793">
        <w:trPr>
          <w:trHeight w:val="283"/>
        </w:trPr>
        <w:tc>
          <w:tcPr>
            <w:tcW w:w="2778" w:type="dxa"/>
            <w:tcBorders>
              <w:top w:val="single" w:sz="4" w:space="0" w:color="auto"/>
            </w:tcBorders>
          </w:tcPr>
          <w:p w14:paraId="4364FCA2" w14:textId="77777777" w:rsidR="0073341B" w:rsidRPr="00C356A8" w:rsidRDefault="0073341B" w:rsidP="005B4793">
            <w:pPr>
              <w:rPr>
                <w:rFonts w:asciiTheme="minorHAnsi" w:hAnsiTheme="minorHAnsi" w:cstheme="minorHAnsi"/>
                <w:color w:val="000000"/>
                <w:sz w:val="16"/>
                <w:szCs w:val="16"/>
                <w:lang w:eastAsia="de-DE"/>
              </w:rPr>
            </w:pPr>
          </w:p>
        </w:tc>
        <w:tc>
          <w:tcPr>
            <w:tcW w:w="2835" w:type="dxa"/>
            <w:gridSpan w:val="2"/>
            <w:tcBorders>
              <w:top w:val="single" w:sz="4" w:space="0" w:color="auto"/>
              <w:bottom w:val="single" w:sz="4" w:space="0" w:color="auto"/>
            </w:tcBorders>
            <w:vAlign w:val="center"/>
          </w:tcPr>
          <w:p w14:paraId="143CAB7F"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Spain</w:t>
            </w:r>
          </w:p>
        </w:tc>
        <w:tc>
          <w:tcPr>
            <w:tcW w:w="2835" w:type="dxa"/>
            <w:gridSpan w:val="2"/>
            <w:tcBorders>
              <w:top w:val="single" w:sz="4" w:space="0" w:color="auto"/>
              <w:bottom w:val="single" w:sz="4" w:space="0" w:color="auto"/>
            </w:tcBorders>
            <w:vAlign w:val="center"/>
          </w:tcPr>
          <w:p w14:paraId="768BD60A"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Turkey</w:t>
            </w:r>
          </w:p>
        </w:tc>
        <w:tc>
          <w:tcPr>
            <w:tcW w:w="2551" w:type="dxa"/>
            <w:gridSpan w:val="2"/>
            <w:tcBorders>
              <w:top w:val="single" w:sz="4" w:space="0" w:color="auto"/>
              <w:bottom w:val="single" w:sz="4" w:space="0" w:color="auto"/>
            </w:tcBorders>
            <w:vAlign w:val="center"/>
          </w:tcPr>
          <w:p w14:paraId="6D9F3298"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UK</w:t>
            </w:r>
          </w:p>
        </w:tc>
      </w:tr>
      <w:tr w:rsidR="0073341B" w:rsidRPr="00C356A8" w14:paraId="5783FA0F" w14:textId="77777777" w:rsidTr="005B4793">
        <w:trPr>
          <w:trHeight w:val="283"/>
        </w:trPr>
        <w:tc>
          <w:tcPr>
            <w:tcW w:w="2778" w:type="dxa"/>
            <w:vAlign w:val="center"/>
          </w:tcPr>
          <w:p w14:paraId="2BEDEC3F" w14:textId="0EC5C8B1" w:rsidR="0073341B" w:rsidRPr="00C356A8" w:rsidRDefault="0073341B" w:rsidP="005B4793">
            <w:pPr>
              <w:rPr>
                <w:rFonts w:asciiTheme="minorHAnsi" w:hAnsiTheme="minorHAnsi" w:cstheme="minorHAnsi"/>
                <w:bCs/>
                <w:i/>
                <w:color w:val="000000"/>
                <w:sz w:val="16"/>
                <w:szCs w:val="16"/>
                <w:lang w:eastAsia="de-DE"/>
              </w:rPr>
            </w:pPr>
            <w:r w:rsidRPr="00C356A8">
              <w:rPr>
                <w:rFonts w:asciiTheme="minorHAnsi" w:hAnsiTheme="minorHAnsi" w:cstheme="minorHAnsi"/>
                <w:bCs/>
                <w:i/>
                <w:color w:val="000000"/>
                <w:sz w:val="16"/>
                <w:szCs w:val="16"/>
                <w:lang w:eastAsia="de-DE"/>
              </w:rPr>
              <w:t>NP</w:t>
            </w:r>
            <w:r w:rsidR="00A2760B" w:rsidRPr="00C356A8">
              <w:rPr>
                <w:rFonts w:asciiTheme="minorHAnsi" w:hAnsiTheme="minorHAnsi" w:cstheme="minorHAnsi"/>
                <w:bCs/>
                <w:i/>
                <w:color w:val="000000"/>
                <w:sz w:val="16"/>
                <w:szCs w:val="16"/>
                <w:lang w:eastAsia="de-DE"/>
              </w:rPr>
              <w:t>P</w:t>
            </w:r>
            <w:r w:rsidRPr="00C356A8">
              <w:rPr>
                <w:rFonts w:asciiTheme="minorHAnsi" w:hAnsiTheme="minorHAnsi" w:cstheme="minorHAnsi"/>
                <w:bCs/>
                <w:i/>
                <w:color w:val="000000"/>
                <w:sz w:val="16"/>
                <w:szCs w:val="16"/>
                <w:lang w:eastAsia="de-DE"/>
              </w:rPr>
              <w:t xml:space="preserve">SSP use </w:t>
            </w:r>
            <w:r w:rsidRPr="00C356A8">
              <w:rPr>
                <w:rFonts w:asciiTheme="minorHAnsi" w:hAnsiTheme="minorHAnsi" w:cstheme="minorHAnsi"/>
                <w:bCs/>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=4,412)</w:t>
            </w:r>
          </w:p>
        </w:tc>
        <w:tc>
          <w:tcPr>
            <w:tcW w:w="1304" w:type="dxa"/>
            <w:vAlign w:val="center"/>
          </w:tcPr>
          <w:p w14:paraId="618CEC20"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=52)</w:t>
            </w:r>
          </w:p>
        </w:tc>
        <w:tc>
          <w:tcPr>
            <w:tcW w:w="1531" w:type="dxa"/>
            <w:vAlign w:val="center"/>
          </w:tcPr>
          <w:p w14:paraId="764B6D26"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Female</w:t>
            </w:r>
            <w:r w:rsidRPr="00C356A8">
              <w:rPr>
                <w:rFonts w:asciiTheme="minorHAnsi" w:hAnsiTheme="minorHAnsi" w:cstheme="minorHAnsi"/>
                <w:color w:val="000000"/>
                <w:sz w:val="16"/>
                <w:szCs w:val="16"/>
                <w:lang w:eastAsia="de-DE"/>
              </w:rPr>
              <w:t xml:space="preserve"> (</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=132)</w:t>
            </w:r>
          </w:p>
        </w:tc>
        <w:tc>
          <w:tcPr>
            <w:tcW w:w="1304" w:type="dxa"/>
            <w:vAlign w:val="center"/>
          </w:tcPr>
          <w:p w14:paraId="46A74FBA"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=398)</w:t>
            </w:r>
          </w:p>
        </w:tc>
        <w:tc>
          <w:tcPr>
            <w:tcW w:w="1531" w:type="dxa"/>
            <w:vAlign w:val="center"/>
          </w:tcPr>
          <w:p w14:paraId="1BAA7567"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Female</w:t>
            </w:r>
            <w:r w:rsidRPr="00C356A8">
              <w:rPr>
                <w:rFonts w:asciiTheme="minorHAnsi" w:hAnsiTheme="minorHAnsi" w:cstheme="minorHAnsi"/>
                <w:color w:val="000000"/>
                <w:sz w:val="16"/>
                <w:szCs w:val="16"/>
                <w:lang w:eastAsia="de-DE"/>
              </w:rPr>
              <w:t xml:space="preserve"> (</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=446)</w:t>
            </w:r>
          </w:p>
        </w:tc>
        <w:tc>
          <w:tcPr>
            <w:tcW w:w="1304" w:type="dxa"/>
            <w:vAlign w:val="center"/>
          </w:tcPr>
          <w:p w14:paraId="7566BA4B"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=33)</w:t>
            </w:r>
          </w:p>
        </w:tc>
        <w:tc>
          <w:tcPr>
            <w:tcW w:w="1247" w:type="dxa"/>
            <w:vAlign w:val="center"/>
          </w:tcPr>
          <w:p w14:paraId="0105D333"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Female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=72)</w:t>
            </w:r>
          </w:p>
        </w:tc>
      </w:tr>
      <w:tr w:rsidR="0073341B" w:rsidRPr="00C356A8" w14:paraId="6503951A" w14:textId="77777777" w:rsidTr="005B4793">
        <w:trPr>
          <w:trHeight w:val="283"/>
        </w:trPr>
        <w:tc>
          <w:tcPr>
            <w:tcW w:w="2778" w:type="dxa"/>
            <w:vAlign w:val="center"/>
          </w:tcPr>
          <w:p w14:paraId="7D1CE392" w14:textId="77777777" w:rsidR="0073341B" w:rsidRPr="00C356A8" w:rsidRDefault="0073341B" w:rsidP="005B4793">
            <w:pPr>
              <w:rPr>
                <w:rFonts w:asciiTheme="minorHAnsi" w:hAnsiTheme="minorHAnsi" w:cstheme="minorHAnsi"/>
                <w:bCs/>
                <w:color w:val="000000"/>
                <w:sz w:val="16"/>
                <w:szCs w:val="16"/>
                <w:lang w:eastAsia="de-DE"/>
              </w:rPr>
            </w:pPr>
            <w:r w:rsidRPr="00C356A8">
              <w:rPr>
                <w:rFonts w:asciiTheme="minorHAnsi" w:hAnsiTheme="minorHAnsi" w:cstheme="minorHAnsi"/>
                <w:bCs/>
                <w:color w:val="000000"/>
                <w:sz w:val="16"/>
                <w:szCs w:val="16"/>
                <w:lang w:eastAsia="de-DE"/>
              </w:rPr>
              <w:t>Used in the last two months</w:t>
            </w:r>
          </w:p>
        </w:tc>
        <w:tc>
          <w:tcPr>
            <w:tcW w:w="1304" w:type="dxa"/>
            <w:vAlign w:val="center"/>
          </w:tcPr>
          <w:p w14:paraId="58534057"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1.9 (0.0-6.7)</w:t>
            </w:r>
          </w:p>
        </w:tc>
        <w:tc>
          <w:tcPr>
            <w:tcW w:w="1531" w:type="dxa"/>
            <w:vAlign w:val="center"/>
          </w:tcPr>
          <w:p w14:paraId="0CD81D74"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4.5 (1.5-8.3)</w:t>
            </w:r>
          </w:p>
        </w:tc>
        <w:tc>
          <w:tcPr>
            <w:tcW w:w="1304" w:type="dxa"/>
            <w:vAlign w:val="center"/>
          </w:tcPr>
          <w:p w14:paraId="59EEA86E"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2.0 (0.8-3.5)</w:t>
            </w:r>
          </w:p>
        </w:tc>
        <w:tc>
          <w:tcPr>
            <w:tcW w:w="1531" w:type="dxa"/>
            <w:vAlign w:val="center"/>
          </w:tcPr>
          <w:p w14:paraId="33C07421"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2.5 (1.1-3.9)</w:t>
            </w:r>
          </w:p>
        </w:tc>
        <w:tc>
          <w:tcPr>
            <w:tcW w:w="1304" w:type="dxa"/>
            <w:vAlign w:val="center"/>
          </w:tcPr>
          <w:p w14:paraId="7933EC9A"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12.1 (2.9-24.2)</w:t>
            </w:r>
          </w:p>
        </w:tc>
        <w:tc>
          <w:tcPr>
            <w:tcW w:w="1247" w:type="dxa"/>
            <w:vAlign w:val="center"/>
          </w:tcPr>
          <w:p w14:paraId="5808CF3F"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4.2 (0.0-9.2)</w:t>
            </w:r>
          </w:p>
        </w:tc>
      </w:tr>
      <w:tr w:rsidR="0073341B" w:rsidRPr="00C356A8" w14:paraId="5433D753" w14:textId="77777777" w:rsidTr="005B4793">
        <w:trPr>
          <w:trHeight w:val="283"/>
        </w:trPr>
        <w:tc>
          <w:tcPr>
            <w:tcW w:w="2778" w:type="dxa"/>
            <w:vAlign w:val="center"/>
          </w:tcPr>
          <w:p w14:paraId="557BF1E4" w14:textId="77777777" w:rsidR="0073341B" w:rsidRPr="00C356A8" w:rsidRDefault="0073341B" w:rsidP="005B4793">
            <w:pPr>
              <w:rPr>
                <w:rFonts w:asciiTheme="minorHAnsi" w:hAnsiTheme="minorHAnsi" w:cstheme="minorHAnsi"/>
                <w:bCs/>
                <w:color w:val="000000"/>
                <w:sz w:val="16"/>
                <w:szCs w:val="16"/>
                <w:lang w:eastAsia="de-DE"/>
              </w:rPr>
            </w:pPr>
            <w:r w:rsidRPr="00C356A8">
              <w:rPr>
                <w:rFonts w:asciiTheme="minorHAnsi" w:hAnsiTheme="minorHAnsi" w:cstheme="minorHAnsi"/>
                <w:bCs/>
                <w:color w:val="000000"/>
                <w:sz w:val="16"/>
                <w:szCs w:val="16"/>
                <w:lang w:eastAsia="de-DE"/>
              </w:rPr>
              <w:t>Used at least once in life</w:t>
            </w:r>
          </w:p>
        </w:tc>
        <w:tc>
          <w:tcPr>
            <w:tcW w:w="1304" w:type="dxa"/>
            <w:vAlign w:val="center"/>
          </w:tcPr>
          <w:p w14:paraId="0EFBA3CE"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11.5 (3.8-20.5)</w:t>
            </w:r>
          </w:p>
        </w:tc>
        <w:tc>
          <w:tcPr>
            <w:tcW w:w="1531" w:type="dxa"/>
            <w:vAlign w:val="center"/>
          </w:tcPr>
          <w:p w14:paraId="66C7BF7E"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12.1 (6.4-18.2)</w:t>
            </w:r>
          </w:p>
        </w:tc>
        <w:tc>
          <w:tcPr>
            <w:tcW w:w="1304" w:type="dxa"/>
            <w:vAlign w:val="center"/>
          </w:tcPr>
          <w:p w14:paraId="180A44AE"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5.5 (3.6-7.9)</w:t>
            </w:r>
          </w:p>
        </w:tc>
        <w:tc>
          <w:tcPr>
            <w:tcW w:w="1531" w:type="dxa"/>
            <w:vAlign w:val="center"/>
          </w:tcPr>
          <w:p w14:paraId="5CF97D02"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9.9 (7.2-12.6)</w:t>
            </w:r>
          </w:p>
        </w:tc>
        <w:tc>
          <w:tcPr>
            <w:tcW w:w="1304" w:type="dxa"/>
            <w:vAlign w:val="center"/>
          </w:tcPr>
          <w:p w14:paraId="6A3D9F99"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18.2 (6.5-31.4)</w:t>
            </w:r>
          </w:p>
        </w:tc>
        <w:tc>
          <w:tcPr>
            <w:tcW w:w="1247" w:type="dxa"/>
            <w:vAlign w:val="center"/>
          </w:tcPr>
          <w:p w14:paraId="5920A3AC"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12.5 (5.5-21.1)</w:t>
            </w:r>
          </w:p>
        </w:tc>
      </w:tr>
      <w:tr w:rsidR="0073341B" w:rsidRPr="00C356A8" w14:paraId="092E37A1" w14:textId="77777777" w:rsidTr="005B4793">
        <w:trPr>
          <w:trHeight w:val="113"/>
        </w:trPr>
        <w:tc>
          <w:tcPr>
            <w:tcW w:w="2778" w:type="dxa"/>
            <w:vAlign w:val="center"/>
          </w:tcPr>
          <w:p w14:paraId="63D85CD3" w14:textId="77777777" w:rsidR="0073341B" w:rsidRPr="00C356A8" w:rsidRDefault="0073341B" w:rsidP="005B4793">
            <w:pPr>
              <w:rPr>
                <w:rFonts w:asciiTheme="minorHAnsi" w:hAnsiTheme="minorHAnsi" w:cstheme="minorHAnsi"/>
                <w:bCs/>
                <w:color w:val="000000"/>
                <w:sz w:val="16"/>
                <w:szCs w:val="16"/>
                <w:lang w:eastAsia="de-DE"/>
              </w:rPr>
            </w:pPr>
          </w:p>
        </w:tc>
        <w:tc>
          <w:tcPr>
            <w:tcW w:w="1304" w:type="dxa"/>
            <w:vAlign w:val="center"/>
          </w:tcPr>
          <w:p w14:paraId="7E6DE40A" w14:textId="77777777" w:rsidR="0073341B" w:rsidRPr="00C356A8" w:rsidRDefault="0073341B" w:rsidP="005B4793">
            <w:pPr>
              <w:rPr>
                <w:rFonts w:asciiTheme="minorHAnsi" w:hAnsiTheme="minorHAnsi" w:cstheme="minorHAnsi"/>
                <w:color w:val="000000"/>
                <w:sz w:val="16"/>
                <w:szCs w:val="16"/>
                <w:lang w:eastAsia="de-DE"/>
              </w:rPr>
            </w:pPr>
          </w:p>
        </w:tc>
        <w:tc>
          <w:tcPr>
            <w:tcW w:w="1531" w:type="dxa"/>
            <w:vAlign w:val="center"/>
          </w:tcPr>
          <w:p w14:paraId="58D24838" w14:textId="77777777" w:rsidR="0073341B" w:rsidRPr="00C356A8" w:rsidRDefault="0073341B" w:rsidP="005B4793">
            <w:pPr>
              <w:rPr>
                <w:rFonts w:asciiTheme="minorHAnsi" w:hAnsiTheme="minorHAnsi" w:cstheme="minorHAnsi"/>
                <w:color w:val="000000"/>
                <w:sz w:val="16"/>
                <w:szCs w:val="16"/>
                <w:lang w:eastAsia="de-DE"/>
              </w:rPr>
            </w:pPr>
          </w:p>
        </w:tc>
        <w:tc>
          <w:tcPr>
            <w:tcW w:w="1304" w:type="dxa"/>
            <w:vAlign w:val="center"/>
          </w:tcPr>
          <w:p w14:paraId="16297E76" w14:textId="77777777" w:rsidR="0073341B" w:rsidRPr="00C356A8" w:rsidRDefault="0073341B" w:rsidP="005B4793">
            <w:pPr>
              <w:rPr>
                <w:rFonts w:asciiTheme="minorHAnsi" w:hAnsiTheme="minorHAnsi" w:cstheme="minorHAnsi"/>
                <w:color w:val="000000"/>
                <w:sz w:val="16"/>
                <w:szCs w:val="16"/>
                <w:lang w:eastAsia="de-DE"/>
              </w:rPr>
            </w:pPr>
          </w:p>
        </w:tc>
        <w:tc>
          <w:tcPr>
            <w:tcW w:w="1531" w:type="dxa"/>
            <w:vAlign w:val="center"/>
          </w:tcPr>
          <w:p w14:paraId="50E540D8" w14:textId="77777777" w:rsidR="0073341B" w:rsidRPr="00C356A8" w:rsidRDefault="0073341B" w:rsidP="005B4793">
            <w:pPr>
              <w:rPr>
                <w:rFonts w:asciiTheme="minorHAnsi" w:hAnsiTheme="minorHAnsi" w:cstheme="minorHAnsi"/>
                <w:color w:val="000000"/>
                <w:sz w:val="16"/>
                <w:szCs w:val="16"/>
                <w:lang w:eastAsia="de-DE"/>
              </w:rPr>
            </w:pPr>
          </w:p>
        </w:tc>
        <w:tc>
          <w:tcPr>
            <w:tcW w:w="1304" w:type="dxa"/>
            <w:vAlign w:val="center"/>
          </w:tcPr>
          <w:p w14:paraId="05F57F5B" w14:textId="77777777" w:rsidR="0073341B" w:rsidRPr="00C356A8" w:rsidRDefault="0073341B" w:rsidP="005B4793">
            <w:pPr>
              <w:rPr>
                <w:rFonts w:asciiTheme="minorHAnsi" w:hAnsiTheme="minorHAnsi" w:cstheme="minorHAnsi"/>
                <w:color w:val="000000"/>
                <w:sz w:val="16"/>
                <w:szCs w:val="16"/>
                <w:lang w:eastAsia="de-DE"/>
              </w:rPr>
            </w:pPr>
          </w:p>
        </w:tc>
        <w:tc>
          <w:tcPr>
            <w:tcW w:w="1247" w:type="dxa"/>
            <w:vAlign w:val="center"/>
          </w:tcPr>
          <w:p w14:paraId="36237437" w14:textId="77777777" w:rsidR="0073341B" w:rsidRPr="00C356A8" w:rsidRDefault="0073341B" w:rsidP="005B4793">
            <w:pPr>
              <w:rPr>
                <w:rFonts w:asciiTheme="minorHAnsi" w:hAnsiTheme="minorHAnsi" w:cstheme="minorHAnsi"/>
                <w:color w:val="000000"/>
                <w:sz w:val="16"/>
                <w:szCs w:val="16"/>
                <w:lang w:eastAsia="de-DE"/>
              </w:rPr>
            </w:pPr>
          </w:p>
        </w:tc>
      </w:tr>
      <w:tr w:rsidR="0073341B" w:rsidRPr="00C356A8" w14:paraId="1C4A2EB0" w14:textId="77777777" w:rsidTr="005B4793">
        <w:trPr>
          <w:trHeight w:val="283"/>
        </w:trPr>
        <w:tc>
          <w:tcPr>
            <w:tcW w:w="2778" w:type="dxa"/>
            <w:vAlign w:val="center"/>
          </w:tcPr>
          <w:p w14:paraId="4D18C034" w14:textId="442DA9A9" w:rsidR="0073341B" w:rsidRPr="00C356A8" w:rsidRDefault="0073341B" w:rsidP="005B4793">
            <w:pPr>
              <w:rPr>
                <w:rFonts w:asciiTheme="minorHAnsi" w:hAnsiTheme="minorHAnsi" w:cstheme="minorHAnsi"/>
                <w:bCs/>
                <w:i/>
                <w:color w:val="000000"/>
                <w:sz w:val="16"/>
                <w:szCs w:val="16"/>
                <w:lang w:eastAsia="de-DE"/>
              </w:rPr>
            </w:pPr>
            <w:r w:rsidRPr="00C356A8">
              <w:rPr>
                <w:rFonts w:asciiTheme="minorHAnsi" w:hAnsiTheme="minorHAnsi" w:cstheme="minorHAnsi"/>
                <w:bCs/>
                <w:i/>
                <w:color w:val="000000"/>
                <w:sz w:val="16"/>
                <w:szCs w:val="16"/>
                <w:lang w:eastAsia="de-DE"/>
              </w:rPr>
              <w:t>Attitude towards NP</w:t>
            </w:r>
            <w:r w:rsidR="00A2760B" w:rsidRPr="00C356A8">
              <w:rPr>
                <w:rFonts w:asciiTheme="minorHAnsi" w:hAnsiTheme="minorHAnsi" w:cstheme="minorHAnsi"/>
                <w:bCs/>
                <w:i/>
                <w:color w:val="000000"/>
                <w:sz w:val="16"/>
                <w:szCs w:val="16"/>
                <w:lang w:eastAsia="de-DE"/>
              </w:rPr>
              <w:t>P</w:t>
            </w:r>
            <w:r w:rsidRPr="00C356A8">
              <w:rPr>
                <w:rFonts w:asciiTheme="minorHAnsi" w:hAnsiTheme="minorHAnsi" w:cstheme="minorHAnsi"/>
                <w:bCs/>
                <w:i/>
                <w:color w:val="000000"/>
                <w:sz w:val="16"/>
                <w:szCs w:val="16"/>
                <w:lang w:eastAsia="de-DE"/>
              </w:rPr>
              <w:t xml:space="preserve">SSP use </w:t>
            </w:r>
            <w:r w:rsidRPr="00C356A8">
              <w:rPr>
                <w:rFonts w:asciiTheme="minorHAnsi" w:hAnsiTheme="minorHAnsi" w:cstheme="minorHAnsi"/>
                <w:bCs/>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=4,284)</w:t>
            </w:r>
          </w:p>
        </w:tc>
        <w:tc>
          <w:tcPr>
            <w:tcW w:w="1304" w:type="dxa"/>
            <w:vAlign w:val="center"/>
          </w:tcPr>
          <w:p w14:paraId="499264E1"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=51)</w:t>
            </w:r>
          </w:p>
        </w:tc>
        <w:tc>
          <w:tcPr>
            <w:tcW w:w="1531" w:type="dxa"/>
            <w:vAlign w:val="center"/>
          </w:tcPr>
          <w:p w14:paraId="1034EB5A"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Female</w:t>
            </w:r>
            <w:r w:rsidRPr="00C356A8">
              <w:rPr>
                <w:rFonts w:asciiTheme="minorHAnsi" w:hAnsiTheme="minorHAnsi" w:cstheme="minorHAnsi"/>
                <w:color w:val="000000"/>
                <w:sz w:val="16"/>
                <w:szCs w:val="16"/>
                <w:lang w:eastAsia="de-DE"/>
              </w:rPr>
              <w:t xml:space="preserve"> (</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=126)</w:t>
            </w:r>
          </w:p>
        </w:tc>
        <w:tc>
          <w:tcPr>
            <w:tcW w:w="1304" w:type="dxa"/>
            <w:vAlign w:val="center"/>
          </w:tcPr>
          <w:p w14:paraId="5935867A"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=375)</w:t>
            </w:r>
          </w:p>
        </w:tc>
        <w:tc>
          <w:tcPr>
            <w:tcW w:w="1531" w:type="dxa"/>
            <w:vAlign w:val="center"/>
          </w:tcPr>
          <w:p w14:paraId="7574EBA8"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Female</w:t>
            </w:r>
            <w:r w:rsidRPr="00C356A8">
              <w:rPr>
                <w:rFonts w:asciiTheme="minorHAnsi" w:hAnsiTheme="minorHAnsi" w:cstheme="minorHAnsi"/>
                <w:color w:val="000000"/>
                <w:sz w:val="16"/>
                <w:szCs w:val="16"/>
                <w:lang w:eastAsia="de-DE"/>
              </w:rPr>
              <w:t xml:space="preserve"> (</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=419)</w:t>
            </w:r>
          </w:p>
        </w:tc>
        <w:tc>
          <w:tcPr>
            <w:tcW w:w="1304" w:type="dxa"/>
            <w:vAlign w:val="center"/>
          </w:tcPr>
          <w:p w14:paraId="2181771B"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=32)</w:t>
            </w:r>
          </w:p>
        </w:tc>
        <w:tc>
          <w:tcPr>
            <w:tcW w:w="1247" w:type="dxa"/>
            <w:vAlign w:val="center"/>
          </w:tcPr>
          <w:p w14:paraId="7EC31003"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i/>
                <w:color w:val="000000"/>
                <w:sz w:val="16"/>
                <w:szCs w:val="16"/>
                <w:lang w:eastAsia="de-DE"/>
              </w:rPr>
              <w:t xml:space="preserve">Female </w:t>
            </w:r>
            <w:r w:rsidRPr="00C356A8">
              <w:rPr>
                <w:rFonts w:asciiTheme="minorHAnsi" w:hAnsiTheme="minorHAnsi" w:cstheme="minorHAnsi"/>
                <w:color w:val="000000"/>
                <w:sz w:val="16"/>
                <w:szCs w:val="16"/>
                <w:lang w:eastAsia="de-DE"/>
              </w:rPr>
              <w:t>(</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=69)</w:t>
            </w:r>
          </w:p>
        </w:tc>
      </w:tr>
      <w:tr w:rsidR="0073341B" w:rsidRPr="00C356A8" w14:paraId="2FCE8431" w14:textId="77777777" w:rsidTr="005B4793">
        <w:trPr>
          <w:trHeight w:val="283"/>
        </w:trPr>
        <w:tc>
          <w:tcPr>
            <w:tcW w:w="2778" w:type="dxa"/>
            <w:vAlign w:val="center"/>
          </w:tcPr>
          <w:p w14:paraId="64EDE97B"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Never ok to use</w:t>
            </w:r>
          </w:p>
        </w:tc>
        <w:tc>
          <w:tcPr>
            <w:tcW w:w="1304" w:type="dxa"/>
            <w:vAlign w:val="center"/>
          </w:tcPr>
          <w:p w14:paraId="162301D5"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64.7 (51.1-78.3)</w:t>
            </w:r>
          </w:p>
        </w:tc>
        <w:tc>
          <w:tcPr>
            <w:tcW w:w="1531" w:type="dxa"/>
            <w:vAlign w:val="center"/>
          </w:tcPr>
          <w:p w14:paraId="5809FC4E"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65.9 (57.6-73.8)</w:t>
            </w:r>
          </w:p>
        </w:tc>
        <w:tc>
          <w:tcPr>
            <w:tcW w:w="1304" w:type="dxa"/>
            <w:vAlign w:val="center"/>
          </w:tcPr>
          <w:p w14:paraId="12211175"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91.2 (88.4-93.9)</w:t>
            </w:r>
          </w:p>
        </w:tc>
        <w:tc>
          <w:tcPr>
            <w:tcW w:w="1531" w:type="dxa"/>
            <w:vAlign w:val="center"/>
          </w:tcPr>
          <w:p w14:paraId="19A7762B"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84.7 (81.1-88.1)</w:t>
            </w:r>
          </w:p>
        </w:tc>
        <w:tc>
          <w:tcPr>
            <w:tcW w:w="1304" w:type="dxa"/>
            <w:vAlign w:val="center"/>
          </w:tcPr>
          <w:p w14:paraId="486D2018"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62.5 (45.7-80.0)</w:t>
            </w:r>
          </w:p>
        </w:tc>
        <w:tc>
          <w:tcPr>
            <w:tcW w:w="1247" w:type="dxa"/>
            <w:vAlign w:val="center"/>
          </w:tcPr>
          <w:p w14:paraId="1D7515B5"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73.9 (62.9-83.8)</w:t>
            </w:r>
          </w:p>
        </w:tc>
      </w:tr>
      <w:tr w:rsidR="0073341B" w:rsidRPr="00C356A8" w14:paraId="03C79836" w14:textId="77777777" w:rsidTr="005B4793">
        <w:trPr>
          <w:trHeight w:val="283"/>
        </w:trPr>
        <w:tc>
          <w:tcPr>
            <w:tcW w:w="2778" w:type="dxa"/>
            <w:vAlign w:val="center"/>
          </w:tcPr>
          <w:p w14:paraId="20B21190" w14:textId="77777777" w:rsidR="0073341B" w:rsidRPr="00C356A8" w:rsidRDefault="0073341B" w:rsidP="005B4793">
            <w:pPr>
              <w:rPr>
                <w:rFonts w:asciiTheme="minorHAnsi" w:hAnsiTheme="minorHAnsi" w:cstheme="minorHAnsi"/>
                <w:color w:val="000000"/>
                <w:sz w:val="16"/>
                <w:szCs w:val="16"/>
                <w:vertAlign w:val="superscript"/>
                <w:lang w:eastAsia="de-DE"/>
              </w:rPr>
            </w:pPr>
            <w:r w:rsidRPr="00C356A8">
              <w:rPr>
                <w:rFonts w:asciiTheme="minorHAnsi" w:hAnsiTheme="minorHAnsi" w:cstheme="minorHAnsi"/>
                <w:color w:val="000000"/>
                <w:sz w:val="16"/>
                <w:szCs w:val="16"/>
                <w:lang w:eastAsia="de-DE"/>
              </w:rPr>
              <w:t xml:space="preserve">Ok to use if it doesn’t interfere with work or </w:t>
            </w:r>
            <w:proofErr w:type="spellStart"/>
            <w:r w:rsidRPr="00C356A8">
              <w:rPr>
                <w:rFonts w:asciiTheme="minorHAnsi" w:hAnsiTheme="minorHAnsi" w:cstheme="minorHAnsi"/>
                <w:color w:val="000000"/>
                <w:sz w:val="16"/>
                <w:szCs w:val="16"/>
                <w:lang w:eastAsia="de-DE"/>
              </w:rPr>
              <w:t>study</w:t>
            </w:r>
            <w:r w:rsidRPr="00C356A8">
              <w:rPr>
                <w:rFonts w:asciiTheme="minorHAnsi" w:hAnsiTheme="minorHAnsi" w:cstheme="minorHAnsi"/>
                <w:color w:val="000000"/>
                <w:sz w:val="16"/>
                <w:szCs w:val="16"/>
                <w:vertAlign w:val="superscript"/>
                <w:lang w:eastAsia="de-DE"/>
              </w:rPr>
              <w:t>a</w:t>
            </w:r>
            <w:proofErr w:type="spellEnd"/>
          </w:p>
        </w:tc>
        <w:tc>
          <w:tcPr>
            <w:tcW w:w="1304" w:type="dxa"/>
            <w:vAlign w:val="center"/>
          </w:tcPr>
          <w:p w14:paraId="6A5878E8"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33.3 (20.0-46.9)</w:t>
            </w:r>
          </w:p>
        </w:tc>
        <w:tc>
          <w:tcPr>
            <w:tcW w:w="1531" w:type="dxa"/>
            <w:vAlign w:val="center"/>
          </w:tcPr>
          <w:p w14:paraId="5F2353F1"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31.7 (23.7-39.8)</w:t>
            </w:r>
          </w:p>
        </w:tc>
        <w:tc>
          <w:tcPr>
            <w:tcW w:w="1304" w:type="dxa"/>
            <w:vAlign w:val="center"/>
          </w:tcPr>
          <w:p w14:paraId="69582176"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6.1 (3.9-8.8)</w:t>
            </w:r>
          </w:p>
        </w:tc>
        <w:tc>
          <w:tcPr>
            <w:tcW w:w="1531" w:type="dxa"/>
            <w:vAlign w:val="center"/>
          </w:tcPr>
          <w:p w14:paraId="75088EB2"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13.6 (10.3-17.1)</w:t>
            </w:r>
          </w:p>
        </w:tc>
        <w:tc>
          <w:tcPr>
            <w:tcW w:w="1304" w:type="dxa"/>
            <w:vAlign w:val="center"/>
          </w:tcPr>
          <w:p w14:paraId="645732E8"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34.4 (17.7-51.9)</w:t>
            </w:r>
          </w:p>
        </w:tc>
        <w:tc>
          <w:tcPr>
            <w:tcW w:w="1247" w:type="dxa"/>
            <w:vAlign w:val="center"/>
          </w:tcPr>
          <w:p w14:paraId="0048CC05"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24.6(15.2-34.8)</w:t>
            </w:r>
          </w:p>
        </w:tc>
      </w:tr>
      <w:tr w:rsidR="0073341B" w:rsidRPr="00C356A8" w14:paraId="6FF306B3" w14:textId="77777777" w:rsidTr="005B4793">
        <w:trPr>
          <w:trHeight w:val="283"/>
        </w:trPr>
        <w:tc>
          <w:tcPr>
            <w:tcW w:w="2778" w:type="dxa"/>
            <w:tcBorders>
              <w:bottom w:val="single" w:sz="4" w:space="0" w:color="auto"/>
            </w:tcBorders>
            <w:vAlign w:val="center"/>
          </w:tcPr>
          <w:p w14:paraId="1B271288" w14:textId="77777777" w:rsidR="0073341B" w:rsidRPr="00C356A8" w:rsidRDefault="0073341B" w:rsidP="005B4793">
            <w:pPr>
              <w:rPr>
                <w:rFonts w:asciiTheme="minorHAnsi" w:hAnsiTheme="minorHAnsi" w:cstheme="minorHAnsi"/>
                <w:color w:val="000000"/>
                <w:sz w:val="16"/>
                <w:szCs w:val="16"/>
                <w:vertAlign w:val="superscript"/>
                <w:lang w:eastAsia="de-DE"/>
              </w:rPr>
            </w:pPr>
            <w:r w:rsidRPr="00C356A8">
              <w:rPr>
                <w:rFonts w:asciiTheme="minorHAnsi" w:hAnsiTheme="minorHAnsi" w:cstheme="minorHAnsi"/>
                <w:color w:val="000000"/>
                <w:sz w:val="16"/>
                <w:szCs w:val="16"/>
                <w:lang w:eastAsia="de-DE"/>
              </w:rPr>
              <w:t xml:space="preserve">Ok to </w:t>
            </w:r>
            <w:proofErr w:type="spellStart"/>
            <w:r w:rsidRPr="00C356A8">
              <w:rPr>
                <w:rFonts w:asciiTheme="minorHAnsi" w:hAnsiTheme="minorHAnsi" w:cstheme="minorHAnsi"/>
                <w:color w:val="000000"/>
                <w:sz w:val="16"/>
                <w:szCs w:val="16"/>
                <w:lang w:eastAsia="de-DE"/>
              </w:rPr>
              <w:t>use</w:t>
            </w:r>
            <w:r w:rsidRPr="00C356A8">
              <w:rPr>
                <w:rFonts w:asciiTheme="minorHAnsi" w:hAnsiTheme="minorHAnsi" w:cstheme="minorHAnsi"/>
                <w:color w:val="000000"/>
                <w:sz w:val="16"/>
                <w:szCs w:val="16"/>
                <w:vertAlign w:val="superscript"/>
                <w:lang w:eastAsia="de-DE"/>
              </w:rPr>
              <w:t>b</w:t>
            </w:r>
            <w:proofErr w:type="spellEnd"/>
          </w:p>
        </w:tc>
        <w:tc>
          <w:tcPr>
            <w:tcW w:w="1304" w:type="dxa"/>
            <w:tcBorders>
              <w:bottom w:val="single" w:sz="4" w:space="0" w:color="auto"/>
            </w:tcBorders>
            <w:vAlign w:val="center"/>
          </w:tcPr>
          <w:p w14:paraId="44FEB51F"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2.0 (0.0-6.9)</w:t>
            </w:r>
          </w:p>
        </w:tc>
        <w:tc>
          <w:tcPr>
            <w:tcW w:w="1531" w:type="dxa"/>
            <w:tcBorders>
              <w:bottom w:val="single" w:sz="4" w:space="0" w:color="auto"/>
            </w:tcBorders>
            <w:vAlign w:val="center"/>
          </w:tcPr>
          <w:p w14:paraId="7A774561"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2.4 (0.0-5.5)</w:t>
            </w:r>
          </w:p>
        </w:tc>
        <w:tc>
          <w:tcPr>
            <w:tcW w:w="1304" w:type="dxa"/>
            <w:tcBorders>
              <w:bottom w:val="single" w:sz="4" w:space="0" w:color="auto"/>
            </w:tcBorders>
            <w:vAlign w:val="center"/>
          </w:tcPr>
          <w:p w14:paraId="4CAD9DF6"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2.7 (1.0-4.5)</w:t>
            </w:r>
          </w:p>
        </w:tc>
        <w:tc>
          <w:tcPr>
            <w:tcW w:w="1531" w:type="dxa"/>
            <w:tcBorders>
              <w:bottom w:val="single" w:sz="4" w:space="0" w:color="auto"/>
            </w:tcBorders>
            <w:vAlign w:val="center"/>
          </w:tcPr>
          <w:p w14:paraId="3B91CCCB"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1.7 (0.5-3.0)</w:t>
            </w:r>
          </w:p>
        </w:tc>
        <w:tc>
          <w:tcPr>
            <w:tcW w:w="1304" w:type="dxa"/>
            <w:tcBorders>
              <w:bottom w:val="single" w:sz="4" w:space="0" w:color="auto"/>
            </w:tcBorders>
            <w:vAlign w:val="center"/>
          </w:tcPr>
          <w:p w14:paraId="636A6D32"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3.1 (0.0-10.0)</w:t>
            </w:r>
          </w:p>
        </w:tc>
        <w:tc>
          <w:tcPr>
            <w:tcW w:w="1247" w:type="dxa"/>
            <w:tcBorders>
              <w:bottom w:val="single" w:sz="4" w:space="0" w:color="auto"/>
            </w:tcBorders>
            <w:vAlign w:val="center"/>
          </w:tcPr>
          <w:p w14:paraId="04EC151F" w14:textId="77777777" w:rsidR="0073341B" w:rsidRPr="00C356A8" w:rsidRDefault="0073341B" w:rsidP="005B4793">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1.4 (0.0-4.6)</w:t>
            </w:r>
          </w:p>
        </w:tc>
      </w:tr>
    </w:tbl>
    <w:p w14:paraId="5954E2F5" w14:textId="77777777" w:rsidR="0073341B" w:rsidRPr="00C356A8" w:rsidRDefault="0073341B" w:rsidP="0073341B">
      <w:pPr>
        <w:tabs>
          <w:tab w:val="left" w:pos="11057"/>
        </w:tabs>
        <w:ind w:right="3515"/>
        <w:rPr>
          <w:rFonts w:asciiTheme="minorHAnsi" w:hAnsiTheme="minorHAnsi" w:cstheme="minorHAnsi"/>
          <w:sz w:val="16"/>
          <w:szCs w:val="16"/>
        </w:rPr>
      </w:pPr>
      <w:r w:rsidRPr="00C356A8">
        <w:rPr>
          <w:rFonts w:asciiTheme="minorHAnsi" w:hAnsiTheme="minorHAnsi" w:cstheme="minorHAnsi"/>
          <w:sz w:val="16"/>
          <w:szCs w:val="16"/>
          <w:vertAlign w:val="superscript"/>
        </w:rPr>
        <w:t>a</w:t>
      </w:r>
      <w:r w:rsidRPr="00C356A8">
        <w:rPr>
          <w:rFonts w:asciiTheme="minorHAnsi" w:hAnsiTheme="minorHAnsi" w:cstheme="minorHAnsi"/>
          <w:sz w:val="16"/>
          <w:szCs w:val="16"/>
        </w:rPr>
        <w:t xml:space="preserve"> ‘Ok to use occasionally if it doesn't interfere with work or study’ and ‘Ok to use frequently if it doesn't interfere with work or study’ were collapsed into ‘Ok to use if it doesn’t interfere with work or study’.</w:t>
      </w:r>
    </w:p>
    <w:p w14:paraId="1E12401C" w14:textId="7634C120" w:rsidR="00E23E9E" w:rsidRPr="00C356A8" w:rsidRDefault="0073341B" w:rsidP="0073341B">
      <w:pPr>
        <w:autoSpaceDE w:val="0"/>
        <w:autoSpaceDN w:val="0"/>
        <w:adjustRightInd w:val="0"/>
        <w:spacing w:line="360" w:lineRule="auto"/>
        <w:jc w:val="both"/>
        <w:rPr>
          <w:rFonts w:asciiTheme="minorHAnsi" w:hAnsiTheme="minorHAnsi" w:cstheme="minorHAnsi"/>
          <w:sz w:val="16"/>
          <w:szCs w:val="16"/>
        </w:rPr>
      </w:pPr>
      <w:r w:rsidRPr="00C356A8">
        <w:rPr>
          <w:rFonts w:asciiTheme="minorHAnsi" w:hAnsiTheme="minorHAnsi" w:cstheme="minorHAnsi"/>
          <w:sz w:val="16"/>
          <w:szCs w:val="16"/>
          <w:vertAlign w:val="superscript"/>
        </w:rPr>
        <w:t>b</w:t>
      </w:r>
      <w:r w:rsidRPr="00C356A8">
        <w:rPr>
          <w:rFonts w:asciiTheme="minorHAnsi" w:hAnsiTheme="minorHAnsi" w:cstheme="minorHAnsi"/>
          <w:sz w:val="16"/>
          <w:szCs w:val="16"/>
        </w:rPr>
        <w:t xml:space="preserve"> ‘Ok to use occasionally even if it does interfere with work or study’ and ‘Ok to use frequently if that is what the person wants to do’ were combined into ‘Ok to use’.</w:t>
      </w:r>
    </w:p>
    <w:p w14:paraId="60E1E527" w14:textId="6CDC4958" w:rsidR="0073341B" w:rsidRPr="00C356A8" w:rsidRDefault="0073341B" w:rsidP="0073341B">
      <w:pPr>
        <w:autoSpaceDE w:val="0"/>
        <w:autoSpaceDN w:val="0"/>
        <w:adjustRightInd w:val="0"/>
        <w:spacing w:line="360" w:lineRule="auto"/>
        <w:jc w:val="both"/>
        <w:rPr>
          <w:rFonts w:asciiTheme="minorHAnsi" w:hAnsiTheme="minorHAnsi" w:cstheme="minorHAnsi"/>
          <w:color w:val="000000"/>
        </w:rPr>
      </w:pPr>
    </w:p>
    <w:p w14:paraId="59F6B2D9" w14:textId="37FBF669" w:rsidR="0073341B" w:rsidRPr="00C356A8" w:rsidRDefault="0073341B" w:rsidP="0073341B">
      <w:pPr>
        <w:autoSpaceDE w:val="0"/>
        <w:autoSpaceDN w:val="0"/>
        <w:adjustRightInd w:val="0"/>
        <w:spacing w:line="360" w:lineRule="auto"/>
        <w:jc w:val="both"/>
        <w:rPr>
          <w:rFonts w:asciiTheme="minorHAnsi" w:hAnsiTheme="minorHAnsi" w:cstheme="minorHAnsi"/>
          <w:color w:val="000000"/>
        </w:rPr>
      </w:pPr>
    </w:p>
    <w:p w14:paraId="5828E047" w14:textId="30A268B8" w:rsidR="0073341B" w:rsidRPr="00C356A8" w:rsidRDefault="0073341B" w:rsidP="0073341B">
      <w:pPr>
        <w:autoSpaceDE w:val="0"/>
        <w:autoSpaceDN w:val="0"/>
        <w:adjustRightInd w:val="0"/>
        <w:spacing w:line="360" w:lineRule="auto"/>
        <w:jc w:val="both"/>
        <w:rPr>
          <w:rFonts w:asciiTheme="minorHAnsi" w:hAnsiTheme="minorHAnsi" w:cstheme="minorHAnsi"/>
          <w:color w:val="000000"/>
        </w:rPr>
      </w:pPr>
    </w:p>
    <w:p w14:paraId="61982745" w14:textId="28CB8FDB" w:rsidR="0073341B" w:rsidRPr="00C356A8" w:rsidRDefault="0073341B" w:rsidP="0073341B">
      <w:pPr>
        <w:autoSpaceDE w:val="0"/>
        <w:autoSpaceDN w:val="0"/>
        <w:adjustRightInd w:val="0"/>
        <w:spacing w:line="360" w:lineRule="auto"/>
        <w:jc w:val="both"/>
        <w:rPr>
          <w:rFonts w:asciiTheme="minorHAnsi" w:hAnsiTheme="minorHAnsi" w:cstheme="minorHAnsi"/>
          <w:color w:val="000000"/>
        </w:rPr>
      </w:pPr>
    </w:p>
    <w:p w14:paraId="245A8B98" w14:textId="55C14D6E" w:rsidR="0073341B" w:rsidRPr="00C356A8" w:rsidRDefault="0073341B" w:rsidP="0073341B">
      <w:pPr>
        <w:autoSpaceDE w:val="0"/>
        <w:autoSpaceDN w:val="0"/>
        <w:adjustRightInd w:val="0"/>
        <w:spacing w:line="360" w:lineRule="auto"/>
        <w:jc w:val="both"/>
        <w:rPr>
          <w:rFonts w:asciiTheme="minorHAnsi" w:hAnsiTheme="minorHAnsi" w:cstheme="minorHAnsi"/>
          <w:color w:val="000000"/>
        </w:rPr>
      </w:pPr>
    </w:p>
    <w:p w14:paraId="65609627" w14:textId="77777777" w:rsidR="0073341B" w:rsidRPr="00C356A8" w:rsidRDefault="0073341B" w:rsidP="0073341B">
      <w:pPr>
        <w:autoSpaceDE w:val="0"/>
        <w:autoSpaceDN w:val="0"/>
        <w:adjustRightInd w:val="0"/>
        <w:spacing w:line="360" w:lineRule="auto"/>
        <w:jc w:val="both"/>
        <w:rPr>
          <w:rFonts w:asciiTheme="minorHAnsi" w:hAnsiTheme="minorHAnsi" w:cstheme="minorHAnsi"/>
          <w:color w:val="000000"/>
        </w:rPr>
      </w:pPr>
    </w:p>
    <w:p w14:paraId="6E742E7C" w14:textId="77777777" w:rsidR="00D6627E" w:rsidRPr="00C356A8" w:rsidRDefault="00D6627E" w:rsidP="00CD52C0">
      <w:pPr>
        <w:autoSpaceDE w:val="0"/>
        <w:autoSpaceDN w:val="0"/>
        <w:adjustRightInd w:val="0"/>
        <w:spacing w:line="360" w:lineRule="auto"/>
        <w:jc w:val="both"/>
        <w:rPr>
          <w:rFonts w:asciiTheme="minorHAnsi" w:hAnsiTheme="minorHAnsi" w:cstheme="minorHAnsi"/>
          <w:color w:val="000000"/>
        </w:rPr>
        <w:sectPr w:rsidR="00D6627E" w:rsidRPr="00C356A8" w:rsidSect="00D6627E">
          <w:pgSz w:w="16838" w:h="11906" w:orient="landscape"/>
          <w:pgMar w:top="1134" w:right="1134" w:bottom="1134" w:left="1134" w:header="709" w:footer="709" w:gutter="0"/>
          <w:lnNumType w:countBy="1" w:restart="continuous"/>
          <w:cols w:space="708"/>
          <w:docGrid w:linePitch="360"/>
        </w:sectPr>
      </w:pPr>
    </w:p>
    <w:p w14:paraId="64048353" w14:textId="709A6687" w:rsidR="00CD52C0" w:rsidRPr="00C356A8" w:rsidRDefault="00CD52C0" w:rsidP="00CD52C0">
      <w:pPr>
        <w:autoSpaceDE w:val="0"/>
        <w:autoSpaceDN w:val="0"/>
        <w:adjustRightInd w:val="0"/>
        <w:spacing w:line="360" w:lineRule="auto"/>
        <w:jc w:val="both"/>
        <w:rPr>
          <w:rFonts w:asciiTheme="minorHAnsi" w:hAnsiTheme="minorHAnsi" w:cstheme="minorHAnsi"/>
          <w:color w:val="000000"/>
        </w:rPr>
      </w:pPr>
      <w:r w:rsidRPr="00C356A8">
        <w:rPr>
          <w:rFonts w:asciiTheme="minorHAnsi" w:hAnsiTheme="minorHAnsi" w:cstheme="minorHAnsi"/>
          <w:color w:val="000000"/>
        </w:rPr>
        <w:lastRenderedPageBreak/>
        <w:t>In all cou</w:t>
      </w:r>
      <w:r w:rsidR="008D3D88" w:rsidRPr="00C356A8">
        <w:rPr>
          <w:rFonts w:asciiTheme="minorHAnsi" w:hAnsiTheme="minorHAnsi" w:cstheme="minorHAnsi"/>
          <w:color w:val="000000"/>
        </w:rPr>
        <w:t>ntries, except for Denmark (45.</w:t>
      </w:r>
      <w:r w:rsidR="00393BAD" w:rsidRPr="00C356A8">
        <w:rPr>
          <w:rFonts w:asciiTheme="minorHAnsi" w:hAnsiTheme="minorHAnsi" w:cstheme="minorHAnsi"/>
          <w:color w:val="000000"/>
        </w:rPr>
        <w:t>4</w:t>
      </w:r>
      <w:r w:rsidRPr="00C356A8">
        <w:rPr>
          <w:rFonts w:asciiTheme="minorHAnsi" w:hAnsiTheme="minorHAnsi" w:cstheme="minorHAnsi"/>
          <w:color w:val="000000"/>
        </w:rPr>
        <w:t>%) and</w:t>
      </w:r>
      <w:r w:rsidR="00393BAD" w:rsidRPr="00C356A8">
        <w:rPr>
          <w:rFonts w:asciiTheme="minorHAnsi" w:hAnsiTheme="minorHAnsi" w:cstheme="minorHAnsi"/>
          <w:color w:val="000000"/>
        </w:rPr>
        <w:t xml:space="preserve"> Turkey (43.9</w:t>
      </w:r>
      <w:r w:rsidR="00806C18" w:rsidRPr="00C356A8">
        <w:rPr>
          <w:rFonts w:asciiTheme="minorHAnsi" w:hAnsiTheme="minorHAnsi" w:cstheme="minorHAnsi"/>
          <w:color w:val="000000"/>
        </w:rPr>
        <w:t>%), more than half</w:t>
      </w:r>
      <w:r w:rsidR="00393BAD" w:rsidRPr="00C356A8">
        <w:rPr>
          <w:rFonts w:asciiTheme="minorHAnsi" w:hAnsiTheme="minorHAnsi" w:cstheme="minorHAnsi"/>
          <w:color w:val="000000"/>
        </w:rPr>
        <w:t xml:space="preserve"> (54.8</w:t>
      </w:r>
      <w:r w:rsidR="00795BA5" w:rsidRPr="00C356A8">
        <w:rPr>
          <w:rFonts w:asciiTheme="minorHAnsi" w:hAnsiTheme="minorHAnsi" w:cstheme="minorHAnsi"/>
          <w:color w:val="000000"/>
        </w:rPr>
        <w:t>%)</w:t>
      </w:r>
      <w:r w:rsidR="003C4007" w:rsidRPr="00C356A8">
        <w:rPr>
          <w:rFonts w:asciiTheme="minorHAnsi" w:hAnsiTheme="minorHAnsi" w:cstheme="minorHAnsi"/>
          <w:color w:val="000000"/>
        </w:rPr>
        <w:t xml:space="preserve"> </w:t>
      </w:r>
      <w:r w:rsidRPr="00C356A8">
        <w:rPr>
          <w:rFonts w:asciiTheme="minorHAnsi" w:hAnsiTheme="minorHAnsi" w:cstheme="minorHAnsi"/>
          <w:color w:val="000000"/>
        </w:rPr>
        <w:t xml:space="preserve">of the students thought that </w:t>
      </w:r>
      <w:r w:rsidR="00511C00" w:rsidRPr="00C356A8">
        <w:rPr>
          <w:rFonts w:asciiTheme="minorHAnsi" w:hAnsiTheme="minorHAnsi" w:cstheme="minorHAnsi"/>
          <w:color w:val="000000"/>
        </w:rPr>
        <w:t xml:space="preserve">at least </w:t>
      </w:r>
      <w:r w:rsidR="00C76891" w:rsidRPr="00C356A8">
        <w:rPr>
          <w:rFonts w:asciiTheme="minorHAnsi" w:hAnsiTheme="minorHAnsi" w:cstheme="minorHAnsi"/>
          <w:color w:val="000000"/>
        </w:rPr>
        <w:t>51%</w:t>
      </w:r>
      <w:r w:rsidR="00511C00" w:rsidRPr="00C356A8">
        <w:rPr>
          <w:rFonts w:asciiTheme="minorHAnsi" w:hAnsiTheme="minorHAnsi" w:cstheme="minorHAnsi"/>
          <w:color w:val="000000"/>
        </w:rPr>
        <w:t xml:space="preserve"> </w:t>
      </w:r>
      <w:r w:rsidRPr="00C356A8">
        <w:rPr>
          <w:rFonts w:asciiTheme="minorHAnsi" w:hAnsiTheme="minorHAnsi" w:cstheme="minorHAnsi"/>
          <w:color w:val="000000"/>
        </w:rPr>
        <w:t>of their same sex-peers had used NP</w:t>
      </w:r>
      <w:r w:rsidR="00A2760B" w:rsidRPr="00C356A8">
        <w:rPr>
          <w:rFonts w:asciiTheme="minorHAnsi" w:hAnsiTheme="minorHAnsi" w:cstheme="minorHAnsi"/>
          <w:color w:val="000000"/>
        </w:rPr>
        <w:t>P</w:t>
      </w:r>
      <w:r w:rsidRPr="00C356A8">
        <w:rPr>
          <w:rFonts w:asciiTheme="minorHAnsi" w:hAnsiTheme="minorHAnsi" w:cstheme="minorHAnsi"/>
          <w:color w:val="000000"/>
        </w:rPr>
        <w:t>SSP at least o</w:t>
      </w:r>
      <w:r w:rsidR="00393BAD" w:rsidRPr="00C356A8">
        <w:rPr>
          <w:rFonts w:asciiTheme="minorHAnsi" w:hAnsiTheme="minorHAnsi" w:cstheme="minorHAnsi"/>
          <w:color w:val="000000"/>
        </w:rPr>
        <w:t>nce in their life. Overall, 51.0</w:t>
      </w:r>
      <w:r w:rsidRPr="00C356A8">
        <w:rPr>
          <w:rFonts w:asciiTheme="minorHAnsi" w:hAnsiTheme="minorHAnsi" w:cstheme="minorHAnsi"/>
          <w:color w:val="000000"/>
        </w:rPr>
        <w:t>% perceived the</w:t>
      </w:r>
      <w:r w:rsidR="00D5732C" w:rsidRPr="00C356A8">
        <w:rPr>
          <w:rFonts w:asciiTheme="minorHAnsi" w:hAnsiTheme="minorHAnsi" w:cstheme="minorHAnsi"/>
          <w:color w:val="000000"/>
        </w:rPr>
        <w:t>ir peers’</w:t>
      </w:r>
      <w:r w:rsidRPr="00C356A8">
        <w:rPr>
          <w:rFonts w:asciiTheme="minorHAnsi" w:hAnsiTheme="minorHAnsi" w:cstheme="minorHAnsi"/>
          <w:color w:val="000000"/>
        </w:rPr>
        <w:t xml:space="preserve"> NP</w:t>
      </w:r>
      <w:r w:rsidR="00A2760B" w:rsidRPr="00C356A8">
        <w:rPr>
          <w:rFonts w:asciiTheme="minorHAnsi" w:hAnsiTheme="minorHAnsi" w:cstheme="minorHAnsi"/>
          <w:color w:val="000000"/>
        </w:rPr>
        <w:t>P</w:t>
      </w:r>
      <w:r w:rsidRPr="00C356A8">
        <w:rPr>
          <w:rFonts w:asciiTheme="minorHAnsi" w:hAnsiTheme="minorHAnsi" w:cstheme="minorHAnsi"/>
          <w:color w:val="000000"/>
        </w:rPr>
        <w:t xml:space="preserve">SSP use to be higher than their </w:t>
      </w:r>
      <w:r w:rsidR="00D45919" w:rsidRPr="00C356A8">
        <w:rPr>
          <w:rFonts w:asciiTheme="minorHAnsi" w:hAnsiTheme="minorHAnsi" w:cstheme="minorHAnsi"/>
          <w:color w:val="000000"/>
        </w:rPr>
        <w:t xml:space="preserve">personal </w:t>
      </w:r>
      <w:r w:rsidR="00393BAD" w:rsidRPr="00C356A8">
        <w:rPr>
          <w:rFonts w:asciiTheme="minorHAnsi" w:hAnsiTheme="minorHAnsi" w:cstheme="minorHAnsi"/>
          <w:color w:val="000000"/>
        </w:rPr>
        <w:t>NP</w:t>
      </w:r>
      <w:r w:rsidR="00A2760B" w:rsidRPr="00C356A8">
        <w:rPr>
          <w:rFonts w:asciiTheme="minorHAnsi" w:hAnsiTheme="minorHAnsi" w:cstheme="minorHAnsi"/>
          <w:color w:val="000000"/>
        </w:rPr>
        <w:t>P</w:t>
      </w:r>
      <w:r w:rsidR="00393BAD" w:rsidRPr="00C356A8">
        <w:rPr>
          <w:rFonts w:asciiTheme="minorHAnsi" w:hAnsiTheme="minorHAnsi" w:cstheme="minorHAnsi"/>
          <w:color w:val="000000"/>
        </w:rPr>
        <w:t>SSP use, 46.0</w:t>
      </w:r>
      <w:r w:rsidRPr="00C356A8">
        <w:rPr>
          <w:rFonts w:asciiTheme="minorHAnsi" w:hAnsiTheme="minorHAnsi" w:cstheme="minorHAnsi"/>
          <w:color w:val="000000"/>
        </w:rPr>
        <w:t xml:space="preserve">% to be identical, and 3.0% to be lower. </w:t>
      </w:r>
      <w:proofErr w:type="gramStart"/>
      <w:r w:rsidRPr="00C356A8">
        <w:rPr>
          <w:rFonts w:asciiTheme="minorHAnsi" w:hAnsiTheme="minorHAnsi" w:cstheme="minorHAnsi"/>
          <w:color w:val="000000"/>
        </w:rPr>
        <w:t>With regard to</w:t>
      </w:r>
      <w:proofErr w:type="gramEnd"/>
      <w:r w:rsidRPr="00C356A8">
        <w:rPr>
          <w:rFonts w:asciiTheme="minorHAnsi" w:hAnsiTheme="minorHAnsi" w:cstheme="minorHAnsi"/>
          <w:color w:val="000000"/>
        </w:rPr>
        <w:t xml:space="preserve"> </w:t>
      </w:r>
      <w:r w:rsidR="00070336" w:rsidRPr="00C356A8">
        <w:rPr>
          <w:rFonts w:asciiTheme="minorHAnsi" w:hAnsiTheme="minorHAnsi" w:cstheme="minorHAnsi"/>
          <w:color w:val="000000"/>
        </w:rPr>
        <w:t>attitudes towards NP</w:t>
      </w:r>
      <w:r w:rsidR="00A2760B" w:rsidRPr="00C356A8">
        <w:rPr>
          <w:rFonts w:asciiTheme="minorHAnsi" w:hAnsiTheme="minorHAnsi" w:cstheme="minorHAnsi"/>
          <w:color w:val="000000"/>
        </w:rPr>
        <w:t>P</w:t>
      </w:r>
      <w:r w:rsidR="00070336" w:rsidRPr="00C356A8">
        <w:rPr>
          <w:rFonts w:asciiTheme="minorHAnsi" w:hAnsiTheme="minorHAnsi" w:cstheme="minorHAnsi"/>
          <w:color w:val="000000"/>
        </w:rPr>
        <w:t>SSP</w:t>
      </w:r>
      <w:r w:rsidRPr="00C356A8">
        <w:rPr>
          <w:rFonts w:asciiTheme="minorHAnsi" w:hAnsiTheme="minorHAnsi" w:cstheme="minorHAnsi"/>
          <w:color w:val="000000"/>
        </w:rPr>
        <w:t xml:space="preserve"> use, </w:t>
      </w:r>
      <w:r w:rsidR="00EB5113" w:rsidRPr="00C356A8">
        <w:rPr>
          <w:rFonts w:asciiTheme="minorHAnsi" w:hAnsiTheme="minorHAnsi" w:cstheme="minorHAnsi"/>
          <w:color w:val="000000"/>
        </w:rPr>
        <w:t>45.1</w:t>
      </w:r>
      <w:r w:rsidR="003C4007" w:rsidRPr="00C356A8">
        <w:rPr>
          <w:rFonts w:asciiTheme="minorHAnsi" w:hAnsiTheme="minorHAnsi" w:cstheme="minorHAnsi"/>
          <w:color w:val="000000"/>
        </w:rPr>
        <w:t>% perceived</w:t>
      </w:r>
      <w:r w:rsidR="00555278" w:rsidRPr="00C356A8">
        <w:rPr>
          <w:rFonts w:asciiTheme="minorHAnsi" w:hAnsiTheme="minorHAnsi" w:cstheme="minorHAnsi"/>
          <w:color w:val="000000"/>
        </w:rPr>
        <w:t xml:space="preserve"> that the majority of their peers approved of NP</w:t>
      </w:r>
      <w:r w:rsidR="00A2760B" w:rsidRPr="00C356A8">
        <w:rPr>
          <w:rFonts w:asciiTheme="minorHAnsi" w:hAnsiTheme="minorHAnsi" w:cstheme="minorHAnsi"/>
          <w:color w:val="000000"/>
        </w:rPr>
        <w:t>P</w:t>
      </w:r>
      <w:r w:rsidR="00555278" w:rsidRPr="00C356A8">
        <w:rPr>
          <w:rFonts w:asciiTheme="minorHAnsi" w:hAnsiTheme="minorHAnsi" w:cstheme="minorHAnsi"/>
          <w:color w:val="000000"/>
        </w:rPr>
        <w:t xml:space="preserve">SSP use. Overall, </w:t>
      </w:r>
      <w:proofErr w:type="gramStart"/>
      <w:r w:rsidR="00E325EE" w:rsidRPr="00C356A8">
        <w:rPr>
          <w:rFonts w:asciiTheme="minorHAnsi" w:hAnsiTheme="minorHAnsi" w:cstheme="minorHAnsi"/>
          <w:color w:val="000000"/>
        </w:rPr>
        <w:t>the majority</w:t>
      </w:r>
      <w:r w:rsidRPr="00C356A8">
        <w:rPr>
          <w:rFonts w:asciiTheme="minorHAnsi" w:hAnsiTheme="minorHAnsi" w:cstheme="minorHAnsi"/>
          <w:color w:val="000000"/>
        </w:rPr>
        <w:t xml:space="preserve"> of</w:t>
      </w:r>
      <w:proofErr w:type="gramEnd"/>
      <w:r w:rsidRPr="00C356A8">
        <w:rPr>
          <w:rFonts w:asciiTheme="minorHAnsi" w:hAnsiTheme="minorHAnsi" w:cstheme="minorHAnsi"/>
          <w:color w:val="000000"/>
        </w:rPr>
        <w:t xml:space="preserve"> students perceived that the peer approval towards NP</w:t>
      </w:r>
      <w:r w:rsidR="00A2760B" w:rsidRPr="00C356A8">
        <w:rPr>
          <w:rFonts w:asciiTheme="minorHAnsi" w:hAnsiTheme="minorHAnsi" w:cstheme="minorHAnsi"/>
          <w:color w:val="000000"/>
        </w:rPr>
        <w:t>P</w:t>
      </w:r>
      <w:r w:rsidRPr="00C356A8">
        <w:rPr>
          <w:rFonts w:asciiTheme="minorHAnsi" w:hAnsiTheme="minorHAnsi" w:cstheme="minorHAnsi"/>
          <w:color w:val="000000"/>
        </w:rPr>
        <w:t>SSP use was</w:t>
      </w:r>
      <w:r w:rsidR="00393BAD" w:rsidRPr="00C356A8">
        <w:rPr>
          <w:rFonts w:asciiTheme="minorHAnsi" w:hAnsiTheme="minorHAnsi" w:cstheme="minorHAnsi"/>
          <w:color w:val="000000"/>
        </w:rPr>
        <w:t xml:space="preserve"> </w:t>
      </w:r>
      <w:r w:rsidR="00425156" w:rsidRPr="00C356A8">
        <w:rPr>
          <w:rFonts w:asciiTheme="minorHAnsi" w:hAnsiTheme="minorHAnsi" w:cstheme="minorHAnsi"/>
          <w:color w:val="000000"/>
        </w:rPr>
        <w:t xml:space="preserve">identical </w:t>
      </w:r>
      <w:r w:rsidR="00393BAD" w:rsidRPr="00C356A8">
        <w:rPr>
          <w:rFonts w:asciiTheme="minorHAnsi" w:hAnsiTheme="minorHAnsi" w:cstheme="minorHAnsi"/>
          <w:color w:val="000000"/>
        </w:rPr>
        <w:t>(62.9%) or higher (29.7</w:t>
      </w:r>
      <w:r w:rsidRPr="00C356A8">
        <w:rPr>
          <w:rFonts w:asciiTheme="minorHAnsi" w:hAnsiTheme="minorHAnsi" w:cstheme="minorHAnsi"/>
          <w:color w:val="000000"/>
        </w:rPr>
        <w:t>%) than their personal approval (Table 2).</w:t>
      </w:r>
    </w:p>
    <w:p w14:paraId="5CDE4042" w14:textId="0DDDFE46" w:rsidR="00AF6F98" w:rsidRPr="00C356A8" w:rsidRDefault="00AF6F98" w:rsidP="00CD52C0">
      <w:pPr>
        <w:autoSpaceDE w:val="0"/>
        <w:autoSpaceDN w:val="0"/>
        <w:adjustRightInd w:val="0"/>
        <w:spacing w:line="360" w:lineRule="auto"/>
        <w:jc w:val="both"/>
        <w:rPr>
          <w:rFonts w:asciiTheme="minorHAnsi" w:hAnsiTheme="minorHAnsi" w:cstheme="minorHAnsi"/>
          <w:color w:val="000000"/>
        </w:rPr>
      </w:pPr>
    </w:p>
    <w:p w14:paraId="6C9FA9BC" w14:textId="2EE92F29" w:rsidR="00AF6F98" w:rsidRPr="00C356A8" w:rsidRDefault="00AF6F98" w:rsidP="00CD52C0">
      <w:pPr>
        <w:autoSpaceDE w:val="0"/>
        <w:autoSpaceDN w:val="0"/>
        <w:adjustRightInd w:val="0"/>
        <w:spacing w:line="360" w:lineRule="auto"/>
        <w:jc w:val="both"/>
        <w:rPr>
          <w:rFonts w:asciiTheme="minorHAnsi" w:hAnsiTheme="minorHAnsi" w:cstheme="minorHAnsi"/>
          <w:b/>
          <w:color w:val="000000"/>
        </w:rPr>
      </w:pPr>
      <w:r w:rsidRPr="00C356A8">
        <w:rPr>
          <w:rFonts w:asciiTheme="minorHAnsi" w:hAnsiTheme="minorHAnsi" w:cstheme="minorHAnsi"/>
          <w:b/>
          <w:color w:val="000000"/>
        </w:rPr>
        <w:t>Table 2 Differences between personal NP</w:t>
      </w:r>
      <w:r w:rsidR="00A2760B" w:rsidRPr="00C356A8">
        <w:rPr>
          <w:rFonts w:asciiTheme="minorHAnsi" w:hAnsiTheme="minorHAnsi" w:cstheme="minorHAnsi"/>
          <w:b/>
          <w:color w:val="000000"/>
        </w:rPr>
        <w:t>P</w:t>
      </w:r>
      <w:r w:rsidRPr="00C356A8">
        <w:rPr>
          <w:rFonts w:asciiTheme="minorHAnsi" w:hAnsiTheme="minorHAnsi" w:cstheme="minorHAnsi"/>
          <w:b/>
          <w:color w:val="000000"/>
        </w:rPr>
        <w:t>SSP use/attitude towards NP</w:t>
      </w:r>
      <w:r w:rsidR="00A2760B" w:rsidRPr="00C356A8">
        <w:rPr>
          <w:rFonts w:asciiTheme="minorHAnsi" w:hAnsiTheme="minorHAnsi" w:cstheme="minorHAnsi"/>
          <w:b/>
          <w:color w:val="000000"/>
        </w:rPr>
        <w:t>P</w:t>
      </w:r>
      <w:r w:rsidRPr="00C356A8">
        <w:rPr>
          <w:rFonts w:asciiTheme="minorHAnsi" w:hAnsiTheme="minorHAnsi" w:cstheme="minorHAnsi"/>
          <w:b/>
          <w:color w:val="000000"/>
        </w:rPr>
        <w:t>SSP use and perceived NP</w:t>
      </w:r>
      <w:r w:rsidR="00A2760B" w:rsidRPr="00C356A8">
        <w:rPr>
          <w:rFonts w:asciiTheme="minorHAnsi" w:hAnsiTheme="minorHAnsi" w:cstheme="minorHAnsi"/>
          <w:b/>
          <w:color w:val="000000"/>
        </w:rPr>
        <w:t>P</w:t>
      </w:r>
      <w:r w:rsidRPr="00C356A8">
        <w:rPr>
          <w:rFonts w:asciiTheme="minorHAnsi" w:hAnsiTheme="minorHAnsi" w:cstheme="minorHAnsi"/>
          <w:b/>
          <w:color w:val="000000"/>
        </w:rPr>
        <w:t>SSP use/ attitude towards NP</w:t>
      </w:r>
      <w:r w:rsidR="00A2760B" w:rsidRPr="00C356A8">
        <w:rPr>
          <w:rFonts w:asciiTheme="minorHAnsi" w:hAnsiTheme="minorHAnsi" w:cstheme="minorHAnsi"/>
          <w:b/>
          <w:color w:val="000000"/>
        </w:rPr>
        <w:t>P</w:t>
      </w:r>
      <w:r w:rsidRPr="00C356A8">
        <w:rPr>
          <w:rFonts w:asciiTheme="minorHAnsi" w:hAnsiTheme="minorHAnsi" w:cstheme="minorHAnsi"/>
          <w:b/>
          <w:color w:val="000000"/>
        </w:rPr>
        <w:t xml:space="preserve">SSP use of </w:t>
      </w:r>
      <w:proofErr w:type="gramStart"/>
      <w:r w:rsidRPr="00C356A8">
        <w:rPr>
          <w:rFonts w:asciiTheme="minorHAnsi" w:hAnsiTheme="minorHAnsi" w:cstheme="minorHAnsi"/>
          <w:b/>
          <w:color w:val="000000"/>
        </w:rPr>
        <w:t>the majority of</w:t>
      </w:r>
      <w:proofErr w:type="gramEnd"/>
      <w:r w:rsidRPr="00C356A8">
        <w:rPr>
          <w:rFonts w:asciiTheme="minorHAnsi" w:hAnsiTheme="minorHAnsi" w:cstheme="minorHAnsi"/>
          <w:b/>
          <w:color w:val="000000"/>
        </w:rPr>
        <w:t xml:space="preserve"> peers of the same sex and university (self-other discrepancies)</w:t>
      </w:r>
    </w:p>
    <w:tbl>
      <w:tblPr>
        <w:tblW w:w="5754" w:type="dxa"/>
        <w:tblInd w:w="55" w:type="dxa"/>
        <w:tblCellMar>
          <w:left w:w="70" w:type="dxa"/>
          <w:right w:w="70" w:type="dxa"/>
        </w:tblCellMar>
        <w:tblLook w:val="04A0" w:firstRow="1" w:lastRow="0" w:firstColumn="1" w:lastColumn="0" w:noHBand="0" w:noVBand="1"/>
      </w:tblPr>
      <w:tblGrid>
        <w:gridCol w:w="2721"/>
        <w:gridCol w:w="1276"/>
        <w:gridCol w:w="1757"/>
      </w:tblGrid>
      <w:tr w:rsidR="00AF6F98" w:rsidRPr="00C356A8" w14:paraId="725FCDA7" w14:textId="77777777" w:rsidTr="00DE34C8">
        <w:trPr>
          <w:trHeight w:val="680"/>
        </w:trPr>
        <w:tc>
          <w:tcPr>
            <w:tcW w:w="2721" w:type="dxa"/>
            <w:tcBorders>
              <w:top w:val="single" w:sz="4" w:space="0" w:color="auto"/>
              <w:bottom w:val="single" w:sz="4" w:space="0" w:color="auto"/>
            </w:tcBorders>
            <w:shd w:val="clear" w:color="auto" w:fill="auto"/>
            <w:noWrap/>
            <w:vAlign w:val="center"/>
          </w:tcPr>
          <w:p w14:paraId="29B5A8A1" w14:textId="77777777" w:rsidR="00AF6F98" w:rsidRPr="00C356A8" w:rsidRDefault="00AF6F98" w:rsidP="00DE34C8">
            <w:pPr>
              <w:rPr>
                <w:rFonts w:asciiTheme="minorHAnsi" w:hAnsiTheme="minorHAnsi" w:cstheme="minorHAnsi"/>
                <w:bCs/>
                <w:i/>
                <w:color w:val="000000"/>
                <w:sz w:val="16"/>
                <w:szCs w:val="16"/>
                <w:lang w:eastAsia="de-DE"/>
              </w:rPr>
            </w:pPr>
          </w:p>
        </w:tc>
        <w:tc>
          <w:tcPr>
            <w:tcW w:w="1276" w:type="dxa"/>
            <w:tcBorders>
              <w:top w:val="single" w:sz="4" w:space="0" w:color="auto"/>
              <w:bottom w:val="single" w:sz="4" w:space="0" w:color="auto"/>
            </w:tcBorders>
            <w:shd w:val="clear" w:color="auto" w:fill="auto"/>
            <w:noWrap/>
            <w:vAlign w:val="center"/>
          </w:tcPr>
          <w:p w14:paraId="3912E39C" w14:textId="06C6B966" w:rsidR="00AF6F98" w:rsidRPr="00C356A8" w:rsidRDefault="00AF6F98" w:rsidP="00A2760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Lifetime NP</w:t>
            </w:r>
            <w:r w:rsidR="00A2760B" w:rsidRPr="00C356A8">
              <w:rPr>
                <w:rFonts w:asciiTheme="minorHAnsi" w:hAnsiTheme="minorHAnsi" w:cstheme="minorHAnsi"/>
                <w:color w:val="000000"/>
                <w:sz w:val="16"/>
                <w:szCs w:val="16"/>
                <w:lang w:eastAsia="de-DE"/>
              </w:rPr>
              <w:t>P</w:t>
            </w:r>
            <w:r w:rsidRPr="00C356A8">
              <w:rPr>
                <w:rFonts w:asciiTheme="minorHAnsi" w:hAnsiTheme="minorHAnsi" w:cstheme="minorHAnsi"/>
                <w:color w:val="000000"/>
                <w:sz w:val="16"/>
                <w:szCs w:val="16"/>
                <w:lang w:eastAsia="de-DE"/>
              </w:rPr>
              <w:t>SSP use (%) (</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=4,310)</w:t>
            </w:r>
          </w:p>
        </w:tc>
        <w:tc>
          <w:tcPr>
            <w:tcW w:w="1757" w:type="dxa"/>
            <w:tcBorders>
              <w:top w:val="single" w:sz="4" w:space="0" w:color="auto"/>
              <w:bottom w:val="single" w:sz="4" w:space="0" w:color="auto"/>
            </w:tcBorders>
            <w:shd w:val="clear" w:color="auto" w:fill="auto"/>
            <w:vAlign w:val="center"/>
          </w:tcPr>
          <w:p w14:paraId="24B29737" w14:textId="2CFE7E0B" w:rsidR="00AF6F98" w:rsidRPr="00C356A8" w:rsidRDefault="00AF6F98"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Positive attitude towards NP</w:t>
            </w:r>
            <w:r w:rsidR="00A2760B" w:rsidRPr="00C356A8">
              <w:rPr>
                <w:rFonts w:asciiTheme="minorHAnsi" w:hAnsiTheme="minorHAnsi" w:cstheme="minorHAnsi"/>
                <w:color w:val="000000"/>
                <w:sz w:val="16"/>
                <w:szCs w:val="16"/>
                <w:lang w:eastAsia="de-DE"/>
              </w:rPr>
              <w:t>P</w:t>
            </w:r>
            <w:r w:rsidRPr="00C356A8">
              <w:rPr>
                <w:rFonts w:asciiTheme="minorHAnsi" w:hAnsiTheme="minorHAnsi" w:cstheme="minorHAnsi"/>
                <w:color w:val="000000"/>
                <w:sz w:val="16"/>
                <w:szCs w:val="16"/>
                <w:lang w:eastAsia="de-DE"/>
              </w:rPr>
              <w:t xml:space="preserve">SSP </w:t>
            </w:r>
            <w:proofErr w:type="spellStart"/>
            <w:r w:rsidRPr="00C356A8">
              <w:rPr>
                <w:rFonts w:asciiTheme="minorHAnsi" w:hAnsiTheme="minorHAnsi" w:cstheme="minorHAnsi"/>
                <w:color w:val="000000"/>
                <w:sz w:val="16"/>
                <w:szCs w:val="16"/>
                <w:lang w:eastAsia="de-DE"/>
              </w:rPr>
              <w:t>use</w:t>
            </w:r>
            <w:r w:rsidRPr="00C356A8">
              <w:rPr>
                <w:sz w:val="16"/>
                <w:szCs w:val="16"/>
                <w:vertAlign w:val="superscript"/>
              </w:rPr>
              <w:t>a</w:t>
            </w:r>
            <w:proofErr w:type="spellEnd"/>
            <w:r w:rsidRPr="00C356A8">
              <w:rPr>
                <w:rFonts w:asciiTheme="minorHAnsi" w:hAnsiTheme="minorHAnsi" w:cstheme="minorHAnsi"/>
                <w:color w:val="000000"/>
                <w:sz w:val="16"/>
                <w:szCs w:val="16"/>
                <w:lang w:eastAsia="de-DE"/>
              </w:rPr>
              <w:t xml:space="preserve"> (%) (</w:t>
            </w:r>
            <w:r w:rsidRPr="00C356A8">
              <w:rPr>
                <w:rFonts w:asciiTheme="minorHAnsi" w:hAnsiTheme="minorHAnsi" w:cstheme="minorHAnsi"/>
                <w:bCs/>
                <w:i/>
                <w:color w:val="000000"/>
                <w:sz w:val="16"/>
                <w:szCs w:val="16"/>
                <w:lang w:eastAsia="de-DE"/>
              </w:rPr>
              <w:t>n</w:t>
            </w:r>
            <w:r w:rsidRPr="00C356A8">
              <w:rPr>
                <w:rFonts w:asciiTheme="minorHAnsi" w:hAnsiTheme="minorHAnsi" w:cstheme="minorHAnsi"/>
                <w:bCs/>
                <w:color w:val="000000"/>
                <w:sz w:val="16"/>
                <w:szCs w:val="16"/>
                <w:lang w:eastAsia="de-DE"/>
              </w:rPr>
              <w:t>=4,178)</w:t>
            </w:r>
          </w:p>
        </w:tc>
      </w:tr>
      <w:tr w:rsidR="00AF6F98" w:rsidRPr="00C356A8" w14:paraId="138796E8" w14:textId="77777777" w:rsidTr="00DE34C8">
        <w:trPr>
          <w:trHeight w:val="283"/>
        </w:trPr>
        <w:tc>
          <w:tcPr>
            <w:tcW w:w="2721" w:type="dxa"/>
            <w:tcBorders>
              <w:top w:val="single" w:sz="4" w:space="0" w:color="auto"/>
            </w:tcBorders>
            <w:shd w:val="clear" w:color="auto" w:fill="auto"/>
            <w:noWrap/>
            <w:vAlign w:val="center"/>
          </w:tcPr>
          <w:p w14:paraId="6061741B" w14:textId="77777777" w:rsidR="00AF6F98" w:rsidRPr="00C356A8" w:rsidRDefault="00AF6F98" w:rsidP="00DE34C8">
            <w:pPr>
              <w:rPr>
                <w:rFonts w:asciiTheme="minorHAnsi" w:hAnsiTheme="minorHAnsi" w:cstheme="minorHAnsi"/>
                <w:bCs/>
                <w:color w:val="000000"/>
                <w:sz w:val="16"/>
                <w:szCs w:val="16"/>
                <w:lang w:eastAsia="de-DE"/>
              </w:rPr>
            </w:pPr>
            <w:r w:rsidRPr="00C356A8">
              <w:rPr>
                <w:rFonts w:asciiTheme="minorHAnsi" w:hAnsiTheme="minorHAnsi" w:cstheme="minorHAnsi"/>
                <w:bCs/>
                <w:color w:val="000000"/>
                <w:sz w:val="16"/>
                <w:szCs w:val="16"/>
                <w:lang w:eastAsia="de-DE"/>
              </w:rPr>
              <w:t>Majority of same-sex peers &lt; personal</w:t>
            </w:r>
          </w:p>
        </w:tc>
        <w:tc>
          <w:tcPr>
            <w:tcW w:w="1276" w:type="dxa"/>
            <w:tcBorders>
              <w:top w:val="single" w:sz="4" w:space="0" w:color="auto"/>
            </w:tcBorders>
            <w:shd w:val="clear" w:color="auto" w:fill="auto"/>
            <w:noWrap/>
            <w:vAlign w:val="center"/>
          </w:tcPr>
          <w:p w14:paraId="15B01424" w14:textId="77777777" w:rsidR="00AF6F98" w:rsidRPr="00C356A8" w:rsidRDefault="00AF6F98"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3.0</w:t>
            </w:r>
          </w:p>
        </w:tc>
        <w:tc>
          <w:tcPr>
            <w:tcW w:w="1757" w:type="dxa"/>
            <w:tcBorders>
              <w:top w:val="single" w:sz="4" w:space="0" w:color="auto"/>
            </w:tcBorders>
            <w:shd w:val="clear" w:color="auto" w:fill="auto"/>
            <w:vAlign w:val="center"/>
          </w:tcPr>
          <w:p w14:paraId="1F0164E0" w14:textId="77777777" w:rsidR="00AF6F98" w:rsidRPr="00C356A8" w:rsidRDefault="00AF6F98"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7.4</w:t>
            </w:r>
          </w:p>
        </w:tc>
      </w:tr>
      <w:tr w:rsidR="00AF6F98" w:rsidRPr="00C356A8" w14:paraId="6C71EF14" w14:textId="77777777" w:rsidTr="00DE34C8">
        <w:trPr>
          <w:trHeight w:val="283"/>
        </w:trPr>
        <w:tc>
          <w:tcPr>
            <w:tcW w:w="2721" w:type="dxa"/>
            <w:shd w:val="clear" w:color="auto" w:fill="auto"/>
            <w:noWrap/>
            <w:vAlign w:val="center"/>
          </w:tcPr>
          <w:p w14:paraId="53B4F83B" w14:textId="77777777" w:rsidR="00AF6F98" w:rsidRPr="00C356A8" w:rsidRDefault="00AF6F98" w:rsidP="00DE34C8">
            <w:pPr>
              <w:rPr>
                <w:rFonts w:asciiTheme="minorHAnsi" w:hAnsiTheme="minorHAnsi" w:cstheme="minorHAnsi"/>
                <w:bCs/>
                <w:color w:val="000000"/>
                <w:sz w:val="16"/>
                <w:szCs w:val="16"/>
                <w:lang w:eastAsia="de-DE"/>
              </w:rPr>
            </w:pPr>
            <w:r w:rsidRPr="00C356A8">
              <w:rPr>
                <w:rFonts w:asciiTheme="minorHAnsi" w:hAnsiTheme="minorHAnsi" w:cstheme="minorHAnsi"/>
                <w:bCs/>
                <w:color w:val="000000"/>
                <w:sz w:val="16"/>
                <w:szCs w:val="16"/>
                <w:lang w:eastAsia="de-DE"/>
              </w:rPr>
              <w:t>Majority of same-sex peers = personal</w:t>
            </w:r>
          </w:p>
        </w:tc>
        <w:tc>
          <w:tcPr>
            <w:tcW w:w="1276" w:type="dxa"/>
            <w:shd w:val="clear" w:color="auto" w:fill="auto"/>
            <w:noWrap/>
            <w:vAlign w:val="center"/>
          </w:tcPr>
          <w:p w14:paraId="60A3C0E1" w14:textId="77777777" w:rsidR="00AF6F98" w:rsidRPr="00C356A8" w:rsidRDefault="00AF6F98"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46.0</w:t>
            </w:r>
          </w:p>
        </w:tc>
        <w:tc>
          <w:tcPr>
            <w:tcW w:w="1757" w:type="dxa"/>
            <w:shd w:val="clear" w:color="auto" w:fill="auto"/>
            <w:vAlign w:val="center"/>
          </w:tcPr>
          <w:p w14:paraId="052B6297" w14:textId="77777777" w:rsidR="00AF6F98" w:rsidRPr="00C356A8" w:rsidRDefault="00AF6F98"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62.9</w:t>
            </w:r>
          </w:p>
        </w:tc>
      </w:tr>
      <w:tr w:rsidR="00AF6F98" w:rsidRPr="00C356A8" w14:paraId="2FA47EC9" w14:textId="77777777" w:rsidTr="00DE34C8">
        <w:trPr>
          <w:trHeight w:val="283"/>
        </w:trPr>
        <w:tc>
          <w:tcPr>
            <w:tcW w:w="2721" w:type="dxa"/>
            <w:tcBorders>
              <w:bottom w:val="single" w:sz="4" w:space="0" w:color="auto"/>
            </w:tcBorders>
            <w:shd w:val="clear" w:color="auto" w:fill="auto"/>
            <w:noWrap/>
            <w:vAlign w:val="center"/>
          </w:tcPr>
          <w:p w14:paraId="69EDC341" w14:textId="77777777" w:rsidR="00AF6F98" w:rsidRPr="00C356A8" w:rsidRDefault="00AF6F98" w:rsidP="00DE34C8">
            <w:pPr>
              <w:rPr>
                <w:rFonts w:asciiTheme="minorHAnsi" w:hAnsiTheme="minorHAnsi" w:cstheme="minorHAnsi"/>
                <w:bCs/>
                <w:color w:val="000000"/>
                <w:sz w:val="16"/>
                <w:szCs w:val="16"/>
                <w:lang w:eastAsia="de-DE"/>
              </w:rPr>
            </w:pPr>
            <w:r w:rsidRPr="00C356A8">
              <w:rPr>
                <w:rFonts w:asciiTheme="minorHAnsi" w:hAnsiTheme="minorHAnsi" w:cstheme="minorHAnsi"/>
                <w:bCs/>
                <w:color w:val="000000"/>
                <w:sz w:val="16"/>
                <w:szCs w:val="16"/>
                <w:lang w:eastAsia="de-DE"/>
              </w:rPr>
              <w:t>Majority of same-sex peers &gt; personal</w:t>
            </w:r>
          </w:p>
        </w:tc>
        <w:tc>
          <w:tcPr>
            <w:tcW w:w="1276" w:type="dxa"/>
            <w:tcBorders>
              <w:bottom w:val="single" w:sz="4" w:space="0" w:color="auto"/>
            </w:tcBorders>
            <w:shd w:val="clear" w:color="auto" w:fill="auto"/>
            <w:noWrap/>
            <w:vAlign w:val="center"/>
          </w:tcPr>
          <w:p w14:paraId="61689184" w14:textId="77777777" w:rsidR="00AF6F98" w:rsidRPr="00C356A8" w:rsidRDefault="00AF6F98"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51.0</w:t>
            </w:r>
          </w:p>
        </w:tc>
        <w:tc>
          <w:tcPr>
            <w:tcW w:w="1757" w:type="dxa"/>
            <w:tcBorders>
              <w:bottom w:val="single" w:sz="4" w:space="0" w:color="auto"/>
            </w:tcBorders>
            <w:shd w:val="clear" w:color="auto" w:fill="auto"/>
            <w:vAlign w:val="center"/>
          </w:tcPr>
          <w:p w14:paraId="03A36D4B" w14:textId="77777777" w:rsidR="00AF6F98" w:rsidRPr="00C356A8" w:rsidRDefault="00AF6F98"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29.7</w:t>
            </w:r>
          </w:p>
        </w:tc>
      </w:tr>
    </w:tbl>
    <w:p w14:paraId="54A0A2C2" w14:textId="45FBE934" w:rsidR="00AF6F98" w:rsidRPr="00C356A8" w:rsidRDefault="00AF6F98" w:rsidP="00A2760B">
      <w:pPr>
        <w:pStyle w:val="Caption"/>
        <w:keepNext/>
        <w:rPr>
          <w:b w:val="0"/>
          <w:sz w:val="16"/>
          <w:szCs w:val="16"/>
        </w:rPr>
      </w:pPr>
      <w:r w:rsidRPr="00C356A8">
        <w:rPr>
          <w:b w:val="0"/>
          <w:sz w:val="16"/>
          <w:szCs w:val="16"/>
          <w:vertAlign w:val="superscript"/>
        </w:rPr>
        <w:t xml:space="preserve">a </w:t>
      </w:r>
      <w:r w:rsidR="00A2760B" w:rsidRPr="00C356A8">
        <w:rPr>
          <w:b w:val="0"/>
          <w:sz w:val="16"/>
          <w:szCs w:val="16"/>
        </w:rPr>
        <w:t>‘Ok to use occasionally if it doesn't interfere with work or study’, ‘Ok to use frequently if it doesn't interfere with work or study’, ‘Ok to use occasionally even if it does interfere with work or study’, and ‘Ok to use frequently if that is what the person wants to do’.</w:t>
      </w:r>
    </w:p>
    <w:p w14:paraId="6C2BFDDC" w14:textId="77777777" w:rsidR="00AF6F98" w:rsidRPr="00C356A8" w:rsidRDefault="00AF6F98" w:rsidP="00CD52C0">
      <w:pPr>
        <w:autoSpaceDE w:val="0"/>
        <w:autoSpaceDN w:val="0"/>
        <w:adjustRightInd w:val="0"/>
        <w:spacing w:line="360" w:lineRule="auto"/>
        <w:jc w:val="both"/>
        <w:rPr>
          <w:rFonts w:asciiTheme="minorHAnsi" w:hAnsiTheme="minorHAnsi" w:cstheme="minorHAnsi"/>
          <w:color w:val="000000"/>
        </w:rPr>
      </w:pPr>
    </w:p>
    <w:p w14:paraId="1C2F05B5" w14:textId="4FAB8672" w:rsidR="00CD52C0" w:rsidRPr="00C356A8" w:rsidRDefault="00425156" w:rsidP="00CD52C0">
      <w:pPr>
        <w:autoSpaceDE w:val="0"/>
        <w:autoSpaceDN w:val="0"/>
        <w:adjustRightInd w:val="0"/>
        <w:spacing w:line="360" w:lineRule="auto"/>
        <w:jc w:val="both"/>
        <w:rPr>
          <w:rFonts w:asciiTheme="minorHAnsi" w:hAnsiTheme="minorHAnsi" w:cstheme="minorHAnsi"/>
          <w:color w:val="000000"/>
        </w:rPr>
      </w:pPr>
      <w:r w:rsidRPr="00C356A8">
        <w:t>After controlling for students` country, sex, age, year of study, living situation, and attitude towards NP</w:t>
      </w:r>
      <w:r w:rsidR="00A2760B" w:rsidRPr="00C356A8">
        <w:t>P</w:t>
      </w:r>
      <w:r w:rsidRPr="00C356A8">
        <w:t>SSP use,</w:t>
      </w:r>
      <w:r w:rsidRPr="00C356A8">
        <w:rPr>
          <w:rFonts w:asciiTheme="minorHAnsi" w:hAnsiTheme="minorHAnsi" w:cstheme="minorHAnsi"/>
          <w:color w:val="000000"/>
        </w:rPr>
        <w:t xml:space="preserve"> t</w:t>
      </w:r>
      <w:r w:rsidR="00CD52C0" w:rsidRPr="00C356A8">
        <w:rPr>
          <w:rFonts w:asciiTheme="minorHAnsi" w:hAnsiTheme="minorHAnsi" w:cstheme="minorHAnsi"/>
          <w:color w:val="000000"/>
        </w:rPr>
        <w:t xml:space="preserve">he perception that </w:t>
      </w:r>
      <w:proofErr w:type="gramStart"/>
      <w:r w:rsidR="00CD52C0" w:rsidRPr="00C356A8">
        <w:rPr>
          <w:rFonts w:asciiTheme="minorHAnsi" w:hAnsiTheme="minorHAnsi" w:cstheme="minorHAnsi"/>
          <w:color w:val="000000"/>
        </w:rPr>
        <w:t>the majority of</w:t>
      </w:r>
      <w:proofErr w:type="gramEnd"/>
      <w:r w:rsidR="00CD52C0" w:rsidRPr="00C356A8">
        <w:rPr>
          <w:rFonts w:asciiTheme="minorHAnsi" w:hAnsiTheme="minorHAnsi" w:cstheme="minorHAnsi"/>
          <w:color w:val="000000"/>
        </w:rPr>
        <w:t xml:space="preserve"> same-sex peers had used NP</w:t>
      </w:r>
      <w:r w:rsidR="00A2760B" w:rsidRPr="00C356A8">
        <w:rPr>
          <w:rFonts w:asciiTheme="minorHAnsi" w:hAnsiTheme="minorHAnsi" w:cstheme="minorHAnsi"/>
          <w:color w:val="000000"/>
        </w:rPr>
        <w:t>P</w:t>
      </w:r>
      <w:r w:rsidR="00CD52C0" w:rsidRPr="00C356A8">
        <w:rPr>
          <w:rFonts w:asciiTheme="minorHAnsi" w:hAnsiTheme="minorHAnsi" w:cstheme="minorHAnsi"/>
          <w:color w:val="000000"/>
        </w:rPr>
        <w:t>SSP at least once in their life was significantly associated with a higher likelihood for personal lifetime NP</w:t>
      </w:r>
      <w:r w:rsidR="00A2760B" w:rsidRPr="00C356A8">
        <w:rPr>
          <w:rFonts w:asciiTheme="minorHAnsi" w:hAnsiTheme="minorHAnsi" w:cstheme="minorHAnsi"/>
          <w:color w:val="000000"/>
        </w:rPr>
        <w:t>P</w:t>
      </w:r>
      <w:r w:rsidR="00CD52C0" w:rsidRPr="00C356A8">
        <w:rPr>
          <w:rFonts w:asciiTheme="minorHAnsi" w:hAnsiTheme="minorHAnsi" w:cstheme="minorHAnsi"/>
          <w:color w:val="000000"/>
        </w:rPr>
        <w:t xml:space="preserve">SSP use (OR: </w:t>
      </w:r>
      <w:r w:rsidR="00393BAD" w:rsidRPr="00C356A8">
        <w:rPr>
          <w:rFonts w:asciiTheme="minorHAnsi" w:hAnsiTheme="minorHAnsi" w:cstheme="minorHAnsi"/>
          <w:color w:val="000000"/>
        </w:rPr>
        <w:t>1.95, 95% CI: 1.49-2.55</w:t>
      </w:r>
      <w:r w:rsidR="00CD52C0" w:rsidRPr="00C356A8">
        <w:rPr>
          <w:rFonts w:asciiTheme="minorHAnsi" w:hAnsiTheme="minorHAnsi" w:cstheme="minorHAnsi"/>
          <w:color w:val="000000"/>
        </w:rPr>
        <w:t>)</w:t>
      </w:r>
      <w:r w:rsidR="00A2760B" w:rsidRPr="00C356A8">
        <w:rPr>
          <w:rFonts w:asciiTheme="minorHAnsi" w:hAnsiTheme="minorHAnsi" w:cstheme="minorHAnsi"/>
          <w:color w:val="000000"/>
        </w:rPr>
        <w:t xml:space="preserve"> (Table 3)</w:t>
      </w:r>
      <w:r w:rsidR="00CD52C0" w:rsidRPr="00C356A8">
        <w:rPr>
          <w:rFonts w:asciiTheme="minorHAnsi" w:hAnsiTheme="minorHAnsi" w:cstheme="minorHAnsi"/>
          <w:color w:val="000000"/>
        </w:rPr>
        <w:t xml:space="preserve">. Moreover, </w:t>
      </w:r>
      <w:r w:rsidR="00FC71C0" w:rsidRPr="00C356A8">
        <w:rPr>
          <w:rFonts w:asciiTheme="minorHAnsi" w:hAnsiTheme="minorHAnsi" w:cstheme="minorHAnsi"/>
          <w:color w:val="000000"/>
        </w:rPr>
        <w:t>after controlling for all demographic variables and NP</w:t>
      </w:r>
      <w:r w:rsidR="00A2760B" w:rsidRPr="00C356A8">
        <w:rPr>
          <w:rFonts w:asciiTheme="minorHAnsi" w:hAnsiTheme="minorHAnsi" w:cstheme="minorHAnsi"/>
          <w:color w:val="000000"/>
        </w:rPr>
        <w:t>P</w:t>
      </w:r>
      <w:r w:rsidR="00FC71C0" w:rsidRPr="00C356A8">
        <w:rPr>
          <w:rFonts w:asciiTheme="minorHAnsi" w:hAnsiTheme="minorHAnsi" w:cstheme="minorHAnsi"/>
          <w:color w:val="000000"/>
        </w:rPr>
        <w:t xml:space="preserve">SSP use, </w:t>
      </w:r>
      <w:r w:rsidR="00CD52C0" w:rsidRPr="00C356A8">
        <w:rPr>
          <w:rFonts w:asciiTheme="minorHAnsi" w:hAnsiTheme="minorHAnsi" w:cstheme="minorHAnsi"/>
          <w:color w:val="000000"/>
        </w:rPr>
        <w:t>perceived peer approval of NP</w:t>
      </w:r>
      <w:r w:rsidR="00A2760B" w:rsidRPr="00C356A8">
        <w:rPr>
          <w:rFonts w:asciiTheme="minorHAnsi" w:hAnsiTheme="minorHAnsi" w:cstheme="minorHAnsi"/>
          <w:color w:val="000000"/>
        </w:rPr>
        <w:t>P</w:t>
      </w:r>
      <w:r w:rsidR="00CD52C0" w:rsidRPr="00C356A8">
        <w:rPr>
          <w:rFonts w:asciiTheme="minorHAnsi" w:hAnsiTheme="minorHAnsi" w:cstheme="minorHAnsi"/>
          <w:color w:val="000000"/>
        </w:rPr>
        <w:t>SSP use was associated with higher odds for personal</w:t>
      </w:r>
      <w:r w:rsidR="00393BAD" w:rsidRPr="00C356A8">
        <w:rPr>
          <w:rFonts w:asciiTheme="minorHAnsi" w:hAnsiTheme="minorHAnsi" w:cstheme="minorHAnsi"/>
          <w:color w:val="000000"/>
        </w:rPr>
        <w:t xml:space="preserve"> approval of NP</w:t>
      </w:r>
      <w:r w:rsidR="00A2760B" w:rsidRPr="00C356A8">
        <w:rPr>
          <w:rFonts w:asciiTheme="minorHAnsi" w:hAnsiTheme="minorHAnsi" w:cstheme="minorHAnsi"/>
          <w:color w:val="000000"/>
        </w:rPr>
        <w:t>P</w:t>
      </w:r>
      <w:r w:rsidR="00393BAD" w:rsidRPr="00C356A8">
        <w:rPr>
          <w:rFonts w:asciiTheme="minorHAnsi" w:hAnsiTheme="minorHAnsi" w:cstheme="minorHAnsi"/>
          <w:color w:val="000000"/>
        </w:rPr>
        <w:t>SSP use (OR: 5.49, 95% CI: 4.63-6.51</w:t>
      </w:r>
      <w:r w:rsidR="00CD52C0" w:rsidRPr="00C356A8">
        <w:rPr>
          <w:rFonts w:asciiTheme="minorHAnsi" w:hAnsiTheme="minorHAnsi" w:cstheme="minorHAnsi"/>
          <w:color w:val="000000"/>
        </w:rPr>
        <w:t xml:space="preserve">) (Table </w:t>
      </w:r>
      <w:r w:rsidR="00A2760B" w:rsidRPr="00C356A8">
        <w:rPr>
          <w:rFonts w:asciiTheme="minorHAnsi" w:hAnsiTheme="minorHAnsi" w:cstheme="minorHAnsi"/>
          <w:color w:val="000000"/>
        </w:rPr>
        <w:t>4</w:t>
      </w:r>
      <w:r w:rsidR="00CD52C0" w:rsidRPr="00C356A8">
        <w:rPr>
          <w:rFonts w:asciiTheme="minorHAnsi" w:hAnsiTheme="minorHAnsi" w:cstheme="minorHAnsi"/>
          <w:color w:val="000000"/>
        </w:rPr>
        <w:t>).</w:t>
      </w:r>
    </w:p>
    <w:p w14:paraId="53209562" w14:textId="109954B7" w:rsidR="00A06F9F" w:rsidRPr="00C356A8" w:rsidRDefault="00A06F9F" w:rsidP="00CD52C0">
      <w:pPr>
        <w:autoSpaceDE w:val="0"/>
        <w:autoSpaceDN w:val="0"/>
        <w:adjustRightInd w:val="0"/>
        <w:spacing w:line="360" w:lineRule="auto"/>
        <w:jc w:val="both"/>
        <w:rPr>
          <w:rFonts w:asciiTheme="minorHAnsi" w:hAnsiTheme="minorHAnsi" w:cstheme="minorHAnsi"/>
          <w:color w:val="000000"/>
        </w:rPr>
      </w:pPr>
    </w:p>
    <w:p w14:paraId="6553B902" w14:textId="07D1B480" w:rsidR="0073341B" w:rsidRPr="00C356A8" w:rsidRDefault="0073341B" w:rsidP="00CD52C0">
      <w:pPr>
        <w:autoSpaceDE w:val="0"/>
        <w:autoSpaceDN w:val="0"/>
        <w:adjustRightInd w:val="0"/>
        <w:spacing w:line="360" w:lineRule="auto"/>
        <w:jc w:val="both"/>
        <w:rPr>
          <w:rFonts w:asciiTheme="minorHAnsi" w:hAnsiTheme="minorHAnsi" w:cstheme="minorHAnsi"/>
          <w:color w:val="000000"/>
        </w:rPr>
      </w:pPr>
    </w:p>
    <w:p w14:paraId="13064AED" w14:textId="0EF7F15F" w:rsidR="0073341B" w:rsidRPr="00C356A8" w:rsidRDefault="0073341B" w:rsidP="00CD52C0">
      <w:pPr>
        <w:autoSpaceDE w:val="0"/>
        <w:autoSpaceDN w:val="0"/>
        <w:adjustRightInd w:val="0"/>
        <w:spacing w:line="360" w:lineRule="auto"/>
        <w:jc w:val="both"/>
        <w:rPr>
          <w:rFonts w:asciiTheme="minorHAnsi" w:hAnsiTheme="minorHAnsi" w:cstheme="minorHAnsi"/>
          <w:color w:val="000000"/>
        </w:rPr>
      </w:pPr>
    </w:p>
    <w:p w14:paraId="58F38860" w14:textId="32BF9E46" w:rsidR="0073341B" w:rsidRPr="00C356A8" w:rsidRDefault="0073341B" w:rsidP="00CD52C0">
      <w:pPr>
        <w:autoSpaceDE w:val="0"/>
        <w:autoSpaceDN w:val="0"/>
        <w:adjustRightInd w:val="0"/>
        <w:spacing w:line="360" w:lineRule="auto"/>
        <w:jc w:val="both"/>
        <w:rPr>
          <w:rFonts w:asciiTheme="minorHAnsi" w:hAnsiTheme="minorHAnsi" w:cstheme="minorHAnsi"/>
          <w:color w:val="000000"/>
        </w:rPr>
      </w:pPr>
    </w:p>
    <w:p w14:paraId="7C27A13E" w14:textId="3000B9FC" w:rsidR="0073341B" w:rsidRPr="00C356A8" w:rsidRDefault="0073341B" w:rsidP="00CD52C0">
      <w:pPr>
        <w:autoSpaceDE w:val="0"/>
        <w:autoSpaceDN w:val="0"/>
        <w:adjustRightInd w:val="0"/>
        <w:spacing w:line="360" w:lineRule="auto"/>
        <w:jc w:val="both"/>
        <w:rPr>
          <w:rFonts w:asciiTheme="minorHAnsi" w:hAnsiTheme="minorHAnsi" w:cstheme="minorHAnsi"/>
          <w:color w:val="000000"/>
        </w:rPr>
      </w:pPr>
    </w:p>
    <w:p w14:paraId="26EBD7A2" w14:textId="5D7D7B8B" w:rsidR="0073341B" w:rsidRPr="00C356A8" w:rsidRDefault="0073341B" w:rsidP="00CD52C0">
      <w:pPr>
        <w:autoSpaceDE w:val="0"/>
        <w:autoSpaceDN w:val="0"/>
        <w:adjustRightInd w:val="0"/>
        <w:spacing w:line="360" w:lineRule="auto"/>
        <w:jc w:val="both"/>
        <w:rPr>
          <w:rFonts w:asciiTheme="minorHAnsi" w:hAnsiTheme="minorHAnsi" w:cstheme="minorHAnsi"/>
          <w:color w:val="000000"/>
        </w:rPr>
      </w:pPr>
    </w:p>
    <w:p w14:paraId="31F96175" w14:textId="1FC5A98D" w:rsidR="0073341B" w:rsidRPr="00C356A8" w:rsidRDefault="0073341B" w:rsidP="00CD52C0">
      <w:pPr>
        <w:autoSpaceDE w:val="0"/>
        <w:autoSpaceDN w:val="0"/>
        <w:adjustRightInd w:val="0"/>
        <w:spacing w:line="360" w:lineRule="auto"/>
        <w:jc w:val="both"/>
        <w:rPr>
          <w:rFonts w:asciiTheme="minorHAnsi" w:hAnsiTheme="minorHAnsi" w:cstheme="minorHAnsi"/>
          <w:color w:val="000000"/>
        </w:rPr>
      </w:pPr>
    </w:p>
    <w:p w14:paraId="7D06387F" w14:textId="5469962C" w:rsidR="0073341B" w:rsidRPr="00C356A8" w:rsidRDefault="0073341B" w:rsidP="00CD52C0">
      <w:pPr>
        <w:autoSpaceDE w:val="0"/>
        <w:autoSpaceDN w:val="0"/>
        <w:adjustRightInd w:val="0"/>
        <w:spacing w:line="360" w:lineRule="auto"/>
        <w:jc w:val="both"/>
        <w:rPr>
          <w:rFonts w:asciiTheme="minorHAnsi" w:hAnsiTheme="minorHAnsi" w:cstheme="minorHAnsi"/>
          <w:color w:val="000000"/>
        </w:rPr>
      </w:pPr>
    </w:p>
    <w:p w14:paraId="6B4F219E" w14:textId="77777777" w:rsidR="007E1994" w:rsidRPr="00C356A8" w:rsidRDefault="007E1994" w:rsidP="00CD52C0">
      <w:pPr>
        <w:autoSpaceDE w:val="0"/>
        <w:autoSpaceDN w:val="0"/>
        <w:adjustRightInd w:val="0"/>
        <w:spacing w:line="360" w:lineRule="auto"/>
        <w:jc w:val="both"/>
        <w:rPr>
          <w:rFonts w:asciiTheme="minorHAnsi" w:hAnsiTheme="minorHAnsi" w:cstheme="minorHAnsi"/>
          <w:color w:val="000000"/>
        </w:rPr>
      </w:pPr>
    </w:p>
    <w:p w14:paraId="26FF5078" w14:textId="0B94E9CC" w:rsidR="0073341B" w:rsidRPr="00C356A8" w:rsidRDefault="0073341B" w:rsidP="00CD52C0">
      <w:pPr>
        <w:autoSpaceDE w:val="0"/>
        <w:autoSpaceDN w:val="0"/>
        <w:adjustRightInd w:val="0"/>
        <w:spacing w:line="360" w:lineRule="auto"/>
        <w:jc w:val="both"/>
        <w:rPr>
          <w:rFonts w:asciiTheme="minorHAnsi" w:hAnsiTheme="minorHAnsi" w:cstheme="minorHAnsi"/>
          <w:color w:val="000000"/>
        </w:rPr>
      </w:pPr>
    </w:p>
    <w:p w14:paraId="5BB9B075" w14:textId="77777777" w:rsidR="0073341B" w:rsidRPr="00C356A8" w:rsidRDefault="0073341B" w:rsidP="00CD52C0">
      <w:pPr>
        <w:autoSpaceDE w:val="0"/>
        <w:autoSpaceDN w:val="0"/>
        <w:adjustRightInd w:val="0"/>
        <w:spacing w:line="360" w:lineRule="auto"/>
        <w:jc w:val="both"/>
        <w:rPr>
          <w:rFonts w:asciiTheme="minorHAnsi" w:hAnsiTheme="minorHAnsi" w:cstheme="minorHAnsi"/>
          <w:color w:val="000000"/>
        </w:rPr>
      </w:pPr>
    </w:p>
    <w:p w14:paraId="601F24DA" w14:textId="77777777" w:rsidR="0073341B" w:rsidRPr="00C356A8" w:rsidRDefault="0073341B" w:rsidP="00CD52C0">
      <w:pPr>
        <w:autoSpaceDE w:val="0"/>
        <w:autoSpaceDN w:val="0"/>
        <w:adjustRightInd w:val="0"/>
        <w:spacing w:line="360" w:lineRule="auto"/>
        <w:jc w:val="both"/>
        <w:rPr>
          <w:rFonts w:asciiTheme="minorHAnsi" w:hAnsiTheme="minorHAnsi" w:cstheme="minorHAnsi"/>
          <w:color w:val="000000"/>
        </w:rPr>
      </w:pPr>
    </w:p>
    <w:p w14:paraId="446B9814" w14:textId="77777777" w:rsidR="00A2760B" w:rsidRPr="00C356A8" w:rsidRDefault="00A2760B" w:rsidP="00A2760B">
      <w:pPr>
        <w:autoSpaceDE w:val="0"/>
        <w:autoSpaceDN w:val="0"/>
        <w:adjustRightInd w:val="0"/>
        <w:spacing w:line="360" w:lineRule="auto"/>
        <w:ind w:right="424"/>
        <w:jc w:val="both"/>
        <w:rPr>
          <w:rFonts w:asciiTheme="minorHAnsi" w:hAnsiTheme="minorHAnsi" w:cstheme="minorHAnsi"/>
          <w:b/>
          <w:color w:val="000000"/>
        </w:rPr>
      </w:pPr>
      <w:r w:rsidRPr="00C356A8">
        <w:rPr>
          <w:rFonts w:asciiTheme="minorHAnsi" w:hAnsiTheme="minorHAnsi" w:cstheme="minorHAnsi"/>
          <w:b/>
          <w:color w:val="000000"/>
        </w:rPr>
        <w:lastRenderedPageBreak/>
        <w:t>Table 3 Associations between personal NPPSSP use and perceived lifetime NPPSSP use of peers, personal attitude towards NPPSSP use, country, age, sex, year of study, and living situation – results of a binary logistic regression (descriptive norms model)</w:t>
      </w:r>
    </w:p>
    <w:tbl>
      <w:tblPr>
        <w:tblW w:w="9229" w:type="dxa"/>
        <w:tblInd w:w="55" w:type="dxa"/>
        <w:tblCellMar>
          <w:left w:w="70" w:type="dxa"/>
          <w:right w:w="70" w:type="dxa"/>
        </w:tblCellMar>
        <w:tblLook w:val="04A0" w:firstRow="1" w:lastRow="0" w:firstColumn="1" w:lastColumn="0" w:noHBand="0" w:noVBand="1"/>
      </w:tblPr>
      <w:tblGrid>
        <w:gridCol w:w="4126"/>
        <w:gridCol w:w="454"/>
        <w:gridCol w:w="4649"/>
      </w:tblGrid>
      <w:tr w:rsidR="00A2760B" w:rsidRPr="00C356A8" w14:paraId="504CF5BA" w14:textId="77777777" w:rsidTr="005E11BB">
        <w:trPr>
          <w:trHeight w:val="283"/>
        </w:trPr>
        <w:tc>
          <w:tcPr>
            <w:tcW w:w="4126" w:type="dxa"/>
            <w:tcBorders>
              <w:top w:val="single" w:sz="4" w:space="0" w:color="auto"/>
            </w:tcBorders>
            <w:shd w:val="clear" w:color="auto" w:fill="auto"/>
            <w:noWrap/>
            <w:vAlign w:val="center"/>
            <w:hideMark/>
          </w:tcPr>
          <w:p w14:paraId="6EB60BDB"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Variables</w:t>
            </w:r>
          </w:p>
        </w:tc>
        <w:tc>
          <w:tcPr>
            <w:tcW w:w="5103" w:type="dxa"/>
            <w:gridSpan w:val="2"/>
            <w:tcBorders>
              <w:top w:val="single" w:sz="4" w:space="0" w:color="auto"/>
              <w:bottom w:val="single" w:sz="4" w:space="0" w:color="auto"/>
            </w:tcBorders>
            <w:shd w:val="clear" w:color="auto" w:fill="auto"/>
            <w:noWrap/>
            <w:vAlign w:val="center"/>
            <w:hideMark/>
          </w:tcPr>
          <w:p w14:paraId="58F1D388"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Ever personally used NPPSSP</w:t>
            </w:r>
          </w:p>
        </w:tc>
      </w:tr>
      <w:tr w:rsidR="00A2760B" w:rsidRPr="00C356A8" w14:paraId="28DB1912" w14:textId="77777777" w:rsidTr="005E11BB">
        <w:trPr>
          <w:trHeight w:val="283"/>
        </w:trPr>
        <w:tc>
          <w:tcPr>
            <w:tcW w:w="4126" w:type="dxa"/>
            <w:tcBorders>
              <w:bottom w:val="single" w:sz="4" w:space="0" w:color="auto"/>
            </w:tcBorders>
            <w:shd w:val="clear" w:color="auto" w:fill="auto"/>
            <w:noWrap/>
            <w:vAlign w:val="bottom"/>
            <w:hideMark/>
          </w:tcPr>
          <w:p w14:paraId="337BBAEF" w14:textId="77777777" w:rsidR="00A2760B" w:rsidRPr="00C356A8" w:rsidRDefault="00A2760B" w:rsidP="005E11BB">
            <w:pPr>
              <w:rPr>
                <w:rFonts w:asciiTheme="minorHAnsi" w:hAnsiTheme="minorHAnsi" w:cstheme="minorHAnsi"/>
                <w:color w:val="000000"/>
                <w:sz w:val="16"/>
                <w:szCs w:val="16"/>
                <w:lang w:eastAsia="de-DE"/>
              </w:rPr>
            </w:pPr>
          </w:p>
        </w:tc>
        <w:tc>
          <w:tcPr>
            <w:tcW w:w="454" w:type="dxa"/>
            <w:tcBorders>
              <w:top w:val="single" w:sz="4" w:space="0" w:color="auto"/>
              <w:bottom w:val="single" w:sz="4" w:space="0" w:color="auto"/>
            </w:tcBorders>
            <w:shd w:val="clear" w:color="auto" w:fill="auto"/>
            <w:noWrap/>
            <w:vAlign w:val="center"/>
            <w:hideMark/>
          </w:tcPr>
          <w:p w14:paraId="2CBF3EEA"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OR</w:t>
            </w:r>
          </w:p>
        </w:tc>
        <w:tc>
          <w:tcPr>
            <w:tcW w:w="4649" w:type="dxa"/>
            <w:tcBorders>
              <w:top w:val="single" w:sz="4" w:space="0" w:color="auto"/>
              <w:bottom w:val="single" w:sz="4" w:space="0" w:color="auto"/>
            </w:tcBorders>
            <w:vAlign w:val="center"/>
          </w:tcPr>
          <w:p w14:paraId="3FDD538D"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(95% CI)</w:t>
            </w:r>
          </w:p>
        </w:tc>
      </w:tr>
      <w:tr w:rsidR="00A2760B" w:rsidRPr="00C356A8" w14:paraId="548D795A" w14:textId="77777777" w:rsidTr="005E11BB">
        <w:trPr>
          <w:trHeight w:val="227"/>
        </w:trPr>
        <w:tc>
          <w:tcPr>
            <w:tcW w:w="4126" w:type="dxa"/>
            <w:tcBorders>
              <w:top w:val="single" w:sz="4" w:space="0" w:color="auto"/>
            </w:tcBorders>
            <w:shd w:val="clear" w:color="auto" w:fill="auto"/>
            <w:noWrap/>
            <w:vAlign w:val="center"/>
          </w:tcPr>
          <w:p w14:paraId="785DA100" w14:textId="77777777" w:rsidR="00A2760B" w:rsidRPr="00C356A8" w:rsidRDefault="00A2760B" w:rsidP="005E11BB">
            <w:pPr>
              <w:rPr>
                <w:rFonts w:asciiTheme="minorHAnsi" w:hAnsiTheme="minorHAnsi" w:cstheme="minorHAnsi"/>
                <w:bCs/>
                <w:i/>
                <w:color w:val="000000"/>
                <w:sz w:val="16"/>
                <w:szCs w:val="16"/>
                <w:lang w:eastAsia="de-DE"/>
              </w:rPr>
            </w:pPr>
            <w:r w:rsidRPr="00C356A8">
              <w:rPr>
                <w:rFonts w:cstheme="minorHAnsi"/>
                <w:bCs/>
                <w:i/>
                <w:color w:val="000000"/>
                <w:sz w:val="16"/>
                <w:szCs w:val="16"/>
                <w:lang w:eastAsia="de-DE"/>
              </w:rPr>
              <w:t xml:space="preserve">Perceived peer NPPSSP use </w:t>
            </w:r>
          </w:p>
        </w:tc>
        <w:tc>
          <w:tcPr>
            <w:tcW w:w="454" w:type="dxa"/>
            <w:tcBorders>
              <w:top w:val="single" w:sz="4" w:space="0" w:color="auto"/>
            </w:tcBorders>
            <w:shd w:val="clear" w:color="auto" w:fill="auto"/>
            <w:vAlign w:val="center"/>
          </w:tcPr>
          <w:p w14:paraId="3AF6788F"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tcBorders>
              <w:top w:val="single" w:sz="4" w:space="0" w:color="auto"/>
            </w:tcBorders>
            <w:vAlign w:val="center"/>
          </w:tcPr>
          <w:p w14:paraId="1C7BCDA8" w14:textId="77777777" w:rsidR="00A2760B" w:rsidRPr="00C356A8" w:rsidRDefault="00A2760B" w:rsidP="005E11BB">
            <w:pPr>
              <w:rPr>
                <w:rFonts w:cstheme="minorHAnsi"/>
                <w:color w:val="000000"/>
                <w:sz w:val="16"/>
                <w:szCs w:val="16"/>
                <w:lang w:eastAsia="de-DE"/>
              </w:rPr>
            </w:pPr>
          </w:p>
        </w:tc>
      </w:tr>
      <w:tr w:rsidR="00A2760B" w:rsidRPr="00C356A8" w14:paraId="29033BBB" w14:textId="77777777" w:rsidTr="005E11BB">
        <w:trPr>
          <w:trHeight w:val="227"/>
        </w:trPr>
        <w:tc>
          <w:tcPr>
            <w:tcW w:w="4126" w:type="dxa"/>
            <w:shd w:val="clear" w:color="auto" w:fill="auto"/>
            <w:noWrap/>
            <w:vAlign w:val="center"/>
          </w:tcPr>
          <w:p w14:paraId="52754AEF" w14:textId="77777777" w:rsidR="00A2760B" w:rsidRPr="00C356A8" w:rsidRDefault="00A2760B" w:rsidP="005E11BB">
            <w:pPr>
              <w:rPr>
                <w:rFonts w:cstheme="minorHAnsi"/>
                <w:bCs/>
                <w:color w:val="000000"/>
                <w:sz w:val="16"/>
                <w:szCs w:val="16"/>
                <w:lang w:eastAsia="de-DE"/>
              </w:rPr>
            </w:pPr>
            <w:r w:rsidRPr="00C356A8">
              <w:rPr>
                <w:rFonts w:cstheme="minorHAnsi"/>
                <w:bCs/>
                <w:color w:val="000000"/>
                <w:sz w:val="16"/>
                <w:szCs w:val="16"/>
                <w:lang w:eastAsia="de-DE"/>
              </w:rPr>
              <w:t>Never used NPPSSP (reference)</w:t>
            </w:r>
          </w:p>
        </w:tc>
        <w:tc>
          <w:tcPr>
            <w:tcW w:w="454" w:type="dxa"/>
            <w:shd w:val="clear" w:color="auto" w:fill="auto"/>
            <w:vAlign w:val="center"/>
          </w:tcPr>
          <w:p w14:paraId="78C89979"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1.00</w:t>
            </w:r>
          </w:p>
        </w:tc>
        <w:tc>
          <w:tcPr>
            <w:tcW w:w="4649" w:type="dxa"/>
            <w:vAlign w:val="center"/>
          </w:tcPr>
          <w:p w14:paraId="42B4B151" w14:textId="77777777" w:rsidR="00A2760B" w:rsidRPr="00C356A8" w:rsidRDefault="00A2760B" w:rsidP="005E11BB">
            <w:pPr>
              <w:rPr>
                <w:rFonts w:cstheme="minorHAnsi"/>
                <w:color w:val="000000"/>
                <w:sz w:val="16"/>
                <w:szCs w:val="16"/>
                <w:lang w:eastAsia="de-DE"/>
              </w:rPr>
            </w:pPr>
          </w:p>
        </w:tc>
      </w:tr>
      <w:tr w:rsidR="00A2760B" w:rsidRPr="00C356A8" w14:paraId="3384F680" w14:textId="77777777" w:rsidTr="005E11BB">
        <w:trPr>
          <w:trHeight w:val="227"/>
        </w:trPr>
        <w:tc>
          <w:tcPr>
            <w:tcW w:w="4126" w:type="dxa"/>
            <w:shd w:val="clear" w:color="auto" w:fill="auto"/>
            <w:noWrap/>
            <w:vAlign w:val="center"/>
          </w:tcPr>
          <w:p w14:paraId="7C173D76" w14:textId="77777777" w:rsidR="00A2760B" w:rsidRPr="00C356A8" w:rsidRDefault="00A2760B" w:rsidP="005E11BB">
            <w:pPr>
              <w:rPr>
                <w:rFonts w:asciiTheme="minorHAnsi" w:hAnsiTheme="minorHAnsi" w:cstheme="minorHAnsi"/>
                <w:bCs/>
                <w:color w:val="000000"/>
                <w:sz w:val="16"/>
                <w:szCs w:val="16"/>
                <w:lang w:eastAsia="de-DE"/>
              </w:rPr>
            </w:pPr>
            <w:r w:rsidRPr="00C356A8">
              <w:rPr>
                <w:rFonts w:cstheme="minorHAnsi"/>
                <w:bCs/>
                <w:color w:val="000000"/>
                <w:sz w:val="16"/>
                <w:szCs w:val="16"/>
                <w:lang w:eastAsia="de-DE"/>
              </w:rPr>
              <w:t>Ever used NPPSSP</w:t>
            </w:r>
          </w:p>
        </w:tc>
        <w:tc>
          <w:tcPr>
            <w:tcW w:w="454" w:type="dxa"/>
            <w:shd w:val="clear" w:color="auto" w:fill="auto"/>
            <w:vAlign w:val="center"/>
          </w:tcPr>
          <w:p w14:paraId="229DD17A"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1.95</w:t>
            </w:r>
          </w:p>
        </w:tc>
        <w:tc>
          <w:tcPr>
            <w:tcW w:w="4649" w:type="dxa"/>
            <w:vAlign w:val="center"/>
          </w:tcPr>
          <w:p w14:paraId="1B7A07AB"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(1.49-2.55)</w:t>
            </w:r>
          </w:p>
        </w:tc>
      </w:tr>
      <w:tr w:rsidR="00A2760B" w:rsidRPr="00C356A8" w14:paraId="5F69F751" w14:textId="77777777" w:rsidTr="005E11BB">
        <w:trPr>
          <w:trHeight w:val="227"/>
        </w:trPr>
        <w:tc>
          <w:tcPr>
            <w:tcW w:w="4126" w:type="dxa"/>
            <w:shd w:val="clear" w:color="auto" w:fill="auto"/>
            <w:noWrap/>
            <w:vAlign w:val="center"/>
          </w:tcPr>
          <w:p w14:paraId="0EF15C01" w14:textId="77777777" w:rsidR="00A2760B" w:rsidRPr="00C356A8" w:rsidRDefault="00A2760B" w:rsidP="005E11BB">
            <w:pPr>
              <w:rPr>
                <w:rFonts w:cstheme="minorHAnsi"/>
                <w:bCs/>
                <w:color w:val="000000"/>
                <w:sz w:val="16"/>
                <w:szCs w:val="16"/>
                <w:lang w:eastAsia="de-DE"/>
              </w:rPr>
            </w:pPr>
          </w:p>
        </w:tc>
        <w:tc>
          <w:tcPr>
            <w:tcW w:w="454" w:type="dxa"/>
            <w:shd w:val="clear" w:color="auto" w:fill="auto"/>
            <w:vAlign w:val="center"/>
          </w:tcPr>
          <w:p w14:paraId="5C633B1F"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65E00D45" w14:textId="77777777" w:rsidR="00A2760B" w:rsidRPr="00C356A8" w:rsidRDefault="00A2760B" w:rsidP="005E11BB">
            <w:pPr>
              <w:rPr>
                <w:rFonts w:cstheme="minorHAnsi"/>
                <w:color w:val="000000"/>
                <w:sz w:val="16"/>
                <w:szCs w:val="16"/>
                <w:lang w:eastAsia="de-DE"/>
              </w:rPr>
            </w:pPr>
          </w:p>
        </w:tc>
      </w:tr>
      <w:tr w:rsidR="00A2760B" w:rsidRPr="00C356A8" w14:paraId="365F3428" w14:textId="77777777" w:rsidTr="005E11BB">
        <w:trPr>
          <w:trHeight w:val="227"/>
        </w:trPr>
        <w:tc>
          <w:tcPr>
            <w:tcW w:w="4126" w:type="dxa"/>
            <w:shd w:val="clear" w:color="auto" w:fill="auto"/>
            <w:noWrap/>
            <w:vAlign w:val="center"/>
          </w:tcPr>
          <w:p w14:paraId="7F41C3CD" w14:textId="77777777" w:rsidR="00A2760B" w:rsidRPr="00C356A8" w:rsidRDefault="00A2760B" w:rsidP="005E11BB">
            <w:pPr>
              <w:rPr>
                <w:rFonts w:cstheme="minorHAnsi"/>
                <w:bCs/>
                <w:i/>
                <w:color w:val="000000"/>
                <w:sz w:val="16"/>
                <w:szCs w:val="16"/>
                <w:lang w:eastAsia="de-DE"/>
              </w:rPr>
            </w:pPr>
            <w:r w:rsidRPr="00C356A8">
              <w:rPr>
                <w:rFonts w:cstheme="minorHAnsi"/>
                <w:bCs/>
                <w:i/>
                <w:color w:val="000000"/>
                <w:sz w:val="16"/>
                <w:szCs w:val="16"/>
                <w:lang w:eastAsia="de-DE"/>
              </w:rPr>
              <w:t>Personal attitude towards NPPSSP use</w:t>
            </w:r>
          </w:p>
        </w:tc>
        <w:tc>
          <w:tcPr>
            <w:tcW w:w="454" w:type="dxa"/>
            <w:shd w:val="clear" w:color="auto" w:fill="auto"/>
            <w:vAlign w:val="center"/>
          </w:tcPr>
          <w:p w14:paraId="19018676"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6A90216D" w14:textId="77777777" w:rsidR="00A2760B" w:rsidRPr="00C356A8" w:rsidRDefault="00A2760B" w:rsidP="005E11BB">
            <w:pPr>
              <w:rPr>
                <w:rFonts w:cstheme="minorHAnsi"/>
                <w:color w:val="000000"/>
                <w:sz w:val="16"/>
                <w:szCs w:val="16"/>
                <w:lang w:eastAsia="de-DE"/>
              </w:rPr>
            </w:pPr>
          </w:p>
        </w:tc>
      </w:tr>
      <w:tr w:rsidR="00A2760B" w:rsidRPr="00C356A8" w14:paraId="3F9F4D25" w14:textId="77777777" w:rsidTr="005E11BB">
        <w:trPr>
          <w:trHeight w:val="227"/>
        </w:trPr>
        <w:tc>
          <w:tcPr>
            <w:tcW w:w="4126" w:type="dxa"/>
            <w:shd w:val="clear" w:color="auto" w:fill="auto"/>
            <w:noWrap/>
            <w:vAlign w:val="center"/>
          </w:tcPr>
          <w:p w14:paraId="7D60A909" w14:textId="77777777" w:rsidR="00A2760B" w:rsidRPr="00C356A8" w:rsidRDefault="00A2760B" w:rsidP="005E11BB">
            <w:pPr>
              <w:jc w:val="both"/>
              <w:rPr>
                <w:rFonts w:cstheme="minorHAnsi"/>
                <w:bCs/>
                <w:color w:val="000000"/>
                <w:sz w:val="16"/>
                <w:szCs w:val="16"/>
                <w:lang w:eastAsia="de-DE"/>
              </w:rPr>
            </w:pPr>
            <w:r w:rsidRPr="00C356A8">
              <w:rPr>
                <w:rFonts w:cstheme="minorHAnsi"/>
                <w:bCs/>
                <w:color w:val="000000"/>
                <w:sz w:val="16"/>
                <w:szCs w:val="16"/>
                <w:lang w:eastAsia="de-DE"/>
              </w:rPr>
              <w:t>Never ok to use NPPSSP (reference)</w:t>
            </w:r>
          </w:p>
        </w:tc>
        <w:tc>
          <w:tcPr>
            <w:tcW w:w="454" w:type="dxa"/>
            <w:shd w:val="clear" w:color="auto" w:fill="auto"/>
            <w:vAlign w:val="center"/>
          </w:tcPr>
          <w:p w14:paraId="0041BB8E"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1.00</w:t>
            </w:r>
          </w:p>
        </w:tc>
        <w:tc>
          <w:tcPr>
            <w:tcW w:w="4649" w:type="dxa"/>
            <w:vAlign w:val="center"/>
          </w:tcPr>
          <w:p w14:paraId="74C4DEAB" w14:textId="77777777" w:rsidR="00A2760B" w:rsidRPr="00C356A8" w:rsidRDefault="00A2760B" w:rsidP="005E11BB">
            <w:pPr>
              <w:rPr>
                <w:rFonts w:cstheme="minorHAnsi"/>
                <w:color w:val="000000"/>
                <w:sz w:val="16"/>
                <w:szCs w:val="16"/>
                <w:lang w:eastAsia="de-DE"/>
              </w:rPr>
            </w:pPr>
          </w:p>
        </w:tc>
      </w:tr>
      <w:tr w:rsidR="00A2760B" w:rsidRPr="00C356A8" w14:paraId="36F0D2F8" w14:textId="77777777" w:rsidTr="005E11BB">
        <w:trPr>
          <w:trHeight w:val="227"/>
        </w:trPr>
        <w:tc>
          <w:tcPr>
            <w:tcW w:w="4126" w:type="dxa"/>
            <w:shd w:val="clear" w:color="auto" w:fill="auto"/>
            <w:noWrap/>
            <w:vAlign w:val="center"/>
          </w:tcPr>
          <w:p w14:paraId="5D5F5271" w14:textId="77777777" w:rsidR="00A2760B" w:rsidRPr="00C356A8" w:rsidRDefault="00A2760B" w:rsidP="005E11BB">
            <w:pPr>
              <w:jc w:val="both"/>
              <w:rPr>
                <w:rFonts w:cstheme="minorHAnsi"/>
                <w:bCs/>
                <w:color w:val="000000"/>
                <w:sz w:val="16"/>
                <w:szCs w:val="16"/>
                <w:vertAlign w:val="superscript"/>
                <w:lang w:eastAsia="de-DE"/>
              </w:rPr>
            </w:pPr>
            <w:r w:rsidRPr="00C356A8">
              <w:rPr>
                <w:rFonts w:cstheme="minorHAnsi"/>
                <w:bCs/>
                <w:color w:val="000000"/>
                <w:sz w:val="16"/>
                <w:szCs w:val="16"/>
                <w:lang w:eastAsia="de-DE"/>
              </w:rPr>
              <w:t xml:space="preserve">Ok to use </w:t>
            </w:r>
            <w:proofErr w:type="spellStart"/>
            <w:r w:rsidRPr="00C356A8">
              <w:rPr>
                <w:rFonts w:cstheme="minorHAnsi"/>
                <w:bCs/>
                <w:color w:val="000000"/>
                <w:sz w:val="16"/>
                <w:szCs w:val="16"/>
                <w:lang w:eastAsia="de-DE"/>
              </w:rPr>
              <w:t>NPPSSP</w:t>
            </w:r>
            <w:r w:rsidRPr="00C356A8">
              <w:rPr>
                <w:rFonts w:cstheme="minorHAnsi"/>
                <w:bCs/>
                <w:color w:val="000000"/>
                <w:sz w:val="16"/>
                <w:szCs w:val="16"/>
                <w:vertAlign w:val="superscript"/>
                <w:lang w:eastAsia="de-DE"/>
              </w:rPr>
              <w:t>a</w:t>
            </w:r>
            <w:proofErr w:type="spellEnd"/>
          </w:p>
        </w:tc>
        <w:tc>
          <w:tcPr>
            <w:tcW w:w="454" w:type="dxa"/>
            <w:shd w:val="clear" w:color="auto" w:fill="auto"/>
            <w:vAlign w:val="center"/>
          </w:tcPr>
          <w:p w14:paraId="2CEA9643"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7.42</w:t>
            </w:r>
          </w:p>
        </w:tc>
        <w:tc>
          <w:tcPr>
            <w:tcW w:w="4649" w:type="dxa"/>
            <w:vAlign w:val="center"/>
          </w:tcPr>
          <w:p w14:paraId="3E9360AE"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(5.81-9.49)</w:t>
            </w:r>
          </w:p>
        </w:tc>
      </w:tr>
      <w:tr w:rsidR="00A2760B" w:rsidRPr="00C356A8" w14:paraId="492E6776" w14:textId="77777777" w:rsidTr="005E11BB">
        <w:trPr>
          <w:trHeight w:val="57"/>
        </w:trPr>
        <w:tc>
          <w:tcPr>
            <w:tcW w:w="4126" w:type="dxa"/>
            <w:shd w:val="clear" w:color="auto" w:fill="auto"/>
            <w:noWrap/>
            <w:vAlign w:val="center"/>
            <w:hideMark/>
          </w:tcPr>
          <w:p w14:paraId="4FDA532D" w14:textId="77777777" w:rsidR="00A2760B" w:rsidRPr="00C356A8" w:rsidRDefault="00A2760B" w:rsidP="005E11BB">
            <w:pPr>
              <w:rPr>
                <w:rFonts w:asciiTheme="minorHAnsi" w:hAnsiTheme="minorHAnsi" w:cstheme="minorHAnsi"/>
                <w:bCs/>
                <w:i/>
                <w:color w:val="000000"/>
                <w:sz w:val="16"/>
                <w:szCs w:val="16"/>
                <w:lang w:eastAsia="de-DE"/>
              </w:rPr>
            </w:pPr>
          </w:p>
        </w:tc>
        <w:tc>
          <w:tcPr>
            <w:tcW w:w="454" w:type="dxa"/>
            <w:shd w:val="clear" w:color="auto" w:fill="auto"/>
            <w:vAlign w:val="center"/>
            <w:hideMark/>
          </w:tcPr>
          <w:p w14:paraId="05B5D272"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2B5724E0" w14:textId="77777777" w:rsidR="00A2760B" w:rsidRPr="00C356A8" w:rsidRDefault="00A2760B" w:rsidP="005E11BB">
            <w:pPr>
              <w:rPr>
                <w:rFonts w:cstheme="minorHAnsi"/>
                <w:color w:val="000000"/>
                <w:sz w:val="16"/>
                <w:szCs w:val="16"/>
                <w:lang w:eastAsia="de-DE"/>
              </w:rPr>
            </w:pPr>
          </w:p>
        </w:tc>
      </w:tr>
      <w:tr w:rsidR="00A2760B" w:rsidRPr="00C356A8" w14:paraId="09AE9BA2" w14:textId="77777777" w:rsidTr="005E11BB">
        <w:trPr>
          <w:trHeight w:val="227"/>
        </w:trPr>
        <w:tc>
          <w:tcPr>
            <w:tcW w:w="4126" w:type="dxa"/>
            <w:shd w:val="clear" w:color="auto" w:fill="auto"/>
            <w:noWrap/>
            <w:vAlign w:val="center"/>
            <w:hideMark/>
          </w:tcPr>
          <w:p w14:paraId="1443FBA7" w14:textId="77777777" w:rsidR="00A2760B" w:rsidRPr="00C356A8" w:rsidRDefault="00A2760B" w:rsidP="005E11BB">
            <w:pPr>
              <w:rPr>
                <w:rFonts w:asciiTheme="minorHAnsi" w:hAnsiTheme="minorHAnsi" w:cstheme="minorHAnsi"/>
                <w:i/>
                <w:color w:val="000000"/>
                <w:sz w:val="16"/>
                <w:szCs w:val="16"/>
                <w:lang w:eastAsia="de-DE"/>
              </w:rPr>
            </w:pPr>
            <w:r w:rsidRPr="00C356A8">
              <w:rPr>
                <w:rFonts w:cstheme="minorHAnsi"/>
                <w:i/>
                <w:color w:val="000000"/>
                <w:sz w:val="16"/>
                <w:szCs w:val="16"/>
                <w:lang w:eastAsia="de-DE"/>
              </w:rPr>
              <w:t>Country</w:t>
            </w:r>
          </w:p>
        </w:tc>
        <w:tc>
          <w:tcPr>
            <w:tcW w:w="454" w:type="dxa"/>
            <w:shd w:val="clear" w:color="auto" w:fill="auto"/>
            <w:vAlign w:val="center"/>
            <w:hideMark/>
          </w:tcPr>
          <w:p w14:paraId="0F19EAB8"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704E5F65" w14:textId="77777777" w:rsidR="00A2760B" w:rsidRPr="00C356A8" w:rsidRDefault="00A2760B" w:rsidP="005E11BB">
            <w:pPr>
              <w:rPr>
                <w:rFonts w:cstheme="minorHAnsi"/>
                <w:color w:val="000000"/>
                <w:sz w:val="16"/>
                <w:szCs w:val="16"/>
                <w:lang w:eastAsia="de-DE"/>
              </w:rPr>
            </w:pPr>
          </w:p>
        </w:tc>
      </w:tr>
      <w:tr w:rsidR="00A2760B" w:rsidRPr="00C356A8" w14:paraId="67B5A01A" w14:textId="77777777" w:rsidTr="005E11BB">
        <w:trPr>
          <w:trHeight w:val="227"/>
        </w:trPr>
        <w:tc>
          <w:tcPr>
            <w:tcW w:w="4126" w:type="dxa"/>
            <w:shd w:val="clear" w:color="auto" w:fill="auto"/>
            <w:noWrap/>
            <w:vAlign w:val="center"/>
            <w:hideMark/>
          </w:tcPr>
          <w:p w14:paraId="0A954596"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Slovak Republic (reference)</w:t>
            </w:r>
          </w:p>
        </w:tc>
        <w:tc>
          <w:tcPr>
            <w:tcW w:w="454" w:type="dxa"/>
            <w:shd w:val="clear" w:color="auto" w:fill="auto"/>
            <w:vAlign w:val="center"/>
            <w:hideMark/>
          </w:tcPr>
          <w:p w14:paraId="1B9B33A8"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1.00</w:t>
            </w:r>
          </w:p>
        </w:tc>
        <w:tc>
          <w:tcPr>
            <w:tcW w:w="4649" w:type="dxa"/>
            <w:vAlign w:val="center"/>
          </w:tcPr>
          <w:p w14:paraId="2C19754C" w14:textId="77777777" w:rsidR="00A2760B" w:rsidRPr="00C356A8" w:rsidRDefault="00A2760B" w:rsidP="005E11BB">
            <w:pPr>
              <w:rPr>
                <w:rFonts w:cstheme="minorHAnsi"/>
                <w:color w:val="000000"/>
                <w:sz w:val="16"/>
                <w:szCs w:val="16"/>
                <w:lang w:eastAsia="de-DE"/>
              </w:rPr>
            </w:pPr>
          </w:p>
        </w:tc>
      </w:tr>
      <w:tr w:rsidR="00A2760B" w:rsidRPr="00C356A8" w14:paraId="3EC05724" w14:textId="77777777" w:rsidTr="005E11BB">
        <w:trPr>
          <w:trHeight w:val="227"/>
        </w:trPr>
        <w:tc>
          <w:tcPr>
            <w:tcW w:w="4126" w:type="dxa"/>
            <w:shd w:val="clear" w:color="auto" w:fill="auto"/>
            <w:noWrap/>
            <w:vAlign w:val="center"/>
            <w:hideMark/>
          </w:tcPr>
          <w:p w14:paraId="3DCBE7D4"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Belgium</w:t>
            </w:r>
          </w:p>
        </w:tc>
        <w:tc>
          <w:tcPr>
            <w:tcW w:w="454" w:type="dxa"/>
            <w:shd w:val="clear" w:color="auto" w:fill="auto"/>
            <w:vAlign w:val="center"/>
            <w:hideMark/>
          </w:tcPr>
          <w:p w14:paraId="52897673"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0.24</w:t>
            </w:r>
          </w:p>
        </w:tc>
        <w:tc>
          <w:tcPr>
            <w:tcW w:w="4649" w:type="dxa"/>
            <w:vAlign w:val="center"/>
          </w:tcPr>
          <w:p w14:paraId="7E91E9B9"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(0.14-0.43)</w:t>
            </w:r>
          </w:p>
        </w:tc>
      </w:tr>
      <w:tr w:rsidR="00A2760B" w:rsidRPr="00C356A8" w14:paraId="180C06A1" w14:textId="77777777" w:rsidTr="005E11BB">
        <w:trPr>
          <w:trHeight w:val="227"/>
        </w:trPr>
        <w:tc>
          <w:tcPr>
            <w:tcW w:w="4126" w:type="dxa"/>
            <w:shd w:val="clear" w:color="auto" w:fill="auto"/>
            <w:noWrap/>
            <w:vAlign w:val="center"/>
            <w:hideMark/>
          </w:tcPr>
          <w:p w14:paraId="73DBE05C"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Denmark</w:t>
            </w:r>
          </w:p>
        </w:tc>
        <w:tc>
          <w:tcPr>
            <w:tcW w:w="454" w:type="dxa"/>
            <w:shd w:val="clear" w:color="auto" w:fill="auto"/>
            <w:vAlign w:val="center"/>
            <w:hideMark/>
          </w:tcPr>
          <w:p w14:paraId="553B12EC"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0.32</w:t>
            </w:r>
          </w:p>
        </w:tc>
        <w:tc>
          <w:tcPr>
            <w:tcW w:w="4649" w:type="dxa"/>
            <w:vAlign w:val="center"/>
          </w:tcPr>
          <w:p w14:paraId="5651B7FB"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(0.20-0.52)</w:t>
            </w:r>
          </w:p>
        </w:tc>
      </w:tr>
      <w:tr w:rsidR="00A2760B" w:rsidRPr="00C356A8" w14:paraId="02FCAA13" w14:textId="77777777" w:rsidTr="005E11BB">
        <w:trPr>
          <w:trHeight w:val="227"/>
        </w:trPr>
        <w:tc>
          <w:tcPr>
            <w:tcW w:w="4126" w:type="dxa"/>
            <w:shd w:val="clear" w:color="auto" w:fill="auto"/>
            <w:noWrap/>
            <w:vAlign w:val="center"/>
          </w:tcPr>
          <w:p w14:paraId="20671E4A" w14:textId="77777777" w:rsidR="00A2760B" w:rsidRPr="00C356A8" w:rsidRDefault="00A2760B" w:rsidP="005E11BB">
            <w:pPr>
              <w:rPr>
                <w:rFonts w:asciiTheme="minorHAnsi" w:hAnsiTheme="minorHAnsi" w:cstheme="minorHAnsi"/>
                <w:bCs/>
                <w:color w:val="000000"/>
                <w:sz w:val="16"/>
                <w:szCs w:val="16"/>
                <w:lang w:eastAsia="de-DE"/>
              </w:rPr>
            </w:pPr>
            <w:r w:rsidRPr="00C356A8">
              <w:rPr>
                <w:rFonts w:cstheme="minorHAnsi"/>
                <w:bCs/>
                <w:color w:val="000000"/>
                <w:sz w:val="16"/>
                <w:szCs w:val="16"/>
                <w:lang w:eastAsia="de-DE"/>
              </w:rPr>
              <w:t>Germany</w:t>
            </w:r>
          </w:p>
        </w:tc>
        <w:tc>
          <w:tcPr>
            <w:tcW w:w="454" w:type="dxa"/>
            <w:shd w:val="clear" w:color="auto" w:fill="auto"/>
            <w:vAlign w:val="center"/>
          </w:tcPr>
          <w:p w14:paraId="2F01C185"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0.47</w:t>
            </w:r>
          </w:p>
        </w:tc>
        <w:tc>
          <w:tcPr>
            <w:tcW w:w="4649" w:type="dxa"/>
            <w:vAlign w:val="center"/>
          </w:tcPr>
          <w:p w14:paraId="7169CD7A"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(0.32-0.70)</w:t>
            </w:r>
          </w:p>
        </w:tc>
      </w:tr>
      <w:tr w:rsidR="00A2760B" w:rsidRPr="00C356A8" w14:paraId="2F165CE6" w14:textId="77777777" w:rsidTr="005E11BB">
        <w:trPr>
          <w:trHeight w:val="227"/>
        </w:trPr>
        <w:tc>
          <w:tcPr>
            <w:tcW w:w="4126" w:type="dxa"/>
            <w:shd w:val="clear" w:color="auto" w:fill="auto"/>
            <w:noWrap/>
            <w:vAlign w:val="center"/>
            <w:hideMark/>
          </w:tcPr>
          <w:p w14:paraId="32154BD5" w14:textId="77777777" w:rsidR="00A2760B" w:rsidRPr="00C356A8" w:rsidRDefault="00A2760B" w:rsidP="005E11BB">
            <w:pPr>
              <w:rPr>
                <w:rFonts w:asciiTheme="minorHAnsi" w:hAnsiTheme="minorHAnsi" w:cstheme="minorHAnsi"/>
                <w:bCs/>
                <w:color w:val="000000"/>
                <w:sz w:val="16"/>
                <w:szCs w:val="16"/>
                <w:lang w:eastAsia="de-DE"/>
              </w:rPr>
            </w:pPr>
            <w:r w:rsidRPr="00C356A8">
              <w:rPr>
                <w:rFonts w:cstheme="minorHAnsi"/>
                <w:bCs/>
                <w:color w:val="000000"/>
                <w:sz w:val="16"/>
                <w:szCs w:val="16"/>
                <w:lang w:eastAsia="de-DE"/>
              </w:rPr>
              <w:t>Spain</w:t>
            </w:r>
          </w:p>
        </w:tc>
        <w:tc>
          <w:tcPr>
            <w:tcW w:w="454" w:type="dxa"/>
            <w:shd w:val="clear" w:color="auto" w:fill="auto"/>
            <w:vAlign w:val="center"/>
            <w:hideMark/>
          </w:tcPr>
          <w:p w14:paraId="760AF54E"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0.70</w:t>
            </w:r>
          </w:p>
        </w:tc>
        <w:tc>
          <w:tcPr>
            <w:tcW w:w="4649" w:type="dxa"/>
            <w:vAlign w:val="center"/>
          </w:tcPr>
          <w:p w14:paraId="1D71BAC2"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(0.41-1.22)</w:t>
            </w:r>
          </w:p>
        </w:tc>
      </w:tr>
      <w:tr w:rsidR="00A2760B" w:rsidRPr="00C356A8" w14:paraId="1CECCF42" w14:textId="77777777" w:rsidTr="005E11BB">
        <w:trPr>
          <w:trHeight w:val="227"/>
        </w:trPr>
        <w:tc>
          <w:tcPr>
            <w:tcW w:w="4126" w:type="dxa"/>
            <w:shd w:val="clear" w:color="auto" w:fill="auto"/>
            <w:noWrap/>
            <w:vAlign w:val="center"/>
          </w:tcPr>
          <w:p w14:paraId="07F6B4C8"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Turkey</w:t>
            </w:r>
          </w:p>
        </w:tc>
        <w:tc>
          <w:tcPr>
            <w:tcW w:w="454" w:type="dxa"/>
            <w:shd w:val="clear" w:color="auto" w:fill="auto"/>
            <w:vAlign w:val="center"/>
          </w:tcPr>
          <w:p w14:paraId="1E820C3D"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0.99</w:t>
            </w:r>
          </w:p>
        </w:tc>
        <w:tc>
          <w:tcPr>
            <w:tcW w:w="4649" w:type="dxa"/>
            <w:vAlign w:val="center"/>
          </w:tcPr>
          <w:p w14:paraId="7E1C40BF"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(0.70-1.40)</w:t>
            </w:r>
          </w:p>
        </w:tc>
      </w:tr>
      <w:tr w:rsidR="00A2760B" w:rsidRPr="00C356A8" w14:paraId="506183BC" w14:textId="77777777" w:rsidTr="005E11BB">
        <w:trPr>
          <w:trHeight w:val="227"/>
        </w:trPr>
        <w:tc>
          <w:tcPr>
            <w:tcW w:w="4126" w:type="dxa"/>
            <w:shd w:val="clear" w:color="auto" w:fill="auto"/>
            <w:noWrap/>
            <w:vAlign w:val="center"/>
            <w:hideMark/>
          </w:tcPr>
          <w:p w14:paraId="43D7D1CC"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UK</w:t>
            </w:r>
          </w:p>
        </w:tc>
        <w:tc>
          <w:tcPr>
            <w:tcW w:w="454" w:type="dxa"/>
            <w:shd w:val="clear" w:color="auto" w:fill="auto"/>
            <w:vAlign w:val="center"/>
            <w:hideMark/>
          </w:tcPr>
          <w:p w14:paraId="49984923"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1.01</w:t>
            </w:r>
          </w:p>
        </w:tc>
        <w:tc>
          <w:tcPr>
            <w:tcW w:w="4649" w:type="dxa"/>
            <w:vAlign w:val="center"/>
          </w:tcPr>
          <w:p w14:paraId="723AAF3C"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(0.52-1.94)</w:t>
            </w:r>
          </w:p>
        </w:tc>
      </w:tr>
      <w:tr w:rsidR="00A2760B" w:rsidRPr="00C356A8" w14:paraId="0C1DC777" w14:textId="77777777" w:rsidTr="005E11BB">
        <w:trPr>
          <w:trHeight w:val="57"/>
        </w:trPr>
        <w:tc>
          <w:tcPr>
            <w:tcW w:w="4126" w:type="dxa"/>
            <w:shd w:val="clear" w:color="auto" w:fill="auto"/>
            <w:noWrap/>
            <w:vAlign w:val="center"/>
          </w:tcPr>
          <w:p w14:paraId="4807B590" w14:textId="77777777" w:rsidR="00A2760B" w:rsidRPr="00C356A8" w:rsidRDefault="00A2760B" w:rsidP="005E11BB">
            <w:pPr>
              <w:rPr>
                <w:rFonts w:asciiTheme="minorHAnsi" w:hAnsiTheme="minorHAnsi" w:cstheme="minorHAnsi"/>
                <w:i/>
                <w:color w:val="000000"/>
                <w:sz w:val="16"/>
                <w:szCs w:val="16"/>
                <w:lang w:eastAsia="de-DE"/>
              </w:rPr>
            </w:pPr>
          </w:p>
        </w:tc>
        <w:tc>
          <w:tcPr>
            <w:tcW w:w="454" w:type="dxa"/>
            <w:shd w:val="clear" w:color="auto" w:fill="auto"/>
            <w:vAlign w:val="center"/>
          </w:tcPr>
          <w:p w14:paraId="6ACD2F39"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5C999CB6" w14:textId="77777777" w:rsidR="00A2760B" w:rsidRPr="00C356A8" w:rsidRDefault="00A2760B" w:rsidP="005E11BB">
            <w:pPr>
              <w:rPr>
                <w:rFonts w:cstheme="minorHAnsi"/>
                <w:color w:val="000000"/>
                <w:sz w:val="16"/>
                <w:szCs w:val="16"/>
                <w:lang w:eastAsia="de-DE"/>
              </w:rPr>
            </w:pPr>
          </w:p>
        </w:tc>
      </w:tr>
      <w:tr w:rsidR="00A2760B" w:rsidRPr="00C356A8" w14:paraId="6527CA85" w14:textId="77777777" w:rsidTr="005E11BB">
        <w:trPr>
          <w:trHeight w:val="227"/>
        </w:trPr>
        <w:tc>
          <w:tcPr>
            <w:tcW w:w="4126" w:type="dxa"/>
            <w:shd w:val="clear" w:color="auto" w:fill="auto"/>
            <w:noWrap/>
            <w:vAlign w:val="center"/>
            <w:hideMark/>
          </w:tcPr>
          <w:p w14:paraId="6D79CF6F"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Age (in years)</w:t>
            </w:r>
          </w:p>
        </w:tc>
        <w:tc>
          <w:tcPr>
            <w:tcW w:w="454" w:type="dxa"/>
            <w:shd w:val="clear" w:color="auto" w:fill="auto"/>
            <w:vAlign w:val="center"/>
            <w:hideMark/>
          </w:tcPr>
          <w:p w14:paraId="7517BFCB"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1.04</w:t>
            </w:r>
          </w:p>
        </w:tc>
        <w:tc>
          <w:tcPr>
            <w:tcW w:w="4649" w:type="dxa"/>
            <w:vAlign w:val="center"/>
          </w:tcPr>
          <w:p w14:paraId="2B25D34C"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(1.01-1.07)</w:t>
            </w:r>
          </w:p>
        </w:tc>
      </w:tr>
      <w:tr w:rsidR="00A2760B" w:rsidRPr="00C356A8" w14:paraId="5D4CFFE9" w14:textId="77777777" w:rsidTr="005E11BB">
        <w:trPr>
          <w:trHeight w:val="57"/>
        </w:trPr>
        <w:tc>
          <w:tcPr>
            <w:tcW w:w="4126" w:type="dxa"/>
            <w:shd w:val="clear" w:color="auto" w:fill="auto"/>
            <w:noWrap/>
            <w:vAlign w:val="center"/>
          </w:tcPr>
          <w:p w14:paraId="42914E32" w14:textId="77777777" w:rsidR="00A2760B" w:rsidRPr="00C356A8" w:rsidRDefault="00A2760B" w:rsidP="005E11BB">
            <w:pPr>
              <w:rPr>
                <w:rFonts w:cstheme="minorHAnsi"/>
                <w:color w:val="000000"/>
                <w:sz w:val="16"/>
                <w:szCs w:val="16"/>
                <w:lang w:eastAsia="de-DE"/>
              </w:rPr>
            </w:pPr>
          </w:p>
        </w:tc>
        <w:tc>
          <w:tcPr>
            <w:tcW w:w="454" w:type="dxa"/>
            <w:shd w:val="clear" w:color="auto" w:fill="auto"/>
            <w:vAlign w:val="center"/>
          </w:tcPr>
          <w:p w14:paraId="5B71B3FF"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341323B1" w14:textId="77777777" w:rsidR="00A2760B" w:rsidRPr="00C356A8" w:rsidRDefault="00A2760B" w:rsidP="005E11BB">
            <w:pPr>
              <w:rPr>
                <w:rFonts w:cstheme="minorHAnsi"/>
                <w:color w:val="000000"/>
                <w:sz w:val="16"/>
                <w:szCs w:val="16"/>
                <w:lang w:eastAsia="de-DE"/>
              </w:rPr>
            </w:pPr>
          </w:p>
        </w:tc>
      </w:tr>
      <w:tr w:rsidR="00A2760B" w:rsidRPr="00C356A8" w14:paraId="2051C2A6" w14:textId="77777777" w:rsidTr="005E11BB">
        <w:trPr>
          <w:trHeight w:val="227"/>
        </w:trPr>
        <w:tc>
          <w:tcPr>
            <w:tcW w:w="4126" w:type="dxa"/>
            <w:shd w:val="clear" w:color="auto" w:fill="auto"/>
            <w:noWrap/>
            <w:vAlign w:val="center"/>
            <w:hideMark/>
          </w:tcPr>
          <w:p w14:paraId="6E0279D7" w14:textId="77777777" w:rsidR="00A2760B" w:rsidRPr="00C356A8" w:rsidRDefault="00A2760B" w:rsidP="005E11BB">
            <w:pPr>
              <w:rPr>
                <w:rFonts w:asciiTheme="minorHAnsi" w:hAnsiTheme="minorHAnsi" w:cstheme="minorHAnsi"/>
                <w:i/>
                <w:color w:val="000000"/>
                <w:sz w:val="16"/>
                <w:szCs w:val="16"/>
                <w:lang w:eastAsia="de-DE"/>
              </w:rPr>
            </w:pPr>
            <w:r w:rsidRPr="00C356A8">
              <w:rPr>
                <w:rFonts w:cstheme="minorHAnsi"/>
                <w:i/>
                <w:color w:val="000000"/>
                <w:sz w:val="16"/>
                <w:szCs w:val="16"/>
                <w:lang w:eastAsia="de-DE"/>
              </w:rPr>
              <w:t>Sex</w:t>
            </w:r>
          </w:p>
        </w:tc>
        <w:tc>
          <w:tcPr>
            <w:tcW w:w="454" w:type="dxa"/>
            <w:shd w:val="clear" w:color="auto" w:fill="auto"/>
            <w:vAlign w:val="center"/>
            <w:hideMark/>
          </w:tcPr>
          <w:p w14:paraId="70091208"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2705B086" w14:textId="77777777" w:rsidR="00A2760B" w:rsidRPr="00C356A8" w:rsidRDefault="00A2760B" w:rsidP="005E11BB">
            <w:pPr>
              <w:rPr>
                <w:rFonts w:cstheme="minorHAnsi"/>
                <w:color w:val="000000"/>
                <w:sz w:val="16"/>
                <w:szCs w:val="16"/>
                <w:lang w:eastAsia="de-DE"/>
              </w:rPr>
            </w:pPr>
          </w:p>
        </w:tc>
      </w:tr>
      <w:tr w:rsidR="00A2760B" w:rsidRPr="00C356A8" w14:paraId="5D1C66E2" w14:textId="77777777" w:rsidTr="005E11BB">
        <w:trPr>
          <w:trHeight w:val="227"/>
        </w:trPr>
        <w:tc>
          <w:tcPr>
            <w:tcW w:w="4126" w:type="dxa"/>
            <w:shd w:val="clear" w:color="auto" w:fill="auto"/>
            <w:noWrap/>
            <w:vAlign w:val="center"/>
            <w:hideMark/>
          </w:tcPr>
          <w:p w14:paraId="7BA51618" w14:textId="77777777" w:rsidR="00A2760B" w:rsidRPr="00C356A8" w:rsidRDefault="00A2760B" w:rsidP="005E11BB">
            <w:pPr>
              <w:rPr>
                <w:rFonts w:asciiTheme="minorHAnsi" w:hAnsiTheme="minorHAnsi" w:cstheme="minorHAnsi"/>
                <w:bCs/>
                <w:color w:val="000000"/>
                <w:sz w:val="16"/>
                <w:szCs w:val="16"/>
                <w:lang w:eastAsia="de-DE"/>
              </w:rPr>
            </w:pPr>
            <w:r w:rsidRPr="00C356A8">
              <w:rPr>
                <w:rFonts w:cstheme="minorHAnsi"/>
                <w:bCs/>
                <w:color w:val="000000"/>
                <w:sz w:val="16"/>
                <w:szCs w:val="16"/>
                <w:lang w:eastAsia="de-DE"/>
              </w:rPr>
              <w:t>Female (reference)</w:t>
            </w:r>
          </w:p>
        </w:tc>
        <w:tc>
          <w:tcPr>
            <w:tcW w:w="454" w:type="dxa"/>
            <w:shd w:val="clear" w:color="auto" w:fill="auto"/>
            <w:noWrap/>
            <w:vAlign w:val="center"/>
            <w:hideMark/>
          </w:tcPr>
          <w:p w14:paraId="074D94FA"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1.00</w:t>
            </w:r>
          </w:p>
        </w:tc>
        <w:tc>
          <w:tcPr>
            <w:tcW w:w="4649" w:type="dxa"/>
            <w:vAlign w:val="center"/>
          </w:tcPr>
          <w:p w14:paraId="4658F0D8" w14:textId="77777777" w:rsidR="00A2760B" w:rsidRPr="00C356A8" w:rsidRDefault="00A2760B" w:rsidP="005E11BB">
            <w:pPr>
              <w:rPr>
                <w:rFonts w:cstheme="minorHAnsi"/>
                <w:color w:val="000000"/>
                <w:sz w:val="16"/>
                <w:szCs w:val="16"/>
                <w:lang w:eastAsia="de-DE"/>
              </w:rPr>
            </w:pPr>
          </w:p>
        </w:tc>
      </w:tr>
      <w:tr w:rsidR="00A2760B" w:rsidRPr="00C356A8" w14:paraId="2DED442F" w14:textId="77777777" w:rsidTr="005E11BB">
        <w:trPr>
          <w:trHeight w:val="227"/>
        </w:trPr>
        <w:tc>
          <w:tcPr>
            <w:tcW w:w="4126" w:type="dxa"/>
            <w:shd w:val="clear" w:color="auto" w:fill="auto"/>
            <w:noWrap/>
            <w:vAlign w:val="center"/>
            <w:hideMark/>
          </w:tcPr>
          <w:p w14:paraId="25A3D2D5"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Male</w:t>
            </w:r>
          </w:p>
        </w:tc>
        <w:tc>
          <w:tcPr>
            <w:tcW w:w="454" w:type="dxa"/>
            <w:shd w:val="clear" w:color="auto" w:fill="auto"/>
            <w:noWrap/>
            <w:vAlign w:val="center"/>
            <w:hideMark/>
          </w:tcPr>
          <w:p w14:paraId="18DBE9FB"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0.82</w:t>
            </w:r>
          </w:p>
        </w:tc>
        <w:tc>
          <w:tcPr>
            <w:tcW w:w="4649" w:type="dxa"/>
            <w:vAlign w:val="center"/>
          </w:tcPr>
          <w:p w14:paraId="47AC094A"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(0.63-1.09)</w:t>
            </w:r>
          </w:p>
        </w:tc>
      </w:tr>
      <w:tr w:rsidR="00A2760B" w:rsidRPr="00C356A8" w14:paraId="7A7D0EF3" w14:textId="77777777" w:rsidTr="005E11BB">
        <w:trPr>
          <w:trHeight w:val="57"/>
        </w:trPr>
        <w:tc>
          <w:tcPr>
            <w:tcW w:w="4126" w:type="dxa"/>
            <w:shd w:val="clear" w:color="auto" w:fill="auto"/>
            <w:noWrap/>
            <w:vAlign w:val="center"/>
          </w:tcPr>
          <w:p w14:paraId="025D92EC" w14:textId="77777777" w:rsidR="00A2760B" w:rsidRPr="00C356A8" w:rsidRDefault="00A2760B" w:rsidP="005E11BB">
            <w:pPr>
              <w:rPr>
                <w:rFonts w:cstheme="minorHAnsi"/>
                <w:color w:val="000000"/>
                <w:sz w:val="16"/>
                <w:szCs w:val="16"/>
                <w:lang w:eastAsia="de-DE"/>
              </w:rPr>
            </w:pPr>
          </w:p>
        </w:tc>
        <w:tc>
          <w:tcPr>
            <w:tcW w:w="454" w:type="dxa"/>
            <w:shd w:val="clear" w:color="auto" w:fill="auto"/>
            <w:noWrap/>
            <w:vAlign w:val="center"/>
          </w:tcPr>
          <w:p w14:paraId="5ADA2506"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7DCB4759" w14:textId="77777777" w:rsidR="00A2760B" w:rsidRPr="00C356A8" w:rsidRDefault="00A2760B" w:rsidP="005E11BB">
            <w:pPr>
              <w:rPr>
                <w:rFonts w:cstheme="minorHAnsi"/>
                <w:color w:val="000000"/>
                <w:sz w:val="16"/>
                <w:szCs w:val="16"/>
                <w:lang w:eastAsia="de-DE"/>
              </w:rPr>
            </w:pPr>
          </w:p>
        </w:tc>
      </w:tr>
      <w:tr w:rsidR="00A2760B" w:rsidRPr="00C356A8" w14:paraId="4C5CE521" w14:textId="77777777" w:rsidTr="005E11BB">
        <w:trPr>
          <w:trHeight w:val="227"/>
        </w:trPr>
        <w:tc>
          <w:tcPr>
            <w:tcW w:w="4126" w:type="dxa"/>
            <w:shd w:val="clear" w:color="auto" w:fill="auto"/>
            <w:noWrap/>
            <w:vAlign w:val="center"/>
          </w:tcPr>
          <w:p w14:paraId="2AB37697" w14:textId="77777777" w:rsidR="00A2760B" w:rsidRPr="00C356A8" w:rsidRDefault="00A2760B" w:rsidP="005E11BB">
            <w:pPr>
              <w:rPr>
                <w:rFonts w:cstheme="minorHAnsi"/>
                <w:i/>
                <w:color w:val="000000"/>
                <w:sz w:val="16"/>
                <w:szCs w:val="16"/>
                <w:lang w:eastAsia="de-DE"/>
              </w:rPr>
            </w:pPr>
            <w:r w:rsidRPr="00C356A8">
              <w:rPr>
                <w:rFonts w:cstheme="minorHAnsi"/>
                <w:i/>
                <w:color w:val="000000"/>
                <w:sz w:val="16"/>
                <w:szCs w:val="16"/>
                <w:lang w:eastAsia="de-DE"/>
              </w:rPr>
              <w:t>Year of study</w:t>
            </w:r>
          </w:p>
        </w:tc>
        <w:tc>
          <w:tcPr>
            <w:tcW w:w="454" w:type="dxa"/>
            <w:shd w:val="clear" w:color="auto" w:fill="auto"/>
            <w:noWrap/>
            <w:vAlign w:val="center"/>
          </w:tcPr>
          <w:p w14:paraId="41D95180"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491882C0" w14:textId="77777777" w:rsidR="00A2760B" w:rsidRPr="00C356A8" w:rsidRDefault="00A2760B" w:rsidP="005E11BB">
            <w:pPr>
              <w:rPr>
                <w:rFonts w:cstheme="minorHAnsi"/>
                <w:color w:val="000000"/>
                <w:sz w:val="16"/>
                <w:szCs w:val="16"/>
                <w:lang w:eastAsia="de-DE"/>
              </w:rPr>
            </w:pPr>
          </w:p>
        </w:tc>
      </w:tr>
      <w:tr w:rsidR="00A2760B" w:rsidRPr="00C356A8" w14:paraId="76CF42CC" w14:textId="77777777" w:rsidTr="005E11BB">
        <w:trPr>
          <w:trHeight w:val="227"/>
        </w:trPr>
        <w:tc>
          <w:tcPr>
            <w:tcW w:w="4126" w:type="dxa"/>
            <w:shd w:val="clear" w:color="auto" w:fill="auto"/>
            <w:noWrap/>
            <w:vAlign w:val="center"/>
          </w:tcPr>
          <w:p w14:paraId="22CEF39D"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1</w:t>
            </w:r>
            <w:r w:rsidRPr="00C356A8">
              <w:rPr>
                <w:rFonts w:cstheme="minorHAnsi"/>
                <w:color w:val="000000"/>
                <w:sz w:val="16"/>
                <w:szCs w:val="16"/>
                <w:vertAlign w:val="superscript"/>
                <w:lang w:eastAsia="de-DE"/>
              </w:rPr>
              <w:t xml:space="preserve">st </w:t>
            </w:r>
            <w:r w:rsidRPr="00C356A8">
              <w:rPr>
                <w:rFonts w:cstheme="minorHAnsi"/>
                <w:color w:val="000000"/>
                <w:sz w:val="16"/>
                <w:szCs w:val="16"/>
                <w:lang w:eastAsia="de-DE"/>
              </w:rPr>
              <w:t>(reference)</w:t>
            </w:r>
          </w:p>
        </w:tc>
        <w:tc>
          <w:tcPr>
            <w:tcW w:w="454" w:type="dxa"/>
            <w:shd w:val="clear" w:color="auto" w:fill="auto"/>
            <w:noWrap/>
            <w:vAlign w:val="center"/>
          </w:tcPr>
          <w:p w14:paraId="78649297"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1.00</w:t>
            </w:r>
          </w:p>
        </w:tc>
        <w:tc>
          <w:tcPr>
            <w:tcW w:w="4649" w:type="dxa"/>
            <w:vAlign w:val="center"/>
          </w:tcPr>
          <w:p w14:paraId="4558B2C6" w14:textId="77777777" w:rsidR="00A2760B" w:rsidRPr="00C356A8" w:rsidRDefault="00A2760B" w:rsidP="005E11BB">
            <w:pPr>
              <w:rPr>
                <w:rFonts w:cstheme="minorHAnsi"/>
                <w:color w:val="000000"/>
                <w:sz w:val="16"/>
                <w:szCs w:val="16"/>
                <w:lang w:eastAsia="de-DE"/>
              </w:rPr>
            </w:pPr>
          </w:p>
        </w:tc>
      </w:tr>
      <w:tr w:rsidR="00A2760B" w:rsidRPr="00C356A8" w14:paraId="62684141" w14:textId="77777777" w:rsidTr="005E11BB">
        <w:trPr>
          <w:trHeight w:val="227"/>
        </w:trPr>
        <w:tc>
          <w:tcPr>
            <w:tcW w:w="4126" w:type="dxa"/>
            <w:shd w:val="clear" w:color="auto" w:fill="auto"/>
            <w:noWrap/>
            <w:vAlign w:val="center"/>
          </w:tcPr>
          <w:p w14:paraId="08428965"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2</w:t>
            </w:r>
            <w:r w:rsidRPr="00C356A8">
              <w:rPr>
                <w:rFonts w:cstheme="minorHAnsi"/>
                <w:color w:val="000000"/>
                <w:sz w:val="16"/>
                <w:szCs w:val="16"/>
                <w:vertAlign w:val="superscript"/>
                <w:lang w:eastAsia="de-DE"/>
              </w:rPr>
              <w:t>nd</w:t>
            </w:r>
          </w:p>
        </w:tc>
        <w:tc>
          <w:tcPr>
            <w:tcW w:w="454" w:type="dxa"/>
            <w:shd w:val="clear" w:color="auto" w:fill="auto"/>
            <w:noWrap/>
            <w:vAlign w:val="center"/>
          </w:tcPr>
          <w:p w14:paraId="7B9D8FC6"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0.78</w:t>
            </w:r>
          </w:p>
        </w:tc>
        <w:tc>
          <w:tcPr>
            <w:tcW w:w="4649" w:type="dxa"/>
            <w:vAlign w:val="center"/>
          </w:tcPr>
          <w:p w14:paraId="66A1A5F3"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(0.57-1.07)</w:t>
            </w:r>
          </w:p>
        </w:tc>
      </w:tr>
      <w:tr w:rsidR="00A2760B" w:rsidRPr="00C356A8" w14:paraId="194F07F8" w14:textId="77777777" w:rsidTr="005E11BB">
        <w:trPr>
          <w:trHeight w:val="227"/>
        </w:trPr>
        <w:tc>
          <w:tcPr>
            <w:tcW w:w="4126" w:type="dxa"/>
            <w:shd w:val="clear" w:color="auto" w:fill="auto"/>
            <w:noWrap/>
            <w:vAlign w:val="center"/>
          </w:tcPr>
          <w:p w14:paraId="549C3C9E"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3</w:t>
            </w:r>
            <w:r w:rsidRPr="00C356A8">
              <w:rPr>
                <w:rFonts w:cstheme="minorHAnsi"/>
                <w:color w:val="000000"/>
                <w:sz w:val="16"/>
                <w:szCs w:val="16"/>
                <w:vertAlign w:val="superscript"/>
                <w:lang w:eastAsia="de-DE"/>
              </w:rPr>
              <w:t>rd</w:t>
            </w:r>
          </w:p>
        </w:tc>
        <w:tc>
          <w:tcPr>
            <w:tcW w:w="454" w:type="dxa"/>
            <w:shd w:val="clear" w:color="auto" w:fill="auto"/>
            <w:noWrap/>
            <w:vAlign w:val="center"/>
          </w:tcPr>
          <w:p w14:paraId="08CE69B8"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1.13</w:t>
            </w:r>
          </w:p>
        </w:tc>
        <w:tc>
          <w:tcPr>
            <w:tcW w:w="4649" w:type="dxa"/>
            <w:vAlign w:val="center"/>
          </w:tcPr>
          <w:p w14:paraId="71BA7608"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(0.83-1.54)</w:t>
            </w:r>
          </w:p>
        </w:tc>
      </w:tr>
      <w:tr w:rsidR="00A2760B" w:rsidRPr="00C356A8" w14:paraId="45E937BE" w14:textId="77777777" w:rsidTr="005E11BB">
        <w:trPr>
          <w:trHeight w:val="227"/>
        </w:trPr>
        <w:tc>
          <w:tcPr>
            <w:tcW w:w="4126" w:type="dxa"/>
            <w:shd w:val="clear" w:color="auto" w:fill="auto"/>
            <w:noWrap/>
            <w:vAlign w:val="center"/>
          </w:tcPr>
          <w:p w14:paraId="07F180B3"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4</w:t>
            </w:r>
            <w:r w:rsidRPr="00C356A8">
              <w:rPr>
                <w:rFonts w:cstheme="minorHAnsi"/>
                <w:color w:val="000000"/>
                <w:sz w:val="16"/>
                <w:szCs w:val="16"/>
                <w:vertAlign w:val="superscript"/>
                <w:lang w:eastAsia="de-DE"/>
              </w:rPr>
              <w:t>th</w:t>
            </w:r>
          </w:p>
        </w:tc>
        <w:tc>
          <w:tcPr>
            <w:tcW w:w="454" w:type="dxa"/>
            <w:shd w:val="clear" w:color="auto" w:fill="auto"/>
            <w:noWrap/>
            <w:vAlign w:val="center"/>
          </w:tcPr>
          <w:p w14:paraId="56E31111"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0.89</w:t>
            </w:r>
          </w:p>
        </w:tc>
        <w:tc>
          <w:tcPr>
            <w:tcW w:w="4649" w:type="dxa"/>
            <w:vAlign w:val="center"/>
          </w:tcPr>
          <w:p w14:paraId="6012A24C"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(0.60-1.31)</w:t>
            </w:r>
          </w:p>
        </w:tc>
      </w:tr>
      <w:tr w:rsidR="00A2760B" w:rsidRPr="00C356A8" w14:paraId="14BA50A0" w14:textId="77777777" w:rsidTr="005E11BB">
        <w:trPr>
          <w:trHeight w:val="227"/>
        </w:trPr>
        <w:tc>
          <w:tcPr>
            <w:tcW w:w="4126" w:type="dxa"/>
            <w:shd w:val="clear" w:color="auto" w:fill="auto"/>
            <w:noWrap/>
            <w:vAlign w:val="center"/>
          </w:tcPr>
          <w:p w14:paraId="1F0C50B6"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5</w:t>
            </w:r>
            <w:r w:rsidRPr="00C356A8">
              <w:rPr>
                <w:rFonts w:cstheme="minorHAnsi"/>
                <w:color w:val="000000"/>
                <w:sz w:val="16"/>
                <w:szCs w:val="16"/>
                <w:vertAlign w:val="superscript"/>
                <w:lang w:eastAsia="de-DE"/>
              </w:rPr>
              <w:t>th</w:t>
            </w:r>
          </w:p>
        </w:tc>
        <w:tc>
          <w:tcPr>
            <w:tcW w:w="454" w:type="dxa"/>
            <w:shd w:val="clear" w:color="auto" w:fill="auto"/>
            <w:noWrap/>
            <w:vAlign w:val="center"/>
          </w:tcPr>
          <w:p w14:paraId="3681240B"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0.66</w:t>
            </w:r>
          </w:p>
        </w:tc>
        <w:tc>
          <w:tcPr>
            <w:tcW w:w="4649" w:type="dxa"/>
            <w:vAlign w:val="center"/>
          </w:tcPr>
          <w:p w14:paraId="1350903E"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(0.39-1.10)</w:t>
            </w:r>
          </w:p>
        </w:tc>
      </w:tr>
      <w:tr w:rsidR="00A2760B" w:rsidRPr="00C356A8" w14:paraId="29CD6EB0" w14:textId="77777777" w:rsidTr="005E11BB">
        <w:trPr>
          <w:trHeight w:val="227"/>
        </w:trPr>
        <w:tc>
          <w:tcPr>
            <w:tcW w:w="4126" w:type="dxa"/>
            <w:shd w:val="clear" w:color="auto" w:fill="auto"/>
            <w:noWrap/>
            <w:vAlign w:val="center"/>
          </w:tcPr>
          <w:p w14:paraId="4AB3C325"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&gt; 5</w:t>
            </w:r>
            <w:r w:rsidRPr="00C356A8">
              <w:rPr>
                <w:rFonts w:cstheme="minorHAnsi"/>
                <w:color w:val="000000"/>
                <w:sz w:val="16"/>
                <w:szCs w:val="16"/>
                <w:vertAlign w:val="superscript"/>
                <w:lang w:eastAsia="de-DE"/>
              </w:rPr>
              <w:t>th</w:t>
            </w:r>
          </w:p>
        </w:tc>
        <w:tc>
          <w:tcPr>
            <w:tcW w:w="454" w:type="dxa"/>
            <w:shd w:val="clear" w:color="auto" w:fill="auto"/>
            <w:noWrap/>
            <w:vAlign w:val="center"/>
          </w:tcPr>
          <w:p w14:paraId="6D52450B"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0.70</w:t>
            </w:r>
          </w:p>
        </w:tc>
        <w:tc>
          <w:tcPr>
            <w:tcW w:w="4649" w:type="dxa"/>
            <w:vAlign w:val="center"/>
          </w:tcPr>
          <w:p w14:paraId="082FB8B3"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(0.35-1.41)</w:t>
            </w:r>
          </w:p>
        </w:tc>
      </w:tr>
      <w:tr w:rsidR="00A2760B" w:rsidRPr="00C356A8" w14:paraId="225A14B8" w14:textId="77777777" w:rsidTr="005E11BB">
        <w:trPr>
          <w:trHeight w:val="57"/>
        </w:trPr>
        <w:tc>
          <w:tcPr>
            <w:tcW w:w="4126" w:type="dxa"/>
            <w:shd w:val="clear" w:color="auto" w:fill="auto"/>
            <w:noWrap/>
            <w:vAlign w:val="center"/>
          </w:tcPr>
          <w:p w14:paraId="491C309A" w14:textId="77777777" w:rsidR="00A2760B" w:rsidRPr="00C356A8" w:rsidRDefault="00A2760B" w:rsidP="005E11BB">
            <w:pPr>
              <w:rPr>
                <w:rFonts w:cstheme="minorHAnsi"/>
                <w:color w:val="000000"/>
                <w:sz w:val="16"/>
                <w:szCs w:val="16"/>
                <w:lang w:eastAsia="de-DE"/>
              </w:rPr>
            </w:pPr>
          </w:p>
        </w:tc>
        <w:tc>
          <w:tcPr>
            <w:tcW w:w="454" w:type="dxa"/>
            <w:shd w:val="clear" w:color="auto" w:fill="auto"/>
            <w:noWrap/>
            <w:vAlign w:val="center"/>
          </w:tcPr>
          <w:p w14:paraId="5981558A"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51BB87EB" w14:textId="77777777" w:rsidR="00A2760B" w:rsidRPr="00C356A8" w:rsidRDefault="00A2760B" w:rsidP="005E11BB">
            <w:pPr>
              <w:rPr>
                <w:rFonts w:cstheme="minorHAnsi"/>
                <w:color w:val="000000"/>
                <w:sz w:val="16"/>
                <w:szCs w:val="16"/>
                <w:lang w:eastAsia="de-DE"/>
              </w:rPr>
            </w:pPr>
          </w:p>
        </w:tc>
      </w:tr>
      <w:tr w:rsidR="00A2760B" w:rsidRPr="00C356A8" w14:paraId="082DCFC2" w14:textId="77777777" w:rsidTr="005E11BB">
        <w:trPr>
          <w:trHeight w:val="227"/>
        </w:trPr>
        <w:tc>
          <w:tcPr>
            <w:tcW w:w="4126" w:type="dxa"/>
            <w:shd w:val="clear" w:color="auto" w:fill="auto"/>
            <w:noWrap/>
            <w:vAlign w:val="center"/>
          </w:tcPr>
          <w:p w14:paraId="74D9A238" w14:textId="77777777" w:rsidR="00A2760B" w:rsidRPr="00C356A8" w:rsidRDefault="00A2760B" w:rsidP="005E11BB">
            <w:pPr>
              <w:rPr>
                <w:rFonts w:cstheme="minorHAnsi"/>
                <w:i/>
                <w:color w:val="000000"/>
                <w:sz w:val="16"/>
                <w:szCs w:val="16"/>
                <w:lang w:eastAsia="de-DE"/>
              </w:rPr>
            </w:pPr>
            <w:r w:rsidRPr="00C356A8">
              <w:rPr>
                <w:rFonts w:cstheme="minorHAnsi"/>
                <w:i/>
                <w:color w:val="000000"/>
                <w:sz w:val="16"/>
                <w:szCs w:val="16"/>
                <w:lang w:eastAsia="de-DE"/>
              </w:rPr>
              <w:t>Living situation</w:t>
            </w:r>
          </w:p>
        </w:tc>
        <w:tc>
          <w:tcPr>
            <w:tcW w:w="454" w:type="dxa"/>
            <w:shd w:val="clear" w:color="auto" w:fill="auto"/>
            <w:noWrap/>
            <w:vAlign w:val="center"/>
          </w:tcPr>
          <w:p w14:paraId="5C313434"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66ACA473" w14:textId="77777777" w:rsidR="00A2760B" w:rsidRPr="00C356A8" w:rsidRDefault="00A2760B" w:rsidP="005E11BB">
            <w:pPr>
              <w:rPr>
                <w:rFonts w:cstheme="minorHAnsi"/>
                <w:color w:val="000000"/>
                <w:sz w:val="16"/>
                <w:szCs w:val="16"/>
                <w:lang w:eastAsia="de-DE"/>
              </w:rPr>
            </w:pPr>
          </w:p>
        </w:tc>
      </w:tr>
      <w:tr w:rsidR="00A2760B" w:rsidRPr="00C356A8" w14:paraId="2D669183" w14:textId="77777777" w:rsidTr="005E11BB">
        <w:trPr>
          <w:trHeight w:val="227"/>
        </w:trPr>
        <w:tc>
          <w:tcPr>
            <w:tcW w:w="4126" w:type="dxa"/>
            <w:shd w:val="clear" w:color="auto" w:fill="auto"/>
            <w:noWrap/>
            <w:vAlign w:val="center"/>
          </w:tcPr>
          <w:p w14:paraId="6088023E"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With other students (reference)</w:t>
            </w:r>
          </w:p>
        </w:tc>
        <w:tc>
          <w:tcPr>
            <w:tcW w:w="454" w:type="dxa"/>
            <w:shd w:val="clear" w:color="auto" w:fill="auto"/>
            <w:noWrap/>
            <w:vAlign w:val="center"/>
          </w:tcPr>
          <w:p w14:paraId="5CCAEA46"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1.00</w:t>
            </w:r>
          </w:p>
        </w:tc>
        <w:tc>
          <w:tcPr>
            <w:tcW w:w="4649" w:type="dxa"/>
            <w:vAlign w:val="center"/>
          </w:tcPr>
          <w:p w14:paraId="6F8A72E4" w14:textId="77777777" w:rsidR="00A2760B" w:rsidRPr="00C356A8" w:rsidRDefault="00A2760B" w:rsidP="005E11BB">
            <w:pPr>
              <w:rPr>
                <w:rFonts w:cstheme="minorHAnsi"/>
                <w:color w:val="000000"/>
                <w:sz w:val="16"/>
                <w:szCs w:val="16"/>
                <w:lang w:eastAsia="de-DE"/>
              </w:rPr>
            </w:pPr>
          </w:p>
        </w:tc>
      </w:tr>
      <w:tr w:rsidR="00A2760B" w:rsidRPr="00C356A8" w14:paraId="2482A7E3" w14:textId="77777777" w:rsidTr="005E11BB">
        <w:trPr>
          <w:trHeight w:val="227"/>
        </w:trPr>
        <w:tc>
          <w:tcPr>
            <w:tcW w:w="4126" w:type="dxa"/>
            <w:shd w:val="clear" w:color="auto" w:fill="auto"/>
            <w:noWrap/>
            <w:vAlign w:val="center"/>
          </w:tcPr>
          <w:p w14:paraId="52E90BA8"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Alone or with partner</w:t>
            </w:r>
          </w:p>
        </w:tc>
        <w:tc>
          <w:tcPr>
            <w:tcW w:w="454" w:type="dxa"/>
            <w:shd w:val="clear" w:color="auto" w:fill="auto"/>
            <w:noWrap/>
            <w:vAlign w:val="center"/>
          </w:tcPr>
          <w:p w14:paraId="5171074B"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2.04</w:t>
            </w:r>
          </w:p>
        </w:tc>
        <w:tc>
          <w:tcPr>
            <w:tcW w:w="4649" w:type="dxa"/>
            <w:vAlign w:val="center"/>
          </w:tcPr>
          <w:p w14:paraId="7831AB39"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(1.45-2.85)</w:t>
            </w:r>
          </w:p>
        </w:tc>
      </w:tr>
      <w:tr w:rsidR="00A2760B" w:rsidRPr="00C356A8" w14:paraId="58070DF5" w14:textId="77777777" w:rsidTr="005E11BB">
        <w:trPr>
          <w:trHeight w:val="227"/>
        </w:trPr>
        <w:tc>
          <w:tcPr>
            <w:tcW w:w="4126" w:type="dxa"/>
            <w:shd w:val="clear" w:color="auto" w:fill="auto"/>
            <w:noWrap/>
            <w:vAlign w:val="center"/>
          </w:tcPr>
          <w:p w14:paraId="436F84CF"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With parents</w:t>
            </w:r>
          </w:p>
        </w:tc>
        <w:tc>
          <w:tcPr>
            <w:tcW w:w="454" w:type="dxa"/>
            <w:shd w:val="clear" w:color="auto" w:fill="auto"/>
            <w:noWrap/>
            <w:vAlign w:val="center"/>
          </w:tcPr>
          <w:p w14:paraId="2846CEC5"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1.06</w:t>
            </w:r>
          </w:p>
        </w:tc>
        <w:tc>
          <w:tcPr>
            <w:tcW w:w="4649" w:type="dxa"/>
            <w:vAlign w:val="center"/>
          </w:tcPr>
          <w:p w14:paraId="3F771FAD"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(0.80-1.40)</w:t>
            </w:r>
          </w:p>
        </w:tc>
      </w:tr>
      <w:tr w:rsidR="00A2760B" w:rsidRPr="00C356A8" w14:paraId="5AC8FB6B" w14:textId="77777777" w:rsidTr="005E11BB">
        <w:trPr>
          <w:trHeight w:val="227"/>
        </w:trPr>
        <w:tc>
          <w:tcPr>
            <w:tcW w:w="4126" w:type="dxa"/>
            <w:tcBorders>
              <w:bottom w:val="single" w:sz="4" w:space="0" w:color="auto"/>
            </w:tcBorders>
            <w:shd w:val="clear" w:color="auto" w:fill="auto"/>
            <w:noWrap/>
            <w:vAlign w:val="center"/>
          </w:tcPr>
          <w:p w14:paraId="21AF4F3D"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Other</w:t>
            </w:r>
          </w:p>
        </w:tc>
        <w:tc>
          <w:tcPr>
            <w:tcW w:w="454" w:type="dxa"/>
            <w:tcBorders>
              <w:bottom w:val="single" w:sz="4" w:space="0" w:color="auto"/>
            </w:tcBorders>
            <w:shd w:val="clear" w:color="auto" w:fill="auto"/>
            <w:noWrap/>
            <w:vAlign w:val="center"/>
          </w:tcPr>
          <w:p w14:paraId="5D7FABD4"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1.74</w:t>
            </w:r>
          </w:p>
        </w:tc>
        <w:tc>
          <w:tcPr>
            <w:tcW w:w="4649" w:type="dxa"/>
            <w:tcBorders>
              <w:bottom w:val="single" w:sz="4" w:space="0" w:color="auto"/>
            </w:tcBorders>
            <w:vAlign w:val="center"/>
          </w:tcPr>
          <w:p w14:paraId="05EFC799"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(0.94-3.23)</w:t>
            </w:r>
          </w:p>
        </w:tc>
      </w:tr>
    </w:tbl>
    <w:p w14:paraId="6B62129B" w14:textId="77777777" w:rsidR="00A2760B" w:rsidRPr="00C356A8" w:rsidRDefault="00A2760B" w:rsidP="00A2760B">
      <w:pPr>
        <w:autoSpaceDE w:val="0"/>
        <w:autoSpaceDN w:val="0"/>
        <w:adjustRightInd w:val="0"/>
        <w:jc w:val="both"/>
        <w:rPr>
          <w:rFonts w:asciiTheme="minorHAnsi" w:hAnsiTheme="minorHAnsi" w:cstheme="minorHAnsi"/>
          <w:color w:val="000000"/>
        </w:rPr>
      </w:pPr>
      <w:r w:rsidRPr="00C356A8">
        <w:rPr>
          <w:rFonts w:cstheme="minorHAnsi"/>
          <w:color w:val="000000"/>
          <w:sz w:val="16"/>
          <w:szCs w:val="16"/>
          <w:vertAlign w:val="superscript"/>
          <w:lang w:eastAsia="de-DE"/>
        </w:rPr>
        <w:t xml:space="preserve">a </w:t>
      </w:r>
      <w:r w:rsidRPr="00C356A8">
        <w:rPr>
          <w:rFonts w:cstheme="minorHAnsi"/>
          <w:color w:val="000000"/>
          <w:sz w:val="16"/>
          <w:szCs w:val="16"/>
          <w:lang w:eastAsia="de-DE"/>
        </w:rPr>
        <w:t>‘Ok to use occasionally if it doesn't interfere with work or study’, ‘Ok to use frequently if it doesn't interfere with work or study’, ‘Ok to use occasionally even if it does interfere with work or study’, and ‘Ok to use frequently if that is what the person wants to do’.</w:t>
      </w:r>
    </w:p>
    <w:p w14:paraId="344BFAE3" w14:textId="77777777" w:rsidR="00A06F9F" w:rsidRPr="00C356A8" w:rsidRDefault="00A06F9F" w:rsidP="00CD52C0">
      <w:pPr>
        <w:autoSpaceDE w:val="0"/>
        <w:autoSpaceDN w:val="0"/>
        <w:adjustRightInd w:val="0"/>
        <w:spacing w:line="360" w:lineRule="auto"/>
        <w:jc w:val="both"/>
        <w:rPr>
          <w:rFonts w:asciiTheme="minorHAnsi" w:hAnsiTheme="minorHAnsi" w:cstheme="minorHAnsi"/>
          <w:color w:val="000000"/>
        </w:rPr>
      </w:pPr>
    </w:p>
    <w:p w14:paraId="1A64A9B2" w14:textId="77777777" w:rsidR="00A2760B" w:rsidRPr="00C356A8" w:rsidRDefault="00A2760B" w:rsidP="00CD52C0">
      <w:pPr>
        <w:autoSpaceDE w:val="0"/>
        <w:autoSpaceDN w:val="0"/>
        <w:adjustRightInd w:val="0"/>
        <w:spacing w:line="360" w:lineRule="auto"/>
        <w:jc w:val="both"/>
        <w:rPr>
          <w:rFonts w:asciiTheme="minorHAnsi" w:hAnsiTheme="minorHAnsi" w:cstheme="minorHAnsi"/>
          <w:color w:val="000000"/>
        </w:rPr>
      </w:pPr>
    </w:p>
    <w:p w14:paraId="516032CE" w14:textId="77777777" w:rsidR="00A2760B" w:rsidRPr="00C356A8" w:rsidRDefault="00A2760B" w:rsidP="00CD52C0">
      <w:pPr>
        <w:autoSpaceDE w:val="0"/>
        <w:autoSpaceDN w:val="0"/>
        <w:adjustRightInd w:val="0"/>
        <w:spacing w:line="360" w:lineRule="auto"/>
        <w:jc w:val="both"/>
        <w:rPr>
          <w:rFonts w:asciiTheme="minorHAnsi" w:hAnsiTheme="minorHAnsi" w:cstheme="minorHAnsi"/>
          <w:color w:val="000000"/>
        </w:rPr>
      </w:pPr>
    </w:p>
    <w:p w14:paraId="5A73825E" w14:textId="77777777" w:rsidR="00A2760B" w:rsidRPr="00C356A8" w:rsidRDefault="00A2760B" w:rsidP="00CD52C0">
      <w:pPr>
        <w:autoSpaceDE w:val="0"/>
        <w:autoSpaceDN w:val="0"/>
        <w:adjustRightInd w:val="0"/>
        <w:spacing w:line="360" w:lineRule="auto"/>
        <w:jc w:val="both"/>
        <w:rPr>
          <w:rFonts w:asciiTheme="minorHAnsi" w:hAnsiTheme="minorHAnsi" w:cstheme="minorHAnsi"/>
          <w:color w:val="000000"/>
        </w:rPr>
      </w:pPr>
    </w:p>
    <w:p w14:paraId="06858CFB" w14:textId="77777777" w:rsidR="00A2760B" w:rsidRPr="00C356A8" w:rsidRDefault="00A2760B" w:rsidP="00CD52C0">
      <w:pPr>
        <w:autoSpaceDE w:val="0"/>
        <w:autoSpaceDN w:val="0"/>
        <w:adjustRightInd w:val="0"/>
        <w:spacing w:line="360" w:lineRule="auto"/>
        <w:jc w:val="both"/>
        <w:rPr>
          <w:rFonts w:asciiTheme="minorHAnsi" w:hAnsiTheme="minorHAnsi" w:cstheme="minorHAnsi"/>
          <w:color w:val="000000"/>
        </w:rPr>
      </w:pPr>
    </w:p>
    <w:p w14:paraId="22440EF7" w14:textId="77777777" w:rsidR="00A2760B" w:rsidRPr="00C356A8" w:rsidRDefault="00A2760B" w:rsidP="00CD52C0">
      <w:pPr>
        <w:autoSpaceDE w:val="0"/>
        <w:autoSpaceDN w:val="0"/>
        <w:adjustRightInd w:val="0"/>
        <w:spacing w:line="360" w:lineRule="auto"/>
        <w:jc w:val="both"/>
        <w:rPr>
          <w:rFonts w:asciiTheme="minorHAnsi" w:hAnsiTheme="minorHAnsi" w:cstheme="minorHAnsi"/>
          <w:color w:val="000000"/>
        </w:rPr>
      </w:pPr>
    </w:p>
    <w:p w14:paraId="7E7AFCE4" w14:textId="77777777" w:rsidR="00A2760B" w:rsidRPr="00C356A8" w:rsidRDefault="00A2760B" w:rsidP="00CD52C0">
      <w:pPr>
        <w:autoSpaceDE w:val="0"/>
        <w:autoSpaceDN w:val="0"/>
        <w:adjustRightInd w:val="0"/>
        <w:spacing w:line="360" w:lineRule="auto"/>
        <w:jc w:val="both"/>
        <w:rPr>
          <w:rFonts w:asciiTheme="minorHAnsi" w:hAnsiTheme="minorHAnsi" w:cstheme="minorHAnsi"/>
          <w:color w:val="000000"/>
        </w:rPr>
      </w:pPr>
    </w:p>
    <w:p w14:paraId="6288C6C3" w14:textId="77777777" w:rsidR="00A2760B" w:rsidRPr="00C356A8" w:rsidRDefault="00A2760B" w:rsidP="00CD52C0">
      <w:pPr>
        <w:autoSpaceDE w:val="0"/>
        <w:autoSpaceDN w:val="0"/>
        <w:adjustRightInd w:val="0"/>
        <w:spacing w:line="360" w:lineRule="auto"/>
        <w:jc w:val="both"/>
        <w:rPr>
          <w:rFonts w:asciiTheme="minorHAnsi" w:hAnsiTheme="minorHAnsi" w:cstheme="minorHAnsi"/>
          <w:color w:val="000000"/>
        </w:rPr>
      </w:pPr>
    </w:p>
    <w:p w14:paraId="32946918" w14:textId="77777777" w:rsidR="00A2760B" w:rsidRPr="00C356A8" w:rsidRDefault="00A2760B" w:rsidP="00CD52C0">
      <w:pPr>
        <w:autoSpaceDE w:val="0"/>
        <w:autoSpaceDN w:val="0"/>
        <w:adjustRightInd w:val="0"/>
        <w:spacing w:line="360" w:lineRule="auto"/>
        <w:jc w:val="both"/>
        <w:rPr>
          <w:rFonts w:asciiTheme="minorHAnsi" w:hAnsiTheme="minorHAnsi" w:cstheme="minorHAnsi"/>
          <w:color w:val="000000"/>
        </w:rPr>
      </w:pPr>
    </w:p>
    <w:p w14:paraId="5980F758" w14:textId="77777777" w:rsidR="00A2760B" w:rsidRPr="00C356A8" w:rsidRDefault="00A2760B" w:rsidP="00CD52C0">
      <w:pPr>
        <w:autoSpaceDE w:val="0"/>
        <w:autoSpaceDN w:val="0"/>
        <w:adjustRightInd w:val="0"/>
        <w:spacing w:line="360" w:lineRule="auto"/>
        <w:jc w:val="both"/>
        <w:rPr>
          <w:rFonts w:asciiTheme="minorHAnsi" w:hAnsiTheme="minorHAnsi" w:cstheme="minorHAnsi"/>
          <w:color w:val="000000"/>
        </w:rPr>
      </w:pPr>
    </w:p>
    <w:p w14:paraId="362D51EE" w14:textId="77777777" w:rsidR="00A2760B" w:rsidRPr="00C356A8" w:rsidRDefault="00A2760B" w:rsidP="00A2760B">
      <w:pPr>
        <w:autoSpaceDE w:val="0"/>
        <w:autoSpaceDN w:val="0"/>
        <w:adjustRightInd w:val="0"/>
        <w:spacing w:line="360" w:lineRule="auto"/>
        <w:jc w:val="both"/>
        <w:rPr>
          <w:rFonts w:asciiTheme="minorHAnsi" w:hAnsiTheme="minorHAnsi" w:cstheme="minorHAnsi"/>
          <w:b/>
          <w:color w:val="000000"/>
        </w:rPr>
      </w:pPr>
      <w:r w:rsidRPr="00C356A8">
        <w:rPr>
          <w:rFonts w:asciiTheme="minorHAnsi" w:hAnsiTheme="minorHAnsi" w:cstheme="minorHAnsi"/>
          <w:b/>
          <w:color w:val="000000"/>
        </w:rPr>
        <w:lastRenderedPageBreak/>
        <w:t>Table 4 Associations between personal attitude towards NPPSSP use and perceived attitude of peers, personal NPPSSP use, country, age, sex, year of study, and living situation – results of a binary logistic regression (injunctive norms model)</w:t>
      </w:r>
    </w:p>
    <w:tbl>
      <w:tblPr>
        <w:tblW w:w="9229" w:type="dxa"/>
        <w:tblInd w:w="55" w:type="dxa"/>
        <w:tblCellMar>
          <w:left w:w="70" w:type="dxa"/>
          <w:right w:w="70" w:type="dxa"/>
        </w:tblCellMar>
        <w:tblLook w:val="04A0" w:firstRow="1" w:lastRow="0" w:firstColumn="1" w:lastColumn="0" w:noHBand="0" w:noVBand="1"/>
      </w:tblPr>
      <w:tblGrid>
        <w:gridCol w:w="4126"/>
        <w:gridCol w:w="454"/>
        <w:gridCol w:w="4649"/>
      </w:tblGrid>
      <w:tr w:rsidR="00A2760B" w:rsidRPr="00C356A8" w14:paraId="60450C2D" w14:textId="77777777" w:rsidTr="005E11BB">
        <w:trPr>
          <w:trHeight w:val="283"/>
        </w:trPr>
        <w:tc>
          <w:tcPr>
            <w:tcW w:w="4126" w:type="dxa"/>
            <w:tcBorders>
              <w:top w:val="single" w:sz="4" w:space="0" w:color="auto"/>
            </w:tcBorders>
            <w:shd w:val="clear" w:color="auto" w:fill="auto"/>
            <w:noWrap/>
            <w:vAlign w:val="center"/>
            <w:hideMark/>
          </w:tcPr>
          <w:p w14:paraId="03ACF8F2"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Variables</w:t>
            </w:r>
          </w:p>
        </w:tc>
        <w:tc>
          <w:tcPr>
            <w:tcW w:w="5103" w:type="dxa"/>
            <w:gridSpan w:val="2"/>
            <w:tcBorders>
              <w:top w:val="single" w:sz="4" w:space="0" w:color="auto"/>
              <w:bottom w:val="single" w:sz="4" w:space="0" w:color="auto"/>
            </w:tcBorders>
            <w:vAlign w:val="center"/>
          </w:tcPr>
          <w:p w14:paraId="1DD71B75"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 xml:space="preserve">Positive attitude towards NPPSSP </w:t>
            </w:r>
            <w:proofErr w:type="spellStart"/>
            <w:r w:rsidRPr="00C356A8">
              <w:rPr>
                <w:rFonts w:cstheme="minorHAnsi"/>
                <w:color w:val="000000"/>
                <w:sz w:val="16"/>
                <w:szCs w:val="16"/>
                <w:lang w:eastAsia="de-DE"/>
              </w:rPr>
              <w:t>use</w:t>
            </w:r>
            <w:r w:rsidRPr="00C356A8">
              <w:rPr>
                <w:sz w:val="16"/>
                <w:szCs w:val="16"/>
                <w:vertAlign w:val="superscript"/>
              </w:rPr>
              <w:t>a</w:t>
            </w:r>
            <w:proofErr w:type="spellEnd"/>
            <w:r w:rsidRPr="00C356A8">
              <w:rPr>
                <w:rFonts w:cstheme="minorHAnsi"/>
                <w:color w:val="000000"/>
                <w:sz w:val="16"/>
                <w:szCs w:val="16"/>
                <w:lang w:eastAsia="de-DE"/>
              </w:rPr>
              <w:t xml:space="preserve"> </w:t>
            </w:r>
          </w:p>
        </w:tc>
      </w:tr>
      <w:tr w:rsidR="00A2760B" w:rsidRPr="00C356A8" w14:paraId="4F0AB885" w14:textId="77777777" w:rsidTr="005E11BB">
        <w:trPr>
          <w:trHeight w:val="283"/>
        </w:trPr>
        <w:tc>
          <w:tcPr>
            <w:tcW w:w="4126" w:type="dxa"/>
            <w:tcBorders>
              <w:bottom w:val="single" w:sz="4" w:space="0" w:color="auto"/>
            </w:tcBorders>
            <w:shd w:val="clear" w:color="auto" w:fill="auto"/>
            <w:noWrap/>
            <w:vAlign w:val="bottom"/>
            <w:hideMark/>
          </w:tcPr>
          <w:p w14:paraId="53F10EC9" w14:textId="77777777" w:rsidR="00A2760B" w:rsidRPr="00C356A8" w:rsidRDefault="00A2760B" w:rsidP="005E11BB">
            <w:pPr>
              <w:rPr>
                <w:rFonts w:asciiTheme="minorHAnsi" w:hAnsiTheme="minorHAnsi" w:cstheme="minorHAnsi"/>
                <w:color w:val="000000"/>
                <w:sz w:val="16"/>
                <w:szCs w:val="16"/>
                <w:lang w:eastAsia="de-DE"/>
              </w:rPr>
            </w:pPr>
          </w:p>
        </w:tc>
        <w:tc>
          <w:tcPr>
            <w:tcW w:w="454" w:type="dxa"/>
            <w:tcBorders>
              <w:top w:val="single" w:sz="4" w:space="0" w:color="auto"/>
              <w:bottom w:val="single" w:sz="4" w:space="0" w:color="auto"/>
            </w:tcBorders>
            <w:vAlign w:val="center"/>
          </w:tcPr>
          <w:p w14:paraId="61D11932"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OR</w:t>
            </w:r>
          </w:p>
        </w:tc>
        <w:tc>
          <w:tcPr>
            <w:tcW w:w="4649" w:type="dxa"/>
            <w:tcBorders>
              <w:top w:val="single" w:sz="4" w:space="0" w:color="auto"/>
              <w:bottom w:val="single" w:sz="4" w:space="0" w:color="auto"/>
            </w:tcBorders>
            <w:vAlign w:val="center"/>
          </w:tcPr>
          <w:p w14:paraId="2DC08DC0"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(95% CI)</w:t>
            </w:r>
          </w:p>
        </w:tc>
      </w:tr>
      <w:tr w:rsidR="00A2760B" w:rsidRPr="00C356A8" w14:paraId="76CBD10B" w14:textId="77777777" w:rsidTr="005E11BB">
        <w:trPr>
          <w:trHeight w:val="227"/>
        </w:trPr>
        <w:tc>
          <w:tcPr>
            <w:tcW w:w="4126" w:type="dxa"/>
            <w:shd w:val="clear" w:color="auto" w:fill="auto"/>
            <w:noWrap/>
            <w:vAlign w:val="center"/>
          </w:tcPr>
          <w:p w14:paraId="6955A1E0" w14:textId="77777777" w:rsidR="00A2760B" w:rsidRPr="00C356A8" w:rsidRDefault="00A2760B" w:rsidP="005E11BB">
            <w:pPr>
              <w:rPr>
                <w:rFonts w:asciiTheme="minorHAnsi" w:hAnsiTheme="minorHAnsi" w:cstheme="minorHAnsi"/>
                <w:bCs/>
                <w:i/>
                <w:color w:val="000000"/>
                <w:sz w:val="16"/>
                <w:szCs w:val="16"/>
                <w:lang w:eastAsia="de-DE"/>
              </w:rPr>
            </w:pPr>
            <w:r w:rsidRPr="00C356A8">
              <w:rPr>
                <w:rFonts w:cstheme="minorHAnsi"/>
                <w:bCs/>
                <w:i/>
                <w:color w:val="000000"/>
                <w:sz w:val="16"/>
                <w:szCs w:val="16"/>
                <w:lang w:eastAsia="de-DE"/>
              </w:rPr>
              <w:t>Perceived peer attitude towards NPPSSP use</w:t>
            </w:r>
          </w:p>
        </w:tc>
        <w:tc>
          <w:tcPr>
            <w:tcW w:w="454" w:type="dxa"/>
            <w:vAlign w:val="center"/>
          </w:tcPr>
          <w:p w14:paraId="15300D3B"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6F7857C3" w14:textId="77777777" w:rsidR="00A2760B" w:rsidRPr="00C356A8" w:rsidRDefault="00A2760B" w:rsidP="005E11BB">
            <w:pPr>
              <w:rPr>
                <w:rFonts w:cstheme="minorHAnsi"/>
                <w:color w:val="000000"/>
                <w:sz w:val="16"/>
                <w:szCs w:val="16"/>
                <w:lang w:eastAsia="de-DE"/>
              </w:rPr>
            </w:pPr>
          </w:p>
        </w:tc>
      </w:tr>
      <w:tr w:rsidR="00A2760B" w:rsidRPr="00C356A8" w14:paraId="165DEC04" w14:textId="77777777" w:rsidTr="005E11BB">
        <w:trPr>
          <w:trHeight w:val="227"/>
        </w:trPr>
        <w:tc>
          <w:tcPr>
            <w:tcW w:w="4126" w:type="dxa"/>
            <w:shd w:val="clear" w:color="auto" w:fill="auto"/>
            <w:noWrap/>
            <w:vAlign w:val="center"/>
          </w:tcPr>
          <w:p w14:paraId="041F80EB" w14:textId="77777777" w:rsidR="00A2760B" w:rsidRPr="00C356A8" w:rsidRDefault="00A2760B" w:rsidP="005E11BB">
            <w:pPr>
              <w:rPr>
                <w:rFonts w:cstheme="minorHAnsi"/>
                <w:bCs/>
                <w:color w:val="000000"/>
                <w:sz w:val="16"/>
                <w:szCs w:val="16"/>
                <w:lang w:eastAsia="de-DE"/>
              </w:rPr>
            </w:pPr>
            <w:r w:rsidRPr="00C356A8">
              <w:rPr>
                <w:rFonts w:cstheme="minorHAnsi"/>
                <w:bCs/>
                <w:color w:val="000000"/>
                <w:sz w:val="16"/>
                <w:szCs w:val="16"/>
                <w:lang w:eastAsia="de-DE"/>
              </w:rPr>
              <w:t>Never ok to use NPPSSP (reference)</w:t>
            </w:r>
          </w:p>
        </w:tc>
        <w:tc>
          <w:tcPr>
            <w:tcW w:w="454" w:type="dxa"/>
            <w:vAlign w:val="center"/>
          </w:tcPr>
          <w:p w14:paraId="47A17CD4"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1.00</w:t>
            </w:r>
          </w:p>
        </w:tc>
        <w:tc>
          <w:tcPr>
            <w:tcW w:w="4649" w:type="dxa"/>
            <w:vAlign w:val="center"/>
          </w:tcPr>
          <w:p w14:paraId="193EB978" w14:textId="77777777" w:rsidR="00A2760B" w:rsidRPr="00C356A8" w:rsidRDefault="00A2760B" w:rsidP="005E11BB">
            <w:pPr>
              <w:rPr>
                <w:rFonts w:cstheme="minorHAnsi"/>
                <w:color w:val="000000"/>
                <w:sz w:val="16"/>
                <w:szCs w:val="16"/>
                <w:lang w:eastAsia="de-DE"/>
              </w:rPr>
            </w:pPr>
          </w:p>
        </w:tc>
      </w:tr>
      <w:tr w:rsidR="00A2760B" w:rsidRPr="00C356A8" w14:paraId="2397EC82" w14:textId="77777777" w:rsidTr="005E11BB">
        <w:trPr>
          <w:trHeight w:val="227"/>
        </w:trPr>
        <w:tc>
          <w:tcPr>
            <w:tcW w:w="4126" w:type="dxa"/>
            <w:shd w:val="clear" w:color="auto" w:fill="auto"/>
            <w:noWrap/>
            <w:vAlign w:val="center"/>
          </w:tcPr>
          <w:p w14:paraId="2C340A81" w14:textId="77777777" w:rsidR="00A2760B" w:rsidRPr="00C356A8" w:rsidRDefault="00A2760B" w:rsidP="005E11BB">
            <w:pPr>
              <w:jc w:val="both"/>
              <w:rPr>
                <w:rFonts w:asciiTheme="minorHAnsi" w:hAnsiTheme="minorHAnsi" w:cstheme="minorHAnsi"/>
                <w:bCs/>
                <w:color w:val="000000"/>
                <w:sz w:val="16"/>
                <w:szCs w:val="16"/>
                <w:vertAlign w:val="superscript"/>
                <w:lang w:eastAsia="de-DE"/>
              </w:rPr>
            </w:pPr>
            <w:r w:rsidRPr="00C356A8">
              <w:rPr>
                <w:rFonts w:cstheme="minorHAnsi"/>
                <w:bCs/>
                <w:color w:val="000000"/>
                <w:sz w:val="16"/>
                <w:szCs w:val="16"/>
                <w:lang w:eastAsia="de-DE"/>
              </w:rPr>
              <w:t xml:space="preserve">Ok to use </w:t>
            </w:r>
            <w:proofErr w:type="spellStart"/>
            <w:r w:rsidRPr="00C356A8">
              <w:rPr>
                <w:rFonts w:cstheme="minorHAnsi"/>
                <w:bCs/>
                <w:color w:val="000000"/>
                <w:sz w:val="16"/>
                <w:szCs w:val="16"/>
                <w:lang w:eastAsia="de-DE"/>
              </w:rPr>
              <w:t>NPPSSP</w:t>
            </w:r>
            <w:r w:rsidRPr="00C356A8">
              <w:rPr>
                <w:rFonts w:cstheme="minorHAnsi"/>
                <w:bCs/>
                <w:color w:val="000000"/>
                <w:sz w:val="16"/>
                <w:szCs w:val="16"/>
                <w:vertAlign w:val="superscript"/>
                <w:lang w:eastAsia="de-DE"/>
              </w:rPr>
              <w:t>a</w:t>
            </w:r>
            <w:proofErr w:type="spellEnd"/>
          </w:p>
        </w:tc>
        <w:tc>
          <w:tcPr>
            <w:tcW w:w="454" w:type="dxa"/>
            <w:vAlign w:val="center"/>
          </w:tcPr>
          <w:p w14:paraId="6383C16A"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5.49</w:t>
            </w:r>
          </w:p>
        </w:tc>
        <w:tc>
          <w:tcPr>
            <w:tcW w:w="4649" w:type="dxa"/>
            <w:vAlign w:val="center"/>
          </w:tcPr>
          <w:p w14:paraId="509FF572"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(4.63-6.51)</w:t>
            </w:r>
          </w:p>
        </w:tc>
      </w:tr>
      <w:tr w:rsidR="00A2760B" w:rsidRPr="00C356A8" w14:paraId="463F8A50" w14:textId="77777777" w:rsidTr="005E11BB">
        <w:trPr>
          <w:trHeight w:val="227"/>
        </w:trPr>
        <w:tc>
          <w:tcPr>
            <w:tcW w:w="4126" w:type="dxa"/>
            <w:shd w:val="clear" w:color="auto" w:fill="auto"/>
            <w:noWrap/>
            <w:vAlign w:val="center"/>
          </w:tcPr>
          <w:p w14:paraId="165905C1" w14:textId="77777777" w:rsidR="00A2760B" w:rsidRPr="00C356A8" w:rsidRDefault="00A2760B" w:rsidP="005E11BB">
            <w:pPr>
              <w:jc w:val="both"/>
              <w:rPr>
                <w:rFonts w:cstheme="minorHAnsi"/>
                <w:bCs/>
                <w:color w:val="000000"/>
                <w:sz w:val="16"/>
                <w:szCs w:val="16"/>
                <w:lang w:eastAsia="de-DE"/>
              </w:rPr>
            </w:pPr>
          </w:p>
        </w:tc>
        <w:tc>
          <w:tcPr>
            <w:tcW w:w="454" w:type="dxa"/>
            <w:vAlign w:val="center"/>
          </w:tcPr>
          <w:p w14:paraId="703E7E60"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28830ABC" w14:textId="77777777" w:rsidR="00A2760B" w:rsidRPr="00C356A8" w:rsidRDefault="00A2760B" w:rsidP="005E11BB">
            <w:pPr>
              <w:rPr>
                <w:rFonts w:cstheme="minorHAnsi"/>
                <w:color w:val="000000"/>
                <w:sz w:val="16"/>
                <w:szCs w:val="16"/>
                <w:lang w:eastAsia="de-DE"/>
              </w:rPr>
            </w:pPr>
          </w:p>
        </w:tc>
      </w:tr>
      <w:tr w:rsidR="00A2760B" w:rsidRPr="00C356A8" w14:paraId="26C3D36A" w14:textId="77777777" w:rsidTr="005E11BB">
        <w:trPr>
          <w:trHeight w:val="227"/>
        </w:trPr>
        <w:tc>
          <w:tcPr>
            <w:tcW w:w="4126" w:type="dxa"/>
            <w:shd w:val="clear" w:color="auto" w:fill="auto"/>
            <w:noWrap/>
            <w:vAlign w:val="center"/>
          </w:tcPr>
          <w:p w14:paraId="0EAA0BDD" w14:textId="77777777" w:rsidR="00A2760B" w:rsidRPr="00C356A8" w:rsidRDefault="00A2760B" w:rsidP="005E11BB">
            <w:pPr>
              <w:jc w:val="both"/>
              <w:rPr>
                <w:rFonts w:cstheme="minorHAnsi"/>
                <w:bCs/>
                <w:i/>
                <w:color w:val="000000"/>
                <w:sz w:val="16"/>
                <w:szCs w:val="16"/>
                <w:lang w:eastAsia="de-DE"/>
              </w:rPr>
            </w:pPr>
            <w:r w:rsidRPr="00C356A8">
              <w:rPr>
                <w:rFonts w:cstheme="minorHAnsi"/>
                <w:bCs/>
                <w:i/>
                <w:color w:val="000000"/>
                <w:sz w:val="16"/>
                <w:szCs w:val="16"/>
                <w:lang w:eastAsia="de-DE"/>
              </w:rPr>
              <w:t>Personal NPPSSP use</w:t>
            </w:r>
          </w:p>
        </w:tc>
        <w:tc>
          <w:tcPr>
            <w:tcW w:w="454" w:type="dxa"/>
            <w:vAlign w:val="center"/>
          </w:tcPr>
          <w:p w14:paraId="2C95C6DF"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08FB2B96" w14:textId="77777777" w:rsidR="00A2760B" w:rsidRPr="00C356A8" w:rsidRDefault="00A2760B" w:rsidP="005E11BB">
            <w:pPr>
              <w:rPr>
                <w:rFonts w:cstheme="minorHAnsi"/>
                <w:color w:val="000000"/>
                <w:sz w:val="16"/>
                <w:szCs w:val="16"/>
                <w:lang w:eastAsia="de-DE"/>
              </w:rPr>
            </w:pPr>
          </w:p>
        </w:tc>
      </w:tr>
      <w:tr w:rsidR="00A2760B" w:rsidRPr="00C356A8" w14:paraId="22AEC6E7" w14:textId="77777777" w:rsidTr="005E11BB">
        <w:trPr>
          <w:trHeight w:val="227"/>
        </w:trPr>
        <w:tc>
          <w:tcPr>
            <w:tcW w:w="4126" w:type="dxa"/>
            <w:shd w:val="clear" w:color="auto" w:fill="auto"/>
            <w:noWrap/>
            <w:vAlign w:val="center"/>
          </w:tcPr>
          <w:p w14:paraId="41924CA5" w14:textId="21D89CD0" w:rsidR="00A2760B" w:rsidRPr="00C356A8" w:rsidRDefault="00A2760B" w:rsidP="005E11BB">
            <w:pPr>
              <w:jc w:val="both"/>
              <w:rPr>
                <w:rFonts w:cstheme="minorHAnsi"/>
                <w:bCs/>
                <w:color w:val="000000"/>
                <w:sz w:val="16"/>
                <w:szCs w:val="16"/>
                <w:lang w:eastAsia="de-DE"/>
              </w:rPr>
            </w:pPr>
            <w:r w:rsidRPr="00C356A8">
              <w:rPr>
                <w:rFonts w:cstheme="minorHAnsi"/>
                <w:bCs/>
                <w:color w:val="000000"/>
                <w:sz w:val="16"/>
                <w:szCs w:val="16"/>
                <w:lang w:eastAsia="de-DE"/>
              </w:rPr>
              <w:t>Never used NP</w:t>
            </w:r>
            <w:r w:rsidR="00E71D7B" w:rsidRPr="00C356A8">
              <w:rPr>
                <w:rFonts w:cstheme="minorHAnsi"/>
                <w:bCs/>
                <w:color w:val="000000"/>
                <w:sz w:val="16"/>
                <w:szCs w:val="16"/>
                <w:lang w:eastAsia="de-DE"/>
              </w:rPr>
              <w:t>P</w:t>
            </w:r>
            <w:r w:rsidRPr="00C356A8">
              <w:rPr>
                <w:rFonts w:cstheme="minorHAnsi"/>
                <w:bCs/>
                <w:color w:val="000000"/>
                <w:sz w:val="16"/>
                <w:szCs w:val="16"/>
                <w:lang w:eastAsia="de-DE"/>
              </w:rPr>
              <w:t>SSP (reference)</w:t>
            </w:r>
          </w:p>
        </w:tc>
        <w:tc>
          <w:tcPr>
            <w:tcW w:w="454" w:type="dxa"/>
            <w:vAlign w:val="center"/>
          </w:tcPr>
          <w:p w14:paraId="24932631"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1.00</w:t>
            </w:r>
          </w:p>
        </w:tc>
        <w:tc>
          <w:tcPr>
            <w:tcW w:w="4649" w:type="dxa"/>
            <w:vAlign w:val="center"/>
          </w:tcPr>
          <w:p w14:paraId="3C2CEDE2" w14:textId="77777777" w:rsidR="00A2760B" w:rsidRPr="00C356A8" w:rsidRDefault="00A2760B" w:rsidP="005E11BB">
            <w:pPr>
              <w:rPr>
                <w:rFonts w:cstheme="minorHAnsi"/>
                <w:color w:val="000000"/>
                <w:sz w:val="16"/>
                <w:szCs w:val="16"/>
                <w:lang w:eastAsia="de-DE"/>
              </w:rPr>
            </w:pPr>
          </w:p>
        </w:tc>
      </w:tr>
      <w:tr w:rsidR="00A2760B" w:rsidRPr="00C356A8" w14:paraId="7D8D1F01" w14:textId="77777777" w:rsidTr="005E11BB">
        <w:trPr>
          <w:trHeight w:val="227"/>
        </w:trPr>
        <w:tc>
          <w:tcPr>
            <w:tcW w:w="4126" w:type="dxa"/>
            <w:shd w:val="clear" w:color="auto" w:fill="auto"/>
            <w:noWrap/>
            <w:vAlign w:val="center"/>
          </w:tcPr>
          <w:p w14:paraId="2611508E" w14:textId="7AAC5E5E" w:rsidR="00A2760B" w:rsidRPr="00C356A8" w:rsidRDefault="00A2760B" w:rsidP="005E11BB">
            <w:pPr>
              <w:jc w:val="both"/>
              <w:rPr>
                <w:rFonts w:cstheme="minorHAnsi"/>
                <w:bCs/>
                <w:color w:val="000000"/>
                <w:sz w:val="16"/>
                <w:szCs w:val="16"/>
                <w:lang w:eastAsia="de-DE"/>
              </w:rPr>
            </w:pPr>
            <w:r w:rsidRPr="00C356A8">
              <w:rPr>
                <w:rFonts w:cstheme="minorHAnsi"/>
                <w:bCs/>
                <w:color w:val="000000"/>
                <w:sz w:val="16"/>
                <w:szCs w:val="16"/>
                <w:lang w:eastAsia="de-DE"/>
              </w:rPr>
              <w:t>Ever used NP</w:t>
            </w:r>
            <w:r w:rsidR="00E71D7B" w:rsidRPr="00C356A8">
              <w:rPr>
                <w:rFonts w:cstheme="minorHAnsi"/>
                <w:bCs/>
                <w:color w:val="000000"/>
                <w:sz w:val="16"/>
                <w:szCs w:val="16"/>
                <w:lang w:eastAsia="de-DE"/>
              </w:rPr>
              <w:t>P</w:t>
            </w:r>
            <w:r w:rsidRPr="00C356A8">
              <w:rPr>
                <w:rFonts w:cstheme="minorHAnsi"/>
                <w:bCs/>
                <w:color w:val="000000"/>
                <w:sz w:val="16"/>
                <w:szCs w:val="16"/>
                <w:lang w:eastAsia="de-DE"/>
              </w:rPr>
              <w:t>SSP</w:t>
            </w:r>
          </w:p>
        </w:tc>
        <w:tc>
          <w:tcPr>
            <w:tcW w:w="454" w:type="dxa"/>
            <w:vAlign w:val="center"/>
          </w:tcPr>
          <w:p w14:paraId="014C19C0"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7.03</w:t>
            </w:r>
          </w:p>
        </w:tc>
        <w:tc>
          <w:tcPr>
            <w:tcW w:w="4649" w:type="dxa"/>
            <w:vAlign w:val="center"/>
          </w:tcPr>
          <w:p w14:paraId="5F849D23"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(5.45-9.06)</w:t>
            </w:r>
          </w:p>
        </w:tc>
      </w:tr>
      <w:tr w:rsidR="00A2760B" w:rsidRPr="00C356A8" w14:paraId="375293FF" w14:textId="77777777" w:rsidTr="005E11BB">
        <w:trPr>
          <w:trHeight w:val="57"/>
        </w:trPr>
        <w:tc>
          <w:tcPr>
            <w:tcW w:w="4126" w:type="dxa"/>
            <w:shd w:val="clear" w:color="auto" w:fill="auto"/>
            <w:noWrap/>
            <w:vAlign w:val="center"/>
            <w:hideMark/>
          </w:tcPr>
          <w:p w14:paraId="29EB661F" w14:textId="77777777" w:rsidR="00A2760B" w:rsidRPr="00C356A8" w:rsidRDefault="00A2760B" w:rsidP="005E11BB">
            <w:pPr>
              <w:rPr>
                <w:rFonts w:asciiTheme="minorHAnsi" w:hAnsiTheme="minorHAnsi" w:cstheme="minorHAnsi"/>
                <w:bCs/>
                <w:i/>
                <w:color w:val="000000"/>
                <w:sz w:val="16"/>
                <w:szCs w:val="16"/>
                <w:lang w:eastAsia="de-DE"/>
              </w:rPr>
            </w:pPr>
          </w:p>
        </w:tc>
        <w:tc>
          <w:tcPr>
            <w:tcW w:w="454" w:type="dxa"/>
            <w:vAlign w:val="center"/>
          </w:tcPr>
          <w:p w14:paraId="46B9775F"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5425559F" w14:textId="77777777" w:rsidR="00A2760B" w:rsidRPr="00C356A8" w:rsidRDefault="00A2760B" w:rsidP="005E11BB">
            <w:pPr>
              <w:rPr>
                <w:rFonts w:cstheme="minorHAnsi"/>
                <w:color w:val="000000"/>
                <w:sz w:val="16"/>
                <w:szCs w:val="16"/>
                <w:lang w:eastAsia="de-DE"/>
              </w:rPr>
            </w:pPr>
          </w:p>
        </w:tc>
      </w:tr>
      <w:tr w:rsidR="00A2760B" w:rsidRPr="00C356A8" w14:paraId="6F9A22DC" w14:textId="77777777" w:rsidTr="005E11BB">
        <w:trPr>
          <w:trHeight w:val="227"/>
        </w:trPr>
        <w:tc>
          <w:tcPr>
            <w:tcW w:w="4126" w:type="dxa"/>
            <w:shd w:val="clear" w:color="auto" w:fill="auto"/>
            <w:noWrap/>
            <w:vAlign w:val="center"/>
            <w:hideMark/>
          </w:tcPr>
          <w:p w14:paraId="7604724D" w14:textId="77777777" w:rsidR="00A2760B" w:rsidRPr="00C356A8" w:rsidRDefault="00A2760B" w:rsidP="005E11BB">
            <w:pPr>
              <w:rPr>
                <w:rFonts w:asciiTheme="minorHAnsi" w:hAnsiTheme="minorHAnsi" w:cstheme="minorHAnsi"/>
                <w:i/>
                <w:color w:val="000000"/>
                <w:sz w:val="16"/>
                <w:szCs w:val="16"/>
                <w:lang w:eastAsia="de-DE"/>
              </w:rPr>
            </w:pPr>
            <w:r w:rsidRPr="00C356A8">
              <w:rPr>
                <w:rFonts w:cstheme="minorHAnsi"/>
                <w:i/>
                <w:color w:val="000000"/>
                <w:sz w:val="16"/>
                <w:szCs w:val="16"/>
                <w:lang w:eastAsia="de-DE"/>
              </w:rPr>
              <w:t>Country</w:t>
            </w:r>
          </w:p>
        </w:tc>
        <w:tc>
          <w:tcPr>
            <w:tcW w:w="454" w:type="dxa"/>
            <w:vAlign w:val="center"/>
          </w:tcPr>
          <w:p w14:paraId="23A1FDEB"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1896E349" w14:textId="77777777" w:rsidR="00A2760B" w:rsidRPr="00C356A8" w:rsidRDefault="00A2760B" w:rsidP="005E11BB">
            <w:pPr>
              <w:rPr>
                <w:rFonts w:cstheme="minorHAnsi"/>
                <w:color w:val="000000"/>
                <w:sz w:val="16"/>
                <w:szCs w:val="16"/>
                <w:lang w:eastAsia="de-DE"/>
              </w:rPr>
            </w:pPr>
          </w:p>
        </w:tc>
      </w:tr>
      <w:tr w:rsidR="00A2760B" w:rsidRPr="00C356A8" w14:paraId="2B9FB185" w14:textId="77777777" w:rsidTr="005E11BB">
        <w:trPr>
          <w:trHeight w:val="227"/>
        </w:trPr>
        <w:tc>
          <w:tcPr>
            <w:tcW w:w="4126" w:type="dxa"/>
            <w:shd w:val="clear" w:color="auto" w:fill="auto"/>
            <w:noWrap/>
            <w:vAlign w:val="center"/>
            <w:hideMark/>
          </w:tcPr>
          <w:p w14:paraId="07384CBC"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Slovak Republic (reference)</w:t>
            </w:r>
          </w:p>
        </w:tc>
        <w:tc>
          <w:tcPr>
            <w:tcW w:w="454" w:type="dxa"/>
            <w:vAlign w:val="center"/>
          </w:tcPr>
          <w:p w14:paraId="15E470B0"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1.00</w:t>
            </w:r>
          </w:p>
        </w:tc>
        <w:tc>
          <w:tcPr>
            <w:tcW w:w="4649" w:type="dxa"/>
            <w:vAlign w:val="center"/>
          </w:tcPr>
          <w:p w14:paraId="77C3BFBD" w14:textId="77777777" w:rsidR="00A2760B" w:rsidRPr="00C356A8" w:rsidRDefault="00A2760B" w:rsidP="005E11BB">
            <w:pPr>
              <w:rPr>
                <w:rFonts w:cstheme="minorHAnsi"/>
                <w:color w:val="000000"/>
                <w:sz w:val="16"/>
                <w:szCs w:val="16"/>
                <w:lang w:eastAsia="de-DE"/>
              </w:rPr>
            </w:pPr>
          </w:p>
        </w:tc>
      </w:tr>
      <w:tr w:rsidR="00A2760B" w:rsidRPr="00C356A8" w14:paraId="64DF37EC" w14:textId="77777777" w:rsidTr="005E11BB">
        <w:trPr>
          <w:trHeight w:val="227"/>
        </w:trPr>
        <w:tc>
          <w:tcPr>
            <w:tcW w:w="4126" w:type="dxa"/>
            <w:shd w:val="clear" w:color="auto" w:fill="auto"/>
            <w:noWrap/>
            <w:vAlign w:val="center"/>
            <w:hideMark/>
          </w:tcPr>
          <w:p w14:paraId="2869F889"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Belgium</w:t>
            </w:r>
          </w:p>
        </w:tc>
        <w:tc>
          <w:tcPr>
            <w:tcW w:w="454" w:type="dxa"/>
            <w:vAlign w:val="center"/>
          </w:tcPr>
          <w:p w14:paraId="0470629C"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0.99</w:t>
            </w:r>
          </w:p>
        </w:tc>
        <w:tc>
          <w:tcPr>
            <w:tcW w:w="4649" w:type="dxa"/>
            <w:vAlign w:val="center"/>
          </w:tcPr>
          <w:p w14:paraId="6683AF0B"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(0.74-1.30)</w:t>
            </w:r>
          </w:p>
        </w:tc>
      </w:tr>
      <w:tr w:rsidR="00A2760B" w:rsidRPr="00C356A8" w14:paraId="61C7390F" w14:textId="77777777" w:rsidTr="005E11BB">
        <w:trPr>
          <w:trHeight w:val="227"/>
        </w:trPr>
        <w:tc>
          <w:tcPr>
            <w:tcW w:w="4126" w:type="dxa"/>
            <w:shd w:val="clear" w:color="auto" w:fill="auto"/>
            <w:noWrap/>
            <w:vAlign w:val="center"/>
            <w:hideMark/>
          </w:tcPr>
          <w:p w14:paraId="62714D65"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Denmark</w:t>
            </w:r>
          </w:p>
        </w:tc>
        <w:tc>
          <w:tcPr>
            <w:tcW w:w="454" w:type="dxa"/>
            <w:vAlign w:val="center"/>
          </w:tcPr>
          <w:p w14:paraId="2FB314C7"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2.04</w:t>
            </w:r>
          </w:p>
        </w:tc>
        <w:tc>
          <w:tcPr>
            <w:tcW w:w="4649" w:type="dxa"/>
            <w:vAlign w:val="center"/>
          </w:tcPr>
          <w:p w14:paraId="0430DE27"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(1.49-2.80)</w:t>
            </w:r>
          </w:p>
        </w:tc>
      </w:tr>
      <w:tr w:rsidR="00A2760B" w:rsidRPr="00C356A8" w14:paraId="284082F0" w14:textId="77777777" w:rsidTr="005E11BB">
        <w:trPr>
          <w:trHeight w:val="227"/>
        </w:trPr>
        <w:tc>
          <w:tcPr>
            <w:tcW w:w="4126" w:type="dxa"/>
            <w:shd w:val="clear" w:color="auto" w:fill="auto"/>
            <w:noWrap/>
            <w:vAlign w:val="center"/>
          </w:tcPr>
          <w:p w14:paraId="32E4EBD0" w14:textId="77777777" w:rsidR="00A2760B" w:rsidRPr="00C356A8" w:rsidRDefault="00A2760B" w:rsidP="005E11BB">
            <w:pPr>
              <w:rPr>
                <w:rFonts w:asciiTheme="minorHAnsi" w:hAnsiTheme="minorHAnsi" w:cstheme="minorHAnsi"/>
                <w:bCs/>
                <w:color w:val="000000"/>
                <w:sz w:val="16"/>
                <w:szCs w:val="16"/>
                <w:lang w:eastAsia="de-DE"/>
              </w:rPr>
            </w:pPr>
            <w:r w:rsidRPr="00C356A8">
              <w:rPr>
                <w:rFonts w:cstheme="minorHAnsi"/>
                <w:bCs/>
                <w:color w:val="000000"/>
                <w:sz w:val="16"/>
                <w:szCs w:val="16"/>
                <w:lang w:eastAsia="de-DE"/>
              </w:rPr>
              <w:t>Germany</w:t>
            </w:r>
          </w:p>
        </w:tc>
        <w:tc>
          <w:tcPr>
            <w:tcW w:w="454" w:type="dxa"/>
            <w:vAlign w:val="center"/>
          </w:tcPr>
          <w:p w14:paraId="13374B9A"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2.59</w:t>
            </w:r>
          </w:p>
        </w:tc>
        <w:tc>
          <w:tcPr>
            <w:tcW w:w="4649" w:type="dxa"/>
            <w:vAlign w:val="center"/>
          </w:tcPr>
          <w:p w14:paraId="4B5C1FE5"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(2.00-3.36)</w:t>
            </w:r>
          </w:p>
        </w:tc>
      </w:tr>
      <w:tr w:rsidR="00A2760B" w:rsidRPr="00C356A8" w14:paraId="277E1341" w14:textId="77777777" w:rsidTr="005E11BB">
        <w:trPr>
          <w:trHeight w:val="227"/>
        </w:trPr>
        <w:tc>
          <w:tcPr>
            <w:tcW w:w="4126" w:type="dxa"/>
            <w:shd w:val="clear" w:color="auto" w:fill="auto"/>
            <w:noWrap/>
            <w:vAlign w:val="center"/>
            <w:hideMark/>
          </w:tcPr>
          <w:p w14:paraId="4DEBF67F" w14:textId="77777777" w:rsidR="00A2760B" w:rsidRPr="00C356A8" w:rsidRDefault="00A2760B" w:rsidP="005E11BB">
            <w:pPr>
              <w:rPr>
                <w:rFonts w:asciiTheme="minorHAnsi" w:hAnsiTheme="minorHAnsi" w:cstheme="minorHAnsi"/>
                <w:bCs/>
                <w:color w:val="000000"/>
                <w:sz w:val="16"/>
                <w:szCs w:val="16"/>
                <w:lang w:eastAsia="de-DE"/>
              </w:rPr>
            </w:pPr>
            <w:r w:rsidRPr="00C356A8">
              <w:rPr>
                <w:rFonts w:cstheme="minorHAnsi"/>
                <w:bCs/>
                <w:color w:val="000000"/>
                <w:sz w:val="16"/>
                <w:szCs w:val="16"/>
                <w:lang w:eastAsia="de-DE"/>
              </w:rPr>
              <w:t>Spain</w:t>
            </w:r>
          </w:p>
        </w:tc>
        <w:tc>
          <w:tcPr>
            <w:tcW w:w="454" w:type="dxa"/>
            <w:vAlign w:val="center"/>
          </w:tcPr>
          <w:p w14:paraId="705C40A6"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1.59</w:t>
            </w:r>
          </w:p>
        </w:tc>
        <w:tc>
          <w:tcPr>
            <w:tcW w:w="4649" w:type="dxa"/>
            <w:vAlign w:val="center"/>
          </w:tcPr>
          <w:p w14:paraId="1E290A55"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(1.09-2.34)</w:t>
            </w:r>
          </w:p>
        </w:tc>
      </w:tr>
      <w:tr w:rsidR="00A2760B" w:rsidRPr="00C356A8" w14:paraId="680E006B" w14:textId="77777777" w:rsidTr="005E11BB">
        <w:trPr>
          <w:trHeight w:val="227"/>
        </w:trPr>
        <w:tc>
          <w:tcPr>
            <w:tcW w:w="4126" w:type="dxa"/>
            <w:shd w:val="clear" w:color="auto" w:fill="auto"/>
            <w:noWrap/>
            <w:vAlign w:val="center"/>
          </w:tcPr>
          <w:p w14:paraId="2AB57D2E"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Turkey</w:t>
            </w:r>
          </w:p>
        </w:tc>
        <w:tc>
          <w:tcPr>
            <w:tcW w:w="454" w:type="dxa"/>
            <w:vAlign w:val="center"/>
          </w:tcPr>
          <w:p w14:paraId="0F901C04"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0.54</w:t>
            </w:r>
          </w:p>
        </w:tc>
        <w:tc>
          <w:tcPr>
            <w:tcW w:w="4649" w:type="dxa"/>
            <w:vAlign w:val="center"/>
          </w:tcPr>
          <w:p w14:paraId="268F71D0"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(0.41-0.71)</w:t>
            </w:r>
          </w:p>
        </w:tc>
      </w:tr>
      <w:tr w:rsidR="00A2760B" w:rsidRPr="00C356A8" w14:paraId="2ED1BD1A" w14:textId="77777777" w:rsidTr="005E11BB">
        <w:trPr>
          <w:trHeight w:val="227"/>
        </w:trPr>
        <w:tc>
          <w:tcPr>
            <w:tcW w:w="4126" w:type="dxa"/>
            <w:shd w:val="clear" w:color="auto" w:fill="auto"/>
            <w:noWrap/>
            <w:vAlign w:val="center"/>
            <w:hideMark/>
          </w:tcPr>
          <w:p w14:paraId="7C32EA20"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UK</w:t>
            </w:r>
          </w:p>
        </w:tc>
        <w:tc>
          <w:tcPr>
            <w:tcW w:w="454" w:type="dxa"/>
            <w:vAlign w:val="center"/>
          </w:tcPr>
          <w:p w14:paraId="484CC4FC"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1.20</w:t>
            </w:r>
          </w:p>
        </w:tc>
        <w:tc>
          <w:tcPr>
            <w:tcW w:w="4649" w:type="dxa"/>
            <w:vAlign w:val="center"/>
          </w:tcPr>
          <w:p w14:paraId="442DDF06"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(0.72-1.99)</w:t>
            </w:r>
          </w:p>
        </w:tc>
      </w:tr>
      <w:tr w:rsidR="00A2760B" w:rsidRPr="00C356A8" w14:paraId="0E8912A2" w14:textId="77777777" w:rsidTr="005E11BB">
        <w:trPr>
          <w:trHeight w:val="57"/>
        </w:trPr>
        <w:tc>
          <w:tcPr>
            <w:tcW w:w="4126" w:type="dxa"/>
            <w:shd w:val="clear" w:color="auto" w:fill="auto"/>
            <w:noWrap/>
            <w:vAlign w:val="center"/>
          </w:tcPr>
          <w:p w14:paraId="3F5052B5" w14:textId="77777777" w:rsidR="00A2760B" w:rsidRPr="00C356A8" w:rsidRDefault="00A2760B" w:rsidP="005E11BB">
            <w:pPr>
              <w:rPr>
                <w:rFonts w:asciiTheme="minorHAnsi" w:hAnsiTheme="minorHAnsi" w:cstheme="minorHAnsi"/>
                <w:i/>
                <w:color w:val="000000"/>
                <w:sz w:val="16"/>
                <w:szCs w:val="16"/>
                <w:lang w:eastAsia="de-DE"/>
              </w:rPr>
            </w:pPr>
          </w:p>
        </w:tc>
        <w:tc>
          <w:tcPr>
            <w:tcW w:w="454" w:type="dxa"/>
            <w:vAlign w:val="center"/>
          </w:tcPr>
          <w:p w14:paraId="0781AF71"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153432AF" w14:textId="77777777" w:rsidR="00A2760B" w:rsidRPr="00C356A8" w:rsidRDefault="00A2760B" w:rsidP="005E11BB">
            <w:pPr>
              <w:rPr>
                <w:rFonts w:cstheme="minorHAnsi"/>
                <w:color w:val="000000"/>
                <w:sz w:val="16"/>
                <w:szCs w:val="16"/>
                <w:lang w:eastAsia="de-DE"/>
              </w:rPr>
            </w:pPr>
          </w:p>
        </w:tc>
      </w:tr>
      <w:tr w:rsidR="00A2760B" w:rsidRPr="00C356A8" w14:paraId="3F94B89E" w14:textId="77777777" w:rsidTr="005E11BB">
        <w:trPr>
          <w:trHeight w:val="227"/>
        </w:trPr>
        <w:tc>
          <w:tcPr>
            <w:tcW w:w="4126" w:type="dxa"/>
            <w:shd w:val="clear" w:color="auto" w:fill="auto"/>
            <w:noWrap/>
            <w:vAlign w:val="center"/>
            <w:hideMark/>
          </w:tcPr>
          <w:p w14:paraId="3B9C8706"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Age (in years)</w:t>
            </w:r>
          </w:p>
        </w:tc>
        <w:tc>
          <w:tcPr>
            <w:tcW w:w="454" w:type="dxa"/>
            <w:vAlign w:val="center"/>
          </w:tcPr>
          <w:p w14:paraId="7EF4D787"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0.97</w:t>
            </w:r>
          </w:p>
        </w:tc>
        <w:tc>
          <w:tcPr>
            <w:tcW w:w="4649" w:type="dxa"/>
            <w:vAlign w:val="center"/>
          </w:tcPr>
          <w:p w14:paraId="11FD5AE5"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(0.95-0.99)</w:t>
            </w:r>
          </w:p>
        </w:tc>
      </w:tr>
      <w:tr w:rsidR="00A2760B" w:rsidRPr="00C356A8" w14:paraId="3D721CE6" w14:textId="77777777" w:rsidTr="005E11BB">
        <w:trPr>
          <w:trHeight w:val="57"/>
        </w:trPr>
        <w:tc>
          <w:tcPr>
            <w:tcW w:w="4126" w:type="dxa"/>
            <w:shd w:val="clear" w:color="auto" w:fill="auto"/>
            <w:noWrap/>
            <w:vAlign w:val="center"/>
          </w:tcPr>
          <w:p w14:paraId="477B4C6E" w14:textId="77777777" w:rsidR="00A2760B" w:rsidRPr="00C356A8" w:rsidRDefault="00A2760B" w:rsidP="005E11BB">
            <w:pPr>
              <w:rPr>
                <w:rFonts w:cstheme="minorHAnsi"/>
                <w:color w:val="000000"/>
                <w:sz w:val="16"/>
                <w:szCs w:val="16"/>
                <w:lang w:eastAsia="de-DE"/>
              </w:rPr>
            </w:pPr>
          </w:p>
        </w:tc>
        <w:tc>
          <w:tcPr>
            <w:tcW w:w="454" w:type="dxa"/>
            <w:vAlign w:val="center"/>
          </w:tcPr>
          <w:p w14:paraId="602FF94B"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2B7B8A37" w14:textId="77777777" w:rsidR="00A2760B" w:rsidRPr="00C356A8" w:rsidRDefault="00A2760B" w:rsidP="005E11BB">
            <w:pPr>
              <w:rPr>
                <w:rFonts w:cstheme="minorHAnsi"/>
                <w:color w:val="000000"/>
                <w:sz w:val="16"/>
                <w:szCs w:val="16"/>
                <w:lang w:eastAsia="de-DE"/>
              </w:rPr>
            </w:pPr>
          </w:p>
        </w:tc>
      </w:tr>
      <w:tr w:rsidR="00A2760B" w:rsidRPr="00C356A8" w14:paraId="149444B7" w14:textId="77777777" w:rsidTr="005E11BB">
        <w:trPr>
          <w:trHeight w:val="227"/>
        </w:trPr>
        <w:tc>
          <w:tcPr>
            <w:tcW w:w="4126" w:type="dxa"/>
            <w:shd w:val="clear" w:color="auto" w:fill="auto"/>
            <w:noWrap/>
            <w:vAlign w:val="center"/>
            <w:hideMark/>
          </w:tcPr>
          <w:p w14:paraId="5DCB70E1" w14:textId="77777777" w:rsidR="00A2760B" w:rsidRPr="00C356A8" w:rsidRDefault="00A2760B" w:rsidP="005E11BB">
            <w:pPr>
              <w:rPr>
                <w:rFonts w:asciiTheme="minorHAnsi" w:hAnsiTheme="minorHAnsi" w:cstheme="minorHAnsi"/>
                <w:i/>
                <w:color w:val="000000"/>
                <w:sz w:val="16"/>
                <w:szCs w:val="16"/>
                <w:lang w:eastAsia="de-DE"/>
              </w:rPr>
            </w:pPr>
            <w:r w:rsidRPr="00C356A8">
              <w:rPr>
                <w:rFonts w:cstheme="minorHAnsi"/>
                <w:i/>
                <w:color w:val="000000"/>
                <w:sz w:val="16"/>
                <w:szCs w:val="16"/>
                <w:lang w:eastAsia="de-DE"/>
              </w:rPr>
              <w:t>Sex</w:t>
            </w:r>
          </w:p>
        </w:tc>
        <w:tc>
          <w:tcPr>
            <w:tcW w:w="454" w:type="dxa"/>
            <w:vAlign w:val="center"/>
          </w:tcPr>
          <w:p w14:paraId="60B652F6"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4D997E6F" w14:textId="77777777" w:rsidR="00A2760B" w:rsidRPr="00C356A8" w:rsidRDefault="00A2760B" w:rsidP="005E11BB">
            <w:pPr>
              <w:rPr>
                <w:rFonts w:cstheme="minorHAnsi"/>
                <w:color w:val="000000"/>
                <w:sz w:val="16"/>
                <w:szCs w:val="16"/>
                <w:lang w:eastAsia="de-DE"/>
              </w:rPr>
            </w:pPr>
          </w:p>
        </w:tc>
      </w:tr>
      <w:tr w:rsidR="00A2760B" w:rsidRPr="00C356A8" w14:paraId="3F99D388" w14:textId="77777777" w:rsidTr="005E11BB">
        <w:trPr>
          <w:trHeight w:val="227"/>
        </w:trPr>
        <w:tc>
          <w:tcPr>
            <w:tcW w:w="4126" w:type="dxa"/>
            <w:shd w:val="clear" w:color="auto" w:fill="auto"/>
            <w:noWrap/>
            <w:vAlign w:val="center"/>
            <w:hideMark/>
          </w:tcPr>
          <w:p w14:paraId="171CD289" w14:textId="77777777" w:rsidR="00A2760B" w:rsidRPr="00C356A8" w:rsidRDefault="00A2760B" w:rsidP="005E11BB">
            <w:pPr>
              <w:rPr>
                <w:rFonts w:asciiTheme="minorHAnsi" w:hAnsiTheme="minorHAnsi" w:cstheme="minorHAnsi"/>
                <w:bCs/>
                <w:color w:val="000000"/>
                <w:sz w:val="16"/>
                <w:szCs w:val="16"/>
                <w:lang w:eastAsia="de-DE"/>
              </w:rPr>
            </w:pPr>
            <w:r w:rsidRPr="00C356A8">
              <w:rPr>
                <w:rFonts w:cstheme="minorHAnsi"/>
                <w:bCs/>
                <w:color w:val="000000"/>
                <w:sz w:val="16"/>
                <w:szCs w:val="16"/>
                <w:lang w:eastAsia="de-DE"/>
              </w:rPr>
              <w:t>Female (reference)</w:t>
            </w:r>
          </w:p>
        </w:tc>
        <w:tc>
          <w:tcPr>
            <w:tcW w:w="454" w:type="dxa"/>
            <w:vAlign w:val="center"/>
          </w:tcPr>
          <w:p w14:paraId="47C59222"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1.00</w:t>
            </w:r>
          </w:p>
        </w:tc>
        <w:tc>
          <w:tcPr>
            <w:tcW w:w="4649" w:type="dxa"/>
            <w:vAlign w:val="center"/>
          </w:tcPr>
          <w:p w14:paraId="0183FD52" w14:textId="77777777" w:rsidR="00A2760B" w:rsidRPr="00C356A8" w:rsidRDefault="00A2760B" w:rsidP="005E11BB">
            <w:pPr>
              <w:rPr>
                <w:rFonts w:cstheme="minorHAnsi"/>
                <w:color w:val="000000"/>
                <w:sz w:val="16"/>
                <w:szCs w:val="16"/>
                <w:lang w:eastAsia="de-DE"/>
              </w:rPr>
            </w:pPr>
          </w:p>
        </w:tc>
      </w:tr>
      <w:tr w:rsidR="00A2760B" w:rsidRPr="00C356A8" w14:paraId="32219F3D" w14:textId="77777777" w:rsidTr="005E11BB">
        <w:trPr>
          <w:trHeight w:val="227"/>
        </w:trPr>
        <w:tc>
          <w:tcPr>
            <w:tcW w:w="4126" w:type="dxa"/>
            <w:shd w:val="clear" w:color="auto" w:fill="auto"/>
            <w:noWrap/>
            <w:vAlign w:val="center"/>
            <w:hideMark/>
          </w:tcPr>
          <w:p w14:paraId="0B54F0B6" w14:textId="77777777" w:rsidR="00A2760B" w:rsidRPr="00C356A8" w:rsidRDefault="00A2760B" w:rsidP="005E11BB">
            <w:pPr>
              <w:rPr>
                <w:rFonts w:asciiTheme="minorHAnsi" w:hAnsiTheme="minorHAnsi" w:cstheme="minorHAnsi"/>
                <w:color w:val="000000"/>
                <w:sz w:val="16"/>
                <w:szCs w:val="16"/>
                <w:lang w:eastAsia="de-DE"/>
              </w:rPr>
            </w:pPr>
            <w:r w:rsidRPr="00C356A8">
              <w:rPr>
                <w:rFonts w:cstheme="minorHAnsi"/>
                <w:color w:val="000000"/>
                <w:sz w:val="16"/>
                <w:szCs w:val="16"/>
                <w:lang w:eastAsia="de-DE"/>
              </w:rPr>
              <w:t>Male</w:t>
            </w:r>
          </w:p>
        </w:tc>
        <w:tc>
          <w:tcPr>
            <w:tcW w:w="454" w:type="dxa"/>
            <w:vAlign w:val="center"/>
          </w:tcPr>
          <w:p w14:paraId="54A32F10"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0.84</w:t>
            </w:r>
          </w:p>
        </w:tc>
        <w:tc>
          <w:tcPr>
            <w:tcW w:w="4649" w:type="dxa"/>
            <w:vAlign w:val="center"/>
          </w:tcPr>
          <w:p w14:paraId="13515474"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(0.70-1.02)</w:t>
            </w:r>
          </w:p>
        </w:tc>
      </w:tr>
      <w:tr w:rsidR="00A2760B" w:rsidRPr="00C356A8" w14:paraId="5670635E" w14:textId="77777777" w:rsidTr="005E11BB">
        <w:trPr>
          <w:trHeight w:val="57"/>
        </w:trPr>
        <w:tc>
          <w:tcPr>
            <w:tcW w:w="4126" w:type="dxa"/>
            <w:shd w:val="clear" w:color="auto" w:fill="auto"/>
            <w:noWrap/>
            <w:vAlign w:val="center"/>
          </w:tcPr>
          <w:p w14:paraId="4EE6AA5F" w14:textId="77777777" w:rsidR="00A2760B" w:rsidRPr="00C356A8" w:rsidRDefault="00A2760B" w:rsidP="005E11BB">
            <w:pPr>
              <w:rPr>
                <w:rFonts w:cstheme="minorHAnsi"/>
                <w:color w:val="000000"/>
                <w:sz w:val="16"/>
                <w:szCs w:val="16"/>
                <w:lang w:eastAsia="de-DE"/>
              </w:rPr>
            </w:pPr>
          </w:p>
        </w:tc>
        <w:tc>
          <w:tcPr>
            <w:tcW w:w="454" w:type="dxa"/>
            <w:vAlign w:val="center"/>
          </w:tcPr>
          <w:p w14:paraId="0222D5BB"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0D6E2AE6" w14:textId="77777777" w:rsidR="00A2760B" w:rsidRPr="00C356A8" w:rsidRDefault="00A2760B" w:rsidP="005E11BB">
            <w:pPr>
              <w:rPr>
                <w:rFonts w:cstheme="minorHAnsi"/>
                <w:color w:val="000000"/>
                <w:sz w:val="16"/>
                <w:szCs w:val="16"/>
                <w:lang w:eastAsia="de-DE"/>
              </w:rPr>
            </w:pPr>
          </w:p>
        </w:tc>
      </w:tr>
      <w:tr w:rsidR="00A2760B" w:rsidRPr="00C356A8" w14:paraId="707331E0" w14:textId="77777777" w:rsidTr="005E11BB">
        <w:trPr>
          <w:trHeight w:val="227"/>
        </w:trPr>
        <w:tc>
          <w:tcPr>
            <w:tcW w:w="4126" w:type="dxa"/>
            <w:shd w:val="clear" w:color="auto" w:fill="auto"/>
            <w:noWrap/>
            <w:vAlign w:val="center"/>
          </w:tcPr>
          <w:p w14:paraId="30A0E544" w14:textId="77777777" w:rsidR="00A2760B" w:rsidRPr="00C356A8" w:rsidRDefault="00A2760B" w:rsidP="005E11BB">
            <w:pPr>
              <w:rPr>
                <w:rFonts w:cstheme="minorHAnsi"/>
                <w:i/>
                <w:color w:val="000000"/>
                <w:sz w:val="16"/>
                <w:szCs w:val="16"/>
                <w:lang w:eastAsia="de-DE"/>
              </w:rPr>
            </w:pPr>
            <w:r w:rsidRPr="00C356A8">
              <w:rPr>
                <w:rFonts w:cstheme="minorHAnsi"/>
                <w:i/>
                <w:color w:val="000000"/>
                <w:sz w:val="16"/>
                <w:szCs w:val="16"/>
                <w:lang w:eastAsia="de-DE"/>
              </w:rPr>
              <w:t>Year of study</w:t>
            </w:r>
          </w:p>
        </w:tc>
        <w:tc>
          <w:tcPr>
            <w:tcW w:w="454" w:type="dxa"/>
            <w:vAlign w:val="center"/>
          </w:tcPr>
          <w:p w14:paraId="27882C8F"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2E222F09" w14:textId="77777777" w:rsidR="00A2760B" w:rsidRPr="00C356A8" w:rsidRDefault="00A2760B" w:rsidP="005E11BB">
            <w:pPr>
              <w:rPr>
                <w:rFonts w:cstheme="minorHAnsi"/>
                <w:color w:val="000000"/>
                <w:sz w:val="16"/>
                <w:szCs w:val="16"/>
                <w:lang w:eastAsia="de-DE"/>
              </w:rPr>
            </w:pPr>
          </w:p>
        </w:tc>
      </w:tr>
      <w:tr w:rsidR="00A2760B" w:rsidRPr="00C356A8" w14:paraId="4382A9EE" w14:textId="77777777" w:rsidTr="005E11BB">
        <w:trPr>
          <w:trHeight w:val="227"/>
        </w:trPr>
        <w:tc>
          <w:tcPr>
            <w:tcW w:w="4126" w:type="dxa"/>
            <w:shd w:val="clear" w:color="auto" w:fill="auto"/>
            <w:noWrap/>
            <w:vAlign w:val="center"/>
          </w:tcPr>
          <w:p w14:paraId="0E4D54C4"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1</w:t>
            </w:r>
            <w:r w:rsidRPr="00C356A8">
              <w:rPr>
                <w:rFonts w:cstheme="minorHAnsi"/>
                <w:color w:val="000000"/>
                <w:sz w:val="16"/>
                <w:szCs w:val="16"/>
                <w:vertAlign w:val="superscript"/>
                <w:lang w:eastAsia="de-DE"/>
              </w:rPr>
              <w:t xml:space="preserve">st </w:t>
            </w:r>
            <w:r w:rsidRPr="00C356A8">
              <w:rPr>
                <w:rFonts w:cstheme="minorHAnsi"/>
                <w:color w:val="000000"/>
                <w:sz w:val="16"/>
                <w:szCs w:val="16"/>
                <w:lang w:eastAsia="de-DE"/>
              </w:rPr>
              <w:t>(reference)</w:t>
            </w:r>
          </w:p>
        </w:tc>
        <w:tc>
          <w:tcPr>
            <w:tcW w:w="454" w:type="dxa"/>
            <w:vAlign w:val="center"/>
          </w:tcPr>
          <w:p w14:paraId="47B99661"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1.00</w:t>
            </w:r>
          </w:p>
        </w:tc>
        <w:tc>
          <w:tcPr>
            <w:tcW w:w="4649" w:type="dxa"/>
            <w:vAlign w:val="center"/>
          </w:tcPr>
          <w:p w14:paraId="35CAE367" w14:textId="77777777" w:rsidR="00A2760B" w:rsidRPr="00C356A8" w:rsidRDefault="00A2760B" w:rsidP="005E11BB">
            <w:pPr>
              <w:rPr>
                <w:rFonts w:cstheme="minorHAnsi"/>
                <w:color w:val="000000"/>
                <w:sz w:val="16"/>
                <w:szCs w:val="16"/>
                <w:lang w:eastAsia="de-DE"/>
              </w:rPr>
            </w:pPr>
          </w:p>
        </w:tc>
      </w:tr>
      <w:tr w:rsidR="00A2760B" w:rsidRPr="00C356A8" w14:paraId="7B731E9E" w14:textId="77777777" w:rsidTr="005E11BB">
        <w:trPr>
          <w:trHeight w:val="227"/>
        </w:trPr>
        <w:tc>
          <w:tcPr>
            <w:tcW w:w="4126" w:type="dxa"/>
            <w:shd w:val="clear" w:color="auto" w:fill="auto"/>
            <w:noWrap/>
            <w:vAlign w:val="center"/>
          </w:tcPr>
          <w:p w14:paraId="06BDDC31"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2</w:t>
            </w:r>
            <w:r w:rsidRPr="00C356A8">
              <w:rPr>
                <w:rFonts w:cstheme="minorHAnsi"/>
                <w:color w:val="000000"/>
                <w:sz w:val="16"/>
                <w:szCs w:val="16"/>
                <w:vertAlign w:val="superscript"/>
                <w:lang w:eastAsia="de-DE"/>
              </w:rPr>
              <w:t>nd</w:t>
            </w:r>
          </w:p>
        </w:tc>
        <w:tc>
          <w:tcPr>
            <w:tcW w:w="454" w:type="dxa"/>
            <w:vAlign w:val="center"/>
          </w:tcPr>
          <w:p w14:paraId="3CB4F747"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0.84</w:t>
            </w:r>
          </w:p>
        </w:tc>
        <w:tc>
          <w:tcPr>
            <w:tcW w:w="4649" w:type="dxa"/>
            <w:vAlign w:val="center"/>
          </w:tcPr>
          <w:p w14:paraId="057F3078"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(0.68-1.04)</w:t>
            </w:r>
          </w:p>
        </w:tc>
      </w:tr>
      <w:tr w:rsidR="00A2760B" w:rsidRPr="00C356A8" w14:paraId="2E4BDE2E" w14:textId="77777777" w:rsidTr="005E11BB">
        <w:trPr>
          <w:trHeight w:val="227"/>
        </w:trPr>
        <w:tc>
          <w:tcPr>
            <w:tcW w:w="4126" w:type="dxa"/>
            <w:shd w:val="clear" w:color="auto" w:fill="auto"/>
            <w:noWrap/>
            <w:vAlign w:val="center"/>
          </w:tcPr>
          <w:p w14:paraId="0A6A87FE"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3</w:t>
            </w:r>
            <w:r w:rsidRPr="00C356A8">
              <w:rPr>
                <w:rFonts w:cstheme="minorHAnsi"/>
                <w:color w:val="000000"/>
                <w:sz w:val="16"/>
                <w:szCs w:val="16"/>
                <w:vertAlign w:val="superscript"/>
                <w:lang w:eastAsia="de-DE"/>
              </w:rPr>
              <w:t>rd</w:t>
            </w:r>
          </w:p>
        </w:tc>
        <w:tc>
          <w:tcPr>
            <w:tcW w:w="454" w:type="dxa"/>
            <w:vAlign w:val="center"/>
          </w:tcPr>
          <w:p w14:paraId="33EFC0AA"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0.99</w:t>
            </w:r>
          </w:p>
        </w:tc>
        <w:tc>
          <w:tcPr>
            <w:tcW w:w="4649" w:type="dxa"/>
            <w:vAlign w:val="center"/>
          </w:tcPr>
          <w:p w14:paraId="0FBF05BD"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(0.78-1.24)</w:t>
            </w:r>
          </w:p>
        </w:tc>
      </w:tr>
      <w:tr w:rsidR="00A2760B" w:rsidRPr="00C356A8" w14:paraId="1CBD1BF6" w14:textId="77777777" w:rsidTr="005E11BB">
        <w:trPr>
          <w:trHeight w:val="227"/>
        </w:trPr>
        <w:tc>
          <w:tcPr>
            <w:tcW w:w="4126" w:type="dxa"/>
            <w:shd w:val="clear" w:color="auto" w:fill="auto"/>
            <w:noWrap/>
            <w:vAlign w:val="center"/>
          </w:tcPr>
          <w:p w14:paraId="2F975F3B"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4</w:t>
            </w:r>
            <w:r w:rsidRPr="00C356A8">
              <w:rPr>
                <w:rFonts w:cstheme="minorHAnsi"/>
                <w:color w:val="000000"/>
                <w:sz w:val="16"/>
                <w:szCs w:val="16"/>
                <w:vertAlign w:val="superscript"/>
                <w:lang w:eastAsia="de-DE"/>
              </w:rPr>
              <w:t>th</w:t>
            </w:r>
          </w:p>
        </w:tc>
        <w:tc>
          <w:tcPr>
            <w:tcW w:w="454" w:type="dxa"/>
            <w:vAlign w:val="center"/>
          </w:tcPr>
          <w:p w14:paraId="5D2D3013"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1.02</w:t>
            </w:r>
          </w:p>
        </w:tc>
        <w:tc>
          <w:tcPr>
            <w:tcW w:w="4649" w:type="dxa"/>
            <w:vAlign w:val="center"/>
          </w:tcPr>
          <w:p w14:paraId="299A3A58"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(0.77-1.37)</w:t>
            </w:r>
          </w:p>
        </w:tc>
      </w:tr>
      <w:tr w:rsidR="00A2760B" w:rsidRPr="00C356A8" w14:paraId="0389FA70" w14:textId="77777777" w:rsidTr="005E11BB">
        <w:trPr>
          <w:trHeight w:val="227"/>
        </w:trPr>
        <w:tc>
          <w:tcPr>
            <w:tcW w:w="4126" w:type="dxa"/>
            <w:shd w:val="clear" w:color="auto" w:fill="auto"/>
            <w:noWrap/>
            <w:vAlign w:val="center"/>
          </w:tcPr>
          <w:p w14:paraId="1DE6659D"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5</w:t>
            </w:r>
            <w:r w:rsidRPr="00C356A8">
              <w:rPr>
                <w:rFonts w:cstheme="minorHAnsi"/>
                <w:color w:val="000000"/>
                <w:sz w:val="16"/>
                <w:szCs w:val="16"/>
                <w:vertAlign w:val="superscript"/>
                <w:lang w:eastAsia="de-DE"/>
              </w:rPr>
              <w:t>th</w:t>
            </w:r>
          </w:p>
        </w:tc>
        <w:tc>
          <w:tcPr>
            <w:tcW w:w="454" w:type="dxa"/>
            <w:vAlign w:val="center"/>
          </w:tcPr>
          <w:p w14:paraId="2AD5092F"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1.04</w:t>
            </w:r>
          </w:p>
        </w:tc>
        <w:tc>
          <w:tcPr>
            <w:tcW w:w="4649" w:type="dxa"/>
            <w:vAlign w:val="center"/>
          </w:tcPr>
          <w:p w14:paraId="49CE1F0C"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(0.73-1.47)</w:t>
            </w:r>
          </w:p>
        </w:tc>
      </w:tr>
      <w:tr w:rsidR="00A2760B" w:rsidRPr="00C356A8" w14:paraId="7D20B533" w14:textId="77777777" w:rsidTr="005E11BB">
        <w:trPr>
          <w:trHeight w:val="227"/>
        </w:trPr>
        <w:tc>
          <w:tcPr>
            <w:tcW w:w="4126" w:type="dxa"/>
            <w:shd w:val="clear" w:color="auto" w:fill="auto"/>
            <w:noWrap/>
            <w:vAlign w:val="center"/>
          </w:tcPr>
          <w:p w14:paraId="5F593D74"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&gt; 5</w:t>
            </w:r>
            <w:r w:rsidRPr="00C356A8">
              <w:rPr>
                <w:rFonts w:cstheme="minorHAnsi"/>
                <w:color w:val="000000"/>
                <w:sz w:val="16"/>
                <w:szCs w:val="16"/>
                <w:vertAlign w:val="superscript"/>
                <w:lang w:eastAsia="de-DE"/>
              </w:rPr>
              <w:t>th</w:t>
            </w:r>
          </w:p>
        </w:tc>
        <w:tc>
          <w:tcPr>
            <w:tcW w:w="454" w:type="dxa"/>
            <w:vAlign w:val="center"/>
          </w:tcPr>
          <w:p w14:paraId="7D976FC4"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0.97</w:t>
            </w:r>
          </w:p>
        </w:tc>
        <w:tc>
          <w:tcPr>
            <w:tcW w:w="4649" w:type="dxa"/>
            <w:vAlign w:val="center"/>
          </w:tcPr>
          <w:p w14:paraId="35A7B03C"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(0.60-1.54)</w:t>
            </w:r>
          </w:p>
        </w:tc>
      </w:tr>
      <w:tr w:rsidR="00A2760B" w:rsidRPr="00C356A8" w14:paraId="27BDCAF2" w14:textId="77777777" w:rsidTr="005E11BB">
        <w:trPr>
          <w:trHeight w:val="57"/>
        </w:trPr>
        <w:tc>
          <w:tcPr>
            <w:tcW w:w="4126" w:type="dxa"/>
            <w:shd w:val="clear" w:color="auto" w:fill="auto"/>
            <w:noWrap/>
            <w:vAlign w:val="center"/>
          </w:tcPr>
          <w:p w14:paraId="6AD469B3" w14:textId="77777777" w:rsidR="00A2760B" w:rsidRPr="00C356A8" w:rsidRDefault="00A2760B" w:rsidP="005E11BB">
            <w:pPr>
              <w:rPr>
                <w:rFonts w:cstheme="minorHAnsi"/>
                <w:color w:val="000000"/>
                <w:sz w:val="16"/>
                <w:szCs w:val="16"/>
                <w:lang w:eastAsia="de-DE"/>
              </w:rPr>
            </w:pPr>
          </w:p>
        </w:tc>
        <w:tc>
          <w:tcPr>
            <w:tcW w:w="454" w:type="dxa"/>
            <w:vAlign w:val="center"/>
          </w:tcPr>
          <w:p w14:paraId="71E7E1C0"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67CC67FA" w14:textId="77777777" w:rsidR="00A2760B" w:rsidRPr="00C356A8" w:rsidRDefault="00A2760B" w:rsidP="005E11BB">
            <w:pPr>
              <w:rPr>
                <w:rFonts w:cstheme="minorHAnsi"/>
                <w:color w:val="000000"/>
                <w:sz w:val="16"/>
                <w:szCs w:val="16"/>
                <w:lang w:eastAsia="de-DE"/>
              </w:rPr>
            </w:pPr>
          </w:p>
        </w:tc>
      </w:tr>
      <w:tr w:rsidR="00A2760B" w:rsidRPr="00C356A8" w14:paraId="528721F2" w14:textId="77777777" w:rsidTr="005E11BB">
        <w:trPr>
          <w:trHeight w:val="227"/>
        </w:trPr>
        <w:tc>
          <w:tcPr>
            <w:tcW w:w="4126" w:type="dxa"/>
            <w:shd w:val="clear" w:color="auto" w:fill="auto"/>
            <w:noWrap/>
            <w:vAlign w:val="center"/>
          </w:tcPr>
          <w:p w14:paraId="371F79AF" w14:textId="77777777" w:rsidR="00A2760B" w:rsidRPr="00C356A8" w:rsidRDefault="00A2760B" w:rsidP="005E11BB">
            <w:pPr>
              <w:rPr>
                <w:rFonts w:cstheme="minorHAnsi"/>
                <w:i/>
                <w:color w:val="000000"/>
                <w:sz w:val="16"/>
                <w:szCs w:val="16"/>
                <w:lang w:eastAsia="de-DE"/>
              </w:rPr>
            </w:pPr>
            <w:r w:rsidRPr="00C356A8">
              <w:rPr>
                <w:rFonts w:cstheme="minorHAnsi"/>
                <w:i/>
                <w:color w:val="000000"/>
                <w:sz w:val="16"/>
                <w:szCs w:val="16"/>
                <w:lang w:eastAsia="de-DE"/>
              </w:rPr>
              <w:t>Living situation</w:t>
            </w:r>
          </w:p>
        </w:tc>
        <w:tc>
          <w:tcPr>
            <w:tcW w:w="454" w:type="dxa"/>
            <w:vAlign w:val="center"/>
          </w:tcPr>
          <w:p w14:paraId="4D8C0B43" w14:textId="77777777" w:rsidR="00A2760B" w:rsidRPr="00C356A8" w:rsidRDefault="00A2760B" w:rsidP="005E11BB">
            <w:pPr>
              <w:rPr>
                <w:rFonts w:asciiTheme="minorHAnsi" w:hAnsiTheme="minorHAnsi" w:cstheme="minorHAnsi"/>
                <w:color w:val="000000"/>
                <w:sz w:val="16"/>
                <w:szCs w:val="16"/>
                <w:lang w:eastAsia="de-DE"/>
              </w:rPr>
            </w:pPr>
          </w:p>
        </w:tc>
        <w:tc>
          <w:tcPr>
            <w:tcW w:w="4649" w:type="dxa"/>
            <w:vAlign w:val="center"/>
          </w:tcPr>
          <w:p w14:paraId="1098D745" w14:textId="77777777" w:rsidR="00A2760B" w:rsidRPr="00C356A8" w:rsidRDefault="00A2760B" w:rsidP="005E11BB">
            <w:pPr>
              <w:rPr>
                <w:rFonts w:cstheme="minorHAnsi"/>
                <w:color w:val="000000"/>
                <w:sz w:val="16"/>
                <w:szCs w:val="16"/>
                <w:lang w:eastAsia="de-DE"/>
              </w:rPr>
            </w:pPr>
          </w:p>
        </w:tc>
      </w:tr>
      <w:tr w:rsidR="00A2760B" w:rsidRPr="00C356A8" w14:paraId="217C8078" w14:textId="77777777" w:rsidTr="005E11BB">
        <w:trPr>
          <w:trHeight w:val="227"/>
        </w:trPr>
        <w:tc>
          <w:tcPr>
            <w:tcW w:w="4126" w:type="dxa"/>
            <w:shd w:val="clear" w:color="auto" w:fill="auto"/>
            <w:noWrap/>
            <w:vAlign w:val="center"/>
          </w:tcPr>
          <w:p w14:paraId="252E1D61"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With other students (reference)</w:t>
            </w:r>
          </w:p>
        </w:tc>
        <w:tc>
          <w:tcPr>
            <w:tcW w:w="454" w:type="dxa"/>
            <w:vAlign w:val="center"/>
          </w:tcPr>
          <w:p w14:paraId="7529CB41"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1.00</w:t>
            </w:r>
          </w:p>
        </w:tc>
        <w:tc>
          <w:tcPr>
            <w:tcW w:w="4649" w:type="dxa"/>
            <w:vAlign w:val="center"/>
          </w:tcPr>
          <w:p w14:paraId="5F678595" w14:textId="77777777" w:rsidR="00A2760B" w:rsidRPr="00C356A8" w:rsidRDefault="00A2760B" w:rsidP="005E11BB">
            <w:pPr>
              <w:rPr>
                <w:rFonts w:cstheme="minorHAnsi"/>
                <w:color w:val="000000"/>
                <w:sz w:val="16"/>
                <w:szCs w:val="16"/>
                <w:lang w:eastAsia="de-DE"/>
              </w:rPr>
            </w:pPr>
          </w:p>
        </w:tc>
      </w:tr>
      <w:tr w:rsidR="00A2760B" w:rsidRPr="00C356A8" w14:paraId="2D9E928C" w14:textId="77777777" w:rsidTr="005E11BB">
        <w:trPr>
          <w:trHeight w:val="227"/>
        </w:trPr>
        <w:tc>
          <w:tcPr>
            <w:tcW w:w="4126" w:type="dxa"/>
            <w:shd w:val="clear" w:color="auto" w:fill="auto"/>
            <w:noWrap/>
            <w:vAlign w:val="center"/>
          </w:tcPr>
          <w:p w14:paraId="40593F2E"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Alone or with partner</w:t>
            </w:r>
          </w:p>
        </w:tc>
        <w:tc>
          <w:tcPr>
            <w:tcW w:w="454" w:type="dxa"/>
            <w:vAlign w:val="center"/>
          </w:tcPr>
          <w:p w14:paraId="3AD99B68"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0.82</w:t>
            </w:r>
          </w:p>
        </w:tc>
        <w:tc>
          <w:tcPr>
            <w:tcW w:w="4649" w:type="dxa"/>
            <w:vAlign w:val="center"/>
          </w:tcPr>
          <w:p w14:paraId="492BBA80"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(0.64-1.06)</w:t>
            </w:r>
          </w:p>
        </w:tc>
      </w:tr>
      <w:tr w:rsidR="00A2760B" w:rsidRPr="00C356A8" w14:paraId="1BF1D25A" w14:textId="77777777" w:rsidTr="005E11BB">
        <w:trPr>
          <w:trHeight w:val="227"/>
        </w:trPr>
        <w:tc>
          <w:tcPr>
            <w:tcW w:w="4126" w:type="dxa"/>
            <w:shd w:val="clear" w:color="auto" w:fill="auto"/>
            <w:noWrap/>
            <w:vAlign w:val="center"/>
          </w:tcPr>
          <w:p w14:paraId="3768DABA"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With parents</w:t>
            </w:r>
          </w:p>
        </w:tc>
        <w:tc>
          <w:tcPr>
            <w:tcW w:w="454" w:type="dxa"/>
            <w:vAlign w:val="center"/>
          </w:tcPr>
          <w:p w14:paraId="4C9BF18E"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1.06</w:t>
            </w:r>
          </w:p>
        </w:tc>
        <w:tc>
          <w:tcPr>
            <w:tcW w:w="4649" w:type="dxa"/>
            <w:vAlign w:val="center"/>
          </w:tcPr>
          <w:p w14:paraId="158EA237"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(0.87-1.28)</w:t>
            </w:r>
          </w:p>
        </w:tc>
      </w:tr>
      <w:tr w:rsidR="00A2760B" w:rsidRPr="00C356A8" w14:paraId="3C84E22B" w14:textId="77777777" w:rsidTr="005E11BB">
        <w:trPr>
          <w:trHeight w:val="227"/>
        </w:trPr>
        <w:tc>
          <w:tcPr>
            <w:tcW w:w="4126" w:type="dxa"/>
            <w:tcBorders>
              <w:bottom w:val="single" w:sz="4" w:space="0" w:color="auto"/>
            </w:tcBorders>
            <w:shd w:val="clear" w:color="auto" w:fill="auto"/>
            <w:noWrap/>
            <w:vAlign w:val="center"/>
          </w:tcPr>
          <w:p w14:paraId="271F8D48"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Other</w:t>
            </w:r>
          </w:p>
        </w:tc>
        <w:tc>
          <w:tcPr>
            <w:tcW w:w="454" w:type="dxa"/>
            <w:tcBorders>
              <w:bottom w:val="single" w:sz="4" w:space="0" w:color="auto"/>
            </w:tcBorders>
            <w:vAlign w:val="center"/>
          </w:tcPr>
          <w:p w14:paraId="007BBAAF" w14:textId="77777777" w:rsidR="00A2760B" w:rsidRPr="00C356A8" w:rsidRDefault="00A2760B" w:rsidP="005E11BB">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0.63</w:t>
            </w:r>
          </w:p>
        </w:tc>
        <w:tc>
          <w:tcPr>
            <w:tcW w:w="4649" w:type="dxa"/>
            <w:tcBorders>
              <w:bottom w:val="single" w:sz="4" w:space="0" w:color="auto"/>
            </w:tcBorders>
            <w:vAlign w:val="center"/>
          </w:tcPr>
          <w:p w14:paraId="25B56F8B" w14:textId="77777777" w:rsidR="00A2760B" w:rsidRPr="00C356A8" w:rsidRDefault="00A2760B" w:rsidP="005E11BB">
            <w:pPr>
              <w:rPr>
                <w:rFonts w:cstheme="minorHAnsi"/>
                <w:color w:val="000000"/>
                <w:sz w:val="16"/>
                <w:szCs w:val="16"/>
                <w:lang w:eastAsia="de-DE"/>
              </w:rPr>
            </w:pPr>
            <w:r w:rsidRPr="00C356A8">
              <w:rPr>
                <w:rFonts w:cstheme="minorHAnsi"/>
                <w:color w:val="000000"/>
                <w:sz w:val="16"/>
                <w:szCs w:val="16"/>
                <w:lang w:eastAsia="de-DE"/>
              </w:rPr>
              <w:t>(0.39-1.02)</w:t>
            </w:r>
          </w:p>
        </w:tc>
      </w:tr>
    </w:tbl>
    <w:p w14:paraId="50E55337" w14:textId="77777777" w:rsidR="00A2760B" w:rsidRPr="00C356A8" w:rsidRDefault="00A2760B" w:rsidP="00A2760B">
      <w:pPr>
        <w:autoSpaceDE w:val="0"/>
        <w:autoSpaceDN w:val="0"/>
        <w:adjustRightInd w:val="0"/>
        <w:jc w:val="both"/>
        <w:rPr>
          <w:rFonts w:asciiTheme="minorHAnsi" w:hAnsiTheme="minorHAnsi" w:cstheme="minorHAnsi"/>
          <w:color w:val="000000"/>
        </w:rPr>
      </w:pPr>
      <w:r w:rsidRPr="00C356A8">
        <w:rPr>
          <w:rFonts w:cstheme="minorHAnsi"/>
          <w:color w:val="000000"/>
          <w:sz w:val="16"/>
          <w:szCs w:val="16"/>
          <w:vertAlign w:val="superscript"/>
          <w:lang w:eastAsia="de-DE"/>
        </w:rPr>
        <w:t xml:space="preserve">a </w:t>
      </w:r>
      <w:r w:rsidRPr="00C356A8">
        <w:rPr>
          <w:rFonts w:cstheme="minorHAnsi"/>
          <w:color w:val="000000"/>
          <w:sz w:val="16"/>
          <w:szCs w:val="16"/>
          <w:lang w:eastAsia="de-DE"/>
        </w:rPr>
        <w:t>‘Ok to use occasionally if it doesn't interfere with work or study’, ‘Ok to use frequently if it doesn't interfere with work or study’, ‘Ok to use occasionally even if it does interfere with work or study’, and ‘Ok to use frequently if that is what the person wants to do’.</w:t>
      </w:r>
    </w:p>
    <w:p w14:paraId="6E16E791" w14:textId="77777777" w:rsidR="00A2760B" w:rsidRPr="00C356A8" w:rsidRDefault="00A2760B" w:rsidP="00CD52C0">
      <w:pPr>
        <w:autoSpaceDE w:val="0"/>
        <w:autoSpaceDN w:val="0"/>
        <w:adjustRightInd w:val="0"/>
        <w:spacing w:line="360" w:lineRule="auto"/>
        <w:jc w:val="both"/>
        <w:rPr>
          <w:rFonts w:asciiTheme="minorHAnsi" w:hAnsiTheme="minorHAnsi" w:cstheme="minorHAnsi"/>
          <w:color w:val="000000"/>
        </w:rPr>
      </w:pPr>
    </w:p>
    <w:p w14:paraId="1115CAA4" w14:textId="626DA80B" w:rsidR="00785E63" w:rsidRPr="00C356A8" w:rsidRDefault="00CD52C0" w:rsidP="00CD52C0">
      <w:pPr>
        <w:autoSpaceDE w:val="0"/>
        <w:autoSpaceDN w:val="0"/>
        <w:adjustRightInd w:val="0"/>
        <w:spacing w:line="360" w:lineRule="auto"/>
        <w:jc w:val="both"/>
        <w:rPr>
          <w:rFonts w:asciiTheme="minorHAnsi" w:hAnsiTheme="minorHAnsi" w:cstheme="minorHAnsi"/>
          <w:color w:val="000000"/>
        </w:rPr>
      </w:pPr>
      <w:r w:rsidRPr="00C356A8">
        <w:rPr>
          <w:rFonts w:asciiTheme="minorHAnsi" w:hAnsiTheme="minorHAnsi" w:cstheme="minorHAnsi"/>
          <w:color w:val="000000"/>
        </w:rPr>
        <w:t xml:space="preserve">Interaction terms in the descriptive norms model </w:t>
      </w:r>
      <w:r w:rsidR="009F56B3" w:rsidRPr="00C356A8">
        <w:rPr>
          <w:rFonts w:asciiTheme="minorHAnsi" w:hAnsiTheme="minorHAnsi" w:cstheme="minorHAnsi"/>
          <w:color w:val="000000"/>
        </w:rPr>
        <w:t>provided no evidence that the</w:t>
      </w:r>
      <w:r w:rsidRPr="00C356A8">
        <w:rPr>
          <w:rFonts w:asciiTheme="minorHAnsi" w:hAnsiTheme="minorHAnsi" w:cstheme="minorHAnsi"/>
          <w:color w:val="000000"/>
        </w:rPr>
        <w:t xml:space="preserve"> effect of perception on personal lifetime NP</w:t>
      </w:r>
      <w:r w:rsidR="00DB0189" w:rsidRPr="00C356A8">
        <w:rPr>
          <w:rFonts w:asciiTheme="minorHAnsi" w:hAnsiTheme="minorHAnsi" w:cstheme="minorHAnsi"/>
          <w:color w:val="000000"/>
        </w:rPr>
        <w:t>P</w:t>
      </w:r>
      <w:r w:rsidRPr="00C356A8">
        <w:rPr>
          <w:rFonts w:asciiTheme="minorHAnsi" w:hAnsiTheme="minorHAnsi" w:cstheme="minorHAnsi"/>
          <w:color w:val="000000"/>
        </w:rPr>
        <w:t xml:space="preserve">SSP use was </w:t>
      </w:r>
      <w:r w:rsidR="00C66407" w:rsidRPr="00C356A8">
        <w:rPr>
          <w:rFonts w:asciiTheme="minorHAnsi" w:hAnsiTheme="minorHAnsi" w:cstheme="minorHAnsi"/>
          <w:color w:val="000000"/>
        </w:rPr>
        <w:t xml:space="preserve">modified </w:t>
      </w:r>
      <w:r w:rsidRPr="00C356A8">
        <w:rPr>
          <w:rFonts w:asciiTheme="minorHAnsi" w:hAnsiTheme="minorHAnsi" w:cstheme="minorHAnsi"/>
          <w:color w:val="000000"/>
        </w:rPr>
        <w:t xml:space="preserve">by country or sex. In terms of injunctive norms, </w:t>
      </w:r>
      <w:r w:rsidR="00645B9B" w:rsidRPr="00C356A8">
        <w:rPr>
          <w:rFonts w:asciiTheme="minorHAnsi" w:hAnsiTheme="minorHAnsi" w:cstheme="minorHAnsi"/>
          <w:color w:val="000000"/>
        </w:rPr>
        <w:t xml:space="preserve">significant </w:t>
      </w:r>
      <w:r w:rsidRPr="00C356A8">
        <w:rPr>
          <w:rFonts w:asciiTheme="minorHAnsi" w:hAnsiTheme="minorHAnsi" w:cstheme="minorHAnsi"/>
          <w:color w:val="000000"/>
        </w:rPr>
        <w:t xml:space="preserve">interaction terms </w:t>
      </w:r>
      <w:r w:rsidR="00645B9B" w:rsidRPr="00C356A8">
        <w:rPr>
          <w:rFonts w:asciiTheme="minorHAnsi" w:hAnsiTheme="minorHAnsi" w:cstheme="minorHAnsi"/>
          <w:color w:val="000000"/>
        </w:rPr>
        <w:t>suggested</w:t>
      </w:r>
      <w:r w:rsidRPr="00C356A8">
        <w:rPr>
          <w:rFonts w:asciiTheme="minorHAnsi" w:hAnsiTheme="minorHAnsi" w:cstheme="minorHAnsi"/>
          <w:color w:val="000000"/>
        </w:rPr>
        <w:t xml:space="preserve"> that the effect of perception on personal </w:t>
      </w:r>
      <w:r w:rsidR="00070336" w:rsidRPr="00C356A8">
        <w:rPr>
          <w:rFonts w:asciiTheme="minorHAnsi" w:hAnsiTheme="minorHAnsi" w:cstheme="minorHAnsi"/>
          <w:color w:val="000000"/>
        </w:rPr>
        <w:t>attitude towards</w:t>
      </w:r>
      <w:r w:rsidRPr="00C356A8">
        <w:rPr>
          <w:rFonts w:asciiTheme="minorHAnsi" w:hAnsiTheme="minorHAnsi" w:cstheme="minorHAnsi"/>
          <w:color w:val="000000"/>
        </w:rPr>
        <w:t xml:space="preserve"> NP</w:t>
      </w:r>
      <w:r w:rsidR="00DB0189" w:rsidRPr="00C356A8">
        <w:rPr>
          <w:rFonts w:asciiTheme="minorHAnsi" w:hAnsiTheme="minorHAnsi" w:cstheme="minorHAnsi"/>
          <w:color w:val="000000"/>
        </w:rPr>
        <w:t>P</w:t>
      </w:r>
      <w:r w:rsidRPr="00C356A8">
        <w:rPr>
          <w:rFonts w:asciiTheme="minorHAnsi" w:hAnsiTheme="minorHAnsi" w:cstheme="minorHAnsi"/>
          <w:color w:val="000000"/>
        </w:rPr>
        <w:t xml:space="preserve">SSP use was significantly </w:t>
      </w:r>
      <w:r w:rsidR="00C66407" w:rsidRPr="00C356A8">
        <w:rPr>
          <w:rFonts w:asciiTheme="minorHAnsi" w:hAnsiTheme="minorHAnsi" w:cstheme="minorHAnsi"/>
          <w:color w:val="000000"/>
        </w:rPr>
        <w:t xml:space="preserve">modified </w:t>
      </w:r>
      <w:r w:rsidRPr="00C356A8">
        <w:rPr>
          <w:rFonts w:asciiTheme="minorHAnsi" w:hAnsiTheme="minorHAnsi" w:cstheme="minorHAnsi"/>
          <w:color w:val="000000"/>
        </w:rPr>
        <w:t>by country</w:t>
      </w:r>
      <w:r w:rsidR="00C66407" w:rsidRPr="00C356A8">
        <w:rPr>
          <w:rFonts w:asciiTheme="minorHAnsi" w:hAnsiTheme="minorHAnsi" w:cstheme="minorHAnsi"/>
          <w:color w:val="000000"/>
        </w:rPr>
        <w:t>,</w:t>
      </w:r>
      <w:r w:rsidRPr="00C356A8">
        <w:rPr>
          <w:rFonts w:asciiTheme="minorHAnsi" w:hAnsiTheme="minorHAnsi" w:cstheme="minorHAnsi"/>
          <w:color w:val="000000"/>
        </w:rPr>
        <w:t xml:space="preserve"> but not by sex. A stratified analysis of injunctive norms by country showed that the association between perception of peer approval and personal approval </w:t>
      </w:r>
      <w:r w:rsidR="0039081C" w:rsidRPr="00C356A8">
        <w:rPr>
          <w:rFonts w:asciiTheme="minorHAnsi" w:hAnsiTheme="minorHAnsi" w:cstheme="minorHAnsi"/>
          <w:color w:val="000000"/>
        </w:rPr>
        <w:t>was</w:t>
      </w:r>
      <w:r w:rsidRPr="00C356A8">
        <w:rPr>
          <w:rFonts w:asciiTheme="minorHAnsi" w:hAnsiTheme="minorHAnsi" w:cstheme="minorHAnsi"/>
          <w:color w:val="000000"/>
        </w:rPr>
        <w:t xml:space="preserve"> significant for all countries, except for the UK (Table </w:t>
      </w:r>
      <w:r w:rsidR="00DB0189" w:rsidRPr="00C356A8">
        <w:rPr>
          <w:rFonts w:asciiTheme="minorHAnsi" w:hAnsiTheme="minorHAnsi" w:cstheme="minorHAnsi"/>
          <w:color w:val="000000"/>
        </w:rPr>
        <w:t>5</w:t>
      </w:r>
      <w:r w:rsidRPr="00C356A8">
        <w:rPr>
          <w:rFonts w:asciiTheme="minorHAnsi" w:hAnsiTheme="minorHAnsi" w:cstheme="minorHAnsi"/>
          <w:color w:val="000000"/>
        </w:rPr>
        <w:t>).</w:t>
      </w:r>
    </w:p>
    <w:p w14:paraId="21513823" w14:textId="67E7738A" w:rsidR="0073341B" w:rsidRPr="00C356A8" w:rsidRDefault="0073341B" w:rsidP="00CD52C0">
      <w:pPr>
        <w:autoSpaceDE w:val="0"/>
        <w:autoSpaceDN w:val="0"/>
        <w:adjustRightInd w:val="0"/>
        <w:spacing w:line="360" w:lineRule="auto"/>
        <w:jc w:val="both"/>
        <w:rPr>
          <w:rFonts w:asciiTheme="minorHAnsi" w:hAnsiTheme="minorHAnsi" w:cstheme="minorHAnsi"/>
          <w:color w:val="000000"/>
        </w:rPr>
      </w:pPr>
    </w:p>
    <w:p w14:paraId="3548647A" w14:textId="2886F13F" w:rsidR="0073341B" w:rsidRPr="00C356A8" w:rsidRDefault="0073341B" w:rsidP="00CD52C0">
      <w:pPr>
        <w:autoSpaceDE w:val="0"/>
        <w:autoSpaceDN w:val="0"/>
        <w:adjustRightInd w:val="0"/>
        <w:spacing w:line="360" w:lineRule="auto"/>
        <w:jc w:val="both"/>
        <w:rPr>
          <w:rFonts w:asciiTheme="minorHAnsi" w:hAnsiTheme="minorHAnsi" w:cstheme="minorHAnsi"/>
          <w:color w:val="000000"/>
        </w:rPr>
      </w:pPr>
    </w:p>
    <w:p w14:paraId="7A2E74C1" w14:textId="77777777" w:rsidR="0073341B" w:rsidRPr="00C356A8" w:rsidRDefault="0073341B" w:rsidP="00CD52C0">
      <w:pPr>
        <w:autoSpaceDE w:val="0"/>
        <w:autoSpaceDN w:val="0"/>
        <w:adjustRightInd w:val="0"/>
        <w:spacing w:line="360" w:lineRule="auto"/>
        <w:jc w:val="both"/>
        <w:rPr>
          <w:rFonts w:asciiTheme="minorHAnsi" w:hAnsiTheme="minorHAnsi" w:cstheme="minorHAnsi"/>
          <w:color w:val="000000"/>
        </w:rPr>
      </w:pPr>
    </w:p>
    <w:p w14:paraId="52076124" w14:textId="78BD2288" w:rsidR="00A06F9F" w:rsidRPr="00C356A8" w:rsidRDefault="00A06F9F" w:rsidP="00A06F9F">
      <w:pPr>
        <w:autoSpaceDE w:val="0"/>
        <w:autoSpaceDN w:val="0"/>
        <w:adjustRightInd w:val="0"/>
        <w:spacing w:line="360" w:lineRule="auto"/>
        <w:jc w:val="both"/>
        <w:rPr>
          <w:rFonts w:asciiTheme="minorHAnsi" w:hAnsiTheme="minorHAnsi" w:cstheme="minorHAnsi"/>
          <w:b/>
          <w:color w:val="000000"/>
        </w:rPr>
      </w:pPr>
      <w:r w:rsidRPr="00C356A8">
        <w:rPr>
          <w:rFonts w:asciiTheme="minorHAnsi" w:hAnsiTheme="minorHAnsi" w:cstheme="minorHAnsi"/>
          <w:b/>
          <w:color w:val="000000"/>
        </w:rPr>
        <w:lastRenderedPageBreak/>
        <w:t xml:space="preserve">Table </w:t>
      </w:r>
      <w:r w:rsidR="00DB0189" w:rsidRPr="00C356A8">
        <w:rPr>
          <w:rFonts w:asciiTheme="minorHAnsi" w:hAnsiTheme="minorHAnsi" w:cstheme="minorHAnsi"/>
          <w:b/>
          <w:color w:val="000000"/>
        </w:rPr>
        <w:t>5</w:t>
      </w:r>
      <w:r w:rsidRPr="00C356A8">
        <w:rPr>
          <w:rFonts w:asciiTheme="minorHAnsi" w:hAnsiTheme="minorHAnsi" w:cstheme="minorHAnsi"/>
          <w:b/>
          <w:color w:val="000000"/>
        </w:rPr>
        <w:t xml:space="preserve"> Association between personal attitude towards NP</w:t>
      </w:r>
      <w:r w:rsidR="00DB0189" w:rsidRPr="00C356A8">
        <w:rPr>
          <w:rFonts w:asciiTheme="minorHAnsi" w:hAnsiTheme="minorHAnsi" w:cstheme="minorHAnsi"/>
          <w:b/>
          <w:color w:val="000000"/>
        </w:rPr>
        <w:t>P</w:t>
      </w:r>
      <w:r w:rsidRPr="00C356A8">
        <w:rPr>
          <w:rFonts w:asciiTheme="minorHAnsi" w:hAnsiTheme="minorHAnsi" w:cstheme="minorHAnsi"/>
          <w:b/>
          <w:color w:val="000000"/>
        </w:rPr>
        <w:t>SSP use and perceived attitude of peers stratified by country adjusted for personal NP</w:t>
      </w:r>
      <w:r w:rsidR="00DB0189" w:rsidRPr="00C356A8">
        <w:rPr>
          <w:rFonts w:asciiTheme="minorHAnsi" w:hAnsiTheme="minorHAnsi" w:cstheme="minorHAnsi"/>
          <w:b/>
          <w:color w:val="000000"/>
        </w:rPr>
        <w:t>P</w:t>
      </w:r>
      <w:r w:rsidRPr="00C356A8">
        <w:rPr>
          <w:rFonts w:asciiTheme="minorHAnsi" w:hAnsiTheme="minorHAnsi" w:cstheme="minorHAnsi"/>
          <w:b/>
          <w:color w:val="000000"/>
        </w:rPr>
        <w:t>SSP use, age, sex, year of study, and living situation</w:t>
      </w:r>
    </w:p>
    <w:tbl>
      <w:tblPr>
        <w:tblW w:w="4807" w:type="dxa"/>
        <w:tblInd w:w="55" w:type="dxa"/>
        <w:tblCellMar>
          <w:left w:w="70" w:type="dxa"/>
          <w:right w:w="70" w:type="dxa"/>
        </w:tblCellMar>
        <w:tblLook w:val="04A0" w:firstRow="1" w:lastRow="0" w:firstColumn="1" w:lastColumn="0" w:noHBand="0" w:noVBand="1"/>
      </w:tblPr>
      <w:tblGrid>
        <w:gridCol w:w="2142"/>
        <w:gridCol w:w="510"/>
        <w:gridCol w:w="2155"/>
      </w:tblGrid>
      <w:tr w:rsidR="00A06F9F" w:rsidRPr="00C356A8" w14:paraId="374022F9" w14:textId="77777777" w:rsidTr="00DB0189">
        <w:trPr>
          <w:trHeight w:val="283"/>
        </w:trPr>
        <w:tc>
          <w:tcPr>
            <w:tcW w:w="2142" w:type="dxa"/>
            <w:tcBorders>
              <w:top w:val="single" w:sz="4" w:space="0" w:color="auto"/>
            </w:tcBorders>
            <w:shd w:val="clear" w:color="auto" w:fill="auto"/>
            <w:noWrap/>
            <w:vAlign w:val="center"/>
          </w:tcPr>
          <w:p w14:paraId="00268B48" w14:textId="77777777" w:rsidR="00A06F9F" w:rsidRPr="00C356A8" w:rsidRDefault="00A06F9F" w:rsidP="00DE34C8">
            <w:pPr>
              <w:rPr>
                <w:rFonts w:asciiTheme="minorHAnsi" w:hAnsiTheme="minorHAnsi" w:cstheme="minorHAnsi"/>
                <w:bCs/>
                <w:i/>
                <w:color w:val="000000"/>
                <w:sz w:val="16"/>
                <w:szCs w:val="16"/>
                <w:lang w:eastAsia="de-DE"/>
              </w:rPr>
            </w:pPr>
            <w:r w:rsidRPr="00C356A8">
              <w:rPr>
                <w:rFonts w:cstheme="minorHAnsi"/>
                <w:color w:val="000000"/>
                <w:sz w:val="16"/>
                <w:szCs w:val="16"/>
                <w:lang w:eastAsia="de-DE"/>
              </w:rPr>
              <w:t>Country</w:t>
            </w:r>
          </w:p>
        </w:tc>
        <w:tc>
          <w:tcPr>
            <w:tcW w:w="2665" w:type="dxa"/>
            <w:gridSpan w:val="2"/>
            <w:tcBorders>
              <w:top w:val="single" w:sz="4" w:space="0" w:color="auto"/>
              <w:bottom w:val="single" w:sz="4" w:space="0" w:color="auto"/>
            </w:tcBorders>
            <w:shd w:val="clear" w:color="auto" w:fill="auto"/>
            <w:noWrap/>
            <w:vAlign w:val="center"/>
          </w:tcPr>
          <w:p w14:paraId="61B9FD88" w14:textId="4C9F0023" w:rsidR="00A06F9F" w:rsidRPr="00C356A8" w:rsidRDefault="00A06F9F" w:rsidP="00DE34C8">
            <w:pPr>
              <w:rPr>
                <w:rFonts w:asciiTheme="minorHAnsi" w:hAnsiTheme="minorHAnsi" w:cstheme="minorHAnsi"/>
                <w:color w:val="000000"/>
                <w:sz w:val="16"/>
                <w:szCs w:val="16"/>
                <w:vertAlign w:val="superscript"/>
                <w:lang w:eastAsia="de-DE"/>
              </w:rPr>
            </w:pPr>
            <w:r w:rsidRPr="00C356A8">
              <w:rPr>
                <w:rFonts w:cstheme="minorHAnsi"/>
                <w:color w:val="000000"/>
                <w:sz w:val="16"/>
                <w:szCs w:val="16"/>
                <w:lang w:eastAsia="de-DE"/>
              </w:rPr>
              <w:t>Positive attitude towards NP</w:t>
            </w:r>
            <w:r w:rsidR="00DB0189" w:rsidRPr="00C356A8">
              <w:rPr>
                <w:rFonts w:cstheme="minorHAnsi"/>
                <w:color w:val="000000"/>
                <w:sz w:val="16"/>
                <w:szCs w:val="16"/>
                <w:lang w:eastAsia="de-DE"/>
              </w:rPr>
              <w:t>P</w:t>
            </w:r>
            <w:r w:rsidRPr="00C356A8">
              <w:rPr>
                <w:rFonts w:cstheme="minorHAnsi"/>
                <w:color w:val="000000"/>
                <w:sz w:val="16"/>
                <w:szCs w:val="16"/>
                <w:lang w:eastAsia="de-DE"/>
              </w:rPr>
              <w:t xml:space="preserve">SSP </w:t>
            </w:r>
            <w:proofErr w:type="spellStart"/>
            <w:r w:rsidRPr="00C356A8">
              <w:rPr>
                <w:rFonts w:cstheme="minorHAnsi"/>
                <w:color w:val="000000"/>
                <w:sz w:val="16"/>
                <w:szCs w:val="16"/>
                <w:lang w:eastAsia="de-DE"/>
              </w:rPr>
              <w:t>use</w:t>
            </w:r>
            <w:r w:rsidRPr="00C356A8">
              <w:rPr>
                <w:rFonts w:cstheme="minorHAnsi"/>
                <w:color w:val="000000"/>
                <w:sz w:val="16"/>
                <w:szCs w:val="16"/>
                <w:vertAlign w:val="superscript"/>
                <w:lang w:eastAsia="de-DE"/>
              </w:rPr>
              <w:t>a</w:t>
            </w:r>
            <w:proofErr w:type="spellEnd"/>
          </w:p>
        </w:tc>
      </w:tr>
      <w:tr w:rsidR="00A06F9F" w:rsidRPr="00C356A8" w14:paraId="223518CB" w14:textId="77777777" w:rsidTr="00DB0189">
        <w:trPr>
          <w:trHeight w:val="283"/>
        </w:trPr>
        <w:tc>
          <w:tcPr>
            <w:tcW w:w="2142" w:type="dxa"/>
            <w:tcBorders>
              <w:bottom w:val="single" w:sz="4" w:space="0" w:color="auto"/>
            </w:tcBorders>
            <w:shd w:val="clear" w:color="auto" w:fill="auto"/>
            <w:noWrap/>
            <w:vAlign w:val="center"/>
          </w:tcPr>
          <w:p w14:paraId="328A8725" w14:textId="77777777" w:rsidR="00A06F9F" w:rsidRPr="00C356A8" w:rsidRDefault="00A06F9F" w:rsidP="00DE34C8">
            <w:pPr>
              <w:rPr>
                <w:rFonts w:cstheme="minorHAnsi"/>
                <w:color w:val="000000"/>
                <w:sz w:val="16"/>
                <w:szCs w:val="16"/>
                <w:lang w:eastAsia="de-DE"/>
              </w:rPr>
            </w:pPr>
          </w:p>
        </w:tc>
        <w:tc>
          <w:tcPr>
            <w:tcW w:w="510" w:type="dxa"/>
            <w:tcBorders>
              <w:top w:val="single" w:sz="4" w:space="0" w:color="auto"/>
              <w:bottom w:val="single" w:sz="4" w:space="0" w:color="auto"/>
            </w:tcBorders>
            <w:shd w:val="clear" w:color="auto" w:fill="auto"/>
            <w:noWrap/>
            <w:vAlign w:val="center"/>
          </w:tcPr>
          <w:p w14:paraId="076F645F" w14:textId="77777777" w:rsidR="00A06F9F" w:rsidRPr="00C356A8" w:rsidRDefault="00A06F9F" w:rsidP="00DE34C8">
            <w:pPr>
              <w:rPr>
                <w:rFonts w:cstheme="minorHAnsi"/>
                <w:color w:val="000000"/>
                <w:sz w:val="16"/>
                <w:szCs w:val="16"/>
                <w:lang w:eastAsia="de-DE"/>
              </w:rPr>
            </w:pPr>
            <w:r w:rsidRPr="00C356A8">
              <w:rPr>
                <w:rFonts w:cstheme="minorHAnsi"/>
                <w:color w:val="000000"/>
                <w:sz w:val="16"/>
                <w:szCs w:val="16"/>
                <w:lang w:eastAsia="de-DE"/>
              </w:rPr>
              <w:t>OR</w:t>
            </w:r>
          </w:p>
        </w:tc>
        <w:tc>
          <w:tcPr>
            <w:tcW w:w="2154" w:type="dxa"/>
            <w:tcBorders>
              <w:top w:val="single" w:sz="4" w:space="0" w:color="auto"/>
              <w:bottom w:val="single" w:sz="4" w:space="0" w:color="auto"/>
            </w:tcBorders>
            <w:shd w:val="clear" w:color="auto" w:fill="auto"/>
            <w:vAlign w:val="center"/>
          </w:tcPr>
          <w:p w14:paraId="576A4064" w14:textId="77777777" w:rsidR="00A06F9F" w:rsidRPr="00C356A8" w:rsidRDefault="00A06F9F" w:rsidP="00DE34C8">
            <w:pPr>
              <w:rPr>
                <w:rFonts w:cstheme="minorHAnsi"/>
                <w:color w:val="000000"/>
                <w:sz w:val="16"/>
                <w:szCs w:val="16"/>
                <w:lang w:eastAsia="de-DE"/>
              </w:rPr>
            </w:pPr>
            <w:r w:rsidRPr="00C356A8">
              <w:rPr>
                <w:rFonts w:cstheme="minorHAnsi"/>
                <w:color w:val="000000"/>
                <w:sz w:val="16"/>
                <w:szCs w:val="16"/>
                <w:lang w:eastAsia="de-DE"/>
              </w:rPr>
              <w:t>(95% CI)</w:t>
            </w:r>
          </w:p>
        </w:tc>
      </w:tr>
      <w:tr w:rsidR="00A06F9F" w:rsidRPr="00C356A8" w14:paraId="347426B8" w14:textId="77777777" w:rsidTr="00DB0189">
        <w:trPr>
          <w:trHeight w:val="283"/>
        </w:trPr>
        <w:tc>
          <w:tcPr>
            <w:tcW w:w="2142" w:type="dxa"/>
            <w:tcBorders>
              <w:top w:val="single" w:sz="4" w:space="0" w:color="auto"/>
            </w:tcBorders>
            <w:shd w:val="clear" w:color="auto" w:fill="auto"/>
            <w:noWrap/>
            <w:vAlign w:val="center"/>
          </w:tcPr>
          <w:p w14:paraId="6A04DCC4" w14:textId="77777777" w:rsidR="00A06F9F" w:rsidRPr="00C356A8" w:rsidRDefault="00A06F9F" w:rsidP="00DE34C8">
            <w:pPr>
              <w:rPr>
                <w:rFonts w:asciiTheme="minorHAnsi" w:hAnsiTheme="minorHAnsi" w:cstheme="minorHAnsi"/>
                <w:bCs/>
                <w:color w:val="000000"/>
                <w:sz w:val="16"/>
                <w:szCs w:val="16"/>
                <w:lang w:eastAsia="de-DE"/>
              </w:rPr>
            </w:pPr>
            <w:r w:rsidRPr="00C356A8">
              <w:rPr>
                <w:rFonts w:cstheme="minorHAnsi"/>
                <w:color w:val="000000"/>
                <w:sz w:val="16"/>
                <w:szCs w:val="16"/>
                <w:lang w:eastAsia="de-DE"/>
              </w:rPr>
              <w:t>Slovak Republic</w:t>
            </w:r>
          </w:p>
        </w:tc>
        <w:tc>
          <w:tcPr>
            <w:tcW w:w="510" w:type="dxa"/>
            <w:tcBorders>
              <w:top w:val="single" w:sz="4" w:space="0" w:color="auto"/>
            </w:tcBorders>
            <w:shd w:val="clear" w:color="auto" w:fill="auto"/>
            <w:noWrap/>
            <w:vAlign w:val="center"/>
          </w:tcPr>
          <w:p w14:paraId="57962DCF"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6.02</w:t>
            </w:r>
          </w:p>
        </w:tc>
        <w:tc>
          <w:tcPr>
            <w:tcW w:w="2154" w:type="dxa"/>
            <w:tcBorders>
              <w:top w:val="single" w:sz="4" w:space="0" w:color="auto"/>
            </w:tcBorders>
            <w:shd w:val="clear" w:color="auto" w:fill="auto"/>
            <w:vAlign w:val="center"/>
          </w:tcPr>
          <w:p w14:paraId="3768398A"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(4.64-7.81)</w:t>
            </w:r>
          </w:p>
        </w:tc>
      </w:tr>
      <w:tr w:rsidR="00A06F9F" w:rsidRPr="00C356A8" w14:paraId="7AC86863" w14:textId="77777777" w:rsidTr="00DB0189">
        <w:trPr>
          <w:trHeight w:val="283"/>
        </w:trPr>
        <w:tc>
          <w:tcPr>
            <w:tcW w:w="2142" w:type="dxa"/>
            <w:shd w:val="clear" w:color="auto" w:fill="auto"/>
            <w:noWrap/>
            <w:vAlign w:val="center"/>
          </w:tcPr>
          <w:p w14:paraId="66FE3489" w14:textId="77777777" w:rsidR="00A06F9F" w:rsidRPr="00C356A8" w:rsidRDefault="00A06F9F" w:rsidP="00DE34C8">
            <w:pPr>
              <w:rPr>
                <w:rFonts w:asciiTheme="minorHAnsi" w:hAnsiTheme="minorHAnsi" w:cstheme="minorHAnsi"/>
                <w:bCs/>
                <w:color w:val="000000"/>
                <w:sz w:val="16"/>
                <w:szCs w:val="16"/>
                <w:lang w:eastAsia="de-DE"/>
              </w:rPr>
            </w:pPr>
            <w:r w:rsidRPr="00C356A8">
              <w:rPr>
                <w:rFonts w:cstheme="minorHAnsi"/>
                <w:color w:val="000000"/>
                <w:sz w:val="16"/>
                <w:szCs w:val="16"/>
                <w:lang w:eastAsia="de-DE"/>
              </w:rPr>
              <w:t>Belgium</w:t>
            </w:r>
          </w:p>
        </w:tc>
        <w:tc>
          <w:tcPr>
            <w:tcW w:w="510" w:type="dxa"/>
            <w:shd w:val="clear" w:color="auto" w:fill="auto"/>
            <w:noWrap/>
            <w:vAlign w:val="center"/>
          </w:tcPr>
          <w:p w14:paraId="413267DA"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2.79</w:t>
            </w:r>
          </w:p>
        </w:tc>
        <w:tc>
          <w:tcPr>
            <w:tcW w:w="2154" w:type="dxa"/>
            <w:shd w:val="clear" w:color="auto" w:fill="auto"/>
            <w:vAlign w:val="center"/>
          </w:tcPr>
          <w:p w14:paraId="45C6E83E"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(1.60-4.87)</w:t>
            </w:r>
          </w:p>
        </w:tc>
      </w:tr>
      <w:tr w:rsidR="00A06F9F" w:rsidRPr="00C356A8" w14:paraId="02AAE4D5" w14:textId="77777777" w:rsidTr="00DB0189">
        <w:trPr>
          <w:trHeight w:val="283"/>
        </w:trPr>
        <w:tc>
          <w:tcPr>
            <w:tcW w:w="2142" w:type="dxa"/>
            <w:shd w:val="clear" w:color="auto" w:fill="auto"/>
            <w:noWrap/>
            <w:vAlign w:val="center"/>
          </w:tcPr>
          <w:p w14:paraId="7559A44F" w14:textId="77777777" w:rsidR="00A06F9F" w:rsidRPr="00C356A8" w:rsidRDefault="00A06F9F" w:rsidP="00DE34C8">
            <w:pPr>
              <w:rPr>
                <w:rFonts w:cstheme="minorHAnsi"/>
                <w:color w:val="000000"/>
                <w:sz w:val="16"/>
                <w:szCs w:val="16"/>
                <w:lang w:eastAsia="de-DE"/>
              </w:rPr>
            </w:pPr>
            <w:r w:rsidRPr="00C356A8">
              <w:rPr>
                <w:rFonts w:cstheme="minorHAnsi"/>
                <w:color w:val="000000"/>
                <w:sz w:val="16"/>
                <w:szCs w:val="16"/>
                <w:lang w:eastAsia="de-DE"/>
              </w:rPr>
              <w:t>Denmark</w:t>
            </w:r>
          </w:p>
        </w:tc>
        <w:tc>
          <w:tcPr>
            <w:tcW w:w="510" w:type="dxa"/>
            <w:shd w:val="clear" w:color="auto" w:fill="auto"/>
            <w:noWrap/>
            <w:vAlign w:val="center"/>
          </w:tcPr>
          <w:p w14:paraId="0B015EC4"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16.40</w:t>
            </w:r>
          </w:p>
        </w:tc>
        <w:tc>
          <w:tcPr>
            <w:tcW w:w="2154" w:type="dxa"/>
            <w:shd w:val="clear" w:color="auto" w:fill="auto"/>
            <w:vAlign w:val="center"/>
          </w:tcPr>
          <w:p w14:paraId="4E9D469D"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(9.37-28.73)</w:t>
            </w:r>
          </w:p>
        </w:tc>
      </w:tr>
      <w:tr w:rsidR="00A06F9F" w:rsidRPr="00C356A8" w14:paraId="6C8F2AEE" w14:textId="77777777" w:rsidTr="00DB0189">
        <w:trPr>
          <w:trHeight w:val="283"/>
        </w:trPr>
        <w:tc>
          <w:tcPr>
            <w:tcW w:w="2142" w:type="dxa"/>
            <w:shd w:val="clear" w:color="auto" w:fill="auto"/>
            <w:noWrap/>
            <w:vAlign w:val="center"/>
          </w:tcPr>
          <w:p w14:paraId="71197327" w14:textId="77777777" w:rsidR="00A06F9F" w:rsidRPr="00C356A8" w:rsidRDefault="00A06F9F" w:rsidP="00DE34C8">
            <w:pPr>
              <w:rPr>
                <w:rFonts w:cstheme="minorHAnsi"/>
                <w:color w:val="000000"/>
                <w:sz w:val="16"/>
                <w:szCs w:val="16"/>
                <w:lang w:eastAsia="de-DE"/>
              </w:rPr>
            </w:pPr>
            <w:r w:rsidRPr="00C356A8">
              <w:rPr>
                <w:rFonts w:cstheme="minorHAnsi"/>
                <w:bCs/>
                <w:color w:val="000000"/>
                <w:sz w:val="16"/>
                <w:szCs w:val="16"/>
                <w:lang w:eastAsia="de-DE"/>
              </w:rPr>
              <w:t>Germany</w:t>
            </w:r>
          </w:p>
        </w:tc>
        <w:tc>
          <w:tcPr>
            <w:tcW w:w="510" w:type="dxa"/>
            <w:shd w:val="clear" w:color="auto" w:fill="auto"/>
            <w:noWrap/>
            <w:vAlign w:val="center"/>
          </w:tcPr>
          <w:p w14:paraId="78638CB6"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4.11</w:t>
            </w:r>
          </w:p>
        </w:tc>
        <w:tc>
          <w:tcPr>
            <w:tcW w:w="2154" w:type="dxa"/>
            <w:shd w:val="clear" w:color="auto" w:fill="auto"/>
            <w:vAlign w:val="center"/>
          </w:tcPr>
          <w:p w14:paraId="1E1A2877"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(2.69-6.29)</w:t>
            </w:r>
          </w:p>
        </w:tc>
      </w:tr>
      <w:tr w:rsidR="00A06F9F" w:rsidRPr="00C356A8" w14:paraId="49E038C4" w14:textId="77777777" w:rsidTr="00DB0189">
        <w:trPr>
          <w:trHeight w:val="283"/>
        </w:trPr>
        <w:tc>
          <w:tcPr>
            <w:tcW w:w="2142" w:type="dxa"/>
            <w:shd w:val="clear" w:color="auto" w:fill="auto"/>
            <w:noWrap/>
            <w:vAlign w:val="center"/>
          </w:tcPr>
          <w:p w14:paraId="4B6ED429" w14:textId="77777777" w:rsidR="00A06F9F" w:rsidRPr="00C356A8" w:rsidRDefault="00A06F9F" w:rsidP="00DE34C8">
            <w:pPr>
              <w:rPr>
                <w:rFonts w:cstheme="minorHAnsi"/>
                <w:color w:val="000000"/>
                <w:sz w:val="16"/>
                <w:szCs w:val="16"/>
                <w:lang w:eastAsia="de-DE"/>
              </w:rPr>
            </w:pPr>
            <w:r w:rsidRPr="00C356A8">
              <w:rPr>
                <w:rFonts w:cstheme="minorHAnsi"/>
                <w:bCs/>
                <w:color w:val="000000"/>
                <w:sz w:val="16"/>
                <w:szCs w:val="16"/>
                <w:lang w:eastAsia="de-DE"/>
              </w:rPr>
              <w:t>Spain</w:t>
            </w:r>
          </w:p>
        </w:tc>
        <w:tc>
          <w:tcPr>
            <w:tcW w:w="510" w:type="dxa"/>
            <w:shd w:val="clear" w:color="auto" w:fill="auto"/>
            <w:noWrap/>
            <w:vAlign w:val="center"/>
          </w:tcPr>
          <w:p w14:paraId="75CE11B7"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3.52</w:t>
            </w:r>
          </w:p>
        </w:tc>
        <w:tc>
          <w:tcPr>
            <w:tcW w:w="2154" w:type="dxa"/>
            <w:shd w:val="clear" w:color="auto" w:fill="auto"/>
            <w:vAlign w:val="center"/>
          </w:tcPr>
          <w:p w14:paraId="7D8A9E1A"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(1.66-7.47)</w:t>
            </w:r>
          </w:p>
        </w:tc>
      </w:tr>
      <w:tr w:rsidR="00A06F9F" w:rsidRPr="00C356A8" w14:paraId="039A2A71" w14:textId="77777777" w:rsidTr="00DB0189">
        <w:trPr>
          <w:trHeight w:val="283"/>
        </w:trPr>
        <w:tc>
          <w:tcPr>
            <w:tcW w:w="2142" w:type="dxa"/>
            <w:shd w:val="clear" w:color="auto" w:fill="auto"/>
            <w:noWrap/>
            <w:vAlign w:val="center"/>
          </w:tcPr>
          <w:p w14:paraId="39EE91A4" w14:textId="77777777" w:rsidR="00A06F9F" w:rsidRPr="00C356A8" w:rsidRDefault="00A06F9F" w:rsidP="00DE34C8">
            <w:pPr>
              <w:rPr>
                <w:rFonts w:cstheme="minorHAnsi"/>
                <w:color w:val="000000"/>
                <w:sz w:val="16"/>
                <w:szCs w:val="16"/>
                <w:lang w:eastAsia="de-DE"/>
              </w:rPr>
            </w:pPr>
            <w:r w:rsidRPr="00C356A8">
              <w:rPr>
                <w:rFonts w:cstheme="minorHAnsi"/>
                <w:color w:val="000000"/>
                <w:sz w:val="16"/>
                <w:szCs w:val="16"/>
                <w:lang w:eastAsia="de-DE"/>
              </w:rPr>
              <w:t>Turkey</w:t>
            </w:r>
          </w:p>
        </w:tc>
        <w:tc>
          <w:tcPr>
            <w:tcW w:w="510" w:type="dxa"/>
            <w:shd w:val="clear" w:color="auto" w:fill="auto"/>
            <w:noWrap/>
            <w:vAlign w:val="center"/>
          </w:tcPr>
          <w:p w14:paraId="105623A3"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6.41</w:t>
            </w:r>
          </w:p>
        </w:tc>
        <w:tc>
          <w:tcPr>
            <w:tcW w:w="2154" w:type="dxa"/>
            <w:shd w:val="clear" w:color="auto" w:fill="auto"/>
            <w:vAlign w:val="center"/>
          </w:tcPr>
          <w:p w14:paraId="53A1DCA3"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(3.80-10.80)</w:t>
            </w:r>
          </w:p>
        </w:tc>
      </w:tr>
      <w:tr w:rsidR="00A06F9F" w:rsidRPr="00C356A8" w14:paraId="5A41DFB1" w14:textId="77777777" w:rsidTr="00DB0189">
        <w:trPr>
          <w:trHeight w:val="283"/>
        </w:trPr>
        <w:tc>
          <w:tcPr>
            <w:tcW w:w="2142" w:type="dxa"/>
            <w:tcBorders>
              <w:bottom w:val="single" w:sz="4" w:space="0" w:color="auto"/>
            </w:tcBorders>
            <w:shd w:val="clear" w:color="auto" w:fill="auto"/>
            <w:noWrap/>
            <w:vAlign w:val="center"/>
          </w:tcPr>
          <w:p w14:paraId="4C5AE0A1" w14:textId="77777777" w:rsidR="00A06F9F" w:rsidRPr="00C356A8" w:rsidRDefault="00A06F9F" w:rsidP="00DE34C8">
            <w:pPr>
              <w:rPr>
                <w:rFonts w:cstheme="minorHAnsi"/>
                <w:color w:val="000000"/>
                <w:sz w:val="16"/>
                <w:szCs w:val="16"/>
                <w:lang w:eastAsia="de-DE"/>
              </w:rPr>
            </w:pPr>
            <w:r w:rsidRPr="00C356A8">
              <w:rPr>
                <w:rFonts w:cstheme="minorHAnsi"/>
                <w:color w:val="000000"/>
                <w:sz w:val="16"/>
                <w:szCs w:val="16"/>
                <w:lang w:eastAsia="de-DE"/>
              </w:rPr>
              <w:t>UK</w:t>
            </w:r>
          </w:p>
        </w:tc>
        <w:tc>
          <w:tcPr>
            <w:tcW w:w="510" w:type="dxa"/>
            <w:tcBorders>
              <w:bottom w:val="single" w:sz="4" w:space="0" w:color="auto"/>
            </w:tcBorders>
            <w:shd w:val="clear" w:color="auto" w:fill="auto"/>
            <w:noWrap/>
            <w:vAlign w:val="center"/>
          </w:tcPr>
          <w:p w14:paraId="55686770"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1.79</w:t>
            </w:r>
          </w:p>
        </w:tc>
        <w:tc>
          <w:tcPr>
            <w:tcW w:w="2154" w:type="dxa"/>
            <w:tcBorders>
              <w:bottom w:val="single" w:sz="4" w:space="0" w:color="auto"/>
            </w:tcBorders>
            <w:shd w:val="clear" w:color="auto" w:fill="auto"/>
            <w:vAlign w:val="center"/>
          </w:tcPr>
          <w:p w14:paraId="2155238F" w14:textId="77777777" w:rsidR="00A06F9F" w:rsidRPr="00C356A8" w:rsidRDefault="00A06F9F" w:rsidP="00DE34C8">
            <w:pPr>
              <w:rPr>
                <w:rFonts w:asciiTheme="minorHAnsi" w:hAnsiTheme="minorHAnsi" w:cstheme="minorHAnsi"/>
                <w:color w:val="000000"/>
                <w:sz w:val="16"/>
                <w:szCs w:val="16"/>
                <w:lang w:eastAsia="de-DE"/>
              </w:rPr>
            </w:pPr>
            <w:r w:rsidRPr="00C356A8">
              <w:rPr>
                <w:rFonts w:asciiTheme="minorHAnsi" w:hAnsiTheme="minorHAnsi" w:cstheme="minorHAnsi"/>
                <w:color w:val="000000"/>
                <w:sz w:val="16"/>
                <w:szCs w:val="16"/>
                <w:lang w:eastAsia="de-DE"/>
              </w:rPr>
              <w:t>(0.52-6.10)</w:t>
            </w:r>
          </w:p>
        </w:tc>
      </w:tr>
    </w:tbl>
    <w:p w14:paraId="07BD2085" w14:textId="6EC40FFB" w:rsidR="00A06F9F" w:rsidRPr="00C356A8" w:rsidRDefault="00A06F9F" w:rsidP="00DB0189">
      <w:pPr>
        <w:autoSpaceDE w:val="0"/>
        <w:autoSpaceDN w:val="0"/>
        <w:adjustRightInd w:val="0"/>
        <w:jc w:val="both"/>
        <w:rPr>
          <w:rFonts w:asciiTheme="minorHAnsi" w:hAnsiTheme="minorHAnsi" w:cstheme="minorHAnsi"/>
          <w:color w:val="000000"/>
        </w:rPr>
      </w:pPr>
      <w:r w:rsidRPr="00C356A8">
        <w:rPr>
          <w:rFonts w:cstheme="minorHAnsi"/>
          <w:color w:val="000000"/>
          <w:sz w:val="16"/>
          <w:szCs w:val="16"/>
          <w:vertAlign w:val="superscript"/>
          <w:lang w:eastAsia="de-DE"/>
        </w:rPr>
        <w:t xml:space="preserve">a </w:t>
      </w:r>
      <w:r w:rsidR="00DB0189" w:rsidRPr="00C356A8">
        <w:rPr>
          <w:rFonts w:cstheme="minorHAnsi"/>
          <w:color w:val="000000"/>
          <w:sz w:val="16"/>
          <w:szCs w:val="16"/>
          <w:lang w:eastAsia="de-DE"/>
        </w:rPr>
        <w:t>‘Ok to use occasionally if it doesn't interfere with work or study’, ‘Ok to use frequently if it doesn't interfere with work or study’, ‘Ok to use occasionally even if it does interfere with work or study’, and ‘Ok to use frequently if that is what the person wants to do</w:t>
      </w:r>
      <w:r w:rsidRPr="00C356A8">
        <w:rPr>
          <w:rFonts w:asciiTheme="minorHAnsi" w:hAnsiTheme="minorHAnsi" w:cstheme="minorHAnsi"/>
          <w:sz w:val="16"/>
          <w:szCs w:val="16"/>
        </w:rPr>
        <w:t>’</w:t>
      </w:r>
      <w:r w:rsidR="00DB0189" w:rsidRPr="00C356A8">
        <w:rPr>
          <w:rFonts w:asciiTheme="minorHAnsi" w:hAnsiTheme="minorHAnsi" w:cstheme="minorHAnsi"/>
          <w:sz w:val="16"/>
          <w:szCs w:val="16"/>
        </w:rPr>
        <w:t>.</w:t>
      </w:r>
    </w:p>
    <w:p w14:paraId="4F0E8663" w14:textId="7DFD0D46" w:rsidR="00410337" w:rsidRPr="00C356A8" w:rsidRDefault="00EC1151" w:rsidP="0073341B">
      <w:pPr>
        <w:autoSpaceDE w:val="0"/>
        <w:autoSpaceDN w:val="0"/>
        <w:adjustRightInd w:val="0"/>
        <w:spacing w:before="240" w:line="360" w:lineRule="auto"/>
        <w:jc w:val="both"/>
        <w:rPr>
          <w:rFonts w:asciiTheme="minorHAnsi" w:hAnsiTheme="minorHAnsi" w:cstheme="minorHAnsi"/>
          <w:b/>
          <w:color w:val="000000"/>
          <w:sz w:val="28"/>
          <w:szCs w:val="28"/>
        </w:rPr>
      </w:pPr>
      <w:r w:rsidRPr="00C356A8">
        <w:rPr>
          <w:rFonts w:asciiTheme="minorHAnsi" w:hAnsiTheme="minorHAnsi" w:cstheme="minorHAnsi"/>
          <w:b/>
          <w:color w:val="000000"/>
          <w:sz w:val="28"/>
          <w:szCs w:val="28"/>
        </w:rPr>
        <w:t xml:space="preserve">4. </w:t>
      </w:r>
      <w:r w:rsidR="00410337" w:rsidRPr="00C356A8">
        <w:rPr>
          <w:rFonts w:asciiTheme="minorHAnsi" w:hAnsiTheme="minorHAnsi" w:cstheme="minorHAnsi"/>
          <w:b/>
          <w:color w:val="000000"/>
          <w:sz w:val="28"/>
          <w:szCs w:val="28"/>
        </w:rPr>
        <w:t>Discussion</w:t>
      </w:r>
    </w:p>
    <w:p w14:paraId="5FDF3C86" w14:textId="63680CF0" w:rsidR="00D01A4F" w:rsidRPr="00C356A8" w:rsidRDefault="00E81016" w:rsidP="007D79E5">
      <w:pPr>
        <w:autoSpaceDE w:val="0"/>
        <w:autoSpaceDN w:val="0"/>
        <w:adjustRightInd w:val="0"/>
        <w:spacing w:line="360" w:lineRule="auto"/>
        <w:jc w:val="both"/>
        <w:rPr>
          <w:rFonts w:asciiTheme="minorHAnsi" w:hAnsiTheme="minorHAnsi" w:cstheme="minorHAnsi"/>
          <w:color w:val="000000"/>
        </w:rPr>
      </w:pPr>
      <w:r w:rsidRPr="00C356A8">
        <w:rPr>
          <w:rFonts w:asciiTheme="minorHAnsi" w:hAnsiTheme="minorHAnsi" w:cstheme="minorHAnsi"/>
          <w:color w:val="000000"/>
        </w:rPr>
        <w:t>In t</w:t>
      </w:r>
      <w:r w:rsidR="0012736B" w:rsidRPr="00C356A8">
        <w:rPr>
          <w:rFonts w:asciiTheme="minorHAnsi" w:hAnsiTheme="minorHAnsi" w:cstheme="minorHAnsi"/>
          <w:color w:val="000000"/>
        </w:rPr>
        <w:t xml:space="preserve">he present study </w:t>
      </w:r>
      <w:r w:rsidRPr="00C356A8">
        <w:rPr>
          <w:rFonts w:asciiTheme="minorHAnsi" w:hAnsiTheme="minorHAnsi" w:cstheme="minorHAnsi"/>
          <w:color w:val="000000"/>
        </w:rPr>
        <w:t>with</w:t>
      </w:r>
      <w:r w:rsidR="007D79E5" w:rsidRPr="00C356A8">
        <w:rPr>
          <w:rFonts w:asciiTheme="minorHAnsi" w:hAnsiTheme="minorHAnsi" w:cstheme="minorHAnsi"/>
          <w:color w:val="000000"/>
        </w:rPr>
        <w:t xml:space="preserve"> </w:t>
      </w:r>
      <w:r w:rsidR="00830EE7" w:rsidRPr="00C356A8">
        <w:rPr>
          <w:rFonts w:asciiTheme="minorHAnsi" w:hAnsiTheme="minorHAnsi" w:cstheme="minorHAnsi"/>
          <w:color w:val="000000"/>
        </w:rPr>
        <w:t>European students</w:t>
      </w:r>
      <w:r w:rsidRPr="00C356A8">
        <w:rPr>
          <w:rFonts w:asciiTheme="minorHAnsi" w:hAnsiTheme="minorHAnsi" w:cstheme="minorHAnsi"/>
          <w:color w:val="000000"/>
        </w:rPr>
        <w:t>, we</w:t>
      </w:r>
      <w:r w:rsidR="00830EE7" w:rsidRPr="00C356A8">
        <w:rPr>
          <w:rFonts w:asciiTheme="minorHAnsi" w:hAnsiTheme="minorHAnsi" w:cstheme="minorHAnsi"/>
          <w:color w:val="000000"/>
        </w:rPr>
        <w:t xml:space="preserve"> </w:t>
      </w:r>
      <w:r w:rsidR="0012736B" w:rsidRPr="00C356A8">
        <w:rPr>
          <w:rFonts w:asciiTheme="minorHAnsi" w:hAnsiTheme="minorHAnsi" w:cstheme="minorHAnsi"/>
          <w:color w:val="000000"/>
        </w:rPr>
        <w:t>investigate</w:t>
      </w:r>
      <w:r w:rsidR="007D79E5" w:rsidRPr="00C356A8">
        <w:rPr>
          <w:rFonts w:asciiTheme="minorHAnsi" w:hAnsiTheme="minorHAnsi" w:cstheme="minorHAnsi"/>
          <w:color w:val="000000"/>
        </w:rPr>
        <w:t>d</w:t>
      </w:r>
      <w:r w:rsidR="0012736B" w:rsidRPr="00C356A8">
        <w:rPr>
          <w:rFonts w:asciiTheme="minorHAnsi" w:hAnsiTheme="minorHAnsi" w:cstheme="minorHAnsi"/>
          <w:color w:val="000000"/>
        </w:rPr>
        <w:t xml:space="preserve"> self-other discrepancies regarding the use and </w:t>
      </w:r>
      <w:r w:rsidR="00070336" w:rsidRPr="00C356A8">
        <w:rPr>
          <w:rFonts w:asciiTheme="minorHAnsi" w:hAnsiTheme="minorHAnsi" w:cstheme="minorHAnsi"/>
          <w:color w:val="000000"/>
        </w:rPr>
        <w:t xml:space="preserve">attitudes towards </w:t>
      </w:r>
      <w:r w:rsidR="00DC06CF" w:rsidRPr="00C356A8">
        <w:rPr>
          <w:rFonts w:asciiTheme="minorHAnsi" w:hAnsiTheme="minorHAnsi" w:cstheme="minorHAnsi"/>
          <w:color w:val="000000"/>
        </w:rPr>
        <w:t xml:space="preserve">the </w:t>
      </w:r>
      <w:r w:rsidR="0012736B" w:rsidRPr="00C356A8">
        <w:rPr>
          <w:rFonts w:asciiTheme="minorHAnsi" w:hAnsiTheme="minorHAnsi" w:cstheme="minorHAnsi"/>
          <w:color w:val="000000"/>
        </w:rPr>
        <w:t>use of NP</w:t>
      </w:r>
      <w:r w:rsidR="00DB0189" w:rsidRPr="00C356A8">
        <w:rPr>
          <w:rFonts w:asciiTheme="minorHAnsi" w:hAnsiTheme="minorHAnsi" w:cstheme="minorHAnsi"/>
          <w:color w:val="000000"/>
        </w:rPr>
        <w:t>P</w:t>
      </w:r>
      <w:r w:rsidR="0012736B" w:rsidRPr="00C356A8">
        <w:rPr>
          <w:rFonts w:asciiTheme="minorHAnsi" w:hAnsiTheme="minorHAnsi" w:cstheme="minorHAnsi"/>
          <w:color w:val="000000"/>
        </w:rPr>
        <w:t>SSP</w:t>
      </w:r>
      <w:r w:rsidR="006F6101" w:rsidRPr="00C356A8">
        <w:rPr>
          <w:rFonts w:asciiTheme="minorHAnsi" w:hAnsiTheme="minorHAnsi" w:cstheme="minorHAnsi"/>
          <w:color w:val="000000"/>
        </w:rPr>
        <w:t>. In addition, we</w:t>
      </w:r>
      <w:r w:rsidR="0012736B" w:rsidRPr="00C356A8">
        <w:rPr>
          <w:rFonts w:asciiTheme="minorHAnsi" w:hAnsiTheme="minorHAnsi" w:cstheme="minorHAnsi"/>
          <w:color w:val="000000"/>
        </w:rPr>
        <w:t xml:space="preserve"> evaluate</w:t>
      </w:r>
      <w:r w:rsidR="006F6101" w:rsidRPr="00C356A8">
        <w:rPr>
          <w:rFonts w:asciiTheme="minorHAnsi" w:hAnsiTheme="minorHAnsi" w:cstheme="minorHAnsi"/>
          <w:color w:val="000000"/>
        </w:rPr>
        <w:t>d</w:t>
      </w:r>
      <w:r w:rsidR="0012736B" w:rsidRPr="00C356A8">
        <w:rPr>
          <w:rFonts w:asciiTheme="minorHAnsi" w:hAnsiTheme="minorHAnsi" w:cstheme="minorHAnsi"/>
          <w:color w:val="000000"/>
        </w:rPr>
        <w:t xml:space="preserve"> whether perceptions of peer use (</w:t>
      </w:r>
      <w:r w:rsidR="0012736B" w:rsidRPr="00C356A8">
        <w:t>perceived descriptive norm)</w:t>
      </w:r>
      <w:r w:rsidR="0012736B" w:rsidRPr="00C356A8">
        <w:rPr>
          <w:rFonts w:asciiTheme="minorHAnsi" w:hAnsiTheme="minorHAnsi" w:cstheme="minorHAnsi"/>
          <w:color w:val="000000"/>
        </w:rPr>
        <w:t xml:space="preserve"> and peer approval of use (</w:t>
      </w:r>
      <w:r w:rsidR="0012736B" w:rsidRPr="00C356A8">
        <w:t>perceived injunctive norm)</w:t>
      </w:r>
      <w:r w:rsidR="0012736B" w:rsidRPr="00C356A8">
        <w:rPr>
          <w:rFonts w:asciiTheme="minorHAnsi" w:hAnsiTheme="minorHAnsi" w:cstheme="minorHAnsi"/>
          <w:color w:val="000000"/>
        </w:rPr>
        <w:t xml:space="preserve"> </w:t>
      </w:r>
      <w:r w:rsidRPr="00C356A8">
        <w:rPr>
          <w:rFonts w:asciiTheme="minorHAnsi" w:hAnsiTheme="minorHAnsi" w:cstheme="minorHAnsi"/>
          <w:color w:val="000000"/>
        </w:rPr>
        <w:t>were</w:t>
      </w:r>
      <w:r w:rsidR="0012736B" w:rsidRPr="00C356A8">
        <w:rPr>
          <w:rFonts w:asciiTheme="minorHAnsi" w:hAnsiTheme="minorHAnsi" w:cstheme="minorHAnsi"/>
          <w:color w:val="000000"/>
        </w:rPr>
        <w:t xml:space="preserve"> associated with personal use and approval of NP</w:t>
      </w:r>
      <w:r w:rsidR="00DB0189" w:rsidRPr="00C356A8">
        <w:rPr>
          <w:rFonts w:asciiTheme="minorHAnsi" w:hAnsiTheme="minorHAnsi" w:cstheme="minorHAnsi"/>
          <w:color w:val="000000"/>
        </w:rPr>
        <w:t>P</w:t>
      </w:r>
      <w:r w:rsidR="0012736B" w:rsidRPr="00C356A8">
        <w:rPr>
          <w:rFonts w:asciiTheme="minorHAnsi" w:hAnsiTheme="minorHAnsi" w:cstheme="minorHAnsi"/>
          <w:color w:val="000000"/>
        </w:rPr>
        <w:t>SSP use</w:t>
      </w:r>
      <w:r w:rsidR="005E1186" w:rsidRPr="00C356A8">
        <w:t xml:space="preserve">. In our study, </w:t>
      </w:r>
      <w:r w:rsidR="004B627A" w:rsidRPr="00C356A8">
        <w:t xml:space="preserve">students </w:t>
      </w:r>
      <w:r w:rsidR="004C1E11" w:rsidRPr="00C356A8">
        <w:t xml:space="preserve">on average </w:t>
      </w:r>
      <w:r w:rsidR="004B627A" w:rsidRPr="00C356A8">
        <w:t>perceived the NP</w:t>
      </w:r>
      <w:r w:rsidR="00115B45" w:rsidRPr="00C356A8">
        <w:t>P</w:t>
      </w:r>
      <w:r w:rsidR="004B627A" w:rsidRPr="00C356A8">
        <w:t>SSP use of the</w:t>
      </w:r>
      <w:r w:rsidR="008219EF" w:rsidRPr="00C356A8">
        <w:t xml:space="preserve">ir </w:t>
      </w:r>
      <w:r w:rsidR="004B627A" w:rsidRPr="00C356A8">
        <w:t>peers to be higher than their personal use</w:t>
      </w:r>
      <w:r w:rsidR="00FC71C0" w:rsidRPr="00C356A8">
        <w:t xml:space="preserve"> </w:t>
      </w:r>
      <w:r w:rsidR="004C1E11" w:rsidRPr="00C356A8">
        <w:t>and attitudes</w:t>
      </w:r>
      <w:r w:rsidR="008219EF" w:rsidRPr="00C356A8">
        <w:t xml:space="preserve"> towards </w:t>
      </w:r>
      <w:r w:rsidR="004C1E11" w:rsidRPr="00C356A8">
        <w:t xml:space="preserve">the </w:t>
      </w:r>
      <w:r w:rsidR="008219EF" w:rsidRPr="00C356A8">
        <w:t xml:space="preserve">use to be </w:t>
      </w:r>
      <w:r w:rsidR="004C1E11" w:rsidRPr="00C356A8">
        <w:t xml:space="preserve">identical </w:t>
      </w:r>
      <w:r w:rsidR="008219EF" w:rsidRPr="00C356A8">
        <w:t xml:space="preserve">or </w:t>
      </w:r>
      <w:r w:rsidR="004C1E11" w:rsidRPr="00C356A8">
        <w:t xml:space="preserve">more positive </w:t>
      </w:r>
      <w:r w:rsidR="008219EF" w:rsidRPr="00C356A8">
        <w:t>than their</w:t>
      </w:r>
      <w:r w:rsidR="007D79E5" w:rsidRPr="00C356A8">
        <w:t xml:space="preserve"> </w:t>
      </w:r>
      <w:r w:rsidR="004C1E11" w:rsidRPr="00C356A8">
        <w:t>personal attitudes</w:t>
      </w:r>
      <w:r w:rsidR="004B627A" w:rsidRPr="00C356A8">
        <w:t xml:space="preserve">. </w:t>
      </w:r>
      <w:r w:rsidR="001D771E" w:rsidRPr="00C356A8">
        <w:t>B</w:t>
      </w:r>
      <w:r w:rsidR="005F7154" w:rsidRPr="00C356A8">
        <w:t>oth</w:t>
      </w:r>
      <w:r w:rsidR="00586610" w:rsidRPr="00C356A8">
        <w:t>,</w:t>
      </w:r>
      <w:r w:rsidR="005F7154" w:rsidRPr="00C356A8">
        <w:t xml:space="preserve"> </w:t>
      </w:r>
      <w:r w:rsidR="009D747E" w:rsidRPr="00C356A8">
        <w:t xml:space="preserve">perceived </w:t>
      </w:r>
      <w:r w:rsidR="005F7154" w:rsidRPr="00C356A8">
        <w:t>descriptive and injunctive nor</w:t>
      </w:r>
      <w:r w:rsidR="005D5C9C" w:rsidRPr="00C356A8">
        <w:t xml:space="preserve">ms </w:t>
      </w:r>
      <w:r w:rsidR="004C118D" w:rsidRPr="00C356A8">
        <w:t>of peers</w:t>
      </w:r>
      <w:r w:rsidR="00586610" w:rsidRPr="00C356A8">
        <w:t>,</w:t>
      </w:r>
      <w:r w:rsidR="004C118D" w:rsidRPr="00C356A8">
        <w:t xml:space="preserve"> </w:t>
      </w:r>
      <w:r w:rsidR="005D5C9C" w:rsidRPr="00C356A8">
        <w:t>were associated with student</w:t>
      </w:r>
      <w:r w:rsidR="005F7154" w:rsidRPr="00C356A8">
        <w:t>s</w:t>
      </w:r>
      <w:r w:rsidR="005D5C9C" w:rsidRPr="00C356A8">
        <w:t>’</w:t>
      </w:r>
      <w:r w:rsidR="005F7154" w:rsidRPr="00C356A8">
        <w:t xml:space="preserve"> </w:t>
      </w:r>
      <w:r w:rsidR="004C1E11" w:rsidRPr="00C356A8">
        <w:t xml:space="preserve">personal </w:t>
      </w:r>
      <w:r w:rsidR="005F7154" w:rsidRPr="00C356A8">
        <w:t xml:space="preserve">use and </w:t>
      </w:r>
      <w:r w:rsidR="00182E2F" w:rsidRPr="00C356A8">
        <w:t>attitudes towards the</w:t>
      </w:r>
      <w:r w:rsidR="005F7154" w:rsidRPr="00C356A8">
        <w:t xml:space="preserve"> use</w:t>
      </w:r>
      <w:r w:rsidR="00D01A4F" w:rsidRPr="00C356A8">
        <w:t xml:space="preserve"> of NP</w:t>
      </w:r>
      <w:r w:rsidR="00115B45" w:rsidRPr="00C356A8">
        <w:t>P</w:t>
      </w:r>
      <w:r w:rsidR="00D01A4F" w:rsidRPr="00C356A8">
        <w:t>SSP</w:t>
      </w:r>
      <w:r w:rsidR="00E23E9E" w:rsidRPr="00C356A8">
        <w:t>, respectively.</w:t>
      </w:r>
    </w:p>
    <w:p w14:paraId="13C244CC" w14:textId="47297A07" w:rsidR="00F524BA" w:rsidRPr="00C356A8" w:rsidRDefault="006F6101" w:rsidP="007D79E5">
      <w:pPr>
        <w:autoSpaceDE w:val="0"/>
        <w:autoSpaceDN w:val="0"/>
        <w:adjustRightInd w:val="0"/>
        <w:spacing w:line="360" w:lineRule="auto"/>
        <w:jc w:val="both"/>
      </w:pPr>
      <w:r w:rsidRPr="00C356A8">
        <w:t>To date</w:t>
      </w:r>
      <w:r w:rsidR="005F7154" w:rsidRPr="00C356A8">
        <w:t xml:space="preserve">, </w:t>
      </w:r>
      <w:r w:rsidR="00830EE7" w:rsidRPr="00C356A8">
        <w:t xml:space="preserve">there are </w:t>
      </w:r>
      <w:r w:rsidR="005E1186" w:rsidRPr="00C356A8">
        <w:t xml:space="preserve">few studies </w:t>
      </w:r>
      <w:r w:rsidR="00830EE7" w:rsidRPr="00C356A8">
        <w:t>on</w:t>
      </w:r>
      <w:r w:rsidR="00640DB3" w:rsidRPr="00C356A8">
        <w:rPr>
          <w:lang w:eastAsia="de-DE"/>
        </w:rPr>
        <w:t xml:space="preserve"> </w:t>
      </w:r>
      <w:r w:rsidR="00115B45" w:rsidRPr="00C356A8">
        <w:rPr>
          <w:lang w:eastAsia="de-DE"/>
        </w:rPr>
        <w:t>the use of NPPSSP</w:t>
      </w:r>
      <w:r w:rsidR="00640DB3" w:rsidRPr="00C356A8">
        <w:rPr>
          <w:lang w:eastAsia="de-DE"/>
        </w:rPr>
        <w:t xml:space="preserve"> </w:t>
      </w:r>
      <w:r w:rsidR="00830EE7" w:rsidRPr="00C356A8">
        <w:rPr>
          <w:lang w:eastAsia="de-DE"/>
        </w:rPr>
        <w:t xml:space="preserve">among students. The only study that examined perceptions with respect to </w:t>
      </w:r>
      <w:r w:rsidR="00115B45" w:rsidRPr="00C356A8">
        <w:rPr>
          <w:lang w:eastAsia="de-DE"/>
        </w:rPr>
        <w:t xml:space="preserve">prescription </w:t>
      </w:r>
      <w:r w:rsidR="00830EE7" w:rsidRPr="00C356A8">
        <w:rPr>
          <w:lang w:eastAsia="de-DE"/>
        </w:rPr>
        <w:t xml:space="preserve">sedatives </w:t>
      </w:r>
      <w:r w:rsidR="009F56B3" w:rsidRPr="00C356A8">
        <w:t xml:space="preserve">by </w:t>
      </w:r>
      <w:r w:rsidR="00640DB3" w:rsidRPr="00C356A8">
        <w:t>Sanders and colle</w:t>
      </w:r>
      <w:r w:rsidR="00891802" w:rsidRPr="00C356A8">
        <w:t xml:space="preserve">agues </w:t>
      </w:r>
      <w:r w:rsidR="00100017" w:rsidRPr="00C356A8">
        <w:rPr>
          <w:noProof/>
        </w:rPr>
        <w:t>(2014)</w:t>
      </w:r>
      <w:r w:rsidR="0027799A" w:rsidRPr="00C356A8">
        <w:t xml:space="preserve"> </w:t>
      </w:r>
      <w:r w:rsidR="00972331" w:rsidRPr="00C356A8">
        <w:t xml:space="preserve">found that </w:t>
      </w:r>
      <w:r w:rsidR="00D01A4F" w:rsidRPr="00C356A8">
        <w:t xml:space="preserve">65.7% of students perceived the recreational use of prescription sedatives to be the norm among their peers </w:t>
      </w:r>
      <w:r w:rsidR="00C90AD9" w:rsidRPr="00C356A8">
        <w:t>despite</w:t>
      </w:r>
      <w:r w:rsidR="00D01A4F" w:rsidRPr="00C356A8">
        <w:t xml:space="preserve"> only 2.6% of the sample report</w:t>
      </w:r>
      <w:r w:rsidR="00C90AD9" w:rsidRPr="00C356A8">
        <w:t>ing</w:t>
      </w:r>
      <w:r w:rsidR="00D01A4F" w:rsidRPr="00C356A8">
        <w:t xml:space="preserve"> recreational</w:t>
      </w:r>
      <w:r w:rsidR="00C90AD9" w:rsidRPr="00C356A8">
        <w:t xml:space="preserve"> use of these substances</w:t>
      </w:r>
      <w:r w:rsidR="00D01A4F" w:rsidRPr="00C356A8">
        <w:t xml:space="preserve"> during</w:t>
      </w:r>
      <w:r w:rsidR="00B62527" w:rsidRPr="00C356A8">
        <w:t xml:space="preserve"> the last month</w:t>
      </w:r>
      <w:r w:rsidR="00321F35" w:rsidRPr="00C356A8">
        <w:t xml:space="preserve">. </w:t>
      </w:r>
      <w:r w:rsidR="00830EE7" w:rsidRPr="00C356A8">
        <w:t>M</w:t>
      </w:r>
      <w:r w:rsidR="00216CB4" w:rsidRPr="00C356A8">
        <w:t xml:space="preserve">ore than a third of participants </w:t>
      </w:r>
      <w:r w:rsidR="008219EF" w:rsidRPr="00C356A8">
        <w:t xml:space="preserve">overestimated </w:t>
      </w:r>
      <w:r w:rsidR="00216CB4" w:rsidRPr="00C356A8">
        <w:t xml:space="preserve">(26.3%) or extremely overestimated (10.2%) </w:t>
      </w:r>
      <w:r w:rsidR="008219EF" w:rsidRPr="00C356A8">
        <w:t>their peers’</w:t>
      </w:r>
      <w:r w:rsidR="00F70D07" w:rsidRPr="00C356A8">
        <w:t xml:space="preserve"> use</w:t>
      </w:r>
      <w:r w:rsidR="00167C21" w:rsidRPr="00C356A8">
        <w:t>,</w:t>
      </w:r>
      <w:r w:rsidR="008C2525" w:rsidRPr="00C356A8">
        <w:t xml:space="preserve"> </w:t>
      </w:r>
      <w:r w:rsidR="00167C21" w:rsidRPr="00C356A8">
        <w:t>and r</w:t>
      </w:r>
      <w:r w:rsidR="00102C63" w:rsidRPr="00C356A8">
        <w:t>ecreational users of prescription sedatives were more likely</w:t>
      </w:r>
      <w:r w:rsidR="003250B7" w:rsidRPr="00C356A8">
        <w:t xml:space="preserve"> to overestimate their peers’</w:t>
      </w:r>
      <w:r w:rsidR="00102C63" w:rsidRPr="00C356A8">
        <w:t xml:space="preserve"> use of these substances</w:t>
      </w:r>
      <w:r w:rsidR="0050022E" w:rsidRPr="00C356A8">
        <w:t xml:space="preserve"> </w:t>
      </w:r>
      <w:r w:rsidR="00B30DD2" w:rsidRPr="00C356A8">
        <w:rPr>
          <w:noProof/>
        </w:rPr>
        <w:t>(</w:t>
      </w:r>
      <w:r w:rsidR="00064973" w:rsidRPr="00C356A8">
        <w:rPr>
          <w:noProof/>
        </w:rPr>
        <w:t>Sanders, et al., 2014</w:t>
      </w:r>
      <w:r w:rsidR="00B30DD2" w:rsidRPr="00C356A8">
        <w:rPr>
          <w:noProof/>
        </w:rPr>
        <w:t>)</w:t>
      </w:r>
      <w:r w:rsidR="00102C63" w:rsidRPr="00C356A8">
        <w:t>.</w:t>
      </w:r>
      <w:r w:rsidR="00D94FAE" w:rsidRPr="00C356A8">
        <w:t xml:space="preserve"> These findings are in line with our study.</w:t>
      </w:r>
      <w:r w:rsidR="00102C63" w:rsidRPr="00C356A8">
        <w:t xml:space="preserve"> </w:t>
      </w:r>
      <w:r w:rsidR="007D79E5" w:rsidRPr="00C356A8">
        <w:t>T</w:t>
      </w:r>
      <w:r w:rsidR="00102C63" w:rsidRPr="00C356A8">
        <w:t>he</w:t>
      </w:r>
      <w:r w:rsidR="00D94FAE" w:rsidRPr="00C356A8">
        <w:t xml:space="preserve"> results reported by Sanders and colleagues </w:t>
      </w:r>
      <w:r w:rsidR="00100017" w:rsidRPr="00C356A8">
        <w:rPr>
          <w:noProof/>
        </w:rPr>
        <w:t>(2014)</w:t>
      </w:r>
      <w:r w:rsidR="00167C21" w:rsidRPr="00C356A8">
        <w:t>, however,</w:t>
      </w:r>
      <w:r w:rsidR="00D94FAE" w:rsidRPr="00C356A8">
        <w:t xml:space="preserve"> </w:t>
      </w:r>
      <w:r w:rsidR="00C64808" w:rsidRPr="00C356A8">
        <w:t xml:space="preserve">are </w:t>
      </w:r>
      <w:r w:rsidR="00D94FAE" w:rsidRPr="00C356A8">
        <w:t>based on bivariate analyse</w:t>
      </w:r>
      <w:r w:rsidR="00102C63" w:rsidRPr="00C356A8">
        <w:t xml:space="preserve">s and thus did not account for </w:t>
      </w:r>
      <w:r w:rsidR="00167C21" w:rsidRPr="00C356A8">
        <w:t xml:space="preserve">further </w:t>
      </w:r>
      <w:r w:rsidR="00102C63" w:rsidRPr="00C356A8">
        <w:t xml:space="preserve">potential </w:t>
      </w:r>
      <w:r w:rsidR="00167C21" w:rsidRPr="00C356A8">
        <w:t xml:space="preserve">determinants of </w:t>
      </w:r>
      <w:r w:rsidR="00102C63" w:rsidRPr="00C356A8">
        <w:t xml:space="preserve">students’ </w:t>
      </w:r>
      <w:r w:rsidR="00167C21" w:rsidRPr="00C356A8">
        <w:t xml:space="preserve">personal </w:t>
      </w:r>
      <w:r w:rsidR="00115B45" w:rsidRPr="00C356A8">
        <w:t xml:space="preserve">prescription </w:t>
      </w:r>
      <w:r w:rsidR="00167C21" w:rsidRPr="00C356A8">
        <w:t>sedative use</w:t>
      </w:r>
      <w:r w:rsidR="00CB5801" w:rsidRPr="00C356A8">
        <w:t>, such as sex or</w:t>
      </w:r>
      <w:r w:rsidR="00102C63" w:rsidRPr="00C356A8">
        <w:t xml:space="preserve"> age.</w:t>
      </w:r>
    </w:p>
    <w:p w14:paraId="3F8B13E1" w14:textId="6C94A622" w:rsidR="00E11227" w:rsidRPr="00C356A8" w:rsidRDefault="00E11227" w:rsidP="00E11227">
      <w:pPr>
        <w:autoSpaceDE w:val="0"/>
        <w:autoSpaceDN w:val="0"/>
        <w:adjustRightInd w:val="0"/>
        <w:spacing w:line="360" w:lineRule="auto"/>
        <w:jc w:val="both"/>
      </w:pPr>
      <w:r w:rsidRPr="00C356A8">
        <w:t xml:space="preserve">Our study extends the limited evidence regarding the </w:t>
      </w:r>
      <w:r w:rsidR="00830EE7" w:rsidRPr="00C356A8">
        <w:t xml:space="preserve">association </w:t>
      </w:r>
      <w:r w:rsidRPr="00C356A8">
        <w:t xml:space="preserve">of perceived descriptive norms </w:t>
      </w:r>
      <w:r w:rsidR="004C118D" w:rsidRPr="00C356A8">
        <w:t xml:space="preserve">of peers </w:t>
      </w:r>
      <w:r w:rsidR="0070685D" w:rsidRPr="00C356A8">
        <w:t xml:space="preserve">with </w:t>
      </w:r>
      <w:r w:rsidRPr="00C356A8">
        <w:t>university stu</w:t>
      </w:r>
      <w:r w:rsidR="00BD2557" w:rsidRPr="00C356A8">
        <w:t>dent</w:t>
      </w:r>
      <w:r w:rsidRPr="00C356A8">
        <w:t>s</w:t>
      </w:r>
      <w:r w:rsidR="00BD2557" w:rsidRPr="00C356A8">
        <w:t>’</w:t>
      </w:r>
      <w:r w:rsidR="00BA2004" w:rsidRPr="00C356A8">
        <w:t xml:space="preserve"> </w:t>
      </w:r>
      <w:r w:rsidR="00A5502F" w:rsidRPr="00C356A8">
        <w:t xml:space="preserve">personal </w:t>
      </w:r>
      <w:r w:rsidR="00BA2004" w:rsidRPr="00C356A8">
        <w:t>use of NP</w:t>
      </w:r>
      <w:r w:rsidR="00115B45" w:rsidRPr="00C356A8">
        <w:t>P</w:t>
      </w:r>
      <w:r w:rsidR="00BA2004" w:rsidRPr="00C356A8">
        <w:t>SSP</w:t>
      </w:r>
      <w:r w:rsidR="006F6101" w:rsidRPr="00C356A8">
        <w:t>. Indeed, our study</w:t>
      </w:r>
      <w:r w:rsidR="0085414B" w:rsidRPr="00C356A8">
        <w:t xml:space="preserve"> adds to the existing evidence b</w:t>
      </w:r>
      <w:r w:rsidR="00BA2004" w:rsidRPr="00C356A8">
        <w:t>y</w:t>
      </w:r>
      <w:r w:rsidR="004E05F3" w:rsidRPr="00C356A8">
        <w:t xml:space="preserve"> </w:t>
      </w:r>
      <w:r w:rsidR="0049549D" w:rsidRPr="00C356A8">
        <w:t>revealing</w:t>
      </w:r>
      <w:r w:rsidR="004E05F3" w:rsidRPr="00C356A8">
        <w:t xml:space="preserve"> self-other discrepancies regarding NP</w:t>
      </w:r>
      <w:r w:rsidR="00115B45" w:rsidRPr="00C356A8">
        <w:t>P</w:t>
      </w:r>
      <w:r w:rsidR="004E05F3" w:rsidRPr="00C356A8">
        <w:t>SSP use in a large sample of university students from various universities across Eu</w:t>
      </w:r>
      <w:r w:rsidR="00BA2004" w:rsidRPr="00C356A8">
        <w:t>rope</w:t>
      </w:r>
      <w:r w:rsidR="006F6101" w:rsidRPr="00C356A8">
        <w:t xml:space="preserve">. </w:t>
      </w:r>
      <w:r w:rsidR="00A5502F" w:rsidRPr="00C356A8">
        <w:t xml:space="preserve">Across all countries participating in the SNIPE study, </w:t>
      </w:r>
      <w:proofErr w:type="gramStart"/>
      <w:r w:rsidR="00A5502F" w:rsidRPr="00C356A8">
        <w:t>the majority of</w:t>
      </w:r>
      <w:proofErr w:type="gramEnd"/>
      <w:r w:rsidR="00A5502F" w:rsidRPr="00C356A8">
        <w:t xml:space="preserve"> students perceived their peers’ use to be higher than their personal </w:t>
      </w:r>
      <w:r w:rsidR="00A5502F" w:rsidRPr="00C356A8">
        <w:lastRenderedPageBreak/>
        <w:t xml:space="preserve">use. </w:t>
      </w:r>
      <w:r w:rsidR="006F6101" w:rsidRPr="00C356A8">
        <w:t>Furthermore</w:t>
      </w:r>
      <w:r w:rsidR="004C118D" w:rsidRPr="00C356A8">
        <w:t>,</w:t>
      </w:r>
      <w:r w:rsidR="006F6101" w:rsidRPr="00C356A8">
        <w:t xml:space="preserve"> we </w:t>
      </w:r>
      <w:r w:rsidR="00A5502F" w:rsidRPr="00C356A8">
        <w:t>demonstrated</w:t>
      </w:r>
      <w:r w:rsidR="004E05F3" w:rsidRPr="00C356A8">
        <w:t xml:space="preserve"> </w:t>
      </w:r>
      <w:r w:rsidR="007E05C5" w:rsidRPr="00C356A8">
        <w:t>associations between</w:t>
      </w:r>
      <w:r w:rsidR="004E05F3" w:rsidRPr="00C356A8">
        <w:t xml:space="preserve"> perceived peer use </w:t>
      </w:r>
      <w:r w:rsidR="007E05C5" w:rsidRPr="00C356A8">
        <w:t xml:space="preserve">and </w:t>
      </w:r>
      <w:r w:rsidR="004E05F3" w:rsidRPr="00C356A8">
        <w:t>students</w:t>
      </w:r>
      <w:r w:rsidR="00681A87" w:rsidRPr="00C356A8">
        <w:t>’</w:t>
      </w:r>
      <w:r w:rsidR="004E05F3" w:rsidRPr="00C356A8">
        <w:t xml:space="preserve"> </w:t>
      </w:r>
      <w:r w:rsidR="00D06579" w:rsidRPr="00C356A8">
        <w:t xml:space="preserve">personal </w:t>
      </w:r>
      <w:r w:rsidR="00AE5ACB" w:rsidRPr="00C356A8">
        <w:t>use</w:t>
      </w:r>
      <w:r w:rsidR="006F6101" w:rsidRPr="00C356A8">
        <w:t xml:space="preserve"> whil</w:t>
      </w:r>
      <w:r w:rsidR="006C062D" w:rsidRPr="00C356A8">
        <w:t>e</w:t>
      </w:r>
      <w:r w:rsidR="00AE5ACB" w:rsidRPr="00C356A8">
        <w:t xml:space="preserve"> </w:t>
      </w:r>
      <w:r w:rsidR="00A5502F" w:rsidRPr="00C356A8">
        <w:t xml:space="preserve">controlling </w:t>
      </w:r>
      <w:r w:rsidR="004E05F3" w:rsidRPr="00C356A8">
        <w:t xml:space="preserve">for </w:t>
      </w:r>
      <w:r w:rsidR="00A5502F" w:rsidRPr="00C356A8">
        <w:t xml:space="preserve">other </w:t>
      </w:r>
      <w:r w:rsidR="004E05F3" w:rsidRPr="00C356A8">
        <w:t xml:space="preserve">potential </w:t>
      </w:r>
      <w:r w:rsidR="00681A87" w:rsidRPr="00C356A8">
        <w:t xml:space="preserve">determinants of </w:t>
      </w:r>
      <w:r w:rsidR="00A5502F" w:rsidRPr="00C356A8">
        <w:t>NP</w:t>
      </w:r>
      <w:r w:rsidR="00115B45" w:rsidRPr="00C356A8">
        <w:t>P</w:t>
      </w:r>
      <w:r w:rsidR="00A5502F" w:rsidRPr="00C356A8">
        <w:t>SSP</w:t>
      </w:r>
      <w:r w:rsidR="00681A87" w:rsidRPr="00C356A8">
        <w:t xml:space="preserve"> use</w:t>
      </w:r>
      <w:r w:rsidR="006F6101" w:rsidRPr="00C356A8">
        <w:t xml:space="preserve"> </w:t>
      </w:r>
      <w:r w:rsidR="006C062D" w:rsidRPr="00C356A8">
        <w:t>ensuring</w:t>
      </w:r>
      <w:r w:rsidR="006F6101" w:rsidRPr="00C356A8">
        <w:t xml:space="preserve"> further methodological rigor to our study</w:t>
      </w:r>
      <w:r w:rsidR="004E05F3" w:rsidRPr="00C356A8">
        <w:t xml:space="preserve">. </w:t>
      </w:r>
    </w:p>
    <w:p w14:paraId="517F48AB" w14:textId="51322E34" w:rsidR="00DB1BA9" w:rsidRPr="00C356A8" w:rsidRDefault="007D79E5" w:rsidP="00D71747">
      <w:pPr>
        <w:autoSpaceDE w:val="0"/>
        <w:autoSpaceDN w:val="0"/>
        <w:adjustRightInd w:val="0"/>
        <w:spacing w:line="360" w:lineRule="auto"/>
        <w:jc w:val="both"/>
      </w:pPr>
      <w:r w:rsidRPr="00C356A8">
        <w:t>T</w:t>
      </w:r>
      <w:r w:rsidR="00D03D27" w:rsidRPr="00C356A8">
        <w:t>he present study</w:t>
      </w:r>
      <w:r w:rsidR="00DB1BA9" w:rsidRPr="00C356A8">
        <w:t xml:space="preserve"> </w:t>
      </w:r>
      <w:r w:rsidR="00B16F1D" w:rsidRPr="00C356A8">
        <w:t xml:space="preserve">is the first </w:t>
      </w:r>
      <w:r w:rsidRPr="00C356A8">
        <w:t>to</w:t>
      </w:r>
      <w:r w:rsidR="00DB1BA9" w:rsidRPr="00C356A8">
        <w:t xml:space="preserve"> </w:t>
      </w:r>
      <w:r w:rsidR="00102F41" w:rsidRPr="00C356A8">
        <w:t>demonstrate</w:t>
      </w:r>
      <w:r w:rsidR="00DB1BA9" w:rsidRPr="00C356A8">
        <w:t xml:space="preserve"> </w:t>
      </w:r>
      <w:r w:rsidR="00995325" w:rsidRPr="00C356A8">
        <w:t xml:space="preserve">discrepancies between </w:t>
      </w:r>
      <w:r w:rsidR="00DB1BA9" w:rsidRPr="00C356A8">
        <w:t xml:space="preserve">personal and perceived </w:t>
      </w:r>
      <w:r w:rsidR="002D26F2" w:rsidRPr="00C356A8">
        <w:t xml:space="preserve">peer </w:t>
      </w:r>
      <w:r w:rsidR="00DB1BA9" w:rsidRPr="00C356A8">
        <w:t>injunc</w:t>
      </w:r>
      <w:r w:rsidR="00995325" w:rsidRPr="00C356A8">
        <w:t>tive norms</w:t>
      </w:r>
      <w:r w:rsidR="0023554D" w:rsidRPr="00C356A8">
        <w:t xml:space="preserve"> </w:t>
      </w:r>
      <w:r w:rsidR="00DB1BA9" w:rsidRPr="00C356A8">
        <w:t>regarding NP</w:t>
      </w:r>
      <w:r w:rsidR="00115B45" w:rsidRPr="00C356A8">
        <w:t>P</w:t>
      </w:r>
      <w:r w:rsidR="00DB1BA9" w:rsidRPr="00C356A8">
        <w:t>SSP</w:t>
      </w:r>
      <w:r w:rsidR="0023554D" w:rsidRPr="00C356A8">
        <w:t xml:space="preserve"> use by investigating self-other discrepancies</w:t>
      </w:r>
      <w:r w:rsidRPr="00C356A8">
        <w:t xml:space="preserve"> </w:t>
      </w:r>
      <w:r w:rsidR="00D71747" w:rsidRPr="00C356A8">
        <w:t xml:space="preserve">and </w:t>
      </w:r>
      <w:r w:rsidR="00EA0239" w:rsidRPr="00C356A8">
        <w:t>associations between</w:t>
      </w:r>
      <w:r w:rsidR="00995325" w:rsidRPr="00C356A8">
        <w:t xml:space="preserve"> perceived injunctive norms </w:t>
      </w:r>
      <w:r w:rsidR="00EA0239" w:rsidRPr="00C356A8">
        <w:t xml:space="preserve">and </w:t>
      </w:r>
      <w:r w:rsidR="00995325" w:rsidRPr="00C356A8">
        <w:t xml:space="preserve">students’ </w:t>
      </w:r>
      <w:r w:rsidR="00D237C7" w:rsidRPr="00C356A8">
        <w:t xml:space="preserve">personal </w:t>
      </w:r>
      <w:r w:rsidR="00995325" w:rsidRPr="00C356A8">
        <w:t>approval of NP</w:t>
      </w:r>
      <w:r w:rsidR="00115B45" w:rsidRPr="00C356A8">
        <w:t>P</w:t>
      </w:r>
      <w:r w:rsidR="00995325" w:rsidRPr="00C356A8">
        <w:t>SSP use</w:t>
      </w:r>
      <w:r w:rsidR="0020701B" w:rsidRPr="00C356A8">
        <w:t>.</w:t>
      </w:r>
      <w:r w:rsidR="00995325" w:rsidRPr="00C356A8">
        <w:t xml:space="preserve"> </w:t>
      </w:r>
      <w:r w:rsidR="006F6101" w:rsidRPr="00C356A8">
        <w:t xml:space="preserve">To date, associations between perceived injunctive norms and personal approval of using </w:t>
      </w:r>
      <w:r w:rsidR="00115B45" w:rsidRPr="00C356A8">
        <w:t xml:space="preserve">non-prescribed </w:t>
      </w:r>
      <w:r w:rsidR="00B40375" w:rsidRPr="00C356A8">
        <w:t xml:space="preserve">prescription </w:t>
      </w:r>
      <w:r w:rsidR="006F6101" w:rsidRPr="00C356A8">
        <w:t xml:space="preserve">substances have only been investigated for stimulants </w:t>
      </w:r>
      <w:r w:rsidR="00B30DD2" w:rsidRPr="00C356A8">
        <w:rPr>
          <w:noProof/>
        </w:rPr>
        <w:t>(</w:t>
      </w:r>
      <w:r w:rsidR="008479BB" w:rsidRPr="00C356A8">
        <w:rPr>
          <w:noProof/>
        </w:rPr>
        <w:t>Helmer, et al., 2016; Silvestri &amp; Correia, 2016</w:t>
      </w:r>
      <w:r w:rsidR="00B30DD2" w:rsidRPr="00C356A8">
        <w:rPr>
          <w:noProof/>
        </w:rPr>
        <w:t>)</w:t>
      </w:r>
      <w:r w:rsidR="006F6101" w:rsidRPr="00C356A8">
        <w:t>, not for sedatives or sleeping pills</w:t>
      </w:r>
      <w:r w:rsidR="0090614E" w:rsidRPr="00C356A8">
        <w:t xml:space="preserve">. </w:t>
      </w:r>
      <w:r w:rsidR="00D94FAE" w:rsidRPr="00C356A8">
        <w:t xml:space="preserve">Silvestri and </w:t>
      </w:r>
      <w:proofErr w:type="spellStart"/>
      <w:r w:rsidR="00100017" w:rsidRPr="00C356A8">
        <w:t>Correia</w:t>
      </w:r>
      <w:proofErr w:type="spellEnd"/>
      <w:r w:rsidR="00D94FAE" w:rsidRPr="00C356A8">
        <w:t xml:space="preserve"> </w:t>
      </w:r>
      <w:r w:rsidR="00100017" w:rsidRPr="00C356A8">
        <w:rPr>
          <w:noProof/>
        </w:rPr>
        <w:t>(2016)</w:t>
      </w:r>
      <w:r w:rsidR="004C118D" w:rsidRPr="00C356A8">
        <w:t>,</w:t>
      </w:r>
      <w:r w:rsidR="00D94FAE" w:rsidRPr="00C356A8">
        <w:t xml:space="preserve"> </w:t>
      </w:r>
      <w:r w:rsidR="002309F4" w:rsidRPr="00C356A8">
        <w:t>analy</w:t>
      </w:r>
      <w:r w:rsidR="007E05C5" w:rsidRPr="00C356A8">
        <w:t>z</w:t>
      </w:r>
      <w:r w:rsidR="002309F4" w:rsidRPr="00C356A8">
        <w:t>ing</w:t>
      </w:r>
      <w:r w:rsidR="00D94FAE" w:rsidRPr="00C356A8">
        <w:t xml:space="preserve"> data from 959 U</w:t>
      </w:r>
      <w:r w:rsidR="002309F4" w:rsidRPr="00C356A8">
        <w:t>.</w:t>
      </w:r>
      <w:r w:rsidR="00D94FAE" w:rsidRPr="00C356A8">
        <w:t>S</w:t>
      </w:r>
      <w:r w:rsidR="002309F4" w:rsidRPr="00C356A8">
        <w:t>.</w:t>
      </w:r>
      <w:r w:rsidR="00D94FAE" w:rsidRPr="00C356A8">
        <w:t xml:space="preserve"> undergraduate students</w:t>
      </w:r>
      <w:r w:rsidR="004C118D" w:rsidRPr="00C356A8">
        <w:t>,</w:t>
      </w:r>
      <w:r w:rsidR="00D94FAE" w:rsidRPr="00C356A8">
        <w:t xml:space="preserve"> found </w:t>
      </w:r>
      <w:r w:rsidR="001A3D00" w:rsidRPr="00C356A8">
        <w:t>that</w:t>
      </w:r>
      <w:r w:rsidR="00D94FAE" w:rsidRPr="00C356A8">
        <w:t xml:space="preserve"> students’ personal approval of non-medical prescription stimulant</w:t>
      </w:r>
      <w:r w:rsidR="00CC1F98" w:rsidRPr="00C356A8">
        <w:t xml:space="preserve"> use</w:t>
      </w:r>
      <w:r w:rsidR="00D94FAE" w:rsidRPr="00C356A8">
        <w:t xml:space="preserve"> </w:t>
      </w:r>
      <w:r w:rsidR="001A3D00" w:rsidRPr="00C356A8">
        <w:t>was positively correlated with</w:t>
      </w:r>
      <w:r w:rsidR="00D94FAE" w:rsidRPr="00C356A8">
        <w:t xml:space="preserve"> perceived approval among </w:t>
      </w:r>
      <w:r w:rsidR="000236ED" w:rsidRPr="00C356A8">
        <w:t>what students perceived to be a</w:t>
      </w:r>
      <w:r w:rsidR="00D94FAE" w:rsidRPr="00C356A8">
        <w:t xml:space="preserve"> typical university student, close friends, as wel</w:t>
      </w:r>
      <w:r w:rsidR="00E92456" w:rsidRPr="00C356A8">
        <w:t xml:space="preserve">l as parents. </w:t>
      </w:r>
      <w:r w:rsidR="001A3D00" w:rsidRPr="00C356A8">
        <w:t xml:space="preserve">However, </w:t>
      </w:r>
      <w:r w:rsidR="007E7AE6" w:rsidRPr="00C356A8">
        <w:t>t</w:t>
      </w:r>
      <w:r w:rsidR="001A3D00" w:rsidRPr="00C356A8">
        <w:t xml:space="preserve">he correlations between perceived parental </w:t>
      </w:r>
      <w:r w:rsidR="007E7AE6" w:rsidRPr="00C356A8">
        <w:t>and</w:t>
      </w:r>
      <w:r w:rsidR="001A3D00" w:rsidRPr="00C356A8">
        <w:t xml:space="preserve"> close friend</w:t>
      </w:r>
      <w:r w:rsidR="007E7AE6" w:rsidRPr="00C356A8">
        <w:t xml:space="preserve"> approval </w:t>
      </w:r>
      <w:r w:rsidR="00E12C69" w:rsidRPr="00C356A8">
        <w:t xml:space="preserve">with </w:t>
      </w:r>
      <w:r w:rsidR="007E7AE6" w:rsidRPr="00C356A8">
        <w:t xml:space="preserve">personal approval were </w:t>
      </w:r>
      <w:r w:rsidR="001A3D00" w:rsidRPr="00C356A8">
        <w:t>moderate</w:t>
      </w:r>
      <w:r w:rsidR="00E12C69" w:rsidRPr="00C356A8">
        <w:t xml:space="preserve"> in strength</w:t>
      </w:r>
      <w:r w:rsidR="001A3D00" w:rsidRPr="00C356A8">
        <w:t xml:space="preserve"> </w:t>
      </w:r>
      <w:r w:rsidR="00E12C69" w:rsidRPr="00C356A8">
        <w:t xml:space="preserve">with weak associations </w:t>
      </w:r>
      <w:r w:rsidR="007E7AE6" w:rsidRPr="00C356A8">
        <w:t>between perceived typical student approval and personal approval</w:t>
      </w:r>
      <w:r w:rsidR="00E12C69" w:rsidRPr="00C356A8">
        <w:t>. This suggests that more proximal referent groups, rather than students’ broader group affiliations, could be important in determining personal approval of stimulant use</w:t>
      </w:r>
      <w:r w:rsidR="007E7AE6" w:rsidRPr="00C356A8">
        <w:t xml:space="preserve">. </w:t>
      </w:r>
      <w:r w:rsidR="000D599B" w:rsidRPr="00C356A8">
        <w:t xml:space="preserve">Another study by </w:t>
      </w:r>
      <w:r w:rsidR="0090614E" w:rsidRPr="00C356A8">
        <w:rPr>
          <w:lang w:eastAsia="de-DE"/>
        </w:rPr>
        <w:t xml:space="preserve">Helmer and colleagues </w:t>
      </w:r>
      <w:r w:rsidR="00100017" w:rsidRPr="00C356A8">
        <w:rPr>
          <w:noProof/>
          <w:lang w:eastAsia="de-DE"/>
        </w:rPr>
        <w:t>(2016)</w:t>
      </w:r>
      <w:r w:rsidR="0090614E" w:rsidRPr="00C356A8">
        <w:rPr>
          <w:lang w:eastAsia="de-DE"/>
        </w:rPr>
        <w:t xml:space="preserve">, also using data </w:t>
      </w:r>
      <w:r w:rsidR="00E12C69" w:rsidRPr="00C356A8">
        <w:rPr>
          <w:lang w:eastAsia="de-DE"/>
        </w:rPr>
        <w:t xml:space="preserve">from </w:t>
      </w:r>
      <w:r w:rsidR="0090614E" w:rsidRPr="00C356A8">
        <w:rPr>
          <w:lang w:eastAsia="de-DE"/>
        </w:rPr>
        <w:t xml:space="preserve">the SNIPE study, found </w:t>
      </w:r>
      <w:r w:rsidR="00B16F1D" w:rsidRPr="00C356A8">
        <w:rPr>
          <w:lang w:eastAsia="de-DE"/>
        </w:rPr>
        <w:t>that 38.7</w:t>
      </w:r>
      <w:r w:rsidR="0090614E" w:rsidRPr="00C356A8">
        <w:rPr>
          <w:lang w:eastAsia="de-DE"/>
        </w:rPr>
        <w:t xml:space="preserve">% of students perceived </w:t>
      </w:r>
      <w:r w:rsidR="00B16F1D" w:rsidRPr="00C356A8">
        <w:rPr>
          <w:lang w:eastAsia="de-DE"/>
        </w:rPr>
        <w:t>their</w:t>
      </w:r>
      <w:r w:rsidR="0090614E" w:rsidRPr="00C356A8">
        <w:rPr>
          <w:lang w:eastAsia="de-DE"/>
        </w:rPr>
        <w:t xml:space="preserve"> peer</w:t>
      </w:r>
      <w:r w:rsidR="00B16F1D" w:rsidRPr="00C356A8">
        <w:rPr>
          <w:lang w:eastAsia="de-DE"/>
        </w:rPr>
        <w:t xml:space="preserve">s to be more </w:t>
      </w:r>
      <w:r w:rsidR="0090614E" w:rsidRPr="00C356A8">
        <w:rPr>
          <w:lang w:eastAsia="de-DE"/>
        </w:rPr>
        <w:t>approv</w:t>
      </w:r>
      <w:r w:rsidR="00B16F1D" w:rsidRPr="00C356A8">
        <w:rPr>
          <w:lang w:eastAsia="de-DE"/>
        </w:rPr>
        <w:t>ing of using</w:t>
      </w:r>
      <w:r w:rsidR="0090614E" w:rsidRPr="00C356A8">
        <w:rPr>
          <w:lang w:eastAsia="de-DE"/>
        </w:rPr>
        <w:t xml:space="preserve"> </w:t>
      </w:r>
      <w:r w:rsidR="00115B45" w:rsidRPr="00C356A8">
        <w:rPr>
          <w:lang w:eastAsia="de-DE"/>
        </w:rPr>
        <w:t xml:space="preserve">non-prescribed </w:t>
      </w:r>
      <w:r w:rsidR="0090614E" w:rsidRPr="00C356A8">
        <w:rPr>
          <w:lang w:eastAsia="de-DE"/>
        </w:rPr>
        <w:t xml:space="preserve">prescription stimulants </w:t>
      </w:r>
      <w:r w:rsidR="007E05C5" w:rsidRPr="00C356A8">
        <w:t>to improve their academic performance</w:t>
      </w:r>
      <w:r w:rsidR="007E05C5" w:rsidRPr="00C356A8" w:rsidDel="007E05C5">
        <w:rPr>
          <w:lang w:eastAsia="de-DE"/>
        </w:rPr>
        <w:t xml:space="preserve"> </w:t>
      </w:r>
      <w:r w:rsidR="00B16F1D" w:rsidRPr="00C356A8">
        <w:rPr>
          <w:lang w:eastAsia="de-DE"/>
        </w:rPr>
        <w:t>than themselves. Their</w:t>
      </w:r>
      <w:r w:rsidR="001220FB" w:rsidRPr="00C356A8">
        <w:rPr>
          <w:lang w:eastAsia="de-DE"/>
        </w:rPr>
        <w:t xml:space="preserve"> </w:t>
      </w:r>
      <w:r w:rsidR="009064FE" w:rsidRPr="00C356A8">
        <w:rPr>
          <w:lang w:eastAsia="de-DE"/>
        </w:rPr>
        <w:t xml:space="preserve">multivariable </w:t>
      </w:r>
      <w:r w:rsidR="001220FB" w:rsidRPr="00C356A8">
        <w:rPr>
          <w:lang w:eastAsia="de-DE"/>
        </w:rPr>
        <w:t>analysi</w:t>
      </w:r>
      <w:r w:rsidR="00B16F1D" w:rsidRPr="00C356A8">
        <w:rPr>
          <w:lang w:eastAsia="de-DE"/>
        </w:rPr>
        <w:t xml:space="preserve">s </w:t>
      </w:r>
      <w:r w:rsidR="0048106D" w:rsidRPr="00C356A8">
        <w:rPr>
          <w:lang w:eastAsia="de-DE"/>
        </w:rPr>
        <w:t xml:space="preserve">also </w:t>
      </w:r>
      <w:r w:rsidR="00B16F1D" w:rsidRPr="00C356A8">
        <w:rPr>
          <w:lang w:eastAsia="de-DE"/>
        </w:rPr>
        <w:t>revealed an association between perceived peer and personal approval of using these substances</w:t>
      </w:r>
      <w:r w:rsidR="000D599B" w:rsidRPr="00C356A8">
        <w:rPr>
          <w:lang w:eastAsia="de-DE"/>
        </w:rPr>
        <w:t>.</w:t>
      </w:r>
      <w:r w:rsidR="0090614E" w:rsidRPr="00C356A8">
        <w:rPr>
          <w:lang w:eastAsia="de-DE"/>
        </w:rPr>
        <w:t xml:space="preserve"> </w:t>
      </w:r>
      <w:bookmarkStart w:id="4" w:name="_Hlk486348347"/>
      <w:r w:rsidR="001220FB" w:rsidRPr="00C356A8">
        <w:t xml:space="preserve">In our study, an association between perceived injunctive norms </w:t>
      </w:r>
      <w:r w:rsidR="00D30991" w:rsidRPr="00C356A8">
        <w:t xml:space="preserve">of peers </w:t>
      </w:r>
      <w:r w:rsidR="001220FB" w:rsidRPr="00C356A8">
        <w:t>and students’ personal approval of using NP</w:t>
      </w:r>
      <w:r w:rsidR="00115B45" w:rsidRPr="00C356A8">
        <w:t>P</w:t>
      </w:r>
      <w:r w:rsidR="001220FB" w:rsidRPr="00C356A8">
        <w:t xml:space="preserve">SSP was found </w:t>
      </w:r>
      <w:bookmarkEnd w:id="4"/>
      <w:r w:rsidR="009A42F4" w:rsidRPr="00C356A8">
        <w:t>for all countries participating in the SNIPE</w:t>
      </w:r>
      <w:r w:rsidR="00776301" w:rsidRPr="00C356A8">
        <w:t xml:space="preserve"> project</w:t>
      </w:r>
      <w:r w:rsidR="00861416" w:rsidRPr="00C356A8">
        <w:t>, ex</w:t>
      </w:r>
      <w:r w:rsidR="00DB1BA9" w:rsidRPr="00C356A8">
        <w:t xml:space="preserve">cept for </w:t>
      </w:r>
      <w:r w:rsidR="00861416" w:rsidRPr="00C356A8">
        <w:t>the UK</w:t>
      </w:r>
      <w:r w:rsidR="0070685D" w:rsidRPr="00C356A8">
        <w:t>, with its</w:t>
      </w:r>
      <w:r w:rsidR="00DB1BA9" w:rsidRPr="00C356A8">
        <w:t xml:space="preserve"> comparatively </w:t>
      </w:r>
      <w:r w:rsidR="009064FE" w:rsidRPr="00C356A8">
        <w:t xml:space="preserve">small </w:t>
      </w:r>
      <w:r w:rsidR="00DB1BA9" w:rsidRPr="00C356A8">
        <w:t>sample size</w:t>
      </w:r>
      <w:r w:rsidR="0070685D" w:rsidRPr="00C356A8">
        <w:t>.</w:t>
      </w:r>
    </w:p>
    <w:p w14:paraId="422AA705" w14:textId="2648A52E" w:rsidR="00182E2F" w:rsidRPr="00C356A8" w:rsidRDefault="00182E2F" w:rsidP="00D71747">
      <w:pPr>
        <w:autoSpaceDE w:val="0"/>
        <w:autoSpaceDN w:val="0"/>
        <w:adjustRightInd w:val="0"/>
        <w:spacing w:line="360" w:lineRule="auto"/>
        <w:jc w:val="both"/>
      </w:pPr>
      <w:r w:rsidRPr="00C356A8">
        <w:t xml:space="preserve">The findings of this study align with previous observations that university students’ exaggerated perceptions of peer norms </w:t>
      </w:r>
      <w:r w:rsidR="00BE0325" w:rsidRPr="00C356A8">
        <w:t xml:space="preserve">also </w:t>
      </w:r>
      <w:r w:rsidRPr="00C356A8">
        <w:t xml:space="preserve">exist </w:t>
      </w:r>
      <w:r w:rsidR="00BE0325" w:rsidRPr="00C356A8">
        <w:t>for prescription substances which are less</w:t>
      </w:r>
      <w:r w:rsidRPr="00C356A8">
        <w:t xml:space="preserve"> commonly used </w:t>
      </w:r>
      <w:r w:rsidR="00DC6F23" w:rsidRPr="00C356A8">
        <w:t xml:space="preserve">and socially accepted </w:t>
      </w:r>
      <w:r w:rsidR="00BE0325" w:rsidRPr="00C356A8">
        <w:t>than</w:t>
      </w:r>
      <w:r w:rsidRPr="00C356A8">
        <w:t>,</w:t>
      </w:r>
      <w:r w:rsidR="00BE0325" w:rsidRPr="00C356A8">
        <w:t xml:space="preserve"> for example</w:t>
      </w:r>
      <w:r w:rsidRPr="00C356A8">
        <w:t xml:space="preserve"> alcohol, tobacco, or cannabis</w:t>
      </w:r>
      <w:r w:rsidR="000B1C2E" w:rsidRPr="00C356A8">
        <w:t xml:space="preserve"> </w:t>
      </w:r>
      <w:r w:rsidR="000B1C2E" w:rsidRPr="00C356A8">
        <w:rPr>
          <w:noProof/>
        </w:rPr>
        <w:t>(</w:t>
      </w:r>
      <w:r w:rsidR="003020A1" w:rsidRPr="00C356A8">
        <w:rPr>
          <w:noProof/>
        </w:rPr>
        <w:t>Helmer, et al., 2016; Kilmer, et al., 2015; McCabe, 2008; Perkins, et al., 1999; Sanders, et al., 2014; Silvestri &amp; Correia, 2016</w:t>
      </w:r>
      <w:r w:rsidR="000B1C2E" w:rsidRPr="00C356A8">
        <w:rPr>
          <w:noProof/>
        </w:rPr>
        <w:t>)</w:t>
      </w:r>
      <w:r w:rsidRPr="00C356A8">
        <w:t>.</w:t>
      </w:r>
      <w:r w:rsidR="000B1C2E" w:rsidRPr="00C356A8">
        <w:t xml:space="preserve"> Increased interest in the non-medical use of prescription drugs to the public and the media</w:t>
      </w:r>
      <w:r w:rsidR="00303B52" w:rsidRPr="00C356A8">
        <w:t xml:space="preserve"> </w:t>
      </w:r>
      <w:r w:rsidR="001D35A5" w:rsidRPr="00C356A8">
        <w:rPr>
          <w:noProof/>
        </w:rPr>
        <w:t>(</w:t>
      </w:r>
      <w:r w:rsidR="003020A1" w:rsidRPr="00C356A8">
        <w:rPr>
          <w:noProof/>
        </w:rPr>
        <w:t>Partridge, et al., 2011</w:t>
      </w:r>
      <w:r w:rsidR="001D35A5" w:rsidRPr="00C356A8">
        <w:rPr>
          <w:noProof/>
        </w:rPr>
        <w:t>)</w:t>
      </w:r>
      <w:r w:rsidR="001D35A5" w:rsidRPr="00C356A8">
        <w:t xml:space="preserve"> may create the impression that approving and using these substances is much more common than it </w:t>
      </w:r>
      <w:proofErr w:type="gramStart"/>
      <w:r w:rsidR="001D35A5" w:rsidRPr="00C356A8">
        <w:t>is in realit</w:t>
      </w:r>
      <w:proofErr w:type="gramEnd"/>
      <w:r w:rsidR="001D35A5" w:rsidRPr="00C356A8">
        <w:t xml:space="preserve">y </w:t>
      </w:r>
      <w:r w:rsidR="001D35A5" w:rsidRPr="00C356A8">
        <w:rPr>
          <w:noProof/>
        </w:rPr>
        <w:t>(</w:t>
      </w:r>
      <w:r w:rsidR="003020A1" w:rsidRPr="00C356A8">
        <w:rPr>
          <w:noProof/>
        </w:rPr>
        <w:t>McCabe, 2008; Sanders, et al., 2014</w:t>
      </w:r>
      <w:r w:rsidR="001D35A5" w:rsidRPr="00C356A8">
        <w:rPr>
          <w:noProof/>
        </w:rPr>
        <w:t>)</w:t>
      </w:r>
      <w:r w:rsidR="001D35A5" w:rsidRPr="00C356A8">
        <w:t xml:space="preserve">. Perceiving prescription drugs to be safer, and socially acceptable because of </w:t>
      </w:r>
      <w:r w:rsidR="00C75685" w:rsidRPr="00C356A8">
        <w:t xml:space="preserve">their </w:t>
      </w:r>
      <w:r w:rsidR="001D35A5" w:rsidRPr="00C356A8">
        <w:rPr>
          <w:rFonts w:asciiTheme="minorHAnsi" w:hAnsiTheme="minorHAnsi" w:cstheme="minorHAnsi"/>
        </w:rPr>
        <w:t>produc</w:t>
      </w:r>
      <w:r w:rsidR="00C75685" w:rsidRPr="00C356A8">
        <w:rPr>
          <w:rFonts w:asciiTheme="minorHAnsi" w:hAnsiTheme="minorHAnsi" w:cstheme="minorHAnsi"/>
        </w:rPr>
        <w:t>tion</w:t>
      </w:r>
      <w:r w:rsidR="001D35A5" w:rsidRPr="00C356A8">
        <w:rPr>
          <w:rFonts w:asciiTheme="minorHAnsi" w:hAnsiTheme="minorHAnsi" w:cstheme="minorHAnsi"/>
        </w:rPr>
        <w:t xml:space="preserve"> by pharmaceutical companies and </w:t>
      </w:r>
      <w:r w:rsidR="00C75685" w:rsidRPr="00C356A8">
        <w:rPr>
          <w:rFonts w:asciiTheme="minorHAnsi" w:hAnsiTheme="minorHAnsi" w:cstheme="minorHAnsi"/>
        </w:rPr>
        <w:t>their</w:t>
      </w:r>
      <w:r w:rsidR="001D35A5" w:rsidRPr="00C356A8">
        <w:rPr>
          <w:rFonts w:asciiTheme="minorHAnsi" w:hAnsiTheme="minorHAnsi" w:cstheme="minorHAnsi"/>
        </w:rPr>
        <w:t xml:space="preserve"> prescri</w:t>
      </w:r>
      <w:r w:rsidR="00C75685" w:rsidRPr="00C356A8">
        <w:rPr>
          <w:rFonts w:asciiTheme="minorHAnsi" w:hAnsiTheme="minorHAnsi" w:cstheme="minorHAnsi"/>
        </w:rPr>
        <w:t>ption</w:t>
      </w:r>
      <w:r w:rsidR="001D35A5" w:rsidRPr="00C356A8">
        <w:rPr>
          <w:rFonts w:asciiTheme="minorHAnsi" w:hAnsiTheme="minorHAnsi" w:cstheme="minorHAnsi"/>
        </w:rPr>
        <w:t xml:space="preserve"> by physicians </w:t>
      </w:r>
      <w:r w:rsidR="001D35A5" w:rsidRPr="00C356A8">
        <w:rPr>
          <w:rFonts w:asciiTheme="minorHAnsi" w:hAnsiTheme="minorHAnsi" w:cstheme="minorHAnsi"/>
          <w:noProof/>
        </w:rPr>
        <w:t>(</w:t>
      </w:r>
      <w:r w:rsidR="003020A1" w:rsidRPr="00C356A8">
        <w:rPr>
          <w:rFonts w:asciiTheme="minorHAnsi" w:hAnsiTheme="minorHAnsi" w:cstheme="minorHAnsi"/>
          <w:noProof/>
        </w:rPr>
        <w:t>Bodenlos, et al., 2014; Compton &amp; Volkow, 2006; Hildt, et al., 2011; Martins &amp; Ghandour, 2017</w:t>
      </w:r>
      <w:r w:rsidR="001D35A5" w:rsidRPr="00C356A8">
        <w:rPr>
          <w:rFonts w:asciiTheme="minorHAnsi" w:hAnsiTheme="minorHAnsi" w:cstheme="minorHAnsi"/>
          <w:noProof/>
        </w:rPr>
        <w:t>)</w:t>
      </w:r>
      <w:r w:rsidR="001D35A5" w:rsidRPr="00C356A8">
        <w:rPr>
          <w:rFonts w:asciiTheme="minorHAnsi" w:hAnsiTheme="minorHAnsi" w:cstheme="minorHAnsi"/>
        </w:rPr>
        <w:t xml:space="preserve"> may also explain exaggerated peer norms.</w:t>
      </w:r>
    </w:p>
    <w:p w14:paraId="460D978A" w14:textId="5EB98313" w:rsidR="0067365F" w:rsidRPr="00C356A8" w:rsidRDefault="003F5DA5" w:rsidP="00E36581">
      <w:pPr>
        <w:autoSpaceDE w:val="0"/>
        <w:autoSpaceDN w:val="0"/>
        <w:adjustRightInd w:val="0"/>
        <w:spacing w:line="360" w:lineRule="auto"/>
        <w:jc w:val="both"/>
      </w:pPr>
      <w:r w:rsidRPr="00C356A8">
        <w:lastRenderedPageBreak/>
        <w:t xml:space="preserve">The </w:t>
      </w:r>
      <w:r w:rsidR="00776301" w:rsidRPr="00C356A8">
        <w:t>identification</w:t>
      </w:r>
      <w:r w:rsidRPr="00C356A8">
        <w:t xml:space="preserve"> of perceived descriptive and injunctive norms of peers as significant predictors of </w:t>
      </w:r>
      <w:r w:rsidR="00776301" w:rsidRPr="00C356A8">
        <w:t>students’ NP</w:t>
      </w:r>
      <w:r w:rsidR="00115B45" w:rsidRPr="00C356A8">
        <w:t>P</w:t>
      </w:r>
      <w:r w:rsidR="00776301" w:rsidRPr="00C356A8">
        <w:t>SSP</w:t>
      </w:r>
      <w:r w:rsidRPr="00C356A8">
        <w:t xml:space="preserve"> use and approval of use </w:t>
      </w:r>
      <w:r w:rsidR="009F56B3" w:rsidRPr="00C356A8">
        <w:t>provides empirical arguments for the important role of social norms for</w:t>
      </w:r>
      <w:r w:rsidR="009F56B3" w:rsidRPr="00C356A8" w:rsidDel="009F56B3">
        <w:t xml:space="preserve"> </w:t>
      </w:r>
      <w:r w:rsidRPr="00C356A8">
        <w:t>personal behaviors</w:t>
      </w:r>
      <w:r w:rsidR="00776301" w:rsidRPr="00C356A8">
        <w:t xml:space="preserve"> and approval of behaviors</w:t>
      </w:r>
      <w:r w:rsidRPr="00C356A8">
        <w:t>.</w:t>
      </w:r>
      <w:r w:rsidR="00776301" w:rsidRPr="00C356A8">
        <w:t xml:space="preserve"> </w:t>
      </w:r>
      <w:r w:rsidR="0089241E" w:rsidRPr="00C356A8">
        <w:t>In line with</w:t>
      </w:r>
      <w:r w:rsidR="00D03D27" w:rsidRPr="00C356A8">
        <w:t xml:space="preserve"> social norms theory </w:t>
      </w:r>
      <w:r w:rsidR="00B30DD2" w:rsidRPr="00C356A8">
        <w:rPr>
          <w:noProof/>
        </w:rPr>
        <w:t>(</w:t>
      </w:r>
      <w:r w:rsidR="003020A1" w:rsidRPr="00C356A8">
        <w:rPr>
          <w:noProof/>
        </w:rPr>
        <w:t>Berkowitz, 2005; Perkins, 2003</w:t>
      </w:r>
      <w:r w:rsidR="00B30DD2" w:rsidRPr="00C356A8">
        <w:rPr>
          <w:noProof/>
        </w:rPr>
        <w:t>)</w:t>
      </w:r>
      <w:r w:rsidR="00D03D27" w:rsidRPr="00C356A8">
        <w:t xml:space="preserve">, </w:t>
      </w:r>
      <w:r w:rsidR="00776301" w:rsidRPr="00C356A8">
        <w:t>our findings</w:t>
      </w:r>
      <w:r w:rsidR="00D03D27" w:rsidRPr="00C356A8">
        <w:t xml:space="preserve"> may indicate that </w:t>
      </w:r>
      <w:r w:rsidR="004400CA" w:rsidRPr="00C356A8">
        <w:t>exaggerated</w:t>
      </w:r>
      <w:r w:rsidR="00D03D27" w:rsidRPr="00C356A8">
        <w:t xml:space="preserve"> perceptions of </w:t>
      </w:r>
      <w:r w:rsidR="0067365F" w:rsidRPr="00C356A8">
        <w:t xml:space="preserve">descriptive norms of </w:t>
      </w:r>
      <w:r w:rsidR="00D03D27" w:rsidRPr="00C356A8">
        <w:t>peer</w:t>
      </w:r>
      <w:r w:rsidR="0067365F" w:rsidRPr="00C356A8">
        <w:t>s</w:t>
      </w:r>
      <w:r w:rsidR="00D03D27" w:rsidRPr="00C356A8">
        <w:t xml:space="preserve"> may increase students’ willingness to use </w:t>
      </w:r>
      <w:r w:rsidR="00250C32" w:rsidRPr="00C356A8">
        <w:t>NP</w:t>
      </w:r>
      <w:r w:rsidR="00115B45" w:rsidRPr="00C356A8">
        <w:t>P</w:t>
      </w:r>
      <w:r w:rsidR="00250C32" w:rsidRPr="00C356A8">
        <w:t>SSP themselves</w:t>
      </w:r>
      <w:r w:rsidR="000E4C49" w:rsidRPr="00C356A8">
        <w:t xml:space="preserve">. </w:t>
      </w:r>
      <w:r w:rsidR="004400CA" w:rsidRPr="00C356A8">
        <w:t xml:space="preserve">Moreover, exaggerated </w:t>
      </w:r>
      <w:r w:rsidR="000E4C49" w:rsidRPr="00C356A8">
        <w:t xml:space="preserve">perceptions </w:t>
      </w:r>
      <w:r w:rsidR="004400CA" w:rsidRPr="00C356A8">
        <w:t xml:space="preserve">of injunctive norms of peers </w:t>
      </w:r>
      <w:r w:rsidR="000E4C49" w:rsidRPr="00C356A8">
        <w:t xml:space="preserve">may also lead to an increased </w:t>
      </w:r>
      <w:r w:rsidR="00250C32" w:rsidRPr="00C356A8">
        <w:t>approval</w:t>
      </w:r>
      <w:r w:rsidR="0067365F" w:rsidRPr="00C356A8">
        <w:t xml:space="preserve"> of using </w:t>
      </w:r>
      <w:r w:rsidR="00250C32" w:rsidRPr="00C356A8">
        <w:t>NP</w:t>
      </w:r>
      <w:r w:rsidR="00115B45" w:rsidRPr="00C356A8">
        <w:t>P</w:t>
      </w:r>
      <w:r w:rsidR="00250C32" w:rsidRPr="00C356A8">
        <w:t xml:space="preserve">SSP </w:t>
      </w:r>
      <w:proofErr w:type="gramStart"/>
      <w:r w:rsidR="00D03D27" w:rsidRPr="00C356A8">
        <w:t>in order to</w:t>
      </w:r>
      <w:proofErr w:type="gramEnd"/>
      <w:r w:rsidR="00D03D27" w:rsidRPr="00C356A8">
        <w:t xml:space="preserve"> match </w:t>
      </w:r>
      <w:r w:rsidR="00F237A1" w:rsidRPr="00C356A8">
        <w:t xml:space="preserve">personal </w:t>
      </w:r>
      <w:r w:rsidR="0067365F" w:rsidRPr="00C356A8">
        <w:t>attitudes</w:t>
      </w:r>
      <w:r w:rsidR="00D03D27" w:rsidRPr="00C356A8">
        <w:t xml:space="preserve"> to the perceived peer norm</w:t>
      </w:r>
      <w:r w:rsidR="0067365F" w:rsidRPr="00C356A8">
        <w:t>s</w:t>
      </w:r>
      <w:r w:rsidR="00D03D27" w:rsidRPr="00C356A8">
        <w:t>.</w:t>
      </w:r>
      <w:r w:rsidR="0067365F" w:rsidRPr="00C356A8">
        <w:t xml:space="preserve"> </w:t>
      </w:r>
      <w:r w:rsidR="00CF0EE6" w:rsidRPr="00C356A8">
        <w:t xml:space="preserve">Social norms interventions </w:t>
      </w:r>
      <w:r w:rsidR="0070685D" w:rsidRPr="00C356A8">
        <w:t>that challenge</w:t>
      </w:r>
      <w:r w:rsidR="00CF0EE6" w:rsidRPr="00C356A8">
        <w:t xml:space="preserve"> perceptions of descriptive and injunctive peer norms</w:t>
      </w:r>
      <w:r w:rsidR="000868A9" w:rsidRPr="00C356A8">
        <w:t xml:space="preserve"> through, for example, mass media campaigns, social marketing strategies or </w:t>
      </w:r>
      <w:r w:rsidR="003E0555" w:rsidRPr="00C356A8">
        <w:t xml:space="preserve">the </w:t>
      </w:r>
      <w:r w:rsidR="000868A9" w:rsidRPr="00C356A8">
        <w:t>provision of online personalized feedback</w:t>
      </w:r>
      <w:r w:rsidR="00CF0EE6" w:rsidRPr="00C356A8">
        <w:t xml:space="preserve"> </w:t>
      </w:r>
      <w:r w:rsidR="00B30DD2" w:rsidRPr="00C356A8">
        <w:rPr>
          <w:noProof/>
        </w:rPr>
        <w:t>(</w:t>
      </w:r>
      <w:r w:rsidR="003020A1" w:rsidRPr="00C356A8">
        <w:rPr>
          <w:noProof/>
        </w:rPr>
        <w:t>McAlaney, et al., 2011; Perkins, 2003</w:t>
      </w:r>
      <w:r w:rsidR="00B30DD2" w:rsidRPr="00C356A8">
        <w:rPr>
          <w:noProof/>
        </w:rPr>
        <w:t>)</w:t>
      </w:r>
      <w:r w:rsidR="0089241E" w:rsidRPr="00C356A8">
        <w:t>,</w:t>
      </w:r>
      <w:r w:rsidR="00F67DD3" w:rsidRPr="00C356A8">
        <w:t xml:space="preserve"> </w:t>
      </w:r>
      <w:r w:rsidR="00CF0EE6" w:rsidRPr="00C356A8">
        <w:t>may be a viable approach to</w:t>
      </w:r>
      <w:r w:rsidR="0067365F" w:rsidRPr="00C356A8">
        <w:t xml:space="preserve"> </w:t>
      </w:r>
      <w:r w:rsidR="004400CA" w:rsidRPr="00C356A8">
        <w:t xml:space="preserve">prevent or </w:t>
      </w:r>
      <w:r w:rsidR="0067365F" w:rsidRPr="00C356A8">
        <w:t>reduce NP</w:t>
      </w:r>
      <w:r w:rsidR="00E71D7B" w:rsidRPr="00C356A8">
        <w:t>P</w:t>
      </w:r>
      <w:r w:rsidR="0067365F" w:rsidRPr="00C356A8">
        <w:t xml:space="preserve">SSP use among </w:t>
      </w:r>
      <w:r w:rsidR="00CF0EE6" w:rsidRPr="00C356A8">
        <w:t xml:space="preserve">European </w:t>
      </w:r>
      <w:r w:rsidR="0067365F" w:rsidRPr="00C356A8">
        <w:t>university stud</w:t>
      </w:r>
      <w:r w:rsidR="00250C32" w:rsidRPr="00C356A8">
        <w:t>ents.</w:t>
      </w:r>
    </w:p>
    <w:p w14:paraId="59134F16" w14:textId="56DBBBEF" w:rsidR="00B30DD2" w:rsidRPr="00C356A8" w:rsidRDefault="00DE44B5" w:rsidP="00E36581">
      <w:pPr>
        <w:autoSpaceDE w:val="0"/>
        <w:autoSpaceDN w:val="0"/>
        <w:adjustRightInd w:val="0"/>
        <w:spacing w:line="360" w:lineRule="auto"/>
        <w:jc w:val="both"/>
        <w:rPr>
          <w:rFonts w:asciiTheme="minorHAnsi" w:hAnsiTheme="minorHAnsi" w:cstheme="minorHAnsi"/>
          <w:color w:val="000000"/>
        </w:rPr>
      </w:pPr>
      <w:r w:rsidRPr="00C356A8">
        <w:rPr>
          <w:rFonts w:asciiTheme="minorHAnsi" w:hAnsiTheme="minorHAnsi" w:cstheme="minorHAnsi"/>
          <w:color w:val="000000"/>
        </w:rPr>
        <w:t xml:space="preserve">There are certain limitations to the present study. </w:t>
      </w:r>
      <w:r w:rsidR="00A1131E" w:rsidRPr="00C356A8">
        <w:rPr>
          <w:rFonts w:asciiTheme="minorHAnsi" w:hAnsiTheme="minorHAnsi" w:cstheme="minorHAnsi"/>
          <w:color w:val="000000"/>
        </w:rPr>
        <w:t xml:space="preserve">The analyses </w:t>
      </w:r>
      <w:r w:rsidR="0070685D" w:rsidRPr="00C356A8">
        <w:rPr>
          <w:rFonts w:asciiTheme="minorHAnsi" w:hAnsiTheme="minorHAnsi" w:cstheme="minorHAnsi"/>
          <w:color w:val="000000"/>
        </w:rPr>
        <w:t xml:space="preserve">are </w:t>
      </w:r>
      <w:r w:rsidR="00A1131E" w:rsidRPr="00C356A8">
        <w:rPr>
          <w:rFonts w:asciiTheme="minorHAnsi" w:hAnsiTheme="minorHAnsi" w:cstheme="minorHAnsi"/>
          <w:color w:val="000000"/>
        </w:rPr>
        <w:t xml:space="preserve">based </w:t>
      </w:r>
      <w:r w:rsidR="00640D14" w:rsidRPr="00C356A8">
        <w:rPr>
          <w:rFonts w:asciiTheme="minorHAnsi" w:hAnsiTheme="minorHAnsi" w:cstheme="minorHAnsi"/>
          <w:color w:val="000000"/>
        </w:rPr>
        <w:t>on self</w:t>
      </w:r>
      <w:r w:rsidR="009E03C8" w:rsidRPr="00C356A8">
        <w:rPr>
          <w:rFonts w:asciiTheme="minorHAnsi" w:hAnsiTheme="minorHAnsi" w:cstheme="minorHAnsi"/>
          <w:color w:val="000000"/>
        </w:rPr>
        <w:t>-reported data collected via a confidential online survey</w:t>
      </w:r>
      <w:r w:rsidR="0070685D" w:rsidRPr="00C356A8">
        <w:rPr>
          <w:rFonts w:asciiTheme="minorHAnsi" w:hAnsiTheme="minorHAnsi" w:cstheme="minorHAnsi"/>
          <w:color w:val="000000"/>
        </w:rPr>
        <w:t>. This</w:t>
      </w:r>
      <w:r w:rsidR="00D32D4D" w:rsidRPr="00C356A8">
        <w:rPr>
          <w:rFonts w:asciiTheme="minorHAnsi" w:hAnsiTheme="minorHAnsi" w:cstheme="minorHAnsi"/>
          <w:color w:val="000000"/>
        </w:rPr>
        <w:t xml:space="preserve"> is </w:t>
      </w:r>
      <w:r w:rsidR="0031690A" w:rsidRPr="00C356A8">
        <w:rPr>
          <w:rFonts w:asciiTheme="minorHAnsi" w:hAnsiTheme="minorHAnsi" w:cstheme="minorHAnsi"/>
          <w:color w:val="000000"/>
        </w:rPr>
        <w:t xml:space="preserve">a </w:t>
      </w:r>
      <w:r w:rsidR="00D32D4D" w:rsidRPr="00C356A8">
        <w:rPr>
          <w:rFonts w:asciiTheme="minorHAnsi" w:hAnsiTheme="minorHAnsi" w:cstheme="minorHAnsi"/>
          <w:color w:val="000000"/>
        </w:rPr>
        <w:t>common</w:t>
      </w:r>
      <w:r w:rsidR="00640D14" w:rsidRPr="00C356A8">
        <w:rPr>
          <w:rFonts w:asciiTheme="minorHAnsi" w:hAnsiTheme="minorHAnsi" w:cstheme="minorHAnsi"/>
          <w:color w:val="000000"/>
        </w:rPr>
        <w:t>ly used</w:t>
      </w:r>
      <w:r w:rsidR="009E03C8" w:rsidRPr="00C356A8">
        <w:rPr>
          <w:rFonts w:asciiTheme="minorHAnsi" w:hAnsiTheme="minorHAnsi" w:cstheme="minorHAnsi"/>
          <w:color w:val="000000"/>
        </w:rPr>
        <w:t xml:space="preserve"> </w:t>
      </w:r>
      <w:r w:rsidR="0031690A" w:rsidRPr="00C356A8">
        <w:rPr>
          <w:rFonts w:asciiTheme="minorHAnsi" w:hAnsiTheme="minorHAnsi" w:cstheme="minorHAnsi"/>
          <w:color w:val="000000"/>
        </w:rPr>
        <w:t xml:space="preserve">survey technique </w:t>
      </w:r>
      <w:r w:rsidR="00D32D4D" w:rsidRPr="00C356A8">
        <w:rPr>
          <w:rFonts w:asciiTheme="minorHAnsi" w:hAnsiTheme="minorHAnsi" w:cstheme="minorHAnsi"/>
          <w:color w:val="000000"/>
        </w:rPr>
        <w:t>in substance use research among university students</w:t>
      </w:r>
      <w:r w:rsidR="000E79C4" w:rsidRPr="00C356A8">
        <w:rPr>
          <w:rFonts w:asciiTheme="minorHAnsi" w:hAnsiTheme="minorHAnsi" w:cstheme="minorHAnsi"/>
          <w:color w:val="000000"/>
        </w:rPr>
        <w:t xml:space="preserve"> to minimize the risk of socially desirable response behavior</w:t>
      </w:r>
      <w:r w:rsidR="00D32D4D" w:rsidRPr="00C356A8">
        <w:rPr>
          <w:rFonts w:asciiTheme="minorHAnsi" w:hAnsiTheme="minorHAnsi" w:cstheme="minorHAnsi"/>
          <w:color w:val="000000"/>
        </w:rPr>
        <w:t xml:space="preserve"> </w:t>
      </w:r>
      <w:r w:rsidR="00B30DD2" w:rsidRPr="00C356A8">
        <w:rPr>
          <w:rFonts w:asciiTheme="minorHAnsi" w:hAnsiTheme="minorHAnsi" w:cstheme="minorHAnsi"/>
          <w:noProof/>
          <w:color w:val="000000"/>
        </w:rPr>
        <w:t>(</w:t>
      </w:r>
      <w:r w:rsidR="003020A1" w:rsidRPr="00C356A8">
        <w:rPr>
          <w:rFonts w:asciiTheme="minorHAnsi" w:hAnsiTheme="minorHAnsi" w:cstheme="minorHAnsi"/>
          <w:noProof/>
          <w:color w:val="000000"/>
        </w:rPr>
        <w:t>Kypri, Gallagher, &amp; Cashell-Smith, 2004</w:t>
      </w:r>
      <w:r w:rsidR="00B30DD2" w:rsidRPr="00C356A8">
        <w:rPr>
          <w:rFonts w:asciiTheme="minorHAnsi" w:hAnsiTheme="minorHAnsi" w:cstheme="minorHAnsi"/>
          <w:noProof/>
          <w:color w:val="000000"/>
        </w:rPr>
        <w:t>)</w:t>
      </w:r>
      <w:r w:rsidR="000E79C4" w:rsidRPr="00C356A8">
        <w:rPr>
          <w:rFonts w:asciiTheme="minorHAnsi" w:hAnsiTheme="minorHAnsi" w:cstheme="minorHAnsi"/>
          <w:color w:val="000000"/>
        </w:rPr>
        <w:t xml:space="preserve">. </w:t>
      </w:r>
      <w:r w:rsidR="00B558FF" w:rsidRPr="00C356A8">
        <w:rPr>
          <w:rFonts w:asciiTheme="minorHAnsi" w:hAnsiTheme="minorHAnsi" w:cstheme="minorHAnsi"/>
          <w:color w:val="000000"/>
        </w:rPr>
        <w:t>However,</w:t>
      </w:r>
      <w:r w:rsidR="000E79C4" w:rsidRPr="00C356A8">
        <w:rPr>
          <w:rFonts w:asciiTheme="minorHAnsi" w:hAnsiTheme="minorHAnsi" w:cstheme="minorHAnsi"/>
          <w:color w:val="000000"/>
        </w:rPr>
        <w:t xml:space="preserve"> </w:t>
      </w:r>
      <w:r w:rsidR="000B6C3F" w:rsidRPr="00C356A8">
        <w:rPr>
          <w:rFonts w:asciiTheme="minorHAnsi" w:hAnsiTheme="minorHAnsi" w:cstheme="minorHAnsi"/>
          <w:color w:val="000000"/>
        </w:rPr>
        <w:t>in general</w:t>
      </w:r>
      <w:r w:rsidR="002B07B2" w:rsidRPr="00C356A8">
        <w:rPr>
          <w:rFonts w:asciiTheme="minorHAnsi" w:hAnsiTheme="minorHAnsi" w:cstheme="minorHAnsi"/>
          <w:color w:val="000000"/>
        </w:rPr>
        <w:t>,</w:t>
      </w:r>
      <w:r w:rsidR="000B6C3F" w:rsidRPr="00C356A8">
        <w:rPr>
          <w:rFonts w:asciiTheme="minorHAnsi" w:hAnsiTheme="minorHAnsi" w:cstheme="minorHAnsi"/>
          <w:color w:val="000000"/>
        </w:rPr>
        <w:t xml:space="preserve"> </w:t>
      </w:r>
      <w:r w:rsidR="00640D14" w:rsidRPr="00C356A8">
        <w:rPr>
          <w:rFonts w:asciiTheme="minorHAnsi" w:hAnsiTheme="minorHAnsi" w:cstheme="minorHAnsi"/>
          <w:color w:val="000000"/>
        </w:rPr>
        <w:t>an under</w:t>
      </w:r>
      <w:r w:rsidR="00B558FF" w:rsidRPr="00C356A8">
        <w:rPr>
          <w:rFonts w:asciiTheme="minorHAnsi" w:hAnsiTheme="minorHAnsi" w:cstheme="minorHAnsi"/>
          <w:color w:val="000000"/>
        </w:rPr>
        <w:t>-</w:t>
      </w:r>
      <w:r w:rsidR="00640D14" w:rsidRPr="00C356A8">
        <w:rPr>
          <w:rFonts w:asciiTheme="minorHAnsi" w:hAnsiTheme="minorHAnsi" w:cstheme="minorHAnsi"/>
          <w:color w:val="000000"/>
        </w:rPr>
        <w:t xml:space="preserve"> or overestimation of NP</w:t>
      </w:r>
      <w:r w:rsidR="00E71D7B" w:rsidRPr="00C356A8">
        <w:rPr>
          <w:rFonts w:asciiTheme="minorHAnsi" w:hAnsiTheme="minorHAnsi" w:cstheme="minorHAnsi"/>
          <w:color w:val="000000"/>
        </w:rPr>
        <w:t>P</w:t>
      </w:r>
      <w:r w:rsidR="00640D14" w:rsidRPr="00C356A8">
        <w:rPr>
          <w:rFonts w:asciiTheme="minorHAnsi" w:hAnsiTheme="minorHAnsi" w:cstheme="minorHAnsi"/>
          <w:color w:val="000000"/>
        </w:rPr>
        <w:t xml:space="preserve">SSP use and approval of use due to </w:t>
      </w:r>
      <w:r w:rsidR="009064FE" w:rsidRPr="00C356A8">
        <w:rPr>
          <w:rFonts w:asciiTheme="minorHAnsi" w:hAnsiTheme="minorHAnsi" w:cstheme="minorHAnsi"/>
          <w:color w:val="000000"/>
        </w:rPr>
        <w:t>social expectation</w:t>
      </w:r>
      <w:r w:rsidR="00640D14" w:rsidRPr="00C356A8">
        <w:rPr>
          <w:rFonts w:asciiTheme="minorHAnsi" w:hAnsiTheme="minorHAnsi" w:cstheme="minorHAnsi"/>
          <w:color w:val="000000"/>
        </w:rPr>
        <w:t xml:space="preserve"> bias cannot be </w:t>
      </w:r>
      <w:r w:rsidR="004768CB" w:rsidRPr="00C356A8">
        <w:rPr>
          <w:rFonts w:asciiTheme="minorHAnsi" w:hAnsiTheme="minorHAnsi" w:cstheme="minorHAnsi"/>
          <w:color w:val="000000"/>
        </w:rPr>
        <w:t>ruled out</w:t>
      </w:r>
      <w:r w:rsidR="00640D14" w:rsidRPr="00C356A8">
        <w:rPr>
          <w:rFonts w:asciiTheme="minorHAnsi" w:hAnsiTheme="minorHAnsi" w:cstheme="minorHAnsi"/>
          <w:color w:val="000000"/>
        </w:rPr>
        <w:t>.</w:t>
      </w:r>
      <w:r w:rsidR="000B6C3F" w:rsidRPr="00C356A8">
        <w:rPr>
          <w:rFonts w:asciiTheme="minorHAnsi" w:hAnsiTheme="minorHAnsi" w:cstheme="minorHAnsi"/>
          <w:color w:val="000000"/>
        </w:rPr>
        <w:t xml:space="preserve"> </w:t>
      </w:r>
      <w:r w:rsidR="00115B45" w:rsidRPr="00C356A8">
        <w:rPr>
          <w:rFonts w:asciiTheme="minorHAnsi" w:hAnsiTheme="minorHAnsi" w:cstheme="minorHAnsi"/>
          <w:color w:val="000000"/>
        </w:rPr>
        <w:t xml:space="preserve">Moreover, possible misunderstandings of the survey questions by survey participants, i.e., also considering the use of drugs which are available without a prescription, may have led to an overestimation of NPPSSP use and approval of use. However, since only registered local trade names of prescription </w:t>
      </w:r>
      <w:r w:rsidR="00D3494B" w:rsidRPr="00C356A8">
        <w:rPr>
          <w:rFonts w:asciiTheme="minorHAnsi" w:hAnsiTheme="minorHAnsi" w:cstheme="minorHAnsi"/>
          <w:color w:val="000000"/>
        </w:rPr>
        <w:t>sedatives and sleeping pills</w:t>
      </w:r>
      <w:r w:rsidR="00115B45" w:rsidRPr="00C356A8">
        <w:rPr>
          <w:rFonts w:asciiTheme="minorHAnsi" w:hAnsiTheme="minorHAnsi" w:cstheme="minorHAnsi"/>
          <w:color w:val="000000"/>
        </w:rPr>
        <w:t xml:space="preserve"> were provided as examples in the survey </w:t>
      </w:r>
      <w:proofErr w:type="gramStart"/>
      <w:r w:rsidR="00115B45" w:rsidRPr="00C356A8">
        <w:rPr>
          <w:rFonts w:asciiTheme="minorHAnsi" w:hAnsiTheme="minorHAnsi" w:cstheme="minorHAnsi"/>
          <w:color w:val="000000"/>
        </w:rPr>
        <w:t>questionnaire, and</w:t>
      </w:r>
      <w:proofErr w:type="gramEnd"/>
      <w:r w:rsidR="00115B45" w:rsidRPr="00C356A8">
        <w:rPr>
          <w:rFonts w:asciiTheme="minorHAnsi" w:hAnsiTheme="minorHAnsi" w:cstheme="minorHAnsi"/>
          <w:color w:val="000000"/>
        </w:rPr>
        <w:t xml:space="preserve"> given that use and approval rates of NPPSSP are in line with those for other illicit substances asked for in the SNIPE study (Helmer, et al., 2014), the risk of having misunderstood the survey questions can be considered low. On the other hand, the survey questions regarding NPPSSP may have led to an underestimation of use and approval rates since only a selection of registered local trade names of prescription </w:t>
      </w:r>
      <w:r w:rsidR="00F27879" w:rsidRPr="00C356A8">
        <w:rPr>
          <w:rFonts w:asciiTheme="minorHAnsi" w:hAnsiTheme="minorHAnsi" w:cstheme="minorHAnsi"/>
          <w:color w:val="000000"/>
        </w:rPr>
        <w:t>sedatives and sleeping pills</w:t>
      </w:r>
      <w:r w:rsidR="00115B45" w:rsidRPr="00C356A8">
        <w:rPr>
          <w:rFonts w:asciiTheme="minorHAnsi" w:hAnsiTheme="minorHAnsi" w:cstheme="minorHAnsi"/>
          <w:color w:val="000000"/>
        </w:rPr>
        <w:t xml:space="preserve"> (e.g., diazepam, alprazolam, flunitrazepam, midazolam, </w:t>
      </w:r>
      <w:proofErr w:type="spellStart"/>
      <w:r w:rsidR="00115B45" w:rsidRPr="00C356A8">
        <w:rPr>
          <w:rFonts w:asciiTheme="minorHAnsi" w:hAnsiTheme="minorHAnsi" w:cstheme="minorHAnsi"/>
          <w:color w:val="000000"/>
        </w:rPr>
        <w:t>stilnoct</w:t>
      </w:r>
      <w:proofErr w:type="spellEnd"/>
      <w:r w:rsidR="00115B45" w:rsidRPr="00C356A8">
        <w:rPr>
          <w:rFonts w:asciiTheme="minorHAnsi" w:hAnsiTheme="minorHAnsi" w:cstheme="minorHAnsi"/>
          <w:color w:val="000000"/>
        </w:rPr>
        <w:t xml:space="preserve">) were included. </w:t>
      </w:r>
      <w:r w:rsidR="000B6C3F" w:rsidRPr="00C356A8">
        <w:rPr>
          <w:rFonts w:asciiTheme="minorHAnsi" w:hAnsiTheme="minorHAnsi" w:cstheme="minorHAnsi"/>
          <w:color w:val="000000"/>
        </w:rPr>
        <w:t>Furthermore, i</w:t>
      </w:r>
      <w:r w:rsidR="000B6C3F" w:rsidRPr="00C356A8">
        <w:t xml:space="preserve">t is to be noted that individual email addresses were collected for the intervention provided within the study and students </w:t>
      </w:r>
      <w:r w:rsidR="0089241E" w:rsidRPr="00C356A8">
        <w:t xml:space="preserve">may </w:t>
      </w:r>
      <w:r w:rsidR="000B6C3F" w:rsidRPr="00C356A8">
        <w:t>have perceived that they can be identified.</w:t>
      </w:r>
      <w:r w:rsidR="00640D14" w:rsidRPr="00C356A8">
        <w:rPr>
          <w:rFonts w:asciiTheme="minorHAnsi" w:hAnsiTheme="minorHAnsi" w:cstheme="minorHAnsi"/>
          <w:color w:val="000000"/>
        </w:rPr>
        <w:t xml:space="preserve"> </w:t>
      </w:r>
      <w:r w:rsidR="00E929E4" w:rsidRPr="00C356A8">
        <w:rPr>
          <w:rFonts w:asciiTheme="minorHAnsi" w:hAnsiTheme="minorHAnsi" w:cstheme="minorHAnsi"/>
          <w:color w:val="000000"/>
        </w:rPr>
        <w:t>In addition</w:t>
      </w:r>
      <w:r w:rsidR="00412791" w:rsidRPr="00C356A8">
        <w:rPr>
          <w:rFonts w:asciiTheme="minorHAnsi" w:hAnsiTheme="minorHAnsi" w:cstheme="minorHAnsi"/>
          <w:color w:val="000000"/>
        </w:rPr>
        <w:t xml:space="preserve">, </w:t>
      </w:r>
      <w:r w:rsidR="00E929E4" w:rsidRPr="00C356A8">
        <w:rPr>
          <w:rFonts w:asciiTheme="minorHAnsi" w:hAnsiTheme="minorHAnsi" w:cstheme="minorHAnsi"/>
          <w:color w:val="000000"/>
        </w:rPr>
        <w:t>the number of participating students differed between countries</w:t>
      </w:r>
      <w:r w:rsidR="00CB5801" w:rsidRPr="00C356A8">
        <w:rPr>
          <w:rFonts w:asciiTheme="minorHAnsi" w:hAnsiTheme="minorHAnsi" w:cstheme="minorHAnsi"/>
          <w:color w:val="000000"/>
        </w:rPr>
        <w:t>,</w:t>
      </w:r>
      <w:r w:rsidR="00E929E4" w:rsidRPr="00C356A8">
        <w:rPr>
          <w:rFonts w:asciiTheme="minorHAnsi" w:hAnsiTheme="minorHAnsi" w:cstheme="minorHAnsi"/>
          <w:color w:val="000000"/>
        </w:rPr>
        <w:t xml:space="preserve"> </w:t>
      </w:r>
      <w:r w:rsidR="00A1131E" w:rsidRPr="00C356A8">
        <w:rPr>
          <w:rFonts w:asciiTheme="minorHAnsi" w:hAnsiTheme="minorHAnsi" w:cstheme="minorHAnsi"/>
          <w:color w:val="000000"/>
        </w:rPr>
        <w:t>ranging from 107 individuals in the UK to 1,938 in the Slovak Republic</w:t>
      </w:r>
      <w:r w:rsidR="00CB5801" w:rsidRPr="00C356A8">
        <w:rPr>
          <w:rFonts w:asciiTheme="minorHAnsi" w:hAnsiTheme="minorHAnsi" w:cstheme="minorHAnsi"/>
          <w:color w:val="000000"/>
        </w:rPr>
        <w:t xml:space="preserve">. </w:t>
      </w:r>
      <w:r w:rsidR="00406472" w:rsidRPr="00C356A8">
        <w:rPr>
          <w:rFonts w:asciiTheme="minorHAnsi" w:hAnsiTheme="minorHAnsi" w:cstheme="minorHAnsi"/>
          <w:color w:val="000000"/>
        </w:rPr>
        <w:t>Therefore, s</w:t>
      </w:r>
      <w:r w:rsidR="00EF64C7" w:rsidRPr="00C356A8">
        <w:rPr>
          <w:rFonts w:asciiTheme="minorHAnsi" w:hAnsiTheme="minorHAnsi" w:cstheme="minorHAnsi"/>
          <w:color w:val="000000"/>
        </w:rPr>
        <w:t xml:space="preserve">election bias may have </w:t>
      </w:r>
      <w:r w:rsidR="0070685D" w:rsidRPr="00C356A8">
        <w:rPr>
          <w:rFonts w:asciiTheme="minorHAnsi" w:hAnsiTheme="minorHAnsi" w:cstheme="minorHAnsi"/>
          <w:color w:val="000000"/>
        </w:rPr>
        <w:t>differentially affected the sample composition in different countries</w:t>
      </w:r>
      <w:r w:rsidR="00E43CFB" w:rsidRPr="00C356A8">
        <w:rPr>
          <w:rFonts w:asciiTheme="minorHAnsi" w:hAnsiTheme="minorHAnsi" w:cstheme="minorHAnsi"/>
          <w:color w:val="000000"/>
        </w:rPr>
        <w:t>.</w:t>
      </w:r>
      <w:r w:rsidR="00A1131E" w:rsidRPr="00C356A8">
        <w:rPr>
          <w:rFonts w:asciiTheme="minorHAnsi" w:hAnsiTheme="minorHAnsi" w:cstheme="minorHAnsi"/>
          <w:color w:val="000000"/>
        </w:rPr>
        <w:t xml:space="preserve"> </w:t>
      </w:r>
      <w:r w:rsidR="00446DFB" w:rsidRPr="00C356A8">
        <w:rPr>
          <w:rFonts w:asciiTheme="minorHAnsi" w:hAnsiTheme="minorHAnsi" w:cstheme="minorHAnsi"/>
          <w:color w:val="000000"/>
        </w:rPr>
        <w:t xml:space="preserve">Finally, </w:t>
      </w:r>
      <w:r w:rsidR="00247C52" w:rsidRPr="00C356A8">
        <w:rPr>
          <w:rFonts w:asciiTheme="minorHAnsi" w:hAnsiTheme="minorHAnsi" w:cstheme="minorHAnsi"/>
          <w:color w:val="000000"/>
        </w:rPr>
        <w:t xml:space="preserve">since </w:t>
      </w:r>
      <w:r w:rsidR="00727036" w:rsidRPr="00C356A8">
        <w:rPr>
          <w:rFonts w:asciiTheme="minorHAnsi" w:hAnsiTheme="minorHAnsi" w:cstheme="minorHAnsi"/>
          <w:color w:val="000000"/>
        </w:rPr>
        <w:t>the</w:t>
      </w:r>
      <w:r w:rsidR="00247C52" w:rsidRPr="00C356A8">
        <w:rPr>
          <w:rFonts w:asciiTheme="minorHAnsi" w:hAnsiTheme="minorHAnsi" w:cstheme="minorHAnsi"/>
          <w:color w:val="000000"/>
        </w:rPr>
        <w:t xml:space="preserve"> analyses are based on cross-sectional survey data, no causal relations</w:t>
      </w:r>
      <w:r w:rsidR="002B07B2" w:rsidRPr="00C356A8">
        <w:rPr>
          <w:rFonts w:asciiTheme="minorHAnsi" w:hAnsiTheme="minorHAnsi" w:cstheme="minorHAnsi"/>
          <w:color w:val="000000"/>
        </w:rPr>
        <w:t>hips</w:t>
      </w:r>
      <w:r w:rsidR="00247C52" w:rsidRPr="00C356A8">
        <w:rPr>
          <w:rFonts w:asciiTheme="minorHAnsi" w:hAnsiTheme="minorHAnsi" w:cstheme="minorHAnsi"/>
          <w:color w:val="000000"/>
        </w:rPr>
        <w:t xml:space="preserve"> between perceived descriptive and injunctive norms and personal </w:t>
      </w:r>
      <w:r w:rsidR="00270C97" w:rsidRPr="00C356A8">
        <w:rPr>
          <w:rFonts w:asciiTheme="minorHAnsi" w:hAnsiTheme="minorHAnsi" w:cstheme="minorHAnsi"/>
          <w:color w:val="000000"/>
        </w:rPr>
        <w:t>behavior and</w:t>
      </w:r>
      <w:r w:rsidR="00247C52" w:rsidRPr="00C356A8">
        <w:rPr>
          <w:rFonts w:asciiTheme="minorHAnsi" w:hAnsiTheme="minorHAnsi" w:cstheme="minorHAnsi"/>
          <w:color w:val="000000"/>
        </w:rPr>
        <w:t xml:space="preserve"> </w:t>
      </w:r>
      <w:r w:rsidR="00622FD0" w:rsidRPr="00C356A8">
        <w:rPr>
          <w:rFonts w:asciiTheme="minorHAnsi" w:hAnsiTheme="minorHAnsi" w:cstheme="minorHAnsi"/>
          <w:color w:val="000000"/>
        </w:rPr>
        <w:t>attitudes towards</w:t>
      </w:r>
      <w:r w:rsidR="00247C52" w:rsidRPr="00C356A8">
        <w:rPr>
          <w:rFonts w:asciiTheme="minorHAnsi" w:hAnsiTheme="minorHAnsi" w:cstheme="minorHAnsi"/>
          <w:color w:val="000000"/>
        </w:rPr>
        <w:t xml:space="preserve"> </w:t>
      </w:r>
      <w:r w:rsidR="00270C97" w:rsidRPr="00C356A8">
        <w:rPr>
          <w:rFonts w:asciiTheme="minorHAnsi" w:hAnsiTheme="minorHAnsi" w:cstheme="minorHAnsi"/>
          <w:color w:val="000000"/>
        </w:rPr>
        <w:t>behavior</w:t>
      </w:r>
      <w:r w:rsidR="00247C52" w:rsidRPr="00C356A8">
        <w:rPr>
          <w:rFonts w:asciiTheme="minorHAnsi" w:hAnsiTheme="minorHAnsi" w:cstheme="minorHAnsi"/>
          <w:color w:val="000000"/>
        </w:rPr>
        <w:t xml:space="preserve"> can be deduced.</w:t>
      </w:r>
    </w:p>
    <w:p w14:paraId="5A087616" w14:textId="77777777" w:rsidR="00115B45" w:rsidRPr="00C356A8" w:rsidRDefault="00115B45" w:rsidP="00E36581">
      <w:pPr>
        <w:autoSpaceDE w:val="0"/>
        <w:autoSpaceDN w:val="0"/>
        <w:adjustRightInd w:val="0"/>
        <w:spacing w:line="360" w:lineRule="auto"/>
        <w:jc w:val="both"/>
        <w:rPr>
          <w:rFonts w:asciiTheme="minorHAnsi" w:hAnsiTheme="minorHAnsi" w:cstheme="minorHAnsi"/>
          <w:color w:val="000000"/>
        </w:rPr>
      </w:pPr>
    </w:p>
    <w:p w14:paraId="7472BAFA" w14:textId="77777777" w:rsidR="00115B45" w:rsidRPr="00C356A8" w:rsidRDefault="00115B45" w:rsidP="00E36581">
      <w:pPr>
        <w:autoSpaceDE w:val="0"/>
        <w:autoSpaceDN w:val="0"/>
        <w:adjustRightInd w:val="0"/>
        <w:spacing w:line="360" w:lineRule="auto"/>
        <w:jc w:val="both"/>
        <w:rPr>
          <w:rFonts w:asciiTheme="minorHAnsi" w:hAnsiTheme="minorHAnsi" w:cstheme="minorHAnsi"/>
          <w:color w:val="000000"/>
        </w:rPr>
      </w:pPr>
    </w:p>
    <w:p w14:paraId="7D2DC21B" w14:textId="7E696533" w:rsidR="0031278D" w:rsidRPr="00C356A8" w:rsidRDefault="00027F62" w:rsidP="0073341B">
      <w:pPr>
        <w:autoSpaceDE w:val="0"/>
        <w:autoSpaceDN w:val="0"/>
        <w:adjustRightInd w:val="0"/>
        <w:spacing w:before="240" w:line="360" w:lineRule="auto"/>
        <w:jc w:val="both"/>
        <w:rPr>
          <w:rFonts w:asciiTheme="minorHAnsi" w:hAnsiTheme="minorHAnsi" w:cstheme="minorHAnsi"/>
          <w:b/>
          <w:color w:val="000000"/>
          <w:sz w:val="28"/>
          <w:szCs w:val="28"/>
        </w:rPr>
      </w:pPr>
      <w:r w:rsidRPr="00C356A8">
        <w:rPr>
          <w:rFonts w:asciiTheme="minorHAnsi" w:hAnsiTheme="minorHAnsi" w:cstheme="minorHAnsi"/>
          <w:b/>
          <w:color w:val="000000"/>
          <w:sz w:val="28"/>
          <w:szCs w:val="28"/>
        </w:rPr>
        <w:lastRenderedPageBreak/>
        <w:t xml:space="preserve">5. </w:t>
      </w:r>
      <w:r w:rsidR="008F7E0E" w:rsidRPr="00C356A8">
        <w:rPr>
          <w:rFonts w:asciiTheme="minorHAnsi" w:hAnsiTheme="minorHAnsi" w:cstheme="minorHAnsi"/>
          <w:b/>
          <w:color w:val="000000"/>
          <w:sz w:val="28"/>
          <w:szCs w:val="28"/>
        </w:rPr>
        <w:t>Conclusion</w:t>
      </w:r>
      <w:r w:rsidR="008B1BBA" w:rsidRPr="00C356A8">
        <w:rPr>
          <w:rFonts w:asciiTheme="minorHAnsi" w:hAnsiTheme="minorHAnsi" w:cstheme="minorHAnsi"/>
          <w:b/>
          <w:color w:val="000000"/>
          <w:sz w:val="28"/>
          <w:szCs w:val="28"/>
        </w:rPr>
        <w:t>s</w:t>
      </w:r>
    </w:p>
    <w:p w14:paraId="023CE04F" w14:textId="656F8F29" w:rsidR="001E6F0E" w:rsidRPr="00C356A8" w:rsidRDefault="00A1131E" w:rsidP="006F0CB9">
      <w:pPr>
        <w:autoSpaceDE w:val="0"/>
        <w:autoSpaceDN w:val="0"/>
        <w:adjustRightInd w:val="0"/>
        <w:spacing w:line="360" w:lineRule="auto"/>
        <w:jc w:val="both"/>
      </w:pPr>
      <w:r w:rsidRPr="00C356A8">
        <w:rPr>
          <w:rFonts w:asciiTheme="minorHAnsi" w:hAnsiTheme="minorHAnsi" w:cstheme="minorHAnsi"/>
          <w:color w:val="000000"/>
        </w:rPr>
        <w:t>T</w:t>
      </w:r>
      <w:r w:rsidR="00DB54D0" w:rsidRPr="00C356A8">
        <w:rPr>
          <w:rFonts w:asciiTheme="minorHAnsi" w:hAnsiTheme="minorHAnsi" w:cstheme="minorHAnsi"/>
          <w:color w:val="000000"/>
        </w:rPr>
        <w:t xml:space="preserve">his study </w:t>
      </w:r>
      <w:r w:rsidR="000F62AC" w:rsidRPr="00C356A8">
        <w:rPr>
          <w:rFonts w:asciiTheme="minorHAnsi" w:hAnsiTheme="minorHAnsi" w:cstheme="minorHAnsi"/>
          <w:color w:val="000000"/>
        </w:rPr>
        <w:t>suggest</w:t>
      </w:r>
      <w:r w:rsidRPr="00C356A8">
        <w:rPr>
          <w:rFonts w:asciiTheme="minorHAnsi" w:hAnsiTheme="minorHAnsi" w:cstheme="minorHAnsi"/>
          <w:color w:val="000000"/>
        </w:rPr>
        <w:t>s</w:t>
      </w:r>
      <w:r w:rsidR="000F62AC" w:rsidRPr="00C356A8">
        <w:rPr>
          <w:rFonts w:asciiTheme="minorHAnsi" w:hAnsiTheme="minorHAnsi" w:cstheme="minorHAnsi"/>
          <w:color w:val="000000"/>
        </w:rPr>
        <w:t xml:space="preserve"> that </w:t>
      </w:r>
      <w:r w:rsidR="000F62AC" w:rsidRPr="00C356A8">
        <w:t>European university students perceive the use of NP</w:t>
      </w:r>
      <w:r w:rsidR="00115B45" w:rsidRPr="00C356A8">
        <w:t>P</w:t>
      </w:r>
      <w:r w:rsidR="000F62AC" w:rsidRPr="00C356A8">
        <w:t xml:space="preserve">SSP among their peers to be higher than their personal use and </w:t>
      </w:r>
      <w:r w:rsidR="00B253D1" w:rsidRPr="00C356A8">
        <w:t xml:space="preserve">peer </w:t>
      </w:r>
      <w:r w:rsidR="001D35A5" w:rsidRPr="00C356A8">
        <w:t>attitudes towards the</w:t>
      </w:r>
      <w:r w:rsidR="0012555E" w:rsidRPr="00C356A8">
        <w:t xml:space="preserve"> use</w:t>
      </w:r>
      <w:r w:rsidR="001D35A5" w:rsidRPr="00C356A8">
        <w:t xml:space="preserve"> to be identical or more positive than their personal attitudes</w:t>
      </w:r>
      <w:r w:rsidR="000F62AC" w:rsidRPr="00C356A8">
        <w:t xml:space="preserve">. </w:t>
      </w:r>
      <w:r w:rsidR="0012555E" w:rsidRPr="00C356A8">
        <w:t>Furthermore, both p</w:t>
      </w:r>
      <w:r w:rsidR="000F62AC" w:rsidRPr="00C356A8">
        <w:t xml:space="preserve">erceived descriptive and injunctive norms </w:t>
      </w:r>
      <w:r w:rsidR="004C118D" w:rsidRPr="00C356A8">
        <w:t xml:space="preserve">of peers </w:t>
      </w:r>
      <w:r w:rsidR="000F62AC" w:rsidRPr="00C356A8">
        <w:t xml:space="preserve">were shown </w:t>
      </w:r>
      <w:r w:rsidR="0012555E" w:rsidRPr="00C356A8">
        <w:t xml:space="preserve">to be associated with students’ </w:t>
      </w:r>
      <w:r w:rsidR="00F47DB8" w:rsidRPr="00C356A8">
        <w:t xml:space="preserve">personal </w:t>
      </w:r>
      <w:r w:rsidR="0012555E" w:rsidRPr="00C356A8">
        <w:t xml:space="preserve">use and </w:t>
      </w:r>
      <w:r w:rsidR="009F1F8E" w:rsidRPr="00C356A8">
        <w:t>attitudes towards the</w:t>
      </w:r>
      <w:r w:rsidR="0012555E" w:rsidRPr="00C356A8">
        <w:t xml:space="preserve"> use of NP</w:t>
      </w:r>
      <w:r w:rsidR="00115B45" w:rsidRPr="00C356A8">
        <w:t>P</w:t>
      </w:r>
      <w:r w:rsidR="0012555E" w:rsidRPr="00C356A8">
        <w:t>SSP</w:t>
      </w:r>
      <w:r w:rsidR="00D90DCF" w:rsidRPr="00C356A8">
        <w:t>, respectively</w:t>
      </w:r>
      <w:r w:rsidR="0012555E" w:rsidRPr="00C356A8">
        <w:t xml:space="preserve">. </w:t>
      </w:r>
      <w:r w:rsidR="00C66407" w:rsidRPr="00C356A8">
        <w:t>S</w:t>
      </w:r>
      <w:r w:rsidR="0012555E" w:rsidRPr="00C356A8">
        <w:t xml:space="preserve">ocial norms interventions may </w:t>
      </w:r>
      <w:r w:rsidR="00C65209" w:rsidRPr="00C356A8">
        <w:t xml:space="preserve">be </w:t>
      </w:r>
      <w:r w:rsidR="0012555E" w:rsidRPr="00C356A8">
        <w:t xml:space="preserve">useful </w:t>
      </w:r>
      <w:r w:rsidR="00C65209" w:rsidRPr="00C356A8">
        <w:t xml:space="preserve">to </w:t>
      </w:r>
      <w:r w:rsidR="002B07B2" w:rsidRPr="00C356A8">
        <w:t>change</w:t>
      </w:r>
      <w:r w:rsidR="00C66407" w:rsidRPr="00C356A8">
        <w:t xml:space="preserve"> exaggerated</w:t>
      </w:r>
      <w:r w:rsidR="00C65209" w:rsidRPr="00C356A8">
        <w:t xml:space="preserve"> perceptions regarding the use and </w:t>
      </w:r>
      <w:r w:rsidR="00622FD0" w:rsidRPr="00C356A8">
        <w:t>attitudes towards</w:t>
      </w:r>
      <w:r w:rsidR="00C65209" w:rsidRPr="00C356A8">
        <w:t xml:space="preserve"> NP</w:t>
      </w:r>
      <w:r w:rsidR="00115B45" w:rsidRPr="00C356A8">
        <w:t>P</w:t>
      </w:r>
      <w:r w:rsidR="00C65209" w:rsidRPr="00C356A8">
        <w:t xml:space="preserve">SSP </w:t>
      </w:r>
      <w:r w:rsidR="00622FD0" w:rsidRPr="00C356A8">
        <w:t xml:space="preserve">use </w:t>
      </w:r>
      <w:r w:rsidR="00C65209" w:rsidRPr="00C356A8">
        <w:t xml:space="preserve">und </w:t>
      </w:r>
      <w:r w:rsidR="002B07B2" w:rsidRPr="00C356A8">
        <w:t>may</w:t>
      </w:r>
      <w:r w:rsidR="00C65209" w:rsidRPr="00C356A8">
        <w:t xml:space="preserve"> </w:t>
      </w:r>
      <w:r w:rsidR="00B253D1" w:rsidRPr="00C356A8">
        <w:t xml:space="preserve">prevent or </w:t>
      </w:r>
      <w:r w:rsidR="00C65209" w:rsidRPr="00C356A8">
        <w:t>reduce NP</w:t>
      </w:r>
      <w:r w:rsidR="00115B45" w:rsidRPr="00C356A8">
        <w:t>P</w:t>
      </w:r>
      <w:r w:rsidR="00C65209" w:rsidRPr="00C356A8">
        <w:t xml:space="preserve">SSP use among </w:t>
      </w:r>
      <w:r w:rsidR="00727036" w:rsidRPr="00C356A8">
        <w:t xml:space="preserve">European </w:t>
      </w:r>
      <w:r w:rsidR="00C65209" w:rsidRPr="00C356A8">
        <w:t>university students.</w:t>
      </w:r>
    </w:p>
    <w:p w14:paraId="1EF3A6E9" w14:textId="293A7E9C" w:rsidR="00376BFE" w:rsidRPr="00C356A8" w:rsidRDefault="00212520" w:rsidP="00115B45">
      <w:pPr>
        <w:autoSpaceDE w:val="0"/>
        <w:autoSpaceDN w:val="0"/>
        <w:adjustRightInd w:val="0"/>
        <w:spacing w:before="240" w:line="360" w:lineRule="auto"/>
        <w:jc w:val="both"/>
      </w:pPr>
      <w:r w:rsidRPr="00C356A8">
        <w:rPr>
          <w:b/>
        </w:rPr>
        <w:t xml:space="preserve">Declarations of interest: </w:t>
      </w:r>
      <w:r w:rsidRPr="00C356A8">
        <w:t>none</w:t>
      </w:r>
    </w:p>
    <w:p w14:paraId="7C980996" w14:textId="1FC8719E" w:rsidR="001114F9" w:rsidRPr="00C356A8" w:rsidRDefault="00A14F4F" w:rsidP="0073341B">
      <w:pPr>
        <w:spacing w:before="240" w:line="360" w:lineRule="auto"/>
        <w:rPr>
          <w:b/>
          <w:sz w:val="28"/>
          <w:szCs w:val="28"/>
        </w:rPr>
      </w:pPr>
      <w:r w:rsidRPr="00C356A8">
        <w:rPr>
          <w:b/>
          <w:sz w:val="28"/>
          <w:szCs w:val="28"/>
        </w:rPr>
        <w:t>References</w:t>
      </w:r>
    </w:p>
    <w:p w14:paraId="49C6C6BC" w14:textId="1F93A065" w:rsidR="003018AD" w:rsidRPr="00C356A8" w:rsidRDefault="003020A1" w:rsidP="006F0CB9">
      <w:pPr>
        <w:pStyle w:val="EndNoteBibliography"/>
        <w:spacing w:line="360" w:lineRule="auto"/>
      </w:pPr>
      <w:r w:rsidRPr="00C356A8">
        <w:t xml:space="preserve">Arbour-Nicitopoulos, K. P., Kwan, M. Y., Lowe, D., Taman, S., &amp; Faulkner, G. E. (2010). Social norms of alcohol, smoking, and marijuana use within a Canadian university setting. </w:t>
      </w:r>
      <w:r w:rsidRPr="00C356A8">
        <w:rPr>
          <w:i/>
        </w:rPr>
        <w:t>Journal of American College Health, 59</w:t>
      </w:r>
      <w:r w:rsidRPr="00C356A8">
        <w:t>, 191-196</w:t>
      </w:r>
      <w:r w:rsidR="003018AD" w:rsidRPr="00C356A8">
        <w:t>.</w:t>
      </w:r>
    </w:p>
    <w:p w14:paraId="36C2706C" w14:textId="101DF153" w:rsidR="003018AD" w:rsidRPr="00C356A8" w:rsidRDefault="003020A1" w:rsidP="006F0CB9">
      <w:pPr>
        <w:pStyle w:val="EndNoteBibliography"/>
        <w:spacing w:line="360" w:lineRule="auto"/>
      </w:pPr>
      <w:r w:rsidRPr="00C356A8">
        <w:t xml:space="preserve">Berkowitz, A. D. (2005). An overview of the social norms approach. In L. C. Ledermann &amp; L. P. Steward (Eds.), </w:t>
      </w:r>
      <w:r w:rsidRPr="00C356A8">
        <w:rPr>
          <w:i/>
        </w:rPr>
        <w:t>Changing the culture of college drinking: a socially situated prevention campaign</w:t>
      </w:r>
      <w:r w:rsidRPr="00C356A8">
        <w:t xml:space="preserve"> (pp. 193-214). Cresskill, NJ: Hampton Press</w:t>
      </w:r>
      <w:r w:rsidR="003018AD" w:rsidRPr="00C356A8">
        <w:t>.</w:t>
      </w:r>
    </w:p>
    <w:p w14:paraId="7B2439F0" w14:textId="5A154CDD" w:rsidR="003018AD" w:rsidRPr="00C356A8" w:rsidRDefault="003020A1" w:rsidP="006F0CB9">
      <w:pPr>
        <w:pStyle w:val="EndNoteBibliography"/>
        <w:spacing w:line="360" w:lineRule="auto"/>
      </w:pPr>
      <w:r w:rsidRPr="00C356A8">
        <w:t xml:space="preserve">Bertholet, N., Faouzi, M., Studer, J., Daeppen, J. B., &amp; Gmel, G. (2013). Perception of tobacco, cannabis, and alcohol use of others is associated with one's own use. </w:t>
      </w:r>
      <w:r w:rsidR="00716512" w:rsidRPr="00C356A8">
        <w:rPr>
          <w:i/>
        </w:rPr>
        <w:t>Addiction Science &amp; Clinical Practice</w:t>
      </w:r>
      <w:r w:rsidRPr="00C356A8">
        <w:rPr>
          <w:i/>
        </w:rPr>
        <w:t>, 8</w:t>
      </w:r>
      <w:r w:rsidRPr="00C356A8">
        <w:t>, 15</w:t>
      </w:r>
      <w:r w:rsidR="003018AD" w:rsidRPr="00C356A8">
        <w:t>.</w:t>
      </w:r>
    </w:p>
    <w:p w14:paraId="597EDD20" w14:textId="487AF25C" w:rsidR="003018AD" w:rsidRPr="00C356A8" w:rsidRDefault="003020A1" w:rsidP="006F0CB9">
      <w:pPr>
        <w:pStyle w:val="EndNoteBibliography"/>
        <w:spacing w:line="360" w:lineRule="auto"/>
      </w:pPr>
      <w:r w:rsidRPr="00C356A8">
        <w:t xml:space="preserve">Bodenlos, J. S., Malordy, A., Noonan, M., Mayrsohn, A., &amp; Mistler, B. (2014). Prescription drug attitudes questionnaire: development and validation. </w:t>
      </w:r>
      <w:r w:rsidRPr="00C356A8">
        <w:rPr>
          <w:i/>
        </w:rPr>
        <w:t>Psychology, 05</w:t>
      </w:r>
      <w:r w:rsidRPr="00C356A8">
        <w:t>, 1687-1693</w:t>
      </w:r>
      <w:r w:rsidR="003018AD" w:rsidRPr="00C356A8">
        <w:t>.</w:t>
      </w:r>
    </w:p>
    <w:p w14:paraId="603D17BA" w14:textId="06D43A67" w:rsidR="003018AD" w:rsidRPr="00C356A8" w:rsidRDefault="003020A1" w:rsidP="006F0CB9">
      <w:pPr>
        <w:pStyle w:val="EndNoteBibliography"/>
        <w:spacing w:line="360" w:lineRule="auto"/>
      </w:pPr>
      <w:r w:rsidRPr="00C356A8">
        <w:t xml:space="preserve">Borsari, B., &amp; Carey, K. B. (2001). Peer influences on college drinking: A review of the research. </w:t>
      </w:r>
      <w:r w:rsidR="00716512" w:rsidRPr="00C356A8">
        <w:rPr>
          <w:i/>
        </w:rPr>
        <w:t>Journal of S</w:t>
      </w:r>
      <w:r w:rsidRPr="00C356A8">
        <w:rPr>
          <w:i/>
        </w:rPr>
        <w:t xml:space="preserve">ubstance </w:t>
      </w:r>
      <w:r w:rsidR="00716512" w:rsidRPr="00C356A8">
        <w:rPr>
          <w:i/>
        </w:rPr>
        <w:t>A</w:t>
      </w:r>
      <w:r w:rsidRPr="00C356A8">
        <w:rPr>
          <w:i/>
        </w:rPr>
        <w:t>buse, 13</w:t>
      </w:r>
      <w:r w:rsidRPr="00C356A8">
        <w:t>, 391-424</w:t>
      </w:r>
      <w:r w:rsidR="003018AD" w:rsidRPr="00C356A8">
        <w:t>.</w:t>
      </w:r>
    </w:p>
    <w:p w14:paraId="298F859D" w14:textId="1FE943BB" w:rsidR="003018AD" w:rsidRPr="00C356A8" w:rsidRDefault="000327DD" w:rsidP="006F0CB9">
      <w:pPr>
        <w:pStyle w:val="EndNoteBibliography"/>
        <w:spacing w:line="360" w:lineRule="auto"/>
      </w:pPr>
      <w:r w:rsidRPr="00C356A8">
        <w:t xml:space="preserve">Compton, W. M., &amp; Volkow, N. D. (2006). Abuse of prescription drugs and the risk of addiction. </w:t>
      </w:r>
      <w:r w:rsidR="005F4481" w:rsidRPr="00C356A8">
        <w:rPr>
          <w:i/>
        </w:rPr>
        <w:t>Drug and Alcohol Dependence</w:t>
      </w:r>
      <w:r w:rsidRPr="00C356A8">
        <w:rPr>
          <w:i/>
        </w:rPr>
        <w:t>, 83 Suppl 1</w:t>
      </w:r>
      <w:r w:rsidRPr="00C356A8">
        <w:t>, S4-7</w:t>
      </w:r>
      <w:r w:rsidR="003018AD" w:rsidRPr="00C356A8">
        <w:t>.</w:t>
      </w:r>
    </w:p>
    <w:p w14:paraId="5ACD242E" w14:textId="6C21D2E6" w:rsidR="003018AD" w:rsidRPr="00C356A8" w:rsidRDefault="000327DD" w:rsidP="006F0CB9">
      <w:pPr>
        <w:pStyle w:val="EndNoteBibliography"/>
        <w:spacing w:line="360" w:lineRule="auto"/>
      </w:pPr>
      <w:r w:rsidRPr="00C356A8">
        <w:t xml:space="preserve">Dempsey, R. C., McAlaney, J., Helmer, S. M., Pischke, C. R., Akvardar, Y., Bewick, B. M., Fawkner, H. J., Guillen-Grima, F., Stock, C., Vriesacker, B., Van Hal, G., Salonna, F., Kalina, O., Orosova, O., &amp; Mikolajczyk, R. T. (2016). Normative perceptions of cannabis use among European university students: associations of perceived peer use and peer attitudes with personal use and attitudes. </w:t>
      </w:r>
      <w:r w:rsidRPr="00C356A8">
        <w:rPr>
          <w:i/>
        </w:rPr>
        <w:t>Journal of Studies on Alcohol and Drugs, 77</w:t>
      </w:r>
      <w:r w:rsidRPr="00C356A8">
        <w:t>, 740-748</w:t>
      </w:r>
      <w:r w:rsidR="003018AD" w:rsidRPr="00C356A8">
        <w:t>.</w:t>
      </w:r>
    </w:p>
    <w:p w14:paraId="2EB2927E" w14:textId="08B440E7" w:rsidR="003018AD" w:rsidRPr="00C356A8" w:rsidRDefault="00B21065" w:rsidP="006F0CB9">
      <w:pPr>
        <w:pStyle w:val="EndNoteBibliography"/>
        <w:spacing w:line="360" w:lineRule="auto"/>
      </w:pPr>
      <w:r w:rsidRPr="00C356A8">
        <w:t xml:space="preserve">Helmer, S. M., Mikolajczyk, R. T., McAlaney, J., Vriesacker, B., Van Hal, G., Akvardar, Y., Guillen-Grima, F., Salonna, F., Stock, C., Dempsey, R. C., Bewick, B. M., &amp; Zeeb, H. (2014). Illicit substance use among university students from seven European countries: a comparison of </w:t>
      </w:r>
      <w:r w:rsidRPr="00C356A8">
        <w:lastRenderedPageBreak/>
        <w:t xml:space="preserve">personal and perceived peer use and attitudes towards illicit substance use. </w:t>
      </w:r>
      <w:r w:rsidR="005F4481" w:rsidRPr="00C356A8">
        <w:rPr>
          <w:i/>
        </w:rPr>
        <w:t>Preventive Medicine</w:t>
      </w:r>
      <w:r w:rsidRPr="00C356A8">
        <w:rPr>
          <w:i/>
        </w:rPr>
        <w:t>, 67</w:t>
      </w:r>
      <w:r w:rsidRPr="00C356A8">
        <w:t>, 204-209</w:t>
      </w:r>
      <w:r w:rsidR="003018AD" w:rsidRPr="00C356A8">
        <w:t>.</w:t>
      </w:r>
    </w:p>
    <w:p w14:paraId="0F1003A7" w14:textId="0720CAE7" w:rsidR="003018AD" w:rsidRPr="00C356A8" w:rsidRDefault="00B21065" w:rsidP="006F0CB9">
      <w:pPr>
        <w:pStyle w:val="EndNoteBibliography"/>
        <w:spacing w:line="360" w:lineRule="auto"/>
      </w:pPr>
      <w:r w:rsidRPr="00C356A8">
        <w:t xml:space="preserve">Helmer, S. M., Pischke, C. R., Van Hal, G., Vriesacker, B., Dempsey, R. C., Akvardar, Y., Guillen-Grima, F., Salonna, F., Stock, C., &amp; Zeeb, H. (2016). Personal and perceived peer use and attitudes towards the use of nonmedical prescription stimulants to improve academic performance among university students in seven European countries. </w:t>
      </w:r>
      <w:r w:rsidR="005F4481" w:rsidRPr="00C356A8">
        <w:rPr>
          <w:i/>
        </w:rPr>
        <w:t>Drug and Alcohol Dependence</w:t>
      </w:r>
      <w:r w:rsidRPr="00C356A8">
        <w:rPr>
          <w:i/>
        </w:rPr>
        <w:t>, 168</w:t>
      </w:r>
      <w:r w:rsidRPr="00C356A8">
        <w:t>, 128-134</w:t>
      </w:r>
      <w:r w:rsidR="003018AD" w:rsidRPr="00C356A8">
        <w:t>.</w:t>
      </w:r>
    </w:p>
    <w:p w14:paraId="730CD70B" w14:textId="3ED27E88" w:rsidR="003018AD" w:rsidRPr="00C356A8" w:rsidRDefault="00B21065" w:rsidP="006F0CB9">
      <w:pPr>
        <w:pStyle w:val="EndNoteBibliography"/>
        <w:spacing w:line="360" w:lineRule="auto"/>
      </w:pPr>
      <w:r w:rsidRPr="00C356A8">
        <w:t xml:space="preserve">Hildt, E., Franke, A. G., &amp; Lieb, K. (2011). </w:t>
      </w:r>
      <w:r w:rsidRPr="00C356A8">
        <w:rPr>
          <w:lang w:val="de-DE"/>
        </w:rPr>
        <w:t xml:space="preserve">Pharmakologisches Neuroenhancement. Informationsquellen und Akzeptanz unter Studierenden. </w:t>
      </w:r>
      <w:r w:rsidRPr="00C356A8">
        <w:rPr>
          <w:i/>
        </w:rPr>
        <w:t>Nervenheilkunde, 10</w:t>
      </w:r>
      <w:r w:rsidRPr="00C356A8">
        <w:t>, 833-837</w:t>
      </w:r>
      <w:r w:rsidR="003018AD" w:rsidRPr="00C356A8">
        <w:t>.</w:t>
      </w:r>
    </w:p>
    <w:p w14:paraId="6E5BAFE0" w14:textId="5D766BD3" w:rsidR="003018AD" w:rsidRPr="00C356A8" w:rsidRDefault="00B21065" w:rsidP="006F0CB9">
      <w:pPr>
        <w:pStyle w:val="EndNoteBibliography"/>
        <w:spacing w:line="360" w:lineRule="auto"/>
      </w:pPr>
      <w:r w:rsidRPr="00C356A8">
        <w:t xml:space="preserve">Hildt, E., Lieb, K., &amp; Franke, A. G. (2014). Life context of pharmacological academic performance enhancement among university students - a qualitative approach. </w:t>
      </w:r>
      <w:r w:rsidR="005F4481" w:rsidRPr="00C356A8">
        <w:rPr>
          <w:i/>
        </w:rPr>
        <w:t>BMC Medical Ethics</w:t>
      </w:r>
      <w:r w:rsidRPr="00C356A8">
        <w:rPr>
          <w:i/>
        </w:rPr>
        <w:t>, 15</w:t>
      </w:r>
      <w:r w:rsidRPr="00C356A8">
        <w:t>, 23</w:t>
      </w:r>
      <w:r w:rsidR="003018AD" w:rsidRPr="00C356A8">
        <w:t>.</w:t>
      </w:r>
    </w:p>
    <w:p w14:paraId="7317EB5E" w14:textId="76B9AC7F" w:rsidR="003018AD" w:rsidRPr="00C356A8" w:rsidRDefault="0027268E" w:rsidP="006F0CB9">
      <w:pPr>
        <w:pStyle w:val="EndNoteBibliography"/>
        <w:spacing w:line="360" w:lineRule="auto"/>
        <w:rPr>
          <w:lang w:val="de-DE"/>
        </w:rPr>
      </w:pPr>
      <w:r w:rsidRPr="00C356A8">
        <w:t xml:space="preserve">Jensen, C., Forlini, C., Partridge, B., &amp; Hall, W. (2016). Australian university students' coping strategies and use of pharmaceutical stimulants as cognitive enhancers. </w:t>
      </w:r>
      <w:r w:rsidR="005F4481" w:rsidRPr="00C356A8">
        <w:rPr>
          <w:i/>
          <w:lang w:val="de-DE"/>
        </w:rPr>
        <w:t>Frontiers in Psychology</w:t>
      </w:r>
      <w:r w:rsidRPr="00C356A8">
        <w:rPr>
          <w:i/>
          <w:lang w:val="de-DE"/>
        </w:rPr>
        <w:t>, 7</w:t>
      </w:r>
      <w:r w:rsidRPr="00C356A8">
        <w:rPr>
          <w:lang w:val="de-DE"/>
        </w:rPr>
        <w:t>, 277</w:t>
      </w:r>
      <w:r w:rsidR="003018AD" w:rsidRPr="00C356A8">
        <w:rPr>
          <w:lang w:val="de-DE"/>
        </w:rPr>
        <w:t>.</w:t>
      </w:r>
    </w:p>
    <w:p w14:paraId="53569CA2" w14:textId="2492D7B0" w:rsidR="003018AD" w:rsidRPr="00C356A8" w:rsidRDefault="0027268E" w:rsidP="006F0CB9">
      <w:pPr>
        <w:pStyle w:val="EndNoteBibliography"/>
        <w:spacing w:line="360" w:lineRule="auto"/>
      </w:pPr>
      <w:r w:rsidRPr="00C356A8">
        <w:rPr>
          <w:lang w:val="de-DE"/>
        </w:rPr>
        <w:t xml:space="preserve">Kilmer, J. R., Geisner, I. M., Gasser, M. L., &amp; Lindgren, K. P. (2015). </w:t>
      </w:r>
      <w:r w:rsidRPr="00C356A8">
        <w:t xml:space="preserve">Normative perceptions of non-medical stimulant use: associations with actual use and hazardous drinking. </w:t>
      </w:r>
      <w:r w:rsidR="005F4481" w:rsidRPr="00C356A8">
        <w:rPr>
          <w:i/>
        </w:rPr>
        <w:t>Addictive Behaviors</w:t>
      </w:r>
      <w:r w:rsidRPr="00C356A8">
        <w:rPr>
          <w:i/>
        </w:rPr>
        <w:t>, 42</w:t>
      </w:r>
      <w:r w:rsidRPr="00C356A8">
        <w:t>, 51-56</w:t>
      </w:r>
      <w:r w:rsidR="003018AD" w:rsidRPr="00C356A8">
        <w:t>.</w:t>
      </w:r>
    </w:p>
    <w:p w14:paraId="34E53DA2" w14:textId="42536F37" w:rsidR="003018AD" w:rsidRPr="00C356A8" w:rsidRDefault="0027268E" w:rsidP="006F0CB9">
      <w:pPr>
        <w:pStyle w:val="EndNoteBibliography"/>
        <w:spacing w:line="360" w:lineRule="auto"/>
      </w:pPr>
      <w:r w:rsidRPr="00C356A8">
        <w:t xml:space="preserve">Kilmer, J. R., Walker, D. D., Lee, C. M., Palmer, R. S., Mallett, K. A., Fabiano, P., &amp; Larimer, M. E. (2006). Misperceptions of college student marijuana use: implications for prevention. </w:t>
      </w:r>
      <w:r w:rsidRPr="00C356A8">
        <w:rPr>
          <w:i/>
        </w:rPr>
        <w:t>Journal of Studies on Alcohol and Drugs, 67</w:t>
      </w:r>
      <w:r w:rsidRPr="00C356A8">
        <w:t>, 277-281</w:t>
      </w:r>
      <w:r w:rsidR="003018AD" w:rsidRPr="00C356A8">
        <w:t>.</w:t>
      </w:r>
    </w:p>
    <w:p w14:paraId="249DB0B2" w14:textId="47BC5FB9" w:rsidR="003018AD" w:rsidRPr="00C356A8" w:rsidRDefault="0027268E" w:rsidP="006F0CB9">
      <w:pPr>
        <w:pStyle w:val="EndNoteBibliography"/>
        <w:spacing w:line="360" w:lineRule="auto"/>
      </w:pPr>
      <w:r w:rsidRPr="00C356A8">
        <w:t xml:space="preserve">Kypri, K., Gallagher, S. J., &amp; Cashell-Smith, M. L. (2004). An internet-based survey method for college student drinking research. </w:t>
      </w:r>
      <w:r w:rsidR="005F4481" w:rsidRPr="00C356A8">
        <w:rPr>
          <w:i/>
        </w:rPr>
        <w:t>Drug and Alcohol Dependence</w:t>
      </w:r>
      <w:r w:rsidRPr="00C356A8">
        <w:rPr>
          <w:i/>
        </w:rPr>
        <w:t>, 76</w:t>
      </w:r>
      <w:r w:rsidRPr="00C356A8">
        <w:t>, 45-53</w:t>
      </w:r>
      <w:r w:rsidR="003018AD" w:rsidRPr="00C356A8">
        <w:t>.</w:t>
      </w:r>
    </w:p>
    <w:p w14:paraId="3A601666" w14:textId="290531FE" w:rsidR="003018AD" w:rsidRPr="00C356A8" w:rsidRDefault="0027268E" w:rsidP="006F0CB9">
      <w:pPr>
        <w:pStyle w:val="EndNoteBibliography"/>
        <w:spacing w:line="360" w:lineRule="auto"/>
      </w:pPr>
      <w:r w:rsidRPr="00C356A8">
        <w:t xml:space="preserve">Maier, L. J., Liechti, M. E., Herzig, F., &amp; Schaub, M. P. (2013). To dope or not to dope: neuroenhancement with prescription drugs and drugs of abuse among Swiss university students. </w:t>
      </w:r>
      <w:r w:rsidRPr="00C356A8">
        <w:rPr>
          <w:i/>
        </w:rPr>
        <w:t>PLoS One, 8</w:t>
      </w:r>
      <w:r w:rsidRPr="00C356A8">
        <w:t>, e77967</w:t>
      </w:r>
      <w:r w:rsidR="003018AD" w:rsidRPr="00C356A8">
        <w:t>.</w:t>
      </w:r>
    </w:p>
    <w:p w14:paraId="4F9334D7" w14:textId="6DDCA5C7" w:rsidR="003018AD" w:rsidRPr="00C356A8" w:rsidRDefault="0027268E" w:rsidP="006F0CB9">
      <w:pPr>
        <w:pStyle w:val="EndNoteBibliography"/>
        <w:spacing w:line="360" w:lineRule="auto"/>
      </w:pPr>
      <w:r w:rsidRPr="00C356A8">
        <w:t xml:space="preserve">Maier, L. J., &amp; Schaub, M. P. (2015). The use of prescription drugs and drugs of abuse for neuroenhancement in Europe. </w:t>
      </w:r>
      <w:r w:rsidRPr="00C356A8">
        <w:rPr>
          <w:i/>
        </w:rPr>
        <w:t>European Psychologist, 20</w:t>
      </w:r>
      <w:r w:rsidRPr="00C356A8">
        <w:t>, 155-166</w:t>
      </w:r>
      <w:r w:rsidR="003018AD" w:rsidRPr="00C356A8">
        <w:t>.</w:t>
      </w:r>
    </w:p>
    <w:p w14:paraId="513E5C5D" w14:textId="320FE76A" w:rsidR="003018AD" w:rsidRPr="00C356A8" w:rsidRDefault="0027268E" w:rsidP="006F0CB9">
      <w:pPr>
        <w:pStyle w:val="EndNoteBibliography"/>
        <w:spacing w:line="360" w:lineRule="auto"/>
      </w:pPr>
      <w:r w:rsidRPr="00C356A8">
        <w:t xml:space="preserve">Martens, M. P., Page, J. C., Mowry, E. S., Damann, K. M., Taylor, K. K., &amp; Cimini, M. D. (2006). Differences between actual and perceived student norms: an examination of alcohol use, drug use, and sexual behavior. </w:t>
      </w:r>
      <w:r w:rsidRPr="00C356A8">
        <w:rPr>
          <w:i/>
        </w:rPr>
        <w:t>Journal of American College Health, 54</w:t>
      </w:r>
      <w:r w:rsidRPr="00C356A8">
        <w:t>, 295-300</w:t>
      </w:r>
      <w:r w:rsidR="003018AD" w:rsidRPr="00C356A8">
        <w:t>.</w:t>
      </w:r>
    </w:p>
    <w:p w14:paraId="0EFEA6E2" w14:textId="32ADF732" w:rsidR="003018AD" w:rsidRPr="00C356A8" w:rsidRDefault="0027268E" w:rsidP="006F0CB9">
      <w:pPr>
        <w:pStyle w:val="EndNoteBibliography"/>
        <w:spacing w:line="360" w:lineRule="auto"/>
      </w:pPr>
      <w:r w:rsidRPr="00C356A8">
        <w:t xml:space="preserve">Martins, S. S., &amp; Ghandour, L. A. (2017). Nonmedical use of prescription drugs in adolescents and young adults: not just a Western phenomenon. </w:t>
      </w:r>
      <w:r w:rsidRPr="00C356A8">
        <w:rPr>
          <w:i/>
        </w:rPr>
        <w:t>World Psychiatry, 16</w:t>
      </w:r>
      <w:r w:rsidRPr="00C356A8">
        <w:t>, 102-104</w:t>
      </w:r>
      <w:r w:rsidR="003018AD" w:rsidRPr="00C356A8">
        <w:t>.</w:t>
      </w:r>
    </w:p>
    <w:p w14:paraId="2E88D3E9" w14:textId="5CE9DE82" w:rsidR="003018AD" w:rsidRPr="00C356A8" w:rsidRDefault="0027268E" w:rsidP="006F0CB9">
      <w:pPr>
        <w:pStyle w:val="EndNoteBibliography"/>
        <w:spacing w:line="360" w:lineRule="auto"/>
      </w:pPr>
      <w:r w:rsidRPr="00C356A8">
        <w:t xml:space="preserve">McAlaney, J., Bewick, B. M., &amp; Hughes, C. (2011). The international development of the 'Social Norms' approach to drug education and prevention. </w:t>
      </w:r>
      <w:r w:rsidRPr="00C356A8">
        <w:rPr>
          <w:i/>
        </w:rPr>
        <w:t>Drugs: Education Prevention and Policy, 18</w:t>
      </w:r>
      <w:r w:rsidRPr="00C356A8">
        <w:t>, 81-89</w:t>
      </w:r>
      <w:r w:rsidR="003018AD" w:rsidRPr="00C356A8">
        <w:t>.</w:t>
      </w:r>
    </w:p>
    <w:p w14:paraId="29DDEF52" w14:textId="3B93F094" w:rsidR="003018AD" w:rsidRPr="00C356A8" w:rsidRDefault="0027268E" w:rsidP="006F0CB9">
      <w:pPr>
        <w:pStyle w:val="EndNoteBibliography"/>
        <w:spacing w:line="360" w:lineRule="auto"/>
      </w:pPr>
      <w:r w:rsidRPr="00C356A8">
        <w:lastRenderedPageBreak/>
        <w:t xml:space="preserve">McAlaney, J., Helmer, S. M., Stock, C., Vriesacker, B., Van Hal, G., Dempsey, R. C., Akvardar, Y., Salonna, F., Kalina, O., Guillen-Grima, F., Bewick, B. M., &amp; Mikolajczyk, R. T. (2015). Personal and perceived peer use of and attitudes toward alcohol among university and college students in seven EU countries: project SNIPE. </w:t>
      </w:r>
      <w:r w:rsidRPr="00C356A8">
        <w:rPr>
          <w:i/>
        </w:rPr>
        <w:t>Journal of Studies on Alcohol and Drugs, 76</w:t>
      </w:r>
      <w:r w:rsidRPr="00C356A8">
        <w:t>, 430-438</w:t>
      </w:r>
      <w:r w:rsidR="003018AD" w:rsidRPr="00C356A8">
        <w:t>.</w:t>
      </w:r>
    </w:p>
    <w:p w14:paraId="5A43BBB3" w14:textId="255123DF" w:rsidR="003018AD" w:rsidRPr="00C356A8" w:rsidRDefault="0027268E" w:rsidP="006F0CB9">
      <w:pPr>
        <w:pStyle w:val="EndNoteBibliography"/>
        <w:spacing w:line="360" w:lineRule="auto"/>
      </w:pPr>
      <w:r w:rsidRPr="00C356A8">
        <w:t xml:space="preserve">McCabe, S. E. (2008). Misperceptions of non-medical prescription drug use: a web survey of college students. </w:t>
      </w:r>
      <w:r w:rsidR="005F4481" w:rsidRPr="00C356A8">
        <w:rPr>
          <w:i/>
        </w:rPr>
        <w:t>Addictive Behaviors</w:t>
      </w:r>
      <w:r w:rsidRPr="00C356A8">
        <w:rPr>
          <w:i/>
        </w:rPr>
        <w:t>, 33</w:t>
      </w:r>
      <w:r w:rsidRPr="00C356A8">
        <w:t>, 713-724</w:t>
      </w:r>
      <w:r w:rsidR="003018AD" w:rsidRPr="00C356A8">
        <w:t>.</w:t>
      </w:r>
    </w:p>
    <w:p w14:paraId="35C3AA40" w14:textId="0B56C24D" w:rsidR="003018AD" w:rsidRPr="00C356A8" w:rsidRDefault="0027268E" w:rsidP="006F0CB9">
      <w:pPr>
        <w:pStyle w:val="EndNoteBibliography"/>
        <w:spacing w:line="360" w:lineRule="auto"/>
      </w:pPr>
      <w:r w:rsidRPr="00C356A8">
        <w:t xml:space="preserve">Partridge, B. J., Bell, S. K., Lucke, J. C., Yeates, S., &amp; Hall, W. D. (2011). Smart drugs "as common as coffee": media hype about neuroenhancement. </w:t>
      </w:r>
      <w:r w:rsidRPr="00C356A8">
        <w:rPr>
          <w:i/>
        </w:rPr>
        <w:t>PLoS One, 6</w:t>
      </w:r>
      <w:r w:rsidRPr="00C356A8">
        <w:t>, e28416</w:t>
      </w:r>
      <w:r w:rsidR="003018AD" w:rsidRPr="00C356A8">
        <w:t>.</w:t>
      </w:r>
    </w:p>
    <w:p w14:paraId="61FE262F" w14:textId="79123796" w:rsidR="003018AD" w:rsidRPr="00C356A8" w:rsidRDefault="0027268E" w:rsidP="006F0CB9">
      <w:pPr>
        <w:pStyle w:val="EndNoteBibliography"/>
        <w:spacing w:line="360" w:lineRule="auto"/>
      </w:pPr>
      <w:r w:rsidRPr="00C356A8">
        <w:t xml:space="preserve">Perkins, H. W. (2003). The emergence and evolution of the social norms approach to substance abuse prevention. In H. W. Perkins (Ed.), </w:t>
      </w:r>
      <w:r w:rsidRPr="00C356A8">
        <w:rPr>
          <w:i/>
        </w:rPr>
        <w:t>The social norms approach to preventing school and college age substance abuse: a handbook for educators, counselors, and clinicians</w:t>
      </w:r>
      <w:r w:rsidRPr="00C356A8">
        <w:t xml:space="preserve"> (pp. 3-17). San Francisco: Jossey-Bass</w:t>
      </w:r>
      <w:r w:rsidR="003018AD" w:rsidRPr="00C356A8">
        <w:t>.</w:t>
      </w:r>
    </w:p>
    <w:p w14:paraId="25A551E3" w14:textId="466C07EF" w:rsidR="003018AD" w:rsidRPr="00C356A8" w:rsidRDefault="00D8624F" w:rsidP="006F0CB9">
      <w:pPr>
        <w:pStyle w:val="EndNoteBibliography"/>
        <w:spacing w:line="360" w:lineRule="auto"/>
      </w:pPr>
      <w:r w:rsidRPr="00C356A8">
        <w:t xml:space="preserve">Perkins, H. W. (2014). Misperception is reality: the “reign of error” about peer risk behaviour norms among youth and young adults. In M. Xenitidou &amp; B. Edmonds (Eds.), </w:t>
      </w:r>
      <w:r w:rsidRPr="00C356A8">
        <w:rPr>
          <w:i/>
        </w:rPr>
        <w:t>The complexity of social norms</w:t>
      </w:r>
      <w:r w:rsidRPr="00C356A8">
        <w:t xml:space="preserve"> (pp. 11-36). Switzerland: Springer International Publishing</w:t>
      </w:r>
      <w:r w:rsidR="003018AD" w:rsidRPr="00C356A8">
        <w:t>.</w:t>
      </w:r>
    </w:p>
    <w:p w14:paraId="11C60C79" w14:textId="3B1CCB74" w:rsidR="003018AD" w:rsidRPr="00C356A8" w:rsidRDefault="00D8624F" w:rsidP="006F0CB9">
      <w:pPr>
        <w:pStyle w:val="EndNoteBibliography"/>
        <w:spacing w:line="360" w:lineRule="auto"/>
      </w:pPr>
      <w:r w:rsidRPr="00C356A8">
        <w:t xml:space="preserve">Perkins, H. W., Meilman, P. W., Leichliter, J. S., Cashin, J. R., &amp; Presley, C. A. (1999). Misperceptions of the norms for the frequency of alcohol and other drug use on college campuses. </w:t>
      </w:r>
      <w:r w:rsidRPr="00C356A8">
        <w:rPr>
          <w:i/>
        </w:rPr>
        <w:t>Journal of American College Health, 47</w:t>
      </w:r>
      <w:r w:rsidRPr="00C356A8">
        <w:t>, 253-258</w:t>
      </w:r>
      <w:r w:rsidR="003018AD" w:rsidRPr="00C356A8">
        <w:t>.</w:t>
      </w:r>
    </w:p>
    <w:p w14:paraId="5F45B1C6" w14:textId="641863C4" w:rsidR="003018AD" w:rsidRPr="00C356A8" w:rsidRDefault="00D8624F" w:rsidP="006F0CB9">
      <w:pPr>
        <w:pStyle w:val="EndNoteBibliography"/>
        <w:spacing w:line="360" w:lineRule="auto"/>
      </w:pPr>
      <w:r w:rsidRPr="00C356A8">
        <w:t xml:space="preserve">Pischke, C. R., Helmer, S. M., McAlaney, J., Bewick, B. M., Vriesacker, B., Van Hal, G., Mikolajczyk, R. T., Akvardar, Y., Guillen-Grima, F., Salonna, F., Orosova, O., Dohrmann, S., Dempsey, R. C., &amp; Zeeb, H. (2015). Normative misperceptions of tobacco use among university students in seven European countries: baseline findings of the 'Social Norms Intervention for the prevention of Polydrug usE' study. </w:t>
      </w:r>
      <w:r w:rsidR="005F4481" w:rsidRPr="00C356A8">
        <w:rPr>
          <w:i/>
        </w:rPr>
        <w:t>Addictive Behaviors</w:t>
      </w:r>
      <w:r w:rsidRPr="00C356A8">
        <w:rPr>
          <w:i/>
        </w:rPr>
        <w:t>, 51</w:t>
      </w:r>
      <w:r w:rsidRPr="00C356A8">
        <w:t>, 158-164</w:t>
      </w:r>
      <w:r w:rsidR="003018AD" w:rsidRPr="00C356A8">
        <w:t>.</w:t>
      </w:r>
    </w:p>
    <w:p w14:paraId="1792099E" w14:textId="6DE17C40" w:rsidR="003018AD" w:rsidRPr="00C356A8" w:rsidRDefault="002A0CC7" w:rsidP="006F0CB9">
      <w:pPr>
        <w:pStyle w:val="EndNoteBibliography"/>
        <w:spacing w:line="360" w:lineRule="auto"/>
      </w:pPr>
      <w:r w:rsidRPr="00C356A8">
        <w:t xml:space="preserve">Pischke, C. R., Zeeb, H., Van Hal, G., Vriesacker, B., McAlaney, J., Bewick, B. M., Akvardar, Y., Guillen-Grima, F., Orosova, O., Salonna, F., Kalina, O., Stock, C., Helmer, S. M., &amp; Mikolajczyk, R. T. (2012). A feasibility trial to examine the social norms approach for the prevention and reduction of licit and illicit drug use in European University and college students. </w:t>
      </w:r>
      <w:r w:rsidRPr="00C356A8">
        <w:rPr>
          <w:i/>
        </w:rPr>
        <w:t>BMC Public Health, 12</w:t>
      </w:r>
      <w:r w:rsidR="003018AD" w:rsidRPr="00C356A8">
        <w:t>.</w:t>
      </w:r>
    </w:p>
    <w:p w14:paraId="5ACD9844" w14:textId="69286861" w:rsidR="003018AD" w:rsidRPr="00C356A8" w:rsidRDefault="002A0CC7" w:rsidP="006F0CB9">
      <w:pPr>
        <w:pStyle w:val="EndNoteBibliography"/>
        <w:spacing w:line="360" w:lineRule="auto"/>
      </w:pPr>
      <w:r w:rsidRPr="00C356A8">
        <w:t xml:space="preserve">Sanders, A., Stogner, J., Seibert, J., &amp; Miller, B. L. (2014). Misperceptions of peer pill-popping: the prevalence, correlates, and effects of inaccurate assumptions about peer pharmaceutical misuse. </w:t>
      </w:r>
      <w:r w:rsidRPr="00C356A8">
        <w:rPr>
          <w:i/>
        </w:rPr>
        <w:t>Substance Use &amp; Misuse, 49</w:t>
      </w:r>
      <w:r w:rsidRPr="00C356A8">
        <w:t>, 813-823</w:t>
      </w:r>
      <w:r w:rsidR="003018AD" w:rsidRPr="00C356A8">
        <w:t>.</w:t>
      </w:r>
    </w:p>
    <w:p w14:paraId="40F2768E" w14:textId="19E6E22E" w:rsidR="003018AD" w:rsidRPr="00C356A8" w:rsidRDefault="002A0CC7" w:rsidP="006F0CB9">
      <w:pPr>
        <w:pStyle w:val="EndNoteBibliography"/>
        <w:spacing w:line="360" w:lineRule="auto"/>
      </w:pPr>
      <w:r w:rsidRPr="00C356A8">
        <w:t xml:space="preserve">Silvestri, M. M., &amp; Correia, C. J. (2016). Normative influences on the nonmedical use of prescription stimulants among college students. </w:t>
      </w:r>
      <w:r w:rsidR="005F4481" w:rsidRPr="00C356A8">
        <w:rPr>
          <w:i/>
        </w:rPr>
        <w:t>Psychology of Addictive Behaviors</w:t>
      </w:r>
      <w:r w:rsidRPr="00C356A8">
        <w:rPr>
          <w:i/>
        </w:rPr>
        <w:t>, 30</w:t>
      </w:r>
      <w:r w:rsidRPr="00C356A8">
        <w:t>, 516-521</w:t>
      </w:r>
      <w:r w:rsidR="003018AD" w:rsidRPr="00C356A8">
        <w:t>.</w:t>
      </w:r>
    </w:p>
    <w:p w14:paraId="30230365" w14:textId="5B4468A5" w:rsidR="00A165F0" w:rsidRPr="00204BB3" w:rsidRDefault="002A0CC7" w:rsidP="0073341B">
      <w:pPr>
        <w:pStyle w:val="EndNoteBibliography"/>
        <w:spacing w:line="360" w:lineRule="auto"/>
      </w:pPr>
      <w:r w:rsidRPr="00C356A8">
        <w:lastRenderedPageBreak/>
        <w:t>United Nations Office on Drugs and Crime (2011)</w:t>
      </w:r>
      <w:r w:rsidR="003018AD" w:rsidRPr="00C356A8">
        <w:t>. The non-me</w:t>
      </w:r>
      <w:r w:rsidR="00134304" w:rsidRPr="00C356A8">
        <w:t>dical use of prescription drugs:</w:t>
      </w:r>
      <w:r w:rsidR="003018AD" w:rsidRPr="00C356A8">
        <w:t xml:space="preserve"> Policy direction issues.</w:t>
      </w:r>
      <w:r w:rsidR="00134304" w:rsidRPr="00C356A8">
        <w:t xml:space="preserve"> </w:t>
      </w:r>
      <w:r w:rsidR="003018AD" w:rsidRPr="00C356A8">
        <w:t>Vienna</w:t>
      </w:r>
      <w:r w:rsidRPr="00C356A8">
        <w:t>: United Nations</w:t>
      </w:r>
      <w:r w:rsidR="003018AD" w:rsidRPr="00C356A8">
        <w:t>.</w:t>
      </w:r>
      <w:r w:rsidR="00134304" w:rsidRPr="00C356A8">
        <w:t xml:space="preserve"> http://www.unodc.org/documents/drug-prevention-and-treatment/nonmedical-use-prescription-drugs.pdf</w:t>
      </w:r>
      <w:r w:rsidRPr="00C356A8">
        <w:t xml:space="preserve"> Accessed 18 January 2018</w:t>
      </w:r>
      <w:r w:rsidR="00134304" w:rsidRPr="00C356A8">
        <w:t>.</w:t>
      </w:r>
    </w:p>
    <w:sectPr w:rsidR="00A165F0" w:rsidRPr="00204BB3" w:rsidSect="007E1994">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1B549" w14:textId="77777777" w:rsidR="00227152" w:rsidRDefault="00227152" w:rsidP="0099704A">
      <w:r>
        <w:separator/>
      </w:r>
    </w:p>
  </w:endnote>
  <w:endnote w:type="continuationSeparator" w:id="0">
    <w:p w14:paraId="1714E200" w14:textId="77777777" w:rsidR="00227152" w:rsidRDefault="00227152" w:rsidP="0099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081316"/>
      <w:docPartObj>
        <w:docPartGallery w:val="Page Numbers (Bottom of Page)"/>
        <w:docPartUnique/>
      </w:docPartObj>
    </w:sdtPr>
    <w:sdtEndPr/>
    <w:sdtContent>
      <w:p w14:paraId="153E7F91" w14:textId="3ED40EE4" w:rsidR="005B4793" w:rsidRDefault="005B4793">
        <w:pPr>
          <w:pStyle w:val="Footer"/>
          <w:jc w:val="right"/>
        </w:pPr>
        <w:r>
          <w:fldChar w:fldCharType="begin"/>
        </w:r>
        <w:r>
          <w:instrText>PAGE   \* MERGEFORMAT</w:instrText>
        </w:r>
        <w:r>
          <w:fldChar w:fldCharType="separate"/>
        </w:r>
        <w:r w:rsidR="001D31C2" w:rsidRPr="001D31C2">
          <w:rPr>
            <w:noProof/>
            <w:lang w:val="de-DE"/>
          </w:rPr>
          <w:t>2</w:t>
        </w:r>
        <w:r>
          <w:fldChar w:fldCharType="end"/>
        </w:r>
      </w:p>
    </w:sdtContent>
  </w:sdt>
  <w:p w14:paraId="13CA8A2A" w14:textId="77777777" w:rsidR="005B4793" w:rsidRDefault="005B4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C3161" w14:textId="77777777" w:rsidR="00227152" w:rsidRDefault="00227152" w:rsidP="0099704A">
      <w:r>
        <w:separator/>
      </w:r>
    </w:p>
  </w:footnote>
  <w:footnote w:type="continuationSeparator" w:id="0">
    <w:p w14:paraId="37F24F6C" w14:textId="77777777" w:rsidR="00227152" w:rsidRDefault="00227152" w:rsidP="00997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20907"/>
    <w:multiLevelType w:val="hybridMultilevel"/>
    <w:tmpl w:val="5DB2D6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BF63BA"/>
    <w:multiLevelType w:val="hybridMultilevel"/>
    <w:tmpl w:val="675E02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A53F71"/>
    <w:multiLevelType w:val="multilevel"/>
    <w:tmpl w:val="B32E7C9A"/>
    <w:lvl w:ilvl="0">
      <w:start w:val="2"/>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336C63E4"/>
    <w:multiLevelType w:val="hybridMultilevel"/>
    <w:tmpl w:val="2EA27B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BCC4404"/>
    <w:multiLevelType w:val="hybridMultilevel"/>
    <w:tmpl w:val="BF689A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F723CBF"/>
    <w:multiLevelType w:val="hybridMultilevel"/>
    <w:tmpl w:val="D0D2A1A0"/>
    <w:lvl w:ilvl="0" w:tplc="04070017">
      <w:start w:val="1"/>
      <w:numFmt w:val="lowerLetter"/>
      <w:lvlText w:val="%1)"/>
      <w:lvlJc w:val="left"/>
      <w:pPr>
        <w:ind w:left="360" w:hanging="360"/>
      </w:pPr>
      <w:rPr>
        <w:rFonts w:ascii="Times New Roman" w:hAnsi="Times New Roman" w:cs="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5DB22E4"/>
    <w:multiLevelType w:val="hybridMultilevel"/>
    <w:tmpl w:val="5FFA68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FBB7138"/>
    <w:multiLevelType w:val="multilevel"/>
    <w:tmpl w:val="9C02A6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A9756E"/>
    <w:multiLevelType w:val="hybridMultilevel"/>
    <w:tmpl w:val="E9D679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F531DF0"/>
    <w:multiLevelType w:val="hybridMultilevel"/>
    <w:tmpl w:val="BD8070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2AD2000"/>
    <w:multiLevelType w:val="hybridMultilevel"/>
    <w:tmpl w:val="6866A414"/>
    <w:lvl w:ilvl="0" w:tplc="2CC6F966">
      <w:start w:val="1"/>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4"/>
  </w:num>
  <w:num w:numId="5">
    <w:abstractNumId w:val="5"/>
  </w:num>
  <w:num w:numId="6">
    <w:abstractNumId w:val="10"/>
  </w:num>
  <w:num w:numId="7">
    <w:abstractNumId w:val="9"/>
  </w:num>
  <w:num w:numId="8">
    <w:abstractNumId w:val="2"/>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rug and Alcohol De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0ssfezfe4fd259ev2rjx5f0p5t0xv0f2zz2e&quot;&gt;NPSSP&lt;record-ids&gt;&lt;item&gt;1&lt;/item&gt;&lt;item&gt;2&lt;/item&gt;&lt;item&gt;3&lt;/item&gt;&lt;item&gt;5&lt;/item&gt;&lt;item&gt;6&lt;/item&gt;&lt;item&gt;7&lt;/item&gt;&lt;item&gt;8&lt;/item&gt;&lt;item&gt;9&lt;/item&gt;&lt;item&gt;10&lt;/item&gt;&lt;item&gt;11&lt;/item&gt;&lt;item&gt;12&lt;/item&gt;&lt;item&gt;13&lt;/item&gt;&lt;item&gt;14&lt;/item&gt;&lt;item&gt;15&lt;/item&gt;&lt;item&gt;16&lt;/item&gt;&lt;item&gt;17&lt;/item&gt;&lt;item&gt;18&lt;/item&gt;&lt;item&gt;23&lt;/item&gt;&lt;item&gt;24&lt;/item&gt;&lt;item&gt;25&lt;/item&gt;&lt;item&gt;26&lt;/item&gt;&lt;item&gt;27&lt;/item&gt;&lt;item&gt;28&lt;/item&gt;&lt;item&gt;29&lt;/item&gt;&lt;item&gt;30&lt;/item&gt;&lt;item&gt;31&lt;/item&gt;&lt;item&gt;32&lt;/item&gt;&lt;item&gt;34&lt;/item&gt;&lt;item&gt;35&lt;/item&gt;&lt;item&gt;36&lt;/item&gt;&lt;item&gt;37&lt;/item&gt;&lt;/record-ids&gt;&lt;/item&gt;&lt;/Libraries&gt;"/>
  </w:docVars>
  <w:rsids>
    <w:rsidRoot w:val="008B6834"/>
    <w:rsid w:val="000014D8"/>
    <w:rsid w:val="0000152A"/>
    <w:rsid w:val="00001C95"/>
    <w:rsid w:val="0000613F"/>
    <w:rsid w:val="000106AB"/>
    <w:rsid w:val="00011036"/>
    <w:rsid w:val="00011487"/>
    <w:rsid w:val="00012838"/>
    <w:rsid w:val="00012B58"/>
    <w:rsid w:val="00015D6F"/>
    <w:rsid w:val="0001606C"/>
    <w:rsid w:val="00016E70"/>
    <w:rsid w:val="000171AE"/>
    <w:rsid w:val="00017FC6"/>
    <w:rsid w:val="00020167"/>
    <w:rsid w:val="00020311"/>
    <w:rsid w:val="0002066B"/>
    <w:rsid w:val="00020F07"/>
    <w:rsid w:val="00020F1B"/>
    <w:rsid w:val="000218B2"/>
    <w:rsid w:val="00022B5C"/>
    <w:rsid w:val="00022FE9"/>
    <w:rsid w:val="00023681"/>
    <w:rsid w:val="000236ED"/>
    <w:rsid w:val="000249FC"/>
    <w:rsid w:val="00024CA7"/>
    <w:rsid w:val="00026D4B"/>
    <w:rsid w:val="00027F62"/>
    <w:rsid w:val="00030994"/>
    <w:rsid w:val="000314A3"/>
    <w:rsid w:val="0003231F"/>
    <w:rsid w:val="000327DD"/>
    <w:rsid w:val="0003367B"/>
    <w:rsid w:val="00033EAA"/>
    <w:rsid w:val="00036F92"/>
    <w:rsid w:val="00037065"/>
    <w:rsid w:val="00041103"/>
    <w:rsid w:val="00041AE4"/>
    <w:rsid w:val="000426F0"/>
    <w:rsid w:val="000428D1"/>
    <w:rsid w:val="000436AD"/>
    <w:rsid w:val="00043D37"/>
    <w:rsid w:val="00043D50"/>
    <w:rsid w:val="000456CE"/>
    <w:rsid w:val="00045750"/>
    <w:rsid w:val="000517A5"/>
    <w:rsid w:val="0005272C"/>
    <w:rsid w:val="000538AC"/>
    <w:rsid w:val="00054099"/>
    <w:rsid w:val="00054BD1"/>
    <w:rsid w:val="0005511E"/>
    <w:rsid w:val="00057852"/>
    <w:rsid w:val="00057904"/>
    <w:rsid w:val="00057931"/>
    <w:rsid w:val="00060BD5"/>
    <w:rsid w:val="0006216D"/>
    <w:rsid w:val="00062390"/>
    <w:rsid w:val="00062611"/>
    <w:rsid w:val="000631AC"/>
    <w:rsid w:val="000633B5"/>
    <w:rsid w:val="00063744"/>
    <w:rsid w:val="00064973"/>
    <w:rsid w:val="00064B4E"/>
    <w:rsid w:val="00065D67"/>
    <w:rsid w:val="000672A6"/>
    <w:rsid w:val="00067B2E"/>
    <w:rsid w:val="00070336"/>
    <w:rsid w:val="000709A9"/>
    <w:rsid w:val="000727AD"/>
    <w:rsid w:val="00073368"/>
    <w:rsid w:val="00074D57"/>
    <w:rsid w:val="00075932"/>
    <w:rsid w:val="00080DEA"/>
    <w:rsid w:val="00081B05"/>
    <w:rsid w:val="00083E29"/>
    <w:rsid w:val="00084112"/>
    <w:rsid w:val="00086390"/>
    <w:rsid w:val="000868A9"/>
    <w:rsid w:val="00086F30"/>
    <w:rsid w:val="00087DD3"/>
    <w:rsid w:val="000903E0"/>
    <w:rsid w:val="00091643"/>
    <w:rsid w:val="000927AF"/>
    <w:rsid w:val="00093647"/>
    <w:rsid w:val="00095923"/>
    <w:rsid w:val="00096186"/>
    <w:rsid w:val="000A05AC"/>
    <w:rsid w:val="000A1242"/>
    <w:rsid w:val="000A1A49"/>
    <w:rsid w:val="000A42F8"/>
    <w:rsid w:val="000A44E4"/>
    <w:rsid w:val="000A6747"/>
    <w:rsid w:val="000B13B9"/>
    <w:rsid w:val="000B1C2E"/>
    <w:rsid w:val="000B2DB6"/>
    <w:rsid w:val="000B6C3F"/>
    <w:rsid w:val="000B6FBA"/>
    <w:rsid w:val="000B779C"/>
    <w:rsid w:val="000C0635"/>
    <w:rsid w:val="000C1C27"/>
    <w:rsid w:val="000C2D9E"/>
    <w:rsid w:val="000C2FB5"/>
    <w:rsid w:val="000C3D56"/>
    <w:rsid w:val="000C519B"/>
    <w:rsid w:val="000C53EB"/>
    <w:rsid w:val="000C56B4"/>
    <w:rsid w:val="000C656E"/>
    <w:rsid w:val="000C664C"/>
    <w:rsid w:val="000C7383"/>
    <w:rsid w:val="000C7652"/>
    <w:rsid w:val="000C7D5C"/>
    <w:rsid w:val="000D12F6"/>
    <w:rsid w:val="000D1822"/>
    <w:rsid w:val="000D19AE"/>
    <w:rsid w:val="000D1E75"/>
    <w:rsid w:val="000D2B18"/>
    <w:rsid w:val="000D2FC5"/>
    <w:rsid w:val="000D3BA8"/>
    <w:rsid w:val="000D5917"/>
    <w:rsid w:val="000D599B"/>
    <w:rsid w:val="000D5C74"/>
    <w:rsid w:val="000D5F77"/>
    <w:rsid w:val="000D7253"/>
    <w:rsid w:val="000D78E1"/>
    <w:rsid w:val="000E0934"/>
    <w:rsid w:val="000E097D"/>
    <w:rsid w:val="000E4C49"/>
    <w:rsid w:val="000E6DE6"/>
    <w:rsid w:val="000E6FDE"/>
    <w:rsid w:val="000E79C4"/>
    <w:rsid w:val="000F0971"/>
    <w:rsid w:val="000F62AC"/>
    <w:rsid w:val="00100017"/>
    <w:rsid w:val="00100A16"/>
    <w:rsid w:val="00102C63"/>
    <w:rsid w:val="00102F41"/>
    <w:rsid w:val="001049EF"/>
    <w:rsid w:val="001051C8"/>
    <w:rsid w:val="00105409"/>
    <w:rsid w:val="00105EB4"/>
    <w:rsid w:val="00106E8B"/>
    <w:rsid w:val="00107068"/>
    <w:rsid w:val="00107B62"/>
    <w:rsid w:val="00107F49"/>
    <w:rsid w:val="0011132D"/>
    <w:rsid w:val="001114F9"/>
    <w:rsid w:val="00112B42"/>
    <w:rsid w:val="00113A3E"/>
    <w:rsid w:val="00115485"/>
    <w:rsid w:val="00115B45"/>
    <w:rsid w:val="00115B85"/>
    <w:rsid w:val="00116241"/>
    <w:rsid w:val="00116D09"/>
    <w:rsid w:val="00116D6D"/>
    <w:rsid w:val="00117B43"/>
    <w:rsid w:val="001207F9"/>
    <w:rsid w:val="0012155C"/>
    <w:rsid w:val="001220FB"/>
    <w:rsid w:val="00122676"/>
    <w:rsid w:val="0012271D"/>
    <w:rsid w:val="0012555E"/>
    <w:rsid w:val="0012736B"/>
    <w:rsid w:val="0012757F"/>
    <w:rsid w:val="001279F8"/>
    <w:rsid w:val="001301CD"/>
    <w:rsid w:val="0013110A"/>
    <w:rsid w:val="00132232"/>
    <w:rsid w:val="001326A3"/>
    <w:rsid w:val="00133490"/>
    <w:rsid w:val="00134304"/>
    <w:rsid w:val="0013499D"/>
    <w:rsid w:val="001369D3"/>
    <w:rsid w:val="0013776A"/>
    <w:rsid w:val="00137787"/>
    <w:rsid w:val="001422A3"/>
    <w:rsid w:val="00143762"/>
    <w:rsid w:val="0014570F"/>
    <w:rsid w:val="0014707C"/>
    <w:rsid w:val="001474C5"/>
    <w:rsid w:val="0014787E"/>
    <w:rsid w:val="001479CE"/>
    <w:rsid w:val="00147B2F"/>
    <w:rsid w:val="00150C62"/>
    <w:rsid w:val="00151C76"/>
    <w:rsid w:val="00155291"/>
    <w:rsid w:val="00156807"/>
    <w:rsid w:val="00157F98"/>
    <w:rsid w:val="001656A2"/>
    <w:rsid w:val="001663FA"/>
    <w:rsid w:val="00167C21"/>
    <w:rsid w:val="001720AD"/>
    <w:rsid w:val="00172248"/>
    <w:rsid w:val="00172F13"/>
    <w:rsid w:val="0017355D"/>
    <w:rsid w:val="00173B25"/>
    <w:rsid w:val="00174A5D"/>
    <w:rsid w:val="0017527D"/>
    <w:rsid w:val="0017739C"/>
    <w:rsid w:val="00177EDE"/>
    <w:rsid w:val="0018141C"/>
    <w:rsid w:val="00182E2F"/>
    <w:rsid w:val="001833DA"/>
    <w:rsid w:val="001836BE"/>
    <w:rsid w:val="001845A2"/>
    <w:rsid w:val="001871B1"/>
    <w:rsid w:val="001874A2"/>
    <w:rsid w:val="0018789B"/>
    <w:rsid w:val="0019020B"/>
    <w:rsid w:val="0019176E"/>
    <w:rsid w:val="001933E3"/>
    <w:rsid w:val="0019378F"/>
    <w:rsid w:val="00193D37"/>
    <w:rsid w:val="00194B1B"/>
    <w:rsid w:val="0019515A"/>
    <w:rsid w:val="00195D64"/>
    <w:rsid w:val="00196460"/>
    <w:rsid w:val="00196AD0"/>
    <w:rsid w:val="001972F5"/>
    <w:rsid w:val="001A16CA"/>
    <w:rsid w:val="001A1B3C"/>
    <w:rsid w:val="001A241B"/>
    <w:rsid w:val="001A3D00"/>
    <w:rsid w:val="001A4DE2"/>
    <w:rsid w:val="001A5314"/>
    <w:rsid w:val="001A64EA"/>
    <w:rsid w:val="001A6F36"/>
    <w:rsid w:val="001B206C"/>
    <w:rsid w:val="001B32D4"/>
    <w:rsid w:val="001B4068"/>
    <w:rsid w:val="001B532A"/>
    <w:rsid w:val="001C087F"/>
    <w:rsid w:val="001C0A93"/>
    <w:rsid w:val="001C0B47"/>
    <w:rsid w:val="001C16E8"/>
    <w:rsid w:val="001C6501"/>
    <w:rsid w:val="001D0DF4"/>
    <w:rsid w:val="001D31C2"/>
    <w:rsid w:val="001D35A5"/>
    <w:rsid w:val="001D487D"/>
    <w:rsid w:val="001D48CF"/>
    <w:rsid w:val="001D6C87"/>
    <w:rsid w:val="001D6D91"/>
    <w:rsid w:val="001D771E"/>
    <w:rsid w:val="001D7B09"/>
    <w:rsid w:val="001E0854"/>
    <w:rsid w:val="001E08D6"/>
    <w:rsid w:val="001E166D"/>
    <w:rsid w:val="001E18DE"/>
    <w:rsid w:val="001E1B34"/>
    <w:rsid w:val="001E4905"/>
    <w:rsid w:val="001E4FAC"/>
    <w:rsid w:val="001E516B"/>
    <w:rsid w:val="001E592E"/>
    <w:rsid w:val="001E6A0B"/>
    <w:rsid w:val="001E6F0E"/>
    <w:rsid w:val="001E7522"/>
    <w:rsid w:val="001F0A1E"/>
    <w:rsid w:val="001F0EFD"/>
    <w:rsid w:val="001F11A9"/>
    <w:rsid w:val="001F31AD"/>
    <w:rsid w:val="001F3D61"/>
    <w:rsid w:val="001F42D3"/>
    <w:rsid w:val="001F532A"/>
    <w:rsid w:val="00200E1D"/>
    <w:rsid w:val="00202266"/>
    <w:rsid w:val="00202D1D"/>
    <w:rsid w:val="00203264"/>
    <w:rsid w:val="00204265"/>
    <w:rsid w:val="00204351"/>
    <w:rsid w:val="00204BB3"/>
    <w:rsid w:val="002050C7"/>
    <w:rsid w:val="0020701B"/>
    <w:rsid w:val="0021039C"/>
    <w:rsid w:val="00210E36"/>
    <w:rsid w:val="002119FB"/>
    <w:rsid w:val="0021240F"/>
    <w:rsid w:val="002124D6"/>
    <w:rsid w:val="00212520"/>
    <w:rsid w:val="00213016"/>
    <w:rsid w:val="00213274"/>
    <w:rsid w:val="002139F9"/>
    <w:rsid w:val="00213A75"/>
    <w:rsid w:val="00214B8C"/>
    <w:rsid w:val="002162F9"/>
    <w:rsid w:val="00216CB4"/>
    <w:rsid w:val="00220E41"/>
    <w:rsid w:val="00221240"/>
    <w:rsid w:val="00224104"/>
    <w:rsid w:val="00224411"/>
    <w:rsid w:val="00226A56"/>
    <w:rsid w:val="00226F95"/>
    <w:rsid w:val="00227152"/>
    <w:rsid w:val="00227EC0"/>
    <w:rsid w:val="002309F4"/>
    <w:rsid w:val="002313AD"/>
    <w:rsid w:val="00232B68"/>
    <w:rsid w:val="00235309"/>
    <w:rsid w:val="0023554D"/>
    <w:rsid w:val="00235A0F"/>
    <w:rsid w:val="002371ED"/>
    <w:rsid w:val="002414E0"/>
    <w:rsid w:val="00242036"/>
    <w:rsid w:val="002425EC"/>
    <w:rsid w:val="0024346C"/>
    <w:rsid w:val="00243C88"/>
    <w:rsid w:val="0024412C"/>
    <w:rsid w:val="00244A45"/>
    <w:rsid w:val="00245FA7"/>
    <w:rsid w:val="00247C52"/>
    <w:rsid w:val="00250C32"/>
    <w:rsid w:val="002511A1"/>
    <w:rsid w:val="00252D16"/>
    <w:rsid w:val="002540AA"/>
    <w:rsid w:val="002558CE"/>
    <w:rsid w:val="00255BDB"/>
    <w:rsid w:val="00257701"/>
    <w:rsid w:val="0026160D"/>
    <w:rsid w:val="00261636"/>
    <w:rsid w:val="002629C9"/>
    <w:rsid w:val="00264521"/>
    <w:rsid w:val="002658E9"/>
    <w:rsid w:val="00265A9C"/>
    <w:rsid w:val="00265C08"/>
    <w:rsid w:val="00265CF6"/>
    <w:rsid w:val="00266B3E"/>
    <w:rsid w:val="00270551"/>
    <w:rsid w:val="00270C97"/>
    <w:rsid w:val="00271493"/>
    <w:rsid w:val="002716CE"/>
    <w:rsid w:val="0027268E"/>
    <w:rsid w:val="00272EEC"/>
    <w:rsid w:val="00272F9B"/>
    <w:rsid w:val="002737E1"/>
    <w:rsid w:val="002743D5"/>
    <w:rsid w:val="00274898"/>
    <w:rsid w:val="00274E4D"/>
    <w:rsid w:val="00274E79"/>
    <w:rsid w:val="00275256"/>
    <w:rsid w:val="00275AA6"/>
    <w:rsid w:val="00275E0B"/>
    <w:rsid w:val="0027799A"/>
    <w:rsid w:val="0028147B"/>
    <w:rsid w:val="00281691"/>
    <w:rsid w:val="00282A57"/>
    <w:rsid w:val="002835F1"/>
    <w:rsid w:val="00284068"/>
    <w:rsid w:val="00286097"/>
    <w:rsid w:val="00286484"/>
    <w:rsid w:val="00290839"/>
    <w:rsid w:val="00292564"/>
    <w:rsid w:val="00292DBD"/>
    <w:rsid w:val="00292FB3"/>
    <w:rsid w:val="0029314B"/>
    <w:rsid w:val="00294789"/>
    <w:rsid w:val="002948BF"/>
    <w:rsid w:val="00295DD1"/>
    <w:rsid w:val="00297F66"/>
    <w:rsid w:val="002A09CC"/>
    <w:rsid w:val="002A0CC7"/>
    <w:rsid w:val="002A101E"/>
    <w:rsid w:val="002A1B68"/>
    <w:rsid w:val="002A2A78"/>
    <w:rsid w:val="002A3E75"/>
    <w:rsid w:val="002A454D"/>
    <w:rsid w:val="002A48DA"/>
    <w:rsid w:val="002A4E15"/>
    <w:rsid w:val="002A61E8"/>
    <w:rsid w:val="002A6BC4"/>
    <w:rsid w:val="002B0093"/>
    <w:rsid w:val="002B07B2"/>
    <w:rsid w:val="002B130F"/>
    <w:rsid w:val="002B2E03"/>
    <w:rsid w:val="002B34DE"/>
    <w:rsid w:val="002B43E8"/>
    <w:rsid w:val="002B446A"/>
    <w:rsid w:val="002B6BAF"/>
    <w:rsid w:val="002B707F"/>
    <w:rsid w:val="002B7912"/>
    <w:rsid w:val="002C01BE"/>
    <w:rsid w:val="002C0322"/>
    <w:rsid w:val="002C2E58"/>
    <w:rsid w:val="002C37EA"/>
    <w:rsid w:val="002C3A97"/>
    <w:rsid w:val="002C7079"/>
    <w:rsid w:val="002D0422"/>
    <w:rsid w:val="002D0ADC"/>
    <w:rsid w:val="002D1473"/>
    <w:rsid w:val="002D1A0D"/>
    <w:rsid w:val="002D26F2"/>
    <w:rsid w:val="002D2D9C"/>
    <w:rsid w:val="002D35CB"/>
    <w:rsid w:val="002D3F40"/>
    <w:rsid w:val="002D4AEE"/>
    <w:rsid w:val="002D67E8"/>
    <w:rsid w:val="002D6AE5"/>
    <w:rsid w:val="002D74D6"/>
    <w:rsid w:val="002E1B47"/>
    <w:rsid w:val="002E4147"/>
    <w:rsid w:val="002E4E70"/>
    <w:rsid w:val="002E6FDF"/>
    <w:rsid w:val="002F0439"/>
    <w:rsid w:val="002F104A"/>
    <w:rsid w:val="002F184B"/>
    <w:rsid w:val="002F286E"/>
    <w:rsid w:val="002F3E26"/>
    <w:rsid w:val="002F3FAA"/>
    <w:rsid w:val="002F71B8"/>
    <w:rsid w:val="002F754F"/>
    <w:rsid w:val="0030163E"/>
    <w:rsid w:val="003018AD"/>
    <w:rsid w:val="003020A1"/>
    <w:rsid w:val="0030312B"/>
    <w:rsid w:val="003038D4"/>
    <w:rsid w:val="00303B52"/>
    <w:rsid w:val="00304875"/>
    <w:rsid w:val="00304BB2"/>
    <w:rsid w:val="003054B6"/>
    <w:rsid w:val="00305AC3"/>
    <w:rsid w:val="00305D34"/>
    <w:rsid w:val="00306244"/>
    <w:rsid w:val="00307445"/>
    <w:rsid w:val="00311FC8"/>
    <w:rsid w:val="0031278D"/>
    <w:rsid w:val="00313855"/>
    <w:rsid w:val="00313B61"/>
    <w:rsid w:val="003147CE"/>
    <w:rsid w:val="00316826"/>
    <w:rsid w:val="0031690A"/>
    <w:rsid w:val="00316CBC"/>
    <w:rsid w:val="00317642"/>
    <w:rsid w:val="003177FD"/>
    <w:rsid w:val="003206AF"/>
    <w:rsid w:val="003208B6"/>
    <w:rsid w:val="00320C0A"/>
    <w:rsid w:val="00321F35"/>
    <w:rsid w:val="00322F80"/>
    <w:rsid w:val="00323FEC"/>
    <w:rsid w:val="003250B7"/>
    <w:rsid w:val="00325ED0"/>
    <w:rsid w:val="00327FA6"/>
    <w:rsid w:val="003307F3"/>
    <w:rsid w:val="00330F20"/>
    <w:rsid w:val="00331143"/>
    <w:rsid w:val="003311D9"/>
    <w:rsid w:val="0033160B"/>
    <w:rsid w:val="003330C3"/>
    <w:rsid w:val="00337360"/>
    <w:rsid w:val="003412AE"/>
    <w:rsid w:val="00342423"/>
    <w:rsid w:val="0034242C"/>
    <w:rsid w:val="00343D30"/>
    <w:rsid w:val="00345192"/>
    <w:rsid w:val="00346807"/>
    <w:rsid w:val="00351EB5"/>
    <w:rsid w:val="0035296B"/>
    <w:rsid w:val="0035362B"/>
    <w:rsid w:val="00353634"/>
    <w:rsid w:val="00354F13"/>
    <w:rsid w:val="00355B2D"/>
    <w:rsid w:val="00355FEA"/>
    <w:rsid w:val="0035756B"/>
    <w:rsid w:val="00360ECC"/>
    <w:rsid w:val="0036101C"/>
    <w:rsid w:val="0036131D"/>
    <w:rsid w:val="00362C64"/>
    <w:rsid w:val="003646F9"/>
    <w:rsid w:val="0036657A"/>
    <w:rsid w:val="00366834"/>
    <w:rsid w:val="0036769D"/>
    <w:rsid w:val="003678AA"/>
    <w:rsid w:val="003712F7"/>
    <w:rsid w:val="00374580"/>
    <w:rsid w:val="00376099"/>
    <w:rsid w:val="00376BFE"/>
    <w:rsid w:val="00377C93"/>
    <w:rsid w:val="003821E3"/>
    <w:rsid w:val="0038269B"/>
    <w:rsid w:val="003855F7"/>
    <w:rsid w:val="00386971"/>
    <w:rsid w:val="0039081C"/>
    <w:rsid w:val="00391211"/>
    <w:rsid w:val="00391D5F"/>
    <w:rsid w:val="0039208B"/>
    <w:rsid w:val="00393BAD"/>
    <w:rsid w:val="00395F83"/>
    <w:rsid w:val="003960E5"/>
    <w:rsid w:val="00396999"/>
    <w:rsid w:val="003A02F2"/>
    <w:rsid w:val="003A1332"/>
    <w:rsid w:val="003A2352"/>
    <w:rsid w:val="003A3EDF"/>
    <w:rsid w:val="003A57E4"/>
    <w:rsid w:val="003A6977"/>
    <w:rsid w:val="003A7ABC"/>
    <w:rsid w:val="003B29AC"/>
    <w:rsid w:val="003B2AEE"/>
    <w:rsid w:val="003B4B08"/>
    <w:rsid w:val="003B7DBF"/>
    <w:rsid w:val="003C0A17"/>
    <w:rsid w:val="003C238D"/>
    <w:rsid w:val="003C4007"/>
    <w:rsid w:val="003C463E"/>
    <w:rsid w:val="003C51E2"/>
    <w:rsid w:val="003C5E19"/>
    <w:rsid w:val="003C6930"/>
    <w:rsid w:val="003D0246"/>
    <w:rsid w:val="003D0DBB"/>
    <w:rsid w:val="003D2092"/>
    <w:rsid w:val="003D4B40"/>
    <w:rsid w:val="003D51AD"/>
    <w:rsid w:val="003D748F"/>
    <w:rsid w:val="003E0233"/>
    <w:rsid w:val="003E0555"/>
    <w:rsid w:val="003E06E9"/>
    <w:rsid w:val="003E23DD"/>
    <w:rsid w:val="003E6DAC"/>
    <w:rsid w:val="003E7853"/>
    <w:rsid w:val="003E7D6D"/>
    <w:rsid w:val="003F1FF7"/>
    <w:rsid w:val="003F3473"/>
    <w:rsid w:val="003F3492"/>
    <w:rsid w:val="003F397F"/>
    <w:rsid w:val="003F3C4D"/>
    <w:rsid w:val="003F55CA"/>
    <w:rsid w:val="003F5C8B"/>
    <w:rsid w:val="003F5DA5"/>
    <w:rsid w:val="003F713D"/>
    <w:rsid w:val="003F742D"/>
    <w:rsid w:val="004004ED"/>
    <w:rsid w:val="00402F03"/>
    <w:rsid w:val="00404BB0"/>
    <w:rsid w:val="004050A2"/>
    <w:rsid w:val="00406472"/>
    <w:rsid w:val="00406579"/>
    <w:rsid w:val="00406D2E"/>
    <w:rsid w:val="00410337"/>
    <w:rsid w:val="004120B0"/>
    <w:rsid w:val="00412353"/>
    <w:rsid w:val="004124F9"/>
    <w:rsid w:val="004125F0"/>
    <w:rsid w:val="00412791"/>
    <w:rsid w:val="00412919"/>
    <w:rsid w:val="0041291C"/>
    <w:rsid w:val="00412CEC"/>
    <w:rsid w:val="00412F14"/>
    <w:rsid w:val="004137E7"/>
    <w:rsid w:val="004142FA"/>
    <w:rsid w:val="0041542F"/>
    <w:rsid w:val="00416B82"/>
    <w:rsid w:val="00422C4C"/>
    <w:rsid w:val="00423222"/>
    <w:rsid w:val="00424275"/>
    <w:rsid w:val="00424FCB"/>
    <w:rsid w:val="00425156"/>
    <w:rsid w:val="0042590A"/>
    <w:rsid w:val="00425D13"/>
    <w:rsid w:val="00426A1C"/>
    <w:rsid w:val="004270A0"/>
    <w:rsid w:val="004271DE"/>
    <w:rsid w:val="004317F9"/>
    <w:rsid w:val="004320B2"/>
    <w:rsid w:val="00433216"/>
    <w:rsid w:val="00434B40"/>
    <w:rsid w:val="004364C7"/>
    <w:rsid w:val="0043753D"/>
    <w:rsid w:val="0043773F"/>
    <w:rsid w:val="004400CA"/>
    <w:rsid w:val="004408D9"/>
    <w:rsid w:val="00440B67"/>
    <w:rsid w:val="00442AA9"/>
    <w:rsid w:val="0044471E"/>
    <w:rsid w:val="00446DFB"/>
    <w:rsid w:val="004474B1"/>
    <w:rsid w:val="004478D7"/>
    <w:rsid w:val="00450E2E"/>
    <w:rsid w:val="004514DB"/>
    <w:rsid w:val="0045280F"/>
    <w:rsid w:val="00453183"/>
    <w:rsid w:val="004537EF"/>
    <w:rsid w:val="0045434C"/>
    <w:rsid w:val="00454AA2"/>
    <w:rsid w:val="004552A8"/>
    <w:rsid w:val="0045587D"/>
    <w:rsid w:val="00456AF5"/>
    <w:rsid w:val="00456C36"/>
    <w:rsid w:val="00456F5D"/>
    <w:rsid w:val="004570CA"/>
    <w:rsid w:val="00463D3E"/>
    <w:rsid w:val="00464AB4"/>
    <w:rsid w:val="00467951"/>
    <w:rsid w:val="00471002"/>
    <w:rsid w:val="0047559B"/>
    <w:rsid w:val="00475C56"/>
    <w:rsid w:val="00475D17"/>
    <w:rsid w:val="004768CB"/>
    <w:rsid w:val="004770D1"/>
    <w:rsid w:val="0047759E"/>
    <w:rsid w:val="00477A70"/>
    <w:rsid w:val="004801A7"/>
    <w:rsid w:val="004807B4"/>
    <w:rsid w:val="0048106D"/>
    <w:rsid w:val="00482024"/>
    <w:rsid w:val="004863F5"/>
    <w:rsid w:val="00486937"/>
    <w:rsid w:val="004869E6"/>
    <w:rsid w:val="00487480"/>
    <w:rsid w:val="0048769D"/>
    <w:rsid w:val="00487C44"/>
    <w:rsid w:val="004912C5"/>
    <w:rsid w:val="0049264E"/>
    <w:rsid w:val="00492D97"/>
    <w:rsid w:val="004931E4"/>
    <w:rsid w:val="00494FC3"/>
    <w:rsid w:val="0049549D"/>
    <w:rsid w:val="00495C67"/>
    <w:rsid w:val="00496FD9"/>
    <w:rsid w:val="004A0BA7"/>
    <w:rsid w:val="004A11AF"/>
    <w:rsid w:val="004A14F7"/>
    <w:rsid w:val="004A4424"/>
    <w:rsid w:val="004A4D53"/>
    <w:rsid w:val="004A6DDB"/>
    <w:rsid w:val="004B0170"/>
    <w:rsid w:val="004B0C6F"/>
    <w:rsid w:val="004B0D50"/>
    <w:rsid w:val="004B1A64"/>
    <w:rsid w:val="004B3F4D"/>
    <w:rsid w:val="004B3F7B"/>
    <w:rsid w:val="004B430E"/>
    <w:rsid w:val="004B4C04"/>
    <w:rsid w:val="004B627A"/>
    <w:rsid w:val="004B679B"/>
    <w:rsid w:val="004B6E6A"/>
    <w:rsid w:val="004C09E0"/>
    <w:rsid w:val="004C118D"/>
    <w:rsid w:val="004C13CF"/>
    <w:rsid w:val="004C1E11"/>
    <w:rsid w:val="004C27A5"/>
    <w:rsid w:val="004C2E39"/>
    <w:rsid w:val="004C34FA"/>
    <w:rsid w:val="004C4047"/>
    <w:rsid w:val="004C4BF8"/>
    <w:rsid w:val="004C4EA9"/>
    <w:rsid w:val="004C4EF1"/>
    <w:rsid w:val="004C5FA4"/>
    <w:rsid w:val="004C60F4"/>
    <w:rsid w:val="004D08B4"/>
    <w:rsid w:val="004D0B97"/>
    <w:rsid w:val="004D12FD"/>
    <w:rsid w:val="004D2AB6"/>
    <w:rsid w:val="004D3640"/>
    <w:rsid w:val="004D4273"/>
    <w:rsid w:val="004D5B1E"/>
    <w:rsid w:val="004E05F3"/>
    <w:rsid w:val="004E2490"/>
    <w:rsid w:val="004E370A"/>
    <w:rsid w:val="004E3FE8"/>
    <w:rsid w:val="004F1836"/>
    <w:rsid w:val="004F1A24"/>
    <w:rsid w:val="004F1CB2"/>
    <w:rsid w:val="004F2603"/>
    <w:rsid w:val="004F3D0B"/>
    <w:rsid w:val="004F4608"/>
    <w:rsid w:val="004F6338"/>
    <w:rsid w:val="004F6455"/>
    <w:rsid w:val="004F6AED"/>
    <w:rsid w:val="004F6D20"/>
    <w:rsid w:val="004F76DD"/>
    <w:rsid w:val="005000CE"/>
    <w:rsid w:val="0050022E"/>
    <w:rsid w:val="00500D5B"/>
    <w:rsid w:val="00501174"/>
    <w:rsid w:val="005040EF"/>
    <w:rsid w:val="00506F56"/>
    <w:rsid w:val="00510049"/>
    <w:rsid w:val="00511BB6"/>
    <w:rsid w:val="00511C00"/>
    <w:rsid w:val="0051218A"/>
    <w:rsid w:val="005168AF"/>
    <w:rsid w:val="0052213A"/>
    <w:rsid w:val="0052695C"/>
    <w:rsid w:val="005272DE"/>
    <w:rsid w:val="005303C2"/>
    <w:rsid w:val="00530951"/>
    <w:rsid w:val="00531F82"/>
    <w:rsid w:val="00533A1B"/>
    <w:rsid w:val="00533E83"/>
    <w:rsid w:val="00534ACF"/>
    <w:rsid w:val="005373E1"/>
    <w:rsid w:val="005419D3"/>
    <w:rsid w:val="0054289B"/>
    <w:rsid w:val="00542AB2"/>
    <w:rsid w:val="00543BAE"/>
    <w:rsid w:val="005449E7"/>
    <w:rsid w:val="00544C33"/>
    <w:rsid w:val="00550748"/>
    <w:rsid w:val="00551508"/>
    <w:rsid w:val="0055465E"/>
    <w:rsid w:val="00554CDB"/>
    <w:rsid w:val="00554DB7"/>
    <w:rsid w:val="00555030"/>
    <w:rsid w:val="005550B8"/>
    <w:rsid w:val="00555278"/>
    <w:rsid w:val="0055538C"/>
    <w:rsid w:val="00557A1D"/>
    <w:rsid w:val="00560893"/>
    <w:rsid w:val="00560C58"/>
    <w:rsid w:val="00560F1F"/>
    <w:rsid w:val="00561499"/>
    <w:rsid w:val="0056375B"/>
    <w:rsid w:val="00563F3F"/>
    <w:rsid w:val="00566115"/>
    <w:rsid w:val="00566295"/>
    <w:rsid w:val="00567458"/>
    <w:rsid w:val="0057040D"/>
    <w:rsid w:val="00572A03"/>
    <w:rsid w:val="00572DE8"/>
    <w:rsid w:val="00574CAC"/>
    <w:rsid w:val="00574D17"/>
    <w:rsid w:val="00575809"/>
    <w:rsid w:val="00580D5D"/>
    <w:rsid w:val="0058225D"/>
    <w:rsid w:val="005848E2"/>
    <w:rsid w:val="00584B81"/>
    <w:rsid w:val="00584DE0"/>
    <w:rsid w:val="00585929"/>
    <w:rsid w:val="00585A93"/>
    <w:rsid w:val="0058605E"/>
    <w:rsid w:val="00586610"/>
    <w:rsid w:val="00586D1E"/>
    <w:rsid w:val="00586F0F"/>
    <w:rsid w:val="00587D06"/>
    <w:rsid w:val="00590921"/>
    <w:rsid w:val="00590BB7"/>
    <w:rsid w:val="00591A6E"/>
    <w:rsid w:val="005926E7"/>
    <w:rsid w:val="00592B38"/>
    <w:rsid w:val="00592FB1"/>
    <w:rsid w:val="005941C2"/>
    <w:rsid w:val="00594420"/>
    <w:rsid w:val="00595187"/>
    <w:rsid w:val="00595880"/>
    <w:rsid w:val="00595A73"/>
    <w:rsid w:val="005A0F73"/>
    <w:rsid w:val="005A165B"/>
    <w:rsid w:val="005A19E2"/>
    <w:rsid w:val="005A1D98"/>
    <w:rsid w:val="005A2497"/>
    <w:rsid w:val="005A5A40"/>
    <w:rsid w:val="005A614A"/>
    <w:rsid w:val="005A680E"/>
    <w:rsid w:val="005B0540"/>
    <w:rsid w:val="005B1D73"/>
    <w:rsid w:val="005B2A3E"/>
    <w:rsid w:val="005B4793"/>
    <w:rsid w:val="005B4DBD"/>
    <w:rsid w:val="005B5199"/>
    <w:rsid w:val="005B584E"/>
    <w:rsid w:val="005B5F4C"/>
    <w:rsid w:val="005C1632"/>
    <w:rsid w:val="005C1717"/>
    <w:rsid w:val="005C1728"/>
    <w:rsid w:val="005C1A12"/>
    <w:rsid w:val="005C2F42"/>
    <w:rsid w:val="005C3968"/>
    <w:rsid w:val="005C4630"/>
    <w:rsid w:val="005C5118"/>
    <w:rsid w:val="005C5569"/>
    <w:rsid w:val="005C60AB"/>
    <w:rsid w:val="005D06AF"/>
    <w:rsid w:val="005D0A91"/>
    <w:rsid w:val="005D49E2"/>
    <w:rsid w:val="005D53CF"/>
    <w:rsid w:val="005D5C9C"/>
    <w:rsid w:val="005D6DCF"/>
    <w:rsid w:val="005D7255"/>
    <w:rsid w:val="005D7E4B"/>
    <w:rsid w:val="005E1186"/>
    <w:rsid w:val="005E1B0C"/>
    <w:rsid w:val="005E1C65"/>
    <w:rsid w:val="005E1CC7"/>
    <w:rsid w:val="005E206A"/>
    <w:rsid w:val="005E323F"/>
    <w:rsid w:val="005E420F"/>
    <w:rsid w:val="005E504C"/>
    <w:rsid w:val="005E5F86"/>
    <w:rsid w:val="005E6BFF"/>
    <w:rsid w:val="005E7C44"/>
    <w:rsid w:val="005F0C2B"/>
    <w:rsid w:val="005F13E9"/>
    <w:rsid w:val="005F1E08"/>
    <w:rsid w:val="005F1FAE"/>
    <w:rsid w:val="005F2578"/>
    <w:rsid w:val="005F3476"/>
    <w:rsid w:val="005F3F96"/>
    <w:rsid w:val="005F4481"/>
    <w:rsid w:val="005F5270"/>
    <w:rsid w:val="005F7154"/>
    <w:rsid w:val="005F7DF3"/>
    <w:rsid w:val="00603353"/>
    <w:rsid w:val="00603842"/>
    <w:rsid w:val="00603A7D"/>
    <w:rsid w:val="00606BC9"/>
    <w:rsid w:val="00610551"/>
    <w:rsid w:val="00611C18"/>
    <w:rsid w:val="006124F0"/>
    <w:rsid w:val="006130D9"/>
    <w:rsid w:val="0061311C"/>
    <w:rsid w:val="00616C14"/>
    <w:rsid w:val="0062234D"/>
    <w:rsid w:val="006226B1"/>
    <w:rsid w:val="00622FD0"/>
    <w:rsid w:val="00623073"/>
    <w:rsid w:val="006251E0"/>
    <w:rsid w:val="00625278"/>
    <w:rsid w:val="006258A1"/>
    <w:rsid w:val="006258AB"/>
    <w:rsid w:val="0062677F"/>
    <w:rsid w:val="00630544"/>
    <w:rsid w:val="006305F2"/>
    <w:rsid w:val="00630A02"/>
    <w:rsid w:val="00630EAE"/>
    <w:rsid w:val="006315D6"/>
    <w:rsid w:val="00634017"/>
    <w:rsid w:val="006348BE"/>
    <w:rsid w:val="00637EAA"/>
    <w:rsid w:val="006408E1"/>
    <w:rsid w:val="00640D14"/>
    <w:rsid w:val="00640DB3"/>
    <w:rsid w:val="00642036"/>
    <w:rsid w:val="006449CE"/>
    <w:rsid w:val="006456AF"/>
    <w:rsid w:val="00645B9B"/>
    <w:rsid w:val="00647090"/>
    <w:rsid w:val="00647AA9"/>
    <w:rsid w:val="006517A9"/>
    <w:rsid w:val="00652292"/>
    <w:rsid w:val="0065245B"/>
    <w:rsid w:val="00652A01"/>
    <w:rsid w:val="00652CAB"/>
    <w:rsid w:val="00653450"/>
    <w:rsid w:val="0065466B"/>
    <w:rsid w:val="00655082"/>
    <w:rsid w:val="0065706F"/>
    <w:rsid w:val="00657D68"/>
    <w:rsid w:val="00657FF8"/>
    <w:rsid w:val="006602A1"/>
    <w:rsid w:val="00662832"/>
    <w:rsid w:val="0066289C"/>
    <w:rsid w:val="00662B5C"/>
    <w:rsid w:val="00663FA6"/>
    <w:rsid w:val="0066592D"/>
    <w:rsid w:val="00665C14"/>
    <w:rsid w:val="00665CE0"/>
    <w:rsid w:val="00667221"/>
    <w:rsid w:val="006677CC"/>
    <w:rsid w:val="0067365F"/>
    <w:rsid w:val="0067374E"/>
    <w:rsid w:val="006738A1"/>
    <w:rsid w:val="006760D0"/>
    <w:rsid w:val="0067643B"/>
    <w:rsid w:val="00676536"/>
    <w:rsid w:val="0067656C"/>
    <w:rsid w:val="00676D4F"/>
    <w:rsid w:val="0068047F"/>
    <w:rsid w:val="006806BB"/>
    <w:rsid w:val="00680A73"/>
    <w:rsid w:val="00680F64"/>
    <w:rsid w:val="00681A87"/>
    <w:rsid w:val="006832A2"/>
    <w:rsid w:val="0068352E"/>
    <w:rsid w:val="006835E2"/>
    <w:rsid w:val="00684AC8"/>
    <w:rsid w:val="00685B0B"/>
    <w:rsid w:val="00686CAF"/>
    <w:rsid w:val="00686E6B"/>
    <w:rsid w:val="00690A6C"/>
    <w:rsid w:val="00691F34"/>
    <w:rsid w:val="00692C6B"/>
    <w:rsid w:val="00694E6B"/>
    <w:rsid w:val="00696200"/>
    <w:rsid w:val="006965DA"/>
    <w:rsid w:val="00697A31"/>
    <w:rsid w:val="006A23FA"/>
    <w:rsid w:val="006A36C3"/>
    <w:rsid w:val="006A4F6E"/>
    <w:rsid w:val="006A54DD"/>
    <w:rsid w:val="006A62D4"/>
    <w:rsid w:val="006A699A"/>
    <w:rsid w:val="006A76C2"/>
    <w:rsid w:val="006B1912"/>
    <w:rsid w:val="006B73E6"/>
    <w:rsid w:val="006B79C9"/>
    <w:rsid w:val="006C062D"/>
    <w:rsid w:val="006C0CB7"/>
    <w:rsid w:val="006C312E"/>
    <w:rsid w:val="006C7445"/>
    <w:rsid w:val="006D1CB1"/>
    <w:rsid w:val="006D3AC5"/>
    <w:rsid w:val="006D3B6F"/>
    <w:rsid w:val="006D454D"/>
    <w:rsid w:val="006D4C3B"/>
    <w:rsid w:val="006D5400"/>
    <w:rsid w:val="006D5A48"/>
    <w:rsid w:val="006D5B9F"/>
    <w:rsid w:val="006D723F"/>
    <w:rsid w:val="006D733C"/>
    <w:rsid w:val="006D793E"/>
    <w:rsid w:val="006E22F9"/>
    <w:rsid w:val="006E4559"/>
    <w:rsid w:val="006E4B66"/>
    <w:rsid w:val="006E5DCF"/>
    <w:rsid w:val="006E6AB3"/>
    <w:rsid w:val="006E7419"/>
    <w:rsid w:val="006F023A"/>
    <w:rsid w:val="006F0CB9"/>
    <w:rsid w:val="006F145D"/>
    <w:rsid w:val="006F1A36"/>
    <w:rsid w:val="006F1F98"/>
    <w:rsid w:val="006F21C3"/>
    <w:rsid w:val="006F3799"/>
    <w:rsid w:val="006F4CBB"/>
    <w:rsid w:val="006F5D2F"/>
    <w:rsid w:val="006F5D65"/>
    <w:rsid w:val="006F6101"/>
    <w:rsid w:val="006F6E6C"/>
    <w:rsid w:val="0070172E"/>
    <w:rsid w:val="00701CDD"/>
    <w:rsid w:val="0070685D"/>
    <w:rsid w:val="00710507"/>
    <w:rsid w:val="00711208"/>
    <w:rsid w:val="00713099"/>
    <w:rsid w:val="00713488"/>
    <w:rsid w:val="00713CF3"/>
    <w:rsid w:val="007155ED"/>
    <w:rsid w:val="007157AE"/>
    <w:rsid w:val="00715993"/>
    <w:rsid w:val="00716512"/>
    <w:rsid w:val="00717DB5"/>
    <w:rsid w:val="0072040D"/>
    <w:rsid w:val="00720D38"/>
    <w:rsid w:val="007211F6"/>
    <w:rsid w:val="00724838"/>
    <w:rsid w:val="00725D5F"/>
    <w:rsid w:val="00726458"/>
    <w:rsid w:val="00727036"/>
    <w:rsid w:val="007300A0"/>
    <w:rsid w:val="00730945"/>
    <w:rsid w:val="00731149"/>
    <w:rsid w:val="0073341B"/>
    <w:rsid w:val="007335CD"/>
    <w:rsid w:val="0073384C"/>
    <w:rsid w:val="007356A1"/>
    <w:rsid w:val="00737AE3"/>
    <w:rsid w:val="00740504"/>
    <w:rsid w:val="00742C24"/>
    <w:rsid w:val="00743469"/>
    <w:rsid w:val="0074446E"/>
    <w:rsid w:val="00744A1E"/>
    <w:rsid w:val="00744DB6"/>
    <w:rsid w:val="007456E7"/>
    <w:rsid w:val="0074680A"/>
    <w:rsid w:val="0074741F"/>
    <w:rsid w:val="00747595"/>
    <w:rsid w:val="007507E4"/>
    <w:rsid w:val="0075164B"/>
    <w:rsid w:val="00751857"/>
    <w:rsid w:val="00751B8E"/>
    <w:rsid w:val="0075440E"/>
    <w:rsid w:val="007544B9"/>
    <w:rsid w:val="00754774"/>
    <w:rsid w:val="007575A7"/>
    <w:rsid w:val="00757B51"/>
    <w:rsid w:val="0076001A"/>
    <w:rsid w:val="00760C47"/>
    <w:rsid w:val="00761E28"/>
    <w:rsid w:val="00761E47"/>
    <w:rsid w:val="00763189"/>
    <w:rsid w:val="00765875"/>
    <w:rsid w:val="0077106E"/>
    <w:rsid w:val="007711A0"/>
    <w:rsid w:val="00772B5D"/>
    <w:rsid w:val="00772E30"/>
    <w:rsid w:val="007745C7"/>
    <w:rsid w:val="00776301"/>
    <w:rsid w:val="0078043E"/>
    <w:rsid w:val="007847A8"/>
    <w:rsid w:val="00784B54"/>
    <w:rsid w:val="00785E63"/>
    <w:rsid w:val="00786A8B"/>
    <w:rsid w:val="00787A5D"/>
    <w:rsid w:val="00790AD1"/>
    <w:rsid w:val="00795BA5"/>
    <w:rsid w:val="0079602F"/>
    <w:rsid w:val="00797873"/>
    <w:rsid w:val="007A034A"/>
    <w:rsid w:val="007A0996"/>
    <w:rsid w:val="007A237A"/>
    <w:rsid w:val="007B416F"/>
    <w:rsid w:val="007B4249"/>
    <w:rsid w:val="007B479F"/>
    <w:rsid w:val="007B4D05"/>
    <w:rsid w:val="007B4FE0"/>
    <w:rsid w:val="007B7595"/>
    <w:rsid w:val="007C249F"/>
    <w:rsid w:val="007C41DD"/>
    <w:rsid w:val="007C4663"/>
    <w:rsid w:val="007C4F13"/>
    <w:rsid w:val="007C65FE"/>
    <w:rsid w:val="007C7A95"/>
    <w:rsid w:val="007C7F05"/>
    <w:rsid w:val="007D039B"/>
    <w:rsid w:val="007D31BC"/>
    <w:rsid w:val="007D42C8"/>
    <w:rsid w:val="007D4A90"/>
    <w:rsid w:val="007D4E98"/>
    <w:rsid w:val="007D7656"/>
    <w:rsid w:val="007D79E5"/>
    <w:rsid w:val="007E02A3"/>
    <w:rsid w:val="007E05C5"/>
    <w:rsid w:val="007E1297"/>
    <w:rsid w:val="007E1994"/>
    <w:rsid w:val="007E26A4"/>
    <w:rsid w:val="007E3338"/>
    <w:rsid w:val="007E46C2"/>
    <w:rsid w:val="007E499E"/>
    <w:rsid w:val="007E5287"/>
    <w:rsid w:val="007E540B"/>
    <w:rsid w:val="007E64FB"/>
    <w:rsid w:val="007E7AE6"/>
    <w:rsid w:val="007F1574"/>
    <w:rsid w:val="007F1F3A"/>
    <w:rsid w:val="007F28C3"/>
    <w:rsid w:val="007F3F5F"/>
    <w:rsid w:val="007F4262"/>
    <w:rsid w:val="007F5190"/>
    <w:rsid w:val="007F55B1"/>
    <w:rsid w:val="007F56AE"/>
    <w:rsid w:val="007F5ADE"/>
    <w:rsid w:val="007F7466"/>
    <w:rsid w:val="007F7E85"/>
    <w:rsid w:val="008023D1"/>
    <w:rsid w:val="00803837"/>
    <w:rsid w:val="00803F4E"/>
    <w:rsid w:val="0080440A"/>
    <w:rsid w:val="008045D8"/>
    <w:rsid w:val="008047C9"/>
    <w:rsid w:val="00804C5E"/>
    <w:rsid w:val="00805852"/>
    <w:rsid w:val="00806C18"/>
    <w:rsid w:val="00806D83"/>
    <w:rsid w:val="00807A63"/>
    <w:rsid w:val="00807F34"/>
    <w:rsid w:val="00810F8A"/>
    <w:rsid w:val="008114A0"/>
    <w:rsid w:val="008122D0"/>
    <w:rsid w:val="0081392C"/>
    <w:rsid w:val="0081451E"/>
    <w:rsid w:val="0081613A"/>
    <w:rsid w:val="00816CFC"/>
    <w:rsid w:val="00816E5E"/>
    <w:rsid w:val="00816FA2"/>
    <w:rsid w:val="00820182"/>
    <w:rsid w:val="00820473"/>
    <w:rsid w:val="008219EF"/>
    <w:rsid w:val="00821A7C"/>
    <w:rsid w:val="00821AF2"/>
    <w:rsid w:val="00824BC1"/>
    <w:rsid w:val="00824DB4"/>
    <w:rsid w:val="00826FD9"/>
    <w:rsid w:val="008306A2"/>
    <w:rsid w:val="00830B31"/>
    <w:rsid w:val="00830D5E"/>
    <w:rsid w:val="00830EE7"/>
    <w:rsid w:val="0083416A"/>
    <w:rsid w:val="00836498"/>
    <w:rsid w:val="00836F1A"/>
    <w:rsid w:val="00837C22"/>
    <w:rsid w:val="00837C32"/>
    <w:rsid w:val="00840AC7"/>
    <w:rsid w:val="00841327"/>
    <w:rsid w:val="00841428"/>
    <w:rsid w:val="008419B4"/>
    <w:rsid w:val="00841D22"/>
    <w:rsid w:val="00842960"/>
    <w:rsid w:val="00842AAD"/>
    <w:rsid w:val="0084349B"/>
    <w:rsid w:val="008438F6"/>
    <w:rsid w:val="00846DF1"/>
    <w:rsid w:val="008479BB"/>
    <w:rsid w:val="00847DAC"/>
    <w:rsid w:val="00850427"/>
    <w:rsid w:val="00850D6C"/>
    <w:rsid w:val="00850E7A"/>
    <w:rsid w:val="00852C5F"/>
    <w:rsid w:val="008530DA"/>
    <w:rsid w:val="0085414B"/>
    <w:rsid w:val="00854780"/>
    <w:rsid w:val="0085480F"/>
    <w:rsid w:val="00854B70"/>
    <w:rsid w:val="008571F0"/>
    <w:rsid w:val="00860767"/>
    <w:rsid w:val="00861416"/>
    <w:rsid w:val="008617E6"/>
    <w:rsid w:val="00861D58"/>
    <w:rsid w:val="008624B9"/>
    <w:rsid w:val="0086277C"/>
    <w:rsid w:val="0086287A"/>
    <w:rsid w:val="0086395C"/>
    <w:rsid w:val="00864825"/>
    <w:rsid w:val="00867001"/>
    <w:rsid w:val="008670D4"/>
    <w:rsid w:val="008671C2"/>
    <w:rsid w:val="00867702"/>
    <w:rsid w:val="00867808"/>
    <w:rsid w:val="00867885"/>
    <w:rsid w:val="00870906"/>
    <w:rsid w:val="00872A55"/>
    <w:rsid w:val="008730FC"/>
    <w:rsid w:val="00873A40"/>
    <w:rsid w:val="00874BEF"/>
    <w:rsid w:val="0087620D"/>
    <w:rsid w:val="00880D87"/>
    <w:rsid w:val="00881A77"/>
    <w:rsid w:val="00882FB1"/>
    <w:rsid w:val="0088351A"/>
    <w:rsid w:val="00883885"/>
    <w:rsid w:val="00884DC2"/>
    <w:rsid w:val="00884FB6"/>
    <w:rsid w:val="008865D4"/>
    <w:rsid w:val="00886712"/>
    <w:rsid w:val="0088702A"/>
    <w:rsid w:val="00887895"/>
    <w:rsid w:val="008902B0"/>
    <w:rsid w:val="00891802"/>
    <w:rsid w:val="00892288"/>
    <w:rsid w:val="0089241E"/>
    <w:rsid w:val="00895DA5"/>
    <w:rsid w:val="00895EC6"/>
    <w:rsid w:val="008979BE"/>
    <w:rsid w:val="008A1B72"/>
    <w:rsid w:val="008A2291"/>
    <w:rsid w:val="008A5C3F"/>
    <w:rsid w:val="008A6122"/>
    <w:rsid w:val="008A6358"/>
    <w:rsid w:val="008A6E6E"/>
    <w:rsid w:val="008A736A"/>
    <w:rsid w:val="008A79E0"/>
    <w:rsid w:val="008B0403"/>
    <w:rsid w:val="008B0E5C"/>
    <w:rsid w:val="008B1827"/>
    <w:rsid w:val="008B1BBA"/>
    <w:rsid w:val="008B201F"/>
    <w:rsid w:val="008B20E4"/>
    <w:rsid w:val="008B6834"/>
    <w:rsid w:val="008C17A9"/>
    <w:rsid w:val="008C2525"/>
    <w:rsid w:val="008C334D"/>
    <w:rsid w:val="008C59AD"/>
    <w:rsid w:val="008D0CE8"/>
    <w:rsid w:val="008D100C"/>
    <w:rsid w:val="008D10D3"/>
    <w:rsid w:val="008D3C57"/>
    <w:rsid w:val="008D3D88"/>
    <w:rsid w:val="008D4674"/>
    <w:rsid w:val="008E0A87"/>
    <w:rsid w:val="008E0DC3"/>
    <w:rsid w:val="008E3911"/>
    <w:rsid w:val="008E4FF3"/>
    <w:rsid w:val="008E5EFB"/>
    <w:rsid w:val="008E738F"/>
    <w:rsid w:val="008F0101"/>
    <w:rsid w:val="008F0375"/>
    <w:rsid w:val="008F1281"/>
    <w:rsid w:val="008F158A"/>
    <w:rsid w:val="008F2B02"/>
    <w:rsid w:val="008F411D"/>
    <w:rsid w:val="008F4E39"/>
    <w:rsid w:val="008F4F40"/>
    <w:rsid w:val="008F5049"/>
    <w:rsid w:val="008F5DAE"/>
    <w:rsid w:val="008F5FBE"/>
    <w:rsid w:val="008F6595"/>
    <w:rsid w:val="008F7E0E"/>
    <w:rsid w:val="00902319"/>
    <w:rsid w:val="00902360"/>
    <w:rsid w:val="009030BF"/>
    <w:rsid w:val="00903BD8"/>
    <w:rsid w:val="00904B8D"/>
    <w:rsid w:val="0090597E"/>
    <w:rsid w:val="00905C39"/>
    <w:rsid w:val="0090614E"/>
    <w:rsid w:val="009063F1"/>
    <w:rsid w:val="009064FE"/>
    <w:rsid w:val="00906C36"/>
    <w:rsid w:val="0090719F"/>
    <w:rsid w:val="009110EE"/>
    <w:rsid w:val="009120D6"/>
    <w:rsid w:val="00912F17"/>
    <w:rsid w:val="00913009"/>
    <w:rsid w:val="00913A08"/>
    <w:rsid w:val="0091587D"/>
    <w:rsid w:val="00920762"/>
    <w:rsid w:val="00921AF1"/>
    <w:rsid w:val="009225FE"/>
    <w:rsid w:val="00922B86"/>
    <w:rsid w:val="0092370D"/>
    <w:rsid w:val="00923BC6"/>
    <w:rsid w:val="009246D7"/>
    <w:rsid w:val="009256E8"/>
    <w:rsid w:val="00925C88"/>
    <w:rsid w:val="009315A4"/>
    <w:rsid w:val="00931B29"/>
    <w:rsid w:val="0093259D"/>
    <w:rsid w:val="00932F41"/>
    <w:rsid w:val="00933E0C"/>
    <w:rsid w:val="0093523A"/>
    <w:rsid w:val="009363E6"/>
    <w:rsid w:val="00941553"/>
    <w:rsid w:val="00941B7C"/>
    <w:rsid w:val="00942121"/>
    <w:rsid w:val="00942362"/>
    <w:rsid w:val="009424CF"/>
    <w:rsid w:val="00942E6A"/>
    <w:rsid w:val="009436A7"/>
    <w:rsid w:val="00943D2C"/>
    <w:rsid w:val="00943F90"/>
    <w:rsid w:val="009454C5"/>
    <w:rsid w:val="00945BFD"/>
    <w:rsid w:val="00950303"/>
    <w:rsid w:val="009507EF"/>
    <w:rsid w:val="00950AA6"/>
    <w:rsid w:val="009541D2"/>
    <w:rsid w:val="009556B1"/>
    <w:rsid w:val="00955B2A"/>
    <w:rsid w:val="00956573"/>
    <w:rsid w:val="00956A19"/>
    <w:rsid w:val="00957FA2"/>
    <w:rsid w:val="00961A65"/>
    <w:rsid w:val="009628FF"/>
    <w:rsid w:val="00966A54"/>
    <w:rsid w:val="009677D9"/>
    <w:rsid w:val="00967EB7"/>
    <w:rsid w:val="009706F3"/>
    <w:rsid w:val="00972331"/>
    <w:rsid w:val="009733F3"/>
    <w:rsid w:val="00973615"/>
    <w:rsid w:val="00973A3B"/>
    <w:rsid w:val="00975000"/>
    <w:rsid w:val="009755EC"/>
    <w:rsid w:val="00983146"/>
    <w:rsid w:val="00983504"/>
    <w:rsid w:val="009846ED"/>
    <w:rsid w:val="00984C78"/>
    <w:rsid w:val="00984E22"/>
    <w:rsid w:val="00986D90"/>
    <w:rsid w:val="0098734A"/>
    <w:rsid w:val="00991505"/>
    <w:rsid w:val="009915AF"/>
    <w:rsid w:val="0099241A"/>
    <w:rsid w:val="00992768"/>
    <w:rsid w:val="009938CF"/>
    <w:rsid w:val="00994AE7"/>
    <w:rsid w:val="00995325"/>
    <w:rsid w:val="0099704A"/>
    <w:rsid w:val="00997DD6"/>
    <w:rsid w:val="009A22A1"/>
    <w:rsid w:val="009A23F6"/>
    <w:rsid w:val="009A42E9"/>
    <w:rsid w:val="009A42F4"/>
    <w:rsid w:val="009A45B3"/>
    <w:rsid w:val="009A4684"/>
    <w:rsid w:val="009A5E56"/>
    <w:rsid w:val="009A6D2C"/>
    <w:rsid w:val="009A700B"/>
    <w:rsid w:val="009A7DBC"/>
    <w:rsid w:val="009B0B63"/>
    <w:rsid w:val="009B1BF0"/>
    <w:rsid w:val="009B3423"/>
    <w:rsid w:val="009B3706"/>
    <w:rsid w:val="009B3796"/>
    <w:rsid w:val="009B39C5"/>
    <w:rsid w:val="009B3B98"/>
    <w:rsid w:val="009B40F8"/>
    <w:rsid w:val="009B498A"/>
    <w:rsid w:val="009B5264"/>
    <w:rsid w:val="009B5928"/>
    <w:rsid w:val="009B69E9"/>
    <w:rsid w:val="009B7B7E"/>
    <w:rsid w:val="009C053B"/>
    <w:rsid w:val="009C06C3"/>
    <w:rsid w:val="009C0844"/>
    <w:rsid w:val="009C1021"/>
    <w:rsid w:val="009C1448"/>
    <w:rsid w:val="009C1666"/>
    <w:rsid w:val="009C1891"/>
    <w:rsid w:val="009C34E8"/>
    <w:rsid w:val="009C3A56"/>
    <w:rsid w:val="009C5DF7"/>
    <w:rsid w:val="009C6CC2"/>
    <w:rsid w:val="009D1B3C"/>
    <w:rsid w:val="009D3603"/>
    <w:rsid w:val="009D5229"/>
    <w:rsid w:val="009D747E"/>
    <w:rsid w:val="009D7A72"/>
    <w:rsid w:val="009D7CDA"/>
    <w:rsid w:val="009D7D90"/>
    <w:rsid w:val="009E03C8"/>
    <w:rsid w:val="009E22A7"/>
    <w:rsid w:val="009E2379"/>
    <w:rsid w:val="009E34D7"/>
    <w:rsid w:val="009E3D8C"/>
    <w:rsid w:val="009E4D77"/>
    <w:rsid w:val="009E5C99"/>
    <w:rsid w:val="009E7499"/>
    <w:rsid w:val="009F00C7"/>
    <w:rsid w:val="009F1F8E"/>
    <w:rsid w:val="009F23F4"/>
    <w:rsid w:val="009F41D3"/>
    <w:rsid w:val="009F4D68"/>
    <w:rsid w:val="009F56B3"/>
    <w:rsid w:val="00A0316C"/>
    <w:rsid w:val="00A03975"/>
    <w:rsid w:val="00A04874"/>
    <w:rsid w:val="00A05542"/>
    <w:rsid w:val="00A0638A"/>
    <w:rsid w:val="00A069B9"/>
    <w:rsid w:val="00A06C1C"/>
    <w:rsid w:val="00A06F9F"/>
    <w:rsid w:val="00A07E9A"/>
    <w:rsid w:val="00A1131E"/>
    <w:rsid w:val="00A11345"/>
    <w:rsid w:val="00A11DB3"/>
    <w:rsid w:val="00A12B8F"/>
    <w:rsid w:val="00A14A99"/>
    <w:rsid w:val="00A14A9D"/>
    <w:rsid w:val="00A14F4F"/>
    <w:rsid w:val="00A15CBA"/>
    <w:rsid w:val="00A165F0"/>
    <w:rsid w:val="00A169C4"/>
    <w:rsid w:val="00A16A04"/>
    <w:rsid w:val="00A204CD"/>
    <w:rsid w:val="00A215CD"/>
    <w:rsid w:val="00A22718"/>
    <w:rsid w:val="00A229C0"/>
    <w:rsid w:val="00A24D25"/>
    <w:rsid w:val="00A26572"/>
    <w:rsid w:val="00A269E9"/>
    <w:rsid w:val="00A2760B"/>
    <w:rsid w:val="00A329EC"/>
    <w:rsid w:val="00A32EAB"/>
    <w:rsid w:val="00A32F1F"/>
    <w:rsid w:val="00A32F9D"/>
    <w:rsid w:val="00A33166"/>
    <w:rsid w:val="00A36158"/>
    <w:rsid w:val="00A36495"/>
    <w:rsid w:val="00A36A9A"/>
    <w:rsid w:val="00A408D3"/>
    <w:rsid w:val="00A40C56"/>
    <w:rsid w:val="00A40F30"/>
    <w:rsid w:val="00A41183"/>
    <w:rsid w:val="00A415DF"/>
    <w:rsid w:val="00A4191B"/>
    <w:rsid w:val="00A41CEA"/>
    <w:rsid w:val="00A45032"/>
    <w:rsid w:val="00A47A32"/>
    <w:rsid w:val="00A47A88"/>
    <w:rsid w:val="00A50489"/>
    <w:rsid w:val="00A50D27"/>
    <w:rsid w:val="00A5270F"/>
    <w:rsid w:val="00A544B0"/>
    <w:rsid w:val="00A5502F"/>
    <w:rsid w:val="00A56DA0"/>
    <w:rsid w:val="00A57089"/>
    <w:rsid w:val="00A5708C"/>
    <w:rsid w:val="00A574A6"/>
    <w:rsid w:val="00A575C5"/>
    <w:rsid w:val="00A57F70"/>
    <w:rsid w:val="00A61E75"/>
    <w:rsid w:val="00A62189"/>
    <w:rsid w:val="00A62238"/>
    <w:rsid w:val="00A62E00"/>
    <w:rsid w:val="00A639BF"/>
    <w:rsid w:val="00A6465A"/>
    <w:rsid w:val="00A64DF8"/>
    <w:rsid w:val="00A66391"/>
    <w:rsid w:val="00A670E6"/>
    <w:rsid w:val="00A67123"/>
    <w:rsid w:val="00A70348"/>
    <w:rsid w:val="00A70F65"/>
    <w:rsid w:val="00A71376"/>
    <w:rsid w:val="00A7181F"/>
    <w:rsid w:val="00A72C94"/>
    <w:rsid w:val="00A7543C"/>
    <w:rsid w:val="00A75990"/>
    <w:rsid w:val="00A762B0"/>
    <w:rsid w:val="00A77157"/>
    <w:rsid w:val="00A7748F"/>
    <w:rsid w:val="00A7798E"/>
    <w:rsid w:val="00A77F2B"/>
    <w:rsid w:val="00A809B5"/>
    <w:rsid w:val="00A8222A"/>
    <w:rsid w:val="00A835C6"/>
    <w:rsid w:val="00A8777D"/>
    <w:rsid w:val="00A90A65"/>
    <w:rsid w:val="00A91ACE"/>
    <w:rsid w:val="00A92C47"/>
    <w:rsid w:val="00A93216"/>
    <w:rsid w:val="00A95919"/>
    <w:rsid w:val="00A95BB3"/>
    <w:rsid w:val="00A972BF"/>
    <w:rsid w:val="00A97FE6"/>
    <w:rsid w:val="00AA05FF"/>
    <w:rsid w:val="00AA09D5"/>
    <w:rsid w:val="00AA1F51"/>
    <w:rsid w:val="00AA24DB"/>
    <w:rsid w:val="00AA270D"/>
    <w:rsid w:val="00AA3DD7"/>
    <w:rsid w:val="00AA4998"/>
    <w:rsid w:val="00AA64EE"/>
    <w:rsid w:val="00AA658C"/>
    <w:rsid w:val="00AA7ECD"/>
    <w:rsid w:val="00AA7ED4"/>
    <w:rsid w:val="00AB08B8"/>
    <w:rsid w:val="00AB0FB6"/>
    <w:rsid w:val="00AB14BC"/>
    <w:rsid w:val="00AB2585"/>
    <w:rsid w:val="00AB27BC"/>
    <w:rsid w:val="00AB2E03"/>
    <w:rsid w:val="00AB3067"/>
    <w:rsid w:val="00AB3270"/>
    <w:rsid w:val="00AB4B80"/>
    <w:rsid w:val="00AB5BAA"/>
    <w:rsid w:val="00AB6625"/>
    <w:rsid w:val="00AB7522"/>
    <w:rsid w:val="00AB7B3C"/>
    <w:rsid w:val="00AC063D"/>
    <w:rsid w:val="00AC08F6"/>
    <w:rsid w:val="00AC1001"/>
    <w:rsid w:val="00AC1DF4"/>
    <w:rsid w:val="00AC267A"/>
    <w:rsid w:val="00AC2972"/>
    <w:rsid w:val="00AC42A8"/>
    <w:rsid w:val="00AC4CD3"/>
    <w:rsid w:val="00AC708E"/>
    <w:rsid w:val="00AD02EB"/>
    <w:rsid w:val="00AD1085"/>
    <w:rsid w:val="00AD1E4D"/>
    <w:rsid w:val="00AD2C1B"/>
    <w:rsid w:val="00AD3A9A"/>
    <w:rsid w:val="00AD41B8"/>
    <w:rsid w:val="00AE018E"/>
    <w:rsid w:val="00AE0D82"/>
    <w:rsid w:val="00AE1D29"/>
    <w:rsid w:val="00AE261B"/>
    <w:rsid w:val="00AE2FB9"/>
    <w:rsid w:val="00AE39E0"/>
    <w:rsid w:val="00AE3B4C"/>
    <w:rsid w:val="00AE3C19"/>
    <w:rsid w:val="00AE521D"/>
    <w:rsid w:val="00AE5250"/>
    <w:rsid w:val="00AE5ACB"/>
    <w:rsid w:val="00AE6508"/>
    <w:rsid w:val="00AF0D3C"/>
    <w:rsid w:val="00AF130A"/>
    <w:rsid w:val="00AF1A86"/>
    <w:rsid w:val="00AF5327"/>
    <w:rsid w:val="00AF6F98"/>
    <w:rsid w:val="00AF76EE"/>
    <w:rsid w:val="00B00571"/>
    <w:rsid w:val="00B005D4"/>
    <w:rsid w:val="00B00650"/>
    <w:rsid w:val="00B00C7A"/>
    <w:rsid w:val="00B013A2"/>
    <w:rsid w:val="00B01C29"/>
    <w:rsid w:val="00B02CB4"/>
    <w:rsid w:val="00B02DDE"/>
    <w:rsid w:val="00B03852"/>
    <w:rsid w:val="00B051FC"/>
    <w:rsid w:val="00B07175"/>
    <w:rsid w:val="00B0791B"/>
    <w:rsid w:val="00B122A9"/>
    <w:rsid w:val="00B124E4"/>
    <w:rsid w:val="00B12BA2"/>
    <w:rsid w:val="00B12F53"/>
    <w:rsid w:val="00B13216"/>
    <w:rsid w:val="00B15854"/>
    <w:rsid w:val="00B165BF"/>
    <w:rsid w:val="00B16F1D"/>
    <w:rsid w:val="00B20B5A"/>
    <w:rsid w:val="00B20FE9"/>
    <w:rsid w:val="00B21065"/>
    <w:rsid w:val="00B21889"/>
    <w:rsid w:val="00B2198D"/>
    <w:rsid w:val="00B2206A"/>
    <w:rsid w:val="00B23440"/>
    <w:rsid w:val="00B253D1"/>
    <w:rsid w:val="00B27695"/>
    <w:rsid w:val="00B27FC4"/>
    <w:rsid w:val="00B3049C"/>
    <w:rsid w:val="00B30DD2"/>
    <w:rsid w:val="00B3114D"/>
    <w:rsid w:val="00B3486C"/>
    <w:rsid w:val="00B3528F"/>
    <w:rsid w:val="00B353FD"/>
    <w:rsid w:val="00B364E0"/>
    <w:rsid w:val="00B36802"/>
    <w:rsid w:val="00B36EFF"/>
    <w:rsid w:val="00B40375"/>
    <w:rsid w:val="00B407A4"/>
    <w:rsid w:val="00B40D3A"/>
    <w:rsid w:val="00B41E4E"/>
    <w:rsid w:val="00B43393"/>
    <w:rsid w:val="00B437E0"/>
    <w:rsid w:val="00B44767"/>
    <w:rsid w:val="00B451B5"/>
    <w:rsid w:val="00B46407"/>
    <w:rsid w:val="00B4696F"/>
    <w:rsid w:val="00B535E4"/>
    <w:rsid w:val="00B5526B"/>
    <w:rsid w:val="00B558FF"/>
    <w:rsid w:val="00B55A6C"/>
    <w:rsid w:val="00B56B0B"/>
    <w:rsid w:val="00B57E2D"/>
    <w:rsid w:val="00B6066C"/>
    <w:rsid w:val="00B62105"/>
    <w:rsid w:val="00B62527"/>
    <w:rsid w:val="00B64AD1"/>
    <w:rsid w:val="00B66532"/>
    <w:rsid w:val="00B66813"/>
    <w:rsid w:val="00B70A05"/>
    <w:rsid w:val="00B712A3"/>
    <w:rsid w:val="00B71AD6"/>
    <w:rsid w:val="00B72716"/>
    <w:rsid w:val="00B72732"/>
    <w:rsid w:val="00B735AE"/>
    <w:rsid w:val="00B7420F"/>
    <w:rsid w:val="00B74CAC"/>
    <w:rsid w:val="00B75EAD"/>
    <w:rsid w:val="00B765D1"/>
    <w:rsid w:val="00B76935"/>
    <w:rsid w:val="00B775A0"/>
    <w:rsid w:val="00B777B5"/>
    <w:rsid w:val="00B80204"/>
    <w:rsid w:val="00B804AE"/>
    <w:rsid w:val="00B81151"/>
    <w:rsid w:val="00B8467E"/>
    <w:rsid w:val="00B846C3"/>
    <w:rsid w:val="00B84BF4"/>
    <w:rsid w:val="00B90159"/>
    <w:rsid w:val="00B90371"/>
    <w:rsid w:val="00B919C0"/>
    <w:rsid w:val="00B9360C"/>
    <w:rsid w:val="00B969EB"/>
    <w:rsid w:val="00B96CD3"/>
    <w:rsid w:val="00BA10DE"/>
    <w:rsid w:val="00BA2004"/>
    <w:rsid w:val="00BA43D6"/>
    <w:rsid w:val="00BA46CC"/>
    <w:rsid w:val="00BA474B"/>
    <w:rsid w:val="00BA585E"/>
    <w:rsid w:val="00BA5CEB"/>
    <w:rsid w:val="00BA6608"/>
    <w:rsid w:val="00BB1127"/>
    <w:rsid w:val="00BB1D0B"/>
    <w:rsid w:val="00BB27CA"/>
    <w:rsid w:val="00BB2CE9"/>
    <w:rsid w:val="00BB43DA"/>
    <w:rsid w:val="00BB5C9B"/>
    <w:rsid w:val="00BB7732"/>
    <w:rsid w:val="00BC0E16"/>
    <w:rsid w:val="00BC2160"/>
    <w:rsid w:val="00BC3E9C"/>
    <w:rsid w:val="00BC40CC"/>
    <w:rsid w:val="00BC43F5"/>
    <w:rsid w:val="00BC444C"/>
    <w:rsid w:val="00BC5DB5"/>
    <w:rsid w:val="00BD0C58"/>
    <w:rsid w:val="00BD0D65"/>
    <w:rsid w:val="00BD0E42"/>
    <w:rsid w:val="00BD2557"/>
    <w:rsid w:val="00BD55CF"/>
    <w:rsid w:val="00BD5CD2"/>
    <w:rsid w:val="00BD6619"/>
    <w:rsid w:val="00BD6923"/>
    <w:rsid w:val="00BD6D85"/>
    <w:rsid w:val="00BD75AF"/>
    <w:rsid w:val="00BE0325"/>
    <w:rsid w:val="00BE29F7"/>
    <w:rsid w:val="00BE2C37"/>
    <w:rsid w:val="00BE3A1E"/>
    <w:rsid w:val="00BE3F37"/>
    <w:rsid w:val="00BE4429"/>
    <w:rsid w:val="00BE478D"/>
    <w:rsid w:val="00BE4A89"/>
    <w:rsid w:val="00BE508F"/>
    <w:rsid w:val="00BE5185"/>
    <w:rsid w:val="00BE5691"/>
    <w:rsid w:val="00BE60EC"/>
    <w:rsid w:val="00BE61A9"/>
    <w:rsid w:val="00BE6318"/>
    <w:rsid w:val="00BE7D6F"/>
    <w:rsid w:val="00BF1B55"/>
    <w:rsid w:val="00BF1FF6"/>
    <w:rsid w:val="00BF26D0"/>
    <w:rsid w:val="00BF4229"/>
    <w:rsid w:val="00BF5600"/>
    <w:rsid w:val="00BF6866"/>
    <w:rsid w:val="00BF755E"/>
    <w:rsid w:val="00C010AA"/>
    <w:rsid w:val="00C02B6A"/>
    <w:rsid w:val="00C03BE7"/>
    <w:rsid w:val="00C05802"/>
    <w:rsid w:val="00C06333"/>
    <w:rsid w:val="00C0674A"/>
    <w:rsid w:val="00C07DD7"/>
    <w:rsid w:val="00C107A1"/>
    <w:rsid w:val="00C10B25"/>
    <w:rsid w:val="00C10B51"/>
    <w:rsid w:val="00C15577"/>
    <w:rsid w:val="00C15B36"/>
    <w:rsid w:val="00C15C32"/>
    <w:rsid w:val="00C164FA"/>
    <w:rsid w:val="00C21368"/>
    <w:rsid w:val="00C21850"/>
    <w:rsid w:val="00C22075"/>
    <w:rsid w:val="00C23632"/>
    <w:rsid w:val="00C248A9"/>
    <w:rsid w:val="00C25086"/>
    <w:rsid w:val="00C32EA2"/>
    <w:rsid w:val="00C33162"/>
    <w:rsid w:val="00C3495A"/>
    <w:rsid w:val="00C34FC7"/>
    <w:rsid w:val="00C356A8"/>
    <w:rsid w:val="00C36D77"/>
    <w:rsid w:val="00C40360"/>
    <w:rsid w:val="00C409A4"/>
    <w:rsid w:val="00C413BD"/>
    <w:rsid w:val="00C413DD"/>
    <w:rsid w:val="00C42C06"/>
    <w:rsid w:val="00C44441"/>
    <w:rsid w:val="00C45115"/>
    <w:rsid w:val="00C4665A"/>
    <w:rsid w:val="00C47DD5"/>
    <w:rsid w:val="00C50734"/>
    <w:rsid w:val="00C531C6"/>
    <w:rsid w:val="00C548FA"/>
    <w:rsid w:val="00C5510F"/>
    <w:rsid w:val="00C56EAE"/>
    <w:rsid w:val="00C5706F"/>
    <w:rsid w:val="00C6043F"/>
    <w:rsid w:val="00C627FE"/>
    <w:rsid w:val="00C6280B"/>
    <w:rsid w:val="00C63691"/>
    <w:rsid w:val="00C64808"/>
    <w:rsid w:val="00C65209"/>
    <w:rsid w:val="00C66407"/>
    <w:rsid w:val="00C66F33"/>
    <w:rsid w:val="00C6726B"/>
    <w:rsid w:val="00C67428"/>
    <w:rsid w:val="00C70AEA"/>
    <w:rsid w:val="00C71A03"/>
    <w:rsid w:val="00C73589"/>
    <w:rsid w:val="00C73B9F"/>
    <w:rsid w:val="00C7422F"/>
    <w:rsid w:val="00C75685"/>
    <w:rsid w:val="00C76891"/>
    <w:rsid w:val="00C77A45"/>
    <w:rsid w:val="00C809CD"/>
    <w:rsid w:val="00C811D8"/>
    <w:rsid w:val="00C8135C"/>
    <w:rsid w:val="00C82DD3"/>
    <w:rsid w:val="00C83178"/>
    <w:rsid w:val="00C85361"/>
    <w:rsid w:val="00C867EA"/>
    <w:rsid w:val="00C9033C"/>
    <w:rsid w:val="00C90AD9"/>
    <w:rsid w:val="00C92083"/>
    <w:rsid w:val="00C929ED"/>
    <w:rsid w:val="00C94967"/>
    <w:rsid w:val="00C952E8"/>
    <w:rsid w:val="00C95331"/>
    <w:rsid w:val="00C9533E"/>
    <w:rsid w:val="00C95EC6"/>
    <w:rsid w:val="00C9695D"/>
    <w:rsid w:val="00CA1743"/>
    <w:rsid w:val="00CA3150"/>
    <w:rsid w:val="00CA3331"/>
    <w:rsid w:val="00CA3B32"/>
    <w:rsid w:val="00CA4E81"/>
    <w:rsid w:val="00CA61AF"/>
    <w:rsid w:val="00CA707E"/>
    <w:rsid w:val="00CA7B3D"/>
    <w:rsid w:val="00CA7D51"/>
    <w:rsid w:val="00CB03A7"/>
    <w:rsid w:val="00CB04B2"/>
    <w:rsid w:val="00CB2360"/>
    <w:rsid w:val="00CB29FE"/>
    <w:rsid w:val="00CB44EB"/>
    <w:rsid w:val="00CB5801"/>
    <w:rsid w:val="00CB6BA9"/>
    <w:rsid w:val="00CB7D6B"/>
    <w:rsid w:val="00CC04EF"/>
    <w:rsid w:val="00CC09B5"/>
    <w:rsid w:val="00CC1F98"/>
    <w:rsid w:val="00CC2045"/>
    <w:rsid w:val="00CC3BFB"/>
    <w:rsid w:val="00CC6617"/>
    <w:rsid w:val="00CC6E77"/>
    <w:rsid w:val="00CC742F"/>
    <w:rsid w:val="00CD03D0"/>
    <w:rsid w:val="00CD19FC"/>
    <w:rsid w:val="00CD2E36"/>
    <w:rsid w:val="00CD3681"/>
    <w:rsid w:val="00CD39F8"/>
    <w:rsid w:val="00CD4B80"/>
    <w:rsid w:val="00CD4F79"/>
    <w:rsid w:val="00CD52C0"/>
    <w:rsid w:val="00CD7C4A"/>
    <w:rsid w:val="00CD7EF1"/>
    <w:rsid w:val="00CE23A4"/>
    <w:rsid w:val="00CE3E9E"/>
    <w:rsid w:val="00CE6FB7"/>
    <w:rsid w:val="00CE7BDD"/>
    <w:rsid w:val="00CF0EE6"/>
    <w:rsid w:val="00CF1BB0"/>
    <w:rsid w:val="00CF236E"/>
    <w:rsid w:val="00CF2E0C"/>
    <w:rsid w:val="00CF5968"/>
    <w:rsid w:val="00CF6842"/>
    <w:rsid w:val="00CF7D70"/>
    <w:rsid w:val="00CF7E3F"/>
    <w:rsid w:val="00D00B1B"/>
    <w:rsid w:val="00D01649"/>
    <w:rsid w:val="00D01A4F"/>
    <w:rsid w:val="00D01E2B"/>
    <w:rsid w:val="00D01F66"/>
    <w:rsid w:val="00D01F9A"/>
    <w:rsid w:val="00D03D27"/>
    <w:rsid w:val="00D0474E"/>
    <w:rsid w:val="00D049C6"/>
    <w:rsid w:val="00D04F41"/>
    <w:rsid w:val="00D05075"/>
    <w:rsid w:val="00D0550A"/>
    <w:rsid w:val="00D060F0"/>
    <w:rsid w:val="00D06579"/>
    <w:rsid w:val="00D065CD"/>
    <w:rsid w:val="00D0726B"/>
    <w:rsid w:val="00D11047"/>
    <w:rsid w:val="00D1136F"/>
    <w:rsid w:val="00D13128"/>
    <w:rsid w:val="00D14631"/>
    <w:rsid w:val="00D174D2"/>
    <w:rsid w:val="00D21045"/>
    <w:rsid w:val="00D217E4"/>
    <w:rsid w:val="00D22EF9"/>
    <w:rsid w:val="00D23395"/>
    <w:rsid w:val="00D237C7"/>
    <w:rsid w:val="00D23DC3"/>
    <w:rsid w:val="00D250BC"/>
    <w:rsid w:val="00D267BC"/>
    <w:rsid w:val="00D30991"/>
    <w:rsid w:val="00D31DF9"/>
    <w:rsid w:val="00D32431"/>
    <w:rsid w:val="00D325E6"/>
    <w:rsid w:val="00D32D4D"/>
    <w:rsid w:val="00D34350"/>
    <w:rsid w:val="00D3494B"/>
    <w:rsid w:val="00D358F5"/>
    <w:rsid w:val="00D35FA1"/>
    <w:rsid w:val="00D36D97"/>
    <w:rsid w:val="00D37133"/>
    <w:rsid w:val="00D37BB9"/>
    <w:rsid w:val="00D40182"/>
    <w:rsid w:val="00D40850"/>
    <w:rsid w:val="00D41EC7"/>
    <w:rsid w:val="00D43608"/>
    <w:rsid w:val="00D45751"/>
    <w:rsid w:val="00D45919"/>
    <w:rsid w:val="00D47409"/>
    <w:rsid w:val="00D50599"/>
    <w:rsid w:val="00D50F03"/>
    <w:rsid w:val="00D51DE1"/>
    <w:rsid w:val="00D51F08"/>
    <w:rsid w:val="00D52144"/>
    <w:rsid w:val="00D52C8A"/>
    <w:rsid w:val="00D52CD3"/>
    <w:rsid w:val="00D53E07"/>
    <w:rsid w:val="00D53E1D"/>
    <w:rsid w:val="00D562BA"/>
    <w:rsid w:val="00D562C9"/>
    <w:rsid w:val="00D56A7D"/>
    <w:rsid w:val="00D56B9B"/>
    <w:rsid w:val="00D5732C"/>
    <w:rsid w:val="00D575C3"/>
    <w:rsid w:val="00D577BA"/>
    <w:rsid w:val="00D603D1"/>
    <w:rsid w:val="00D60884"/>
    <w:rsid w:val="00D60E46"/>
    <w:rsid w:val="00D62CD7"/>
    <w:rsid w:val="00D634BE"/>
    <w:rsid w:val="00D63976"/>
    <w:rsid w:val="00D644AD"/>
    <w:rsid w:val="00D64FF2"/>
    <w:rsid w:val="00D658EA"/>
    <w:rsid w:val="00D6627E"/>
    <w:rsid w:val="00D66C44"/>
    <w:rsid w:val="00D7039A"/>
    <w:rsid w:val="00D70DC5"/>
    <w:rsid w:val="00D71106"/>
    <w:rsid w:val="00D71747"/>
    <w:rsid w:val="00D71C4E"/>
    <w:rsid w:val="00D729DD"/>
    <w:rsid w:val="00D737BF"/>
    <w:rsid w:val="00D754C0"/>
    <w:rsid w:val="00D75A37"/>
    <w:rsid w:val="00D76F66"/>
    <w:rsid w:val="00D827E3"/>
    <w:rsid w:val="00D82F08"/>
    <w:rsid w:val="00D8355B"/>
    <w:rsid w:val="00D83AB1"/>
    <w:rsid w:val="00D84B6F"/>
    <w:rsid w:val="00D85304"/>
    <w:rsid w:val="00D85ADF"/>
    <w:rsid w:val="00D8624F"/>
    <w:rsid w:val="00D87856"/>
    <w:rsid w:val="00D90DCF"/>
    <w:rsid w:val="00D91A0B"/>
    <w:rsid w:val="00D92105"/>
    <w:rsid w:val="00D93170"/>
    <w:rsid w:val="00D932DF"/>
    <w:rsid w:val="00D945A8"/>
    <w:rsid w:val="00D9470F"/>
    <w:rsid w:val="00D94FAE"/>
    <w:rsid w:val="00D9545B"/>
    <w:rsid w:val="00D95D28"/>
    <w:rsid w:val="00D97480"/>
    <w:rsid w:val="00DA1C21"/>
    <w:rsid w:val="00DA307F"/>
    <w:rsid w:val="00DA3188"/>
    <w:rsid w:val="00DA4CF9"/>
    <w:rsid w:val="00DB0189"/>
    <w:rsid w:val="00DB1BA9"/>
    <w:rsid w:val="00DB1C42"/>
    <w:rsid w:val="00DB1D45"/>
    <w:rsid w:val="00DB1FA7"/>
    <w:rsid w:val="00DB54D0"/>
    <w:rsid w:val="00DB55EF"/>
    <w:rsid w:val="00DC06CF"/>
    <w:rsid w:val="00DC0D26"/>
    <w:rsid w:val="00DC1D08"/>
    <w:rsid w:val="00DC1EB6"/>
    <w:rsid w:val="00DC2BD2"/>
    <w:rsid w:val="00DC2F20"/>
    <w:rsid w:val="00DC6F23"/>
    <w:rsid w:val="00DC74DC"/>
    <w:rsid w:val="00DD5636"/>
    <w:rsid w:val="00DD628D"/>
    <w:rsid w:val="00DD673C"/>
    <w:rsid w:val="00DD703D"/>
    <w:rsid w:val="00DD77B7"/>
    <w:rsid w:val="00DE23F6"/>
    <w:rsid w:val="00DE34C8"/>
    <w:rsid w:val="00DE4219"/>
    <w:rsid w:val="00DE44B5"/>
    <w:rsid w:val="00DE598B"/>
    <w:rsid w:val="00DE6402"/>
    <w:rsid w:val="00DE66D7"/>
    <w:rsid w:val="00DE683E"/>
    <w:rsid w:val="00DE740C"/>
    <w:rsid w:val="00DE7B29"/>
    <w:rsid w:val="00DF0821"/>
    <w:rsid w:val="00DF0FDC"/>
    <w:rsid w:val="00DF2426"/>
    <w:rsid w:val="00DF4C20"/>
    <w:rsid w:val="00DF4F62"/>
    <w:rsid w:val="00DF5C45"/>
    <w:rsid w:val="00DF6110"/>
    <w:rsid w:val="00E00147"/>
    <w:rsid w:val="00E00E27"/>
    <w:rsid w:val="00E01AE7"/>
    <w:rsid w:val="00E038AB"/>
    <w:rsid w:val="00E04836"/>
    <w:rsid w:val="00E0520D"/>
    <w:rsid w:val="00E077AE"/>
    <w:rsid w:val="00E11067"/>
    <w:rsid w:val="00E11227"/>
    <w:rsid w:val="00E12C69"/>
    <w:rsid w:val="00E144A7"/>
    <w:rsid w:val="00E16479"/>
    <w:rsid w:val="00E167D3"/>
    <w:rsid w:val="00E16B7D"/>
    <w:rsid w:val="00E171C5"/>
    <w:rsid w:val="00E205D8"/>
    <w:rsid w:val="00E23E9E"/>
    <w:rsid w:val="00E24077"/>
    <w:rsid w:val="00E2454B"/>
    <w:rsid w:val="00E24B28"/>
    <w:rsid w:val="00E25747"/>
    <w:rsid w:val="00E302EA"/>
    <w:rsid w:val="00E306CB"/>
    <w:rsid w:val="00E308AC"/>
    <w:rsid w:val="00E31CC0"/>
    <w:rsid w:val="00E321BE"/>
    <w:rsid w:val="00E325EE"/>
    <w:rsid w:val="00E33CC9"/>
    <w:rsid w:val="00E34165"/>
    <w:rsid w:val="00E344E1"/>
    <w:rsid w:val="00E34AE0"/>
    <w:rsid w:val="00E35694"/>
    <w:rsid w:val="00E36581"/>
    <w:rsid w:val="00E36ECA"/>
    <w:rsid w:val="00E370B1"/>
    <w:rsid w:val="00E37D9C"/>
    <w:rsid w:val="00E4315D"/>
    <w:rsid w:val="00E43CFB"/>
    <w:rsid w:val="00E445E2"/>
    <w:rsid w:val="00E45A97"/>
    <w:rsid w:val="00E460DA"/>
    <w:rsid w:val="00E47580"/>
    <w:rsid w:val="00E47B2C"/>
    <w:rsid w:val="00E51952"/>
    <w:rsid w:val="00E52504"/>
    <w:rsid w:val="00E5492A"/>
    <w:rsid w:val="00E549BE"/>
    <w:rsid w:val="00E60AA2"/>
    <w:rsid w:val="00E60BDA"/>
    <w:rsid w:val="00E61767"/>
    <w:rsid w:val="00E62346"/>
    <w:rsid w:val="00E6284D"/>
    <w:rsid w:val="00E6508E"/>
    <w:rsid w:val="00E654EB"/>
    <w:rsid w:val="00E66B16"/>
    <w:rsid w:val="00E66BED"/>
    <w:rsid w:val="00E67330"/>
    <w:rsid w:val="00E67985"/>
    <w:rsid w:val="00E71960"/>
    <w:rsid w:val="00E71D7B"/>
    <w:rsid w:val="00E7391E"/>
    <w:rsid w:val="00E73FC0"/>
    <w:rsid w:val="00E7661B"/>
    <w:rsid w:val="00E77A7D"/>
    <w:rsid w:val="00E81016"/>
    <w:rsid w:val="00E81C74"/>
    <w:rsid w:val="00E830DF"/>
    <w:rsid w:val="00E83358"/>
    <w:rsid w:val="00E83EDF"/>
    <w:rsid w:val="00E845FF"/>
    <w:rsid w:val="00E85D9B"/>
    <w:rsid w:val="00E85E8D"/>
    <w:rsid w:val="00E85FFC"/>
    <w:rsid w:val="00E8636C"/>
    <w:rsid w:val="00E8766F"/>
    <w:rsid w:val="00E92456"/>
    <w:rsid w:val="00E929E4"/>
    <w:rsid w:val="00E9311F"/>
    <w:rsid w:val="00E946B7"/>
    <w:rsid w:val="00E94BD5"/>
    <w:rsid w:val="00E97E07"/>
    <w:rsid w:val="00EA01BF"/>
    <w:rsid w:val="00EA0239"/>
    <w:rsid w:val="00EA05ED"/>
    <w:rsid w:val="00EA502E"/>
    <w:rsid w:val="00EB118F"/>
    <w:rsid w:val="00EB21AF"/>
    <w:rsid w:val="00EB350F"/>
    <w:rsid w:val="00EB395A"/>
    <w:rsid w:val="00EB4148"/>
    <w:rsid w:val="00EB5113"/>
    <w:rsid w:val="00EB5524"/>
    <w:rsid w:val="00EB7734"/>
    <w:rsid w:val="00EC0082"/>
    <w:rsid w:val="00EC0563"/>
    <w:rsid w:val="00EC1151"/>
    <w:rsid w:val="00EC318E"/>
    <w:rsid w:val="00EC31B7"/>
    <w:rsid w:val="00EC3419"/>
    <w:rsid w:val="00EC5F2D"/>
    <w:rsid w:val="00EC69B3"/>
    <w:rsid w:val="00ED2FE1"/>
    <w:rsid w:val="00ED3240"/>
    <w:rsid w:val="00ED35EA"/>
    <w:rsid w:val="00ED4F67"/>
    <w:rsid w:val="00ED50BC"/>
    <w:rsid w:val="00ED57DC"/>
    <w:rsid w:val="00ED6E09"/>
    <w:rsid w:val="00ED6EC5"/>
    <w:rsid w:val="00EE046D"/>
    <w:rsid w:val="00EE1040"/>
    <w:rsid w:val="00EE4448"/>
    <w:rsid w:val="00EE4E35"/>
    <w:rsid w:val="00EE5674"/>
    <w:rsid w:val="00EE63CE"/>
    <w:rsid w:val="00EF167A"/>
    <w:rsid w:val="00EF1DF2"/>
    <w:rsid w:val="00EF244A"/>
    <w:rsid w:val="00EF2F19"/>
    <w:rsid w:val="00EF3B11"/>
    <w:rsid w:val="00EF4AB6"/>
    <w:rsid w:val="00EF64C7"/>
    <w:rsid w:val="00EF7614"/>
    <w:rsid w:val="00EF788D"/>
    <w:rsid w:val="00F0102E"/>
    <w:rsid w:val="00F014B2"/>
    <w:rsid w:val="00F04B3D"/>
    <w:rsid w:val="00F05C2E"/>
    <w:rsid w:val="00F06E3A"/>
    <w:rsid w:val="00F10345"/>
    <w:rsid w:val="00F130FD"/>
    <w:rsid w:val="00F1335E"/>
    <w:rsid w:val="00F137A6"/>
    <w:rsid w:val="00F1699F"/>
    <w:rsid w:val="00F17A50"/>
    <w:rsid w:val="00F20616"/>
    <w:rsid w:val="00F21CC6"/>
    <w:rsid w:val="00F22569"/>
    <w:rsid w:val="00F22C76"/>
    <w:rsid w:val="00F237A1"/>
    <w:rsid w:val="00F23C9D"/>
    <w:rsid w:val="00F24860"/>
    <w:rsid w:val="00F25815"/>
    <w:rsid w:val="00F27879"/>
    <w:rsid w:val="00F30273"/>
    <w:rsid w:val="00F30A2D"/>
    <w:rsid w:val="00F30EC8"/>
    <w:rsid w:val="00F3107E"/>
    <w:rsid w:val="00F344A6"/>
    <w:rsid w:val="00F350AF"/>
    <w:rsid w:val="00F35748"/>
    <w:rsid w:val="00F44C4F"/>
    <w:rsid w:val="00F46AB7"/>
    <w:rsid w:val="00F47DB8"/>
    <w:rsid w:val="00F524BA"/>
    <w:rsid w:val="00F538B0"/>
    <w:rsid w:val="00F53A9B"/>
    <w:rsid w:val="00F53F9C"/>
    <w:rsid w:val="00F54328"/>
    <w:rsid w:val="00F57374"/>
    <w:rsid w:val="00F6095E"/>
    <w:rsid w:val="00F60A7D"/>
    <w:rsid w:val="00F61909"/>
    <w:rsid w:val="00F62236"/>
    <w:rsid w:val="00F64CC6"/>
    <w:rsid w:val="00F65282"/>
    <w:rsid w:val="00F653C3"/>
    <w:rsid w:val="00F662D6"/>
    <w:rsid w:val="00F67D2E"/>
    <w:rsid w:val="00F67DD3"/>
    <w:rsid w:val="00F70D07"/>
    <w:rsid w:val="00F714B0"/>
    <w:rsid w:val="00F73926"/>
    <w:rsid w:val="00F74FB4"/>
    <w:rsid w:val="00F76132"/>
    <w:rsid w:val="00F76E8F"/>
    <w:rsid w:val="00F7702D"/>
    <w:rsid w:val="00F778AA"/>
    <w:rsid w:val="00F77B6A"/>
    <w:rsid w:val="00F77D05"/>
    <w:rsid w:val="00F8109F"/>
    <w:rsid w:val="00F8264C"/>
    <w:rsid w:val="00F8283C"/>
    <w:rsid w:val="00F8373D"/>
    <w:rsid w:val="00F83D5D"/>
    <w:rsid w:val="00F84038"/>
    <w:rsid w:val="00F8465A"/>
    <w:rsid w:val="00F856A0"/>
    <w:rsid w:val="00F85804"/>
    <w:rsid w:val="00F85F65"/>
    <w:rsid w:val="00F8642C"/>
    <w:rsid w:val="00F86D38"/>
    <w:rsid w:val="00F90837"/>
    <w:rsid w:val="00F91E32"/>
    <w:rsid w:val="00F92800"/>
    <w:rsid w:val="00F92809"/>
    <w:rsid w:val="00F96296"/>
    <w:rsid w:val="00F966E6"/>
    <w:rsid w:val="00F96A91"/>
    <w:rsid w:val="00FA167D"/>
    <w:rsid w:val="00FA275D"/>
    <w:rsid w:val="00FA35DB"/>
    <w:rsid w:val="00FA3F27"/>
    <w:rsid w:val="00FA4269"/>
    <w:rsid w:val="00FA4A78"/>
    <w:rsid w:val="00FA550D"/>
    <w:rsid w:val="00FA57E3"/>
    <w:rsid w:val="00FA59C9"/>
    <w:rsid w:val="00FA7BEA"/>
    <w:rsid w:val="00FB1EE8"/>
    <w:rsid w:val="00FB28BE"/>
    <w:rsid w:val="00FB3C47"/>
    <w:rsid w:val="00FB63D4"/>
    <w:rsid w:val="00FB69AE"/>
    <w:rsid w:val="00FC1074"/>
    <w:rsid w:val="00FC1843"/>
    <w:rsid w:val="00FC1FDA"/>
    <w:rsid w:val="00FC254C"/>
    <w:rsid w:val="00FC2E83"/>
    <w:rsid w:val="00FC30E3"/>
    <w:rsid w:val="00FC31C6"/>
    <w:rsid w:val="00FC424C"/>
    <w:rsid w:val="00FC53B2"/>
    <w:rsid w:val="00FC5BBB"/>
    <w:rsid w:val="00FC5D54"/>
    <w:rsid w:val="00FC5D5E"/>
    <w:rsid w:val="00FC6922"/>
    <w:rsid w:val="00FC6ABB"/>
    <w:rsid w:val="00FC71C0"/>
    <w:rsid w:val="00FD2B56"/>
    <w:rsid w:val="00FD77E3"/>
    <w:rsid w:val="00FE078C"/>
    <w:rsid w:val="00FE1313"/>
    <w:rsid w:val="00FE31FE"/>
    <w:rsid w:val="00FE37CB"/>
    <w:rsid w:val="00FE4760"/>
    <w:rsid w:val="00FE4877"/>
    <w:rsid w:val="00FE5A79"/>
    <w:rsid w:val="00FE5B1E"/>
    <w:rsid w:val="00FE68D9"/>
    <w:rsid w:val="00FE719D"/>
    <w:rsid w:val="00FF161D"/>
    <w:rsid w:val="00FF1E69"/>
    <w:rsid w:val="00FF507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A977"/>
  <w15:docId w15:val="{454B7CC4-FA73-441F-81E1-B53DA0AB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E6E"/>
    <w:rPr>
      <w:sz w:val="24"/>
      <w:szCs w:val="24"/>
      <w:lang w:val="en-US"/>
    </w:rPr>
  </w:style>
  <w:style w:type="paragraph" w:styleId="Heading1">
    <w:name w:val="heading 1"/>
    <w:basedOn w:val="Normal"/>
    <w:next w:val="Normal"/>
    <w:link w:val="Heading1Char"/>
    <w:uiPriority w:val="9"/>
    <w:qFormat/>
    <w:rsid w:val="00EE046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E046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E046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E046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46D"/>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EE046D"/>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EE046D"/>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EE046D"/>
    <w:rPr>
      <w:rFonts w:asciiTheme="minorHAnsi" w:eastAsiaTheme="minorEastAsia" w:hAnsiTheme="minorHAnsi" w:cstheme="minorBidi"/>
      <w:b/>
      <w:bCs/>
      <w:sz w:val="28"/>
      <w:szCs w:val="28"/>
      <w:lang w:val="en-US"/>
    </w:rPr>
  </w:style>
  <w:style w:type="paragraph" w:styleId="Caption">
    <w:name w:val="caption"/>
    <w:basedOn w:val="Normal"/>
    <w:next w:val="Normal"/>
    <w:uiPriority w:val="35"/>
    <w:unhideWhenUsed/>
    <w:qFormat/>
    <w:rsid w:val="00EE046D"/>
    <w:rPr>
      <w:b/>
      <w:bCs/>
      <w:sz w:val="20"/>
      <w:szCs w:val="20"/>
    </w:rPr>
  </w:style>
  <w:style w:type="paragraph" w:styleId="ListParagraph">
    <w:name w:val="List Paragraph"/>
    <w:basedOn w:val="Normal"/>
    <w:uiPriority w:val="34"/>
    <w:qFormat/>
    <w:rsid w:val="00EE046D"/>
    <w:pPr>
      <w:ind w:left="708"/>
    </w:pPr>
  </w:style>
  <w:style w:type="character" w:styleId="SubtleEmphasis">
    <w:name w:val="Subtle Emphasis"/>
    <w:basedOn w:val="DefaultParagraphFont"/>
    <w:uiPriority w:val="19"/>
    <w:qFormat/>
    <w:rsid w:val="00EE046D"/>
    <w:rPr>
      <w:i/>
      <w:iCs/>
      <w:color w:val="808080" w:themeColor="text1" w:themeTint="7F"/>
    </w:rPr>
  </w:style>
  <w:style w:type="paragraph" w:styleId="TOCHeading">
    <w:name w:val="TOC Heading"/>
    <w:basedOn w:val="Heading1"/>
    <w:next w:val="Normal"/>
    <w:uiPriority w:val="39"/>
    <w:semiHidden/>
    <w:unhideWhenUsed/>
    <w:qFormat/>
    <w:rsid w:val="00EE046D"/>
    <w:pPr>
      <w:outlineLvl w:val="9"/>
    </w:pPr>
  </w:style>
  <w:style w:type="character" w:customStyle="1" w:styleId="hps">
    <w:name w:val="hps"/>
    <w:basedOn w:val="DefaultParagraphFont"/>
    <w:rsid w:val="00F538B0"/>
  </w:style>
  <w:style w:type="character" w:customStyle="1" w:styleId="atn">
    <w:name w:val="atn"/>
    <w:basedOn w:val="DefaultParagraphFont"/>
    <w:rsid w:val="00F538B0"/>
  </w:style>
  <w:style w:type="character" w:customStyle="1" w:styleId="highlight">
    <w:name w:val="highlight"/>
    <w:basedOn w:val="DefaultParagraphFont"/>
    <w:rsid w:val="000A1A49"/>
  </w:style>
  <w:style w:type="paragraph" w:styleId="Header">
    <w:name w:val="header"/>
    <w:basedOn w:val="Normal"/>
    <w:link w:val="HeaderChar"/>
    <w:uiPriority w:val="99"/>
    <w:unhideWhenUsed/>
    <w:rsid w:val="0099704A"/>
    <w:pPr>
      <w:tabs>
        <w:tab w:val="center" w:pos="4536"/>
        <w:tab w:val="right" w:pos="9072"/>
      </w:tabs>
    </w:pPr>
  </w:style>
  <w:style w:type="character" w:customStyle="1" w:styleId="HeaderChar">
    <w:name w:val="Header Char"/>
    <w:basedOn w:val="DefaultParagraphFont"/>
    <w:link w:val="Header"/>
    <w:uiPriority w:val="99"/>
    <w:rsid w:val="0099704A"/>
    <w:rPr>
      <w:sz w:val="24"/>
      <w:szCs w:val="24"/>
      <w:lang w:val="en-US"/>
    </w:rPr>
  </w:style>
  <w:style w:type="paragraph" w:styleId="Footer">
    <w:name w:val="footer"/>
    <w:basedOn w:val="Normal"/>
    <w:link w:val="FooterChar"/>
    <w:uiPriority w:val="99"/>
    <w:unhideWhenUsed/>
    <w:rsid w:val="0099704A"/>
    <w:pPr>
      <w:tabs>
        <w:tab w:val="center" w:pos="4536"/>
        <w:tab w:val="right" w:pos="9072"/>
      </w:tabs>
    </w:pPr>
  </w:style>
  <w:style w:type="character" w:customStyle="1" w:styleId="FooterChar">
    <w:name w:val="Footer Char"/>
    <w:basedOn w:val="DefaultParagraphFont"/>
    <w:link w:val="Footer"/>
    <w:uiPriority w:val="99"/>
    <w:rsid w:val="0099704A"/>
    <w:rPr>
      <w:sz w:val="24"/>
      <w:szCs w:val="24"/>
      <w:lang w:val="en-US"/>
    </w:rPr>
  </w:style>
  <w:style w:type="character" w:styleId="CommentReference">
    <w:name w:val="annotation reference"/>
    <w:basedOn w:val="DefaultParagraphFont"/>
    <w:uiPriority w:val="99"/>
    <w:semiHidden/>
    <w:unhideWhenUsed/>
    <w:rsid w:val="00FE719D"/>
    <w:rPr>
      <w:sz w:val="16"/>
      <w:szCs w:val="16"/>
    </w:rPr>
  </w:style>
  <w:style w:type="paragraph" w:styleId="CommentText">
    <w:name w:val="annotation text"/>
    <w:basedOn w:val="Normal"/>
    <w:link w:val="CommentTextChar"/>
    <w:uiPriority w:val="99"/>
    <w:unhideWhenUsed/>
    <w:rsid w:val="00FE719D"/>
    <w:rPr>
      <w:sz w:val="20"/>
      <w:szCs w:val="20"/>
    </w:rPr>
  </w:style>
  <w:style w:type="character" w:customStyle="1" w:styleId="CommentTextChar">
    <w:name w:val="Comment Text Char"/>
    <w:basedOn w:val="DefaultParagraphFont"/>
    <w:link w:val="CommentText"/>
    <w:uiPriority w:val="99"/>
    <w:rsid w:val="00FE719D"/>
    <w:rPr>
      <w:lang w:val="en-US"/>
    </w:rPr>
  </w:style>
  <w:style w:type="paragraph" w:styleId="CommentSubject">
    <w:name w:val="annotation subject"/>
    <w:basedOn w:val="CommentText"/>
    <w:next w:val="CommentText"/>
    <w:link w:val="CommentSubjectChar"/>
    <w:uiPriority w:val="99"/>
    <w:semiHidden/>
    <w:unhideWhenUsed/>
    <w:rsid w:val="00FE719D"/>
    <w:rPr>
      <w:b/>
      <w:bCs/>
    </w:rPr>
  </w:style>
  <w:style w:type="character" w:customStyle="1" w:styleId="CommentSubjectChar">
    <w:name w:val="Comment Subject Char"/>
    <w:basedOn w:val="CommentTextChar"/>
    <w:link w:val="CommentSubject"/>
    <w:uiPriority w:val="99"/>
    <w:semiHidden/>
    <w:rsid w:val="00FE719D"/>
    <w:rPr>
      <w:b/>
      <w:bCs/>
      <w:lang w:val="en-US"/>
    </w:rPr>
  </w:style>
  <w:style w:type="paragraph" w:styleId="BalloonText">
    <w:name w:val="Balloon Text"/>
    <w:basedOn w:val="Normal"/>
    <w:link w:val="BalloonTextChar"/>
    <w:uiPriority w:val="99"/>
    <w:semiHidden/>
    <w:unhideWhenUsed/>
    <w:rsid w:val="00FE7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19D"/>
    <w:rPr>
      <w:rFonts w:ascii="Segoe UI" w:hAnsi="Segoe UI" w:cs="Segoe UI"/>
      <w:sz w:val="18"/>
      <w:szCs w:val="18"/>
      <w:lang w:val="en-US"/>
    </w:rPr>
  </w:style>
  <w:style w:type="character" w:styleId="Hyperlink">
    <w:name w:val="Hyperlink"/>
    <w:basedOn w:val="DefaultParagraphFont"/>
    <w:uiPriority w:val="99"/>
    <w:unhideWhenUsed/>
    <w:rsid w:val="004B6E6A"/>
    <w:rPr>
      <w:color w:val="0000FF" w:themeColor="hyperlink"/>
      <w:u w:val="single"/>
    </w:rPr>
  </w:style>
  <w:style w:type="paragraph" w:customStyle="1" w:styleId="EndNoteBibliographyTitle">
    <w:name w:val="EndNote Bibliography Title"/>
    <w:basedOn w:val="Normal"/>
    <w:link w:val="EndNoteBibliographyTitleZchn"/>
    <w:rsid w:val="00864825"/>
    <w:pPr>
      <w:jc w:val="center"/>
    </w:pPr>
    <w:rPr>
      <w:noProof/>
    </w:rPr>
  </w:style>
  <w:style w:type="character" w:customStyle="1" w:styleId="EndNoteBibliographyTitleZchn">
    <w:name w:val="EndNote Bibliography Title Zchn"/>
    <w:basedOn w:val="DefaultParagraphFont"/>
    <w:link w:val="EndNoteBibliographyTitle"/>
    <w:rsid w:val="00864825"/>
    <w:rPr>
      <w:noProof/>
      <w:sz w:val="24"/>
      <w:szCs w:val="24"/>
      <w:lang w:val="en-US"/>
    </w:rPr>
  </w:style>
  <w:style w:type="paragraph" w:customStyle="1" w:styleId="EndNoteBibliography">
    <w:name w:val="EndNote Bibliography"/>
    <w:basedOn w:val="Normal"/>
    <w:link w:val="EndNoteBibliographyZchn"/>
    <w:rsid w:val="00864825"/>
    <w:rPr>
      <w:noProof/>
    </w:rPr>
  </w:style>
  <w:style w:type="character" w:customStyle="1" w:styleId="EndNoteBibliographyZchn">
    <w:name w:val="EndNote Bibliography Zchn"/>
    <w:basedOn w:val="DefaultParagraphFont"/>
    <w:link w:val="EndNoteBibliography"/>
    <w:rsid w:val="00864825"/>
    <w:rPr>
      <w:noProof/>
      <w:sz w:val="24"/>
      <w:szCs w:val="24"/>
      <w:lang w:val="en-US"/>
    </w:rPr>
  </w:style>
  <w:style w:type="character" w:customStyle="1" w:styleId="Erwhnung1">
    <w:name w:val="Erwähnung1"/>
    <w:basedOn w:val="DefaultParagraphFont"/>
    <w:uiPriority w:val="99"/>
    <w:semiHidden/>
    <w:unhideWhenUsed/>
    <w:rsid w:val="00AF130A"/>
    <w:rPr>
      <w:color w:val="2B579A"/>
      <w:shd w:val="clear" w:color="auto" w:fill="E6E6E6"/>
    </w:rPr>
  </w:style>
  <w:style w:type="character" w:customStyle="1" w:styleId="Erwhnung2">
    <w:name w:val="Erwähnung2"/>
    <w:basedOn w:val="DefaultParagraphFont"/>
    <w:uiPriority w:val="99"/>
    <w:semiHidden/>
    <w:unhideWhenUsed/>
    <w:rsid w:val="001E18DE"/>
    <w:rPr>
      <w:color w:val="2B579A"/>
      <w:shd w:val="clear" w:color="auto" w:fill="E6E6E6"/>
    </w:rPr>
  </w:style>
  <w:style w:type="character" w:styleId="LineNumber">
    <w:name w:val="line number"/>
    <w:basedOn w:val="DefaultParagraphFont"/>
    <w:uiPriority w:val="99"/>
    <w:semiHidden/>
    <w:unhideWhenUsed/>
    <w:rsid w:val="004F6D20"/>
  </w:style>
  <w:style w:type="paragraph" w:customStyle="1" w:styleId="Default">
    <w:name w:val="Default"/>
    <w:rsid w:val="00972331"/>
    <w:pPr>
      <w:autoSpaceDE w:val="0"/>
      <w:autoSpaceDN w:val="0"/>
      <w:adjustRightInd w:val="0"/>
    </w:pPr>
    <w:rPr>
      <w:color w:val="000000"/>
      <w:sz w:val="24"/>
      <w:szCs w:val="24"/>
    </w:rPr>
  </w:style>
  <w:style w:type="character" w:customStyle="1" w:styleId="NichtaufgelsteErwhnung1">
    <w:name w:val="Nicht aufgelöste Erwähnung1"/>
    <w:basedOn w:val="DefaultParagraphFont"/>
    <w:uiPriority w:val="99"/>
    <w:semiHidden/>
    <w:unhideWhenUsed/>
    <w:rsid w:val="00E34AE0"/>
    <w:rPr>
      <w:color w:val="808080"/>
      <w:shd w:val="clear" w:color="auto" w:fill="E6E6E6"/>
    </w:rPr>
  </w:style>
  <w:style w:type="paragraph" w:styleId="Revision">
    <w:name w:val="Revision"/>
    <w:hidden/>
    <w:uiPriority w:val="99"/>
    <w:semiHidden/>
    <w:rsid w:val="00BE4A89"/>
    <w:rPr>
      <w:sz w:val="24"/>
      <w:szCs w:val="24"/>
      <w:lang w:val="en-US"/>
    </w:rPr>
  </w:style>
  <w:style w:type="character" w:styleId="Strong">
    <w:name w:val="Strong"/>
    <w:basedOn w:val="DefaultParagraphFont"/>
    <w:uiPriority w:val="22"/>
    <w:qFormat/>
    <w:rsid w:val="00B765D1"/>
    <w:rPr>
      <w:b/>
      <w:bCs/>
    </w:rPr>
  </w:style>
  <w:style w:type="character" w:styleId="Emphasis">
    <w:name w:val="Emphasis"/>
    <w:basedOn w:val="DefaultParagraphFont"/>
    <w:uiPriority w:val="20"/>
    <w:qFormat/>
    <w:rsid w:val="003031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98497">
      <w:bodyDiv w:val="1"/>
      <w:marLeft w:val="0"/>
      <w:marRight w:val="0"/>
      <w:marTop w:val="0"/>
      <w:marBottom w:val="0"/>
      <w:divBdr>
        <w:top w:val="none" w:sz="0" w:space="0" w:color="auto"/>
        <w:left w:val="none" w:sz="0" w:space="0" w:color="auto"/>
        <w:bottom w:val="none" w:sz="0" w:space="0" w:color="auto"/>
        <w:right w:val="none" w:sz="0" w:space="0" w:color="auto"/>
      </w:divBdr>
      <w:divsChild>
        <w:div w:id="1695106876">
          <w:marLeft w:val="0"/>
          <w:marRight w:val="0"/>
          <w:marTop w:val="0"/>
          <w:marBottom w:val="0"/>
          <w:divBdr>
            <w:top w:val="none" w:sz="0" w:space="0" w:color="auto"/>
            <w:left w:val="none" w:sz="0" w:space="0" w:color="auto"/>
            <w:bottom w:val="none" w:sz="0" w:space="0" w:color="auto"/>
            <w:right w:val="none" w:sz="0" w:space="0" w:color="auto"/>
          </w:divBdr>
        </w:div>
        <w:div w:id="1755400404">
          <w:marLeft w:val="0"/>
          <w:marRight w:val="0"/>
          <w:marTop w:val="0"/>
          <w:marBottom w:val="0"/>
          <w:divBdr>
            <w:top w:val="none" w:sz="0" w:space="0" w:color="auto"/>
            <w:left w:val="none" w:sz="0" w:space="0" w:color="auto"/>
            <w:bottom w:val="none" w:sz="0" w:space="0" w:color="auto"/>
            <w:right w:val="none" w:sz="0" w:space="0" w:color="auto"/>
          </w:divBdr>
        </w:div>
      </w:divsChild>
    </w:div>
    <w:div w:id="816462185">
      <w:bodyDiv w:val="1"/>
      <w:marLeft w:val="0"/>
      <w:marRight w:val="0"/>
      <w:marTop w:val="0"/>
      <w:marBottom w:val="0"/>
      <w:divBdr>
        <w:top w:val="none" w:sz="0" w:space="0" w:color="auto"/>
        <w:left w:val="none" w:sz="0" w:space="0" w:color="auto"/>
        <w:bottom w:val="none" w:sz="0" w:space="0" w:color="auto"/>
        <w:right w:val="none" w:sz="0" w:space="0" w:color="auto"/>
      </w:divBdr>
    </w:div>
    <w:div w:id="840244604">
      <w:bodyDiv w:val="1"/>
      <w:marLeft w:val="0"/>
      <w:marRight w:val="0"/>
      <w:marTop w:val="0"/>
      <w:marBottom w:val="0"/>
      <w:divBdr>
        <w:top w:val="none" w:sz="0" w:space="0" w:color="auto"/>
        <w:left w:val="none" w:sz="0" w:space="0" w:color="auto"/>
        <w:bottom w:val="none" w:sz="0" w:space="0" w:color="auto"/>
        <w:right w:val="none" w:sz="0" w:space="0" w:color="auto"/>
      </w:divBdr>
    </w:div>
    <w:div w:id="987779773">
      <w:bodyDiv w:val="1"/>
      <w:marLeft w:val="0"/>
      <w:marRight w:val="0"/>
      <w:marTop w:val="0"/>
      <w:marBottom w:val="0"/>
      <w:divBdr>
        <w:top w:val="none" w:sz="0" w:space="0" w:color="auto"/>
        <w:left w:val="none" w:sz="0" w:space="0" w:color="auto"/>
        <w:bottom w:val="none" w:sz="0" w:space="0" w:color="auto"/>
        <w:right w:val="none" w:sz="0" w:space="0" w:color="auto"/>
      </w:divBdr>
    </w:div>
    <w:div w:id="1180655582">
      <w:bodyDiv w:val="1"/>
      <w:marLeft w:val="0"/>
      <w:marRight w:val="0"/>
      <w:marTop w:val="0"/>
      <w:marBottom w:val="0"/>
      <w:divBdr>
        <w:top w:val="none" w:sz="0" w:space="0" w:color="auto"/>
        <w:left w:val="none" w:sz="0" w:space="0" w:color="auto"/>
        <w:bottom w:val="none" w:sz="0" w:space="0" w:color="auto"/>
        <w:right w:val="none" w:sz="0" w:space="0" w:color="auto"/>
      </w:divBdr>
    </w:div>
    <w:div w:id="1554660378">
      <w:bodyDiv w:val="1"/>
      <w:marLeft w:val="0"/>
      <w:marRight w:val="0"/>
      <w:marTop w:val="0"/>
      <w:marBottom w:val="0"/>
      <w:divBdr>
        <w:top w:val="none" w:sz="0" w:space="0" w:color="auto"/>
        <w:left w:val="none" w:sz="0" w:space="0" w:color="auto"/>
        <w:bottom w:val="none" w:sz="0" w:space="0" w:color="auto"/>
        <w:right w:val="none" w:sz="0" w:space="0" w:color="auto"/>
      </w:divBdr>
    </w:div>
    <w:div w:id="1809012032">
      <w:bodyDiv w:val="1"/>
      <w:marLeft w:val="0"/>
      <w:marRight w:val="0"/>
      <w:marTop w:val="0"/>
      <w:marBottom w:val="0"/>
      <w:divBdr>
        <w:top w:val="none" w:sz="0" w:space="0" w:color="auto"/>
        <w:left w:val="none" w:sz="0" w:space="0" w:color="auto"/>
        <w:bottom w:val="none" w:sz="0" w:space="0" w:color="auto"/>
        <w:right w:val="none" w:sz="0" w:space="0" w:color="auto"/>
      </w:divBdr>
      <w:divsChild>
        <w:div w:id="1367370679">
          <w:marLeft w:val="0"/>
          <w:marRight w:val="0"/>
          <w:marTop w:val="0"/>
          <w:marBottom w:val="0"/>
          <w:divBdr>
            <w:top w:val="none" w:sz="0" w:space="0" w:color="auto"/>
            <w:left w:val="none" w:sz="0" w:space="0" w:color="auto"/>
            <w:bottom w:val="none" w:sz="0" w:space="0" w:color="auto"/>
            <w:right w:val="none" w:sz="0" w:space="0" w:color="auto"/>
          </w:divBdr>
          <w:divsChild>
            <w:div w:id="607002501">
              <w:marLeft w:val="0"/>
              <w:marRight w:val="0"/>
              <w:marTop w:val="0"/>
              <w:marBottom w:val="0"/>
              <w:divBdr>
                <w:top w:val="none" w:sz="0" w:space="0" w:color="auto"/>
                <w:left w:val="none" w:sz="0" w:space="0" w:color="auto"/>
                <w:bottom w:val="none" w:sz="0" w:space="0" w:color="auto"/>
                <w:right w:val="none" w:sz="0" w:space="0" w:color="auto"/>
              </w:divBdr>
              <w:divsChild>
                <w:div w:id="1026099732">
                  <w:marLeft w:val="0"/>
                  <w:marRight w:val="0"/>
                  <w:marTop w:val="0"/>
                  <w:marBottom w:val="0"/>
                  <w:divBdr>
                    <w:top w:val="none" w:sz="0" w:space="0" w:color="auto"/>
                    <w:left w:val="none" w:sz="0" w:space="0" w:color="auto"/>
                    <w:bottom w:val="none" w:sz="0" w:space="0" w:color="auto"/>
                    <w:right w:val="none" w:sz="0" w:space="0" w:color="auto"/>
                  </w:divBdr>
                  <w:divsChild>
                    <w:div w:id="781538064">
                      <w:marLeft w:val="0"/>
                      <w:marRight w:val="0"/>
                      <w:marTop w:val="0"/>
                      <w:marBottom w:val="0"/>
                      <w:divBdr>
                        <w:top w:val="none" w:sz="0" w:space="0" w:color="auto"/>
                        <w:left w:val="none" w:sz="0" w:space="0" w:color="auto"/>
                        <w:bottom w:val="none" w:sz="0" w:space="0" w:color="auto"/>
                        <w:right w:val="none" w:sz="0" w:space="0" w:color="auto"/>
                      </w:divBdr>
                      <w:divsChild>
                        <w:div w:id="864560665">
                          <w:marLeft w:val="0"/>
                          <w:marRight w:val="0"/>
                          <w:marTop w:val="0"/>
                          <w:marBottom w:val="0"/>
                          <w:divBdr>
                            <w:top w:val="none" w:sz="0" w:space="0" w:color="auto"/>
                            <w:left w:val="none" w:sz="0" w:space="0" w:color="auto"/>
                            <w:bottom w:val="none" w:sz="0" w:space="0" w:color="auto"/>
                            <w:right w:val="none" w:sz="0" w:space="0" w:color="auto"/>
                          </w:divBdr>
                          <w:divsChild>
                            <w:div w:id="9206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888813">
      <w:bodyDiv w:val="1"/>
      <w:marLeft w:val="0"/>
      <w:marRight w:val="0"/>
      <w:marTop w:val="0"/>
      <w:marBottom w:val="0"/>
      <w:divBdr>
        <w:top w:val="none" w:sz="0" w:space="0" w:color="auto"/>
        <w:left w:val="none" w:sz="0" w:space="0" w:color="auto"/>
        <w:bottom w:val="none" w:sz="0" w:space="0" w:color="auto"/>
        <w:right w:val="none" w:sz="0" w:space="0" w:color="auto"/>
      </w:divBdr>
      <w:divsChild>
        <w:div w:id="1716277610">
          <w:marLeft w:val="0"/>
          <w:marRight w:val="0"/>
          <w:marTop w:val="0"/>
          <w:marBottom w:val="0"/>
          <w:divBdr>
            <w:top w:val="none" w:sz="0" w:space="0" w:color="auto"/>
            <w:left w:val="none" w:sz="0" w:space="0" w:color="auto"/>
            <w:bottom w:val="none" w:sz="0" w:space="0" w:color="auto"/>
            <w:right w:val="none" w:sz="0" w:space="0" w:color="auto"/>
          </w:divBdr>
          <w:divsChild>
            <w:div w:id="859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2181">
      <w:bodyDiv w:val="1"/>
      <w:marLeft w:val="0"/>
      <w:marRight w:val="0"/>
      <w:marTop w:val="0"/>
      <w:marBottom w:val="0"/>
      <w:divBdr>
        <w:top w:val="none" w:sz="0" w:space="0" w:color="auto"/>
        <w:left w:val="none" w:sz="0" w:space="0" w:color="auto"/>
        <w:bottom w:val="none" w:sz="0" w:space="0" w:color="auto"/>
        <w:right w:val="none" w:sz="0" w:space="0" w:color="auto"/>
      </w:divBdr>
      <w:divsChild>
        <w:div w:id="648940514">
          <w:marLeft w:val="0"/>
          <w:marRight w:val="0"/>
          <w:marTop w:val="0"/>
          <w:marBottom w:val="0"/>
          <w:divBdr>
            <w:top w:val="none" w:sz="0" w:space="0" w:color="auto"/>
            <w:left w:val="none" w:sz="0" w:space="0" w:color="auto"/>
            <w:bottom w:val="none" w:sz="0" w:space="0" w:color="auto"/>
            <w:right w:val="none" w:sz="0" w:space="0" w:color="auto"/>
          </w:divBdr>
          <w:divsChild>
            <w:div w:id="447703612">
              <w:marLeft w:val="0"/>
              <w:marRight w:val="0"/>
              <w:marTop w:val="0"/>
              <w:marBottom w:val="0"/>
              <w:divBdr>
                <w:top w:val="none" w:sz="0" w:space="0" w:color="auto"/>
                <w:left w:val="none" w:sz="0" w:space="0" w:color="auto"/>
                <w:bottom w:val="none" w:sz="0" w:space="0" w:color="auto"/>
                <w:right w:val="none" w:sz="0" w:space="0" w:color="auto"/>
              </w:divBdr>
              <w:divsChild>
                <w:div w:id="619412940">
                  <w:marLeft w:val="0"/>
                  <w:marRight w:val="0"/>
                  <w:marTop w:val="0"/>
                  <w:marBottom w:val="0"/>
                  <w:divBdr>
                    <w:top w:val="none" w:sz="0" w:space="0" w:color="auto"/>
                    <w:left w:val="none" w:sz="0" w:space="0" w:color="auto"/>
                    <w:bottom w:val="none" w:sz="0" w:space="0" w:color="auto"/>
                    <w:right w:val="none" w:sz="0" w:space="0" w:color="auto"/>
                  </w:divBdr>
                  <w:divsChild>
                    <w:div w:id="260846109">
                      <w:marLeft w:val="0"/>
                      <w:marRight w:val="0"/>
                      <w:marTop w:val="0"/>
                      <w:marBottom w:val="0"/>
                      <w:divBdr>
                        <w:top w:val="none" w:sz="0" w:space="0" w:color="auto"/>
                        <w:left w:val="none" w:sz="0" w:space="0" w:color="auto"/>
                        <w:bottom w:val="none" w:sz="0" w:space="0" w:color="auto"/>
                        <w:right w:val="none" w:sz="0" w:space="0" w:color="auto"/>
                      </w:divBdr>
                      <w:divsChild>
                        <w:div w:id="1839078292">
                          <w:marLeft w:val="0"/>
                          <w:marRight w:val="0"/>
                          <w:marTop w:val="0"/>
                          <w:marBottom w:val="0"/>
                          <w:divBdr>
                            <w:top w:val="none" w:sz="0" w:space="0" w:color="auto"/>
                            <w:left w:val="none" w:sz="0" w:space="0" w:color="auto"/>
                            <w:bottom w:val="none" w:sz="0" w:space="0" w:color="auto"/>
                            <w:right w:val="none" w:sz="0" w:space="0" w:color="auto"/>
                          </w:divBdr>
                          <w:divsChild>
                            <w:div w:id="11378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8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Cambria"/>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DEE6-F391-4066-91A1-756C03E2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6446</Words>
  <Characters>36748</Characters>
  <Application>Microsoft Office Word</Application>
  <DocSecurity>4</DocSecurity>
  <Lines>306</Lines>
  <Paragraphs>86</Paragraphs>
  <ScaleCrop>false</ScaleCrop>
  <HeadingPairs>
    <vt:vector size="6" baseType="variant">
      <vt:variant>
        <vt:lpstr>Title</vt:lpstr>
      </vt:variant>
      <vt:variant>
        <vt:i4>1</vt:i4>
      </vt:variant>
      <vt:variant>
        <vt:lpstr>Titel</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43108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DEMPSEY Robert</cp:lastModifiedBy>
  <cp:revision>2</cp:revision>
  <cp:lastPrinted>2017-11-10T11:52:00Z</cp:lastPrinted>
  <dcterms:created xsi:type="dcterms:W3CDTF">2018-06-25T08:33:00Z</dcterms:created>
  <dcterms:modified xsi:type="dcterms:W3CDTF">2018-06-25T08:33:00Z</dcterms:modified>
</cp:coreProperties>
</file>