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735" w:rsidRPr="009F651F" w:rsidRDefault="00263C15" w:rsidP="009F651F">
      <w:pPr>
        <w:keepNext/>
        <w:spacing w:after="0" w:line="240" w:lineRule="auto"/>
        <w:jc w:val="center"/>
        <w:outlineLvl w:val="0"/>
        <w:rPr>
          <w:rFonts w:ascii="Times New Roman" w:eastAsia="Times New Roman" w:hAnsi="Times New Roman" w:cs="Times New Roman"/>
          <w:sz w:val="36"/>
          <w:szCs w:val="36"/>
          <w:vertAlign w:val="superscript"/>
        </w:rPr>
      </w:pPr>
      <w:bookmarkStart w:id="0" w:name="_GoBack"/>
      <w:bookmarkEnd w:id="0"/>
      <w:r w:rsidRPr="001E2721">
        <w:rPr>
          <w:rFonts w:ascii="Times New Roman" w:eastAsia="Times New Roman" w:hAnsi="Times New Roman" w:cs="Times New Roman"/>
          <w:sz w:val="36"/>
          <w:szCs w:val="36"/>
        </w:rPr>
        <w:t>Human Capital and International C</w:t>
      </w:r>
      <w:r w:rsidR="00E54F20" w:rsidRPr="001E2721">
        <w:rPr>
          <w:rFonts w:ascii="Times New Roman" w:eastAsia="Times New Roman" w:hAnsi="Times New Roman" w:cs="Times New Roman"/>
          <w:sz w:val="36"/>
          <w:szCs w:val="36"/>
        </w:rPr>
        <w:t>ompetitiveness in Europe, with Special Reference to Transition E</w:t>
      </w:r>
      <w:r w:rsidRPr="001E2721">
        <w:rPr>
          <w:rFonts w:ascii="Times New Roman" w:eastAsia="Times New Roman" w:hAnsi="Times New Roman" w:cs="Times New Roman"/>
          <w:sz w:val="36"/>
          <w:szCs w:val="36"/>
        </w:rPr>
        <w:t>conomies</w:t>
      </w:r>
    </w:p>
    <w:p w:rsidR="00BD6735" w:rsidRDefault="00BD6735" w:rsidP="00BD6735">
      <w:pPr>
        <w:spacing w:line="360" w:lineRule="auto"/>
        <w:jc w:val="both"/>
        <w:rPr>
          <w:rFonts w:ascii="Times New Roman" w:hAnsi="Times New Roman" w:cs="Times New Roman"/>
          <w:sz w:val="24"/>
          <w:szCs w:val="24"/>
        </w:rPr>
      </w:pPr>
    </w:p>
    <w:p w:rsidR="00A42E17" w:rsidRDefault="00A42E17" w:rsidP="00BD6735">
      <w:pPr>
        <w:spacing w:line="360" w:lineRule="auto"/>
        <w:jc w:val="both"/>
        <w:rPr>
          <w:rFonts w:ascii="Times New Roman" w:hAnsi="Times New Roman" w:cs="Times New Roman"/>
          <w:sz w:val="24"/>
          <w:szCs w:val="24"/>
        </w:rPr>
      </w:pPr>
    </w:p>
    <w:p w:rsidR="00A42E17" w:rsidRPr="00AD38BD" w:rsidRDefault="00A42E17" w:rsidP="00A42E17">
      <w:pPr>
        <w:spacing w:after="0" w:line="360" w:lineRule="auto"/>
        <w:jc w:val="both"/>
        <w:rPr>
          <w:rFonts w:ascii="Times New Roman" w:hAnsi="Times New Roman" w:cs="Times New Roman"/>
          <w:sz w:val="28"/>
          <w:szCs w:val="28"/>
          <w:lang w:val="en-GB"/>
        </w:rPr>
      </w:pPr>
      <w:r w:rsidRPr="00AD38BD">
        <w:rPr>
          <w:rFonts w:ascii="Times New Roman" w:hAnsi="Times New Roman" w:cs="Times New Roman"/>
          <w:sz w:val="28"/>
          <w:szCs w:val="28"/>
          <w:lang w:val="en-GB"/>
        </w:rPr>
        <w:t>Arta Mulliqi</w:t>
      </w:r>
      <w:r w:rsidRPr="00AD38BD">
        <w:rPr>
          <w:rFonts w:ascii="Times New Roman" w:hAnsi="Times New Roman" w:cs="Times New Roman"/>
          <w:sz w:val="28"/>
          <w:szCs w:val="28"/>
          <w:vertAlign w:val="superscript"/>
          <w:lang w:val="en-GB"/>
        </w:rPr>
        <w:t>*</w:t>
      </w:r>
      <w:r w:rsidRPr="00AD38BD">
        <w:rPr>
          <w:rFonts w:ascii="Times New Roman" w:hAnsi="Times New Roman" w:cs="Times New Roman"/>
          <w:sz w:val="28"/>
          <w:szCs w:val="28"/>
          <w:lang w:val="en-GB"/>
        </w:rPr>
        <w:t>, Nick Adnett</w:t>
      </w:r>
      <w:r w:rsidRPr="00AD38BD">
        <w:rPr>
          <w:rFonts w:ascii="Times New Roman" w:hAnsi="Times New Roman" w:cs="Times New Roman"/>
          <w:sz w:val="28"/>
          <w:szCs w:val="28"/>
          <w:vertAlign w:val="superscript"/>
          <w:lang w:val="en-GB"/>
        </w:rPr>
        <w:t>†</w:t>
      </w:r>
      <w:r w:rsidRPr="00AD38BD">
        <w:rPr>
          <w:rFonts w:ascii="Times New Roman" w:hAnsi="Times New Roman" w:cs="Times New Roman"/>
          <w:sz w:val="28"/>
          <w:szCs w:val="28"/>
          <w:lang w:val="en-GB"/>
        </w:rPr>
        <w:t>, Mehtap Hisarciklilar</w:t>
      </w:r>
      <w:r w:rsidRPr="00AD38BD">
        <w:rPr>
          <w:rFonts w:ascii="Times New Roman" w:hAnsi="Times New Roman" w:cs="Times New Roman"/>
          <w:sz w:val="28"/>
          <w:szCs w:val="28"/>
          <w:vertAlign w:val="superscript"/>
          <w:lang w:val="en-GB"/>
        </w:rPr>
        <w:t>‡</w:t>
      </w:r>
      <w:r w:rsidRPr="00AD38BD">
        <w:rPr>
          <w:rFonts w:ascii="Times New Roman" w:hAnsi="Times New Roman" w:cs="Times New Roman"/>
          <w:sz w:val="28"/>
          <w:szCs w:val="28"/>
          <w:lang w:val="en-GB"/>
        </w:rPr>
        <w:t xml:space="preserve"> and Artane Rizvanolli</w:t>
      </w:r>
      <w:r w:rsidRPr="00AD38BD">
        <w:rPr>
          <w:rFonts w:ascii="Times New Roman" w:hAnsi="Times New Roman" w:cs="Times New Roman"/>
          <w:sz w:val="28"/>
          <w:szCs w:val="28"/>
          <w:vertAlign w:val="superscript"/>
          <w:lang w:val="en-GB"/>
        </w:rPr>
        <w:t>§</w:t>
      </w:r>
    </w:p>
    <w:p w:rsidR="00A42E17" w:rsidRPr="00AD38BD" w:rsidRDefault="00A42E17" w:rsidP="00A42E17">
      <w:pPr>
        <w:spacing w:after="0" w:line="360" w:lineRule="auto"/>
        <w:jc w:val="both"/>
        <w:rPr>
          <w:rFonts w:ascii="Times New Roman" w:hAnsi="Times New Roman" w:cs="Times New Roman"/>
          <w:sz w:val="24"/>
          <w:szCs w:val="24"/>
          <w:lang w:val="en-GB"/>
        </w:rPr>
      </w:pPr>
      <w:r w:rsidRPr="00AD38BD">
        <w:rPr>
          <w:rFonts w:ascii="Times New Roman" w:hAnsi="Times New Roman" w:cs="Times New Roman"/>
          <w:sz w:val="28"/>
          <w:szCs w:val="28"/>
          <w:vertAlign w:val="superscript"/>
          <w:lang w:val="en-GB"/>
        </w:rPr>
        <w:t>*</w:t>
      </w:r>
      <w:r w:rsidRPr="00AD38BD">
        <w:rPr>
          <w:rFonts w:ascii="Times New Roman" w:hAnsi="Times New Roman" w:cs="Times New Roman"/>
          <w:sz w:val="24"/>
          <w:szCs w:val="24"/>
          <w:lang w:val="en-GB"/>
        </w:rPr>
        <w:t>Dukagjini College, Kosovo. E-mail: artamulliqi@gmail.com</w:t>
      </w:r>
    </w:p>
    <w:p w:rsidR="00A42E17" w:rsidRPr="00AD38BD" w:rsidRDefault="00A42E17" w:rsidP="00A42E17">
      <w:pPr>
        <w:spacing w:after="0" w:line="360" w:lineRule="auto"/>
        <w:jc w:val="both"/>
        <w:rPr>
          <w:rFonts w:ascii="Times New Roman" w:hAnsi="Times New Roman" w:cs="Times New Roman"/>
          <w:sz w:val="24"/>
          <w:szCs w:val="24"/>
          <w:lang w:val="en-GB"/>
        </w:rPr>
      </w:pPr>
      <w:r w:rsidRPr="00AD38BD">
        <w:rPr>
          <w:rFonts w:ascii="Times New Roman" w:hAnsi="Times New Roman" w:cs="Times New Roman"/>
          <w:sz w:val="28"/>
          <w:szCs w:val="28"/>
          <w:vertAlign w:val="superscript"/>
          <w:lang w:val="en-GB"/>
        </w:rPr>
        <w:t>†</w:t>
      </w:r>
      <w:r w:rsidRPr="00BD6735">
        <w:t xml:space="preserve"> </w:t>
      </w:r>
      <w:r w:rsidRPr="00AD38BD">
        <w:rPr>
          <w:rFonts w:ascii="Times New Roman" w:hAnsi="Times New Roman" w:cs="Times New Roman"/>
          <w:sz w:val="24"/>
          <w:szCs w:val="24"/>
          <w:lang w:val="en-GB"/>
        </w:rPr>
        <w:t>Staffordshire University, UK. E-mail:</w:t>
      </w:r>
      <w:r w:rsidRPr="00AD38BD">
        <w:rPr>
          <w:lang w:val="en-GB"/>
        </w:rPr>
        <w:t xml:space="preserve"> </w:t>
      </w:r>
      <w:r w:rsidRPr="00AD38BD">
        <w:rPr>
          <w:rFonts w:ascii="Times New Roman" w:hAnsi="Times New Roman" w:cs="Times New Roman"/>
          <w:sz w:val="24"/>
          <w:szCs w:val="24"/>
          <w:lang w:val="en-GB"/>
        </w:rPr>
        <w:t>N.J.Adnett@staffs.ac.uk</w:t>
      </w:r>
    </w:p>
    <w:p w:rsidR="00A42E17" w:rsidRDefault="00A42E17" w:rsidP="00A42E17">
      <w:pPr>
        <w:spacing w:after="0" w:line="360" w:lineRule="auto"/>
        <w:jc w:val="both"/>
        <w:rPr>
          <w:rFonts w:ascii="Times New Roman" w:hAnsi="Times New Roman" w:cs="Times New Roman"/>
          <w:sz w:val="24"/>
          <w:szCs w:val="24"/>
          <w:lang w:val="en-GB"/>
        </w:rPr>
      </w:pPr>
      <w:r w:rsidRPr="00AD38BD">
        <w:rPr>
          <w:rFonts w:ascii="Times New Roman" w:hAnsi="Times New Roman" w:cs="Times New Roman"/>
          <w:sz w:val="28"/>
          <w:szCs w:val="28"/>
          <w:vertAlign w:val="superscript"/>
          <w:lang w:val="en-GB"/>
        </w:rPr>
        <w:t>‡</w:t>
      </w:r>
      <w:r>
        <w:rPr>
          <w:rFonts w:ascii="Times New Roman" w:hAnsi="Times New Roman" w:cs="Times New Roman"/>
          <w:sz w:val="28"/>
          <w:szCs w:val="28"/>
          <w:vertAlign w:val="superscript"/>
          <w:lang w:val="en-GB"/>
        </w:rPr>
        <w:t xml:space="preserve"> </w:t>
      </w:r>
      <w:r w:rsidRPr="00BD6735">
        <w:rPr>
          <w:rFonts w:ascii="Times New Roman" w:hAnsi="Times New Roman" w:cs="Times New Roman"/>
          <w:sz w:val="24"/>
          <w:szCs w:val="24"/>
          <w:lang w:val="en-GB"/>
        </w:rPr>
        <w:t>University of Sussex</w:t>
      </w:r>
      <w:r>
        <w:rPr>
          <w:rFonts w:ascii="Times New Roman" w:hAnsi="Times New Roman" w:cs="Times New Roman"/>
          <w:sz w:val="24"/>
          <w:szCs w:val="24"/>
          <w:lang w:val="en-GB"/>
        </w:rPr>
        <w:t>,</w:t>
      </w:r>
      <w:r w:rsidRPr="00AD38BD">
        <w:rPr>
          <w:rFonts w:ascii="Times New Roman" w:hAnsi="Times New Roman" w:cs="Times New Roman"/>
          <w:sz w:val="24"/>
          <w:szCs w:val="24"/>
          <w:lang w:val="en-GB"/>
        </w:rPr>
        <w:t xml:space="preserve"> UK. E-mail: </w:t>
      </w:r>
      <w:r w:rsidRPr="00BD6735">
        <w:rPr>
          <w:rFonts w:ascii="Times New Roman" w:hAnsi="Times New Roman" w:cs="Times New Roman"/>
          <w:sz w:val="24"/>
          <w:szCs w:val="24"/>
          <w:lang w:val="en-GB"/>
        </w:rPr>
        <w:t>M.Hisarciklilar@sussex.ac.uk</w:t>
      </w:r>
    </w:p>
    <w:p w:rsidR="00A42E17" w:rsidRPr="00BD6735" w:rsidRDefault="00A42E17" w:rsidP="00A42E17">
      <w:pPr>
        <w:spacing w:after="0" w:line="360" w:lineRule="auto"/>
        <w:jc w:val="both"/>
        <w:rPr>
          <w:rFonts w:ascii="Times New Roman" w:hAnsi="Times New Roman" w:cs="Times New Roman"/>
          <w:sz w:val="24"/>
          <w:szCs w:val="24"/>
          <w:lang w:val="en-GB"/>
        </w:rPr>
      </w:pPr>
      <w:r w:rsidRPr="00AD38BD">
        <w:rPr>
          <w:rFonts w:ascii="Times New Roman" w:hAnsi="Times New Roman" w:cs="Times New Roman"/>
          <w:sz w:val="28"/>
          <w:szCs w:val="28"/>
          <w:vertAlign w:val="superscript"/>
          <w:lang w:val="en-GB"/>
        </w:rPr>
        <w:t>§</w:t>
      </w:r>
      <w:r w:rsidRPr="00AD38BD">
        <w:rPr>
          <w:rFonts w:ascii="Times New Roman" w:hAnsi="Times New Roman" w:cs="Times New Roman"/>
          <w:sz w:val="24"/>
          <w:szCs w:val="24"/>
          <w:lang w:val="en-GB"/>
        </w:rPr>
        <w:t>Riinvest College, Kosovo. E-mail: artaner@gmail.com</w:t>
      </w:r>
    </w:p>
    <w:p w:rsidR="00A42E17" w:rsidRDefault="00A42E17" w:rsidP="00A42E17">
      <w:pPr>
        <w:pStyle w:val="Heading1"/>
        <w:spacing w:line="360" w:lineRule="auto"/>
        <w:rPr>
          <w:color w:val="auto"/>
          <w:lang w:val="en-US"/>
        </w:rPr>
      </w:pPr>
    </w:p>
    <w:p w:rsidR="00A42E17" w:rsidRDefault="00A42E17" w:rsidP="00BD6735">
      <w:pPr>
        <w:spacing w:line="360" w:lineRule="auto"/>
        <w:jc w:val="both"/>
        <w:rPr>
          <w:rFonts w:ascii="Times New Roman" w:hAnsi="Times New Roman" w:cs="Times New Roman"/>
          <w:sz w:val="24"/>
          <w:szCs w:val="24"/>
        </w:rPr>
      </w:pPr>
    </w:p>
    <w:p w:rsidR="00A42E17" w:rsidRDefault="00A42E17" w:rsidP="00BD6735">
      <w:pPr>
        <w:spacing w:line="360" w:lineRule="auto"/>
        <w:jc w:val="both"/>
        <w:rPr>
          <w:rFonts w:ascii="Times New Roman" w:hAnsi="Times New Roman" w:cs="Times New Roman"/>
          <w:sz w:val="24"/>
          <w:szCs w:val="24"/>
        </w:rPr>
      </w:pPr>
    </w:p>
    <w:p w:rsidR="00BD6735" w:rsidRDefault="00BD6735" w:rsidP="00B13417">
      <w:pPr>
        <w:pStyle w:val="Heading1"/>
        <w:spacing w:line="360" w:lineRule="auto"/>
        <w:rPr>
          <w:color w:val="000000" w:themeColor="text1"/>
        </w:rPr>
      </w:pPr>
    </w:p>
    <w:p w:rsidR="00A42E17" w:rsidRDefault="00A42E17" w:rsidP="00A42E17">
      <w:pPr>
        <w:rPr>
          <w:lang w:val="en-GB"/>
        </w:rPr>
      </w:pPr>
    </w:p>
    <w:p w:rsidR="00A42E17" w:rsidRDefault="00A42E17" w:rsidP="00A42E17">
      <w:pPr>
        <w:rPr>
          <w:lang w:val="en-GB"/>
        </w:rPr>
      </w:pPr>
    </w:p>
    <w:p w:rsidR="00A42E17" w:rsidRDefault="00A42E17" w:rsidP="00A42E17">
      <w:pPr>
        <w:rPr>
          <w:lang w:val="en-GB"/>
        </w:rPr>
      </w:pPr>
    </w:p>
    <w:p w:rsidR="00A42E17" w:rsidRDefault="00A42E17" w:rsidP="00A42E17">
      <w:pPr>
        <w:rPr>
          <w:lang w:val="en-GB"/>
        </w:rPr>
      </w:pPr>
    </w:p>
    <w:p w:rsidR="00A42E17" w:rsidRDefault="00A42E17" w:rsidP="00A42E17">
      <w:pPr>
        <w:rPr>
          <w:lang w:val="en-GB"/>
        </w:rPr>
      </w:pPr>
    </w:p>
    <w:p w:rsidR="00A42E17" w:rsidRPr="00A42E17" w:rsidRDefault="00A42E17" w:rsidP="00A42E17">
      <w:pPr>
        <w:rPr>
          <w:lang w:val="en-GB"/>
        </w:rPr>
      </w:pPr>
    </w:p>
    <w:p w:rsidR="00A42E17" w:rsidRDefault="00A42E17" w:rsidP="00A42E17"/>
    <w:p w:rsidR="00A42E17" w:rsidRDefault="00A42E17" w:rsidP="00CF4A4B">
      <w:pPr>
        <w:spacing w:after="0" w:line="360" w:lineRule="auto"/>
        <w:jc w:val="both"/>
      </w:pPr>
    </w:p>
    <w:p w:rsidR="00A42E17" w:rsidRPr="00A42E17" w:rsidRDefault="00A42E17" w:rsidP="00A42E17">
      <w:pPr>
        <w:pStyle w:val="Heading1"/>
        <w:spacing w:line="360" w:lineRule="auto"/>
        <w:rPr>
          <w:color w:val="000000" w:themeColor="text1"/>
        </w:rPr>
      </w:pPr>
      <w:r w:rsidRPr="00A42E17">
        <w:rPr>
          <w:color w:val="000000" w:themeColor="text1"/>
        </w:rPr>
        <w:lastRenderedPageBreak/>
        <w:t xml:space="preserve">Abstract </w:t>
      </w:r>
    </w:p>
    <w:p w:rsidR="00A42E17" w:rsidRPr="001E2721" w:rsidRDefault="00A42E17" w:rsidP="00A42E17">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This paper assesses the impact of human capital endowments on international competitiveness in Europe, with special reference to transition economies in Central and Eastern Europe (CEE). The analysis uses longitudinal data for 27 European economies over the period 1995-2010. In line with the orthodox theory, a positive relationship is found between the labor force’s level of educational attainment and competitiveness. While in the European Economic Area (EEA17) tertiary education is the only significant education-based determinant of the export market share, in CEECs both the shares of the workforce with secondary and tertiary education are significant with the former having a greater impact. Some evidence is found for the hypothesized impact of the quality of education.</w:t>
      </w:r>
    </w:p>
    <w:p w:rsidR="00A42E17" w:rsidRDefault="00A42E17" w:rsidP="00CF4A4B">
      <w:pPr>
        <w:spacing w:after="0" w:line="360" w:lineRule="auto"/>
        <w:jc w:val="both"/>
        <w:rPr>
          <w:rFonts w:ascii="Times New Roman" w:eastAsia="Times New Roman" w:hAnsi="Times New Roman" w:cs="Times New Roman"/>
          <w:sz w:val="24"/>
          <w:szCs w:val="24"/>
        </w:rPr>
      </w:pPr>
    </w:p>
    <w:p w:rsidR="00CF4A4B" w:rsidRPr="001E2721" w:rsidRDefault="00CF4A4B" w:rsidP="00CF4A4B">
      <w:pPr>
        <w:spacing w:after="0" w:line="360" w:lineRule="auto"/>
        <w:jc w:val="both"/>
        <w:rPr>
          <w:rFonts w:ascii="Times New Roman" w:eastAsia="Times New Roman" w:hAnsi="Times New Roman" w:cs="Times New Roman"/>
          <w:sz w:val="24"/>
          <w:szCs w:val="24"/>
        </w:rPr>
      </w:pPr>
      <w:r w:rsidRPr="001E2721">
        <w:rPr>
          <w:rFonts w:ascii="Times New Roman" w:eastAsia="Times New Roman" w:hAnsi="Times New Roman" w:cs="Times New Roman"/>
          <w:sz w:val="24"/>
          <w:szCs w:val="24"/>
        </w:rPr>
        <w:t>JEL Classification: F10, F14, I25</w:t>
      </w:r>
    </w:p>
    <w:p w:rsidR="00CF4A4B" w:rsidRPr="001E2721" w:rsidRDefault="00CF4A4B" w:rsidP="003F6E7D">
      <w:pPr>
        <w:spacing w:after="0" w:line="360" w:lineRule="auto"/>
        <w:jc w:val="both"/>
        <w:rPr>
          <w:rFonts w:ascii="Times New Roman" w:eastAsia="Times New Roman" w:hAnsi="Times New Roman" w:cs="Times New Roman"/>
          <w:bCs/>
          <w:iCs/>
          <w:sz w:val="24"/>
          <w:szCs w:val="24"/>
        </w:rPr>
      </w:pPr>
      <w:r w:rsidRPr="001E2721">
        <w:rPr>
          <w:rFonts w:ascii="Times New Roman" w:eastAsia="Times New Roman" w:hAnsi="Times New Roman" w:cs="Times New Roman"/>
          <w:sz w:val="24"/>
          <w:szCs w:val="24"/>
        </w:rPr>
        <w:t xml:space="preserve">Key words: </w:t>
      </w:r>
      <w:r w:rsidRPr="001E2721">
        <w:rPr>
          <w:rFonts w:ascii="Times New Roman" w:eastAsia="Times New Roman" w:hAnsi="Times New Roman" w:cs="Times New Roman"/>
          <w:bCs/>
          <w:iCs/>
          <w:sz w:val="24"/>
          <w:szCs w:val="24"/>
        </w:rPr>
        <w:t xml:space="preserve"> International competitiveness, export market share, education</w:t>
      </w:r>
      <w:r w:rsidR="005B05A7" w:rsidRPr="001E2721">
        <w:rPr>
          <w:rFonts w:ascii="Times New Roman" w:eastAsia="Times New Roman" w:hAnsi="Times New Roman" w:cs="Times New Roman"/>
          <w:bCs/>
          <w:iCs/>
          <w:sz w:val="24"/>
          <w:szCs w:val="24"/>
        </w:rPr>
        <w:t>al</w:t>
      </w:r>
      <w:r w:rsidRPr="001E2721">
        <w:rPr>
          <w:rFonts w:ascii="Times New Roman" w:eastAsia="Times New Roman" w:hAnsi="Times New Roman" w:cs="Times New Roman"/>
          <w:bCs/>
          <w:iCs/>
          <w:sz w:val="24"/>
          <w:szCs w:val="24"/>
        </w:rPr>
        <w:t xml:space="preserve"> attainment, quality of education, transition economies</w:t>
      </w:r>
    </w:p>
    <w:p w:rsidR="007765F1" w:rsidRPr="001E2721" w:rsidRDefault="007765F1" w:rsidP="003F6E7D">
      <w:pPr>
        <w:spacing w:after="0" w:line="360" w:lineRule="auto"/>
        <w:jc w:val="both"/>
        <w:rPr>
          <w:rFonts w:ascii="Times New Roman" w:eastAsia="Times New Roman" w:hAnsi="Times New Roman" w:cs="Times New Roman"/>
          <w:bCs/>
          <w:iCs/>
          <w:sz w:val="24"/>
          <w:szCs w:val="24"/>
        </w:rPr>
      </w:pPr>
    </w:p>
    <w:p w:rsidR="007765F1" w:rsidRDefault="00315E7F" w:rsidP="003F6E7D">
      <w:pPr>
        <w:spacing w:after="0" w:line="360" w:lineRule="auto"/>
        <w:jc w:val="both"/>
        <w:rPr>
          <w:rFonts w:ascii="Times New Roman" w:hAnsi="Times New Roman" w:cs="Times New Roman"/>
          <w:sz w:val="20"/>
          <w:szCs w:val="20"/>
        </w:rPr>
      </w:pPr>
      <w:r w:rsidRPr="00315E7F">
        <w:rPr>
          <w:rFonts w:ascii="Times New Roman" w:eastAsia="Times New Roman" w:hAnsi="Times New Roman" w:cs="Times New Roman"/>
          <w:sz w:val="20"/>
          <w:szCs w:val="20"/>
        </w:rPr>
        <w:t>Acknowledgments</w:t>
      </w:r>
      <w:r>
        <w:rPr>
          <w:rFonts w:ascii="Times New Roman" w:eastAsia="Times New Roman" w:hAnsi="Times New Roman" w:cs="Times New Roman"/>
          <w:sz w:val="20"/>
          <w:szCs w:val="20"/>
        </w:rPr>
        <w:t xml:space="preserve">: </w:t>
      </w:r>
      <w:r w:rsidR="007765F1" w:rsidRPr="001E2721">
        <w:rPr>
          <w:rFonts w:ascii="Times New Roman" w:eastAsia="Times New Roman" w:hAnsi="Times New Roman" w:cs="Times New Roman"/>
          <w:sz w:val="20"/>
          <w:szCs w:val="20"/>
        </w:rPr>
        <w:t xml:space="preserve">We thank the </w:t>
      </w:r>
      <w:r w:rsidR="007765F1" w:rsidRPr="001E2721">
        <w:rPr>
          <w:rFonts w:ascii="Times New Roman" w:hAnsi="Times New Roman" w:cs="Times New Roman"/>
          <w:sz w:val="20"/>
          <w:szCs w:val="20"/>
        </w:rPr>
        <w:t>anonymous referee</w:t>
      </w:r>
      <w:r w:rsidR="00DE4C79">
        <w:rPr>
          <w:rFonts w:ascii="Times New Roman" w:hAnsi="Times New Roman" w:cs="Times New Roman"/>
          <w:sz w:val="20"/>
          <w:szCs w:val="20"/>
        </w:rPr>
        <w:t>s</w:t>
      </w:r>
      <w:r w:rsidR="007765F1" w:rsidRPr="001E2721">
        <w:rPr>
          <w:rFonts w:ascii="Times New Roman" w:hAnsi="Times New Roman" w:cs="Times New Roman"/>
          <w:sz w:val="20"/>
          <w:szCs w:val="20"/>
        </w:rPr>
        <w:t xml:space="preserve"> </w:t>
      </w:r>
      <w:r w:rsidR="00EA5061">
        <w:rPr>
          <w:rFonts w:ascii="Times New Roman" w:hAnsi="Times New Roman" w:cs="Times New Roman"/>
          <w:sz w:val="20"/>
          <w:szCs w:val="20"/>
        </w:rPr>
        <w:t>and the editor</w:t>
      </w:r>
      <w:r w:rsidR="006D210E">
        <w:rPr>
          <w:rFonts w:ascii="Times New Roman" w:hAnsi="Times New Roman" w:cs="Times New Roman"/>
          <w:sz w:val="20"/>
          <w:szCs w:val="20"/>
        </w:rPr>
        <w:t xml:space="preserve"> </w:t>
      </w:r>
      <w:r w:rsidR="007765F1" w:rsidRPr="001E2721">
        <w:rPr>
          <w:rFonts w:ascii="Times New Roman" w:hAnsi="Times New Roman" w:cs="Times New Roman"/>
          <w:sz w:val="20"/>
          <w:szCs w:val="20"/>
        </w:rPr>
        <w:t>for their helpful comments and suggestions.</w:t>
      </w:r>
    </w:p>
    <w:p w:rsidR="00BD6735" w:rsidRDefault="00BD6735" w:rsidP="003F6E7D">
      <w:pPr>
        <w:spacing w:after="0" w:line="360" w:lineRule="auto"/>
        <w:jc w:val="both"/>
        <w:rPr>
          <w:rFonts w:ascii="Times New Roman" w:hAnsi="Times New Roman" w:cs="Times New Roman"/>
          <w:sz w:val="20"/>
          <w:szCs w:val="20"/>
        </w:rPr>
      </w:pPr>
    </w:p>
    <w:p w:rsidR="00426082" w:rsidRPr="001E2721" w:rsidRDefault="002945E2" w:rsidP="00E816EB">
      <w:pPr>
        <w:pStyle w:val="Heading1"/>
        <w:spacing w:line="360" w:lineRule="auto"/>
        <w:rPr>
          <w:color w:val="auto"/>
          <w:lang w:val="en-US"/>
        </w:rPr>
      </w:pPr>
      <w:r w:rsidRPr="001E2721">
        <w:rPr>
          <w:color w:val="auto"/>
          <w:lang w:val="en-US"/>
        </w:rPr>
        <w:t xml:space="preserve">1. </w:t>
      </w:r>
      <w:r w:rsidR="00E42551" w:rsidRPr="001E2721">
        <w:rPr>
          <w:color w:val="auto"/>
          <w:lang w:val="en-US"/>
        </w:rPr>
        <w:t xml:space="preserve">Introduction </w:t>
      </w:r>
    </w:p>
    <w:p w:rsidR="00934BF5" w:rsidRPr="001E2721" w:rsidRDefault="000F0D23" w:rsidP="00934BF5">
      <w:pPr>
        <w:spacing w:line="360" w:lineRule="auto"/>
        <w:jc w:val="both"/>
        <w:rPr>
          <w:rFonts w:ascii="Times New Roman" w:hAnsi="Times New Roman" w:cs="Times New Roman"/>
          <w:sz w:val="24"/>
          <w:szCs w:val="24"/>
        </w:rPr>
      </w:pPr>
      <w:r w:rsidRPr="001E2721">
        <w:rPr>
          <w:rFonts w:ascii="Times New Roman" w:hAnsi="Times New Roman" w:cs="Times New Roman"/>
          <w:sz w:val="24"/>
          <w:szCs w:val="24"/>
        </w:rPr>
        <w:t>In a globalized economy, maintaining and increasing international competitiveness is a major challenge, particularly for transition economies. The increased openness and integration</w:t>
      </w:r>
      <w:r w:rsidR="00E13BF4" w:rsidRPr="001E2721">
        <w:rPr>
          <w:rFonts w:ascii="Times New Roman" w:hAnsi="Times New Roman" w:cs="Times New Roman"/>
          <w:sz w:val="24"/>
          <w:szCs w:val="24"/>
        </w:rPr>
        <w:t>,</w:t>
      </w:r>
      <w:r w:rsidRPr="001E2721">
        <w:rPr>
          <w:rFonts w:ascii="Times New Roman" w:hAnsi="Times New Roman" w:cs="Times New Roman"/>
          <w:sz w:val="24"/>
          <w:szCs w:val="24"/>
        </w:rPr>
        <w:t xml:space="preserve"> which began with the transformation from centrally planned to market economies</w:t>
      </w:r>
      <w:r w:rsidR="00E13BF4" w:rsidRPr="001E2721">
        <w:rPr>
          <w:rFonts w:ascii="Times New Roman" w:hAnsi="Times New Roman" w:cs="Times New Roman"/>
          <w:sz w:val="24"/>
          <w:szCs w:val="24"/>
        </w:rPr>
        <w:t>,</w:t>
      </w:r>
      <w:r w:rsidRPr="001E2721">
        <w:rPr>
          <w:rFonts w:ascii="Times New Roman" w:hAnsi="Times New Roman" w:cs="Times New Roman"/>
          <w:sz w:val="24"/>
          <w:szCs w:val="24"/>
        </w:rPr>
        <w:t xml:space="preserve"> has been accompanied by improved international competi</w:t>
      </w:r>
      <w:r w:rsidR="005726CE" w:rsidRPr="001E2721">
        <w:rPr>
          <w:rFonts w:ascii="Times New Roman" w:hAnsi="Times New Roman" w:cs="Times New Roman"/>
          <w:sz w:val="24"/>
          <w:szCs w:val="24"/>
        </w:rPr>
        <w:t>ti</w:t>
      </w:r>
      <w:r w:rsidRPr="001E2721">
        <w:rPr>
          <w:rFonts w:ascii="Times New Roman" w:hAnsi="Times New Roman" w:cs="Times New Roman"/>
          <w:sz w:val="24"/>
          <w:szCs w:val="24"/>
        </w:rPr>
        <w:t>veness in the majority of Central and Eastern European countries</w:t>
      </w:r>
      <w:r w:rsidR="00BD6830" w:rsidRPr="001E2721">
        <w:rPr>
          <w:rFonts w:ascii="Times New Roman" w:hAnsi="Times New Roman" w:cs="Times New Roman"/>
          <w:sz w:val="24"/>
          <w:szCs w:val="24"/>
        </w:rPr>
        <w:t xml:space="preserve"> (CEECs)</w:t>
      </w:r>
      <w:r w:rsidRPr="001E2721">
        <w:rPr>
          <w:rFonts w:ascii="Times New Roman" w:hAnsi="Times New Roman" w:cs="Times New Roman"/>
          <w:sz w:val="24"/>
          <w:szCs w:val="24"/>
        </w:rPr>
        <w:t xml:space="preserve">. As a complex and multifaceted concept, international competitiveness has been elaborated quite extensively in the literature. </w:t>
      </w:r>
      <w:r w:rsidRPr="001E2721">
        <w:rPr>
          <w:rFonts w:ascii="Times New Roman" w:hAnsi="Times New Roman" w:cs="Times New Roman"/>
          <w:iCs/>
          <w:sz w:val="24"/>
          <w:szCs w:val="24"/>
        </w:rPr>
        <w:t xml:space="preserve">The vast majority of studies investigating the concept of </w:t>
      </w:r>
      <w:r w:rsidRPr="00E32792">
        <w:rPr>
          <w:rFonts w:ascii="Times New Roman" w:hAnsi="Times New Roman" w:cs="Times New Roman"/>
          <w:iCs/>
          <w:sz w:val="24"/>
          <w:szCs w:val="24"/>
        </w:rPr>
        <w:t>international competitiveness at the macro level have focused predominantly on constructing and developing competitiveness indicators and indices with the purpose of ranking and comparing trends across sectors or countries</w:t>
      </w:r>
      <w:r w:rsidR="00E46C36" w:rsidRPr="00E32792">
        <w:rPr>
          <w:rFonts w:ascii="Times New Roman" w:hAnsi="Times New Roman" w:cs="Times New Roman"/>
          <w:iCs/>
          <w:sz w:val="24"/>
          <w:szCs w:val="24"/>
        </w:rPr>
        <w:t xml:space="preserve"> </w:t>
      </w:r>
      <w:r w:rsidR="005A510B" w:rsidRPr="00E32792">
        <w:rPr>
          <w:rFonts w:ascii="Times New Roman" w:hAnsi="Times New Roman" w:cs="Times New Roman"/>
          <w:sz w:val="24"/>
          <w:szCs w:val="24"/>
        </w:rPr>
        <w:t>(</w:t>
      </w:r>
      <w:r w:rsidR="00F0092E" w:rsidRPr="00E32792">
        <w:rPr>
          <w:rFonts w:ascii="Times New Roman" w:hAnsi="Times New Roman" w:cs="Times New Roman"/>
          <w:sz w:val="24"/>
          <w:szCs w:val="24"/>
        </w:rPr>
        <w:t>Herciu, 2013, Startienė and Remeikien, 2014, Carraresi and Banterle, 2015</w:t>
      </w:r>
      <w:r w:rsidR="00E46C36" w:rsidRPr="00E32792">
        <w:rPr>
          <w:rFonts w:ascii="Times New Roman" w:hAnsi="Times New Roman" w:cs="Times New Roman"/>
          <w:sz w:val="24"/>
          <w:szCs w:val="24"/>
        </w:rPr>
        <w:t>)</w:t>
      </w:r>
      <w:r w:rsidRPr="00E32792">
        <w:rPr>
          <w:rFonts w:ascii="Times New Roman" w:hAnsi="Times New Roman" w:cs="Times New Roman"/>
          <w:iCs/>
          <w:sz w:val="24"/>
          <w:szCs w:val="24"/>
        </w:rPr>
        <w:t>. H</w:t>
      </w:r>
      <w:r w:rsidRPr="00E32792">
        <w:rPr>
          <w:rFonts w:ascii="Times New Roman" w:hAnsi="Times New Roman" w:cs="Times New Roman"/>
          <w:sz w:val="24"/>
          <w:szCs w:val="24"/>
        </w:rPr>
        <w:t>owever, its definition and measurement remain contentious, with no agreement on the superiority of any single measure</w:t>
      </w:r>
      <w:r w:rsidRPr="001E2721">
        <w:rPr>
          <w:rFonts w:ascii="Times New Roman" w:hAnsi="Times New Roman" w:cs="Times New Roman"/>
          <w:sz w:val="24"/>
          <w:szCs w:val="24"/>
        </w:rPr>
        <w:t xml:space="preserve">. </w:t>
      </w:r>
    </w:p>
    <w:p w:rsidR="00892C0A" w:rsidRDefault="00892C0A" w:rsidP="00892C0A">
      <w:pPr>
        <w:spacing w:line="360" w:lineRule="auto"/>
        <w:jc w:val="both"/>
        <w:rPr>
          <w:rFonts w:ascii="Times New Roman" w:hAnsi="Times New Roman" w:cs="Times New Roman"/>
          <w:sz w:val="24"/>
          <w:szCs w:val="24"/>
          <w:lang w:val="en-GB"/>
        </w:rPr>
      </w:pPr>
      <w:r w:rsidRPr="00AD38BD">
        <w:rPr>
          <w:rFonts w:ascii="Times New Roman" w:hAnsi="Times New Roman" w:cs="Times New Roman"/>
          <w:iCs/>
          <w:sz w:val="24"/>
          <w:szCs w:val="24"/>
          <w:lang w:val="en-GB"/>
        </w:rPr>
        <w:lastRenderedPageBreak/>
        <w:t xml:space="preserve">Despite the abundance of studies on the measurement of international competitiveness, potential determinants of international competitiveness have received little attention with human capital being particularly under-researched. </w:t>
      </w:r>
      <w:r>
        <w:rPr>
          <w:rFonts w:ascii="Times New Roman" w:hAnsi="Times New Roman" w:cs="Times New Roman"/>
          <w:sz w:val="24"/>
          <w:szCs w:val="24"/>
          <w:lang w:val="en-GB"/>
        </w:rPr>
        <w:t>G</w:t>
      </w:r>
      <w:r w:rsidRPr="00AD38BD">
        <w:rPr>
          <w:rFonts w:ascii="Times New Roman" w:hAnsi="Times New Roman" w:cs="Times New Roman"/>
          <w:sz w:val="24"/>
          <w:szCs w:val="24"/>
          <w:lang w:val="en-GB"/>
        </w:rPr>
        <w:t xml:space="preserve">iven the lack of evidence in the context of transition economies, particularly at aggregated levels of investigation, this paper </w:t>
      </w:r>
      <w:r>
        <w:rPr>
          <w:rFonts w:ascii="Times New Roman" w:hAnsi="Times New Roman" w:cs="Times New Roman"/>
          <w:sz w:val="24"/>
          <w:szCs w:val="24"/>
          <w:lang w:val="en-GB"/>
        </w:rPr>
        <w:t xml:space="preserve">fills the void by </w:t>
      </w:r>
      <w:r w:rsidRPr="00AD38BD">
        <w:rPr>
          <w:rFonts w:ascii="Times New Roman" w:hAnsi="Times New Roman" w:cs="Times New Roman"/>
          <w:sz w:val="24"/>
          <w:szCs w:val="24"/>
          <w:lang w:val="en-GB"/>
        </w:rPr>
        <w:t>asses</w:t>
      </w:r>
      <w:r>
        <w:rPr>
          <w:rFonts w:ascii="Times New Roman" w:hAnsi="Times New Roman" w:cs="Times New Roman"/>
          <w:sz w:val="24"/>
          <w:szCs w:val="24"/>
          <w:lang w:val="en-GB"/>
        </w:rPr>
        <w:t>sing</w:t>
      </w:r>
      <w:r w:rsidRPr="00AD38BD">
        <w:rPr>
          <w:rFonts w:ascii="Times New Roman" w:hAnsi="Times New Roman" w:cs="Times New Roman"/>
          <w:sz w:val="24"/>
          <w:szCs w:val="24"/>
          <w:lang w:val="en-GB"/>
        </w:rPr>
        <w:t xml:space="preserve"> empirically the impact of several human capital measures on international competitiveness using longitudinal data for the period 1995-2010. </w:t>
      </w:r>
      <w:r w:rsidRPr="00E32792">
        <w:rPr>
          <w:rFonts w:ascii="Times New Roman" w:hAnsi="Times New Roman" w:cs="Times New Roman"/>
          <w:sz w:val="24"/>
          <w:szCs w:val="24"/>
          <w:lang w:val="en-GB"/>
        </w:rPr>
        <w:t xml:space="preserve">The key research questions addressed in this paper are: firstly, to what extent the improvements in </w:t>
      </w:r>
      <w:r w:rsidR="0041617E" w:rsidRPr="00E32792">
        <w:rPr>
          <w:rFonts w:ascii="Times New Roman" w:hAnsi="Times New Roman" w:cs="Times New Roman"/>
          <w:sz w:val="24"/>
          <w:szCs w:val="24"/>
          <w:lang w:val="en-GB"/>
        </w:rPr>
        <w:t xml:space="preserve">the </w:t>
      </w:r>
      <w:r w:rsidRPr="00E32792">
        <w:rPr>
          <w:rFonts w:ascii="Times New Roman" w:hAnsi="Times New Roman" w:cs="Times New Roman"/>
          <w:sz w:val="24"/>
          <w:szCs w:val="24"/>
          <w:lang w:val="en-GB"/>
        </w:rPr>
        <w:t>international competitiveness of the transition economies of Central and Eastern Europe</w:t>
      </w:r>
      <w:r w:rsidR="009E02B6" w:rsidRPr="00E32792">
        <w:rPr>
          <w:rFonts w:ascii="Times New Roman" w:hAnsi="Times New Roman" w:cs="Times New Roman"/>
          <w:sz w:val="24"/>
          <w:szCs w:val="24"/>
          <w:lang w:val="en-GB"/>
        </w:rPr>
        <w:t xml:space="preserve"> (CEE)</w:t>
      </w:r>
      <w:r w:rsidRPr="00E32792">
        <w:rPr>
          <w:rStyle w:val="FootnoteReference"/>
          <w:rFonts w:ascii="Times New Roman" w:hAnsi="Times New Roman" w:cs="Times New Roman"/>
          <w:sz w:val="24"/>
          <w:szCs w:val="24"/>
          <w:lang w:val="en-GB"/>
        </w:rPr>
        <w:footnoteReference w:id="2"/>
      </w:r>
      <w:r w:rsidRPr="00E32792">
        <w:rPr>
          <w:rFonts w:ascii="Times New Roman" w:hAnsi="Times New Roman" w:cs="Times New Roman"/>
          <w:sz w:val="24"/>
          <w:szCs w:val="24"/>
          <w:lang w:val="en-GB"/>
        </w:rPr>
        <w:t xml:space="preserve"> can be explained by improvements in their human capital stock. Secondly, can the differences in competitiveness performance across these countries be explained by differences in the quality and quantity of their stock of human capital? Finally, does the relationship between human capital and competitiveness differ between the transition economies of CEE and those of the European Economic Area (EEA17)?</w:t>
      </w:r>
      <w:r w:rsidRPr="00683C9D">
        <w:rPr>
          <w:rFonts w:ascii="Times New Roman" w:hAnsi="Times New Roman" w:cs="Times New Roman"/>
          <w:sz w:val="24"/>
          <w:szCs w:val="24"/>
          <w:lang w:val="en-GB"/>
        </w:rPr>
        <w:t xml:space="preserve"> </w:t>
      </w:r>
    </w:p>
    <w:p w:rsidR="00892C0A" w:rsidRDefault="00892C0A" w:rsidP="00892C0A">
      <w:pPr>
        <w:spacing w:line="360" w:lineRule="auto"/>
        <w:jc w:val="both"/>
        <w:rPr>
          <w:rFonts w:ascii="Times New Roman" w:hAnsi="Times New Roman" w:cs="Times New Roman"/>
          <w:sz w:val="24"/>
          <w:szCs w:val="24"/>
          <w:lang w:val="en-GB"/>
        </w:rPr>
      </w:pPr>
      <w:r w:rsidRPr="00E32792">
        <w:rPr>
          <w:rFonts w:ascii="Times New Roman" w:hAnsi="Times New Roman" w:cs="Times New Roman"/>
          <w:sz w:val="24"/>
          <w:szCs w:val="24"/>
          <w:lang w:val="en-GB"/>
        </w:rPr>
        <w:t>Whilst addressing these research questions, we make several contributions to the literature. Firstly, we address an issue that has not been well researched not only in the context of transition economies but also in terms of the role of human capital in international competitiveness. Since the ability to compete in international markets is regarded as an important indication of the economic performance of countries, we adopt an export-based approach to proxy international competitiveness. Our empirical approach is innovative in two ways: (i) we address the potential endogeneity of educational attainment as well as two of our control variables (patent applications and foreign direct investment) by applying a fixed effects instrumental variable approach, (ii) we estimate the effects of time-invariant and slowly changing explanatory variables by applying fixed effects vector decomposition and Hausman-Taylor estimat</w:t>
      </w:r>
      <w:r w:rsidR="00AE0966" w:rsidRPr="00E32792">
        <w:rPr>
          <w:rFonts w:ascii="Times New Roman" w:hAnsi="Times New Roman" w:cs="Times New Roman"/>
          <w:sz w:val="24"/>
          <w:szCs w:val="24"/>
          <w:lang w:val="en-GB"/>
        </w:rPr>
        <w:t>ors</w:t>
      </w:r>
      <w:r w:rsidRPr="00E32792">
        <w:rPr>
          <w:rFonts w:ascii="Times New Roman" w:hAnsi="Times New Roman" w:cs="Times New Roman"/>
          <w:sz w:val="24"/>
          <w:szCs w:val="24"/>
          <w:lang w:val="en-GB"/>
        </w:rPr>
        <w:t xml:space="preserve">. </w:t>
      </w:r>
      <w:r w:rsidR="0041617E" w:rsidRPr="00E32792">
        <w:rPr>
          <w:rFonts w:ascii="Times New Roman" w:hAnsi="Times New Roman" w:cs="Times New Roman"/>
          <w:sz w:val="24"/>
          <w:szCs w:val="24"/>
          <w:lang w:val="en-GB"/>
        </w:rPr>
        <w:t>In contrast to</w:t>
      </w:r>
      <w:r w:rsidRPr="00E32792">
        <w:rPr>
          <w:rFonts w:ascii="Times New Roman" w:hAnsi="Times New Roman" w:cs="Times New Roman"/>
          <w:sz w:val="24"/>
          <w:szCs w:val="24"/>
          <w:lang w:val="en-GB"/>
        </w:rPr>
        <w:t xml:space="preserve"> the common approach of approximating human capital with the level educational attainment only, this study </w:t>
      </w:r>
      <w:r w:rsidR="006D210E">
        <w:rPr>
          <w:rFonts w:ascii="Times New Roman" w:hAnsi="Times New Roman" w:cs="Times New Roman"/>
          <w:sz w:val="24"/>
          <w:szCs w:val="24"/>
          <w:lang w:val="en-GB"/>
        </w:rPr>
        <w:t xml:space="preserve">also </w:t>
      </w:r>
      <w:r w:rsidRPr="00E32792">
        <w:rPr>
          <w:rFonts w:ascii="Times New Roman" w:hAnsi="Times New Roman" w:cs="Times New Roman"/>
          <w:sz w:val="24"/>
          <w:szCs w:val="24"/>
          <w:lang w:val="en-GB"/>
        </w:rPr>
        <w:t>introduces the quality of education. To th</w:t>
      </w:r>
      <w:r w:rsidR="004F4EC0" w:rsidRPr="00E32792">
        <w:rPr>
          <w:rFonts w:ascii="Times New Roman" w:hAnsi="Times New Roman" w:cs="Times New Roman"/>
          <w:sz w:val="24"/>
          <w:szCs w:val="24"/>
          <w:lang w:val="en-GB"/>
        </w:rPr>
        <w:t>e</w:t>
      </w:r>
      <w:r w:rsidRPr="00E32792">
        <w:rPr>
          <w:rFonts w:ascii="Times New Roman" w:hAnsi="Times New Roman" w:cs="Times New Roman"/>
          <w:sz w:val="24"/>
          <w:szCs w:val="24"/>
          <w:lang w:val="en-GB"/>
        </w:rPr>
        <w:t xml:space="preserve"> authors’ knowledge, this is the only study that highlights the importance of </w:t>
      </w:r>
      <w:r w:rsidR="0041617E" w:rsidRPr="00E32792">
        <w:rPr>
          <w:rFonts w:ascii="Times New Roman" w:hAnsi="Times New Roman" w:cs="Times New Roman"/>
          <w:sz w:val="24"/>
          <w:szCs w:val="24"/>
          <w:lang w:val="en-GB"/>
        </w:rPr>
        <w:t xml:space="preserve">the </w:t>
      </w:r>
      <w:r w:rsidRPr="00E32792">
        <w:rPr>
          <w:rFonts w:ascii="Times New Roman" w:hAnsi="Times New Roman" w:cs="Times New Roman"/>
          <w:sz w:val="24"/>
          <w:szCs w:val="24"/>
          <w:lang w:val="en-GB"/>
        </w:rPr>
        <w:t xml:space="preserve">quality of education in international competitiveness. Quality of education is proxied by </w:t>
      </w:r>
      <w:r w:rsidR="00530CAC" w:rsidRPr="00E32792">
        <w:rPr>
          <w:rFonts w:ascii="Times New Roman" w:hAnsi="Times New Roman" w:cs="Times New Roman"/>
          <w:sz w:val="24"/>
          <w:szCs w:val="24"/>
          <w:lang w:val="en-GB"/>
        </w:rPr>
        <w:t>three</w:t>
      </w:r>
      <w:r w:rsidRPr="00E32792">
        <w:rPr>
          <w:rFonts w:ascii="Times New Roman" w:hAnsi="Times New Roman" w:cs="Times New Roman"/>
          <w:sz w:val="24"/>
          <w:szCs w:val="24"/>
          <w:lang w:val="en-GB"/>
        </w:rPr>
        <w:t xml:space="preserve"> alternative cognitive skills measures obtained from Hanushek and Woesmann (2012) and Altinok et al. (2014). Finally, considering the overall performance differences within Europe, we provide a comparative assessment of the transition economies of Central and Eastern Europe (CEECs)</w:t>
      </w:r>
      <w:r w:rsidRPr="00E32792">
        <w:rPr>
          <w:rStyle w:val="FootnoteReference"/>
          <w:rFonts w:ascii="Times New Roman" w:hAnsi="Times New Roman" w:cs="Times New Roman"/>
          <w:sz w:val="24"/>
          <w:szCs w:val="24"/>
          <w:lang w:val="en-GB"/>
        </w:rPr>
        <w:footnoteReference w:id="3"/>
      </w:r>
      <w:r w:rsidRPr="00E32792">
        <w:rPr>
          <w:rFonts w:ascii="Times New Roman" w:hAnsi="Times New Roman" w:cs="Times New Roman"/>
          <w:sz w:val="24"/>
          <w:szCs w:val="24"/>
          <w:lang w:val="en-GB"/>
        </w:rPr>
        <w:t xml:space="preserve"> with the European Economic Area (EEA17). Having separate country group analysis allows an assessment of the heterogeneity between them and enables separate inferences to be drawn in regard to the hypothesized impact of human capital.</w:t>
      </w:r>
      <w:r w:rsidRPr="00AD38BD">
        <w:rPr>
          <w:rFonts w:ascii="Times New Roman" w:hAnsi="Times New Roman" w:cs="Times New Roman"/>
          <w:sz w:val="24"/>
          <w:szCs w:val="24"/>
          <w:lang w:val="en-GB"/>
        </w:rPr>
        <w:t xml:space="preserve"> </w:t>
      </w:r>
    </w:p>
    <w:p w:rsidR="00892C0A" w:rsidRPr="00AD38BD" w:rsidRDefault="00892C0A" w:rsidP="00892C0A">
      <w:pPr>
        <w:spacing w:line="360" w:lineRule="auto"/>
        <w:jc w:val="both"/>
        <w:rPr>
          <w:rFonts w:ascii="Times New Roman" w:hAnsi="Times New Roman" w:cs="Times New Roman"/>
          <w:sz w:val="24"/>
          <w:szCs w:val="24"/>
          <w:lang w:val="en-GB"/>
        </w:rPr>
      </w:pPr>
      <w:r w:rsidRPr="00683C9D">
        <w:rPr>
          <w:rFonts w:ascii="Times New Roman" w:hAnsi="Times New Roman" w:cs="Times New Roman"/>
          <w:sz w:val="24"/>
          <w:szCs w:val="24"/>
          <w:lang w:val="en-GB"/>
        </w:rPr>
        <w:t xml:space="preserve">The </w:t>
      </w:r>
      <w:r w:rsidR="008350BC">
        <w:rPr>
          <w:rFonts w:ascii="Times New Roman" w:hAnsi="Times New Roman" w:cs="Times New Roman"/>
          <w:sz w:val="24"/>
          <w:szCs w:val="24"/>
          <w:lang w:val="en-GB"/>
        </w:rPr>
        <w:t xml:space="preserve">rest </w:t>
      </w:r>
      <w:r w:rsidRPr="00683C9D">
        <w:rPr>
          <w:rFonts w:ascii="Times New Roman" w:hAnsi="Times New Roman" w:cs="Times New Roman"/>
          <w:sz w:val="24"/>
          <w:szCs w:val="24"/>
          <w:lang w:val="en-GB"/>
        </w:rPr>
        <w:t xml:space="preserve">of this paper </w:t>
      </w:r>
      <w:r w:rsidR="00E14616">
        <w:rPr>
          <w:rFonts w:ascii="Times New Roman" w:hAnsi="Times New Roman" w:cs="Times New Roman"/>
          <w:sz w:val="24"/>
          <w:szCs w:val="24"/>
          <w:lang w:val="en-GB"/>
        </w:rPr>
        <w:t>is</w:t>
      </w:r>
      <w:r w:rsidR="00E14616" w:rsidRPr="00683C9D">
        <w:rPr>
          <w:rFonts w:ascii="Times New Roman" w:hAnsi="Times New Roman" w:cs="Times New Roman"/>
          <w:sz w:val="24"/>
          <w:szCs w:val="24"/>
          <w:lang w:val="en-GB"/>
        </w:rPr>
        <w:t xml:space="preserve"> </w:t>
      </w:r>
      <w:r w:rsidRPr="00683C9D">
        <w:rPr>
          <w:rFonts w:ascii="Times New Roman" w:hAnsi="Times New Roman" w:cs="Times New Roman"/>
          <w:sz w:val="24"/>
          <w:szCs w:val="24"/>
          <w:lang w:val="en-GB"/>
        </w:rPr>
        <w:t>organized as follows: section 2 provides a discussion of the characteristics and evolution of international competitiveness and human capital in CEECs.</w:t>
      </w:r>
      <w:r w:rsidRPr="00AD38BD">
        <w:rPr>
          <w:rFonts w:ascii="Times New Roman" w:hAnsi="Times New Roman" w:cs="Times New Roman"/>
          <w:sz w:val="24"/>
          <w:szCs w:val="24"/>
          <w:lang w:val="en-GB"/>
        </w:rPr>
        <w:t xml:space="preserve"> The theoretical framework informing this empirical analysis, focusing on the underlying mechanism of labour productivity, innovation and technology adoption, is presented in section 3. This section also</w:t>
      </w:r>
      <w:r>
        <w:rPr>
          <w:rFonts w:ascii="Times New Roman" w:hAnsi="Times New Roman" w:cs="Times New Roman"/>
          <w:sz w:val="24"/>
          <w:szCs w:val="24"/>
          <w:lang w:val="en-GB"/>
        </w:rPr>
        <w:t xml:space="preserve"> </w:t>
      </w:r>
      <w:r w:rsidRPr="00AD38BD">
        <w:rPr>
          <w:rFonts w:ascii="Times New Roman" w:hAnsi="Times New Roman" w:cs="Times New Roman"/>
          <w:sz w:val="24"/>
          <w:szCs w:val="24"/>
          <w:lang w:val="en-GB"/>
        </w:rPr>
        <w:t>incorporates a review of previous related empirical research and derives the empirical specification adopted in the subsequent analysis. The following section outlines the empirical modelling strategy and assesses the merits of alternative estimation approaches, with a particular focus on addressing the issues of time invariant variables and potential endogeneity. Section 5 reports and interprets the empirical findings. Finally, section 6 summari</w:t>
      </w:r>
      <w:r>
        <w:rPr>
          <w:rFonts w:ascii="Times New Roman" w:hAnsi="Times New Roman" w:cs="Times New Roman"/>
          <w:sz w:val="24"/>
          <w:szCs w:val="24"/>
          <w:lang w:val="en-GB"/>
        </w:rPr>
        <w:t>z</w:t>
      </w:r>
      <w:r w:rsidRPr="00AD38BD">
        <w:rPr>
          <w:rFonts w:ascii="Times New Roman" w:hAnsi="Times New Roman" w:cs="Times New Roman"/>
          <w:sz w:val="24"/>
          <w:szCs w:val="24"/>
          <w:lang w:val="en-GB"/>
        </w:rPr>
        <w:t>es the main findings and concludes.</w:t>
      </w:r>
    </w:p>
    <w:p w:rsidR="00F96B40" w:rsidRPr="001E2721" w:rsidRDefault="00F96B40" w:rsidP="00F96B40">
      <w:pPr>
        <w:pStyle w:val="Heading1"/>
        <w:spacing w:line="360" w:lineRule="auto"/>
        <w:rPr>
          <w:color w:val="auto"/>
          <w:lang w:val="en-US"/>
        </w:rPr>
      </w:pPr>
      <w:r w:rsidRPr="001E2721">
        <w:rPr>
          <w:color w:val="auto"/>
          <w:lang w:val="en-US"/>
        </w:rPr>
        <w:t xml:space="preserve">2. Context of the investigation </w:t>
      </w:r>
    </w:p>
    <w:p w:rsidR="002B7A26" w:rsidRPr="00E32792" w:rsidRDefault="002B7A26" w:rsidP="000C6BAE">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 xml:space="preserve">Since the start of </w:t>
      </w:r>
      <w:r w:rsidR="009C363C" w:rsidRPr="00E32792">
        <w:rPr>
          <w:rFonts w:ascii="Times New Roman" w:hAnsi="Times New Roman" w:cs="Times New Roman"/>
          <w:sz w:val="24"/>
          <w:szCs w:val="24"/>
        </w:rPr>
        <w:t xml:space="preserve">the </w:t>
      </w:r>
      <w:r w:rsidRPr="00E32792">
        <w:rPr>
          <w:rFonts w:ascii="Times New Roman" w:hAnsi="Times New Roman" w:cs="Times New Roman"/>
          <w:sz w:val="24"/>
          <w:szCs w:val="24"/>
        </w:rPr>
        <w:t>transition</w:t>
      </w:r>
      <w:r w:rsidR="004C0877" w:rsidRPr="00E32792">
        <w:rPr>
          <w:rFonts w:ascii="Times New Roman" w:hAnsi="Times New Roman" w:cs="Times New Roman"/>
          <w:sz w:val="24"/>
          <w:szCs w:val="24"/>
        </w:rPr>
        <w:t xml:space="preserve"> process</w:t>
      </w:r>
      <w:r w:rsidRPr="00E32792">
        <w:rPr>
          <w:rFonts w:ascii="Times New Roman" w:hAnsi="Times New Roman" w:cs="Times New Roman"/>
          <w:sz w:val="24"/>
          <w:szCs w:val="24"/>
        </w:rPr>
        <w:t xml:space="preserve">, the </w:t>
      </w:r>
      <w:r w:rsidR="008A2E7B" w:rsidRPr="00E32792">
        <w:rPr>
          <w:rFonts w:ascii="Times New Roman" w:hAnsi="Times New Roman" w:cs="Times New Roman"/>
          <w:sz w:val="24"/>
          <w:szCs w:val="24"/>
        </w:rPr>
        <w:t>C</w:t>
      </w:r>
      <w:r w:rsidR="00B952B6" w:rsidRPr="00E32792">
        <w:rPr>
          <w:rFonts w:ascii="Times New Roman" w:hAnsi="Times New Roman" w:cs="Times New Roman"/>
          <w:sz w:val="24"/>
          <w:szCs w:val="24"/>
        </w:rPr>
        <w:t>entral and Eastern European</w:t>
      </w:r>
      <w:r w:rsidR="008F342A" w:rsidRPr="00E32792">
        <w:rPr>
          <w:rFonts w:ascii="Times New Roman" w:hAnsi="Times New Roman" w:cs="Times New Roman"/>
          <w:sz w:val="24"/>
          <w:szCs w:val="24"/>
        </w:rPr>
        <w:t xml:space="preserve"> </w:t>
      </w:r>
      <w:r w:rsidRPr="00E32792">
        <w:rPr>
          <w:rFonts w:ascii="Times New Roman" w:hAnsi="Times New Roman" w:cs="Times New Roman"/>
          <w:sz w:val="24"/>
          <w:szCs w:val="24"/>
        </w:rPr>
        <w:t xml:space="preserve">region has witnessed a rapid and significant growth of exports, which has been accompanied by increasing market shares in world markets. </w:t>
      </w:r>
      <w:r w:rsidR="009C363C" w:rsidRPr="00E32792">
        <w:rPr>
          <w:rFonts w:ascii="Times New Roman" w:hAnsi="Times New Roman" w:cs="Times New Roman"/>
          <w:sz w:val="24"/>
          <w:szCs w:val="24"/>
        </w:rPr>
        <w:t xml:space="preserve">From 1995 to </w:t>
      </w:r>
      <w:r w:rsidR="00C5008A" w:rsidRPr="00E32792">
        <w:rPr>
          <w:rFonts w:ascii="Times New Roman" w:hAnsi="Times New Roman" w:cs="Times New Roman"/>
          <w:sz w:val="24"/>
          <w:szCs w:val="24"/>
        </w:rPr>
        <w:t>2016</w:t>
      </w:r>
      <w:r w:rsidR="009C363C" w:rsidRPr="00E32792">
        <w:rPr>
          <w:rFonts w:ascii="Times New Roman" w:hAnsi="Times New Roman" w:cs="Times New Roman"/>
          <w:sz w:val="24"/>
          <w:szCs w:val="24"/>
        </w:rPr>
        <w:t xml:space="preserve">, the exports of </w:t>
      </w:r>
      <w:r w:rsidR="00C5008A" w:rsidRPr="00E32792">
        <w:rPr>
          <w:rFonts w:ascii="Times New Roman" w:hAnsi="Times New Roman" w:cs="Times New Roman"/>
          <w:sz w:val="24"/>
          <w:szCs w:val="24"/>
        </w:rPr>
        <w:t xml:space="preserve">the </w:t>
      </w:r>
      <w:r w:rsidR="00C6569A" w:rsidRPr="00E32792">
        <w:rPr>
          <w:rFonts w:ascii="Times New Roman" w:hAnsi="Times New Roman" w:cs="Times New Roman"/>
          <w:sz w:val="24"/>
          <w:szCs w:val="24"/>
        </w:rPr>
        <w:t>CEECs</w:t>
      </w:r>
      <w:r w:rsidR="002453E9" w:rsidRPr="00E32792">
        <w:rPr>
          <w:rFonts w:ascii="Times New Roman" w:hAnsi="Times New Roman" w:cs="Times New Roman"/>
          <w:sz w:val="24"/>
          <w:szCs w:val="24"/>
        </w:rPr>
        <w:t xml:space="preserve"> </w:t>
      </w:r>
      <w:r w:rsidR="009C363C" w:rsidRPr="00E32792">
        <w:rPr>
          <w:rFonts w:ascii="Times New Roman" w:hAnsi="Times New Roman" w:cs="Times New Roman"/>
          <w:sz w:val="24"/>
          <w:szCs w:val="24"/>
        </w:rPr>
        <w:t xml:space="preserve">increased by </w:t>
      </w:r>
      <w:r w:rsidR="00C5008A" w:rsidRPr="00E32792">
        <w:rPr>
          <w:rFonts w:ascii="Times New Roman" w:hAnsi="Times New Roman" w:cs="Times New Roman"/>
          <w:sz w:val="24"/>
          <w:szCs w:val="24"/>
        </w:rPr>
        <w:t xml:space="preserve">554 </w:t>
      </w:r>
      <w:r w:rsidR="009C363C" w:rsidRPr="00E32792">
        <w:rPr>
          <w:rFonts w:ascii="Times New Roman" w:hAnsi="Times New Roman" w:cs="Times New Roman"/>
          <w:sz w:val="24"/>
          <w:szCs w:val="24"/>
        </w:rPr>
        <w:t xml:space="preserve">percent, which </w:t>
      </w:r>
      <w:r w:rsidRPr="00E32792">
        <w:rPr>
          <w:rFonts w:ascii="Times New Roman" w:hAnsi="Times New Roman" w:cs="Times New Roman"/>
          <w:sz w:val="24"/>
          <w:szCs w:val="24"/>
        </w:rPr>
        <w:t xml:space="preserve">has been </w:t>
      </w:r>
      <w:r w:rsidR="00C6569A" w:rsidRPr="00E32792">
        <w:rPr>
          <w:rFonts w:ascii="Times New Roman" w:hAnsi="Times New Roman" w:cs="Times New Roman"/>
          <w:sz w:val="24"/>
          <w:szCs w:val="24"/>
        </w:rPr>
        <w:t>associated with</w:t>
      </w:r>
      <w:r w:rsidRPr="00E32792">
        <w:rPr>
          <w:rFonts w:ascii="Times New Roman" w:hAnsi="Times New Roman" w:cs="Times New Roman"/>
          <w:sz w:val="24"/>
          <w:szCs w:val="24"/>
        </w:rPr>
        <w:t xml:space="preserve"> a sign</w:t>
      </w:r>
      <w:r w:rsidR="006423C9" w:rsidRPr="00E32792">
        <w:rPr>
          <w:rFonts w:ascii="Times New Roman" w:hAnsi="Times New Roman" w:cs="Times New Roman"/>
          <w:sz w:val="24"/>
          <w:szCs w:val="24"/>
        </w:rPr>
        <w:t>ificant expansion in the export</w:t>
      </w:r>
      <w:r w:rsidR="00556AB2" w:rsidRPr="00E32792">
        <w:rPr>
          <w:rFonts w:ascii="Times New Roman" w:hAnsi="Times New Roman" w:cs="Times New Roman"/>
          <w:sz w:val="24"/>
          <w:szCs w:val="24"/>
        </w:rPr>
        <w:t>s</w:t>
      </w:r>
      <w:r w:rsidRPr="00E32792">
        <w:rPr>
          <w:rFonts w:ascii="Times New Roman" w:hAnsi="Times New Roman" w:cs="Times New Roman"/>
          <w:sz w:val="24"/>
          <w:szCs w:val="24"/>
        </w:rPr>
        <w:t xml:space="preserve"> to GDP ratio</w:t>
      </w:r>
      <w:r w:rsidR="00DE57B1" w:rsidRPr="00E32792">
        <w:rPr>
          <w:rFonts w:ascii="Times New Roman" w:hAnsi="Times New Roman" w:cs="Times New Roman"/>
          <w:sz w:val="24"/>
          <w:szCs w:val="24"/>
        </w:rPr>
        <w:t xml:space="preserve"> (World Bank, </w:t>
      </w:r>
      <w:r w:rsidR="00C5008A" w:rsidRPr="00E32792">
        <w:rPr>
          <w:rFonts w:ascii="Times New Roman" w:hAnsi="Times New Roman" w:cs="Times New Roman"/>
          <w:sz w:val="24"/>
          <w:szCs w:val="24"/>
        </w:rPr>
        <w:t>2018a</w:t>
      </w:r>
      <w:r w:rsidR="00DE57B1" w:rsidRPr="00E32792">
        <w:rPr>
          <w:rFonts w:ascii="Times New Roman" w:hAnsi="Times New Roman" w:cs="Times New Roman"/>
          <w:sz w:val="24"/>
          <w:szCs w:val="24"/>
        </w:rPr>
        <w:t>)</w:t>
      </w:r>
      <w:r w:rsidRPr="00E32792">
        <w:rPr>
          <w:rFonts w:ascii="Times New Roman" w:hAnsi="Times New Roman" w:cs="Times New Roman"/>
          <w:sz w:val="24"/>
          <w:szCs w:val="24"/>
        </w:rPr>
        <w:t xml:space="preserve">. </w:t>
      </w:r>
      <w:r w:rsidR="004C0877" w:rsidRPr="00E32792">
        <w:rPr>
          <w:rFonts w:ascii="Times New Roman" w:hAnsi="Times New Roman" w:cs="Times New Roman"/>
          <w:sz w:val="24"/>
          <w:szCs w:val="24"/>
        </w:rPr>
        <w:t xml:space="preserve">In </w:t>
      </w:r>
      <w:r w:rsidR="00C5008A" w:rsidRPr="00E32792">
        <w:rPr>
          <w:rFonts w:ascii="Times New Roman" w:hAnsi="Times New Roman" w:cs="Times New Roman"/>
          <w:sz w:val="24"/>
          <w:szCs w:val="24"/>
        </w:rPr>
        <w:t>2016</w:t>
      </w:r>
      <w:r w:rsidR="004C0877" w:rsidRPr="00E32792">
        <w:rPr>
          <w:rFonts w:ascii="Times New Roman" w:hAnsi="Times New Roman" w:cs="Times New Roman"/>
          <w:sz w:val="24"/>
          <w:szCs w:val="24"/>
        </w:rPr>
        <w:t xml:space="preserve">, </w:t>
      </w:r>
      <w:r w:rsidR="000919F8" w:rsidRPr="00E32792">
        <w:rPr>
          <w:rFonts w:ascii="Times New Roman" w:hAnsi="Times New Roman" w:cs="Times New Roman"/>
          <w:sz w:val="24"/>
          <w:szCs w:val="24"/>
        </w:rPr>
        <w:t xml:space="preserve">the </w:t>
      </w:r>
      <w:r w:rsidR="00C5008A" w:rsidRPr="00E32792">
        <w:rPr>
          <w:rFonts w:ascii="Times New Roman" w:hAnsi="Times New Roman" w:cs="Times New Roman"/>
          <w:sz w:val="24"/>
          <w:szCs w:val="24"/>
        </w:rPr>
        <w:t xml:space="preserve">region’s </w:t>
      </w:r>
      <w:r w:rsidR="004C0877" w:rsidRPr="00E32792">
        <w:rPr>
          <w:rFonts w:ascii="Times New Roman" w:hAnsi="Times New Roman" w:cs="Times New Roman"/>
          <w:sz w:val="24"/>
          <w:szCs w:val="24"/>
        </w:rPr>
        <w:t>exports</w:t>
      </w:r>
      <w:r w:rsidR="00C5008A" w:rsidRPr="00E32792">
        <w:rPr>
          <w:rFonts w:ascii="Times New Roman" w:hAnsi="Times New Roman" w:cs="Times New Roman"/>
          <w:sz w:val="24"/>
          <w:szCs w:val="24"/>
        </w:rPr>
        <w:t>, on average,</w:t>
      </w:r>
      <w:r w:rsidR="004C0877" w:rsidRPr="00E32792">
        <w:rPr>
          <w:rFonts w:ascii="Times New Roman" w:hAnsi="Times New Roman" w:cs="Times New Roman"/>
          <w:sz w:val="24"/>
          <w:szCs w:val="24"/>
        </w:rPr>
        <w:t xml:space="preserve"> accounted for </w:t>
      </w:r>
      <w:r w:rsidRPr="00E32792">
        <w:rPr>
          <w:rFonts w:ascii="Times New Roman" w:hAnsi="Times New Roman" w:cs="Times New Roman"/>
          <w:sz w:val="24"/>
          <w:szCs w:val="24"/>
        </w:rPr>
        <w:t xml:space="preserve">60 percent of GDP, </w:t>
      </w:r>
      <w:r w:rsidR="005E4732" w:rsidRPr="00E32792">
        <w:rPr>
          <w:rFonts w:ascii="Times New Roman" w:hAnsi="Times New Roman" w:cs="Times New Roman"/>
          <w:sz w:val="24"/>
          <w:szCs w:val="24"/>
        </w:rPr>
        <w:t xml:space="preserve">reaching the EU-18’s level, </w:t>
      </w:r>
      <w:r w:rsidRPr="00E32792">
        <w:rPr>
          <w:rFonts w:ascii="Times New Roman" w:hAnsi="Times New Roman" w:cs="Times New Roman"/>
          <w:sz w:val="24"/>
          <w:szCs w:val="24"/>
        </w:rPr>
        <w:t xml:space="preserve">as compared to about 35 percent in 1995 </w:t>
      </w:r>
      <w:r w:rsidR="00DE57B1" w:rsidRPr="00E32792">
        <w:rPr>
          <w:rFonts w:ascii="Times New Roman" w:hAnsi="Times New Roman" w:cs="Times New Roman"/>
          <w:sz w:val="24"/>
          <w:szCs w:val="24"/>
        </w:rPr>
        <w:t xml:space="preserve">(World Bank, </w:t>
      </w:r>
      <w:r w:rsidR="00C5008A" w:rsidRPr="00E32792">
        <w:rPr>
          <w:rFonts w:ascii="Times New Roman" w:hAnsi="Times New Roman" w:cs="Times New Roman"/>
          <w:sz w:val="24"/>
          <w:szCs w:val="24"/>
        </w:rPr>
        <w:t>2018b</w:t>
      </w:r>
      <w:r w:rsidR="00DE57B1" w:rsidRPr="00E32792">
        <w:rPr>
          <w:rFonts w:ascii="Times New Roman" w:hAnsi="Times New Roman" w:cs="Times New Roman"/>
          <w:sz w:val="24"/>
          <w:szCs w:val="24"/>
        </w:rPr>
        <w:t>)</w:t>
      </w:r>
      <w:r w:rsidRPr="00E32792">
        <w:rPr>
          <w:rFonts w:ascii="Times New Roman" w:hAnsi="Times New Roman" w:cs="Times New Roman"/>
          <w:sz w:val="24"/>
          <w:szCs w:val="24"/>
        </w:rPr>
        <w:t>. Th</w:t>
      </w:r>
      <w:r w:rsidR="005E4732" w:rsidRPr="00E32792">
        <w:rPr>
          <w:rFonts w:ascii="Times New Roman" w:hAnsi="Times New Roman" w:cs="Times New Roman"/>
          <w:sz w:val="24"/>
          <w:szCs w:val="24"/>
        </w:rPr>
        <w:t>is</w:t>
      </w:r>
      <w:r w:rsidRPr="00E32792">
        <w:rPr>
          <w:rFonts w:ascii="Times New Roman" w:hAnsi="Times New Roman" w:cs="Times New Roman"/>
          <w:sz w:val="24"/>
          <w:szCs w:val="24"/>
        </w:rPr>
        <w:t xml:space="preserve"> rapid export growth in</w:t>
      </w:r>
      <w:r w:rsidR="008A2E7B" w:rsidRPr="00E32792">
        <w:rPr>
          <w:rFonts w:ascii="Times New Roman" w:hAnsi="Times New Roman" w:cs="Times New Roman"/>
          <w:sz w:val="24"/>
          <w:szCs w:val="24"/>
        </w:rPr>
        <w:t xml:space="preserve"> </w:t>
      </w:r>
      <w:r w:rsidR="003D4B5D" w:rsidRPr="00E32792">
        <w:rPr>
          <w:rFonts w:ascii="Times New Roman" w:hAnsi="Times New Roman" w:cs="Times New Roman"/>
          <w:sz w:val="24"/>
          <w:szCs w:val="24"/>
        </w:rPr>
        <w:t>CEECs</w:t>
      </w:r>
      <w:r w:rsidRPr="00E32792">
        <w:rPr>
          <w:rFonts w:ascii="Times New Roman" w:hAnsi="Times New Roman" w:cs="Times New Roman"/>
          <w:sz w:val="24"/>
          <w:szCs w:val="24"/>
        </w:rPr>
        <w:t xml:space="preserve"> has been accompanied by </w:t>
      </w:r>
      <w:r w:rsidR="005E4732" w:rsidRPr="00E32792">
        <w:rPr>
          <w:rFonts w:ascii="Times New Roman" w:hAnsi="Times New Roman" w:cs="Times New Roman"/>
          <w:sz w:val="24"/>
          <w:szCs w:val="24"/>
        </w:rPr>
        <w:t xml:space="preserve">a </w:t>
      </w:r>
      <w:r w:rsidRPr="00E32792">
        <w:rPr>
          <w:rFonts w:ascii="Times New Roman" w:hAnsi="Times New Roman" w:cs="Times New Roman"/>
          <w:sz w:val="24"/>
          <w:szCs w:val="24"/>
        </w:rPr>
        <w:t xml:space="preserve">re-orientation of their export flows towards Western Europe </w:t>
      </w:r>
      <w:r w:rsidR="006B460B" w:rsidRPr="00E32792">
        <w:rPr>
          <w:rFonts w:ascii="Times New Roman" w:hAnsi="Times New Roman" w:cs="Times New Roman"/>
          <w:sz w:val="24"/>
          <w:szCs w:val="24"/>
        </w:rPr>
        <w:t>(UNCTAD, 2016</w:t>
      </w:r>
      <w:r w:rsidRPr="00E32792">
        <w:rPr>
          <w:rFonts w:ascii="Times New Roman" w:hAnsi="Times New Roman" w:cs="Times New Roman"/>
          <w:sz w:val="24"/>
          <w:szCs w:val="24"/>
        </w:rPr>
        <w:t xml:space="preserve">). </w:t>
      </w:r>
      <w:r w:rsidR="00C91FD0" w:rsidRPr="00E32792">
        <w:rPr>
          <w:rFonts w:ascii="Times New Roman" w:hAnsi="Times New Roman" w:cs="Times New Roman"/>
          <w:sz w:val="24"/>
          <w:szCs w:val="24"/>
        </w:rPr>
        <w:t>A</w:t>
      </w:r>
      <w:r w:rsidRPr="00E32792">
        <w:rPr>
          <w:rFonts w:ascii="Times New Roman" w:hAnsi="Times New Roman" w:cs="Times New Roman"/>
          <w:sz w:val="24"/>
          <w:szCs w:val="24"/>
        </w:rPr>
        <w:t xml:space="preserve">mid growing global </w:t>
      </w:r>
      <w:r w:rsidR="00DE57B1" w:rsidRPr="00E32792">
        <w:rPr>
          <w:rFonts w:ascii="Times New Roman" w:hAnsi="Times New Roman" w:cs="Times New Roman"/>
          <w:sz w:val="24"/>
          <w:szCs w:val="24"/>
        </w:rPr>
        <w:t>competition</w:t>
      </w:r>
      <w:r w:rsidRPr="00E32792">
        <w:rPr>
          <w:rFonts w:ascii="Times New Roman" w:hAnsi="Times New Roman" w:cs="Times New Roman"/>
          <w:sz w:val="24"/>
          <w:szCs w:val="24"/>
        </w:rPr>
        <w:t xml:space="preserve">, many transition countries </w:t>
      </w:r>
      <w:r w:rsidR="000E51E2" w:rsidRPr="00E32792">
        <w:rPr>
          <w:rFonts w:ascii="Times New Roman" w:hAnsi="Times New Roman" w:cs="Times New Roman"/>
          <w:sz w:val="24"/>
          <w:szCs w:val="24"/>
        </w:rPr>
        <w:t xml:space="preserve">have </w:t>
      </w:r>
      <w:r w:rsidRPr="00E32792">
        <w:rPr>
          <w:rFonts w:ascii="Times New Roman" w:hAnsi="Times New Roman" w:cs="Times New Roman"/>
          <w:sz w:val="24"/>
          <w:szCs w:val="24"/>
        </w:rPr>
        <w:t>managed to change their initial export structure and move towards more knowledge and technology</w:t>
      </w:r>
      <w:r w:rsidR="005E4732" w:rsidRPr="00E32792">
        <w:rPr>
          <w:rFonts w:ascii="Times New Roman" w:hAnsi="Times New Roman" w:cs="Times New Roman"/>
          <w:sz w:val="24"/>
          <w:szCs w:val="24"/>
        </w:rPr>
        <w:t>-</w:t>
      </w:r>
      <w:r w:rsidRPr="00E32792">
        <w:rPr>
          <w:rFonts w:ascii="Times New Roman" w:hAnsi="Times New Roman" w:cs="Times New Roman"/>
          <w:sz w:val="24"/>
          <w:szCs w:val="24"/>
        </w:rPr>
        <w:t xml:space="preserve">intensive goods and services, which in turn has increased their relative competitive positions within these industries. </w:t>
      </w:r>
    </w:p>
    <w:p w:rsidR="00FF5D34" w:rsidRPr="001E2721" w:rsidRDefault="002B7A26" w:rsidP="009C363C">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 xml:space="preserve">The shift towards knowledge-based economies, greater participation in international markets and continued transition-related structural changes </w:t>
      </w:r>
      <w:r w:rsidR="00DA1042" w:rsidRPr="00E32792">
        <w:rPr>
          <w:rFonts w:ascii="Times New Roman" w:hAnsi="Times New Roman" w:cs="Times New Roman"/>
          <w:sz w:val="24"/>
          <w:szCs w:val="24"/>
        </w:rPr>
        <w:t xml:space="preserve">have </w:t>
      </w:r>
      <w:r w:rsidR="00316B8C" w:rsidRPr="00E32792">
        <w:rPr>
          <w:rFonts w:ascii="Times New Roman" w:hAnsi="Times New Roman" w:cs="Times New Roman"/>
          <w:sz w:val="24"/>
          <w:szCs w:val="24"/>
        </w:rPr>
        <w:t xml:space="preserve">also </w:t>
      </w:r>
      <w:r w:rsidRPr="00E32792">
        <w:rPr>
          <w:rFonts w:ascii="Times New Roman" w:hAnsi="Times New Roman" w:cs="Times New Roman"/>
          <w:sz w:val="24"/>
          <w:szCs w:val="24"/>
        </w:rPr>
        <w:t xml:space="preserve">increased the demand for highly qualified </w:t>
      </w:r>
      <w:r w:rsidR="00D93A71" w:rsidRPr="00E32792">
        <w:rPr>
          <w:rFonts w:ascii="Times New Roman" w:hAnsi="Times New Roman" w:cs="Times New Roman"/>
          <w:sz w:val="24"/>
          <w:szCs w:val="24"/>
        </w:rPr>
        <w:t>labor</w:t>
      </w:r>
      <w:r w:rsidRPr="00E32792">
        <w:rPr>
          <w:rFonts w:ascii="Times New Roman" w:hAnsi="Times New Roman" w:cs="Times New Roman"/>
          <w:sz w:val="24"/>
          <w:szCs w:val="24"/>
        </w:rPr>
        <w:t xml:space="preserve"> in the former socialist countries of Central and Eastern Europe</w:t>
      </w:r>
      <w:r w:rsidR="00BF5CEC" w:rsidRPr="00E32792">
        <w:rPr>
          <w:rFonts w:ascii="Times New Roman" w:hAnsi="Times New Roman" w:cs="Times New Roman"/>
          <w:sz w:val="24"/>
          <w:szCs w:val="24"/>
        </w:rPr>
        <w:t xml:space="preserve"> (Murthi and Sondergaard, 2012, EBRD, 2013 Arias et al., 2014)</w:t>
      </w:r>
      <w:r w:rsidRPr="00E32792">
        <w:rPr>
          <w:rFonts w:ascii="Times New Roman" w:hAnsi="Times New Roman" w:cs="Times New Roman"/>
          <w:sz w:val="24"/>
          <w:szCs w:val="24"/>
        </w:rPr>
        <w:t xml:space="preserve">. </w:t>
      </w:r>
      <w:r w:rsidR="004C68E6" w:rsidRPr="00E32792">
        <w:rPr>
          <w:rFonts w:ascii="Times New Roman" w:hAnsi="Times New Roman" w:cs="Times New Roman"/>
          <w:sz w:val="24"/>
          <w:szCs w:val="24"/>
        </w:rPr>
        <w:t>The</w:t>
      </w:r>
      <w:r w:rsidR="000E51E2" w:rsidRPr="00E32792">
        <w:rPr>
          <w:rFonts w:ascii="Times New Roman" w:hAnsi="Times New Roman" w:cs="Times New Roman"/>
          <w:sz w:val="24"/>
          <w:szCs w:val="24"/>
        </w:rPr>
        <w:t xml:space="preserve">ir transition </w:t>
      </w:r>
      <w:r w:rsidR="004C68E6" w:rsidRPr="00E32792">
        <w:rPr>
          <w:rFonts w:ascii="Times New Roman" w:hAnsi="Times New Roman" w:cs="Times New Roman"/>
          <w:sz w:val="24"/>
          <w:szCs w:val="24"/>
        </w:rPr>
        <w:t xml:space="preserve">towards market economies was accompanied by numerous changes in their educational systems. The pre-transition period was primarily associated with larger shares of resources being invested in heavy industries and agriculture (Brunello et al., 2010). Intellectual work was valued relatively less than physical work, the </w:t>
      </w:r>
      <w:r w:rsidR="00D42235" w:rsidRPr="00E32792">
        <w:rPr>
          <w:rFonts w:ascii="Times New Roman" w:hAnsi="Times New Roman" w:cs="Times New Roman"/>
          <w:sz w:val="24"/>
          <w:szCs w:val="24"/>
        </w:rPr>
        <w:t xml:space="preserve">socialist </w:t>
      </w:r>
      <w:r w:rsidR="004C68E6" w:rsidRPr="00E32792">
        <w:rPr>
          <w:rFonts w:ascii="Times New Roman" w:hAnsi="Times New Roman" w:cs="Times New Roman"/>
          <w:sz w:val="24"/>
          <w:szCs w:val="24"/>
        </w:rPr>
        <w:t xml:space="preserve">period </w:t>
      </w:r>
      <w:r w:rsidR="00556AB2" w:rsidRPr="00E32792">
        <w:rPr>
          <w:rFonts w:ascii="Times New Roman" w:hAnsi="Times New Roman" w:cs="Times New Roman"/>
          <w:sz w:val="24"/>
          <w:szCs w:val="24"/>
        </w:rPr>
        <w:t>being</w:t>
      </w:r>
      <w:r w:rsidR="004C68E6" w:rsidRPr="00E32792">
        <w:rPr>
          <w:rFonts w:ascii="Times New Roman" w:hAnsi="Times New Roman" w:cs="Times New Roman"/>
          <w:sz w:val="24"/>
          <w:szCs w:val="24"/>
        </w:rPr>
        <w:t xml:space="preserve"> associated with low wage differences between skilled and unskilled workers (Munich et al., 2005). This encouraged the overwhelming majority of students to pursue vocational studies and/or leave school after the completion of the secondary level of education (Brunello et al., 2010).</w:t>
      </w:r>
      <w:r w:rsidR="00E909DB" w:rsidRPr="00E32792">
        <w:rPr>
          <w:rStyle w:val="FootnoteReference"/>
          <w:rFonts w:ascii="Times New Roman" w:hAnsi="Times New Roman" w:cs="Times New Roman"/>
          <w:sz w:val="24"/>
          <w:szCs w:val="24"/>
        </w:rPr>
        <w:footnoteReference w:id="4"/>
      </w:r>
      <w:r w:rsidR="00090D5F" w:rsidRPr="00E32792">
        <w:rPr>
          <w:rFonts w:ascii="Times New Roman" w:hAnsi="Times New Roman" w:cs="Times New Roman"/>
          <w:sz w:val="24"/>
          <w:szCs w:val="24"/>
        </w:rPr>
        <w:t xml:space="preserve"> </w:t>
      </w:r>
      <w:r w:rsidR="004C68E6" w:rsidRPr="00E32792">
        <w:rPr>
          <w:rFonts w:ascii="Times New Roman" w:hAnsi="Times New Roman" w:cs="Times New Roman"/>
          <w:sz w:val="24"/>
          <w:szCs w:val="24"/>
        </w:rPr>
        <w:t>However, when the restructuring process started in early 1990s, the situation changed significantly, shifting the focus from vocational upper secondary towards general education. The expansion of the services and the contraction of the agriculture sector were associated with a profound change in the composition of skills demanded in the market. A shift in the demand towards highly educated employees has been prevalent in the majority of these countries. In particular, the structural changes were reflected in a reduction in the demand for agricultural and manual skills and a growing demand for services and professional skills (Murthi and Sondergaard</w:t>
      </w:r>
      <w:r w:rsidR="001512CA" w:rsidRPr="00E32792">
        <w:rPr>
          <w:rFonts w:ascii="Times New Roman" w:hAnsi="Times New Roman" w:cs="Times New Roman"/>
          <w:sz w:val="24"/>
          <w:szCs w:val="24"/>
        </w:rPr>
        <w:t>,</w:t>
      </w:r>
      <w:r w:rsidR="004C68E6" w:rsidRPr="00E32792">
        <w:rPr>
          <w:rFonts w:ascii="Times New Roman" w:hAnsi="Times New Roman" w:cs="Times New Roman"/>
          <w:sz w:val="24"/>
          <w:szCs w:val="24"/>
        </w:rPr>
        <w:t xml:space="preserve"> 2012).</w:t>
      </w:r>
      <w:r w:rsidR="00090D5F" w:rsidRPr="00E32792">
        <w:rPr>
          <w:rFonts w:ascii="Times New Roman" w:hAnsi="Times New Roman" w:cs="Times New Roman"/>
          <w:sz w:val="24"/>
          <w:szCs w:val="24"/>
        </w:rPr>
        <w:t xml:space="preserve"> </w:t>
      </w:r>
      <w:r w:rsidR="008D7CE2" w:rsidRPr="00E32792">
        <w:rPr>
          <w:rFonts w:ascii="Times New Roman" w:hAnsi="Times New Roman" w:cs="Times New Roman"/>
          <w:sz w:val="24"/>
          <w:szCs w:val="24"/>
        </w:rPr>
        <w:t>During transition</w:t>
      </w:r>
      <w:r w:rsidR="00E81843" w:rsidRPr="00E32792">
        <w:rPr>
          <w:rFonts w:ascii="Times New Roman" w:hAnsi="Times New Roman" w:cs="Times New Roman"/>
          <w:sz w:val="24"/>
          <w:szCs w:val="24"/>
        </w:rPr>
        <w:t xml:space="preserve"> the</w:t>
      </w:r>
      <w:r w:rsidR="008D7CE2" w:rsidRPr="00E32792">
        <w:rPr>
          <w:rFonts w:ascii="Times New Roman" w:hAnsi="Times New Roman" w:cs="Times New Roman"/>
          <w:sz w:val="24"/>
          <w:szCs w:val="24"/>
        </w:rPr>
        <w:t xml:space="preserve"> educational attainment of </w:t>
      </w:r>
      <w:r w:rsidR="00E81843" w:rsidRPr="00E32792">
        <w:rPr>
          <w:rFonts w:ascii="Times New Roman" w:hAnsi="Times New Roman" w:cs="Times New Roman"/>
          <w:sz w:val="24"/>
          <w:szCs w:val="24"/>
        </w:rPr>
        <w:t xml:space="preserve">the </w:t>
      </w:r>
      <w:r w:rsidR="008D7CE2" w:rsidRPr="00E32792">
        <w:rPr>
          <w:rFonts w:ascii="Times New Roman" w:hAnsi="Times New Roman" w:cs="Times New Roman"/>
          <w:sz w:val="24"/>
          <w:szCs w:val="24"/>
        </w:rPr>
        <w:t>population</w:t>
      </w:r>
      <w:r w:rsidR="008F342A" w:rsidRPr="00E32792">
        <w:rPr>
          <w:rFonts w:ascii="Times New Roman" w:hAnsi="Times New Roman" w:cs="Times New Roman"/>
          <w:sz w:val="24"/>
          <w:szCs w:val="24"/>
        </w:rPr>
        <w:t xml:space="preserve"> </w:t>
      </w:r>
      <w:r w:rsidR="00940CB2" w:rsidRPr="00E32792">
        <w:rPr>
          <w:rFonts w:ascii="Times New Roman" w:hAnsi="Times New Roman" w:cs="Times New Roman"/>
          <w:sz w:val="24"/>
          <w:szCs w:val="24"/>
        </w:rPr>
        <w:t>aged 15 and over</w:t>
      </w:r>
      <w:r w:rsidR="00CA490F" w:rsidRPr="00E32792">
        <w:rPr>
          <w:rFonts w:ascii="Times New Roman" w:hAnsi="Times New Roman" w:cs="Times New Roman"/>
          <w:sz w:val="24"/>
          <w:szCs w:val="24"/>
        </w:rPr>
        <w:t xml:space="preserve"> has experienced a positive trend, </w:t>
      </w:r>
      <w:r w:rsidR="00E913F9" w:rsidRPr="00E32792">
        <w:rPr>
          <w:rFonts w:ascii="Times New Roman" w:hAnsi="Times New Roman" w:cs="Times New Roman"/>
          <w:sz w:val="24"/>
          <w:szCs w:val="24"/>
        </w:rPr>
        <w:t>particularly with regard to tertiary education</w:t>
      </w:r>
      <w:r w:rsidR="008D7CE2" w:rsidRPr="00E32792">
        <w:rPr>
          <w:rFonts w:ascii="Times New Roman" w:hAnsi="Times New Roman" w:cs="Times New Roman"/>
          <w:sz w:val="24"/>
          <w:szCs w:val="24"/>
        </w:rPr>
        <w:t>.</w:t>
      </w:r>
      <w:r w:rsidR="005B05A7" w:rsidRPr="00E32792">
        <w:rPr>
          <w:rFonts w:ascii="Times New Roman" w:hAnsi="Times New Roman" w:cs="Times New Roman"/>
          <w:sz w:val="24"/>
          <w:szCs w:val="24"/>
        </w:rPr>
        <w:t xml:space="preserve"> </w:t>
      </w:r>
      <w:r w:rsidR="00E913F9" w:rsidRPr="00E32792">
        <w:rPr>
          <w:rFonts w:ascii="Times New Roman" w:hAnsi="Times New Roman" w:cs="Times New Roman"/>
          <w:sz w:val="24"/>
          <w:szCs w:val="24"/>
        </w:rPr>
        <w:t xml:space="preserve">Although variations across the region are observed, the stock of population who have completed tertiary education increased by 109 percent </w:t>
      </w:r>
      <w:r w:rsidR="003D4B5D" w:rsidRPr="00E32792">
        <w:rPr>
          <w:rFonts w:ascii="Times New Roman" w:hAnsi="Times New Roman" w:cs="Times New Roman"/>
          <w:sz w:val="24"/>
          <w:szCs w:val="24"/>
        </w:rPr>
        <w:t xml:space="preserve">from 1990 to 2010 </w:t>
      </w:r>
      <w:r w:rsidR="00E913F9" w:rsidRPr="00E32792">
        <w:rPr>
          <w:rFonts w:ascii="Times New Roman" w:hAnsi="Times New Roman" w:cs="Times New Roman"/>
          <w:sz w:val="24"/>
          <w:szCs w:val="24"/>
        </w:rPr>
        <w:t xml:space="preserve">converging towards the level </w:t>
      </w:r>
      <w:r w:rsidR="00785DE9" w:rsidRPr="00E32792">
        <w:rPr>
          <w:rFonts w:ascii="Times New Roman" w:hAnsi="Times New Roman" w:cs="Times New Roman"/>
          <w:sz w:val="24"/>
          <w:szCs w:val="24"/>
        </w:rPr>
        <w:t xml:space="preserve">in the </w:t>
      </w:r>
      <w:r w:rsidR="00E913F9" w:rsidRPr="00E32792">
        <w:rPr>
          <w:rFonts w:ascii="Times New Roman" w:hAnsi="Times New Roman" w:cs="Times New Roman"/>
          <w:sz w:val="24"/>
          <w:szCs w:val="24"/>
        </w:rPr>
        <w:t>EU-18, though slight differences remain</w:t>
      </w:r>
      <w:r w:rsidR="00F17317" w:rsidRPr="00E32792">
        <w:rPr>
          <w:rFonts w:ascii="Times New Roman" w:hAnsi="Times New Roman" w:cs="Times New Roman"/>
          <w:sz w:val="24"/>
          <w:szCs w:val="24"/>
        </w:rPr>
        <w:t xml:space="preserve"> </w:t>
      </w:r>
      <w:r w:rsidR="00A36EAB" w:rsidRPr="00E32792">
        <w:rPr>
          <w:rFonts w:ascii="Times New Roman" w:hAnsi="Times New Roman" w:cs="Times New Roman"/>
          <w:sz w:val="24"/>
          <w:szCs w:val="24"/>
        </w:rPr>
        <w:t>(</w:t>
      </w:r>
      <w:r w:rsidR="00F17317" w:rsidRPr="00E32792">
        <w:rPr>
          <w:rFonts w:ascii="Times New Roman" w:hAnsi="Times New Roman" w:cs="Times New Roman"/>
          <w:sz w:val="24"/>
          <w:szCs w:val="24"/>
        </w:rPr>
        <w:t>Barro and Lee</w:t>
      </w:r>
      <w:r w:rsidR="00D6135E" w:rsidRPr="00E32792">
        <w:rPr>
          <w:rFonts w:ascii="Times New Roman" w:hAnsi="Times New Roman" w:cs="Times New Roman"/>
          <w:sz w:val="24"/>
          <w:szCs w:val="24"/>
        </w:rPr>
        <w:t>,</w:t>
      </w:r>
      <w:r w:rsidR="00F17317" w:rsidRPr="00E32792">
        <w:rPr>
          <w:rFonts w:ascii="Times New Roman" w:hAnsi="Times New Roman" w:cs="Times New Roman"/>
          <w:sz w:val="24"/>
          <w:szCs w:val="24"/>
        </w:rPr>
        <w:t xml:space="preserve"> 2014)</w:t>
      </w:r>
      <w:r w:rsidR="00E913F9" w:rsidRPr="00E32792">
        <w:rPr>
          <w:rFonts w:ascii="Times New Roman" w:hAnsi="Times New Roman" w:cs="Times New Roman"/>
          <w:sz w:val="24"/>
          <w:szCs w:val="24"/>
        </w:rPr>
        <w:t>.</w:t>
      </w:r>
    </w:p>
    <w:p w:rsidR="00340B3E" w:rsidRPr="0095747F" w:rsidRDefault="009E04EF" w:rsidP="009C363C">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Q</w:t>
      </w:r>
      <w:r w:rsidR="002B1EC4" w:rsidRPr="00E32792">
        <w:rPr>
          <w:rFonts w:ascii="Times New Roman" w:hAnsi="Times New Roman" w:cs="Times New Roman"/>
          <w:sz w:val="24"/>
          <w:szCs w:val="24"/>
        </w:rPr>
        <w:t>uality of education</w:t>
      </w:r>
      <w:r w:rsidR="0095747F" w:rsidRPr="00E32792">
        <w:rPr>
          <w:rFonts w:ascii="Times New Roman" w:hAnsi="Times New Roman" w:cs="Times New Roman"/>
          <w:sz w:val="24"/>
          <w:szCs w:val="24"/>
        </w:rPr>
        <w:t xml:space="preserve"> </w:t>
      </w:r>
      <w:r w:rsidR="00785DE9" w:rsidRPr="00E32792">
        <w:rPr>
          <w:rFonts w:ascii="Times New Roman" w:hAnsi="Times New Roman" w:cs="Times New Roman"/>
          <w:sz w:val="24"/>
          <w:szCs w:val="24"/>
        </w:rPr>
        <w:t>in CEECs</w:t>
      </w:r>
      <w:r w:rsidR="00512E1F" w:rsidRPr="00E32792">
        <w:rPr>
          <w:rFonts w:ascii="Times New Roman" w:hAnsi="Times New Roman" w:cs="Times New Roman"/>
          <w:sz w:val="24"/>
          <w:szCs w:val="24"/>
        </w:rPr>
        <w:t>,</w:t>
      </w:r>
      <w:r w:rsidR="002B1EC4" w:rsidRPr="00E32792">
        <w:rPr>
          <w:rFonts w:ascii="Times New Roman" w:hAnsi="Times New Roman" w:cs="Times New Roman"/>
          <w:sz w:val="24"/>
          <w:szCs w:val="24"/>
        </w:rPr>
        <w:t xml:space="preserve"> proxied by average student test scores in reading, mathematics and science (see Hanushek and Woessmann, </w:t>
      </w:r>
      <w:r w:rsidR="003F5C0C" w:rsidRPr="00E32792">
        <w:rPr>
          <w:rFonts w:ascii="Times New Roman" w:hAnsi="Times New Roman" w:cs="Times New Roman"/>
          <w:sz w:val="24"/>
          <w:szCs w:val="24"/>
        </w:rPr>
        <w:t>2012</w:t>
      </w:r>
      <w:r w:rsidR="009F5442" w:rsidRPr="00E32792">
        <w:rPr>
          <w:rFonts w:ascii="Times New Roman" w:hAnsi="Times New Roman" w:cs="Times New Roman"/>
          <w:sz w:val="24"/>
          <w:szCs w:val="24"/>
        </w:rPr>
        <w:t xml:space="preserve">; </w:t>
      </w:r>
      <w:r w:rsidR="002B1EC4" w:rsidRPr="00E32792">
        <w:rPr>
          <w:rFonts w:ascii="Times New Roman" w:hAnsi="Times New Roman" w:cs="Times New Roman"/>
          <w:sz w:val="24"/>
          <w:szCs w:val="24"/>
        </w:rPr>
        <w:t>PISA</w:t>
      </w:r>
      <w:r w:rsidR="00F17317" w:rsidRPr="00E32792">
        <w:rPr>
          <w:rStyle w:val="FootnoteReference"/>
          <w:rFonts w:ascii="Times New Roman" w:hAnsi="Times New Roman" w:cs="Times New Roman"/>
          <w:sz w:val="24"/>
          <w:szCs w:val="24"/>
        </w:rPr>
        <w:footnoteReference w:id="5"/>
      </w:r>
      <w:r w:rsidR="0027692A" w:rsidRPr="00E32792">
        <w:rPr>
          <w:rFonts w:ascii="Times New Roman" w:hAnsi="Times New Roman" w:cs="Times New Roman"/>
          <w:sz w:val="24"/>
          <w:szCs w:val="24"/>
        </w:rPr>
        <w:t>, 2000-2009</w:t>
      </w:r>
      <w:r w:rsidR="009F5442" w:rsidRPr="00E32792">
        <w:rPr>
          <w:rFonts w:ascii="Times New Roman" w:hAnsi="Times New Roman" w:cs="Times New Roman"/>
          <w:sz w:val="24"/>
          <w:szCs w:val="24"/>
        </w:rPr>
        <w:t>;</w:t>
      </w:r>
      <w:r w:rsidR="002B1EC4" w:rsidRPr="00E32792">
        <w:rPr>
          <w:rFonts w:ascii="Times New Roman" w:hAnsi="Times New Roman" w:cs="Times New Roman"/>
          <w:sz w:val="24"/>
          <w:szCs w:val="24"/>
        </w:rPr>
        <w:t xml:space="preserve"> TIMSS</w:t>
      </w:r>
      <w:r w:rsidR="003A6498" w:rsidRPr="00E32792">
        <w:rPr>
          <w:rStyle w:val="FootnoteReference"/>
          <w:rFonts w:ascii="Times New Roman" w:hAnsi="Times New Roman" w:cs="Times New Roman"/>
          <w:sz w:val="24"/>
          <w:szCs w:val="24"/>
        </w:rPr>
        <w:footnoteReference w:id="6"/>
      </w:r>
      <w:r w:rsidR="0027692A" w:rsidRPr="00E32792">
        <w:rPr>
          <w:rFonts w:ascii="Times New Roman" w:hAnsi="Times New Roman" w:cs="Times New Roman"/>
          <w:sz w:val="24"/>
          <w:szCs w:val="24"/>
        </w:rPr>
        <w:t>, 1995-2011</w:t>
      </w:r>
      <w:r w:rsidR="002B1EC4" w:rsidRPr="00E32792">
        <w:rPr>
          <w:rFonts w:ascii="Times New Roman" w:hAnsi="Times New Roman" w:cs="Times New Roman"/>
          <w:sz w:val="24"/>
          <w:szCs w:val="24"/>
        </w:rPr>
        <w:t xml:space="preserve"> and PIRLS</w:t>
      </w:r>
      <w:r w:rsidR="003A6498" w:rsidRPr="00E32792">
        <w:rPr>
          <w:rStyle w:val="FootnoteReference"/>
          <w:rFonts w:ascii="Times New Roman" w:hAnsi="Times New Roman" w:cs="Times New Roman"/>
          <w:sz w:val="24"/>
          <w:szCs w:val="24"/>
        </w:rPr>
        <w:footnoteReference w:id="7"/>
      </w:r>
      <w:r w:rsidR="00367B4B" w:rsidRPr="00E32792">
        <w:rPr>
          <w:rFonts w:ascii="Times New Roman" w:hAnsi="Times New Roman" w:cs="Times New Roman"/>
          <w:sz w:val="24"/>
          <w:szCs w:val="24"/>
        </w:rPr>
        <w:t xml:space="preserve">, </w:t>
      </w:r>
      <w:r w:rsidR="0027692A" w:rsidRPr="00E32792">
        <w:rPr>
          <w:rFonts w:ascii="Times New Roman" w:hAnsi="Times New Roman" w:cs="Times New Roman"/>
          <w:sz w:val="24"/>
          <w:szCs w:val="24"/>
        </w:rPr>
        <w:t>2001-2011</w:t>
      </w:r>
      <w:r w:rsidR="002B1EC4" w:rsidRPr="00E32792">
        <w:rPr>
          <w:rFonts w:ascii="Times New Roman" w:hAnsi="Times New Roman" w:cs="Times New Roman"/>
          <w:sz w:val="24"/>
          <w:szCs w:val="24"/>
        </w:rPr>
        <w:t>)</w:t>
      </w:r>
      <w:r w:rsidR="00512E1F" w:rsidRPr="00E32792">
        <w:rPr>
          <w:rFonts w:ascii="Times New Roman" w:hAnsi="Times New Roman" w:cs="Times New Roman"/>
          <w:sz w:val="24"/>
          <w:szCs w:val="24"/>
        </w:rPr>
        <w:t>,</w:t>
      </w:r>
      <w:r w:rsidR="002B1EC4" w:rsidRPr="00E32792">
        <w:rPr>
          <w:rFonts w:ascii="Times New Roman" w:hAnsi="Times New Roman" w:cs="Times New Roman"/>
          <w:sz w:val="24"/>
          <w:szCs w:val="24"/>
        </w:rPr>
        <w:t xml:space="preserve"> appears to be </w:t>
      </w:r>
      <w:r w:rsidRPr="00E32792">
        <w:rPr>
          <w:rFonts w:ascii="Times New Roman" w:hAnsi="Times New Roman" w:cs="Times New Roman"/>
          <w:sz w:val="24"/>
          <w:szCs w:val="24"/>
        </w:rPr>
        <w:t xml:space="preserve">slightly </w:t>
      </w:r>
      <w:r w:rsidR="002B1EC4" w:rsidRPr="00E32792">
        <w:rPr>
          <w:rFonts w:ascii="Times New Roman" w:hAnsi="Times New Roman" w:cs="Times New Roman"/>
          <w:sz w:val="24"/>
          <w:szCs w:val="24"/>
        </w:rPr>
        <w:t>lower than th</w:t>
      </w:r>
      <w:r w:rsidRPr="00E32792">
        <w:rPr>
          <w:rFonts w:ascii="Times New Roman" w:hAnsi="Times New Roman" w:cs="Times New Roman"/>
          <w:sz w:val="24"/>
          <w:szCs w:val="24"/>
        </w:rPr>
        <w:t>at in the</w:t>
      </w:r>
      <w:r w:rsidR="002B1EC4" w:rsidRPr="00E32792">
        <w:rPr>
          <w:rFonts w:ascii="Times New Roman" w:hAnsi="Times New Roman" w:cs="Times New Roman"/>
          <w:sz w:val="24"/>
          <w:szCs w:val="24"/>
        </w:rPr>
        <w:t xml:space="preserve"> EU-18</w:t>
      </w:r>
      <w:r w:rsidRPr="00E32792">
        <w:rPr>
          <w:rFonts w:ascii="Times New Roman" w:hAnsi="Times New Roman" w:cs="Times New Roman"/>
          <w:sz w:val="24"/>
          <w:szCs w:val="24"/>
        </w:rPr>
        <w:t xml:space="preserve">; with </w:t>
      </w:r>
      <w:r w:rsidR="00A50BFA" w:rsidRPr="00E32792">
        <w:rPr>
          <w:rFonts w:ascii="Times New Roman" w:hAnsi="Times New Roman" w:cs="Times New Roman"/>
          <w:sz w:val="24"/>
          <w:szCs w:val="24"/>
        </w:rPr>
        <w:t>Hanushek and Woessmann’s</w:t>
      </w:r>
      <w:r w:rsidR="00340B3E" w:rsidRPr="00E32792">
        <w:rPr>
          <w:rFonts w:ascii="Times New Roman" w:hAnsi="Times New Roman" w:cs="Times New Roman"/>
          <w:sz w:val="24"/>
          <w:szCs w:val="24"/>
        </w:rPr>
        <w:t xml:space="preserve"> regional average </w:t>
      </w:r>
      <w:r w:rsidR="00464754" w:rsidRPr="00E32792">
        <w:rPr>
          <w:rFonts w:ascii="Times New Roman" w:hAnsi="Times New Roman" w:cs="Times New Roman"/>
          <w:sz w:val="24"/>
          <w:szCs w:val="24"/>
        </w:rPr>
        <w:t xml:space="preserve">index </w:t>
      </w:r>
      <w:r w:rsidRPr="00E32792">
        <w:rPr>
          <w:rFonts w:ascii="Times New Roman" w:hAnsi="Times New Roman" w:cs="Times New Roman"/>
          <w:sz w:val="24"/>
          <w:szCs w:val="24"/>
        </w:rPr>
        <w:t xml:space="preserve">at </w:t>
      </w:r>
      <w:r w:rsidR="00340B3E" w:rsidRPr="00E32792">
        <w:rPr>
          <w:rFonts w:ascii="Times New Roman" w:hAnsi="Times New Roman" w:cs="Times New Roman"/>
          <w:sz w:val="24"/>
          <w:szCs w:val="24"/>
        </w:rPr>
        <w:t xml:space="preserve">4.73 </w:t>
      </w:r>
      <w:r w:rsidRPr="00E32792">
        <w:rPr>
          <w:rFonts w:ascii="Times New Roman" w:hAnsi="Times New Roman" w:cs="Times New Roman"/>
          <w:sz w:val="24"/>
          <w:szCs w:val="24"/>
        </w:rPr>
        <w:t>and</w:t>
      </w:r>
      <w:r w:rsidR="00340B3E" w:rsidRPr="00E32792">
        <w:rPr>
          <w:rFonts w:ascii="Times New Roman" w:hAnsi="Times New Roman" w:cs="Times New Roman"/>
          <w:sz w:val="24"/>
          <w:szCs w:val="24"/>
        </w:rPr>
        <w:t xml:space="preserve"> 4.88 </w:t>
      </w:r>
      <w:r w:rsidR="00E32792" w:rsidRPr="00E32792">
        <w:rPr>
          <w:rFonts w:ascii="Times New Roman" w:hAnsi="Times New Roman" w:cs="Times New Roman"/>
          <w:sz w:val="24"/>
          <w:szCs w:val="24"/>
        </w:rPr>
        <w:t>for the two groups,</w:t>
      </w:r>
      <w:r w:rsidRPr="00E32792">
        <w:rPr>
          <w:rFonts w:ascii="Times New Roman" w:hAnsi="Times New Roman" w:cs="Times New Roman"/>
          <w:sz w:val="24"/>
          <w:szCs w:val="24"/>
        </w:rPr>
        <w:t xml:space="preserve"> respectively. </w:t>
      </w:r>
      <w:r w:rsidR="00D54923" w:rsidRPr="00E32792">
        <w:rPr>
          <w:rFonts w:ascii="Times New Roman" w:hAnsi="Times New Roman" w:cs="Times New Roman"/>
          <w:sz w:val="24"/>
          <w:szCs w:val="24"/>
        </w:rPr>
        <w:t>Although</w:t>
      </w:r>
      <w:r w:rsidR="00EB1ADE" w:rsidRPr="00E32792">
        <w:rPr>
          <w:rFonts w:ascii="Times New Roman" w:hAnsi="Times New Roman" w:cs="Times New Roman"/>
          <w:sz w:val="24"/>
          <w:szCs w:val="24"/>
        </w:rPr>
        <w:t xml:space="preserve"> the t-test suggests </w:t>
      </w:r>
      <w:r w:rsidRPr="00E32792">
        <w:rPr>
          <w:rFonts w:ascii="Times New Roman" w:hAnsi="Times New Roman" w:cs="Times New Roman"/>
          <w:sz w:val="24"/>
          <w:szCs w:val="24"/>
        </w:rPr>
        <w:t xml:space="preserve">that this difference is </w:t>
      </w:r>
      <w:r w:rsidR="00EB1ADE" w:rsidRPr="00E32792">
        <w:rPr>
          <w:rFonts w:ascii="Times New Roman" w:hAnsi="Times New Roman" w:cs="Times New Roman"/>
          <w:sz w:val="24"/>
          <w:szCs w:val="24"/>
        </w:rPr>
        <w:t>no</w:t>
      </w:r>
      <w:r w:rsidRPr="00E32792">
        <w:rPr>
          <w:rFonts w:ascii="Times New Roman" w:hAnsi="Times New Roman" w:cs="Times New Roman"/>
          <w:sz w:val="24"/>
          <w:szCs w:val="24"/>
        </w:rPr>
        <w:t>t</w:t>
      </w:r>
      <w:r w:rsidR="00EB1ADE" w:rsidRPr="00E32792">
        <w:rPr>
          <w:rFonts w:ascii="Times New Roman" w:hAnsi="Times New Roman" w:cs="Times New Roman"/>
          <w:sz w:val="24"/>
          <w:szCs w:val="24"/>
        </w:rPr>
        <w:t xml:space="preserve"> </w:t>
      </w:r>
      <w:r w:rsidRPr="00E32792">
        <w:rPr>
          <w:rFonts w:ascii="Times New Roman" w:hAnsi="Times New Roman" w:cs="Times New Roman"/>
          <w:sz w:val="24"/>
          <w:szCs w:val="24"/>
        </w:rPr>
        <w:t>statistically significant, i</w:t>
      </w:r>
      <w:r w:rsidR="00EB1ADE" w:rsidRPr="00E32792">
        <w:rPr>
          <w:rFonts w:ascii="Times New Roman" w:hAnsi="Times New Roman" w:cs="Times New Roman"/>
          <w:sz w:val="24"/>
          <w:szCs w:val="24"/>
        </w:rPr>
        <w:t xml:space="preserve">t is important to note that </w:t>
      </w:r>
      <w:r w:rsidR="00C2607E" w:rsidRPr="00E32792">
        <w:rPr>
          <w:rFonts w:ascii="Times New Roman" w:hAnsi="Times New Roman" w:cs="Times New Roman"/>
          <w:sz w:val="24"/>
          <w:szCs w:val="24"/>
        </w:rPr>
        <w:t>significant differences within</w:t>
      </w:r>
      <w:r w:rsidR="003D4B5D" w:rsidRPr="00E32792">
        <w:rPr>
          <w:rFonts w:ascii="Times New Roman" w:hAnsi="Times New Roman" w:cs="Times New Roman"/>
          <w:sz w:val="24"/>
          <w:szCs w:val="24"/>
        </w:rPr>
        <w:t xml:space="preserve"> CEECs</w:t>
      </w:r>
      <w:r w:rsidR="00C2607E" w:rsidRPr="00E32792">
        <w:rPr>
          <w:rFonts w:ascii="Times New Roman" w:hAnsi="Times New Roman" w:cs="Times New Roman"/>
          <w:sz w:val="24"/>
          <w:szCs w:val="24"/>
        </w:rPr>
        <w:t xml:space="preserve"> exist. While </w:t>
      </w:r>
      <w:r w:rsidR="00340B3E" w:rsidRPr="00E32792">
        <w:rPr>
          <w:rFonts w:ascii="Times New Roman" w:hAnsi="Times New Roman" w:cs="Times New Roman"/>
          <w:sz w:val="24"/>
          <w:szCs w:val="24"/>
        </w:rPr>
        <w:t>Estonia</w:t>
      </w:r>
      <w:r w:rsidR="008F342A" w:rsidRPr="00E32792">
        <w:rPr>
          <w:rFonts w:ascii="Times New Roman" w:hAnsi="Times New Roman" w:cs="Times New Roman"/>
          <w:sz w:val="24"/>
          <w:szCs w:val="24"/>
        </w:rPr>
        <w:t xml:space="preserve"> </w:t>
      </w:r>
      <w:r w:rsidR="00517EA5" w:rsidRPr="00E32792">
        <w:rPr>
          <w:rFonts w:ascii="Times New Roman" w:hAnsi="Times New Roman" w:cs="Times New Roman"/>
          <w:sz w:val="24"/>
          <w:szCs w:val="24"/>
        </w:rPr>
        <w:t xml:space="preserve">outperforms </w:t>
      </w:r>
      <w:r w:rsidR="00340B3E" w:rsidRPr="00E32792">
        <w:rPr>
          <w:rFonts w:ascii="Times New Roman" w:hAnsi="Times New Roman" w:cs="Times New Roman"/>
          <w:sz w:val="24"/>
          <w:szCs w:val="24"/>
        </w:rPr>
        <w:t>many developed countries</w:t>
      </w:r>
      <w:r w:rsidR="003D4B5D" w:rsidRPr="00E32792">
        <w:rPr>
          <w:rFonts w:ascii="Times New Roman" w:hAnsi="Times New Roman" w:cs="Times New Roman"/>
          <w:sz w:val="24"/>
          <w:szCs w:val="24"/>
        </w:rPr>
        <w:t xml:space="preserve"> (</w:t>
      </w:r>
      <w:r w:rsidR="00517EA5" w:rsidRPr="00E32792">
        <w:rPr>
          <w:rFonts w:ascii="Times New Roman" w:hAnsi="Times New Roman" w:cs="Times New Roman"/>
          <w:sz w:val="24"/>
          <w:szCs w:val="24"/>
        </w:rPr>
        <w:t xml:space="preserve">including high performers such as </w:t>
      </w:r>
      <w:r w:rsidR="00340B3E" w:rsidRPr="00E32792">
        <w:rPr>
          <w:rFonts w:ascii="Times New Roman" w:hAnsi="Times New Roman" w:cs="Times New Roman"/>
          <w:sz w:val="24"/>
          <w:szCs w:val="24"/>
        </w:rPr>
        <w:t>Finland</w:t>
      </w:r>
      <w:r w:rsidR="007D327D" w:rsidRPr="00E32792">
        <w:rPr>
          <w:rFonts w:ascii="Times New Roman" w:hAnsi="Times New Roman" w:cs="Times New Roman"/>
          <w:sz w:val="24"/>
          <w:szCs w:val="24"/>
        </w:rPr>
        <w:t>)</w:t>
      </w:r>
      <w:r w:rsidR="00785DE9" w:rsidRPr="00E32792">
        <w:rPr>
          <w:rFonts w:ascii="Times New Roman" w:hAnsi="Times New Roman" w:cs="Times New Roman"/>
          <w:sz w:val="24"/>
          <w:szCs w:val="24"/>
        </w:rPr>
        <w:t xml:space="preserve"> and</w:t>
      </w:r>
      <w:r w:rsidR="00517EA5" w:rsidRPr="00E32792">
        <w:rPr>
          <w:rFonts w:ascii="Times New Roman" w:hAnsi="Times New Roman" w:cs="Times New Roman"/>
          <w:sz w:val="24"/>
          <w:szCs w:val="24"/>
        </w:rPr>
        <w:t xml:space="preserve"> </w:t>
      </w:r>
      <w:r w:rsidR="00C2607E" w:rsidRPr="00E32792">
        <w:rPr>
          <w:rFonts w:ascii="Times New Roman" w:hAnsi="Times New Roman" w:cs="Times New Roman"/>
          <w:sz w:val="24"/>
          <w:szCs w:val="24"/>
        </w:rPr>
        <w:t>t</w:t>
      </w:r>
      <w:r w:rsidR="00340B3E" w:rsidRPr="00E32792">
        <w:rPr>
          <w:rFonts w:ascii="Times New Roman" w:hAnsi="Times New Roman" w:cs="Times New Roman"/>
          <w:sz w:val="24"/>
          <w:szCs w:val="24"/>
        </w:rPr>
        <w:t>he Czech Republic</w:t>
      </w:r>
      <w:r w:rsidR="003F7E03" w:rsidRPr="00E32792">
        <w:rPr>
          <w:rFonts w:ascii="Times New Roman" w:hAnsi="Times New Roman" w:cs="Times New Roman"/>
          <w:sz w:val="24"/>
          <w:szCs w:val="24"/>
        </w:rPr>
        <w:t>,</w:t>
      </w:r>
      <w:r w:rsidR="00340B3E" w:rsidRPr="00E32792">
        <w:rPr>
          <w:rFonts w:ascii="Times New Roman" w:hAnsi="Times New Roman" w:cs="Times New Roman"/>
          <w:sz w:val="24"/>
          <w:szCs w:val="24"/>
        </w:rPr>
        <w:t xml:space="preserve"> Slovakia and Hungary </w:t>
      </w:r>
      <w:r w:rsidR="00C2607E" w:rsidRPr="00E32792">
        <w:rPr>
          <w:rFonts w:ascii="Times New Roman" w:hAnsi="Times New Roman" w:cs="Times New Roman"/>
          <w:sz w:val="24"/>
          <w:szCs w:val="24"/>
        </w:rPr>
        <w:t xml:space="preserve">have </w:t>
      </w:r>
      <w:r w:rsidR="00340B3E" w:rsidRPr="00E32792">
        <w:rPr>
          <w:rFonts w:ascii="Times New Roman" w:hAnsi="Times New Roman" w:cs="Times New Roman"/>
          <w:sz w:val="24"/>
          <w:szCs w:val="24"/>
        </w:rPr>
        <w:t>international</w:t>
      </w:r>
      <w:r w:rsidR="00517EA5" w:rsidRPr="00E32792">
        <w:rPr>
          <w:rFonts w:ascii="Times New Roman" w:hAnsi="Times New Roman" w:cs="Times New Roman"/>
          <w:sz w:val="24"/>
          <w:szCs w:val="24"/>
        </w:rPr>
        <w:t>ly</w:t>
      </w:r>
      <w:r w:rsidR="00340B3E" w:rsidRPr="00E32792">
        <w:rPr>
          <w:rFonts w:ascii="Times New Roman" w:hAnsi="Times New Roman" w:cs="Times New Roman"/>
          <w:sz w:val="24"/>
          <w:szCs w:val="24"/>
        </w:rPr>
        <w:t xml:space="preserve"> comparable scores</w:t>
      </w:r>
      <w:r w:rsidR="00517EA5" w:rsidRPr="00E32792">
        <w:rPr>
          <w:rFonts w:ascii="Times New Roman" w:hAnsi="Times New Roman" w:cs="Times New Roman"/>
          <w:sz w:val="24"/>
          <w:szCs w:val="24"/>
        </w:rPr>
        <w:t>, c</w:t>
      </w:r>
      <w:r w:rsidR="00340B3E" w:rsidRPr="00E32792">
        <w:rPr>
          <w:rFonts w:ascii="Times New Roman" w:hAnsi="Times New Roman" w:cs="Times New Roman"/>
          <w:sz w:val="24"/>
          <w:szCs w:val="24"/>
        </w:rPr>
        <w:t>ountries such as Albania and Macedonia</w:t>
      </w:r>
      <w:r w:rsidR="00517EA5" w:rsidRPr="00E32792">
        <w:rPr>
          <w:rFonts w:ascii="Times New Roman" w:hAnsi="Times New Roman" w:cs="Times New Roman"/>
          <w:sz w:val="24"/>
          <w:szCs w:val="24"/>
        </w:rPr>
        <w:t xml:space="preserve"> are</w:t>
      </w:r>
      <w:r w:rsidR="00340B3E" w:rsidRPr="00E32792">
        <w:rPr>
          <w:rFonts w:ascii="Times New Roman" w:hAnsi="Times New Roman" w:cs="Times New Roman"/>
          <w:sz w:val="24"/>
          <w:szCs w:val="24"/>
        </w:rPr>
        <w:t xml:space="preserve"> listed in the lower end of the distribution.</w:t>
      </w:r>
    </w:p>
    <w:p w:rsidR="00E42551" w:rsidRPr="001E2721" w:rsidRDefault="00F96B40" w:rsidP="002945E2">
      <w:pPr>
        <w:pStyle w:val="Heading1"/>
        <w:spacing w:line="360" w:lineRule="auto"/>
        <w:rPr>
          <w:color w:val="auto"/>
          <w:lang w:val="en-US"/>
        </w:rPr>
      </w:pPr>
      <w:r w:rsidRPr="001E2721">
        <w:rPr>
          <w:color w:val="auto"/>
          <w:lang w:val="en-US"/>
        </w:rPr>
        <w:t>3</w:t>
      </w:r>
      <w:r w:rsidR="008C76EA" w:rsidRPr="001E2721">
        <w:rPr>
          <w:color w:val="auto"/>
          <w:lang w:val="en-US"/>
        </w:rPr>
        <w:t xml:space="preserve">. </w:t>
      </w:r>
      <w:r w:rsidR="00E42551" w:rsidRPr="001E2721">
        <w:rPr>
          <w:color w:val="auto"/>
          <w:lang w:val="en-US"/>
        </w:rPr>
        <w:t xml:space="preserve">Theoretical framework </w:t>
      </w:r>
      <w:r w:rsidRPr="001E2721">
        <w:rPr>
          <w:color w:val="auto"/>
          <w:lang w:val="en-US"/>
        </w:rPr>
        <w:t>and empirical specification</w:t>
      </w:r>
    </w:p>
    <w:p w:rsidR="003D4B5D" w:rsidRPr="001E2721" w:rsidRDefault="002945E2" w:rsidP="00ED22EA">
      <w:pPr>
        <w:spacing w:line="360" w:lineRule="auto"/>
        <w:jc w:val="both"/>
        <w:rPr>
          <w:rFonts w:ascii="Times New Roman" w:hAnsi="Times New Roman" w:cs="Times New Roman"/>
          <w:color w:val="000000"/>
          <w:sz w:val="24"/>
          <w:szCs w:val="24"/>
        </w:rPr>
      </w:pPr>
      <w:r w:rsidRPr="001E2721">
        <w:rPr>
          <w:rFonts w:ascii="Times New Roman" w:hAnsi="Times New Roman" w:cs="Times New Roman"/>
          <w:color w:val="000000"/>
          <w:sz w:val="24"/>
          <w:szCs w:val="24"/>
        </w:rPr>
        <w:t>The</w:t>
      </w:r>
      <w:r w:rsidR="006730DC" w:rsidRPr="001E2721">
        <w:rPr>
          <w:rFonts w:ascii="Times New Roman" w:hAnsi="Times New Roman" w:cs="Times New Roman"/>
          <w:color w:val="000000"/>
          <w:sz w:val="24"/>
          <w:szCs w:val="24"/>
        </w:rPr>
        <w:t xml:space="preserve"> importance of human capital accumulation for competitiveness and export performance is derived from its intrinsic relation with technological progress, innovation and </w:t>
      </w:r>
      <w:r w:rsidR="00D93A71" w:rsidRPr="001E2721">
        <w:rPr>
          <w:rFonts w:ascii="Times New Roman" w:hAnsi="Times New Roman" w:cs="Times New Roman"/>
          <w:color w:val="000000"/>
          <w:sz w:val="24"/>
          <w:szCs w:val="24"/>
        </w:rPr>
        <w:t>labor</w:t>
      </w:r>
      <w:r w:rsidR="006730DC" w:rsidRPr="001E2721">
        <w:rPr>
          <w:rFonts w:ascii="Times New Roman" w:hAnsi="Times New Roman" w:cs="Times New Roman"/>
          <w:color w:val="000000"/>
          <w:sz w:val="24"/>
          <w:szCs w:val="24"/>
        </w:rPr>
        <w:t xml:space="preserve"> productivity. </w:t>
      </w:r>
      <w:r w:rsidR="002E17D3" w:rsidRPr="001E2721">
        <w:rPr>
          <w:rFonts w:ascii="Times New Roman" w:hAnsi="Times New Roman" w:cs="Times New Roman"/>
          <w:sz w:val="24"/>
          <w:szCs w:val="24"/>
        </w:rPr>
        <w:t>According to Romer (1990), skilled individuals are more likely to innovate, adopt, and adapt to more sophisticated technologies, thus lead</w:t>
      </w:r>
      <w:r w:rsidR="00C95124" w:rsidRPr="001E2721">
        <w:rPr>
          <w:rFonts w:ascii="Times New Roman" w:hAnsi="Times New Roman" w:cs="Times New Roman"/>
          <w:sz w:val="24"/>
          <w:szCs w:val="24"/>
        </w:rPr>
        <w:t>ing</w:t>
      </w:r>
      <w:r w:rsidR="002E17D3" w:rsidRPr="001E2721">
        <w:rPr>
          <w:rFonts w:ascii="Times New Roman" w:hAnsi="Times New Roman" w:cs="Times New Roman"/>
          <w:sz w:val="24"/>
          <w:szCs w:val="24"/>
        </w:rPr>
        <w:t xml:space="preserve"> to higher productivity and economic growth. Similarly, Nelson and Phelps (1966) argue that better educated individuals make better innovators and are more likely to successfully adopt new technologies, hence accelerat</w:t>
      </w:r>
      <w:r w:rsidR="001518A2" w:rsidRPr="001E2721">
        <w:rPr>
          <w:rFonts w:ascii="Times New Roman" w:hAnsi="Times New Roman" w:cs="Times New Roman"/>
          <w:sz w:val="24"/>
          <w:szCs w:val="24"/>
        </w:rPr>
        <w:t>ing</w:t>
      </w:r>
      <w:r w:rsidR="002E17D3" w:rsidRPr="001E2721">
        <w:rPr>
          <w:rFonts w:ascii="Times New Roman" w:hAnsi="Times New Roman" w:cs="Times New Roman"/>
          <w:sz w:val="24"/>
          <w:szCs w:val="24"/>
        </w:rPr>
        <w:t xml:space="preserve"> technological diffusion. </w:t>
      </w:r>
      <w:r w:rsidR="006730DC" w:rsidRPr="001E2721">
        <w:rPr>
          <w:rFonts w:ascii="Times New Roman" w:hAnsi="Times New Roman" w:cs="Times New Roman"/>
          <w:color w:val="000000"/>
          <w:sz w:val="24"/>
          <w:szCs w:val="24"/>
        </w:rPr>
        <w:t xml:space="preserve">According to Wakelin (1998), there are two theoretical approaches that explain the link between innovation and exports. The “neo-endowment” approach, which </w:t>
      </w:r>
      <w:r w:rsidR="006730DC" w:rsidRPr="00E32792">
        <w:rPr>
          <w:rFonts w:ascii="Times New Roman" w:hAnsi="Times New Roman" w:cs="Times New Roman"/>
          <w:color w:val="000000"/>
          <w:sz w:val="24"/>
          <w:szCs w:val="24"/>
        </w:rPr>
        <w:t xml:space="preserve">initially focused on the factor endowments of </w:t>
      </w:r>
      <w:r w:rsidR="00D93A71" w:rsidRPr="00E32792">
        <w:rPr>
          <w:rFonts w:ascii="Times New Roman" w:hAnsi="Times New Roman" w:cs="Times New Roman"/>
          <w:color w:val="000000"/>
          <w:sz w:val="24"/>
          <w:szCs w:val="24"/>
        </w:rPr>
        <w:t>labor</w:t>
      </w:r>
      <w:r w:rsidR="006730DC" w:rsidRPr="00E32792">
        <w:rPr>
          <w:rFonts w:ascii="Times New Roman" w:hAnsi="Times New Roman" w:cs="Times New Roman"/>
          <w:color w:val="000000"/>
          <w:sz w:val="24"/>
          <w:szCs w:val="24"/>
        </w:rPr>
        <w:t xml:space="preserve"> and capital, has been augmented by including human capital and knowledge as determinants of trade, i.e. the Heckscher-Ohlin theory. The second approach, on the other hand, refers to the technological differences as the principal sources of trade, i.e. the technology gap theory (Posner, 1961) and the product cycle approach (Vernon, 1966). </w:t>
      </w:r>
      <w:r w:rsidR="005C4146" w:rsidRPr="00E32792">
        <w:rPr>
          <w:rFonts w:ascii="Times New Roman" w:hAnsi="Times New Roman" w:cs="Times New Roman"/>
          <w:color w:val="000000"/>
          <w:sz w:val="24"/>
          <w:szCs w:val="24"/>
        </w:rPr>
        <w:t>The new trade theory add</w:t>
      </w:r>
      <w:r w:rsidR="00A90BFC" w:rsidRPr="00E32792">
        <w:rPr>
          <w:rFonts w:ascii="Times New Roman" w:hAnsi="Times New Roman" w:cs="Times New Roman"/>
          <w:color w:val="000000"/>
          <w:sz w:val="24"/>
          <w:szCs w:val="24"/>
        </w:rPr>
        <w:t>s</w:t>
      </w:r>
      <w:r w:rsidR="005C4146" w:rsidRPr="00E32792">
        <w:rPr>
          <w:rFonts w:ascii="Times New Roman" w:hAnsi="Times New Roman" w:cs="Times New Roman"/>
          <w:color w:val="000000"/>
          <w:sz w:val="24"/>
          <w:szCs w:val="24"/>
        </w:rPr>
        <w:t xml:space="preserve"> the possibility of increasing returns to scale and monopolistic competition to the traditional models (Krugman, 1979).</w:t>
      </w:r>
      <w:r w:rsidR="00D078F3" w:rsidRPr="00E32792">
        <w:rPr>
          <w:rFonts w:ascii="Times New Roman" w:hAnsi="Times New Roman" w:cs="Times New Roman"/>
          <w:color w:val="000000"/>
          <w:sz w:val="24"/>
          <w:szCs w:val="24"/>
        </w:rPr>
        <w:t xml:space="preserve"> The importance of productivity in this relationship </w:t>
      </w:r>
      <w:r w:rsidR="00A16514" w:rsidRPr="00E32792">
        <w:rPr>
          <w:rFonts w:ascii="Times New Roman" w:hAnsi="Times New Roman" w:cs="Times New Roman"/>
          <w:color w:val="000000"/>
          <w:sz w:val="24"/>
          <w:szCs w:val="24"/>
        </w:rPr>
        <w:t>is</w:t>
      </w:r>
      <w:r w:rsidR="00D078F3" w:rsidRPr="00E32792">
        <w:rPr>
          <w:rFonts w:ascii="Times New Roman" w:hAnsi="Times New Roman" w:cs="Times New Roman"/>
          <w:color w:val="000000"/>
          <w:sz w:val="24"/>
          <w:szCs w:val="24"/>
        </w:rPr>
        <w:t xml:space="preserve"> highlighted by Melitz (2003) who argue</w:t>
      </w:r>
      <w:r w:rsidR="00A16514" w:rsidRPr="00E32792">
        <w:rPr>
          <w:rFonts w:ascii="Times New Roman" w:hAnsi="Times New Roman" w:cs="Times New Roman"/>
          <w:color w:val="000000"/>
          <w:sz w:val="24"/>
          <w:szCs w:val="24"/>
        </w:rPr>
        <w:t>s</w:t>
      </w:r>
      <w:r w:rsidR="00D078F3" w:rsidRPr="00E32792">
        <w:rPr>
          <w:rFonts w:ascii="Times New Roman" w:hAnsi="Times New Roman" w:cs="Times New Roman"/>
          <w:color w:val="000000"/>
          <w:sz w:val="24"/>
          <w:szCs w:val="24"/>
        </w:rPr>
        <w:t xml:space="preserve"> that only the most productive firms can overcome the additional export-related costs and engage in exporting activities. A similar contribution to the productivity-export nexus has been made by Bernard et al. (2003).</w:t>
      </w:r>
      <w:r w:rsidR="00FC033A" w:rsidRPr="001E2721">
        <w:rPr>
          <w:rFonts w:ascii="Times New Roman" w:hAnsi="Times New Roman" w:cs="Times New Roman"/>
          <w:color w:val="000000"/>
          <w:sz w:val="24"/>
          <w:szCs w:val="24"/>
        </w:rPr>
        <w:t xml:space="preserve"> </w:t>
      </w:r>
    </w:p>
    <w:p w:rsidR="003B4610" w:rsidRPr="001E2721" w:rsidRDefault="007444ED" w:rsidP="00ED22EA">
      <w:pPr>
        <w:spacing w:line="360" w:lineRule="auto"/>
        <w:jc w:val="both"/>
        <w:rPr>
          <w:rFonts w:ascii="Times New Roman" w:hAnsi="Times New Roman" w:cs="Times New Roman"/>
          <w:color w:val="000000"/>
          <w:sz w:val="24"/>
          <w:szCs w:val="24"/>
        </w:rPr>
      </w:pPr>
      <w:r w:rsidRPr="001E2721">
        <w:rPr>
          <w:rFonts w:ascii="Times New Roman" w:hAnsi="Times New Roman" w:cs="Times New Roman"/>
          <w:color w:val="000000"/>
          <w:sz w:val="24"/>
          <w:szCs w:val="24"/>
        </w:rPr>
        <w:t>M</w:t>
      </w:r>
      <w:r w:rsidR="006730DC" w:rsidRPr="001E2721">
        <w:rPr>
          <w:rFonts w:ascii="Times New Roman" w:hAnsi="Times New Roman" w:cs="Times New Roman"/>
          <w:color w:val="000000"/>
          <w:sz w:val="24"/>
          <w:szCs w:val="24"/>
        </w:rPr>
        <w:t xml:space="preserve">ost empirical studies treat human capital and technology as crucial drivers of international competitiveness. </w:t>
      </w:r>
      <w:r w:rsidR="001518A2" w:rsidRPr="001E2721">
        <w:rPr>
          <w:rFonts w:ascii="Times New Roman" w:hAnsi="Times New Roman" w:cs="Times New Roman"/>
          <w:color w:val="000000"/>
          <w:sz w:val="24"/>
          <w:szCs w:val="24"/>
        </w:rPr>
        <w:t>A</w:t>
      </w:r>
      <w:r w:rsidR="006730DC" w:rsidRPr="001E2721">
        <w:rPr>
          <w:rFonts w:ascii="Times New Roman" w:hAnsi="Times New Roman" w:cs="Times New Roman"/>
          <w:color w:val="000000"/>
          <w:sz w:val="24"/>
          <w:szCs w:val="24"/>
        </w:rPr>
        <w:t xml:space="preserve">n increasing level of human capital </w:t>
      </w:r>
      <w:r w:rsidR="001518A2" w:rsidRPr="001E2721">
        <w:rPr>
          <w:rFonts w:ascii="Times New Roman" w:hAnsi="Times New Roman" w:cs="Times New Roman"/>
          <w:color w:val="000000"/>
          <w:sz w:val="24"/>
          <w:szCs w:val="24"/>
        </w:rPr>
        <w:t xml:space="preserve">has been argued </w:t>
      </w:r>
      <w:r w:rsidR="006730DC" w:rsidRPr="001E2721">
        <w:rPr>
          <w:rFonts w:ascii="Times New Roman" w:hAnsi="Times New Roman" w:cs="Times New Roman"/>
          <w:color w:val="000000"/>
          <w:sz w:val="24"/>
          <w:szCs w:val="24"/>
        </w:rPr>
        <w:t xml:space="preserve">to </w:t>
      </w:r>
      <w:r w:rsidR="001518A2" w:rsidRPr="001E2721">
        <w:rPr>
          <w:rFonts w:ascii="Times New Roman" w:hAnsi="Times New Roman" w:cs="Times New Roman"/>
          <w:color w:val="000000"/>
          <w:sz w:val="24"/>
          <w:szCs w:val="24"/>
        </w:rPr>
        <w:t>promote</w:t>
      </w:r>
      <w:r w:rsidR="006730DC" w:rsidRPr="001E2721">
        <w:rPr>
          <w:rFonts w:ascii="Times New Roman" w:hAnsi="Times New Roman" w:cs="Times New Roman"/>
          <w:color w:val="000000"/>
          <w:sz w:val="24"/>
          <w:szCs w:val="24"/>
        </w:rPr>
        <w:t xml:space="preserve"> innovative activities, which in turn will impact international competitiveness by improving the quality of existing products and </w:t>
      </w:r>
      <w:r w:rsidR="001518A2" w:rsidRPr="001E2721">
        <w:rPr>
          <w:rFonts w:ascii="Times New Roman" w:hAnsi="Times New Roman" w:cs="Times New Roman"/>
          <w:color w:val="000000"/>
          <w:sz w:val="24"/>
          <w:szCs w:val="24"/>
        </w:rPr>
        <w:t>enabling</w:t>
      </w:r>
      <w:r w:rsidR="006730DC" w:rsidRPr="001E2721">
        <w:rPr>
          <w:rFonts w:ascii="Times New Roman" w:hAnsi="Times New Roman" w:cs="Times New Roman"/>
          <w:color w:val="000000"/>
          <w:sz w:val="24"/>
          <w:szCs w:val="24"/>
        </w:rPr>
        <w:t xml:space="preserve"> the creation of new products that are of superior quality to those of competitors (</w:t>
      </w:r>
      <w:r w:rsidR="00964147" w:rsidRPr="001E2721">
        <w:rPr>
          <w:rFonts w:ascii="Times New Roman" w:hAnsi="Times New Roman" w:cs="Times New Roman"/>
          <w:color w:val="000000"/>
          <w:sz w:val="24"/>
          <w:szCs w:val="24"/>
        </w:rPr>
        <w:t>Grossman and Helpman, 1991, Agénor, 1995</w:t>
      </w:r>
      <w:r w:rsidR="006730DC" w:rsidRPr="001E2721">
        <w:rPr>
          <w:rFonts w:ascii="Times New Roman" w:hAnsi="Times New Roman" w:cs="Times New Roman"/>
          <w:color w:val="000000"/>
          <w:sz w:val="24"/>
          <w:szCs w:val="24"/>
        </w:rPr>
        <w:t xml:space="preserve">). The importance of knowledge and skills for international competitiveness is also supported by the established link between productivity and knowledge-based activities. According to Porter (1990), human capital, as a key determining factor of productivity, is an important source of the competitive advantage of countries. </w:t>
      </w:r>
    </w:p>
    <w:p w:rsidR="00C17E42" w:rsidRPr="00E32792" w:rsidRDefault="00BE69C8" w:rsidP="000C6BAE">
      <w:pPr>
        <w:spacing w:line="360" w:lineRule="auto"/>
        <w:jc w:val="both"/>
        <w:rPr>
          <w:rFonts w:ascii="Times New Roman" w:hAnsi="Times New Roman" w:cs="Times New Roman"/>
          <w:sz w:val="24"/>
          <w:szCs w:val="24"/>
        </w:rPr>
      </w:pPr>
      <w:r w:rsidRPr="00E32792">
        <w:rPr>
          <w:rFonts w:ascii="Times New Roman" w:hAnsi="Times New Roman" w:cs="Times New Roman"/>
          <w:color w:val="000000"/>
          <w:sz w:val="24"/>
          <w:szCs w:val="24"/>
        </w:rPr>
        <w:t>Even though t</w:t>
      </w:r>
      <w:r w:rsidR="00135FD1" w:rsidRPr="00E32792">
        <w:rPr>
          <w:rFonts w:ascii="Times New Roman" w:hAnsi="Times New Roman" w:cs="Times New Roman"/>
          <w:color w:val="000000"/>
          <w:sz w:val="24"/>
          <w:szCs w:val="24"/>
        </w:rPr>
        <w:t xml:space="preserve">he link between human capital and international competitiveness has been empirically tested, the measures used to capture </w:t>
      </w:r>
      <w:r w:rsidR="00142741" w:rsidRPr="00E32792">
        <w:rPr>
          <w:rFonts w:ascii="Times New Roman" w:hAnsi="Times New Roman" w:cs="Times New Roman"/>
          <w:color w:val="000000"/>
          <w:sz w:val="24"/>
          <w:szCs w:val="24"/>
        </w:rPr>
        <w:t>th</w:t>
      </w:r>
      <w:r w:rsidR="00C95124" w:rsidRPr="00E32792">
        <w:rPr>
          <w:rFonts w:ascii="Times New Roman" w:hAnsi="Times New Roman" w:cs="Times New Roman"/>
          <w:color w:val="000000"/>
          <w:sz w:val="24"/>
          <w:szCs w:val="24"/>
        </w:rPr>
        <w:t>is relationship</w:t>
      </w:r>
      <w:r w:rsidR="00135FD1" w:rsidRPr="00E32792">
        <w:rPr>
          <w:rFonts w:ascii="Times New Roman" w:hAnsi="Times New Roman" w:cs="Times New Roman"/>
          <w:color w:val="000000"/>
          <w:sz w:val="24"/>
          <w:szCs w:val="24"/>
        </w:rPr>
        <w:t xml:space="preserve"> are often weak and little reference has been made to transition economies.</w:t>
      </w:r>
      <w:r w:rsidR="00142741" w:rsidRPr="00E32792">
        <w:rPr>
          <w:rFonts w:ascii="Times New Roman" w:hAnsi="Times New Roman" w:cs="Times New Roman"/>
          <w:color w:val="000000"/>
          <w:sz w:val="24"/>
          <w:szCs w:val="24"/>
        </w:rPr>
        <w:t xml:space="preserve"> </w:t>
      </w:r>
      <w:r w:rsidR="00F70DF1" w:rsidRPr="00E32792">
        <w:rPr>
          <w:rFonts w:ascii="Times New Roman" w:hAnsi="Times New Roman" w:cs="Times New Roman"/>
          <w:color w:val="000000"/>
          <w:sz w:val="24"/>
          <w:szCs w:val="24"/>
        </w:rPr>
        <w:t xml:space="preserve">At </w:t>
      </w:r>
      <w:r w:rsidR="006728E9" w:rsidRPr="00E32792">
        <w:rPr>
          <w:rFonts w:ascii="Times New Roman" w:hAnsi="Times New Roman" w:cs="Times New Roman"/>
          <w:color w:val="000000"/>
          <w:sz w:val="24"/>
          <w:szCs w:val="24"/>
        </w:rPr>
        <w:t xml:space="preserve">the </w:t>
      </w:r>
      <w:r w:rsidR="00F70DF1" w:rsidRPr="00E32792">
        <w:rPr>
          <w:rFonts w:ascii="Times New Roman" w:hAnsi="Times New Roman" w:cs="Times New Roman"/>
          <w:color w:val="000000"/>
          <w:sz w:val="24"/>
          <w:szCs w:val="24"/>
        </w:rPr>
        <w:t xml:space="preserve">macro level, a </w:t>
      </w:r>
      <w:r w:rsidR="003B4610" w:rsidRPr="00E32792">
        <w:rPr>
          <w:rFonts w:ascii="Times New Roman" w:hAnsi="Times New Roman" w:cs="Times New Roman"/>
          <w:color w:val="000000"/>
          <w:sz w:val="24"/>
          <w:szCs w:val="24"/>
        </w:rPr>
        <w:t>positive impact of human capital on trade/export</w:t>
      </w:r>
      <w:r w:rsidR="00C95124" w:rsidRPr="00E32792">
        <w:rPr>
          <w:rFonts w:ascii="Times New Roman" w:hAnsi="Times New Roman" w:cs="Times New Roman"/>
          <w:color w:val="000000"/>
          <w:sz w:val="24"/>
          <w:szCs w:val="24"/>
        </w:rPr>
        <w:t>-</w:t>
      </w:r>
      <w:r w:rsidR="003B4610" w:rsidRPr="00E32792">
        <w:rPr>
          <w:rFonts w:ascii="Times New Roman" w:hAnsi="Times New Roman" w:cs="Times New Roman"/>
          <w:color w:val="000000"/>
          <w:sz w:val="24"/>
          <w:szCs w:val="24"/>
        </w:rPr>
        <w:t xml:space="preserve">based </w:t>
      </w:r>
      <w:r w:rsidR="00D93A71" w:rsidRPr="00E32792">
        <w:rPr>
          <w:rFonts w:ascii="Times New Roman" w:hAnsi="Times New Roman" w:cs="Times New Roman"/>
          <w:color w:val="000000"/>
          <w:sz w:val="24"/>
          <w:szCs w:val="24"/>
        </w:rPr>
        <w:t>indicators</w:t>
      </w:r>
      <w:r w:rsidR="003B4610" w:rsidRPr="00E32792">
        <w:rPr>
          <w:rFonts w:ascii="Times New Roman" w:hAnsi="Times New Roman" w:cs="Times New Roman"/>
          <w:color w:val="000000"/>
          <w:sz w:val="24"/>
          <w:szCs w:val="24"/>
        </w:rPr>
        <w:t xml:space="preserve"> was </w:t>
      </w:r>
      <w:r w:rsidR="00F70DF1" w:rsidRPr="00E32792">
        <w:rPr>
          <w:rFonts w:ascii="Times New Roman" w:hAnsi="Times New Roman" w:cs="Times New Roman"/>
          <w:color w:val="000000"/>
          <w:sz w:val="24"/>
          <w:szCs w:val="24"/>
        </w:rPr>
        <w:t xml:space="preserve">found </w:t>
      </w:r>
      <w:r w:rsidR="003B4610" w:rsidRPr="00E32792">
        <w:rPr>
          <w:rFonts w:ascii="Times New Roman" w:hAnsi="Times New Roman" w:cs="Times New Roman"/>
          <w:color w:val="000000"/>
          <w:sz w:val="24"/>
          <w:szCs w:val="24"/>
        </w:rPr>
        <w:t xml:space="preserve">by </w:t>
      </w:r>
      <w:r w:rsidR="00FB1D3A" w:rsidRPr="00E32792">
        <w:rPr>
          <w:rFonts w:ascii="Times New Roman" w:hAnsi="Times New Roman" w:cs="Times New Roman"/>
          <w:sz w:val="24"/>
          <w:szCs w:val="24"/>
        </w:rPr>
        <w:t xml:space="preserve">Carlin et al. </w:t>
      </w:r>
      <w:r w:rsidR="00CF3920" w:rsidRPr="00E32792">
        <w:rPr>
          <w:rFonts w:ascii="Times New Roman" w:hAnsi="Times New Roman" w:cs="Times New Roman"/>
          <w:sz w:val="24"/>
          <w:szCs w:val="24"/>
        </w:rPr>
        <w:t>(</w:t>
      </w:r>
      <w:r w:rsidR="00FB1D3A" w:rsidRPr="00E32792">
        <w:rPr>
          <w:rFonts w:ascii="Times New Roman" w:hAnsi="Times New Roman" w:cs="Times New Roman"/>
          <w:sz w:val="24"/>
          <w:szCs w:val="24"/>
        </w:rPr>
        <w:t>2001</w:t>
      </w:r>
      <w:r w:rsidR="00CF3920" w:rsidRPr="00E32792">
        <w:rPr>
          <w:rFonts w:ascii="Times New Roman" w:hAnsi="Times New Roman" w:cs="Times New Roman"/>
          <w:sz w:val="24"/>
          <w:szCs w:val="24"/>
        </w:rPr>
        <w:t>)</w:t>
      </w:r>
      <w:r w:rsidR="00FB1D3A" w:rsidRPr="00E32792">
        <w:rPr>
          <w:rFonts w:ascii="Times New Roman" w:hAnsi="Times New Roman" w:cs="Times New Roman"/>
          <w:sz w:val="24"/>
          <w:szCs w:val="24"/>
        </w:rPr>
        <w:t xml:space="preserve">, </w:t>
      </w:r>
      <w:r w:rsidR="003B4610" w:rsidRPr="00E32792">
        <w:rPr>
          <w:rFonts w:ascii="Times New Roman" w:hAnsi="Times New Roman" w:cs="Times New Roman"/>
          <w:sz w:val="24"/>
          <w:szCs w:val="24"/>
        </w:rPr>
        <w:t>Chor</w:t>
      </w:r>
      <w:r w:rsidR="008F342A" w:rsidRPr="00E32792">
        <w:rPr>
          <w:rFonts w:ascii="Times New Roman" w:hAnsi="Times New Roman" w:cs="Times New Roman"/>
          <w:sz w:val="24"/>
          <w:szCs w:val="24"/>
        </w:rPr>
        <w:t xml:space="preserve"> </w:t>
      </w:r>
      <w:r w:rsidR="00904EE3" w:rsidRPr="00E32792">
        <w:rPr>
          <w:rFonts w:ascii="Times New Roman" w:hAnsi="Times New Roman" w:cs="Times New Roman"/>
          <w:sz w:val="24"/>
          <w:szCs w:val="24"/>
        </w:rPr>
        <w:t>(</w:t>
      </w:r>
      <w:r w:rsidR="003B4610" w:rsidRPr="00E32792">
        <w:rPr>
          <w:rFonts w:ascii="Times New Roman" w:hAnsi="Times New Roman" w:cs="Times New Roman"/>
          <w:sz w:val="24"/>
          <w:szCs w:val="24"/>
        </w:rPr>
        <w:t>2010</w:t>
      </w:r>
      <w:r w:rsidR="00904EE3" w:rsidRPr="00E32792">
        <w:rPr>
          <w:rFonts w:ascii="Times New Roman" w:hAnsi="Times New Roman" w:cs="Times New Roman"/>
          <w:sz w:val="24"/>
          <w:szCs w:val="24"/>
        </w:rPr>
        <w:t>)</w:t>
      </w:r>
      <w:r w:rsidR="00FB1D3A" w:rsidRPr="00E32792">
        <w:rPr>
          <w:rFonts w:ascii="Times New Roman" w:hAnsi="Times New Roman" w:cs="Times New Roman"/>
          <w:sz w:val="24"/>
          <w:szCs w:val="24"/>
        </w:rPr>
        <w:t xml:space="preserve">, </w:t>
      </w:r>
      <w:r w:rsidR="00FB1D3A" w:rsidRPr="00E32792">
        <w:rPr>
          <w:rFonts w:ascii="Times New Roman" w:hAnsi="Times New Roman" w:cs="Times New Roman"/>
          <w:iCs/>
          <w:sz w:val="24"/>
          <w:szCs w:val="24"/>
        </w:rPr>
        <w:t xml:space="preserve">Van der Marel </w:t>
      </w:r>
      <w:r w:rsidR="00904EE3" w:rsidRPr="00E32792">
        <w:rPr>
          <w:rFonts w:ascii="Times New Roman" w:hAnsi="Times New Roman" w:cs="Times New Roman"/>
          <w:iCs/>
          <w:sz w:val="24"/>
          <w:szCs w:val="24"/>
        </w:rPr>
        <w:t>(</w:t>
      </w:r>
      <w:r w:rsidR="00811E27" w:rsidRPr="00E32792">
        <w:rPr>
          <w:rFonts w:ascii="Times New Roman" w:hAnsi="Times New Roman" w:cs="Times New Roman"/>
          <w:iCs/>
          <w:sz w:val="24"/>
          <w:szCs w:val="24"/>
        </w:rPr>
        <w:t>2012</w:t>
      </w:r>
      <w:r w:rsidR="00904EE3" w:rsidRPr="00E32792">
        <w:rPr>
          <w:rFonts w:ascii="Times New Roman" w:hAnsi="Times New Roman" w:cs="Times New Roman"/>
          <w:iCs/>
          <w:sz w:val="24"/>
          <w:szCs w:val="24"/>
        </w:rPr>
        <w:t>), and</w:t>
      </w:r>
      <w:r w:rsidR="005D18DD" w:rsidRPr="00E32792">
        <w:rPr>
          <w:rFonts w:ascii="Times New Roman" w:hAnsi="Times New Roman" w:cs="Times New Roman"/>
          <w:iCs/>
          <w:sz w:val="24"/>
          <w:szCs w:val="24"/>
        </w:rPr>
        <w:t xml:space="preserve"> Johansson et al.</w:t>
      </w:r>
      <w:r w:rsidR="003275A9" w:rsidRPr="00E32792">
        <w:rPr>
          <w:rFonts w:ascii="Times New Roman" w:hAnsi="Times New Roman" w:cs="Times New Roman"/>
          <w:iCs/>
          <w:sz w:val="24"/>
          <w:szCs w:val="24"/>
        </w:rPr>
        <w:t>,</w:t>
      </w:r>
      <w:r w:rsidR="005D18DD" w:rsidRPr="00E32792">
        <w:rPr>
          <w:rFonts w:ascii="Times New Roman" w:hAnsi="Times New Roman" w:cs="Times New Roman"/>
          <w:iCs/>
          <w:sz w:val="24"/>
          <w:szCs w:val="24"/>
        </w:rPr>
        <w:t xml:space="preserve"> </w:t>
      </w:r>
      <w:r w:rsidR="00737741" w:rsidRPr="00E32792">
        <w:rPr>
          <w:rFonts w:ascii="Times New Roman" w:hAnsi="Times New Roman" w:cs="Times New Roman"/>
          <w:iCs/>
          <w:sz w:val="24"/>
          <w:szCs w:val="24"/>
        </w:rPr>
        <w:t>(</w:t>
      </w:r>
      <w:r w:rsidR="005D18DD" w:rsidRPr="00E32792">
        <w:rPr>
          <w:rFonts w:ascii="Times New Roman" w:hAnsi="Times New Roman" w:cs="Times New Roman"/>
          <w:iCs/>
          <w:sz w:val="24"/>
          <w:szCs w:val="24"/>
        </w:rPr>
        <w:t>2014</w:t>
      </w:r>
      <w:r w:rsidR="00904EE3" w:rsidRPr="00E32792">
        <w:rPr>
          <w:rFonts w:ascii="Times New Roman" w:hAnsi="Times New Roman" w:cs="Times New Roman"/>
          <w:iCs/>
          <w:sz w:val="24"/>
          <w:szCs w:val="24"/>
        </w:rPr>
        <w:t>)</w:t>
      </w:r>
      <w:r w:rsidR="00FB1D3A" w:rsidRPr="00E32792">
        <w:rPr>
          <w:rFonts w:ascii="Times New Roman" w:hAnsi="Times New Roman" w:cs="Times New Roman"/>
          <w:iCs/>
          <w:sz w:val="24"/>
          <w:szCs w:val="24"/>
        </w:rPr>
        <w:t xml:space="preserve">. </w:t>
      </w:r>
      <w:r w:rsidR="00F70DF1" w:rsidRPr="00E32792">
        <w:rPr>
          <w:rFonts w:ascii="Times New Roman" w:hAnsi="Times New Roman" w:cs="Times New Roman"/>
          <w:iCs/>
          <w:sz w:val="24"/>
          <w:szCs w:val="24"/>
        </w:rPr>
        <w:t xml:space="preserve">Similarly, at micro level, a positive relationship has been found between the firm’s human capital endowments and their </w:t>
      </w:r>
      <w:r w:rsidR="00A22687" w:rsidRPr="00E32792">
        <w:rPr>
          <w:rFonts w:ascii="Times New Roman" w:hAnsi="Times New Roman" w:cs="Times New Roman"/>
          <w:iCs/>
          <w:sz w:val="24"/>
          <w:szCs w:val="24"/>
        </w:rPr>
        <w:t>export</w:t>
      </w:r>
      <w:r w:rsidR="0018358B" w:rsidRPr="00E32792">
        <w:rPr>
          <w:rFonts w:ascii="Times New Roman" w:hAnsi="Times New Roman" w:cs="Times New Roman"/>
          <w:iCs/>
          <w:sz w:val="24"/>
          <w:szCs w:val="24"/>
        </w:rPr>
        <w:t xml:space="preserve"> propensity and intensity (see</w:t>
      </w:r>
      <w:r w:rsidR="00A22687" w:rsidRPr="00E32792">
        <w:rPr>
          <w:rFonts w:ascii="Times New Roman" w:hAnsi="Times New Roman" w:cs="Times New Roman"/>
          <w:iCs/>
          <w:sz w:val="24"/>
          <w:szCs w:val="24"/>
        </w:rPr>
        <w:t xml:space="preserve"> Eickelpa</w:t>
      </w:r>
      <w:r w:rsidR="00107321" w:rsidRPr="00E32792">
        <w:rPr>
          <w:rFonts w:ascii="Times New Roman" w:hAnsi="Times New Roman" w:cs="Times New Roman"/>
          <w:iCs/>
          <w:sz w:val="24"/>
          <w:szCs w:val="24"/>
        </w:rPr>
        <w:t xml:space="preserve">sch and Vogel, </w:t>
      </w:r>
      <w:r w:rsidR="00A22687" w:rsidRPr="00E32792">
        <w:rPr>
          <w:rFonts w:ascii="Times New Roman" w:hAnsi="Times New Roman" w:cs="Times New Roman"/>
          <w:iCs/>
          <w:sz w:val="24"/>
          <w:szCs w:val="24"/>
        </w:rPr>
        <w:t xml:space="preserve">2009, </w:t>
      </w:r>
      <w:r w:rsidR="005D5FDF" w:rsidRPr="00E32792">
        <w:rPr>
          <w:rFonts w:ascii="Times New Roman" w:hAnsi="Times New Roman" w:cs="Times New Roman"/>
          <w:iCs/>
          <w:sz w:val="24"/>
          <w:szCs w:val="24"/>
        </w:rPr>
        <w:t>Wagner 2012</w:t>
      </w:r>
      <w:r w:rsidR="00452BD8" w:rsidRPr="00E32792">
        <w:rPr>
          <w:rFonts w:ascii="Times New Roman" w:hAnsi="Times New Roman" w:cs="Times New Roman"/>
          <w:iCs/>
          <w:sz w:val="24"/>
          <w:szCs w:val="24"/>
        </w:rPr>
        <w:t xml:space="preserve">, </w:t>
      </w:r>
      <w:r w:rsidR="002945E2" w:rsidRPr="00E32792">
        <w:rPr>
          <w:rFonts w:ascii="Times New Roman" w:hAnsi="Times New Roman" w:cs="Times New Roman"/>
          <w:iCs/>
          <w:sz w:val="24"/>
          <w:szCs w:val="24"/>
        </w:rPr>
        <w:t xml:space="preserve">and </w:t>
      </w:r>
      <w:r w:rsidR="00A22687" w:rsidRPr="00E32792">
        <w:rPr>
          <w:rFonts w:ascii="Times New Roman" w:hAnsi="Times New Roman" w:cs="Times New Roman"/>
          <w:iCs/>
          <w:sz w:val="24"/>
          <w:szCs w:val="24"/>
        </w:rPr>
        <w:t>Falk and Hagsten 2015</w:t>
      </w:r>
      <w:r w:rsidR="002945E2" w:rsidRPr="00E32792">
        <w:rPr>
          <w:rFonts w:ascii="Times New Roman" w:hAnsi="Times New Roman" w:cs="Times New Roman"/>
          <w:iCs/>
          <w:sz w:val="24"/>
          <w:szCs w:val="24"/>
        </w:rPr>
        <w:t>)</w:t>
      </w:r>
      <w:r w:rsidR="00A22687" w:rsidRPr="00E32792">
        <w:rPr>
          <w:rFonts w:ascii="Times New Roman" w:hAnsi="Times New Roman" w:cs="Times New Roman"/>
          <w:iCs/>
          <w:sz w:val="24"/>
          <w:szCs w:val="24"/>
        </w:rPr>
        <w:t>.</w:t>
      </w:r>
      <w:r w:rsidR="009B4420" w:rsidRPr="00E32792">
        <w:rPr>
          <w:rFonts w:ascii="Times New Roman" w:hAnsi="Times New Roman" w:cs="Times New Roman"/>
          <w:iCs/>
          <w:sz w:val="24"/>
          <w:szCs w:val="24"/>
        </w:rPr>
        <w:t xml:space="preserve"> Gashi et al. (2014)</w:t>
      </w:r>
      <w:r w:rsidR="000061BF" w:rsidRPr="00E32792">
        <w:rPr>
          <w:rFonts w:ascii="Times New Roman" w:hAnsi="Times New Roman" w:cs="Times New Roman"/>
          <w:iCs/>
          <w:sz w:val="24"/>
          <w:szCs w:val="24"/>
        </w:rPr>
        <w:t xml:space="preserve"> is the only </w:t>
      </w:r>
      <w:r w:rsidR="00CF5401" w:rsidRPr="00E32792">
        <w:rPr>
          <w:rFonts w:ascii="Times New Roman" w:hAnsi="Times New Roman" w:cs="Times New Roman"/>
          <w:iCs/>
          <w:sz w:val="24"/>
          <w:szCs w:val="24"/>
        </w:rPr>
        <w:t xml:space="preserve">micro level </w:t>
      </w:r>
      <w:r w:rsidR="000061BF" w:rsidRPr="00E32792">
        <w:rPr>
          <w:rFonts w:ascii="Times New Roman" w:hAnsi="Times New Roman" w:cs="Times New Roman"/>
          <w:iCs/>
          <w:sz w:val="24"/>
          <w:szCs w:val="24"/>
        </w:rPr>
        <w:t>study that</w:t>
      </w:r>
      <w:r w:rsidR="009B4420" w:rsidRPr="00E32792">
        <w:rPr>
          <w:rFonts w:ascii="Times New Roman" w:hAnsi="Times New Roman" w:cs="Times New Roman"/>
          <w:iCs/>
          <w:sz w:val="24"/>
          <w:szCs w:val="24"/>
        </w:rPr>
        <w:t xml:space="preserve"> investigates</w:t>
      </w:r>
      <w:r w:rsidR="00CF5401" w:rsidRPr="00E32792">
        <w:rPr>
          <w:rFonts w:ascii="Times New Roman" w:hAnsi="Times New Roman" w:cs="Times New Roman"/>
          <w:iCs/>
          <w:sz w:val="24"/>
          <w:szCs w:val="24"/>
        </w:rPr>
        <w:t xml:space="preserve"> the role of</w:t>
      </w:r>
      <w:r w:rsidR="00CF5401" w:rsidRPr="00E32792">
        <w:rPr>
          <w:rFonts w:ascii="Times New Roman" w:hAnsi="Times New Roman" w:cs="Times New Roman"/>
          <w:sz w:val="24"/>
          <w:szCs w:val="24"/>
        </w:rPr>
        <w:t xml:space="preserve"> human capital and technology on the export intensity </w:t>
      </w:r>
      <w:r w:rsidR="00CF5401" w:rsidRPr="00E32792">
        <w:rPr>
          <w:rFonts w:ascii="Times New Roman" w:hAnsi="Times New Roman" w:cs="Times New Roman"/>
          <w:iCs/>
          <w:sz w:val="24"/>
          <w:szCs w:val="24"/>
        </w:rPr>
        <w:t>of</w:t>
      </w:r>
      <w:r w:rsidR="009B4420" w:rsidRPr="00E32792">
        <w:rPr>
          <w:rFonts w:ascii="Times New Roman" w:hAnsi="Times New Roman" w:cs="Times New Roman"/>
          <w:iCs/>
          <w:sz w:val="24"/>
          <w:szCs w:val="24"/>
        </w:rPr>
        <w:t xml:space="preserve"> transition economies</w:t>
      </w:r>
      <w:r w:rsidR="000061BF" w:rsidRPr="00E32792">
        <w:rPr>
          <w:rFonts w:ascii="Times New Roman" w:hAnsi="Times New Roman" w:cs="Times New Roman"/>
          <w:iCs/>
          <w:sz w:val="24"/>
          <w:szCs w:val="24"/>
        </w:rPr>
        <w:t>. However,</w:t>
      </w:r>
      <w:r w:rsidR="002453E9" w:rsidRPr="00E32792">
        <w:rPr>
          <w:rFonts w:ascii="Times New Roman" w:hAnsi="Times New Roman" w:cs="Times New Roman"/>
          <w:iCs/>
          <w:sz w:val="24"/>
          <w:szCs w:val="24"/>
        </w:rPr>
        <w:t xml:space="preserve"> a key limitation of these studies</w:t>
      </w:r>
      <w:r w:rsidR="003275A9" w:rsidRPr="00E32792">
        <w:rPr>
          <w:rFonts w:ascii="Times New Roman" w:hAnsi="Times New Roman" w:cs="Times New Roman"/>
          <w:iCs/>
          <w:sz w:val="24"/>
          <w:szCs w:val="24"/>
        </w:rPr>
        <w:t xml:space="preserve"> is that they measure human capital only by the education level of the workforce, ignoring </w:t>
      </w:r>
      <w:r w:rsidR="007444ED" w:rsidRPr="00E32792">
        <w:rPr>
          <w:rFonts w:ascii="Times New Roman" w:hAnsi="Times New Roman" w:cs="Times New Roman"/>
          <w:iCs/>
          <w:sz w:val="24"/>
          <w:szCs w:val="24"/>
        </w:rPr>
        <w:t xml:space="preserve">the </w:t>
      </w:r>
      <w:r w:rsidR="00731486">
        <w:rPr>
          <w:rFonts w:ascii="Times New Roman" w:hAnsi="Times New Roman" w:cs="Times New Roman"/>
          <w:iCs/>
          <w:sz w:val="24"/>
          <w:szCs w:val="24"/>
        </w:rPr>
        <w:t>quality of education</w:t>
      </w:r>
      <w:r w:rsidR="003275A9" w:rsidRPr="00E32792">
        <w:rPr>
          <w:rFonts w:ascii="Times New Roman" w:hAnsi="Times New Roman" w:cs="Times New Roman"/>
          <w:iCs/>
          <w:sz w:val="24"/>
          <w:szCs w:val="24"/>
        </w:rPr>
        <w:t>.</w:t>
      </w:r>
      <w:r w:rsidR="002453E9" w:rsidRPr="00E32792">
        <w:rPr>
          <w:rFonts w:ascii="Times New Roman" w:hAnsi="Times New Roman" w:cs="Times New Roman"/>
          <w:iCs/>
          <w:sz w:val="24"/>
          <w:szCs w:val="24"/>
        </w:rPr>
        <w:t xml:space="preserve"> International competitiveness </w:t>
      </w:r>
      <w:r w:rsidR="00754A3F" w:rsidRPr="00E32792">
        <w:rPr>
          <w:rFonts w:ascii="Times New Roman" w:hAnsi="Times New Roman" w:cs="Times New Roman"/>
          <w:iCs/>
          <w:sz w:val="24"/>
          <w:szCs w:val="24"/>
        </w:rPr>
        <w:t xml:space="preserve">also tends to be </w:t>
      </w:r>
      <w:r w:rsidR="002453E9" w:rsidRPr="00E32792">
        <w:rPr>
          <w:rFonts w:ascii="Times New Roman" w:hAnsi="Times New Roman" w:cs="Times New Roman"/>
          <w:iCs/>
          <w:sz w:val="24"/>
          <w:szCs w:val="24"/>
        </w:rPr>
        <w:t xml:space="preserve">poorly </w:t>
      </w:r>
      <w:r w:rsidR="00D93A71" w:rsidRPr="00E32792">
        <w:rPr>
          <w:rFonts w:ascii="Times New Roman" w:hAnsi="Times New Roman" w:cs="Times New Roman"/>
          <w:iCs/>
          <w:sz w:val="24"/>
          <w:szCs w:val="24"/>
        </w:rPr>
        <w:t>measured;</w:t>
      </w:r>
      <w:r w:rsidR="00A16514" w:rsidRPr="00E32792">
        <w:rPr>
          <w:rFonts w:ascii="Times New Roman" w:hAnsi="Times New Roman" w:cs="Times New Roman"/>
          <w:iCs/>
          <w:sz w:val="24"/>
          <w:szCs w:val="24"/>
        </w:rPr>
        <w:t xml:space="preserve"> particularly </w:t>
      </w:r>
      <w:r w:rsidR="002453E9" w:rsidRPr="00E32792">
        <w:rPr>
          <w:rFonts w:ascii="Times New Roman" w:hAnsi="Times New Roman" w:cs="Times New Roman"/>
          <w:iCs/>
          <w:sz w:val="24"/>
          <w:szCs w:val="24"/>
        </w:rPr>
        <w:t>in the micro level studies</w:t>
      </w:r>
      <w:r w:rsidR="008F335F" w:rsidRPr="00E32792">
        <w:rPr>
          <w:rFonts w:ascii="Times New Roman" w:hAnsi="Times New Roman" w:cs="Times New Roman"/>
          <w:iCs/>
          <w:sz w:val="24"/>
          <w:szCs w:val="24"/>
        </w:rPr>
        <w:t xml:space="preserve"> (e.g. export propensity and intensity do not capture the </w:t>
      </w:r>
      <w:r w:rsidR="004C4911" w:rsidRPr="00E32792">
        <w:rPr>
          <w:rFonts w:ascii="Times New Roman" w:hAnsi="Times New Roman" w:cs="Times New Roman"/>
          <w:iCs/>
          <w:sz w:val="24"/>
          <w:szCs w:val="24"/>
        </w:rPr>
        <w:t xml:space="preserve">relative </w:t>
      </w:r>
      <w:r w:rsidR="008F335F" w:rsidRPr="00E32792">
        <w:rPr>
          <w:rFonts w:ascii="Times New Roman" w:hAnsi="Times New Roman" w:cs="Times New Roman"/>
          <w:iCs/>
          <w:sz w:val="24"/>
          <w:szCs w:val="24"/>
        </w:rPr>
        <w:t>competitive</w:t>
      </w:r>
      <w:r w:rsidR="003F6690" w:rsidRPr="00E32792">
        <w:rPr>
          <w:rFonts w:ascii="Times New Roman" w:hAnsi="Times New Roman" w:cs="Times New Roman"/>
          <w:iCs/>
          <w:sz w:val="24"/>
          <w:szCs w:val="24"/>
        </w:rPr>
        <w:t xml:space="preserve"> position</w:t>
      </w:r>
      <w:r w:rsidR="008F335F" w:rsidRPr="00E32792">
        <w:rPr>
          <w:rFonts w:ascii="Times New Roman" w:hAnsi="Times New Roman" w:cs="Times New Roman"/>
          <w:iCs/>
          <w:sz w:val="24"/>
          <w:szCs w:val="24"/>
        </w:rPr>
        <w:t xml:space="preserve"> of firms in international markets)</w:t>
      </w:r>
      <w:r w:rsidR="002453E9" w:rsidRPr="00E32792">
        <w:rPr>
          <w:rFonts w:ascii="Times New Roman" w:hAnsi="Times New Roman" w:cs="Times New Roman"/>
          <w:iCs/>
          <w:sz w:val="24"/>
          <w:szCs w:val="24"/>
        </w:rPr>
        <w:t xml:space="preserve">. Another shortcoming of these studies is the lack of a critical debate regarding potential sources of endogeneity and ways to account for it. </w:t>
      </w:r>
      <w:r w:rsidR="00C17E42" w:rsidRPr="00E32792">
        <w:rPr>
          <w:rFonts w:ascii="Times New Roman" w:hAnsi="Times New Roman" w:cs="Times New Roman"/>
          <w:iCs/>
          <w:sz w:val="24"/>
          <w:szCs w:val="24"/>
        </w:rPr>
        <w:t xml:space="preserve">With the purpose of filling these gaps, this paper </w:t>
      </w:r>
      <w:r w:rsidR="00CC4F08" w:rsidRPr="00E32792">
        <w:rPr>
          <w:rFonts w:ascii="Times New Roman" w:hAnsi="Times New Roman" w:cs="Times New Roman"/>
          <w:iCs/>
          <w:sz w:val="24"/>
          <w:szCs w:val="24"/>
        </w:rPr>
        <w:t>has considered various</w:t>
      </w:r>
      <w:r w:rsidR="00C17E42" w:rsidRPr="00E32792">
        <w:rPr>
          <w:rFonts w:ascii="Times New Roman" w:hAnsi="Times New Roman" w:cs="Times New Roman"/>
          <w:iCs/>
          <w:sz w:val="24"/>
          <w:szCs w:val="24"/>
        </w:rPr>
        <w:t xml:space="preserve"> human capital and international competitiveness measures</w:t>
      </w:r>
      <w:r w:rsidR="00251C7A" w:rsidRPr="00E32792">
        <w:rPr>
          <w:rFonts w:ascii="Times New Roman" w:hAnsi="Times New Roman" w:cs="Times New Roman"/>
          <w:iCs/>
          <w:sz w:val="24"/>
          <w:szCs w:val="24"/>
        </w:rPr>
        <w:t>.</w:t>
      </w:r>
      <w:r w:rsidR="00C17E42" w:rsidRPr="00E32792">
        <w:rPr>
          <w:rFonts w:ascii="Times New Roman" w:hAnsi="Times New Roman" w:cs="Times New Roman"/>
          <w:iCs/>
          <w:sz w:val="24"/>
          <w:szCs w:val="24"/>
        </w:rPr>
        <w:t xml:space="preserve"> In addition to education attainment, the </w:t>
      </w:r>
      <w:r w:rsidR="00251C7A" w:rsidRPr="00E32792">
        <w:rPr>
          <w:rFonts w:ascii="Times New Roman" w:hAnsi="Times New Roman" w:cs="Times New Roman"/>
          <w:iCs/>
          <w:sz w:val="24"/>
          <w:szCs w:val="24"/>
        </w:rPr>
        <w:t xml:space="preserve">effect </w:t>
      </w:r>
      <w:r w:rsidR="00C17E42" w:rsidRPr="00E32792">
        <w:rPr>
          <w:rFonts w:ascii="Times New Roman" w:hAnsi="Times New Roman" w:cs="Times New Roman"/>
          <w:iCs/>
          <w:sz w:val="24"/>
          <w:szCs w:val="24"/>
        </w:rPr>
        <w:t xml:space="preserve">of the quality of education </w:t>
      </w:r>
      <w:r w:rsidR="00AE56D7" w:rsidRPr="00AE56D7">
        <w:rPr>
          <w:rFonts w:ascii="Times New Roman" w:hAnsi="Times New Roman" w:cs="Times New Roman"/>
          <w:iCs/>
          <w:color w:val="000000" w:themeColor="text1"/>
          <w:sz w:val="24"/>
          <w:szCs w:val="24"/>
        </w:rPr>
        <w:t>is</w:t>
      </w:r>
      <w:r w:rsidR="00AE56D7">
        <w:rPr>
          <w:rFonts w:ascii="Times New Roman" w:hAnsi="Times New Roman" w:cs="Times New Roman"/>
          <w:iCs/>
          <w:color w:val="FF0000"/>
          <w:sz w:val="24"/>
          <w:szCs w:val="24"/>
        </w:rPr>
        <w:t xml:space="preserve"> </w:t>
      </w:r>
      <w:r w:rsidR="005B6CB6" w:rsidRPr="00AE56D7">
        <w:rPr>
          <w:rFonts w:ascii="Times New Roman" w:hAnsi="Times New Roman" w:cs="Times New Roman"/>
          <w:iCs/>
          <w:sz w:val="24"/>
          <w:szCs w:val="24"/>
        </w:rPr>
        <w:t xml:space="preserve">also </w:t>
      </w:r>
      <w:r w:rsidR="00C17E42" w:rsidRPr="00AE56D7">
        <w:rPr>
          <w:rFonts w:ascii="Times New Roman" w:hAnsi="Times New Roman" w:cs="Times New Roman"/>
          <w:iCs/>
          <w:sz w:val="24"/>
          <w:szCs w:val="24"/>
        </w:rPr>
        <w:t>assessed.</w:t>
      </w:r>
      <w:r w:rsidR="00C17E42" w:rsidRPr="00E32792">
        <w:rPr>
          <w:rFonts w:ascii="Times New Roman" w:hAnsi="Times New Roman" w:cs="Times New Roman"/>
          <w:iCs/>
          <w:sz w:val="24"/>
          <w:szCs w:val="24"/>
        </w:rPr>
        <w:t xml:space="preserve"> </w:t>
      </w:r>
      <w:r w:rsidR="00B2550E" w:rsidRPr="00E32792">
        <w:rPr>
          <w:rFonts w:ascii="Times New Roman" w:hAnsi="Times New Roman" w:cs="Times New Roman"/>
          <w:iCs/>
          <w:sz w:val="24"/>
          <w:szCs w:val="24"/>
        </w:rPr>
        <w:t xml:space="preserve">Three </w:t>
      </w:r>
      <w:r w:rsidR="003E2A86" w:rsidRPr="00E32792">
        <w:rPr>
          <w:rFonts w:ascii="Times New Roman" w:hAnsi="Times New Roman" w:cs="Times New Roman"/>
          <w:iCs/>
          <w:sz w:val="24"/>
          <w:szCs w:val="24"/>
        </w:rPr>
        <w:t xml:space="preserve">measures of the quality of education are used in the estimations. </w:t>
      </w:r>
      <w:r w:rsidR="005D5FDF" w:rsidRPr="00E32792">
        <w:rPr>
          <w:rFonts w:ascii="Times New Roman" w:hAnsi="Times New Roman" w:cs="Times New Roman"/>
          <w:iCs/>
          <w:sz w:val="24"/>
          <w:szCs w:val="24"/>
        </w:rPr>
        <w:t xml:space="preserve">Finally, an important element of </w:t>
      </w:r>
      <w:r w:rsidR="007444ED" w:rsidRPr="00E32792">
        <w:rPr>
          <w:rFonts w:ascii="Times New Roman" w:hAnsi="Times New Roman" w:cs="Times New Roman"/>
          <w:iCs/>
          <w:sz w:val="24"/>
          <w:szCs w:val="24"/>
        </w:rPr>
        <w:t>this</w:t>
      </w:r>
      <w:r w:rsidR="005D5FDF" w:rsidRPr="00E32792">
        <w:rPr>
          <w:rFonts w:ascii="Times New Roman" w:hAnsi="Times New Roman" w:cs="Times New Roman"/>
          <w:iCs/>
          <w:sz w:val="24"/>
          <w:szCs w:val="24"/>
        </w:rPr>
        <w:t xml:space="preserve"> investigation is assessing and addressing potential endogeneity.</w:t>
      </w:r>
    </w:p>
    <w:p w:rsidR="006F13FB" w:rsidRPr="00E32792" w:rsidRDefault="0081145F" w:rsidP="000C6BAE">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I</w:t>
      </w:r>
      <w:r w:rsidR="00A663DF" w:rsidRPr="00E32792">
        <w:rPr>
          <w:rFonts w:ascii="Times New Roman" w:hAnsi="Times New Roman" w:cs="Times New Roman"/>
          <w:sz w:val="24"/>
          <w:szCs w:val="24"/>
        </w:rPr>
        <w:t>nternational competitiveness is a complex and ambiguous notion</w:t>
      </w:r>
      <w:r w:rsidR="00DA25D5" w:rsidRPr="00E32792">
        <w:rPr>
          <w:rFonts w:ascii="Times New Roman" w:hAnsi="Times New Roman" w:cs="Times New Roman"/>
          <w:sz w:val="24"/>
          <w:szCs w:val="24"/>
        </w:rPr>
        <w:t xml:space="preserve">; </w:t>
      </w:r>
      <w:r w:rsidR="00A663DF" w:rsidRPr="00E32792">
        <w:rPr>
          <w:rFonts w:ascii="Times New Roman" w:hAnsi="Times New Roman" w:cs="Times New Roman"/>
          <w:sz w:val="24"/>
          <w:szCs w:val="24"/>
        </w:rPr>
        <w:t xml:space="preserve">this is reflected in many measurement approaches proposed in the literature. </w:t>
      </w:r>
      <w:r w:rsidR="0068372E" w:rsidRPr="00E32792">
        <w:rPr>
          <w:rFonts w:ascii="Times New Roman" w:hAnsi="Times New Roman" w:cs="Times New Roman"/>
          <w:sz w:val="24"/>
          <w:szCs w:val="24"/>
        </w:rPr>
        <w:t xml:space="preserve">However, </w:t>
      </w:r>
      <w:r w:rsidR="006F13FB" w:rsidRPr="00E32792">
        <w:rPr>
          <w:rFonts w:ascii="Times New Roman" w:hAnsi="Times New Roman" w:cs="Times New Roman"/>
          <w:sz w:val="24"/>
          <w:szCs w:val="24"/>
        </w:rPr>
        <w:t xml:space="preserve">there </w:t>
      </w:r>
      <w:r w:rsidR="006728E9" w:rsidRPr="00E32792">
        <w:rPr>
          <w:rFonts w:ascii="Times New Roman" w:hAnsi="Times New Roman" w:cs="Times New Roman"/>
          <w:sz w:val="24"/>
          <w:szCs w:val="24"/>
        </w:rPr>
        <w:t>has been</w:t>
      </w:r>
      <w:r w:rsidR="006F13FB" w:rsidRPr="00E32792">
        <w:rPr>
          <w:rFonts w:ascii="Times New Roman" w:hAnsi="Times New Roman" w:cs="Times New Roman"/>
          <w:sz w:val="24"/>
          <w:szCs w:val="24"/>
        </w:rPr>
        <w:t xml:space="preserve"> a distinct tendency among researchers to rely on trade/export</w:t>
      </w:r>
      <w:r w:rsidR="00C95124" w:rsidRPr="00E32792">
        <w:rPr>
          <w:rFonts w:ascii="Times New Roman" w:hAnsi="Times New Roman" w:cs="Times New Roman"/>
          <w:sz w:val="24"/>
          <w:szCs w:val="24"/>
        </w:rPr>
        <w:t>-</w:t>
      </w:r>
      <w:r w:rsidR="006F13FB" w:rsidRPr="00E32792">
        <w:rPr>
          <w:rFonts w:ascii="Times New Roman" w:hAnsi="Times New Roman" w:cs="Times New Roman"/>
          <w:sz w:val="24"/>
          <w:szCs w:val="24"/>
        </w:rPr>
        <w:t>based indicators</w:t>
      </w:r>
      <w:r w:rsidR="00BE2157" w:rsidRPr="00E32792">
        <w:rPr>
          <w:rFonts w:ascii="Times New Roman" w:hAnsi="Times New Roman" w:cs="Times New Roman"/>
          <w:sz w:val="24"/>
          <w:szCs w:val="24"/>
        </w:rPr>
        <w:t xml:space="preserve"> since</w:t>
      </w:r>
      <w:r w:rsidR="00437D69" w:rsidRPr="00E32792">
        <w:rPr>
          <w:rFonts w:ascii="Times New Roman" w:hAnsi="Times New Roman" w:cs="Times New Roman"/>
          <w:sz w:val="24"/>
          <w:szCs w:val="24"/>
        </w:rPr>
        <w:t xml:space="preserve"> </w:t>
      </w:r>
      <w:r w:rsidR="00BE2157" w:rsidRPr="00E32792">
        <w:rPr>
          <w:rFonts w:ascii="Times New Roman" w:hAnsi="Times New Roman" w:cs="Times New Roman"/>
          <w:sz w:val="24"/>
          <w:szCs w:val="24"/>
        </w:rPr>
        <w:t>s</w:t>
      </w:r>
      <w:r w:rsidR="00B44637" w:rsidRPr="00E32792">
        <w:rPr>
          <w:rFonts w:ascii="Times New Roman" w:hAnsi="Times New Roman" w:cs="Times New Roman"/>
          <w:sz w:val="24"/>
          <w:szCs w:val="24"/>
        </w:rPr>
        <w:t xml:space="preserve">ustaining and gaining shares in international markets is an indication of a superior competitiveness position relative to other countries. </w:t>
      </w:r>
      <w:r w:rsidR="006F13FB" w:rsidRPr="00E32792">
        <w:rPr>
          <w:rFonts w:ascii="Times New Roman" w:hAnsi="Times New Roman" w:cs="Times New Roman"/>
          <w:sz w:val="24"/>
          <w:szCs w:val="24"/>
        </w:rPr>
        <w:t xml:space="preserve">Hence, given the widely accepted theoretical basis and data availability, international competitiveness in </w:t>
      </w:r>
      <w:r w:rsidR="009D775A" w:rsidRPr="00E32792">
        <w:rPr>
          <w:rFonts w:ascii="Times New Roman" w:hAnsi="Times New Roman" w:cs="Times New Roman"/>
          <w:sz w:val="24"/>
          <w:szCs w:val="24"/>
        </w:rPr>
        <w:t>this empirical analysis is</w:t>
      </w:r>
      <w:r w:rsidR="006F13FB" w:rsidRPr="00E32792">
        <w:rPr>
          <w:rFonts w:ascii="Times New Roman" w:hAnsi="Times New Roman" w:cs="Times New Roman"/>
          <w:sz w:val="24"/>
          <w:szCs w:val="24"/>
        </w:rPr>
        <w:t xml:space="preserve"> represented by </w:t>
      </w:r>
      <w:r w:rsidR="00E775F3" w:rsidRPr="00E32792">
        <w:rPr>
          <w:rFonts w:ascii="Times New Roman" w:hAnsi="Times New Roman" w:cs="Times New Roman"/>
          <w:sz w:val="24"/>
          <w:szCs w:val="24"/>
        </w:rPr>
        <w:t xml:space="preserve">the </w:t>
      </w:r>
      <w:r w:rsidR="006F13FB" w:rsidRPr="00E32792">
        <w:rPr>
          <w:rFonts w:ascii="Times New Roman" w:hAnsi="Times New Roman" w:cs="Times New Roman"/>
          <w:sz w:val="24"/>
          <w:szCs w:val="24"/>
        </w:rPr>
        <w:t xml:space="preserve">export market share </w:t>
      </w:r>
      <w:r w:rsidR="006F13FB" w:rsidRPr="00E32792">
        <w:rPr>
          <w:rFonts w:ascii="Times New Roman" w:hAnsi="Times New Roman" w:cs="Times New Roman"/>
          <w:i/>
          <w:sz w:val="24"/>
          <w:szCs w:val="24"/>
        </w:rPr>
        <w:t>(emsh)</w:t>
      </w:r>
      <w:r w:rsidR="006F13FB" w:rsidRPr="00E32792">
        <w:rPr>
          <w:rFonts w:ascii="Times New Roman" w:hAnsi="Times New Roman" w:cs="Times New Roman"/>
          <w:sz w:val="24"/>
          <w:szCs w:val="24"/>
        </w:rPr>
        <w:t xml:space="preserve">. This variable is defined as the ratio of </w:t>
      </w:r>
      <w:r w:rsidR="00A15ABC" w:rsidRPr="00E32792">
        <w:rPr>
          <w:rFonts w:ascii="Times New Roman" w:hAnsi="Times New Roman" w:cs="Times New Roman"/>
          <w:sz w:val="24"/>
          <w:szCs w:val="24"/>
        </w:rPr>
        <w:t xml:space="preserve">a </w:t>
      </w:r>
      <w:r w:rsidR="006F13FB" w:rsidRPr="00E32792">
        <w:rPr>
          <w:rFonts w:ascii="Times New Roman" w:hAnsi="Times New Roman" w:cs="Times New Roman"/>
          <w:sz w:val="24"/>
          <w:szCs w:val="24"/>
        </w:rPr>
        <w:t xml:space="preserve">country’s exports of goods to the total exports of goods of </w:t>
      </w:r>
      <w:r w:rsidR="000806CD" w:rsidRPr="00E32792">
        <w:rPr>
          <w:rFonts w:ascii="Times New Roman" w:hAnsi="Times New Roman" w:cs="Times New Roman"/>
          <w:sz w:val="24"/>
          <w:szCs w:val="24"/>
        </w:rPr>
        <w:t xml:space="preserve">the </w:t>
      </w:r>
      <w:r w:rsidR="006F13FB" w:rsidRPr="00E32792">
        <w:rPr>
          <w:rFonts w:ascii="Times New Roman" w:hAnsi="Times New Roman" w:cs="Times New Roman"/>
          <w:sz w:val="24"/>
          <w:szCs w:val="24"/>
        </w:rPr>
        <w:t>EU-28</w:t>
      </w:r>
      <w:r w:rsidR="009D775A" w:rsidRPr="00E32792">
        <w:rPr>
          <w:rFonts w:ascii="Times New Roman" w:hAnsi="Times New Roman" w:cs="Times New Roman"/>
          <w:sz w:val="24"/>
          <w:szCs w:val="24"/>
        </w:rPr>
        <w:t xml:space="preserve"> (measured as percentages)</w:t>
      </w:r>
      <w:r w:rsidR="006F13FB" w:rsidRPr="00E32792">
        <w:rPr>
          <w:rFonts w:ascii="Times New Roman" w:hAnsi="Times New Roman" w:cs="Times New Roman"/>
          <w:sz w:val="24"/>
          <w:szCs w:val="24"/>
        </w:rPr>
        <w:t xml:space="preserve">. The rationale for using this particular specification of export market share is to be able to capture the degree of importance/competitiveness of a country within the total exports of a region (EU-28). </w:t>
      </w:r>
      <w:r w:rsidR="002716D1" w:rsidRPr="00E32792">
        <w:rPr>
          <w:rFonts w:ascii="Times New Roman" w:hAnsi="Times New Roman" w:cs="Times New Roman"/>
          <w:sz w:val="24"/>
          <w:szCs w:val="24"/>
        </w:rPr>
        <w:t>That is to say</w:t>
      </w:r>
      <w:r w:rsidR="006F13FB" w:rsidRPr="00E32792">
        <w:rPr>
          <w:rFonts w:ascii="Times New Roman" w:hAnsi="Times New Roman" w:cs="Times New Roman"/>
          <w:sz w:val="24"/>
          <w:szCs w:val="24"/>
        </w:rPr>
        <w:t xml:space="preserve">, if exports of a country increase at a higher rate than the total exports of </w:t>
      </w:r>
      <w:r w:rsidR="00B44637" w:rsidRPr="00E32792">
        <w:rPr>
          <w:rFonts w:ascii="Times New Roman" w:hAnsi="Times New Roman" w:cs="Times New Roman"/>
          <w:sz w:val="24"/>
          <w:szCs w:val="24"/>
        </w:rPr>
        <w:t xml:space="preserve">the </w:t>
      </w:r>
      <w:r w:rsidR="006F13FB" w:rsidRPr="00E32792">
        <w:rPr>
          <w:rFonts w:ascii="Times New Roman" w:hAnsi="Times New Roman" w:cs="Times New Roman"/>
          <w:sz w:val="24"/>
          <w:szCs w:val="24"/>
        </w:rPr>
        <w:t xml:space="preserve">EU-28, </w:t>
      </w:r>
      <w:r w:rsidR="009D775A" w:rsidRPr="00E32792">
        <w:rPr>
          <w:rFonts w:ascii="Times New Roman" w:hAnsi="Times New Roman" w:cs="Times New Roman"/>
          <w:sz w:val="24"/>
          <w:szCs w:val="24"/>
        </w:rPr>
        <w:t>it can be argued</w:t>
      </w:r>
      <w:r w:rsidR="006F13FB" w:rsidRPr="00E32792">
        <w:rPr>
          <w:rFonts w:ascii="Times New Roman" w:hAnsi="Times New Roman" w:cs="Times New Roman"/>
          <w:sz w:val="24"/>
          <w:szCs w:val="24"/>
        </w:rPr>
        <w:t xml:space="preserve"> that the relative position of that country has improved compared to </w:t>
      </w:r>
      <w:r w:rsidR="00B44637" w:rsidRPr="00E32792">
        <w:rPr>
          <w:rFonts w:ascii="Times New Roman" w:hAnsi="Times New Roman" w:cs="Times New Roman"/>
          <w:sz w:val="24"/>
          <w:szCs w:val="24"/>
        </w:rPr>
        <w:t xml:space="preserve">the </w:t>
      </w:r>
      <w:r w:rsidR="006F13FB" w:rsidRPr="00E32792">
        <w:rPr>
          <w:rFonts w:ascii="Times New Roman" w:hAnsi="Times New Roman" w:cs="Times New Roman"/>
          <w:sz w:val="24"/>
          <w:szCs w:val="24"/>
        </w:rPr>
        <w:t>EU-28, and vice-versa.</w:t>
      </w:r>
      <w:r w:rsidR="00B44637" w:rsidRPr="00E32792">
        <w:rPr>
          <w:rFonts w:ascii="Times New Roman" w:hAnsi="Times New Roman" w:cs="Times New Roman"/>
          <w:sz w:val="24"/>
          <w:szCs w:val="24"/>
        </w:rPr>
        <w:t xml:space="preserve"> </w:t>
      </w:r>
      <w:r w:rsidR="000806CD" w:rsidRPr="00E32792">
        <w:rPr>
          <w:rFonts w:ascii="Times New Roman" w:hAnsi="Times New Roman" w:cs="Times New Roman"/>
          <w:sz w:val="24"/>
          <w:szCs w:val="24"/>
        </w:rPr>
        <w:t>T</w:t>
      </w:r>
      <w:r w:rsidR="00C2063E" w:rsidRPr="00E32792">
        <w:rPr>
          <w:rFonts w:ascii="Times New Roman" w:hAnsi="Times New Roman" w:cs="Times New Roman"/>
          <w:sz w:val="24"/>
          <w:szCs w:val="24"/>
        </w:rPr>
        <w:t xml:space="preserve">his </w:t>
      </w:r>
      <w:r w:rsidR="00A27EF4" w:rsidRPr="00E32792">
        <w:rPr>
          <w:rFonts w:ascii="Times New Roman" w:hAnsi="Times New Roman" w:cs="Times New Roman"/>
          <w:sz w:val="24"/>
          <w:szCs w:val="24"/>
        </w:rPr>
        <w:t>definition</w:t>
      </w:r>
      <w:r w:rsidR="00C2063E" w:rsidRPr="00E32792">
        <w:rPr>
          <w:rFonts w:ascii="Times New Roman" w:hAnsi="Times New Roman" w:cs="Times New Roman"/>
          <w:sz w:val="24"/>
          <w:szCs w:val="24"/>
        </w:rPr>
        <w:t xml:space="preserve"> has been proposed by European Commission and it has been used to construct export market share indicators by Eurostat and OECD. </w:t>
      </w:r>
      <w:r w:rsidR="00B44637" w:rsidRPr="00E32792">
        <w:rPr>
          <w:rFonts w:ascii="Times New Roman" w:hAnsi="Times New Roman" w:cs="Times New Roman"/>
          <w:sz w:val="24"/>
          <w:szCs w:val="24"/>
        </w:rPr>
        <w:t>F</w:t>
      </w:r>
      <w:r w:rsidRPr="00E32792">
        <w:rPr>
          <w:rFonts w:ascii="Times New Roman" w:hAnsi="Times New Roman" w:cs="Times New Roman"/>
          <w:sz w:val="24"/>
          <w:szCs w:val="24"/>
        </w:rPr>
        <w:t>ollowing H</w:t>
      </w:r>
      <w:r w:rsidR="00B2550E" w:rsidRPr="00E32792">
        <w:rPr>
          <w:rFonts w:ascii="Times New Roman" w:hAnsi="Times New Roman" w:cs="Times New Roman"/>
          <w:sz w:val="24"/>
          <w:szCs w:val="24"/>
        </w:rPr>
        <w:t>o</w:t>
      </w:r>
      <w:r w:rsidRPr="00E32792">
        <w:rPr>
          <w:rFonts w:ascii="Times New Roman" w:hAnsi="Times New Roman" w:cs="Times New Roman"/>
          <w:sz w:val="24"/>
          <w:szCs w:val="24"/>
        </w:rPr>
        <w:t xml:space="preserve">shi et al. (2007), </w:t>
      </w:r>
      <w:r w:rsidR="00F8263B" w:rsidRPr="00E32792">
        <w:rPr>
          <w:rFonts w:ascii="Times New Roman" w:hAnsi="Times New Roman" w:cs="Times New Roman"/>
          <w:sz w:val="24"/>
          <w:szCs w:val="24"/>
        </w:rPr>
        <w:t xml:space="preserve">an </w:t>
      </w:r>
      <w:r w:rsidR="00A663DF" w:rsidRPr="00E32792">
        <w:rPr>
          <w:rFonts w:ascii="Times New Roman" w:hAnsi="Times New Roman" w:cs="Times New Roman"/>
          <w:sz w:val="24"/>
          <w:szCs w:val="24"/>
        </w:rPr>
        <w:t>alternative measure has been considered to proxy international competitiveness</w:t>
      </w:r>
      <w:r w:rsidR="00B44637" w:rsidRPr="00E32792">
        <w:rPr>
          <w:rFonts w:ascii="Times New Roman" w:hAnsi="Times New Roman" w:cs="Times New Roman"/>
          <w:sz w:val="24"/>
          <w:szCs w:val="24"/>
        </w:rPr>
        <w:t>:</w:t>
      </w:r>
      <w:r w:rsidR="00A663DF" w:rsidRPr="00E32792">
        <w:rPr>
          <w:rFonts w:ascii="Times New Roman" w:hAnsi="Times New Roman" w:cs="Times New Roman"/>
          <w:sz w:val="24"/>
          <w:szCs w:val="24"/>
        </w:rPr>
        <w:t xml:space="preserve"> </w:t>
      </w:r>
      <w:r w:rsidR="00B44637" w:rsidRPr="00E32792">
        <w:rPr>
          <w:rFonts w:ascii="Times New Roman" w:hAnsi="Times New Roman" w:cs="Times New Roman"/>
          <w:sz w:val="24"/>
          <w:szCs w:val="24"/>
        </w:rPr>
        <w:t xml:space="preserve">the </w:t>
      </w:r>
      <w:r w:rsidR="00A663DF" w:rsidRPr="00E32792">
        <w:rPr>
          <w:rFonts w:ascii="Times New Roman" w:hAnsi="Times New Roman" w:cs="Times New Roman"/>
          <w:sz w:val="24"/>
          <w:szCs w:val="24"/>
        </w:rPr>
        <w:t xml:space="preserve">exports of goods of country </w:t>
      </w:r>
      <w:r w:rsidR="005D5FDF" w:rsidRPr="00E32792">
        <w:rPr>
          <w:rFonts w:ascii="Times New Roman" w:hAnsi="Times New Roman" w:cs="Times New Roman"/>
          <w:i/>
          <w:sz w:val="24"/>
          <w:szCs w:val="24"/>
        </w:rPr>
        <w:t>i</w:t>
      </w:r>
      <w:r w:rsidR="00A663DF" w:rsidRPr="00E32792">
        <w:rPr>
          <w:rFonts w:ascii="Times New Roman" w:hAnsi="Times New Roman" w:cs="Times New Roman"/>
          <w:sz w:val="24"/>
          <w:szCs w:val="24"/>
        </w:rPr>
        <w:t xml:space="preserve"> over the total imports of goods of </w:t>
      </w:r>
      <w:r w:rsidR="00E6263A" w:rsidRPr="00E32792">
        <w:rPr>
          <w:rFonts w:ascii="Times New Roman" w:hAnsi="Times New Roman" w:cs="Times New Roman"/>
          <w:sz w:val="24"/>
          <w:szCs w:val="24"/>
        </w:rPr>
        <w:t>EU-28.</w:t>
      </w:r>
      <w:r w:rsidR="00E6263A" w:rsidRPr="00E32792">
        <w:rPr>
          <w:rStyle w:val="FootnoteReference"/>
          <w:rFonts w:ascii="Times New Roman" w:hAnsi="Times New Roman" w:cs="Times New Roman"/>
          <w:sz w:val="24"/>
          <w:szCs w:val="24"/>
        </w:rPr>
        <w:footnoteReference w:id="8"/>
      </w:r>
      <w:r w:rsidR="00E6263A" w:rsidRPr="00E32792">
        <w:rPr>
          <w:rFonts w:ascii="Times New Roman" w:hAnsi="Times New Roman" w:cs="Times New Roman"/>
          <w:sz w:val="24"/>
          <w:szCs w:val="24"/>
        </w:rPr>
        <w:t xml:space="preserve"> </w:t>
      </w:r>
      <w:r w:rsidR="00B44637" w:rsidRPr="00E32792">
        <w:rPr>
          <w:rFonts w:ascii="Times New Roman" w:hAnsi="Times New Roman" w:cs="Times New Roman"/>
          <w:sz w:val="24"/>
          <w:szCs w:val="24"/>
        </w:rPr>
        <w:t>Whilst</w:t>
      </w:r>
      <w:r w:rsidR="00A663DF" w:rsidRPr="00E32792">
        <w:rPr>
          <w:rFonts w:ascii="Times New Roman" w:hAnsi="Times New Roman" w:cs="Times New Roman"/>
          <w:sz w:val="24"/>
          <w:szCs w:val="24"/>
        </w:rPr>
        <w:t xml:space="preserve"> the latter </w:t>
      </w:r>
      <w:r w:rsidR="00B2550E" w:rsidRPr="00E32792">
        <w:rPr>
          <w:rFonts w:ascii="Times New Roman" w:hAnsi="Times New Roman" w:cs="Times New Roman"/>
          <w:sz w:val="24"/>
          <w:szCs w:val="24"/>
        </w:rPr>
        <w:t xml:space="preserve">is a good </w:t>
      </w:r>
      <w:r w:rsidR="00A663DF" w:rsidRPr="00E32792">
        <w:rPr>
          <w:rFonts w:ascii="Times New Roman" w:hAnsi="Times New Roman" w:cs="Times New Roman"/>
          <w:sz w:val="24"/>
          <w:szCs w:val="24"/>
        </w:rPr>
        <w:t xml:space="preserve">measure of the export share of a country in a particular market, in this investigation </w:t>
      </w:r>
      <w:r w:rsidR="00537F98" w:rsidRPr="00E32792">
        <w:rPr>
          <w:rFonts w:ascii="Times New Roman" w:hAnsi="Times New Roman" w:cs="Times New Roman"/>
          <w:sz w:val="24"/>
          <w:szCs w:val="24"/>
        </w:rPr>
        <w:t xml:space="preserve">the interest is </w:t>
      </w:r>
      <w:r w:rsidR="00A663DF" w:rsidRPr="00E32792">
        <w:rPr>
          <w:rFonts w:ascii="Times New Roman" w:hAnsi="Times New Roman" w:cs="Times New Roman"/>
          <w:sz w:val="24"/>
          <w:szCs w:val="24"/>
        </w:rPr>
        <w:t xml:space="preserve">in measuring the competitiveness of a country </w:t>
      </w:r>
      <w:r w:rsidR="00B2550E" w:rsidRPr="00E32792">
        <w:rPr>
          <w:rFonts w:ascii="Times New Roman" w:hAnsi="Times New Roman" w:cs="Times New Roman"/>
          <w:sz w:val="24"/>
          <w:szCs w:val="24"/>
        </w:rPr>
        <w:t>in</w:t>
      </w:r>
      <w:r w:rsidR="00577CE0" w:rsidRPr="00E32792">
        <w:rPr>
          <w:rFonts w:ascii="Times New Roman" w:hAnsi="Times New Roman" w:cs="Times New Roman"/>
          <w:sz w:val="24"/>
          <w:szCs w:val="24"/>
        </w:rPr>
        <w:t xml:space="preserve"> the global market, compared to the EU-28</w:t>
      </w:r>
      <w:r w:rsidR="00A663DF" w:rsidRPr="00E32792">
        <w:rPr>
          <w:rFonts w:ascii="Times New Roman" w:hAnsi="Times New Roman" w:cs="Times New Roman"/>
          <w:sz w:val="24"/>
          <w:szCs w:val="24"/>
        </w:rPr>
        <w:t>.</w:t>
      </w:r>
      <w:r w:rsidR="00B446EE" w:rsidRPr="00E32792">
        <w:rPr>
          <w:rStyle w:val="FootnoteReference"/>
          <w:rFonts w:ascii="Times New Roman" w:hAnsi="Times New Roman" w:cs="Times New Roman"/>
          <w:sz w:val="24"/>
          <w:szCs w:val="24"/>
        </w:rPr>
        <w:footnoteReference w:id="9"/>
      </w:r>
      <w:r w:rsidR="00A663DF" w:rsidRPr="00E32792">
        <w:rPr>
          <w:rFonts w:ascii="Times New Roman" w:hAnsi="Times New Roman" w:cs="Times New Roman"/>
          <w:sz w:val="24"/>
          <w:szCs w:val="24"/>
        </w:rPr>
        <w:t xml:space="preserve"> </w:t>
      </w:r>
      <w:r w:rsidR="00BA31B6" w:rsidRPr="00E32792">
        <w:t xml:space="preserve"> </w:t>
      </w:r>
    </w:p>
    <w:p w:rsidR="008E6A12" w:rsidRPr="00E32792" w:rsidRDefault="00D4159B" w:rsidP="008E6A12">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 xml:space="preserve">In accordance with the conventional human capital theory (see Schultz, 1961, Becker, 1964), education is regarded as the key component of human capital development, assessed primarily through its role in boosting </w:t>
      </w:r>
      <w:r w:rsidR="00D93A71" w:rsidRPr="00E32792">
        <w:rPr>
          <w:rFonts w:ascii="Times New Roman" w:hAnsi="Times New Roman" w:cs="Times New Roman"/>
          <w:sz w:val="24"/>
          <w:szCs w:val="24"/>
        </w:rPr>
        <w:t>labor</w:t>
      </w:r>
      <w:r w:rsidRPr="00E32792">
        <w:rPr>
          <w:rFonts w:ascii="Times New Roman" w:hAnsi="Times New Roman" w:cs="Times New Roman"/>
          <w:sz w:val="24"/>
          <w:szCs w:val="24"/>
        </w:rPr>
        <w:t xml:space="preserve"> productivity. </w:t>
      </w:r>
      <w:r w:rsidR="00D532A1" w:rsidRPr="00E32792">
        <w:rPr>
          <w:rFonts w:ascii="Times New Roman" w:hAnsi="Times New Roman" w:cs="Times New Roman"/>
          <w:sz w:val="24"/>
          <w:szCs w:val="24"/>
        </w:rPr>
        <w:t xml:space="preserve">Given the </w:t>
      </w:r>
      <w:r w:rsidR="00BD7F74" w:rsidRPr="00E32792">
        <w:rPr>
          <w:rFonts w:ascii="Times New Roman" w:hAnsi="Times New Roman" w:cs="Times New Roman"/>
          <w:sz w:val="24"/>
          <w:szCs w:val="24"/>
        </w:rPr>
        <w:t xml:space="preserve">lack </w:t>
      </w:r>
      <w:r w:rsidR="00E9515D" w:rsidRPr="00E32792">
        <w:rPr>
          <w:rFonts w:ascii="Times New Roman" w:hAnsi="Times New Roman" w:cs="Times New Roman"/>
          <w:sz w:val="24"/>
          <w:szCs w:val="24"/>
        </w:rPr>
        <w:t>of more d</w:t>
      </w:r>
      <w:r w:rsidR="00D532A1" w:rsidRPr="00E32792">
        <w:rPr>
          <w:rFonts w:ascii="Times New Roman" w:hAnsi="Times New Roman" w:cs="Times New Roman"/>
          <w:sz w:val="24"/>
          <w:szCs w:val="24"/>
        </w:rPr>
        <w:t>etailed</w:t>
      </w:r>
      <w:r w:rsidR="008F342A" w:rsidRPr="00E32792">
        <w:rPr>
          <w:rFonts w:ascii="Times New Roman" w:hAnsi="Times New Roman" w:cs="Times New Roman"/>
          <w:sz w:val="24"/>
          <w:szCs w:val="24"/>
        </w:rPr>
        <w:t xml:space="preserve"> </w:t>
      </w:r>
      <w:r w:rsidR="00E9515D" w:rsidRPr="00E32792">
        <w:rPr>
          <w:rFonts w:ascii="Times New Roman" w:hAnsi="Times New Roman" w:cs="Times New Roman"/>
          <w:sz w:val="24"/>
          <w:szCs w:val="24"/>
        </w:rPr>
        <w:t xml:space="preserve">information on the skills and competences of the potential </w:t>
      </w:r>
      <w:r w:rsidR="00D93A71" w:rsidRPr="00E32792">
        <w:rPr>
          <w:rFonts w:ascii="Times New Roman" w:hAnsi="Times New Roman" w:cs="Times New Roman"/>
          <w:sz w:val="24"/>
          <w:szCs w:val="24"/>
        </w:rPr>
        <w:t>labor</w:t>
      </w:r>
      <w:r w:rsidR="00E9515D" w:rsidRPr="00E32792">
        <w:rPr>
          <w:rFonts w:ascii="Times New Roman" w:hAnsi="Times New Roman" w:cs="Times New Roman"/>
          <w:sz w:val="24"/>
          <w:szCs w:val="24"/>
        </w:rPr>
        <w:t xml:space="preserve"> force, </w:t>
      </w:r>
      <w:r w:rsidR="003121E7" w:rsidRPr="00E32792">
        <w:rPr>
          <w:rFonts w:ascii="Times New Roman" w:hAnsi="Times New Roman" w:cs="Times New Roman"/>
          <w:sz w:val="24"/>
          <w:szCs w:val="24"/>
        </w:rPr>
        <w:t xml:space="preserve">the </w:t>
      </w:r>
      <w:r w:rsidR="002716D1" w:rsidRPr="00E32792">
        <w:rPr>
          <w:rFonts w:ascii="Times New Roman" w:hAnsi="Times New Roman" w:cs="Times New Roman"/>
          <w:sz w:val="24"/>
          <w:szCs w:val="24"/>
        </w:rPr>
        <w:t xml:space="preserve">empirical </w:t>
      </w:r>
      <w:r w:rsidR="00537F98" w:rsidRPr="00E32792">
        <w:rPr>
          <w:rFonts w:ascii="Times New Roman" w:hAnsi="Times New Roman" w:cs="Times New Roman"/>
          <w:sz w:val="24"/>
          <w:szCs w:val="24"/>
        </w:rPr>
        <w:t>analysis</w:t>
      </w:r>
      <w:r w:rsidR="00043A53" w:rsidRPr="00E32792">
        <w:rPr>
          <w:rFonts w:ascii="Times New Roman" w:hAnsi="Times New Roman" w:cs="Times New Roman"/>
          <w:sz w:val="24"/>
          <w:szCs w:val="24"/>
        </w:rPr>
        <w:t xml:space="preserve"> </w:t>
      </w:r>
      <w:r w:rsidR="002716D1" w:rsidRPr="00E32792">
        <w:rPr>
          <w:rFonts w:ascii="Times New Roman" w:hAnsi="Times New Roman" w:cs="Times New Roman"/>
          <w:sz w:val="24"/>
          <w:szCs w:val="24"/>
        </w:rPr>
        <w:t xml:space="preserve">relies </w:t>
      </w:r>
      <w:r w:rsidR="00E9515D" w:rsidRPr="00E32792">
        <w:rPr>
          <w:rFonts w:ascii="Times New Roman" w:hAnsi="Times New Roman" w:cs="Times New Roman"/>
          <w:sz w:val="24"/>
          <w:szCs w:val="24"/>
        </w:rPr>
        <w:t>on the attainment of formal educa</w:t>
      </w:r>
      <w:r w:rsidR="002716D1" w:rsidRPr="00E32792">
        <w:rPr>
          <w:rFonts w:ascii="Times New Roman" w:hAnsi="Times New Roman" w:cs="Times New Roman"/>
          <w:sz w:val="24"/>
          <w:szCs w:val="24"/>
        </w:rPr>
        <w:t>tion</w:t>
      </w:r>
      <w:r w:rsidR="000820DC" w:rsidRPr="00E32792">
        <w:rPr>
          <w:rFonts w:ascii="Times New Roman" w:hAnsi="Times New Roman" w:cs="Times New Roman"/>
          <w:sz w:val="24"/>
          <w:szCs w:val="24"/>
        </w:rPr>
        <w:t xml:space="preserve"> provided by Barro and Lee (2014)</w:t>
      </w:r>
      <w:r w:rsidR="00DB6E5E" w:rsidRPr="00E32792">
        <w:rPr>
          <w:rFonts w:ascii="Times New Roman" w:hAnsi="Times New Roman" w:cs="Times New Roman"/>
          <w:sz w:val="24"/>
          <w:szCs w:val="24"/>
        </w:rPr>
        <w:t xml:space="preserve"> </w:t>
      </w:r>
      <w:r w:rsidR="00495350" w:rsidRPr="00E32792">
        <w:rPr>
          <w:rFonts w:ascii="Times New Roman" w:hAnsi="Times New Roman" w:cs="Times New Roman"/>
          <w:sz w:val="24"/>
          <w:szCs w:val="24"/>
        </w:rPr>
        <w:t>and</w:t>
      </w:r>
      <w:r w:rsidR="00DB6E5E" w:rsidRPr="00E32792">
        <w:rPr>
          <w:rFonts w:ascii="Times New Roman" w:hAnsi="Times New Roman" w:cs="Times New Roman"/>
          <w:sz w:val="24"/>
          <w:szCs w:val="24"/>
        </w:rPr>
        <w:t xml:space="preserve"> students’ performance in various </w:t>
      </w:r>
      <w:r w:rsidR="00495350" w:rsidRPr="00E32792">
        <w:rPr>
          <w:rFonts w:ascii="Times New Roman" w:hAnsi="Times New Roman" w:cs="Times New Roman"/>
          <w:sz w:val="24"/>
          <w:szCs w:val="24"/>
        </w:rPr>
        <w:t xml:space="preserve">international </w:t>
      </w:r>
      <w:r w:rsidR="00DB6E5E" w:rsidRPr="00E32792">
        <w:rPr>
          <w:rFonts w:ascii="Times New Roman" w:hAnsi="Times New Roman" w:cs="Times New Roman"/>
          <w:sz w:val="24"/>
          <w:szCs w:val="24"/>
        </w:rPr>
        <w:t>assessments</w:t>
      </w:r>
      <w:r w:rsidR="000820DC" w:rsidRPr="00E32792">
        <w:rPr>
          <w:rFonts w:ascii="Times New Roman" w:hAnsi="Times New Roman" w:cs="Times New Roman"/>
          <w:sz w:val="24"/>
          <w:szCs w:val="24"/>
        </w:rPr>
        <w:t xml:space="preserve">. Using UNESCO, Eurostat, and national sources survey and census data, </w:t>
      </w:r>
      <w:r w:rsidR="00DB6E5E" w:rsidRPr="00E32792">
        <w:rPr>
          <w:rFonts w:ascii="Times New Roman" w:hAnsi="Times New Roman" w:cs="Times New Roman"/>
          <w:sz w:val="24"/>
          <w:szCs w:val="24"/>
        </w:rPr>
        <w:t>Barro and Lee (2014)</w:t>
      </w:r>
      <w:r w:rsidR="000820DC" w:rsidRPr="00E32792">
        <w:rPr>
          <w:rFonts w:ascii="Times New Roman" w:hAnsi="Times New Roman" w:cs="Times New Roman"/>
          <w:sz w:val="24"/>
          <w:szCs w:val="24"/>
        </w:rPr>
        <w:t xml:space="preserve"> constructed measures of educational attainment for a large number of countries at 5-year intervals for the period 1950 </w:t>
      </w:r>
      <w:r w:rsidR="00C6075D" w:rsidRPr="00E32792">
        <w:rPr>
          <w:rFonts w:ascii="Times New Roman" w:hAnsi="Times New Roman" w:cs="Times New Roman"/>
          <w:sz w:val="24"/>
          <w:szCs w:val="24"/>
        </w:rPr>
        <w:t>-</w:t>
      </w:r>
      <w:r w:rsidR="000820DC" w:rsidRPr="00E32792">
        <w:rPr>
          <w:rFonts w:ascii="Times New Roman" w:hAnsi="Times New Roman" w:cs="Times New Roman"/>
          <w:sz w:val="24"/>
          <w:szCs w:val="24"/>
        </w:rPr>
        <w:t xml:space="preserve"> 2010. The indicators used in the analysis are: </w:t>
      </w:r>
      <w:r w:rsidR="00E9515D" w:rsidRPr="00E32792">
        <w:rPr>
          <w:rFonts w:ascii="Times New Roman" w:hAnsi="Times New Roman" w:cs="Times New Roman"/>
          <w:sz w:val="24"/>
          <w:szCs w:val="24"/>
        </w:rPr>
        <w:t xml:space="preserve">the percentage of population aged 15 and over who have attained secondary education, the percentage of population aged 15 and over who have attained tertiary education and </w:t>
      </w:r>
      <w:r w:rsidR="00E9515D" w:rsidRPr="00E32792">
        <w:rPr>
          <w:rFonts w:ascii="Times New Roman" w:eastAsia="Times New Roman" w:hAnsi="Times New Roman" w:cs="Times New Roman"/>
          <w:color w:val="000000"/>
          <w:sz w:val="24"/>
          <w:szCs w:val="24"/>
        </w:rPr>
        <w:t>the average number of years of schooling for the population aged 15 and over</w:t>
      </w:r>
      <w:r w:rsidR="00E9515D" w:rsidRPr="00E32792">
        <w:rPr>
          <w:rFonts w:ascii="Times New Roman" w:hAnsi="Times New Roman" w:cs="Times New Roman"/>
          <w:sz w:val="24"/>
          <w:szCs w:val="24"/>
        </w:rPr>
        <w:t>. The first two variables refer not only to the total stock of population who have completed the entire cycle of studies, but also to those who have completed some secondary/tertiary education. That is to say, the first measure reflects the share of population who have completed secondary education as their highest level attained as well as those who have attained part of secondary education, whereas, the share of population who have continued to higher education are reflected in the (total) tertiary education measure. Henceforth, these variables will be referred as the share of population 15 and over who have attained secondary/tertiary education as their highest level</w:t>
      </w:r>
      <w:r w:rsidR="002945E2" w:rsidRPr="00E32792">
        <w:rPr>
          <w:rFonts w:ascii="Times New Roman" w:hAnsi="Times New Roman" w:cs="Times New Roman"/>
          <w:sz w:val="24"/>
          <w:szCs w:val="24"/>
        </w:rPr>
        <w:t>.</w:t>
      </w:r>
      <w:r w:rsidR="00E9515D" w:rsidRPr="00E32792">
        <w:rPr>
          <w:rFonts w:ascii="Times New Roman" w:hAnsi="Times New Roman" w:cs="Times New Roman"/>
          <w:sz w:val="24"/>
          <w:szCs w:val="24"/>
        </w:rPr>
        <w:t xml:space="preserve"> Since these indicators are constructed at 5-year intervals, </w:t>
      </w:r>
      <w:r w:rsidR="00667B0D" w:rsidRPr="00E32792">
        <w:rPr>
          <w:rFonts w:ascii="Times New Roman" w:hAnsi="Times New Roman" w:cs="Times New Roman"/>
          <w:sz w:val="24"/>
          <w:szCs w:val="24"/>
        </w:rPr>
        <w:t xml:space="preserve">we have filled </w:t>
      </w:r>
      <w:r w:rsidR="00E9515D" w:rsidRPr="00E32792">
        <w:rPr>
          <w:rFonts w:ascii="Times New Roman" w:hAnsi="Times New Roman" w:cs="Times New Roman"/>
          <w:sz w:val="24"/>
          <w:szCs w:val="24"/>
        </w:rPr>
        <w:t xml:space="preserve">the gaps for the periods in </w:t>
      </w:r>
      <w:r w:rsidR="00A15ABC" w:rsidRPr="00E32792">
        <w:rPr>
          <w:rFonts w:ascii="Times New Roman" w:hAnsi="Times New Roman" w:cs="Times New Roman"/>
          <w:sz w:val="24"/>
          <w:szCs w:val="24"/>
        </w:rPr>
        <w:t xml:space="preserve">between </w:t>
      </w:r>
      <w:r w:rsidR="00503355" w:rsidRPr="00E32792">
        <w:rPr>
          <w:rFonts w:ascii="Times New Roman" w:hAnsi="Times New Roman" w:cs="Times New Roman"/>
          <w:sz w:val="24"/>
          <w:szCs w:val="24"/>
        </w:rPr>
        <w:t xml:space="preserve">using interpolation </w:t>
      </w:r>
      <w:r w:rsidR="00E9515D" w:rsidRPr="00E32792">
        <w:rPr>
          <w:rFonts w:ascii="Times New Roman" w:hAnsi="Times New Roman" w:cs="Times New Roman"/>
          <w:sz w:val="24"/>
          <w:szCs w:val="24"/>
        </w:rPr>
        <w:t xml:space="preserve">in order to make use of the highest possible number of observations. According to Rizvanolli (2012), interpolation is preferred to multiple imputation </w:t>
      </w:r>
      <w:r w:rsidR="009356CA" w:rsidRPr="00E32792">
        <w:rPr>
          <w:rFonts w:ascii="Times New Roman" w:hAnsi="Times New Roman" w:cs="Times New Roman"/>
          <w:sz w:val="24"/>
          <w:szCs w:val="24"/>
        </w:rPr>
        <w:t>since the missing values are more likely to be linked to the existing data values rather than to other variables. By arguing that the education stock changes slowly over time with a possible increasing trend, linear interpolation based on the time variable is applied (see also Seck, 2012).</w:t>
      </w:r>
      <w:r w:rsidR="008E6A12" w:rsidRPr="00E32792">
        <w:rPr>
          <w:rFonts w:ascii="Times New Roman" w:hAnsi="Times New Roman" w:cs="Times New Roman"/>
          <w:sz w:val="24"/>
          <w:szCs w:val="24"/>
        </w:rPr>
        <w:t xml:space="preserve"> It is pertinent to note that the choice of stock rather than flow measures stems from their relative superiority in capturing the actual human capital of the </w:t>
      </w:r>
      <w:r w:rsidR="0026567A" w:rsidRPr="00E32792">
        <w:rPr>
          <w:rFonts w:ascii="Times New Roman" w:hAnsi="Times New Roman" w:cs="Times New Roman"/>
          <w:sz w:val="24"/>
          <w:szCs w:val="24"/>
        </w:rPr>
        <w:t xml:space="preserve">current </w:t>
      </w:r>
      <w:r w:rsidR="00B20391" w:rsidRPr="00E32792">
        <w:rPr>
          <w:rFonts w:ascii="Times New Roman" w:hAnsi="Times New Roman" w:cs="Times New Roman"/>
          <w:sz w:val="24"/>
          <w:szCs w:val="24"/>
        </w:rPr>
        <w:t>labor</w:t>
      </w:r>
      <w:r w:rsidR="008E6A12" w:rsidRPr="00E32792">
        <w:rPr>
          <w:rFonts w:ascii="Times New Roman" w:hAnsi="Times New Roman" w:cs="Times New Roman"/>
          <w:sz w:val="24"/>
          <w:szCs w:val="24"/>
        </w:rPr>
        <w:t xml:space="preserve"> force. School enrolment rates, despite being frequently employed in the literature, represent the level of schooling and human capital of the future</w:t>
      </w:r>
      <w:r w:rsidR="00537F98" w:rsidRPr="00E32792">
        <w:rPr>
          <w:rFonts w:ascii="Times New Roman" w:hAnsi="Times New Roman" w:cs="Times New Roman"/>
          <w:sz w:val="24"/>
          <w:szCs w:val="24"/>
        </w:rPr>
        <w:t>,</w:t>
      </w:r>
      <w:r w:rsidR="008E6A12" w:rsidRPr="00E32792">
        <w:rPr>
          <w:rFonts w:ascii="Times New Roman" w:hAnsi="Times New Roman" w:cs="Times New Roman"/>
          <w:sz w:val="24"/>
          <w:szCs w:val="24"/>
        </w:rPr>
        <w:t xml:space="preserve"> r</w:t>
      </w:r>
      <w:r w:rsidR="00DD3AC6" w:rsidRPr="00E32792">
        <w:rPr>
          <w:rFonts w:ascii="Times New Roman" w:hAnsi="Times New Roman" w:cs="Times New Roman"/>
          <w:sz w:val="24"/>
          <w:szCs w:val="24"/>
        </w:rPr>
        <w:t>ather than</w:t>
      </w:r>
      <w:r w:rsidR="00537F98" w:rsidRPr="00E32792">
        <w:rPr>
          <w:rFonts w:ascii="Times New Roman" w:hAnsi="Times New Roman" w:cs="Times New Roman"/>
          <w:sz w:val="24"/>
          <w:szCs w:val="24"/>
        </w:rPr>
        <w:t xml:space="preserve"> the</w:t>
      </w:r>
      <w:r w:rsidR="00DD3AC6" w:rsidRPr="00E32792">
        <w:rPr>
          <w:rFonts w:ascii="Times New Roman" w:hAnsi="Times New Roman" w:cs="Times New Roman"/>
          <w:sz w:val="24"/>
          <w:szCs w:val="24"/>
        </w:rPr>
        <w:t xml:space="preserve"> current</w:t>
      </w:r>
      <w:r w:rsidR="00537F98" w:rsidRPr="00E32792">
        <w:rPr>
          <w:rFonts w:ascii="Times New Roman" w:hAnsi="Times New Roman" w:cs="Times New Roman"/>
          <w:sz w:val="24"/>
          <w:szCs w:val="24"/>
        </w:rPr>
        <w:t>,</w:t>
      </w:r>
      <w:r w:rsidR="00DD3AC6" w:rsidRPr="00E32792">
        <w:rPr>
          <w:rFonts w:ascii="Times New Roman" w:hAnsi="Times New Roman" w:cs="Times New Roman"/>
          <w:sz w:val="24"/>
          <w:szCs w:val="24"/>
        </w:rPr>
        <w:t xml:space="preserve"> workforce</w:t>
      </w:r>
      <w:r w:rsidR="006D3E73" w:rsidRPr="00E32792">
        <w:rPr>
          <w:rFonts w:ascii="Times New Roman" w:hAnsi="Times New Roman" w:cs="Times New Roman"/>
          <w:sz w:val="24"/>
          <w:szCs w:val="24"/>
        </w:rPr>
        <w:t>.</w:t>
      </w:r>
    </w:p>
    <w:p w:rsidR="00B013DC" w:rsidRPr="00E32792" w:rsidRDefault="002716D1" w:rsidP="00B013DC">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I</w:t>
      </w:r>
      <w:r w:rsidR="00E9515D" w:rsidRPr="00E32792">
        <w:rPr>
          <w:rFonts w:ascii="Times New Roman" w:hAnsi="Times New Roman" w:cs="Times New Roman"/>
          <w:sz w:val="24"/>
          <w:szCs w:val="24"/>
        </w:rPr>
        <w:t>n order to overcome some of the drawbacks of focusing entirely on the quantity of education</w:t>
      </w:r>
      <w:r w:rsidR="00E76431" w:rsidRPr="00E32792">
        <w:rPr>
          <w:rFonts w:ascii="Times New Roman" w:hAnsi="Times New Roman" w:cs="Times New Roman"/>
          <w:sz w:val="24"/>
          <w:szCs w:val="24"/>
        </w:rPr>
        <w:t>al achievement</w:t>
      </w:r>
      <w:r w:rsidR="00E9515D" w:rsidRPr="00E32792">
        <w:rPr>
          <w:rFonts w:ascii="Times New Roman" w:hAnsi="Times New Roman" w:cs="Times New Roman"/>
          <w:sz w:val="24"/>
          <w:szCs w:val="24"/>
        </w:rPr>
        <w:t xml:space="preserve">, </w:t>
      </w:r>
      <w:r w:rsidR="000061C1" w:rsidRPr="00E32792">
        <w:rPr>
          <w:rFonts w:ascii="Times New Roman" w:hAnsi="Times New Roman" w:cs="Times New Roman"/>
          <w:sz w:val="24"/>
          <w:szCs w:val="24"/>
        </w:rPr>
        <w:t xml:space="preserve">three proxies </w:t>
      </w:r>
      <w:r w:rsidR="00E9515D" w:rsidRPr="00E32792">
        <w:rPr>
          <w:rFonts w:ascii="Times New Roman" w:hAnsi="Times New Roman" w:cs="Times New Roman"/>
          <w:sz w:val="24"/>
          <w:szCs w:val="24"/>
        </w:rPr>
        <w:t xml:space="preserve">for </w:t>
      </w:r>
      <w:r w:rsidR="003A0AAC" w:rsidRPr="00E32792">
        <w:rPr>
          <w:rFonts w:ascii="Times New Roman" w:hAnsi="Times New Roman" w:cs="Times New Roman"/>
          <w:sz w:val="24"/>
          <w:szCs w:val="24"/>
        </w:rPr>
        <w:t xml:space="preserve">education </w:t>
      </w:r>
      <w:r w:rsidR="00E9515D" w:rsidRPr="00E32792">
        <w:rPr>
          <w:rFonts w:ascii="Times New Roman" w:hAnsi="Times New Roman" w:cs="Times New Roman"/>
          <w:sz w:val="24"/>
          <w:szCs w:val="24"/>
        </w:rPr>
        <w:t>quality</w:t>
      </w:r>
      <w:r w:rsidR="00DB6E5E" w:rsidRPr="00E32792">
        <w:rPr>
          <w:rFonts w:ascii="Times New Roman" w:hAnsi="Times New Roman" w:cs="Times New Roman"/>
          <w:sz w:val="24"/>
          <w:szCs w:val="24"/>
        </w:rPr>
        <w:t xml:space="preserve"> </w:t>
      </w:r>
      <w:r w:rsidR="00A5418C">
        <w:rPr>
          <w:rFonts w:ascii="Times New Roman" w:hAnsi="Times New Roman" w:cs="Times New Roman"/>
          <w:sz w:val="24"/>
          <w:szCs w:val="24"/>
        </w:rPr>
        <w:t>have</w:t>
      </w:r>
      <w:r w:rsidR="00E9515D" w:rsidRPr="00E32792">
        <w:rPr>
          <w:rFonts w:ascii="Times New Roman" w:hAnsi="Times New Roman" w:cs="Times New Roman"/>
          <w:sz w:val="24"/>
          <w:szCs w:val="24"/>
        </w:rPr>
        <w:t xml:space="preserve"> been introduced </w:t>
      </w:r>
      <w:r w:rsidR="00537F98" w:rsidRPr="00E32792">
        <w:rPr>
          <w:rFonts w:ascii="Times New Roman" w:hAnsi="Times New Roman" w:cs="Times New Roman"/>
          <w:sz w:val="24"/>
          <w:szCs w:val="24"/>
        </w:rPr>
        <w:t>in</w:t>
      </w:r>
      <w:r w:rsidR="00E9515D" w:rsidRPr="00E32792">
        <w:rPr>
          <w:rFonts w:ascii="Times New Roman" w:hAnsi="Times New Roman" w:cs="Times New Roman"/>
          <w:sz w:val="24"/>
          <w:szCs w:val="24"/>
        </w:rPr>
        <w:t xml:space="preserve">to </w:t>
      </w:r>
      <w:r w:rsidR="007C045D" w:rsidRPr="00E32792">
        <w:rPr>
          <w:rFonts w:ascii="Times New Roman" w:hAnsi="Times New Roman" w:cs="Times New Roman"/>
          <w:sz w:val="24"/>
          <w:szCs w:val="24"/>
        </w:rPr>
        <w:t>the</w:t>
      </w:r>
      <w:r w:rsidR="00E9515D" w:rsidRPr="00E32792">
        <w:rPr>
          <w:rFonts w:ascii="Times New Roman" w:hAnsi="Times New Roman" w:cs="Times New Roman"/>
          <w:sz w:val="24"/>
          <w:szCs w:val="24"/>
        </w:rPr>
        <w:t xml:space="preserve"> investigation. Given the lack of more direct information on the quality of education, </w:t>
      </w:r>
      <w:r w:rsidR="003A0AAC" w:rsidRPr="00E32792">
        <w:rPr>
          <w:rFonts w:ascii="Times New Roman" w:hAnsi="Times New Roman" w:cs="Times New Roman"/>
          <w:sz w:val="24"/>
          <w:szCs w:val="24"/>
        </w:rPr>
        <w:t>Hanushek and Woessmann’s (20</w:t>
      </w:r>
      <w:r w:rsidR="000E0802" w:rsidRPr="00E32792">
        <w:rPr>
          <w:rFonts w:ascii="Times New Roman" w:hAnsi="Times New Roman" w:cs="Times New Roman"/>
          <w:sz w:val="24"/>
          <w:szCs w:val="24"/>
        </w:rPr>
        <w:t>12</w:t>
      </w:r>
      <w:r w:rsidR="003A0AAC" w:rsidRPr="00E32792">
        <w:rPr>
          <w:rFonts w:ascii="Times New Roman" w:hAnsi="Times New Roman" w:cs="Times New Roman"/>
          <w:sz w:val="24"/>
          <w:szCs w:val="24"/>
        </w:rPr>
        <w:t xml:space="preserve">) </w:t>
      </w:r>
      <w:r w:rsidR="003500F0" w:rsidRPr="00E32792">
        <w:rPr>
          <w:rFonts w:ascii="Times New Roman" w:hAnsi="Times New Roman" w:cs="Times New Roman"/>
          <w:sz w:val="24"/>
          <w:szCs w:val="24"/>
        </w:rPr>
        <w:t>cognitive skills measure which is based on</w:t>
      </w:r>
      <w:r w:rsidR="003A0AAC" w:rsidRPr="00E32792">
        <w:rPr>
          <w:rFonts w:ascii="Times New Roman" w:hAnsi="Times New Roman" w:cs="Times New Roman"/>
          <w:sz w:val="24"/>
          <w:szCs w:val="24"/>
        </w:rPr>
        <w:t xml:space="preserve"> </w:t>
      </w:r>
      <w:r w:rsidR="00E9515D" w:rsidRPr="00E32792">
        <w:rPr>
          <w:rFonts w:ascii="Times New Roman" w:hAnsi="Times New Roman" w:cs="Times New Roman"/>
          <w:sz w:val="24"/>
          <w:szCs w:val="24"/>
        </w:rPr>
        <w:t xml:space="preserve">students’ achievements </w:t>
      </w:r>
      <w:r w:rsidR="00231121" w:rsidRPr="00E32792">
        <w:rPr>
          <w:rFonts w:ascii="Times New Roman" w:hAnsi="Times New Roman" w:cs="Times New Roman"/>
          <w:sz w:val="24"/>
          <w:szCs w:val="24"/>
        </w:rPr>
        <w:t xml:space="preserve">in </w:t>
      </w:r>
      <w:r w:rsidR="00E9515D" w:rsidRPr="00E32792">
        <w:rPr>
          <w:rFonts w:ascii="Times New Roman" w:hAnsi="Times New Roman" w:cs="Times New Roman"/>
          <w:sz w:val="24"/>
          <w:szCs w:val="24"/>
        </w:rPr>
        <w:t>internationally comparable test</w:t>
      </w:r>
      <w:r w:rsidR="003500F0" w:rsidRPr="00E32792">
        <w:rPr>
          <w:rFonts w:ascii="Times New Roman" w:hAnsi="Times New Roman" w:cs="Times New Roman"/>
          <w:sz w:val="24"/>
          <w:szCs w:val="24"/>
        </w:rPr>
        <w:t>s is used</w:t>
      </w:r>
      <w:r w:rsidR="00E9515D" w:rsidRPr="00E32792">
        <w:rPr>
          <w:rFonts w:ascii="Times New Roman" w:hAnsi="Times New Roman" w:cs="Times New Roman"/>
          <w:sz w:val="24"/>
          <w:szCs w:val="24"/>
        </w:rPr>
        <w:t xml:space="preserve">. Hanushek and Woessmann </w:t>
      </w:r>
      <w:r w:rsidR="003500F0" w:rsidRPr="00E32792">
        <w:rPr>
          <w:rFonts w:ascii="Times New Roman" w:hAnsi="Times New Roman" w:cs="Times New Roman"/>
          <w:sz w:val="24"/>
          <w:szCs w:val="24"/>
        </w:rPr>
        <w:t xml:space="preserve">construct this indicator </w:t>
      </w:r>
      <w:r w:rsidR="00E9515D" w:rsidRPr="00E32792">
        <w:rPr>
          <w:rFonts w:ascii="Times New Roman" w:hAnsi="Times New Roman" w:cs="Times New Roman"/>
          <w:sz w:val="24"/>
          <w:szCs w:val="24"/>
        </w:rPr>
        <w:t xml:space="preserve">by standardizing </w:t>
      </w:r>
      <w:r w:rsidR="003500F0" w:rsidRPr="00E32792">
        <w:rPr>
          <w:rFonts w:ascii="Times New Roman" w:hAnsi="Times New Roman" w:cs="Times New Roman"/>
          <w:sz w:val="24"/>
          <w:szCs w:val="24"/>
        </w:rPr>
        <w:t xml:space="preserve">primary/secondary </w:t>
      </w:r>
      <w:r w:rsidR="00E9515D" w:rsidRPr="00E32792">
        <w:rPr>
          <w:rFonts w:ascii="Times New Roman" w:hAnsi="Times New Roman" w:cs="Times New Roman"/>
          <w:sz w:val="24"/>
          <w:szCs w:val="24"/>
        </w:rPr>
        <w:t>students’ test scores</w:t>
      </w:r>
      <w:r w:rsidR="003500F0" w:rsidRPr="00E32792">
        <w:rPr>
          <w:rFonts w:ascii="Times New Roman" w:hAnsi="Times New Roman" w:cs="Times New Roman"/>
          <w:sz w:val="24"/>
          <w:szCs w:val="24"/>
        </w:rPr>
        <w:t xml:space="preserve"> in mathematics and science and averaging them across time</w:t>
      </w:r>
      <w:r w:rsidR="00143907" w:rsidRPr="00E32792">
        <w:rPr>
          <w:rFonts w:ascii="Times New Roman" w:hAnsi="Times New Roman" w:cs="Times New Roman"/>
          <w:sz w:val="24"/>
          <w:szCs w:val="24"/>
        </w:rPr>
        <w:t xml:space="preserve"> </w:t>
      </w:r>
      <w:r w:rsidR="003500F0" w:rsidRPr="00E32792">
        <w:rPr>
          <w:rFonts w:ascii="Times New Roman" w:hAnsi="Times New Roman" w:cs="Times New Roman"/>
          <w:sz w:val="24"/>
          <w:szCs w:val="24"/>
        </w:rPr>
        <w:t>(</w:t>
      </w:r>
      <w:r w:rsidR="00E9515D" w:rsidRPr="00E32792">
        <w:rPr>
          <w:rFonts w:ascii="Times New Roman" w:hAnsi="Times New Roman" w:cs="Times New Roman"/>
          <w:sz w:val="24"/>
          <w:szCs w:val="24"/>
        </w:rPr>
        <w:t>period 1964–2003</w:t>
      </w:r>
      <w:r w:rsidR="003500F0" w:rsidRPr="00E32792">
        <w:rPr>
          <w:rFonts w:ascii="Times New Roman" w:hAnsi="Times New Roman" w:cs="Times New Roman"/>
          <w:sz w:val="24"/>
          <w:szCs w:val="24"/>
        </w:rPr>
        <w:t>)</w:t>
      </w:r>
      <w:r w:rsidR="00E9515D" w:rsidRPr="00E32792">
        <w:rPr>
          <w:rFonts w:ascii="Times New Roman" w:hAnsi="Times New Roman" w:cs="Times New Roman"/>
          <w:sz w:val="24"/>
          <w:szCs w:val="24"/>
        </w:rPr>
        <w:t>.</w:t>
      </w:r>
      <w:r w:rsidR="004C4A46" w:rsidRPr="00E32792">
        <w:rPr>
          <w:rStyle w:val="FootnoteReference"/>
          <w:rFonts w:ascii="Times New Roman" w:hAnsi="Times New Roman" w:cs="Times New Roman"/>
          <w:sz w:val="24"/>
          <w:szCs w:val="24"/>
        </w:rPr>
        <w:footnoteReference w:id="10"/>
      </w:r>
      <w:r w:rsidR="00E9515D" w:rsidRPr="00E32792">
        <w:rPr>
          <w:rFonts w:ascii="Times New Roman" w:hAnsi="Times New Roman" w:cs="Times New Roman"/>
          <w:sz w:val="24"/>
          <w:szCs w:val="24"/>
        </w:rPr>
        <w:t xml:space="preserve"> </w:t>
      </w:r>
      <w:r w:rsidR="00B02F57" w:rsidRPr="00E32792">
        <w:rPr>
          <w:rFonts w:ascii="Times New Roman" w:hAnsi="Times New Roman" w:cs="Times New Roman"/>
          <w:sz w:val="24"/>
          <w:szCs w:val="24"/>
        </w:rPr>
        <w:t>A</w:t>
      </w:r>
      <w:r w:rsidR="004C4A46" w:rsidRPr="00E32792">
        <w:rPr>
          <w:rFonts w:ascii="Times New Roman" w:hAnsi="Times New Roman" w:cs="Times New Roman"/>
          <w:sz w:val="24"/>
          <w:szCs w:val="24"/>
        </w:rPr>
        <w:t xml:space="preserve">ccording </w:t>
      </w:r>
      <w:r w:rsidR="00E9515D" w:rsidRPr="00E32792">
        <w:rPr>
          <w:rFonts w:ascii="Times New Roman" w:hAnsi="Times New Roman" w:cs="Times New Roman"/>
          <w:sz w:val="24"/>
          <w:szCs w:val="24"/>
        </w:rPr>
        <w:t xml:space="preserve">to </w:t>
      </w:r>
      <w:r w:rsidR="00D26731" w:rsidRPr="00E32792">
        <w:rPr>
          <w:rFonts w:ascii="Times New Roman" w:hAnsi="Times New Roman" w:cs="Times New Roman"/>
          <w:sz w:val="24"/>
          <w:szCs w:val="24"/>
        </w:rPr>
        <w:t>Hanushek and Woessmann</w:t>
      </w:r>
      <w:r w:rsidR="00E9515D" w:rsidRPr="00E32792">
        <w:rPr>
          <w:rFonts w:ascii="Times New Roman" w:hAnsi="Times New Roman" w:cs="Times New Roman"/>
          <w:sz w:val="24"/>
          <w:szCs w:val="24"/>
        </w:rPr>
        <w:t xml:space="preserve">, the key rationale for averaging the data over a period of 40 years is to capture the education quality of the </w:t>
      </w:r>
      <w:r w:rsidR="00B20391" w:rsidRPr="00E32792">
        <w:rPr>
          <w:rFonts w:ascii="Times New Roman" w:hAnsi="Times New Roman" w:cs="Times New Roman"/>
          <w:sz w:val="24"/>
          <w:szCs w:val="24"/>
        </w:rPr>
        <w:t>labor</w:t>
      </w:r>
      <w:r w:rsidR="00E9515D" w:rsidRPr="00E32792">
        <w:rPr>
          <w:rFonts w:ascii="Times New Roman" w:hAnsi="Times New Roman" w:cs="Times New Roman"/>
          <w:sz w:val="24"/>
          <w:szCs w:val="24"/>
        </w:rPr>
        <w:t xml:space="preserve"> force rather than that of students</w:t>
      </w:r>
      <w:r w:rsidR="004C4A46" w:rsidRPr="00E32792">
        <w:rPr>
          <w:rFonts w:ascii="Times New Roman" w:hAnsi="Times New Roman" w:cs="Times New Roman"/>
          <w:sz w:val="24"/>
          <w:szCs w:val="24"/>
        </w:rPr>
        <w:t>.</w:t>
      </w:r>
      <w:r w:rsidR="00906E6B" w:rsidRPr="00E32792">
        <w:rPr>
          <w:rStyle w:val="FootnoteReference"/>
          <w:rFonts w:ascii="Times New Roman" w:hAnsi="Times New Roman" w:cs="Times New Roman"/>
          <w:sz w:val="24"/>
          <w:szCs w:val="24"/>
        </w:rPr>
        <w:footnoteReference w:id="11"/>
      </w:r>
      <w:r w:rsidR="00E9515D" w:rsidRPr="00E32792">
        <w:rPr>
          <w:rFonts w:ascii="Times New Roman" w:hAnsi="Times New Roman" w:cs="Times New Roman"/>
          <w:sz w:val="24"/>
          <w:szCs w:val="24"/>
        </w:rPr>
        <w:t xml:space="preserve"> </w:t>
      </w:r>
    </w:p>
    <w:p w:rsidR="00017ABC" w:rsidRPr="001E2721" w:rsidRDefault="00B013DC" w:rsidP="000C6BAE">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 xml:space="preserve">Altinok et al. (2014) </w:t>
      </w:r>
      <w:r w:rsidR="004E47A0" w:rsidRPr="00E32792">
        <w:rPr>
          <w:rFonts w:ascii="Times New Roman" w:hAnsi="Times New Roman" w:cs="Times New Roman"/>
          <w:sz w:val="24"/>
          <w:szCs w:val="24"/>
        </w:rPr>
        <w:t xml:space="preserve">constructed </w:t>
      </w:r>
      <w:r w:rsidRPr="00E32792">
        <w:rPr>
          <w:rFonts w:ascii="Times New Roman" w:hAnsi="Times New Roman" w:cs="Times New Roman"/>
          <w:sz w:val="24"/>
          <w:szCs w:val="24"/>
        </w:rPr>
        <w:t>a similar measure of education quality</w:t>
      </w:r>
      <w:r w:rsidR="004E47A0" w:rsidRPr="00E32792">
        <w:rPr>
          <w:rFonts w:ascii="Times New Roman" w:hAnsi="Times New Roman" w:cs="Times New Roman"/>
          <w:sz w:val="24"/>
          <w:szCs w:val="24"/>
        </w:rPr>
        <w:t xml:space="preserve"> which covers </w:t>
      </w:r>
      <w:r w:rsidRPr="00E32792">
        <w:rPr>
          <w:rFonts w:ascii="Times New Roman" w:hAnsi="Times New Roman" w:cs="Times New Roman"/>
          <w:sz w:val="24"/>
          <w:szCs w:val="24"/>
        </w:rPr>
        <w:t>a longer period of time (1965-2010)</w:t>
      </w:r>
      <w:r w:rsidR="00DA6577" w:rsidRPr="00E32792">
        <w:rPr>
          <w:rFonts w:ascii="Times New Roman" w:hAnsi="Times New Roman" w:cs="Times New Roman"/>
          <w:sz w:val="24"/>
          <w:szCs w:val="24"/>
        </w:rPr>
        <w:t xml:space="preserve"> and</w:t>
      </w:r>
      <w:r w:rsidR="005726CE" w:rsidRPr="00E32792">
        <w:rPr>
          <w:rFonts w:ascii="Times New Roman" w:hAnsi="Times New Roman" w:cs="Times New Roman"/>
          <w:sz w:val="24"/>
          <w:szCs w:val="24"/>
        </w:rPr>
        <w:t xml:space="preserve"> </w:t>
      </w:r>
      <w:r w:rsidRPr="00E32792">
        <w:rPr>
          <w:rFonts w:ascii="Times New Roman" w:hAnsi="Times New Roman" w:cs="Times New Roman"/>
          <w:sz w:val="24"/>
          <w:szCs w:val="24"/>
        </w:rPr>
        <w:t>a larger group of countries</w:t>
      </w:r>
      <w:r w:rsidR="00DA6577" w:rsidRPr="00E32792">
        <w:rPr>
          <w:rFonts w:ascii="Times New Roman" w:hAnsi="Times New Roman" w:cs="Times New Roman"/>
          <w:sz w:val="24"/>
          <w:szCs w:val="24"/>
        </w:rPr>
        <w:t>.</w:t>
      </w:r>
      <w:r w:rsidR="00231121" w:rsidRPr="00E32792">
        <w:rPr>
          <w:rFonts w:ascii="Times New Roman" w:hAnsi="Times New Roman" w:cs="Times New Roman"/>
          <w:sz w:val="24"/>
          <w:szCs w:val="24"/>
        </w:rPr>
        <w:t xml:space="preserve"> I</w:t>
      </w:r>
      <w:r w:rsidRPr="00E32792">
        <w:rPr>
          <w:rFonts w:ascii="Times New Roman" w:hAnsi="Times New Roman" w:cs="Times New Roman"/>
          <w:sz w:val="24"/>
          <w:szCs w:val="24"/>
        </w:rPr>
        <w:t xml:space="preserve">n order to assess the robustness of </w:t>
      </w:r>
      <w:r w:rsidR="00537F98" w:rsidRPr="00E32792">
        <w:rPr>
          <w:rFonts w:ascii="Times New Roman" w:hAnsi="Times New Roman" w:cs="Times New Roman"/>
          <w:sz w:val="24"/>
          <w:szCs w:val="24"/>
        </w:rPr>
        <w:t>the</w:t>
      </w:r>
      <w:r w:rsidRPr="00E32792">
        <w:rPr>
          <w:rFonts w:ascii="Times New Roman" w:hAnsi="Times New Roman" w:cs="Times New Roman"/>
          <w:sz w:val="24"/>
          <w:szCs w:val="24"/>
        </w:rPr>
        <w:t xml:space="preserve"> results, this measure covering test scores in primary and secondary education (averaged across time) is used in an alternative model specification. In addition to the averaged indicator, Altinok et al. (2014) provided a panel dataset on students’ performance for the period 1965-2010.</w:t>
      </w:r>
      <w:r w:rsidRPr="00E32792">
        <w:rPr>
          <w:rStyle w:val="FootnoteReference"/>
          <w:rFonts w:ascii="Times New Roman" w:hAnsi="Times New Roman" w:cs="Times New Roman"/>
          <w:sz w:val="24"/>
          <w:szCs w:val="24"/>
        </w:rPr>
        <w:footnoteReference w:id="12"/>
      </w:r>
      <w:r w:rsidRPr="00E32792">
        <w:rPr>
          <w:rFonts w:ascii="Times New Roman" w:hAnsi="Times New Roman" w:cs="Times New Roman"/>
          <w:sz w:val="24"/>
          <w:szCs w:val="24"/>
        </w:rPr>
        <w:t xml:space="preserve"> The adjusted mean scores of students of secondary education in different assessments are also used to proxy the quality of education in </w:t>
      </w:r>
      <w:r w:rsidR="00537F98" w:rsidRPr="00E32792">
        <w:rPr>
          <w:rFonts w:ascii="Times New Roman" w:hAnsi="Times New Roman" w:cs="Times New Roman"/>
          <w:sz w:val="24"/>
          <w:szCs w:val="24"/>
        </w:rPr>
        <w:t>the</w:t>
      </w:r>
      <w:r w:rsidRPr="00E32792">
        <w:rPr>
          <w:rFonts w:ascii="Times New Roman" w:hAnsi="Times New Roman" w:cs="Times New Roman"/>
          <w:sz w:val="24"/>
          <w:szCs w:val="24"/>
        </w:rPr>
        <w:t xml:space="preserve"> estimations. Since data is available at intervals rather than annually, linear interpolation has been used to fill the gaps in between. Due to data missing for some years/countries, the impact of this indicator was assessed in a separate analysis covering a smaller sample.</w:t>
      </w:r>
      <w:r w:rsidR="00FC1623" w:rsidRPr="00E32792">
        <w:rPr>
          <w:rStyle w:val="FootnoteReference"/>
          <w:rFonts w:ascii="Times New Roman" w:hAnsi="Times New Roman" w:cs="Times New Roman"/>
          <w:sz w:val="24"/>
          <w:szCs w:val="24"/>
        </w:rPr>
        <w:t xml:space="preserve"> </w:t>
      </w:r>
      <w:r w:rsidR="00FC1623" w:rsidRPr="00E32792">
        <w:rPr>
          <w:rStyle w:val="FootnoteReference"/>
          <w:rFonts w:ascii="Times New Roman" w:hAnsi="Times New Roman" w:cs="Times New Roman"/>
          <w:sz w:val="24"/>
          <w:szCs w:val="24"/>
        </w:rPr>
        <w:footnoteReference w:id="13"/>
      </w:r>
      <w:r w:rsidR="00C43610" w:rsidRPr="00E32792">
        <w:rPr>
          <w:rFonts w:ascii="Times New Roman" w:hAnsi="Times New Roman" w:cs="Times New Roman"/>
          <w:sz w:val="24"/>
          <w:szCs w:val="24"/>
        </w:rPr>
        <w:t xml:space="preserve"> </w:t>
      </w:r>
    </w:p>
    <w:p w:rsidR="00A85A2F" w:rsidRPr="001E2721" w:rsidRDefault="0032248C" w:rsidP="00143907">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 xml:space="preserve">Another important aspect to be accounted for in this investigation is </w:t>
      </w:r>
      <w:r w:rsidR="000A2D2A" w:rsidRPr="00E32792">
        <w:rPr>
          <w:rFonts w:ascii="Times New Roman" w:hAnsi="Times New Roman" w:cs="Times New Roman"/>
          <w:sz w:val="24"/>
          <w:szCs w:val="24"/>
        </w:rPr>
        <w:t xml:space="preserve">the degree of the skills mismatch, which in turn </w:t>
      </w:r>
      <w:r w:rsidR="003F6B88" w:rsidRPr="00E32792">
        <w:rPr>
          <w:rFonts w:ascii="Times New Roman" w:hAnsi="Times New Roman" w:cs="Times New Roman"/>
          <w:sz w:val="24"/>
          <w:szCs w:val="24"/>
        </w:rPr>
        <w:t xml:space="preserve">may </w:t>
      </w:r>
      <w:r w:rsidR="000A2D2A" w:rsidRPr="00E32792">
        <w:rPr>
          <w:rFonts w:ascii="Times New Roman" w:hAnsi="Times New Roman" w:cs="Times New Roman"/>
          <w:sz w:val="24"/>
          <w:szCs w:val="24"/>
        </w:rPr>
        <w:t>limit the contribution of more educated employees to enhancing productivity and competitiveness</w:t>
      </w:r>
      <w:r w:rsidRPr="00E32792">
        <w:rPr>
          <w:rFonts w:ascii="Times New Roman" w:hAnsi="Times New Roman" w:cs="Times New Roman"/>
          <w:sz w:val="24"/>
          <w:szCs w:val="24"/>
        </w:rPr>
        <w:t xml:space="preserve">. </w:t>
      </w:r>
      <w:r w:rsidR="000A2D2A" w:rsidRPr="00E32792">
        <w:rPr>
          <w:rFonts w:ascii="Times New Roman" w:hAnsi="Times New Roman" w:cs="Times New Roman"/>
          <w:sz w:val="24"/>
          <w:szCs w:val="24"/>
        </w:rPr>
        <w:t xml:space="preserve">In the absence of a better proxy </w:t>
      </w:r>
      <w:r w:rsidR="00D9518A" w:rsidRPr="00E32792">
        <w:rPr>
          <w:rFonts w:ascii="Times New Roman" w:hAnsi="Times New Roman" w:cs="Times New Roman"/>
          <w:sz w:val="24"/>
          <w:szCs w:val="24"/>
        </w:rPr>
        <w:t xml:space="preserve">for </w:t>
      </w:r>
      <w:r w:rsidR="000A2D2A" w:rsidRPr="00E32792">
        <w:rPr>
          <w:rFonts w:ascii="Times New Roman" w:hAnsi="Times New Roman" w:cs="Times New Roman"/>
          <w:sz w:val="24"/>
          <w:szCs w:val="24"/>
        </w:rPr>
        <w:t>skills mismatch (e.g.</w:t>
      </w:r>
      <w:r w:rsidR="003F6B88" w:rsidRPr="00E32792">
        <w:rPr>
          <w:rFonts w:ascii="Times New Roman" w:hAnsi="Times New Roman" w:cs="Times New Roman"/>
          <w:sz w:val="24"/>
          <w:szCs w:val="24"/>
        </w:rPr>
        <w:t xml:space="preserve"> employees’</w:t>
      </w:r>
      <w:r w:rsidR="00D51645" w:rsidRPr="00E32792">
        <w:rPr>
          <w:rFonts w:ascii="Times New Roman" w:hAnsi="Times New Roman" w:cs="Times New Roman"/>
          <w:sz w:val="24"/>
          <w:szCs w:val="24"/>
        </w:rPr>
        <w:t xml:space="preserve"> responses on whether their skills and qualification match their job requirements</w:t>
      </w:r>
      <w:r w:rsidR="000A2D2A" w:rsidRPr="00E32792">
        <w:rPr>
          <w:rFonts w:ascii="Times New Roman" w:hAnsi="Times New Roman" w:cs="Times New Roman"/>
          <w:sz w:val="24"/>
          <w:szCs w:val="24"/>
        </w:rPr>
        <w:t>)</w:t>
      </w:r>
      <w:r w:rsidRPr="00E32792">
        <w:rPr>
          <w:rFonts w:ascii="Times New Roman" w:hAnsi="Times New Roman" w:cs="Times New Roman"/>
          <w:sz w:val="24"/>
          <w:szCs w:val="24"/>
        </w:rPr>
        <w:t xml:space="preserve"> </w:t>
      </w:r>
      <w:r w:rsidR="004E47A0" w:rsidRPr="00E32792">
        <w:rPr>
          <w:rFonts w:ascii="Times New Roman" w:hAnsi="Times New Roman" w:cs="Times New Roman"/>
          <w:sz w:val="24"/>
          <w:szCs w:val="24"/>
        </w:rPr>
        <w:t>the long-term unemployment rate is employed as</w:t>
      </w:r>
      <w:r w:rsidRPr="00E32792">
        <w:rPr>
          <w:rFonts w:ascii="Times New Roman" w:hAnsi="Times New Roman" w:cs="Times New Roman"/>
          <w:sz w:val="24"/>
          <w:szCs w:val="24"/>
        </w:rPr>
        <w:t xml:space="preserve"> a broader mismatch proxy.</w:t>
      </w:r>
    </w:p>
    <w:p w:rsidR="009D2E98" w:rsidRPr="001E2721" w:rsidRDefault="00165215" w:rsidP="00690EB0">
      <w:pPr>
        <w:spacing w:line="360" w:lineRule="auto"/>
        <w:jc w:val="both"/>
        <w:rPr>
          <w:rFonts w:ascii="Times New Roman" w:hAnsi="Times New Roman" w:cs="Times New Roman"/>
          <w:sz w:val="24"/>
          <w:szCs w:val="24"/>
        </w:rPr>
      </w:pPr>
      <w:r w:rsidRPr="001E2721">
        <w:rPr>
          <w:rFonts w:ascii="Times New Roman" w:hAnsi="Times New Roman" w:cs="Times New Roman"/>
          <w:sz w:val="24"/>
          <w:szCs w:val="24"/>
        </w:rPr>
        <w:t xml:space="preserve">A related dimension, of special interest to this </w:t>
      </w:r>
      <w:r w:rsidR="002E4AE8" w:rsidRPr="001E2721">
        <w:rPr>
          <w:rFonts w:ascii="Times New Roman" w:hAnsi="Times New Roman" w:cs="Times New Roman"/>
          <w:sz w:val="24"/>
          <w:szCs w:val="24"/>
        </w:rPr>
        <w:t>analysis</w:t>
      </w:r>
      <w:r w:rsidRPr="001E2721">
        <w:rPr>
          <w:rFonts w:ascii="Times New Roman" w:hAnsi="Times New Roman" w:cs="Times New Roman"/>
          <w:sz w:val="24"/>
          <w:szCs w:val="24"/>
        </w:rPr>
        <w:t xml:space="preserve"> is the </w:t>
      </w:r>
      <w:r w:rsidR="002E4AE8" w:rsidRPr="001E2721">
        <w:rPr>
          <w:rFonts w:ascii="Times New Roman" w:hAnsi="Times New Roman" w:cs="Times New Roman"/>
          <w:sz w:val="24"/>
          <w:szCs w:val="24"/>
        </w:rPr>
        <w:t xml:space="preserve">degree of </w:t>
      </w:r>
      <w:r w:rsidRPr="001E2721">
        <w:rPr>
          <w:rFonts w:ascii="Times New Roman" w:hAnsi="Times New Roman" w:cs="Times New Roman"/>
          <w:sz w:val="24"/>
          <w:szCs w:val="24"/>
        </w:rPr>
        <w:t xml:space="preserve">innovation. </w:t>
      </w:r>
      <w:r w:rsidR="002E4AE8" w:rsidRPr="001E2721">
        <w:rPr>
          <w:rFonts w:ascii="Times New Roman" w:hAnsi="Times New Roman" w:cs="Times New Roman"/>
          <w:sz w:val="24"/>
          <w:szCs w:val="24"/>
        </w:rPr>
        <w:t>The extent of i</w:t>
      </w:r>
      <w:r w:rsidR="00E9515D" w:rsidRPr="001E2721">
        <w:rPr>
          <w:rFonts w:ascii="Times New Roman" w:hAnsi="Times New Roman" w:cs="Times New Roman"/>
          <w:sz w:val="24"/>
          <w:szCs w:val="24"/>
        </w:rPr>
        <w:t xml:space="preserve">nnovation and technology diffusion are among the major underlying forces </w:t>
      </w:r>
      <w:r w:rsidR="002E4AE8" w:rsidRPr="001E2721">
        <w:rPr>
          <w:rFonts w:ascii="Times New Roman" w:hAnsi="Times New Roman" w:cs="Times New Roman"/>
          <w:sz w:val="24"/>
          <w:szCs w:val="24"/>
        </w:rPr>
        <w:t>determining</w:t>
      </w:r>
      <w:r w:rsidR="00E9515D" w:rsidRPr="001E2721">
        <w:rPr>
          <w:rFonts w:ascii="Times New Roman" w:hAnsi="Times New Roman" w:cs="Times New Roman"/>
          <w:sz w:val="24"/>
          <w:szCs w:val="24"/>
        </w:rPr>
        <w:t xml:space="preserve"> international competitiveness </w:t>
      </w:r>
      <w:r w:rsidR="00E9515D" w:rsidRPr="001E2721">
        <w:rPr>
          <w:rFonts w:ascii="Times New Roman" w:hAnsi="Times New Roman" w:cs="Times New Roman"/>
          <w:color w:val="000000"/>
          <w:sz w:val="24"/>
          <w:szCs w:val="24"/>
        </w:rPr>
        <w:t xml:space="preserve">(Roper and Love, 2002, European Commission, 2008). </w:t>
      </w:r>
      <w:r w:rsidR="00F136A7" w:rsidRPr="001E2721">
        <w:rPr>
          <w:rFonts w:ascii="Times New Roman" w:hAnsi="Times New Roman" w:cs="Times New Roman"/>
          <w:sz w:val="24"/>
          <w:szCs w:val="24"/>
        </w:rPr>
        <w:t>N</w:t>
      </w:r>
      <w:r w:rsidR="00E9515D" w:rsidRPr="001E2721">
        <w:rPr>
          <w:rFonts w:ascii="Times New Roman" w:hAnsi="Times New Roman" w:cs="Times New Roman"/>
          <w:sz w:val="24"/>
          <w:szCs w:val="24"/>
        </w:rPr>
        <w:t>umerous empirical studies have found positive correlation between innovation activities and export share, though the causation direction has not been clearly established (</w:t>
      </w:r>
      <w:r w:rsidR="00E9515D" w:rsidRPr="001E2721">
        <w:rPr>
          <w:rFonts w:ascii="Times New Roman" w:hAnsi="Times New Roman" w:cs="Times New Roman"/>
          <w:color w:val="000000"/>
          <w:sz w:val="24"/>
          <w:szCs w:val="24"/>
        </w:rPr>
        <w:t>Damijan et al., 2008, Cassiman et al., 2010)</w:t>
      </w:r>
      <w:r w:rsidR="00E9515D" w:rsidRPr="001E2721">
        <w:rPr>
          <w:rFonts w:ascii="Times New Roman" w:hAnsi="Times New Roman" w:cs="Times New Roman"/>
          <w:sz w:val="24"/>
          <w:szCs w:val="24"/>
        </w:rPr>
        <w:t xml:space="preserve">. </w:t>
      </w:r>
      <w:r w:rsidR="008E1623" w:rsidRPr="001E2721">
        <w:rPr>
          <w:rFonts w:ascii="Times New Roman" w:hAnsi="Times New Roman" w:cs="Times New Roman"/>
          <w:sz w:val="24"/>
          <w:szCs w:val="24"/>
        </w:rPr>
        <w:t>In this investigation data on patent applications provided by World Bank’s World Development Indicators (WDI) database</w:t>
      </w:r>
      <w:r w:rsidR="003F6B88" w:rsidRPr="001E2721">
        <w:rPr>
          <w:rFonts w:ascii="Times New Roman" w:hAnsi="Times New Roman" w:cs="Times New Roman"/>
          <w:sz w:val="24"/>
          <w:szCs w:val="24"/>
        </w:rPr>
        <w:t xml:space="preserve"> is </w:t>
      </w:r>
      <w:r w:rsidR="009F3D22" w:rsidRPr="001E2721">
        <w:rPr>
          <w:rFonts w:ascii="Times New Roman" w:hAnsi="Times New Roman" w:cs="Times New Roman"/>
          <w:sz w:val="24"/>
          <w:szCs w:val="24"/>
        </w:rPr>
        <w:t>utilized</w:t>
      </w:r>
      <w:r w:rsidR="00BF5FFB" w:rsidRPr="001E2721">
        <w:rPr>
          <w:rFonts w:ascii="Times New Roman" w:hAnsi="Times New Roman" w:cs="Times New Roman"/>
          <w:sz w:val="24"/>
          <w:szCs w:val="24"/>
        </w:rPr>
        <w:t>.</w:t>
      </w:r>
      <w:r w:rsidR="008E1623" w:rsidRPr="001E2721">
        <w:rPr>
          <w:rStyle w:val="FootnoteReference"/>
          <w:rFonts w:ascii="Times New Roman" w:hAnsi="Times New Roman" w:cs="Times New Roman"/>
          <w:sz w:val="24"/>
          <w:szCs w:val="24"/>
        </w:rPr>
        <w:footnoteReference w:id="14"/>
      </w:r>
    </w:p>
    <w:p w:rsidR="00BA7F74" w:rsidRPr="00E32792" w:rsidRDefault="00BE0AC2" w:rsidP="00690EB0">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 xml:space="preserve">The choice of control variables is derived from the theoretical framework and literature review presented above. </w:t>
      </w:r>
      <w:r w:rsidR="00F136A7" w:rsidRPr="00E32792">
        <w:rPr>
          <w:rFonts w:ascii="Times New Roman" w:hAnsi="Times New Roman" w:cs="Times New Roman"/>
          <w:sz w:val="24"/>
          <w:szCs w:val="24"/>
        </w:rPr>
        <w:t xml:space="preserve">Transnational </w:t>
      </w:r>
      <w:r w:rsidR="00E9515D" w:rsidRPr="00E32792">
        <w:rPr>
          <w:rFonts w:ascii="Times New Roman" w:hAnsi="Times New Roman" w:cs="Times New Roman"/>
          <w:sz w:val="24"/>
          <w:szCs w:val="24"/>
        </w:rPr>
        <w:t xml:space="preserve">corporations play an important role in promoting the export </w:t>
      </w:r>
      <w:r w:rsidR="008634FA" w:rsidRPr="00E32792">
        <w:rPr>
          <w:rFonts w:ascii="Times New Roman" w:hAnsi="Times New Roman" w:cs="Times New Roman"/>
          <w:sz w:val="24"/>
          <w:szCs w:val="24"/>
        </w:rPr>
        <w:t xml:space="preserve">market </w:t>
      </w:r>
      <w:r w:rsidR="00E9515D" w:rsidRPr="00E32792">
        <w:rPr>
          <w:rFonts w:ascii="Times New Roman" w:hAnsi="Times New Roman" w:cs="Times New Roman"/>
          <w:sz w:val="24"/>
          <w:szCs w:val="24"/>
        </w:rPr>
        <w:t>share of host countries</w:t>
      </w:r>
      <w:r w:rsidR="00E9515D" w:rsidRPr="001E2721">
        <w:rPr>
          <w:rFonts w:ascii="Times New Roman" w:hAnsi="Times New Roman" w:cs="Times New Roman"/>
          <w:sz w:val="24"/>
          <w:szCs w:val="24"/>
        </w:rPr>
        <w:t xml:space="preserve"> by providing extra capital, technology and managerial practices, better access to their home markets as well as to other new international markets</w:t>
      </w:r>
      <w:r w:rsidR="00F136A7" w:rsidRPr="001E2721">
        <w:rPr>
          <w:rFonts w:ascii="Times New Roman" w:hAnsi="Times New Roman" w:cs="Times New Roman"/>
          <w:sz w:val="24"/>
          <w:szCs w:val="24"/>
        </w:rPr>
        <w:t xml:space="preserve"> (UNCTAD, 2002)</w:t>
      </w:r>
      <w:r w:rsidR="00E9515D" w:rsidRPr="001E2721">
        <w:rPr>
          <w:rFonts w:ascii="Times New Roman" w:hAnsi="Times New Roman" w:cs="Times New Roman"/>
          <w:sz w:val="24"/>
          <w:szCs w:val="24"/>
        </w:rPr>
        <w:t xml:space="preserve">. </w:t>
      </w:r>
      <w:r w:rsidR="00F136A7" w:rsidRPr="001E2721">
        <w:rPr>
          <w:rFonts w:ascii="Times New Roman" w:hAnsi="Times New Roman" w:cs="Times New Roman"/>
          <w:sz w:val="24"/>
          <w:szCs w:val="24"/>
        </w:rPr>
        <w:t>Accordingly,</w:t>
      </w:r>
      <w:r w:rsidR="008F342A" w:rsidRPr="001E2721">
        <w:rPr>
          <w:rFonts w:ascii="Times New Roman" w:hAnsi="Times New Roman" w:cs="Times New Roman"/>
          <w:sz w:val="24"/>
          <w:szCs w:val="24"/>
        </w:rPr>
        <w:t xml:space="preserve"> </w:t>
      </w:r>
      <w:r w:rsidR="00F136A7" w:rsidRPr="001E2721">
        <w:rPr>
          <w:rFonts w:ascii="Times New Roman" w:hAnsi="Times New Roman" w:cs="Times New Roman"/>
          <w:sz w:val="24"/>
          <w:szCs w:val="24"/>
        </w:rPr>
        <w:t>numerous</w:t>
      </w:r>
      <w:r w:rsidR="00E9515D" w:rsidRPr="001E2721">
        <w:rPr>
          <w:rFonts w:ascii="Times New Roman" w:hAnsi="Times New Roman" w:cs="Times New Roman"/>
          <w:sz w:val="24"/>
          <w:szCs w:val="24"/>
        </w:rPr>
        <w:t xml:space="preserve"> studies have found supporting evidence for the positive and significant impact of inward FDI on the export performance of countries (for example: Wang et </w:t>
      </w:r>
      <w:r w:rsidR="00E9515D" w:rsidRPr="00E32792">
        <w:rPr>
          <w:rFonts w:ascii="Times New Roman" w:hAnsi="Times New Roman" w:cs="Times New Roman"/>
          <w:sz w:val="24"/>
          <w:szCs w:val="24"/>
        </w:rPr>
        <w:t xml:space="preserve">al., 2007, Kutan and Vukšic, 2007). </w:t>
      </w:r>
      <w:r w:rsidR="00771C3B" w:rsidRPr="00E32792">
        <w:rPr>
          <w:rFonts w:ascii="Times New Roman" w:hAnsi="Times New Roman" w:cs="Times New Roman"/>
          <w:sz w:val="24"/>
          <w:szCs w:val="24"/>
        </w:rPr>
        <w:t>This dimension</w:t>
      </w:r>
      <w:r w:rsidR="00E9515D" w:rsidRPr="00E32792">
        <w:rPr>
          <w:rFonts w:ascii="Times New Roman" w:hAnsi="Times New Roman" w:cs="Times New Roman"/>
          <w:sz w:val="24"/>
          <w:szCs w:val="24"/>
        </w:rPr>
        <w:t xml:space="preserve"> is represented by the </w:t>
      </w:r>
      <w:r w:rsidR="00D9518A" w:rsidRPr="00E32792">
        <w:rPr>
          <w:rFonts w:ascii="Times New Roman" w:hAnsi="Times New Roman" w:cs="Times New Roman"/>
          <w:sz w:val="24"/>
          <w:szCs w:val="24"/>
        </w:rPr>
        <w:t xml:space="preserve">percentage </w:t>
      </w:r>
      <w:r w:rsidR="00A36532" w:rsidRPr="00E32792">
        <w:rPr>
          <w:rFonts w:ascii="Times New Roman" w:hAnsi="Times New Roman" w:cs="Times New Roman"/>
          <w:sz w:val="24"/>
          <w:szCs w:val="24"/>
        </w:rPr>
        <w:t xml:space="preserve">share of </w:t>
      </w:r>
      <w:r w:rsidR="00E9515D" w:rsidRPr="00E32792">
        <w:rPr>
          <w:rFonts w:ascii="Times New Roman" w:hAnsi="Times New Roman" w:cs="Times New Roman"/>
          <w:sz w:val="24"/>
          <w:szCs w:val="24"/>
        </w:rPr>
        <w:t xml:space="preserve">inward </w:t>
      </w:r>
      <w:r w:rsidR="00C83BEF" w:rsidRPr="00E32792">
        <w:rPr>
          <w:rFonts w:ascii="Times New Roman" w:hAnsi="Times New Roman" w:cs="Times New Roman"/>
          <w:sz w:val="24"/>
          <w:szCs w:val="24"/>
        </w:rPr>
        <w:t>FDI</w:t>
      </w:r>
      <w:r w:rsidR="00E9515D" w:rsidRPr="00E32792">
        <w:rPr>
          <w:rFonts w:ascii="Times New Roman" w:hAnsi="Times New Roman" w:cs="Times New Roman"/>
          <w:sz w:val="24"/>
          <w:szCs w:val="24"/>
        </w:rPr>
        <w:t xml:space="preserve"> stock </w:t>
      </w:r>
      <w:r w:rsidR="00A36532" w:rsidRPr="00E32792">
        <w:rPr>
          <w:rFonts w:ascii="Times New Roman" w:hAnsi="Times New Roman" w:cs="Times New Roman"/>
          <w:sz w:val="24"/>
          <w:szCs w:val="24"/>
        </w:rPr>
        <w:t xml:space="preserve">in </w:t>
      </w:r>
      <w:r w:rsidR="00E9515D" w:rsidRPr="00E32792">
        <w:rPr>
          <w:rFonts w:ascii="Times New Roman" w:hAnsi="Times New Roman" w:cs="Times New Roman"/>
          <w:sz w:val="24"/>
          <w:szCs w:val="24"/>
        </w:rPr>
        <w:t>GDP</w:t>
      </w:r>
      <w:r w:rsidR="003D0DFB" w:rsidRPr="00E32792">
        <w:rPr>
          <w:rFonts w:ascii="Times New Roman" w:hAnsi="Times New Roman" w:cs="Times New Roman"/>
          <w:sz w:val="24"/>
          <w:szCs w:val="24"/>
        </w:rPr>
        <w:t xml:space="preserve">. </w:t>
      </w:r>
    </w:p>
    <w:p w:rsidR="00017ABC" w:rsidRPr="001E2721" w:rsidRDefault="00E9515D" w:rsidP="000C6BAE">
      <w:pPr>
        <w:spacing w:line="360" w:lineRule="auto"/>
        <w:jc w:val="both"/>
        <w:rPr>
          <w:rFonts w:ascii="TimesNewRoman" w:hAnsi="TimesNewRoman" w:cs="TimesNewRoman"/>
          <w:sz w:val="24"/>
          <w:szCs w:val="24"/>
        </w:rPr>
      </w:pPr>
      <w:r w:rsidRPr="00E32792">
        <w:rPr>
          <w:rFonts w:ascii="Times New Roman" w:hAnsi="Times New Roman" w:cs="Times New Roman"/>
          <w:sz w:val="24"/>
          <w:szCs w:val="24"/>
        </w:rPr>
        <w:t>The level of real GDP per capita is introduced to capture the development</w:t>
      </w:r>
      <w:r w:rsidR="008338B3" w:rsidRPr="00E32792">
        <w:rPr>
          <w:rFonts w:ascii="Times New Roman" w:hAnsi="Times New Roman" w:cs="Times New Roman"/>
          <w:sz w:val="24"/>
          <w:szCs w:val="24"/>
        </w:rPr>
        <w:t xml:space="preserve"> level</w:t>
      </w:r>
      <w:r w:rsidRPr="00E32792">
        <w:rPr>
          <w:rFonts w:ascii="Times New Roman" w:hAnsi="Times New Roman" w:cs="Times New Roman"/>
          <w:sz w:val="24"/>
          <w:szCs w:val="24"/>
        </w:rPr>
        <w:t xml:space="preserve"> of countries</w:t>
      </w:r>
      <w:r w:rsidR="00017ABC" w:rsidRPr="00E32792">
        <w:rPr>
          <w:rFonts w:ascii="Times New Roman" w:hAnsi="Times New Roman" w:cs="Times New Roman"/>
          <w:sz w:val="24"/>
          <w:szCs w:val="24"/>
        </w:rPr>
        <w:t>.</w:t>
      </w:r>
      <w:r w:rsidR="00E91B0C" w:rsidRPr="00E32792">
        <w:rPr>
          <w:rFonts w:ascii="Times New Roman" w:hAnsi="Times New Roman" w:cs="Times New Roman"/>
          <w:sz w:val="24"/>
          <w:szCs w:val="24"/>
        </w:rPr>
        <w:t xml:space="preserve"> Richer countries </w:t>
      </w:r>
      <w:r w:rsidR="003F6B88" w:rsidRPr="00E32792">
        <w:rPr>
          <w:rFonts w:ascii="Times New Roman" w:hAnsi="Times New Roman" w:cs="Times New Roman"/>
          <w:sz w:val="24"/>
          <w:szCs w:val="24"/>
        </w:rPr>
        <w:t xml:space="preserve">typically </w:t>
      </w:r>
      <w:r w:rsidR="009D2E98" w:rsidRPr="00E32792">
        <w:rPr>
          <w:rFonts w:ascii="Times New Roman" w:hAnsi="Times New Roman" w:cs="Times New Roman"/>
          <w:sz w:val="24"/>
          <w:szCs w:val="24"/>
        </w:rPr>
        <w:t>have</w:t>
      </w:r>
      <w:r w:rsidR="00E91B0C" w:rsidRPr="00E32792">
        <w:rPr>
          <w:rFonts w:ascii="Times New Roman" w:hAnsi="Times New Roman" w:cs="Times New Roman"/>
          <w:sz w:val="24"/>
          <w:szCs w:val="24"/>
        </w:rPr>
        <w:t xml:space="preserve"> </w:t>
      </w:r>
      <w:r w:rsidR="000E57C2" w:rsidRPr="00E32792">
        <w:rPr>
          <w:rFonts w:ascii="Times New Roman" w:hAnsi="Times New Roman" w:cs="Times New Roman"/>
          <w:sz w:val="24"/>
          <w:szCs w:val="24"/>
        </w:rPr>
        <w:t>high-</w:t>
      </w:r>
      <w:r w:rsidR="00E91B0C" w:rsidRPr="00E32792">
        <w:rPr>
          <w:rFonts w:ascii="Times New Roman" w:hAnsi="Times New Roman" w:cs="Times New Roman"/>
          <w:sz w:val="24"/>
          <w:szCs w:val="24"/>
        </w:rPr>
        <w:t xml:space="preserve">quality institutions and </w:t>
      </w:r>
      <w:r w:rsidR="000E57C2" w:rsidRPr="00E32792">
        <w:rPr>
          <w:rFonts w:ascii="Times New Roman" w:hAnsi="Times New Roman" w:cs="Times New Roman"/>
          <w:sz w:val="24"/>
          <w:szCs w:val="24"/>
        </w:rPr>
        <w:t xml:space="preserve">a supportive </w:t>
      </w:r>
      <w:r w:rsidR="00E91B0C" w:rsidRPr="00E32792">
        <w:rPr>
          <w:rFonts w:ascii="Times New Roman" w:hAnsi="Times New Roman" w:cs="Times New Roman"/>
          <w:sz w:val="24"/>
          <w:szCs w:val="24"/>
        </w:rPr>
        <w:t xml:space="preserve">business environment which </w:t>
      </w:r>
      <w:r w:rsidR="003755E2" w:rsidRPr="00E32792">
        <w:rPr>
          <w:rFonts w:ascii="Times New Roman" w:hAnsi="Times New Roman" w:cs="Times New Roman"/>
          <w:sz w:val="24"/>
          <w:szCs w:val="24"/>
        </w:rPr>
        <w:t>lea</w:t>
      </w:r>
      <w:r w:rsidR="003E6558" w:rsidRPr="00E32792">
        <w:rPr>
          <w:rFonts w:ascii="Times New Roman" w:hAnsi="Times New Roman" w:cs="Times New Roman"/>
          <w:sz w:val="24"/>
          <w:szCs w:val="24"/>
        </w:rPr>
        <w:t>ds</w:t>
      </w:r>
      <w:r w:rsidR="003755E2" w:rsidRPr="00E32792">
        <w:rPr>
          <w:rFonts w:ascii="Times New Roman" w:hAnsi="Times New Roman" w:cs="Times New Roman"/>
          <w:sz w:val="24"/>
          <w:szCs w:val="24"/>
        </w:rPr>
        <w:t xml:space="preserve"> to</w:t>
      </w:r>
      <w:r w:rsidR="00E91B0C" w:rsidRPr="00E32792">
        <w:rPr>
          <w:rFonts w:ascii="Times New Roman" w:hAnsi="Times New Roman" w:cs="Times New Roman"/>
          <w:sz w:val="24"/>
          <w:szCs w:val="24"/>
        </w:rPr>
        <w:t xml:space="preserve"> increase</w:t>
      </w:r>
      <w:r w:rsidR="003755E2" w:rsidRPr="00E32792">
        <w:rPr>
          <w:rFonts w:ascii="Times New Roman" w:hAnsi="Times New Roman" w:cs="Times New Roman"/>
          <w:sz w:val="24"/>
          <w:szCs w:val="24"/>
        </w:rPr>
        <w:t>d</w:t>
      </w:r>
      <w:r w:rsidR="00E91B0C" w:rsidRPr="00E32792">
        <w:rPr>
          <w:rFonts w:ascii="Times New Roman" w:hAnsi="Times New Roman" w:cs="Times New Roman"/>
          <w:sz w:val="24"/>
          <w:szCs w:val="24"/>
        </w:rPr>
        <w:t xml:space="preserve"> productivity</w:t>
      </w:r>
      <w:r w:rsidR="00BF2578" w:rsidRPr="00E32792">
        <w:rPr>
          <w:rFonts w:ascii="Times New Roman" w:hAnsi="Times New Roman" w:cs="Times New Roman"/>
          <w:sz w:val="24"/>
          <w:szCs w:val="24"/>
        </w:rPr>
        <w:t xml:space="preserve"> </w:t>
      </w:r>
      <w:r w:rsidR="002100DC" w:rsidRPr="00E32792">
        <w:rPr>
          <w:rFonts w:ascii="Times New Roman" w:hAnsi="Times New Roman" w:cs="Times New Roman"/>
          <w:sz w:val="24"/>
          <w:szCs w:val="24"/>
        </w:rPr>
        <w:t>and greater</w:t>
      </w:r>
      <w:r w:rsidR="00E91B0C" w:rsidRPr="00E32792">
        <w:rPr>
          <w:rFonts w:ascii="Times New Roman" w:hAnsi="Times New Roman" w:cs="Times New Roman"/>
          <w:sz w:val="24"/>
          <w:szCs w:val="24"/>
        </w:rPr>
        <w:t xml:space="preserve"> international competitiveness.</w:t>
      </w:r>
      <w:r w:rsidR="00081878" w:rsidRPr="00E32792">
        <w:rPr>
          <w:rFonts w:ascii="Times New Roman" w:hAnsi="Times New Roman" w:cs="Times New Roman"/>
          <w:sz w:val="24"/>
          <w:szCs w:val="24"/>
        </w:rPr>
        <w:t xml:space="preserve"> </w:t>
      </w:r>
      <w:r w:rsidR="00623447" w:rsidRPr="00E32792">
        <w:rPr>
          <w:rFonts w:ascii="Times New Roman" w:hAnsi="Times New Roman" w:cs="Times New Roman"/>
          <w:sz w:val="24"/>
          <w:szCs w:val="24"/>
        </w:rPr>
        <w:t>The new trade theory highlights the importance of the market size</w:t>
      </w:r>
      <w:r w:rsidR="009C2A7E" w:rsidRPr="00E32792">
        <w:rPr>
          <w:rFonts w:ascii="Times New Roman" w:hAnsi="Times New Roman" w:cs="Times New Roman"/>
          <w:sz w:val="24"/>
          <w:szCs w:val="24"/>
        </w:rPr>
        <w:t>.</w:t>
      </w:r>
      <w:r w:rsidR="00623447" w:rsidRPr="00E32792">
        <w:rPr>
          <w:rFonts w:ascii="Times New Roman" w:hAnsi="Times New Roman" w:cs="Times New Roman"/>
          <w:sz w:val="24"/>
          <w:szCs w:val="24"/>
        </w:rPr>
        <w:t xml:space="preserve"> </w:t>
      </w:r>
      <w:r w:rsidR="00690EB0" w:rsidRPr="00E32792">
        <w:rPr>
          <w:rFonts w:ascii="Times New Roman" w:hAnsi="Times New Roman" w:cs="Times New Roman"/>
          <w:sz w:val="24"/>
          <w:szCs w:val="24"/>
        </w:rPr>
        <w:t xml:space="preserve">By exploiting economies of </w:t>
      </w:r>
      <w:r w:rsidR="00020A4A" w:rsidRPr="00E32792">
        <w:rPr>
          <w:rFonts w:ascii="Times New Roman" w:hAnsi="Times New Roman" w:cs="Times New Roman"/>
          <w:sz w:val="24"/>
          <w:szCs w:val="24"/>
        </w:rPr>
        <w:t>scale, larger countries</w:t>
      </w:r>
      <w:r w:rsidR="009C2A7E" w:rsidRPr="00E32792">
        <w:rPr>
          <w:rFonts w:ascii="Times New Roman" w:hAnsi="Times New Roman" w:cs="Times New Roman"/>
          <w:sz w:val="24"/>
          <w:szCs w:val="24"/>
        </w:rPr>
        <w:t xml:space="preserve"> are able to produce </w:t>
      </w:r>
      <w:r w:rsidR="00C932BD" w:rsidRPr="00E32792">
        <w:rPr>
          <w:rFonts w:ascii="Times New Roman" w:hAnsi="Times New Roman" w:cs="Times New Roman"/>
          <w:sz w:val="24"/>
          <w:szCs w:val="24"/>
        </w:rPr>
        <w:t xml:space="preserve">greater </w:t>
      </w:r>
      <w:r w:rsidR="000E57C2" w:rsidRPr="00E32792">
        <w:rPr>
          <w:rFonts w:ascii="Times New Roman" w:hAnsi="Times New Roman" w:cs="Times New Roman"/>
          <w:sz w:val="24"/>
          <w:szCs w:val="24"/>
        </w:rPr>
        <w:t>output</w:t>
      </w:r>
      <w:r w:rsidR="00C932BD" w:rsidRPr="00E32792">
        <w:rPr>
          <w:rFonts w:ascii="Times New Roman" w:hAnsi="Times New Roman" w:cs="Times New Roman"/>
          <w:sz w:val="24"/>
          <w:szCs w:val="24"/>
        </w:rPr>
        <w:t xml:space="preserve"> and a </w:t>
      </w:r>
      <w:r w:rsidR="009C2A7E" w:rsidRPr="00E32792">
        <w:rPr>
          <w:rFonts w:ascii="Times New Roman" w:hAnsi="Times New Roman" w:cs="Times New Roman"/>
          <w:sz w:val="24"/>
          <w:szCs w:val="24"/>
        </w:rPr>
        <w:t xml:space="preserve">wider range of products which </w:t>
      </w:r>
      <w:r w:rsidR="00471DEA" w:rsidRPr="00E32792">
        <w:rPr>
          <w:rFonts w:ascii="Times New Roman" w:hAnsi="Times New Roman" w:cs="Times New Roman"/>
          <w:sz w:val="24"/>
          <w:szCs w:val="24"/>
        </w:rPr>
        <w:t>in turn</w:t>
      </w:r>
      <w:r w:rsidR="00690EB0" w:rsidRPr="00E32792">
        <w:rPr>
          <w:rFonts w:ascii="Times New Roman" w:hAnsi="Times New Roman" w:cs="Times New Roman"/>
          <w:sz w:val="24"/>
          <w:szCs w:val="24"/>
        </w:rPr>
        <w:t xml:space="preserve"> </w:t>
      </w:r>
      <w:r w:rsidR="00C932BD" w:rsidRPr="00E32792">
        <w:rPr>
          <w:rFonts w:ascii="Times New Roman" w:hAnsi="Times New Roman" w:cs="Times New Roman"/>
          <w:sz w:val="24"/>
          <w:szCs w:val="24"/>
        </w:rPr>
        <w:t>influence</w:t>
      </w:r>
      <w:r w:rsidR="00B4781F" w:rsidRPr="00E32792">
        <w:rPr>
          <w:rFonts w:ascii="Times New Roman" w:hAnsi="Times New Roman" w:cs="Times New Roman"/>
          <w:sz w:val="24"/>
          <w:szCs w:val="24"/>
        </w:rPr>
        <w:t xml:space="preserve"> </w:t>
      </w:r>
      <w:r w:rsidR="00172440" w:rsidRPr="00E32792">
        <w:rPr>
          <w:rFonts w:ascii="Times New Roman" w:hAnsi="Times New Roman" w:cs="Times New Roman"/>
          <w:sz w:val="24"/>
          <w:szCs w:val="24"/>
        </w:rPr>
        <w:t>exports</w:t>
      </w:r>
      <w:r w:rsidR="00C932BD" w:rsidRPr="00E32792">
        <w:rPr>
          <w:rFonts w:ascii="Times New Roman" w:hAnsi="Times New Roman" w:cs="Times New Roman"/>
          <w:sz w:val="24"/>
          <w:szCs w:val="24"/>
        </w:rPr>
        <w:t xml:space="preserve"> (Krugman, 197</w:t>
      </w:r>
      <w:r w:rsidR="005D63CD" w:rsidRPr="00E32792">
        <w:rPr>
          <w:rFonts w:ascii="Times New Roman" w:hAnsi="Times New Roman" w:cs="Times New Roman"/>
          <w:sz w:val="24"/>
          <w:szCs w:val="24"/>
        </w:rPr>
        <w:t>9</w:t>
      </w:r>
      <w:r w:rsidR="00305CDD" w:rsidRPr="00E32792">
        <w:rPr>
          <w:rFonts w:ascii="Times New Roman" w:hAnsi="Times New Roman" w:cs="Times New Roman"/>
          <w:sz w:val="24"/>
          <w:szCs w:val="24"/>
        </w:rPr>
        <w:t>, Helpman and Krugman, 1985</w:t>
      </w:r>
      <w:r w:rsidR="00C932BD" w:rsidRPr="00E32792">
        <w:rPr>
          <w:rFonts w:ascii="Times New Roman" w:hAnsi="Times New Roman" w:cs="Times New Roman"/>
          <w:sz w:val="24"/>
          <w:szCs w:val="24"/>
        </w:rPr>
        <w:t>)</w:t>
      </w:r>
      <w:r w:rsidR="00172440" w:rsidRPr="00E32792">
        <w:rPr>
          <w:rFonts w:ascii="Times New Roman" w:hAnsi="Times New Roman" w:cs="Times New Roman"/>
          <w:sz w:val="24"/>
          <w:szCs w:val="24"/>
        </w:rPr>
        <w:t xml:space="preserve">. </w:t>
      </w:r>
      <w:r w:rsidR="00CE18E2" w:rsidRPr="00E32792">
        <w:rPr>
          <w:rFonts w:ascii="TimesNewRoman" w:hAnsi="TimesNewRoman" w:cs="TimesNewRoman"/>
          <w:sz w:val="24"/>
          <w:szCs w:val="24"/>
        </w:rPr>
        <w:t>The size of the economy is measured by its population</w:t>
      </w:r>
      <w:r w:rsidR="00706555" w:rsidRPr="00E32792">
        <w:rPr>
          <w:rFonts w:ascii="TimesNewRoman" w:hAnsi="TimesNewRoman" w:cs="TimesNewRoman"/>
          <w:sz w:val="24"/>
          <w:szCs w:val="24"/>
        </w:rPr>
        <w:t xml:space="preserve"> size</w:t>
      </w:r>
      <w:r w:rsidR="00CE18E2" w:rsidRPr="00E32792">
        <w:rPr>
          <w:rFonts w:ascii="TimesNewRoman" w:hAnsi="TimesNewRoman" w:cs="TimesNewRoman"/>
          <w:sz w:val="24"/>
          <w:szCs w:val="24"/>
        </w:rPr>
        <w:t>.</w:t>
      </w:r>
      <w:r w:rsidR="00CE18E2" w:rsidRPr="001E2721">
        <w:rPr>
          <w:rFonts w:ascii="TimesNewRoman" w:hAnsi="TimesNewRoman" w:cs="TimesNewRoman"/>
          <w:sz w:val="24"/>
          <w:szCs w:val="24"/>
        </w:rPr>
        <w:t xml:space="preserve"> </w:t>
      </w:r>
    </w:p>
    <w:p w:rsidR="00CC7365" w:rsidRPr="001E2721" w:rsidRDefault="00E9515D" w:rsidP="000C6BAE">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 xml:space="preserve">In accordance with Ricardo’s theory of comparative advantage </w:t>
      </w:r>
      <w:r w:rsidR="00196B16" w:rsidRPr="00E32792">
        <w:rPr>
          <w:rFonts w:ascii="Times New Roman" w:hAnsi="Times New Roman" w:cs="Times New Roman"/>
          <w:sz w:val="24"/>
          <w:szCs w:val="24"/>
        </w:rPr>
        <w:t xml:space="preserve">and previous research (Carlin et al., 2001, Laursen and Meliciani, 2010), </w:t>
      </w:r>
      <w:r w:rsidRPr="00E32792">
        <w:rPr>
          <w:rFonts w:ascii="Times New Roman" w:hAnsi="Times New Roman" w:cs="Times New Roman"/>
          <w:sz w:val="24"/>
          <w:szCs w:val="24"/>
        </w:rPr>
        <w:t>production cost (</w:t>
      </w:r>
      <w:r w:rsidR="00BF2578" w:rsidRPr="00E32792">
        <w:rPr>
          <w:rFonts w:ascii="Times New Roman" w:hAnsi="Times New Roman" w:cs="Times New Roman"/>
          <w:sz w:val="24"/>
          <w:szCs w:val="24"/>
        </w:rPr>
        <w:t xml:space="preserve">in particular </w:t>
      </w:r>
      <w:r w:rsidR="009F3D22" w:rsidRPr="00E32792">
        <w:rPr>
          <w:rFonts w:ascii="Times New Roman" w:hAnsi="Times New Roman" w:cs="Times New Roman"/>
          <w:sz w:val="24"/>
          <w:szCs w:val="24"/>
        </w:rPr>
        <w:t>labor</w:t>
      </w:r>
      <w:r w:rsidRPr="00E32792">
        <w:rPr>
          <w:rFonts w:ascii="Times New Roman" w:hAnsi="Times New Roman" w:cs="Times New Roman"/>
          <w:sz w:val="24"/>
          <w:szCs w:val="24"/>
        </w:rPr>
        <w:t xml:space="preserve"> cost/unit </w:t>
      </w:r>
      <w:r w:rsidR="009F3D22" w:rsidRPr="00E32792">
        <w:rPr>
          <w:rFonts w:ascii="Times New Roman" w:hAnsi="Times New Roman" w:cs="Times New Roman"/>
          <w:sz w:val="24"/>
          <w:szCs w:val="24"/>
        </w:rPr>
        <w:t>labor</w:t>
      </w:r>
      <w:r w:rsidRPr="00E32792">
        <w:rPr>
          <w:rFonts w:ascii="Times New Roman" w:hAnsi="Times New Roman" w:cs="Times New Roman"/>
          <w:sz w:val="24"/>
          <w:szCs w:val="24"/>
        </w:rPr>
        <w:t xml:space="preserve"> cost) is another potential influential determinant of export</w:t>
      </w:r>
      <w:r w:rsidR="00430F9C" w:rsidRPr="00E32792">
        <w:rPr>
          <w:rFonts w:ascii="Times New Roman" w:hAnsi="Times New Roman" w:cs="Times New Roman"/>
          <w:sz w:val="24"/>
          <w:szCs w:val="24"/>
        </w:rPr>
        <w:t xml:space="preserve"> engagement</w:t>
      </w:r>
      <w:r w:rsidRPr="00E32792">
        <w:rPr>
          <w:rFonts w:ascii="Times New Roman" w:hAnsi="Times New Roman" w:cs="Times New Roman"/>
          <w:sz w:val="24"/>
          <w:szCs w:val="24"/>
        </w:rPr>
        <w:t xml:space="preserve">. </w:t>
      </w:r>
      <w:r w:rsidR="004E47A0" w:rsidRPr="00E32792">
        <w:rPr>
          <w:rFonts w:ascii="Times New Roman" w:hAnsi="Times New Roman" w:cs="Times New Roman"/>
          <w:sz w:val="24"/>
          <w:szCs w:val="24"/>
        </w:rPr>
        <w:t>In these estimations this</w:t>
      </w:r>
      <w:r w:rsidRPr="00E32792">
        <w:rPr>
          <w:rFonts w:ascii="Times New Roman" w:hAnsi="Times New Roman" w:cs="Times New Roman"/>
          <w:sz w:val="24"/>
          <w:szCs w:val="24"/>
        </w:rPr>
        <w:t xml:space="preserve"> </w:t>
      </w:r>
      <w:r w:rsidR="007C045D" w:rsidRPr="00E32792">
        <w:rPr>
          <w:rFonts w:ascii="Times New Roman" w:hAnsi="Times New Roman" w:cs="Times New Roman"/>
          <w:sz w:val="24"/>
          <w:szCs w:val="24"/>
        </w:rPr>
        <w:t>dimension</w:t>
      </w:r>
      <w:r w:rsidRPr="00E32792">
        <w:rPr>
          <w:rFonts w:ascii="Times New Roman" w:hAnsi="Times New Roman" w:cs="Times New Roman"/>
          <w:sz w:val="24"/>
          <w:szCs w:val="24"/>
        </w:rPr>
        <w:t xml:space="preserve"> is proxied by a real unit </w:t>
      </w:r>
      <w:r w:rsidR="009F3D22" w:rsidRPr="00E32792">
        <w:rPr>
          <w:rFonts w:ascii="Times New Roman" w:hAnsi="Times New Roman" w:cs="Times New Roman"/>
          <w:sz w:val="24"/>
          <w:szCs w:val="24"/>
        </w:rPr>
        <w:t>labor</w:t>
      </w:r>
      <w:r w:rsidRPr="00E32792">
        <w:rPr>
          <w:rFonts w:ascii="Times New Roman" w:hAnsi="Times New Roman" w:cs="Times New Roman"/>
          <w:sz w:val="24"/>
          <w:szCs w:val="24"/>
        </w:rPr>
        <w:t xml:space="preserve"> cost index</w:t>
      </w:r>
      <w:r w:rsidR="00196B16" w:rsidRPr="00E32792">
        <w:rPr>
          <w:rFonts w:ascii="Times New Roman" w:hAnsi="Times New Roman" w:cs="Times New Roman"/>
          <w:sz w:val="24"/>
          <w:szCs w:val="24"/>
        </w:rPr>
        <w:t>.</w:t>
      </w:r>
    </w:p>
    <w:p w:rsidR="00CC18B7" w:rsidRPr="001E2721" w:rsidRDefault="002B1B4B" w:rsidP="000C6BAE">
      <w:pPr>
        <w:spacing w:line="360" w:lineRule="auto"/>
        <w:jc w:val="both"/>
        <w:rPr>
          <w:rFonts w:ascii="Times New Roman" w:hAnsi="Times New Roman" w:cs="Times New Roman"/>
          <w:sz w:val="24"/>
          <w:szCs w:val="24"/>
        </w:rPr>
      </w:pPr>
      <w:r w:rsidRPr="001E2721">
        <w:rPr>
          <w:rFonts w:ascii="Times New Roman" w:hAnsi="Times New Roman" w:cs="Times New Roman"/>
          <w:sz w:val="24"/>
          <w:szCs w:val="24"/>
        </w:rPr>
        <w:t>A</w:t>
      </w:r>
      <w:r w:rsidR="00E9515D" w:rsidRPr="001E2721">
        <w:rPr>
          <w:rFonts w:ascii="Times New Roman" w:hAnsi="Times New Roman" w:cs="Times New Roman"/>
          <w:sz w:val="24"/>
          <w:szCs w:val="24"/>
        </w:rPr>
        <w:t xml:space="preserve"> transition indicator ha</w:t>
      </w:r>
      <w:r w:rsidR="00CC18B7" w:rsidRPr="001E2721">
        <w:rPr>
          <w:rFonts w:ascii="Times New Roman" w:hAnsi="Times New Roman" w:cs="Times New Roman"/>
          <w:sz w:val="24"/>
          <w:szCs w:val="24"/>
        </w:rPr>
        <w:t>s</w:t>
      </w:r>
      <w:r w:rsidR="00E9515D" w:rsidRPr="001E2721">
        <w:rPr>
          <w:rFonts w:ascii="Times New Roman" w:hAnsi="Times New Roman" w:cs="Times New Roman"/>
          <w:sz w:val="24"/>
          <w:szCs w:val="24"/>
        </w:rPr>
        <w:t xml:space="preserve"> </w:t>
      </w:r>
      <w:r w:rsidR="00920F17" w:rsidRPr="001E2721">
        <w:rPr>
          <w:rFonts w:ascii="Times New Roman" w:hAnsi="Times New Roman" w:cs="Times New Roman"/>
          <w:sz w:val="24"/>
          <w:szCs w:val="24"/>
        </w:rPr>
        <w:t xml:space="preserve">also </w:t>
      </w:r>
      <w:r w:rsidR="00E9515D" w:rsidRPr="001E2721">
        <w:rPr>
          <w:rFonts w:ascii="Times New Roman" w:hAnsi="Times New Roman" w:cs="Times New Roman"/>
          <w:sz w:val="24"/>
          <w:szCs w:val="24"/>
        </w:rPr>
        <w:t xml:space="preserve">been </w:t>
      </w:r>
      <w:r w:rsidR="007C045D" w:rsidRPr="001E2721">
        <w:rPr>
          <w:rFonts w:ascii="Times New Roman" w:hAnsi="Times New Roman" w:cs="Times New Roman"/>
          <w:sz w:val="24"/>
          <w:szCs w:val="24"/>
        </w:rPr>
        <w:t>included in the</w:t>
      </w:r>
      <w:r w:rsidR="00E9515D" w:rsidRPr="001E2721">
        <w:rPr>
          <w:rFonts w:ascii="Times New Roman" w:hAnsi="Times New Roman" w:cs="Times New Roman"/>
          <w:sz w:val="24"/>
          <w:szCs w:val="24"/>
        </w:rPr>
        <w:t xml:space="preserve"> estimations. </w:t>
      </w:r>
      <w:r w:rsidR="00CC18B7" w:rsidRPr="001E2721">
        <w:rPr>
          <w:rFonts w:ascii="Times New Roman" w:hAnsi="Times New Roman" w:cs="Times New Roman"/>
          <w:sz w:val="24"/>
          <w:szCs w:val="24"/>
        </w:rPr>
        <w:t xml:space="preserve">It </w:t>
      </w:r>
      <w:r w:rsidR="00B33AAF" w:rsidRPr="001E2721">
        <w:rPr>
          <w:rFonts w:ascii="Times New Roman" w:hAnsi="Times New Roman" w:cs="Times New Roman"/>
          <w:sz w:val="24"/>
          <w:szCs w:val="24"/>
        </w:rPr>
        <w:t>represents a country’s progress in transition and</w:t>
      </w:r>
      <w:r w:rsidR="00E9515D" w:rsidRPr="001E2721">
        <w:rPr>
          <w:rFonts w:ascii="Times New Roman" w:hAnsi="Times New Roman" w:cs="Times New Roman"/>
          <w:sz w:val="24"/>
          <w:szCs w:val="24"/>
        </w:rPr>
        <w:t xml:space="preserve"> is defined as an average measure of a set of indicators (large scale </w:t>
      </w:r>
      <w:r w:rsidR="009F3D22" w:rsidRPr="001E2721">
        <w:rPr>
          <w:rFonts w:ascii="Times New Roman" w:hAnsi="Times New Roman" w:cs="Times New Roman"/>
          <w:sz w:val="24"/>
          <w:szCs w:val="24"/>
        </w:rPr>
        <w:t>privatization</w:t>
      </w:r>
      <w:r w:rsidR="00E9515D" w:rsidRPr="001E2721">
        <w:rPr>
          <w:rFonts w:ascii="Times New Roman" w:hAnsi="Times New Roman" w:cs="Times New Roman"/>
          <w:sz w:val="24"/>
          <w:szCs w:val="24"/>
        </w:rPr>
        <w:t xml:space="preserve">, small scale </w:t>
      </w:r>
      <w:r w:rsidR="009F3D22" w:rsidRPr="001E2721">
        <w:rPr>
          <w:rFonts w:ascii="Times New Roman" w:hAnsi="Times New Roman" w:cs="Times New Roman"/>
          <w:sz w:val="24"/>
          <w:szCs w:val="24"/>
        </w:rPr>
        <w:t>privatization</w:t>
      </w:r>
      <w:r w:rsidR="00E9515D" w:rsidRPr="001E2721">
        <w:rPr>
          <w:rFonts w:ascii="Times New Roman" w:hAnsi="Times New Roman" w:cs="Times New Roman"/>
          <w:sz w:val="24"/>
          <w:szCs w:val="24"/>
        </w:rPr>
        <w:t xml:space="preserve">, governance and enterprise restructuring, price </w:t>
      </w:r>
      <w:r w:rsidR="009F3D22" w:rsidRPr="001E2721">
        <w:rPr>
          <w:rFonts w:ascii="Times New Roman" w:hAnsi="Times New Roman" w:cs="Times New Roman"/>
          <w:sz w:val="24"/>
          <w:szCs w:val="24"/>
        </w:rPr>
        <w:t>liberalization</w:t>
      </w:r>
      <w:r w:rsidR="00E9515D" w:rsidRPr="001E2721">
        <w:rPr>
          <w:rFonts w:ascii="Times New Roman" w:hAnsi="Times New Roman" w:cs="Times New Roman"/>
          <w:sz w:val="24"/>
          <w:szCs w:val="24"/>
        </w:rPr>
        <w:t>, trade and foreign exchange system, and competition policy) provided by the EBRD (2014). Following Eicher and Schreiber (2007</w:t>
      </w:r>
      <w:r w:rsidR="009110B3" w:rsidRPr="001E2721">
        <w:rPr>
          <w:rFonts w:ascii="Times New Roman" w:hAnsi="Times New Roman" w:cs="Times New Roman"/>
          <w:sz w:val="24"/>
          <w:szCs w:val="24"/>
        </w:rPr>
        <w:t>, p.4</w:t>
      </w:r>
      <w:r w:rsidR="00E9515D" w:rsidRPr="001E2721">
        <w:rPr>
          <w:rFonts w:ascii="Times New Roman" w:hAnsi="Times New Roman" w:cs="Times New Roman"/>
          <w:sz w:val="24"/>
          <w:szCs w:val="24"/>
        </w:rPr>
        <w:t>), this averaged indicator is normalized to a range from zero to one. Zero denotes the “complete absence of market based economic institutions”, whereas one refers to “institutional standard similar to OECD economies</w:t>
      </w:r>
      <w:r w:rsidR="00143907" w:rsidRPr="001E2721">
        <w:rPr>
          <w:rFonts w:ascii="Times New Roman" w:hAnsi="Times New Roman" w:cs="Times New Roman"/>
          <w:sz w:val="24"/>
          <w:szCs w:val="24"/>
        </w:rPr>
        <w:t>.</w:t>
      </w:r>
    </w:p>
    <w:p w:rsidR="00E0344F" w:rsidRPr="00E32792" w:rsidRDefault="00E9515D" w:rsidP="000C6BAE">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 xml:space="preserve">The potential link between the level of economic freedom of a country and its export market share </w:t>
      </w:r>
      <w:r w:rsidR="006456A4" w:rsidRPr="00E32792">
        <w:rPr>
          <w:rFonts w:ascii="Times New Roman" w:hAnsi="Times New Roman" w:cs="Times New Roman"/>
          <w:sz w:val="24"/>
          <w:szCs w:val="24"/>
        </w:rPr>
        <w:t>is</w:t>
      </w:r>
      <w:r w:rsidRPr="00E32792">
        <w:rPr>
          <w:rFonts w:ascii="Times New Roman" w:hAnsi="Times New Roman" w:cs="Times New Roman"/>
          <w:sz w:val="24"/>
          <w:szCs w:val="24"/>
        </w:rPr>
        <w:t xml:space="preserve"> also assessed in </w:t>
      </w:r>
      <w:r w:rsidR="008634FA" w:rsidRPr="00E32792">
        <w:rPr>
          <w:rFonts w:ascii="Times New Roman" w:hAnsi="Times New Roman" w:cs="Times New Roman"/>
          <w:sz w:val="24"/>
          <w:szCs w:val="24"/>
        </w:rPr>
        <w:t>this</w:t>
      </w:r>
      <w:r w:rsidRPr="00E32792">
        <w:rPr>
          <w:rFonts w:ascii="Times New Roman" w:hAnsi="Times New Roman" w:cs="Times New Roman"/>
          <w:sz w:val="24"/>
          <w:szCs w:val="24"/>
        </w:rPr>
        <w:t xml:space="preserve"> investigation. </w:t>
      </w:r>
      <w:r w:rsidR="00E0344F" w:rsidRPr="00E32792">
        <w:rPr>
          <w:rFonts w:ascii="Times New Roman" w:hAnsi="Times New Roman" w:cs="Times New Roman"/>
          <w:sz w:val="24"/>
          <w:szCs w:val="24"/>
        </w:rPr>
        <w:t xml:space="preserve">Higher economic freedom </w:t>
      </w:r>
      <w:r w:rsidR="00270CC8" w:rsidRPr="00E32792">
        <w:rPr>
          <w:rFonts w:ascii="Times New Roman" w:hAnsi="Times New Roman" w:cs="Times New Roman"/>
          <w:sz w:val="24"/>
          <w:szCs w:val="24"/>
        </w:rPr>
        <w:t>is expected to be associated with</w:t>
      </w:r>
      <w:r w:rsidR="00E0344F" w:rsidRPr="00E32792">
        <w:rPr>
          <w:rFonts w:ascii="Times New Roman" w:hAnsi="Times New Roman" w:cs="Times New Roman"/>
          <w:sz w:val="24"/>
          <w:szCs w:val="24"/>
        </w:rPr>
        <w:t xml:space="preserve"> greater competition, enhanced entrepreneurship, </w:t>
      </w:r>
      <w:r w:rsidR="000E57C2" w:rsidRPr="00E32792">
        <w:rPr>
          <w:rFonts w:ascii="Times New Roman" w:hAnsi="Times New Roman" w:cs="Times New Roman"/>
          <w:sz w:val="24"/>
          <w:szCs w:val="24"/>
        </w:rPr>
        <w:t xml:space="preserve">less regulation, </w:t>
      </w:r>
      <w:r w:rsidR="00DA7BD1" w:rsidRPr="00E32792">
        <w:rPr>
          <w:rFonts w:ascii="Times New Roman" w:hAnsi="Times New Roman" w:cs="Times New Roman"/>
          <w:sz w:val="24"/>
          <w:szCs w:val="24"/>
        </w:rPr>
        <w:t xml:space="preserve">more efficient </w:t>
      </w:r>
      <w:r w:rsidR="00E0344F" w:rsidRPr="00E32792">
        <w:rPr>
          <w:rFonts w:ascii="Times New Roman" w:hAnsi="Times New Roman" w:cs="Times New Roman"/>
          <w:sz w:val="24"/>
          <w:szCs w:val="24"/>
        </w:rPr>
        <w:t xml:space="preserve">allocation of resources, </w:t>
      </w:r>
      <w:r w:rsidR="00270CC8" w:rsidRPr="00E32792">
        <w:rPr>
          <w:rFonts w:ascii="Times New Roman" w:hAnsi="Times New Roman" w:cs="Times New Roman"/>
          <w:sz w:val="24"/>
          <w:szCs w:val="24"/>
        </w:rPr>
        <w:t xml:space="preserve">and </w:t>
      </w:r>
      <w:r w:rsidR="00070275" w:rsidRPr="00E32792">
        <w:rPr>
          <w:rFonts w:ascii="Times New Roman" w:hAnsi="Times New Roman" w:cs="Times New Roman"/>
          <w:sz w:val="24"/>
          <w:szCs w:val="24"/>
        </w:rPr>
        <w:t>m</w:t>
      </w:r>
      <w:r w:rsidR="00DA7BD1" w:rsidRPr="00E32792">
        <w:rPr>
          <w:rFonts w:ascii="Times New Roman" w:hAnsi="Times New Roman" w:cs="Times New Roman"/>
          <w:sz w:val="24"/>
          <w:szCs w:val="24"/>
        </w:rPr>
        <w:t xml:space="preserve">ore/cheaper access to imported inputs </w:t>
      </w:r>
      <w:r w:rsidR="00E0344F" w:rsidRPr="00E32792">
        <w:rPr>
          <w:rFonts w:ascii="Times New Roman" w:hAnsi="Times New Roman" w:cs="Times New Roman"/>
          <w:sz w:val="24"/>
          <w:szCs w:val="24"/>
        </w:rPr>
        <w:t xml:space="preserve">(Miller and Kim, 2017). </w:t>
      </w:r>
      <w:r w:rsidR="00283797" w:rsidRPr="00E32792">
        <w:rPr>
          <w:rFonts w:ascii="Times New Roman" w:hAnsi="Times New Roman" w:cs="Times New Roman"/>
          <w:sz w:val="24"/>
          <w:szCs w:val="24"/>
        </w:rPr>
        <w:t>T</w:t>
      </w:r>
      <w:r w:rsidRPr="00E32792">
        <w:rPr>
          <w:rFonts w:ascii="Times New Roman" w:hAnsi="Times New Roman" w:cs="Times New Roman"/>
          <w:sz w:val="24"/>
          <w:szCs w:val="24"/>
        </w:rPr>
        <w:t>h</w:t>
      </w:r>
      <w:r w:rsidR="00283797" w:rsidRPr="00E32792">
        <w:rPr>
          <w:rFonts w:ascii="Times New Roman" w:hAnsi="Times New Roman" w:cs="Times New Roman"/>
          <w:sz w:val="24"/>
          <w:szCs w:val="24"/>
        </w:rPr>
        <w:t>is investigation uses the</w:t>
      </w:r>
      <w:r w:rsidRPr="00E32792">
        <w:rPr>
          <w:rFonts w:ascii="Times New Roman" w:hAnsi="Times New Roman" w:cs="Times New Roman"/>
          <w:sz w:val="24"/>
          <w:szCs w:val="24"/>
        </w:rPr>
        <w:t xml:space="preserve"> Heritage Foundation</w:t>
      </w:r>
      <w:r w:rsidR="00F0644F" w:rsidRPr="00E32792">
        <w:rPr>
          <w:rFonts w:ascii="Times New Roman" w:hAnsi="Times New Roman" w:cs="Times New Roman"/>
          <w:sz w:val="24"/>
          <w:szCs w:val="24"/>
        </w:rPr>
        <w:t>’s</w:t>
      </w:r>
      <w:r w:rsidRPr="00E32792">
        <w:rPr>
          <w:rFonts w:ascii="Times New Roman" w:hAnsi="Times New Roman" w:cs="Times New Roman"/>
          <w:sz w:val="24"/>
          <w:szCs w:val="24"/>
        </w:rPr>
        <w:t xml:space="preserve"> economic freedom index</w:t>
      </w:r>
      <w:r w:rsidR="00F0644F" w:rsidRPr="00E32792">
        <w:rPr>
          <w:rFonts w:ascii="Times New Roman" w:hAnsi="Times New Roman" w:cs="Times New Roman"/>
          <w:sz w:val="24"/>
          <w:szCs w:val="24"/>
        </w:rPr>
        <w:t xml:space="preserve"> which is</w:t>
      </w:r>
      <w:r w:rsidRPr="00E32792">
        <w:rPr>
          <w:rFonts w:ascii="Times New Roman" w:hAnsi="Times New Roman" w:cs="Times New Roman"/>
          <w:sz w:val="24"/>
          <w:szCs w:val="24"/>
        </w:rPr>
        <w:t xml:space="preserve"> based on a set of</w:t>
      </w:r>
      <w:r w:rsidRPr="001E2721">
        <w:rPr>
          <w:rFonts w:ascii="Times New Roman" w:hAnsi="Times New Roman" w:cs="Times New Roman"/>
          <w:sz w:val="24"/>
          <w:szCs w:val="24"/>
        </w:rPr>
        <w:t xml:space="preserve"> </w:t>
      </w:r>
      <w:r w:rsidRPr="00E32792">
        <w:rPr>
          <w:rFonts w:ascii="Times New Roman" w:hAnsi="Times New Roman" w:cs="Times New Roman"/>
          <w:sz w:val="24"/>
          <w:szCs w:val="24"/>
        </w:rPr>
        <w:t xml:space="preserve">10 different </w:t>
      </w:r>
      <w:r w:rsidR="00283797" w:rsidRPr="00E32792">
        <w:rPr>
          <w:rFonts w:ascii="Times New Roman" w:hAnsi="Times New Roman" w:cs="Times New Roman"/>
          <w:sz w:val="24"/>
          <w:szCs w:val="24"/>
        </w:rPr>
        <w:t>aspects of economic freedom</w:t>
      </w:r>
      <w:r w:rsidR="001C02F7" w:rsidRPr="00E32792">
        <w:rPr>
          <w:rFonts w:ascii="Times New Roman" w:hAnsi="Times New Roman" w:cs="Times New Roman"/>
          <w:sz w:val="24"/>
          <w:szCs w:val="24"/>
        </w:rPr>
        <w:t>,</w:t>
      </w:r>
      <w:r w:rsidR="00283797" w:rsidRPr="00E32792">
        <w:rPr>
          <w:rFonts w:ascii="Times New Roman" w:hAnsi="Times New Roman" w:cs="Times New Roman"/>
          <w:sz w:val="24"/>
          <w:szCs w:val="24"/>
        </w:rPr>
        <w:t xml:space="preserve"> </w:t>
      </w:r>
      <w:r w:rsidRPr="00E32792">
        <w:rPr>
          <w:rFonts w:ascii="Times New Roman" w:hAnsi="Times New Roman" w:cs="Times New Roman"/>
          <w:sz w:val="24"/>
          <w:szCs w:val="24"/>
        </w:rPr>
        <w:t xml:space="preserve">including property rights, freedom from corruption, fiscal freedom, government spending, business freedom, </w:t>
      </w:r>
      <w:r w:rsidR="009F3D22" w:rsidRPr="00E32792">
        <w:rPr>
          <w:rFonts w:ascii="Times New Roman" w:hAnsi="Times New Roman" w:cs="Times New Roman"/>
          <w:sz w:val="24"/>
          <w:szCs w:val="24"/>
        </w:rPr>
        <w:t>labor</w:t>
      </w:r>
      <w:r w:rsidRPr="00E32792">
        <w:rPr>
          <w:rFonts w:ascii="Times New Roman" w:hAnsi="Times New Roman" w:cs="Times New Roman"/>
          <w:sz w:val="24"/>
          <w:szCs w:val="24"/>
        </w:rPr>
        <w:t xml:space="preserve"> freedom, and monetary freedom.</w:t>
      </w:r>
      <w:r w:rsidR="00494280" w:rsidRPr="00E32792">
        <w:rPr>
          <w:rStyle w:val="FootnoteReference"/>
          <w:rFonts w:ascii="Times New Roman" w:hAnsi="Times New Roman" w:cs="Times New Roman"/>
          <w:sz w:val="24"/>
          <w:szCs w:val="24"/>
        </w:rPr>
        <w:footnoteReference w:id="15"/>
      </w:r>
      <w:r w:rsidRPr="00E32792">
        <w:rPr>
          <w:rFonts w:ascii="Times New Roman" w:hAnsi="Times New Roman" w:cs="Times New Roman"/>
          <w:sz w:val="24"/>
          <w:szCs w:val="24"/>
        </w:rPr>
        <w:t xml:space="preserve"> </w:t>
      </w:r>
    </w:p>
    <w:p w:rsidR="00425791" w:rsidRPr="00E32792" w:rsidRDefault="00E9515D" w:rsidP="00425791">
      <w:pPr>
        <w:spacing w:line="360" w:lineRule="auto"/>
        <w:jc w:val="both"/>
        <w:rPr>
          <w:rFonts w:ascii="Times New Roman" w:hAnsi="Times New Roman" w:cs="Times New Roman"/>
          <w:sz w:val="24"/>
          <w:szCs w:val="24"/>
        </w:rPr>
      </w:pPr>
      <w:r w:rsidRPr="00E32792">
        <w:rPr>
          <w:rFonts w:ascii="Times New Roman" w:hAnsi="Times New Roman" w:cs="Times New Roman"/>
          <w:sz w:val="24"/>
          <w:szCs w:val="24"/>
        </w:rPr>
        <w:t>Finally, the potential impact of the size of the non-tradable sector on the exports share of a country</w:t>
      </w:r>
      <w:r w:rsidR="00E67335" w:rsidRPr="00E32792">
        <w:rPr>
          <w:rFonts w:ascii="Times New Roman" w:hAnsi="Times New Roman" w:cs="Times New Roman"/>
          <w:sz w:val="24"/>
          <w:szCs w:val="24"/>
        </w:rPr>
        <w:t xml:space="preserve"> is investigated.</w:t>
      </w:r>
      <w:r w:rsidR="006456A4" w:rsidRPr="00E32792">
        <w:rPr>
          <w:rFonts w:ascii="Times New Roman" w:hAnsi="Times New Roman" w:cs="Times New Roman"/>
          <w:sz w:val="24"/>
          <w:szCs w:val="24"/>
        </w:rPr>
        <w:t xml:space="preserve"> </w:t>
      </w:r>
      <w:r w:rsidRPr="00E32792">
        <w:rPr>
          <w:rFonts w:ascii="Times New Roman" w:hAnsi="Times New Roman" w:cs="Times New Roman"/>
          <w:sz w:val="24"/>
          <w:szCs w:val="24"/>
        </w:rPr>
        <w:t>Th</w:t>
      </w:r>
      <w:r w:rsidR="00E67335" w:rsidRPr="00E32792">
        <w:rPr>
          <w:rFonts w:ascii="Times New Roman" w:hAnsi="Times New Roman" w:cs="Times New Roman"/>
          <w:sz w:val="24"/>
          <w:szCs w:val="24"/>
        </w:rPr>
        <w:t>e chosen</w:t>
      </w:r>
      <w:r w:rsidRPr="00E32792">
        <w:rPr>
          <w:rFonts w:ascii="Times New Roman" w:hAnsi="Times New Roman" w:cs="Times New Roman"/>
          <w:sz w:val="24"/>
          <w:szCs w:val="24"/>
        </w:rPr>
        <w:t xml:space="preserve"> measure represents the value added in wholesale and retail trade, transport, and government, financial, professional, personal services </w:t>
      </w:r>
      <w:r w:rsidR="00E67335" w:rsidRPr="00E32792">
        <w:rPr>
          <w:rFonts w:ascii="Times New Roman" w:hAnsi="Times New Roman" w:cs="Times New Roman"/>
          <w:sz w:val="24"/>
          <w:szCs w:val="24"/>
        </w:rPr>
        <w:t>(</w:t>
      </w:r>
      <w:r w:rsidRPr="00E32792">
        <w:rPr>
          <w:rFonts w:ascii="Times New Roman" w:hAnsi="Times New Roman" w:cs="Times New Roman"/>
          <w:sz w:val="24"/>
          <w:szCs w:val="24"/>
        </w:rPr>
        <w:t>such as education, health care</w:t>
      </w:r>
      <w:r w:rsidR="00E67335" w:rsidRPr="00E32792">
        <w:rPr>
          <w:rFonts w:ascii="Times New Roman" w:hAnsi="Times New Roman" w:cs="Times New Roman"/>
          <w:sz w:val="24"/>
          <w:szCs w:val="24"/>
        </w:rPr>
        <w:t>)</w:t>
      </w:r>
      <w:r w:rsidRPr="00E32792">
        <w:rPr>
          <w:rFonts w:ascii="Times New Roman" w:hAnsi="Times New Roman" w:cs="Times New Roman"/>
          <w:sz w:val="24"/>
          <w:szCs w:val="24"/>
        </w:rPr>
        <w:t xml:space="preserve"> and real estate services (</w:t>
      </w:r>
      <w:r w:rsidR="00E67335" w:rsidRPr="00E32792">
        <w:rPr>
          <w:rFonts w:ascii="Times New Roman" w:hAnsi="Times New Roman" w:cs="Times New Roman"/>
          <w:sz w:val="24"/>
          <w:szCs w:val="24"/>
        </w:rPr>
        <w:t xml:space="preserve">as a </w:t>
      </w:r>
      <w:r w:rsidRPr="00E32792">
        <w:rPr>
          <w:rFonts w:ascii="Times New Roman" w:hAnsi="Times New Roman" w:cs="Times New Roman"/>
          <w:sz w:val="24"/>
          <w:szCs w:val="24"/>
        </w:rPr>
        <w:t>% of GDP).</w:t>
      </w:r>
      <w:r w:rsidR="00A24222" w:rsidRPr="00E32792">
        <w:rPr>
          <w:rStyle w:val="FootnoteReference"/>
          <w:rFonts w:ascii="Times New Roman" w:hAnsi="Times New Roman" w:cs="Times New Roman"/>
          <w:sz w:val="24"/>
          <w:szCs w:val="24"/>
        </w:rPr>
        <w:footnoteReference w:id="16"/>
      </w:r>
      <w:r w:rsidR="00AD7F42" w:rsidRPr="00E32792">
        <w:rPr>
          <w:rFonts w:ascii="Times New Roman" w:hAnsi="Times New Roman" w:cs="Times New Roman"/>
          <w:sz w:val="24"/>
          <w:szCs w:val="24"/>
        </w:rPr>
        <w:t xml:space="preserve"> </w:t>
      </w:r>
      <w:r w:rsidRPr="00E32792">
        <w:rPr>
          <w:rFonts w:ascii="Times New Roman" w:hAnsi="Times New Roman" w:cs="Times New Roman"/>
          <w:sz w:val="24"/>
          <w:szCs w:val="24"/>
        </w:rPr>
        <w:t xml:space="preserve">A higher share of services in a country, holding other factors constant, is likely to reduce its propensity to export; hence, </w:t>
      </w:r>
      <w:r w:rsidR="00E865A6" w:rsidRPr="00E32792">
        <w:rPr>
          <w:rFonts w:ascii="Times New Roman" w:hAnsi="Times New Roman" w:cs="Times New Roman"/>
          <w:sz w:val="24"/>
          <w:szCs w:val="24"/>
        </w:rPr>
        <w:t>a negative coefficient is</w:t>
      </w:r>
      <w:r w:rsidRPr="00E32792">
        <w:rPr>
          <w:rFonts w:ascii="Times New Roman" w:hAnsi="Times New Roman" w:cs="Times New Roman"/>
          <w:sz w:val="24"/>
          <w:szCs w:val="24"/>
        </w:rPr>
        <w:t xml:space="preserve"> expect</w:t>
      </w:r>
      <w:r w:rsidR="00E865A6" w:rsidRPr="00E32792">
        <w:rPr>
          <w:rFonts w:ascii="Times New Roman" w:hAnsi="Times New Roman" w:cs="Times New Roman"/>
          <w:sz w:val="24"/>
          <w:szCs w:val="24"/>
        </w:rPr>
        <w:t>ed</w:t>
      </w:r>
      <w:r w:rsidRPr="00E32792">
        <w:rPr>
          <w:rFonts w:ascii="Times New Roman" w:hAnsi="Times New Roman" w:cs="Times New Roman"/>
          <w:sz w:val="24"/>
          <w:szCs w:val="24"/>
        </w:rPr>
        <w:t xml:space="preserve"> to </w:t>
      </w:r>
      <w:r w:rsidR="008634FA" w:rsidRPr="00E32792">
        <w:rPr>
          <w:rFonts w:ascii="Times New Roman" w:hAnsi="Times New Roman" w:cs="Times New Roman"/>
          <w:sz w:val="24"/>
          <w:szCs w:val="24"/>
        </w:rPr>
        <w:t xml:space="preserve">be </w:t>
      </w:r>
      <w:r w:rsidR="00E865A6" w:rsidRPr="00E32792">
        <w:rPr>
          <w:rFonts w:ascii="Times New Roman" w:hAnsi="Times New Roman" w:cs="Times New Roman"/>
          <w:sz w:val="24"/>
          <w:szCs w:val="24"/>
        </w:rPr>
        <w:t>found</w:t>
      </w:r>
      <w:r w:rsidRPr="00E32792">
        <w:rPr>
          <w:rFonts w:ascii="Times New Roman" w:hAnsi="Times New Roman" w:cs="Times New Roman"/>
          <w:sz w:val="24"/>
          <w:szCs w:val="24"/>
        </w:rPr>
        <w:t xml:space="preserve"> for this variable.</w:t>
      </w:r>
    </w:p>
    <w:p w:rsidR="00406ACF" w:rsidRDefault="00406ACF" w:rsidP="00406ACF">
      <w:pPr>
        <w:spacing w:after="0" w:line="360" w:lineRule="auto"/>
        <w:jc w:val="both"/>
        <w:rPr>
          <w:rFonts w:ascii="Times New Roman" w:hAnsi="Times New Roman" w:cs="Times New Roman"/>
          <w:sz w:val="24"/>
          <w:szCs w:val="24"/>
        </w:rPr>
      </w:pPr>
      <w:r w:rsidRPr="00E32792">
        <w:rPr>
          <w:rFonts w:ascii="Times New Roman" w:hAnsi="Times New Roman" w:cs="Times New Roman"/>
          <w:sz w:val="24"/>
          <w:szCs w:val="24"/>
        </w:rPr>
        <w:t>Variable names, descriptions, their expected signs and data source</w:t>
      </w:r>
      <w:r w:rsidR="00DA7DBD" w:rsidRPr="00E32792">
        <w:rPr>
          <w:rFonts w:ascii="Times New Roman" w:hAnsi="Times New Roman" w:cs="Times New Roman"/>
          <w:sz w:val="24"/>
          <w:szCs w:val="24"/>
        </w:rPr>
        <w:t xml:space="preserve">s are </w:t>
      </w:r>
      <w:r w:rsidR="009F3D22" w:rsidRPr="00E32792">
        <w:rPr>
          <w:rFonts w:ascii="Times New Roman" w:hAnsi="Times New Roman" w:cs="Times New Roman"/>
          <w:sz w:val="24"/>
          <w:szCs w:val="24"/>
        </w:rPr>
        <w:t>summarized</w:t>
      </w:r>
      <w:r w:rsidR="00DA7DBD" w:rsidRPr="00E32792">
        <w:rPr>
          <w:rFonts w:ascii="Times New Roman" w:hAnsi="Times New Roman" w:cs="Times New Roman"/>
          <w:sz w:val="24"/>
          <w:szCs w:val="24"/>
        </w:rPr>
        <w:t xml:space="preserve"> in Table 1. </w:t>
      </w:r>
    </w:p>
    <w:p w:rsidR="002F1254" w:rsidRPr="001E2721" w:rsidRDefault="002F1254" w:rsidP="00406ACF">
      <w:pPr>
        <w:spacing w:after="0" w:line="360" w:lineRule="auto"/>
        <w:jc w:val="both"/>
        <w:rPr>
          <w:rFonts w:ascii="Times New Roman" w:hAnsi="Times New Roman" w:cs="Times New Roman"/>
          <w:sz w:val="24"/>
          <w:szCs w:val="24"/>
        </w:rPr>
      </w:pPr>
    </w:p>
    <w:p w:rsidR="00A60403" w:rsidRDefault="00FC1623">
      <w:pPr>
        <w:spacing w:after="0" w:line="360" w:lineRule="auto"/>
        <w:jc w:val="center"/>
        <w:rPr>
          <w:rFonts w:ascii="Times New Roman" w:hAnsi="Times New Roman" w:cs="Times New Roman"/>
          <w:sz w:val="26"/>
          <w:szCs w:val="26"/>
        </w:rPr>
      </w:pPr>
      <w:r w:rsidRPr="001E2721">
        <w:rPr>
          <w:rFonts w:ascii="Times New Roman" w:hAnsi="Times New Roman" w:cs="Times New Roman"/>
          <w:sz w:val="26"/>
          <w:szCs w:val="26"/>
        </w:rPr>
        <w:t xml:space="preserve">INSERT </w:t>
      </w:r>
      <w:r w:rsidR="00406ACF" w:rsidRPr="001E2721">
        <w:rPr>
          <w:rFonts w:ascii="Times New Roman" w:hAnsi="Times New Roman" w:cs="Times New Roman"/>
          <w:sz w:val="26"/>
          <w:szCs w:val="26"/>
        </w:rPr>
        <w:t>Table 1. Variable descriptions</w:t>
      </w:r>
    </w:p>
    <w:p w:rsidR="00AC578B" w:rsidRPr="001E2721" w:rsidRDefault="00AC578B">
      <w:pPr>
        <w:spacing w:after="0" w:line="360" w:lineRule="auto"/>
        <w:jc w:val="center"/>
        <w:rPr>
          <w:rFonts w:ascii="Times New Roman" w:hAnsi="Times New Roman" w:cs="Times New Roman"/>
          <w:sz w:val="26"/>
          <w:szCs w:val="26"/>
        </w:rPr>
      </w:pPr>
    </w:p>
    <w:p w:rsidR="00E9515D" w:rsidRPr="00A424A7" w:rsidRDefault="00DA5D40" w:rsidP="008634FA">
      <w:pPr>
        <w:pStyle w:val="Heading1"/>
        <w:spacing w:line="360" w:lineRule="auto"/>
        <w:rPr>
          <w:color w:val="auto"/>
          <w:lang w:val="en-US"/>
        </w:rPr>
      </w:pPr>
      <w:r w:rsidRPr="00A424A7">
        <w:rPr>
          <w:color w:val="auto"/>
          <w:lang w:val="en-US"/>
        </w:rPr>
        <w:t>4</w:t>
      </w:r>
      <w:r w:rsidR="008634FA" w:rsidRPr="00A424A7">
        <w:rPr>
          <w:color w:val="auto"/>
          <w:lang w:val="en-US"/>
        </w:rPr>
        <w:t xml:space="preserve">. </w:t>
      </w:r>
      <w:r w:rsidR="00E9515D" w:rsidRPr="00A424A7">
        <w:rPr>
          <w:color w:val="auto"/>
          <w:lang w:val="en-US"/>
        </w:rPr>
        <w:t xml:space="preserve">Estimation methodology </w:t>
      </w:r>
    </w:p>
    <w:p w:rsidR="00AC162B" w:rsidRPr="001E2721" w:rsidRDefault="00E9515D" w:rsidP="000C6BAE">
      <w:pPr>
        <w:spacing w:line="360" w:lineRule="auto"/>
        <w:jc w:val="both"/>
        <w:rPr>
          <w:rFonts w:ascii="Times New Roman" w:hAnsi="Times New Roman" w:cs="Times New Roman"/>
          <w:sz w:val="24"/>
          <w:szCs w:val="24"/>
        </w:rPr>
      </w:pPr>
      <w:r w:rsidRPr="00A424A7">
        <w:rPr>
          <w:rFonts w:ascii="Times New Roman" w:hAnsi="Times New Roman" w:cs="Times New Roman"/>
          <w:sz w:val="24"/>
          <w:szCs w:val="24"/>
        </w:rPr>
        <w:t xml:space="preserve">Following the data and variable specification presented in </w:t>
      </w:r>
      <w:r w:rsidR="007C045D" w:rsidRPr="00A424A7">
        <w:rPr>
          <w:rFonts w:ascii="Times New Roman" w:hAnsi="Times New Roman" w:cs="Times New Roman"/>
          <w:sz w:val="24"/>
          <w:szCs w:val="24"/>
        </w:rPr>
        <w:t>the previous</w:t>
      </w:r>
      <w:r w:rsidR="00585922" w:rsidRPr="00A424A7">
        <w:rPr>
          <w:rFonts w:ascii="Times New Roman" w:hAnsi="Times New Roman" w:cs="Times New Roman"/>
          <w:sz w:val="24"/>
          <w:szCs w:val="24"/>
        </w:rPr>
        <w:t xml:space="preserve"> section</w:t>
      </w:r>
      <w:r w:rsidRPr="00A424A7">
        <w:rPr>
          <w:rFonts w:ascii="Times New Roman" w:hAnsi="Times New Roman" w:cs="Times New Roman"/>
          <w:sz w:val="24"/>
          <w:szCs w:val="24"/>
        </w:rPr>
        <w:t xml:space="preserve">, </w:t>
      </w:r>
      <w:r w:rsidR="00AC162B" w:rsidRPr="00A424A7">
        <w:rPr>
          <w:rFonts w:ascii="Times New Roman" w:hAnsi="Times New Roman" w:cs="Times New Roman"/>
          <w:sz w:val="24"/>
          <w:szCs w:val="24"/>
        </w:rPr>
        <w:t xml:space="preserve">and guided by the theoretical framework outlined </w:t>
      </w:r>
      <w:r w:rsidR="001D7D79" w:rsidRPr="00A424A7">
        <w:rPr>
          <w:rFonts w:ascii="Times New Roman" w:hAnsi="Times New Roman" w:cs="Times New Roman"/>
          <w:sz w:val="24"/>
          <w:szCs w:val="24"/>
        </w:rPr>
        <w:t xml:space="preserve">in section </w:t>
      </w:r>
      <w:r w:rsidR="00E07648" w:rsidRPr="00A424A7">
        <w:rPr>
          <w:rFonts w:ascii="Times New Roman" w:hAnsi="Times New Roman" w:cs="Times New Roman"/>
          <w:sz w:val="24"/>
          <w:szCs w:val="24"/>
        </w:rPr>
        <w:t>3</w:t>
      </w:r>
      <w:r w:rsidR="00AC162B" w:rsidRPr="00A424A7">
        <w:rPr>
          <w:rFonts w:ascii="Times New Roman" w:hAnsi="Times New Roman" w:cs="Times New Roman"/>
          <w:sz w:val="24"/>
          <w:szCs w:val="24"/>
        </w:rPr>
        <w:t xml:space="preserve">, an eclectic empirical model assessing the impact of human capital endowments on </w:t>
      </w:r>
      <w:r w:rsidR="00230CAD" w:rsidRPr="00A424A7">
        <w:rPr>
          <w:rFonts w:ascii="Times New Roman" w:hAnsi="Times New Roman" w:cs="Times New Roman"/>
          <w:sz w:val="24"/>
          <w:szCs w:val="24"/>
        </w:rPr>
        <w:t>international competitiveness</w:t>
      </w:r>
      <w:r w:rsidR="00AC162B" w:rsidRPr="00A424A7">
        <w:rPr>
          <w:rFonts w:ascii="Times New Roman" w:hAnsi="Times New Roman" w:cs="Times New Roman"/>
          <w:sz w:val="24"/>
          <w:szCs w:val="24"/>
        </w:rPr>
        <w:t xml:space="preserve"> is developed and estimated for </w:t>
      </w:r>
      <w:r w:rsidR="00EC623D" w:rsidRPr="00A424A7">
        <w:rPr>
          <w:rFonts w:ascii="Times New Roman" w:hAnsi="Times New Roman" w:cs="Times New Roman"/>
          <w:sz w:val="24"/>
          <w:szCs w:val="24"/>
        </w:rPr>
        <w:t>the CEECs</w:t>
      </w:r>
      <w:r w:rsidR="00EC623D" w:rsidRPr="00A424A7">
        <w:rPr>
          <w:rStyle w:val="FootnoteReference"/>
          <w:rFonts w:ascii="Times New Roman" w:hAnsi="Times New Roman" w:cs="Times New Roman"/>
          <w:sz w:val="24"/>
          <w:szCs w:val="24"/>
        </w:rPr>
        <w:footnoteReference w:id="17"/>
      </w:r>
      <w:r w:rsidR="00EC623D" w:rsidRPr="00A424A7">
        <w:rPr>
          <w:rFonts w:ascii="Times New Roman" w:hAnsi="Times New Roman" w:cs="Times New Roman"/>
          <w:sz w:val="24"/>
          <w:szCs w:val="24"/>
        </w:rPr>
        <w:t xml:space="preserve"> </w:t>
      </w:r>
      <w:r w:rsidR="00BE2AB7" w:rsidRPr="00A424A7">
        <w:rPr>
          <w:rFonts w:ascii="Times New Roman" w:hAnsi="Times New Roman" w:cs="Times New Roman"/>
          <w:sz w:val="24"/>
          <w:szCs w:val="24"/>
        </w:rPr>
        <w:t xml:space="preserve">over the period 1995-2010. </w:t>
      </w:r>
      <w:r w:rsidR="00CC7DAE" w:rsidRPr="00A424A7">
        <w:rPr>
          <w:rFonts w:ascii="Times New Roman" w:hAnsi="Times New Roman" w:cs="Times New Roman"/>
          <w:sz w:val="24"/>
          <w:szCs w:val="24"/>
        </w:rPr>
        <w:t xml:space="preserve">For comparison, </w:t>
      </w:r>
      <w:r w:rsidR="002534D3" w:rsidRPr="00A424A7">
        <w:rPr>
          <w:rFonts w:ascii="Times New Roman" w:hAnsi="Times New Roman" w:cs="Times New Roman"/>
          <w:sz w:val="24"/>
          <w:szCs w:val="24"/>
        </w:rPr>
        <w:t>t</w:t>
      </w:r>
      <w:r w:rsidR="00EC623D" w:rsidRPr="00A424A7">
        <w:rPr>
          <w:rFonts w:ascii="Times New Roman" w:hAnsi="Times New Roman" w:cs="Times New Roman"/>
          <w:sz w:val="24"/>
          <w:szCs w:val="24"/>
        </w:rPr>
        <w:t>he</w:t>
      </w:r>
      <w:r w:rsidR="00283797" w:rsidRPr="00A424A7">
        <w:rPr>
          <w:rFonts w:ascii="Times New Roman" w:hAnsi="Times New Roman" w:cs="Times New Roman"/>
          <w:sz w:val="24"/>
          <w:szCs w:val="24"/>
        </w:rPr>
        <w:t xml:space="preserve"> same model is also estimated separately </w:t>
      </w:r>
      <w:r w:rsidR="00BE2AB7" w:rsidRPr="00A424A7">
        <w:rPr>
          <w:rFonts w:ascii="Times New Roman" w:hAnsi="Times New Roman" w:cs="Times New Roman"/>
          <w:sz w:val="24"/>
          <w:szCs w:val="24"/>
        </w:rPr>
        <w:t xml:space="preserve">for </w:t>
      </w:r>
      <w:r w:rsidR="005D7ABD" w:rsidRPr="00A424A7">
        <w:rPr>
          <w:rFonts w:ascii="Times New Roman" w:hAnsi="Times New Roman" w:cs="Times New Roman"/>
          <w:sz w:val="24"/>
          <w:szCs w:val="24"/>
        </w:rPr>
        <w:t>the European Economic Area (EEA17).</w:t>
      </w:r>
    </w:p>
    <w:p w:rsidR="00E9515D" w:rsidRPr="001E2721" w:rsidRDefault="001E5D0C" w:rsidP="000C6BAE">
      <w:pPr>
        <w:spacing w:line="360" w:lineRule="auto"/>
        <w:ind w:left="360"/>
        <w:jc w:val="both"/>
        <w:rPr>
          <w:rFonts w:ascii="Times New Roman" w:hAnsi="Times New Roman" w:cs="Times New Roman"/>
          <w:sz w:val="24"/>
          <w:szCs w:val="24"/>
        </w:rPr>
      </w:pPr>
      <w:r w:rsidRPr="001E2721">
        <w:rPr>
          <w:rFonts w:ascii="Times New Roman" w:hAnsi="Times New Roman" w:cs="Times New Roman"/>
          <w:i/>
          <w:sz w:val="24"/>
          <w:szCs w:val="24"/>
        </w:rPr>
        <w:t>Y</w:t>
      </w:r>
      <w:r w:rsidRPr="001E2721">
        <w:rPr>
          <w:rFonts w:ascii="Times New Roman" w:hAnsi="Times New Roman" w:cs="Times New Roman"/>
          <w:i/>
          <w:sz w:val="24"/>
          <w:szCs w:val="24"/>
          <w:vertAlign w:val="subscript"/>
        </w:rPr>
        <w:t xml:space="preserve">it </w:t>
      </w:r>
      <w:r w:rsidRPr="001E2721">
        <w:rPr>
          <w:rFonts w:ascii="Times New Roman" w:hAnsi="Times New Roman" w:cs="Times New Roman"/>
          <w:i/>
          <w:sz w:val="24"/>
          <w:szCs w:val="24"/>
        </w:rPr>
        <w:t>= βX′</w:t>
      </w:r>
      <w:r w:rsidRPr="001E2721">
        <w:rPr>
          <w:rFonts w:ascii="Times New Roman" w:hAnsi="Times New Roman" w:cs="Times New Roman"/>
          <w:i/>
          <w:sz w:val="24"/>
          <w:szCs w:val="24"/>
          <w:vertAlign w:val="subscript"/>
        </w:rPr>
        <w:t>it</w:t>
      </w:r>
      <w:r w:rsidRPr="001E2721">
        <w:rPr>
          <w:rFonts w:ascii="Times New Roman" w:hAnsi="Times New Roman" w:cs="Times New Roman"/>
          <w:i/>
          <w:sz w:val="24"/>
          <w:szCs w:val="24"/>
        </w:rPr>
        <w:t xml:space="preserve"> + α</w:t>
      </w:r>
      <w:r w:rsidRPr="001E2721">
        <w:rPr>
          <w:rFonts w:ascii="Times New Roman" w:hAnsi="Times New Roman" w:cs="Times New Roman"/>
          <w:i/>
          <w:sz w:val="24"/>
          <w:szCs w:val="24"/>
          <w:vertAlign w:val="subscript"/>
        </w:rPr>
        <w:t>i</w:t>
      </w:r>
      <w:r w:rsidRPr="001E2721">
        <w:rPr>
          <w:rFonts w:ascii="Times New Roman" w:hAnsi="Times New Roman" w:cs="Times New Roman"/>
          <w:i/>
          <w:sz w:val="24"/>
          <w:szCs w:val="24"/>
        </w:rPr>
        <w:t xml:space="preserve"> +</w:t>
      </w:r>
      <w:r w:rsidR="00707FC7" w:rsidRPr="001E2721">
        <w:t xml:space="preserve"> </w:t>
      </w:r>
      <w:r w:rsidR="00707FC7" w:rsidRPr="001E2721">
        <w:rPr>
          <w:rFonts w:ascii="Times New Roman" w:hAnsi="Times New Roman" w:cs="Times New Roman"/>
          <w:i/>
          <w:sz w:val="24"/>
          <w:szCs w:val="24"/>
        </w:rPr>
        <w:t>δYr</w:t>
      </w:r>
      <w:r w:rsidR="005F1156" w:rsidRPr="001E2721">
        <w:rPr>
          <w:rFonts w:ascii="Times New Roman" w:hAnsi="Times New Roman" w:cs="Times New Roman"/>
          <w:i/>
          <w:sz w:val="24"/>
          <w:szCs w:val="24"/>
        </w:rPr>
        <w:t xml:space="preserve">d </w:t>
      </w:r>
      <w:r w:rsidR="00707FC7" w:rsidRPr="001E2721">
        <w:rPr>
          <w:rFonts w:ascii="Times New Roman" w:hAnsi="Times New Roman" w:cs="Times New Roman"/>
          <w:i/>
          <w:sz w:val="24"/>
          <w:szCs w:val="24"/>
        </w:rPr>
        <w:t xml:space="preserve">+ </w:t>
      </w:r>
      <w:r w:rsidRPr="001E2721">
        <w:rPr>
          <w:rFonts w:ascii="Times New Roman" w:hAnsi="Times New Roman" w:cs="Times New Roman"/>
          <w:i/>
          <w:sz w:val="24"/>
          <w:szCs w:val="24"/>
        </w:rPr>
        <w:t>ε</w:t>
      </w:r>
      <w:r w:rsidRPr="001E2721">
        <w:rPr>
          <w:rFonts w:ascii="Times New Roman" w:hAnsi="Times New Roman" w:cs="Times New Roman"/>
          <w:i/>
          <w:sz w:val="24"/>
          <w:szCs w:val="24"/>
          <w:vertAlign w:val="subscript"/>
        </w:rPr>
        <w:t xml:space="preserve">it </w:t>
      </w:r>
      <w:r w:rsidR="00E9515D" w:rsidRPr="001E2721">
        <w:rPr>
          <w:rFonts w:ascii="Times New Roman" w:hAnsi="Times New Roman" w:cs="Times New Roman"/>
          <w:sz w:val="24"/>
          <w:szCs w:val="24"/>
        </w:rPr>
        <w:t xml:space="preserve">,    </w:t>
      </w:r>
    </w:p>
    <w:p w:rsidR="00E9515D" w:rsidRPr="001E2721" w:rsidRDefault="00E9515D" w:rsidP="000C6BAE">
      <w:pPr>
        <w:spacing w:line="360" w:lineRule="auto"/>
        <w:ind w:left="360"/>
        <w:jc w:val="both"/>
        <w:rPr>
          <w:rFonts w:ascii="Times New Roman" w:hAnsi="Times New Roman" w:cs="Times New Roman"/>
          <w:i/>
          <w:sz w:val="24"/>
          <w:szCs w:val="24"/>
        </w:rPr>
      </w:pPr>
      <w:r w:rsidRPr="001E2721">
        <w:rPr>
          <w:rFonts w:ascii="Times New Roman" w:hAnsi="Times New Roman" w:cs="Times New Roman"/>
          <w:i/>
          <w:sz w:val="24"/>
          <w:szCs w:val="24"/>
        </w:rPr>
        <w:t>i = 1, . . ., 27,  t = 1, . . . ,16</w:t>
      </w:r>
    </w:p>
    <w:p w:rsidR="00BE2AB7" w:rsidRPr="001E2721" w:rsidRDefault="00E9515D" w:rsidP="000C6BAE">
      <w:pPr>
        <w:autoSpaceDE w:val="0"/>
        <w:autoSpaceDN w:val="0"/>
        <w:adjustRightInd w:val="0"/>
        <w:spacing w:after="0" w:line="360" w:lineRule="auto"/>
        <w:jc w:val="both"/>
        <w:rPr>
          <w:rFonts w:ascii="Times New Roman" w:hAnsi="Times New Roman" w:cs="Times New Roman"/>
          <w:sz w:val="24"/>
          <w:szCs w:val="24"/>
        </w:rPr>
      </w:pPr>
      <w:r w:rsidRPr="00A424A7">
        <w:rPr>
          <w:rFonts w:ascii="Times New Roman" w:eastAsia="Times-Roman" w:hAnsi="Times New Roman" w:cs="Times New Roman"/>
          <w:sz w:val="24"/>
          <w:szCs w:val="24"/>
        </w:rPr>
        <w:t xml:space="preserve">Where </w:t>
      </w:r>
      <w:r w:rsidRPr="00A424A7">
        <w:rPr>
          <w:rFonts w:ascii="Times New Roman" w:eastAsia="Times-Roman" w:hAnsi="Times New Roman" w:cs="Times New Roman"/>
          <w:i/>
          <w:iCs/>
          <w:sz w:val="24"/>
          <w:szCs w:val="24"/>
        </w:rPr>
        <w:t>Y</w:t>
      </w:r>
      <w:r w:rsidR="00DA5D40" w:rsidRPr="00A424A7">
        <w:rPr>
          <w:rFonts w:ascii="Times New Roman" w:eastAsia="Times-Roman" w:hAnsi="Times New Roman" w:cs="Times New Roman"/>
          <w:i/>
          <w:iCs/>
          <w:sz w:val="24"/>
          <w:szCs w:val="24"/>
          <w:vertAlign w:val="subscript"/>
        </w:rPr>
        <w:t>i</w:t>
      </w:r>
      <w:r w:rsidRPr="00A424A7">
        <w:rPr>
          <w:rFonts w:ascii="Times New Roman" w:eastAsia="Times-Roman" w:hAnsi="Times New Roman" w:cs="Times New Roman"/>
          <w:i/>
          <w:iCs/>
          <w:sz w:val="24"/>
          <w:szCs w:val="24"/>
          <w:vertAlign w:val="subscript"/>
        </w:rPr>
        <w:t>t</w:t>
      </w:r>
      <w:r w:rsidR="008F342A" w:rsidRPr="00A424A7">
        <w:rPr>
          <w:rFonts w:ascii="Times New Roman" w:eastAsia="Times-Roman" w:hAnsi="Times New Roman" w:cs="Times New Roman"/>
          <w:i/>
          <w:iCs/>
          <w:sz w:val="24"/>
          <w:szCs w:val="24"/>
          <w:vertAlign w:val="subscript"/>
        </w:rPr>
        <w:t xml:space="preserve"> </w:t>
      </w:r>
      <w:r w:rsidR="00585922" w:rsidRPr="00A424A7">
        <w:rPr>
          <w:rFonts w:ascii="Times New Roman" w:eastAsia="Times-Roman" w:hAnsi="Times New Roman" w:cs="Times New Roman"/>
          <w:sz w:val="24"/>
          <w:szCs w:val="24"/>
        </w:rPr>
        <w:t>represents</w:t>
      </w:r>
      <w:r w:rsidRPr="00A424A7">
        <w:rPr>
          <w:rFonts w:ascii="Times New Roman" w:eastAsia="Times-Roman" w:hAnsi="Times New Roman" w:cs="Times New Roman"/>
          <w:sz w:val="24"/>
          <w:szCs w:val="24"/>
        </w:rPr>
        <w:t xml:space="preserve"> the natural logarithm of export market share</w:t>
      </w:r>
      <w:r w:rsidR="008911AA" w:rsidRPr="00A424A7">
        <w:rPr>
          <w:rFonts w:ascii="Times New Roman" w:eastAsia="Times-Roman" w:hAnsi="Times New Roman" w:cs="Times New Roman"/>
          <w:sz w:val="24"/>
          <w:szCs w:val="24"/>
        </w:rPr>
        <w:t xml:space="preserve"> of country </w:t>
      </w:r>
      <w:r w:rsidR="008C4C9E" w:rsidRPr="00A424A7">
        <w:rPr>
          <w:rFonts w:ascii="Times New Roman" w:eastAsia="Times-Roman" w:hAnsi="Times New Roman" w:cs="Times New Roman"/>
          <w:i/>
          <w:sz w:val="24"/>
          <w:szCs w:val="24"/>
        </w:rPr>
        <w:t>i</w:t>
      </w:r>
      <w:r w:rsidR="008911AA" w:rsidRPr="00A424A7">
        <w:rPr>
          <w:rFonts w:ascii="Times New Roman" w:eastAsia="Times-Roman" w:hAnsi="Times New Roman" w:cs="Times New Roman"/>
          <w:sz w:val="24"/>
          <w:szCs w:val="24"/>
        </w:rPr>
        <w:t xml:space="preserve"> in year </w:t>
      </w:r>
      <w:r w:rsidR="008C4C9E" w:rsidRPr="00A424A7">
        <w:rPr>
          <w:rFonts w:ascii="Times New Roman" w:eastAsia="Times-Roman" w:hAnsi="Times New Roman" w:cs="Times New Roman"/>
          <w:i/>
          <w:sz w:val="24"/>
          <w:szCs w:val="24"/>
        </w:rPr>
        <w:t>t</w:t>
      </w:r>
      <w:r w:rsidR="007C045D" w:rsidRPr="00A424A7">
        <w:rPr>
          <w:rFonts w:ascii="Times New Roman" w:eastAsia="Times-Roman" w:hAnsi="Times New Roman" w:cs="Times New Roman"/>
          <w:sz w:val="24"/>
          <w:szCs w:val="24"/>
        </w:rPr>
        <w:t xml:space="preserve">, </w:t>
      </w:r>
      <w:r w:rsidRPr="00A424A7">
        <w:rPr>
          <w:rFonts w:ascii="Times New Roman" w:eastAsia="Times-Roman" w:hAnsi="Times New Roman" w:cs="Times New Roman"/>
          <w:bCs/>
          <w:i/>
          <w:sz w:val="24"/>
          <w:szCs w:val="24"/>
        </w:rPr>
        <w:t>X</w:t>
      </w:r>
      <w:r w:rsidRPr="00A424A7">
        <w:rPr>
          <w:rFonts w:ascii="Times New Roman" w:eastAsia="Times-Roman" w:hAnsi="Times New Roman" w:cs="Times New Roman"/>
          <w:bCs/>
          <w:i/>
          <w:sz w:val="24"/>
          <w:szCs w:val="24"/>
          <w:vertAlign w:val="subscript"/>
        </w:rPr>
        <w:t>it</w:t>
      </w:r>
      <w:r w:rsidR="008F342A" w:rsidRPr="00A424A7">
        <w:rPr>
          <w:rFonts w:ascii="Times New Roman" w:eastAsia="Times-Roman" w:hAnsi="Times New Roman" w:cs="Times New Roman"/>
          <w:bCs/>
          <w:i/>
          <w:sz w:val="24"/>
          <w:szCs w:val="24"/>
          <w:vertAlign w:val="subscript"/>
        </w:rPr>
        <w:t xml:space="preserve"> </w:t>
      </w:r>
      <w:r w:rsidRPr="00A424A7">
        <w:rPr>
          <w:rFonts w:ascii="Times New Roman" w:eastAsia="Times-Roman" w:hAnsi="Times New Roman" w:cs="Times New Roman"/>
          <w:sz w:val="24"/>
          <w:szCs w:val="24"/>
        </w:rPr>
        <w:t xml:space="preserve">is a vector of explanatory variables, </w:t>
      </w:r>
      <w:r w:rsidRPr="00A424A7">
        <w:rPr>
          <w:rFonts w:ascii="Times New Roman" w:hAnsi="Times New Roman" w:cs="Times New Roman"/>
          <w:i/>
          <w:sz w:val="24"/>
          <w:szCs w:val="24"/>
        </w:rPr>
        <w:t>α</w:t>
      </w:r>
      <w:r w:rsidRPr="00A424A7">
        <w:rPr>
          <w:rFonts w:ascii="Times New Roman" w:hAnsi="Times New Roman" w:cs="Times New Roman"/>
          <w:i/>
          <w:sz w:val="24"/>
          <w:szCs w:val="24"/>
          <w:vertAlign w:val="subscript"/>
        </w:rPr>
        <w:t>i</w:t>
      </w:r>
      <w:r w:rsidRPr="00A424A7">
        <w:rPr>
          <w:rFonts w:ascii="Times New Roman" w:eastAsia="Times-Roman" w:hAnsi="Times New Roman" w:cs="Times New Roman"/>
          <w:sz w:val="24"/>
          <w:szCs w:val="24"/>
        </w:rPr>
        <w:t xml:space="preserve"> is the </w:t>
      </w:r>
      <w:r w:rsidRPr="00A424A7">
        <w:rPr>
          <w:rFonts w:ascii="Times New Roman" w:hAnsi="Times New Roman" w:cs="Times New Roman"/>
          <w:sz w:val="24"/>
          <w:szCs w:val="24"/>
        </w:rPr>
        <w:t>unobserved country specific effect</w:t>
      </w:r>
      <w:r w:rsidR="00335163" w:rsidRPr="00A424A7">
        <w:rPr>
          <w:rFonts w:ascii="Times New Roman" w:hAnsi="Times New Roman" w:cs="Times New Roman"/>
          <w:sz w:val="24"/>
          <w:szCs w:val="24"/>
        </w:rPr>
        <w:t>s</w:t>
      </w:r>
      <w:r w:rsidR="008F342A" w:rsidRPr="00A424A7">
        <w:rPr>
          <w:rFonts w:ascii="Times New Roman" w:hAnsi="Times New Roman" w:cs="Times New Roman"/>
          <w:sz w:val="24"/>
          <w:szCs w:val="24"/>
        </w:rPr>
        <w:t xml:space="preserve"> </w:t>
      </w:r>
      <w:r w:rsidRPr="00A424A7">
        <w:rPr>
          <w:rFonts w:ascii="Times New Roman" w:eastAsia="Times-Roman" w:hAnsi="Times New Roman" w:cs="Times New Roman"/>
          <w:sz w:val="24"/>
          <w:szCs w:val="24"/>
        </w:rPr>
        <w:t xml:space="preserve">and </w:t>
      </w:r>
      <w:r w:rsidRPr="00A424A7">
        <w:rPr>
          <w:rFonts w:ascii="Times New Roman" w:hAnsi="Times New Roman" w:cs="Times New Roman"/>
          <w:i/>
          <w:sz w:val="24"/>
          <w:szCs w:val="24"/>
        </w:rPr>
        <w:t>ε</w:t>
      </w:r>
      <w:r w:rsidRPr="00A424A7">
        <w:rPr>
          <w:rFonts w:ascii="Times New Roman" w:hAnsi="Times New Roman" w:cs="Times New Roman"/>
          <w:i/>
          <w:sz w:val="24"/>
          <w:szCs w:val="24"/>
          <w:vertAlign w:val="subscript"/>
        </w:rPr>
        <w:t>it</w:t>
      </w:r>
      <w:r w:rsidR="008F342A" w:rsidRPr="00A424A7">
        <w:rPr>
          <w:rFonts w:ascii="Times New Roman" w:hAnsi="Times New Roman" w:cs="Times New Roman"/>
          <w:i/>
          <w:sz w:val="24"/>
          <w:szCs w:val="24"/>
          <w:vertAlign w:val="subscript"/>
        </w:rPr>
        <w:t xml:space="preserve"> </w:t>
      </w:r>
      <w:r w:rsidRPr="00A424A7">
        <w:rPr>
          <w:rFonts w:ascii="Times New Roman" w:eastAsia="Times-Roman" w:hAnsi="Times New Roman" w:cs="Times New Roman"/>
          <w:sz w:val="24"/>
          <w:szCs w:val="24"/>
        </w:rPr>
        <w:t>is the error term</w:t>
      </w:r>
      <w:r w:rsidR="00A855FA" w:rsidRPr="00A424A7">
        <w:rPr>
          <w:rFonts w:ascii="Times New Roman" w:eastAsia="Times-Roman" w:hAnsi="Times New Roman" w:cs="Times New Roman"/>
          <w:sz w:val="24"/>
          <w:szCs w:val="24"/>
        </w:rPr>
        <w:t>.</w:t>
      </w:r>
      <w:r w:rsidR="008F342A" w:rsidRPr="00A424A7">
        <w:rPr>
          <w:rFonts w:ascii="Times New Roman" w:eastAsia="Times-Roman" w:hAnsi="Times New Roman" w:cs="Times New Roman"/>
          <w:sz w:val="24"/>
          <w:szCs w:val="24"/>
        </w:rPr>
        <w:t xml:space="preserve"> </w:t>
      </w:r>
      <w:r w:rsidR="001B5ED6" w:rsidRPr="00A424A7">
        <w:rPr>
          <w:rFonts w:ascii="Times New Roman" w:hAnsi="Times New Roman" w:cs="Times New Roman"/>
          <w:sz w:val="24"/>
          <w:szCs w:val="24"/>
        </w:rPr>
        <w:t>The</w:t>
      </w:r>
      <w:r w:rsidR="00A855FA" w:rsidRPr="00A424A7">
        <w:rPr>
          <w:rFonts w:ascii="Times New Roman" w:hAnsi="Times New Roman" w:cs="Times New Roman"/>
          <w:sz w:val="24"/>
          <w:szCs w:val="24"/>
        </w:rPr>
        <w:t xml:space="preserve"> models </w:t>
      </w:r>
      <w:r w:rsidR="001A30DA" w:rsidRPr="00A424A7">
        <w:rPr>
          <w:rFonts w:ascii="Times New Roman" w:hAnsi="Times New Roman" w:cs="Times New Roman"/>
          <w:sz w:val="24"/>
          <w:szCs w:val="24"/>
        </w:rPr>
        <w:t>are</w:t>
      </w:r>
      <w:r w:rsidR="00A855FA" w:rsidRPr="00A424A7">
        <w:rPr>
          <w:rFonts w:ascii="Times New Roman" w:hAnsi="Times New Roman" w:cs="Times New Roman"/>
          <w:sz w:val="24"/>
          <w:szCs w:val="24"/>
        </w:rPr>
        <w:t xml:space="preserve"> augmented by</w:t>
      </w:r>
      <w:r w:rsidR="001A30DA" w:rsidRPr="00A424A7">
        <w:rPr>
          <w:rFonts w:ascii="Times New Roman" w:hAnsi="Times New Roman" w:cs="Times New Roman"/>
          <w:sz w:val="24"/>
          <w:szCs w:val="24"/>
        </w:rPr>
        <w:t xml:space="preserve"> including</w:t>
      </w:r>
      <w:r w:rsidR="00A855FA" w:rsidRPr="00A424A7">
        <w:rPr>
          <w:rFonts w:ascii="Times New Roman" w:hAnsi="Times New Roman" w:cs="Times New Roman"/>
          <w:sz w:val="24"/>
          <w:szCs w:val="24"/>
        </w:rPr>
        <w:t xml:space="preserve"> set of time dummies</w:t>
      </w:r>
      <w:r w:rsidR="00707FC7" w:rsidRPr="00A424A7">
        <w:rPr>
          <w:rFonts w:ascii="Times New Roman" w:hAnsi="Times New Roman" w:cs="Times New Roman"/>
          <w:sz w:val="24"/>
          <w:szCs w:val="24"/>
        </w:rPr>
        <w:t xml:space="preserve"> (</w:t>
      </w:r>
      <w:r w:rsidR="00707FC7" w:rsidRPr="00A424A7">
        <w:rPr>
          <w:rFonts w:ascii="Times New Roman" w:hAnsi="Times New Roman" w:cs="Times New Roman"/>
          <w:i/>
          <w:sz w:val="24"/>
          <w:szCs w:val="24"/>
        </w:rPr>
        <w:t>Yr</w:t>
      </w:r>
      <w:r w:rsidR="005F1156" w:rsidRPr="00A424A7">
        <w:rPr>
          <w:rFonts w:ascii="Times New Roman" w:hAnsi="Times New Roman" w:cs="Times New Roman"/>
          <w:i/>
          <w:sz w:val="24"/>
          <w:szCs w:val="24"/>
        </w:rPr>
        <w:t>d</w:t>
      </w:r>
      <w:r w:rsidR="00707FC7" w:rsidRPr="00A424A7">
        <w:rPr>
          <w:rFonts w:ascii="Times New Roman" w:hAnsi="Times New Roman" w:cs="Times New Roman"/>
          <w:i/>
          <w:sz w:val="24"/>
          <w:szCs w:val="24"/>
        </w:rPr>
        <w:t>1996-2010)</w:t>
      </w:r>
      <w:r w:rsidR="00A855FA" w:rsidRPr="00A424A7">
        <w:rPr>
          <w:rFonts w:ascii="Times New Roman" w:hAnsi="Times New Roman" w:cs="Times New Roman"/>
          <w:sz w:val="24"/>
          <w:szCs w:val="24"/>
        </w:rPr>
        <w:t>.</w:t>
      </w:r>
      <w:r w:rsidR="008F342A" w:rsidRPr="00A424A7">
        <w:rPr>
          <w:rFonts w:ascii="Times New Roman" w:hAnsi="Times New Roman" w:cs="Times New Roman"/>
          <w:sz w:val="24"/>
          <w:szCs w:val="24"/>
        </w:rPr>
        <w:t xml:space="preserve"> </w:t>
      </w:r>
      <w:r w:rsidRPr="00A424A7">
        <w:rPr>
          <w:rFonts w:ascii="Times New Roman" w:hAnsi="Times New Roman" w:cs="Times New Roman"/>
          <w:sz w:val="24"/>
          <w:szCs w:val="24"/>
        </w:rPr>
        <w:t xml:space="preserve">Two </w:t>
      </w:r>
      <w:r w:rsidR="00634DA1" w:rsidRPr="00A424A7">
        <w:rPr>
          <w:rFonts w:ascii="Times New Roman" w:hAnsi="Times New Roman" w:cs="Times New Roman"/>
          <w:sz w:val="24"/>
          <w:szCs w:val="24"/>
        </w:rPr>
        <w:t>specifications</w:t>
      </w:r>
      <w:r w:rsidRPr="00A424A7">
        <w:rPr>
          <w:rFonts w:ascii="Times New Roman" w:hAnsi="Times New Roman" w:cs="Times New Roman"/>
          <w:sz w:val="24"/>
          <w:szCs w:val="24"/>
        </w:rPr>
        <w:t xml:space="preserve"> </w:t>
      </w:r>
      <w:r w:rsidR="0069499F" w:rsidRPr="00A424A7">
        <w:rPr>
          <w:rFonts w:ascii="Times New Roman" w:hAnsi="Times New Roman" w:cs="Times New Roman"/>
          <w:sz w:val="24"/>
          <w:szCs w:val="24"/>
        </w:rPr>
        <w:t>are</w:t>
      </w:r>
      <w:r w:rsidRPr="00A424A7">
        <w:rPr>
          <w:rFonts w:ascii="Times New Roman" w:hAnsi="Times New Roman" w:cs="Times New Roman"/>
          <w:sz w:val="24"/>
          <w:szCs w:val="24"/>
        </w:rPr>
        <w:t xml:space="preserve"> estimated</w:t>
      </w:r>
      <w:r w:rsidR="00B4357B" w:rsidRPr="00A424A7">
        <w:rPr>
          <w:rFonts w:ascii="Times New Roman" w:hAnsi="Times New Roman" w:cs="Times New Roman"/>
          <w:sz w:val="24"/>
          <w:szCs w:val="24"/>
        </w:rPr>
        <w:t xml:space="preserve"> using alternative measures of educational achievement</w:t>
      </w:r>
      <w:r w:rsidRPr="00A424A7">
        <w:rPr>
          <w:rFonts w:ascii="Times New Roman" w:hAnsi="Times New Roman" w:cs="Times New Roman"/>
          <w:sz w:val="24"/>
          <w:szCs w:val="24"/>
        </w:rPr>
        <w:t xml:space="preserve">: </w:t>
      </w:r>
      <w:r w:rsidR="00B4357B" w:rsidRPr="00A424A7">
        <w:rPr>
          <w:rFonts w:ascii="Times New Roman" w:hAnsi="Times New Roman" w:cs="Times New Roman"/>
          <w:sz w:val="24"/>
          <w:szCs w:val="24"/>
        </w:rPr>
        <w:t>S</w:t>
      </w:r>
      <w:r w:rsidR="00634DA1" w:rsidRPr="00A424A7">
        <w:rPr>
          <w:rFonts w:ascii="Times New Roman" w:hAnsi="Times New Roman" w:cs="Times New Roman"/>
          <w:sz w:val="24"/>
          <w:szCs w:val="24"/>
        </w:rPr>
        <w:t xml:space="preserve">pecification </w:t>
      </w:r>
      <w:r w:rsidRPr="00A424A7">
        <w:rPr>
          <w:rFonts w:ascii="Times New Roman" w:hAnsi="Times New Roman" w:cs="Times New Roman"/>
          <w:sz w:val="24"/>
          <w:szCs w:val="24"/>
        </w:rPr>
        <w:t xml:space="preserve">1 focuses on the impact of the share of population aged 15 and over who have attained secondary and tertiary education, </w:t>
      </w:r>
      <w:r w:rsidR="00DA5D40" w:rsidRPr="00A424A7">
        <w:rPr>
          <w:rFonts w:ascii="Times New Roman" w:hAnsi="Times New Roman" w:cs="Times New Roman"/>
          <w:sz w:val="24"/>
          <w:szCs w:val="24"/>
        </w:rPr>
        <w:t xml:space="preserve">respectively </w:t>
      </w:r>
      <w:r w:rsidRPr="00A424A7">
        <w:rPr>
          <w:rFonts w:ascii="Times New Roman" w:hAnsi="Times New Roman" w:cs="Times New Roman"/>
          <w:sz w:val="24"/>
          <w:szCs w:val="24"/>
        </w:rPr>
        <w:t xml:space="preserve">while, </w:t>
      </w:r>
      <w:r w:rsidR="00523DAE" w:rsidRPr="00A424A7">
        <w:rPr>
          <w:rFonts w:ascii="Times New Roman" w:hAnsi="Times New Roman" w:cs="Times New Roman"/>
          <w:sz w:val="24"/>
          <w:szCs w:val="24"/>
        </w:rPr>
        <w:t>S</w:t>
      </w:r>
      <w:r w:rsidR="00634DA1" w:rsidRPr="00A424A7">
        <w:rPr>
          <w:rFonts w:ascii="Times New Roman" w:hAnsi="Times New Roman" w:cs="Times New Roman"/>
          <w:sz w:val="24"/>
          <w:szCs w:val="24"/>
        </w:rPr>
        <w:t xml:space="preserve">pecification </w:t>
      </w:r>
      <w:r w:rsidRPr="00A424A7">
        <w:rPr>
          <w:rFonts w:ascii="Times New Roman" w:hAnsi="Times New Roman" w:cs="Times New Roman"/>
          <w:sz w:val="24"/>
          <w:szCs w:val="24"/>
        </w:rPr>
        <w:t>2 assesses the effect of the average years of schooling.</w:t>
      </w:r>
      <w:r w:rsidRPr="001E2721">
        <w:rPr>
          <w:rFonts w:ascii="Times New Roman" w:hAnsi="Times New Roman" w:cs="Times New Roman"/>
          <w:sz w:val="24"/>
          <w:szCs w:val="24"/>
        </w:rPr>
        <w:t xml:space="preserve"> </w:t>
      </w:r>
    </w:p>
    <w:p w:rsidR="00DB2F15" w:rsidRPr="001E2721" w:rsidRDefault="00DB2F15" w:rsidP="000C6BAE">
      <w:pPr>
        <w:autoSpaceDE w:val="0"/>
        <w:autoSpaceDN w:val="0"/>
        <w:adjustRightInd w:val="0"/>
        <w:spacing w:after="0" w:line="360" w:lineRule="auto"/>
        <w:jc w:val="both"/>
        <w:rPr>
          <w:rFonts w:ascii="Times New Roman" w:hAnsi="Times New Roman" w:cs="Times New Roman"/>
          <w:b/>
          <w:sz w:val="24"/>
          <w:szCs w:val="24"/>
        </w:rPr>
      </w:pPr>
    </w:p>
    <w:p w:rsidR="00DB2F15" w:rsidRPr="00A424A7" w:rsidRDefault="004F4F0E" w:rsidP="00DB2F15">
      <w:pPr>
        <w:jc w:val="both"/>
        <w:rPr>
          <w:rFonts w:ascii="Times New Roman" w:hAnsi="Times New Roman" w:cs="Times New Roman"/>
          <w:b/>
          <w:sz w:val="24"/>
          <w:szCs w:val="24"/>
        </w:rPr>
      </w:pPr>
      <w:r w:rsidRPr="00A424A7">
        <w:rPr>
          <w:rFonts w:ascii="Times New Roman" w:hAnsi="Times New Roman" w:cs="Times New Roman"/>
          <w:b/>
          <w:sz w:val="24"/>
          <w:szCs w:val="24"/>
        </w:rPr>
        <w:t>S</w:t>
      </w:r>
      <w:r w:rsidR="00DB2F15" w:rsidRPr="00A424A7">
        <w:rPr>
          <w:rFonts w:ascii="Times New Roman" w:hAnsi="Times New Roman" w:cs="Times New Roman"/>
          <w:b/>
          <w:sz w:val="24"/>
          <w:szCs w:val="24"/>
        </w:rPr>
        <w:t>pecification 1</w:t>
      </w:r>
      <w:r w:rsidR="00DA6577" w:rsidRPr="00A424A7">
        <w:rPr>
          <w:rStyle w:val="FootnoteReference"/>
          <w:rFonts w:ascii="Times New Roman" w:hAnsi="Times New Roman" w:cs="Times New Roman"/>
          <w:sz w:val="24"/>
          <w:szCs w:val="24"/>
        </w:rPr>
        <w:footnoteReference w:id="18"/>
      </w:r>
      <w:r w:rsidR="00DB2F15" w:rsidRPr="00A424A7">
        <w:rPr>
          <w:rFonts w:ascii="Times New Roman" w:hAnsi="Times New Roman" w:cs="Times New Roman"/>
          <w:b/>
          <w:sz w:val="24"/>
          <w:szCs w:val="24"/>
        </w:rPr>
        <w:t xml:space="preserve">: </w:t>
      </w:r>
    </w:p>
    <w:p w:rsidR="00095755" w:rsidRPr="00A424A7" w:rsidRDefault="00095755" w:rsidP="00095755">
      <w:pPr>
        <w:jc w:val="both"/>
        <w:rPr>
          <w:rFonts w:ascii="Times New Roman" w:hAnsi="Times New Roman" w:cs="Times New Roman"/>
          <w:sz w:val="24"/>
          <w:szCs w:val="24"/>
          <w:vertAlign w:val="subscript"/>
        </w:rPr>
      </w:pPr>
      <w:r w:rsidRPr="00A424A7">
        <w:rPr>
          <w:rFonts w:ascii="Times New Roman" w:hAnsi="Times New Roman" w:cs="Times New Roman"/>
          <w:sz w:val="24"/>
          <w:szCs w:val="24"/>
        </w:rPr>
        <w:t>lnemsh</w:t>
      </w:r>
      <w:r w:rsidRPr="00A424A7">
        <w:rPr>
          <w:rFonts w:ascii="Times New Roman" w:hAnsi="Times New Roman" w:cs="Times New Roman"/>
          <w:sz w:val="24"/>
          <w:szCs w:val="24"/>
          <w:vertAlign w:val="subscript"/>
        </w:rPr>
        <w:t xml:space="preserve">it </w:t>
      </w:r>
      <w:r w:rsidRPr="00A424A7">
        <w:rPr>
          <w:rFonts w:ascii="Times New Roman" w:hAnsi="Times New Roman" w:cs="Times New Roman"/>
          <w:sz w:val="24"/>
          <w:szCs w:val="24"/>
        </w:rPr>
        <w:t>= β</w:t>
      </w:r>
      <w:r w:rsidRPr="00A424A7">
        <w:rPr>
          <w:rFonts w:ascii="Times New Roman" w:hAnsi="Times New Roman" w:cs="Times New Roman"/>
          <w:sz w:val="24"/>
          <w:szCs w:val="24"/>
          <w:vertAlign w:val="subscript"/>
        </w:rPr>
        <w:t>1</w:t>
      </w:r>
      <w:r w:rsidRPr="00A424A7">
        <w:rPr>
          <w:rFonts w:ascii="Times New Roman" w:hAnsi="Times New Roman" w:cs="Times New Roman"/>
          <w:sz w:val="24"/>
          <w:szCs w:val="24"/>
        </w:rPr>
        <w:t>lnsedut</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Pr="00A424A7">
        <w:rPr>
          <w:rFonts w:ascii="Times New Roman" w:hAnsi="Times New Roman" w:cs="Times New Roman"/>
          <w:sz w:val="24"/>
          <w:szCs w:val="24"/>
          <w:vertAlign w:val="subscript"/>
        </w:rPr>
        <w:t>2</w:t>
      </w:r>
      <w:r w:rsidRPr="00A424A7">
        <w:rPr>
          <w:rFonts w:ascii="Times New Roman" w:hAnsi="Times New Roman" w:cs="Times New Roman"/>
          <w:sz w:val="24"/>
          <w:szCs w:val="24"/>
        </w:rPr>
        <w:t>lntedut</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Pr="00A424A7">
        <w:rPr>
          <w:rFonts w:ascii="Times New Roman" w:hAnsi="Times New Roman" w:cs="Times New Roman"/>
          <w:sz w:val="24"/>
          <w:szCs w:val="24"/>
          <w:vertAlign w:val="subscript"/>
        </w:rPr>
        <w:t>3</w:t>
      </w:r>
      <w:r w:rsidR="005F1156" w:rsidRPr="00A424A7">
        <w:rPr>
          <w:rFonts w:ascii="Times New Roman" w:eastAsia="Times New Roman" w:hAnsi="Times New Roman" w:cs="Times New Roman"/>
          <w:color w:val="000000"/>
          <w:sz w:val="24"/>
          <w:szCs w:val="24"/>
        </w:rPr>
        <w:t>educ</w:t>
      </w:r>
      <w:r w:rsidR="00FF4809" w:rsidRPr="00A424A7">
        <w:rPr>
          <w:rFonts w:ascii="Times New Roman" w:eastAsia="Times New Roman" w:hAnsi="Times New Roman" w:cs="Times New Roman"/>
          <w:color w:val="000000"/>
          <w:sz w:val="24"/>
          <w:szCs w:val="24"/>
        </w:rPr>
        <w:t>q</w:t>
      </w:r>
      <w:r w:rsidR="000D79A9"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00AE56D7">
        <w:rPr>
          <w:rFonts w:ascii="Times New Roman" w:hAnsi="Times New Roman" w:cs="Times New Roman"/>
          <w:sz w:val="24"/>
          <w:szCs w:val="24"/>
          <w:vertAlign w:val="subscript"/>
        </w:rPr>
        <w:t>4</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patappr</w:t>
      </w:r>
      <w:r w:rsidRPr="00A424A7">
        <w:rPr>
          <w:rFonts w:ascii="Times New Roman" w:hAnsi="Times New Roman" w:cs="Times New Roman"/>
          <w:sz w:val="24"/>
          <w:szCs w:val="24"/>
          <w:vertAlign w:val="subscript"/>
        </w:rPr>
        <w:t>it</w:t>
      </w:r>
      <w:r w:rsidR="000D79A9" w:rsidRPr="00A424A7">
        <w:rPr>
          <w:rFonts w:ascii="Times New Roman" w:hAnsi="Times New Roman" w:cs="Times New Roman"/>
          <w:sz w:val="24"/>
          <w:szCs w:val="24"/>
          <w:vertAlign w:val="subscript"/>
        </w:rPr>
        <w:t xml:space="preserve"> </w:t>
      </w:r>
      <w:r w:rsidRPr="00A424A7">
        <w:rPr>
          <w:rFonts w:ascii="Times New Roman" w:hAnsi="Times New Roman" w:cs="Times New Roman"/>
          <w:sz w:val="24"/>
          <w:szCs w:val="24"/>
        </w:rPr>
        <w:t>+ β</w:t>
      </w:r>
      <w:r w:rsidR="00AE56D7">
        <w:rPr>
          <w:rFonts w:ascii="Times New Roman" w:hAnsi="Times New Roman" w:cs="Times New Roman"/>
          <w:sz w:val="24"/>
          <w:szCs w:val="24"/>
          <w:vertAlign w:val="subscript"/>
        </w:rPr>
        <w:t>5</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fdi</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00AE56D7">
        <w:rPr>
          <w:rFonts w:ascii="Times New Roman" w:hAnsi="Times New Roman" w:cs="Times New Roman"/>
          <w:sz w:val="24"/>
          <w:szCs w:val="24"/>
          <w:vertAlign w:val="subscript"/>
        </w:rPr>
        <w:t>6</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gdpc</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00AE56D7">
        <w:rPr>
          <w:rFonts w:ascii="Times New Roman" w:hAnsi="Times New Roman" w:cs="Times New Roman"/>
          <w:sz w:val="24"/>
          <w:szCs w:val="24"/>
          <w:vertAlign w:val="subscript"/>
        </w:rPr>
        <w:t>7</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pop</w:t>
      </w:r>
      <w:r w:rsidRPr="00A424A7">
        <w:rPr>
          <w:rFonts w:ascii="Times New Roman" w:hAnsi="Times New Roman" w:cs="Times New Roman"/>
          <w:sz w:val="24"/>
          <w:szCs w:val="24"/>
          <w:vertAlign w:val="subscript"/>
        </w:rPr>
        <w:t xml:space="preserve"> it</w:t>
      </w:r>
      <w:r w:rsidRPr="00A424A7">
        <w:rPr>
          <w:rFonts w:ascii="Times New Roman" w:hAnsi="Times New Roman" w:cs="Times New Roman"/>
          <w:sz w:val="24"/>
          <w:szCs w:val="24"/>
        </w:rPr>
        <w:t xml:space="preserve"> + β</w:t>
      </w:r>
      <w:r w:rsidR="00AE56D7">
        <w:rPr>
          <w:rFonts w:ascii="Times New Roman" w:hAnsi="Times New Roman" w:cs="Times New Roman"/>
          <w:sz w:val="24"/>
          <w:szCs w:val="24"/>
          <w:vertAlign w:val="subscript"/>
        </w:rPr>
        <w:t>8</w:t>
      </w:r>
      <w:r w:rsidRPr="00A424A7">
        <w:rPr>
          <w:rFonts w:ascii="Times New Roman" w:eastAsia="Times New Roman" w:hAnsi="Times New Roman" w:cs="Times New Roman"/>
          <w:color w:val="000000"/>
          <w:sz w:val="24"/>
          <w:szCs w:val="24"/>
        </w:rPr>
        <w:t>unem</w:t>
      </w:r>
      <w:r w:rsidRPr="00A424A7">
        <w:rPr>
          <w:rFonts w:ascii="Times New Roman" w:hAnsi="Times New Roman" w:cs="Times New Roman"/>
          <w:sz w:val="24"/>
          <w:szCs w:val="24"/>
          <w:vertAlign w:val="subscript"/>
        </w:rPr>
        <w:t xml:space="preserve">it </w:t>
      </w:r>
      <w:r w:rsidRPr="00A424A7">
        <w:rPr>
          <w:rFonts w:ascii="Times New Roman" w:hAnsi="Times New Roman" w:cs="Times New Roman"/>
          <w:sz w:val="24"/>
          <w:szCs w:val="24"/>
        </w:rPr>
        <w:t>+ β</w:t>
      </w:r>
      <w:r w:rsidR="00AE56D7">
        <w:rPr>
          <w:rFonts w:ascii="Times New Roman" w:hAnsi="Times New Roman" w:cs="Times New Roman"/>
          <w:sz w:val="24"/>
          <w:szCs w:val="24"/>
          <w:vertAlign w:val="subscript"/>
        </w:rPr>
        <w:t>9</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ecofree</w:t>
      </w:r>
      <w:r w:rsidRPr="00A424A7">
        <w:rPr>
          <w:rFonts w:ascii="Times New Roman" w:hAnsi="Times New Roman" w:cs="Times New Roman"/>
          <w:sz w:val="24"/>
          <w:szCs w:val="24"/>
          <w:vertAlign w:val="subscript"/>
        </w:rPr>
        <w:t xml:space="preserve">it </w:t>
      </w:r>
      <w:r w:rsidRPr="00A424A7">
        <w:rPr>
          <w:rFonts w:ascii="Times New Roman" w:hAnsi="Times New Roman" w:cs="Times New Roman"/>
          <w:sz w:val="24"/>
          <w:szCs w:val="24"/>
        </w:rPr>
        <w:t>+ β</w:t>
      </w:r>
      <w:r w:rsidRPr="00A424A7">
        <w:rPr>
          <w:rFonts w:ascii="Times New Roman" w:hAnsi="Times New Roman" w:cs="Times New Roman"/>
          <w:sz w:val="24"/>
          <w:szCs w:val="24"/>
          <w:vertAlign w:val="subscript"/>
        </w:rPr>
        <w:t>1</w:t>
      </w:r>
      <w:r w:rsidR="00AE56D7">
        <w:rPr>
          <w:rFonts w:ascii="Times New Roman" w:hAnsi="Times New Roman" w:cs="Times New Roman"/>
          <w:sz w:val="24"/>
          <w:szCs w:val="24"/>
          <w:vertAlign w:val="subscript"/>
        </w:rPr>
        <w:t>0</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rulc</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Pr="00A424A7">
        <w:rPr>
          <w:rFonts w:ascii="Times New Roman" w:hAnsi="Times New Roman" w:cs="Times New Roman"/>
          <w:sz w:val="24"/>
          <w:szCs w:val="24"/>
          <w:vertAlign w:val="subscript"/>
        </w:rPr>
        <w:t>1</w:t>
      </w:r>
      <w:r w:rsidR="00AE56D7">
        <w:rPr>
          <w:rFonts w:ascii="Times New Roman" w:hAnsi="Times New Roman" w:cs="Times New Roman"/>
          <w:sz w:val="24"/>
          <w:szCs w:val="24"/>
          <w:vertAlign w:val="subscript"/>
        </w:rPr>
        <w:t>1</w:t>
      </w:r>
      <w:r w:rsidRPr="00A424A7">
        <w:rPr>
          <w:rFonts w:ascii="Times New Roman" w:eastAsia="Times New Roman" w:hAnsi="Times New Roman" w:cs="Times New Roman"/>
          <w:color w:val="000000"/>
          <w:sz w:val="24"/>
          <w:szCs w:val="24"/>
        </w:rPr>
        <w:t>transindN</w:t>
      </w:r>
      <w:r w:rsidRPr="00A424A7">
        <w:rPr>
          <w:rFonts w:ascii="Times New Roman" w:hAnsi="Times New Roman" w:cs="Times New Roman"/>
          <w:sz w:val="24"/>
          <w:szCs w:val="24"/>
          <w:vertAlign w:val="subscript"/>
        </w:rPr>
        <w:t xml:space="preserve">it </w:t>
      </w:r>
      <w:r w:rsidRPr="00A424A7">
        <w:rPr>
          <w:rFonts w:ascii="Times New Roman" w:hAnsi="Times New Roman" w:cs="Times New Roman"/>
          <w:sz w:val="24"/>
          <w:szCs w:val="24"/>
        </w:rPr>
        <w:t xml:space="preserve"> + β</w:t>
      </w:r>
      <w:r w:rsidRPr="00A424A7">
        <w:rPr>
          <w:rFonts w:ascii="Times New Roman" w:hAnsi="Times New Roman" w:cs="Times New Roman"/>
          <w:sz w:val="24"/>
          <w:szCs w:val="24"/>
          <w:vertAlign w:val="subscript"/>
        </w:rPr>
        <w:t>1</w:t>
      </w:r>
      <w:r w:rsidR="00AE56D7">
        <w:rPr>
          <w:rFonts w:ascii="Times New Roman" w:hAnsi="Times New Roman" w:cs="Times New Roman"/>
          <w:sz w:val="24"/>
          <w:szCs w:val="24"/>
          <w:vertAlign w:val="subscript"/>
        </w:rPr>
        <w:t>2</w:t>
      </w:r>
      <w:r w:rsidRPr="00A424A7">
        <w:rPr>
          <w:rFonts w:ascii="Times New Roman" w:eastAsia="Times New Roman" w:hAnsi="Times New Roman" w:cs="Times New Roman"/>
          <w:color w:val="000000"/>
          <w:sz w:val="24"/>
          <w:szCs w:val="24"/>
        </w:rPr>
        <w:t>serv</w:t>
      </w:r>
      <w:r w:rsidRPr="00A424A7">
        <w:rPr>
          <w:rFonts w:ascii="Times New Roman" w:hAnsi="Times New Roman" w:cs="Times New Roman"/>
          <w:sz w:val="24"/>
          <w:szCs w:val="24"/>
          <w:vertAlign w:val="subscript"/>
        </w:rPr>
        <w:t xml:space="preserve">it </w:t>
      </w:r>
      <w:r w:rsidRPr="00A424A7">
        <w:rPr>
          <w:rFonts w:ascii="Times New Roman" w:hAnsi="Times New Roman" w:cs="Times New Roman"/>
          <w:sz w:val="24"/>
          <w:szCs w:val="24"/>
        </w:rPr>
        <w:t>+ α</w:t>
      </w:r>
      <w:r w:rsidRPr="00A424A7">
        <w:rPr>
          <w:rFonts w:ascii="Times New Roman" w:hAnsi="Times New Roman" w:cs="Times New Roman"/>
          <w:sz w:val="24"/>
          <w:szCs w:val="24"/>
          <w:vertAlign w:val="subscript"/>
        </w:rPr>
        <w:t xml:space="preserve">i </w:t>
      </w:r>
      <w:r w:rsidRPr="00A424A7">
        <w:rPr>
          <w:rFonts w:ascii="Times New Roman" w:hAnsi="Times New Roman" w:cs="Times New Roman"/>
          <w:sz w:val="24"/>
          <w:szCs w:val="24"/>
        </w:rPr>
        <w:t xml:space="preserve"> </w:t>
      </w:r>
      <w:r w:rsidR="005F1156" w:rsidRPr="00A424A7">
        <w:rPr>
          <w:rFonts w:ascii="Times New Roman" w:hAnsi="Times New Roman" w:cs="Times New Roman"/>
          <w:sz w:val="24"/>
          <w:szCs w:val="24"/>
        </w:rPr>
        <w:t xml:space="preserve">+ Yrd1996-2010 </w:t>
      </w:r>
      <w:r w:rsidRPr="00A424A7">
        <w:rPr>
          <w:rFonts w:ascii="Times New Roman" w:hAnsi="Times New Roman" w:cs="Times New Roman"/>
          <w:sz w:val="24"/>
          <w:szCs w:val="24"/>
        </w:rPr>
        <w:t>+ ε</w:t>
      </w:r>
      <w:r w:rsidRPr="00A424A7">
        <w:rPr>
          <w:rFonts w:ascii="Times New Roman" w:hAnsi="Times New Roman" w:cs="Times New Roman"/>
          <w:sz w:val="24"/>
          <w:szCs w:val="24"/>
          <w:vertAlign w:val="subscript"/>
        </w:rPr>
        <w:t xml:space="preserve">it </w:t>
      </w:r>
    </w:p>
    <w:p w:rsidR="00095755" w:rsidRPr="00A424A7" w:rsidRDefault="004F4F0E" w:rsidP="00095755">
      <w:pPr>
        <w:jc w:val="both"/>
        <w:rPr>
          <w:rFonts w:ascii="Times New Roman" w:hAnsi="Times New Roman" w:cs="Times New Roman"/>
          <w:b/>
          <w:sz w:val="24"/>
          <w:szCs w:val="24"/>
        </w:rPr>
      </w:pPr>
      <w:r w:rsidRPr="00A424A7">
        <w:rPr>
          <w:rFonts w:ascii="Times New Roman" w:hAnsi="Times New Roman" w:cs="Times New Roman"/>
          <w:b/>
          <w:sz w:val="24"/>
          <w:szCs w:val="24"/>
        </w:rPr>
        <w:t>S</w:t>
      </w:r>
      <w:r w:rsidR="00095755" w:rsidRPr="00A424A7">
        <w:rPr>
          <w:rFonts w:ascii="Times New Roman" w:hAnsi="Times New Roman" w:cs="Times New Roman"/>
          <w:b/>
          <w:sz w:val="24"/>
          <w:szCs w:val="24"/>
        </w:rPr>
        <w:t>pecification 2:</w:t>
      </w:r>
    </w:p>
    <w:p w:rsidR="00F31CB3" w:rsidRPr="001E2721" w:rsidRDefault="00095755" w:rsidP="005F1156">
      <w:pPr>
        <w:jc w:val="both"/>
        <w:rPr>
          <w:rFonts w:ascii="Times New Roman" w:hAnsi="Times New Roman" w:cs="Times New Roman"/>
          <w:sz w:val="24"/>
          <w:szCs w:val="24"/>
          <w:vertAlign w:val="subscript"/>
        </w:rPr>
      </w:pPr>
      <w:r w:rsidRPr="00A424A7">
        <w:rPr>
          <w:rFonts w:ascii="Times New Roman" w:hAnsi="Times New Roman" w:cs="Times New Roman"/>
          <w:sz w:val="24"/>
          <w:szCs w:val="24"/>
        </w:rPr>
        <w:t>lnemsh</w:t>
      </w:r>
      <w:r w:rsidRPr="00A424A7">
        <w:rPr>
          <w:rFonts w:ascii="Times New Roman" w:hAnsi="Times New Roman" w:cs="Times New Roman"/>
          <w:sz w:val="24"/>
          <w:szCs w:val="24"/>
          <w:vertAlign w:val="subscript"/>
        </w:rPr>
        <w:t xml:space="preserve">it </w:t>
      </w:r>
      <w:r w:rsidRPr="00A424A7">
        <w:rPr>
          <w:rFonts w:ascii="Times New Roman" w:hAnsi="Times New Roman" w:cs="Times New Roman"/>
          <w:sz w:val="24"/>
          <w:szCs w:val="24"/>
        </w:rPr>
        <w:t>= β</w:t>
      </w:r>
      <w:r w:rsidRPr="00A424A7">
        <w:rPr>
          <w:rFonts w:ascii="Times New Roman" w:hAnsi="Times New Roman" w:cs="Times New Roman"/>
          <w:sz w:val="24"/>
          <w:szCs w:val="24"/>
          <w:vertAlign w:val="subscript"/>
        </w:rPr>
        <w:t>1</w:t>
      </w:r>
      <w:r w:rsidRPr="00A424A7">
        <w:rPr>
          <w:rFonts w:ascii="Times New Roman" w:hAnsi="Times New Roman" w:cs="Times New Roman"/>
          <w:sz w:val="24"/>
          <w:szCs w:val="24"/>
        </w:rPr>
        <w:t>avyrs</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Pr="00A424A7">
        <w:rPr>
          <w:rFonts w:ascii="Times New Roman" w:hAnsi="Times New Roman" w:cs="Times New Roman"/>
          <w:sz w:val="24"/>
          <w:szCs w:val="24"/>
          <w:vertAlign w:val="subscript"/>
        </w:rPr>
        <w:t>2</w:t>
      </w:r>
      <w:r w:rsidRPr="00A424A7">
        <w:rPr>
          <w:rFonts w:ascii="Times New Roman" w:eastAsia="Times New Roman" w:hAnsi="Times New Roman" w:cs="Times New Roman"/>
          <w:color w:val="000000"/>
          <w:sz w:val="24"/>
          <w:szCs w:val="24"/>
          <w:lang w:eastAsia="en-GB"/>
        </w:rPr>
        <w:t>sqravyrs</w:t>
      </w:r>
      <w:r w:rsidRPr="00A424A7">
        <w:rPr>
          <w:rFonts w:ascii="Times New Roman" w:hAnsi="Times New Roman" w:cs="Times New Roman"/>
          <w:sz w:val="24"/>
          <w:szCs w:val="24"/>
          <w:vertAlign w:val="subscript"/>
        </w:rPr>
        <w:t xml:space="preserve"> it</w:t>
      </w:r>
      <w:r w:rsidRPr="00A424A7">
        <w:rPr>
          <w:rFonts w:ascii="Times New Roman" w:hAnsi="Times New Roman" w:cs="Times New Roman"/>
          <w:sz w:val="24"/>
          <w:szCs w:val="24"/>
        </w:rPr>
        <w:t xml:space="preserve"> + </w:t>
      </w:r>
      <w:r w:rsidR="005F1156" w:rsidRPr="00A424A7">
        <w:rPr>
          <w:rFonts w:ascii="Times New Roman" w:hAnsi="Times New Roman" w:cs="Times New Roman"/>
          <w:sz w:val="24"/>
          <w:szCs w:val="24"/>
        </w:rPr>
        <w:t>β</w:t>
      </w:r>
      <w:r w:rsidR="005F1156" w:rsidRPr="00A424A7">
        <w:rPr>
          <w:rFonts w:ascii="Times New Roman" w:hAnsi="Times New Roman" w:cs="Times New Roman"/>
          <w:sz w:val="24"/>
          <w:szCs w:val="24"/>
          <w:vertAlign w:val="subscript"/>
        </w:rPr>
        <w:t>3</w:t>
      </w:r>
      <w:r w:rsidR="005F1156" w:rsidRPr="00A424A7">
        <w:rPr>
          <w:rFonts w:ascii="Times New Roman" w:eastAsia="Times New Roman" w:hAnsi="Times New Roman" w:cs="Times New Roman"/>
          <w:color w:val="000000"/>
          <w:sz w:val="24"/>
          <w:szCs w:val="24"/>
        </w:rPr>
        <w:t>educ</w:t>
      </w:r>
      <w:r w:rsidR="00FF4809" w:rsidRPr="00A424A7">
        <w:rPr>
          <w:rFonts w:ascii="Times New Roman" w:eastAsia="Times New Roman" w:hAnsi="Times New Roman" w:cs="Times New Roman"/>
          <w:color w:val="000000"/>
          <w:sz w:val="24"/>
          <w:szCs w:val="24"/>
        </w:rPr>
        <w:t>q</w:t>
      </w:r>
      <w:r w:rsidR="005F1156" w:rsidRPr="00A424A7">
        <w:rPr>
          <w:rFonts w:ascii="Times New Roman" w:hAnsi="Times New Roman" w:cs="Times New Roman"/>
          <w:sz w:val="24"/>
          <w:szCs w:val="24"/>
          <w:vertAlign w:val="subscript"/>
        </w:rPr>
        <w:t>i</w:t>
      </w:r>
      <w:r w:rsidR="000D79A9" w:rsidRPr="00A424A7">
        <w:rPr>
          <w:rFonts w:ascii="Times New Roman" w:hAnsi="Times New Roman" w:cs="Times New Roman"/>
          <w:sz w:val="24"/>
          <w:szCs w:val="24"/>
          <w:vertAlign w:val="subscript"/>
        </w:rPr>
        <w:t>t</w:t>
      </w:r>
      <w:r w:rsidR="005F1156" w:rsidRPr="00A424A7">
        <w:rPr>
          <w:rFonts w:ascii="Times New Roman" w:hAnsi="Times New Roman" w:cs="Times New Roman"/>
          <w:sz w:val="24"/>
          <w:szCs w:val="24"/>
        </w:rPr>
        <w:t xml:space="preserve"> </w:t>
      </w:r>
      <w:r w:rsidRPr="00A424A7">
        <w:rPr>
          <w:rFonts w:ascii="Times New Roman" w:hAnsi="Times New Roman" w:cs="Times New Roman"/>
          <w:sz w:val="24"/>
          <w:szCs w:val="24"/>
        </w:rPr>
        <w:t>+ β</w:t>
      </w:r>
      <w:r w:rsidR="00AE56D7">
        <w:rPr>
          <w:rFonts w:ascii="Times New Roman" w:hAnsi="Times New Roman" w:cs="Times New Roman"/>
          <w:sz w:val="24"/>
          <w:szCs w:val="24"/>
          <w:vertAlign w:val="subscript"/>
        </w:rPr>
        <w:t>4</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patappr</w:t>
      </w:r>
      <w:r w:rsidRPr="00A424A7">
        <w:rPr>
          <w:rFonts w:ascii="Times New Roman" w:hAnsi="Times New Roman" w:cs="Times New Roman"/>
          <w:sz w:val="24"/>
          <w:szCs w:val="24"/>
          <w:vertAlign w:val="subscript"/>
        </w:rPr>
        <w:t xml:space="preserve">it </w:t>
      </w:r>
      <w:r w:rsidR="000D79A9" w:rsidRPr="00A424A7">
        <w:rPr>
          <w:rFonts w:ascii="Times New Roman" w:hAnsi="Times New Roman" w:cs="Times New Roman"/>
          <w:sz w:val="24"/>
          <w:szCs w:val="24"/>
          <w:vertAlign w:val="subscript"/>
        </w:rPr>
        <w:t xml:space="preserve"> </w:t>
      </w:r>
      <w:r w:rsidRPr="00A424A7">
        <w:rPr>
          <w:rFonts w:ascii="Times New Roman" w:hAnsi="Times New Roman" w:cs="Times New Roman"/>
          <w:sz w:val="24"/>
          <w:szCs w:val="24"/>
        </w:rPr>
        <w:t>+ β</w:t>
      </w:r>
      <w:r w:rsidR="00AE56D7">
        <w:rPr>
          <w:rFonts w:ascii="Times New Roman" w:hAnsi="Times New Roman" w:cs="Times New Roman"/>
          <w:sz w:val="24"/>
          <w:szCs w:val="24"/>
          <w:vertAlign w:val="subscript"/>
        </w:rPr>
        <w:t>5</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fdi</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00AE56D7">
        <w:rPr>
          <w:rFonts w:ascii="Times New Roman" w:hAnsi="Times New Roman" w:cs="Times New Roman"/>
          <w:sz w:val="24"/>
          <w:szCs w:val="24"/>
          <w:vertAlign w:val="subscript"/>
        </w:rPr>
        <w:t>6</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gdpc</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00AE56D7">
        <w:rPr>
          <w:rFonts w:ascii="Times New Roman" w:hAnsi="Times New Roman" w:cs="Times New Roman"/>
          <w:sz w:val="24"/>
          <w:szCs w:val="24"/>
          <w:vertAlign w:val="subscript"/>
        </w:rPr>
        <w:t>7</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pop</w:t>
      </w:r>
      <w:r w:rsidRPr="00A424A7">
        <w:rPr>
          <w:rFonts w:ascii="Times New Roman" w:hAnsi="Times New Roman" w:cs="Times New Roman"/>
          <w:sz w:val="24"/>
          <w:szCs w:val="24"/>
          <w:vertAlign w:val="subscript"/>
        </w:rPr>
        <w:t xml:space="preserve"> it</w:t>
      </w:r>
      <w:r w:rsidRPr="00A424A7">
        <w:rPr>
          <w:rFonts w:ascii="Times New Roman" w:hAnsi="Times New Roman" w:cs="Times New Roman"/>
          <w:sz w:val="24"/>
          <w:szCs w:val="24"/>
        </w:rPr>
        <w:t xml:space="preserve"> + β</w:t>
      </w:r>
      <w:r w:rsidR="00AE56D7">
        <w:rPr>
          <w:rFonts w:ascii="Times New Roman" w:hAnsi="Times New Roman" w:cs="Times New Roman"/>
          <w:sz w:val="24"/>
          <w:szCs w:val="24"/>
          <w:vertAlign w:val="subscript"/>
        </w:rPr>
        <w:t>8</w:t>
      </w:r>
      <w:r w:rsidRPr="00A424A7">
        <w:rPr>
          <w:rFonts w:ascii="Times New Roman" w:eastAsia="Times New Roman" w:hAnsi="Times New Roman" w:cs="Times New Roman"/>
          <w:color w:val="000000"/>
          <w:sz w:val="24"/>
          <w:szCs w:val="24"/>
        </w:rPr>
        <w:t>unem</w:t>
      </w:r>
      <w:r w:rsidRPr="00A424A7">
        <w:rPr>
          <w:rFonts w:ascii="Times New Roman" w:hAnsi="Times New Roman" w:cs="Times New Roman"/>
          <w:sz w:val="24"/>
          <w:szCs w:val="24"/>
          <w:vertAlign w:val="subscript"/>
        </w:rPr>
        <w:t xml:space="preserve">it </w:t>
      </w:r>
      <w:r w:rsidRPr="00A424A7">
        <w:rPr>
          <w:rFonts w:ascii="Times New Roman" w:hAnsi="Times New Roman" w:cs="Times New Roman"/>
          <w:sz w:val="24"/>
          <w:szCs w:val="24"/>
        </w:rPr>
        <w:t>+ β</w:t>
      </w:r>
      <w:r w:rsidR="00AE56D7">
        <w:rPr>
          <w:rFonts w:ascii="Times New Roman" w:hAnsi="Times New Roman" w:cs="Times New Roman"/>
          <w:sz w:val="24"/>
          <w:szCs w:val="24"/>
          <w:vertAlign w:val="subscript"/>
        </w:rPr>
        <w:t>9</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ecofree</w:t>
      </w:r>
      <w:r w:rsidRPr="00A424A7">
        <w:rPr>
          <w:rFonts w:ascii="Times New Roman" w:hAnsi="Times New Roman" w:cs="Times New Roman"/>
          <w:sz w:val="24"/>
          <w:szCs w:val="24"/>
          <w:vertAlign w:val="subscript"/>
        </w:rPr>
        <w:t xml:space="preserve">it </w:t>
      </w:r>
      <w:r w:rsidR="000D79A9" w:rsidRPr="00A424A7">
        <w:rPr>
          <w:rFonts w:ascii="Times New Roman" w:hAnsi="Times New Roman" w:cs="Times New Roman"/>
          <w:sz w:val="24"/>
          <w:szCs w:val="24"/>
          <w:vertAlign w:val="subscript"/>
        </w:rPr>
        <w:t xml:space="preserve"> </w:t>
      </w:r>
      <w:r w:rsidRPr="00A424A7">
        <w:rPr>
          <w:rFonts w:ascii="Times New Roman" w:hAnsi="Times New Roman" w:cs="Times New Roman"/>
          <w:sz w:val="24"/>
          <w:szCs w:val="24"/>
        </w:rPr>
        <w:t>+ β</w:t>
      </w:r>
      <w:r w:rsidRPr="00A424A7">
        <w:rPr>
          <w:rFonts w:ascii="Times New Roman" w:hAnsi="Times New Roman" w:cs="Times New Roman"/>
          <w:sz w:val="24"/>
          <w:szCs w:val="24"/>
          <w:vertAlign w:val="subscript"/>
        </w:rPr>
        <w:t>1</w:t>
      </w:r>
      <w:r w:rsidR="00AE56D7">
        <w:rPr>
          <w:rFonts w:ascii="Times New Roman" w:hAnsi="Times New Roman" w:cs="Times New Roman"/>
          <w:sz w:val="24"/>
          <w:szCs w:val="24"/>
          <w:vertAlign w:val="subscript"/>
        </w:rPr>
        <w:t>0</w:t>
      </w:r>
      <w:r w:rsidRPr="00A424A7">
        <w:rPr>
          <w:rFonts w:ascii="Times New Roman" w:hAnsi="Times New Roman" w:cs="Times New Roman"/>
          <w:sz w:val="24"/>
          <w:szCs w:val="24"/>
        </w:rPr>
        <w:t>ln</w:t>
      </w:r>
      <w:r w:rsidRPr="00A424A7">
        <w:rPr>
          <w:rFonts w:ascii="Times New Roman" w:eastAsia="Times New Roman" w:hAnsi="Times New Roman" w:cs="Times New Roman"/>
          <w:color w:val="000000"/>
          <w:sz w:val="24"/>
          <w:szCs w:val="24"/>
        </w:rPr>
        <w:t>rulc</w:t>
      </w:r>
      <w:r w:rsidRPr="00A424A7">
        <w:rPr>
          <w:rFonts w:ascii="Times New Roman" w:hAnsi="Times New Roman" w:cs="Times New Roman"/>
          <w:sz w:val="24"/>
          <w:szCs w:val="24"/>
          <w:vertAlign w:val="subscript"/>
        </w:rPr>
        <w:t>it</w:t>
      </w:r>
      <w:r w:rsidRPr="00A424A7">
        <w:rPr>
          <w:rFonts w:ascii="Times New Roman" w:hAnsi="Times New Roman" w:cs="Times New Roman"/>
          <w:sz w:val="24"/>
          <w:szCs w:val="24"/>
        </w:rPr>
        <w:t xml:space="preserve"> + β</w:t>
      </w:r>
      <w:r w:rsidRPr="00A424A7">
        <w:rPr>
          <w:rFonts w:ascii="Times New Roman" w:hAnsi="Times New Roman" w:cs="Times New Roman"/>
          <w:sz w:val="24"/>
          <w:szCs w:val="24"/>
          <w:vertAlign w:val="subscript"/>
        </w:rPr>
        <w:t>1</w:t>
      </w:r>
      <w:r w:rsidR="00AE56D7">
        <w:rPr>
          <w:rFonts w:ascii="Times New Roman" w:hAnsi="Times New Roman" w:cs="Times New Roman"/>
          <w:sz w:val="24"/>
          <w:szCs w:val="24"/>
          <w:vertAlign w:val="subscript"/>
        </w:rPr>
        <w:t>1</w:t>
      </w:r>
      <w:r w:rsidRPr="00A424A7">
        <w:rPr>
          <w:rFonts w:ascii="Times New Roman" w:eastAsia="Times New Roman" w:hAnsi="Times New Roman" w:cs="Times New Roman"/>
          <w:color w:val="000000"/>
          <w:sz w:val="24"/>
          <w:szCs w:val="24"/>
        </w:rPr>
        <w:t>transindN</w:t>
      </w:r>
      <w:r w:rsidRPr="00A424A7">
        <w:rPr>
          <w:rFonts w:ascii="Times New Roman" w:hAnsi="Times New Roman" w:cs="Times New Roman"/>
          <w:sz w:val="24"/>
          <w:szCs w:val="24"/>
          <w:vertAlign w:val="subscript"/>
        </w:rPr>
        <w:t xml:space="preserve">it </w:t>
      </w:r>
      <w:r w:rsidRPr="00A424A7">
        <w:rPr>
          <w:rFonts w:ascii="Times New Roman" w:hAnsi="Times New Roman" w:cs="Times New Roman"/>
          <w:sz w:val="24"/>
          <w:szCs w:val="24"/>
        </w:rPr>
        <w:t xml:space="preserve"> + β</w:t>
      </w:r>
      <w:r w:rsidRPr="00A424A7">
        <w:rPr>
          <w:rFonts w:ascii="Times New Roman" w:hAnsi="Times New Roman" w:cs="Times New Roman"/>
          <w:sz w:val="24"/>
          <w:szCs w:val="24"/>
          <w:vertAlign w:val="subscript"/>
        </w:rPr>
        <w:t>1</w:t>
      </w:r>
      <w:r w:rsidR="00AE56D7">
        <w:rPr>
          <w:rFonts w:ascii="Times New Roman" w:hAnsi="Times New Roman" w:cs="Times New Roman"/>
          <w:sz w:val="24"/>
          <w:szCs w:val="24"/>
          <w:vertAlign w:val="subscript"/>
        </w:rPr>
        <w:t>2</w:t>
      </w:r>
      <w:r w:rsidRPr="00A424A7">
        <w:rPr>
          <w:rFonts w:ascii="Times New Roman" w:eastAsia="Times New Roman" w:hAnsi="Times New Roman" w:cs="Times New Roman"/>
          <w:color w:val="000000"/>
          <w:sz w:val="24"/>
          <w:szCs w:val="24"/>
        </w:rPr>
        <w:t>serv</w:t>
      </w:r>
      <w:r w:rsidRPr="00A424A7">
        <w:rPr>
          <w:rFonts w:ascii="Times New Roman" w:hAnsi="Times New Roman" w:cs="Times New Roman"/>
          <w:sz w:val="24"/>
          <w:szCs w:val="24"/>
          <w:vertAlign w:val="subscript"/>
        </w:rPr>
        <w:t xml:space="preserve"> it </w:t>
      </w:r>
      <w:r w:rsidRPr="00A424A7">
        <w:rPr>
          <w:rFonts w:ascii="Times New Roman" w:hAnsi="Times New Roman" w:cs="Times New Roman"/>
          <w:sz w:val="24"/>
          <w:szCs w:val="24"/>
        </w:rPr>
        <w:t>+ α</w:t>
      </w:r>
      <w:r w:rsidRPr="00A424A7">
        <w:rPr>
          <w:rFonts w:ascii="Times New Roman" w:hAnsi="Times New Roman" w:cs="Times New Roman"/>
          <w:sz w:val="24"/>
          <w:szCs w:val="24"/>
          <w:vertAlign w:val="subscript"/>
        </w:rPr>
        <w:t xml:space="preserve">i </w:t>
      </w:r>
      <w:r w:rsidRPr="00A424A7">
        <w:rPr>
          <w:rFonts w:ascii="Times New Roman" w:hAnsi="Times New Roman" w:cs="Times New Roman"/>
          <w:sz w:val="24"/>
          <w:szCs w:val="24"/>
        </w:rPr>
        <w:t xml:space="preserve"> </w:t>
      </w:r>
      <w:r w:rsidR="005F1156" w:rsidRPr="00A424A7">
        <w:rPr>
          <w:rFonts w:ascii="Times New Roman" w:hAnsi="Times New Roman" w:cs="Times New Roman"/>
          <w:sz w:val="24"/>
          <w:szCs w:val="24"/>
        </w:rPr>
        <w:t xml:space="preserve">+ Yrd1996-2010 </w:t>
      </w:r>
      <w:r w:rsidRPr="00A424A7">
        <w:rPr>
          <w:rFonts w:ascii="Times New Roman" w:hAnsi="Times New Roman" w:cs="Times New Roman"/>
          <w:sz w:val="24"/>
          <w:szCs w:val="24"/>
        </w:rPr>
        <w:t>+ ε</w:t>
      </w:r>
      <w:r w:rsidRPr="00A424A7">
        <w:rPr>
          <w:rFonts w:ascii="Times New Roman" w:hAnsi="Times New Roman" w:cs="Times New Roman"/>
          <w:sz w:val="24"/>
          <w:szCs w:val="24"/>
          <w:vertAlign w:val="subscript"/>
        </w:rPr>
        <w:t>it</w:t>
      </w:r>
    </w:p>
    <w:p w:rsidR="00107730" w:rsidRDefault="00107730" w:rsidP="005F1156">
      <w:pPr>
        <w:jc w:val="both"/>
        <w:rPr>
          <w:rFonts w:ascii="Times New Roman" w:hAnsi="Times New Roman" w:cs="Times New Roman"/>
          <w:sz w:val="24"/>
          <w:szCs w:val="24"/>
          <w:vertAlign w:val="subscript"/>
        </w:rPr>
      </w:pPr>
    </w:p>
    <w:p w:rsidR="003A4EFC" w:rsidRPr="00EC623D" w:rsidRDefault="003A4EFC" w:rsidP="003A4EFC">
      <w:pPr>
        <w:spacing w:after="0" w:line="360" w:lineRule="auto"/>
        <w:jc w:val="both"/>
        <w:rPr>
          <w:rFonts w:ascii="Times New Roman" w:hAnsi="Times New Roman" w:cs="Times New Roman"/>
          <w:color w:val="FF0000"/>
          <w:sz w:val="24"/>
          <w:szCs w:val="24"/>
        </w:rPr>
      </w:pPr>
      <w:r w:rsidRPr="00A424A7">
        <w:rPr>
          <w:rFonts w:ascii="Times New Roman" w:hAnsi="Times New Roman" w:cs="Times New Roman"/>
          <w:sz w:val="24"/>
          <w:szCs w:val="24"/>
        </w:rPr>
        <w:t xml:space="preserve">The summary statistics show very large standard deviations for </w:t>
      </w:r>
      <w:r w:rsidRPr="00A424A7">
        <w:rPr>
          <w:rFonts w:ascii="Times New Roman" w:hAnsi="Times New Roman" w:cs="Times New Roman"/>
          <w:i/>
          <w:sz w:val="24"/>
          <w:szCs w:val="24"/>
        </w:rPr>
        <w:t>patappr</w:t>
      </w:r>
      <w:r w:rsidRPr="00A424A7">
        <w:rPr>
          <w:rFonts w:ascii="Times New Roman" w:hAnsi="Times New Roman" w:cs="Times New Roman"/>
          <w:sz w:val="24"/>
          <w:szCs w:val="24"/>
        </w:rPr>
        <w:t xml:space="preserve">, </w:t>
      </w:r>
      <w:r w:rsidRPr="00A424A7">
        <w:rPr>
          <w:rFonts w:ascii="Times New Roman" w:hAnsi="Times New Roman" w:cs="Times New Roman"/>
          <w:i/>
          <w:sz w:val="24"/>
          <w:szCs w:val="24"/>
        </w:rPr>
        <w:t>fdi</w:t>
      </w:r>
      <w:r w:rsidRPr="00A424A7">
        <w:rPr>
          <w:rFonts w:ascii="Times New Roman" w:hAnsi="Times New Roman" w:cs="Times New Roman"/>
          <w:sz w:val="24"/>
          <w:szCs w:val="24"/>
        </w:rPr>
        <w:t xml:space="preserve">, </w:t>
      </w:r>
      <w:r w:rsidRPr="00A424A7">
        <w:rPr>
          <w:rFonts w:ascii="Times New Roman" w:hAnsi="Times New Roman" w:cs="Times New Roman"/>
          <w:i/>
          <w:sz w:val="24"/>
          <w:szCs w:val="24"/>
        </w:rPr>
        <w:t>gdpc</w:t>
      </w:r>
      <w:r w:rsidRPr="00A424A7">
        <w:rPr>
          <w:rFonts w:ascii="Times New Roman" w:hAnsi="Times New Roman" w:cs="Times New Roman"/>
          <w:sz w:val="24"/>
          <w:szCs w:val="24"/>
        </w:rPr>
        <w:t xml:space="preserve">, and </w:t>
      </w:r>
      <w:r w:rsidRPr="00A424A7">
        <w:rPr>
          <w:rFonts w:ascii="Times New Roman" w:hAnsi="Times New Roman" w:cs="Times New Roman"/>
          <w:i/>
          <w:sz w:val="24"/>
          <w:szCs w:val="24"/>
        </w:rPr>
        <w:t>pop</w:t>
      </w:r>
      <w:r w:rsidRPr="00A424A7">
        <w:rPr>
          <w:rFonts w:ascii="Times New Roman" w:hAnsi="Times New Roman" w:cs="Times New Roman"/>
          <w:sz w:val="24"/>
          <w:szCs w:val="24"/>
        </w:rPr>
        <w:t xml:space="preserve">, implying that data for these variables are spread widely around the mean (see Table 2).  Since we are dealing with countries of different sizes and economic development levels, this level of dispersion is expected. In addition, the means of these variables are larger than their medians, indicating a positively skewed </w:t>
      </w:r>
      <w:r w:rsidR="00816D46" w:rsidRPr="00A424A7">
        <w:rPr>
          <w:rFonts w:ascii="Times New Roman" w:hAnsi="Times New Roman" w:cs="Times New Roman"/>
          <w:sz w:val="24"/>
          <w:szCs w:val="24"/>
        </w:rPr>
        <w:t>distribution;</w:t>
      </w:r>
      <w:r w:rsidRPr="00A424A7">
        <w:rPr>
          <w:rFonts w:ascii="Times New Roman" w:hAnsi="Times New Roman" w:cs="Times New Roman"/>
          <w:sz w:val="24"/>
          <w:szCs w:val="24"/>
        </w:rPr>
        <w:t xml:space="preserve"> </w:t>
      </w:r>
      <w:r w:rsidR="00816D46" w:rsidRPr="00A424A7">
        <w:rPr>
          <w:rFonts w:ascii="Times New Roman" w:hAnsi="Times New Roman" w:cs="Times New Roman"/>
          <w:sz w:val="24"/>
          <w:szCs w:val="24"/>
        </w:rPr>
        <w:t>hence,</w:t>
      </w:r>
      <w:r w:rsidRPr="00A424A7">
        <w:rPr>
          <w:rFonts w:ascii="Times New Roman" w:hAnsi="Times New Roman" w:cs="Times New Roman"/>
          <w:sz w:val="24"/>
          <w:szCs w:val="24"/>
        </w:rPr>
        <w:t xml:space="preserve"> a logarithmic transformation has been </w:t>
      </w:r>
      <w:r w:rsidR="00816D46" w:rsidRPr="00A424A7">
        <w:rPr>
          <w:rFonts w:ascii="Times New Roman" w:hAnsi="Times New Roman" w:cs="Times New Roman"/>
          <w:sz w:val="24"/>
          <w:szCs w:val="24"/>
        </w:rPr>
        <w:t xml:space="preserve">applied </w:t>
      </w:r>
      <w:r w:rsidRPr="00A424A7">
        <w:rPr>
          <w:rFonts w:ascii="Times New Roman" w:hAnsi="Times New Roman" w:cs="Times New Roman"/>
          <w:sz w:val="24"/>
          <w:szCs w:val="24"/>
        </w:rPr>
        <w:t xml:space="preserve">to make their distribution more symmetrical. The statistics from </w:t>
      </w:r>
      <w:r w:rsidR="00A403E5" w:rsidRPr="00A424A7">
        <w:rPr>
          <w:rFonts w:ascii="Times New Roman" w:hAnsi="Times New Roman" w:cs="Times New Roman"/>
          <w:sz w:val="24"/>
          <w:szCs w:val="24"/>
        </w:rPr>
        <w:t>T</w:t>
      </w:r>
      <w:r w:rsidRPr="00A424A7">
        <w:rPr>
          <w:rFonts w:ascii="Times New Roman" w:hAnsi="Times New Roman" w:cs="Times New Roman"/>
          <w:sz w:val="24"/>
          <w:szCs w:val="24"/>
        </w:rPr>
        <w:t>able</w:t>
      </w:r>
      <w:r w:rsidR="00A403E5" w:rsidRPr="00A424A7">
        <w:rPr>
          <w:rFonts w:ascii="Times New Roman" w:hAnsi="Times New Roman" w:cs="Times New Roman"/>
          <w:sz w:val="24"/>
          <w:szCs w:val="24"/>
        </w:rPr>
        <w:t xml:space="preserve"> 2</w:t>
      </w:r>
      <w:r w:rsidRPr="00A424A7">
        <w:rPr>
          <w:rFonts w:ascii="Times New Roman" w:hAnsi="Times New Roman" w:cs="Times New Roman"/>
          <w:sz w:val="24"/>
          <w:szCs w:val="24"/>
        </w:rPr>
        <w:t xml:space="preserve"> below also show that we </w:t>
      </w:r>
      <w:r w:rsidRPr="00A424A7">
        <w:rPr>
          <w:rFonts w:ascii="Times New Roman" w:hAnsi="Times New Roman" w:cs="Times New Roman"/>
          <w:color w:val="000000" w:themeColor="text1"/>
          <w:sz w:val="24"/>
          <w:szCs w:val="24"/>
        </w:rPr>
        <w:t>are using an unbalanced panel due to missing data for some variables in some years. There is no indication of data missing for a specific reason rather than randomly, therefore this is not expected to influence the reliability of the results.</w:t>
      </w:r>
      <w:r w:rsidR="00D870C7" w:rsidRPr="00A424A7">
        <w:rPr>
          <w:rFonts w:ascii="Times New Roman" w:hAnsi="Times New Roman" w:cs="Times New Roman"/>
          <w:color w:val="000000" w:themeColor="text1"/>
          <w:sz w:val="24"/>
          <w:szCs w:val="24"/>
        </w:rPr>
        <w:t xml:space="preserve"> To assess </w:t>
      </w:r>
      <w:r w:rsidR="00DC3F42" w:rsidRPr="00A424A7">
        <w:rPr>
          <w:rFonts w:ascii="Times New Roman" w:hAnsi="Times New Roman" w:cs="Times New Roman"/>
          <w:color w:val="000000" w:themeColor="text1"/>
          <w:sz w:val="24"/>
          <w:szCs w:val="24"/>
        </w:rPr>
        <w:t xml:space="preserve">if there are any significant differences </w:t>
      </w:r>
      <w:r w:rsidR="00D870C7" w:rsidRPr="00A424A7">
        <w:rPr>
          <w:rFonts w:ascii="Times New Roman" w:hAnsi="Times New Roman" w:cs="Times New Roman"/>
          <w:color w:val="000000" w:themeColor="text1"/>
          <w:sz w:val="24"/>
          <w:szCs w:val="24"/>
        </w:rPr>
        <w:t xml:space="preserve">between the two groups of countries, the t-test and Kruskal-Wallis </w:t>
      </w:r>
      <w:r w:rsidR="002A2B7E" w:rsidRPr="00A424A7">
        <w:rPr>
          <w:rFonts w:ascii="Times New Roman" w:hAnsi="Times New Roman" w:cs="Times New Roman"/>
          <w:color w:val="000000" w:themeColor="text1"/>
          <w:sz w:val="24"/>
          <w:szCs w:val="24"/>
        </w:rPr>
        <w:t xml:space="preserve">test </w:t>
      </w:r>
      <w:r w:rsidR="00D870C7" w:rsidRPr="00A424A7">
        <w:rPr>
          <w:rFonts w:ascii="Times New Roman" w:hAnsi="Times New Roman" w:cs="Times New Roman"/>
          <w:color w:val="000000" w:themeColor="text1"/>
          <w:sz w:val="24"/>
          <w:szCs w:val="24"/>
        </w:rPr>
        <w:t xml:space="preserve">have been computed. </w:t>
      </w:r>
      <w:r w:rsidR="00DC3F42" w:rsidRPr="00A424A7">
        <w:rPr>
          <w:rFonts w:ascii="Times New Roman" w:hAnsi="Times New Roman" w:cs="Times New Roman"/>
          <w:color w:val="000000" w:themeColor="text1"/>
          <w:sz w:val="24"/>
          <w:szCs w:val="24"/>
        </w:rPr>
        <w:t>The p-values reported in</w:t>
      </w:r>
      <w:r w:rsidR="00D870C7" w:rsidRPr="00A424A7">
        <w:rPr>
          <w:rFonts w:ascii="Times New Roman" w:hAnsi="Times New Roman" w:cs="Times New Roman"/>
          <w:color w:val="000000" w:themeColor="text1"/>
          <w:sz w:val="24"/>
          <w:szCs w:val="24"/>
        </w:rPr>
        <w:t xml:space="preserve"> the table</w:t>
      </w:r>
      <w:r w:rsidR="00DC3F42" w:rsidRPr="00A424A7">
        <w:rPr>
          <w:rFonts w:ascii="Times New Roman" w:hAnsi="Times New Roman" w:cs="Times New Roman"/>
          <w:color w:val="000000" w:themeColor="text1"/>
          <w:sz w:val="24"/>
          <w:szCs w:val="24"/>
        </w:rPr>
        <w:t xml:space="preserve"> show that</w:t>
      </w:r>
      <w:r w:rsidR="00D870C7" w:rsidRPr="00A424A7">
        <w:rPr>
          <w:rFonts w:ascii="Times New Roman" w:hAnsi="Times New Roman" w:cs="Times New Roman"/>
          <w:color w:val="000000" w:themeColor="text1"/>
          <w:sz w:val="24"/>
          <w:szCs w:val="24"/>
        </w:rPr>
        <w:t xml:space="preserve">, for the majority of the variables, the null hypothesis has been rejected, suggesting that there are differences in the mean values between these countries (these countries do not come from the same population). From the variables of interest, </w:t>
      </w:r>
      <w:r w:rsidR="00D870C7" w:rsidRPr="00A424A7">
        <w:rPr>
          <w:rFonts w:ascii="Times New Roman" w:hAnsi="Times New Roman" w:cs="Times New Roman"/>
          <w:i/>
          <w:color w:val="000000" w:themeColor="text1"/>
          <w:sz w:val="24"/>
          <w:szCs w:val="24"/>
        </w:rPr>
        <w:t>cskills</w:t>
      </w:r>
      <w:r w:rsidR="00D870C7" w:rsidRPr="00A424A7">
        <w:rPr>
          <w:rFonts w:ascii="Times New Roman" w:hAnsi="Times New Roman" w:cs="Times New Roman"/>
          <w:color w:val="000000" w:themeColor="text1"/>
          <w:sz w:val="24"/>
          <w:szCs w:val="24"/>
        </w:rPr>
        <w:t xml:space="preserve"> makes an exception, whilst the null hypothesis of </w:t>
      </w:r>
      <w:r w:rsidR="00D870C7" w:rsidRPr="00A424A7">
        <w:rPr>
          <w:rFonts w:ascii="Times New Roman" w:hAnsi="Times New Roman" w:cs="Times New Roman"/>
          <w:i/>
          <w:color w:val="000000" w:themeColor="text1"/>
          <w:sz w:val="24"/>
          <w:szCs w:val="24"/>
        </w:rPr>
        <w:t>studperf</w:t>
      </w:r>
      <w:r w:rsidR="00D870C7" w:rsidRPr="00A424A7">
        <w:rPr>
          <w:rFonts w:ascii="Times New Roman" w:hAnsi="Times New Roman" w:cs="Times New Roman"/>
          <w:color w:val="000000" w:themeColor="text1"/>
          <w:sz w:val="24"/>
          <w:szCs w:val="24"/>
        </w:rPr>
        <w:t xml:space="preserve"> is rejected only at 10 percent.</w:t>
      </w:r>
      <w:r w:rsidR="00DC3F42">
        <w:rPr>
          <w:rFonts w:ascii="Times New Roman" w:hAnsi="Times New Roman" w:cs="Times New Roman"/>
          <w:sz w:val="24"/>
          <w:szCs w:val="24"/>
        </w:rPr>
        <w:t xml:space="preserve"> </w:t>
      </w:r>
      <w:r w:rsidR="00A424A7" w:rsidRPr="00A424A7">
        <w:rPr>
          <w:rFonts w:ascii="Times New Roman" w:hAnsi="Times New Roman" w:cs="Times New Roman"/>
          <w:sz w:val="24"/>
          <w:szCs w:val="24"/>
        </w:rPr>
        <w:t>Furthermore, Chow tests are applied to test for the equality of the effects of these explanatory variables for the two group</w:t>
      </w:r>
      <w:r w:rsidR="00AE56D7">
        <w:rPr>
          <w:rFonts w:ascii="Times New Roman" w:hAnsi="Times New Roman" w:cs="Times New Roman"/>
          <w:sz w:val="24"/>
          <w:szCs w:val="24"/>
        </w:rPr>
        <w:t>s</w:t>
      </w:r>
      <w:r w:rsidR="00A424A7" w:rsidRPr="00A424A7">
        <w:rPr>
          <w:rFonts w:ascii="Times New Roman" w:hAnsi="Times New Roman" w:cs="Times New Roman"/>
          <w:sz w:val="24"/>
          <w:szCs w:val="24"/>
        </w:rPr>
        <w:t xml:space="preserve"> of countries. The null of equal coefficients is rejected in both model specifications with F</w:t>
      </w:r>
      <w:r w:rsidR="00A424A7" w:rsidRPr="002150F9">
        <w:rPr>
          <w:rFonts w:ascii="Times New Roman" w:hAnsi="Times New Roman" w:cs="Times New Roman"/>
          <w:sz w:val="24"/>
          <w:szCs w:val="24"/>
          <w:vertAlign w:val="subscript"/>
        </w:rPr>
        <w:t>10,</w:t>
      </w:r>
      <w:r w:rsidR="002150F9">
        <w:rPr>
          <w:rFonts w:ascii="Times New Roman" w:hAnsi="Times New Roman" w:cs="Times New Roman"/>
          <w:sz w:val="24"/>
          <w:szCs w:val="24"/>
          <w:vertAlign w:val="subscript"/>
        </w:rPr>
        <w:t xml:space="preserve"> </w:t>
      </w:r>
      <w:r w:rsidR="00A424A7" w:rsidRPr="002150F9">
        <w:rPr>
          <w:rFonts w:ascii="Times New Roman" w:hAnsi="Times New Roman" w:cs="Times New Roman"/>
          <w:sz w:val="24"/>
          <w:szCs w:val="24"/>
          <w:vertAlign w:val="subscript"/>
        </w:rPr>
        <w:t>288</w:t>
      </w:r>
      <w:r w:rsidR="00A424A7" w:rsidRPr="00A424A7">
        <w:rPr>
          <w:rFonts w:ascii="Times New Roman" w:hAnsi="Times New Roman" w:cs="Times New Roman"/>
          <w:sz w:val="24"/>
          <w:szCs w:val="24"/>
        </w:rPr>
        <w:t xml:space="preserve"> statistics of 17.04 (p-value: 0.000) and 21.07 (p-value: 0.000), respectively</w:t>
      </w:r>
      <w:r w:rsidR="008A1D8D">
        <w:rPr>
          <w:rFonts w:ascii="Times New Roman" w:hAnsi="Times New Roman" w:cs="Times New Roman"/>
          <w:sz w:val="24"/>
          <w:szCs w:val="24"/>
        </w:rPr>
        <w:t>.</w:t>
      </w:r>
      <w:r w:rsidR="002150F9">
        <w:rPr>
          <w:rStyle w:val="FootnoteReference"/>
          <w:rFonts w:ascii="Times New Roman" w:hAnsi="Times New Roman" w:cs="Times New Roman"/>
          <w:sz w:val="24"/>
          <w:szCs w:val="24"/>
        </w:rPr>
        <w:footnoteReference w:id="19"/>
      </w:r>
      <w:r w:rsidR="00A424A7" w:rsidRPr="00A424A7">
        <w:rPr>
          <w:rFonts w:ascii="Times New Roman" w:hAnsi="Times New Roman" w:cs="Times New Roman"/>
          <w:sz w:val="24"/>
          <w:szCs w:val="24"/>
        </w:rPr>
        <w:t xml:space="preserve"> Hence models are estimat</w:t>
      </w:r>
      <w:r w:rsidR="00AE56D7">
        <w:rPr>
          <w:rFonts w:ascii="Times New Roman" w:hAnsi="Times New Roman" w:cs="Times New Roman"/>
          <w:sz w:val="24"/>
          <w:szCs w:val="24"/>
        </w:rPr>
        <w:t xml:space="preserve">ed separately for the two groups </w:t>
      </w:r>
      <w:r w:rsidR="00A424A7" w:rsidRPr="00A424A7">
        <w:rPr>
          <w:rFonts w:ascii="Times New Roman" w:hAnsi="Times New Roman" w:cs="Times New Roman"/>
          <w:sz w:val="24"/>
          <w:szCs w:val="24"/>
        </w:rPr>
        <w:t>of countries.</w:t>
      </w:r>
    </w:p>
    <w:p w:rsidR="003A4EFC" w:rsidRPr="003246B8" w:rsidRDefault="003A4EFC" w:rsidP="003A4EFC">
      <w:pPr>
        <w:spacing w:after="0" w:line="360" w:lineRule="auto"/>
        <w:jc w:val="both"/>
        <w:rPr>
          <w:rFonts w:ascii="Times New Roman" w:hAnsi="Times New Roman" w:cs="Times New Roman"/>
          <w:sz w:val="24"/>
          <w:szCs w:val="24"/>
        </w:rPr>
      </w:pPr>
    </w:p>
    <w:p w:rsidR="003A4EFC" w:rsidRDefault="003A4EFC" w:rsidP="003A4EFC">
      <w:pPr>
        <w:spacing w:after="0" w:line="360" w:lineRule="auto"/>
        <w:jc w:val="center"/>
        <w:rPr>
          <w:rFonts w:ascii="Times New Roman" w:hAnsi="Times New Roman" w:cs="Times New Roman"/>
          <w:sz w:val="26"/>
          <w:szCs w:val="26"/>
        </w:rPr>
      </w:pPr>
      <w:r w:rsidRPr="001E2721">
        <w:rPr>
          <w:rFonts w:ascii="Times New Roman" w:hAnsi="Times New Roman" w:cs="Times New Roman"/>
          <w:sz w:val="26"/>
          <w:szCs w:val="26"/>
        </w:rPr>
        <w:t xml:space="preserve">INSERT Table </w:t>
      </w:r>
      <w:r>
        <w:rPr>
          <w:rFonts w:ascii="Times New Roman" w:hAnsi="Times New Roman" w:cs="Times New Roman"/>
          <w:sz w:val="26"/>
          <w:szCs w:val="26"/>
        </w:rPr>
        <w:t>2</w:t>
      </w:r>
      <w:r w:rsidRPr="001E2721">
        <w:rPr>
          <w:rFonts w:ascii="Times New Roman" w:hAnsi="Times New Roman" w:cs="Times New Roman"/>
          <w:sz w:val="26"/>
          <w:szCs w:val="26"/>
        </w:rPr>
        <w:t xml:space="preserve">. </w:t>
      </w:r>
      <w:r>
        <w:rPr>
          <w:rFonts w:ascii="Times New Roman" w:hAnsi="Times New Roman" w:cs="Times New Roman"/>
          <w:sz w:val="26"/>
          <w:szCs w:val="26"/>
        </w:rPr>
        <w:t xml:space="preserve">Descriptive statistics </w:t>
      </w:r>
    </w:p>
    <w:p w:rsidR="003A4EFC" w:rsidRPr="001E2721" w:rsidRDefault="003A4EFC" w:rsidP="005F1156">
      <w:pPr>
        <w:jc w:val="both"/>
        <w:rPr>
          <w:rFonts w:ascii="Times New Roman" w:hAnsi="Times New Roman" w:cs="Times New Roman"/>
          <w:sz w:val="24"/>
          <w:szCs w:val="24"/>
          <w:vertAlign w:val="subscript"/>
        </w:rPr>
      </w:pPr>
    </w:p>
    <w:p w:rsidR="007E3A4C" w:rsidRPr="00A424A7" w:rsidRDefault="00553A4B" w:rsidP="007E3A4C">
      <w:pPr>
        <w:autoSpaceDE w:val="0"/>
        <w:autoSpaceDN w:val="0"/>
        <w:adjustRightInd w:val="0"/>
        <w:spacing w:after="0" w:line="360" w:lineRule="auto"/>
        <w:jc w:val="both"/>
        <w:rPr>
          <w:rFonts w:ascii="Times New Roman" w:hAnsi="Times New Roman" w:cs="Times New Roman"/>
          <w:sz w:val="24"/>
          <w:szCs w:val="24"/>
        </w:rPr>
      </w:pPr>
      <w:r w:rsidRPr="00A424A7">
        <w:rPr>
          <w:rFonts w:ascii="Times New Roman" w:hAnsi="Times New Roman" w:cs="Times New Roman"/>
          <w:sz w:val="24"/>
          <w:szCs w:val="24"/>
        </w:rPr>
        <w:t>The analysis uses a fixed effects estimator</w:t>
      </w:r>
      <w:r w:rsidR="00C95674" w:rsidRPr="00A424A7">
        <w:rPr>
          <w:rFonts w:ascii="Times New Roman" w:hAnsi="Times New Roman" w:cs="Times New Roman"/>
          <w:sz w:val="24"/>
          <w:szCs w:val="24"/>
        </w:rPr>
        <w:t>. The</w:t>
      </w:r>
      <w:r w:rsidRPr="00A424A7">
        <w:rPr>
          <w:rFonts w:ascii="Times New Roman" w:hAnsi="Times New Roman" w:cs="Times New Roman"/>
          <w:sz w:val="24"/>
          <w:szCs w:val="24"/>
        </w:rPr>
        <w:t xml:space="preserve"> Hausman test suggests that the unobserved effect and explanatory variables in the model are correlated, hence random effects estimates would be inconsistent and biased (</w:t>
      </w:r>
      <w:r w:rsidR="00F31CB3" w:rsidRPr="00A424A7">
        <w:rPr>
          <w:rFonts w:ascii="Times New Roman" w:hAnsi="Times New Roman" w:cs="Times New Roman"/>
          <w:sz w:val="24"/>
          <w:szCs w:val="24"/>
        </w:rPr>
        <w:t>Hausman, 1978</w:t>
      </w:r>
      <w:r w:rsidRPr="00A424A7">
        <w:rPr>
          <w:rFonts w:ascii="Times New Roman" w:hAnsi="Times New Roman" w:cs="Times New Roman"/>
          <w:sz w:val="24"/>
          <w:szCs w:val="24"/>
        </w:rPr>
        <w:t xml:space="preserve">). </w:t>
      </w:r>
      <w:r w:rsidR="00A26C43" w:rsidRPr="00A424A7">
        <w:rPr>
          <w:rFonts w:ascii="Times New Roman" w:hAnsi="Times New Roman" w:cs="Times New Roman"/>
          <w:sz w:val="24"/>
          <w:szCs w:val="24"/>
        </w:rPr>
        <w:t xml:space="preserve">However, </w:t>
      </w:r>
      <w:r w:rsidR="00E9515D" w:rsidRPr="00A424A7">
        <w:rPr>
          <w:rFonts w:ascii="Times New Roman" w:hAnsi="Times New Roman" w:cs="Times New Roman"/>
          <w:sz w:val="24"/>
          <w:szCs w:val="24"/>
        </w:rPr>
        <w:t>a main shortcoming of th</w:t>
      </w:r>
      <w:r w:rsidR="00685FFF" w:rsidRPr="00A424A7">
        <w:rPr>
          <w:rFonts w:ascii="Times New Roman" w:hAnsi="Times New Roman" w:cs="Times New Roman"/>
          <w:sz w:val="24"/>
          <w:szCs w:val="24"/>
        </w:rPr>
        <w:t>e fixed effects approach</w:t>
      </w:r>
      <w:r w:rsidR="00E9515D" w:rsidRPr="00A424A7">
        <w:rPr>
          <w:rFonts w:ascii="Times New Roman" w:hAnsi="Times New Roman" w:cs="Times New Roman"/>
          <w:sz w:val="24"/>
          <w:szCs w:val="24"/>
        </w:rPr>
        <w:t xml:space="preserve"> is the inability to estimate the coefficients of time-invariant variables</w:t>
      </w:r>
      <w:r w:rsidR="00A26C43" w:rsidRPr="00A424A7">
        <w:rPr>
          <w:rFonts w:ascii="Times New Roman" w:hAnsi="Times New Roman" w:cs="Times New Roman"/>
          <w:sz w:val="24"/>
          <w:szCs w:val="24"/>
        </w:rPr>
        <w:t xml:space="preserve"> (Wooldridge, 2009). </w:t>
      </w:r>
      <w:r w:rsidR="00F839FA" w:rsidRPr="00A424A7">
        <w:rPr>
          <w:rFonts w:ascii="Times New Roman" w:hAnsi="Times New Roman" w:cs="Times New Roman"/>
          <w:sz w:val="24"/>
          <w:szCs w:val="24"/>
        </w:rPr>
        <w:t xml:space="preserve">Given that </w:t>
      </w:r>
      <w:r w:rsidR="00FC1623" w:rsidRPr="00A424A7">
        <w:rPr>
          <w:rFonts w:ascii="Times New Roman" w:hAnsi="Times New Roman" w:cs="Times New Roman"/>
          <w:sz w:val="24"/>
          <w:szCs w:val="24"/>
        </w:rPr>
        <w:t>two of our measures of education quality (</w:t>
      </w:r>
      <w:r w:rsidR="00107730" w:rsidRPr="00A424A7">
        <w:rPr>
          <w:rFonts w:ascii="Times New Roman" w:hAnsi="Times New Roman" w:cs="Times New Roman"/>
          <w:sz w:val="24"/>
          <w:szCs w:val="24"/>
        </w:rPr>
        <w:t xml:space="preserve">the </w:t>
      </w:r>
      <w:r w:rsidR="00F839FA" w:rsidRPr="00A424A7">
        <w:rPr>
          <w:rFonts w:ascii="Times New Roman" w:hAnsi="Times New Roman" w:cs="Times New Roman"/>
          <w:sz w:val="24"/>
          <w:szCs w:val="24"/>
        </w:rPr>
        <w:t>cognitive skills</w:t>
      </w:r>
      <w:r w:rsidR="00107730" w:rsidRPr="00A424A7">
        <w:rPr>
          <w:rFonts w:ascii="Times New Roman" w:hAnsi="Times New Roman" w:cs="Times New Roman"/>
          <w:sz w:val="24"/>
          <w:szCs w:val="24"/>
        </w:rPr>
        <w:t xml:space="preserve"> </w:t>
      </w:r>
      <w:r w:rsidR="00F20C12" w:rsidRPr="00A424A7">
        <w:rPr>
          <w:rFonts w:ascii="Times New Roman" w:hAnsi="Times New Roman" w:cs="Times New Roman"/>
          <w:sz w:val="24"/>
          <w:szCs w:val="24"/>
        </w:rPr>
        <w:t>and student mean scores</w:t>
      </w:r>
      <w:r w:rsidR="00FC1623" w:rsidRPr="00A424A7">
        <w:rPr>
          <w:rFonts w:ascii="Times New Roman" w:hAnsi="Times New Roman" w:cs="Times New Roman"/>
          <w:sz w:val="24"/>
          <w:szCs w:val="24"/>
        </w:rPr>
        <w:t>)</w:t>
      </w:r>
      <w:r w:rsidR="00F20C12" w:rsidRPr="00A424A7">
        <w:rPr>
          <w:rFonts w:ascii="Times New Roman" w:hAnsi="Times New Roman" w:cs="Times New Roman"/>
          <w:sz w:val="24"/>
          <w:szCs w:val="24"/>
        </w:rPr>
        <w:t xml:space="preserve"> are</w:t>
      </w:r>
      <w:r w:rsidR="00F839FA" w:rsidRPr="00A424A7">
        <w:rPr>
          <w:rFonts w:ascii="Times New Roman" w:hAnsi="Times New Roman" w:cs="Times New Roman"/>
          <w:sz w:val="24"/>
          <w:szCs w:val="24"/>
        </w:rPr>
        <w:t xml:space="preserve"> time invariant, we </w:t>
      </w:r>
      <w:r w:rsidR="00092808" w:rsidRPr="00A424A7">
        <w:rPr>
          <w:rFonts w:ascii="Times New Roman" w:hAnsi="Times New Roman" w:cs="Times New Roman"/>
          <w:sz w:val="24"/>
          <w:szCs w:val="24"/>
        </w:rPr>
        <w:t xml:space="preserve">use Fixed Effects Vector Decomposition (FEVD) </w:t>
      </w:r>
      <w:r w:rsidR="00A22A2B" w:rsidRPr="00A424A7">
        <w:rPr>
          <w:rFonts w:ascii="Times New Roman" w:hAnsi="Times New Roman" w:cs="Times New Roman"/>
          <w:sz w:val="24"/>
          <w:szCs w:val="24"/>
        </w:rPr>
        <w:t xml:space="preserve">and Hausman-Taylor (HT) </w:t>
      </w:r>
      <w:r w:rsidR="001942CD" w:rsidRPr="00A424A7">
        <w:rPr>
          <w:rFonts w:ascii="Times New Roman" w:hAnsi="Times New Roman" w:cs="Times New Roman"/>
          <w:sz w:val="24"/>
          <w:szCs w:val="24"/>
        </w:rPr>
        <w:t>estimat</w:t>
      </w:r>
      <w:r w:rsidR="000B7E46" w:rsidRPr="00A424A7">
        <w:rPr>
          <w:rFonts w:ascii="Times New Roman" w:hAnsi="Times New Roman" w:cs="Times New Roman"/>
          <w:sz w:val="24"/>
          <w:szCs w:val="24"/>
        </w:rPr>
        <w:t>ors to identify the effects of these variables</w:t>
      </w:r>
      <w:r w:rsidR="001942CD" w:rsidRPr="00A424A7">
        <w:rPr>
          <w:rFonts w:ascii="Times New Roman" w:hAnsi="Times New Roman" w:cs="Times New Roman"/>
          <w:sz w:val="24"/>
          <w:szCs w:val="24"/>
        </w:rPr>
        <w:t xml:space="preserve">. </w:t>
      </w:r>
    </w:p>
    <w:p w:rsidR="00107730" w:rsidRPr="00A424A7" w:rsidRDefault="00107730" w:rsidP="007E3A4C">
      <w:pPr>
        <w:autoSpaceDE w:val="0"/>
        <w:autoSpaceDN w:val="0"/>
        <w:adjustRightInd w:val="0"/>
        <w:spacing w:after="0" w:line="360" w:lineRule="auto"/>
        <w:jc w:val="both"/>
        <w:rPr>
          <w:rFonts w:ascii="Times New Roman" w:hAnsi="Times New Roman" w:cs="Times New Roman"/>
          <w:sz w:val="24"/>
          <w:szCs w:val="24"/>
        </w:rPr>
      </w:pPr>
    </w:p>
    <w:p w:rsidR="002E0429" w:rsidRPr="00A424A7" w:rsidRDefault="00E1311E" w:rsidP="000C6BAE">
      <w:pPr>
        <w:autoSpaceDE w:val="0"/>
        <w:autoSpaceDN w:val="0"/>
        <w:adjustRightInd w:val="0"/>
        <w:spacing w:after="0" w:line="360" w:lineRule="auto"/>
        <w:jc w:val="both"/>
        <w:rPr>
          <w:rFonts w:ascii="Times New Roman" w:hAnsi="Times New Roman" w:cs="Times New Roman"/>
          <w:sz w:val="24"/>
          <w:szCs w:val="24"/>
        </w:rPr>
      </w:pPr>
      <w:r w:rsidRPr="00A424A7">
        <w:rPr>
          <w:rFonts w:ascii="Times New Roman" w:hAnsi="Times New Roman" w:cs="Times New Roman"/>
          <w:sz w:val="24"/>
          <w:szCs w:val="24"/>
        </w:rPr>
        <w:t xml:space="preserve">The FEVD is a three step procedure that allows for time invariant and </w:t>
      </w:r>
      <w:r w:rsidR="00E63EE2" w:rsidRPr="00A424A7">
        <w:rPr>
          <w:rFonts w:ascii="Times New Roman" w:hAnsi="Times New Roman" w:cs="Times New Roman"/>
          <w:sz w:val="24"/>
          <w:szCs w:val="24"/>
        </w:rPr>
        <w:t xml:space="preserve">slowly </w:t>
      </w:r>
      <w:r w:rsidRPr="00A424A7">
        <w:rPr>
          <w:rFonts w:ascii="Times New Roman" w:hAnsi="Times New Roman" w:cs="Times New Roman"/>
          <w:sz w:val="24"/>
          <w:szCs w:val="24"/>
        </w:rPr>
        <w:t>changing explanatory variables in models with unobserved time invariant effects</w:t>
      </w:r>
      <w:r w:rsidR="00444E79" w:rsidRPr="00A424A7">
        <w:rPr>
          <w:rFonts w:ascii="Times New Roman" w:hAnsi="Times New Roman" w:cs="Times New Roman"/>
          <w:sz w:val="24"/>
          <w:szCs w:val="24"/>
        </w:rPr>
        <w:t xml:space="preserve"> (Plumper and Troeger, 2007, 2011)</w:t>
      </w:r>
      <w:r w:rsidRPr="00A424A7">
        <w:rPr>
          <w:rFonts w:ascii="Times New Roman" w:hAnsi="Times New Roman" w:cs="Times New Roman"/>
          <w:sz w:val="24"/>
          <w:szCs w:val="24"/>
        </w:rPr>
        <w:t xml:space="preserve">. First, a standard fixed effects model, excluding time invariant variables, is estimated. In stage two, the unit effects, which are extracted from the first stage regression, are regressed on time invariant and/or </w:t>
      </w:r>
      <w:r w:rsidR="0097770B" w:rsidRPr="00A424A7">
        <w:rPr>
          <w:rFonts w:ascii="Times New Roman" w:hAnsi="Times New Roman" w:cs="Times New Roman"/>
          <w:sz w:val="24"/>
          <w:szCs w:val="24"/>
        </w:rPr>
        <w:t xml:space="preserve">slowly </w:t>
      </w:r>
      <w:r w:rsidRPr="00A424A7">
        <w:rPr>
          <w:rFonts w:ascii="Times New Roman" w:hAnsi="Times New Roman" w:cs="Times New Roman"/>
          <w:sz w:val="24"/>
          <w:szCs w:val="24"/>
        </w:rPr>
        <w:t xml:space="preserve">changing variables. This step decomposes the unit effects into unexplained and explained parts. The third stage involves a pooled OLS estimation </w:t>
      </w:r>
      <w:r w:rsidR="00DB7095" w:rsidRPr="00A424A7">
        <w:rPr>
          <w:rFonts w:ascii="Times New Roman" w:hAnsi="Times New Roman" w:cs="Times New Roman"/>
          <w:sz w:val="24"/>
          <w:szCs w:val="24"/>
        </w:rPr>
        <w:t xml:space="preserve">of the unexplained part extracted from step two </w:t>
      </w:r>
      <w:r w:rsidRPr="00A424A7">
        <w:rPr>
          <w:rFonts w:ascii="Times New Roman" w:hAnsi="Times New Roman" w:cs="Times New Roman"/>
          <w:sz w:val="24"/>
          <w:szCs w:val="24"/>
        </w:rPr>
        <w:t xml:space="preserve">on the time varying, time invariant and/or </w:t>
      </w:r>
      <w:r w:rsidR="00564239" w:rsidRPr="00A424A7">
        <w:rPr>
          <w:rFonts w:ascii="Times New Roman" w:hAnsi="Times New Roman" w:cs="Times New Roman"/>
          <w:sz w:val="24"/>
          <w:szCs w:val="24"/>
        </w:rPr>
        <w:t xml:space="preserve">slowly </w:t>
      </w:r>
      <w:r w:rsidRPr="00A424A7">
        <w:rPr>
          <w:rFonts w:ascii="Times New Roman" w:hAnsi="Times New Roman" w:cs="Times New Roman"/>
          <w:sz w:val="24"/>
          <w:szCs w:val="24"/>
        </w:rPr>
        <w:t>changing variables.</w:t>
      </w:r>
      <w:r w:rsidR="00107730" w:rsidRPr="00A424A7">
        <w:rPr>
          <w:rFonts w:ascii="Times New Roman" w:hAnsi="Times New Roman" w:cs="Times New Roman"/>
          <w:sz w:val="24"/>
          <w:szCs w:val="24"/>
        </w:rPr>
        <w:t xml:space="preserve"> </w:t>
      </w:r>
      <w:r w:rsidRPr="00A424A7">
        <w:rPr>
          <w:rFonts w:ascii="Times New Roman" w:hAnsi="Times New Roman" w:cs="Times New Roman"/>
          <w:sz w:val="24"/>
          <w:szCs w:val="24"/>
        </w:rPr>
        <w:t>Estimations are performed using a user-written command in Stata,</w:t>
      </w:r>
      <w:r w:rsidR="00FF4809" w:rsidRPr="00A424A7">
        <w:rPr>
          <w:rFonts w:ascii="Times New Roman" w:hAnsi="Times New Roman" w:cs="Times New Roman"/>
          <w:sz w:val="24"/>
          <w:szCs w:val="24"/>
        </w:rPr>
        <w:t xml:space="preserve"> </w:t>
      </w:r>
      <w:r w:rsidRPr="00A424A7">
        <w:rPr>
          <w:rFonts w:ascii="Times New Roman" w:hAnsi="Times New Roman" w:cs="Times New Roman"/>
          <w:i/>
          <w:sz w:val="24"/>
          <w:szCs w:val="24"/>
        </w:rPr>
        <w:t>xtfevd</w:t>
      </w:r>
      <w:r w:rsidR="00FC1623" w:rsidRPr="00A424A7">
        <w:rPr>
          <w:rFonts w:ascii="Times New Roman" w:hAnsi="Times New Roman" w:cs="Times New Roman"/>
          <w:sz w:val="24"/>
          <w:szCs w:val="24"/>
        </w:rPr>
        <w:t xml:space="preserve"> (Plumper</w:t>
      </w:r>
      <w:r w:rsidR="00992F3F" w:rsidRPr="00A424A7">
        <w:rPr>
          <w:rFonts w:ascii="Times New Roman" w:hAnsi="Times New Roman" w:cs="Times New Roman"/>
          <w:sz w:val="24"/>
          <w:szCs w:val="24"/>
        </w:rPr>
        <w:t xml:space="preserve"> and Troeger</w:t>
      </w:r>
      <w:r w:rsidR="00FC1623" w:rsidRPr="00A424A7">
        <w:rPr>
          <w:rFonts w:ascii="Times New Roman" w:hAnsi="Times New Roman" w:cs="Times New Roman"/>
          <w:sz w:val="24"/>
          <w:szCs w:val="24"/>
        </w:rPr>
        <w:t xml:space="preserve">, </w:t>
      </w:r>
      <w:r w:rsidR="00EA5CC8" w:rsidRPr="00A424A7">
        <w:rPr>
          <w:rFonts w:ascii="Times New Roman" w:hAnsi="Times New Roman" w:cs="Times New Roman"/>
          <w:sz w:val="24"/>
          <w:szCs w:val="24"/>
        </w:rPr>
        <w:t>20</w:t>
      </w:r>
      <w:r w:rsidR="000061C1" w:rsidRPr="00A424A7">
        <w:rPr>
          <w:rFonts w:ascii="Times New Roman" w:hAnsi="Times New Roman" w:cs="Times New Roman"/>
          <w:sz w:val="24"/>
          <w:szCs w:val="24"/>
        </w:rPr>
        <w:t>07</w:t>
      </w:r>
      <w:r w:rsidR="00FC1623" w:rsidRPr="00A424A7">
        <w:rPr>
          <w:rFonts w:ascii="Times New Roman" w:hAnsi="Times New Roman" w:cs="Times New Roman"/>
          <w:sz w:val="24"/>
          <w:szCs w:val="24"/>
        </w:rPr>
        <w:t>)</w:t>
      </w:r>
      <w:r w:rsidR="00107730" w:rsidRPr="00A424A7">
        <w:rPr>
          <w:rFonts w:ascii="Times New Roman" w:hAnsi="Times New Roman" w:cs="Times New Roman"/>
          <w:sz w:val="24"/>
          <w:szCs w:val="24"/>
        </w:rPr>
        <w:t xml:space="preserve">. </w:t>
      </w:r>
      <w:r w:rsidR="002E0429" w:rsidRPr="00A424A7">
        <w:rPr>
          <w:rFonts w:ascii="Times New Roman" w:hAnsi="Times New Roman" w:cs="Times New Roman"/>
          <w:sz w:val="24"/>
          <w:szCs w:val="24"/>
        </w:rPr>
        <w:t xml:space="preserve">By conducting a series of Monte Carlo simulations, </w:t>
      </w:r>
      <w:r w:rsidR="00E75E13" w:rsidRPr="00A424A7">
        <w:rPr>
          <w:rFonts w:ascii="Times New Roman" w:hAnsi="Times New Roman" w:cs="Times New Roman"/>
          <w:sz w:val="24"/>
          <w:szCs w:val="24"/>
        </w:rPr>
        <w:t xml:space="preserve">Plumper and Troeger (2007, 2011) </w:t>
      </w:r>
      <w:r w:rsidR="002E0429" w:rsidRPr="00A424A7">
        <w:rPr>
          <w:rFonts w:ascii="Times New Roman" w:hAnsi="Times New Roman" w:cs="Times New Roman"/>
          <w:sz w:val="24"/>
          <w:szCs w:val="24"/>
        </w:rPr>
        <w:t>have suggested that their estimator outperforms pooled OLS, random effects and Hausman and Taylor in estimating models with time invariant and/or slowly changing variables. They argue that FEVD has got better finite sample properties and thus, produces more accurate estimates when both time invariant and time varying variables are assumed to be correlated with the unobserved effect. Moreover, they argue that FEVD is more efficient than FE, given that its estimates are based on with</w:t>
      </w:r>
      <w:r w:rsidR="00E75E13" w:rsidRPr="00A424A7">
        <w:rPr>
          <w:rFonts w:ascii="Times New Roman" w:hAnsi="Times New Roman" w:cs="Times New Roman"/>
          <w:sz w:val="24"/>
          <w:szCs w:val="24"/>
        </w:rPr>
        <w:t>in as well as between variance.</w:t>
      </w:r>
      <w:r w:rsidR="0018245E" w:rsidRPr="00A424A7">
        <w:rPr>
          <w:rStyle w:val="FootnoteReference"/>
          <w:rFonts w:ascii="Times New Roman" w:hAnsi="Times New Roman" w:cs="Times New Roman"/>
          <w:sz w:val="24"/>
          <w:szCs w:val="24"/>
        </w:rPr>
        <w:footnoteReference w:id="20"/>
      </w:r>
      <w:r w:rsidR="00E75E13" w:rsidRPr="00A424A7">
        <w:rPr>
          <w:rFonts w:ascii="Times New Roman" w:hAnsi="Times New Roman" w:cs="Times New Roman"/>
          <w:sz w:val="24"/>
          <w:szCs w:val="24"/>
        </w:rPr>
        <w:t xml:space="preserve"> </w:t>
      </w:r>
    </w:p>
    <w:p w:rsidR="009B5447" w:rsidRPr="00A424A7" w:rsidRDefault="009B5447" w:rsidP="000C6BAE">
      <w:pPr>
        <w:autoSpaceDE w:val="0"/>
        <w:autoSpaceDN w:val="0"/>
        <w:adjustRightInd w:val="0"/>
        <w:spacing w:after="0" w:line="360" w:lineRule="auto"/>
        <w:jc w:val="both"/>
        <w:rPr>
          <w:rFonts w:ascii="Times New Roman" w:hAnsi="Times New Roman" w:cs="Times New Roman"/>
          <w:sz w:val="24"/>
          <w:szCs w:val="24"/>
        </w:rPr>
      </w:pPr>
    </w:p>
    <w:p w:rsidR="0051739D" w:rsidRDefault="00E72F42" w:rsidP="000C6BAE">
      <w:pPr>
        <w:autoSpaceDE w:val="0"/>
        <w:autoSpaceDN w:val="0"/>
        <w:adjustRightInd w:val="0"/>
        <w:spacing w:after="0" w:line="360" w:lineRule="auto"/>
        <w:jc w:val="both"/>
        <w:rPr>
          <w:rFonts w:ascii="Times New Roman" w:hAnsi="Times New Roman" w:cs="Times New Roman"/>
          <w:sz w:val="24"/>
          <w:szCs w:val="24"/>
        </w:rPr>
      </w:pPr>
      <w:r w:rsidRPr="00A424A7">
        <w:rPr>
          <w:rFonts w:ascii="Times New Roman" w:hAnsi="Times New Roman" w:cs="Times New Roman"/>
          <w:sz w:val="24"/>
          <w:szCs w:val="24"/>
        </w:rPr>
        <w:t xml:space="preserve">The HT estimator is </w:t>
      </w:r>
      <w:r w:rsidR="0060317B" w:rsidRPr="00A424A7">
        <w:rPr>
          <w:rFonts w:ascii="Times New Roman" w:hAnsi="Times New Roman" w:cs="Times New Roman"/>
          <w:sz w:val="24"/>
          <w:szCs w:val="24"/>
        </w:rPr>
        <w:t xml:space="preserve">a mixture of fixed effects and random effects models </w:t>
      </w:r>
      <w:r w:rsidR="00E9515D" w:rsidRPr="00A424A7">
        <w:rPr>
          <w:rFonts w:ascii="Times New Roman" w:hAnsi="Times New Roman" w:cs="Times New Roman"/>
          <w:sz w:val="24"/>
          <w:szCs w:val="24"/>
        </w:rPr>
        <w:t xml:space="preserve">which </w:t>
      </w:r>
      <w:r w:rsidR="002D31B9" w:rsidRPr="00A424A7">
        <w:rPr>
          <w:rFonts w:ascii="Times New Roman" w:hAnsi="Times New Roman" w:cs="Times New Roman"/>
          <w:sz w:val="24"/>
          <w:szCs w:val="24"/>
        </w:rPr>
        <w:t xml:space="preserve">allows for </w:t>
      </w:r>
      <w:r w:rsidR="00C90A8C" w:rsidRPr="00A424A7">
        <w:rPr>
          <w:rFonts w:ascii="Times New Roman" w:hAnsi="Times New Roman" w:cs="Times New Roman"/>
          <w:sz w:val="24"/>
          <w:szCs w:val="24"/>
        </w:rPr>
        <w:t>a subset of</w:t>
      </w:r>
      <w:r w:rsidR="002D31B9" w:rsidRPr="00A424A7">
        <w:rPr>
          <w:rFonts w:ascii="Times New Roman" w:hAnsi="Times New Roman" w:cs="Times New Roman"/>
          <w:sz w:val="24"/>
          <w:szCs w:val="24"/>
        </w:rPr>
        <w:t xml:space="preserve"> explanatory variables to be correlated with unobserved effects while others </w:t>
      </w:r>
      <w:r w:rsidR="009A636A" w:rsidRPr="00A424A7">
        <w:rPr>
          <w:rFonts w:ascii="Times New Roman" w:hAnsi="Times New Roman" w:cs="Times New Roman"/>
          <w:sz w:val="24"/>
          <w:szCs w:val="24"/>
        </w:rPr>
        <w:t xml:space="preserve">are uncorrelated </w:t>
      </w:r>
      <w:r w:rsidR="00015C75" w:rsidRPr="00A424A7">
        <w:rPr>
          <w:rFonts w:ascii="Times New Roman" w:hAnsi="Times New Roman" w:cs="Times New Roman"/>
          <w:sz w:val="24"/>
          <w:szCs w:val="24"/>
        </w:rPr>
        <w:t xml:space="preserve">(Hausman and Taylor, 1981). </w:t>
      </w:r>
      <w:r w:rsidR="00E9515D" w:rsidRPr="00A424A7">
        <w:rPr>
          <w:rFonts w:ascii="Times New Roman" w:hAnsi="Times New Roman" w:cs="Times New Roman"/>
          <w:sz w:val="24"/>
          <w:szCs w:val="24"/>
        </w:rPr>
        <w:t xml:space="preserve">Variables that are specified as exogenous, both time varying and time invariant, are used </w:t>
      </w:r>
      <w:r w:rsidR="001E1BC0" w:rsidRPr="00A424A7">
        <w:rPr>
          <w:rFonts w:ascii="Times New Roman" w:hAnsi="Times New Roman" w:cs="Times New Roman"/>
          <w:sz w:val="24"/>
          <w:szCs w:val="24"/>
        </w:rPr>
        <w:t xml:space="preserve">to </w:t>
      </w:r>
      <w:r w:rsidR="00E9515D" w:rsidRPr="00A424A7">
        <w:rPr>
          <w:rFonts w:ascii="Times New Roman" w:hAnsi="Times New Roman" w:cs="Times New Roman"/>
          <w:sz w:val="24"/>
          <w:szCs w:val="24"/>
        </w:rPr>
        <w:t xml:space="preserve">instrument the endogenous variables. </w:t>
      </w:r>
      <w:r w:rsidR="002E0429" w:rsidRPr="00A424A7">
        <w:rPr>
          <w:rFonts w:ascii="Times New Roman" w:hAnsi="Times New Roman" w:cs="Times New Roman"/>
          <w:sz w:val="24"/>
          <w:szCs w:val="24"/>
        </w:rPr>
        <w:t xml:space="preserve">Despite its widespread popularity among researchers, Cameron and Trivedi (2005) and Breusch et al. (2011) argue that identifying the endogeneity or exogeneity of every explanatory variable is not an easy task. Similarly, Plumper and Troeger (2007) claim that this method yields reliable estimates only if the instrumental variables are strongly correlated with the endogenous variables and uncorrelated with the unobserved specific effects and error term. </w:t>
      </w:r>
      <w:r w:rsidR="00374897" w:rsidRPr="00A424A7">
        <w:rPr>
          <w:rFonts w:ascii="Times New Roman" w:hAnsi="Times New Roman" w:cs="Times New Roman"/>
          <w:sz w:val="24"/>
          <w:szCs w:val="24"/>
        </w:rPr>
        <w:t xml:space="preserve">Acknowledging the potential limitations stemming from the assumptions of each method, we </w:t>
      </w:r>
      <w:r w:rsidR="00E558F2" w:rsidRPr="00A424A7">
        <w:rPr>
          <w:rFonts w:ascii="Times New Roman" w:hAnsi="Times New Roman" w:cs="Times New Roman"/>
          <w:sz w:val="24"/>
          <w:szCs w:val="24"/>
        </w:rPr>
        <w:t xml:space="preserve">will </w:t>
      </w:r>
      <w:r w:rsidR="00374897" w:rsidRPr="00A424A7">
        <w:rPr>
          <w:rFonts w:ascii="Times New Roman" w:hAnsi="Times New Roman" w:cs="Times New Roman"/>
          <w:sz w:val="24"/>
          <w:szCs w:val="24"/>
        </w:rPr>
        <w:t>interpret only the coefficients of the time invariant variables.</w:t>
      </w:r>
    </w:p>
    <w:p w:rsidR="009E67B9" w:rsidRPr="001E2721" w:rsidRDefault="009E67B9" w:rsidP="000C6BAE">
      <w:pPr>
        <w:autoSpaceDE w:val="0"/>
        <w:autoSpaceDN w:val="0"/>
        <w:adjustRightInd w:val="0"/>
        <w:spacing w:after="0" w:line="360" w:lineRule="auto"/>
        <w:jc w:val="both"/>
        <w:rPr>
          <w:rFonts w:ascii="Times New Roman" w:hAnsi="Times New Roman" w:cs="Times New Roman"/>
          <w:sz w:val="24"/>
          <w:szCs w:val="24"/>
        </w:rPr>
      </w:pPr>
    </w:p>
    <w:p w:rsidR="00DA5D40" w:rsidRPr="001E2721" w:rsidRDefault="001D3009" w:rsidP="000C6BAE">
      <w:pPr>
        <w:autoSpaceDE w:val="0"/>
        <w:autoSpaceDN w:val="0"/>
        <w:adjustRightInd w:val="0"/>
        <w:spacing w:after="0" w:line="360" w:lineRule="auto"/>
        <w:jc w:val="both"/>
        <w:rPr>
          <w:rFonts w:ascii="Times New Roman" w:hAnsi="Times New Roman" w:cs="Times New Roman"/>
          <w:sz w:val="24"/>
          <w:szCs w:val="24"/>
        </w:rPr>
      </w:pPr>
      <w:r w:rsidRPr="00A424A7">
        <w:rPr>
          <w:rFonts w:ascii="Times New Roman" w:hAnsi="Times New Roman" w:cs="Times New Roman"/>
          <w:sz w:val="24"/>
          <w:szCs w:val="24"/>
        </w:rPr>
        <w:t>T</w:t>
      </w:r>
      <w:r w:rsidR="008650BB" w:rsidRPr="00A424A7">
        <w:rPr>
          <w:rFonts w:ascii="Times New Roman" w:hAnsi="Times New Roman" w:cs="Times New Roman"/>
          <w:sz w:val="24"/>
          <w:szCs w:val="24"/>
        </w:rPr>
        <w:t xml:space="preserve">he presence of endogenous variables in the model due to simultaneity represents </w:t>
      </w:r>
      <w:r w:rsidR="007C1572" w:rsidRPr="00A424A7">
        <w:rPr>
          <w:rFonts w:ascii="Times New Roman" w:hAnsi="Times New Roman" w:cs="Times New Roman"/>
          <w:sz w:val="24"/>
          <w:szCs w:val="24"/>
        </w:rPr>
        <w:t xml:space="preserve">a </w:t>
      </w:r>
      <w:r w:rsidR="008650BB" w:rsidRPr="00A424A7">
        <w:rPr>
          <w:rFonts w:ascii="Times New Roman" w:hAnsi="Times New Roman" w:cs="Times New Roman"/>
          <w:sz w:val="24"/>
          <w:szCs w:val="24"/>
        </w:rPr>
        <w:t xml:space="preserve">source of </w:t>
      </w:r>
      <w:r w:rsidRPr="00A424A7">
        <w:rPr>
          <w:rFonts w:ascii="Times New Roman" w:hAnsi="Times New Roman" w:cs="Times New Roman"/>
          <w:sz w:val="24"/>
          <w:szCs w:val="24"/>
        </w:rPr>
        <w:t>potential</w:t>
      </w:r>
      <w:r w:rsidR="008650BB" w:rsidRPr="00A424A7">
        <w:rPr>
          <w:rFonts w:ascii="Times New Roman" w:hAnsi="Times New Roman" w:cs="Times New Roman"/>
          <w:sz w:val="24"/>
          <w:szCs w:val="24"/>
        </w:rPr>
        <w:t xml:space="preserve"> estimat</w:t>
      </w:r>
      <w:r w:rsidR="004D5C2D" w:rsidRPr="00A424A7">
        <w:rPr>
          <w:rFonts w:ascii="Times New Roman" w:hAnsi="Times New Roman" w:cs="Times New Roman"/>
          <w:sz w:val="24"/>
          <w:szCs w:val="24"/>
        </w:rPr>
        <w:t>ion</w:t>
      </w:r>
      <w:r w:rsidR="008650BB" w:rsidRPr="00A424A7">
        <w:rPr>
          <w:rFonts w:ascii="Times New Roman" w:hAnsi="Times New Roman" w:cs="Times New Roman"/>
          <w:sz w:val="24"/>
          <w:szCs w:val="24"/>
        </w:rPr>
        <w:t xml:space="preserve"> inconsistency. </w:t>
      </w:r>
      <w:r w:rsidR="0006275D" w:rsidRPr="00A424A7">
        <w:rPr>
          <w:rFonts w:ascii="Times New Roman" w:hAnsi="Times New Roman" w:cs="Times New Roman"/>
          <w:sz w:val="24"/>
          <w:szCs w:val="24"/>
        </w:rPr>
        <w:t>Education</w:t>
      </w:r>
      <w:r w:rsidR="005B05A7" w:rsidRPr="00A424A7">
        <w:rPr>
          <w:rFonts w:ascii="Times New Roman" w:hAnsi="Times New Roman" w:cs="Times New Roman"/>
          <w:sz w:val="24"/>
          <w:szCs w:val="24"/>
        </w:rPr>
        <w:t>al</w:t>
      </w:r>
      <w:r w:rsidR="0006275D" w:rsidRPr="00A424A7">
        <w:rPr>
          <w:rFonts w:ascii="Times New Roman" w:hAnsi="Times New Roman" w:cs="Times New Roman"/>
          <w:sz w:val="24"/>
          <w:szCs w:val="24"/>
        </w:rPr>
        <w:t xml:space="preserve"> attainment, patent applications and foreign direct investment are suspected to be subject to simultaneous causality. A potential feedback effect from exports to education</w:t>
      </w:r>
      <w:r w:rsidR="000B48AB" w:rsidRPr="00A424A7">
        <w:rPr>
          <w:rFonts w:ascii="Times New Roman" w:hAnsi="Times New Roman" w:cs="Times New Roman"/>
          <w:sz w:val="24"/>
          <w:szCs w:val="24"/>
        </w:rPr>
        <w:t>al</w:t>
      </w:r>
      <w:r w:rsidR="0006275D" w:rsidRPr="00A424A7">
        <w:rPr>
          <w:rFonts w:ascii="Times New Roman" w:hAnsi="Times New Roman" w:cs="Times New Roman"/>
          <w:sz w:val="24"/>
          <w:szCs w:val="24"/>
        </w:rPr>
        <w:t xml:space="preserve"> attainment is likely to </w:t>
      </w:r>
      <w:r w:rsidR="000B48AB" w:rsidRPr="00A424A7">
        <w:rPr>
          <w:rFonts w:ascii="Times New Roman" w:hAnsi="Times New Roman" w:cs="Times New Roman"/>
          <w:sz w:val="24"/>
          <w:szCs w:val="24"/>
        </w:rPr>
        <w:t>be observed</w:t>
      </w:r>
      <w:r w:rsidR="0006275D" w:rsidRPr="00A424A7">
        <w:rPr>
          <w:rFonts w:ascii="Times New Roman" w:hAnsi="Times New Roman" w:cs="Times New Roman"/>
          <w:sz w:val="24"/>
          <w:szCs w:val="24"/>
        </w:rPr>
        <w:t xml:space="preserve"> if </w:t>
      </w:r>
      <w:r w:rsidRPr="00A424A7">
        <w:rPr>
          <w:rFonts w:ascii="Times New Roman" w:hAnsi="Times New Roman" w:cs="Times New Roman"/>
          <w:sz w:val="24"/>
          <w:szCs w:val="24"/>
        </w:rPr>
        <w:t xml:space="preserve">higher </w:t>
      </w:r>
      <w:r w:rsidR="0006275D" w:rsidRPr="00A424A7">
        <w:rPr>
          <w:rFonts w:ascii="Times New Roman" w:hAnsi="Times New Roman" w:cs="Times New Roman"/>
          <w:sz w:val="24"/>
          <w:szCs w:val="24"/>
        </w:rPr>
        <w:t>demand for more educated workers</w:t>
      </w:r>
      <w:r w:rsidR="00C95674" w:rsidRPr="00A424A7">
        <w:rPr>
          <w:rFonts w:ascii="Times New Roman" w:hAnsi="Times New Roman" w:cs="Times New Roman"/>
          <w:sz w:val="24"/>
          <w:szCs w:val="24"/>
        </w:rPr>
        <w:t>,</w:t>
      </w:r>
      <w:r w:rsidR="000B48AB" w:rsidRPr="00A424A7">
        <w:rPr>
          <w:rFonts w:ascii="Times New Roman" w:hAnsi="Times New Roman" w:cs="Times New Roman"/>
          <w:sz w:val="24"/>
          <w:szCs w:val="24"/>
        </w:rPr>
        <w:t xml:space="preserve"> </w:t>
      </w:r>
      <w:r w:rsidRPr="00A424A7">
        <w:rPr>
          <w:rFonts w:ascii="Times New Roman" w:hAnsi="Times New Roman" w:cs="Times New Roman"/>
          <w:sz w:val="24"/>
          <w:szCs w:val="24"/>
        </w:rPr>
        <w:t xml:space="preserve">as a result of </w:t>
      </w:r>
      <w:r w:rsidR="00C95674" w:rsidRPr="00A424A7">
        <w:rPr>
          <w:rFonts w:ascii="Times New Roman" w:hAnsi="Times New Roman" w:cs="Times New Roman"/>
          <w:sz w:val="24"/>
          <w:szCs w:val="24"/>
        </w:rPr>
        <w:t xml:space="preserve">rising </w:t>
      </w:r>
      <w:r w:rsidRPr="00A424A7">
        <w:rPr>
          <w:rFonts w:ascii="Times New Roman" w:hAnsi="Times New Roman" w:cs="Times New Roman"/>
          <w:sz w:val="24"/>
          <w:szCs w:val="24"/>
        </w:rPr>
        <w:t>exports</w:t>
      </w:r>
      <w:r w:rsidR="00C95674" w:rsidRPr="00A424A7">
        <w:rPr>
          <w:rFonts w:ascii="Times New Roman" w:hAnsi="Times New Roman" w:cs="Times New Roman"/>
          <w:sz w:val="24"/>
          <w:szCs w:val="24"/>
        </w:rPr>
        <w:t>,</w:t>
      </w:r>
      <w:r w:rsidR="000B48AB" w:rsidRPr="00A424A7">
        <w:rPr>
          <w:rFonts w:ascii="Times New Roman" w:hAnsi="Times New Roman" w:cs="Times New Roman"/>
          <w:sz w:val="24"/>
          <w:szCs w:val="24"/>
        </w:rPr>
        <w:t xml:space="preserve"> </w:t>
      </w:r>
      <w:r w:rsidR="0006275D" w:rsidRPr="00A424A7">
        <w:rPr>
          <w:rFonts w:ascii="Times New Roman" w:hAnsi="Times New Roman" w:cs="Times New Roman"/>
          <w:sz w:val="24"/>
          <w:szCs w:val="24"/>
        </w:rPr>
        <w:t>increases the rate of return from investing in additional schooling</w:t>
      </w:r>
      <w:r w:rsidRPr="00A424A7">
        <w:rPr>
          <w:rFonts w:ascii="Times New Roman" w:hAnsi="Times New Roman" w:cs="Times New Roman"/>
          <w:sz w:val="24"/>
          <w:szCs w:val="24"/>
        </w:rPr>
        <w:t xml:space="preserve">, </w:t>
      </w:r>
      <w:r w:rsidR="0006275D" w:rsidRPr="00A424A7">
        <w:rPr>
          <w:rFonts w:ascii="Times New Roman" w:hAnsi="Times New Roman" w:cs="Times New Roman"/>
          <w:sz w:val="24"/>
          <w:szCs w:val="24"/>
        </w:rPr>
        <w:t>hence rais</w:t>
      </w:r>
      <w:r w:rsidRPr="00A424A7">
        <w:rPr>
          <w:rFonts w:ascii="Times New Roman" w:hAnsi="Times New Roman" w:cs="Times New Roman"/>
          <w:sz w:val="24"/>
          <w:szCs w:val="24"/>
        </w:rPr>
        <w:t>ing</w:t>
      </w:r>
      <w:r w:rsidR="0006275D" w:rsidRPr="00A424A7">
        <w:rPr>
          <w:rFonts w:ascii="Times New Roman" w:hAnsi="Times New Roman" w:cs="Times New Roman"/>
          <w:sz w:val="24"/>
          <w:szCs w:val="24"/>
        </w:rPr>
        <w:t xml:space="preserve"> levels of educational attainment</w:t>
      </w:r>
      <w:r w:rsidRPr="00A424A7">
        <w:rPr>
          <w:rFonts w:ascii="Times New Roman" w:hAnsi="Times New Roman" w:cs="Times New Roman"/>
          <w:sz w:val="24"/>
          <w:szCs w:val="24"/>
        </w:rPr>
        <w:t xml:space="preserve"> in the workforce</w:t>
      </w:r>
      <w:r w:rsidR="0006275D" w:rsidRPr="00A424A7">
        <w:rPr>
          <w:rFonts w:ascii="Times New Roman" w:hAnsi="Times New Roman" w:cs="Times New Roman"/>
          <w:sz w:val="24"/>
          <w:szCs w:val="24"/>
        </w:rPr>
        <w:t xml:space="preserve">. In a similar manner, a feedback effect may also occur from exports to innovation. </w:t>
      </w:r>
      <w:r w:rsidR="00C95674" w:rsidRPr="00A424A7">
        <w:rPr>
          <w:rFonts w:ascii="Times New Roman" w:hAnsi="Times New Roman" w:cs="Times New Roman"/>
          <w:sz w:val="24"/>
          <w:szCs w:val="24"/>
        </w:rPr>
        <w:t>S</w:t>
      </w:r>
      <w:r w:rsidR="0006275D" w:rsidRPr="00A424A7">
        <w:rPr>
          <w:rFonts w:ascii="Times New Roman" w:hAnsi="Times New Roman" w:cs="Times New Roman"/>
          <w:sz w:val="24"/>
          <w:szCs w:val="24"/>
        </w:rPr>
        <w:t>everal studies have fo</w:t>
      </w:r>
      <w:r w:rsidR="00A26C43" w:rsidRPr="00A424A7">
        <w:rPr>
          <w:rFonts w:ascii="Times New Roman" w:hAnsi="Times New Roman" w:cs="Times New Roman"/>
          <w:sz w:val="24"/>
          <w:szCs w:val="24"/>
        </w:rPr>
        <w:t>und supporting evidence for this</w:t>
      </w:r>
      <w:r w:rsidR="0006275D" w:rsidRPr="00A424A7">
        <w:rPr>
          <w:rFonts w:ascii="Times New Roman" w:hAnsi="Times New Roman" w:cs="Times New Roman"/>
          <w:sz w:val="24"/>
          <w:szCs w:val="24"/>
        </w:rPr>
        <w:t xml:space="preserve"> hypothesis, even though </w:t>
      </w:r>
      <w:r w:rsidR="00013BFC" w:rsidRPr="00A424A7">
        <w:rPr>
          <w:rFonts w:ascii="Times New Roman" w:hAnsi="Times New Roman" w:cs="Times New Roman"/>
          <w:sz w:val="24"/>
          <w:szCs w:val="24"/>
        </w:rPr>
        <w:t xml:space="preserve">this reverse causation </w:t>
      </w:r>
      <w:r w:rsidR="0006275D" w:rsidRPr="00A424A7">
        <w:rPr>
          <w:rFonts w:ascii="Times New Roman" w:hAnsi="Times New Roman" w:cs="Times New Roman"/>
          <w:sz w:val="24"/>
          <w:szCs w:val="24"/>
        </w:rPr>
        <w:t xml:space="preserve">tends to be limited to specific firms, countries and/or innovation categories (Damijan et. al., 2008, Van Beveren and Vandenbussche, 2010). FDI is also likely to be influenced by a country’s exporting. For instance, a higher degree of openness, commonly measured by export ratios, has been suggested to encourage foreign investment, though the empirical evidence is mixed (Charkrabarti, 2001). </w:t>
      </w:r>
      <w:r w:rsidR="00D61FA2" w:rsidRPr="00A424A7">
        <w:rPr>
          <w:rFonts w:ascii="Times New Roman" w:hAnsi="Times New Roman" w:cs="Times New Roman"/>
          <w:sz w:val="24"/>
          <w:szCs w:val="24"/>
        </w:rPr>
        <w:t>While</w:t>
      </w:r>
      <w:r w:rsidR="0006275D" w:rsidRPr="00A424A7">
        <w:rPr>
          <w:rFonts w:ascii="Times New Roman" w:hAnsi="Times New Roman" w:cs="Times New Roman"/>
          <w:sz w:val="24"/>
          <w:szCs w:val="24"/>
        </w:rPr>
        <w:t xml:space="preserve"> most of these relationships are highly unlikely to occur simultaneously</w:t>
      </w:r>
      <w:r w:rsidR="00A06CD6" w:rsidRPr="00A424A7">
        <w:rPr>
          <w:rFonts w:ascii="Times New Roman" w:hAnsi="Times New Roman" w:cs="Times New Roman"/>
          <w:sz w:val="24"/>
          <w:szCs w:val="24"/>
        </w:rPr>
        <w:t>,</w:t>
      </w:r>
      <w:r w:rsidR="0006275D" w:rsidRPr="00A424A7">
        <w:rPr>
          <w:rFonts w:ascii="Times New Roman" w:hAnsi="Times New Roman" w:cs="Times New Roman"/>
          <w:sz w:val="24"/>
          <w:szCs w:val="24"/>
        </w:rPr>
        <w:t xml:space="preserve"> as it u</w:t>
      </w:r>
      <w:r w:rsidR="00D61FA2" w:rsidRPr="00A424A7">
        <w:rPr>
          <w:rFonts w:ascii="Times New Roman" w:hAnsi="Times New Roman" w:cs="Times New Roman"/>
          <w:sz w:val="24"/>
          <w:szCs w:val="24"/>
        </w:rPr>
        <w:t>sually takes some time for the</w:t>
      </w:r>
      <w:r w:rsidR="008F342A" w:rsidRPr="00A424A7">
        <w:rPr>
          <w:rFonts w:ascii="Times New Roman" w:hAnsi="Times New Roman" w:cs="Times New Roman"/>
          <w:sz w:val="24"/>
          <w:szCs w:val="24"/>
        </w:rPr>
        <w:t xml:space="preserve"> </w:t>
      </w:r>
      <w:r w:rsidR="00D61FA2" w:rsidRPr="00A424A7">
        <w:rPr>
          <w:rFonts w:ascii="Times New Roman" w:hAnsi="Times New Roman" w:cs="Times New Roman"/>
          <w:sz w:val="24"/>
          <w:szCs w:val="24"/>
        </w:rPr>
        <w:t xml:space="preserve">feedback effects to take place, </w:t>
      </w:r>
      <w:r w:rsidR="007B4059" w:rsidRPr="00A424A7">
        <w:rPr>
          <w:rFonts w:ascii="Times New Roman" w:hAnsi="Times New Roman" w:cs="Times New Roman"/>
          <w:sz w:val="24"/>
          <w:szCs w:val="24"/>
        </w:rPr>
        <w:t xml:space="preserve">a conservative approach </w:t>
      </w:r>
      <w:r w:rsidR="004E05CC" w:rsidRPr="00A424A7">
        <w:rPr>
          <w:rFonts w:ascii="Times New Roman" w:hAnsi="Times New Roman" w:cs="Times New Roman"/>
          <w:sz w:val="24"/>
          <w:szCs w:val="24"/>
        </w:rPr>
        <w:t xml:space="preserve">is taken </w:t>
      </w:r>
      <w:r w:rsidR="007B4059" w:rsidRPr="00A424A7">
        <w:rPr>
          <w:rFonts w:ascii="Times New Roman" w:hAnsi="Times New Roman" w:cs="Times New Roman"/>
          <w:sz w:val="24"/>
          <w:szCs w:val="24"/>
        </w:rPr>
        <w:t xml:space="preserve">and </w:t>
      </w:r>
      <w:r w:rsidR="0006275D" w:rsidRPr="00A424A7">
        <w:rPr>
          <w:rFonts w:ascii="Times New Roman" w:hAnsi="Times New Roman" w:cs="Times New Roman"/>
          <w:sz w:val="24"/>
          <w:szCs w:val="24"/>
        </w:rPr>
        <w:t xml:space="preserve">Schaffer’s (2010) instrumental variable estimation approach </w:t>
      </w:r>
      <w:r w:rsidR="004E05CC" w:rsidRPr="00A424A7">
        <w:rPr>
          <w:rFonts w:ascii="Times New Roman" w:hAnsi="Times New Roman" w:cs="Times New Roman"/>
          <w:sz w:val="24"/>
          <w:szCs w:val="24"/>
        </w:rPr>
        <w:t xml:space="preserve">is applied </w:t>
      </w:r>
      <w:r w:rsidR="0006275D" w:rsidRPr="00A424A7">
        <w:rPr>
          <w:rFonts w:ascii="Times New Roman" w:hAnsi="Times New Roman" w:cs="Times New Roman"/>
          <w:sz w:val="24"/>
          <w:szCs w:val="24"/>
        </w:rPr>
        <w:t xml:space="preserve">to </w:t>
      </w:r>
      <w:r w:rsidR="00D61FA2" w:rsidRPr="00A424A7">
        <w:rPr>
          <w:rFonts w:ascii="Times New Roman" w:hAnsi="Times New Roman" w:cs="Times New Roman"/>
          <w:sz w:val="24"/>
          <w:szCs w:val="24"/>
        </w:rPr>
        <w:t>account for</w:t>
      </w:r>
      <w:r w:rsidR="0006275D" w:rsidRPr="00A424A7">
        <w:rPr>
          <w:rFonts w:ascii="Times New Roman" w:hAnsi="Times New Roman" w:cs="Times New Roman"/>
          <w:sz w:val="24"/>
          <w:szCs w:val="24"/>
        </w:rPr>
        <w:t xml:space="preserve"> potential </w:t>
      </w:r>
      <w:r w:rsidR="00D61FA2" w:rsidRPr="00A424A7">
        <w:rPr>
          <w:rFonts w:ascii="Times New Roman" w:hAnsi="Times New Roman" w:cs="Times New Roman"/>
          <w:sz w:val="24"/>
          <w:szCs w:val="24"/>
        </w:rPr>
        <w:t xml:space="preserve">endogeneity in </w:t>
      </w:r>
      <w:r w:rsidR="00D91E48" w:rsidRPr="00A424A7">
        <w:rPr>
          <w:rFonts w:ascii="Times New Roman" w:hAnsi="Times New Roman" w:cs="Times New Roman"/>
          <w:sz w:val="24"/>
          <w:szCs w:val="24"/>
        </w:rPr>
        <w:t>the</w:t>
      </w:r>
      <w:r w:rsidR="00D61FA2" w:rsidRPr="00A424A7">
        <w:rPr>
          <w:rFonts w:ascii="Times New Roman" w:hAnsi="Times New Roman" w:cs="Times New Roman"/>
          <w:sz w:val="24"/>
          <w:szCs w:val="24"/>
        </w:rPr>
        <w:t xml:space="preserve"> models</w:t>
      </w:r>
      <w:r w:rsidR="0006275D" w:rsidRPr="00A424A7">
        <w:rPr>
          <w:rFonts w:ascii="Times New Roman" w:hAnsi="Times New Roman" w:cs="Times New Roman"/>
          <w:sz w:val="24"/>
          <w:szCs w:val="24"/>
        </w:rPr>
        <w:t xml:space="preserve">. Since finding suitable </w:t>
      </w:r>
      <w:r w:rsidR="0029518D" w:rsidRPr="00A424A7">
        <w:rPr>
          <w:rFonts w:ascii="Times New Roman" w:hAnsi="Times New Roman" w:cs="Times New Roman"/>
          <w:sz w:val="24"/>
          <w:szCs w:val="24"/>
        </w:rPr>
        <w:t xml:space="preserve">and valid </w:t>
      </w:r>
      <w:r w:rsidR="0006275D" w:rsidRPr="00A424A7">
        <w:rPr>
          <w:rFonts w:ascii="Times New Roman" w:hAnsi="Times New Roman" w:cs="Times New Roman"/>
          <w:sz w:val="24"/>
          <w:szCs w:val="24"/>
        </w:rPr>
        <w:t xml:space="preserve">instruments is very difficult, the lagged values (one period) of the potential endogenous variables </w:t>
      </w:r>
      <w:r w:rsidR="00D86684" w:rsidRPr="00A424A7">
        <w:rPr>
          <w:rFonts w:ascii="Times New Roman" w:hAnsi="Times New Roman" w:cs="Times New Roman"/>
          <w:sz w:val="24"/>
          <w:szCs w:val="24"/>
        </w:rPr>
        <w:t>are</w:t>
      </w:r>
      <w:r w:rsidR="0006275D" w:rsidRPr="00A424A7">
        <w:rPr>
          <w:rFonts w:ascii="Times New Roman" w:hAnsi="Times New Roman" w:cs="Times New Roman"/>
          <w:sz w:val="24"/>
          <w:szCs w:val="24"/>
        </w:rPr>
        <w:t xml:space="preserve"> used as internal instruments</w:t>
      </w:r>
      <w:r w:rsidR="00FF4809" w:rsidRPr="00A424A7">
        <w:rPr>
          <w:rFonts w:ascii="Times New Roman" w:hAnsi="Times New Roman" w:cs="Times New Roman"/>
          <w:sz w:val="24"/>
          <w:szCs w:val="24"/>
        </w:rPr>
        <w:t>.</w:t>
      </w:r>
      <w:r w:rsidR="0006275D" w:rsidRPr="00A424A7">
        <w:rPr>
          <w:rFonts w:ascii="Times New Roman" w:hAnsi="Times New Roman" w:cs="Times New Roman"/>
          <w:sz w:val="24"/>
          <w:szCs w:val="24"/>
        </w:rPr>
        <w:t xml:space="preserve"> </w:t>
      </w:r>
      <w:r w:rsidR="00552A7F" w:rsidRPr="00A424A7">
        <w:rPr>
          <w:rFonts w:ascii="Times New Roman" w:hAnsi="Times New Roman" w:cs="Times New Roman"/>
          <w:sz w:val="24"/>
          <w:szCs w:val="24"/>
        </w:rPr>
        <w:t>The key rationale for using lags is that these values were produced at an earlier point in time and hence are unlikely to be influenced by current</w:t>
      </w:r>
      <w:r w:rsidR="00A158E5" w:rsidRPr="00A424A7">
        <w:rPr>
          <w:rFonts w:ascii="Times New Roman" w:hAnsi="Times New Roman" w:cs="Times New Roman"/>
          <w:sz w:val="24"/>
          <w:szCs w:val="24"/>
        </w:rPr>
        <w:t xml:space="preserve"> changes.</w:t>
      </w:r>
      <w:r w:rsidR="00552A7F" w:rsidRPr="001E2721">
        <w:rPr>
          <w:rFonts w:ascii="Times New Roman" w:hAnsi="Times New Roman" w:cs="Times New Roman"/>
          <w:sz w:val="24"/>
          <w:szCs w:val="24"/>
        </w:rPr>
        <w:t xml:space="preserve"> </w:t>
      </w:r>
    </w:p>
    <w:p w:rsidR="006F13FB" w:rsidRPr="001E2721" w:rsidRDefault="00DA5D40" w:rsidP="00DA5D40">
      <w:pPr>
        <w:pStyle w:val="Heading1"/>
        <w:spacing w:line="360" w:lineRule="auto"/>
        <w:rPr>
          <w:color w:val="auto"/>
          <w:lang w:val="en-US"/>
        </w:rPr>
      </w:pPr>
      <w:r w:rsidRPr="001E2721">
        <w:rPr>
          <w:color w:val="auto"/>
          <w:lang w:val="en-US"/>
        </w:rPr>
        <w:t xml:space="preserve">5. </w:t>
      </w:r>
      <w:r w:rsidR="00E9515D" w:rsidRPr="001E2721">
        <w:rPr>
          <w:color w:val="auto"/>
          <w:lang w:val="en-US"/>
        </w:rPr>
        <w:t xml:space="preserve"> </w:t>
      </w:r>
      <w:r w:rsidR="000061C1" w:rsidRPr="001E2721">
        <w:rPr>
          <w:color w:val="auto"/>
          <w:lang w:val="en-US"/>
        </w:rPr>
        <w:t>R</w:t>
      </w:r>
      <w:r w:rsidR="003811BB" w:rsidRPr="001E2721">
        <w:rPr>
          <w:color w:val="auto"/>
          <w:lang w:val="en-US"/>
        </w:rPr>
        <w:t xml:space="preserve">esults </w:t>
      </w:r>
    </w:p>
    <w:p w:rsidR="00FA6EA1" w:rsidRPr="00B621DC" w:rsidRDefault="002C20A2" w:rsidP="002C20A2">
      <w:pPr>
        <w:spacing w:line="360" w:lineRule="auto"/>
        <w:jc w:val="both"/>
        <w:rPr>
          <w:rFonts w:ascii="Times New Roman" w:hAnsi="Times New Roman" w:cs="Times New Roman"/>
          <w:color w:val="FF0000"/>
          <w:sz w:val="24"/>
          <w:szCs w:val="24"/>
        </w:rPr>
      </w:pPr>
      <w:r w:rsidRPr="001E2721">
        <w:rPr>
          <w:rFonts w:ascii="Times New Roman" w:hAnsi="Times New Roman" w:cs="Times New Roman"/>
          <w:sz w:val="24"/>
          <w:szCs w:val="24"/>
        </w:rPr>
        <w:t xml:space="preserve">The results </w:t>
      </w:r>
      <w:r w:rsidR="00AF0EF8" w:rsidRPr="001E2721">
        <w:rPr>
          <w:rFonts w:ascii="Times New Roman" w:hAnsi="Times New Roman" w:cs="Times New Roman"/>
          <w:sz w:val="24"/>
          <w:szCs w:val="24"/>
        </w:rPr>
        <w:t xml:space="preserve">presented here </w:t>
      </w:r>
      <w:r w:rsidR="007F3163" w:rsidRPr="001E2721">
        <w:rPr>
          <w:rFonts w:ascii="Times New Roman" w:hAnsi="Times New Roman" w:cs="Times New Roman"/>
          <w:sz w:val="24"/>
          <w:szCs w:val="24"/>
        </w:rPr>
        <w:t>are</w:t>
      </w:r>
      <w:r w:rsidRPr="001E2721">
        <w:rPr>
          <w:rFonts w:ascii="Times New Roman" w:hAnsi="Times New Roman" w:cs="Times New Roman"/>
          <w:sz w:val="24"/>
          <w:szCs w:val="24"/>
        </w:rPr>
        <w:t xml:space="preserve"> based on the instrumental variable fixed effects estimator for time varying variables and on fixed effects vector decomposition and Hausman and Taylor for </w:t>
      </w:r>
      <w:r w:rsidR="00F20C12" w:rsidRPr="001E2721">
        <w:rPr>
          <w:rFonts w:ascii="Times New Roman" w:hAnsi="Times New Roman" w:cs="Times New Roman"/>
          <w:sz w:val="24"/>
          <w:szCs w:val="24"/>
        </w:rPr>
        <w:t>the time invariant variables</w:t>
      </w:r>
      <w:r w:rsidRPr="001E2721">
        <w:rPr>
          <w:rFonts w:ascii="Times New Roman" w:hAnsi="Times New Roman" w:cs="Times New Roman"/>
          <w:sz w:val="24"/>
          <w:szCs w:val="24"/>
        </w:rPr>
        <w:t>.</w:t>
      </w:r>
      <w:r w:rsidR="00104447" w:rsidRPr="00A424A7">
        <w:rPr>
          <w:rStyle w:val="FootnoteReference"/>
          <w:rFonts w:ascii="Times New Roman" w:hAnsi="Times New Roman" w:cs="Times New Roman"/>
          <w:sz w:val="24"/>
          <w:szCs w:val="24"/>
        </w:rPr>
        <w:footnoteReference w:id="21"/>
      </w:r>
      <w:r w:rsidRPr="001E2721">
        <w:rPr>
          <w:rFonts w:ascii="Times New Roman" w:hAnsi="Times New Roman" w:cs="Times New Roman"/>
          <w:sz w:val="24"/>
          <w:szCs w:val="24"/>
        </w:rPr>
        <w:t xml:space="preserve"> </w:t>
      </w:r>
      <w:r w:rsidR="007A48DA" w:rsidRPr="001E2721">
        <w:rPr>
          <w:rFonts w:ascii="Times New Roman" w:hAnsi="Times New Roman" w:cs="Times New Roman"/>
          <w:sz w:val="24"/>
          <w:szCs w:val="24"/>
        </w:rPr>
        <w:t>O</w:t>
      </w:r>
      <w:r w:rsidRPr="001E2721">
        <w:rPr>
          <w:rFonts w:ascii="Times New Roman" w:hAnsi="Times New Roman" w:cs="Times New Roman"/>
          <w:sz w:val="24"/>
          <w:szCs w:val="24"/>
        </w:rPr>
        <w:t>verall</w:t>
      </w:r>
      <w:r w:rsidR="007A48DA" w:rsidRPr="001E2721">
        <w:rPr>
          <w:rFonts w:ascii="Times New Roman" w:hAnsi="Times New Roman" w:cs="Times New Roman"/>
          <w:sz w:val="24"/>
          <w:szCs w:val="24"/>
        </w:rPr>
        <w:t>, the</w:t>
      </w:r>
      <w:r w:rsidRPr="001E2721">
        <w:rPr>
          <w:rFonts w:ascii="Times New Roman" w:hAnsi="Times New Roman" w:cs="Times New Roman"/>
          <w:sz w:val="24"/>
          <w:szCs w:val="24"/>
        </w:rPr>
        <w:t xml:space="preserve"> results suggest that the impact of education</w:t>
      </w:r>
      <w:r w:rsidR="005B05A7" w:rsidRPr="001E2721">
        <w:rPr>
          <w:rFonts w:ascii="Times New Roman" w:hAnsi="Times New Roman" w:cs="Times New Roman"/>
          <w:sz w:val="24"/>
          <w:szCs w:val="24"/>
        </w:rPr>
        <w:t>al</w:t>
      </w:r>
      <w:r w:rsidRPr="001E2721">
        <w:rPr>
          <w:rFonts w:ascii="Times New Roman" w:hAnsi="Times New Roman" w:cs="Times New Roman"/>
          <w:sz w:val="24"/>
          <w:szCs w:val="24"/>
        </w:rPr>
        <w:t xml:space="preserve"> attainment on export market share is subject to the level of education investigated, thus highlighting the importance of distinguishing between different levels. </w:t>
      </w:r>
      <w:r w:rsidR="00E8383B" w:rsidRPr="00E8383B">
        <w:rPr>
          <w:rFonts w:ascii="Times New Roman" w:hAnsi="Times New Roman" w:cs="Times New Roman"/>
          <w:sz w:val="24"/>
          <w:szCs w:val="24"/>
        </w:rPr>
        <w:t xml:space="preserve">Although both measures of educational attainment seem to have a positive impact on the export market share of CEECs, the share of population who have attained secondary education exerts a relatively stronger impact. Namely, it is estimated that, on average holding other factors constant, an increase of 1 percent in the share of the population aged 15 and over who have attained secondary education increases the export market share by </w:t>
      </w:r>
      <w:r w:rsidR="002C16E0">
        <w:rPr>
          <w:rFonts w:ascii="Times New Roman" w:hAnsi="Times New Roman" w:cs="Times New Roman"/>
          <w:sz w:val="24"/>
          <w:szCs w:val="24"/>
        </w:rPr>
        <w:t>1.164</w:t>
      </w:r>
      <w:r w:rsidR="00E8383B" w:rsidRPr="00E8383B">
        <w:rPr>
          <w:rFonts w:ascii="Times New Roman" w:hAnsi="Times New Roman" w:cs="Times New Roman"/>
          <w:sz w:val="24"/>
          <w:szCs w:val="24"/>
        </w:rPr>
        <w:t xml:space="preserve"> percent (see Table 3). </w:t>
      </w:r>
      <w:r w:rsidR="002C16E0" w:rsidRPr="001E2721">
        <w:rPr>
          <w:rFonts w:ascii="Times New Roman" w:hAnsi="Times New Roman" w:cs="Times New Roman"/>
          <w:sz w:val="24"/>
          <w:szCs w:val="24"/>
        </w:rPr>
        <w:t>When expressing these effects in terms of the sample means</w:t>
      </w:r>
      <w:r w:rsidR="002970AC" w:rsidRPr="002C16E0">
        <w:rPr>
          <w:rFonts w:ascii="Times New Roman" w:hAnsi="Times New Roman" w:cs="Times New Roman"/>
          <w:sz w:val="24"/>
          <w:szCs w:val="24"/>
        </w:rPr>
        <w:t xml:space="preserve">, </w:t>
      </w:r>
      <w:r w:rsidR="0099040E" w:rsidRPr="002C16E0">
        <w:rPr>
          <w:rFonts w:ascii="Times New Roman" w:hAnsi="Times New Roman" w:cs="Times New Roman"/>
          <w:sz w:val="24"/>
          <w:szCs w:val="24"/>
        </w:rPr>
        <w:t xml:space="preserve">a rise of 10 percent in </w:t>
      </w:r>
      <w:r w:rsidR="0099040E" w:rsidRPr="002C16E0">
        <w:rPr>
          <w:rFonts w:ascii="Times New Roman" w:hAnsi="Times New Roman" w:cs="Times New Roman"/>
          <w:i/>
          <w:sz w:val="24"/>
          <w:szCs w:val="24"/>
        </w:rPr>
        <w:t>sedut</w:t>
      </w:r>
      <w:r w:rsidR="0099040E" w:rsidRPr="002C16E0">
        <w:rPr>
          <w:rFonts w:ascii="Times New Roman" w:hAnsi="Times New Roman" w:cs="Times New Roman"/>
          <w:sz w:val="24"/>
          <w:szCs w:val="24"/>
        </w:rPr>
        <w:t xml:space="preserve"> from </w:t>
      </w:r>
      <w:r w:rsidR="002C16E0" w:rsidRPr="001E2721">
        <w:rPr>
          <w:rFonts w:ascii="Times New Roman" w:hAnsi="Times New Roman" w:cs="Times New Roman"/>
          <w:sz w:val="24"/>
          <w:szCs w:val="24"/>
        </w:rPr>
        <w:t>70.73 to 77.8</w:t>
      </w:r>
      <w:r w:rsidR="002C16E0">
        <w:rPr>
          <w:rFonts w:ascii="Times New Roman" w:hAnsi="Times New Roman" w:cs="Times New Roman"/>
          <w:sz w:val="24"/>
          <w:szCs w:val="24"/>
        </w:rPr>
        <w:t xml:space="preserve"> </w:t>
      </w:r>
      <w:r w:rsidR="002C16E0" w:rsidRPr="001E2721">
        <w:rPr>
          <w:rFonts w:ascii="Times New Roman" w:hAnsi="Times New Roman" w:cs="Times New Roman"/>
          <w:sz w:val="24"/>
          <w:szCs w:val="24"/>
        </w:rPr>
        <w:t>increases the mean value of export market share from 0.79 to 0.88</w:t>
      </w:r>
      <w:r w:rsidR="0099040E" w:rsidRPr="002C16E0">
        <w:rPr>
          <w:rFonts w:ascii="Times New Roman" w:hAnsi="Times New Roman" w:cs="Times New Roman"/>
          <w:sz w:val="24"/>
          <w:szCs w:val="24"/>
        </w:rPr>
        <w:t>.</w:t>
      </w:r>
      <w:r w:rsidRPr="002C16E0">
        <w:rPr>
          <w:rFonts w:ascii="Times New Roman" w:hAnsi="Times New Roman" w:cs="Times New Roman"/>
          <w:sz w:val="24"/>
          <w:szCs w:val="24"/>
        </w:rPr>
        <w:t xml:space="preserve"> </w:t>
      </w:r>
      <w:r w:rsidR="003C0D24">
        <w:rPr>
          <w:rFonts w:ascii="Times New Roman" w:hAnsi="Times New Roman" w:cs="Times New Roman"/>
          <w:sz w:val="24"/>
          <w:szCs w:val="24"/>
        </w:rPr>
        <w:t>On the other hand, a</w:t>
      </w:r>
      <w:r w:rsidR="002C16E0" w:rsidRPr="002C16E0">
        <w:rPr>
          <w:rFonts w:ascii="Times New Roman" w:hAnsi="Times New Roman" w:cs="Times New Roman"/>
          <w:sz w:val="24"/>
          <w:szCs w:val="24"/>
        </w:rPr>
        <w:t xml:space="preserve">n </w:t>
      </w:r>
      <w:r w:rsidRPr="002C16E0">
        <w:rPr>
          <w:rFonts w:ascii="Times New Roman" w:hAnsi="Times New Roman" w:cs="Times New Roman"/>
          <w:sz w:val="24"/>
          <w:szCs w:val="24"/>
        </w:rPr>
        <w:t>increase of 1 percent in the share of population with tertiary education</w:t>
      </w:r>
      <w:r w:rsidR="003A41EC" w:rsidRPr="002C16E0">
        <w:rPr>
          <w:rFonts w:ascii="Times New Roman" w:hAnsi="Times New Roman" w:cs="Times New Roman"/>
          <w:sz w:val="24"/>
          <w:szCs w:val="24"/>
        </w:rPr>
        <w:t xml:space="preserve"> </w:t>
      </w:r>
      <w:r w:rsidRPr="002C16E0">
        <w:rPr>
          <w:rFonts w:ascii="Times New Roman" w:hAnsi="Times New Roman" w:cs="Times New Roman"/>
          <w:sz w:val="24"/>
          <w:szCs w:val="24"/>
        </w:rPr>
        <w:t xml:space="preserve">increases the share of exports by </w:t>
      </w:r>
      <w:r w:rsidR="002C16E0" w:rsidRPr="001E2721">
        <w:rPr>
          <w:rFonts w:ascii="Times New Roman" w:hAnsi="Times New Roman" w:cs="Times New Roman"/>
          <w:sz w:val="24"/>
          <w:szCs w:val="24"/>
        </w:rPr>
        <w:t>0.515</w:t>
      </w:r>
      <w:r w:rsidR="002C16E0">
        <w:rPr>
          <w:rFonts w:ascii="Times New Roman" w:hAnsi="Times New Roman" w:cs="Times New Roman"/>
          <w:sz w:val="24"/>
          <w:szCs w:val="24"/>
        </w:rPr>
        <w:t xml:space="preserve"> </w:t>
      </w:r>
      <w:r w:rsidRPr="002C16E0">
        <w:rPr>
          <w:rFonts w:ascii="Times New Roman" w:hAnsi="Times New Roman" w:cs="Times New Roman"/>
          <w:sz w:val="24"/>
          <w:szCs w:val="24"/>
        </w:rPr>
        <w:t>percent</w:t>
      </w:r>
      <w:r w:rsidR="002C16E0">
        <w:rPr>
          <w:rFonts w:ascii="Times New Roman" w:hAnsi="Times New Roman" w:cs="Times New Roman"/>
          <w:sz w:val="24"/>
          <w:szCs w:val="24"/>
        </w:rPr>
        <w:t xml:space="preserve"> (significant at 10 percent)</w:t>
      </w:r>
      <w:r w:rsidRPr="002C16E0">
        <w:rPr>
          <w:rFonts w:ascii="Times New Roman" w:hAnsi="Times New Roman" w:cs="Times New Roman"/>
          <w:sz w:val="24"/>
          <w:szCs w:val="24"/>
        </w:rPr>
        <w:t xml:space="preserve">, ceteris paribus. </w:t>
      </w:r>
      <w:r w:rsidR="00A424A7">
        <w:rPr>
          <w:rFonts w:ascii="Times New Roman" w:hAnsi="Times New Roman" w:cs="Times New Roman"/>
          <w:sz w:val="24"/>
          <w:szCs w:val="24"/>
        </w:rPr>
        <w:t>For illustration</w:t>
      </w:r>
      <w:r w:rsidR="003C0D24">
        <w:rPr>
          <w:rFonts w:ascii="Times New Roman" w:hAnsi="Times New Roman" w:cs="Times New Roman"/>
          <w:sz w:val="24"/>
          <w:szCs w:val="24"/>
        </w:rPr>
        <w:t xml:space="preserve">, </w:t>
      </w:r>
      <w:r w:rsidR="0099040E" w:rsidRPr="002C16E0">
        <w:rPr>
          <w:rFonts w:ascii="Times New Roman" w:hAnsi="Times New Roman" w:cs="Times New Roman"/>
          <w:sz w:val="24"/>
          <w:szCs w:val="24"/>
        </w:rPr>
        <w:t xml:space="preserve">at the sample means, an increase of 10 percent in </w:t>
      </w:r>
      <w:r w:rsidR="0099040E" w:rsidRPr="002C16E0">
        <w:rPr>
          <w:rFonts w:ascii="Times New Roman" w:hAnsi="Times New Roman" w:cs="Times New Roman"/>
          <w:i/>
          <w:sz w:val="24"/>
          <w:szCs w:val="24"/>
        </w:rPr>
        <w:t>tedut</w:t>
      </w:r>
      <w:r w:rsidR="0099040E" w:rsidRPr="002C16E0">
        <w:rPr>
          <w:rFonts w:ascii="Times New Roman" w:hAnsi="Times New Roman" w:cs="Times New Roman"/>
          <w:sz w:val="24"/>
          <w:szCs w:val="24"/>
        </w:rPr>
        <w:t xml:space="preserve"> from </w:t>
      </w:r>
      <w:r w:rsidR="002C16E0" w:rsidRPr="001E2721">
        <w:rPr>
          <w:rFonts w:ascii="Times New Roman" w:hAnsi="Times New Roman" w:cs="Times New Roman"/>
          <w:sz w:val="24"/>
          <w:szCs w:val="24"/>
        </w:rPr>
        <w:t>15.9 to 17.49</w:t>
      </w:r>
      <w:r w:rsidR="002C16E0">
        <w:rPr>
          <w:rFonts w:ascii="Times New Roman" w:hAnsi="Times New Roman" w:cs="Times New Roman"/>
          <w:sz w:val="24"/>
          <w:szCs w:val="24"/>
        </w:rPr>
        <w:t xml:space="preserve"> </w:t>
      </w:r>
      <w:r w:rsidR="0099040E" w:rsidRPr="002C16E0">
        <w:rPr>
          <w:rFonts w:ascii="Times New Roman" w:hAnsi="Times New Roman" w:cs="Times New Roman"/>
          <w:sz w:val="24"/>
          <w:szCs w:val="24"/>
        </w:rPr>
        <w:t xml:space="preserve">is estimated to increase export market share from </w:t>
      </w:r>
      <w:r w:rsidR="002C16E0" w:rsidRPr="001E2721">
        <w:rPr>
          <w:rFonts w:ascii="Times New Roman" w:hAnsi="Times New Roman" w:cs="Times New Roman"/>
          <w:sz w:val="24"/>
          <w:szCs w:val="24"/>
        </w:rPr>
        <w:t>0.79 to 0.83</w:t>
      </w:r>
      <w:r w:rsidR="004F50A7">
        <w:rPr>
          <w:rFonts w:ascii="Times New Roman" w:hAnsi="Times New Roman" w:cs="Times New Roman"/>
          <w:sz w:val="24"/>
          <w:szCs w:val="24"/>
        </w:rPr>
        <w:t>.</w:t>
      </w:r>
      <w:r w:rsidR="00247AAE">
        <w:rPr>
          <w:rFonts w:ascii="Times New Roman" w:hAnsi="Times New Roman" w:cs="Times New Roman"/>
          <w:sz w:val="24"/>
          <w:szCs w:val="24"/>
        </w:rPr>
        <w:t xml:space="preserve"> </w:t>
      </w:r>
      <w:r w:rsidR="004F50A7" w:rsidRPr="00A97E29">
        <w:rPr>
          <w:rFonts w:ascii="Times New Roman" w:hAnsi="Times New Roman" w:cs="Times New Roman"/>
          <w:sz w:val="24"/>
          <w:szCs w:val="24"/>
        </w:rPr>
        <w:t xml:space="preserve">When the EEA17 is investigated separately, empirical evidence </w:t>
      </w:r>
      <w:r w:rsidR="0043104B" w:rsidRPr="00A97E29">
        <w:rPr>
          <w:rFonts w:ascii="Times New Roman" w:hAnsi="Times New Roman" w:cs="Times New Roman"/>
          <w:sz w:val="24"/>
          <w:szCs w:val="24"/>
        </w:rPr>
        <w:t xml:space="preserve">also </w:t>
      </w:r>
      <w:r w:rsidR="004F50A7" w:rsidRPr="00A97E29">
        <w:rPr>
          <w:rFonts w:ascii="Times New Roman" w:hAnsi="Times New Roman" w:cs="Times New Roman"/>
          <w:sz w:val="24"/>
          <w:szCs w:val="24"/>
        </w:rPr>
        <w:t>appears to support the importance of ter</w:t>
      </w:r>
      <w:r w:rsidR="00BA5C2D">
        <w:rPr>
          <w:rFonts w:ascii="Times New Roman" w:hAnsi="Times New Roman" w:cs="Times New Roman"/>
          <w:sz w:val="24"/>
          <w:szCs w:val="24"/>
        </w:rPr>
        <w:t>tiary education in enhancing</w:t>
      </w:r>
      <w:r w:rsidR="004F50A7" w:rsidRPr="00A97E29">
        <w:rPr>
          <w:rFonts w:ascii="Times New Roman" w:hAnsi="Times New Roman" w:cs="Times New Roman"/>
          <w:sz w:val="24"/>
          <w:szCs w:val="24"/>
        </w:rPr>
        <w:t xml:space="preserve"> international competitiveness (see Table 3).</w:t>
      </w:r>
      <w:r w:rsidR="004F50A7" w:rsidRPr="001E2721">
        <w:rPr>
          <w:rFonts w:ascii="Times New Roman" w:hAnsi="Times New Roman" w:cs="Times New Roman"/>
          <w:sz w:val="24"/>
          <w:szCs w:val="24"/>
        </w:rPr>
        <w:t xml:space="preserve"> </w:t>
      </w:r>
      <w:r w:rsidR="00AB04DE" w:rsidRPr="001E2721">
        <w:rPr>
          <w:rFonts w:ascii="Times New Roman" w:hAnsi="Times New Roman" w:cs="Times New Roman"/>
          <w:sz w:val="24"/>
          <w:szCs w:val="24"/>
        </w:rPr>
        <w:t xml:space="preserve">Despite the expected positive sign, the magnitude of the coefficient is not large. It requires an increase of 10 percent in </w:t>
      </w:r>
      <w:r w:rsidR="00AB04DE" w:rsidRPr="001E2721">
        <w:rPr>
          <w:rFonts w:ascii="Times New Roman" w:hAnsi="Times New Roman" w:cs="Times New Roman"/>
          <w:i/>
          <w:sz w:val="24"/>
          <w:szCs w:val="24"/>
        </w:rPr>
        <w:t>tedut</w:t>
      </w:r>
      <w:r w:rsidR="00AB04DE" w:rsidRPr="001E2721">
        <w:rPr>
          <w:rFonts w:ascii="Times New Roman" w:hAnsi="Times New Roman" w:cs="Times New Roman"/>
          <w:sz w:val="24"/>
          <w:szCs w:val="24"/>
        </w:rPr>
        <w:t xml:space="preserve">, i.e. from 20.71 to 22.78, to increase export market share by 2.90 percent, which at the mean value of </w:t>
      </w:r>
      <w:r w:rsidR="00AB04DE" w:rsidRPr="001E2721">
        <w:rPr>
          <w:rFonts w:ascii="Times New Roman" w:hAnsi="Times New Roman" w:cs="Times New Roman"/>
          <w:i/>
          <w:sz w:val="24"/>
          <w:szCs w:val="24"/>
        </w:rPr>
        <w:t>emsh</w:t>
      </w:r>
      <w:r w:rsidR="00AB04DE" w:rsidRPr="001E2721">
        <w:rPr>
          <w:rFonts w:ascii="Times New Roman" w:hAnsi="Times New Roman" w:cs="Times New Roman"/>
          <w:sz w:val="24"/>
          <w:szCs w:val="24"/>
        </w:rPr>
        <w:t xml:space="preserve">, is an increase from 6.81 to 7.0. </w:t>
      </w:r>
      <w:r w:rsidR="004F50A7" w:rsidRPr="001E2721">
        <w:rPr>
          <w:rFonts w:ascii="Times New Roman" w:hAnsi="Times New Roman" w:cs="Times New Roman"/>
          <w:sz w:val="24"/>
          <w:szCs w:val="24"/>
        </w:rPr>
        <w:t xml:space="preserve">No supporting evidence is found for the impact of secondary education on the international competitiveness of these countries. Given their stage of development and their potentially higher level of export sophistication, this empirical finding is in accordance with a priori expectations. </w:t>
      </w:r>
      <w:r w:rsidR="00BB25AA" w:rsidRPr="00F6223D">
        <w:rPr>
          <w:rFonts w:ascii="Times New Roman" w:hAnsi="Times New Roman" w:cs="Times New Roman"/>
          <w:sz w:val="24"/>
          <w:szCs w:val="24"/>
        </w:rPr>
        <w:t xml:space="preserve">The average years of schooling variable was expected to have a non-linear impact on competitiveness, hence both the level and squared terms of </w:t>
      </w:r>
      <w:r w:rsidR="00BB25AA" w:rsidRPr="00F6223D">
        <w:rPr>
          <w:rFonts w:ascii="Times New Roman" w:hAnsi="Times New Roman" w:cs="Times New Roman"/>
          <w:i/>
          <w:sz w:val="24"/>
          <w:szCs w:val="24"/>
        </w:rPr>
        <w:t xml:space="preserve">avyrs </w:t>
      </w:r>
      <w:r w:rsidR="00BB25AA" w:rsidRPr="00F6223D">
        <w:rPr>
          <w:rFonts w:ascii="Times New Roman" w:hAnsi="Times New Roman" w:cs="Times New Roman"/>
          <w:sz w:val="24"/>
          <w:szCs w:val="24"/>
        </w:rPr>
        <w:t>were include</w:t>
      </w:r>
      <w:r w:rsidR="00BB25AA">
        <w:rPr>
          <w:rFonts w:ascii="Times New Roman" w:hAnsi="Times New Roman" w:cs="Times New Roman"/>
          <w:sz w:val="24"/>
          <w:szCs w:val="24"/>
        </w:rPr>
        <w:t>d</w:t>
      </w:r>
      <w:r w:rsidR="00BB25AA" w:rsidRPr="00F6223D">
        <w:rPr>
          <w:rFonts w:ascii="Times New Roman" w:hAnsi="Times New Roman" w:cs="Times New Roman"/>
          <w:sz w:val="24"/>
          <w:szCs w:val="24"/>
        </w:rPr>
        <w:t xml:space="preserve"> in Specification 2. However, results of the estimations do not seem to support this expectation</w:t>
      </w:r>
      <w:r w:rsidR="00BB25AA">
        <w:rPr>
          <w:rFonts w:ascii="Times New Roman" w:hAnsi="Times New Roman" w:cs="Times New Roman"/>
          <w:sz w:val="24"/>
          <w:szCs w:val="24"/>
        </w:rPr>
        <w:t xml:space="preserve"> in</w:t>
      </w:r>
      <w:r w:rsidR="00F34F4B">
        <w:rPr>
          <w:rFonts w:ascii="Times New Roman" w:hAnsi="Times New Roman" w:cs="Times New Roman"/>
          <w:sz w:val="24"/>
          <w:szCs w:val="24"/>
        </w:rPr>
        <w:t xml:space="preserve"> either group of countries</w:t>
      </w:r>
      <w:r w:rsidR="00BB25AA">
        <w:rPr>
          <w:rFonts w:ascii="Times New Roman" w:hAnsi="Times New Roman" w:cs="Times New Roman"/>
          <w:sz w:val="24"/>
          <w:szCs w:val="24"/>
        </w:rPr>
        <w:t xml:space="preserve">. </w:t>
      </w:r>
    </w:p>
    <w:p w:rsidR="002F1254" w:rsidRDefault="00992F3F" w:rsidP="002F1254">
      <w:pPr>
        <w:keepNext/>
        <w:keepLines/>
        <w:spacing w:before="200" w:after="0" w:line="360" w:lineRule="auto"/>
        <w:jc w:val="center"/>
        <w:outlineLvl w:val="1"/>
        <w:rPr>
          <w:rFonts w:ascii="Times New Roman" w:eastAsia="Times New Roman" w:hAnsi="Times New Roman" w:cs="Times New Roman"/>
          <w:bCs/>
          <w:sz w:val="24"/>
          <w:szCs w:val="24"/>
        </w:rPr>
      </w:pPr>
      <w:bookmarkStart w:id="1" w:name="_Toc454035817"/>
      <w:r w:rsidRPr="001E2721">
        <w:rPr>
          <w:rFonts w:ascii="Times New Roman" w:eastAsia="Times New Roman" w:hAnsi="Times New Roman" w:cs="Times New Roman"/>
          <w:bCs/>
          <w:sz w:val="24"/>
          <w:szCs w:val="24"/>
        </w:rPr>
        <w:t xml:space="preserve">INSERT </w:t>
      </w:r>
      <w:r w:rsidR="002C20A2" w:rsidRPr="001E2721">
        <w:rPr>
          <w:rFonts w:ascii="Times New Roman" w:eastAsia="Times New Roman" w:hAnsi="Times New Roman" w:cs="Times New Roman"/>
          <w:bCs/>
          <w:sz w:val="24"/>
          <w:szCs w:val="24"/>
        </w:rPr>
        <w:t xml:space="preserve">Table </w:t>
      </w:r>
      <w:r w:rsidR="00794D27">
        <w:rPr>
          <w:rFonts w:ascii="Times New Roman" w:eastAsia="Times New Roman" w:hAnsi="Times New Roman" w:cs="Times New Roman"/>
          <w:bCs/>
          <w:sz w:val="24"/>
          <w:szCs w:val="24"/>
        </w:rPr>
        <w:t>3</w:t>
      </w:r>
      <w:r w:rsidR="002C20A2" w:rsidRPr="001E2721">
        <w:rPr>
          <w:rFonts w:ascii="Times New Roman" w:eastAsia="Times New Roman" w:hAnsi="Times New Roman" w:cs="Times New Roman"/>
          <w:bCs/>
          <w:sz w:val="24"/>
          <w:szCs w:val="24"/>
        </w:rPr>
        <w:t>. IV estimat</w:t>
      </w:r>
      <w:r w:rsidR="0088728B" w:rsidRPr="001E2721">
        <w:rPr>
          <w:rFonts w:ascii="Times New Roman" w:eastAsia="Times New Roman" w:hAnsi="Times New Roman" w:cs="Times New Roman"/>
          <w:bCs/>
          <w:sz w:val="24"/>
          <w:szCs w:val="24"/>
        </w:rPr>
        <w:t>ion</w:t>
      </w:r>
      <w:r w:rsidR="002C20A2" w:rsidRPr="001E2721">
        <w:rPr>
          <w:rFonts w:ascii="Times New Roman" w:eastAsia="Times New Roman" w:hAnsi="Times New Roman" w:cs="Times New Roman"/>
          <w:bCs/>
          <w:sz w:val="24"/>
          <w:szCs w:val="24"/>
        </w:rPr>
        <w:t xml:space="preserve"> results</w:t>
      </w:r>
      <w:bookmarkEnd w:id="1"/>
    </w:p>
    <w:p w:rsidR="002F1254" w:rsidRPr="004F50A7" w:rsidRDefault="002F1254" w:rsidP="002F1254">
      <w:pPr>
        <w:keepNext/>
        <w:keepLines/>
        <w:spacing w:before="200" w:after="0" w:line="360" w:lineRule="auto"/>
        <w:jc w:val="center"/>
        <w:outlineLvl w:val="1"/>
        <w:rPr>
          <w:rFonts w:ascii="Times New Roman" w:eastAsia="Times New Roman" w:hAnsi="Times New Roman" w:cs="Times New Roman"/>
          <w:bCs/>
          <w:sz w:val="24"/>
          <w:szCs w:val="24"/>
        </w:rPr>
      </w:pPr>
    </w:p>
    <w:p w:rsidR="002F1254" w:rsidRPr="000D20B6" w:rsidRDefault="00250E84" w:rsidP="002F1254">
      <w:pPr>
        <w:spacing w:line="360" w:lineRule="auto"/>
        <w:jc w:val="both"/>
        <w:rPr>
          <w:rFonts w:ascii="Times New Roman" w:hAnsi="Times New Roman" w:cs="Times New Roman"/>
          <w:color w:val="FF0000"/>
          <w:sz w:val="24"/>
          <w:szCs w:val="24"/>
        </w:rPr>
      </w:pPr>
      <w:r w:rsidRPr="000A5BDF">
        <w:rPr>
          <w:rFonts w:ascii="Times New Roman" w:hAnsi="Times New Roman" w:cs="Times New Roman"/>
          <w:sz w:val="24"/>
          <w:szCs w:val="24"/>
        </w:rPr>
        <w:t xml:space="preserve">The </w:t>
      </w:r>
      <w:r w:rsidR="002C20A2" w:rsidRPr="000A5BDF">
        <w:rPr>
          <w:rFonts w:ascii="Times New Roman" w:hAnsi="Times New Roman" w:cs="Times New Roman"/>
          <w:sz w:val="24"/>
          <w:szCs w:val="24"/>
        </w:rPr>
        <w:t xml:space="preserve">quality of education, proxied by </w:t>
      </w:r>
      <w:r w:rsidR="00E57003" w:rsidRPr="000A5BDF">
        <w:rPr>
          <w:rFonts w:ascii="Times New Roman" w:hAnsi="Times New Roman" w:cs="Times New Roman"/>
          <w:sz w:val="24"/>
          <w:szCs w:val="24"/>
        </w:rPr>
        <w:t>the</w:t>
      </w:r>
      <w:r w:rsidR="002C20A2" w:rsidRPr="000A5BDF">
        <w:rPr>
          <w:rFonts w:ascii="Times New Roman" w:hAnsi="Times New Roman" w:cs="Times New Roman"/>
          <w:sz w:val="24"/>
          <w:szCs w:val="24"/>
        </w:rPr>
        <w:t xml:space="preserve"> cognitive skills</w:t>
      </w:r>
      <w:r w:rsidR="00420691" w:rsidRPr="000A5BDF">
        <w:rPr>
          <w:rFonts w:ascii="Times New Roman" w:hAnsi="Times New Roman" w:cs="Times New Roman"/>
          <w:sz w:val="24"/>
          <w:szCs w:val="24"/>
        </w:rPr>
        <w:t xml:space="preserve"> </w:t>
      </w:r>
      <w:r w:rsidR="002C20A2" w:rsidRPr="000A5BDF">
        <w:rPr>
          <w:rFonts w:ascii="Times New Roman" w:hAnsi="Times New Roman" w:cs="Times New Roman"/>
          <w:sz w:val="24"/>
          <w:szCs w:val="24"/>
        </w:rPr>
        <w:t>index</w:t>
      </w:r>
      <w:r w:rsidR="00420691" w:rsidRPr="000A5BDF">
        <w:rPr>
          <w:rFonts w:ascii="Times New Roman" w:hAnsi="Times New Roman" w:cs="Times New Roman"/>
          <w:sz w:val="24"/>
          <w:szCs w:val="24"/>
        </w:rPr>
        <w:t xml:space="preserve"> provided by Hanushek and Woessma</w:t>
      </w:r>
      <w:r w:rsidR="00F062BC" w:rsidRPr="000A5BDF">
        <w:rPr>
          <w:rFonts w:ascii="Times New Roman" w:hAnsi="Times New Roman" w:cs="Times New Roman"/>
          <w:sz w:val="24"/>
          <w:szCs w:val="24"/>
        </w:rPr>
        <w:t>n</w:t>
      </w:r>
      <w:r w:rsidR="00420691" w:rsidRPr="000A5BDF">
        <w:rPr>
          <w:rFonts w:ascii="Times New Roman" w:hAnsi="Times New Roman" w:cs="Times New Roman"/>
          <w:sz w:val="24"/>
          <w:szCs w:val="24"/>
        </w:rPr>
        <w:t xml:space="preserve">n </w:t>
      </w:r>
      <w:r w:rsidR="00F20C12" w:rsidRPr="000A5BDF">
        <w:rPr>
          <w:rFonts w:ascii="Times New Roman" w:hAnsi="Times New Roman" w:cs="Times New Roman"/>
          <w:sz w:val="24"/>
          <w:szCs w:val="24"/>
        </w:rPr>
        <w:t xml:space="preserve">(2012) </w:t>
      </w:r>
      <w:r w:rsidR="00420691" w:rsidRPr="000A5BDF">
        <w:rPr>
          <w:rFonts w:ascii="Times New Roman" w:hAnsi="Times New Roman" w:cs="Times New Roman"/>
          <w:sz w:val="24"/>
          <w:szCs w:val="24"/>
        </w:rPr>
        <w:t xml:space="preserve">and </w:t>
      </w:r>
      <w:r w:rsidR="00FF4809" w:rsidRPr="000A5BDF">
        <w:rPr>
          <w:rFonts w:ascii="Times New Roman" w:hAnsi="Times New Roman" w:cs="Times New Roman"/>
          <w:sz w:val="24"/>
          <w:szCs w:val="24"/>
        </w:rPr>
        <w:t>student</w:t>
      </w:r>
      <w:r w:rsidR="00F25F5B" w:rsidRPr="000A5BDF">
        <w:rPr>
          <w:rFonts w:ascii="Times New Roman" w:hAnsi="Times New Roman" w:cs="Times New Roman"/>
          <w:sz w:val="24"/>
          <w:szCs w:val="24"/>
        </w:rPr>
        <w:t xml:space="preserve"> </w:t>
      </w:r>
      <w:r w:rsidR="00263565" w:rsidRPr="000A5BDF">
        <w:rPr>
          <w:rFonts w:ascii="Times New Roman" w:hAnsi="Times New Roman" w:cs="Times New Roman"/>
          <w:sz w:val="24"/>
          <w:szCs w:val="24"/>
        </w:rPr>
        <w:t>test</w:t>
      </w:r>
      <w:r w:rsidR="00420691" w:rsidRPr="000A5BDF">
        <w:rPr>
          <w:rFonts w:ascii="Times New Roman" w:hAnsi="Times New Roman" w:cs="Times New Roman"/>
          <w:sz w:val="24"/>
          <w:szCs w:val="24"/>
        </w:rPr>
        <w:t xml:space="preserve"> scores of Altinok et al. (2014) </w:t>
      </w:r>
      <w:r w:rsidR="00BE7C4A" w:rsidRPr="000A5BDF">
        <w:rPr>
          <w:rFonts w:ascii="Times New Roman" w:hAnsi="Times New Roman" w:cs="Times New Roman"/>
          <w:sz w:val="24"/>
          <w:szCs w:val="24"/>
        </w:rPr>
        <w:t>are positive and statistically</w:t>
      </w:r>
      <w:r w:rsidR="006F4B7D" w:rsidRPr="000A5BDF">
        <w:rPr>
          <w:rFonts w:ascii="Times New Roman" w:hAnsi="Times New Roman" w:cs="Times New Roman"/>
          <w:sz w:val="24"/>
          <w:szCs w:val="24"/>
        </w:rPr>
        <w:t xml:space="preserve"> </w:t>
      </w:r>
      <w:r w:rsidR="002C20A2" w:rsidRPr="000A5BDF">
        <w:rPr>
          <w:rFonts w:ascii="Times New Roman" w:hAnsi="Times New Roman" w:cs="Times New Roman"/>
          <w:sz w:val="24"/>
          <w:szCs w:val="24"/>
        </w:rPr>
        <w:t xml:space="preserve">significant </w:t>
      </w:r>
      <w:r w:rsidR="00D414F5" w:rsidRPr="000A5BDF">
        <w:rPr>
          <w:rFonts w:ascii="Times New Roman" w:hAnsi="Times New Roman" w:cs="Times New Roman"/>
          <w:sz w:val="24"/>
          <w:szCs w:val="24"/>
        </w:rPr>
        <w:t xml:space="preserve">only </w:t>
      </w:r>
      <w:r w:rsidR="00BE7C4A" w:rsidRPr="000A5BDF">
        <w:rPr>
          <w:rFonts w:ascii="Times New Roman" w:hAnsi="Times New Roman" w:cs="Times New Roman"/>
          <w:sz w:val="24"/>
          <w:szCs w:val="24"/>
        </w:rPr>
        <w:t xml:space="preserve">for </w:t>
      </w:r>
      <w:r w:rsidR="00A82D46" w:rsidRPr="000A5BDF">
        <w:rPr>
          <w:rFonts w:ascii="Times New Roman" w:hAnsi="Times New Roman" w:cs="Times New Roman"/>
          <w:sz w:val="24"/>
          <w:szCs w:val="24"/>
        </w:rPr>
        <w:t xml:space="preserve">the </w:t>
      </w:r>
      <w:r w:rsidR="00BE7C4A" w:rsidRPr="000A5BDF">
        <w:rPr>
          <w:rFonts w:ascii="Times New Roman" w:hAnsi="Times New Roman" w:cs="Times New Roman"/>
          <w:sz w:val="24"/>
          <w:szCs w:val="24"/>
        </w:rPr>
        <w:t xml:space="preserve">EEA17 sample </w:t>
      </w:r>
      <w:r w:rsidR="00A82D46" w:rsidRPr="000A5BDF">
        <w:rPr>
          <w:rFonts w:ascii="Times New Roman" w:hAnsi="Times New Roman" w:cs="Times New Roman"/>
          <w:sz w:val="24"/>
          <w:szCs w:val="24"/>
        </w:rPr>
        <w:t xml:space="preserve">in the HT </w:t>
      </w:r>
      <w:r w:rsidR="00E57651" w:rsidRPr="000A5BDF">
        <w:rPr>
          <w:rFonts w:ascii="Times New Roman" w:hAnsi="Times New Roman" w:cs="Times New Roman"/>
          <w:sz w:val="24"/>
          <w:szCs w:val="24"/>
        </w:rPr>
        <w:t xml:space="preserve">estimator </w:t>
      </w:r>
      <w:r w:rsidR="00944659" w:rsidRPr="000A5BDF">
        <w:rPr>
          <w:rFonts w:ascii="Times New Roman" w:hAnsi="Times New Roman" w:cs="Times New Roman"/>
          <w:sz w:val="24"/>
          <w:szCs w:val="24"/>
        </w:rPr>
        <w:t>(</w:t>
      </w:r>
      <w:r w:rsidR="002C20A2" w:rsidRPr="000A5BDF">
        <w:rPr>
          <w:rFonts w:ascii="Times New Roman" w:hAnsi="Times New Roman" w:cs="Times New Roman"/>
          <w:sz w:val="24"/>
          <w:szCs w:val="24"/>
        </w:rPr>
        <w:t xml:space="preserve">see Table </w:t>
      </w:r>
      <w:r w:rsidR="00F74304" w:rsidRPr="000A5BDF">
        <w:rPr>
          <w:rFonts w:ascii="Times New Roman" w:hAnsi="Times New Roman" w:cs="Times New Roman"/>
          <w:sz w:val="24"/>
          <w:szCs w:val="24"/>
        </w:rPr>
        <w:t>4</w:t>
      </w:r>
      <w:r w:rsidR="00E57003" w:rsidRPr="000A5BDF">
        <w:rPr>
          <w:rFonts w:ascii="Times New Roman" w:hAnsi="Times New Roman" w:cs="Times New Roman"/>
          <w:sz w:val="24"/>
          <w:szCs w:val="24"/>
        </w:rPr>
        <w:t>)</w:t>
      </w:r>
      <w:r w:rsidR="002C20A2" w:rsidRPr="000A5BDF">
        <w:rPr>
          <w:rFonts w:ascii="Times New Roman" w:hAnsi="Times New Roman" w:cs="Times New Roman"/>
          <w:sz w:val="24"/>
          <w:szCs w:val="24"/>
        </w:rPr>
        <w:t xml:space="preserve">. </w:t>
      </w:r>
      <w:r w:rsidR="00F6223D" w:rsidRPr="00275782">
        <w:rPr>
          <w:rFonts w:ascii="Times New Roman" w:hAnsi="Times New Roman" w:cs="Times New Roman"/>
          <w:color w:val="000000" w:themeColor="text1"/>
          <w:sz w:val="24"/>
          <w:szCs w:val="24"/>
        </w:rPr>
        <w:t>An increase of one standard deviation in cognitive skills index (</w:t>
      </w:r>
      <w:r w:rsidR="00F6223D" w:rsidRPr="00275782">
        <w:rPr>
          <w:rFonts w:ascii="Times New Roman" w:hAnsi="Times New Roman" w:cs="Times New Roman"/>
          <w:i/>
          <w:color w:val="000000" w:themeColor="text1"/>
          <w:sz w:val="24"/>
          <w:szCs w:val="24"/>
        </w:rPr>
        <w:t>cskills</w:t>
      </w:r>
      <w:r w:rsidR="00F6223D" w:rsidRPr="00275782">
        <w:rPr>
          <w:rFonts w:ascii="Times New Roman" w:hAnsi="Times New Roman" w:cs="Times New Roman"/>
          <w:color w:val="000000" w:themeColor="text1"/>
          <w:sz w:val="24"/>
          <w:szCs w:val="24"/>
        </w:rPr>
        <w:t>), ceteris paribus, increases the export market share (</w:t>
      </w:r>
      <w:r w:rsidR="00F6223D" w:rsidRPr="00275782">
        <w:rPr>
          <w:rFonts w:ascii="Times New Roman" w:hAnsi="Times New Roman" w:cs="Times New Roman"/>
          <w:i/>
          <w:color w:val="000000" w:themeColor="text1"/>
          <w:sz w:val="24"/>
          <w:szCs w:val="24"/>
        </w:rPr>
        <w:t>emsh</w:t>
      </w:r>
      <w:r w:rsidR="00F6223D" w:rsidRPr="00275782">
        <w:rPr>
          <w:rFonts w:ascii="Times New Roman" w:hAnsi="Times New Roman" w:cs="Times New Roman"/>
          <w:color w:val="000000" w:themeColor="text1"/>
          <w:sz w:val="24"/>
          <w:szCs w:val="24"/>
        </w:rPr>
        <w:t xml:space="preserve">) by 315.1 percent (Specification 1) and 316.8 percent (Specification 2). When interpreted in economic terms, at the mean value, it translates into an increase of </w:t>
      </w:r>
      <w:r w:rsidR="00F6223D" w:rsidRPr="00275782">
        <w:rPr>
          <w:rFonts w:ascii="Times New Roman" w:hAnsi="Times New Roman" w:cs="Times New Roman"/>
          <w:i/>
          <w:color w:val="000000" w:themeColor="text1"/>
          <w:sz w:val="24"/>
          <w:szCs w:val="24"/>
        </w:rPr>
        <w:t xml:space="preserve">emsh </w:t>
      </w:r>
      <w:r w:rsidR="00F6223D" w:rsidRPr="00275782">
        <w:rPr>
          <w:rFonts w:ascii="Times New Roman" w:hAnsi="Times New Roman" w:cs="Times New Roman"/>
          <w:color w:val="000000" w:themeColor="text1"/>
          <w:sz w:val="24"/>
          <w:szCs w:val="24"/>
        </w:rPr>
        <w:t xml:space="preserve">from 6.9 percent to around 29 percent. When </w:t>
      </w:r>
      <w:r w:rsidR="00F6223D" w:rsidRPr="00275782">
        <w:rPr>
          <w:rFonts w:ascii="Times New Roman" w:hAnsi="Times New Roman" w:cs="Times New Roman"/>
          <w:i/>
          <w:color w:val="000000" w:themeColor="text1"/>
          <w:sz w:val="24"/>
          <w:szCs w:val="24"/>
        </w:rPr>
        <w:t>meanscores</w:t>
      </w:r>
      <w:r w:rsidR="00F6223D" w:rsidRPr="00275782">
        <w:rPr>
          <w:rFonts w:ascii="Times New Roman" w:hAnsi="Times New Roman" w:cs="Times New Roman"/>
          <w:color w:val="000000" w:themeColor="text1"/>
          <w:sz w:val="24"/>
          <w:szCs w:val="24"/>
        </w:rPr>
        <w:t xml:space="preserve"> is used in an alternative assessment, on average, holding everything else constant, an increase of 1 point in the average test score, increases the export market share by 2.97 percent.</w:t>
      </w:r>
      <w:r w:rsidR="00A82D46" w:rsidRPr="000A5BDF">
        <w:t xml:space="preserve"> </w:t>
      </w:r>
      <w:r w:rsidR="002F1254" w:rsidRPr="000A5BDF">
        <w:rPr>
          <w:rFonts w:ascii="Times New Roman" w:hAnsi="Times New Roman" w:cs="Times New Roman"/>
          <w:sz w:val="24"/>
          <w:szCs w:val="24"/>
        </w:rPr>
        <w:t xml:space="preserve">When applied to the mean, this reflects in an increase of </w:t>
      </w:r>
      <w:r w:rsidR="002F1254" w:rsidRPr="000A5BDF">
        <w:rPr>
          <w:rFonts w:ascii="Times New Roman" w:hAnsi="Times New Roman" w:cs="Times New Roman"/>
          <w:i/>
          <w:sz w:val="24"/>
          <w:szCs w:val="24"/>
        </w:rPr>
        <w:t>emsh</w:t>
      </w:r>
      <w:r w:rsidR="002F1254" w:rsidRPr="000A5BDF">
        <w:rPr>
          <w:rFonts w:ascii="Times New Roman" w:hAnsi="Times New Roman" w:cs="Times New Roman"/>
          <w:sz w:val="24"/>
          <w:szCs w:val="24"/>
        </w:rPr>
        <w:t xml:space="preserve"> from 6.9 to 7.1.</w:t>
      </w:r>
      <w:r w:rsidR="000D20B6">
        <w:rPr>
          <w:rStyle w:val="FootnoteReference"/>
          <w:rFonts w:ascii="Times New Roman" w:hAnsi="Times New Roman" w:cs="Times New Roman"/>
          <w:sz w:val="24"/>
          <w:szCs w:val="24"/>
        </w:rPr>
        <w:footnoteReference w:id="22"/>
      </w:r>
      <w:r w:rsidR="002F1254" w:rsidRPr="000A5BDF">
        <w:rPr>
          <w:rFonts w:ascii="Times New Roman" w:hAnsi="Times New Roman" w:cs="Times New Roman"/>
          <w:sz w:val="24"/>
          <w:szCs w:val="24"/>
        </w:rPr>
        <w:t xml:space="preserve"> </w:t>
      </w:r>
      <w:r w:rsidR="000D20B6" w:rsidRPr="00C417DE">
        <w:rPr>
          <w:rFonts w:ascii="Times New Roman" w:hAnsi="Times New Roman" w:cs="Times New Roman"/>
          <w:color w:val="000000" w:themeColor="text1"/>
          <w:sz w:val="24"/>
          <w:szCs w:val="24"/>
        </w:rPr>
        <w:t>One explanation for the differences in the results between the two groups of countries could be that, the greater importance of a rise in the level of those with intermediate levels of educational attainment, which represent a relatively large share of the labor force in CEECs, may be reflecting their focus on the production of relatively low-skill and low-technology products. As Gemmell (1996) and Sianesi and Van Reenan (2003) also suggest, tertiary education is more likely to impact on growth in more developed countries, whereas increases in the lower levels of education are more important for growth in developing countries.</w:t>
      </w:r>
      <w:r w:rsidR="000D20B6" w:rsidRPr="000D20B6">
        <w:rPr>
          <w:rFonts w:ascii="Times New Roman" w:hAnsi="Times New Roman" w:cs="Times New Roman"/>
          <w:color w:val="FF0000"/>
          <w:sz w:val="24"/>
          <w:szCs w:val="24"/>
        </w:rPr>
        <w:t xml:space="preserve"> </w:t>
      </w:r>
    </w:p>
    <w:p w:rsidR="00C955BA" w:rsidRPr="001E2721" w:rsidRDefault="00992F3F" w:rsidP="008273BD">
      <w:pPr>
        <w:spacing w:line="360" w:lineRule="auto"/>
        <w:jc w:val="center"/>
        <w:rPr>
          <w:rFonts w:ascii="Times New Roman" w:hAnsi="Times New Roman" w:cs="Times New Roman"/>
          <w:sz w:val="24"/>
          <w:szCs w:val="24"/>
        </w:rPr>
      </w:pPr>
      <w:r w:rsidRPr="001E2721">
        <w:rPr>
          <w:rFonts w:ascii="Times New Roman" w:eastAsia="Times New Roman" w:hAnsi="Times New Roman" w:cs="Times New Roman"/>
          <w:sz w:val="24"/>
          <w:szCs w:val="24"/>
          <w:lang w:eastAsia="en-GB"/>
        </w:rPr>
        <w:t xml:space="preserve">INSERT </w:t>
      </w:r>
      <w:r w:rsidR="0043197E" w:rsidRPr="001E2721">
        <w:rPr>
          <w:rFonts w:ascii="Times New Roman" w:eastAsia="Times New Roman" w:hAnsi="Times New Roman" w:cs="Times New Roman"/>
          <w:sz w:val="24"/>
          <w:szCs w:val="24"/>
          <w:lang w:eastAsia="en-GB"/>
        </w:rPr>
        <w:t xml:space="preserve">Table </w:t>
      </w:r>
      <w:r w:rsidR="00794D27">
        <w:rPr>
          <w:rFonts w:ascii="Times New Roman" w:eastAsia="Times New Roman" w:hAnsi="Times New Roman" w:cs="Times New Roman"/>
          <w:sz w:val="24"/>
          <w:szCs w:val="24"/>
          <w:lang w:eastAsia="en-GB"/>
        </w:rPr>
        <w:t>4</w:t>
      </w:r>
      <w:r w:rsidR="0043197E" w:rsidRPr="001E2721">
        <w:rPr>
          <w:rFonts w:ascii="Times New Roman" w:eastAsia="Times New Roman" w:hAnsi="Times New Roman" w:cs="Times New Roman"/>
          <w:sz w:val="24"/>
          <w:szCs w:val="24"/>
          <w:lang w:eastAsia="en-GB"/>
        </w:rPr>
        <w:t xml:space="preserve">. </w:t>
      </w:r>
      <w:r w:rsidR="0043197E" w:rsidRPr="001E2721">
        <w:rPr>
          <w:rFonts w:ascii="Times New Roman" w:hAnsi="Times New Roman" w:cs="Times New Roman"/>
          <w:sz w:val="24"/>
          <w:szCs w:val="24"/>
        </w:rPr>
        <w:t>FEVD and HT estimation results</w:t>
      </w:r>
    </w:p>
    <w:p w:rsidR="00392D8A" w:rsidRPr="009F669C" w:rsidRDefault="00250E84" w:rsidP="002C20A2">
      <w:pPr>
        <w:spacing w:line="360" w:lineRule="auto"/>
        <w:jc w:val="both"/>
        <w:rPr>
          <w:rFonts w:ascii="Times New Roman" w:hAnsi="Times New Roman" w:cs="Times New Roman"/>
          <w:sz w:val="24"/>
          <w:szCs w:val="24"/>
        </w:rPr>
      </w:pPr>
      <w:r w:rsidRPr="009F669C">
        <w:rPr>
          <w:rFonts w:ascii="Times New Roman" w:hAnsi="Times New Roman" w:cs="Times New Roman"/>
          <w:sz w:val="24"/>
          <w:szCs w:val="24"/>
        </w:rPr>
        <w:t xml:space="preserve">Similarly, when </w:t>
      </w:r>
      <w:r w:rsidR="006A2FD6" w:rsidRPr="009F669C">
        <w:rPr>
          <w:rFonts w:ascii="Times New Roman" w:hAnsi="Times New Roman" w:cs="Times New Roman"/>
          <w:sz w:val="24"/>
          <w:szCs w:val="24"/>
        </w:rPr>
        <w:t xml:space="preserve">the quality of education was proxied by the time varying measure of students’ performance provided by Altinok et al. (2014), its </w:t>
      </w:r>
      <w:r w:rsidR="00270CC8" w:rsidRPr="009F669C">
        <w:rPr>
          <w:rFonts w:ascii="Times New Roman" w:hAnsi="Times New Roman" w:cs="Times New Roman"/>
          <w:sz w:val="24"/>
          <w:szCs w:val="24"/>
        </w:rPr>
        <w:t xml:space="preserve">effect </w:t>
      </w:r>
      <w:r w:rsidR="006A2FD6" w:rsidRPr="009F669C">
        <w:rPr>
          <w:rFonts w:ascii="Times New Roman" w:hAnsi="Times New Roman" w:cs="Times New Roman"/>
          <w:sz w:val="24"/>
          <w:szCs w:val="24"/>
        </w:rPr>
        <w:t xml:space="preserve">turned out significant only in the </w:t>
      </w:r>
      <w:r w:rsidR="00F20C12" w:rsidRPr="009F669C">
        <w:rPr>
          <w:rFonts w:ascii="Times New Roman" w:hAnsi="Times New Roman" w:cs="Times New Roman"/>
          <w:sz w:val="24"/>
          <w:szCs w:val="24"/>
        </w:rPr>
        <w:t xml:space="preserve">EEA17. </w:t>
      </w:r>
      <w:r w:rsidR="00373450" w:rsidRPr="009F669C">
        <w:rPr>
          <w:rFonts w:ascii="Times New Roman" w:hAnsi="Times New Roman" w:cs="Times New Roman"/>
          <w:sz w:val="24"/>
          <w:szCs w:val="24"/>
        </w:rPr>
        <w:t>It is estimated that, on average</w:t>
      </w:r>
      <w:r w:rsidR="00270CC8" w:rsidRPr="009F669C">
        <w:rPr>
          <w:rFonts w:ascii="Times New Roman" w:hAnsi="Times New Roman" w:cs="Times New Roman"/>
          <w:sz w:val="24"/>
          <w:szCs w:val="24"/>
        </w:rPr>
        <w:t>,</w:t>
      </w:r>
      <w:r w:rsidR="00373450" w:rsidRPr="009F669C">
        <w:rPr>
          <w:rFonts w:ascii="Times New Roman" w:hAnsi="Times New Roman" w:cs="Times New Roman"/>
          <w:sz w:val="24"/>
          <w:szCs w:val="24"/>
        </w:rPr>
        <w:t xml:space="preserve"> holding other factors constant, an increase of 1 percent in the mean test score of secondary education</w:t>
      </w:r>
      <w:r w:rsidR="0053027C" w:rsidRPr="009F669C">
        <w:rPr>
          <w:rFonts w:ascii="Times New Roman" w:hAnsi="Times New Roman" w:cs="Times New Roman"/>
          <w:sz w:val="24"/>
          <w:szCs w:val="24"/>
        </w:rPr>
        <w:t xml:space="preserve"> students</w:t>
      </w:r>
      <w:r w:rsidR="00373450" w:rsidRPr="009F669C">
        <w:rPr>
          <w:rFonts w:ascii="Times New Roman" w:hAnsi="Times New Roman" w:cs="Times New Roman"/>
          <w:sz w:val="24"/>
          <w:szCs w:val="24"/>
        </w:rPr>
        <w:t xml:space="preserve"> increases the export market share by </w:t>
      </w:r>
      <w:r w:rsidR="00154743" w:rsidRPr="009F669C">
        <w:rPr>
          <w:rFonts w:ascii="Times New Roman" w:hAnsi="Times New Roman" w:cs="Times New Roman"/>
          <w:sz w:val="24"/>
          <w:szCs w:val="24"/>
        </w:rPr>
        <w:t xml:space="preserve">1.87 </w:t>
      </w:r>
      <w:r w:rsidR="00373450" w:rsidRPr="009F669C">
        <w:rPr>
          <w:rFonts w:ascii="Times New Roman" w:hAnsi="Times New Roman" w:cs="Times New Roman"/>
          <w:sz w:val="24"/>
          <w:szCs w:val="24"/>
        </w:rPr>
        <w:t xml:space="preserve">percent (see Table </w:t>
      </w:r>
      <w:r w:rsidR="00F74304" w:rsidRPr="009F669C">
        <w:rPr>
          <w:rFonts w:ascii="Times New Roman" w:hAnsi="Times New Roman" w:cs="Times New Roman"/>
          <w:sz w:val="24"/>
          <w:szCs w:val="24"/>
        </w:rPr>
        <w:t>5</w:t>
      </w:r>
      <w:r w:rsidR="00373450" w:rsidRPr="009F669C">
        <w:rPr>
          <w:rFonts w:ascii="Times New Roman" w:hAnsi="Times New Roman" w:cs="Times New Roman"/>
          <w:sz w:val="24"/>
          <w:szCs w:val="24"/>
        </w:rPr>
        <w:t xml:space="preserve">). In economic terms, this implies that at the mean values of the variables, a rise of 10 percent in </w:t>
      </w:r>
      <w:r w:rsidR="00C955BA" w:rsidRPr="009F669C">
        <w:rPr>
          <w:rFonts w:ascii="Times New Roman" w:hAnsi="Times New Roman" w:cs="Times New Roman"/>
          <w:i/>
          <w:sz w:val="24"/>
          <w:szCs w:val="24"/>
        </w:rPr>
        <w:t>studperf</w:t>
      </w:r>
      <w:r w:rsidR="00373450" w:rsidRPr="009F669C">
        <w:rPr>
          <w:rFonts w:ascii="Times New Roman" w:hAnsi="Times New Roman" w:cs="Times New Roman"/>
          <w:sz w:val="24"/>
          <w:szCs w:val="24"/>
        </w:rPr>
        <w:t xml:space="preserve"> from 565.</w:t>
      </w:r>
      <w:r w:rsidR="005C2865" w:rsidRPr="009F669C">
        <w:rPr>
          <w:rFonts w:ascii="Times New Roman" w:hAnsi="Times New Roman" w:cs="Times New Roman"/>
          <w:sz w:val="24"/>
          <w:szCs w:val="24"/>
        </w:rPr>
        <w:t>7</w:t>
      </w:r>
      <w:r w:rsidR="00373450" w:rsidRPr="009F669C">
        <w:rPr>
          <w:rFonts w:ascii="Times New Roman" w:hAnsi="Times New Roman" w:cs="Times New Roman"/>
          <w:sz w:val="24"/>
          <w:szCs w:val="24"/>
        </w:rPr>
        <w:t>7 to 622.</w:t>
      </w:r>
      <w:r w:rsidR="005C2865" w:rsidRPr="009F669C">
        <w:rPr>
          <w:rFonts w:ascii="Times New Roman" w:hAnsi="Times New Roman" w:cs="Times New Roman"/>
          <w:sz w:val="24"/>
          <w:szCs w:val="24"/>
        </w:rPr>
        <w:t>35</w:t>
      </w:r>
      <w:r w:rsidR="00373450" w:rsidRPr="009F669C">
        <w:rPr>
          <w:rFonts w:ascii="Times New Roman" w:hAnsi="Times New Roman" w:cs="Times New Roman"/>
          <w:sz w:val="24"/>
          <w:szCs w:val="24"/>
        </w:rPr>
        <w:t xml:space="preserve"> is expected to increase export market share from 6.</w:t>
      </w:r>
      <w:r w:rsidR="005C2865" w:rsidRPr="009F669C">
        <w:rPr>
          <w:rFonts w:ascii="Times New Roman" w:hAnsi="Times New Roman" w:cs="Times New Roman"/>
          <w:sz w:val="24"/>
          <w:szCs w:val="24"/>
        </w:rPr>
        <w:t>5</w:t>
      </w:r>
      <w:r w:rsidR="00373450" w:rsidRPr="009F669C">
        <w:rPr>
          <w:rFonts w:ascii="Times New Roman" w:hAnsi="Times New Roman" w:cs="Times New Roman"/>
          <w:sz w:val="24"/>
          <w:szCs w:val="24"/>
        </w:rPr>
        <w:t xml:space="preserve"> to 7.</w:t>
      </w:r>
      <w:r w:rsidR="005C2865" w:rsidRPr="009F669C">
        <w:rPr>
          <w:rFonts w:ascii="Times New Roman" w:hAnsi="Times New Roman" w:cs="Times New Roman"/>
          <w:sz w:val="24"/>
          <w:szCs w:val="24"/>
        </w:rPr>
        <w:t>71</w:t>
      </w:r>
      <w:r w:rsidR="00373450" w:rsidRPr="009F669C">
        <w:rPr>
          <w:rFonts w:ascii="Times New Roman" w:hAnsi="Times New Roman" w:cs="Times New Roman"/>
          <w:sz w:val="24"/>
          <w:szCs w:val="24"/>
        </w:rPr>
        <w:t>. Its impact is</w:t>
      </w:r>
      <w:r w:rsidR="008E1575" w:rsidRPr="009F669C">
        <w:rPr>
          <w:rFonts w:ascii="Times New Roman" w:hAnsi="Times New Roman" w:cs="Times New Roman"/>
          <w:sz w:val="24"/>
          <w:szCs w:val="24"/>
        </w:rPr>
        <w:t xml:space="preserve"> lower </w:t>
      </w:r>
      <w:r w:rsidR="00C24B88" w:rsidRPr="009F669C">
        <w:rPr>
          <w:rFonts w:ascii="Times New Roman" w:hAnsi="Times New Roman" w:cs="Times New Roman"/>
          <w:sz w:val="24"/>
          <w:szCs w:val="24"/>
        </w:rPr>
        <w:t xml:space="preserve">and marginally significant at 10 percent </w:t>
      </w:r>
      <w:r w:rsidR="008E1575" w:rsidRPr="009F669C">
        <w:rPr>
          <w:rFonts w:ascii="Times New Roman" w:hAnsi="Times New Roman" w:cs="Times New Roman"/>
          <w:sz w:val="24"/>
          <w:szCs w:val="24"/>
        </w:rPr>
        <w:t>in S</w:t>
      </w:r>
      <w:r w:rsidR="00373450" w:rsidRPr="009F669C">
        <w:rPr>
          <w:rFonts w:ascii="Times New Roman" w:hAnsi="Times New Roman" w:cs="Times New Roman"/>
          <w:sz w:val="24"/>
          <w:szCs w:val="24"/>
        </w:rPr>
        <w:t xml:space="preserve">pecification 2, i.e. </w:t>
      </w:r>
      <w:r w:rsidR="00154743" w:rsidRPr="009F669C">
        <w:rPr>
          <w:rFonts w:ascii="Times New Roman" w:hAnsi="Times New Roman" w:cs="Times New Roman"/>
          <w:sz w:val="24"/>
          <w:szCs w:val="24"/>
        </w:rPr>
        <w:t>1.21</w:t>
      </w:r>
      <w:r w:rsidR="005726CE" w:rsidRPr="009F669C">
        <w:rPr>
          <w:rFonts w:ascii="Times New Roman" w:hAnsi="Times New Roman" w:cs="Times New Roman"/>
          <w:sz w:val="24"/>
          <w:szCs w:val="24"/>
        </w:rPr>
        <w:t>.</w:t>
      </w:r>
      <w:r w:rsidR="00154743" w:rsidRPr="009F669C">
        <w:rPr>
          <w:rFonts w:ascii="Times New Roman" w:hAnsi="Times New Roman" w:cs="Times New Roman"/>
          <w:sz w:val="24"/>
          <w:szCs w:val="24"/>
        </w:rPr>
        <w:t xml:space="preserve"> </w:t>
      </w:r>
    </w:p>
    <w:p w:rsidR="00A60403" w:rsidRPr="001E2721" w:rsidRDefault="00992F3F">
      <w:pPr>
        <w:spacing w:line="360" w:lineRule="auto"/>
        <w:jc w:val="center"/>
        <w:rPr>
          <w:rFonts w:ascii="Times New Roman" w:hAnsi="Times New Roman" w:cs="Times New Roman"/>
          <w:sz w:val="24"/>
          <w:szCs w:val="24"/>
        </w:rPr>
      </w:pPr>
      <w:r w:rsidRPr="009F669C">
        <w:rPr>
          <w:rFonts w:ascii="Times New Roman" w:hAnsi="Times New Roman" w:cs="Times New Roman"/>
          <w:sz w:val="24"/>
          <w:szCs w:val="24"/>
        </w:rPr>
        <w:t xml:space="preserve">INSERT </w:t>
      </w:r>
      <w:r w:rsidR="0043197E" w:rsidRPr="009F669C">
        <w:rPr>
          <w:rFonts w:ascii="Times New Roman" w:hAnsi="Times New Roman" w:cs="Times New Roman"/>
          <w:sz w:val="24"/>
          <w:szCs w:val="24"/>
        </w:rPr>
        <w:t xml:space="preserve">Table </w:t>
      </w:r>
      <w:r w:rsidR="00794D27" w:rsidRPr="009F669C">
        <w:rPr>
          <w:rFonts w:ascii="Times New Roman" w:hAnsi="Times New Roman" w:cs="Times New Roman"/>
          <w:sz w:val="24"/>
          <w:szCs w:val="24"/>
        </w:rPr>
        <w:t xml:space="preserve">5 </w:t>
      </w:r>
      <w:r w:rsidR="0043197E" w:rsidRPr="009F669C">
        <w:rPr>
          <w:rFonts w:ascii="Times New Roman" w:hAnsi="Times New Roman" w:cs="Times New Roman"/>
          <w:sz w:val="24"/>
          <w:szCs w:val="24"/>
        </w:rPr>
        <w:t xml:space="preserve">IV Estimation results </w:t>
      </w:r>
      <w:r w:rsidR="00392D8A" w:rsidRPr="009F669C">
        <w:rPr>
          <w:rFonts w:ascii="Times New Roman" w:hAnsi="Times New Roman" w:cs="Times New Roman"/>
          <w:sz w:val="24"/>
          <w:szCs w:val="24"/>
        </w:rPr>
        <w:t>(including the new education quality measure)</w:t>
      </w:r>
    </w:p>
    <w:p w:rsidR="002C20A2" w:rsidRPr="001E2721" w:rsidRDefault="002C20A2" w:rsidP="002C20A2">
      <w:pPr>
        <w:spacing w:line="360" w:lineRule="auto"/>
        <w:jc w:val="both"/>
        <w:rPr>
          <w:rFonts w:ascii="Times New Roman" w:hAnsi="Times New Roman" w:cs="Times New Roman"/>
          <w:sz w:val="24"/>
          <w:szCs w:val="24"/>
        </w:rPr>
      </w:pPr>
      <w:r w:rsidRPr="00D414F5">
        <w:rPr>
          <w:rFonts w:ascii="Times New Roman" w:hAnsi="Times New Roman" w:cs="Times New Roman"/>
          <w:sz w:val="24"/>
          <w:szCs w:val="24"/>
        </w:rPr>
        <w:t xml:space="preserve">From the set of control variables reported in Table </w:t>
      </w:r>
      <w:r w:rsidR="00F74304" w:rsidRPr="00D414F5">
        <w:rPr>
          <w:rFonts w:ascii="Times New Roman" w:hAnsi="Times New Roman" w:cs="Times New Roman"/>
          <w:sz w:val="24"/>
          <w:szCs w:val="24"/>
        </w:rPr>
        <w:t>3</w:t>
      </w:r>
      <w:r w:rsidRPr="00D414F5">
        <w:rPr>
          <w:rFonts w:ascii="Times New Roman" w:hAnsi="Times New Roman" w:cs="Times New Roman"/>
          <w:sz w:val="24"/>
          <w:szCs w:val="24"/>
        </w:rPr>
        <w:t xml:space="preserve">, </w:t>
      </w:r>
      <w:r w:rsidR="00AC6013" w:rsidRPr="00D414F5">
        <w:rPr>
          <w:rFonts w:ascii="Times New Roman" w:hAnsi="Times New Roman" w:cs="Times New Roman"/>
          <w:sz w:val="24"/>
          <w:szCs w:val="24"/>
        </w:rPr>
        <w:t xml:space="preserve">coefficients on </w:t>
      </w:r>
      <w:r w:rsidRPr="00D414F5">
        <w:rPr>
          <w:rFonts w:ascii="Times New Roman" w:hAnsi="Times New Roman" w:cs="Times New Roman"/>
          <w:sz w:val="24"/>
          <w:szCs w:val="24"/>
        </w:rPr>
        <w:t xml:space="preserve">GDP per capita </w:t>
      </w:r>
      <w:r w:rsidRPr="00D414F5">
        <w:rPr>
          <w:rFonts w:ascii="Times New Roman" w:hAnsi="Times New Roman" w:cs="Times New Roman"/>
          <w:i/>
          <w:sz w:val="24"/>
          <w:szCs w:val="24"/>
        </w:rPr>
        <w:t>(gdpc)</w:t>
      </w:r>
      <w:r w:rsidRPr="00D414F5">
        <w:rPr>
          <w:rFonts w:ascii="Times New Roman" w:hAnsi="Times New Roman" w:cs="Times New Roman"/>
          <w:sz w:val="24"/>
          <w:szCs w:val="24"/>
        </w:rPr>
        <w:t xml:space="preserve">, population </w:t>
      </w:r>
      <w:r w:rsidRPr="00D414F5">
        <w:rPr>
          <w:rFonts w:ascii="Times New Roman" w:hAnsi="Times New Roman" w:cs="Times New Roman"/>
          <w:i/>
          <w:sz w:val="24"/>
          <w:szCs w:val="24"/>
        </w:rPr>
        <w:t>(pop),</w:t>
      </w:r>
      <w:r w:rsidRPr="00D414F5">
        <w:rPr>
          <w:rFonts w:ascii="Times New Roman" w:hAnsi="Times New Roman" w:cs="Times New Roman"/>
          <w:sz w:val="24"/>
          <w:szCs w:val="24"/>
        </w:rPr>
        <w:t xml:space="preserve"> </w:t>
      </w:r>
      <w:r w:rsidR="00D414F5">
        <w:rPr>
          <w:rFonts w:ascii="Times New Roman" w:hAnsi="Times New Roman" w:cs="Times New Roman"/>
          <w:sz w:val="24"/>
          <w:szCs w:val="24"/>
        </w:rPr>
        <w:t xml:space="preserve">economic freedom </w:t>
      </w:r>
      <w:r w:rsidR="00D414F5" w:rsidRPr="00D414F5">
        <w:rPr>
          <w:rFonts w:ascii="Times New Roman" w:hAnsi="Times New Roman" w:cs="Times New Roman"/>
          <w:i/>
          <w:sz w:val="24"/>
          <w:szCs w:val="24"/>
        </w:rPr>
        <w:t>(ecofree)</w:t>
      </w:r>
      <w:r w:rsidRPr="00D414F5">
        <w:rPr>
          <w:rFonts w:ascii="Times New Roman" w:hAnsi="Times New Roman" w:cs="Times New Roman"/>
          <w:sz w:val="24"/>
          <w:szCs w:val="24"/>
        </w:rPr>
        <w:t xml:space="preserve"> and unit </w:t>
      </w:r>
      <w:r w:rsidR="004255EF" w:rsidRPr="00D414F5">
        <w:rPr>
          <w:rFonts w:ascii="Times New Roman" w:hAnsi="Times New Roman" w:cs="Times New Roman"/>
          <w:sz w:val="24"/>
          <w:szCs w:val="24"/>
        </w:rPr>
        <w:t>labor</w:t>
      </w:r>
      <w:r w:rsidRPr="00D414F5">
        <w:rPr>
          <w:rFonts w:ascii="Times New Roman" w:hAnsi="Times New Roman" w:cs="Times New Roman"/>
          <w:sz w:val="24"/>
          <w:szCs w:val="24"/>
        </w:rPr>
        <w:t xml:space="preserve"> cost </w:t>
      </w:r>
      <w:r w:rsidRPr="00D414F5">
        <w:rPr>
          <w:rFonts w:ascii="Times New Roman" w:hAnsi="Times New Roman" w:cs="Times New Roman"/>
          <w:i/>
          <w:sz w:val="24"/>
          <w:szCs w:val="24"/>
        </w:rPr>
        <w:t>(rulc)</w:t>
      </w:r>
      <w:r w:rsidRPr="00D414F5">
        <w:rPr>
          <w:rFonts w:ascii="Times New Roman" w:hAnsi="Times New Roman" w:cs="Times New Roman"/>
          <w:sz w:val="24"/>
          <w:szCs w:val="24"/>
        </w:rPr>
        <w:t xml:space="preserve"> are significant</w:t>
      </w:r>
      <w:r w:rsidR="00D414F5">
        <w:rPr>
          <w:rFonts w:ascii="Times New Roman" w:hAnsi="Times New Roman" w:cs="Times New Roman"/>
          <w:sz w:val="24"/>
          <w:szCs w:val="24"/>
        </w:rPr>
        <w:t xml:space="preserve"> in the CEECs</w:t>
      </w:r>
      <w:r w:rsidR="003C0D24">
        <w:rPr>
          <w:rFonts w:ascii="Times New Roman" w:hAnsi="Times New Roman" w:cs="Times New Roman"/>
          <w:sz w:val="24"/>
          <w:szCs w:val="24"/>
        </w:rPr>
        <w:t xml:space="preserve"> sample</w:t>
      </w:r>
      <w:r w:rsidRPr="00D414F5">
        <w:rPr>
          <w:rFonts w:ascii="Times New Roman" w:hAnsi="Times New Roman" w:cs="Times New Roman"/>
          <w:sz w:val="24"/>
          <w:szCs w:val="24"/>
        </w:rPr>
        <w:t xml:space="preserve">, while the rest are not statistically different from zero, though they have, in general, </w:t>
      </w:r>
      <w:r w:rsidR="006F4B7D" w:rsidRPr="00D414F5">
        <w:rPr>
          <w:rFonts w:ascii="Times New Roman" w:hAnsi="Times New Roman" w:cs="Times New Roman"/>
          <w:sz w:val="24"/>
          <w:szCs w:val="24"/>
        </w:rPr>
        <w:t xml:space="preserve">the </w:t>
      </w:r>
      <w:r w:rsidRPr="00D414F5">
        <w:rPr>
          <w:rFonts w:ascii="Times New Roman" w:hAnsi="Times New Roman" w:cs="Times New Roman"/>
          <w:sz w:val="24"/>
          <w:szCs w:val="24"/>
        </w:rPr>
        <w:t>expected signs. The</w:t>
      </w:r>
      <w:r w:rsidRPr="001E2721">
        <w:rPr>
          <w:rFonts w:ascii="Times New Roman" w:hAnsi="Times New Roman" w:cs="Times New Roman"/>
          <w:sz w:val="24"/>
          <w:szCs w:val="24"/>
        </w:rPr>
        <w:t xml:space="preserve"> empirical results suggest that GDP per capita </w:t>
      </w:r>
      <w:r w:rsidRPr="001E2721">
        <w:rPr>
          <w:rFonts w:ascii="Times New Roman" w:hAnsi="Times New Roman" w:cs="Times New Roman"/>
          <w:i/>
          <w:sz w:val="24"/>
          <w:szCs w:val="24"/>
        </w:rPr>
        <w:t>(gdpc)</w:t>
      </w:r>
      <w:r w:rsidRPr="001E2721">
        <w:rPr>
          <w:rFonts w:ascii="Times New Roman" w:hAnsi="Times New Roman" w:cs="Times New Roman"/>
          <w:sz w:val="24"/>
          <w:szCs w:val="24"/>
        </w:rPr>
        <w:t xml:space="preserve"> has a positive impact on the export market share of </w:t>
      </w:r>
      <w:r w:rsidR="00D414F5">
        <w:rPr>
          <w:rFonts w:ascii="Times New Roman" w:hAnsi="Times New Roman" w:cs="Times New Roman"/>
          <w:sz w:val="24"/>
          <w:szCs w:val="24"/>
        </w:rPr>
        <w:t>CEECs</w:t>
      </w:r>
      <w:r w:rsidR="00FB1108">
        <w:rPr>
          <w:rFonts w:ascii="Times New Roman" w:hAnsi="Times New Roman" w:cs="Times New Roman"/>
          <w:sz w:val="24"/>
          <w:szCs w:val="24"/>
        </w:rPr>
        <w:t>.</w:t>
      </w:r>
      <w:r w:rsidR="00D414F5">
        <w:rPr>
          <w:rFonts w:ascii="Times New Roman" w:hAnsi="Times New Roman" w:cs="Times New Roman"/>
          <w:sz w:val="24"/>
          <w:szCs w:val="24"/>
        </w:rPr>
        <w:t xml:space="preserve"> </w:t>
      </w:r>
      <w:r w:rsidRPr="001E2721">
        <w:rPr>
          <w:rFonts w:ascii="Times New Roman" w:hAnsi="Times New Roman" w:cs="Times New Roman"/>
          <w:sz w:val="24"/>
          <w:szCs w:val="24"/>
        </w:rPr>
        <w:t xml:space="preserve">When its impact is investigated </w:t>
      </w:r>
      <w:r w:rsidR="00D532DD" w:rsidRPr="001E2721">
        <w:rPr>
          <w:rFonts w:ascii="Times New Roman" w:hAnsi="Times New Roman" w:cs="Times New Roman"/>
          <w:sz w:val="24"/>
          <w:szCs w:val="24"/>
        </w:rPr>
        <w:t xml:space="preserve">for the </w:t>
      </w:r>
      <w:r w:rsidR="00996DE4">
        <w:rPr>
          <w:rFonts w:ascii="Times New Roman" w:hAnsi="Times New Roman" w:cs="Times New Roman"/>
          <w:sz w:val="24"/>
          <w:szCs w:val="24"/>
        </w:rPr>
        <w:t>EEA17,</w:t>
      </w:r>
      <w:r w:rsidR="00FB1108">
        <w:rPr>
          <w:rFonts w:ascii="Times New Roman" w:hAnsi="Times New Roman" w:cs="Times New Roman"/>
          <w:sz w:val="24"/>
          <w:szCs w:val="24"/>
        </w:rPr>
        <w:t xml:space="preserve"> </w:t>
      </w:r>
      <w:r w:rsidRPr="001E2721">
        <w:rPr>
          <w:rFonts w:ascii="Times New Roman" w:hAnsi="Times New Roman" w:cs="Times New Roman"/>
          <w:sz w:val="24"/>
          <w:szCs w:val="24"/>
        </w:rPr>
        <w:t xml:space="preserve">the coefficient of this variable </w:t>
      </w:r>
      <w:r w:rsidR="00996DE4">
        <w:rPr>
          <w:rFonts w:ascii="Times New Roman" w:hAnsi="Times New Roman" w:cs="Times New Roman"/>
          <w:sz w:val="24"/>
          <w:szCs w:val="24"/>
        </w:rPr>
        <w:t>turns out statistically</w:t>
      </w:r>
      <w:r w:rsidR="00996DE4" w:rsidRPr="001E2721">
        <w:rPr>
          <w:rFonts w:ascii="Times New Roman" w:hAnsi="Times New Roman" w:cs="Times New Roman"/>
          <w:sz w:val="24"/>
          <w:szCs w:val="24"/>
        </w:rPr>
        <w:t xml:space="preserve"> </w:t>
      </w:r>
      <w:r w:rsidR="00996DE4">
        <w:rPr>
          <w:rFonts w:ascii="Times New Roman" w:hAnsi="Times New Roman" w:cs="Times New Roman"/>
          <w:sz w:val="24"/>
          <w:szCs w:val="24"/>
        </w:rPr>
        <w:t>in</w:t>
      </w:r>
      <w:r w:rsidRPr="001E2721">
        <w:rPr>
          <w:rFonts w:ascii="Times New Roman" w:hAnsi="Times New Roman" w:cs="Times New Roman"/>
          <w:sz w:val="24"/>
          <w:szCs w:val="24"/>
        </w:rPr>
        <w:t xml:space="preserve">significant. The coefficient of population </w:t>
      </w:r>
      <w:r w:rsidRPr="001E2721">
        <w:rPr>
          <w:rFonts w:ascii="Times New Roman" w:hAnsi="Times New Roman" w:cs="Times New Roman"/>
          <w:i/>
          <w:sz w:val="24"/>
          <w:szCs w:val="24"/>
        </w:rPr>
        <w:t>(pop)</w:t>
      </w:r>
      <w:r w:rsidRPr="001E2721">
        <w:rPr>
          <w:rFonts w:ascii="Times New Roman" w:hAnsi="Times New Roman" w:cs="Times New Roman"/>
          <w:sz w:val="24"/>
          <w:szCs w:val="24"/>
        </w:rPr>
        <w:t xml:space="preserve"> is </w:t>
      </w:r>
      <w:r w:rsidR="003C0D24">
        <w:rPr>
          <w:rFonts w:ascii="Times New Roman" w:hAnsi="Times New Roman" w:cs="Times New Roman"/>
          <w:sz w:val="24"/>
          <w:szCs w:val="24"/>
        </w:rPr>
        <w:t xml:space="preserve">found to be </w:t>
      </w:r>
      <w:r w:rsidR="00996DE4">
        <w:rPr>
          <w:rFonts w:ascii="Times New Roman" w:hAnsi="Times New Roman" w:cs="Times New Roman"/>
          <w:sz w:val="24"/>
          <w:szCs w:val="24"/>
        </w:rPr>
        <w:t>positive</w:t>
      </w:r>
      <w:r w:rsidR="00996DE4" w:rsidRPr="001E2721">
        <w:rPr>
          <w:rFonts w:ascii="Times New Roman" w:hAnsi="Times New Roman" w:cs="Times New Roman"/>
          <w:sz w:val="24"/>
          <w:szCs w:val="24"/>
        </w:rPr>
        <w:t xml:space="preserve"> </w:t>
      </w:r>
      <w:r w:rsidR="00996DE4">
        <w:rPr>
          <w:rFonts w:ascii="Times New Roman" w:hAnsi="Times New Roman" w:cs="Times New Roman"/>
          <w:sz w:val="24"/>
          <w:szCs w:val="24"/>
        </w:rPr>
        <w:t>in the</w:t>
      </w:r>
      <w:r w:rsidRPr="001E2721">
        <w:rPr>
          <w:rFonts w:ascii="Times New Roman" w:hAnsi="Times New Roman" w:cs="Times New Roman"/>
          <w:sz w:val="24"/>
          <w:szCs w:val="24"/>
        </w:rPr>
        <w:t xml:space="preserve"> </w:t>
      </w:r>
      <w:r w:rsidR="00996DE4">
        <w:rPr>
          <w:rFonts w:ascii="Times New Roman" w:hAnsi="Times New Roman" w:cs="Times New Roman"/>
          <w:sz w:val="24"/>
          <w:szCs w:val="24"/>
        </w:rPr>
        <w:t>CEECs sample supporting the hypothesis that</w:t>
      </w:r>
      <w:r w:rsidRPr="001E2721">
        <w:rPr>
          <w:rFonts w:ascii="Times New Roman" w:hAnsi="Times New Roman" w:cs="Times New Roman"/>
          <w:sz w:val="24"/>
          <w:szCs w:val="24"/>
        </w:rPr>
        <w:t xml:space="preserve"> country size </w:t>
      </w:r>
      <w:r w:rsidR="00996DE4">
        <w:rPr>
          <w:rFonts w:ascii="Times New Roman" w:hAnsi="Times New Roman" w:cs="Times New Roman"/>
          <w:sz w:val="24"/>
          <w:szCs w:val="24"/>
        </w:rPr>
        <w:t>does</w:t>
      </w:r>
      <w:r w:rsidRPr="001E2721">
        <w:rPr>
          <w:rFonts w:ascii="Times New Roman" w:hAnsi="Times New Roman" w:cs="Times New Roman"/>
          <w:sz w:val="24"/>
          <w:szCs w:val="24"/>
        </w:rPr>
        <w:t xml:space="preserve"> exert a positive impact on the share of exports, as bigger countries are expected to produce more output, and thus are more likely to export more</w:t>
      </w:r>
      <w:r w:rsidR="0087188E">
        <w:rPr>
          <w:rFonts w:ascii="Times New Roman" w:hAnsi="Times New Roman" w:cs="Times New Roman"/>
          <w:sz w:val="24"/>
          <w:szCs w:val="24"/>
        </w:rPr>
        <w:t>. The effect of this variable</w:t>
      </w:r>
      <w:r w:rsidRPr="001E2721">
        <w:rPr>
          <w:rFonts w:ascii="Times New Roman" w:hAnsi="Times New Roman" w:cs="Times New Roman"/>
          <w:sz w:val="24"/>
          <w:szCs w:val="24"/>
        </w:rPr>
        <w:t xml:space="preserve"> </w:t>
      </w:r>
      <w:r w:rsidR="00996DE4">
        <w:rPr>
          <w:rFonts w:ascii="Times New Roman" w:hAnsi="Times New Roman" w:cs="Times New Roman"/>
          <w:sz w:val="24"/>
          <w:szCs w:val="24"/>
        </w:rPr>
        <w:t xml:space="preserve">is not statistically different from zero when assessed in the EEA17 sample. </w:t>
      </w:r>
      <w:r w:rsidR="00996DE4" w:rsidRPr="00996DE4">
        <w:rPr>
          <w:rFonts w:ascii="Times New Roman" w:hAnsi="Times New Roman" w:cs="Times New Roman"/>
          <w:sz w:val="24"/>
          <w:szCs w:val="24"/>
        </w:rPr>
        <w:t>The</w:t>
      </w:r>
      <w:r w:rsidRPr="00996DE4">
        <w:rPr>
          <w:rFonts w:ascii="Times New Roman" w:hAnsi="Times New Roman" w:cs="Times New Roman"/>
          <w:sz w:val="24"/>
          <w:szCs w:val="24"/>
        </w:rPr>
        <w:t xml:space="preserve"> coefficient of the mismatch proxy </w:t>
      </w:r>
      <w:r w:rsidR="00996DE4">
        <w:rPr>
          <w:rFonts w:ascii="Times New Roman" w:hAnsi="Times New Roman" w:cs="Times New Roman"/>
          <w:sz w:val="24"/>
          <w:szCs w:val="24"/>
        </w:rPr>
        <w:t>is</w:t>
      </w:r>
      <w:r w:rsidR="00284AB5" w:rsidRPr="001E2721">
        <w:rPr>
          <w:rFonts w:ascii="Times New Roman" w:hAnsi="Times New Roman" w:cs="Times New Roman"/>
          <w:sz w:val="24"/>
          <w:szCs w:val="24"/>
        </w:rPr>
        <w:t xml:space="preserve"> </w:t>
      </w:r>
      <w:r w:rsidR="00996DE4">
        <w:rPr>
          <w:rFonts w:ascii="Times New Roman" w:hAnsi="Times New Roman" w:cs="Times New Roman"/>
          <w:sz w:val="24"/>
          <w:szCs w:val="24"/>
        </w:rPr>
        <w:t xml:space="preserve">also </w:t>
      </w:r>
      <w:r w:rsidR="00284AB5" w:rsidRPr="001E2721">
        <w:rPr>
          <w:rFonts w:ascii="Times New Roman" w:hAnsi="Times New Roman" w:cs="Times New Roman"/>
          <w:sz w:val="24"/>
          <w:szCs w:val="24"/>
        </w:rPr>
        <w:t xml:space="preserve">insignificant </w:t>
      </w:r>
      <w:r w:rsidR="00996DE4">
        <w:rPr>
          <w:rFonts w:ascii="Times New Roman" w:hAnsi="Times New Roman" w:cs="Times New Roman"/>
          <w:sz w:val="24"/>
          <w:szCs w:val="24"/>
        </w:rPr>
        <w:t>in the</w:t>
      </w:r>
      <w:r w:rsidR="00FA30B4" w:rsidRPr="001E2721">
        <w:rPr>
          <w:rFonts w:ascii="Times New Roman" w:hAnsi="Times New Roman" w:cs="Times New Roman"/>
          <w:sz w:val="24"/>
          <w:szCs w:val="24"/>
        </w:rPr>
        <w:t xml:space="preserve"> two sub-groups of countries</w:t>
      </w:r>
      <w:r w:rsidRPr="001E2721">
        <w:rPr>
          <w:rFonts w:ascii="Times New Roman" w:hAnsi="Times New Roman" w:cs="Times New Roman"/>
          <w:sz w:val="24"/>
          <w:szCs w:val="24"/>
        </w:rPr>
        <w:t xml:space="preserve">. Finally, the results suggest that, in the line with theory, real unit </w:t>
      </w:r>
      <w:r w:rsidR="00313C7D" w:rsidRPr="001E2721">
        <w:rPr>
          <w:rFonts w:ascii="Times New Roman" w:hAnsi="Times New Roman" w:cs="Times New Roman"/>
          <w:sz w:val="24"/>
          <w:szCs w:val="24"/>
        </w:rPr>
        <w:t>labor</w:t>
      </w:r>
      <w:r w:rsidRPr="001E2721">
        <w:rPr>
          <w:rFonts w:ascii="Times New Roman" w:hAnsi="Times New Roman" w:cs="Times New Roman"/>
          <w:sz w:val="24"/>
          <w:szCs w:val="24"/>
        </w:rPr>
        <w:t xml:space="preserve"> cost </w:t>
      </w:r>
      <w:r w:rsidRPr="001E2721">
        <w:rPr>
          <w:rFonts w:ascii="Times New Roman" w:hAnsi="Times New Roman" w:cs="Times New Roman"/>
          <w:i/>
          <w:sz w:val="24"/>
          <w:szCs w:val="24"/>
        </w:rPr>
        <w:t>(rulc)</w:t>
      </w:r>
      <w:r w:rsidRPr="001E2721">
        <w:rPr>
          <w:rFonts w:ascii="Times New Roman" w:hAnsi="Times New Roman" w:cs="Times New Roman"/>
          <w:sz w:val="24"/>
          <w:szCs w:val="24"/>
        </w:rPr>
        <w:t xml:space="preserve"> exerts a negative impact on the export market share </w:t>
      </w:r>
      <w:r w:rsidR="00FA30B4" w:rsidRPr="001E2721">
        <w:rPr>
          <w:rFonts w:ascii="Times New Roman" w:hAnsi="Times New Roman" w:cs="Times New Roman"/>
          <w:sz w:val="24"/>
          <w:szCs w:val="24"/>
        </w:rPr>
        <w:t>in both sample estimations</w:t>
      </w:r>
      <w:r w:rsidRPr="001E2721">
        <w:rPr>
          <w:rFonts w:ascii="Times New Roman" w:hAnsi="Times New Roman" w:cs="Times New Roman"/>
          <w:sz w:val="24"/>
          <w:szCs w:val="24"/>
        </w:rPr>
        <w:t xml:space="preserve">. </w:t>
      </w:r>
    </w:p>
    <w:p w:rsidR="00E61765" w:rsidRPr="001E2721" w:rsidRDefault="002C20A2" w:rsidP="0054209A">
      <w:pPr>
        <w:spacing w:line="360" w:lineRule="auto"/>
        <w:jc w:val="both"/>
        <w:rPr>
          <w:rFonts w:ascii="Times New Roman" w:hAnsi="Times New Roman" w:cs="Times New Roman"/>
          <w:sz w:val="24"/>
          <w:szCs w:val="24"/>
        </w:rPr>
      </w:pPr>
      <w:r w:rsidRPr="001E2721">
        <w:rPr>
          <w:rFonts w:ascii="Times New Roman" w:hAnsi="Times New Roman" w:cs="Times New Roman"/>
          <w:sz w:val="24"/>
          <w:szCs w:val="24"/>
        </w:rPr>
        <w:t xml:space="preserve">The </w:t>
      </w:r>
      <w:r w:rsidR="00902B46" w:rsidRPr="001E2721">
        <w:rPr>
          <w:rFonts w:ascii="Times New Roman" w:hAnsi="Times New Roman" w:cs="Times New Roman"/>
          <w:sz w:val="24"/>
          <w:szCs w:val="24"/>
        </w:rPr>
        <w:t xml:space="preserve">coefficients on the </w:t>
      </w:r>
      <w:r w:rsidRPr="001E2721">
        <w:rPr>
          <w:rFonts w:ascii="Times New Roman" w:hAnsi="Times New Roman" w:cs="Times New Roman"/>
          <w:sz w:val="24"/>
          <w:szCs w:val="24"/>
        </w:rPr>
        <w:t xml:space="preserve">effect of inward FDI stock </w:t>
      </w:r>
      <w:r w:rsidRPr="001E2721">
        <w:rPr>
          <w:rFonts w:ascii="Times New Roman" w:hAnsi="Times New Roman" w:cs="Times New Roman"/>
          <w:i/>
          <w:sz w:val="24"/>
          <w:szCs w:val="24"/>
        </w:rPr>
        <w:t>(fdi),</w:t>
      </w:r>
      <w:r w:rsidRPr="001E2721">
        <w:rPr>
          <w:rFonts w:ascii="Times New Roman" w:hAnsi="Times New Roman" w:cs="Times New Roman"/>
          <w:sz w:val="24"/>
          <w:szCs w:val="24"/>
        </w:rPr>
        <w:t xml:space="preserve"> patent applications </w:t>
      </w:r>
      <w:r w:rsidRPr="001E2721">
        <w:rPr>
          <w:rFonts w:ascii="Times New Roman" w:hAnsi="Times New Roman" w:cs="Times New Roman"/>
          <w:i/>
          <w:sz w:val="24"/>
          <w:szCs w:val="24"/>
        </w:rPr>
        <w:t>(patappr)</w:t>
      </w:r>
      <w:r w:rsidRPr="001E2721">
        <w:rPr>
          <w:rFonts w:ascii="Times New Roman" w:hAnsi="Times New Roman" w:cs="Times New Roman"/>
          <w:sz w:val="24"/>
          <w:szCs w:val="24"/>
        </w:rPr>
        <w:t xml:space="preserve"> and the </w:t>
      </w:r>
      <w:r w:rsidRPr="00996DE4">
        <w:rPr>
          <w:rFonts w:ascii="Times New Roman" w:hAnsi="Times New Roman" w:cs="Times New Roman"/>
          <w:sz w:val="24"/>
          <w:szCs w:val="24"/>
        </w:rPr>
        <w:t xml:space="preserve">share of services </w:t>
      </w:r>
      <w:r w:rsidRPr="00996DE4">
        <w:rPr>
          <w:rFonts w:ascii="Times New Roman" w:hAnsi="Times New Roman" w:cs="Times New Roman"/>
          <w:i/>
          <w:sz w:val="24"/>
          <w:szCs w:val="24"/>
        </w:rPr>
        <w:t>(serv)</w:t>
      </w:r>
      <w:r w:rsidRPr="00996DE4">
        <w:rPr>
          <w:rFonts w:ascii="Times New Roman" w:hAnsi="Times New Roman" w:cs="Times New Roman"/>
          <w:sz w:val="24"/>
          <w:szCs w:val="24"/>
        </w:rPr>
        <w:t xml:space="preserve"> </w:t>
      </w:r>
      <w:r w:rsidR="00902B46" w:rsidRPr="00996DE4">
        <w:rPr>
          <w:rFonts w:ascii="Times New Roman" w:hAnsi="Times New Roman" w:cs="Times New Roman"/>
          <w:sz w:val="24"/>
          <w:szCs w:val="24"/>
        </w:rPr>
        <w:t>are</w:t>
      </w:r>
      <w:r w:rsidRPr="00996DE4">
        <w:rPr>
          <w:rFonts w:ascii="Times New Roman" w:hAnsi="Times New Roman" w:cs="Times New Roman"/>
          <w:sz w:val="24"/>
          <w:szCs w:val="24"/>
        </w:rPr>
        <w:t xml:space="preserve"> generally significant and with expected signs for </w:t>
      </w:r>
      <w:r w:rsidR="00C14D72" w:rsidRPr="00996DE4">
        <w:rPr>
          <w:rFonts w:ascii="Times New Roman" w:hAnsi="Times New Roman" w:cs="Times New Roman"/>
          <w:sz w:val="24"/>
          <w:szCs w:val="24"/>
        </w:rPr>
        <w:t>EEA17</w:t>
      </w:r>
      <w:r w:rsidRPr="00996DE4">
        <w:rPr>
          <w:rFonts w:ascii="Times New Roman" w:hAnsi="Times New Roman" w:cs="Times New Roman"/>
          <w:sz w:val="24"/>
          <w:szCs w:val="24"/>
        </w:rPr>
        <w:t xml:space="preserve">. The </w:t>
      </w:r>
      <w:r w:rsidR="00902B46" w:rsidRPr="00996DE4">
        <w:rPr>
          <w:rFonts w:ascii="Times New Roman" w:hAnsi="Times New Roman" w:cs="Times New Roman"/>
          <w:sz w:val="24"/>
          <w:szCs w:val="24"/>
        </w:rPr>
        <w:t xml:space="preserve">effect </w:t>
      </w:r>
      <w:r w:rsidRPr="00996DE4">
        <w:rPr>
          <w:rFonts w:ascii="Times New Roman" w:hAnsi="Times New Roman" w:cs="Times New Roman"/>
          <w:sz w:val="24"/>
          <w:szCs w:val="24"/>
        </w:rPr>
        <w:t xml:space="preserve">of economic freedom </w:t>
      </w:r>
      <w:r w:rsidRPr="00996DE4">
        <w:rPr>
          <w:rFonts w:ascii="Times New Roman" w:hAnsi="Times New Roman" w:cs="Times New Roman"/>
          <w:i/>
          <w:sz w:val="24"/>
          <w:szCs w:val="24"/>
        </w:rPr>
        <w:t>(ecofree)</w:t>
      </w:r>
      <w:r w:rsidRPr="00996DE4">
        <w:rPr>
          <w:rFonts w:ascii="Times New Roman" w:hAnsi="Times New Roman" w:cs="Times New Roman"/>
          <w:sz w:val="24"/>
          <w:szCs w:val="24"/>
        </w:rPr>
        <w:t xml:space="preserve"> is negative </w:t>
      </w:r>
      <w:r w:rsidRPr="001E2721">
        <w:rPr>
          <w:rFonts w:ascii="Times New Roman" w:hAnsi="Times New Roman" w:cs="Times New Roman"/>
          <w:sz w:val="24"/>
          <w:szCs w:val="24"/>
        </w:rPr>
        <w:t xml:space="preserve">and significant in the </w:t>
      </w:r>
      <w:r w:rsidR="00AB7A67" w:rsidRPr="001E2721">
        <w:rPr>
          <w:rFonts w:ascii="Times New Roman" w:hAnsi="Times New Roman" w:cs="Times New Roman"/>
          <w:sz w:val="24"/>
          <w:szCs w:val="24"/>
        </w:rPr>
        <w:t xml:space="preserve">CEECs </w:t>
      </w:r>
      <w:r w:rsidRPr="001E2721">
        <w:rPr>
          <w:rFonts w:ascii="Times New Roman" w:hAnsi="Times New Roman" w:cs="Times New Roman"/>
          <w:sz w:val="24"/>
          <w:szCs w:val="24"/>
        </w:rPr>
        <w:t>sample</w:t>
      </w:r>
      <w:r w:rsidR="00440BC2">
        <w:rPr>
          <w:rFonts w:ascii="Times New Roman" w:hAnsi="Times New Roman" w:cs="Times New Roman"/>
          <w:sz w:val="24"/>
          <w:szCs w:val="24"/>
        </w:rPr>
        <w:t xml:space="preserve"> only</w:t>
      </w:r>
      <w:r w:rsidRPr="001E2721">
        <w:rPr>
          <w:rFonts w:ascii="Times New Roman" w:hAnsi="Times New Roman" w:cs="Times New Roman"/>
          <w:sz w:val="24"/>
          <w:szCs w:val="24"/>
        </w:rPr>
        <w:t xml:space="preserve">. </w:t>
      </w:r>
      <w:r w:rsidR="006C45BE" w:rsidRPr="001E2721">
        <w:rPr>
          <w:rFonts w:ascii="Times New Roman" w:hAnsi="Times New Roman" w:cs="Times New Roman"/>
          <w:sz w:val="24"/>
          <w:szCs w:val="24"/>
        </w:rPr>
        <w:t>T</w:t>
      </w:r>
      <w:r w:rsidRPr="001E2721">
        <w:rPr>
          <w:rFonts w:ascii="Times New Roman" w:hAnsi="Times New Roman" w:cs="Times New Roman"/>
          <w:sz w:val="24"/>
          <w:szCs w:val="24"/>
        </w:rPr>
        <w:t xml:space="preserve">he transition indicator index </w:t>
      </w:r>
      <w:r w:rsidRPr="001E2721">
        <w:rPr>
          <w:rFonts w:ascii="Times New Roman" w:hAnsi="Times New Roman" w:cs="Times New Roman"/>
          <w:i/>
          <w:sz w:val="24"/>
          <w:szCs w:val="24"/>
        </w:rPr>
        <w:t>(transindN)</w:t>
      </w:r>
      <w:r w:rsidR="00021E0F" w:rsidRPr="001E2721">
        <w:rPr>
          <w:rFonts w:ascii="Times New Roman" w:hAnsi="Times New Roman" w:cs="Times New Roman"/>
          <w:i/>
          <w:sz w:val="24"/>
          <w:szCs w:val="24"/>
        </w:rPr>
        <w:t xml:space="preserve"> </w:t>
      </w:r>
      <w:r w:rsidR="00CC111C" w:rsidRPr="001E2721">
        <w:rPr>
          <w:rFonts w:ascii="Times New Roman" w:hAnsi="Times New Roman" w:cs="Times New Roman"/>
          <w:sz w:val="24"/>
          <w:szCs w:val="24"/>
        </w:rPr>
        <w:t>is</w:t>
      </w:r>
      <w:r w:rsidRPr="001E2721">
        <w:rPr>
          <w:rFonts w:ascii="Times New Roman" w:hAnsi="Times New Roman" w:cs="Times New Roman"/>
          <w:sz w:val="24"/>
          <w:szCs w:val="24"/>
        </w:rPr>
        <w:t xml:space="preserve"> found to be statistically insignificant, suggesting that the </w:t>
      </w:r>
      <w:r w:rsidR="006F7B78" w:rsidRPr="001E2721">
        <w:rPr>
          <w:rFonts w:ascii="Times New Roman" w:hAnsi="Times New Roman" w:cs="Times New Roman"/>
          <w:sz w:val="24"/>
          <w:szCs w:val="24"/>
        </w:rPr>
        <w:t xml:space="preserve">speed of the </w:t>
      </w:r>
      <w:r w:rsidRPr="001E2721">
        <w:rPr>
          <w:rFonts w:ascii="Times New Roman" w:hAnsi="Times New Roman" w:cs="Times New Roman"/>
          <w:sz w:val="24"/>
          <w:szCs w:val="24"/>
        </w:rPr>
        <w:t>progress of countries during transition did not contribute much to their international competitiveness. This might be a reflection of the</w:t>
      </w:r>
      <w:r w:rsidR="005C3293" w:rsidRPr="001E2721">
        <w:rPr>
          <w:rFonts w:ascii="Times New Roman" w:hAnsi="Times New Roman" w:cs="Times New Roman"/>
          <w:sz w:val="24"/>
          <w:szCs w:val="24"/>
        </w:rPr>
        <w:t xml:space="preserve"> low varia</w:t>
      </w:r>
      <w:r w:rsidR="00BE410A" w:rsidRPr="001E2721">
        <w:rPr>
          <w:rFonts w:ascii="Times New Roman" w:hAnsi="Times New Roman" w:cs="Times New Roman"/>
          <w:sz w:val="24"/>
          <w:szCs w:val="24"/>
        </w:rPr>
        <w:t>tion of th</w:t>
      </w:r>
      <w:r w:rsidR="00CB614D" w:rsidRPr="001E2721">
        <w:rPr>
          <w:rFonts w:ascii="Times New Roman" w:hAnsi="Times New Roman" w:cs="Times New Roman"/>
          <w:sz w:val="24"/>
          <w:szCs w:val="24"/>
        </w:rPr>
        <w:t>is</w:t>
      </w:r>
      <w:r w:rsidR="00BE410A" w:rsidRPr="001E2721">
        <w:rPr>
          <w:rFonts w:ascii="Times New Roman" w:hAnsi="Times New Roman" w:cs="Times New Roman"/>
          <w:sz w:val="24"/>
          <w:szCs w:val="24"/>
        </w:rPr>
        <w:t xml:space="preserve"> variable due to the</w:t>
      </w:r>
      <w:r w:rsidRPr="001E2721">
        <w:rPr>
          <w:rFonts w:ascii="Times New Roman" w:hAnsi="Times New Roman" w:cs="Times New Roman"/>
          <w:sz w:val="24"/>
          <w:szCs w:val="24"/>
        </w:rPr>
        <w:t xml:space="preserve"> transition process being completed by </w:t>
      </w:r>
      <w:r w:rsidR="006F7B78" w:rsidRPr="001E2721">
        <w:rPr>
          <w:rFonts w:ascii="Times New Roman" w:hAnsi="Times New Roman" w:cs="Times New Roman"/>
          <w:sz w:val="24"/>
          <w:szCs w:val="24"/>
        </w:rPr>
        <w:t xml:space="preserve">2004 in </w:t>
      </w:r>
      <w:r w:rsidRPr="001E2721">
        <w:rPr>
          <w:rFonts w:ascii="Times New Roman" w:hAnsi="Times New Roman" w:cs="Times New Roman"/>
          <w:sz w:val="24"/>
          <w:szCs w:val="24"/>
        </w:rPr>
        <w:t xml:space="preserve">the majority of countries included in </w:t>
      </w:r>
      <w:r w:rsidR="006F7B78" w:rsidRPr="001E2721">
        <w:rPr>
          <w:rFonts w:ascii="Times New Roman" w:hAnsi="Times New Roman" w:cs="Times New Roman"/>
          <w:sz w:val="24"/>
          <w:szCs w:val="24"/>
        </w:rPr>
        <w:t>this</w:t>
      </w:r>
      <w:r w:rsidRPr="001E2721">
        <w:rPr>
          <w:rFonts w:ascii="Times New Roman" w:hAnsi="Times New Roman" w:cs="Times New Roman"/>
          <w:sz w:val="24"/>
          <w:szCs w:val="24"/>
        </w:rPr>
        <w:t xml:space="preserve"> sample. </w:t>
      </w:r>
    </w:p>
    <w:p w:rsidR="00BA5C51" w:rsidRPr="001E2721" w:rsidRDefault="002C20A2" w:rsidP="000C31F5">
      <w:pPr>
        <w:pStyle w:val="Heading1"/>
        <w:spacing w:line="360" w:lineRule="auto"/>
        <w:rPr>
          <w:color w:val="auto"/>
          <w:lang w:val="en-US"/>
        </w:rPr>
      </w:pPr>
      <w:r w:rsidRPr="001E2721">
        <w:rPr>
          <w:color w:val="auto"/>
          <w:lang w:val="en-US"/>
        </w:rPr>
        <w:t xml:space="preserve">6. Conclusions </w:t>
      </w:r>
    </w:p>
    <w:p w:rsidR="00BA5C51" w:rsidRPr="009B7EDB" w:rsidRDefault="004608F7" w:rsidP="00780949">
      <w:pPr>
        <w:spacing w:line="360" w:lineRule="auto"/>
        <w:jc w:val="both"/>
        <w:rPr>
          <w:rFonts w:ascii="Times New Roman" w:hAnsi="Times New Roman" w:cs="Times New Roman"/>
          <w:sz w:val="24"/>
          <w:szCs w:val="24"/>
        </w:rPr>
      </w:pPr>
      <w:r w:rsidRPr="009B7EDB">
        <w:rPr>
          <w:rFonts w:ascii="Times New Roman" w:hAnsi="Times New Roman" w:cs="Times New Roman"/>
          <w:sz w:val="24"/>
          <w:szCs w:val="24"/>
        </w:rPr>
        <w:t xml:space="preserve">In </w:t>
      </w:r>
      <w:r w:rsidR="000F0D23" w:rsidRPr="009B7EDB">
        <w:rPr>
          <w:rFonts w:ascii="Times New Roman" w:hAnsi="Times New Roman" w:cs="Times New Roman"/>
          <w:sz w:val="24"/>
          <w:szCs w:val="24"/>
        </w:rPr>
        <w:t xml:space="preserve">addressing the under-researched link between human capital endowments and international competitiveness, with particular focus on </w:t>
      </w:r>
      <w:r w:rsidR="00E46808" w:rsidRPr="009B7EDB">
        <w:rPr>
          <w:rFonts w:ascii="Times New Roman" w:hAnsi="Times New Roman" w:cs="Times New Roman"/>
          <w:sz w:val="24"/>
          <w:szCs w:val="24"/>
        </w:rPr>
        <w:t xml:space="preserve">selected </w:t>
      </w:r>
      <w:r w:rsidR="008D5169" w:rsidRPr="009B7EDB">
        <w:rPr>
          <w:rFonts w:ascii="Times New Roman" w:hAnsi="Times New Roman" w:cs="Times New Roman"/>
          <w:sz w:val="24"/>
          <w:szCs w:val="24"/>
        </w:rPr>
        <w:t>transition</w:t>
      </w:r>
      <w:r w:rsidR="000F0D23" w:rsidRPr="009B7EDB">
        <w:rPr>
          <w:rFonts w:ascii="Times New Roman" w:hAnsi="Times New Roman" w:cs="Times New Roman"/>
          <w:sz w:val="24"/>
          <w:szCs w:val="24"/>
        </w:rPr>
        <w:t xml:space="preserve"> economies</w:t>
      </w:r>
      <w:r w:rsidR="00E46808" w:rsidRPr="009B7EDB">
        <w:rPr>
          <w:rFonts w:ascii="Times New Roman" w:hAnsi="Times New Roman" w:cs="Times New Roman"/>
          <w:sz w:val="24"/>
          <w:szCs w:val="24"/>
        </w:rPr>
        <w:t xml:space="preserve"> of Central and Eastern Europe</w:t>
      </w:r>
      <w:r w:rsidRPr="009B7EDB">
        <w:rPr>
          <w:rFonts w:ascii="Times New Roman" w:hAnsi="Times New Roman" w:cs="Times New Roman"/>
          <w:sz w:val="24"/>
          <w:szCs w:val="24"/>
        </w:rPr>
        <w:t>, this paper fills a gap in the literature</w:t>
      </w:r>
      <w:r w:rsidR="000F0D23" w:rsidRPr="009B7EDB">
        <w:rPr>
          <w:rFonts w:ascii="Times New Roman" w:hAnsi="Times New Roman" w:cs="Times New Roman"/>
          <w:sz w:val="24"/>
          <w:szCs w:val="24"/>
        </w:rPr>
        <w:t xml:space="preserve">. Longitudinal data is used to assess the impact of human capital on international competitiveness of </w:t>
      </w:r>
      <w:r w:rsidRPr="009B7EDB">
        <w:rPr>
          <w:rFonts w:ascii="Times New Roman" w:hAnsi="Times New Roman" w:cs="Times New Roman"/>
          <w:sz w:val="24"/>
          <w:szCs w:val="24"/>
        </w:rPr>
        <w:t xml:space="preserve">the </w:t>
      </w:r>
      <w:r w:rsidR="00EA002E">
        <w:rPr>
          <w:rFonts w:ascii="Times New Roman" w:hAnsi="Times New Roman" w:cs="Times New Roman"/>
          <w:sz w:val="24"/>
          <w:szCs w:val="24"/>
        </w:rPr>
        <w:t>10</w:t>
      </w:r>
      <w:r w:rsidR="0092495D" w:rsidRPr="009B7EDB">
        <w:rPr>
          <w:rFonts w:ascii="Times New Roman" w:hAnsi="Times New Roman" w:cs="Times New Roman"/>
          <w:sz w:val="24"/>
          <w:szCs w:val="24"/>
        </w:rPr>
        <w:t xml:space="preserve"> </w:t>
      </w:r>
      <w:r w:rsidR="009B7EDB" w:rsidRPr="009B7EDB">
        <w:rPr>
          <w:rFonts w:ascii="Times New Roman" w:hAnsi="Times New Roman" w:cs="Times New Roman"/>
          <w:sz w:val="24"/>
          <w:szCs w:val="24"/>
        </w:rPr>
        <w:t xml:space="preserve">CEECs and </w:t>
      </w:r>
      <w:r w:rsidR="00EA002E">
        <w:rPr>
          <w:rFonts w:ascii="Times New Roman" w:hAnsi="Times New Roman" w:cs="Times New Roman"/>
          <w:sz w:val="24"/>
          <w:szCs w:val="24"/>
        </w:rPr>
        <w:t xml:space="preserve">17 </w:t>
      </w:r>
      <w:r w:rsidR="009B7EDB" w:rsidRPr="009B7EDB">
        <w:rPr>
          <w:rFonts w:ascii="Times New Roman" w:hAnsi="Times New Roman" w:cs="Times New Roman"/>
          <w:sz w:val="24"/>
          <w:szCs w:val="24"/>
        </w:rPr>
        <w:t xml:space="preserve">EEA17 </w:t>
      </w:r>
      <w:r w:rsidR="000F0D23" w:rsidRPr="009B7EDB">
        <w:rPr>
          <w:rFonts w:ascii="Times New Roman" w:hAnsi="Times New Roman" w:cs="Times New Roman"/>
          <w:sz w:val="24"/>
          <w:szCs w:val="24"/>
        </w:rPr>
        <w:t xml:space="preserve">for the period 1995-2010. In addition to human capital endowments that measure the quantity of education, </w:t>
      </w:r>
      <w:r w:rsidR="00E46808" w:rsidRPr="009B7EDB">
        <w:rPr>
          <w:rFonts w:ascii="Times New Roman" w:hAnsi="Times New Roman" w:cs="Times New Roman"/>
          <w:sz w:val="24"/>
          <w:szCs w:val="24"/>
        </w:rPr>
        <w:t xml:space="preserve">three </w:t>
      </w:r>
      <w:r w:rsidR="000F0D23" w:rsidRPr="009B7EDB">
        <w:rPr>
          <w:rFonts w:ascii="Times New Roman" w:hAnsi="Times New Roman" w:cs="Times New Roman"/>
          <w:sz w:val="24"/>
          <w:szCs w:val="24"/>
        </w:rPr>
        <w:t>measure</w:t>
      </w:r>
      <w:r w:rsidR="00E46808" w:rsidRPr="009B7EDB">
        <w:rPr>
          <w:rFonts w:ascii="Times New Roman" w:hAnsi="Times New Roman" w:cs="Times New Roman"/>
          <w:sz w:val="24"/>
          <w:szCs w:val="24"/>
        </w:rPr>
        <w:t>s</w:t>
      </w:r>
      <w:r w:rsidRPr="009B7EDB">
        <w:rPr>
          <w:rFonts w:ascii="Times New Roman" w:hAnsi="Times New Roman" w:cs="Times New Roman"/>
          <w:sz w:val="24"/>
          <w:szCs w:val="24"/>
        </w:rPr>
        <w:t xml:space="preserve"> of</w:t>
      </w:r>
      <w:r w:rsidR="000F0D23" w:rsidRPr="009B7EDB">
        <w:rPr>
          <w:rFonts w:ascii="Times New Roman" w:hAnsi="Times New Roman" w:cs="Times New Roman"/>
          <w:sz w:val="24"/>
          <w:szCs w:val="24"/>
        </w:rPr>
        <w:t xml:space="preserve"> the quality of education, which </w:t>
      </w:r>
      <w:r w:rsidR="00E46808" w:rsidRPr="009B7EDB">
        <w:rPr>
          <w:rFonts w:ascii="Times New Roman" w:hAnsi="Times New Roman" w:cs="Times New Roman"/>
          <w:sz w:val="24"/>
          <w:szCs w:val="24"/>
        </w:rPr>
        <w:t xml:space="preserve">have </w:t>
      </w:r>
      <w:r w:rsidR="000F0D23" w:rsidRPr="009B7EDB">
        <w:rPr>
          <w:rFonts w:ascii="Times New Roman" w:hAnsi="Times New Roman" w:cs="Times New Roman"/>
          <w:sz w:val="24"/>
          <w:szCs w:val="24"/>
        </w:rPr>
        <w:t xml:space="preserve">not </w:t>
      </w:r>
      <w:r w:rsidR="006F4B7D" w:rsidRPr="009B7EDB">
        <w:rPr>
          <w:rFonts w:ascii="Times New Roman" w:hAnsi="Times New Roman" w:cs="Times New Roman"/>
          <w:sz w:val="24"/>
          <w:szCs w:val="24"/>
        </w:rPr>
        <w:t xml:space="preserve">previously </w:t>
      </w:r>
      <w:r w:rsidR="000F0D23" w:rsidRPr="009B7EDB">
        <w:rPr>
          <w:rFonts w:ascii="Times New Roman" w:hAnsi="Times New Roman" w:cs="Times New Roman"/>
          <w:sz w:val="24"/>
          <w:szCs w:val="24"/>
        </w:rPr>
        <w:t xml:space="preserve">been considered </w:t>
      </w:r>
      <w:r w:rsidR="006F4B7D" w:rsidRPr="009B7EDB">
        <w:rPr>
          <w:rFonts w:ascii="Times New Roman" w:hAnsi="Times New Roman" w:cs="Times New Roman"/>
          <w:sz w:val="24"/>
          <w:szCs w:val="24"/>
        </w:rPr>
        <w:t>in</w:t>
      </w:r>
      <w:r w:rsidR="000F0D23" w:rsidRPr="009B7EDB">
        <w:rPr>
          <w:rFonts w:ascii="Times New Roman" w:hAnsi="Times New Roman" w:cs="Times New Roman"/>
          <w:sz w:val="24"/>
          <w:szCs w:val="24"/>
        </w:rPr>
        <w:t xml:space="preserve"> the international competitiveness literature, </w:t>
      </w:r>
      <w:r w:rsidR="00E46808" w:rsidRPr="009B7EDB">
        <w:rPr>
          <w:rFonts w:ascii="Times New Roman" w:hAnsi="Times New Roman" w:cs="Times New Roman"/>
          <w:sz w:val="24"/>
          <w:szCs w:val="24"/>
        </w:rPr>
        <w:t xml:space="preserve">were </w:t>
      </w:r>
      <w:r w:rsidR="000F0D23" w:rsidRPr="009B7EDB">
        <w:rPr>
          <w:rFonts w:ascii="Times New Roman" w:hAnsi="Times New Roman" w:cs="Times New Roman"/>
          <w:sz w:val="24"/>
          <w:szCs w:val="24"/>
        </w:rPr>
        <w:t xml:space="preserve">also included in the regression analysis. The empirical investigation further controlled for a range of potential competitiveness-enhancing factors derived from different strands of </w:t>
      </w:r>
      <w:r w:rsidRPr="009B7EDB">
        <w:rPr>
          <w:rFonts w:ascii="Times New Roman" w:hAnsi="Times New Roman" w:cs="Times New Roman"/>
          <w:sz w:val="24"/>
          <w:szCs w:val="24"/>
        </w:rPr>
        <w:t>previous research</w:t>
      </w:r>
      <w:r w:rsidR="000F0D23" w:rsidRPr="009B7EDB">
        <w:rPr>
          <w:rFonts w:ascii="Times New Roman" w:hAnsi="Times New Roman" w:cs="Times New Roman"/>
          <w:sz w:val="24"/>
          <w:szCs w:val="24"/>
        </w:rPr>
        <w:t xml:space="preserve">. </w:t>
      </w:r>
      <w:r w:rsidR="00E46808" w:rsidRPr="009B7EDB">
        <w:rPr>
          <w:rFonts w:ascii="Times New Roman" w:hAnsi="Times New Roman" w:cs="Times New Roman"/>
          <w:sz w:val="24"/>
          <w:szCs w:val="24"/>
        </w:rPr>
        <w:t xml:space="preserve">A </w:t>
      </w:r>
      <w:r w:rsidR="000F0D23" w:rsidRPr="009B7EDB">
        <w:rPr>
          <w:rFonts w:ascii="Times New Roman" w:hAnsi="Times New Roman" w:cs="Times New Roman"/>
          <w:sz w:val="24"/>
          <w:szCs w:val="24"/>
        </w:rPr>
        <w:t xml:space="preserve">variety of estimation methods have been employed, and the issue of potential endogeneity has been accounted for by following an instrumental variable approach. </w:t>
      </w:r>
    </w:p>
    <w:p w:rsidR="002C20A2" w:rsidRPr="001E2721" w:rsidRDefault="000F0D23" w:rsidP="002C20A2">
      <w:pPr>
        <w:spacing w:line="360" w:lineRule="auto"/>
        <w:jc w:val="both"/>
        <w:rPr>
          <w:rFonts w:ascii="Times New Roman" w:hAnsi="Times New Roman" w:cs="Times New Roman"/>
          <w:sz w:val="24"/>
          <w:szCs w:val="24"/>
        </w:rPr>
      </w:pPr>
      <w:r w:rsidRPr="001E2721">
        <w:rPr>
          <w:rFonts w:ascii="Times New Roman" w:hAnsi="Times New Roman" w:cs="Times New Roman"/>
          <w:sz w:val="24"/>
          <w:szCs w:val="24"/>
        </w:rPr>
        <w:t xml:space="preserve">In line with theoretical underpinnings, the empirical findings suggest that human capital endowments exert a significant effect on the international competitiveness of </w:t>
      </w:r>
      <w:r w:rsidR="004608F7" w:rsidRPr="001E2721">
        <w:rPr>
          <w:rFonts w:ascii="Times New Roman" w:hAnsi="Times New Roman" w:cs="Times New Roman"/>
          <w:sz w:val="24"/>
          <w:szCs w:val="24"/>
        </w:rPr>
        <w:t xml:space="preserve">the </w:t>
      </w:r>
      <w:r w:rsidRPr="001E2721">
        <w:rPr>
          <w:rFonts w:ascii="Times New Roman" w:hAnsi="Times New Roman" w:cs="Times New Roman"/>
          <w:sz w:val="24"/>
          <w:szCs w:val="24"/>
        </w:rPr>
        <w:t xml:space="preserve">countries under investigation. </w:t>
      </w:r>
      <w:r w:rsidR="003D4709">
        <w:rPr>
          <w:rFonts w:ascii="Times New Roman" w:hAnsi="Times New Roman" w:cs="Times New Roman"/>
          <w:sz w:val="24"/>
          <w:szCs w:val="24"/>
        </w:rPr>
        <w:t>Both</w:t>
      </w:r>
      <w:r w:rsidR="003D4709" w:rsidRPr="001E2721">
        <w:rPr>
          <w:rFonts w:ascii="Times New Roman" w:hAnsi="Times New Roman" w:cs="Times New Roman"/>
          <w:sz w:val="24"/>
          <w:szCs w:val="24"/>
        </w:rPr>
        <w:t xml:space="preserve"> </w:t>
      </w:r>
      <w:r w:rsidR="003D4709">
        <w:rPr>
          <w:rFonts w:ascii="Times New Roman" w:hAnsi="Times New Roman" w:cs="Times New Roman"/>
          <w:sz w:val="24"/>
          <w:szCs w:val="24"/>
        </w:rPr>
        <w:t xml:space="preserve">the </w:t>
      </w:r>
      <w:r w:rsidR="002C20A2" w:rsidRPr="001E2721">
        <w:rPr>
          <w:rFonts w:ascii="Times New Roman" w:hAnsi="Times New Roman" w:cs="Times New Roman"/>
          <w:sz w:val="24"/>
          <w:szCs w:val="24"/>
        </w:rPr>
        <w:t xml:space="preserve">level of secondary </w:t>
      </w:r>
      <w:r w:rsidR="003D4709">
        <w:rPr>
          <w:rFonts w:ascii="Times New Roman" w:hAnsi="Times New Roman" w:cs="Times New Roman"/>
          <w:sz w:val="24"/>
          <w:szCs w:val="24"/>
        </w:rPr>
        <w:t xml:space="preserve">and tertiary </w:t>
      </w:r>
      <w:r w:rsidR="002C20A2" w:rsidRPr="001E2721">
        <w:rPr>
          <w:rFonts w:ascii="Times New Roman" w:hAnsi="Times New Roman" w:cs="Times New Roman"/>
          <w:sz w:val="24"/>
          <w:szCs w:val="24"/>
        </w:rPr>
        <w:t>education</w:t>
      </w:r>
      <w:r w:rsidR="00035A1B">
        <w:rPr>
          <w:rFonts w:ascii="Times New Roman" w:hAnsi="Times New Roman" w:cs="Times New Roman"/>
          <w:sz w:val="24"/>
          <w:szCs w:val="24"/>
        </w:rPr>
        <w:t>al</w:t>
      </w:r>
      <w:r w:rsidR="002C20A2" w:rsidRPr="001E2721">
        <w:rPr>
          <w:rFonts w:ascii="Times New Roman" w:hAnsi="Times New Roman" w:cs="Times New Roman"/>
          <w:sz w:val="24"/>
          <w:szCs w:val="24"/>
        </w:rPr>
        <w:t xml:space="preserve"> </w:t>
      </w:r>
      <w:r w:rsidR="003D4709">
        <w:rPr>
          <w:rFonts w:ascii="Times New Roman" w:hAnsi="Times New Roman" w:cs="Times New Roman"/>
          <w:sz w:val="24"/>
          <w:szCs w:val="24"/>
        </w:rPr>
        <w:t xml:space="preserve">attainment was found to </w:t>
      </w:r>
      <w:r w:rsidR="002C20A2" w:rsidRPr="001E2721">
        <w:rPr>
          <w:rFonts w:ascii="Times New Roman" w:hAnsi="Times New Roman" w:cs="Times New Roman"/>
          <w:sz w:val="24"/>
          <w:szCs w:val="24"/>
        </w:rPr>
        <w:t>exert a</w:t>
      </w:r>
      <w:r w:rsidR="00B621DC">
        <w:rPr>
          <w:rFonts w:ascii="Times New Roman" w:hAnsi="Times New Roman" w:cs="Times New Roman"/>
          <w:sz w:val="24"/>
          <w:szCs w:val="24"/>
        </w:rPr>
        <w:t xml:space="preserve"> positive</w:t>
      </w:r>
      <w:r w:rsidR="002C20A2" w:rsidRPr="001E2721">
        <w:rPr>
          <w:rFonts w:ascii="Times New Roman" w:hAnsi="Times New Roman" w:cs="Times New Roman"/>
          <w:sz w:val="24"/>
          <w:szCs w:val="24"/>
        </w:rPr>
        <w:t xml:space="preserve"> impact in the </w:t>
      </w:r>
      <w:r w:rsidR="00E46808" w:rsidRPr="001E2721">
        <w:rPr>
          <w:rFonts w:ascii="Times New Roman" w:hAnsi="Times New Roman" w:cs="Times New Roman"/>
          <w:sz w:val="24"/>
          <w:szCs w:val="24"/>
        </w:rPr>
        <w:t xml:space="preserve">CEEC </w:t>
      </w:r>
      <w:r w:rsidR="002C20A2" w:rsidRPr="001E2721">
        <w:rPr>
          <w:rFonts w:ascii="Times New Roman" w:hAnsi="Times New Roman" w:cs="Times New Roman"/>
          <w:sz w:val="24"/>
          <w:szCs w:val="24"/>
        </w:rPr>
        <w:t>sample, while the share of population who have attained tertiary education appeared to be the only education</w:t>
      </w:r>
      <w:r w:rsidR="003D4709">
        <w:rPr>
          <w:rFonts w:ascii="Times New Roman" w:hAnsi="Times New Roman" w:cs="Times New Roman"/>
          <w:sz w:val="24"/>
          <w:szCs w:val="24"/>
        </w:rPr>
        <w:t>-</w:t>
      </w:r>
      <w:r w:rsidR="002C20A2" w:rsidRPr="001E2721">
        <w:rPr>
          <w:rFonts w:ascii="Times New Roman" w:hAnsi="Times New Roman" w:cs="Times New Roman"/>
          <w:sz w:val="24"/>
          <w:szCs w:val="24"/>
        </w:rPr>
        <w:t xml:space="preserve">based determinant of the export share of </w:t>
      </w:r>
      <w:r w:rsidR="0019477E" w:rsidRPr="001E2721">
        <w:rPr>
          <w:rFonts w:ascii="Times New Roman" w:hAnsi="Times New Roman" w:cs="Times New Roman"/>
          <w:sz w:val="24"/>
          <w:szCs w:val="24"/>
        </w:rPr>
        <w:t>EEA17</w:t>
      </w:r>
      <w:r w:rsidR="002C20A2" w:rsidRPr="001E2721">
        <w:rPr>
          <w:rFonts w:ascii="Times New Roman" w:hAnsi="Times New Roman" w:cs="Times New Roman"/>
          <w:sz w:val="24"/>
          <w:szCs w:val="24"/>
        </w:rPr>
        <w:t xml:space="preserve">. These empirical findings are in line with a priori expectations, considering the stage of development and the tendency of the latter group of countries to export more skill and technology intensive goods. </w:t>
      </w:r>
    </w:p>
    <w:p w:rsidR="004C0793" w:rsidRPr="00CC66C2" w:rsidRDefault="00D674D0" w:rsidP="002C20A2">
      <w:pPr>
        <w:spacing w:line="360" w:lineRule="auto"/>
        <w:jc w:val="both"/>
        <w:rPr>
          <w:rFonts w:ascii="Times New Roman" w:hAnsi="Times New Roman" w:cs="Times New Roman"/>
          <w:color w:val="FF0000"/>
          <w:sz w:val="24"/>
          <w:szCs w:val="24"/>
        </w:rPr>
      </w:pPr>
      <w:r w:rsidRPr="001E2721">
        <w:rPr>
          <w:rFonts w:ascii="Times New Roman" w:hAnsi="Times New Roman" w:cs="Times New Roman"/>
          <w:sz w:val="24"/>
          <w:szCs w:val="24"/>
        </w:rPr>
        <w:t>T</w:t>
      </w:r>
      <w:r w:rsidR="00F8613A" w:rsidRPr="001E2721">
        <w:rPr>
          <w:rFonts w:ascii="Times New Roman" w:hAnsi="Times New Roman" w:cs="Times New Roman"/>
          <w:sz w:val="24"/>
          <w:szCs w:val="24"/>
        </w:rPr>
        <w:t xml:space="preserve">he evidence obtained in this paper suggests that increasing the stock of highly educated individuals has important implications for the enhancement of international competitiveness of </w:t>
      </w:r>
      <w:r w:rsidR="00DD6B8A">
        <w:rPr>
          <w:rFonts w:ascii="Times New Roman" w:hAnsi="Times New Roman" w:cs="Times New Roman"/>
          <w:sz w:val="24"/>
          <w:szCs w:val="24"/>
        </w:rPr>
        <w:t xml:space="preserve">these </w:t>
      </w:r>
      <w:r w:rsidR="0092495D" w:rsidRPr="00DD6B8A">
        <w:rPr>
          <w:rFonts w:ascii="Times New Roman" w:hAnsi="Times New Roman" w:cs="Times New Roman"/>
          <w:sz w:val="24"/>
          <w:szCs w:val="24"/>
        </w:rPr>
        <w:t>countries</w:t>
      </w:r>
      <w:r w:rsidR="00F8613A" w:rsidRPr="00CC66C2">
        <w:rPr>
          <w:rFonts w:ascii="Times New Roman" w:hAnsi="Times New Roman" w:cs="Times New Roman"/>
          <w:color w:val="FF0000"/>
          <w:sz w:val="24"/>
          <w:szCs w:val="24"/>
        </w:rPr>
        <w:t>.</w:t>
      </w:r>
      <w:r w:rsidR="00F8613A" w:rsidRPr="001E2721">
        <w:rPr>
          <w:rFonts w:ascii="Times New Roman" w:hAnsi="Times New Roman" w:cs="Times New Roman"/>
          <w:sz w:val="24"/>
          <w:szCs w:val="24"/>
        </w:rPr>
        <w:t xml:space="preserve"> Although the impact of tertiary</w:t>
      </w:r>
      <w:r w:rsidR="00A67C67" w:rsidRPr="001E2721">
        <w:rPr>
          <w:rFonts w:ascii="Times New Roman" w:hAnsi="Times New Roman" w:cs="Times New Roman"/>
          <w:sz w:val="24"/>
          <w:szCs w:val="24"/>
        </w:rPr>
        <w:t xml:space="preserve"> education </w:t>
      </w:r>
      <w:r w:rsidR="00DD6B8A">
        <w:rPr>
          <w:rFonts w:ascii="Times New Roman" w:hAnsi="Times New Roman" w:cs="Times New Roman"/>
          <w:sz w:val="24"/>
          <w:szCs w:val="24"/>
        </w:rPr>
        <w:t>is</w:t>
      </w:r>
      <w:r w:rsidR="00DD6B8A" w:rsidRPr="001E2721">
        <w:rPr>
          <w:rFonts w:ascii="Times New Roman" w:hAnsi="Times New Roman" w:cs="Times New Roman"/>
          <w:sz w:val="24"/>
          <w:szCs w:val="24"/>
        </w:rPr>
        <w:t xml:space="preserve"> </w:t>
      </w:r>
      <w:r w:rsidR="00F8613A" w:rsidRPr="001E2721">
        <w:rPr>
          <w:rFonts w:ascii="Times New Roman" w:hAnsi="Times New Roman" w:cs="Times New Roman"/>
          <w:sz w:val="24"/>
          <w:szCs w:val="24"/>
        </w:rPr>
        <w:t xml:space="preserve">significant </w:t>
      </w:r>
      <w:r w:rsidR="00DD6B8A">
        <w:rPr>
          <w:rFonts w:ascii="Times New Roman" w:hAnsi="Times New Roman" w:cs="Times New Roman"/>
          <w:sz w:val="24"/>
          <w:szCs w:val="24"/>
        </w:rPr>
        <w:t>in both</w:t>
      </w:r>
      <w:r w:rsidR="00DD6B8A" w:rsidRPr="001E2721">
        <w:rPr>
          <w:rFonts w:ascii="Times New Roman" w:hAnsi="Times New Roman" w:cs="Times New Roman"/>
          <w:sz w:val="24"/>
          <w:szCs w:val="24"/>
        </w:rPr>
        <w:t xml:space="preserve"> </w:t>
      </w:r>
      <w:r w:rsidR="0019477E" w:rsidRPr="001E2721">
        <w:rPr>
          <w:rFonts w:ascii="Times New Roman" w:hAnsi="Times New Roman" w:cs="Times New Roman"/>
          <w:sz w:val="24"/>
          <w:szCs w:val="24"/>
        </w:rPr>
        <w:t>CEECs and EEA17</w:t>
      </w:r>
      <w:r w:rsidR="00F8613A" w:rsidRPr="001E2721">
        <w:rPr>
          <w:rFonts w:ascii="Times New Roman" w:hAnsi="Times New Roman" w:cs="Times New Roman"/>
          <w:sz w:val="24"/>
          <w:szCs w:val="24"/>
        </w:rPr>
        <w:t xml:space="preserve">, its effect in the former set of countries is surpassed by that of secondary education. </w:t>
      </w:r>
      <w:r w:rsidR="00A67C67" w:rsidRPr="001E2721">
        <w:rPr>
          <w:rFonts w:ascii="Times New Roman" w:hAnsi="Times New Roman" w:cs="Times New Roman"/>
          <w:sz w:val="24"/>
          <w:szCs w:val="24"/>
        </w:rPr>
        <w:t>However, g</w:t>
      </w:r>
      <w:r w:rsidR="00F8613A" w:rsidRPr="001E2721">
        <w:rPr>
          <w:rFonts w:ascii="Times New Roman" w:hAnsi="Times New Roman" w:cs="Times New Roman"/>
          <w:sz w:val="24"/>
          <w:szCs w:val="24"/>
        </w:rPr>
        <w:t xml:space="preserve">iven the high and rising share of the population who have attained secondary education in transition countries, </w:t>
      </w:r>
      <w:r w:rsidR="007A1520" w:rsidRPr="001E2721">
        <w:rPr>
          <w:rFonts w:ascii="Times New Roman" w:hAnsi="Times New Roman" w:cs="Times New Roman"/>
          <w:sz w:val="24"/>
          <w:szCs w:val="24"/>
        </w:rPr>
        <w:t xml:space="preserve">a </w:t>
      </w:r>
      <w:r w:rsidR="00A67C67" w:rsidRPr="001E2721">
        <w:rPr>
          <w:rFonts w:ascii="Times New Roman" w:hAnsi="Times New Roman" w:cs="Times New Roman"/>
          <w:sz w:val="24"/>
          <w:szCs w:val="24"/>
        </w:rPr>
        <w:t xml:space="preserve">focus on </w:t>
      </w:r>
      <w:r w:rsidR="00F8613A" w:rsidRPr="001E2721">
        <w:rPr>
          <w:rFonts w:ascii="Times New Roman" w:hAnsi="Times New Roman" w:cs="Times New Roman"/>
          <w:sz w:val="24"/>
          <w:szCs w:val="24"/>
        </w:rPr>
        <w:t xml:space="preserve">promoting post-secondary attainment seems more appropriate </w:t>
      </w:r>
      <w:r w:rsidR="00A67C67" w:rsidRPr="001E2721">
        <w:rPr>
          <w:rFonts w:ascii="Times New Roman" w:hAnsi="Times New Roman" w:cs="Times New Roman"/>
          <w:sz w:val="24"/>
          <w:szCs w:val="24"/>
        </w:rPr>
        <w:t>at this stage, which</w:t>
      </w:r>
      <w:r w:rsidR="00F8613A" w:rsidRPr="001E2721">
        <w:rPr>
          <w:rFonts w:ascii="Times New Roman" w:hAnsi="Times New Roman" w:cs="Times New Roman"/>
          <w:sz w:val="24"/>
          <w:szCs w:val="24"/>
        </w:rPr>
        <w:t xml:space="preserve"> would assist them in</w:t>
      </w:r>
      <w:r w:rsidR="00036614" w:rsidRPr="001E2721">
        <w:rPr>
          <w:rFonts w:ascii="Times New Roman" w:hAnsi="Times New Roman" w:cs="Times New Roman"/>
          <w:sz w:val="24"/>
          <w:szCs w:val="24"/>
        </w:rPr>
        <w:t xml:space="preserve"> upgrading the skill and technology intensity of their exports.</w:t>
      </w:r>
      <w:r w:rsidRPr="001E2721">
        <w:rPr>
          <w:rFonts w:ascii="Times New Roman" w:hAnsi="Times New Roman" w:cs="Times New Roman"/>
          <w:sz w:val="24"/>
          <w:szCs w:val="24"/>
        </w:rPr>
        <w:t xml:space="preserve"> </w:t>
      </w:r>
      <w:r w:rsidR="002C20A2" w:rsidRPr="00BC29E5">
        <w:rPr>
          <w:rFonts w:ascii="Times New Roman" w:hAnsi="Times New Roman" w:cs="Times New Roman"/>
          <w:sz w:val="24"/>
          <w:szCs w:val="24"/>
        </w:rPr>
        <w:t xml:space="preserve">The quality of education proxied </w:t>
      </w:r>
      <w:r w:rsidR="00E46808" w:rsidRPr="00BC29E5">
        <w:rPr>
          <w:rFonts w:ascii="Times New Roman" w:hAnsi="Times New Roman" w:cs="Times New Roman"/>
          <w:sz w:val="24"/>
          <w:szCs w:val="24"/>
        </w:rPr>
        <w:t xml:space="preserve">by </w:t>
      </w:r>
      <w:r w:rsidR="002C20A2" w:rsidRPr="00BC29E5">
        <w:rPr>
          <w:rFonts w:ascii="Times New Roman" w:hAnsi="Times New Roman" w:cs="Times New Roman"/>
          <w:sz w:val="24"/>
          <w:szCs w:val="24"/>
        </w:rPr>
        <w:t xml:space="preserve">students’ test scores </w:t>
      </w:r>
      <w:r w:rsidR="00E46808" w:rsidRPr="00BC29E5">
        <w:rPr>
          <w:rFonts w:ascii="Times New Roman" w:hAnsi="Times New Roman" w:cs="Times New Roman"/>
          <w:sz w:val="24"/>
          <w:szCs w:val="24"/>
        </w:rPr>
        <w:t xml:space="preserve">averaged across </w:t>
      </w:r>
      <w:r w:rsidR="00723088" w:rsidRPr="00BC29E5">
        <w:rPr>
          <w:rFonts w:ascii="Times New Roman" w:hAnsi="Times New Roman" w:cs="Times New Roman"/>
          <w:sz w:val="24"/>
          <w:szCs w:val="24"/>
        </w:rPr>
        <w:t>time</w:t>
      </w:r>
      <w:r w:rsidR="00E46808" w:rsidRPr="00BC29E5">
        <w:rPr>
          <w:rFonts w:ascii="Times New Roman" w:hAnsi="Times New Roman" w:cs="Times New Roman"/>
          <w:sz w:val="24"/>
          <w:szCs w:val="24"/>
        </w:rPr>
        <w:t xml:space="preserve"> </w:t>
      </w:r>
      <w:r w:rsidR="002C20A2" w:rsidRPr="00BC29E5">
        <w:rPr>
          <w:rFonts w:ascii="Times New Roman" w:hAnsi="Times New Roman" w:cs="Times New Roman"/>
          <w:sz w:val="24"/>
          <w:szCs w:val="24"/>
        </w:rPr>
        <w:t xml:space="preserve">was found to have a </w:t>
      </w:r>
      <w:r w:rsidR="00051ECE" w:rsidRPr="00BC29E5">
        <w:rPr>
          <w:rFonts w:ascii="Times New Roman" w:hAnsi="Times New Roman" w:cs="Times New Roman"/>
          <w:sz w:val="24"/>
          <w:szCs w:val="24"/>
        </w:rPr>
        <w:t xml:space="preserve">positive and </w:t>
      </w:r>
      <w:r w:rsidR="002C20A2" w:rsidRPr="00BC29E5">
        <w:rPr>
          <w:rFonts w:ascii="Times New Roman" w:hAnsi="Times New Roman" w:cs="Times New Roman"/>
          <w:sz w:val="24"/>
          <w:szCs w:val="24"/>
        </w:rPr>
        <w:t xml:space="preserve">significant impact on </w:t>
      </w:r>
      <w:r w:rsidR="00771107" w:rsidRPr="00BC29E5">
        <w:rPr>
          <w:rFonts w:ascii="Times New Roman" w:hAnsi="Times New Roman" w:cs="Times New Roman"/>
          <w:sz w:val="24"/>
          <w:szCs w:val="24"/>
        </w:rPr>
        <w:t xml:space="preserve">the </w:t>
      </w:r>
      <w:r w:rsidR="002C20A2" w:rsidRPr="00BC29E5">
        <w:rPr>
          <w:rFonts w:ascii="Times New Roman" w:hAnsi="Times New Roman" w:cs="Times New Roman"/>
          <w:sz w:val="24"/>
          <w:szCs w:val="24"/>
        </w:rPr>
        <w:t>international competitiveness</w:t>
      </w:r>
      <w:r w:rsidR="00051ECE" w:rsidRPr="00BC29E5">
        <w:rPr>
          <w:rFonts w:ascii="Times New Roman" w:hAnsi="Times New Roman" w:cs="Times New Roman"/>
          <w:sz w:val="24"/>
          <w:szCs w:val="24"/>
        </w:rPr>
        <w:t xml:space="preserve"> of the EEA17</w:t>
      </w:r>
      <w:r w:rsidR="00E46808" w:rsidRPr="00BC29E5">
        <w:rPr>
          <w:rFonts w:ascii="Times New Roman" w:hAnsi="Times New Roman" w:cs="Times New Roman"/>
          <w:sz w:val="24"/>
          <w:szCs w:val="24"/>
        </w:rPr>
        <w:t xml:space="preserve">. </w:t>
      </w:r>
      <w:r w:rsidR="00051ECE" w:rsidRPr="00BC29E5">
        <w:rPr>
          <w:rFonts w:ascii="Times New Roman" w:hAnsi="Times New Roman" w:cs="Times New Roman"/>
          <w:sz w:val="24"/>
          <w:szCs w:val="24"/>
        </w:rPr>
        <w:t>Similar results were found</w:t>
      </w:r>
      <w:r w:rsidR="00E46808" w:rsidRPr="00BC29E5">
        <w:rPr>
          <w:rFonts w:ascii="Times New Roman" w:hAnsi="Times New Roman" w:cs="Times New Roman"/>
          <w:sz w:val="24"/>
          <w:szCs w:val="24"/>
        </w:rPr>
        <w:t xml:space="preserve"> </w:t>
      </w:r>
      <w:r w:rsidR="004C2F9A" w:rsidRPr="00BC29E5">
        <w:rPr>
          <w:rFonts w:ascii="Times New Roman" w:hAnsi="Times New Roman" w:cs="Times New Roman"/>
          <w:sz w:val="24"/>
          <w:szCs w:val="24"/>
        </w:rPr>
        <w:t>when panel</w:t>
      </w:r>
      <w:r w:rsidR="008E1575" w:rsidRPr="00BC29E5">
        <w:rPr>
          <w:rFonts w:ascii="Times New Roman" w:hAnsi="Times New Roman" w:cs="Times New Roman"/>
          <w:sz w:val="24"/>
          <w:szCs w:val="24"/>
        </w:rPr>
        <w:t xml:space="preserve"> data on </w:t>
      </w:r>
      <w:r w:rsidR="00E46808" w:rsidRPr="00BC29E5">
        <w:rPr>
          <w:rFonts w:ascii="Times New Roman" w:hAnsi="Times New Roman" w:cs="Times New Roman"/>
          <w:sz w:val="24"/>
          <w:szCs w:val="24"/>
        </w:rPr>
        <w:t>students’ performance were used in an alternative assessment</w:t>
      </w:r>
      <w:r w:rsidR="00714590" w:rsidRPr="00BC29E5">
        <w:rPr>
          <w:rFonts w:ascii="Times New Roman" w:hAnsi="Times New Roman" w:cs="Times New Roman"/>
          <w:sz w:val="24"/>
          <w:szCs w:val="24"/>
        </w:rPr>
        <w:t>.</w:t>
      </w:r>
      <w:r w:rsidR="002C20A2" w:rsidRPr="00CC66C2">
        <w:rPr>
          <w:rFonts w:ascii="Times New Roman" w:hAnsi="Times New Roman" w:cs="Times New Roman"/>
          <w:color w:val="FF0000"/>
          <w:sz w:val="24"/>
          <w:szCs w:val="24"/>
        </w:rPr>
        <w:t xml:space="preserve"> </w:t>
      </w:r>
    </w:p>
    <w:p w:rsidR="00AE257D" w:rsidRPr="001E2721" w:rsidRDefault="000E5A8C" w:rsidP="0096705E">
      <w:pPr>
        <w:spacing w:line="360" w:lineRule="auto"/>
        <w:jc w:val="both"/>
        <w:rPr>
          <w:rFonts w:ascii="Times New Roman" w:hAnsi="Times New Roman" w:cs="Times New Roman"/>
          <w:sz w:val="24"/>
          <w:szCs w:val="24"/>
        </w:rPr>
      </w:pPr>
      <w:r w:rsidRPr="001E2721">
        <w:rPr>
          <w:rFonts w:ascii="Times New Roman" w:hAnsi="Times New Roman" w:cs="Times New Roman"/>
          <w:sz w:val="24"/>
          <w:szCs w:val="24"/>
        </w:rPr>
        <w:t>F</w:t>
      </w:r>
      <w:r w:rsidR="00D1150D" w:rsidRPr="001E2721">
        <w:rPr>
          <w:rFonts w:ascii="Times New Roman" w:hAnsi="Times New Roman" w:cs="Times New Roman"/>
          <w:sz w:val="24"/>
          <w:szCs w:val="24"/>
        </w:rPr>
        <w:t xml:space="preserve">uture research on the topic </w:t>
      </w:r>
      <w:r w:rsidR="00204611" w:rsidRPr="001E2721">
        <w:rPr>
          <w:rFonts w:ascii="Times New Roman" w:hAnsi="Times New Roman" w:cs="Times New Roman"/>
          <w:sz w:val="24"/>
          <w:szCs w:val="24"/>
        </w:rPr>
        <w:t>would benefit</w:t>
      </w:r>
      <w:r w:rsidR="00021E0F" w:rsidRPr="001E2721">
        <w:rPr>
          <w:rFonts w:ascii="Times New Roman" w:hAnsi="Times New Roman" w:cs="Times New Roman"/>
          <w:sz w:val="24"/>
          <w:szCs w:val="24"/>
        </w:rPr>
        <w:t xml:space="preserve"> </w:t>
      </w:r>
      <w:r w:rsidR="00204611" w:rsidRPr="001E2721">
        <w:rPr>
          <w:rFonts w:ascii="Times New Roman" w:hAnsi="Times New Roman" w:cs="Times New Roman"/>
          <w:sz w:val="24"/>
          <w:szCs w:val="24"/>
        </w:rPr>
        <w:t xml:space="preserve">from </w:t>
      </w:r>
      <w:r w:rsidR="00D1150D" w:rsidRPr="001E2721">
        <w:rPr>
          <w:rFonts w:ascii="Times New Roman" w:hAnsi="Times New Roman" w:cs="Times New Roman"/>
          <w:sz w:val="24"/>
          <w:szCs w:val="24"/>
        </w:rPr>
        <w:t>expanding the coverage of transition economies and the time</w:t>
      </w:r>
      <w:r w:rsidR="00021E0F" w:rsidRPr="001E2721">
        <w:rPr>
          <w:rFonts w:ascii="Times New Roman" w:hAnsi="Times New Roman" w:cs="Times New Roman"/>
          <w:sz w:val="24"/>
          <w:szCs w:val="24"/>
        </w:rPr>
        <w:t xml:space="preserve"> </w:t>
      </w:r>
      <w:r w:rsidR="00D41BCB" w:rsidRPr="001E2721">
        <w:rPr>
          <w:rFonts w:ascii="Times New Roman" w:hAnsi="Times New Roman" w:cs="Times New Roman"/>
          <w:sz w:val="24"/>
          <w:szCs w:val="24"/>
        </w:rPr>
        <w:t>s</w:t>
      </w:r>
      <w:r w:rsidR="00D1150D" w:rsidRPr="001E2721">
        <w:rPr>
          <w:rFonts w:ascii="Times New Roman" w:hAnsi="Times New Roman" w:cs="Times New Roman"/>
          <w:sz w:val="24"/>
          <w:szCs w:val="24"/>
        </w:rPr>
        <w:t>pan of the s</w:t>
      </w:r>
      <w:r w:rsidR="00204611" w:rsidRPr="001E2721">
        <w:rPr>
          <w:rFonts w:ascii="Times New Roman" w:hAnsi="Times New Roman" w:cs="Times New Roman"/>
          <w:sz w:val="24"/>
          <w:szCs w:val="24"/>
        </w:rPr>
        <w:t xml:space="preserve">tudy, as well as </w:t>
      </w:r>
      <w:r w:rsidR="00BB0A59" w:rsidRPr="001E2721">
        <w:rPr>
          <w:rFonts w:ascii="Times New Roman" w:hAnsi="Times New Roman" w:cs="Times New Roman"/>
          <w:sz w:val="24"/>
          <w:szCs w:val="24"/>
        </w:rPr>
        <w:t xml:space="preserve">improvements </w:t>
      </w:r>
      <w:r w:rsidRPr="001E2721">
        <w:rPr>
          <w:rFonts w:ascii="Times New Roman" w:hAnsi="Times New Roman" w:cs="Times New Roman"/>
          <w:sz w:val="24"/>
          <w:szCs w:val="24"/>
        </w:rPr>
        <w:t>in</w:t>
      </w:r>
      <w:r w:rsidR="00BB0A59" w:rsidRPr="001E2721">
        <w:rPr>
          <w:rFonts w:ascii="Times New Roman" w:hAnsi="Times New Roman" w:cs="Times New Roman"/>
          <w:sz w:val="24"/>
          <w:szCs w:val="24"/>
        </w:rPr>
        <w:t xml:space="preserve"> human capital measurement, in particular in terms of capturing the effects of quality of education and other sources of human capital development such as formal </w:t>
      </w:r>
      <w:r w:rsidRPr="001E2721">
        <w:rPr>
          <w:rFonts w:ascii="Times New Roman" w:hAnsi="Times New Roman" w:cs="Times New Roman"/>
          <w:sz w:val="24"/>
          <w:szCs w:val="24"/>
        </w:rPr>
        <w:t>and</w:t>
      </w:r>
      <w:r w:rsidR="00504843" w:rsidRPr="001E2721">
        <w:rPr>
          <w:rFonts w:ascii="Times New Roman" w:hAnsi="Times New Roman" w:cs="Times New Roman"/>
          <w:sz w:val="24"/>
          <w:szCs w:val="24"/>
        </w:rPr>
        <w:t xml:space="preserve"> informal training. </w:t>
      </w:r>
    </w:p>
    <w:p w:rsidR="00AE257D" w:rsidRPr="001E2721" w:rsidRDefault="00DE08F1" w:rsidP="00B13417">
      <w:pPr>
        <w:pStyle w:val="Heading1"/>
        <w:spacing w:line="360" w:lineRule="auto"/>
        <w:rPr>
          <w:color w:val="auto"/>
          <w:lang w:val="en-US"/>
        </w:rPr>
      </w:pPr>
      <w:r w:rsidRPr="001E2721">
        <w:rPr>
          <w:color w:val="auto"/>
          <w:lang w:val="en-US"/>
        </w:rPr>
        <w:t xml:space="preserve">References </w:t>
      </w:r>
    </w:p>
    <w:p w:rsidR="001C00CE" w:rsidRDefault="00C24B88">
      <w:pPr>
        <w:spacing w:line="240" w:lineRule="auto"/>
        <w:ind w:left="360"/>
        <w:rPr>
          <w:rFonts w:ascii="Times New Roman" w:hAnsi="Times New Roman" w:cs="Times New Roman"/>
          <w:sz w:val="24"/>
          <w:szCs w:val="24"/>
        </w:rPr>
      </w:pPr>
      <w:r w:rsidRPr="00CC66C2">
        <w:rPr>
          <w:rFonts w:ascii="Times New Roman" w:hAnsi="Times New Roman" w:cs="Times New Roman"/>
          <w:sz w:val="24"/>
          <w:szCs w:val="24"/>
        </w:rPr>
        <w:t xml:space="preserve">Altinok, N., Diebolt, C.  and De Meulemeester, J. (2014) A new international database on education quality: 1965–2010. </w:t>
      </w:r>
      <w:r w:rsidRPr="00CC66C2">
        <w:rPr>
          <w:rFonts w:ascii="Times New Roman" w:hAnsi="Times New Roman" w:cs="Times New Roman"/>
          <w:i/>
          <w:sz w:val="24"/>
          <w:szCs w:val="24"/>
        </w:rPr>
        <w:t>Applied Economics</w:t>
      </w:r>
      <w:r w:rsidRPr="00CC66C2">
        <w:rPr>
          <w:rFonts w:ascii="Times New Roman" w:hAnsi="Times New Roman" w:cs="Times New Roman"/>
          <w:sz w:val="24"/>
          <w:szCs w:val="24"/>
        </w:rPr>
        <w:t>, 46(11), pp. 1212-1247.</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Agénor, P. (1995). Competitiveness and External Trade Performance of the French Manufacturing Industry. </w:t>
      </w:r>
      <w:r w:rsidRPr="00CC66C2">
        <w:rPr>
          <w:rFonts w:ascii="Times New Roman" w:hAnsi="Times New Roman" w:cs="Times New Roman"/>
          <w:i/>
          <w:sz w:val="24"/>
          <w:szCs w:val="24"/>
        </w:rPr>
        <w:t>IMF Working Paper</w:t>
      </w:r>
      <w:r w:rsidRPr="00CC66C2">
        <w:rPr>
          <w:rFonts w:ascii="Times New Roman" w:hAnsi="Times New Roman" w:cs="Times New Roman"/>
          <w:sz w:val="24"/>
          <w:szCs w:val="24"/>
        </w:rPr>
        <w:t xml:space="preserve"> No. 95/137.</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Arias, O., Sánchez-Páramo, C., Dávalos, M., Santos, I., Tiongson, E., Gruen, C., de Andrade Falcão, N., Saiovici, G. and Cancho, C. (2014). </w:t>
      </w:r>
      <w:r w:rsidRPr="00CC66C2">
        <w:rPr>
          <w:rFonts w:ascii="Times New Roman" w:hAnsi="Times New Roman" w:cs="Times New Roman"/>
          <w:i/>
          <w:sz w:val="24"/>
          <w:szCs w:val="24"/>
        </w:rPr>
        <w:t>Back to Work: Growing with Jobs in Europe and Central Asia</w:t>
      </w:r>
      <w:r w:rsidRPr="00CC66C2">
        <w:rPr>
          <w:rFonts w:ascii="Times New Roman" w:hAnsi="Times New Roman" w:cs="Times New Roman"/>
          <w:sz w:val="24"/>
          <w:szCs w:val="24"/>
        </w:rPr>
        <w:t>. Washington, DC: World Bank.</w:t>
      </w:r>
    </w:p>
    <w:p w:rsidR="001C00CE" w:rsidRDefault="00C447D8">
      <w:pPr>
        <w:spacing w:line="240" w:lineRule="auto"/>
        <w:ind w:left="360"/>
        <w:jc w:val="both"/>
        <w:rPr>
          <w:rFonts w:ascii="Times New Roman" w:hAnsi="Times New Roman" w:cs="Times New Roman"/>
          <w:i/>
          <w:sz w:val="24"/>
          <w:szCs w:val="24"/>
        </w:rPr>
      </w:pPr>
      <w:r w:rsidRPr="00CC66C2">
        <w:rPr>
          <w:rFonts w:ascii="Times New Roman" w:hAnsi="Times New Roman" w:cs="Times New Roman"/>
          <w:sz w:val="24"/>
          <w:szCs w:val="24"/>
        </w:rPr>
        <w:t xml:space="preserve">Barro, R and Lee, J. (2014). </w:t>
      </w:r>
      <w:r w:rsidRPr="00CC66C2">
        <w:rPr>
          <w:rFonts w:ascii="Times New Roman" w:hAnsi="Times New Roman" w:cs="Times New Roman"/>
          <w:i/>
          <w:sz w:val="24"/>
          <w:szCs w:val="24"/>
        </w:rPr>
        <w:t>Educational Attainment Dataset, Version 2.0.</w:t>
      </w:r>
      <w:r w:rsidRPr="00CC66C2">
        <w:rPr>
          <w:rFonts w:ascii="Times New Roman" w:hAnsi="Times New Roman" w:cs="Times New Roman"/>
          <w:color w:val="000000"/>
          <w:sz w:val="24"/>
          <w:szCs w:val="24"/>
          <w:shd w:val="clear" w:color="auto" w:fill="FFFFFF"/>
        </w:rPr>
        <w:t xml:space="preserve">[Online]. Available from Barro and Lee: </w:t>
      </w:r>
      <w:hyperlink r:id="rId11" w:history="1">
        <w:r w:rsidRPr="00CC66C2">
          <w:rPr>
            <w:rStyle w:val="Hyperlink"/>
            <w:rFonts w:ascii="Times New Roman" w:hAnsi="Times New Roman" w:cs="Times New Roman"/>
            <w:sz w:val="24"/>
            <w:szCs w:val="24"/>
          </w:rPr>
          <w:t>http://www.barrolee.com/</w:t>
        </w:r>
      </w:hyperlink>
      <w:r w:rsidRPr="00CC66C2">
        <w:rPr>
          <w:rFonts w:ascii="Times New Roman" w:hAnsi="Times New Roman" w:cs="Times New Roman"/>
          <w:sz w:val="24"/>
          <w:szCs w:val="24"/>
        </w:rPr>
        <w:t xml:space="preserve">. </w:t>
      </w:r>
      <w:r w:rsidRPr="00CC66C2">
        <w:rPr>
          <w:rFonts w:ascii="Times New Roman" w:hAnsi="Times New Roman" w:cs="Times New Roman"/>
          <w:color w:val="000000"/>
          <w:sz w:val="24"/>
          <w:szCs w:val="24"/>
          <w:shd w:val="clear" w:color="auto" w:fill="FFFFFF"/>
        </w:rPr>
        <w:t>[Accessed: 1 December 2014].</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Becker, G. (1964).  </w:t>
      </w:r>
      <w:r w:rsidRPr="00CC66C2">
        <w:rPr>
          <w:rFonts w:ascii="Times New Roman" w:hAnsi="Times New Roman" w:cs="Times New Roman"/>
          <w:i/>
          <w:sz w:val="24"/>
          <w:szCs w:val="24"/>
        </w:rPr>
        <w:t>Human Capital.</w:t>
      </w:r>
      <w:r w:rsidRPr="00CC66C2">
        <w:rPr>
          <w:rFonts w:ascii="Times New Roman" w:hAnsi="Times New Roman" w:cs="Times New Roman"/>
          <w:sz w:val="24"/>
          <w:szCs w:val="24"/>
        </w:rPr>
        <w:t xml:space="preserve"> New York: Columbia University Press.</w:t>
      </w:r>
    </w:p>
    <w:p w:rsidR="001C00CE" w:rsidRDefault="00C24B88">
      <w:pPr>
        <w:spacing w:line="240" w:lineRule="auto"/>
        <w:ind w:left="360"/>
        <w:jc w:val="both"/>
      </w:pPr>
      <w:r w:rsidRPr="00CC66C2">
        <w:rPr>
          <w:rFonts w:ascii="Times New Roman" w:hAnsi="Times New Roman" w:cs="Times New Roman"/>
          <w:sz w:val="24"/>
          <w:szCs w:val="24"/>
        </w:rPr>
        <w:t xml:space="preserve">Bernard, A. B., J. Eaton, J. B. Jensen, and S. Kortum (2003). Plants and productivity in international trade. </w:t>
      </w:r>
      <w:r w:rsidRPr="00CC66C2">
        <w:rPr>
          <w:rFonts w:ascii="Times New Roman" w:hAnsi="Times New Roman" w:cs="Times New Roman"/>
          <w:i/>
          <w:sz w:val="24"/>
          <w:szCs w:val="24"/>
        </w:rPr>
        <w:t>American Economic Review</w:t>
      </w:r>
      <w:r w:rsidRPr="00CC66C2">
        <w:rPr>
          <w:rFonts w:ascii="Times New Roman" w:hAnsi="Times New Roman" w:cs="Times New Roman"/>
          <w:sz w:val="24"/>
          <w:szCs w:val="24"/>
        </w:rPr>
        <w:t xml:space="preserve"> .93 (4), pp. 1268-1290.</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Breusch, T., Ward, M., Nguyen, H. and Kompas, T. (2011). On the fixed-effects vector decomposition. </w:t>
      </w:r>
      <w:r w:rsidRPr="00CC66C2">
        <w:rPr>
          <w:rFonts w:ascii="Times New Roman" w:hAnsi="Times New Roman" w:cs="Times New Roman"/>
          <w:i/>
          <w:sz w:val="24"/>
          <w:szCs w:val="24"/>
        </w:rPr>
        <w:t>Political Analysis,</w:t>
      </w:r>
      <w:r w:rsidRPr="00CC66C2">
        <w:rPr>
          <w:rFonts w:ascii="Times New Roman" w:hAnsi="Times New Roman" w:cs="Times New Roman"/>
          <w:sz w:val="24"/>
          <w:szCs w:val="24"/>
        </w:rPr>
        <w:t xml:space="preserve"> 19, pp. 165–169.</w:t>
      </w:r>
    </w:p>
    <w:p w:rsidR="001C00CE" w:rsidRDefault="00572B8B">
      <w:pPr>
        <w:spacing w:line="240" w:lineRule="auto"/>
        <w:ind w:left="360"/>
        <w:jc w:val="both"/>
        <w:rPr>
          <w:rFonts w:ascii="Times New Roman" w:hAnsi="Times New Roman" w:cs="Times New Roman"/>
          <w:sz w:val="24"/>
          <w:szCs w:val="24"/>
        </w:rPr>
      </w:pPr>
      <w:bookmarkStart w:id="2" w:name="_Toc351995019"/>
      <w:r w:rsidRPr="00CC66C2">
        <w:rPr>
          <w:rFonts w:ascii="Times New Roman" w:hAnsi="Times New Roman" w:cs="Times New Roman"/>
          <w:color w:val="231F20"/>
          <w:sz w:val="24"/>
          <w:szCs w:val="24"/>
        </w:rPr>
        <w:t>Brunello, G. Crivellaro, E. and Rocco, L. (2010).</w:t>
      </w:r>
      <w:r w:rsidRPr="00CC66C2">
        <w:rPr>
          <w:rFonts w:ascii="Times New Roman" w:hAnsi="Times New Roman" w:cs="Times New Roman"/>
          <w:bCs/>
          <w:color w:val="231F20"/>
          <w:sz w:val="24"/>
          <w:szCs w:val="24"/>
        </w:rPr>
        <w:t xml:space="preserve"> Lost in Transition? The Returns to Education Acquired under Communism 15 years after the fall of the Berlin Wall.</w:t>
      </w:r>
      <w:r w:rsidRPr="00CC66C2">
        <w:rPr>
          <w:rFonts w:ascii="Times New Roman" w:hAnsi="Times New Roman" w:cs="Times New Roman"/>
          <w:bCs/>
          <w:i/>
          <w:color w:val="231F20"/>
          <w:sz w:val="24"/>
          <w:szCs w:val="24"/>
        </w:rPr>
        <w:t xml:space="preserve"> Institute for the Study of Labor (</w:t>
      </w:r>
      <w:r w:rsidRPr="00CC66C2">
        <w:rPr>
          <w:rFonts w:ascii="Times New Roman" w:hAnsi="Times New Roman" w:cs="Times New Roman"/>
          <w:i/>
          <w:sz w:val="24"/>
          <w:szCs w:val="24"/>
        </w:rPr>
        <w:t xml:space="preserve">IZA) Discussion Paper </w:t>
      </w:r>
      <w:r w:rsidRPr="00CC66C2">
        <w:rPr>
          <w:rFonts w:ascii="Times New Roman" w:hAnsi="Times New Roman" w:cs="Times New Roman"/>
          <w:sz w:val="24"/>
          <w:szCs w:val="24"/>
        </w:rPr>
        <w:t>No. 5409.</w:t>
      </w:r>
      <w:bookmarkEnd w:id="2"/>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Carlin, W., Glyn, A. and Reenen, J. (2001). Export market performance of OECD countries: an empirical examination of the role of cost competitiveness. </w:t>
      </w:r>
      <w:r w:rsidRPr="00CC66C2">
        <w:rPr>
          <w:rFonts w:ascii="Times New Roman" w:hAnsi="Times New Roman" w:cs="Times New Roman"/>
          <w:i/>
          <w:sz w:val="24"/>
          <w:szCs w:val="24"/>
        </w:rPr>
        <w:t>The Institute for Fiscal Studies, Working Paper Series</w:t>
      </w:r>
      <w:r w:rsidRPr="00CC66C2">
        <w:rPr>
          <w:rFonts w:ascii="Times New Roman" w:hAnsi="Times New Roman" w:cs="Times New Roman"/>
          <w:sz w:val="24"/>
          <w:szCs w:val="24"/>
        </w:rPr>
        <w:t xml:space="preserve"> No. W99/21.</w:t>
      </w:r>
    </w:p>
    <w:p w:rsidR="001C00CE" w:rsidRDefault="005D7A99">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Carraresi, L. and Banterle, A. (2015). Agri-food Competitive Performance in EU Countries: A Fifteen-Year Retrospective. </w:t>
      </w:r>
      <w:r w:rsidRPr="00CC66C2">
        <w:rPr>
          <w:rFonts w:ascii="Times New Roman" w:hAnsi="Times New Roman" w:cs="Times New Roman"/>
          <w:i/>
          <w:sz w:val="24"/>
          <w:szCs w:val="24"/>
        </w:rPr>
        <w:t>International Food and Agribusiness Management Review</w:t>
      </w:r>
      <w:r w:rsidRPr="00CC66C2">
        <w:rPr>
          <w:rFonts w:ascii="Times New Roman" w:hAnsi="Times New Roman" w:cs="Times New Roman"/>
          <w:sz w:val="24"/>
          <w:szCs w:val="24"/>
        </w:rPr>
        <w:t>.18 (2), pp. 37-62.</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Cassiman, B., Golovko, E. and Martínez-Ros, E. (2010). Innovation, Exports and Productivity. </w:t>
      </w:r>
      <w:r w:rsidRPr="00CC66C2">
        <w:rPr>
          <w:rFonts w:ascii="Times New Roman" w:hAnsi="Times New Roman" w:cs="Times New Roman"/>
          <w:i/>
          <w:sz w:val="24"/>
          <w:szCs w:val="24"/>
        </w:rPr>
        <w:t>International Journal of Industrial Organization</w:t>
      </w:r>
      <w:r w:rsidRPr="00CC66C2">
        <w:rPr>
          <w:rFonts w:ascii="Times New Roman" w:hAnsi="Times New Roman" w:cs="Times New Roman"/>
          <w:sz w:val="24"/>
          <w:szCs w:val="24"/>
        </w:rPr>
        <w:t>, 28 (4), pp. 372-376.</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Charkrabarti, A. (2001). The Determinants of Foreign Direct Investment: Sensitivity Analyses of Cross-Country Regressions. </w:t>
      </w:r>
      <w:r w:rsidRPr="00CC66C2">
        <w:rPr>
          <w:rFonts w:ascii="Times New Roman" w:hAnsi="Times New Roman" w:cs="Times New Roman"/>
          <w:i/>
          <w:sz w:val="24"/>
          <w:szCs w:val="24"/>
        </w:rPr>
        <w:t>Kyklos-International Review for Social Sciences</w:t>
      </w:r>
      <w:r w:rsidRPr="00CC66C2">
        <w:rPr>
          <w:rFonts w:ascii="Times New Roman" w:hAnsi="Times New Roman" w:cs="Times New Roman"/>
          <w:sz w:val="24"/>
          <w:szCs w:val="24"/>
        </w:rPr>
        <w:t>, 54(1), pp. 89-114.</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Chor, D. (2010). Unpacking Sources of Comparative Advantage: A Quantitative Approach. </w:t>
      </w:r>
      <w:r w:rsidRPr="00CC66C2">
        <w:rPr>
          <w:rFonts w:ascii="Times New Roman" w:hAnsi="Times New Roman" w:cs="Times New Roman"/>
          <w:i/>
          <w:sz w:val="24"/>
          <w:szCs w:val="24"/>
        </w:rPr>
        <w:t>Journal of International Economics</w:t>
      </w:r>
      <w:r w:rsidRPr="00CC66C2">
        <w:rPr>
          <w:rFonts w:ascii="Times New Roman" w:hAnsi="Times New Roman" w:cs="Times New Roman"/>
          <w:sz w:val="24"/>
          <w:szCs w:val="24"/>
        </w:rPr>
        <w:t>, 82 (2), pp. 152-167.</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Damijan, J., Kostevc, C. and Polanec, S. (2008). From innovation to exporting or vice versa? Causal link between innovation activity and exporting in Slovenian microdata. </w:t>
      </w:r>
      <w:r w:rsidRPr="00CC66C2">
        <w:rPr>
          <w:rFonts w:ascii="Times New Roman" w:hAnsi="Times New Roman" w:cs="Times New Roman"/>
          <w:i/>
          <w:sz w:val="24"/>
          <w:szCs w:val="24"/>
        </w:rPr>
        <w:t>LICOS-Centre for Institutions and Economic Performance Discussion Paper</w:t>
      </w:r>
      <w:r w:rsidRPr="00CC66C2">
        <w:rPr>
          <w:rFonts w:ascii="Times New Roman" w:hAnsi="Times New Roman" w:cs="Times New Roman"/>
          <w:sz w:val="24"/>
          <w:szCs w:val="24"/>
        </w:rPr>
        <w:t xml:space="preserve"> No. 202/2008.</w:t>
      </w:r>
    </w:p>
    <w:p w:rsidR="001C00CE" w:rsidRDefault="007F59DE">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EBRD (2013). </w:t>
      </w:r>
      <w:r w:rsidRPr="00CC66C2">
        <w:rPr>
          <w:rFonts w:ascii="Times New Roman" w:hAnsi="Times New Roman" w:cs="Times New Roman"/>
          <w:i/>
          <w:sz w:val="24"/>
          <w:szCs w:val="24"/>
        </w:rPr>
        <w:t>Transition report 2013. Stuck in Transition?</w:t>
      </w:r>
      <w:r w:rsidRPr="00CC66C2">
        <w:rPr>
          <w:rFonts w:ascii="Times New Roman" w:hAnsi="Times New Roman" w:cs="Times New Roman"/>
          <w:sz w:val="24"/>
          <w:szCs w:val="24"/>
        </w:rPr>
        <w:t xml:space="preserve"> London: European Bank for Reconstruction and Development.</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EBRD (2014). </w:t>
      </w:r>
      <w:r w:rsidRPr="00CC66C2">
        <w:rPr>
          <w:rFonts w:ascii="Times New Roman" w:hAnsi="Times New Roman" w:cs="Times New Roman"/>
          <w:i/>
          <w:sz w:val="24"/>
          <w:szCs w:val="24"/>
        </w:rPr>
        <w:t>Transition indicators database.</w:t>
      </w:r>
      <w:r w:rsidRPr="00CC66C2">
        <w:rPr>
          <w:rFonts w:ascii="Times New Roman" w:hAnsi="Times New Roman" w:cs="Times New Roman"/>
          <w:sz w:val="24"/>
          <w:szCs w:val="24"/>
        </w:rPr>
        <w:t xml:space="preserve"> London: European Bank for Reconstruction and Development. </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Eicher, T. and Schreiber, T. (2007).  Institutions and Growth: Time Series Evidence from Natural Experiments. </w:t>
      </w:r>
      <w:r w:rsidRPr="00CC66C2">
        <w:rPr>
          <w:rFonts w:ascii="Times New Roman" w:hAnsi="Times New Roman" w:cs="Times New Roman"/>
          <w:i/>
          <w:sz w:val="24"/>
          <w:szCs w:val="24"/>
        </w:rPr>
        <w:t>University of Washington, Department of Economics</w:t>
      </w:r>
      <w:r w:rsidRPr="00CC66C2">
        <w:rPr>
          <w:rFonts w:ascii="Times New Roman" w:hAnsi="Times New Roman" w:cs="Times New Roman"/>
          <w:sz w:val="24"/>
          <w:szCs w:val="24"/>
        </w:rPr>
        <w:t>, Working Paper No. UWEC-2007-15.</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Eickelpasch, A. and Vogel. (2009). Determinants of the export behaviour of German business services companies. </w:t>
      </w:r>
      <w:r w:rsidRPr="00CC66C2">
        <w:rPr>
          <w:rFonts w:ascii="Times New Roman" w:hAnsi="Times New Roman" w:cs="Times New Roman"/>
          <w:i/>
          <w:sz w:val="24"/>
          <w:szCs w:val="24"/>
        </w:rPr>
        <w:t xml:space="preserve">Deutsches Institut für Wirtschaftsforschung (DIW) Berlin Discussion Paper </w:t>
      </w:r>
      <w:r w:rsidRPr="00CC66C2">
        <w:rPr>
          <w:rFonts w:ascii="Times New Roman" w:hAnsi="Times New Roman" w:cs="Times New Roman"/>
          <w:sz w:val="24"/>
          <w:szCs w:val="24"/>
        </w:rPr>
        <w:t>No. 876.</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European Commission-Enterprise and Industry (2008). </w:t>
      </w:r>
      <w:r w:rsidRPr="00CC66C2">
        <w:rPr>
          <w:rFonts w:ascii="Times New Roman" w:hAnsi="Times New Roman" w:cs="Times New Roman"/>
          <w:i/>
          <w:sz w:val="24"/>
          <w:szCs w:val="24"/>
        </w:rPr>
        <w:t>European Competitiveness Report</w:t>
      </w:r>
      <w:r w:rsidRPr="00CC66C2">
        <w:rPr>
          <w:rFonts w:ascii="Times New Roman" w:hAnsi="Times New Roman" w:cs="Times New Roman"/>
          <w:sz w:val="24"/>
          <w:szCs w:val="24"/>
        </w:rPr>
        <w:t>. Luxembourg: Office for Official Publications of the European Communities.</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Falk, M. and Hagsten, E. (2015). Export behaviour of SMEs in the Swedish computer service industry.  </w:t>
      </w:r>
      <w:r w:rsidRPr="00CC66C2">
        <w:rPr>
          <w:rFonts w:ascii="Times New Roman" w:hAnsi="Times New Roman" w:cs="Times New Roman"/>
          <w:i/>
          <w:sz w:val="24"/>
          <w:szCs w:val="24"/>
        </w:rPr>
        <w:t xml:space="preserve">Kiel Institute for the World Economy (IfW), Economics Discussion Papers </w:t>
      </w:r>
      <w:r w:rsidRPr="00CC66C2">
        <w:rPr>
          <w:rFonts w:ascii="Times New Roman" w:hAnsi="Times New Roman" w:cs="Times New Roman"/>
          <w:sz w:val="24"/>
          <w:szCs w:val="24"/>
        </w:rPr>
        <w:t xml:space="preserve">2015-14. </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Gashi, P., Hashi, I., and Pugh, G. (2014). Export behaviour of SMEs in transition countries. </w:t>
      </w:r>
      <w:r w:rsidRPr="00CC66C2">
        <w:rPr>
          <w:rFonts w:ascii="Times New Roman" w:hAnsi="Times New Roman" w:cs="Times New Roman"/>
          <w:i/>
          <w:iCs/>
          <w:sz w:val="24"/>
          <w:szCs w:val="24"/>
        </w:rPr>
        <w:t>Small Business Economics</w:t>
      </w:r>
      <w:r w:rsidRPr="00CC66C2">
        <w:rPr>
          <w:rFonts w:ascii="Times New Roman" w:hAnsi="Times New Roman" w:cs="Times New Roman"/>
          <w:sz w:val="24"/>
          <w:szCs w:val="24"/>
        </w:rPr>
        <w:t>, 42(2), pp. 407-435.</w:t>
      </w:r>
    </w:p>
    <w:p w:rsidR="001C00CE" w:rsidRDefault="00C24B88" w:rsidP="00731486">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Gemmell, N. (1996). Evaluating the Impacts of Human Capital Stocks and Accumulation on Economic Growth: Some New Evidence. </w:t>
      </w:r>
      <w:r w:rsidRPr="00CC66C2">
        <w:rPr>
          <w:rFonts w:ascii="Times New Roman" w:hAnsi="Times New Roman" w:cs="Times New Roman"/>
          <w:i/>
          <w:sz w:val="24"/>
          <w:szCs w:val="24"/>
        </w:rPr>
        <w:t>Oxford Bulletin of Economics and Statistics</w:t>
      </w:r>
      <w:r w:rsidRPr="00CC66C2">
        <w:rPr>
          <w:rFonts w:ascii="Times New Roman" w:hAnsi="Times New Roman" w:cs="Times New Roman"/>
          <w:sz w:val="24"/>
          <w:szCs w:val="24"/>
        </w:rPr>
        <w:t>. Department of Economics, University of Oxford. 58(1), pp. 9-28.</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Greene, W. (2011). Fixed Effects Vector Decomposition: A Magical Solution to the Problem of Time-Invariant Variables in Fixed Effects Models? </w:t>
      </w:r>
      <w:r w:rsidRPr="00CC66C2">
        <w:rPr>
          <w:rFonts w:ascii="Times New Roman" w:hAnsi="Times New Roman" w:cs="Times New Roman"/>
          <w:i/>
          <w:sz w:val="24"/>
          <w:szCs w:val="24"/>
        </w:rPr>
        <w:t>Political Analysis,</w:t>
      </w:r>
      <w:r w:rsidRPr="00CC66C2">
        <w:rPr>
          <w:rFonts w:ascii="Times New Roman" w:hAnsi="Times New Roman" w:cs="Times New Roman"/>
          <w:sz w:val="24"/>
          <w:szCs w:val="24"/>
        </w:rPr>
        <w:t xml:space="preserve"> 19, pp. 135–146.</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Grossman, G. M. and Helpman, E. (1991).</w:t>
      </w:r>
      <w:r w:rsidR="00BD6830" w:rsidRPr="00CC66C2">
        <w:rPr>
          <w:rFonts w:ascii="Times New Roman" w:hAnsi="Times New Roman" w:cs="Times New Roman"/>
          <w:sz w:val="24"/>
          <w:szCs w:val="24"/>
        </w:rPr>
        <w:t xml:space="preserve"> </w:t>
      </w:r>
      <w:r w:rsidRPr="00CC66C2">
        <w:rPr>
          <w:rFonts w:ascii="Times New Roman" w:hAnsi="Times New Roman" w:cs="Times New Roman"/>
          <w:i/>
          <w:sz w:val="24"/>
          <w:szCs w:val="24"/>
        </w:rPr>
        <w:t>Innovation and growth in the global economy</w:t>
      </w:r>
      <w:r w:rsidRPr="00CC66C2">
        <w:rPr>
          <w:rFonts w:ascii="Times New Roman" w:hAnsi="Times New Roman" w:cs="Times New Roman"/>
          <w:sz w:val="24"/>
          <w:szCs w:val="24"/>
        </w:rPr>
        <w:t xml:space="preserve">. Cambridge MA: The MIT Press. </w:t>
      </w:r>
    </w:p>
    <w:p w:rsidR="001C00CE" w:rsidRDefault="00C447D8">
      <w:pPr>
        <w:spacing w:line="240" w:lineRule="auto"/>
        <w:ind w:left="360"/>
        <w:jc w:val="both"/>
        <w:rPr>
          <w:rFonts w:ascii="Times New Roman" w:hAnsi="Times New Roman" w:cs="Times New Roman"/>
          <w:i/>
          <w:sz w:val="24"/>
          <w:szCs w:val="24"/>
        </w:rPr>
      </w:pPr>
      <w:r w:rsidRPr="00CC66C2">
        <w:rPr>
          <w:rFonts w:ascii="Times New Roman" w:hAnsi="Times New Roman" w:cs="Times New Roman"/>
          <w:sz w:val="24"/>
          <w:szCs w:val="24"/>
        </w:rPr>
        <w:t>Hanushek, E. and Woessmann, L. (</w:t>
      </w:r>
      <w:r w:rsidR="003F5C0C" w:rsidRPr="00CC66C2">
        <w:rPr>
          <w:rFonts w:ascii="Times New Roman" w:hAnsi="Times New Roman" w:cs="Times New Roman"/>
          <w:sz w:val="24"/>
          <w:szCs w:val="24"/>
        </w:rPr>
        <w:t>2012</w:t>
      </w:r>
      <w:r w:rsidRPr="00CC66C2">
        <w:rPr>
          <w:rFonts w:ascii="Times New Roman" w:hAnsi="Times New Roman" w:cs="Times New Roman"/>
          <w:sz w:val="24"/>
          <w:szCs w:val="24"/>
        </w:rPr>
        <w:t>). Do Better Schools Lead to More Growth? Cognitive Skills, Economic Outcomes, and Causation</w:t>
      </w:r>
      <w:r w:rsidRPr="00CC66C2">
        <w:rPr>
          <w:rFonts w:ascii="Times New Roman" w:hAnsi="Times New Roman" w:cs="Times New Roman"/>
          <w:i/>
          <w:sz w:val="24"/>
          <w:szCs w:val="24"/>
        </w:rPr>
        <w:t xml:space="preserve">. </w:t>
      </w:r>
      <w:r w:rsidR="003F5C0C" w:rsidRPr="00CC66C2">
        <w:rPr>
          <w:rFonts w:ascii="Times New Roman" w:hAnsi="Times New Roman" w:cs="Times New Roman"/>
          <w:i/>
          <w:sz w:val="24"/>
          <w:szCs w:val="24"/>
        </w:rPr>
        <w:t xml:space="preserve">Journal of Economic Growth, </w:t>
      </w:r>
      <w:r w:rsidR="003F5C0C" w:rsidRPr="00CC66C2">
        <w:rPr>
          <w:rFonts w:ascii="Times New Roman" w:hAnsi="Times New Roman" w:cs="Times New Roman"/>
          <w:sz w:val="24"/>
          <w:szCs w:val="24"/>
        </w:rPr>
        <w:t>17(4), pp. 267-321.</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Hausman. J. (1978). Specification Tests in Econometrics. </w:t>
      </w:r>
      <w:r w:rsidRPr="00CC66C2">
        <w:rPr>
          <w:rFonts w:ascii="Times New Roman" w:hAnsi="Times New Roman" w:cs="Times New Roman"/>
          <w:i/>
          <w:sz w:val="24"/>
          <w:szCs w:val="24"/>
        </w:rPr>
        <w:t>Econometrica</w:t>
      </w:r>
      <w:r w:rsidRPr="00CC66C2">
        <w:rPr>
          <w:rFonts w:ascii="Times New Roman" w:hAnsi="Times New Roman" w:cs="Times New Roman"/>
          <w:sz w:val="24"/>
          <w:szCs w:val="24"/>
        </w:rPr>
        <w:t>, 46 (6), pp. 1251-1271.</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Hausman, J. and Taylor, W. (1981). </w:t>
      </w:r>
      <w:r w:rsidRPr="00CC66C2">
        <w:rPr>
          <w:rFonts w:ascii="Times New Roman" w:hAnsi="Times New Roman" w:cs="Times New Roman"/>
          <w:i/>
          <w:sz w:val="24"/>
          <w:szCs w:val="24"/>
        </w:rPr>
        <w:t>Panel data and unobservable individual effects. Econometrica</w:t>
      </w:r>
      <w:r w:rsidRPr="00CC66C2">
        <w:rPr>
          <w:rFonts w:ascii="Times New Roman" w:hAnsi="Times New Roman" w:cs="Times New Roman"/>
          <w:sz w:val="24"/>
          <w:szCs w:val="24"/>
        </w:rPr>
        <w:t>, 49 (6), pp. 1377-1398.</w:t>
      </w:r>
    </w:p>
    <w:p w:rsidR="001C00CE" w:rsidRDefault="0020111B">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Herciu, M. (2013). Measuring International Competitiveness of Romania by Using Porter's Diamond and Revealed Comparative Advantage. </w:t>
      </w:r>
      <w:r w:rsidRPr="00CC66C2">
        <w:rPr>
          <w:rFonts w:ascii="Times New Roman" w:hAnsi="Times New Roman" w:cs="Times New Roman"/>
          <w:i/>
          <w:sz w:val="24"/>
          <w:szCs w:val="24"/>
        </w:rPr>
        <w:t>Procedia Economics and Finance.</w:t>
      </w:r>
      <w:r w:rsidRPr="00CC66C2">
        <w:rPr>
          <w:rFonts w:ascii="Times New Roman" w:hAnsi="Times New Roman" w:cs="Times New Roman"/>
          <w:sz w:val="24"/>
          <w:szCs w:val="24"/>
        </w:rPr>
        <w:t xml:space="preserve"> 6, pp. 273-279.</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eastAsia="Times New Roman" w:hAnsi="Times New Roman" w:cs="Times New Roman"/>
          <w:color w:val="000000"/>
          <w:sz w:val="24"/>
          <w:szCs w:val="24"/>
        </w:rPr>
        <w:t xml:space="preserve">Heston, A., Summers, R. and Aten, B. (2012). Penn World Table Version 7.1, </w:t>
      </w:r>
      <w:r w:rsidR="00CC66C2">
        <w:rPr>
          <w:rFonts w:ascii="Times New Roman" w:eastAsia="Times New Roman" w:hAnsi="Times New Roman" w:cs="Times New Roman"/>
          <w:i/>
          <w:color w:val="000000"/>
          <w:sz w:val="24"/>
          <w:szCs w:val="24"/>
        </w:rPr>
        <w:t>Center</w:t>
      </w:r>
      <w:r w:rsidRPr="00CC66C2">
        <w:rPr>
          <w:rFonts w:ascii="Times New Roman" w:eastAsia="Times New Roman" w:hAnsi="Times New Roman" w:cs="Times New Roman"/>
          <w:i/>
          <w:color w:val="000000"/>
          <w:sz w:val="24"/>
          <w:szCs w:val="24"/>
        </w:rPr>
        <w:t xml:space="preserve"> for International Comparisons of Production, Income and Prices at the University of Pennsylvania</w:t>
      </w:r>
      <w:r w:rsidRPr="00CC66C2">
        <w:rPr>
          <w:rFonts w:ascii="Times New Roman" w:eastAsia="Times New Roman" w:hAnsi="Times New Roman" w:cs="Times New Roman"/>
          <w:color w:val="000000"/>
          <w:sz w:val="24"/>
          <w:szCs w:val="24"/>
        </w:rPr>
        <w:t xml:space="preserve">. </w:t>
      </w:r>
    </w:p>
    <w:p w:rsidR="001C00CE" w:rsidRDefault="00162D9D">
      <w:pPr>
        <w:spacing w:line="240" w:lineRule="auto"/>
        <w:ind w:left="360"/>
        <w:jc w:val="both"/>
        <w:rPr>
          <w:rFonts w:ascii="Times New Roman" w:eastAsia="Times New Roman" w:hAnsi="Times New Roman" w:cs="Times New Roman"/>
          <w:sz w:val="24"/>
          <w:szCs w:val="24"/>
        </w:rPr>
      </w:pPr>
      <w:r w:rsidRPr="00CC66C2">
        <w:rPr>
          <w:rFonts w:ascii="Times New Roman" w:eastAsia="Times New Roman" w:hAnsi="Times New Roman" w:cs="Times New Roman"/>
          <w:color w:val="222222"/>
          <w:sz w:val="24"/>
          <w:szCs w:val="24"/>
          <w:shd w:val="clear" w:color="auto" w:fill="FFFFFF"/>
        </w:rPr>
        <w:t xml:space="preserve">Hoshi, I., Welfenms, P. and Wziatek-Kubiak, A. (2007). </w:t>
      </w:r>
      <w:r w:rsidRPr="00CC66C2">
        <w:rPr>
          <w:rFonts w:ascii="Times New Roman" w:eastAsia="Times New Roman" w:hAnsi="Times New Roman" w:cs="Times New Roman"/>
          <w:i/>
          <w:color w:val="222222"/>
          <w:sz w:val="24"/>
          <w:szCs w:val="24"/>
          <w:shd w:val="clear" w:color="auto" w:fill="FFFFFF"/>
        </w:rPr>
        <w:t>Industrial Competitiveness and Restructuring in Enlarged Europe</w:t>
      </w:r>
      <w:r w:rsidRPr="00CC66C2">
        <w:rPr>
          <w:rFonts w:ascii="Times New Roman" w:eastAsia="Times New Roman" w:hAnsi="Times New Roman" w:cs="Times New Roman"/>
          <w:color w:val="222222"/>
          <w:sz w:val="24"/>
          <w:szCs w:val="24"/>
          <w:shd w:val="clear" w:color="auto" w:fill="FFFFFF"/>
        </w:rPr>
        <w:t>. London: Palgrave Macmillan.</w:t>
      </w:r>
    </w:p>
    <w:p w:rsidR="001C00CE" w:rsidRDefault="0020111B">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Johansson, Å., Kowalski, P., Olaberría, E. and Pellegrino, D. (2014). What Explains the Vo</w:t>
      </w:r>
      <w:r w:rsidR="003C25EB" w:rsidRPr="00CC66C2">
        <w:rPr>
          <w:rFonts w:ascii="Times New Roman" w:hAnsi="Times New Roman" w:cs="Times New Roman"/>
          <w:sz w:val="24"/>
          <w:szCs w:val="24"/>
        </w:rPr>
        <w:t xml:space="preserve">lume and Composition of Trade? </w:t>
      </w:r>
      <w:r w:rsidRPr="00CC66C2">
        <w:rPr>
          <w:rFonts w:ascii="Times New Roman" w:hAnsi="Times New Roman" w:cs="Times New Roman"/>
          <w:sz w:val="24"/>
          <w:szCs w:val="24"/>
        </w:rPr>
        <w:t xml:space="preserve">Industrial Evidence from a Panel of Countries. </w:t>
      </w:r>
      <w:r w:rsidRPr="00CC66C2">
        <w:rPr>
          <w:rFonts w:ascii="Times New Roman" w:hAnsi="Times New Roman" w:cs="Times New Roman"/>
          <w:i/>
          <w:sz w:val="24"/>
          <w:szCs w:val="24"/>
        </w:rPr>
        <w:t>OECD Economics Department Working Papers,</w:t>
      </w:r>
      <w:r w:rsidRPr="00CC66C2">
        <w:rPr>
          <w:rFonts w:ascii="Times New Roman" w:hAnsi="Times New Roman" w:cs="Times New Roman"/>
          <w:sz w:val="24"/>
          <w:szCs w:val="24"/>
        </w:rPr>
        <w:t xml:space="preserve"> No. 1128. Paris: OECD Publishing.</w:t>
      </w:r>
    </w:p>
    <w:p w:rsidR="001C00CE" w:rsidRDefault="0050301E">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Krugman, P. (1980). Scale Economies, Product Differentiation, and the Pattern of Trade. </w:t>
      </w:r>
      <w:r w:rsidRPr="00CC66C2">
        <w:rPr>
          <w:rFonts w:ascii="Times New Roman" w:hAnsi="Times New Roman" w:cs="Times New Roman"/>
          <w:i/>
          <w:sz w:val="24"/>
          <w:szCs w:val="24"/>
        </w:rPr>
        <w:t>The American Economic Review</w:t>
      </w:r>
      <w:r w:rsidRPr="00CC66C2">
        <w:rPr>
          <w:rFonts w:ascii="Times New Roman" w:hAnsi="Times New Roman" w:cs="Times New Roman"/>
          <w:sz w:val="24"/>
          <w:szCs w:val="24"/>
        </w:rPr>
        <w:t>, 70 (5), pp. 950-959.</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Kutan, A. and Vukšic, G. (2007). Foreign Direct Investment and Export Performance: Empirical Evidence. </w:t>
      </w:r>
      <w:r w:rsidRPr="00CC66C2">
        <w:rPr>
          <w:rFonts w:ascii="Times New Roman" w:hAnsi="Times New Roman" w:cs="Times New Roman"/>
          <w:i/>
          <w:sz w:val="24"/>
          <w:szCs w:val="24"/>
        </w:rPr>
        <w:t>Comparative Economic Studies,</w:t>
      </w:r>
      <w:r w:rsidRPr="00CC66C2">
        <w:rPr>
          <w:rFonts w:ascii="Times New Roman" w:hAnsi="Times New Roman" w:cs="Times New Roman"/>
          <w:sz w:val="24"/>
          <w:szCs w:val="24"/>
        </w:rPr>
        <w:t xml:space="preserve"> 49, pp. 430-445. </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eastAsia="Times New Roman" w:hAnsi="Times New Roman" w:cs="Times New Roman"/>
          <w:sz w:val="24"/>
          <w:szCs w:val="24"/>
        </w:rPr>
        <w:t xml:space="preserve">Laursen, K. and Meliciani, V. (2010). The role of ICT knowledge flows for international market share dynamics. </w:t>
      </w:r>
      <w:r w:rsidRPr="00CC66C2">
        <w:rPr>
          <w:rFonts w:ascii="Times New Roman" w:eastAsia="Times New Roman" w:hAnsi="Times New Roman" w:cs="Times New Roman"/>
          <w:i/>
          <w:sz w:val="24"/>
          <w:szCs w:val="24"/>
        </w:rPr>
        <w:t>Research Policy</w:t>
      </w:r>
      <w:r w:rsidRPr="00CC66C2">
        <w:rPr>
          <w:rFonts w:ascii="Times New Roman" w:eastAsia="Times New Roman" w:hAnsi="Times New Roman" w:cs="Times New Roman"/>
          <w:sz w:val="24"/>
          <w:szCs w:val="24"/>
        </w:rPr>
        <w:t>, 39(5), pp. 687–697.</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Melitz, M. (2003). The impact of trade on intra-industry reallocations and aggregate industry productivity. </w:t>
      </w:r>
      <w:r w:rsidRPr="00CC66C2">
        <w:rPr>
          <w:rFonts w:ascii="Times New Roman" w:hAnsi="Times New Roman" w:cs="Times New Roman"/>
          <w:i/>
          <w:sz w:val="24"/>
          <w:szCs w:val="24"/>
        </w:rPr>
        <w:t>Econometrica</w:t>
      </w:r>
      <w:r w:rsidRPr="00CC66C2">
        <w:rPr>
          <w:rFonts w:ascii="Times New Roman" w:hAnsi="Times New Roman" w:cs="Times New Roman"/>
          <w:sz w:val="24"/>
          <w:szCs w:val="24"/>
        </w:rPr>
        <w:t>. 71 (6), pp. 1695-1725.</w:t>
      </w:r>
    </w:p>
    <w:p w:rsidR="001C00CE" w:rsidRDefault="0066154A">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Miller, T. </w:t>
      </w:r>
      <w:r w:rsidR="009501B0" w:rsidRPr="00CC66C2">
        <w:rPr>
          <w:rFonts w:ascii="Times New Roman" w:hAnsi="Times New Roman" w:cs="Times New Roman"/>
          <w:sz w:val="24"/>
          <w:szCs w:val="24"/>
        </w:rPr>
        <w:t>and</w:t>
      </w:r>
      <w:r w:rsidRPr="00CC66C2">
        <w:rPr>
          <w:rFonts w:ascii="Times New Roman" w:hAnsi="Times New Roman" w:cs="Times New Roman"/>
          <w:sz w:val="24"/>
          <w:szCs w:val="24"/>
        </w:rPr>
        <w:t xml:space="preserve"> Kim, A. (2017). </w:t>
      </w:r>
      <w:r w:rsidRPr="00CC66C2">
        <w:rPr>
          <w:rFonts w:ascii="Times New Roman" w:hAnsi="Times New Roman" w:cs="Times New Roman"/>
          <w:i/>
          <w:sz w:val="24"/>
          <w:szCs w:val="24"/>
        </w:rPr>
        <w:t>2017 Index of Economic Freedom</w:t>
      </w:r>
      <w:r w:rsidRPr="00CC66C2">
        <w:rPr>
          <w:rFonts w:ascii="Times New Roman" w:hAnsi="Times New Roman" w:cs="Times New Roman"/>
          <w:sz w:val="24"/>
          <w:szCs w:val="24"/>
        </w:rPr>
        <w:t>. Washington, DC: The Heritage Foundation</w:t>
      </w:r>
      <w:r w:rsidR="00252812" w:rsidRPr="00CC66C2">
        <w:rPr>
          <w:rFonts w:ascii="Times New Roman" w:hAnsi="Times New Roman" w:cs="Times New Roman"/>
          <w:sz w:val="24"/>
          <w:szCs w:val="24"/>
        </w:rPr>
        <w:t>.</w:t>
      </w:r>
    </w:p>
    <w:p w:rsidR="001C00CE" w:rsidRDefault="009450CD">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Munich, D. Svejnar, J. and</w:t>
      </w:r>
      <w:r w:rsidRPr="00CC66C2">
        <w:rPr>
          <w:rFonts w:ascii="Times New Roman" w:hAnsi="Times New Roman" w:cs="Times New Roman"/>
          <w:iCs/>
          <w:sz w:val="24"/>
          <w:szCs w:val="24"/>
        </w:rPr>
        <w:t xml:space="preserve"> Terrell, K. (2005</w:t>
      </w:r>
      <w:r w:rsidRPr="00CC66C2">
        <w:rPr>
          <w:rFonts w:ascii="Times New Roman" w:hAnsi="Times New Roman" w:cs="Times New Roman"/>
          <w:i/>
          <w:iCs/>
          <w:sz w:val="24"/>
          <w:szCs w:val="24"/>
        </w:rPr>
        <w:t xml:space="preserve">). </w:t>
      </w:r>
      <w:r w:rsidRPr="00CC66C2">
        <w:rPr>
          <w:rFonts w:ascii="Times New Roman" w:hAnsi="Times New Roman" w:cs="Times New Roman"/>
          <w:iCs/>
          <w:sz w:val="24"/>
          <w:szCs w:val="24"/>
        </w:rPr>
        <w:t>Returns to hum</w:t>
      </w:r>
      <w:r w:rsidRPr="00CC66C2">
        <w:rPr>
          <w:rFonts w:ascii="Times New Roman" w:hAnsi="Times New Roman" w:cs="Times New Roman"/>
          <w:sz w:val="24"/>
          <w:szCs w:val="24"/>
        </w:rPr>
        <w:t>an capital under the communist wage grid and during the transition to a market economy.</w:t>
      </w:r>
      <w:r w:rsidRPr="00CC66C2">
        <w:rPr>
          <w:rFonts w:ascii="Times New Roman" w:hAnsi="Times New Roman" w:cs="Times New Roman"/>
          <w:i/>
          <w:sz w:val="24"/>
          <w:szCs w:val="24"/>
        </w:rPr>
        <w:t xml:space="preserve"> The</w:t>
      </w:r>
      <w:r w:rsidRPr="00CC66C2">
        <w:rPr>
          <w:rFonts w:ascii="Times New Roman" w:hAnsi="Times New Roman" w:cs="Times New Roman"/>
          <w:i/>
          <w:iCs/>
          <w:sz w:val="24"/>
          <w:szCs w:val="24"/>
        </w:rPr>
        <w:t xml:space="preserve"> Review of Economics and Statistics</w:t>
      </w:r>
      <w:r w:rsidRPr="00CC66C2">
        <w:rPr>
          <w:rFonts w:ascii="Times New Roman" w:hAnsi="Times New Roman" w:cs="Times New Roman"/>
          <w:sz w:val="24"/>
          <w:szCs w:val="24"/>
        </w:rPr>
        <w:t>, 87(1) pp. 100-123.</w:t>
      </w:r>
    </w:p>
    <w:p w:rsidR="001C00CE" w:rsidRDefault="009450CD">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Murthi, M. and Sondergaard, L. (2012). </w:t>
      </w:r>
      <w:r w:rsidRPr="00CC66C2">
        <w:rPr>
          <w:rFonts w:ascii="Times New Roman" w:hAnsi="Times New Roman" w:cs="Times New Roman"/>
          <w:i/>
          <w:sz w:val="24"/>
          <w:szCs w:val="24"/>
        </w:rPr>
        <w:t xml:space="preserve">Skills, Not Just Diplomas: The Path for Education Reforms in Eastern Europe and Central Asia. </w:t>
      </w:r>
      <w:r w:rsidRPr="00CC66C2">
        <w:rPr>
          <w:rFonts w:ascii="Times New Roman" w:hAnsi="Times New Roman" w:cs="Times New Roman"/>
          <w:sz w:val="24"/>
          <w:szCs w:val="24"/>
        </w:rPr>
        <w:t>Washington, DC: World Bank.</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Nelson, R. and Phelps, E. (1966). Investment in humans, technological diffusion, and economic growth. </w:t>
      </w:r>
      <w:r w:rsidRPr="00CC66C2">
        <w:rPr>
          <w:rFonts w:ascii="Times New Roman" w:hAnsi="Times New Roman" w:cs="Times New Roman"/>
          <w:i/>
          <w:sz w:val="24"/>
          <w:szCs w:val="24"/>
        </w:rPr>
        <w:t xml:space="preserve">The </w:t>
      </w:r>
      <w:r w:rsidRPr="00CC66C2">
        <w:rPr>
          <w:rFonts w:ascii="Times New Roman" w:hAnsi="Times New Roman" w:cs="Times New Roman"/>
          <w:i/>
          <w:iCs/>
          <w:sz w:val="24"/>
          <w:szCs w:val="24"/>
        </w:rPr>
        <w:t>American Economic Review</w:t>
      </w:r>
      <w:r w:rsidRPr="00CC66C2">
        <w:rPr>
          <w:rFonts w:ascii="Times New Roman" w:hAnsi="Times New Roman" w:cs="Times New Roman"/>
          <w:sz w:val="24"/>
          <w:szCs w:val="24"/>
        </w:rPr>
        <w:t>, 56(1/2), pp. 69-75.</w:t>
      </w:r>
    </w:p>
    <w:p w:rsidR="001C00CE" w:rsidRDefault="009450CD">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OECD (2011).</w:t>
      </w:r>
      <w:r w:rsidR="00FC1623" w:rsidRPr="00CC66C2">
        <w:rPr>
          <w:rFonts w:ascii="Times New Roman" w:hAnsi="Times New Roman" w:cs="Times New Roman"/>
          <w:sz w:val="24"/>
          <w:szCs w:val="24"/>
        </w:rPr>
        <w:t xml:space="preserve"> </w:t>
      </w:r>
      <w:r w:rsidRPr="00CC66C2">
        <w:rPr>
          <w:rFonts w:ascii="Times New Roman" w:hAnsi="Times New Roman" w:cs="Times New Roman"/>
          <w:i/>
          <w:sz w:val="24"/>
          <w:szCs w:val="24"/>
        </w:rPr>
        <w:t>Competitiveness and Private Sector Development: Eastern Europe and South Caucasus 2011: Competitiveness Outlook</w:t>
      </w:r>
      <w:r w:rsidRPr="00CC66C2">
        <w:rPr>
          <w:rFonts w:ascii="Times New Roman" w:hAnsi="Times New Roman" w:cs="Times New Roman"/>
          <w:sz w:val="24"/>
          <w:szCs w:val="24"/>
        </w:rPr>
        <w:t xml:space="preserve">, Paris: OECD Publishing. </w:t>
      </w:r>
    </w:p>
    <w:p w:rsidR="001C00CE" w:rsidRDefault="00F711CC">
      <w:pPr>
        <w:spacing w:line="240" w:lineRule="auto"/>
        <w:ind w:left="360"/>
        <w:jc w:val="both"/>
        <w:rPr>
          <w:rFonts w:ascii="Times New Roman" w:hAnsi="Times New Roman" w:cs="Times New Roman"/>
          <w:i/>
          <w:sz w:val="24"/>
          <w:szCs w:val="24"/>
        </w:rPr>
      </w:pPr>
      <w:r w:rsidRPr="00CC66C2">
        <w:rPr>
          <w:rFonts w:ascii="Times New Roman" w:hAnsi="Times New Roman" w:cs="Times New Roman"/>
          <w:sz w:val="24"/>
          <w:szCs w:val="24"/>
        </w:rPr>
        <w:t xml:space="preserve">Programme for International Student Assessment (PISA) database. </w:t>
      </w:r>
      <w:r w:rsidRPr="00CC66C2">
        <w:rPr>
          <w:rFonts w:ascii="Times New Roman" w:hAnsi="Times New Roman" w:cs="Times New Roman"/>
          <w:color w:val="000000"/>
          <w:sz w:val="24"/>
          <w:szCs w:val="24"/>
          <w:shd w:val="clear" w:color="auto" w:fill="FFFFFF"/>
        </w:rPr>
        <w:t xml:space="preserve">[Online]. Available from: OECD. </w:t>
      </w:r>
      <w:hyperlink r:id="rId12" w:history="1">
        <w:r w:rsidRPr="00CC66C2">
          <w:rPr>
            <w:rStyle w:val="Hyperlink"/>
            <w:rFonts w:ascii="Times New Roman" w:hAnsi="Times New Roman" w:cs="Times New Roman"/>
            <w:sz w:val="24"/>
            <w:szCs w:val="24"/>
          </w:rPr>
          <w:t>http://www.oecd.org/pisa/pisaproducts/</w:t>
        </w:r>
      </w:hyperlink>
      <w:r w:rsidRPr="00CC66C2">
        <w:rPr>
          <w:rFonts w:ascii="Times New Roman" w:hAnsi="Times New Roman" w:cs="Times New Roman"/>
          <w:color w:val="000000"/>
          <w:sz w:val="24"/>
          <w:szCs w:val="24"/>
          <w:shd w:val="clear" w:color="auto" w:fill="FFFFFF"/>
        </w:rPr>
        <w:t>[Accessed: 20 February 2016].</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Plumper, T.  and Troeger, V. (2007). Efficient estimation of time-invariant and rarely changing variables in finite sample panel analyses with unit fixed effects. </w:t>
      </w:r>
      <w:r w:rsidRPr="00CC66C2">
        <w:rPr>
          <w:rFonts w:ascii="Times New Roman" w:hAnsi="Times New Roman" w:cs="Times New Roman"/>
          <w:i/>
          <w:sz w:val="24"/>
          <w:szCs w:val="24"/>
        </w:rPr>
        <w:t>Political Analysis</w:t>
      </w:r>
      <w:r w:rsidRPr="00CC66C2">
        <w:rPr>
          <w:rFonts w:ascii="Times New Roman" w:hAnsi="Times New Roman" w:cs="Times New Roman"/>
          <w:sz w:val="24"/>
          <w:szCs w:val="24"/>
        </w:rPr>
        <w:t>, 15, pp. 124–139.</w:t>
      </w:r>
    </w:p>
    <w:p w:rsidR="001C00CE" w:rsidRDefault="005C041F">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Plumper, T. and Troeger, V. (2011). Fixed-Effects Vector Decomposition: Properties, Reliability, and Instruments. </w:t>
      </w:r>
      <w:r w:rsidRPr="00CC66C2">
        <w:rPr>
          <w:rFonts w:ascii="Times New Roman" w:hAnsi="Times New Roman" w:cs="Times New Roman"/>
          <w:i/>
          <w:sz w:val="24"/>
          <w:szCs w:val="24"/>
        </w:rPr>
        <w:t>Political Analysis</w:t>
      </w:r>
      <w:r w:rsidRPr="00CC66C2">
        <w:rPr>
          <w:rFonts w:ascii="Times New Roman" w:hAnsi="Times New Roman" w:cs="Times New Roman"/>
          <w:sz w:val="24"/>
          <w:szCs w:val="24"/>
        </w:rPr>
        <w:t xml:space="preserve"> 19, pp. 147–164.</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Porter, M. (1990). </w:t>
      </w:r>
      <w:r w:rsidRPr="00CC66C2">
        <w:rPr>
          <w:rFonts w:ascii="Times New Roman" w:hAnsi="Times New Roman" w:cs="Times New Roman"/>
          <w:i/>
          <w:sz w:val="24"/>
          <w:szCs w:val="24"/>
        </w:rPr>
        <w:t>The Competitive Advantage of Nations</w:t>
      </w:r>
      <w:r w:rsidRPr="00CC66C2">
        <w:rPr>
          <w:rFonts w:ascii="Times New Roman" w:hAnsi="Times New Roman" w:cs="Times New Roman"/>
          <w:sz w:val="24"/>
          <w:szCs w:val="24"/>
        </w:rPr>
        <w:t>. London: MacMillan</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Posner, M. (1961). International trade and technical change. </w:t>
      </w:r>
      <w:r w:rsidRPr="00CC66C2">
        <w:rPr>
          <w:rFonts w:ascii="Times New Roman" w:hAnsi="Times New Roman" w:cs="Times New Roman"/>
          <w:i/>
          <w:sz w:val="24"/>
          <w:szCs w:val="24"/>
        </w:rPr>
        <w:t>Oxford Economic Papers</w:t>
      </w:r>
      <w:r w:rsidRPr="00CC66C2">
        <w:rPr>
          <w:rFonts w:ascii="Times New Roman" w:hAnsi="Times New Roman" w:cs="Times New Roman"/>
          <w:sz w:val="24"/>
          <w:szCs w:val="24"/>
        </w:rPr>
        <w:t>, 13(3), pp. 323-341.</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Rizvanolli, A. (2012). </w:t>
      </w:r>
      <w:r w:rsidRPr="00CC66C2">
        <w:rPr>
          <w:rFonts w:ascii="Times New Roman" w:hAnsi="Times New Roman" w:cs="Times New Roman"/>
          <w:i/>
          <w:sz w:val="24"/>
          <w:szCs w:val="24"/>
        </w:rPr>
        <w:t>The effect of human capital on FDI in European transition economies</w:t>
      </w:r>
      <w:r w:rsidRPr="00CC66C2">
        <w:rPr>
          <w:rFonts w:ascii="Times New Roman" w:hAnsi="Times New Roman" w:cs="Times New Roman"/>
          <w:sz w:val="24"/>
          <w:szCs w:val="24"/>
        </w:rPr>
        <w:t>. PhD Thesis, Staffordshire University: UK.</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Romer, P. (1990). Endogenous technological change. </w:t>
      </w:r>
      <w:r w:rsidRPr="00CC66C2">
        <w:rPr>
          <w:rFonts w:ascii="Times New Roman" w:hAnsi="Times New Roman" w:cs="Times New Roman"/>
          <w:i/>
          <w:iCs/>
          <w:sz w:val="24"/>
          <w:szCs w:val="24"/>
        </w:rPr>
        <w:t>Journal of Political Economy</w:t>
      </w:r>
      <w:r w:rsidRPr="00CC66C2">
        <w:rPr>
          <w:rFonts w:ascii="Times New Roman" w:hAnsi="Times New Roman" w:cs="Times New Roman"/>
          <w:sz w:val="24"/>
          <w:szCs w:val="24"/>
        </w:rPr>
        <w:t>, 98(5), part 2, pp. S71-S102.</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Roper, S. and Love, J. (2002). Innovation and export performance: evidence from the UK and German manufacturing plants. </w:t>
      </w:r>
      <w:r w:rsidRPr="00CC66C2">
        <w:rPr>
          <w:rFonts w:ascii="Times New Roman" w:hAnsi="Times New Roman" w:cs="Times New Roman"/>
          <w:i/>
          <w:iCs/>
          <w:sz w:val="24"/>
          <w:szCs w:val="24"/>
        </w:rPr>
        <w:t xml:space="preserve">Research Policy, </w:t>
      </w:r>
      <w:r w:rsidRPr="00CC66C2">
        <w:rPr>
          <w:rFonts w:ascii="Times New Roman" w:hAnsi="Times New Roman" w:cs="Times New Roman"/>
          <w:sz w:val="24"/>
          <w:szCs w:val="24"/>
        </w:rPr>
        <w:t>31 (7),</w:t>
      </w:r>
      <w:r w:rsidRPr="00CC66C2">
        <w:rPr>
          <w:rFonts w:ascii="Times New Roman" w:hAnsi="Times New Roman" w:cs="Times New Roman"/>
          <w:bCs/>
          <w:sz w:val="24"/>
          <w:szCs w:val="24"/>
        </w:rPr>
        <w:t xml:space="preserve"> pp. </w:t>
      </w:r>
      <w:r w:rsidRPr="00CC66C2">
        <w:rPr>
          <w:rFonts w:ascii="Times New Roman" w:hAnsi="Times New Roman" w:cs="Times New Roman"/>
          <w:sz w:val="24"/>
          <w:szCs w:val="24"/>
        </w:rPr>
        <w:t>1087-1102.</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Schaffer, M. (2010).  </w:t>
      </w:r>
      <w:r w:rsidRPr="00CC66C2">
        <w:rPr>
          <w:rFonts w:ascii="Times New Roman" w:hAnsi="Times New Roman" w:cs="Times New Roman"/>
          <w:i/>
          <w:sz w:val="24"/>
          <w:szCs w:val="24"/>
        </w:rPr>
        <w:t>xtivreg2: Stata module to perform extended IV/2SLS, GMM and AC/HAC, LIML and k-class regression for panel data models.</w:t>
      </w:r>
      <w:r w:rsidR="00712FB2" w:rsidRPr="00CC66C2">
        <w:rPr>
          <w:rFonts w:ascii="Times New Roman" w:hAnsi="Times New Roman" w:cs="Times New Roman"/>
          <w:i/>
          <w:sz w:val="24"/>
          <w:szCs w:val="24"/>
        </w:rPr>
        <w:t xml:space="preserve"> </w:t>
      </w:r>
      <w:hyperlink r:id="rId13" w:history="1">
        <w:r w:rsidRPr="00CC66C2">
          <w:rPr>
            <w:rStyle w:val="Hyperlink"/>
            <w:rFonts w:ascii="Times New Roman" w:eastAsiaTheme="majorEastAsia" w:hAnsi="Times New Roman" w:cs="Times New Roman"/>
            <w:sz w:val="24"/>
            <w:szCs w:val="24"/>
          </w:rPr>
          <w:t>http://ideas.repec.org/c/boc/bocode/s456501.html</w:t>
        </w:r>
      </w:hyperlink>
      <w:r w:rsidRPr="00CC66C2">
        <w:rPr>
          <w:rFonts w:ascii="Times New Roman" w:hAnsi="Times New Roman" w:cs="Times New Roman"/>
          <w:sz w:val="24"/>
          <w:szCs w:val="24"/>
        </w:rPr>
        <w:t xml:space="preserve">. </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Schultz, T.  (1961). Investment in Human Capital. </w:t>
      </w:r>
      <w:r w:rsidRPr="00CC66C2">
        <w:rPr>
          <w:rFonts w:ascii="Times New Roman" w:hAnsi="Times New Roman" w:cs="Times New Roman"/>
          <w:i/>
          <w:sz w:val="24"/>
          <w:szCs w:val="24"/>
        </w:rPr>
        <w:t>American Economic Review</w:t>
      </w:r>
      <w:r w:rsidRPr="00CC66C2">
        <w:rPr>
          <w:rFonts w:ascii="Times New Roman" w:hAnsi="Times New Roman" w:cs="Times New Roman"/>
          <w:sz w:val="24"/>
          <w:szCs w:val="24"/>
        </w:rPr>
        <w:t>, 51(1), pp. 1-17.</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Seck, A. (2012). International Technology Diffusion and Economic Growth: Explaining the Spillover Benefits to Developing Countries.  </w:t>
      </w:r>
      <w:r w:rsidRPr="00CC66C2">
        <w:rPr>
          <w:rFonts w:ascii="Times New Roman" w:hAnsi="Times New Roman" w:cs="Times New Roman"/>
          <w:i/>
          <w:sz w:val="24"/>
          <w:szCs w:val="24"/>
        </w:rPr>
        <w:t>Structural Change and Economic Dynamics</w:t>
      </w:r>
      <w:r w:rsidRPr="00CC66C2">
        <w:rPr>
          <w:rFonts w:ascii="Times New Roman" w:hAnsi="Times New Roman" w:cs="Times New Roman"/>
          <w:sz w:val="24"/>
          <w:szCs w:val="24"/>
        </w:rPr>
        <w:t>, 23 (4), pp. 437-451.</w:t>
      </w:r>
    </w:p>
    <w:p w:rsidR="001C00CE" w:rsidRDefault="00F711CC">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Sianesi, B. and </w:t>
      </w:r>
      <w:r w:rsidR="00CF2D88" w:rsidRPr="00CC66C2">
        <w:rPr>
          <w:rFonts w:ascii="Times New Roman" w:hAnsi="Times New Roman" w:cs="Times New Roman"/>
          <w:sz w:val="24"/>
          <w:szCs w:val="24"/>
        </w:rPr>
        <w:t>V</w:t>
      </w:r>
      <w:r w:rsidRPr="00CC66C2">
        <w:rPr>
          <w:rFonts w:ascii="Times New Roman" w:hAnsi="Times New Roman" w:cs="Times New Roman"/>
          <w:sz w:val="24"/>
          <w:szCs w:val="24"/>
        </w:rPr>
        <w:t xml:space="preserve">an Reenen, J. (2003). The returns to education: macroeconomics.  </w:t>
      </w:r>
      <w:r w:rsidRPr="00CC66C2">
        <w:rPr>
          <w:rFonts w:ascii="Times New Roman" w:hAnsi="Times New Roman" w:cs="Times New Roman"/>
          <w:i/>
          <w:sz w:val="24"/>
          <w:szCs w:val="24"/>
        </w:rPr>
        <w:t>Journal of Economic Surveys.</w:t>
      </w:r>
      <w:r w:rsidRPr="00CC66C2">
        <w:rPr>
          <w:rFonts w:ascii="Times New Roman" w:hAnsi="Times New Roman" w:cs="Times New Roman"/>
          <w:sz w:val="24"/>
          <w:szCs w:val="24"/>
        </w:rPr>
        <w:t xml:space="preserve"> 17 (2), pp. 157-200.</w:t>
      </w:r>
    </w:p>
    <w:p w:rsidR="001C00CE" w:rsidRDefault="00AA62B1">
      <w:pPr>
        <w:spacing w:line="240" w:lineRule="auto"/>
        <w:ind w:left="360"/>
        <w:rPr>
          <w:rFonts w:ascii="Times New Roman" w:hAnsi="Times New Roman" w:cs="Times New Roman"/>
          <w:sz w:val="24"/>
          <w:szCs w:val="24"/>
        </w:rPr>
      </w:pPr>
      <w:r w:rsidRPr="00CC66C2">
        <w:rPr>
          <w:rFonts w:ascii="Times New Roman" w:hAnsi="Times New Roman" w:cs="Times New Roman"/>
          <w:sz w:val="24"/>
          <w:szCs w:val="24"/>
        </w:rPr>
        <w:t>Startienė, G. and Remeikienė. R. (2014). Evaluation of Revealed Comparative Advantage of Lithuanian Industry in Global Markets</w:t>
      </w:r>
      <w:r w:rsidRPr="00CC66C2">
        <w:rPr>
          <w:rFonts w:ascii="Times New Roman" w:hAnsi="Times New Roman" w:cs="Times New Roman"/>
          <w:i/>
          <w:sz w:val="24"/>
          <w:szCs w:val="24"/>
        </w:rPr>
        <w:t>. Procedia - Social and Behavioral Sciences</w:t>
      </w:r>
      <w:r w:rsidR="00C6235B" w:rsidRPr="00CC66C2">
        <w:rPr>
          <w:rFonts w:ascii="Times New Roman" w:hAnsi="Times New Roman" w:cs="Times New Roman"/>
          <w:sz w:val="24"/>
          <w:szCs w:val="24"/>
        </w:rPr>
        <w:t>, 110</w:t>
      </w:r>
      <w:r w:rsidRPr="00CC66C2">
        <w:rPr>
          <w:rFonts w:ascii="Times New Roman" w:hAnsi="Times New Roman" w:cs="Times New Roman"/>
          <w:sz w:val="24"/>
          <w:szCs w:val="24"/>
        </w:rPr>
        <w:t>, pp. 428-438.</w:t>
      </w:r>
    </w:p>
    <w:p w:rsidR="001C00CE" w:rsidRDefault="00F711CC">
      <w:pPr>
        <w:spacing w:line="240" w:lineRule="auto"/>
        <w:ind w:left="360"/>
        <w:jc w:val="both"/>
        <w:rPr>
          <w:rFonts w:ascii="Times New Roman" w:hAnsi="Times New Roman" w:cs="Times New Roman"/>
          <w:sz w:val="24"/>
          <w:szCs w:val="24"/>
        </w:rPr>
      </w:pPr>
      <w:r w:rsidRPr="00655C04">
        <w:rPr>
          <w:rFonts w:ascii="Times New Roman" w:hAnsi="Times New Roman" w:cs="Times New Roman"/>
          <w:sz w:val="24"/>
          <w:szCs w:val="24"/>
        </w:rPr>
        <w:t>Trends in International Mathematics and Science Study (TIMSS) and Progress in International Reading Literacy Study (PIRLS) database</w:t>
      </w:r>
      <w:r w:rsidRPr="00CC66C2">
        <w:rPr>
          <w:rFonts w:ascii="Times New Roman" w:hAnsi="Times New Roman" w:cs="Times New Roman"/>
          <w:sz w:val="24"/>
          <w:szCs w:val="24"/>
        </w:rPr>
        <w:t xml:space="preserve">. </w:t>
      </w:r>
      <w:r w:rsidRPr="00CC66C2">
        <w:rPr>
          <w:rFonts w:ascii="Times New Roman" w:hAnsi="Times New Roman" w:cs="Times New Roman"/>
          <w:color w:val="000000"/>
          <w:sz w:val="24"/>
          <w:szCs w:val="24"/>
          <w:shd w:val="clear" w:color="auto" w:fill="FFFFFF"/>
        </w:rPr>
        <w:t xml:space="preserve">[Online]. Available from: IEA TIMSS and PIRLS – </w:t>
      </w:r>
      <w:r w:rsidRPr="00655C04">
        <w:rPr>
          <w:rFonts w:ascii="Times New Roman" w:hAnsi="Times New Roman" w:cs="Times New Roman"/>
          <w:i/>
          <w:color w:val="000000"/>
          <w:sz w:val="24"/>
          <w:szCs w:val="24"/>
          <w:shd w:val="clear" w:color="auto" w:fill="FFFFFF"/>
        </w:rPr>
        <w:t>International Study Centre, Boston College’s Lynch School of Education.</w:t>
      </w:r>
      <w:r w:rsidRPr="00CC66C2">
        <w:rPr>
          <w:rFonts w:ascii="Times New Roman" w:hAnsi="Times New Roman" w:cs="Times New Roman"/>
          <w:color w:val="000000"/>
          <w:sz w:val="24"/>
          <w:szCs w:val="24"/>
          <w:shd w:val="clear" w:color="auto" w:fill="FFFFFF"/>
        </w:rPr>
        <w:t xml:space="preserve"> </w:t>
      </w:r>
      <w:hyperlink r:id="rId14" w:history="1">
        <w:r w:rsidRPr="00CC66C2">
          <w:rPr>
            <w:rStyle w:val="Hyperlink"/>
            <w:rFonts w:ascii="Times New Roman" w:hAnsi="Times New Roman" w:cs="Times New Roman"/>
            <w:sz w:val="24"/>
            <w:szCs w:val="24"/>
          </w:rPr>
          <w:t>http://timssandpirls.bc.edu/#</w:t>
        </w:r>
      </w:hyperlink>
      <w:r w:rsidRPr="00CC66C2">
        <w:rPr>
          <w:rFonts w:ascii="Times New Roman" w:hAnsi="Times New Roman" w:cs="Times New Roman"/>
          <w:sz w:val="24"/>
          <w:szCs w:val="24"/>
        </w:rPr>
        <w:t xml:space="preserve">. </w:t>
      </w:r>
      <w:r w:rsidRPr="00CC66C2">
        <w:rPr>
          <w:rFonts w:ascii="Times New Roman" w:hAnsi="Times New Roman" w:cs="Times New Roman"/>
          <w:color w:val="000000"/>
          <w:sz w:val="24"/>
          <w:szCs w:val="24"/>
          <w:shd w:val="clear" w:color="auto" w:fill="FFFFFF"/>
        </w:rPr>
        <w:t>[Accessed: 19 February 2016].</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UNCTAD (2002). </w:t>
      </w:r>
      <w:r w:rsidRPr="00CC66C2">
        <w:rPr>
          <w:rFonts w:ascii="Times New Roman" w:hAnsi="Times New Roman" w:cs="Times New Roman"/>
          <w:i/>
          <w:sz w:val="24"/>
          <w:szCs w:val="24"/>
        </w:rPr>
        <w:t xml:space="preserve">World Investment Report 2002: Transnational Corporations and Export Competitiveness. </w:t>
      </w:r>
      <w:r w:rsidRPr="00CC66C2">
        <w:rPr>
          <w:rFonts w:ascii="Times New Roman" w:hAnsi="Times New Roman" w:cs="Times New Roman"/>
          <w:sz w:val="24"/>
          <w:szCs w:val="24"/>
        </w:rPr>
        <w:t>New York: United Nations.</w:t>
      </w:r>
    </w:p>
    <w:p w:rsidR="001C00CE" w:rsidRDefault="006B460B">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UNCTAD. (2016). </w:t>
      </w:r>
      <w:r w:rsidRPr="00655C04">
        <w:rPr>
          <w:rFonts w:ascii="Times New Roman" w:hAnsi="Times New Roman" w:cs="Times New Roman"/>
          <w:i/>
          <w:sz w:val="24"/>
          <w:szCs w:val="24"/>
        </w:rPr>
        <w:t>Trade matrix by product groups, exports in thousands of dollars, annual, 1995-2014.</w:t>
      </w:r>
      <w:r w:rsidRPr="00CC66C2">
        <w:rPr>
          <w:rFonts w:ascii="Times New Roman" w:hAnsi="Times New Roman" w:cs="Times New Roman"/>
          <w:sz w:val="24"/>
          <w:szCs w:val="24"/>
        </w:rPr>
        <w:t xml:space="preserve"> Available from UNTACD. </w:t>
      </w:r>
      <w:hyperlink r:id="rId15" w:history="1">
        <w:r w:rsidRPr="00CC66C2">
          <w:rPr>
            <w:rStyle w:val="Hyperlink"/>
            <w:rFonts w:ascii="Times New Roman" w:hAnsi="Times New Roman" w:cs="Times New Roman"/>
            <w:sz w:val="24"/>
            <w:szCs w:val="24"/>
          </w:rPr>
          <w:t>http://unctadstat.unctad.org/wds/TableViewer/tableView.aspx?ReportId=24739</w:t>
        </w:r>
      </w:hyperlink>
      <w:r w:rsidRPr="00CC66C2">
        <w:rPr>
          <w:rFonts w:ascii="Times New Roman" w:hAnsi="Times New Roman" w:cs="Times New Roman"/>
          <w:sz w:val="24"/>
          <w:szCs w:val="24"/>
          <w:shd w:val="clear" w:color="auto" w:fill="FFFFFF"/>
        </w:rPr>
        <w:t xml:space="preserve">. </w:t>
      </w:r>
      <w:r w:rsidRPr="00CC66C2">
        <w:rPr>
          <w:rFonts w:ascii="Times New Roman" w:hAnsi="Times New Roman" w:cs="Times New Roman"/>
          <w:color w:val="000000"/>
          <w:sz w:val="24"/>
          <w:szCs w:val="24"/>
          <w:shd w:val="clear" w:color="auto" w:fill="FFFFFF"/>
        </w:rPr>
        <w:t>[Accessed: 25 January 2016].</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Van Beveren, I. and Vandenbussche, H. (2010). Product and Process Innovation and Firms' Decision to Export, </w:t>
      </w:r>
      <w:r w:rsidRPr="00CC66C2">
        <w:rPr>
          <w:rFonts w:ascii="Times New Roman" w:hAnsi="Times New Roman" w:cs="Times New Roman"/>
          <w:i/>
          <w:iCs/>
          <w:sz w:val="24"/>
          <w:szCs w:val="24"/>
        </w:rPr>
        <w:t xml:space="preserve">Journal of Economic Policy Reform, </w:t>
      </w:r>
      <w:r w:rsidRPr="00CC66C2">
        <w:rPr>
          <w:rFonts w:ascii="Times New Roman" w:hAnsi="Times New Roman" w:cs="Times New Roman"/>
          <w:sz w:val="24"/>
          <w:szCs w:val="24"/>
        </w:rPr>
        <w:t>13</w:t>
      </w:r>
      <w:r w:rsidRPr="00CC66C2">
        <w:rPr>
          <w:rFonts w:ascii="Times New Roman" w:hAnsi="Times New Roman" w:cs="Times New Roman"/>
          <w:bCs/>
          <w:sz w:val="24"/>
          <w:szCs w:val="24"/>
        </w:rPr>
        <w:t xml:space="preserve">, pp. </w:t>
      </w:r>
      <w:r w:rsidRPr="00CC66C2">
        <w:rPr>
          <w:rFonts w:ascii="Times New Roman" w:hAnsi="Times New Roman" w:cs="Times New Roman"/>
          <w:sz w:val="24"/>
          <w:szCs w:val="24"/>
        </w:rPr>
        <w:t>3-24.</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Van der Marel, E. (2012). Determinants of Comparative Advantage in Services. </w:t>
      </w:r>
      <w:r w:rsidRPr="00CC66C2">
        <w:rPr>
          <w:rFonts w:ascii="Times New Roman" w:hAnsi="Times New Roman" w:cs="Times New Roman"/>
          <w:i/>
          <w:sz w:val="24"/>
          <w:szCs w:val="24"/>
        </w:rPr>
        <w:t>ForschungsschwerpunktInternationaleWirtschaft</w:t>
      </w:r>
      <w:r w:rsidRPr="00CC66C2">
        <w:rPr>
          <w:rFonts w:ascii="Times New Roman" w:hAnsi="Times New Roman" w:cs="Times New Roman"/>
          <w:sz w:val="24"/>
          <w:szCs w:val="24"/>
        </w:rPr>
        <w:t xml:space="preserve"> (</w:t>
      </w:r>
      <w:r w:rsidRPr="00CC66C2">
        <w:rPr>
          <w:rFonts w:ascii="Times New Roman" w:hAnsi="Times New Roman" w:cs="Times New Roman"/>
          <w:i/>
          <w:sz w:val="24"/>
          <w:szCs w:val="24"/>
        </w:rPr>
        <w:t>FIW) Working Paper Series</w:t>
      </w:r>
      <w:r w:rsidRPr="00CC66C2">
        <w:rPr>
          <w:rFonts w:ascii="Times New Roman" w:hAnsi="Times New Roman" w:cs="Times New Roman"/>
          <w:sz w:val="24"/>
          <w:szCs w:val="24"/>
        </w:rPr>
        <w:t xml:space="preserve"> No. 087.</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Vernon, V. (1966). International investment and international trade in the product cycle. </w:t>
      </w:r>
      <w:r w:rsidRPr="00CC66C2">
        <w:rPr>
          <w:rFonts w:ascii="Times New Roman" w:hAnsi="Times New Roman" w:cs="Times New Roman"/>
          <w:i/>
          <w:sz w:val="24"/>
          <w:szCs w:val="24"/>
        </w:rPr>
        <w:t>The Quarterly Journal of Economics</w:t>
      </w:r>
      <w:r w:rsidRPr="00CC66C2">
        <w:rPr>
          <w:rFonts w:ascii="Times New Roman" w:hAnsi="Times New Roman" w:cs="Times New Roman"/>
          <w:sz w:val="24"/>
          <w:szCs w:val="24"/>
        </w:rPr>
        <w:t>, 80 (2), pp.190-207.</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Wagner, J. (2012). Average Wage, Qualification of the Workforce and Export Performance in German Enterprises: Evidence from KombiFiD Data. </w:t>
      </w:r>
      <w:r w:rsidRPr="00CC66C2">
        <w:rPr>
          <w:rFonts w:ascii="Times New Roman" w:hAnsi="Times New Roman" w:cs="Times New Roman"/>
          <w:i/>
          <w:sz w:val="24"/>
          <w:szCs w:val="24"/>
        </w:rPr>
        <w:t xml:space="preserve">Institute for the Study of Labor (IZA) Discussion Paper </w:t>
      </w:r>
      <w:r w:rsidRPr="00CC66C2">
        <w:rPr>
          <w:rFonts w:ascii="Times New Roman" w:hAnsi="Times New Roman" w:cs="Times New Roman"/>
          <w:sz w:val="24"/>
          <w:szCs w:val="24"/>
        </w:rPr>
        <w:t>No. 6274.</w:t>
      </w:r>
    </w:p>
    <w:p w:rsidR="001C00CE" w:rsidRDefault="00C447D8">
      <w:pPr>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Wakelin, K. (1998). Innovation and Export Behaviour at the Firm Level. </w:t>
      </w:r>
      <w:r w:rsidRPr="00CC66C2">
        <w:rPr>
          <w:rFonts w:ascii="Times New Roman" w:hAnsi="Times New Roman" w:cs="Times New Roman"/>
          <w:i/>
          <w:sz w:val="24"/>
          <w:szCs w:val="24"/>
        </w:rPr>
        <w:t>Research Policy</w:t>
      </w:r>
      <w:r w:rsidRPr="00CC66C2">
        <w:rPr>
          <w:rFonts w:ascii="Times New Roman" w:hAnsi="Times New Roman" w:cs="Times New Roman"/>
          <w:sz w:val="24"/>
          <w:szCs w:val="24"/>
        </w:rPr>
        <w:t>, 26 (7-8), pp. 829-841.</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Wang, Ch., Buckley, P., Clegg, J. and Kafouros, M. (2007). The impact of inward foreign direct investment on the nature and intensity of Chinese manufacturing exports. </w:t>
      </w:r>
      <w:r w:rsidRPr="00CC66C2">
        <w:rPr>
          <w:rFonts w:ascii="Times New Roman" w:hAnsi="Times New Roman" w:cs="Times New Roman"/>
          <w:i/>
          <w:sz w:val="24"/>
          <w:szCs w:val="24"/>
        </w:rPr>
        <w:t>Transnational Corporations,</w:t>
      </w:r>
      <w:r w:rsidRPr="00CC66C2">
        <w:rPr>
          <w:rFonts w:ascii="Times New Roman" w:hAnsi="Times New Roman" w:cs="Times New Roman"/>
          <w:sz w:val="24"/>
          <w:szCs w:val="24"/>
        </w:rPr>
        <w:t xml:space="preserve"> 16 (2), pp. 123-140.</w:t>
      </w:r>
    </w:p>
    <w:p w:rsidR="001C00CE" w:rsidRDefault="00C447D8">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Wooldridge, J. (2009). </w:t>
      </w:r>
      <w:r w:rsidRPr="00CC66C2">
        <w:rPr>
          <w:rFonts w:ascii="Times New Roman" w:hAnsi="Times New Roman" w:cs="Times New Roman"/>
          <w:i/>
          <w:sz w:val="24"/>
          <w:szCs w:val="24"/>
        </w:rPr>
        <w:t>Introductory Econometrics</w:t>
      </w:r>
      <w:r w:rsidRPr="00CC66C2">
        <w:rPr>
          <w:rFonts w:ascii="Times New Roman" w:hAnsi="Times New Roman" w:cs="Times New Roman"/>
          <w:sz w:val="24"/>
          <w:szCs w:val="24"/>
        </w:rPr>
        <w:t>. Fourth Edition. Mason: South Western Cengage Learning.</w:t>
      </w:r>
    </w:p>
    <w:p w:rsidR="001C00CE" w:rsidRDefault="008F44E9">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World Bank (2008). </w:t>
      </w:r>
      <w:r w:rsidRPr="00655C04">
        <w:rPr>
          <w:rFonts w:ascii="Times New Roman" w:hAnsi="Times New Roman" w:cs="Times New Roman"/>
          <w:i/>
          <w:sz w:val="24"/>
          <w:szCs w:val="24"/>
        </w:rPr>
        <w:t>Unleashing Prosperity: Productivity Growth in Eastern Europe and the Former Soviet Union</w:t>
      </w:r>
      <w:r w:rsidRPr="00CC66C2">
        <w:rPr>
          <w:rFonts w:ascii="Times New Roman" w:hAnsi="Times New Roman" w:cs="Times New Roman"/>
          <w:sz w:val="24"/>
          <w:szCs w:val="24"/>
        </w:rPr>
        <w:t>. Washington: World Bank</w:t>
      </w:r>
    </w:p>
    <w:p w:rsidR="001C00CE" w:rsidRDefault="008F44E9">
      <w:pPr>
        <w:autoSpaceDE w:val="0"/>
        <w:autoSpaceDN w:val="0"/>
        <w:adjustRightInd w:val="0"/>
        <w:spacing w:line="240" w:lineRule="auto"/>
        <w:ind w:left="360"/>
        <w:jc w:val="both"/>
        <w:rPr>
          <w:rFonts w:ascii="Times New Roman" w:hAnsi="Times New Roman" w:cs="Times New Roman"/>
          <w:sz w:val="24"/>
          <w:szCs w:val="24"/>
        </w:rPr>
      </w:pPr>
      <w:r w:rsidRPr="00CC66C2">
        <w:rPr>
          <w:rFonts w:ascii="Times New Roman" w:hAnsi="Times New Roman" w:cs="Times New Roman"/>
          <w:sz w:val="24"/>
          <w:szCs w:val="24"/>
        </w:rPr>
        <w:t xml:space="preserve">World Bank (2014). </w:t>
      </w:r>
      <w:r w:rsidRPr="00655C04">
        <w:rPr>
          <w:rFonts w:ascii="Times New Roman" w:hAnsi="Times New Roman" w:cs="Times New Roman"/>
          <w:i/>
          <w:sz w:val="24"/>
          <w:szCs w:val="24"/>
        </w:rPr>
        <w:t>World Development Indicators Database.</w:t>
      </w:r>
      <w:r w:rsidRPr="00CC66C2">
        <w:rPr>
          <w:rFonts w:ascii="Times New Roman" w:hAnsi="Times New Roman" w:cs="Times New Roman"/>
          <w:sz w:val="24"/>
          <w:szCs w:val="24"/>
        </w:rPr>
        <w:t xml:space="preserve"> Washington: World Bank.</w:t>
      </w:r>
    </w:p>
    <w:p w:rsidR="001C00CE" w:rsidRDefault="008F44E9">
      <w:pPr>
        <w:pStyle w:val="Default"/>
        <w:spacing w:after="200"/>
        <w:ind w:left="360"/>
        <w:jc w:val="both"/>
      </w:pPr>
      <w:r w:rsidRPr="001E2721">
        <w:t xml:space="preserve">World Bank (2018a). </w:t>
      </w:r>
      <w:r w:rsidRPr="001E2721">
        <w:rPr>
          <w:i/>
          <w:iCs/>
        </w:rPr>
        <w:t xml:space="preserve">Exports of goods and services, current US$ </w:t>
      </w:r>
      <w:r w:rsidRPr="001E2721">
        <w:t>[Online]</w:t>
      </w:r>
      <w:r w:rsidRPr="001E2721">
        <w:rPr>
          <w:i/>
          <w:iCs/>
        </w:rPr>
        <w:t xml:space="preserve">. </w:t>
      </w:r>
      <w:r w:rsidRPr="001E2721">
        <w:t xml:space="preserve">Available from World Bank: http://data.worldbank.org/indicator/NE.EXP.GNFS.KD. [Accessed: 5 January 2018]. </w:t>
      </w:r>
    </w:p>
    <w:p w:rsidR="001C00CE" w:rsidRDefault="008F44E9">
      <w:pPr>
        <w:pStyle w:val="Default"/>
        <w:spacing w:after="200"/>
        <w:ind w:left="360"/>
        <w:jc w:val="both"/>
      </w:pPr>
      <w:r w:rsidRPr="001E2721">
        <w:t xml:space="preserve">World Bank (2018b). </w:t>
      </w:r>
      <w:r w:rsidRPr="001E2721">
        <w:rPr>
          <w:i/>
          <w:iCs/>
        </w:rPr>
        <w:t xml:space="preserve">Exports of goods and service </w:t>
      </w:r>
      <w:r w:rsidRPr="001E2721">
        <w:t>% of GDP</w:t>
      </w:r>
      <w:r w:rsidRPr="001E2721">
        <w:rPr>
          <w:i/>
          <w:iCs/>
        </w:rPr>
        <w:t xml:space="preserve">. </w:t>
      </w:r>
      <w:r w:rsidRPr="001E2721">
        <w:t>[Online]</w:t>
      </w:r>
      <w:r w:rsidRPr="001E2721">
        <w:rPr>
          <w:i/>
          <w:iCs/>
        </w:rPr>
        <w:t>.</w:t>
      </w:r>
      <w:r w:rsidRPr="001E2721">
        <w:t xml:space="preserve">Available from World Bank: http://data.worldbank.org/indicator/NE.EXP.GNFS.ZS. [Accessed: 5 January 2018]. </w:t>
      </w:r>
    </w:p>
    <w:sectPr w:rsidR="001C00CE" w:rsidSect="0038454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C0D" w:rsidRDefault="00716C0D" w:rsidP="00E9515D">
      <w:pPr>
        <w:spacing w:after="0" w:line="240" w:lineRule="auto"/>
      </w:pPr>
      <w:r>
        <w:separator/>
      </w:r>
    </w:p>
  </w:endnote>
  <w:endnote w:type="continuationSeparator" w:id="0">
    <w:p w:rsidR="00716C0D" w:rsidRDefault="00716C0D" w:rsidP="00E9515D">
      <w:pPr>
        <w:spacing w:after="0" w:line="240" w:lineRule="auto"/>
      </w:pPr>
      <w:r>
        <w:continuationSeparator/>
      </w:r>
    </w:p>
  </w:endnote>
  <w:endnote w:type="continuationNotice" w:id="1">
    <w:p w:rsidR="00716C0D" w:rsidRDefault="00716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22FF" w:usb1="C000205B" w:usb2="00000009" w:usb3="00000000" w:csb0="000001DF" w:csb1="00000000"/>
  </w:font>
  <w:font w:name="TimesNew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640546"/>
      <w:docPartObj>
        <w:docPartGallery w:val="Page Numbers (Bottom of Page)"/>
        <w:docPartUnique/>
      </w:docPartObj>
    </w:sdtPr>
    <w:sdtEndPr/>
    <w:sdtContent>
      <w:p w:rsidR="001C00CE" w:rsidRDefault="005244F7">
        <w:pPr>
          <w:pStyle w:val="Footer"/>
          <w:jc w:val="center"/>
        </w:pPr>
        <w:r>
          <w:rPr>
            <w:noProof/>
          </w:rPr>
          <w:fldChar w:fldCharType="begin"/>
        </w:r>
        <w:r w:rsidR="001C00CE">
          <w:rPr>
            <w:noProof/>
          </w:rPr>
          <w:instrText xml:space="preserve"> PAGE   \* MERGEFORMAT </w:instrText>
        </w:r>
        <w:r>
          <w:rPr>
            <w:noProof/>
          </w:rPr>
          <w:fldChar w:fldCharType="separate"/>
        </w:r>
        <w:r w:rsidR="00BA5C2D">
          <w:rPr>
            <w:noProof/>
          </w:rPr>
          <w:t>21</w:t>
        </w:r>
        <w:r>
          <w:rPr>
            <w:noProof/>
          </w:rPr>
          <w:fldChar w:fldCharType="end"/>
        </w:r>
      </w:p>
    </w:sdtContent>
  </w:sdt>
  <w:p w:rsidR="001C00CE" w:rsidRDefault="001C0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C0D" w:rsidRDefault="00716C0D" w:rsidP="00E9515D">
      <w:pPr>
        <w:spacing w:after="0" w:line="240" w:lineRule="auto"/>
      </w:pPr>
      <w:r>
        <w:separator/>
      </w:r>
    </w:p>
  </w:footnote>
  <w:footnote w:type="continuationSeparator" w:id="0">
    <w:p w:rsidR="00716C0D" w:rsidRDefault="00716C0D" w:rsidP="00E9515D">
      <w:pPr>
        <w:spacing w:after="0" w:line="240" w:lineRule="auto"/>
      </w:pPr>
      <w:r>
        <w:continuationSeparator/>
      </w:r>
    </w:p>
  </w:footnote>
  <w:footnote w:type="continuationNotice" w:id="1">
    <w:p w:rsidR="00716C0D" w:rsidRDefault="00716C0D">
      <w:pPr>
        <w:spacing w:after="0" w:line="240" w:lineRule="auto"/>
      </w:pPr>
    </w:p>
  </w:footnote>
  <w:footnote w:id="2">
    <w:p w:rsidR="001C00CE" w:rsidRPr="00DB3645" w:rsidRDefault="001C00CE" w:rsidP="00892C0A">
      <w:pPr>
        <w:pStyle w:val="FootnoteText"/>
        <w:jc w:val="both"/>
        <w:rPr>
          <w:rFonts w:ascii="Times New Roman" w:hAnsi="Times New Roman" w:cs="Times New Roman"/>
        </w:rPr>
      </w:pPr>
      <w:r w:rsidRPr="00E32792">
        <w:rPr>
          <w:rStyle w:val="FootnoteReference"/>
          <w:rFonts w:ascii="Times New Roman" w:hAnsi="Times New Roman" w:cs="Times New Roman"/>
        </w:rPr>
        <w:footnoteRef/>
      </w:r>
      <w:r w:rsidRPr="00E32792">
        <w:rPr>
          <w:rFonts w:ascii="Times New Roman" w:hAnsi="Times New Roman" w:cs="Times New Roman"/>
        </w:rPr>
        <w:t xml:space="preserve"> Given the restricted availability of data for certain indicators, the empirical assessment is limited to selected transition economies: Bulgaria, the Czech Republic, Estonia, Hungary, Lithuania, Latvia, Poland, Romania, the Slovak Republic and Slovenia.</w:t>
      </w:r>
    </w:p>
    <w:p w:rsidR="001C00CE" w:rsidRPr="00E11084" w:rsidRDefault="001C00CE" w:rsidP="00892C0A">
      <w:pPr>
        <w:pStyle w:val="FootnoteText"/>
      </w:pPr>
    </w:p>
  </w:footnote>
  <w:footnote w:id="3">
    <w:p w:rsidR="001C00CE" w:rsidRPr="002F3A47" w:rsidRDefault="001C00CE" w:rsidP="00892C0A">
      <w:pPr>
        <w:pStyle w:val="FootnoteText"/>
        <w:jc w:val="both"/>
      </w:pPr>
      <w:r>
        <w:rPr>
          <w:rStyle w:val="FootnoteReference"/>
        </w:rPr>
        <w:footnoteRef/>
      </w:r>
      <w:r w:rsidRPr="00801F9C">
        <w:rPr>
          <w:rFonts w:ascii="Times New Roman" w:hAnsi="Times New Roman" w:cs="Times New Roman"/>
        </w:rPr>
        <w:t>Although the transition process has been declared to be complete by the World Bank (2008) for all the Central and Eastern European countries in the sample, these are still regarded in the literature as transition economies</w:t>
      </w:r>
      <w:r>
        <w:rPr>
          <w:rFonts w:ascii="Times New Roman" w:hAnsi="Times New Roman" w:cs="Times New Roman"/>
        </w:rPr>
        <w:t>.</w:t>
      </w:r>
    </w:p>
  </w:footnote>
  <w:footnote w:id="4">
    <w:p w:rsidR="001C00CE" w:rsidRPr="00E909DB" w:rsidRDefault="001C00CE" w:rsidP="00090D5F">
      <w:pPr>
        <w:pStyle w:val="FootnoteText"/>
        <w:jc w:val="both"/>
        <w:rPr>
          <w:lang w:val="en-US"/>
        </w:rPr>
      </w:pPr>
      <w:r w:rsidRPr="00E32792">
        <w:rPr>
          <w:rStyle w:val="FootnoteReference"/>
        </w:rPr>
        <w:footnoteRef/>
      </w:r>
      <w:r w:rsidRPr="00E32792">
        <w:t xml:space="preserve"> </w:t>
      </w:r>
      <w:r w:rsidRPr="00E32792">
        <w:rPr>
          <w:rFonts w:ascii="Times New Roman" w:hAnsi="Times New Roman" w:cs="Times New Roman"/>
        </w:rPr>
        <w:t>This period was also associated with: an authoritarian administration of education institutions, a strictly centralized traditional curriculum with no emphasis on creative judgment and problem-solving skills and very limited monitoring of learning outcomes (OECD, 2011).</w:t>
      </w:r>
    </w:p>
  </w:footnote>
  <w:footnote w:id="5">
    <w:p w:rsidR="001C00CE" w:rsidRPr="00E32792" w:rsidRDefault="001C00CE" w:rsidP="003A6498">
      <w:pPr>
        <w:pStyle w:val="FootnoteText"/>
        <w:rPr>
          <w:rFonts w:ascii="Times New Roman" w:hAnsi="Times New Roman" w:cs="Times New Roman"/>
        </w:rPr>
      </w:pPr>
      <w:r w:rsidRPr="00E32792">
        <w:rPr>
          <w:rStyle w:val="FootnoteReference"/>
          <w:rFonts w:ascii="Times New Roman" w:hAnsi="Times New Roman" w:cs="Times New Roman"/>
        </w:rPr>
        <w:footnoteRef/>
      </w:r>
      <w:r w:rsidRPr="00E32792">
        <w:rPr>
          <w:rFonts w:ascii="Times New Roman" w:hAnsi="Times New Roman" w:cs="Times New Roman"/>
        </w:rPr>
        <w:t xml:space="preserve"> PISA - Programme for International Student Assessment </w:t>
      </w:r>
    </w:p>
  </w:footnote>
  <w:footnote w:id="6">
    <w:p w:rsidR="001C00CE" w:rsidRPr="00E32792" w:rsidRDefault="001C00CE">
      <w:pPr>
        <w:pStyle w:val="FootnoteText"/>
        <w:rPr>
          <w:rFonts w:ascii="Times New Roman" w:hAnsi="Times New Roman" w:cs="Times New Roman"/>
        </w:rPr>
      </w:pPr>
      <w:r w:rsidRPr="00E32792">
        <w:rPr>
          <w:rStyle w:val="FootnoteReference"/>
          <w:rFonts w:ascii="Times New Roman" w:hAnsi="Times New Roman" w:cs="Times New Roman"/>
        </w:rPr>
        <w:footnoteRef/>
      </w:r>
      <w:r w:rsidRPr="00E32792">
        <w:rPr>
          <w:rFonts w:ascii="Times New Roman" w:hAnsi="Times New Roman" w:cs="Times New Roman"/>
        </w:rPr>
        <w:t xml:space="preserve"> TIMSS - Trends in International Mathematics and Science Study </w:t>
      </w:r>
    </w:p>
  </w:footnote>
  <w:footnote w:id="7">
    <w:p w:rsidR="001C00CE" w:rsidRPr="00E32792" w:rsidRDefault="001C00CE">
      <w:pPr>
        <w:pStyle w:val="FootnoteText"/>
        <w:rPr>
          <w:rFonts w:ascii="Times New Roman" w:hAnsi="Times New Roman" w:cs="Times New Roman"/>
        </w:rPr>
      </w:pPr>
      <w:r w:rsidRPr="00E32792">
        <w:rPr>
          <w:rStyle w:val="FootnoteReference"/>
          <w:rFonts w:ascii="Times New Roman" w:hAnsi="Times New Roman" w:cs="Times New Roman"/>
        </w:rPr>
        <w:footnoteRef/>
      </w:r>
      <w:r w:rsidRPr="00E32792">
        <w:rPr>
          <w:rFonts w:ascii="Times New Roman" w:hAnsi="Times New Roman" w:cs="Times New Roman"/>
        </w:rPr>
        <w:t xml:space="preserve"> PIRLS - Progress in International Reading Literacy Study</w:t>
      </w:r>
    </w:p>
  </w:footnote>
  <w:footnote w:id="8">
    <w:p w:rsidR="001C00CE" w:rsidRPr="00A27EF4" w:rsidRDefault="001C00CE" w:rsidP="00A27EF4">
      <w:pPr>
        <w:pStyle w:val="FootnoteText"/>
        <w:jc w:val="both"/>
        <w:rPr>
          <w:rFonts w:ascii="Times New Roman" w:hAnsi="Times New Roman" w:cs="Times New Roman"/>
          <w:highlight w:val="yellow"/>
        </w:rPr>
      </w:pPr>
      <w:r w:rsidRPr="00E32792">
        <w:rPr>
          <w:rStyle w:val="FootnoteReference"/>
          <w:rFonts w:ascii="Times New Roman" w:hAnsi="Times New Roman" w:cs="Times New Roman"/>
        </w:rPr>
        <w:footnoteRef/>
      </w:r>
      <w:r w:rsidRPr="00E32792">
        <w:rPr>
          <w:rFonts w:ascii="Times New Roman" w:hAnsi="Times New Roman" w:cs="Times New Roman"/>
        </w:rPr>
        <w:t xml:space="preserve">As a robustness check, an alternative regression analysis employing this measure was conducted, these results are available on request. The results for the variables of interest were very similar. </w:t>
      </w:r>
    </w:p>
  </w:footnote>
  <w:footnote w:id="9">
    <w:p w:rsidR="001C00CE" w:rsidRPr="001C6C0D" w:rsidRDefault="001C00CE" w:rsidP="00A27EF4">
      <w:pPr>
        <w:pStyle w:val="FootnoteText"/>
        <w:jc w:val="both"/>
        <w:rPr>
          <w:rFonts w:ascii="Times New Roman" w:hAnsi="Times New Roman" w:cs="Times New Roman"/>
        </w:rPr>
      </w:pPr>
      <w:r w:rsidRPr="00E32792">
        <w:rPr>
          <w:rStyle w:val="FootnoteReference"/>
          <w:rFonts w:ascii="Times New Roman" w:hAnsi="Times New Roman" w:cs="Times New Roman"/>
        </w:rPr>
        <w:footnoteRef/>
      </w:r>
      <w:r w:rsidRPr="00E32792">
        <w:rPr>
          <w:rFonts w:ascii="Times New Roman" w:hAnsi="Times New Roman" w:cs="Times New Roman"/>
        </w:rPr>
        <w:t xml:space="preserve"> In addition to the export market share, a modified version of Balassa’s (1965) revealed comparative advantage index (RCA) was considered. However, given the various criticisms of its inability to fully capture the theoretical concept of competitiveness, as well as its questionable statistical features, it was not used in the estimations.</w:t>
      </w:r>
      <w:r w:rsidRPr="001C6C0D">
        <w:rPr>
          <w:rFonts w:ascii="Times New Roman" w:hAnsi="Times New Roman" w:cs="Times New Roman"/>
        </w:rPr>
        <w:t xml:space="preserve">   </w:t>
      </w:r>
    </w:p>
  </w:footnote>
  <w:footnote w:id="10">
    <w:p w:rsidR="001C00CE" w:rsidRPr="00E32792" w:rsidRDefault="001C00CE" w:rsidP="004C4A46">
      <w:pPr>
        <w:pStyle w:val="FootnoteText"/>
        <w:jc w:val="both"/>
        <w:rPr>
          <w:rFonts w:ascii="Times New Roman" w:hAnsi="Times New Roman" w:cs="Times New Roman"/>
          <w:lang w:val="en-US"/>
        </w:rPr>
      </w:pPr>
      <w:r w:rsidRPr="00E32792">
        <w:rPr>
          <w:rStyle w:val="FootnoteReference"/>
          <w:rFonts w:ascii="Times New Roman" w:hAnsi="Times New Roman" w:cs="Times New Roman"/>
        </w:rPr>
        <w:footnoteRef/>
      </w:r>
      <w:r w:rsidRPr="00E32792">
        <w:rPr>
          <w:rFonts w:ascii="Times New Roman" w:hAnsi="Times New Roman" w:cs="Times New Roman"/>
        </w:rPr>
        <w:t xml:space="preserve"> The following tests were used by Hanushek and Woessmann’s (2012) in the calculation of the indicator: First International Mathematics Study (FIMS); First International Science Study (FISS); Second International Mathematics Study (SIMS); Second International Science Study (SISS); Third International Mathematics and Science Study (TIMSS) and Programme for International Student Assessment (PISA).</w:t>
      </w:r>
    </w:p>
  </w:footnote>
  <w:footnote w:id="11">
    <w:p w:rsidR="001C00CE" w:rsidRPr="00E32792" w:rsidRDefault="001C00CE" w:rsidP="00906E6B">
      <w:pPr>
        <w:pStyle w:val="FootnoteText"/>
        <w:jc w:val="both"/>
        <w:rPr>
          <w:rFonts w:ascii="Times New Roman" w:hAnsi="Times New Roman" w:cs="Times New Roman"/>
        </w:rPr>
      </w:pPr>
      <w:r w:rsidRPr="00E32792">
        <w:rPr>
          <w:rStyle w:val="FootnoteReference"/>
          <w:rFonts w:ascii="Times New Roman" w:hAnsi="Times New Roman" w:cs="Times New Roman"/>
        </w:rPr>
        <w:footnoteRef/>
      </w:r>
      <w:r w:rsidRPr="00E32792">
        <w:rPr>
          <w:rFonts w:ascii="Times New Roman" w:hAnsi="Times New Roman" w:cs="Times New Roman"/>
        </w:rPr>
        <w:t xml:space="preserve"> Even though the quality of the human capital of the adult labour force has started to become part of various International Adult Literacy surveys, their time span and country coverage are still very limited, making it unsuitable for this analysis.</w:t>
      </w:r>
    </w:p>
  </w:footnote>
  <w:footnote w:id="12">
    <w:p w:rsidR="001C00CE" w:rsidRPr="00E32792" w:rsidRDefault="001C00CE" w:rsidP="00B013DC">
      <w:pPr>
        <w:pStyle w:val="FootnoteText"/>
        <w:rPr>
          <w:rFonts w:ascii="Times New Roman" w:hAnsi="Times New Roman" w:cs="Times New Roman"/>
        </w:rPr>
      </w:pPr>
      <w:r w:rsidRPr="00E32792">
        <w:rPr>
          <w:rStyle w:val="FootnoteReference"/>
          <w:rFonts w:ascii="Times New Roman" w:hAnsi="Times New Roman" w:cs="Times New Roman"/>
        </w:rPr>
        <w:footnoteRef/>
      </w:r>
      <w:r w:rsidRPr="00E32792">
        <w:rPr>
          <w:rFonts w:ascii="Times New Roman" w:hAnsi="Times New Roman" w:cs="Times New Roman"/>
        </w:rPr>
        <w:t xml:space="preserve"> Education quality dataset v2.2 available at </w:t>
      </w:r>
      <w:hyperlink r:id="rId1" w:history="1">
        <w:r w:rsidRPr="00E32792">
          <w:rPr>
            <w:rStyle w:val="Hyperlink"/>
            <w:rFonts w:ascii="Times New Roman" w:hAnsi="Times New Roman" w:cs="Times New Roman"/>
          </w:rPr>
          <w:t>https://sites.google.com/site/nadiraltinok/home/datasets</w:t>
        </w:r>
      </w:hyperlink>
      <w:r w:rsidRPr="00E32792">
        <w:rPr>
          <w:rFonts w:ascii="Times New Roman" w:hAnsi="Times New Roman" w:cs="Times New Roman"/>
        </w:rPr>
        <w:t xml:space="preserve">. </w:t>
      </w:r>
    </w:p>
  </w:footnote>
  <w:footnote w:id="13">
    <w:p w:rsidR="001C00CE" w:rsidRPr="00C1571E" w:rsidRDefault="001C00CE" w:rsidP="00FC1623">
      <w:pPr>
        <w:pStyle w:val="FootnoteText"/>
        <w:jc w:val="both"/>
        <w:rPr>
          <w:lang w:val="en-US"/>
        </w:rPr>
      </w:pPr>
      <w:r w:rsidRPr="00E32792">
        <w:rPr>
          <w:rStyle w:val="FootnoteReference"/>
          <w:rFonts w:ascii="Times New Roman" w:hAnsi="Times New Roman" w:cs="Times New Roman"/>
        </w:rPr>
        <w:footnoteRef/>
      </w:r>
      <w:r w:rsidRPr="00E32792">
        <w:rPr>
          <w:rFonts w:ascii="Times New Roman" w:hAnsi="Times New Roman" w:cs="Times New Roman"/>
        </w:rPr>
        <w:t xml:space="preserve"> Data for some of the countries in the sample is missing for some years/intervals thus making interpolation inappropriate.</w:t>
      </w:r>
    </w:p>
  </w:footnote>
  <w:footnote w:id="14">
    <w:p w:rsidR="001C00CE" w:rsidRPr="00CC7365" w:rsidRDefault="001C00CE" w:rsidP="00CC7365">
      <w:pPr>
        <w:pStyle w:val="FootnoteText"/>
        <w:jc w:val="both"/>
        <w:rPr>
          <w:rFonts w:ascii="Times New Roman" w:hAnsi="Times New Roman" w:cs="Times New Roman"/>
        </w:rPr>
      </w:pPr>
      <w:r w:rsidRPr="00CC7365">
        <w:rPr>
          <w:rStyle w:val="FootnoteReference"/>
          <w:rFonts w:ascii="Times New Roman" w:hAnsi="Times New Roman" w:cs="Times New Roman"/>
        </w:rPr>
        <w:footnoteRef/>
      </w:r>
      <w:r w:rsidRPr="00CC7365">
        <w:rPr>
          <w:rFonts w:ascii="Times New Roman" w:hAnsi="Times New Roman" w:cs="Times New Roman"/>
        </w:rPr>
        <w:t xml:space="preserve"> Research and development expenditure (% GDP) and patent grants could not be used in the estimations due to the large amount of missing data.</w:t>
      </w:r>
    </w:p>
  </w:footnote>
  <w:footnote w:id="15">
    <w:p w:rsidR="001C00CE" w:rsidRPr="00A424A7" w:rsidRDefault="001C00CE" w:rsidP="00494280">
      <w:pPr>
        <w:pStyle w:val="FootnoteText"/>
        <w:jc w:val="both"/>
        <w:rPr>
          <w:rFonts w:ascii="Times New Roman" w:hAnsi="Times New Roman" w:cs="Times New Roman"/>
          <w:lang w:val="en-US"/>
        </w:rPr>
      </w:pPr>
      <w:r w:rsidRPr="00A424A7">
        <w:rPr>
          <w:rStyle w:val="FootnoteReference"/>
          <w:rFonts w:ascii="Times New Roman" w:hAnsi="Times New Roman" w:cs="Times New Roman"/>
        </w:rPr>
        <w:footnoteRef/>
      </w:r>
      <w:r w:rsidRPr="00A424A7">
        <w:rPr>
          <w:rFonts w:ascii="Times New Roman" w:hAnsi="Times New Roman" w:cs="Times New Roman"/>
        </w:rPr>
        <w:t xml:space="preserve"> Whilst there is a correlation of 0.72 between the economic freedom index and the transition indicator in the CEECs sample, this did not affect the final estimation results. As Wooldridge (2009) points out, if the degree of correlation between any control variables does not affect, i.e. is not correlated with the variables of interest, the partial effects of the latter can be determined without any difficulties.  </w:t>
      </w:r>
    </w:p>
  </w:footnote>
  <w:footnote w:id="16">
    <w:p w:rsidR="001C00CE" w:rsidRPr="00A424A7" w:rsidRDefault="001C00CE" w:rsidP="00A24222">
      <w:pPr>
        <w:pStyle w:val="FootnoteText"/>
        <w:jc w:val="both"/>
        <w:rPr>
          <w:rFonts w:ascii="Times New Roman" w:hAnsi="Times New Roman" w:cs="Times New Roman"/>
        </w:rPr>
      </w:pPr>
      <w:r w:rsidRPr="00A424A7">
        <w:rPr>
          <w:rStyle w:val="FootnoteReference"/>
          <w:rFonts w:ascii="Times New Roman" w:hAnsi="Times New Roman" w:cs="Times New Roman"/>
        </w:rPr>
        <w:footnoteRef/>
      </w:r>
      <w:r w:rsidRPr="00A424A7">
        <w:rPr>
          <w:rFonts w:ascii="Times New Roman" w:hAnsi="Times New Roman" w:cs="Times New Roman"/>
        </w:rPr>
        <w:t xml:space="preserve"> It also covers the imputed bank service charges, import duties, and any statistical discrepancies noted by national compilers as well as discrepancies arising from rescaling (WDI – World Bank, 2014).</w:t>
      </w:r>
    </w:p>
  </w:footnote>
  <w:footnote w:id="17">
    <w:p w:rsidR="001C00CE" w:rsidRPr="008C0846" w:rsidRDefault="001C00CE" w:rsidP="00EC623D">
      <w:pPr>
        <w:pStyle w:val="FootnoteText"/>
        <w:jc w:val="both"/>
        <w:rPr>
          <w:lang w:val="en-US"/>
        </w:rPr>
      </w:pPr>
      <w:r w:rsidRPr="00A424A7">
        <w:rPr>
          <w:rStyle w:val="FootnoteReference"/>
          <w:rFonts w:ascii="Times New Roman" w:hAnsi="Times New Roman" w:cs="Times New Roman"/>
        </w:rPr>
        <w:footnoteRef/>
      </w:r>
      <w:r w:rsidRPr="00A424A7">
        <w:rPr>
          <w:rFonts w:ascii="Times New Roman" w:hAnsi="Times New Roman" w:cs="Times New Roman"/>
          <w:lang w:val="en-US"/>
        </w:rPr>
        <w:t xml:space="preserve"> Albania, Croatia, Bosnia and Herzegovina, Kosovo, Macedonia, Montenegro and Serbia are excluded from the investigation due to lack of data.</w:t>
      </w:r>
    </w:p>
  </w:footnote>
  <w:footnote w:id="18">
    <w:p w:rsidR="001C00CE" w:rsidRPr="00A424A7" w:rsidRDefault="001C00CE" w:rsidP="00DA6577">
      <w:pPr>
        <w:pStyle w:val="FootnoteText"/>
        <w:jc w:val="both"/>
        <w:rPr>
          <w:rFonts w:ascii="Times New Roman" w:hAnsi="Times New Roman" w:cs="Times New Roman"/>
          <w:color w:val="FF0000"/>
          <w:highlight w:val="yellow"/>
          <w:lang w:val="en-US"/>
        </w:rPr>
      </w:pPr>
      <w:r w:rsidRPr="00A424A7">
        <w:rPr>
          <w:rStyle w:val="FootnoteReference"/>
          <w:rFonts w:ascii="Times New Roman" w:hAnsi="Times New Roman" w:cs="Times New Roman"/>
        </w:rPr>
        <w:footnoteRef/>
      </w:r>
      <w:r w:rsidRPr="00A424A7">
        <w:rPr>
          <w:rFonts w:ascii="Times New Roman" w:hAnsi="Times New Roman" w:cs="Times New Roman"/>
        </w:rPr>
        <w:t xml:space="preserve"> The impact of the quality of education proxied by three different measures is assessed in alternative model specifications. </w:t>
      </w:r>
    </w:p>
  </w:footnote>
  <w:footnote w:id="19">
    <w:p w:rsidR="001C00CE" w:rsidRPr="002150F9" w:rsidRDefault="001C00CE" w:rsidP="002150F9">
      <w:pPr>
        <w:pStyle w:val="FootnoteText"/>
        <w:jc w:val="both"/>
        <w:rPr>
          <w:rFonts w:ascii="Times New Roman" w:hAnsi="Times New Roman" w:cs="Times New Roman"/>
          <w:lang w:val="en-US"/>
        </w:rPr>
      </w:pPr>
      <w:r w:rsidRPr="002150F9">
        <w:rPr>
          <w:rStyle w:val="FootnoteReference"/>
          <w:rFonts w:ascii="Times New Roman" w:hAnsi="Times New Roman" w:cs="Times New Roman"/>
        </w:rPr>
        <w:footnoteRef/>
      </w:r>
      <w:r w:rsidRPr="002150F9">
        <w:rPr>
          <w:rFonts w:ascii="Times New Roman" w:hAnsi="Times New Roman" w:cs="Times New Roman"/>
        </w:rPr>
        <w:t xml:space="preserve"> </w:t>
      </w:r>
      <w:r>
        <w:rPr>
          <w:rFonts w:ascii="Times New Roman" w:hAnsi="Times New Roman" w:cs="Times New Roman"/>
        </w:rPr>
        <w:t>T</w:t>
      </w:r>
      <w:r w:rsidRPr="002150F9">
        <w:rPr>
          <w:rFonts w:ascii="Times New Roman" w:hAnsi="Times New Roman" w:cs="Times New Roman"/>
        </w:rPr>
        <w:t>he Chow tests were based on fixed-effects estimations. Models were run o</w:t>
      </w:r>
      <w:r w:rsidR="008A1D8D">
        <w:rPr>
          <w:rFonts w:ascii="Times New Roman" w:hAnsi="Times New Roman" w:cs="Times New Roman"/>
        </w:rPr>
        <w:t xml:space="preserve">n a pooled sample of countries </w:t>
      </w:r>
      <w:r w:rsidRPr="002150F9">
        <w:rPr>
          <w:rFonts w:ascii="Times New Roman" w:hAnsi="Times New Roman" w:cs="Times New Roman"/>
        </w:rPr>
        <w:t xml:space="preserve">including the explanatory variable set as well as their interactions with the transition dummy. The joint significance of the interaction terms </w:t>
      </w:r>
      <w:r>
        <w:rPr>
          <w:rFonts w:ascii="Times New Roman" w:hAnsi="Times New Roman" w:cs="Times New Roman"/>
        </w:rPr>
        <w:t>is</w:t>
      </w:r>
      <w:r w:rsidRPr="002150F9">
        <w:rPr>
          <w:rFonts w:ascii="Times New Roman" w:hAnsi="Times New Roman" w:cs="Times New Roman"/>
        </w:rPr>
        <w:t xml:space="preserve"> then tested by an F-test.</w:t>
      </w:r>
    </w:p>
  </w:footnote>
  <w:footnote w:id="20">
    <w:p w:rsidR="001C00CE" w:rsidRPr="0018245E" w:rsidRDefault="001C00CE" w:rsidP="0018245E">
      <w:pPr>
        <w:pStyle w:val="FootnoteText"/>
        <w:jc w:val="both"/>
        <w:rPr>
          <w:lang w:val="en-US"/>
        </w:rPr>
      </w:pPr>
      <w:r w:rsidRPr="00A424A7">
        <w:rPr>
          <w:rStyle w:val="FootnoteReference"/>
          <w:rFonts w:ascii="Times New Roman" w:hAnsi="Times New Roman" w:cs="Times New Roman"/>
        </w:rPr>
        <w:footnoteRef/>
      </w:r>
      <w:r w:rsidRPr="00A424A7">
        <w:rPr>
          <w:rFonts w:ascii="Times New Roman" w:hAnsi="Times New Roman" w:cs="Times New Roman"/>
        </w:rPr>
        <w:t>Although this approach has been used in many empirical analyses, it has also been criticized. Greene (2011) argues that the new method is the same as the LSDV estimator and that there are no apparent efficiency gains. Moreover, he has strongly criticized step 3 of the procedure by arguing that it produces very small standard errors, and therefore, it should not be carried out. However, the authors of FEVD have addressed the issue of very small standard errors in their updated Stata ado file. According to Breusch et al. (2011), if there is an indication of potential endogeneity, i.e. time invariant variables being correlated with the unobserved effects, the FEVD estimator will be inconsistent</w:t>
      </w:r>
      <w:r w:rsidRPr="00A424A7">
        <w:t>.</w:t>
      </w:r>
    </w:p>
  </w:footnote>
  <w:footnote w:id="21">
    <w:p w:rsidR="001C00CE" w:rsidRPr="00831875" w:rsidRDefault="001C00CE" w:rsidP="001B521A">
      <w:pPr>
        <w:pStyle w:val="FootnoteText"/>
        <w:jc w:val="both"/>
        <w:rPr>
          <w:rFonts w:ascii="Times New Roman" w:hAnsi="Times New Roman" w:cs="Times New Roman"/>
          <w:lang w:val="en-US"/>
        </w:rPr>
      </w:pPr>
      <w:r w:rsidRPr="001C00CE">
        <w:rPr>
          <w:rStyle w:val="FootnoteReference"/>
          <w:rFonts w:ascii="Times New Roman" w:hAnsi="Times New Roman" w:cs="Times New Roman"/>
        </w:rPr>
        <w:footnoteRef/>
      </w:r>
      <w:r w:rsidRPr="001C00CE">
        <w:rPr>
          <w:rFonts w:ascii="Times New Roman" w:hAnsi="Times New Roman" w:cs="Times New Roman"/>
        </w:rPr>
        <w:t xml:space="preserve"> </w:t>
      </w:r>
      <w:r w:rsidRPr="001C00CE">
        <w:rPr>
          <w:rFonts w:ascii="Times New Roman" w:hAnsi="Times New Roman" w:cs="Times New Roman"/>
          <w:lang w:val="en-US"/>
        </w:rPr>
        <w:t>The estimation results for the time varying variables are generally consistent across the estimators, with the exception of FEVD estimates being statistically insignificant.</w:t>
      </w:r>
      <w:r w:rsidRPr="00831875">
        <w:rPr>
          <w:rFonts w:ascii="Times New Roman" w:hAnsi="Times New Roman" w:cs="Times New Roman"/>
          <w:lang w:val="en-US"/>
        </w:rPr>
        <w:t xml:space="preserve"> </w:t>
      </w:r>
    </w:p>
  </w:footnote>
  <w:footnote w:id="22">
    <w:p w:rsidR="000D20B6" w:rsidRPr="000D20B6" w:rsidRDefault="000D20B6" w:rsidP="00F6223D">
      <w:pPr>
        <w:spacing w:after="0" w:line="240" w:lineRule="auto"/>
        <w:jc w:val="both"/>
        <w:rPr>
          <w:rFonts w:ascii="Times New Roman" w:hAnsi="Times New Roman" w:cs="Times New Roman"/>
          <w:sz w:val="20"/>
          <w:szCs w:val="20"/>
        </w:rPr>
      </w:pPr>
      <w:r w:rsidRPr="000D20B6">
        <w:rPr>
          <w:rStyle w:val="FootnoteReference"/>
          <w:rFonts w:ascii="Times New Roman" w:hAnsi="Times New Roman" w:cs="Times New Roman"/>
          <w:sz w:val="20"/>
          <w:szCs w:val="20"/>
        </w:rPr>
        <w:footnoteRef/>
      </w:r>
      <w:r w:rsidRPr="000D20B6">
        <w:rPr>
          <w:rFonts w:ascii="Times New Roman" w:hAnsi="Times New Roman" w:cs="Times New Roman"/>
          <w:sz w:val="20"/>
          <w:szCs w:val="20"/>
        </w:rPr>
        <w:t xml:space="preserve"> While the magnitude of the effects of the two variables seems quite different, it should be noted that these are measured differently. </w:t>
      </w:r>
      <w:r w:rsidRPr="000D20B6">
        <w:rPr>
          <w:rFonts w:ascii="Times New Roman" w:hAnsi="Times New Roman" w:cs="Times New Roman"/>
          <w:i/>
          <w:sz w:val="20"/>
          <w:szCs w:val="20"/>
        </w:rPr>
        <w:t>Cskills</w:t>
      </w:r>
      <w:r w:rsidRPr="000D20B6">
        <w:rPr>
          <w:rFonts w:ascii="Times New Roman" w:hAnsi="Times New Roman" w:cs="Times New Roman"/>
          <w:sz w:val="20"/>
          <w:szCs w:val="20"/>
        </w:rPr>
        <w:t xml:space="preserve"> is a standardized index with the minimum of 4.54 and maximum of 5.19, whereas </w:t>
      </w:r>
      <w:r w:rsidRPr="000D20B6">
        <w:rPr>
          <w:rFonts w:ascii="Times New Roman" w:hAnsi="Times New Roman" w:cs="Times New Roman"/>
          <w:i/>
          <w:sz w:val="20"/>
          <w:szCs w:val="20"/>
        </w:rPr>
        <w:t xml:space="preserve">meanscores </w:t>
      </w:r>
      <w:r w:rsidRPr="000D20B6">
        <w:rPr>
          <w:rFonts w:ascii="Times New Roman" w:hAnsi="Times New Roman" w:cs="Times New Roman"/>
          <w:sz w:val="20"/>
          <w:szCs w:val="20"/>
        </w:rPr>
        <w:t>reflects mean test scores in the range of 507 to 608.</w:t>
      </w:r>
    </w:p>
    <w:p w:rsidR="000D20B6" w:rsidRPr="000D20B6" w:rsidRDefault="000D20B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CE" w:rsidRDefault="001C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C75"/>
    <w:multiLevelType w:val="hybridMultilevel"/>
    <w:tmpl w:val="4C84C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2722"/>
    <w:multiLevelType w:val="hybridMultilevel"/>
    <w:tmpl w:val="5938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42770"/>
    <w:multiLevelType w:val="hybridMultilevel"/>
    <w:tmpl w:val="2AAA1A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B6D8D"/>
    <w:multiLevelType w:val="hybridMultilevel"/>
    <w:tmpl w:val="EFF8A970"/>
    <w:lvl w:ilvl="0" w:tplc="A066EEE2">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95E5F"/>
    <w:multiLevelType w:val="hybridMultilevel"/>
    <w:tmpl w:val="709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47581"/>
    <w:multiLevelType w:val="hybridMultilevel"/>
    <w:tmpl w:val="FBDE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37647"/>
    <w:multiLevelType w:val="hybridMultilevel"/>
    <w:tmpl w:val="4C84C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B7A26"/>
    <w:rsid w:val="00001B75"/>
    <w:rsid w:val="00002C31"/>
    <w:rsid w:val="000033F3"/>
    <w:rsid w:val="00003404"/>
    <w:rsid w:val="00005696"/>
    <w:rsid w:val="000061BF"/>
    <w:rsid w:val="000061C1"/>
    <w:rsid w:val="00006429"/>
    <w:rsid w:val="0001036F"/>
    <w:rsid w:val="00013BFC"/>
    <w:rsid w:val="00014EDF"/>
    <w:rsid w:val="00015C75"/>
    <w:rsid w:val="00015ED8"/>
    <w:rsid w:val="0001602E"/>
    <w:rsid w:val="0001722C"/>
    <w:rsid w:val="000178A8"/>
    <w:rsid w:val="00017A73"/>
    <w:rsid w:val="00017ABC"/>
    <w:rsid w:val="00020362"/>
    <w:rsid w:val="00020A4A"/>
    <w:rsid w:val="00021E0F"/>
    <w:rsid w:val="000255AC"/>
    <w:rsid w:val="00030617"/>
    <w:rsid w:val="000321F7"/>
    <w:rsid w:val="000327B9"/>
    <w:rsid w:val="00033C55"/>
    <w:rsid w:val="00035A1B"/>
    <w:rsid w:val="00036614"/>
    <w:rsid w:val="0003719E"/>
    <w:rsid w:val="000376E3"/>
    <w:rsid w:val="00040CAA"/>
    <w:rsid w:val="000412CD"/>
    <w:rsid w:val="000432C8"/>
    <w:rsid w:val="00043719"/>
    <w:rsid w:val="00043A53"/>
    <w:rsid w:val="000453E8"/>
    <w:rsid w:val="000459F8"/>
    <w:rsid w:val="000461AC"/>
    <w:rsid w:val="000462EE"/>
    <w:rsid w:val="00051ECE"/>
    <w:rsid w:val="00054361"/>
    <w:rsid w:val="00055D1A"/>
    <w:rsid w:val="00056D55"/>
    <w:rsid w:val="00057527"/>
    <w:rsid w:val="00057870"/>
    <w:rsid w:val="00060A3F"/>
    <w:rsid w:val="00061EED"/>
    <w:rsid w:val="0006275D"/>
    <w:rsid w:val="00062F43"/>
    <w:rsid w:val="00063440"/>
    <w:rsid w:val="000638D1"/>
    <w:rsid w:val="00064199"/>
    <w:rsid w:val="000648CF"/>
    <w:rsid w:val="0006683B"/>
    <w:rsid w:val="00070275"/>
    <w:rsid w:val="00070E4B"/>
    <w:rsid w:val="00073E18"/>
    <w:rsid w:val="0007496A"/>
    <w:rsid w:val="000753A6"/>
    <w:rsid w:val="000806CD"/>
    <w:rsid w:val="00081878"/>
    <w:rsid w:val="000818E2"/>
    <w:rsid w:val="0008208E"/>
    <w:rsid w:val="000820DC"/>
    <w:rsid w:val="00084E88"/>
    <w:rsid w:val="000857BC"/>
    <w:rsid w:val="00086FBA"/>
    <w:rsid w:val="00090D5F"/>
    <w:rsid w:val="000919F8"/>
    <w:rsid w:val="00092808"/>
    <w:rsid w:val="00094816"/>
    <w:rsid w:val="00095755"/>
    <w:rsid w:val="000974FB"/>
    <w:rsid w:val="00097711"/>
    <w:rsid w:val="000A0EF3"/>
    <w:rsid w:val="000A2C39"/>
    <w:rsid w:val="000A2D2A"/>
    <w:rsid w:val="000A448A"/>
    <w:rsid w:val="000A4E81"/>
    <w:rsid w:val="000A5BDF"/>
    <w:rsid w:val="000A5FF7"/>
    <w:rsid w:val="000A6211"/>
    <w:rsid w:val="000A6E07"/>
    <w:rsid w:val="000B15A0"/>
    <w:rsid w:val="000B37DD"/>
    <w:rsid w:val="000B4064"/>
    <w:rsid w:val="000B41C7"/>
    <w:rsid w:val="000B48AB"/>
    <w:rsid w:val="000B4EDC"/>
    <w:rsid w:val="000B5449"/>
    <w:rsid w:val="000B6269"/>
    <w:rsid w:val="000B65A3"/>
    <w:rsid w:val="000B6E26"/>
    <w:rsid w:val="000B7465"/>
    <w:rsid w:val="000B766B"/>
    <w:rsid w:val="000B7E46"/>
    <w:rsid w:val="000C2295"/>
    <w:rsid w:val="000C31F5"/>
    <w:rsid w:val="000C6BAE"/>
    <w:rsid w:val="000C7BF4"/>
    <w:rsid w:val="000D20B6"/>
    <w:rsid w:val="000D2C38"/>
    <w:rsid w:val="000D3726"/>
    <w:rsid w:val="000D6542"/>
    <w:rsid w:val="000D6BCC"/>
    <w:rsid w:val="000D777B"/>
    <w:rsid w:val="000D79A9"/>
    <w:rsid w:val="000D7B52"/>
    <w:rsid w:val="000E0802"/>
    <w:rsid w:val="000E11CA"/>
    <w:rsid w:val="000E3EF6"/>
    <w:rsid w:val="000E4001"/>
    <w:rsid w:val="000E4A52"/>
    <w:rsid w:val="000E51E2"/>
    <w:rsid w:val="000E557E"/>
    <w:rsid w:val="000E57C2"/>
    <w:rsid w:val="000E5A8C"/>
    <w:rsid w:val="000E647E"/>
    <w:rsid w:val="000E7D16"/>
    <w:rsid w:val="000F0691"/>
    <w:rsid w:val="000F0D23"/>
    <w:rsid w:val="000F1587"/>
    <w:rsid w:val="000F194D"/>
    <w:rsid w:val="000F408D"/>
    <w:rsid w:val="000F654D"/>
    <w:rsid w:val="00103F9C"/>
    <w:rsid w:val="00104447"/>
    <w:rsid w:val="00104D53"/>
    <w:rsid w:val="001054E8"/>
    <w:rsid w:val="00107321"/>
    <w:rsid w:val="00107730"/>
    <w:rsid w:val="00111332"/>
    <w:rsid w:val="001113AB"/>
    <w:rsid w:val="00113503"/>
    <w:rsid w:val="001158DC"/>
    <w:rsid w:val="00116FB5"/>
    <w:rsid w:val="001179C5"/>
    <w:rsid w:val="00120C08"/>
    <w:rsid w:val="001220CB"/>
    <w:rsid w:val="0012290F"/>
    <w:rsid w:val="00122B64"/>
    <w:rsid w:val="00123B03"/>
    <w:rsid w:val="00124E0A"/>
    <w:rsid w:val="00126F77"/>
    <w:rsid w:val="001270D4"/>
    <w:rsid w:val="0013010D"/>
    <w:rsid w:val="00130BAC"/>
    <w:rsid w:val="0013162F"/>
    <w:rsid w:val="00131943"/>
    <w:rsid w:val="001333DE"/>
    <w:rsid w:val="0013393E"/>
    <w:rsid w:val="00133A91"/>
    <w:rsid w:val="00135FD1"/>
    <w:rsid w:val="00137D98"/>
    <w:rsid w:val="001400A3"/>
    <w:rsid w:val="00142741"/>
    <w:rsid w:val="0014285C"/>
    <w:rsid w:val="00143907"/>
    <w:rsid w:val="001459E4"/>
    <w:rsid w:val="001477A6"/>
    <w:rsid w:val="001503C5"/>
    <w:rsid w:val="001512CA"/>
    <w:rsid w:val="00151342"/>
    <w:rsid w:val="001518A2"/>
    <w:rsid w:val="00151C25"/>
    <w:rsid w:val="001527E5"/>
    <w:rsid w:val="001530AA"/>
    <w:rsid w:val="00153FE7"/>
    <w:rsid w:val="001543BC"/>
    <w:rsid w:val="00154743"/>
    <w:rsid w:val="00157376"/>
    <w:rsid w:val="00160C85"/>
    <w:rsid w:val="00162D9D"/>
    <w:rsid w:val="00164962"/>
    <w:rsid w:val="00164B3F"/>
    <w:rsid w:val="00165215"/>
    <w:rsid w:val="00171642"/>
    <w:rsid w:val="0017177A"/>
    <w:rsid w:val="00172440"/>
    <w:rsid w:val="00174606"/>
    <w:rsid w:val="00177959"/>
    <w:rsid w:val="00181311"/>
    <w:rsid w:val="0018245E"/>
    <w:rsid w:val="0018358B"/>
    <w:rsid w:val="0018360F"/>
    <w:rsid w:val="001854C2"/>
    <w:rsid w:val="00185A10"/>
    <w:rsid w:val="00187C25"/>
    <w:rsid w:val="00191470"/>
    <w:rsid w:val="001919B8"/>
    <w:rsid w:val="00191BB8"/>
    <w:rsid w:val="001939A2"/>
    <w:rsid w:val="001942CD"/>
    <w:rsid w:val="0019477E"/>
    <w:rsid w:val="00195E6E"/>
    <w:rsid w:val="00196B16"/>
    <w:rsid w:val="00196CAD"/>
    <w:rsid w:val="00197B66"/>
    <w:rsid w:val="00197C5D"/>
    <w:rsid w:val="001A1426"/>
    <w:rsid w:val="001A30DA"/>
    <w:rsid w:val="001A3A9D"/>
    <w:rsid w:val="001A3B01"/>
    <w:rsid w:val="001A520F"/>
    <w:rsid w:val="001A5C4D"/>
    <w:rsid w:val="001B17DE"/>
    <w:rsid w:val="001B189F"/>
    <w:rsid w:val="001B25D8"/>
    <w:rsid w:val="001B2F3F"/>
    <w:rsid w:val="001B4896"/>
    <w:rsid w:val="001B4CDB"/>
    <w:rsid w:val="001B51F6"/>
    <w:rsid w:val="001B521A"/>
    <w:rsid w:val="001B5ED6"/>
    <w:rsid w:val="001B739C"/>
    <w:rsid w:val="001B7A60"/>
    <w:rsid w:val="001C00CE"/>
    <w:rsid w:val="001C01B7"/>
    <w:rsid w:val="001C02F7"/>
    <w:rsid w:val="001C2191"/>
    <w:rsid w:val="001C2C1C"/>
    <w:rsid w:val="001C378A"/>
    <w:rsid w:val="001C5B28"/>
    <w:rsid w:val="001C6C0D"/>
    <w:rsid w:val="001C7829"/>
    <w:rsid w:val="001C7D1D"/>
    <w:rsid w:val="001C7E81"/>
    <w:rsid w:val="001D1993"/>
    <w:rsid w:val="001D2666"/>
    <w:rsid w:val="001D2855"/>
    <w:rsid w:val="001D2EE1"/>
    <w:rsid w:val="001D3009"/>
    <w:rsid w:val="001D33E8"/>
    <w:rsid w:val="001D54DD"/>
    <w:rsid w:val="001D56D8"/>
    <w:rsid w:val="001D7D79"/>
    <w:rsid w:val="001E17B3"/>
    <w:rsid w:val="001E1BC0"/>
    <w:rsid w:val="001E2721"/>
    <w:rsid w:val="001E272D"/>
    <w:rsid w:val="001E3476"/>
    <w:rsid w:val="001E4C32"/>
    <w:rsid w:val="001E564E"/>
    <w:rsid w:val="001E5992"/>
    <w:rsid w:val="001E5D0C"/>
    <w:rsid w:val="001E5F30"/>
    <w:rsid w:val="001E6164"/>
    <w:rsid w:val="001F02BC"/>
    <w:rsid w:val="001F05C9"/>
    <w:rsid w:val="001F1CB4"/>
    <w:rsid w:val="001F33EF"/>
    <w:rsid w:val="001F4115"/>
    <w:rsid w:val="001F43C9"/>
    <w:rsid w:val="001F4768"/>
    <w:rsid w:val="001F586C"/>
    <w:rsid w:val="00200444"/>
    <w:rsid w:val="0020111B"/>
    <w:rsid w:val="00202B96"/>
    <w:rsid w:val="00202D5D"/>
    <w:rsid w:val="00203177"/>
    <w:rsid w:val="00204611"/>
    <w:rsid w:val="00204A49"/>
    <w:rsid w:val="00205BF2"/>
    <w:rsid w:val="00205BF4"/>
    <w:rsid w:val="00206366"/>
    <w:rsid w:val="0020761D"/>
    <w:rsid w:val="002076C4"/>
    <w:rsid w:val="00207F75"/>
    <w:rsid w:val="002100DC"/>
    <w:rsid w:val="00210C09"/>
    <w:rsid w:val="00211880"/>
    <w:rsid w:val="0021229E"/>
    <w:rsid w:val="00213370"/>
    <w:rsid w:val="00214A61"/>
    <w:rsid w:val="002150F9"/>
    <w:rsid w:val="0021528B"/>
    <w:rsid w:val="00216E3F"/>
    <w:rsid w:val="00217057"/>
    <w:rsid w:val="002174BF"/>
    <w:rsid w:val="00220716"/>
    <w:rsid w:val="00224712"/>
    <w:rsid w:val="00226185"/>
    <w:rsid w:val="00230338"/>
    <w:rsid w:val="00230801"/>
    <w:rsid w:val="00230CAD"/>
    <w:rsid w:val="00231121"/>
    <w:rsid w:val="00231C74"/>
    <w:rsid w:val="002321DE"/>
    <w:rsid w:val="00236998"/>
    <w:rsid w:val="00236BB6"/>
    <w:rsid w:val="00241503"/>
    <w:rsid w:val="00241960"/>
    <w:rsid w:val="002453E9"/>
    <w:rsid w:val="002461A7"/>
    <w:rsid w:val="0024638C"/>
    <w:rsid w:val="00246F92"/>
    <w:rsid w:val="00247AAE"/>
    <w:rsid w:val="00250E84"/>
    <w:rsid w:val="00251C7A"/>
    <w:rsid w:val="00252812"/>
    <w:rsid w:val="00252DE6"/>
    <w:rsid w:val="002534D3"/>
    <w:rsid w:val="00255CE6"/>
    <w:rsid w:val="0025625F"/>
    <w:rsid w:val="00256D95"/>
    <w:rsid w:val="0025724A"/>
    <w:rsid w:val="00257DFB"/>
    <w:rsid w:val="00257EB8"/>
    <w:rsid w:val="00260842"/>
    <w:rsid w:val="00261B03"/>
    <w:rsid w:val="00263565"/>
    <w:rsid w:val="00263C15"/>
    <w:rsid w:val="0026567A"/>
    <w:rsid w:val="00267D80"/>
    <w:rsid w:val="00270467"/>
    <w:rsid w:val="00270CC8"/>
    <w:rsid w:val="002716D1"/>
    <w:rsid w:val="002718F9"/>
    <w:rsid w:val="00271FC8"/>
    <w:rsid w:val="00275782"/>
    <w:rsid w:val="00276165"/>
    <w:rsid w:val="0027692A"/>
    <w:rsid w:val="00276D55"/>
    <w:rsid w:val="00280DC8"/>
    <w:rsid w:val="00282828"/>
    <w:rsid w:val="00283797"/>
    <w:rsid w:val="002843EB"/>
    <w:rsid w:val="0028484B"/>
    <w:rsid w:val="00284AB5"/>
    <w:rsid w:val="0028550C"/>
    <w:rsid w:val="00285D41"/>
    <w:rsid w:val="00286954"/>
    <w:rsid w:val="00287ED9"/>
    <w:rsid w:val="00291853"/>
    <w:rsid w:val="002945E2"/>
    <w:rsid w:val="0029518D"/>
    <w:rsid w:val="00296E10"/>
    <w:rsid w:val="002970AC"/>
    <w:rsid w:val="002A092A"/>
    <w:rsid w:val="002A1E4D"/>
    <w:rsid w:val="002A2B7E"/>
    <w:rsid w:val="002A38CD"/>
    <w:rsid w:val="002A58E2"/>
    <w:rsid w:val="002B000C"/>
    <w:rsid w:val="002B1B4B"/>
    <w:rsid w:val="002B1EC4"/>
    <w:rsid w:val="002B2E49"/>
    <w:rsid w:val="002B2F6C"/>
    <w:rsid w:val="002B3224"/>
    <w:rsid w:val="002B656D"/>
    <w:rsid w:val="002B67CB"/>
    <w:rsid w:val="002B7257"/>
    <w:rsid w:val="002B7A26"/>
    <w:rsid w:val="002C16E0"/>
    <w:rsid w:val="002C1728"/>
    <w:rsid w:val="002C1EB4"/>
    <w:rsid w:val="002C20A2"/>
    <w:rsid w:val="002C42D4"/>
    <w:rsid w:val="002C4CA8"/>
    <w:rsid w:val="002C5F9A"/>
    <w:rsid w:val="002C66AB"/>
    <w:rsid w:val="002C6793"/>
    <w:rsid w:val="002C6C1C"/>
    <w:rsid w:val="002C78AB"/>
    <w:rsid w:val="002D1754"/>
    <w:rsid w:val="002D1852"/>
    <w:rsid w:val="002D2E06"/>
    <w:rsid w:val="002D31B9"/>
    <w:rsid w:val="002D3622"/>
    <w:rsid w:val="002D4746"/>
    <w:rsid w:val="002D53CC"/>
    <w:rsid w:val="002D7043"/>
    <w:rsid w:val="002E0429"/>
    <w:rsid w:val="002E17D3"/>
    <w:rsid w:val="002E26BB"/>
    <w:rsid w:val="002E2BEE"/>
    <w:rsid w:val="002E49F0"/>
    <w:rsid w:val="002E4A22"/>
    <w:rsid w:val="002E4AE8"/>
    <w:rsid w:val="002E4B21"/>
    <w:rsid w:val="002F1254"/>
    <w:rsid w:val="002F265D"/>
    <w:rsid w:val="002F3A47"/>
    <w:rsid w:val="002F40D9"/>
    <w:rsid w:val="002F4BAA"/>
    <w:rsid w:val="002F542B"/>
    <w:rsid w:val="002F5FE1"/>
    <w:rsid w:val="002F662B"/>
    <w:rsid w:val="002F6ACB"/>
    <w:rsid w:val="00300596"/>
    <w:rsid w:val="00302965"/>
    <w:rsid w:val="00302B3F"/>
    <w:rsid w:val="00302C84"/>
    <w:rsid w:val="003053ED"/>
    <w:rsid w:val="00305CDD"/>
    <w:rsid w:val="00306658"/>
    <w:rsid w:val="0030676C"/>
    <w:rsid w:val="0031082B"/>
    <w:rsid w:val="003116A3"/>
    <w:rsid w:val="003121AA"/>
    <w:rsid w:val="003121E7"/>
    <w:rsid w:val="00312887"/>
    <w:rsid w:val="00313B6E"/>
    <w:rsid w:val="00313C7D"/>
    <w:rsid w:val="00314F39"/>
    <w:rsid w:val="00315E7F"/>
    <w:rsid w:val="0031637D"/>
    <w:rsid w:val="00316B8C"/>
    <w:rsid w:val="00317264"/>
    <w:rsid w:val="003209F9"/>
    <w:rsid w:val="00321858"/>
    <w:rsid w:val="0032248C"/>
    <w:rsid w:val="00322E4C"/>
    <w:rsid w:val="00323A56"/>
    <w:rsid w:val="00323FD3"/>
    <w:rsid w:val="003246B8"/>
    <w:rsid w:val="0032492C"/>
    <w:rsid w:val="003270F2"/>
    <w:rsid w:val="003275A9"/>
    <w:rsid w:val="00330631"/>
    <w:rsid w:val="00330EE7"/>
    <w:rsid w:val="003334BF"/>
    <w:rsid w:val="00334C85"/>
    <w:rsid w:val="00335163"/>
    <w:rsid w:val="00336FB1"/>
    <w:rsid w:val="00337341"/>
    <w:rsid w:val="003378EB"/>
    <w:rsid w:val="00340B3E"/>
    <w:rsid w:val="00342794"/>
    <w:rsid w:val="00342C92"/>
    <w:rsid w:val="0034456F"/>
    <w:rsid w:val="00344B65"/>
    <w:rsid w:val="003471DE"/>
    <w:rsid w:val="003500F0"/>
    <w:rsid w:val="00351AF1"/>
    <w:rsid w:val="00353349"/>
    <w:rsid w:val="0035475C"/>
    <w:rsid w:val="003548D4"/>
    <w:rsid w:val="00354CC1"/>
    <w:rsid w:val="00355FA6"/>
    <w:rsid w:val="00356D87"/>
    <w:rsid w:val="00357B62"/>
    <w:rsid w:val="00360902"/>
    <w:rsid w:val="00360BE6"/>
    <w:rsid w:val="00360C9C"/>
    <w:rsid w:val="00361B39"/>
    <w:rsid w:val="00362D04"/>
    <w:rsid w:val="00364A1B"/>
    <w:rsid w:val="00365D64"/>
    <w:rsid w:val="0036671B"/>
    <w:rsid w:val="00367B4B"/>
    <w:rsid w:val="00371837"/>
    <w:rsid w:val="00373450"/>
    <w:rsid w:val="00374067"/>
    <w:rsid w:val="00374897"/>
    <w:rsid w:val="003755E2"/>
    <w:rsid w:val="00376D74"/>
    <w:rsid w:val="0037703B"/>
    <w:rsid w:val="00380FEA"/>
    <w:rsid w:val="0038102E"/>
    <w:rsid w:val="003811BB"/>
    <w:rsid w:val="00381563"/>
    <w:rsid w:val="0038170B"/>
    <w:rsid w:val="00382321"/>
    <w:rsid w:val="0038454A"/>
    <w:rsid w:val="00387842"/>
    <w:rsid w:val="003879E3"/>
    <w:rsid w:val="00392D8A"/>
    <w:rsid w:val="00394D10"/>
    <w:rsid w:val="00396482"/>
    <w:rsid w:val="00396AAD"/>
    <w:rsid w:val="003A0AAC"/>
    <w:rsid w:val="003A24DE"/>
    <w:rsid w:val="003A41EC"/>
    <w:rsid w:val="003A4A13"/>
    <w:rsid w:val="003A4CEA"/>
    <w:rsid w:val="003A4EFC"/>
    <w:rsid w:val="003A593F"/>
    <w:rsid w:val="003A6498"/>
    <w:rsid w:val="003A6DD3"/>
    <w:rsid w:val="003B298D"/>
    <w:rsid w:val="003B3258"/>
    <w:rsid w:val="003B4067"/>
    <w:rsid w:val="003B4610"/>
    <w:rsid w:val="003B609F"/>
    <w:rsid w:val="003B6541"/>
    <w:rsid w:val="003B7F49"/>
    <w:rsid w:val="003C04CA"/>
    <w:rsid w:val="003C0D24"/>
    <w:rsid w:val="003C1A45"/>
    <w:rsid w:val="003C25EB"/>
    <w:rsid w:val="003C2B94"/>
    <w:rsid w:val="003C4B57"/>
    <w:rsid w:val="003D037F"/>
    <w:rsid w:val="003D0DFB"/>
    <w:rsid w:val="003D2714"/>
    <w:rsid w:val="003D2983"/>
    <w:rsid w:val="003D2CDE"/>
    <w:rsid w:val="003D3A91"/>
    <w:rsid w:val="003D4709"/>
    <w:rsid w:val="003D494E"/>
    <w:rsid w:val="003D4B5D"/>
    <w:rsid w:val="003D5AA2"/>
    <w:rsid w:val="003D5D98"/>
    <w:rsid w:val="003D6011"/>
    <w:rsid w:val="003D62FB"/>
    <w:rsid w:val="003D7F59"/>
    <w:rsid w:val="003E2829"/>
    <w:rsid w:val="003E2A86"/>
    <w:rsid w:val="003E2D01"/>
    <w:rsid w:val="003E448C"/>
    <w:rsid w:val="003E6558"/>
    <w:rsid w:val="003E6A8B"/>
    <w:rsid w:val="003E73F6"/>
    <w:rsid w:val="003E77C4"/>
    <w:rsid w:val="003F5C0C"/>
    <w:rsid w:val="003F6533"/>
    <w:rsid w:val="003F6690"/>
    <w:rsid w:val="003F6B88"/>
    <w:rsid w:val="003F6E7D"/>
    <w:rsid w:val="003F6EE9"/>
    <w:rsid w:val="003F7E03"/>
    <w:rsid w:val="00401A36"/>
    <w:rsid w:val="00401FD9"/>
    <w:rsid w:val="004022FB"/>
    <w:rsid w:val="0040415D"/>
    <w:rsid w:val="00406ACF"/>
    <w:rsid w:val="00411806"/>
    <w:rsid w:val="00413EEC"/>
    <w:rsid w:val="0041617E"/>
    <w:rsid w:val="00420691"/>
    <w:rsid w:val="00420FA0"/>
    <w:rsid w:val="0042269A"/>
    <w:rsid w:val="00422EEF"/>
    <w:rsid w:val="004255EF"/>
    <w:rsid w:val="00425791"/>
    <w:rsid w:val="00426082"/>
    <w:rsid w:val="00430F9C"/>
    <w:rsid w:val="0043104B"/>
    <w:rsid w:val="0043197E"/>
    <w:rsid w:val="00432F83"/>
    <w:rsid w:val="00435765"/>
    <w:rsid w:val="00437959"/>
    <w:rsid w:val="00437D69"/>
    <w:rsid w:val="00437E56"/>
    <w:rsid w:val="00440BC2"/>
    <w:rsid w:val="00443332"/>
    <w:rsid w:val="00444510"/>
    <w:rsid w:val="00444E79"/>
    <w:rsid w:val="00452BD8"/>
    <w:rsid w:val="00452D80"/>
    <w:rsid w:val="0045679B"/>
    <w:rsid w:val="004608F7"/>
    <w:rsid w:val="00460D41"/>
    <w:rsid w:val="00462EAB"/>
    <w:rsid w:val="00463324"/>
    <w:rsid w:val="00464754"/>
    <w:rsid w:val="004660DD"/>
    <w:rsid w:val="00470B51"/>
    <w:rsid w:val="00471DEA"/>
    <w:rsid w:val="00472149"/>
    <w:rsid w:val="0047489E"/>
    <w:rsid w:val="00474EB1"/>
    <w:rsid w:val="00476445"/>
    <w:rsid w:val="00483C7D"/>
    <w:rsid w:val="004851BA"/>
    <w:rsid w:val="00486292"/>
    <w:rsid w:val="004876A7"/>
    <w:rsid w:val="00487D89"/>
    <w:rsid w:val="00491205"/>
    <w:rsid w:val="0049222B"/>
    <w:rsid w:val="0049242A"/>
    <w:rsid w:val="0049358F"/>
    <w:rsid w:val="00494280"/>
    <w:rsid w:val="00495350"/>
    <w:rsid w:val="0049538A"/>
    <w:rsid w:val="004958A3"/>
    <w:rsid w:val="004966ED"/>
    <w:rsid w:val="004A0DA5"/>
    <w:rsid w:val="004A1A57"/>
    <w:rsid w:val="004A229B"/>
    <w:rsid w:val="004A28BE"/>
    <w:rsid w:val="004A4933"/>
    <w:rsid w:val="004A54B3"/>
    <w:rsid w:val="004A58C7"/>
    <w:rsid w:val="004A5B3F"/>
    <w:rsid w:val="004B36A3"/>
    <w:rsid w:val="004B633B"/>
    <w:rsid w:val="004C0793"/>
    <w:rsid w:val="004C0877"/>
    <w:rsid w:val="004C0E11"/>
    <w:rsid w:val="004C0E7E"/>
    <w:rsid w:val="004C2CAC"/>
    <w:rsid w:val="004C2F9A"/>
    <w:rsid w:val="004C33D1"/>
    <w:rsid w:val="004C3653"/>
    <w:rsid w:val="004C4911"/>
    <w:rsid w:val="004C4A46"/>
    <w:rsid w:val="004C62E0"/>
    <w:rsid w:val="004C6708"/>
    <w:rsid w:val="004C68E6"/>
    <w:rsid w:val="004C6DE7"/>
    <w:rsid w:val="004D0025"/>
    <w:rsid w:val="004D0BA1"/>
    <w:rsid w:val="004D2329"/>
    <w:rsid w:val="004D5761"/>
    <w:rsid w:val="004D5B6D"/>
    <w:rsid w:val="004D5C2D"/>
    <w:rsid w:val="004D6222"/>
    <w:rsid w:val="004D6624"/>
    <w:rsid w:val="004E05CC"/>
    <w:rsid w:val="004E0D42"/>
    <w:rsid w:val="004E0DDA"/>
    <w:rsid w:val="004E0EEA"/>
    <w:rsid w:val="004E1237"/>
    <w:rsid w:val="004E272E"/>
    <w:rsid w:val="004E3AAB"/>
    <w:rsid w:val="004E40FA"/>
    <w:rsid w:val="004E47A0"/>
    <w:rsid w:val="004E5CEE"/>
    <w:rsid w:val="004E77F3"/>
    <w:rsid w:val="004E791F"/>
    <w:rsid w:val="004E7937"/>
    <w:rsid w:val="004F15EF"/>
    <w:rsid w:val="004F191F"/>
    <w:rsid w:val="004F1952"/>
    <w:rsid w:val="004F3998"/>
    <w:rsid w:val="004F4A49"/>
    <w:rsid w:val="004F4EC0"/>
    <w:rsid w:val="004F4F0E"/>
    <w:rsid w:val="004F50A7"/>
    <w:rsid w:val="004F69BA"/>
    <w:rsid w:val="004F6FF4"/>
    <w:rsid w:val="005012DB"/>
    <w:rsid w:val="0050301E"/>
    <w:rsid w:val="005030F0"/>
    <w:rsid w:val="00503355"/>
    <w:rsid w:val="005034DD"/>
    <w:rsid w:val="00504843"/>
    <w:rsid w:val="005065C7"/>
    <w:rsid w:val="00507175"/>
    <w:rsid w:val="00511C9B"/>
    <w:rsid w:val="00512E1F"/>
    <w:rsid w:val="0051332D"/>
    <w:rsid w:val="005144D6"/>
    <w:rsid w:val="0051739D"/>
    <w:rsid w:val="00517EA5"/>
    <w:rsid w:val="00520282"/>
    <w:rsid w:val="00520E7F"/>
    <w:rsid w:val="005212D1"/>
    <w:rsid w:val="00523A17"/>
    <w:rsid w:val="00523DAE"/>
    <w:rsid w:val="005244F7"/>
    <w:rsid w:val="0053027C"/>
    <w:rsid w:val="00530CAC"/>
    <w:rsid w:val="00535532"/>
    <w:rsid w:val="00535776"/>
    <w:rsid w:val="00536898"/>
    <w:rsid w:val="00537F98"/>
    <w:rsid w:val="00540677"/>
    <w:rsid w:val="00540971"/>
    <w:rsid w:val="0054158A"/>
    <w:rsid w:val="00541EBF"/>
    <w:rsid w:val="0054209A"/>
    <w:rsid w:val="005441EB"/>
    <w:rsid w:val="0054581D"/>
    <w:rsid w:val="005458E8"/>
    <w:rsid w:val="00546C11"/>
    <w:rsid w:val="005529FE"/>
    <w:rsid w:val="00552A7F"/>
    <w:rsid w:val="00553A4B"/>
    <w:rsid w:val="0055537A"/>
    <w:rsid w:val="00556AB2"/>
    <w:rsid w:val="00562045"/>
    <w:rsid w:val="005630ED"/>
    <w:rsid w:val="00564239"/>
    <w:rsid w:val="00564D6D"/>
    <w:rsid w:val="005653E2"/>
    <w:rsid w:val="00565CDA"/>
    <w:rsid w:val="0056617A"/>
    <w:rsid w:val="005675A0"/>
    <w:rsid w:val="00570659"/>
    <w:rsid w:val="00571509"/>
    <w:rsid w:val="00571907"/>
    <w:rsid w:val="00571C25"/>
    <w:rsid w:val="005724BF"/>
    <w:rsid w:val="005726CE"/>
    <w:rsid w:val="00572B8B"/>
    <w:rsid w:val="005731C1"/>
    <w:rsid w:val="00577CE0"/>
    <w:rsid w:val="0058017A"/>
    <w:rsid w:val="0058031A"/>
    <w:rsid w:val="00580D30"/>
    <w:rsid w:val="005810D2"/>
    <w:rsid w:val="005840A6"/>
    <w:rsid w:val="00585563"/>
    <w:rsid w:val="00585922"/>
    <w:rsid w:val="00586127"/>
    <w:rsid w:val="005862F9"/>
    <w:rsid w:val="00586D2D"/>
    <w:rsid w:val="00587DBB"/>
    <w:rsid w:val="00590F26"/>
    <w:rsid w:val="00591ABE"/>
    <w:rsid w:val="005922D2"/>
    <w:rsid w:val="00593571"/>
    <w:rsid w:val="00595D7B"/>
    <w:rsid w:val="00596FFE"/>
    <w:rsid w:val="005A127F"/>
    <w:rsid w:val="005A3488"/>
    <w:rsid w:val="005A4949"/>
    <w:rsid w:val="005A4D1B"/>
    <w:rsid w:val="005A510B"/>
    <w:rsid w:val="005A6282"/>
    <w:rsid w:val="005A6751"/>
    <w:rsid w:val="005A6B71"/>
    <w:rsid w:val="005A6FD9"/>
    <w:rsid w:val="005B05A7"/>
    <w:rsid w:val="005B2A53"/>
    <w:rsid w:val="005B2DC0"/>
    <w:rsid w:val="005B3A85"/>
    <w:rsid w:val="005B4093"/>
    <w:rsid w:val="005B4CAB"/>
    <w:rsid w:val="005B59E0"/>
    <w:rsid w:val="005B5BB5"/>
    <w:rsid w:val="005B6CB6"/>
    <w:rsid w:val="005B6F6B"/>
    <w:rsid w:val="005C041F"/>
    <w:rsid w:val="005C1A20"/>
    <w:rsid w:val="005C2865"/>
    <w:rsid w:val="005C3293"/>
    <w:rsid w:val="005C4146"/>
    <w:rsid w:val="005C42A8"/>
    <w:rsid w:val="005C4D43"/>
    <w:rsid w:val="005C53F6"/>
    <w:rsid w:val="005C5CBA"/>
    <w:rsid w:val="005C65D2"/>
    <w:rsid w:val="005D18DD"/>
    <w:rsid w:val="005D5CDF"/>
    <w:rsid w:val="005D5FDF"/>
    <w:rsid w:val="005D63CD"/>
    <w:rsid w:val="005D7A67"/>
    <w:rsid w:val="005D7A99"/>
    <w:rsid w:val="005D7ABD"/>
    <w:rsid w:val="005D7D9A"/>
    <w:rsid w:val="005E1A9D"/>
    <w:rsid w:val="005E2CD7"/>
    <w:rsid w:val="005E3A6E"/>
    <w:rsid w:val="005E4732"/>
    <w:rsid w:val="005E4EC6"/>
    <w:rsid w:val="005E5E4B"/>
    <w:rsid w:val="005E68F6"/>
    <w:rsid w:val="005E7377"/>
    <w:rsid w:val="005E7C7F"/>
    <w:rsid w:val="005F1156"/>
    <w:rsid w:val="005F5A5B"/>
    <w:rsid w:val="005F6CAB"/>
    <w:rsid w:val="00601994"/>
    <w:rsid w:val="00602B9D"/>
    <w:rsid w:val="0060317B"/>
    <w:rsid w:val="00603A92"/>
    <w:rsid w:val="0060521B"/>
    <w:rsid w:val="006063C5"/>
    <w:rsid w:val="00607623"/>
    <w:rsid w:val="00607FD0"/>
    <w:rsid w:val="00613FC5"/>
    <w:rsid w:val="00616375"/>
    <w:rsid w:val="006175DA"/>
    <w:rsid w:val="00621D31"/>
    <w:rsid w:val="00623447"/>
    <w:rsid w:val="006234A0"/>
    <w:rsid w:val="006247B7"/>
    <w:rsid w:val="006258AA"/>
    <w:rsid w:val="00627023"/>
    <w:rsid w:val="00627DF5"/>
    <w:rsid w:val="006312CB"/>
    <w:rsid w:val="00631B1B"/>
    <w:rsid w:val="0063211D"/>
    <w:rsid w:val="00632471"/>
    <w:rsid w:val="00634DA1"/>
    <w:rsid w:val="00634FCE"/>
    <w:rsid w:val="006366FB"/>
    <w:rsid w:val="006423C9"/>
    <w:rsid w:val="006456A4"/>
    <w:rsid w:val="0064626B"/>
    <w:rsid w:val="00651C90"/>
    <w:rsid w:val="00652570"/>
    <w:rsid w:val="006527C8"/>
    <w:rsid w:val="00654CB3"/>
    <w:rsid w:val="00654D40"/>
    <w:rsid w:val="00654DF8"/>
    <w:rsid w:val="00655AC3"/>
    <w:rsid w:val="00655C04"/>
    <w:rsid w:val="00660CEA"/>
    <w:rsid w:val="0066154A"/>
    <w:rsid w:val="006637AB"/>
    <w:rsid w:val="0066393D"/>
    <w:rsid w:val="006646D6"/>
    <w:rsid w:val="00665F3F"/>
    <w:rsid w:val="00667B0D"/>
    <w:rsid w:val="00667B1D"/>
    <w:rsid w:val="00670B2E"/>
    <w:rsid w:val="00671505"/>
    <w:rsid w:val="006728E9"/>
    <w:rsid w:val="006730DC"/>
    <w:rsid w:val="00673D50"/>
    <w:rsid w:val="00674DE3"/>
    <w:rsid w:val="00675D1F"/>
    <w:rsid w:val="00677299"/>
    <w:rsid w:val="0068167B"/>
    <w:rsid w:val="006833C6"/>
    <w:rsid w:val="0068372E"/>
    <w:rsid w:val="00683C9D"/>
    <w:rsid w:val="00685FFF"/>
    <w:rsid w:val="00687A3E"/>
    <w:rsid w:val="00690B90"/>
    <w:rsid w:val="00690EB0"/>
    <w:rsid w:val="0069269B"/>
    <w:rsid w:val="0069366C"/>
    <w:rsid w:val="0069499F"/>
    <w:rsid w:val="00695D9D"/>
    <w:rsid w:val="00696429"/>
    <w:rsid w:val="00696E6A"/>
    <w:rsid w:val="006979FD"/>
    <w:rsid w:val="006A0E71"/>
    <w:rsid w:val="006A1BB6"/>
    <w:rsid w:val="006A2FD6"/>
    <w:rsid w:val="006A3763"/>
    <w:rsid w:val="006A4E92"/>
    <w:rsid w:val="006A5157"/>
    <w:rsid w:val="006A5541"/>
    <w:rsid w:val="006A771F"/>
    <w:rsid w:val="006B04B2"/>
    <w:rsid w:val="006B1A74"/>
    <w:rsid w:val="006B1B21"/>
    <w:rsid w:val="006B2B29"/>
    <w:rsid w:val="006B460B"/>
    <w:rsid w:val="006B49F7"/>
    <w:rsid w:val="006B51FA"/>
    <w:rsid w:val="006B5881"/>
    <w:rsid w:val="006B65B1"/>
    <w:rsid w:val="006B6B31"/>
    <w:rsid w:val="006B77F2"/>
    <w:rsid w:val="006C26ED"/>
    <w:rsid w:val="006C2FD3"/>
    <w:rsid w:val="006C3E8D"/>
    <w:rsid w:val="006C45BE"/>
    <w:rsid w:val="006C4671"/>
    <w:rsid w:val="006C53A6"/>
    <w:rsid w:val="006C7B79"/>
    <w:rsid w:val="006D161B"/>
    <w:rsid w:val="006D210E"/>
    <w:rsid w:val="006D3474"/>
    <w:rsid w:val="006D3E73"/>
    <w:rsid w:val="006D4D05"/>
    <w:rsid w:val="006D53D3"/>
    <w:rsid w:val="006D5844"/>
    <w:rsid w:val="006D5938"/>
    <w:rsid w:val="006D63DC"/>
    <w:rsid w:val="006D67E4"/>
    <w:rsid w:val="006D718A"/>
    <w:rsid w:val="006D756D"/>
    <w:rsid w:val="006D788A"/>
    <w:rsid w:val="006E1613"/>
    <w:rsid w:val="006E193F"/>
    <w:rsid w:val="006E2B77"/>
    <w:rsid w:val="006E36BC"/>
    <w:rsid w:val="006E48A1"/>
    <w:rsid w:val="006E4A34"/>
    <w:rsid w:val="006E4CFB"/>
    <w:rsid w:val="006E5E0C"/>
    <w:rsid w:val="006E7DAB"/>
    <w:rsid w:val="006F0715"/>
    <w:rsid w:val="006F0861"/>
    <w:rsid w:val="006F11D5"/>
    <w:rsid w:val="006F13FB"/>
    <w:rsid w:val="006F340B"/>
    <w:rsid w:val="006F44DE"/>
    <w:rsid w:val="006F4B7D"/>
    <w:rsid w:val="006F5A83"/>
    <w:rsid w:val="006F7B14"/>
    <w:rsid w:val="006F7B78"/>
    <w:rsid w:val="00703D9F"/>
    <w:rsid w:val="00706555"/>
    <w:rsid w:val="00707540"/>
    <w:rsid w:val="00707FC7"/>
    <w:rsid w:val="00710C35"/>
    <w:rsid w:val="00710D35"/>
    <w:rsid w:val="007113DF"/>
    <w:rsid w:val="00711FF5"/>
    <w:rsid w:val="00712FB2"/>
    <w:rsid w:val="00714590"/>
    <w:rsid w:val="007165F3"/>
    <w:rsid w:val="00716C0D"/>
    <w:rsid w:val="00720202"/>
    <w:rsid w:val="00721E1A"/>
    <w:rsid w:val="007220FB"/>
    <w:rsid w:val="00723088"/>
    <w:rsid w:val="00725BC6"/>
    <w:rsid w:val="00726D29"/>
    <w:rsid w:val="00727739"/>
    <w:rsid w:val="00731486"/>
    <w:rsid w:val="00733D92"/>
    <w:rsid w:val="007347D1"/>
    <w:rsid w:val="00735087"/>
    <w:rsid w:val="00737337"/>
    <w:rsid w:val="00737741"/>
    <w:rsid w:val="00737F07"/>
    <w:rsid w:val="007401E7"/>
    <w:rsid w:val="00740FC5"/>
    <w:rsid w:val="007420E0"/>
    <w:rsid w:val="007440F3"/>
    <w:rsid w:val="007444ED"/>
    <w:rsid w:val="0074508A"/>
    <w:rsid w:val="00746266"/>
    <w:rsid w:val="0074719F"/>
    <w:rsid w:val="00747916"/>
    <w:rsid w:val="00751EE8"/>
    <w:rsid w:val="007526C3"/>
    <w:rsid w:val="00754259"/>
    <w:rsid w:val="00754A3F"/>
    <w:rsid w:val="0075521A"/>
    <w:rsid w:val="00755755"/>
    <w:rsid w:val="00755875"/>
    <w:rsid w:val="00755DBA"/>
    <w:rsid w:val="00757A43"/>
    <w:rsid w:val="00757EF0"/>
    <w:rsid w:val="0076191A"/>
    <w:rsid w:val="00761D4F"/>
    <w:rsid w:val="00762468"/>
    <w:rsid w:val="00762E45"/>
    <w:rsid w:val="00763BA6"/>
    <w:rsid w:val="00765077"/>
    <w:rsid w:val="007669E4"/>
    <w:rsid w:val="00766F33"/>
    <w:rsid w:val="00767C13"/>
    <w:rsid w:val="00771107"/>
    <w:rsid w:val="00771C3B"/>
    <w:rsid w:val="00773531"/>
    <w:rsid w:val="00774335"/>
    <w:rsid w:val="007751E2"/>
    <w:rsid w:val="00775818"/>
    <w:rsid w:val="00775933"/>
    <w:rsid w:val="00775C21"/>
    <w:rsid w:val="007765F1"/>
    <w:rsid w:val="00780949"/>
    <w:rsid w:val="00782244"/>
    <w:rsid w:val="0078267E"/>
    <w:rsid w:val="00783E6C"/>
    <w:rsid w:val="00785DE9"/>
    <w:rsid w:val="0078731F"/>
    <w:rsid w:val="00790BF9"/>
    <w:rsid w:val="00791431"/>
    <w:rsid w:val="007920D8"/>
    <w:rsid w:val="0079335C"/>
    <w:rsid w:val="0079411B"/>
    <w:rsid w:val="007942A0"/>
    <w:rsid w:val="00794D27"/>
    <w:rsid w:val="00794E0D"/>
    <w:rsid w:val="00795962"/>
    <w:rsid w:val="00795A76"/>
    <w:rsid w:val="00796950"/>
    <w:rsid w:val="00797072"/>
    <w:rsid w:val="007A0C94"/>
    <w:rsid w:val="007A1520"/>
    <w:rsid w:val="007A1E57"/>
    <w:rsid w:val="007A1EDF"/>
    <w:rsid w:val="007A2C55"/>
    <w:rsid w:val="007A3C2D"/>
    <w:rsid w:val="007A3DB0"/>
    <w:rsid w:val="007A48DA"/>
    <w:rsid w:val="007A650C"/>
    <w:rsid w:val="007B1DE9"/>
    <w:rsid w:val="007B4059"/>
    <w:rsid w:val="007B64B0"/>
    <w:rsid w:val="007C045D"/>
    <w:rsid w:val="007C0A29"/>
    <w:rsid w:val="007C1572"/>
    <w:rsid w:val="007C19AC"/>
    <w:rsid w:val="007C2EF9"/>
    <w:rsid w:val="007C3ACF"/>
    <w:rsid w:val="007C4099"/>
    <w:rsid w:val="007C4D3B"/>
    <w:rsid w:val="007C4E69"/>
    <w:rsid w:val="007C55FE"/>
    <w:rsid w:val="007C572C"/>
    <w:rsid w:val="007C70B6"/>
    <w:rsid w:val="007C7A4F"/>
    <w:rsid w:val="007D08B6"/>
    <w:rsid w:val="007D0E6D"/>
    <w:rsid w:val="007D1B4D"/>
    <w:rsid w:val="007D327D"/>
    <w:rsid w:val="007D3EDF"/>
    <w:rsid w:val="007D5053"/>
    <w:rsid w:val="007D5172"/>
    <w:rsid w:val="007D5C01"/>
    <w:rsid w:val="007D5EFC"/>
    <w:rsid w:val="007D633B"/>
    <w:rsid w:val="007D6AD5"/>
    <w:rsid w:val="007D6F6A"/>
    <w:rsid w:val="007E088A"/>
    <w:rsid w:val="007E1131"/>
    <w:rsid w:val="007E13DF"/>
    <w:rsid w:val="007E1584"/>
    <w:rsid w:val="007E2506"/>
    <w:rsid w:val="007E3A4C"/>
    <w:rsid w:val="007E6730"/>
    <w:rsid w:val="007E6DE0"/>
    <w:rsid w:val="007E6EBC"/>
    <w:rsid w:val="007F0D57"/>
    <w:rsid w:val="007F0E2E"/>
    <w:rsid w:val="007F13AF"/>
    <w:rsid w:val="007F25BC"/>
    <w:rsid w:val="007F3163"/>
    <w:rsid w:val="007F3210"/>
    <w:rsid w:val="007F43DC"/>
    <w:rsid w:val="007F5983"/>
    <w:rsid w:val="007F59DE"/>
    <w:rsid w:val="007F6012"/>
    <w:rsid w:val="007F76DE"/>
    <w:rsid w:val="008006F4"/>
    <w:rsid w:val="00801034"/>
    <w:rsid w:val="00801F9C"/>
    <w:rsid w:val="00803373"/>
    <w:rsid w:val="00806433"/>
    <w:rsid w:val="00807B96"/>
    <w:rsid w:val="0081145F"/>
    <w:rsid w:val="00811E27"/>
    <w:rsid w:val="00812349"/>
    <w:rsid w:val="00813E1D"/>
    <w:rsid w:val="008160A7"/>
    <w:rsid w:val="00816D46"/>
    <w:rsid w:val="00820670"/>
    <w:rsid w:val="00820CC3"/>
    <w:rsid w:val="0082310F"/>
    <w:rsid w:val="00823C6D"/>
    <w:rsid w:val="00823C7E"/>
    <w:rsid w:val="008273BD"/>
    <w:rsid w:val="00831492"/>
    <w:rsid w:val="00831875"/>
    <w:rsid w:val="00831A89"/>
    <w:rsid w:val="00833689"/>
    <w:rsid w:val="008338B3"/>
    <w:rsid w:val="008350BC"/>
    <w:rsid w:val="008352A7"/>
    <w:rsid w:val="00835308"/>
    <w:rsid w:val="00837A97"/>
    <w:rsid w:val="00842849"/>
    <w:rsid w:val="00842D30"/>
    <w:rsid w:val="00843698"/>
    <w:rsid w:val="00843998"/>
    <w:rsid w:val="00845202"/>
    <w:rsid w:val="00847AF9"/>
    <w:rsid w:val="00850949"/>
    <w:rsid w:val="008512AE"/>
    <w:rsid w:val="008514FF"/>
    <w:rsid w:val="00851CA1"/>
    <w:rsid w:val="00851F07"/>
    <w:rsid w:val="008520DD"/>
    <w:rsid w:val="00853CB6"/>
    <w:rsid w:val="00856185"/>
    <w:rsid w:val="0085628A"/>
    <w:rsid w:val="008567D0"/>
    <w:rsid w:val="00856A0A"/>
    <w:rsid w:val="00862C0B"/>
    <w:rsid w:val="008634FA"/>
    <w:rsid w:val="008650BB"/>
    <w:rsid w:val="0086578F"/>
    <w:rsid w:val="0087188E"/>
    <w:rsid w:val="008750C0"/>
    <w:rsid w:val="0087658B"/>
    <w:rsid w:val="00876E58"/>
    <w:rsid w:val="008809A4"/>
    <w:rsid w:val="00881654"/>
    <w:rsid w:val="008820C4"/>
    <w:rsid w:val="008838F3"/>
    <w:rsid w:val="00883907"/>
    <w:rsid w:val="00883F09"/>
    <w:rsid w:val="0088517B"/>
    <w:rsid w:val="008856D6"/>
    <w:rsid w:val="0088620A"/>
    <w:rsid w:val="00887110"/>
    <w:rsid w:val="0088728B"/>
    <w:rsid w:val="00890940"/>
    <w:rsid w:val="00890A03"/>
    <w:rsid w:val="008911AA"/>
    <w:rsid w:val="00891D7C"/>
    <w:rsid w:val="00892C0A"/>
    <w:rsid w:val="00894555"/>
    <w:rsid w:val="008949EC"/>
    <w:rsid w:val="00894A2E"/>
    <w:rsid w:val="00897140"/>
    <w:rsid w:val="008A08CC"/>
    <w:rsid w:val="008A0AB2"/>
    <w:rsid w:val="008A0B33"/>
    <w:rsid w:val="008A0E25"/>
    <w:rsid w:val="008A1D8D"/>
    <w:rsid w:val="008A2C60"/>
    <w:rsid w:val="008A2E7B"/>
    <w:rsid w:val="008A57AE"/>
    <w:rsid w:val="008A5AE7"/>
    <w:rsid w:val="008A5C6F"/>
    <w:rsid w:val="008A636E"/>
    <w:rsid w:val="008B03B0"/>
    <w:rsid w:val="008B09CB"/>
    <w:rsid w:val="008B2ED8"/>
    <w:rsid w:val="008B644C"/>
    <w:rsid w:val="008B7215"/>
    <w:rsid w:val="008B763F"/>
    <w:rsid w:val="008B7D4E"/>
    <w:rsid w:val="008C03E1"/>
    <w:rsid w:val="008C0ECA"/>
    <w:rsid w:val="008C4C9E"/>
    <w:rsid w:val="008C5E20"/>
    <w:rsid w:val="008C6E4B"/>
    <w:rsid w:val="008C702A"/>
    <w:rsid w:val="008C76EA"/>
    <w:rsid w:val="008C7D05"/>
    <w:rsid w:val="008D0289"/>
    <w:rsid w:val="008D1260"/>
    <w:rsid w:val="008D1EBA"/>
    <w:rsid w:val="008D269F"/>
    <w:rsid w:val="008D27F0"/>
    <w:rsid w:val="008D5169"/>
    <w:rsid w:val="008D6DDB"/>
    <w:rsid w:val="008D70D1"/>
    <w:rsid w:val="008D7CE2"/>
    <w:rsid w:val="008E0D1B"/>
    <w:rsid w:val="008E0E37"/>
    <w:rsid w:val="008E138E"/>
    <w:rsid w:val="008E1575"/>
    <w:rsid w:val="008E1623"/>
    <w:rsid w:val="008E3787"/>
    <w:rsid w:val="008E4284"/>
    <w:rsid w:val="008E43E9"/>
    <w:rsid w:val="008E596E"/>
    <w:rsid w:val="008E6988"/>
    <w:rsid w:val="008E6A12"/>
    <w:rsid w:val="008F0949"/>
    <w:rsid w:val="008F18F5"/>
    <w:rsid w:val="008F1A49"/>
    <w:rsid w:val="008F3149"/>
    <w:rsid w:val="008F31CE"/>
    <w:rsid w:val="008F335F"/>
    <w:rsid w:val="008F342A"/>
    <w:rsid w:val="008F44E9"/>
    <w:rsid w:val="008F4DEB"/>
    <w:rsid w:val="008F7769"/>
    <w:rsid w:val="00901E5A"/>
    <w:rsid w:val="00902658"/>
    <w:rsid w:val="00902B46"/>
    <w:rsid w:val="00902C85"/>
    <w:rsid w:val="009036DF"/>
    <w:rsid w:val="00904EE3"/>
    <w:rsid w:val="00906599"/>
    <w:rsid w:val="00906E6B"/>
    <w:rsid w:val="009109C0"/>
    <w:rsid w:val="009110B3"/>
    <w:rsid w:val="009115AF"/>
    <w:rsid w:val="00912877"/>
    <w:rsid w:val="0091402F"/>
    <w:rsid w:val="00914185"/>
    <w:rsid w:val="0091615D"/>
    <w:rsid w:val="00920F17"/>
    <w:rsid w:val="00921083"/>
    <w:rsid w:val="00921FCC"/>
    <w:rsid w:val="0092227B"/>
    <w:rsid w:val="009239DF"/>
    <w:rsid w:val="0092495D"/>
    <w:rsid w:val="0092616C"/>
    <w:rsid w:val="0092630A"/>
    <w:rsid w:val="009270C9"/>
    <w:rsid w:val="0093188A"/>
    <w:rsid w:val="009324DA"/>
    <w:rsid w:val="009339DD"/>
    <w:rsid w:val="00933F77"/>
    <w:rsid w:val="00934121"/>
    <w:rsid w:val="0093431C"/>
    <w:rsid w:val="009349E3"/>
    <w:rsid w:val="00934BF5"/>
    <w:rsid w:val="00935026"/>
    <w:rsid w:val="009356CA"/>
    <w:rsid w:val="0093791A"/>
    <w:rsid w:val="00940CB2"/>
    <w:rsid w:val="00941DFF"/>
    <w:rsid w:val="00941E42"/>
    <w:rsid w:val="00943766"/>
    <w:rsid w:val="00944659"/>
    <w:rsid w:val="009450CD"/>
    <w:rsid w:val="00946626"/>
    <w:rsid w:val="009475FD"/>
    <w:rsid w:val="00947866"/>
    <w:rsid w:val="009501B0"/>
    <w:rsid w:val="00950797"/>
    <w:rsid w:val="0095159B"/>
    <w:rsid w:val="0095278E"/>
    <w:rsid w:val="009539C0"/>
    <w:rsid w:val="0095537B"/>
    <w:rsid w:val="009556B8"/>
    <w:rsid w:val="0095584E"/>
    <w:rsid w:val="0095747F"/>
    <w:rsid w:val="0095791D"/>
    <w:rsid w:val="00960821"/>
    <w:rsid w:val="00961729"/>
    <w:rsid w:val="00964147"/>
    <w:rsid w:val="00964E4A"/>
    <w:rsid w:val="00965143"/>
    <w:rsid w:val="0096531C"/>
    <w:rsid w:val="009653B0"/>
    <w:rsid w:val="0096705E"/>
    <w:rsid w:val="0096761F"/>
    <w:rsid w:val="009705F4"/>
    <w:rsid w:val="00972490"/>
    <w:rsid w:val="00972DF1"/>
    <w:rsid w:val="0097770B"/>
    <w:rsid w:val="0099040E"/>
    <w:rsid w:val="00990B55"/>
    <w:rsid w:val="00992F3F"/>
    <w:rsid w:val="00992F57"/>
    <w:rsid w:val="00993464"/>
    <w:rsid w:val="00993DB6"/>
    <w:rsid w:val="00993E11"/>
    <w:rsid w:val="00996DE4"/>
    <w:rsid w:val="009A103B"/>
    <w:rsid w:val="009A18CD"/>
    <w:rsid w:val="009A2C62"/>
    <w:rsid w:val="009A59C9"/>
    <w:rsid w:val="009A5D8E"/>
    <w:rsid w:val="009A5E52"/>
    <w:rsid w:val="009A636A"/>
    <w:rsid w:val="009A6FFF"/>
    <w:rsid w:val="009A7E98"/>
    <w:rsid w:val="009B0264"/>
    <w:rsid w:val="009B1BD5"/>
    <w:rsid w:val="009B3DA0"/>
    <w:rsid w:val="009B4420"/>
    <w:rsid w:val="009B5447"/>
    <w:rsid w:val="009B5775"/>
    <w:rsid w:val="009B6F50"/>
    <w:rsid w:val="009B73F9"/>
    <w:rsid w:val="009B7B3F"/>
    <w:rsid w:val="009B7EDB"/>
    <w:rsid w:val="009C071E"/>
    <w:rsid w:val="009C251A"/>
    <w:rsid w:val="009C2A7E"/>
    <w:rsid w:val="009C2BED"/>
    <w:rsid w:val="009C3083"/>
    <w:rsid w:val="009C34ED"/>
    <w:rsid w:val="009C363C"/>
    <w:rsid w:val="009C3BDF"/>
    <w:rsid w:val="009D1FAD"/>
    <w:rsid w:val="009D2688"/>
    <w:rsid w:val="009D2E98"/>
    <w:rsid w:val="009D30C4"/>
    <w:rsid w:val="009D37FE"/>
    <w:rsid w:val="009D4167"/>
    <w:rsid w:val="009D4A36"/>
    <w:rsid w:val="009D4DD9"/>
    <w:rsid w:val="009D775A"/>
    <w:rsid w:val="009E0161"/>
    <w:rsid w:val="009E02B6"/>
    <w:rsid w:val="009E04EF"/>
    <w:rsid w:val="009E0A8B"/>
    <w:rsid w:val="009E1682"/>
    <w:rsid w:val="009E2DB1"/>
    <w:rsid w:val="009E6155"/>
    <w:rsid w:val="009E6721"/>
    <w:rsid w:val="009E67B9"/>
    <w:rsid w:val="009E7BC8"/>
    <w:rsid w:val="009F06CF"/>
    <w:rsid w:val="009F0B7B"/>
    <w:rsid w:val="009F3D22"/>
    <w:rsid w:val="009F4020"/>
    <w:rsid w:val="009F4071"/>
    <w:rsid w:val="009F5442"/>
    <w:rsid w:val="009F5A81"/>
    <w:rsid w:val="009F5DE4"/>
    <w:rsid w:val="009F651F"/>
    <w:rsid w:val="009F669C"/>
    <w:rsid w:val="00A02EFD"/>
    <w:rsid w:val="00A04441"/>
    <w:rsid w:val="00A04912"/>
    <w:rsid w:val="00A05ABB"/>
    <w:rsid w:val="00A06CD6"/>
    <w:rsid w:val="00A078CF"/>
    <w:rsid w:val="00A07A6F"/>
    <w:rsid w:val="00A13325"/>
    <w:rsid w:val="00A14B21"/>
    <w:rsid w:val="00A158E5"/>
    <w:rsid w:val="00A159E5"/>
    <w:rsid w:val="00A15ABC"/>
    <w:rsid w:val="00A16514"/>
    <w:rsid w:val="00A203A8"/>
    <w:rsid w:val="00A22687"/>
    <w:rsid w:val="00A22A2B"/>
    <w:rsid w:val="00A24222"/>
    <w:rsid w:val="00A26359"/>
    <w:rsid w:val="00A26C43"/>
    <w:rsid w:val="00A27EF4"/>
    <w:rsid w:val="00A3009C"/>
    <w:rsid w:val="00A311E4"/>
    <w:rsid w:val="00A33485"/>
    <w:rsid w:val="00A33DE6"/>
    <w:rsid w:val="00A34896"/>
    <w:rsid w:val="00A36532"/>
    <w:rsid w:val="00A36EAB"/>
    <w:rsid w:val="00A403E5"/>
    <w:rsid w:val="00A40A55"/>
    <w:rsid w:val="00A40BD3"/>
    <w:rsid w:val="00A424A7"/>
    <w:rsid w:val="00A42E17"/>
    <w:rsid w:val="00A45783"/>
    <w:rsid w:val="00A4621C"/>
    <w:rsid w:val="00A50BFA"/>
    <w:rsid w:val="00A538B8"/>
    <w:rsid w:val="00A5418C"/>
    <w:rsid w:val="00A60403"/>
    <w:rsid w:val="00A62800"/>
    <w:rsid w:val="00A63FA6"/>
    <w:rsid w:val="00A641F1"/>
    <w:rsid w:val="00A661BA"/>
    <w:rsid w:val="00A663DF"/>
    <w:rsid w:val="00A668DD"/>
    <w:rsid w:val="00A67C67"/>
    <w:rsid w:val="00A70240"/>
    <w:rsid w:val="00A724F9"/>
    <w:rsid w:val="00A74833"/>
    <w:rsid w:val="00A774C9"/>
    <w:rsid w:val="00A80B41"/>
    <w:rsid w:val="00A80C1A"/>
    <w:rsid w:val="00A80D3D"/>
    <w:rsid w:val="00A81332"/>
    <w:rsid w:val="00A8183B"/>
    <w:rsid w:val="00A82D46"/>
    <w:rsid w:val="00A83D80"/>
    <w:rsid w:val="00A855FA"/>
    <w:rsid w:val="00A856EC"/>
    <w:rsid w:val="00A85A2F"/>
    <w:rsid w:val="00A85E54"/>
    <w:rsid w:val="00A8600F"/>
    <w:rsid w:val="00A86467"/>
    <w:rsid w:val="00A8676D"/>
    <w:rsid w:val="00A87E3D"/>
    <w:rsid w:val="00A90BFC"/>
    <w:rsid w:val="00A910B8"/>
    <w:rsid w:val="00A93635"/>
    <w:rsid w:val="00A93DD7"/>
    <w:rsid w:val="00A95368"/>
    <w:rsid w:val="00A967B1"/>
    <w:rsid w:val="00A96A68"/>
    <w:rsid w:val="00A97E29"/>
    <w:rsid w:val="00AA0501"/>
    <w:rsid w:val="00AA0BA3"/>
    <w:rsid w:val="00AA265B"/>
    <w:rsid w:val="00AA312B"/>
    <w:rsid w:val="00AA62B1"/>
    <w:rsid w:val="00AA758D"/>
    <w:rsid w:val="00AB04DE"/>
    <w:rsid w:val="00AB0A2B"/>
    <w:rsid w:val="00AB15D5"/>
    <w:rsid w:val="00AB6C36"/>
    <w:rsid w:val="00AB7A67"/>
    <w:rsid w:val="00AB7A91"/>
    <w:rsid w:val="00AC135F"/>
    <w:rsid w:val="00AC162B"/>
    <w:rsid w:val="00AC191D"/>
    <w:rsid w:val="00AC1BDE"/>
    <w:rsid w:val="00AC2A86"/>
    <w:rsid w:val="00AC33A1"/>
    <w:rsid w:val="00AC46C7"/>
    <w:rsid w:val="00AC480C"/>
    <w:rsid w:val="00AC578B"/>
    <w:rsid w:val="00AC6013"/>
    <w:rsid w:val="00AD306E"/>
    <w:rsid w:val="00AD33C7"/>
    <w:rsid w:val="00AD38BD"/>
    <w:rsid w:val="00AD7730"/>
    <w:rsid w:val="00AD7F42"/>
    <w:rsid w:val="00AE0966"/>
    <w:rsid w:val="00AE1184"/>
    <w:rsid w:val="00AE131A"/>
    <w:rsid w:val="00AE215B"/>
    <w:rsid w:val="00AE257D"/>
    <w:rsid w:val="00AE39AA"/>
    <w:rsid w:val="00AE56D7"/>
    <w:rsid w:val="00AE7585"/>
    <w:rsid w:val="00AF0EF8"/>
    <w:rsid w:val="00AF47FF"/>
    <w:rsid w:val="00B00DD3"/>
    <w:rsid w:val="00B013DC"/>
    <w:rsid w:val="00B024DE"/>
    <w:rsid w:val="00B026E0"/>
    <w:rsid w:val="00B02F57"/>
    <w:rsid w:val="00B051F1"/>
    <w:rsid w:val="00B13417"/>
    <w:rsid w:val="00B13630"/>
    <w:rsid w:val="00B1428C"/>
    <w:rsid w:val="00B153CE"/>
    <w:rsid w:val="00B15F18"/>
    <w:rsid w:val="00B1744F"/>
    <w:rsid w:val="00B17B44"/>
    <w:rsid w:val="00B20391"/>
    <w:rsid w:val="00B22B36"/>
    <w:rsid w:val="00B2550E"/>
    <w:rsid w:val="00B26B50"/>
    <w:rsid w:val="00B27169"/>
    <w:rsid w:val="00B308E2"/>
    <w:rsid w:val="00B33AAF"/>
    <w:rsid w:val="00B340BB"/>
    <w:rsid w:val="00B345F5"/>
    <w:rsid w:val="00B35412"/>
    <w:rsid w:val="00B35B78"/>
    <w:rsid w:val="00B35C18"/>
    <w:rsid w:val="00B367D4"/>
    <w:rsid w:val="00B36E2A"/>
    <w:rsid w:val="00B36E97"/>
    <w:rsid w:val="00B36EBC"/>
    <w:rsid w:val="00B42C83"/>
    <w:rsid w:val="00B4357B"/>
    <w:rsid w:val="00B44637"/>
    <w:rsid w:val="00B446EE"/>
    <w:rsid w:val="00B4781F"/>
    <w:rsid w:val="00B527B8"/>
    <w:rsid w:val="00B52A9F"/>
    <w:rsid w:val="00B557B1"/>
    <w:rsid w:val="00B60190"/>
    <w:rsid w:val="00B621DC"/>
    <w:rsid w:val="00B64339"/>
    <w:rsid w:val="00B65FBA"/>
    <w:rsid w:val="00B6696F"/>
    <w:rsid w:val="00B67092"/>
    <w:rsid w:val="00B71EA3"/>
    <w:rsid w:val="00B734A5"/>
    <w:rsid w:val="00B74D31"/>
    <w:rsid w:val="00B76A01"/>
    <w:rsid w:val="00B76D69"/>
    <w:rsid w:val="00B81320"/>
    <w:rsid w:val="00B814C2"/>
    <w:rsid w:val="00B8747F"/>
    <w:rsid w:val="00B9188F"/>
    <w:rsid w:val="00B94815"/>
    <w:rsid w:val="00B951BB"/>
    <w:rsid w:val="00B952B6"/>
    <w:rsid w:val="00B96818"/>
    <w:rsid w:val="00B96AC8"/>
    <w:rsid w:val="00B97032"/>
    <w:rsid w:val="00B971AB"/>
    <w:rsid w:val="00B97EEB"/>
    <w:rsid w:val="00BA0022"/>
    <w:rsid w:val="00BA183F"/>
    <w:rsid w:val="00BA2350"/>
    <w:rsid w:val="00BA239B"/>
    <w:rsid w:val="00BA2BD8"/>
    <w:rsid w:val="00BA31B6"/>
    <w:rsid w:val="00BA3562"/>
    <w:rsid w:val="00BA4C7C"/>
    <w:rsid w:val="00BA5487"/>
    <w:rsid w:val="00BA5C2D"/>
    <w:rsid w:val="00BA5C51"/>
    <w:rsid w:val="00BA6801"/>
    <w:rsid w:val="00BA77B4"/>
    <w:rsid w:val="00BA7F74"/>
    <w:rsid w:val="00BA7FE2"/>
    <w:rsid w:val="00BB0877"/>
    <w:rsid w:val="00BB0A59"/>
    <w:rsid w:val="00BB2250"/>
    <w:rsid w:val="00BB25AA"/>
    <w:rsid w:val="00BB4442"/>
    <w:rsid w:val="00BB59C0"/>
    <w:rsid w:val="00BB5AC5"/>
    <w:rsid w:val="00BB5B25"/>
    <w:rsid w:val="00BC1751"/>
    <w:rsid w:val="00BC2485"/>
    <w:rsid w:val="00BC29E5"/>
    <w:rsid w:val="00BC5AF1"/>
    <w:rsid w:val="00BC62FC"/>
    <w:rsid w:val="00BD02F9"/>
    <w:rsid w:val="00BD0642"/>
    <w:rsid w:val="00BD069B"/>
    <w:rsid w:val="00BD46C8"/>
    <w:rsid w:val="00BD6735"/>
    <w:rsid w:val="00BD6830"/>
    <w:rsid w:val="00BD7F74"/>
    <w:rsid w:val="00BE015E"/>
    <w:rsid w:val="00BE0812"/>
    <w:rsid w:val="00BE0AC2"/>
    <w:rsid w:val="00BE196A"/>
    <w:rsid w:val="00BE1A6B"/>
    <w:rsid w:val="00BE2157"/>
    <w:rsid w:val="00BE2598"/>
    <w:rsid w:val="00BE2AB7"/>
    <w:rsid w:val="00BE3A84"/>
    <w:rsid w:val="00BE410A"/>
    <w:rsid w:val="00BE62BC"/>
    <w:rsid w:val="00BE69C8"/>
    <w:rsid w:val="00BE7C4A"/>
    <w:rsid w:val="00BF0FCD"/>
    <w:rsid w:val="00BF101F"/>
    <w:rsid w:val="00BF22C2"/>
    <w:rsid w:val="00BF2578"/>
    <w:rsid w:val="00BF307B"/>
    <w:rsid w:val="00BF3C32"/>
    <w:rsid w:val="00BF4D8C"/>
    <w:rsid w:val="00BF5CEC"/>
    <w:rsid w:val="00BF5FFB"/>
    <w:rsid w:val="00C00A95"/>
    <w:rsid w:val="00C015D0"/>
    <w:rsid w:val="00C02758"/>
    <w:rsid w:val="00C027E6"/>
    <w:rsid w:val="00C02C76"/>
    <w:rsid w:val="00C05F44"/>
    <w:rsid w:val="00C11F19"/>
    <w:rsid w:val="00C12127"/>
    <w:rsid w:val="00C130AB"/>
    <w:rsid w:val="00C13E34"/>
    <w:rsid w:val="00C14D72"/>
    <w:rsid w:val="00C1594E"/>
    <w:rsid w:val="00C167B3"/>
    <w:rsid w:val="00C173D0"/>
    <w:rsid w:val="00C17E42"/>
    <w:rsid w:val="00C2063E"/>
    <w:rsid w:val="00C2184F"/>
    <w:rsid w:val="00C22503"/>
    <w:rsid w:val="00C2412D"/>
    <w:rsid w:val="00C24B88"/>
    <w:rsid w:val="00C24C78"/>
    <w:rsid w:val="00C257F4"/>
    <w:rsid w:val="00C2607E"/>
    <w:rsid w:val="00C27C14"/>
    <w:rsid w:val="00C31AF3"/>
    <w:rsid w:val="00C32B6D"/>
    <w:rsid w:val="00C342AA"/>
    <w:rsid w:val="00C3478D"/>
    <w:rsid w:val="00C36203"/>
    <w:rsid w:val="00C415AD"/>
    <w:rsid w:val="00C417DE"/>
    <w:rsid w:val="00C43610"/>
    <w:rsid w:val="00C43915"/>
    <w:rsid w:val="00C4427E"/>
    <w:rsid w:val="00C447D8"/>
    <w:rsid w:val="00C470CE"/>
    <w:rsid w:val="00C5008A"/>
    <w:rsid w:val="00C502E1"/>
    <w:rsid w:val="00C50AD2"/>
    <w:rsid w:val="00C572E5"/>
    <w:rsid w:val="00C5786C"/>
    <w:rsid w:val="00C6075D"/>
    <w:rsid w:val="00C61E42"/>
    <w:rsid w:val="00C6235B"/>
    <w:rsid w:val="00C62558"/>
    <w:rsid w:val="00C62F94"/>
    <w:rsid w:val="00C63384"/>
    <w:rsid w:val="00C651CB"/>
    <w:rsid w:val="00C6569A"/>
    <w:rsid w:val="00C65986"/>
    <w:rsid w:val="00C7422B"/>
    <w:rsid w:val="00C74957"/>
    <w:rsid w:val="00C80EC7"/>
    <w:rsid w:val="00C814D9"/>
    <w:rsid w:val="00C82D90"/>
    <w:rsid w:val="00C83BEF"/>
    <w:rsid w:val="00C84EF5"/>
    <w:rsid w:val="00C86D6D"/>
    <w:rsid w:val="00C90A8C"/>
    <w:rsid w:val="00C91529"/>
    <w:rsid w:val="00C918CC"/>
    <w:rsid w:val="00C91FD0"/>
    <w:rsid w:val="00C92941"/>
    <w:rsid w:val="00C932BD"/>
    <w:rsid w:val="00C93638"/>
    <w:rsid w:val="00C93D2F"/>
    <w:rsid w:val="00C94702"/>
    <w:rsid w:val="00C95124"/>
    <w:rsid w:val="00C955BA"/>
    <w:rsid w:val="00C95674"/>
    <w:rsid w:val="00C95991"/>
    <w:rsid w:val="00C961D9"/>
    <w:rsid w:val="00C9698A"/>
    <w:rsid w:val="00C97C82"/>
    <w:rsid w:val="00CA1EBE"/>
    <w:rsid w:val="00CA292A"/>
    <w:rsid w:val="00CA2FFB"/>
    <w:rsid w:val="00CA327E"/>
    <w:rsid w:val="00CA47C6"/>
    <w:rsid w:val="00CA490F"/>
    <w:rsid w:val="00CB0B9E"/>
    <w:rsid w:val="00CB2A51"/>
    <w:rsid w:val="00CB48E1"/>
    <w:rsid w:val="00CB4905"/>
    <w:rsid w:val="00CB4EAD"/>
    <w:rsid w:val="00CB614D"/>
    <w:rsid w:val="00CB6EBD"/>
    <w:rsid w:val="00CB704E"/>
    <w:rsid w:val="00CB7716"/>
    <w:rsid w:val="00CB7D0B"/>
    <w:rsid w:val="00CB7FC2"/>
    <w:rsid w:val="00CC111C"/>
    <w:rsid w:val="00CC18B7"/>
    <w:rsid w:val="00CC449B"/>
    <w:rsid w:val="00CC4F08"/>
    <w:rsid w:val="00CC59FA"/>
    <w:rsid w:val="00CC6417"/>
    <w:rsid w:val="00CC6448"/>
    <w:rsid w:val="00CC66C2"/>
    <w:rsid w:val="00CC7243"/>
    <w:rsid w:val="00CC7365"/>
    <w:rsid w:val="00CC7DAE"/>
    <w:rsid w:val="00CD2605"/>
    <w:rsid w:val="00CD3584"/>
    <w:rsid w:val="00CD3738"/>
    <w:rsid w:val="00CD4813"/>
    <w:rsid w:val="00CD4864"/>
    <w:rsid w:val="00CD4F3F"/>
    <w:rsid w:val="00CD5FE1"/>
    <w:rsid w:val="00CD62D4"/>
    <w:rsid w:val="00CD64CD"/>
    <w:rsid w:val="00CD6B8E"/>
    <w:rsid w:val="00CD783C"/>
    <w:rsid w:val="00CD7D49"/>
    <w:rsid w:val="00CE1149"/>
    <w:rsid w:val="00CE18E2"/>
    <w:rsid w:val="00CE1FA9"/>
    <w:rsid w:val="00CE3C44"/>
    <w:rsid w:val="00CE4196"/>
    <w:rsid w:val="00CE49E7"/>
    <w:rsid w:val="00CF02DF"/>
    <w:rsid w:val="00CF0896"/>
    <w:rsid w:val="00CF2D88"/>
    <w:rsid w:val="00CF2D94"/>
    <w:rsid w:val="00CF36D0"/>
    <w:rsid w:val="00CF3920"/>
    <w:rsid w:val="00CF4A4B"/>
    <w:rsid w:val="00CF5401"/>
    <w:rsid w:val="00CF619B"/>
    <w:rsid w:val="00CF69BE"/>
    <w:rsid w:val="00CF6C1B"/>
    <w:rsid w:val="00D00DA1"/>
    <w:rsid w:val="00D00F40"/>
    <w:rsid w:val="00D02A68"/>
    <w:rsid w:val="00D02F31"/>
    <w:rsid w:val="00D03632"/>
    <w:rsid w:val="00D03A5E"/>
    <w:rsid w:val="00D066B8"/>
    <w:rsid w:val="00D06BE0"/>
    <w:rsid w:val="00D078F3"/>
    <w:rsid w:val="00D10B22"/>
    <w:rsid w:val="00D10F30"/>
    <w:rsid w:val="00D1150D"/>
    <w:rsid w:val="00D11624"/>
    <w:rsid w:val="00D12FC3"/>
    <w:rsid w:val="00D147CD"/>
    <w:rsid w:val="00D20C86"/>
    <w:rsid w:val="00D21445"/>
    <w:rsid w:val="00D23150"/>
    <w:rsid w:val="00D252AF"/>
    <w:rsid w:val="00D26731"/>
    <w:rsid w:val="00D279B7"/>
    <w:rsid w:val="00D327C0"/>
    <w:rsid w:val="00D34BC6"/>
    <w:rsid w:val="00D35A63"/>
    <w:rsid w:val="00D414F5"/>
    <w:rsid w:val="00D4159B"/>
    <w:rsid w:val="00D41BCB"/>
    <w:rsid w:val="00D42235"/>
    <w:rsid w:val="00D44C1A"/>
    <w:rsid w:val="00D47A2D"/>
    <w:rsid w:val="00D51645"/>
    <w:rsid w:val="00D518DB"/>
    <w:rsid w:val="00D51A9F"/>
    <w:rsid w:val="00D52DDA"/>
    <w:rsid w:val="00D532A1"/>
    <w:rsid w:val="00D532DD"/>
    <w:rsid w:val="00D5341C"/>
    <w:rsid w:val="00D53C4E"/>
    <w:rsid w:val="00D54923"/>
    <w:rsid w:val="00D554A2"/>
    <w:rsid w:val="00D55A00"/>
    <w:rsid w:val="00D56F3E"/>
    <w:rsid w:val="00D6135E"/>
    <w:rsid w:val="00D61FA2"/>
    <w:rsid w:val="00D625F9"/>
    <w:rsid w:val="00D64BE7"/>
    <w:rsid w:val="00D65E87"/>
    <w:rsid w:val="00D66E0D"/>
    <w:rsid w:val="00D674D0"/>
    <w:rsid w:val="00D724B9"/>
    <w:rsid w:val="00D75E87"/>
    <w:rsid w:val="00D76CB6"/>
    <w:rsid w:val="00D76FD2"/>
    <w:rsid w:val="00D770C3"/>
    <w:rsid w:val="00D810AF"/>
    <w:rsid w:val="00D81ECE"/>
    <w:rsid w:val="00D8475F"/>
    <w:rsid w:val="00D84F02"/>
    <w:rsid w:val="00D86684"/>
    <w:rsid w:val="00D870C7"/>
    <w:rsid w:val="00D87574"/>
    <w:rsid w:val="00D87CC9"/>
    <w:rsid w:val="00D90ECB"/>
    <w:rsid w:val="00D91783"/>
    <w:rsid w:val="00D91A8B"/>
    <w:rsid w:val="00D91E48"/>
    <w:rsid w:val="00D925BB"/>
    <w:rsid w:val="00D9356D"/>
    <w:rsid w:val="00D93A71"/>
    <w:rsid w:val="00D9518A"/>
    <w:rsid w:val="00D96187"/>
    <w:rsid w:val="00DA02A4"/>
    <w:rsid w:val="00DA1042"/>
    <w:rsid w:val="00DA25D5"/>
    <w:rsid w:val="00DA4259"/>
    <w:rsid w:val="00DA5D40"/>
    <w:rsid w:val="00DA6577"/>
    <w:rsid w:val="00DA6752"/>
    <w:rsid w:val="00DA7BD1"/>
    <w:rsid w:val="00DA7DBD"/>
    <w:rsid w:val="00DB2810"/>
    <w:rsid w:val="00DB2F15"/>
    <w:rsid w:val="00DB31AA"/>
    <w:rsid w:val="00DB3645"/>
    <w:rsid w:val="00DB368D"/>
    <w:rsid w:val="00DB5C7B"/>
    <w:rsid w:val="00DB6168"/>
    <w:rsid w:val="00DB6E5E"/>
    <w:rsid w:val="00DB6F82"/>
    <w:rsid w:val="00DB7095"/>
    <w:rsid w:val="00DB7C8D"/>
    <w:rsid w:val="00DC0431"/>
    <w:rsid w:val="00DC21FD"/>
    <w:rsid w:val="00DC3F42"/>
    <w:rsid w:val="00DC5AEE"/>
    <w:rsid w:val="00DC68BE"/>
    <w:rsid w:val="00DC7294"/>
    <w:rsid w:val="00DC7612"/>
    <w:rsid w:val="00DC7C7C"/>
    <w:rsid w:val="00DD0ADB"/>
    <w:rsid w:val="00DD3AC6"/>
    <w:rsid w:val="00DD4E93"/>
    <w:rsid w:val="00DD5F84"/>
    <w:rsid w:val="00DD61BF"/>
    <w:rsid w:val="00DD6301"/>
    <w:rsid w:val="00DD6B8A"/>
    <w:rsid w:val="00DD71CE"/>
    <w:rsid w:val="00DE08F1"/>
    <w:rsid w:val="00DE0DA6"/>
    <w:rsid w:val="00DE1198"/>
    <w:rsid w:val="00DE2A3D"/>
    <w:rsid w:val="00DE3156"/>
    <w:rsid w:val="00DE41F4"/>
    <w:rsid w:val="00DE4C79"/>
    <w:rsid w:val="00DE57B1"/>
    <w:rsid w:val="00DE7D10"/>
    <w:rsid w:val="00DF1699"/>
    <w:rsid w:val="00DF3B64"/>
    <w:rsid w:val="00DF3E18"/>
    <w:rsid w:val="00DF5EA2"/>
    <w:rsid w:val="00DF64AC"/>
    <w:rsid w:val="00DF6753"/>
    <w:rsid w:val="00DF6B0F"/>
    <w:rsid w:val="00E008B5"/>
    <w:rsid w:val="00E00E41"/>
    <w:rsid w:val="00E0344F"/>
    <w:rsid w:val="00E0670F"/>
    <w:rsid w:val="00E07648"/>
    <w:rsid w:val="00E076D7"/>
    <w:rsid w:val="00E11084"/>
    <w:rsid w:val="00E1260A"/>
    <w:rsid w:val="00E1311E"/>
    <w:rsid w:val="00E13BF4"/>
    <w:rsid w:val="00E14616"/>
    <w:rsid w:val="00E14AEE"/>
    <w:rsid w:val="00E22399"/>
    <w:rsid w:val="00E22805"/>
    <w:rsid w:val="00E23A4D"/>
    <w:rsid w:val="00E25CD6"/>
    <w:rsid w:val="00E26601"/>
    <w:rsid w:val="00E26CB0"/>
    <w:rsid w:val="00E30B0F"/>
    <w:rsid w:val="00E32792"/>
    <w:rsid w:val="00E329D8"/>
    <w:rsid w:val="00E33500"/>
    <w:rsid w:val="00E35341"/>
    <w:rsid w:val="00E35ED4"/>
    <w:rsid w:val="00E40C13"/>
    <w:rsid w:val="00E40D40"/>
    <w:rsid w:val="00E42551"/>
    <w:rsid w:val="00E44915"/>
    <w:rsid w:val="00E449E1"/>
    <w:rsid w:val="00E44E7B"/>
    <w:rsid w:val="00E46808"/>
    <w:rsid w:val="00E46C36"/>
    <w:rsid w:val="00E474BE"/>
    <w:rsid w:val="00E50438"/>
    <w:rsid w:val="00E50609"/>
    <w:rsid w:val="00E53A22"/>
    <w:rsid w:val="00E54F20"/>
    <w:rsid w:val="00E558F2"/>
    <w:rsid w:val="00E57003"/>
    <w:rsid w:val="00E57651"/>
    <w:rsid w:val="00E61765"/>
    <w:rsid w:val="00E61970"/>
    <w:rsid w:val="00E61B86"/>
    <w:rsid w:val="00E61CDF"/>
    <w:rsid w:val="00E6263A"/>
    <w:rsid w:val="00E63EE2"/>
    <w:rsid w:val="00E6470E"/>
    <w:rsid w:val="00E64A9C"/>
    <w:rsid w:val="00E65D7E"/>
    <w:rsid w:val="00E66265"/>
    <w:rsid w:val="00E6670F"/>
    <w:rsid w:val="00E667E1"/>
    <w:rsid w:val="00E67335"/>
    <w:rsid w:val="00E67A6C"/>
    <w:rsid w:val="00E706BB"/>
    <w:rsid w:val="00E727D2"/>
    <w:rsid w:val="00E72C3C"/>
    <w:rsid w:val="00E72F42"/>
    <w:rsid w:val="00E759D1"/>
    <w:rsid w:val="00E75E13"/>
    <w:rsid w:val="00E76431"/>
    <w:rsid w:val="00E766BA"/>
    <w:rsid w:val="00E770A7"/>
    <w:rsid w:val="00E775F3"/>
    <w:rsid w:val="00E803EB"/>
    <w:rsid w:val="00E81236"/>
    <w:rsid w:val="00E816EB"/>
    <w:rsid w:val="00E81843"/>
    <w:rsid w:val="00E830C4"/>
    <w:rsid w:val="00E8383B"/>
    <w:rsid w:val="00E83DCE"/>
    <w:rsid w:val="00E8508F"/>
    <w:rsid w:val="00E85F19"/>
    <w:rsid w:val="00E865A6"/>
    <w:rsid w:val="00E8660D"/>
    <w:rsid w:val="00E90842"/>
    <w:rsid w:val="00E909DB"/>
    <w:rsid w:val="00E912A0"/>
    <w:rsid w:val="00E913F9"/>
    <w:rsid w:val="00E91B0C"/>
    <w:rsid w:val="00E9202E"/>
    <w:rsid w:val="00E92691"/>
    <w:rsid w:val="00E9274E"/>
    <w:rsid w:val="00E94C86"/>
    <w:rsid w:val="00E9515D"/>
    <w:rsid w:val="00E95D58"/>
    <w:rsid w:val="00E97270"/>
    <w:rsid w:val="00E9788F"/>
    <w:rsid w:val="00EA002E"/>
    <w:rsid w:val="00EA1BF2"/>
    <w:rsid w:val="00EA493C"/>
    <w:rsid w:val="00EA4990"/>
    <w:rsid w:val="00EA5061"/>
    <w:rsid w:val="00EA5C9F"/>
    <w:rsid w:val="00EA5CC8"/>
    <w:rsid w:val="00EA6174"/>
    <w:rsid w:val="00EA6903"/>
    <w:rsid w:val="00EA69E5"/>
    <w:rsid w:val="00EA6F13"/>
    <w:rsid w:val="00EB0B1B"/>
    <w:rsid w:val="00EB1ADE"/>
    <w:rsid w:val="00EB2259"/>
    <w:rsid w:val="00EB22D0"/>
    <w:rsid w:val="00EB3DBF"/>
    <w:rsid w:val="00EB794C"/>
    <w:rsid w:val="00EB7C82"/>
    <w:rsid w:val="00EC0D56"/>
    <w:rsid w:val="00EC3695"/>
    <w:rsid w:val="00EC5047"/>
    <w:rsid w:val="00EC5169"/>
    <w:rsid w:val="00EC623D"/>
    <w:rsid w:val="00EC6D24"/>
    <w:rsid w:val="00ED134C"/>
    <w:rsid w:val="00ED22EA"/>
    <w:rsid w:val="00ED2B58"/>
    <w:rsid w:val="00ED5EBF"/>
    <w:rsid w:val="00ED5ED1"/>
    <w:rsid w:val="00ED7974"/>
    <w:rsid w:val="00EE0039"/>
    <w:rsid w:val="00EE577E"/>
    <w:rsid w:val="00EE6737"/>
    <w:rsid w:val="00EF2D77"/>
    <w:rsid w:val="00EF3FD1"/>
    <w:rsid w:val="00EF4888"/>
    <w:rsid w:val="00EF5FF3"/>
    <w:rsid w:val="00EF7B49"/>
    <w:rsid w:val="00F0092E"/>
    <w:rsid w:val="00F0115A"/>
    <w:rsid w:val="00F0457D"/>
    <w:rsid w:val="00F062BC"/>
    <w:rsid w:val="00F0644F"/>
    <w:rsid w:val="00F06535"/>
    <w:rsid w:val="00F06A82"/>
    <w:rsid w:val="00F06E80"/>
    <w:rsid w:val="00F12093"/>
    <w:rsid w:val="00F13606"/>
    <w:rsid w:val="00F136A7"/>
    <w:rsid w:val="00F148EA"/>
    <w:rsid w:val="00F17317"/>
    <w:rsid w:val="00F20C12"/>
    <w:rsid w:val="00F20C22"/>
    <w:rsid w:val="00F2274A"/>
    <w:rsid w:val="00F25E20"/>
    <w:rsid w:val="00F25F5B"/>
    <w:rsid w:val="00F31CB3"/>
    <w:rsid w:val="00F33ABF"/>
    <w:rsid w:val="00F33BB2"/>
    <w:rsid w:val="00F34F4B"/>
    <w:rsid w:val="00F35DC3"/>
    <w:rsid w:val="00F37A3B"/>
    <w:rsid w:val="00F425FB"/>
    <w:rsid w:val="00F42B59"/>
    <w:rsid w:val="00F46F25"/>
    <w:rsid w:val="00F526D0"/>
    <w:rsid w:val="00F52E0B"/>
    <w:rsid w:val="00F5304D"/>
    <w:rsid w:val="00F543C2"/>
    <w:rsid w:val="00F55CC1"/>
    <w:rsid w:val="00F56AAA"/>
    <w:rsid w:val="00F606B9"/>
    <w:rsid w:val="00F60A3E"/>
    <w:rsid w:val="00F6223D"/>
    <w:rsid w:val="00F64B76"/>
    <w:rsid w:val="00F661A3"/>
    <w:rsid w:val="00F67886"/>
    <w:rsid w:val="00F70DF1"/>
    <w:rsid w:val="00F711CC"/>
    <w:rsid w:val="00F713D9"/>
    <w:rsid w:val="00F722EB"/>
    <w:rsid w:val="00F72C08"/>
    <w:rsid w:val="00F74304"/>
    <w:rsid w:val="00F754C3"/>
    <w:rsid w:val="00F755C9"/>
    <w:rsid w:val="00F75B3D"/>
    <w:rsid w:val="00F77106"/>
    <w:rsid w:val="00F77A57"/>
    <w:rsid w:val="00F80CE9"/>
    <w:rsid w:val="00F81DB1"/>
    <w:rsid w:val="00F8263B"/>
    <w:rsid w:val="00F828B4"/>
    <w:rsid w:val="00F82E96"/>
    <w:rsid w:val="00F831C0"/>
    <w:rsid w:val="00F839FA"/>
    <w:rsid w:val="00F8613A"/>
    <w:rsid w:val="00F900C8"/>
    <w:rsid w:val="00F91A1D"/>
    <w:rsid w:val="00F92BF6"/>
    <w:rsid w:val="00F959C6"/>
    <w:rsid w:val="00F961DD"/>
    <w:rsid w:val="00F964BB"/>
    <w:rsid w:val="00F96B40"/>
    <w:rsid w:val="00F9765D"/>
    <w:rsid w:val="00FA2E17"/>
    <w:rsid w:val="00FA30B4"/>
    <w:rsid w:val="00FA4F85"/>
    <w:rsid w:val="00FA5076"/>
    <w:rsid w:val="00FA59FE"/>
    <w:rsid w:val="00FA6EA1"/>
    <w:rsid w:val="00FA75D2"/>
    <w:rsid w:val="00FB0AC7"/>
    <w:rsid w:val="00FB1108"/>
    <w:rsid w:val="00FB1D3A"/>
    <w:rsid w:val="00FB1F91"/>
    <w:rsid w:val="00FB20C7"/>
    <w:rsid w:val="00FB21F5"/>
    <w:rsid w:val="00FB60A1"/>
    <w:rsid w:val="00FB7398"/>
    <w:rsid w:val="00FB76C3"/>
    <w:rsid w:val="00FB7DFA"/>
    <w:rsid w:val="00FB7FAC"/>
    <w:rsid w:val="00FC033A"/>
    <w:rsid w:val="00FC1623"/>
    <w:rsid w:val="00FC45D1"/>
    <w:rsid w:val="00FC5F9A"/>
    <w:rsid w:val="00FC79D1"/>
    <w:rsid w:val="00FC7CCC"/>
    <w:rsid w:val="00FD0619"/>
    <w:rsid w:val="00FD3212"/>
    <w:rsid w:val="00FD322F"/>
    <w:rsid w:val="00FD532A"/>
    <w:rsid w:val="00FD7135"/>
    <w:rsid w:val="00FE07D4"/>
    <w:rsid w:val="00FE0ECB"/>
    <w:rsid w:val="00FE0F55"/>
    <w:rsid w:val="00FE2C52"/>
    <w:rsid w:val="00FE51EA"/>
    <w:rsid w:val="00FF002D"/>
    <w:rsid w:val="00FF2B2E"/>
    <w:rsid w:val="00FF4809"/>
    <w:rsid w:val="00FF5407"/>
    <w:rsid w:val="00FF5691"/>
    <w:rsid w:val="00FF5D34"/>
    <w:rsid w:val="00FF7166"/>
    <w:rsid w:val="00FF7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6116E82-64E2-4B43-9EE4-AF4A0F95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04E"/>
  </w:style>
  <w:style w:type="paragraph" w:styleId="Heading1">
    <w:name w:val="heading 1"/>
    <w:basedOn w:val="Normal"/>
    <w:next w:val="Normal"/>
    <w:link w:val="Heading1Char"/>
    <w:uiPriority w:val="9"/>
    <w:qFormat/>
    <w:rsid w:val="00122B64"/>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2551"/>
    <w:pPr>
      <w:ind w:left="720"/>
      <w:contextualSpacing/>
    </w:pPr>
  </w:style>
  <w:style w:type="paragraph" w:styleId="FootnoteText">
    <w:name w:val="footnote text"/>
    <w:basedOn w:val="Normal"/>
    <w:link w:val="FootnoteTextChar"/>
    <w:uiPriority w:val="99"/>
    <w:unhideWhenUsed/>
    <w:rsid w:val="00E9515D"/>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E9515D"/>
    <w:rPr>
      <w:sz w:val="20"/>
      <w:szCs w:val="20"/>
      <w:lang w:val="en-GB"/>
    </w:rPr>
  </w:style>
  <w:style w:type="character" w:styleId="FootnoteReference">
    <w:name w:val="footnote reference"/>
    <w:basedOn w:val="DefaultParagraphFont"/>
    <w:uiPriority w:val="99"/>
    <w:semiHidden/>
    <w:unhideWhenUsed/>
    <w:rsid w:val="00E9515D"/>
    <w:rPr>
      <w:vertAlign w:val="superscript"/>
    </w:rPr>
  </w:style>
  <w:style w:type="character" w:customStyle="1" w:styleId="Heading1Char">
    <w:name w:val="Heading 1 Char"/>
    <w:basedOn w:val="DefaultParagraphFont"/>
    <w:link w:val="Heading1"/>
    <w:uiPriority w:val="9"/>
    <w:rsid w:val="00122B64"/>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C447D8"/>
    <w:rPr>
      <w:color w:val="0000FF" w:themeColor="hyperlink"/>
      <w:u w:val="single"/>
    </w:rPr>
  </w:style>
  <w:style w:type="character" w:styleId="CommentReference">
    <w:name w:val="annotation reference"/>
    <w:basedOn w:val="DefaultParagraphFont"/>
    <w:uiPriority w:val="99"/>
    <w:semiHidden/>
    <w:unhideWhenUsed/>
    <w:rsid w:val="002F6ACB"/>
    <w:rPr>
      <w:sz w:val="16"/>
      <w:szCs w:val="16"/>
    </w:rPr>
  </w:style>
  <w:style w:type="paragraph" w:styleId="CommentText">
    <w:name w:val="annotation text"/>
    <w:basedOn w:val="Normal"/>
    <w:link w:val="CommentTextChar"/>
    <w:uiPriority w:val="99"/>
    <w:unhideWhenUsed/>
    <w:rsid w:val="002F6ACB"/>
    <w:pPr>
      <w:spacing w:line="240" w:lineRule="auto"/>
    </w:pPr>
    <w:rPr>
      <w:sz w:val="20"/>
      <w:szCs w:val="20"/>
    </w:rPr>
  </w:style>
  <w:style w:type="character" w:customStyle="1" w:styleId="CommentTextChar">
    <w:name w:val="Comment Text Char"/>
    <w:basedOn w:val="DefaultParagraphFont"/>
    <w:link w:val="CommentText"/>
    <w:uiPriority w:val="99"/>
    <w:rsid w:val="002F6ACB"/>
    <w:rPr>
      <w:sz w:val="20"/>
      <w:szCs w:val="20"/>
    </w:rPr>
  </w:style>
  <w:style w:type="paragraph" w:styleId="CommentSubject">
    <w:name w:val="annotation subject"/>
    <w:basedOn w:val="CommentText"/>
    <w:next w:val="CommentText"/>
    <w:link w:val="CommentSubjectChar"/>
    <w:uiPriority w:val="99"/>
    <w:semiHidden/>
    <w:unhideWhenUsed/>
    <w:rsid w:val="002F6ACB"/>
    <w:rPr>
      <w:b/>
      <w:bCs/>
    </w:rPr>
  </w:style>
  <w:style w:type="character" w:customStyle="1" w:styleId="CommentSubjectChar">
    <w:name w:val="Comment Subject Char"/>
    <w:basedOn w:val="CommentTextChar"/>
    <w:link w:val="CommentSubject"/>
    <w:uiPriority w:val="99"/>
    <w:semiHidden/>
    <w:rsid w:val="002F6ACB"/>
    <w:rPr>
      <w:b/>
      <w:bCs/>
      <w:sz w:val="20"/>
      <w:szCs w:val="20"/>
    </w:rPr>
  </w:style>
  <w:style w:type="paragraph" w:styleId="BalloonText">
    <w:name w:val="Balloon Text"/>
    <w:basedOn w:val="Normal"/>
    <w:link w:val="BalloonTextChar"/>
    <w:uiPriority w:val="99"/>
    <w:semiHidden/>
    <w:unhideWhenUsed/>
    <w:rsid w:val="002F6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ACB"/>
    <w:rPr>
      <w:rFonts w:ascii="Segoe UI" w:hAnsi="Segoe UI" w:cs="Segoe UI"/>
      <w:sz w:val="18"/>
      <w:szCs w:val="18"/>
    </w:rPr>
  </w:style>
  <w:style w:type="paragraph" w:styleId="Header">
    <w:name w:val="header"/>
    <w:basedOn w:val="Normal"/>
    <w:link w:val="HeaderChar"/>
    <w:uiPriority w:val="99"/>
    <w:unhideWhenUsed/>
    <w:rsid w:val="00E44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7B"/>
  </w:style>
  <w:style w:type="paragraph" w:styleId="Footer">
    <w:name w:val="footer"/>
    <w:basedOn w:val="Normal"/>
    <w:link w:val="FooterChar"/>
    <w:uiPriority w:val="99"/>
    <w:unhideWhenUsed/>
    <w:rsid w:val="00E44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7B"/>
  </w:style>
  <w:style w:type="paragraph" w:styleId="Revision">
    <w:name w:val="Revision"/>
    <w:hidden/>
    <w:uiPriority w:val="99"/>
    <w:semiHidden/>
    <w:rsid w:val="007F13AF"/>
    <w:pPr>
      <w:spacing w:after="0" w:line="240" w:lineRule="auto"/>
    </w:pPr>
  </w:style>
  <w:style w:type="paragraph" w:customStyle="1" w:styleId="Default">
    <w:name w:val="Default"/>
    <w:rsid w:val="00E647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B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8817">
      <w:bodyDiv w:val="1"/>
      <w:marLeft w:val="0"/>
      <w:marRight w:val="0"/>
      <w:marTop w:val="0"/>
      <w:marBottom w:val="0"/>
      <w:divBdr>
        <w:top w:val="none" w:sz="0" w:space="0" w:color="auto"/>
        <w:left w:val="none" w:sz="0" w:space="0" w:color="auto"/>
        <w:bottom w:val="none" w:sz="0" w:space="0" w:color="auto"/>
        <w:right w:val="none" w:sz="0" w:space="0" w:color="auto"/>
      </w:divBdr>
    </w:div>
    <w:div w:id="738553599">
      <w:bodyDiv w:val="1"/>
      <w:marLeft w:val="0"/>
      <w:marRight w:val="0"/>
      <w:marTop w:val="0"/>
      <w:marBottom w:val="0"/>
      <w:divBdr>
        <w:top w:val="none" w:sz="0" w:space="0" w:color="auto"/>
        <w:left w:val="none" w:sz="0" w:space="0" w:color="auto"/>
        <w:bottom w:val="none" w:sz="0" w:space="0" w:color="auto"/>
        <w:right w:val="none" w:sz="0" w:space="0" w:color="auto"/>
      </w:divBdr>
    </w:div>
    <w:div w:id="771556716">
      <w:bodyDiv w:val="1"/>
      <w:marLeft w:val="0"/>
      <w:marRight w:val="0"/>
      <w:marTop w:val="0"/>
      <w:marBottom w:val="0"/>
      <w:divBdr>
        <w:top w:val="none" w:sz="0" w:space="0" w:color="auto"/>
        <w:left w:val="none" w:sz="0" w:space="0" w:color="auto"/>
        <w:bottom w:val="none" w:sz="0" w:space="0" w:color="auto"/>
        <w:right w:val="none" w:sz="0" w:space="0" w:color="auto"/>
      </w:divBdr>
      <w:divsChild>
        <w:div w:id="1214804964">
          <w:marLeft w:val="0"/>
          <w:marRight w:val="0"/>
          <w:marTop w:val="0"/>
          <w:marBottom w:val="0"/>
          <w:divBdr>
            <w:top w:val="none" w:sz="0" w:space="0" w:color="auto"/>
            <w:left w:val="none" w:sz="0" w:space="0" w:color="auto"/>
            <w:bottom w:val="none" w:sz="0" w:space="0" w:color="auto"/>
            <w:right w:val="none" w:sz="0" w:space="0" w:color="auto"/>
          </w:divBdr>
        </w:div>
      </w:divsChild>
    </w:div>
    <w:div w:id="1478063002">
      <w:bodyDiv w:val="1"/>
      <w:marLeft w:val="0"/>
      <w:marRight w:val="0"/>
      <w:marTop w:val="0"/>
      <w:marBottom w:val="0"/>
      <w:divBdr>
        <w:top w:val="none" w:sz="0" w:space="0" w:color="auto"/>
        <w:left w:val="none" w:sz="0" w:space="0" w:color="auto"/>
        <w:bottom w:val="none" w:sz="0" w:space="0" w:color="auto"/>
        <w:right w:val="none" w:sz="0" w:space="0" w:color="auto"/>
      </w:divBdr>
    </w:div>
    <w:div w:id="1504008243">
      <w:bodyDiv w:val="1"/>
      <w:marLeft w:val="0"/>
      <w:marRight w:val="0"/>
      <w:marTop w:val="0"/>
      <w:marBottom w:val="0"/>
      <w:divBdr>
        <w:top w:val="none" w:sz="0" w:space="0" w:color="auto"/>
        <w:left w:val="none" w:sz="0" w:space="0" w:color="auto"/>
        <w:bottom w:val="none" w:sz="0" w:space="0" w:color="auto"/>
        <w:right w:val="none" w:sz="0" w:space="0" w:color="auto"/>
      </w:divBdr>
    </w:div>
    <w:div w:id="1790738029">
      <w:bodyDiv w:val="1"/>
      <w:marLeft w:val="0"/>
      <w:marRight w:val="0"/>
      <w:marTop w:val="0"/>
      <w:marBottom w:val="0"/>
      <w:divBdr>
        <w:top w:val="none" w:sz="0" w:space="0" w:color="auto"/>
        <w:left w:val="none" w:sz="0" w:space="0" w:color="auto"/>
        <w:bottom w:val="none" w:sz="0" w:space="0" w:color="auto"/>
        <w:right w:val="none" w:sz="0" w:space="0" w:color="auto"/>
      </w:divBdr>
    </w:div>
    <w:div w:id="1822770370">
      <w:bodyDiv w:val="1"/>
      <w:marLeft w:val="0"/>
      <w:marRight w:val="0"/>
      <w:marTop w:val="0"/>
      <w:marBottom w:val="0"/>
      <w:divBdr>
        <w:top w:val="none" w:sz="0" w:space="0" w:color="auto"/>
        <w:left w:val="none" w:sz="0" w:space="0" w:color="auto"/>
        <w:bottom w:val="none" w:sz="0" w:space="0" w:color="auto"/>
        <w:right w:val="none" w:sz="0" w:space="0" w:color="auto"/>
      </w:divBdr>
      <w:divsChild>
        <w:div w:id="1970433537">
          <w:marLeft w:val="0"/>
          <w:marRight w:val="0"/>
          <w:marTop w:val="0"/>
          <w:marBottom w:val="0"/>
          <w:divBdr>
            <w:top w:val="none" w:sz="0" w:space="0" w:color="auto"/>
            <w:left w:val="none" w:sz="0" w:space="0" w:color="auto"/>
            <w:bottom w:val="none" w:sz="0" w:space="0" w:color="auto"/>
            <w:right w:val="none" w:sz="0" w:space="0" w:color="auto"/>
          </w:divBdr>
        </w:div>
        <w:div w:id="1005860073">
          <w:marLeft w:val="0"/>
          <w:marRight w:val="0"/>
          <w:marTop w:val="0"/>
          <w:marBottom w:val="0"/>
          <w:divBdr>
            <w:top w:val="none" w:sz="0" w:space="0" w:color="auto"/>
            <w:left w:val="none" w:sz="0" w:space="0" w:color="auto"/>
            <w:bottom w:val="none" w:sz="0" w:space="0" w:color="auto"/>
            <w:right w:val="none" w:sz="0" w:space="0" w:color="auto"/>
          </w:divBdr>
        </w:div>
      </w:divsChild>
    </w:div>
    <w:div w:id="20950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deas.repec.org/c/boc/bocode/s45650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ecd.org/pisa/pisaproduc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rrolee.com/" TargetMode="External"/><Relationship Id="rId5" Type="http://schemas.openxmlformats.org/officeDocument/2006/relationships/numbering" Target="numbering.xml"/><Relationship Id="rId15" Type="http://schemas.openxmlformats.org/officeDocument/2006/relationships/hyperlink" Target="http://unctadstat.unctad.org/wds/TableViewer/tableView.aspx?ReportId=2473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imssandpirls.bc.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tes.google.com/site/nadiraltinok/home/data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02A77-3823-44F2-8C9B-0DDAD8C03D82}">
  <ds:schemaRefs>
    <ds:schemaRef ds:uri="http://schemas.openxmlformats.org/officeDocument/2006/bibliography"/>
  </ds:schemaRefs>
</ds:datastoreItem>
</file>

<file path=customXml/itemProps2.xml><?xml version="1.0" encoding="utf-8"?>
<ds:datastoreItem xmlns:ds="http://schemas.openxmlformats.org/officeDocument/2006/customXml" ds:itemID="{0263E485-4DA7-46FE-9F7C-AB496F0E76F4}">
  <ds:schemaRefs>
    <ds:schemaRef ds:uri="http://schemas.openxmlformats.org/officeDocument/2006/bibliography"/>
  </ds:schemaRefs>
</ds:datastoreItem>
</file>

<file path=customXml/itemProps3.xml><?xml version="1.0" encoding="utf-8"?>
<ds:datastoreItem xmlns:ds="http://schemas.openxmlformats.org/officeDocument/2006/customXml" ds:itemID="{56F8813F-2295-4D58-A37F-95C70ECAA1F9}">
  <ds:schemaRefs>
    <ds:schemaRef ds:uri="http://schemas.openxmlformats.org/officeDocument/2006/bibliography"/>
  </ds:schemaRefs>
</ds:datastoreItem>
</file>

<file path=customXml/itemProps4.xml><?xml version="1.0" encoding="utf-8"?>
<ds:datastoreItem xmlns:ds="http://schemas.openxmlformats.org/officeDocument/2006/customXml" ds:itemID="{AF6AACBD-C127-4373-B956-F3FD05C4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8027</Words>
  <Characters>45758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Egzoni</Company>
  <LinksUpToDate>false</LinksUpToDate>
  <CharactersWithSpaces>53678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ADNETT Nick</cp:lastModifiedBy>
  <cp:revision>2</cp:revision>
  <dcterms:created xsi:type="dcterms:W3CDTF">2018-08-11T00:54:00Z</dcterms:created>
  <dcterms:modified xsi:type="dcterms:W3CDTF">2018-08-11T00:54:00Z</dcterms:modified>
</cp:coreProperties>
</file>