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E47" w:rsidRPr="00EB42B0" w:rsidRDefault="00F76666" w:rsidP="00F76666">
      <w:pPr>
        <w:spacing w:line="360" w:lineRule="auto"/>
        <w:jc w:val="center"/>
        <w:rPr>
          <w:rFonts w:ascii="Times New Roman" w:hAnsi="Times New Roman"/>
          <w:sz w:val="24"/>
          <w:szCs w:val="24"/>
        </w:rPr>
      </w:pPr>
      <w:r w:rsidRPr="00EB42B0">
        <w:rPr>
          <w:rFonts w:ascii="Times New Roman" w:hAnsi="Times New Roman"/>
          <w:sz w:val="24"/>
          <w:szCs w:val="24"/>
        </w:rPr>
        <w:t>NIGERIA’S ENGAGEMENT WITH THE HUMAN RIGHTS COUNCIL’S UNIVERSAL PERIODIC REVIEW: POTENTIAL FOR ACCULTURATION OR RISK OF REGRESSION?</w:t>
      </w:r>
    </w:p>
    <w:p w:rsidR="002B4037" w:rsidRPr="00EB42B0" w:rsidRDefault="002B4037" w:rsidP="00F76666">
      <w:pPr>
        <w:spacing w:line="360" w:lineRule="auto"/>
        <w:jc w:val="center"/>
        <w:rPr>
          <w:rFonts w:ascii="Times New Roman" w:hAnsi="Times New Roman"/>
          <w:sz w:val="24"/>
          <w:szCs w:val="24"/>
        </w:rPr>
      </w:pPr>
      <w:r w:rsidRPr="00EB42B0">
        <w:rPr>
          <w:rFonts w:ascii="Times New Roman" w:hAnsi="Times New Roman"/>
          <w:sz w:val="24"/>
          <w:szCs w:val="24"/>
        </w:rPr>
        <w:t xml:space="preserve">By </w:t>
      </w:r>
    </w:p>
    <w:p w:rsidR="003345BE" w:rsidRDefault="008B1031" w:rsidP="00F76666">
      <w:pPr>
        <w:spacing w:line="360" w:lineRule="auto"/>
        <w:jc w:val="center"/>
        <w:rPr>
          <w:rFonts w:ascii="Times New Roman" w:hAnsi="Times New Roman"/>
          <w:sz w:val="24"/>
          <w:szCs w:val="24"/>
        </w:rPr>
      </w:pPr>
      <w:r w:rsidRPr="00EB42B0">
        <w:rPr>
          <w:rFonts w:ascii="Times New Roman" w:hAnsi="Times New Roman"/>
          <w:sz w:val="24"/>
          <w:szCs w:val="24"/>
        </w:rPr>
        <w:t>DAMIAN ETONE*</w:t>
      </w:r>
    </w:p>
    <w:p w:rsidR="00FF5352" w:rsidRPr="00EB42B0" w:rsidRDefault="00FF5352" w:rsidP="00F76666">
      <w:pPr>
        <w:spacing w:line="360" w:lineRule="auto"/>
        <w:jc w:val="center"/>
        <w:rPr>
          <w:rFonts w:ascii="Times New Roman" w:hAnsi="Times New Roman"/>
          <w:sz w:val="24"/>
          <w:szCs w:val="24"/>
        </w:rPr>
      </w:pPr>
      <w:r w:rsidRPr="00FF5352">
        <w:rPr>
          <w:rFonts w:ascii="Times New Roman" w:hAnsi="Times New Roman"/>
          <w:sz w:val="24"/>
          <w:szCs w:val="24"/>
        </w:rPr>
        <w:t xml:space="preserve">'This is </w:t>
      </w:r>
      <w:r>
        <w:rPr>
          <w:rFonts w:ascii="Times New Roman" w:hAnsi="Times New Roman"/>
          <w:sz w:val="24"/>
          <w:szCs w:val="24"/>
        </w:rPr>
        <w:t>the</w:t>
      </w:r>
      <w:r w:rsidRPr="00FF5352">
        <w:rPr>
          <w:rFonts w:ascii="Times New Roman" w:hAnsi="Times New Roman"/>
          <w:sz w:val="24"/>
          <w:szCs w:val="24"/>
        </w:rPr>
        <w:t xml:space="preserve"> Author’s Accepted Manuscript of an article published by Edinburgh University Press in </w:t>
      </w:r>
      <w:r>
        <w:rPr>
          <w:rFonts w:ascii="Times New Roman" w:hAnsi="Times New Roman"/>
          <w:i/>
          <w:sz w:val="24"/>
          <w:szCs w:val="24"/>
        </w:rPr>
        <w:t xml:space="preserve">African Journal of International and Comparative Law </w:t>
      </w:r>
      <w:r>
        <w:rPr>
          <w:rFonts w:ascii="Times New Roman" w:hAnsi="Times New Roman"/>
          <w:sz w:val="24"/>
          <w:szCs w:val="24"/>
        </w:rPr>
        <w:t xml:space="preserve">(2019) 27 (2) – </w:t>
      </w:r>
      <w:r>
        <w:rPr>
          <w:rFonts w:ascii="Times New Roman" w:hAnsi="Times New Roman"/>
          <w:i/>
          <w:sz w:val="24"/>
          <w:szCs w:val="24"/>
        </w:rPr>
        <w:t>Forthcoming</w:t>
      </w:r>
      <w:r>
        <w:rPr>
          <w:rFonts w:ascii="Times New Roman" w:hAnsi="Times New Roman"/>
          <w:sz w:val="24"/>
          <w:szCs w:val="24"/>
        </w:rPr>
        <w:t>’</w:t>
      </w:r>
      <w:r w:rsidRPr="00FF5352">
        <w:rPr>
          <w:rFonts w:ascii="Times New Roman" w:hAnsi="Times New Roman"/>
          <w:sz w:val="24"/>
          <w:szCs w:val="24"/>
        </w:rPr>
        <w:t>.</w:t>
      </w:r>
    </w:p>
    <w:p w:rsidR="00E023B3" w:rsidRPr="00EB42B0" w:rsidRDefault="00E74102" w:rsidP="00900526">
      <w:pPr>
        <w:pStyle w:val="ListParagraph"/>
        <w:numPr>
          <w:ilvl w:val="0"/>
          <w:numId w:val="27"/>
        </w:numPr>
        <w:spacing w:line="360" w:lineRule="auto"/>
        <w:jc w:val="both"/>
        <w:rPr>
          <w:rFonts w:ascii="Times New Roman" w:hAnsi="Times New Roman"/>
          <w:sz w:val="24"/>
          <w:szCs w:val="24"/>
        </w:rPr>
      </w:pPr>
      <w:r w:rsidRPr="00EB42B0">
        <w:rPr>
          <w:rFonts w:ascii="Times New Roman" w:hAnsi="Times New Roman"/>
          <w:sz w:val="24"/>
          <w:szCs w:val="24"/>
        </w:rPr>
        <w:t>INTRODUCT</w:t>
      </w:r>
      <w:bookmarkStart w:id="0" w:name="_GoBack"/>
      <w:bookmarkEnd w:id="0"/>
      <w:r w:rsidRPr="00EB42B0">
        <w:rPr>
          <w:rFonts w:ascii="Times New Roman" w:hAnsi="Times New Roman"/>
          <w:sz w:val="24"/>
          <w:szCs w:val="24"/>
        </w:rPr>
        <w:t>ION</w:t>
      </w:r>
    </w:p>
    <w:p w:rsidR="00D0033A" w:rsidRPr="00EB42B0" w:rsidRDefault="00824053" w:rsidP="00F76666">
      <w:pPr>
        <w:spacing w:line="360" w:lineRule="auto"/>
        <w:jc w:val="both"/>
        <w:rPr>
          <w:rFonts w:ascii="Times New Roman" w:hAnsi="Times New Roman"/>
          <w:sz w:val="24"/>
          <w:szCs w:val="24"/>
        </w:rPr>
      </w:pPr>
      <w:r w:rsidRPr="00EB42B0">
        <w:rPr>
          <w:rFonts w:ascii="Times New Roman" w:hAnsi="Times New Roman"/>
          <w:sz w:val="24"/>
          <w:szCs w:val="24"/>
        </w:rPr>
        <w:t xml:space="preserve">After </w:t>
      </w:r>
      <w:r w:rsidR="009F5020" w:rsidRPr="00EB42B0">
        <w:rPr>
          <w:rFonts w:ascii="Times New Roman" w:hAnsi="Times New Roman"/>
          <w:sz w:val="24"/>
          <w:szCs w:val="24"/>
        </w:rPr>
        <w:t>gaining independence from British colonial rule in 1960, considerable efforts were made to promote and protect human rights in Nigeria. The post-independence constitutions</w:t>
      </w:r>
      <w:r w:rsidR="008E604A" w:rsidRPr="00EB42B0">
        <w:rPr>
          <w:rFonts w:ascii="Times New Roman" w:hAnsi="Times New Roman"/>
          <w:sz w:val="24"/>
          <w:szCs w:val="24"/>
        </w:rPr>
        <w:t xml:space="preserve"> of Nigeria</w:t>
      </w:r>
      <w:r w:rsidR="009F5020" w:rsidRPr="00EB42B0">
        <w:rPr>
          <w:rFonts w:ascii="Times New Roman" w:hAnsi="Times New Roman"/>
          <w:sz w:val="24"/>
          <w:szCs w:val="24"/>
        </w:rPr>
        <w:t xml:space="preserve"> guaranteed human rights and instituted mechanisms for their enforcement.</w:t>
      </w:r>
      <w:r w:rsidR="009F5020" w:rsidRPr="00EB42B0">
        <w:rPr>
          <w:rStyle w:val="FootnoteReference"/>
          <w:rFonts w:ascii="Times New Roman" w:hAnsi="Times New Roman"/>
          <w:sz w:val="24"/>
          <w:szCs w:val="24"/>
        </w:rPr>
        <w:footnoteReference w:id="1"/>
      </w:r>
      <w:r w:rsidR="009F5020" w:rsidRPr="00EB42B0">
        <w:rPr>
          <w:rFonts w:ascii="Times New Roman" w:hAnsi="Times New Roman"/>
          <w:sz w:val="24"/>
          <w:szCs w:val="24"/>
        </w:rPr>
        <w:t xml:space="preserve"> </w:t>
      </w:r>
      <w:r w:rsidR="001211CC" w:rsidRPr="00EB42B0">
        <w:rPr>
          <w:rFonts w:ascii="Times New Roman" w:hAnsi="Times New Roman"/>
          <w:sz w:val="24"/>
          <w:szCs w:val="24"/>
        </w:rPr>
        <w:t>The Nigerian National Human Rights Commission was established in 1995.</w:t>
      </w:r>
      <w:r w:rsidR="001211CC" w:rsidRPr="00EB42B0">
        <w:rPr>
          <w:rStyle w:val="FootnoteReference"/>
          <w:rFonts w:ascii="Times New Roman" w:hAnsi="Times New Roman"/>
          <w:sz w:val="24"/>
          <w:szCs w:val="24"/>
        </w:rPr>
        <w:footnoteReference w:id="2"/>
      </w:r>
      <w:r w:rsidR="001211CC" w:rsidRPr="00EB42B0">
        <w:rPr>
          <w:rFonts w:ascii="Times New Roman" w:hAnsi="Times New Roman"/>
          <w:sz w:val="24"/>
          <w:szCs w:val="24"/>
        </w:rPr>
        <w:t xml:space="preserve"> </w:t>
      </w:r>
      <w:r w:rsidR="00CC5CA9" w:rsidRPr="00EB42B0">
        <w:rPr>
          <w:rFonts w:ascii="Times New Roman" w:hAnsi="Times New Roman"/>
          <w:sz w:val="24"/>
          <w:szCs w:val="24"/>
        </w:rPr>
        <w:t>However, from 1966 to 1999, eight military coups destabilised Nigeria and negatively impacted on human rights protection in the country.</w:t>
      </w:r>
      <w:r w:rsidR="00CC5CA9" w:rsidRPr="00EB42B0">
        <w:rPr>
          <w:rStyle w:val="FootnoteReference"/>
          <w:rFonts w:ascii="Times New Roman" w:hAnsi="Times New Roman"/>
          <w:sz w:val="24"/>
          <w:szCs w:val="24"/>
        </w:rPr>
        <w:footnoteReference w:id="3"/>
      </w:r>
      <w:r w:rsidR="001211CC" w:rsidRPr="00EB42B0">
        <w:rPr>
          <w:rFonts w:ascii="Times New Roman" w:hAnsi="Times New Roman"/>
          <w:sz w:val="24"/>
          <w:szCs w:val="24"/>
        </w:rPr>
        <w:t xml:space="preserve"> </w:t>
      </w:r>
      <w:r w:rsidR="00302597" w:rsidRPr="00EB42B0">
        <w:rPr>
          <w:rFonts w:ascii="Times New Roman" w:hAnsi="Times New Roman"/>
          <w:sz w:val="24"/>
          <w:szCs w:val="24"/>
        </w:rPr>
        <w:t>There has since been a return to civilian rule with some relative gains in the promotion and pro</w:t>
      </w:r>
      <w:r w:rsidR="0086668F" w:rsidRPr="00EB42B0">
        <w:rPr>
          <w:rFonts w:ascii="Times New Roman" w:hAnsi="Times New Roman"/>
          <w:sz w:val="24"/>
          <w:szCs w:val="24"/>
        </w:rPr>
        <w:t>tection of human rights. Nevertheless</w:t>
      </w:r>
      <w:r w:rsidR="00302597" w:rsidRPr="00EB42B0">
        <w:rPr>
          <w:rFonts w:ascii="Times New Roman" w:hAnsi="Times New Roman"/>
          <w:sz w:val="24"/>
          <w:szCs w:val="24"/>
        </w:rPr>
        <w:t xml:space="preserve">, extrajudicial killings, </w:t>
      </w:r>
      <w:r w:rsidR="00D0033A" w:rsidRPr="00EB42B0">
        <w:rPr>
          <w:rFonts w:ascii="Times New Roman" w:hAnsi="Times New Roman"/>
          <w:sz w:val="24"/>
          <w:szCs w:val="24"/>
        </w:rPr>
        <w:t>impunity by security forces and prolonged pre-trial detention have remained a human rights challenge.</w:t>
      </w:r>
      <w:r w:rsidR="00D0033A" w:rsidRPr="00EB42B0">
        <w:rPr>
          <w:rStyle w:val="FootnoteReference"/>
          <w:rFonts w:ascii="Times New Roman" w:hAnsi="Times New Roman"/>
          <w:sz w:val="24"/>
          <w:szCs w:val="24"/>
        </w:rPr>
        <w:footnoteReference w:id="4"/>
      </w:r>
      <w:r w:rsidR="00D0033A" w:rsidRPr="00EB42B0">
        <w:rPr>
          <w:rFonts w:ascii="Times New Roman" w:hAnsi="Times New Roman"/>
          <w:sz w:val="24"/>
          <w:szCs w:val="24"/>
        </w:rPr>
        <w:t xml:space="preserve"> These have become more challenging by the terrorism activities of </w:t>
      </w:r>
      <w:r w:rsidR="004C76F5" w:rsidRPr="00EB42B0">
        <w:rPr>
          <w:rFonts w:ascii="Times New Roman" w:hAnsi="Times New Roman"/>
          <w:i/>
          <w:sz w:val="24"/>
          <w:szCs w:val="24"/>
        </w:rPr>
        <w:t>Boko Haram</w:t>
      </w:r>
      <w:r w:rsidR="00D0033A" w:rsidRPr="00EB42B0">
        <w:rPr>
          <w:rFonts w:ascii="Times New Roman" w:hAnsi="Times New Roman"/>
          <w:sz w:val="24"/>
          <w:szCs w:val="24"/>
        </w:rPr>
        <w:t>, and the anti-terrorism efforts of the government in striking a balance with respect for human rights. Many of these</w:t>
      </w:r>
      <w:r w:rsidR="00D50942" w:rsidRPr="00EB42B0">
        <w:rPr>
          <w:rFonts w:ascii="Times New Roman" w:hAnsi="Times New Roman"/>
          <w:sz w:val="24"/>
          <w:szCs w:val="24"/>
        </w:rPr>
        <w:t xml:space="preserve"> human rights</w:t>
      </w:r>
      <w:r w:rsidR="00D0033A" w:rsidRPr="00EB42B0">
        <w:rPr>
          <w:rFonts w:ascii="Times New Roman" w:hAnsi="Times New Roman"/>
          <w:sz w:val="24"/>
          <w:szCs w:val="24"/>
        </w:rPr>
        <w:t xml:space="preserve"> issues have featured prominently in the engagement of Nigeria with the U</w:t>
      </w:r>
      <w:r w:rsidRPr="00EB42B0">
        <w:rPr>
          <w:rFonts w:ascii="Times New Roman" w:hAnsi="Times New Roman"/>
          <w:sz w:val="24"/>
          <w:szCs w:val="24"/>
        </w:rPr>
        <w:t>niversal Periodic Review (UPR) mechanism of the H</w:t>
      </w:r>
      <w:r w:rsidR="00A2266B" w:rsidRPr="00EB42B0">
        <w:rPr>
          <w:rFonts w:ascii="Times New Roman" w:hAnsi="Times New Roman"/>
          <w:sz w:val="24"/>
          <w:szCs w:val="24"/>
        </w:rPr>
        <w:t xml:space="preserve">uman </w:t>
      </w:r>
      <w:r w:rsidRPr="00EB42B0">
        <w:rPr>
          <w:rFonts w:ascii="Times New Roman" w:hAnsi="Times New Roman"/>
          <w:sz w:val="24"/>
          <w:szCs w:val="24"/>
        </w:rPr>
        <w:t>R</w:t>
      </w:r>
      <w:r w:rsidR="00A2266B" w:rsidRPr="00EB42B0">
        <w:rPr>
          <w:rFonts w:ascii="Times New Roman" w:hAnsi="Times New Roman"/>
          <w:sz w:val="24"/>
          <w:szCs w:val="24"/>
        </w:rPr>
        <w:t xml:space="preserve">ights </w:t>
      </w:r>
      <w:r w:rsidRPr="00EB42B0">
        <w:rPr>
          <w:rFonts w:ascii="Times New Roman" w:hAnsi="Times New Roman"/>
          <w:sz w:val="24"/>
          <w:szCs w:val="24"/>
        </w:rPr>
        <w:t>C</w:t>
      </w:r>
      <w:r w:rsidR="00A2266B" w:rsidRPr="00EB42B0">
        <w:rPr>
          <w:rFonts w:ascii="Times New Roman" w:hAnsi="Times New Roman"/>
          <w:sz w:val="24"/>
          <w:szCs w:val="24"/>
        </w:rPr>
        <w:t>ouncil</w:t>
      </w:r>
      <w:r w:rsidRPr="00EB42B0">
        <w:rPr>
          <w:rFonts w:ascii="Times New Roman" w:hAnsi="Times New Roman"/>
          <w:sz w:val="24"/>
          <w:szCs w:val="24"/>
        </w:rPr>
        <w:t>.</w:t>
      </w:r>
    </w:p>
    <w:p w:rsidR="00824053" w:rsidRPr="00EB42B0" w:rsidRDefault="00824053" w:rsidP="00F76666">
      <w:pPr>
        <w:spacing w:line="360" w:lineRule="auto"/>
        <w:jc w:val="both"/>
        <w:rPr>
          <w:rFonts w:ascii="Times New Roman" w:hAnsi="Times New Roman"/>
          <w:sz w:val="24"/>
          <w:szCs w:val="24"/>
        </w:rPr>
      </w:pPr>
      <w:r w:rsidRPr="00EB42B0">
        <w:rPr>
          <w:rFonts w:ascii="Times New Roman" w:hAnsi="Times New Roman"/>
          <w:sz w:val="24"/>
          <w:szCs w:val="24"/>
        </w:rPr>
        <w:t xml:space="preserve">The UPR is a unique mechanism of the Human Rights Council (HRC) which relies entirely on cooperation and dialogue to implement human rights. Unlike other UN human rights mechanisms, states are the principal actors and reviewers in the UPR mechanism. The review </w:t>
      </w:r>
      <w:r w:rsidRPr="00EB42B0">
        <w:rPr>
          <w:rFonts w:ascii="Times New Roman" w:hAnsi="Times New Roman"/>
          <w:sz w:val="24"/>
          <w:szCs w:val="24"/>
        </w:rPr>
        <w:lastRenderedPageBreak/>
        <w:t>takes place every 4.5</w:t>
      </w:r>
      <w:r w:rsidR="002E0173" w:rsidRPr="00EB42B0">
        <w:rPr>
          <w:rFonts w:ascii="Times New Roman" w:hAnsi="Times New Roman"/>
          <w:sz w:val="24"/>
          <w:szCs w:val="24"/>
        </w:rPr>
        <w:t xml:space="preserve"> </w:t>
      </w:r>
      <w:r w:rsidRPr="00EB42B0">
        <w:rPr>
          <w:rFonts w:ascii="Times New Roman" w:hAnsi="Times New Roman"/>
          <w:sz w:val="24"/>
          <w:szCs w:val="24"/>
        </w:rPr>
        <w:t>years in three main stages which include the preparation of state reports, review of the state in Geneva and the follow-up process. The four major principles underlying the review include objectivity, universality, cooperation and complementarity</w:t>
      </w:r>
      <w:bookmarkStart w:id="1" w:name="_Ref503699925"/>
      <w:r w:rsidRPr="00EB42B0">
        <w:rPr>
          <w:rFonts w:ascii="Times New Roman" w:hAnsi="Times New Roman"/>
          <w:sz w:val="24"/>
          <w:szCs w:val="24"/>
          <w:vertAlign w:val="superscript"/>
        </w:rPr>
        <w:footnoteReference w:id="5"/>
      </w:r>
      <w:bookmarkEnd w:id="1"/>
      <w:r w:rsidRPr="00EB42B0">
        <w:rPr>
          <w:rFonts w:ascii="Times New Roman" w:hAnsi="Times New Roman"/>
          <w:sz w:val="24"/>
          <w:szCs w:val="24"/>
        </w:rPr>
        <w:t xml:space="preserve"> and with the principal objective of improving human rights situation on the ground.</w:t>
      </w:r>
      <w:r w:rsidRPr="00EB42B0">
        <w:rPr>
          <w:rFonts w:ascii="Times New Roman" w:hAnsi="Times New Roman"/>
          <w:sz w:val="24"/>
          <w:szCs w:val="24"/>
          <w:vertAlign w:val="superscript"/>
        </w:rPr>
        <w:footnoteReference w:id="6"/>
      </w:r>
      <w:r w:rsidRPr="00EB42B0">
        <w:rPr>
          <w:rFonts w:ascii="Times New Roman" w:hAnsi="Times New Roman"/>
          <w:sz w:val="24"/>
          <w:szCs w:val="24"/>
        </w:rPr>
        <w:t xml:space="preserve"> The legal basis of the review include the UN Charter, the Universal Declaration of Human Rights, binding human rights treaties, voluntary pledges and commitments made by states and applicable international humanitarian law.</w:t>
      </w:r>
      <w:r w:rsidRPr="00EB42B0">
        <w:rPr>
          <w:rFonts w:ascii="Times New Roman" w:hAnsi="Times New Roman"/>
          <w:sz w:val="24"/>
          <w:szCs w:val="24"/>
          <w:vertAlign w:val="superscript"/>
        </w:rPr>
        <w:footnoteReference w:id="7"/>
      </w:r>
      <w:r w:rsidRPr="00EB42B0">
        <w:rPr>
          <w:rFonts w:ascii="Times New Roman" w:hAnsi="Times New Roman"/>
          <w:sz w:val="24"/>
          <w:szCs w:val="24"/>
        </w:rPr>
        <w:t xml:space="preserve"> The review equally welcomes the participation of NGO</w:t>
      </w:r>
      <w:r w:rsidR="001150FF" w:rsidRPr="00EB42B0">
        <w:rPr>
          <w:rFonts w:ascii="Times New Roman" w:hAnsi="Times New Roman"/>
          <w:sz w:val="24"/>
          <w:szCs w:val="24"/>
        </w:rPr>
        <w:t>s</w:t>
      </w:r>
      <w:r w:rsidRPr="00EB42B0">
        <w:rPr>
          <w:rFonts w:ascii="Times New Roman" w:hAnsi="Times New Roman"/>
          <w:sz w:val="24"/>
          <w:szCs w:val="24"/>
        </w:rPr>
        <w:t>, albeit limited, during the plenary session of the HRC when a state report is be</w:t>
      </w:r>
      <w:r w:rsidR="001150FF" w:rsidRPr="00EB42B0">
        <w:rPr>
          <w:rFonts w:ascii="Times New Roman" w:hAnsi="Times New Roman"/>
          <w:sz w:val="24"/>
          <w:szCs w:val="24"/>
        </w:rPr>
        <w:t>ing</w:t>
      </w:r>
      <w:r w:rsidRPr="00EB42B0">
        <w:rPr>
          <w:rFonts w:ascii="Times New Roman" w:hAnsi="Times New Roman"/>
          <w:sz w:val="24"/>
          <w:szCs w:val="24"/>
        </w:rPr>
        <w:t xml:space="preserve"> adopted.</w:t>
      </w:r>
      <w:r w:rsidRPr="00EB42B0">
        <w:rPr>
          <w:rFonts w:ascii="Times New Roman" w:hAnsi="Times New Roman"/>
          <w:sz w:val="24"/>
          <w:szCs w:val="24"/>
          <w:vertAlign w:val="superscript"/>
        </w:rPr>
        <w:footnoteReference w:id="8"/>
      </w:r>
      <w:r w:rsidRPr="00EB42B0">
        <w:rPr>
          <w:rFonts w:ascii="Times New Roman" w:hAnsi="Times New Roman"/>
          <w:sz w:val="24"/>
          <w:szCs w:val="24"/>
        </w:rPr>
        <w:t xml:space="preserve"> </w:t>
      </w:r>
      <w:r w:rsidR="002504F1" w:rsidRPr="00EB42B0">
        <w:rPr>
          <w:rFonts w:ascii="Times New Roman" w:hAnsi="Times New Roman"/>
          <w:sz w:val="24"/>
          <w:szCs w:val="24"/>
        </w:rPr>
        <w:t xml:space="preserve"> </w:t>
      </w:r>
      <w:r w:rsidR="00A618B7" w:rsidRPr="00EB42B0">
        <w:rPr>
          <w:rFonts w:ascii="Times New Roman" w:hAnsi="Times New Roman"/>
          <w:sz w:val="24"/>
          <w:szCs w:val="24"/>
        </w:rPr>
        <w:t>The first cycle of the review (hereinafter UPR I) spanned from 2008-2011 and the second cycle (hereinafter UPR II) was undertaken from 2012-2016.</w:t>
      </w:r>
    </w:p>
    <w:p w:rsidR="009B4934" w:rsidRPr="00EB42B0" w:rsidRDefault="009B4934" w:rsidP="00900526">
      <w:pPr>
        <w:pStyle w:val="ListParagraph"/>
        <w:numPr>
          <w:ilvl w:val="1"/>
          <w:numId w:val="27"/>
        </w:numPr>
        <w:spacing w:line="360" w:lineRule="auto"/>
        <w:ind w:left="851" w:hanging="491"/>
        <w:jc w:val="both"/>
        <w:rPr>
          <w:rFonts w:ascii="Times New Roman" w:hAnsi="Times New Roman"/>
          <w:b/>
          <w:sz w:val="24"/>
          <w:szCs w:val="24"/>
        </w:rPr>
      </w:pPr>
      <w:r w:rsidRPr="00EB42B0">
        <w:rPr>
          <w:rFonts w:ascii="Times New Roman" w:hAnsi="Times New Roman"/>
          <w:b/>
          <w:sz w:val="24"/>
          <w:szCs w:val="24"/>
        </w:rPr>
        <w:t>Can the UPR be an Effective Human Rights</w:t>
      </w:r>
      <w:r w:rsidR="0060629F" w:rsidRPr="00EB42B0">
        <w:rPr>
          <w:rFonts w:ascii="Times New Roman" w:hAnsi="Times New Roman"/>
          <w:b/>
          <w:sz w:val="24"/>
          <w:szCs w:val="24"/>
        </w:rPr>
        <w:t xml:space="preserve"> Monitoring</w:t>
      </w:r>
      <w:r w:rsidRPr="00EB42B0">
        <w:rPr>
          <w:rFonts w:ascii="Times New Roman" w:hAnsi="Times New Roman"/>
          <w:b/>
          <w:sz w:val="24"/>
          <w:szCs w:val="24"/>
        </w:rPr>
        <w:t xml:space="preserve"> Mechanism?</w:t>
      </w:r>
    </w:p>
    <w:p w:rsidR="00005076" w:rsidRPr="00EB42B0" w:rsidRDefault="00824053" w:rsidP="00F76666">
      <w:pPr>
        <w:spacing w:line="360" w:lineRule="auto"/>
        <w:jc w:val="both"/>
        <w:rPr>
          <w:rFonts w:ascii="Times New Roman" w:hAnsi="Times New Roman"/>
          <w:sz w:val="24"/>
          <w:szCs w:val="24"/>
        </w:rPr>
      </w:pPr>
      <w:r w:rsidRPr="00EB42B0">
        <w:rPr>
          <w:rFonts w:ascii="Times New Roman" w:hAnsi="Times New Roman"/>
          <w:sz w:val="24"/>
          <w:szCs w:val="24"/>
        </w:rPr>
        <w:t>Whether the UPR is an effecti</w:t>
      </w:r>
      <w:r w:rsidR="0060629F" w:rsidRPr="00EB42B0">
        <w:rPr>
          <w:rFonts w:ascii="Times New Roman" w:hAnsi="Times New Roman"/>
          <w:sz w:val="24"/>
          <w:szCs w:val="24"/>
        </w:rPr>
        <w:t>ve mechanism for monitoring the</w:t>
      </w:r>
      <w:r w:rsidRPr="00EB42B0">
        <w:rPr>
          <w:rFonts w:ascii="Times New Roman" w:hAnsi="Times New Roman"/>
          <w:sz w:val="24"/>
          <w:szCs w:val="24"/>
        </w:rPr>
        <w:t xml:space="preserve"> human rights </w:t>
      </w:r>
      <w:r w:rsidR="0060629F" w:rsidRPr="00EB42B0">
        <w:rPr>
          <w:rFonts w:ascii="Times New Roman" w:hAnsi="Times New Roman"/>
          <w:sz w:val="24"/>
          <w:szCs w:val="24"/>
        </w:rPr>
        <w:t xml:space="preserve">compliance of states </w:t>
      </w:r>
      <w:r w:rsidRPr="00EB42B0">
        <w:rPr>
          <w:rFonts w:ascii="Times New Roman" w:hAnsi="Times New Roman"/>
          <w:sz w:val="24"/>
          <w:szCs w:val="24"/>
        </w:rPr>
        <w:t>has been a source of contention among many scholars. Some authors argue that human rights mechanisms that rely on the cooperation of states are weak and cannot meaningfully advance human rights.</w:t>
      </w:r>
      <w:r w:rsidRPr="00EB42B0">
        <w:rPr>
          <w:rFonts w:ascii="Times New Roman" w:hAnsi="Times New Roman"/>
          <w:sz w:val="24"/>
          <w:szCs w:val="24"/>
          <w:vertAlign w:val="superscript"/>
        </w:rPr>
        <w:footnoteReference w:id="9"/>
      </w:r>
      <w:r w:rsidRPr="00EB42B0">
        <w:rPr>
          <w:rFonts w:ascii="Times New Roman" w:hAnsi="Times New Roman"/>
          <w:sz w:val="24"/>
          <w:szCs w:val="24"/>
        </w:rPr>
        <w:t xml:space="preserve"> Olivier de Frouville argued </w:t>
      </w:r>
      <w:r w:rsidR="00594258" w:rsidRPr="00EB42B0">
        <w:rPr>
          <w:rFonts w:ascii="Times New Roman" w:hAnsi="Times New Roman"/>
          <w:sz w:val="24"/>
          <w:szCs w:val="24"/>
        </w:rPr>
        <w:t>that the UPR ‘has failed to live up to expectations’ because it overshadows the hard work of the treaty bodies, is wholly dependent upon the goodwill of states and cannot, as a political entity, make a legal assessment or interpretation of the human rights obligations of states.</w:t>
      </w:r>
      <w:bookmarkStart w:id="2" w:name="_Ref484516234"/>
      <w:r w:rsidR="00594258" w:rsidRPr="00EB42B0">
        <w:rPr>
          <w:rFonts w:ascii="Times New Roman" w:hAnsi="Times New Roman"/>
          <w:sz w:val="24"/>
          <w:szCs w:val="24"/>
          <w:vertAlign w:val="superscript"/>
        </w:rPr>
        <w:footnoteReference w:id="10"/>
      </w:r>
      <w:bookmarkEnd w:id="2"/>
      <w:r w:rsidR="00594258" w:rsidRPr="00EB42B0">
        <w:rPr>
          <w:rFonts w:ascii="Times New Roman" w:hAnsi="Times New Roman"/>
          <w:sz w:val="24"/>
          <w:szCs w:val="24"/>
        </w:rPr>
        <w:t xml:space="preserve"> </w:t>
      </w:r>
      <w:r w:rsidRPr="00EB42B0">
        <w:rPr>
          <w:rFonts w:ascii="Times New Roman" w:hAnsi="Times New Roman"/>
          <w:sz w:val="24"/>
          <w:szCs w:val="24"/>
        </w:rPr>
        <w:t>He advocates for a more confrontational mechanism - the establishment of a World Commission of Human Rights.</w:t>
      </w:r>
      <w:r w:rsidRPr="00EB42B0">
        <w:rPr>
          <w:rFonts w:ascii="Times New Roman" w:hAnsi="Times New Roman"/>
          <w:sz w:val="24"/>
          <w:szCs w:val="24"/>
          <w:vertAlign w:val="superscript"/>
        </w:rPr>
        <w:footnoteReference w:id="11"/>
      </w:r>
      <w:r w:rsidRPr="00EB42B0">
        <w:rPr>
          <w:rFonts w:ascii="Times New Roman" w:hAnsi="Times New Roman"/>
          <w:sz w:val="24"/>
          <w:szCs w:val="24"/>
        </w:rPr>
        <w:t xml:space="preserve"> </w:t>
      </w:r>
      <w:r w:rsidR="009B4934" w:rsidRPr="00EB42B0">
        <w:rPr>
          <w:rFonts w:ascii="Times New Roman" w:hAnsi="Times New Roman"/>
          <w:sz w:val="24"/>
          <w:szCs w:val="24"/>
        </w:rPr>
        <w:lastRenderedPageBreak/>
        <w:t>This echoes the sentiments of</w:t>
      </w:r>
      <w:r w:rsidR="00E75314" w:rsidRPr="00EB42B0">
        <w:rPr>
          <w:rFonts w:ascii="Times New Roman" w:hAnsi="Times New Roman"/>
          <w:sz w:val="24"/>
          <w:szCs w:val="24"/>
        </w:rPr>
        <w:t xml:space="preserve"> some</w:t>
      </w:r>
      <w:r w:rsidR="009B4934" w:rsidRPr="00EB42B0">
        <w:rPr>
          <w:rFonts w:ascii="Times New Roman" w:hAnsi="Times New Roman"/>
          <w:sz w:val="24"/>
          <w:szCs w:val="24"/>
        </w:rPr>
        <w:t xml:space="preserve"> international relations and international law scholars </w:t>
      </w:r>
      <w:r w:rsidR="00E75314" w:rsidRPr="00EB42B0">
        <w:rPr>
          <w:rFonts w:ascii="Times New Roman" w:hAnsi="Times New Roman"/>
          <w:sz w:val="24"/>
          <w:szCs w:val="24"/>
        </w:rPr>
        <w:t xml:space="preserve">who </w:t>
      </w:r>
      <w:r w:rsidR="009B4934" w:rsidRPr="00EB42B0">
        <w:rPr>
          <w:rFonts w:ascii="Times New Roman" w:hAnsi="Times New Roman"/>
          <w:sz w:val="24"/>
          <w:szCs w:val="24"/>
        </w:rPr>
        <w:t xml:space="preserve">advocate </w:t>
      </w:r>
      <w:r w:rsidR="00E75314" w:rsidRPr="00EB42B0">
        <w:rPr>
          <w:rFonts w:ascii="Times New Roman" w:hAnsi="Times New Roman"/>
          <w:sz w:val="24"/>
          <w:szCs w:val="24"/>
        </w:rPr>
        <w:t xml:space="preserve">for </w:t>
      </w:r>
      <w:r w:rsidR="009B4934" w:rsidRPr="00EB42B0">
        <w:rPr>
          <w:rFonts w:ascii="Times New Roman" w:hAnsi="Times New Roman"/>
          <w:sz w:val="24"/>
          <w:szCs w:val="24"/>
        </w:rPr>
        <w:t xml:space="preserve">a more coercive compliance paradigm. They contend that compliance  with  human rights  norms  is  largely  a  </w:t>
      </w:r>
      <w:r w:rsidR="00E75314" w:rsidRPr="00EB42B0">
        <w:rPr>
          <w:rFonts w:ascii="Times New Roman" w:hAnsi="Times New Roman"/>
          <w:sz w:val="24"/>
          <w:szCs w:val="24"/>
        </w:rPr>
        <w:t xml:space="preserve">function  of  powerful  states’ </w:t>
      </w:r>
      <w:r w:rsidR="00BE3501" w:rsidRPr="00EB42B0">
        <w:rPr>
          <w:rFonts w:ascii="Times New Roman" w:hAnsi="Times New Roman"/>
          <w:sz w:val="24"/>
          <w:szCs w:val="24"/>
        </w:rPr>
        <w:t>(or institutions’)</w:t>
      </w:r>
      <w:r w:rsidR="009B4934" w:rsidRPr="00EB42B0">
        <w:rPr>
          <w:rFonts w:ascii="Times New Roman" w:hAnsi="Times New Roman"/>
          <w:sz w:val="24"/>
          <w:szCs w:val="24"/>
        </w:rPr>
        <w:t xml:space="preserve"> willingness  to  enforce  them.</w:t>
      </w:r>
      <w:r w:rsidR="009B4934" w:rsidRPr="00EB42B0">
        <w:rPr>
          <w:rStyle w:val="FootnoteReference"/>
          <w:rFonts w:ascii="Times New Roman" w:hAnsi="Times New Roman"/>
          <w:sz w:val="24"/>
          <w:szCs w:val="24"/>
        </w:rPr>
        <w:footnoteReference w:id="12"/>
      </w:r>
      <w:r w:rsidR="009B4934" w:rsidRPr="00EB42B0">
        <w:rPr>
          <w:rFonts w:ascii="Times New Roman" w:hAnsi="Times New Roman"/>
          <w:sz w:val="24"/>
          <w:szCs w:val="24"/>
        </w:rPr>
        <w:t xml:space="preserve"> An alternative argument is that human rights institutions can only create impact when created with the power to enforce the norms and punish state violation.</w:t>
      </w:r>
      <w:r w:rsidR="009B4934" w:rsidRPr="00EB42B0">
        <w:rPr>
          <w:rStyle w:val="FootnoteReference"/>
          <w:rFonts w:ascii="Times New Roman" w:hAnsi="Times New Roman"/>
          <w:sz w:val="24"/>
          <w:szCs w:val="24"/>
        </w:rPr>
        <w:footnoteReference w:id="13"/>
      </w:r>
      <w:r w:rsidR="009B4934" w:rsidRPr="00EB42B0">
        <w:rPr>
          <w:rFonts w:ascii="Times New Roman" w:hAnsi="Times New Roman"/>
          <w:sz w:val="24"/>
          <w:szCs w:val="24"/>
        </w:rPr>
        <w:t xml:space="preserve"> </w:t>
      </w:r>
    </w:p>
    <w:p w:rsidR="00BD659F" w:rsidRPr="00EB42B0" w:rsidRDefault="00005076" w:rsidP="00F76666">
      <w:pPr>
        <w:spacing w:line="360" w:lineRule="auto"/>
        <w:jc w:val="both"/>
        <w:rPr>
          <w:rFonts w:ascii="Times New Roman" w:hAnsi="Times New Roman"/>
          <w:sz w:val="24"/>
          <w:szCs w:val="24"/>
        </w:rPr>
      </w:pPr>
      <w:r w:rsidRPr="00EB42B0">
        <w:rPr>
          <w:rFonts w:ascii="Times New Roman" w:hAnsi="Times New Roman"/>
          <w:sz w:val="24"/>
          <w:szCs w:val="24"/>
        </w:rPr>
        <w:t xml:space="preserve">Another strong critic of the UPR mechanism is </w:t>
      </w:r>
      <w:r w:rsidR="00BE3501" w:rsidRPr="00EB42B0">
        <w:rPr>
          <w:rFonts w:ascii="Times New Roman" w:hAnsi="Times New Roman"/>
          <w:sz w:val="24"/>
          <w:szCs w:val="24"/>
        </w:rPr>
        <w:t xml:space="preserve">Manfred Nowak. </w:t>
      </w:r>
      <w:r w:rsidR="00BD659F" w:rsidRPr="00EB42B0">
        <w:rPr>
          <w:rFonts w:ascii="Times New Roman" w:hAnsi="Times New Roman"/>
          <w:sz w:val="24"/>
          <w:szCs w:val="24"/>
        </w:rPr>
        <w:t>Nowak, former UN Special Rapporteur on Torture, argues that the UPR ‘suffers from the disadvantage that states’ performance in the field of human rights is assessed by other states rather than by independent experts.’</w:t>
      </w:r>
      <w:bookmarkStart w:id="3" w:name="_Ref503703433"/>
      <w:r w:rsidR="00BD659F" w:rsidRPr="00EB42B0">
        <w:rPr>
          <w:rStyle w:val="FootnoteReference"/>
          <w:rFonts w:ascii="Times New Roman" w:hAnsi="Times New Roman"/>
          <w:sz w:val="24"/>
          <w:szCs w:val="24"/>
        </w:rPr>
        <w:footnoteReference w:id="14"/>
      </w:r>
      <w:bookmarkEnd w:id="3"/>
      <w:r w:rsidR="00BD659F" w:rsidRPr="00EB42B0">
        <w:rPr>
          <w:rFonts w:ascii="Times New Roman" w:hAnsi="Times New Roman"/>
          <w:sz w:val="24"/>
          <w:szCs w:val="24"/>
        </w:rPr>
        <w:t xml:space="preserve"> For Nowak, the UPR, by not permitting special rapporteurs and treaty body experts to participate in the review, undermines the work of the treaty bodies and special procedures. The general presumption which underlies the criticisms of de Frouville and Nowak is that monitoring human rights implementation is best tackled by human rights expert bodies rather than states.  However, their analyses undermine the potential value of the UPR and do not provide empirical data on whether the UPR is effective or not in improving the human rights situation of states. </w:t>
      </w:r>
    </w:p>
    <w:p w:rsidR="00892C33" w:rsidRPr="00EB42B0" w:rsidRDefault="0040022D" w:rsidP="00892C33">
      <w:pPr>
        <w:spacing w:line="360" w:lineRule="auto"/>
        <w:jc w:val="both"/>
        <w:rPr>
          <w:rFonts w:ascii="Times New Roman" w:hAnsi="Times New Roman"/>
          <w:sz w:val="24"/>
          <w:szCs w:val="24"/>
        </w:rPr>
      </w:pPr>
      <w:r w:rsidRPr="00EB42B0">
        <w:rPr>
          <w:rFonts w:ascii="Times New Roman" w:hAnsi="Times New Roman"/>
          <w:sz w:val="24"/>
          <w:szCs w:val="24"/>
        </w:rPr>
        <w:t>E</w:t>
      </w:r>
      <w:r w:rsidR="00892C33" w:rsidRPr="00EB42B0">
        <w:rPr>
          <w:rFonts w:ascii="Times New Roman" w:hAnsi="Times New Roman"/>
          <w:sz w:val="24"/>
          <w:szCs w:val="24"/>
        </w:rPr>
        <w:t>xclusive reliance on “strong” enforcement mechanisms would undermine the potential of cooperative mechanisms. Avoiding human rights rhetoric or ritualism does not necessary require “strong” enforcement mechanism. About 25 years ago, Opsahl advocated for the necessity of a “softer approach” rather than the traditional notion of “right-breach-responsibility-process-sanction, leading to punishment of any violator or at least to redress for any victim.”</w:t>
      </w:r>
      <w:r w:rsidR="00892C33" w:rsidRPr="00EB42B0">
        <w:rPr>
          <w:rFonts w:ascii="Times New Roman" w:hAnsi="Times New Roman"/>
          <w:sz w:val="24"/>
          <w:szCs w:val="24"/>
          <w:vertAlign w:val="superscript"/>
        </w:rPr>
        <w:footnoteReference w:id="15"/>
      </w:r>
      <w:r w:rsidR="00892C33" w:rsidRPr="00EB42B0">
        <w:rPr>
          <w:rFonts w:ascii="Times New Roman" w:hAnsi="Times New Roman"/>
          <w:sz w:val="24"/>
          <w:szCs w:val="24"/>
        </w:rPr>
        <w:t xml:space="preserve"> Kenneth Roth has argued that coercive mechanisms are not suitable to deal with violations of economic, social and cultural rights.</w:t>
      </w:r>
      <w:r w:rsidR="00892C33" w:rsidRPr="00EB42B0">
        <w:rPr>
          <w:rFonts w:ascii="Times New Roman" w:hAnsi="Times New Roman"/>
          <w:sz w:val="24"/>
          <w:szCs w:val="24"/>
          <w:vertAlign w:val="superscript"/>
        </w:rPr>
        <w:footnoteReference w:id="16"/>
      </w:r>
      <w:r w:rsidR="00892C33" w:rsidRPr="00EB42B0">
        <w:rPr>
          <w:rFonts w:ascii="Times New Roman" w:hAnsi="Times New Roman"/>
          <w:sz w:val="24"/>
          <w:szCs w:val="24"/>
        </w:rPr>
        <w:t xml:space="preserve"> There has also been evidence that questions </w:t>
      </w:r>
      <w:r w:rsidR="00892C33" w:rsidRPr="00EB42B0">
        <w:rPr>
          <w:rFonts w:ascii="Times New Roman" w:hAnsi="Times New Roman"/>
          <w:sz w:val="24"/>
          <w:szCs w:val="24"/>
        </w:rPr>
        <w:lastRenderedPageBreak/>
        <w:t>the effectiveness of coercive mechanisms. Empirical analysis from 1981-2000 concluded that “economic sanctions deteriorate citizens’ physical integrity rights”</w:t>
      </w:r>
      <w:r w:rsidR="00892C33" w:rsidRPr="00EB42B0">
        <w:rPr>
          <w:rFonts w:ascii="Times New Roman" w:hAnsi="Times New Roman"/>
          <w:sz w:val="24"/>
          <w:szCs w:val="24"/>
          <w:vertAlign w:val="superscript"/>
        </w:rPr>
        <w:footnoteReference w:id="17"/>
      </w:r>
      <w:r w:rsidR="00892C33" w:rsidRPr="00EB42B0">
        <w:rPr>
          <w:rFonts w:ascii="Times New Roman" w:hAnsi="Times New Roman"/>
          <w:sz w:val="24"/>
          <w:szCs w:val="24"/>
        </w:rPr>
        <w:t xml:space="preserve"> especially when directed towards dictatorial regimes.</w:t>
      </w:r>
      <w:r w:rsidR="00892C33" w:rsidRPr="00EB42B0">
        <w:rPr>
          <w:rFonts w:ascii="Times New Roman" w:hAnsi="Times New Roman"/>
          <w:sz w:val="24"/>
          <w:szCs w:val="24"/>
          <w:vertAlign w:val="superscript"/>
        </w:rPr>
        <w:footnoteReference w:id="18"/>
      </w:r>
      <w:r w:rsidR="00892C33" w:rsidRPr="00EB42B0">
        <w:rPr>
          <w:rFonts w:ascii="Times New Roman" w:hAnsi="Times New Roman"/>
          <w:sz w:val="24"/>
          <w:szCs w:val="24"/>
        </w:rPr>
        <w:t xml:space="preserve"> The UPR mechanism which relies on cooperation and gives the state some degree of control over the process can be sometimes at least as, if not more effective than coercive mechanisms.</w:t>
      </w:r>
    </w:p>
    <w:p w:rsidR="00824053" w:rsidRPr="00EB42B0" w:rsidRDefault="00892C33" w:rsidP="0067112D">
      <w:pPr>
        <w:spacing w:line="360" w:lineRule="auto"/>
        <w:jc w:val="both"/>
        <w:rPr>
          <w:rFonts w:ascii="Times New Roman" w:hAnsi="Times New Roman"/>
          <w:sz w:val="24"/>
          <w:szCs w:val="24"/>
        </w:rPr>
      </w:pPr>
      <w:r w:rsidRPr="00EB42B0">
        <w:rPr>
          <w:rFonts w:ascii="Times New Roman" w:hAnsi="Times New Roman"/>
          <w:sz w:val="24"/>
          <w:szCs w:val="24"/>
        </w:rPr>
        <w:t>Since</w:t>
      </w:r>
      <w:r w:rsidR="0067112D" w:rsidRPr="00EB42B0">
        <w:rPr>
          <w:rFonts w:ascii="Times New Roman" w:hAnsi="Times New Roman"/>
          <w:sz w:val="24"/>
          <w:szCs w:val="24"/>
        </w:rPr>
        <w:t xml:space="preserve"> 2012, Rhona Smith, Helen Quane and Takele Bulto have analysed the impact of the UPR in different regions.</w:t>
      </w:r>
      <w:bookmarkStart w:id="4" w:name="_Ref484514678"/>
      <w:r w:rsidR="0067112D" w:rsidRPr="00EB42B0">
        <w:rPr>
          <w:rFonts w:ascii="Times New Roman" w:hAnsi="Times New Roman"/>
          <w:sz w:val="24"/>
          <w:szCs w:val="24"/>
          <w:vertAlign w:val="superscript"/>
        </w:rPr>
        <w:footnoteReference w:id="19"/>
      </w:r>
      <w:bookmarkEnd w:id="4"/>
      <w:r w:rsidR="0067112D" w:rsidRPr="00EB42B0">
        <w:rPr>
          <w:rFonts w:ascii="Times New Roman" w:hAnsi="Times New Roman"/>
          <w:sz w:val="24"/>
          <w:szCs w:val="24"/>
        </w:rPr>
        <w:t xml:space="preserve"> Smith’s 2012 case study of Pacific Island states demonstrated that these states actively engaged with the interactive dialogue of their reviews during UPR I and were receptive to UPR recommendations. Smith, nevertheless, pointed to the fact that their engagement was limited by their inability to participate in the review of other states due to technical and financial constraints.</w:t>
      </w:r>
      <w:r w:rsidR="0067112D" w:rsidRPr="00EB42B0">
        <w:rPr>
          <w:rFonts w:ascii="Times New Roman" w:hAnsi="Times New Roman"/>
          <w:sz w:val="24"/>
          <w:szCs w:val="24"/>
          <w:vertAlign w:val="superscript"/>
        </w:rPr>
        <w:footnoteReference w:id="20"/>
      </w:r>
      <w:r w:rsidR="0067112D" w:rsidRPr="00EB42B0">
        <w:rPr>
          <w:rFonts w:ascii="Times New Roman" w:hAnsi="Times New Roman"/>
          <w:sz w:val="24"/>
          <w:szCs w:val="24"/>
        </w:rPr>
        <w:t xml:space="preserve"> With regards to states within the Association of Southeast Asian Nations (ASEAN), Quane argued in 2015 that the UPR mechanism has enhanced the relationship between ASEAN states and the global human rights mechanisms.</w:t>
      </w:r>
      <w:r w:rsidR="0067112D" w:rsidRPr="00EB42B0">
        <w:rPr>
          <w:rFonts w:ascii="Times New Roman" w:hAnsi="Times New Roman"/>
          <w:sz w:val="24"/>
          <w:szCs w:val="24"/>
          <w:vertAlign w:val="superscript"/>
        </w:rPr>
        <w:footnoteReference w:id="21"/>
      </w:r>
      <w:r w:rsidR="0067112D" w:rsidRPr="00EB42B0">
        <w:rPr>
          <w:rFonts w:ascii="Times New Roman" w:hAnsi="Times New Roman"/>
          <w:sz w:val="24"/>
          <w:szCs w:val="24"/>
        </w:rPr>
        <w:t xml:space="preserve"> According to Quane, the UPR impacts other mechanisms by making particular recommendations which have increased their engagement with the UN treaty bodies and special procedures.</w:t>
      </w:r>
      <w:r w:rsidR="0067112D" w:rsidRPr="00EB42B0">
        <w:rPr>
          <w:rFonts w:ascii="Times New Roman" w:hAnsi="Times New Roman"/>
          <w:sz w:val="24"/>
          <w:szCs w:val="24"/>
          <w:vertAlign w:val="superscript"/>
        </w:rPr>
        <w:footnoteReference w:id="22"/>
      </w:r>
      <w:r w:rsidR="0067112D" w:rsidRPr="00EB42B0">
        <w:rPr>
          <w:rFonts w:ascii="Times New Roman" w:hAnsi="Times New Roman"/>
          <w:sz w:val="24"/>
          <w:szCs w:val="24"/>
        </w:rPr>
        <w:t xml:space="preserve"> Quane’s case study also highlighted the fact that disagreements on the death penalty and the rights of LGBT persons have limited the engagement of many states in the region.</w:t>
      </w:r>
      <w:r w:rsidR="0067112D" w:rsidRPr="00EB42B0">
        <w:rPr>
          <w:rFonts w:ascii="Times New Roman" w:hAnsi="Times New Roman"/>
          <w:sz w:val="24"/>
          <w:szCs w:val="24"/>
          <w:vertAlign w:val="superscript"/>
        </w:rPr>
        <w:footnoteReference w:id="23"/>
      </w:r>
      <w:r w:rsidR="0067112D" w:rsidRPr="00EB42B0">
        <w:rPr>
          <w:rFonts w:ascii="Times New Roman" w:hAnsi="Times New Roman"/>
          <w:sz w:val="24"/>
          <w:szCs w:val="24"/>
        </w:rPr>
        <w:t xml:space="preserve"> In Bulto’s 2015 general analysis on Africa, he found that African states engage more with the UPR mechanism than with other human rights mechanisms because of the almost complete control they have over </w:t>
      </w:r>
      <w:r w:rsidR="0067112D" w:rsidRPr="00EB42B0">
        <w:rPr>
          <w:rFonts w:ascii="Times New Roman" w:hAnsi="Times New Roman"/>
          <w:sz w:val="24"/>
          <w:szCs w:val="24"/>
        </w:rPr>
        <w:lastRenderedPageBreak/>
        <w:t>the outcome of the UPR process.</w:t>
      </w:r>
      <w:r w:rsidR="0067112D" w:rsidRPr="00EB42B0">
        <w:rPr>
          <w:rFonts w:ascii="Times New Roman" w:hAnsi="Times New Roman"/>
          <w:sz w:val="24"/>
          <w:szCs w:val="24"/>
          <w:vertAlign w:val="superscript"/>
        </w:rPr>
        <w:footnoteReference w:id="24"/>
      </w:r>
      <w:r w:rsidR="0067112D" w:rsidRPr="00EB42B0">
        <w:rPr>
          <w:rFonts w:ascii="Times New Roman" w:hAnsi="Times New Roman"/>
          <w:sz w:val="24"/>
          <w:szCs w:val="24"/>
        </w:rPr>
        <w:t xml:space="preserve"> But he argues that their engagement lacks genuine commitment and is a manifestation of rights ritualism.</w:t>
      </w:r>
      <w:r w:rsidR="0067112D" w:rsidRPr="00EB42B0">
        <w:rPr>
          <w:rFonts w:ascii="Times New Roman" w:hAnsi="Times New Roman"/>
          <w:sz w:val="24"/>
          <w:szCs w:val="24"/>
          <w:vertAlign w:val="superscript"/>
        </w:rPr>
        <w:footnoteReference w:id="25"/>
      </w:r>
    </w:p>
    <w:p w:rsidR="002C27B5" w:rsidRPr="00EB42B0" w:rsidRDefault="0081036F" w:rsidP="00442879">
      <w:pPr>
        <w:spacing w:line="360" w:lineRule="auto"/>
        <w:jc w:val="both"/>
        <w:rPr>
          <w:rFonts w:ascii="Times New Roman" w:hAnsi="Times New Roman"/>
          <w:sz w:val="24"/>
        </w:rPr>
      </w:pPr>
      <w:r w:rsidRPr="00EB42B0">
        <w:rPr>
          <w:rFonts w:ascii="Times New Roman" w:hAnsi="Times New Roman"/>
          <w:sz w:val="24"/>
          <w:szCs w:val="24"/>
        </w:rPr>
        <w:t>This article provides the first comprehensive</w:t>
      </w:r>
      <w:r w:rsidR="003775A8" w:rsidRPr="00EB42B0">
        <w:rPr>
          <w:rFonts w:ascii="Times New Roman" w:hAnsi="Times New Roman"/>
          <w:sz w:val="24"/>
          <w:szCs w:val="24"/>
        </w:rPr>
        <w:t xml:space="preserve"> </w:t>
      </w:r>
      <w:r w:rsidR="00624580" w:rsidRPr="00EB42B0">
        <w:rPr>
          <w:rFonts w:ascii="Times New Roman" w:hAnsi="Times New Roman"/>
          <w:sz w:val="24"/>
          <w:szCs w:val="24"/>
        </w:rPr>
        <w:t xml:space="preserve">empirical </w:t>
      </w:r>
      <w:r w:rsidR="003775A8" w:rsidRPr="00EB42B0">
        <w:rPr>
          <w:rFonts w:ascii="Times New Roman" w:hAnsi="Times New Roman"/>
          <w:sz w:val="24"/>
          <w:szCs w:val="24"/>
        </w:rPr>
        <w:t xml:space="preserve">analysis of Nigeria’s </w:t>
      </w:r>
      <w:r w:rsidR="00E147BA" w:rsidRPr="00EB42B0">
        <w:rPr>
          <w:rFonts w:ascii="Times New Roman" w:hAnsi="Times New Roman"/>
          <w:sz w:val="24"/>
          <w:szCs w:val="24"/>
        </w:rPr>
        <w:t>e</w:t>
      </w:r>
      <w:r w:rsidR="003775A8" w:rsidRPr="00EB42B0">
        <w:rPr>
          <w:rFonts w:ascii="Times New Roman" w:hAnsi="Times New Roman"/>
          <w:sz w:val="24"/>
          <w:szCs w:val="24"/>
        </w:rPr>
        <w:t xml:space="preserve">ngagement with the UPR mechanisms. It underscores the value of cooperation in monitoring human rights compliance </w:t>
      </w:r>
      <w:r w:rsidR="00271047" w:rsidRPr="00EB42B0">
        <w:rPr>
          <w:rFonts w:ascii="Times New Roman" w:hAnsi="Times New Roman"/>
          <w:sz w:val="24"/>
          <w:szCs w:val="24"/>
        </w:rPr>
        <w:t>by examining the effectiveness</w:t>
      </w:r>
      <w:r w:rsidR="003F169C" w:rsidRPr="00EB42B0">
        <w:rPr>
          <w:rFonts w:ascii="Times New Roman" w:hAnsi="Times New Roman"/>
          <w:sz w:val="24"/>
          <w:szCs w:val="24"/>
        </w:rPr>
        <w:t xml:space="preserve"> </w:t>
      </w:r>
      <w:r w:rsidR="002E76CD" w:rsidRPr="00EB42B0">
        <w:rPr>
          <w:rFonts w:ascii="Times New Roman" w:hAnsi="Times New Roman"/>
          <w:sz w:val="24"/>
          <w:szCs w:val="24"/>
        </w:rPr>
        <w:t>of</w:t>
      </w:r>
      <w:r w:rsidR="003F169C" w:rsidRPr="00EB42B0">
        <w:rPr>
          <w:rFonts w:ascii="Times New Roman" w:hAnsi="Times New Roman"/>
          <w:sz w:val="24"/>
          <w:szCs w:val="24"/>
        </w:rPr>
        <w:t xml:space="preserve"> Nigeria’s en</w:t>
      </w:r>
      <w:r w:rsidR="007610B9" w:rsidRPr="00EB42B0">
        <w:rPr>
          <w:rFonts w:ascii="Times New Roman" w:hAnsi="Times New Roman"/>
          <w:sz w:val="24"/>
          <w:szCs w:val="24"/>
        </w:rPr>
        <w:t>gagement with the UPR mechanism</w:t>
      </w:r>
      <w:r w:rsidR="00871A31" w:rsidRPr="00EB42B0">
        <w:rPr>
          <w:rFonts w:ascii="Times New Roman" w:hAnsi="Times New Roman"/>
          <w:sz w:val="24"/>
          <w:szCs w:val="24"/>
        </w:rPr>
        <w:t xml:space="preserve">. </w:t>
      </w:r>
      <w:r w:rsidR="005C4FD1" w:rsidRPr="00EB42B0">
        <w:rPr>
          <w:rFonts w:ascii="Times New Roman" w:hAnsi="Times New Roman"/>
          <w:sz w:val="24"/>
        </w:rPr>
        <w:t>To evaluate the ‘effectiveness’ of Nigeria’s engagement with the UPR, I employ a</w:t>
      </w:r>
      <w:r w:rsidR="009000E7" w:rsidRPr="00EB42B0">
        <w:rPr>
          <w:rFonts w:ascii="Times New Roman" w:hAnsi="Times New Roman"/>
          <w:sz w:val="24"/>
        </w:rPr>
        <w:t xml:space="preserve">n </w:t>
      </w:r>
      <w:r w:rsidR="005C4FD1" w:rsidRPr="00EB42B0">
        <w:rPr>
          <w:rFonts w:ascii="Times New Roman" w:hAnsi="Times New Roman"/>
          <w:sz w:val="24"/>
        </w:rPr>
        <w:t>approach which evaluates ‘effectiveness’ in terms of the level of state</w:t>
      </w:r>
      <w:r w:rsidR="009000E7" w:rsidRPr="00EB42B0">
        <w:rPr>
          <w:rFonts w:ascii="Times New Roman" w:hAnsi="Times New Roman"/>
          <w:sz w:val="24"/>
        </w:rPr>
        <w:t xml:space="preserve"> commitment to the UPR process</w:t>
      </w:r>
      <w:r w:rsidR="005C4FD1" w:rsidRPr="00EB42B0">
        <w:rPr>
          <w:rFonts w:ascii="Times New Roman" w:hAnsi="Times New Roman"/>
          <w:sz w:val="24"/>
        </w:rPr>
        <w:t>, participation during the review sessions and the aggregate percentage of implemented UPR recommendations.</w:t>
      </w:r>
      <w:r w:rsidR="00FD7D90" w:rsidRPr="00EB42B0">
        <w:rPr>
          <w:rFonts w:ascii="Times New Roman" w:hAnsi="Times New Roman"/>
          <w:sz w:val="24"/>
        </w:rPr>
        <w:t xml:space="preserve"> </w:t>
      </w:r>
      <w:r w:rsidR="00442879" w:rsidRPr="00EB42B0">
        <w:rPr>
          <w:rFonts w:ascii="Times New Roman" w:hAnsi="Times New Roman"/>
          <w:sz w:val="24"/>
        </w:rPr>
        <w:t>The benefit of this approach is that it</w:t>
      </w:r>
      <w:r w:rsidR="00442879" w:rsidRPr="00EB42B0">
        <w:rPr>
          <w:rFonts w:ascii="AdvOT1ef757c0" w:hAnsi="AdvOT1ef757c0" w:cs="AdvOT1ef757c0"/>
          <w:sz w:val="21"/>
          <w:szCs w:val="21"/>
          <w:lang w:eastAsia="en-AU"/>
        </w:rPr>
        <w:t xml:space="preserve"> </w:t>
      </w:r>
      <w:r w:rsidR="00442879" w:rsidRPr="00EB42B0">
        <w:rPr>
          <w:rFonts w:ascii="Times New Roman" w:hAnsi="Times New Roman"/>
          <w:sz w:val="24"/>
        </w:rPr>
        <w:t>provides important indicators to a state’s level of engagement and enables a comprehensive assessment of that engagement by examining state engagement with the key stages of the UPR process.</w:t>
      </w:r>
      <w:r w:rsidR="00442879" w:rsidRPr="00EB42B0">
        <w:rPr>
          <w:rStyle w:val="FootnoteReference"/>
          <w:rFonts w:ascii="Times New Roman" w:hAnsi="Times New Roman"/>
          <w:sz w:val="24"/>
        </w:rPr>
        <w:footnoteReference w:id="26"/>
      </w:r>
      <w:r w:rsidR="007610B9" w:rsidRPr="00EB42B0">
        <w:rPr>
          <w:rFonts w:ascii="Times New Roman" w:hAnsi="Times New Roman"/>
          <w:sz w:val="24"/>
          <w:szCs w:val="24"/>
        </w:rPr>
        <w:t xml:space="preserve"> Also, this article considers the potential for acculturation and the impact of conflicts and terrorism on Nigeria’s engagement with the UPR.</w:t>
      </w:r>
    </w:p>
    <w:p w:rsidR="008C0E47" w:rsidRPr="00EB42B0" w:rsidRDefault="003464DE" w:rsidP="002C27B5">
      <w:pPr>
        <w:numPr>
          <w:ilvl w:val="0"/>
          <w:numId w:val="21"/>
        </w:numPr>
        <w:spacing w:line="360" w:lineRule="auto"/>
        <w:jc w:val="both"/>
        <w:rPr>
          <w:rFonts w:ascii="Times New Roman" w:hAnsi="Times New Roman"/>
          <w:sz w:val="24"/>
          <w:szCs w:val="24"/>
        </w:rPr>
      </w:pPr>
      <w:r w:rsidRPr="00EB42B0">
        <w:rPr>
          <w:rFonts w:ascii="Times New Roman" w:hAnsi="Times New Roman"/>
          <w:sz w:val="24"/>
          <w:szCs w:val="24"/>
        </w:rPr>
        <w:t>NIGERIA AS A STATE UNDER REVIEW (SUR)</w:t>
      </w:r>
    </w:p>
    <w:p w:rsidR="00F83AF1" w:rsidRPr="00EB42B0" w:rsidRDefault="00F83AF1" w:rsidP="00F83AF1">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Nigeria was reviewed by the UPR WG in February 2009 and October 2013 respectively. As a result of its membership of the HRC, the Nigerian government entered voluntary pledges and commitments which are included as part of the assessment basis for its review. Fifty-two states made recommendations to Nigeria during UPR I, 13 of which were African states. Out of a total of 32</w:t>
      </w:r>
      <w:bookmarkStart w:id="5" w:name="_Ref503703091"/>
      <w:r w:rsidRPr="00EB42B0">
        <w:rPr>
          <w:rStyle w:val="FootnoteReference"/>
          <w:rFonts w:ascii="Times New Roman" w:hAnsi="Times New Roman"/>
          <w:sz w:val="24"/>
        </w:rPr>
        <w:footnoteReference w:id="27"/>
      </w:r>
      <w:bookmarkEnd w:id="5"/>
      <w:r w:rsidRPr="00EB42B0">
        <w:rPr>
          <w:rFonts w:ascii="Times New Roman" w:hAnsi="Times New Roman"/>
          <w:sz w:val="24"/>
        </w:rPr>
        <w:t xml:space="preserve"> recommendations, 30 were accepted by the government of Nigeria. It accepted all the recommendations from African states. During UPR II, all states made a total of 219 recommendations to Nigeria of which it accepted 84%. The high acceptance level evident in both UPR cycles indicates an active engagement with the recommendations. Some states like Botswana, China and South Sudan </w:t>
      </w:r>
      <w:r w:rsidR="0048477B" w:rsidRPr="00EB42B0">
        <w:rPr>
          <w:rFonts w:ascii="Times New Roman" w:hAnsi="Times New Roman"/>
          <w:sz w:val="24"/>
        </w:rPr>
        <w:t>did not accept</w:t>
      </w:r>
      <w:r w:rsidRPr="00EB42B0">
        <w:rPr>
          <w:rFonts w:ascii="Times New Roman" w:hAnsi="Times New Roman"/>
          <w:sz w:val="24"/>
        </w:rPr>
        <w:t xml:space="preserve"> more than 50% of recommendations made to </w:t>
      </w:r>
      <w:r w:rsidRPr="00EB42B0">
        <w:rPr>
          <w:rFonts w:ascii="Times New Roman" w:hAnsi="Times New Roman"/>
          <w:sz w:val="24"/>
        </w:rPr>
        <w:lastRenderedPageBreak/>
        <w:t xml:space="preserve">them during UPR I. South Sudan in particular </w:t>
      </w:r>
      <w:r w:rsidR="0048477B" w:rsidRPr="00EB42B0">
        <w:rPr>
          <w:rFonts w:ascii="Times New Roman" w:hAnsi="Times New Roman"/>
          <w:sz w:val="24"/>
        </w:rPr>
        <w:t>did not accept more than 85</w:t>
      </w:r>
      <w:r w:rsidRPr="00EB42B0">
        <w:rPr>
          <w:rFonts w:ascii="Times New Roman" w:hAnsi="Times New Roman"/>
          <w:sz w:val="24"/>
        </w:rPr>
        <w:t>% of the recommendations made to it during UPR I.</w:t>
      </w:r>
      <w:r w:rsidRPr="00EB42B0">
        <w:rPr>
          <w:rStyle w:val="FootnoteReference"/>
          <w:rFonts w:ascii="Times New Roman" w:hAnsi="Times New Roman"/>
          <w:sz w:val="24"/>
        </w:rPr>
        <w:footnoteReference w:id="28"/>
      </w:r>
      <w:r w:rsidRPr="00EB42B0">
        <w:rPr>
          <w:rFonts w:ascii="Times New Roman" w:hAnsi="Times New Roman"/>
          <w:sz w:val="24"/>
        </w:rPr>
        <w:t xml:space="preserve"> Figures </w:t>
      </w:r>
      <w:r w:rsidR="00157269" w:rsidRPr="00EB42B0">
        <w:rPr>
          <w:rFonts w:ascii="Times New Roman" w:hAnsi="Times New Roman"/>
          <w:sz w:val="24"/>
        </w:rPr>
        <w:t>1</w:t>
      </w:r>
      <w:r w:rsidRPr="00EB42B0">
        <w:rPr>
          <w:rFonts w:ascii="Times New Roman" w:hAnsi="Times New Roman"/>
          <w:sz w:val="24"/>
        </w:rPr>
        <w:t xml:space="preserve"> and </w:t>
      </w:r>
      <w:r w:rsidR="00157269" w:rsidRPr="00EB42B0">
        <w:rPr>
          <w:rFonts w:ascii="Times New Roman" w:hAnsi="Times New Roman"/>
          <w:sz w:val="24"/>
        </w:rPr>
        <w:t>2</w:t>
      </w:r>
      <w:r w:rsidRPr="00EB42B0">
        <w:rPr>
          <w:rFonts w:ascii="Times New Roman" w:hAnsi="Times New Roman"/>
          <w:sz w:val="24"/>
        </w:rPr>
        <w:t xml:space="preserve"> below provide an analysis of Nigeria’s engagement as a state under review. It depicts its review by African states compared to other groups of states.</w:t>
      </w:r>
      <w:r w:rsidR="00EE614A" w:rsidRPr="00EB42B0">
        <w:rPr>
          <w:rStyle w:val="FootnoteReference"/>
          <w:rFonts w:ascii="Times New Roman" w:hAnsi="Times New Roman"/>
          <w:sz w:val="24"/>
        </w:rPr>
        <w:footnoteReference w:id="29"/>
      </w:r>
      <w:r w:rsidRPr="00EB42B0">
        <w:rPr>
          <w:rFonts w:ascii="Times New Roman" w:hAnsi="Times New Roman"/>
          <w:sz w:val="24"/>
        </w:rPr>
        <w:t xml:space="preserve"> The category of recommendations and areas where Nigeria was most engaged are further examined in figures </w:t>
      </w:r>
      <w:r w:rsidR="00E339FF" w:rsidRPr="00EB42B0">
        <w:rPr>
          <w:rFonts w:ascii="Times New Roman" w:hAnsi="Times New Roman"/>
          <w:sz w:val="24"/>
        </w:rPr>
        <w:t>3 and 4</w:t>
      </w:r>
      <w:r w:rsidRPr="00EB42B0">
        <w:rPr>
          <w:rFonts w:ascii="Times New Roman" w:hAnsi="Times New Roman"/>
          <w:sz w:val="24"/>
        </w:rPr>
        <w:t>.</w:t>
      </w:r>
    </w:p>
    <w:p w:rsidR="00F83AF1" w:rsidRPr="00EB42B0" w:rsidRDefault="00DF0ADB" w:rsidP="00FC06D1">
      <w:pPr>
        <w:spacing w:before="100" w:beforeAutospacing="1" w:after="100" w:afterAutospacing="1" w:line="360" w:lineRule="auto"/>
        <w:ind w:left="-567" w:right="-454"/>
        <w:jc w:val="center"/>
        <w:rPr>
          <w:rFonts w:ascii="Times New Roman" w:hAnsi="Times New Roman"/>
        </w:rPr>
      </w:pPr>
      <w:r w:rsidRPr="00EB42B0">
        <w:rPr>
          <w:noProof/>
          <w:lang w:eastAsia="en-AU"/>
        </w:rPr>
        <w:drawing>
          <wp:inline distT="0" distB="0" distL="0" distR="0" wp14:anchorId="582973FC">
            <wp:extent cx="2971800" cy="34505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3450590"/>
                    </a:xfrm>
                    <a:prstGeom prst="rect">
                      <a:avLst/>
                    </a:prstGeom>
                    <a:noFill/>
                  </pic:spPr>
                </pic:pic>
              </a:graphicData>
            </a:graphic>
          </wp:inline>
        </w:drawing>
      </w:r>
      <w:r w:rsidR="004A7835" w:rsidRPr="00EB42B0">
        <w:rPr>
          <w:noProof/>
          <w:lang w:eastAsia="en-AU"/>
        </w:rPr>
        <w:drawing>
          <wp:inline distT="0" distB="0" distL="0" distR="0" wp14:anchorId="4C4581A7">
            <wp:extent cx="2876550" cy="34524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3452495"/>
                    </a:xfrm>
                    <a:prstGeom prst="rect">
                      <a:avLst/>
                    </a:prstGeom>
                    <a:noFill/>
                  </pic:spPr>
                </pic:pic>
              </a:graphicData>
            </a:graphic>
          </wp:inline>
        </w:drawing>
      </w:r>
    </w:p>
    <w:p w:rsidR="00F83AF1" w:rsidRPr="00EB42B0" w:rsidRDefault="00F83AF1" w:rsidP="00F83AF1">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Figures </w:t>
      </w:r>
      <w:r w:rsidR="00FC06D1" w:rsidRPr="00EB42B0">
        <w:rPr>
          <w:rFonts w:ascii="Times New Roman" w:hAnsi="Times New Roman"/>
          <w:sz w:val="24"/>
        </w:rPr>
        <w:t>1</w:t>
      </w:r>
      <w:r w:rsidRPr="00EB42B0">
        <w:rPr>
          <w:rFonts w:ascii="Times New Roman" w:hAnsi="Times New Roman"/>
          <w:sz w:val="24"/>
        </w:rPr>
        <w:t xml:space="preserve"> and </w:t>
      </w:r>
      <w:r w:rsidR="00FC06D1" w:rsidRPr="00EB42B0">
        <w:rPr>
          <w:rFonts w:ascii="Times New Roman" w:hAnsi="Times New Roman"/>
          <w:sz w:val="24"/>
        </w:rPr>
        <w:t>2</w:t>
      </w:r>
      <w:r w:rsidRPr="00EB42B0">
        <w:rPr>
          <w:rFonts w:ascii="Times New Roman" w:hAnsi="Times New Roman"/>
          <w:sz w:val="24"/>
        </w:rPr>
        <w:t xml:space="preserve"> above indicate that Nigeria engaged with recommendations within and outside its regional group. However it maintained a stronger engagement within its African regional group. As seen in figure </w:t>
      </w:r>
      <w:r w:rsidR="008A6BA8" w:rsidRPr="00EB42B0">
        <w:rPr>
          <w:rFonts w:ascii="Times New Roman" w:hAnsi="Times New Roman"/>
          <w:sz w:val="24"/>
        </w:rPr>
        <w:t>1</w:t>
      </w:r>
      <w:r w:rsidRPr="00EB42B0">
        <w:rPr>
          <w:rFonts w:ascii="Times New Roman" w:hAnsi="Times New Roman"/>
          <w:sz w:val="24"/>
        </w:rPr>
        <w:t xml:space="preserve">, Nigeria accepted all the recommendations from African states during UPR I. This constituted 21% of the total recommendations made to Nigeria during UPR I. Figure </w:t>
      </w:r>
      <w:r w:rsidR="008A6BA8" w:rsidRPr="00EB42B0">
        <w:rPr>
          <w:rFonts w:ascii="Times New Roman" w:hAnsi="Times New Roman"/>
          <w:sz w:val="24"/>
        </w:rPr>
        <w:t>2</w:t>
      </w:r>
      <w:r w:rsidRPr="00EB42B0">
        <w:rPr>
          <w:rFonts w:ascii="Times New Roman" w:hAnsi="Times New Roman"/>
          <w:sz w:val="24"/>
        </w:rPr>
        <w:t xml:space="preserve"> shows that during UPR II it rejected only about 1% of recommendations from African states compared to about 9% of the recommendations rejected from WEOG. This </w:t>
      </w:r>
      <w:r w:rsidRPr="00EB42B0">
        <w:rPr>
          <w:rFonts w:ascii="Times New Roman" w:hAnsi="Times New Roman"/>
          <w:sz w:val="24"/>
        </w:rPr>
        <w:lastRenderedPageBreak/>
        <w:t>finding would indicate that Nigeria is more receptive of intra-African recommendations and more likely to reject recom</w:t>
      </w:r>
      <w:r w:rsidR="008A6BA8" w:rsidRPr="00EB42B0">
        <w:rPr>
          <w:rFonts w:ascii="Times New Roman" w:hAnsi="Times New Roman"/>
          <w:sz w:val="24"/>
        </w:rPr>
        <w:t>mendations from Western states.</w:t>
      </w:r>
    </w:p>
    <w:p w:rsidR="0077429F" w:rsidRPr="00EB42B0" w:rsidRDefault="00F83AF1" w:rsidP="00F83AF1">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There was a remarkable increase in the total number of recommendations made to Nigeria across both cycles of the review, from 32 during UPR I to 219 during UPR II. The increase in the number </w:t>
      </w:r>
      <w:r w:rsidRPr="00EB42B0">
        <w:rPr>
          <w:rFonts w:ascii="Times New Roman" w:hAnsi="Times New Roman"/>
          <w:sz w:val="28"/>
        </w:rPr>
        <w:t xml:space="preserve">of </w:t>
      </w:r>
      <w:r w:rsidRPr="00EB42B0">
        <w:rPr>
          <w:rFonts w:ascii="Times New Roman" w:hAnsi="Times New Roman"/>
          <w:sz w:val="24"/>
        </w:rPr>
        <w:t>recommendations made to Nigeria may reflect the general increase in the number of recommendations which was evident during UPR II.</w:t>
      </w:r>
      <w:r w:rsidRPr="00EB42B0">
        <w:rPr>
          <w:rStyle w:val="FootnoteReference"/>
          <w:rFonts w:ascii="Times New Roman" w:hAnsi="Times New Roman"/>
          <w:sz w:val="24"/>
        </w:rPr>
        <w:footnoteReference w:id="30"/>
      </w:r>
      <w:r w:rsidRPr="00EB42B0">
        <w:rPr>
          <w:rFonts w:ascii="Times New Roman" w:hAnsi="Times New Roman"/>
          <w:sz w:val="24"/>
        </w:rPr>
        <w:t xml:space="preserve"> However there may be other particular factors which may explain the rise in the number of recommendations to Nigeria. These are the escalation of the conflict between the government and </w:t>
      </w:r>
      <w:r w:rsidRPr="00EB42B0">
        <w:rPr>
          <w:rFonts w:ascii="Times New Roman" w:hAnsi="Times New Roman"/>
          <w:i/>
          <w:sz w:val="24"/>
        </w:rPr>
        <w:t>Boko Haram</w:t>
      </w:r>
      <w:r w:rsidRPr="00EB42B0">
        <w:rPr>
          <w:rFonts w:ascii="Times New Roman" w:hAnsi="Times New Roman"/>
          <w:sz w:val="24"/>
        </w:rPr>
        <w:t xml:space="preserve"> after UPR I,</w:t>
      </w:r>
      <w:r w:rsidRPr="00EB42B0">
        <w:rPr>
          <w:rStyle w:val="FootnoteReference"/>
          <w:rFonts w:ascii="Times New Roman" w:hAnsi="Times New Roman"/>
          <w:sz w:val="24"/>
        </w:rPr>
        <w:footnoteReference w:id="31"/>
      </w:r>
      <w:r w:rsidRPr="00EB42B0">
        <w:rPr>
          <w:rFonts w:ascii="Times New Roman" w:hAnsi="Times New Roman"/>
          <w:sz w:val="24"/>
        </w:rPr>
        <w:t xml:space="preserve"> the enactment of the Same Sex Marriage Prohibition Act in 2013 and the resumption of the death penalty in Nigeria.</w:t>
      </w:r>
      <w:r w:rsidRPr="00EB42B0">
        <w:rPr>
          <w:rStyle w:val="FootnoteReference"/>
          <w:rFonts w:ascii="Times New Roman" w:hAnsi="Times New Roman"/>
          <w:sz w:val="24"/>
        </w:rPr>
        <w:footnoteReference w:id="32"/>
      </w:r>
      <w:r w:rsidRPr="00EB42B0">
        <w:rPr>
          <w:rFonts w:ascii="Times New Roman" w:hAnsi="Times New Roman"/>
          <w:sz w:val="24"/>
        </w:rPr>
        <w:t xml:space="preserve">  38 recommendations during UPR II were dedicated to addressing these three issues.  The last two issues constituted the total 35 recommendations which were rejected by Nigeria during UPR II and the two rejected during UPR I. No recommendation on sexual orientation and gender identity was made by an African state (with the exception of Madagascar) and none of the recommendations made by non-African states on this issue were accepted by the Nigerian delegation. These recommendations were foun</w:t>
      </w:r>
      <w:r w:rsidR="00004932" w:rsidRPr="00EB42B0">
        <w:rPr>
          <w:rFonts w:ascii="Times New Roman" w:hAnsi="Times New Roman"/>
          <w:sz w:val="24"/>
        </w:rPr>
        <w:t>d by many African states to be “</w:t>
      </w:r>
      <w:r w:rsidRPr="00EB42B0">
        <w:rPr>
          <w:rFonts w:ascii="Times New Roman" w:hAnsi="Times New Roman"/>
          <w:sz w:val="24"/>
        </w:rPr>
        <w:t>hyper-sensitive in politica</w:t>
      </w:r>
      <w:r w:rsidR="00004932" w:rsidRPr="00EB42B0">
        <w:rPr>
          <w:rFonts w:ascii="Times New Roman" w:hAnsi="Times New Roman"/>
          <w:sz w:val="24"/>
        </w:rPr>
        <w:t>l, social and/or cultural terms”</w:t>
      </w:r>
      <w:bookmarkStart w:id="6" w:name="_Ref503701386"/>
      <w:r w:rsidRPr="00EB42B0">
        <w:rPr>
          <w:rStyle w:val="FootnoteReference"/>
          <w:rFonts w:ascii="Times New Roman" w:hAnsi="Times New Roman"/>
          <w:sz w:val="24"/>
        </w:rPr>
        <w:footnoteReference w:id="33"/>
      </w:r>
      <w:bookmarkEnd w:id="6"/>
      <w:r w:rsidR="00004932" w:rsidRPr="00EB42B0">
        <w:rPr>
          <w:rFonts w:ascii="Times New Roman" w:hAnsi="Times New Roman"/>
          <w:sz w:val="24"/>
        </w:rPr>
        <w:t xml:space="preserve"> and “</w:t>
      </w:r>
      <w:r w:rsidRPr="00EB42B0">
        <w:rPr>
          <w:rFonts w:ascii="Times New Roman" w:hAnsi="Times New Roman"/>
          <w:sz w:val="24"/>
        </w:rPr>
        <w:t>contravened deeply held beliefs or p</w:t>
      </w:r>
      <w:r w:rsidR="00004932" w:rsidRPr="00EB42B0">
        <w:rPr>
          <w:rFonts w:ascii="Times New Roman" w:hAnsi="Times New Roman"/>
          <w:sz w:val="24"/>
        </w:rPr>
        <w:t>olicy positions of governments.”</w:t>
      </w:r>
      <w:r w:rsidRPr="00EB42B0">
        <w:rPr>
          <w:rStyle w:val="FootnoteReference"/>
          <w:rFonts w:ascii="Times New Roman" w:hAnsi="Times New Roman"/>
          <w:sz w:val="24"/>
        </w:rPr>
        <w:footnoteReference w:id="34"/>
      </w:r>
      <w:r w:rsidRPr="00EB42B0">
        <w:rPr>
          <w:rFonts w:ascii="Times New Roman" w:hAnsi="Times New Roman"/>
          <w:sz w:val="24"/>
        </w:rPr>
        <w:t xml:space="preserve"> Three African countries made recommendations related to the abolition of the death penalty.</w:t>
      </w:r>
      <w:r w:rsidRPr="00EB42B0">
        <w:rPr>
          <w:rStyle w:val="FootnoteReference"/>
          <w:rFonts w:ascii="Times New Roman" w:hAnsi="Times New Roman"/>
          <w:sz w:val="24"/>
        </w:rPr>
        <w:footnoteReference w:id="35"/>
      </w:r>
      <w:r w:rsidRPr="00EB42B0">
        <w:rPr>
          <w:rFonts w:ascii="Times New Roman" w:hAnsi="Times New Roman"/>
          <w:sz w:val="24"/>
        </w:rPr>
        <w:t xml:space="preserve"> While Nigeria did not accept recommendations which related to the abolition of the death penalty, it surprisingly made a similar recommendation to Argentina.</w:t>
      </w:r>
      <w:r w:rsidRPr="00EB42B0">
        <w:rPr>
          <w:rStyle w:val="FootnoteReference"/>
          <w:rFonts w:ascii="Times New Roman" w:hAnsi="Times New Roman"/>
          <w:sz w:val="24"/>
        </w:rPr>
        <w:footnoteReference w:id="36"/>
      </w:r>
      <w:r w:rsidRPr="00EB42B0">
        <w:rPr>
          <w:rFonts w:ascii="Times New Roman" w:hAnsi="Times New Roman"/>
          <w:sz w:val="24"/>
        </w:rPr>
        <w:t xml:space="preserve"> </w:t>
      </w:r>
    </w:p>
    <w:p w:rsidR="00F83AF1" w:rsidRPr="00EB42B0" w:rsidRDefault="00F83AF1" w:rsidP="00F83AF1">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Figures </w:t>
      </w:r>
      <w:r w:rsidR="0077429F" w:rsidRPr="00EB42B0">
        <w:rPr>
          <w:rFonts w:ascii="Times New Roman" w:hAnsi="Times New Roman"/>
          <w:sz w:val="24"/>
        </w:rPr>
        <w:t>3</w:t>
      </w:r>
      <w:r w:rsidRPr="00EB42B0">
        <w:rPr>
          <w:rFonts w:ascii="Times New Roman" w:hAnsi="Times New Roman"/>
          <w:sz w:val="24"/>
        </w:rPr>
        <w:t xml:space="preserve"> </w:t>
      </w:r>
      <w:r w:rsidR="0077429F" w:rsidRPr="00EB42B0">
        <w:rPr>
          <w:rFonts w:ascii="Times New Roman" w:hAnsi="Times New Roman"/>
          <w:sz w:val="24"/>
        </w:rPr>
        <w:t>and 4</w:t>
      </w:r>
      <w:r w:rsidRPr="00EB42B0">
        <w:rPr>
          <w:rFonts w:ascii="Times New Roman" w:hAnsi="Times New Roman"/>
          <w:sz w:val="24"/>
        </w:rPr>
        <w:t xml:space="preserve"> below examine the categories of recommendations and issues raised during Nigeria’s UPR I and II.</w:t>
      </w:r>
      <w:r w:rsidR="005F7EEE" w:rsidRPr="00EB42B0">
        <w:rPr>
          <w:rFonts w:ascii="Times New Roman" w:hAnsi="Times New Roman"/>
          <w:sz w:val="24"/>
        </w:rPr>
        <w:t xml:space="preserve"> Figure 3 below examines the categories of recommendations and issues raised during Nigeria’s UPR I and II. I adopted the verb-based action category developed by </w:t>
      </w:r>
      <w:r w:rsidR="005F7EEE" w:rsidRPr="00EB42B0">
        <w:rPr>
          <w:rFonts w:ascii="Times New Roman" w:hAnsi="Times New Roman"/>
          <w:sz w:val="24"/>
        </w:rPr>
        <w:lastRenderedPageBreak/>
        <w:t>Professor McMahon which categorises UPR recommendations into various ranks, from recommendations requiring minimal action to the more specific ones.</w:t>
      </w:r>
      <w:r w:rsidR="005F7EEE" w:rsidRPr="00EB42B0">
        <w:rPr>
          <w:rFonts w:ascii="Times New Roman" w:hAnsi="Times New Roman"/>
          <w:sz w:val="24"/>
          <w:vertAlign w:val="superscript"/>
        </w:rPr>
        <w:footnoteReference w:id="37"/>
      </w:r>
      <w:r w:rsidR="005F7EEE" w:rsidRPr="00EB42B0">
        <w:rPr>
          <w:rFonts w:ascii="Times New Roman" w:hAnsi="Times New Roman"/>
          <w:sz w:val="24"/>
        </w:rPr>
        <w:t xml:space="preserve"> R1 recommendations are those which required minimal actions such as to seek technical assistance or share experiences. R2 recommendations emphasized continuity and required the state under review to</w:t>
      </w:r>
      <w:r w:rsidR="00B71B86" w:rsidRPr="00EB42B0">
        <w:rPr>
          <w:rFonts w:ascii="Times New Roman" w:hAnsi="Times New Roman"/>
          <w:sz w:val="24"/>
        </w:rPr>
        <w:t xml:space="preserve"> continue certain actions taken</w:t>
      </w:r>
      <w:r w:rsidR="005F7EEE" w:rsidRPr="00EB42B0">
        <w:rPr>
          <w:rFonts w:ascii="Times New Roman" w:hAnsi="Times New Roman"/>
          <w:sz w:val="24"/>
        </w:rPr>
        <w:t xml:space="preserve"> towards improving the human rights situation within their state. R3 recommendations called upon the state </w:t>
      </w:r>
      <w:r w:rsidR="009617DE" w:rsidRPr="00EB42B0">
        <w:rPr>
          <w:rFonts w:ascii="Times New Roman" w:hAnsi="Times New Roman"/>
          <w:sz w:val="24"/>
        </w:rPr>
        <w:t xml:space="preserve">to </w:t>
      </w:r>
      <w:r w:rsidR="005F7EEE" w:rsidRPr="00EB42B0">
        <w:rPr>
          <w:rFonts w:ascii="Times New Roman" w:hAnsi="Times New Roman"/>
          <w:sz w:val="24"/>
        </w:rPr>
        <w:t>consider implementing particular recommendations. Recommendations of a general character or which required the state to intensify or strengthen protection for human rights were categorised as general recommendations (R4). The recommendations which required specific action on the part of the state, for example to ratify, amend or adopt specific legislation were categorised as specific (R5) recommendations.</w:t>
      </w:r>
    </w:p>
    <w:p w:rsidR="00F83AF1" w:rsidRPr="00EB42B0" w:rsidRDefault="00D04573" w:rsidP="0035478C">
      <w:pPr>
        <w:spacing w:before="100" w:beforeAutospacing="1" w:after="100" w:afterAutospacing="1" w:line="360" w:lineRule="auto"/>
        <w:ind w:left="-567" w:right="-454"/>
        <w:jc w:val="center"/>
        <w:rPr>
          <w:rFonts w:ascii="Times New Roman" w:hAnsi="Times New Roman"/>
        </w:rPr>
      </w:pPr>
      <w:r w:rsidRPr="00EB42B0">
        <w:rPr>
          <w:noProof/>
          <w:lang w:eastAsia="en-AU"/>
        </w:rPr>
        <w:drawing>
          <wp:inline distT="0" distB="0" distL="0" distR="0" wp14:anchorId="48DDC651">
            <wp:extent cx="3000375" cy="29368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2936875"/>
                    </a:xfrm>
                    <a:prstGeom prst="rect">
                      <a:avLst/>
                    </a:prstGeom>
                    <a:noFill/>
                  </pic:spPr>
                </pic:pic>
              </a:graphicData>
            </a:graphic>
          </wp:inline>
        </w:drawing>
      </w:r>
      <w:r w:rsidR="0035478C" w:rsidRPr="00EB42B0">
        <w:rPr>
          <w:rFonts w:ascii="Times New Roman" w:hAnsi="Times New Roman"/>
          <w:noProof/>
          <w:lang w:eastAsia="en-AU"/>
        </w:rPr>
        <w:drawing>
          <wp:inline distT="0" distB="0" distL="0" distR="0" wp14:anchorId="33495040">
            <wp:extent cx="2886075" cy="293941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2939415"/>
                    </a:xfrm>
                    <a:prstGeom prst="rect">
                      <a:avLst/>
                    </a:prstGeom>
                    <a:noFill/>
                  </pic:spPr>
                </pic:pic>
              </a:graphicData>
            </a:graphic>
          </wp:inline>
        </w:drawing>
      </w:r>
    </w:p>
    <w:p w:rsidR="00F83AF1" w:rsidRPr="00EB42B0" w:rsidRDefault="00F83AF1" w:rsidP="00F83AF1">
      <w:pPr>
        <w:pStyle w:val="NoSpacing"/>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As figures </w:t>
      </w:r>
      <w:r w:rsidR="00A60C58" w:rsidRPr="00EB42B0">
        <w:rPr>
          <w:rFonts w:ascii="Times New Roman" w:hAnsi="Times New Roman"/>
          <w:sz w:val="24"/>
        </w:rPr>
        <w:t>3</w:t>
      </w:r>
      <w:r w:rsidRPr="00EB42B0">
        <w:rPr>
          <w:rFonts w:ascii="Times New Roman" w:hAnsi="Times New Roman"/>
          <w:sz w:val="24"/>
        </w:rPr>
        <w:t xml:space="preserve"> and </w:t>
      </w:r>
      <w:r w:rsidR="00A60C58" w:rsidRPr="00EB42B0">
        <w:rPr>
          <w:rFonts w:ascii="Times New Roman" w:hAnsi="Times New Roman"/>
          <w:sz w:val="24"/>
        </w:rPr>
        <w:t>4</w:t>
      </w:r>
      <w:r w:rsidRPr="00EB42B0">
        <w:rPr>
          <w:rFonts w:ascii="Times New Roman" w:hAnsi="Times New Roman"/>
          <w:sz w:val="24"/>
        </w:rPr>
        <w:t xml:space="preserve"> indicate, Nigeria was receptive to both general (R4) and specific (R5) recommendations. A majority of the recommendations accepted by Nigeria were general recommendations (R4) and </w:t>
      </w:r>
      <w:r w:rsidR="00A60C58" w:rsidRPr="00EB42B0">
        <w:rPr>
          <w:rFonts w:ascii="Times New Roman" w:hAnsi="Times New Roman"/>
          <w:sz w:val="24"/>
        </w:rPr>
        <w:t>this constituted about 37 and 39 percent</w:t>
      </w:r>
      <w:r w:rsidRPr="00EB42B0">
        <w:rPr>
          <w:rFonts w:ascii="Times New Roman" w:hAnsi="Times New Roman"/>
          <w:sz w:val="24"/>
        </w:rPr>
        <w:t xml:space="preserve"> of the total recommendations during UPR I and II respectively. </w:t>
      </w:r>
      <w:r w:rsidR="00306819" w:rsidRPr="00EB42B0">
        <w:rPr>
          <w:rFonts w:ascii="Times New Roman" w:hAnsi="Times New Roman"/>
          <w:sz w:val="24"/>
        </w:rPr>
        <w:t>T</w:t>
      </w:r>
      <w:r w:rsidRPr="00EB42B0">
        <w:rPr>
          <w:rFonts w:ascii="Times New Roman" w:hAnsi="Times New Roman"/>
          <w:sz w:val="24"/>
        </w:rPr>
        <w:t>he fact that such recommendations are general does not mean that they are meaningless. Nigeria also engaged with a good number of specific recommendations but only to the extent that they did not involve issues of the death penalty and sexual orientation which have tended to be p</w:t>
      </w:r>
      <w:r w:rsidR="00F23244" w:rsidRPr="00EB42B0">
        <w:rPr>
          <w:rFonts w:ascii="Times New Roman" w:hAnsi="Times New Roman"/>
          <w:sz w:val="24"/>
        </w:rPr>
        <w:t>olitically contentious in socio</w:t>
      </w:r>
      <w:r w:rsidRPr="00EB42B0">
        <w:rPr>
          <w:rFonts w:ascii="Times New Roman" w:hAnsi="Times New Roman"/>
          <w:sz w:val="24"/>
        </w:rPr>
        <w:t xml:space="preserve">-cultural terms within Nigeria. About 23% of the 26 specific recommendations (R4) rejected by Nigeria </w:t>
      </w:r>
      <w:r w:rsidRPr="00EB42B0">
        <w:rPr>
          <w:rFonts w:ascii="Times New Roman" w:hAnsi="Times New Roman"/>
          <w:sz w:val="24"/>
        </w:rPr>
        <w:lastRenderedPageBreak/>
        <w:t>during UPR I were on the death penalty and discrimination based on sexual orientation. Similarly</w:t>
      </w:r>
      <w:r w:rsidR="007D70DD" w:rsidRPr="00EB42B0">
        <w:rPr>
          <w:rFonts w:ascii="Times New Roman" w:hAnsi="Times New Roman"/>
          <w:sz w:val="24"/>
        </w:rPr>
        <w:t>,</w:t>
      </w:r>
      <w:r w:rsidRPr="00EB42B0">
        <w:rPr>
          <w:rFonts w:ascii="Times New Roman" w:hAnsi="Times New Roman"/>
          <w:sz w:val="24"/>
        </w:rPr>
        <w:t xml:space="preserve"> during UPR II, recommendations on the death penalty and sexual orientation accounted for 95% of the 24 specific recommendations rejected by Nigeria. This indicates a cultural relativist tendency in the enga</w:t>
      </w:r>
      <w:r w:rsidR="00635B4A" w:rsidRPr="00EB42B0">
        <w:rPr>
          <w:rFonts w:ascii="Times New Roman" w:hAnsi="Times New Roman"/>
          <w:sz w:val="24"/>
        </w:rPr>
        <w:t>gement of Nigeria with the UPR.</w:t>
      </w:r>
    </w:p>
    <w:p w:rsidR="00F83AF1" w:rsidRPr="00EB42B0" w:rsidRDefault="00F83AF1" w:rsidP="00F83AF1">
      <w:pPr>
        <w:pStyle w:val="NoSpacing"/>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However, while the Nigerian government was not receptive to recommendations on the above two issues, it was receptive to other human rights issues that dominated both cycles of its review. </w:t>
      </w:r>
      <w:r w:rsidR="00A47AB8" w:rsidRPr="00EB42B0">
        <w:rPr>
          <w:rFonts w:ascii="Times New Roman" w:hAnsi="Times New Roman"/>
          <w:sz w:val="24"/>
        </w:rPr>
        <w:t>Table</w:t>
      </w:r>
      <w:r w:rsidR="002A245D" w:rsidRPr="00EB42B0">
        <w:rPr>
          <w:rFonts w:ascii="Times New Roman" w:hAnsi="Times New Roman"/>
          <w:sz w:val="24"/>
        </w:rPr>
        <w:t xml:space="preserve"> 1</w:t>
      </w:r>
      <w:r w:rsidRPr="00EB42B0">
        <w:rPr>
          <w:rFonts w:ascii="Times New Roman" w:hAnsi="Times New Roman"/>
          <w:sz w:val="24"/>
        </w:rPr>
        <w:t xml:space="preserve"> below lists the top 15 issues that received recommendations during Nigeria’s UPR I and II.</w:t>
      </w:r>
      <w:r w:rsidR="00F11AFF" w:rsidRPr="00EB42B0">
        <w:rPr>
          <w:rFonts w:ascii="Times New Roman" w:hAnsi="Times New Roman"/>
          <w:sz w:val="24"/>
        </w:rPr>
        <w:t xml:space="preserve"> </w:t>
      </w:r>
      <w:r w:rsidRPr="00EB42B0">
        <w:rPr>
          <w:rFonts w:ascii="Times New Roman" w:hAnsi="Times New Roman"/>
          <w:sz w:val="24"/>
        </w:rPr>
        <w:t>The human rights issues on the table are clustered based on the frequency with which states made recommendations. A similar classification has been used by UPR Info and by Nigerian Human Rights Commission.</w:t>
      </w:r>
      <w:r w:rsidRPr="00EB42B0">
        <w:rPr>
          <w:rStyle w:val="FootnoteReference"/>
          <w:rFonts w:ascii="Times New Roman" w:hAnsi="Times New Roman"/>
          <w:sz w:val="24"/>
        </w:rPr>
        <w:footnoteReference w:id="38"/>
      </w:r>
    </w:p>
    <w:p w:rsidR="00F83AF1" w:rsidRPr="00EB42B0" w:rsidRDefault="00A47AB8" w:rsidP="00F83AF1">
      <w:pPr>
        <w:pStyle w:val="NoSpacing"/>
        <w:spacing w:line="360" w:lineRule="auto"/>
        <w:jc w:val="both"/>
        <w:rPr>
          <w:rFonts w:ascii="Times New Roman" w:hAnsi="Times New Roman"/>
          <w:b/>
          <w:sz w:val="24"/>
          <w:u w:val="single"/>
        </w:rPr>
      </w:pPr>
      <w:r w:rsidRPr="00EB42B0">
        <w:rPr>
          <w:rFonts w:ascii="Times New Roman" w:hAnsi="Times New Roman"/>
          <w:b/>
          <w:sz w:val="24"/>
          <w:u w:val="single"/>
        </w:rPr>
        <w:t xml:space="preserve">Table </w:t>
      </w:r>
      <w:r w:rsidR="002A245D" w:rsidRPr="00EB42B0">
        <w:rPr>
          <w:rFonts w:ascii="Times New Roman" w:hAnsi="Times New Roman"/>
          <w:b/>
          <w:sz w:val="24"/>
          <w:u w:val="single"/>
        </w:rPr>
        <w:t>1</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1440"/>
        <w:gridCol w:w="1080"/>
        <w:gridCol w:w="990"/>
        <w:gridCol w:w="720"/>
        <w:gridCol w:w="1530"/>
        <w:gridCol w:w="1080"/>
        <w:gridCol w:w="1080"/>
      </w:tblGrid>
      <w:tr w:rsidR="00EB42B0" w:rsidRPr="00EB42B0" w:rsidTr="00004932">
        <w:trPr>
          <w:trHeight w:val="462"/>
        </w:trPr>
        <w:tc>
          <w:tcPr>
            <w:tcW w:w="4158" w:type="dxa"/>
            <w:gridSpan w:val="4"/>
            <w:shd w:val="clear" w:color="auto" w:fill="auto"/>
          </w:tcPr>
          <w:p w:rsidR="00F83AF1" w:rsidRPr="00EB42B0" w:rsidRDefault="00F83AF1" w:rsidP="00004932">
            <w:pPr>
              <w:pStyle w:val="NoSpacing"/>
              <w:spacing w:line="360" w:lineRule="auto"/>
              <w:jc w:val="center"/>
              <w:rPr>
                <w:rFonts w:ascii="Times New Roman" w:hAnsi="Times New Roman"/>
                <w:sz w:val="24"/>
              </w:rPr>
            </w:pPr>
            <w:r w:rsidRPr="00EB42B0">
              <w:rPr>
                <w:rFonts w:ascii="Times New Roman" w:hAnsi="Times New Roman"/>
                <w:sz w:val="24"/>
              </w:rPr>
              <w:t>UPR I</w:t>
            </w:r>
          </w:p>
        </w:tc>
        <w:tc>
          <w:tcPr>
            <w:tcW w:w="4410" w:type="dxa"/>
            <w:gridSpan w:val="4"/>
          </w:tcPr>
          <w:p w:rsidR="00F83AF1" w:rsidRPr="00EB42B0" w:rsidRDefault="00F83AF1" w:rsidP="00004932">
            <w:pPr>
              <w:pStyle w:val="NoSpacing"/>
              <w:spacing w:line="360" w:lineRule="auto"/>
              <w:jc w:val="center"/>
              <w:rPr>
                <w:rFonts w:ascii="Times New Roman" w:hAnsi="Times New Roman"/>
                <w:sz w:val="24"/>
              </w:rPr>
            </w:pPr>
            <w:r w:rsidRPr="00EB42B0">
              <w:rPr>
                <w:rFonts w:ascii="Times New Roman" w:hAnsi="Times New Roman"/>
                <w:sz w:val="24"/>
              </w:rPr>
              <w:t>UPR II</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Rank</w:t>
            </w:r>
          </w:p>
        </w:tc>
        <w:tc>
          <w:tcPr>
            <w:tcW w:w="1440" w:type="dxa"/>
          </w:tcPr>
          <w:p w:rsidR="00F83AF1" w:rsidRPr="00EB42B0" w:rsidRDefault="00F83AF1" w:rsidP="00004932">
            <w:pPr>
              <w:pStyle w:val="NoSpacing"/>
              <w:tabs>
                <w:tab w:val="left" w:pos="1019"/>
                <w:tab w:val="center" w:pos="1332"/>
              </w:tabs>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Issue</w:t>
            </w:r>
          </w:p>
        </w:tc>
        <w:tc>
          <w:tcPr>
            <w:tcW w:w="108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Total No. of Recom. (UPR I)</w:t>
            </w:r>
          </w:p>
        </w:tc>
        <w:tc>
          <w:tcPr>
            <w:tcW w:w="99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 of 115 Recom. (UPR I)</w:t>
            </w:r>
          </w:p>
        </w:tc>
        <w:tc>
          <w:tcPr>
            <w:tcW w:w="72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Rank</w:t>
            </w:r>
          </w:p>
        </w:tc>
        <w:tc>
          <w:tcPr>
            <w:tcW w:w="1530" w:type="dxa"/>
          </w:tcPr>
          <w:p w:rsidR="00F83AF1" w:rsidRPr="00EB42B0" w:rsidRDefault="00F83AF1" w:rsidP="00004932">
            <w:pPr>
              <w:pStyle w:val="NoSpacing"/>
              <w:tabs>
                <w:tab w:val="left" w:pos="1019"/>
                <w:tab w:val="center" w:pos="1332"/>
              </w:tabs>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Issue</w:t>
            </w:r>
          </w:p>
        </w:tc>
        <w:tc>
          <w:tcPr>
            <w:tcW w:w="108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Total No. of Recom. (UPR II)</w:t>
            </w:r>
          </w:p>
        </w:tc>
        <w:tc>
          <w:tcPr>
            <w:tcW w:w="108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 of 219 Recom. (UPR II)</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Women’s Rights</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24</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20.87</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Rights of the Child</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53</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24.2</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Rights of the Child</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17</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14.78</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Women’s Rights</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46</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21</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3</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Torture and other CID Treatment</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17</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14.78</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3</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International Instruments</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40</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18.26</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Justice and Detention</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17</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4.78</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Death Penalty</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25</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11.42</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5</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International Instruments</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13</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11.3</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5</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Justice and Detention</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25</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11.42</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6</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Death Penalty</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12</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10.43</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6</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Right to Education</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23</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10.5</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7</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Minorities</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8</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6.96</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7</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Torture and other CID Treatment</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20</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9.13</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8</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Human Rights Education and Training</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8</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6.96</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8</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Human Rights Education and Training</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17</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7.76</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9</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Technical Assistance and Cooperation</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8</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6.96</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9</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Right to Health</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17</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6.39</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lastRenderedPageBreak/>
              <w:t>10</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Right to Education</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6</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5.22</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10</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Freedom of religion and Belief</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16</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7.31</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11</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Special Procedures</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5</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4.35</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11</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Sexual Orientation</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10</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4.57</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12</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NHRI</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5</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4.35</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12</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Disability</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10</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4.57</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13</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Extra-judicial Killing</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5</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4.35</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13</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Minorities</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8</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3.65</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14</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Corruption</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3.48</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14</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Trafficking</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7</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3.2</w:t>
            </w:r>
          </w:p>
        </w:tc>
      </w:tr>
      <w:tr w:rsidR="00EB42B0" w:rsidRPr="00EB42B0" w:rsidTr="00004932">
        <w:tblPrEx>
          <w:tblLook w:val="04A0" w:firstRow="1" w:lastRow="0" w:firstColumn="1" w:lastColumn="0" w:noHBand="0" w:noVBand="1"/>
        </w:tblPrEx>
        <w:tc>
          <w:tcPr>
            <w:tcW w:w="648"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15</w:t>
            </w:r>
          </w:p>
        </w:tc>
        <w:tc>
          <w:tcPr>
            <w:tcW w:w="144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Right to Health</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4</w:t>
            </w:r>
          </w:p>
        </w:tc>
        <w:tc>
          <w:tcPr>
            <w:tcW w:w="99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3.48</w:t>
            </w:r>
          </w:p>
        </w:tc>
        <w:tc>
          <w:tcPr>
            <w:tcW w:w="72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15</w:t>
            </w:r>
          </w:p>
        </w:tc>
        <w:tc>
          <w:tcPr>
            <w:tcW w:w="1530" w:type="dxa"/>
          </w:tcPr>
          <w:p w:rsidR="00F83AF1" w:rsidRPr="00EB42B0" w:rsidRDefault="00F83AF1" w:rsidP="00004932">
            <w:pPr>
              <w:pStyle w:val="NoSpacing"/>
              <w:spacing w:before="100" w:beforeAutospacing="1" w:after="100" w:afterAutospacing="1" w:line="276" w:lineRule="auto"/>
              <w:jc w:val="center"/>
              <w:rPr>
                <w:rFonts w:ascii="Times New Roman" w:hAnsi="Times New Roman"/>
                <w:sz w:val="20"/>
                <w:szCs w:val="20"/>
              </w:rPr>
            </w:pPr>
            <w:r w:rsidRPr="00EB42B0">
              <w:rPr>
                <w:rFonts w:ascii="Times New Roman" w:hAnsi="Times New Roman"/>
                <w:sz w:val="20"/>
                <w:szCs w:val="20"/>
              </w:rPr>
              <w:t>Violations by State Agents</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6</w:t>
            </w:r>
          </w:p>
        </w:tc>
        <w:tc>
          <w:tcPr>
            <w:tcW w:w="1080" w:type="dxa"/>
          </w:tcPr>
          <w:p w:rsidR="00F83AF1" w:rsidRPr="00EB42B0" w:rsidRDefault="00F83AF1" w:rsidP="00004932">
            <w:pPr>
              <w:pStyle w:val="NoSpacing"/>
              <w:spacing w:before="100" w:beforeAutospacing="1" w:after="100" w:afterAutospacing="1" w:line="276" w:lineRule="auto"/>
              <w:jc w:val="both"/>
              <w:rPr>
                <w:rFonts w:ascii="Times New Roman" w:hAnsi="Times New Roman"/>
                <w:sz w:val="20"/>
                <w:szCs w:val="20"/>
              </w:rPr>
            </w:pPr>
            <w:r w:rsidRPr="00EB42B0">
              <w:rPr>
                <w:rFonts w:ascii="Times New Roman" w:hAnsi="Times New Roman"/>
                <w:sz w:val="20"/>
                <w:szCs w:val="20"/>
              </w:rPr>
              <w:t>2.74</w:t>
            </w:r>
          </w:p>
        </w:tc>
      </w:tr>
    </w:tbl>
    <w:p w:rsidR="00F83AF1" w:rsidRPr="00EB42B0" w:rsidRDefault="00F83AF1" w:rsidP="00F83AF1">
      <w:pPr>
        <w:pStyle w:val="NoSpacing"/>
        <w:spacing w:before="100" w:beforeAutospacing="1" w:after="100" w:afterAutospacing="1" w:line="360" w:lineRule="auto"/>
        <w:jc w:val="both"/>
        <w:rPr>
          <w:rFonts w:ascii="Times New Roman" w:hAnsi="Times New Roman"/>
          <w:sz w:val="24"/>
        </w:rPr>
      </w:pPr>
      <w:r w:rsidRPr="00EB42B0">
        <w:rPr>
          <w:rFonts w:ascii="Times New Roman" w:hAnsi="Times New Roman"/>
          <w:sz w:val="24"/>
        </w:rPr>
        <w:t>As indicated on the table above, the three issues which came up prominently during the UPR I of Nigeria were women’s rights, the rights of the child and torture and other cruel, inhumane and degrading treatment. None of these recommendations were rejected by Nigeria. The NGO UPR I Coalition of Nigeria prioritised similar recommendations including women and children rights, torture and extra-judicial execution.</w:t>
      </w:r>
      <w:r w:rsidRPr="00EB42B0">
        <w:rPr>
          <w:rStyle w:val="FootnoteReference"/>
          <w:rFonts w:ascii="Times New Roman" w:hAnsi="Times New Roman"/>
          <w:sz w:val="24"/>
        </w:rPr>
        <w:footnoteReference w:id="39"/>
      </w:r>
      <w:r w:rsidRPr="00EB42B0">
        <w:rPr>
          <w:rFonts w:ascii="Times New Roman" w:hAnsi="Times New Roman"/>
          <w:sz w:val="24"/>
        </w:rPr>
        <w:t xml:space="preserve"> During UPR II, women and children’s rights were predominant recommendations by states to Nigeria as indicated on </w:t>
      </w:r>
      <w:r w:rsidR="00A47AB8" w:rsidRPr="00EB42B0">
        <w:rPr>
          <w:rFonts w:ascii="Times New Roman" w:hAnsi="Times New Roman"/>
          <w:sz w:val="24"/>
        </w:rPr>
        <w:t xml:space="preserve">Table </w:t>
      </w:r>
      <w:r w:rsidRPr="00EB42B0">
        <w:rPr>
          <w:rFonts w:ascii="Times New Roman" w:hAnsi="Times New Roman"/>
          <w:sz w:val="24"/>
        </w:rPr>
        <w:t>1, as well as by NGOs.</w:t>
      </w:r>
      <w:r w:rsidRPr="00EB42B0">
        <w:rPr>
          <w:rStyle w:val="FootnoteReference"/>
          <w:rFonts w:ascii="Times New Roman" w:hAnsi="Times New Roman"/>
          <w:sz w:val="24"/>
        </w:rPr>
        <w:footnoteReference w:id="40"/>
      </w:r>
      <w:r w:rsidRPr="00EB42B0">
        <w:rPr>
          <w:rFonts w:ascii="Times New Roman" w:hAnsi="Times New Roman"/>
          <w:sz w:val="24"/>
        </w:rPr>
        <w:t xml:space="preserve"> The government was receptive to recommendations on these prominent issues that arose during UPR I and II, and by engaging with the recommendations of its peers, the state may be indirectly engaging with NGO recommendations. It accepted recommendations such as to</w:t>
      </w:r>
      <w:r w:rsidR="00683789" w:rsidRPr="00EB42B0">
        <w:rPr>
          <w:rFonts w:ascii="Times New Roman" w:hAnsi="Times New Roman"/>
          <w:sz w:val="24"/>
        </w:rPr>
        <w:t xml:space="preserve"> “</w:t>
      </w:r>
      <w:r w:rsidRPr="00EB42B0">
        <w:rPr>
          <w:rFonts w:ascii="Times New Roman" w:hAnsi="Times New Roman"/>
          <w:sz w:val="24"/>
        </w:rPr>
        <w:t>[c]riminalize torture and establish an independent monitor</w:t>
      </w:r>
      <w:r w:rsidR="00683789" w:rsidRPr="00EB42B0">
        <w:rPr>
          <w:rFonts w:ascii="Times New Roman" w:hAnsi="Times New Roman"/>
          <w:sz w:val="24"/>
        </w:rPr>
        <w:t>ing system of detention places,” “</w:t>
      </w:r>
      <w:r w:rsidRPr="00EB42B0">
        <w:rPr>
          <w:rFonts w:ascii="Times New Roman" w:hAnsi="Times New Roman"/>
          <w:sz w:val="24"/>
        </w:rPr>
        <w:t>[e]na</w:t>
      </w:r>
      <w:r w:rsidR="00683789" w:rsidRPr="00EB42B0">
        <w:rPr>
          <w:rFonts w:ascii="Times New Roman" w:hAnsi="Times New Roman"/>
          <w:sz w:val="24"/>
        </w:rPr>
        <w:t>ct legislation to prohibit FGM,” “</w:t>
      </w:r>
      <w:r w:rsidRPr="00EB42B0">
        <w:rPr>
          <w:rFonts w:ascii="Times New Roman" w:hAnsi="Times New Roman"/>
          <w:sz w:val="24"/>
        </w:rPr>
        <w:t>Fully implement its national action plan... to meaningfully involve women in peace process and to combat gender-based viole</w:t>
      </w:r>
      <w:r w:rsidR="00683789" w:rsidRPr="00EB42B0">
        <w:rPr>
          <w:rFonts w:ascii="Times New Roman" w:hAnsi="Times New Roman"/>
          <w:sz w:val="24"/>
        </w:rPr>
        <w:t>nce and discrimination” and “</w:t>
      </w:r>
      <w:r w:rsidRPr="00EB42B0">
        <w:rPr>
          <w:rFonts w:ascii="Times New Roman" w:hAnsi="Times New Roman"/>
          <w:sz w:val="24"/>
        </w:rPr>
        <w:t>[s]ign and ratify the Optional Protocol to the ICESCR and the Optional Protocol to the Convention on the Rights of the Child</w:t>
      </w:r>
      <w:r w:rsidR="00683789" w:rsidRPr="00EB42B0">
        <w:rPr>
          <w:rFonts w:ascii="Times New Roman" w:hAnsi="Times New Roman"/>
          <w:sz w:val="24"/>
        </w:rPr>
        <w:t xml:space="preserve"> on a communications procedure”.</w:t>
      </w:r>
      <w:bookmarkStart w:id="7" w:name="_Ref503702718"/>
      <w:r w:rsidRPr="00EB42B0">
        <w:rPr>
          <w:rStyle w:val="FootnoteReference"/>
          <w:rFonts w:ascii="Times New Roman" w:hAnsi="Times New Roman"/>
          <w:sz w:val="24"/>
        </w:rPr>
        <w:footnoteReference w:id="41"/>
      </w:r>
      <w:bookmarkEnd w:id="7"/>
      <w:r w:rsidRPr="00EB42B0">
        <w:rPr>
          <w:rFonts w:ascii="Times New Roman" w:hAnsi="Times New Roman"/>
          <w:sz w:val="24"/>
        </w:rPr>
        <w:t xml:space="preserve"> Such an outcome shows</w:t>
      </w:r>
      <w:r w:rsidR="00683789" w:rsidRPr="00EB42B0">
        <w:rPr>
          <w:rFonts w:ascii="Times New Roman" w:hAnsi="Times New Roman"/>
          <w:sz w:val="24"/>
        </w:rPr>
        <w:t xml:space="preserve"> the state is</w:t>
      </w:r>
      <w:r w:rsidRPr="00EB42B0">
        <w:rPr>
          <w:rFonts w:ascii="Times New Roman" w:hAnsi="Times New Roman"/>
          <w:sz w:val="24"/>
        </w:rPr>
        <w:t xml:space="preserve"> willing to rethink their policies and consider adopting international human rights treaties as a result of constructive dialogue and their participation in a cooperative mechanism, but also depending on whether the outcome was followed up.</w:t>
      </w:r>
    </w:p>
    <w:p w:rsidR="00F83AF1" w:rsidRPr="00EB42B0" w:rsidRDefault="00F83AF1" w:rsidP="00F83AF1">
      <w:pPr>
        <w:pStyle w:val="NoSpacing"/>
        <w:spacing w:before="100" w:beforeAutospacing="1" w:after="100" w:afterAutospacing="1" w:line="360" w:lineRule="auto"/>
        <w:jc w:val="both"/>
        <w:rPr>
          <w:rFonts w:ascii="Times New Roman" w:hAnsi="Times New Roman"/>
          <w:sz w:val="24"/>
        </w:rPr>
      </w:pPr>
      <w:r w:rsidRPr="00EB42B0">
        <w:rPr>
          <w:rFonts w:ascii="Times New Roman" w:hAnsi="Times New Roman"/>
          <w:sz w:val="24"/>
        </w:rPr>
        <w:lastRenderedPageBreak/>
        <w:t>While sexual orientation did not feature among the top 15 issues raised during the review of Nigeria, the death penalty came up among the top six issues raised during both cycles of Nigeria’s review. Recommendations on the death penalty represented about 10% of the total recommendations made during UPR I and about 11% of the recommendations made during UPR II. This underlines the importance of the death penalty in the review of Nigeria which has across both reviews gained more prominence (from 6</w:t>
      </w:r>
      <w:r w:rsidRPr="00EB42B0">
        <w:rPr>
          <w:rFonts w:ascii="Times New Roman" w:hAnsi="Times New Roman"/>
          <w:sz w:val="24"/>
          <w:vertAlign w:val="superscript"/>
        </w:rPr>
        <w:t>th</w:t>
      </w:r>
      <w:r w:rsidRPr="00EB42B0">
        <w:rPr>
          <w:rFonts w:ascii="Times New Roman" w:hAnsi="Times New Roman"/>
          <w:sz w:val="24"/>
        </w:rPr>
        <w:t xml:space="preserve"> to 4</w:t>
      </w:r>
      <w:r w:rsidRPr="00EB42B0">
        <w:rPr>
          <w:rFonts w:ascii="Times New Roman" w:hAnsi="Times New Roman"/>
          <w:sz w:val="24"/>
          <w:vertAlign w:val="superscript"/>
        </w:rPr>
        <w:t>th</w:t>
      </w:r>
      <w:r w:rsidRPr="00EB42B0">
        <w:rPr>
          <w:rFonts w:ascii="Times New Roman" w:hAnsi="Times New Roman"/>
          <w:sz w:val="24"/>
        </w:rPr>
        <w:t xml:space="preserve"> position). The Nigerian UPR delegation rejected all the recommendations during UPR I and II which directly called for the abolition of the death penalty except the UPR I recommendations by Argentina and Benin that Nigeria considers the possibility of abolishing the death penalty </w:t>
      </w:r>
      <w:proofErr w:type="gramStart"/>
      <w:r w:rsidRPr="00EB42B0">
        <w:rPr>
          <w:rFonts w:ascii="Times New Roman" w:hAnsi="Times New Roman"/>
          <w:sz w:val="24"/>
        </w:rPr>
        <w:t>in the near future</w:t>
      </w:r>
      <w:proofErr w:type="gramEnd"/>
      <w:r w:rsidRPr="00EB42B0">
        <w:rPr>
          <w:rFonts w:ascii="Times New Roman" w:hAnsi="Times New Roman"/>
          <w:sz w:val="24"/>
        </w:rPr>
        <w:t>.</w:t>
      </w:r>
      <w:r w:rsidRPr="00EB42B0">
        <w:rPr>
          <w:rStyle w:val="FootnoteReference"/>
          <w:rFonts w:ascii="Times New Roman" w:hAnsi="Times New Roman"/>
          <w:sz w:val="24"/>
        </w:rPr>
        <w:footnoteReference w:id="42"/>
      </w:r>
      <w:r w:rsidRPr="00EB42B0">
        <w:rPr>
          <w:rFonts w:ascii="Times New Roman" w:hAnsi="Times New Roman"/>
          <w:sz w:val="24"/>
        </w:rPr>
        <w:t xml:space="preserve"> This </w:t>
      </w:r>
      <w:r w:rsidR="009111CB" w:rsidRPr="00EB42B0">
        <w:rPr>
          <w:rFonts w:ascii="Times New Roman" w:hAnsi="Times New Roman"/>
          <w:sz w:val="24"/>
        </w:rPr>
        <w:t xml:space="preserve">demonstrates the </w:t>
      </w:r>
      <w:r w:rsidRPr="00EB42B0">
        <w:rPr>
          <w:rFonts w:ascii="Times New Roman" w:hAnsi="Times New Roman"/>
          <w:sz w:val="24"/>
        </w:rPr>
        <w:t xml:space="preserve">limits </w:t>
      </w:r>
      <w:r w:rsidR="009111CB" w:rsidRPr="00EB42B0">
        <w:rPr>
          <w:rFonts w:ascii="Times New Roman" w:hAnsi="Times New Roman"/>
          <w:sz w:val="24"/>
        </w:rPr>
        <w:t xml:space="preserve">of </w:t>
      </w:r>
      <w:r w:rsidRPr="00EB42B0">
        <w:rPr>
          <w:rFonts w:ascii="Times New Roman" w:hAnsi="Times New Roman"/>
          <w:sz w:val="24"/>
        </w:rPr>
        <w:t xml:space="preserve">Nigeria’s receptiveness </w:t>
      </w:r>
      <w:r w:rsidR="009111CB" w:rsidRPr="00EB42B0">
        <w:rPr>
          <w:rFonts w:ascii="Times New Roman" w:hAnsi="Times New Roman"/>
          <w:sz w:val="24"/>
        </w:rPr>
        <w:t xml:space="preserve">to particular </w:t>
      </w:r>
      <w:r w:rsidRPr="00EB42B0">
        <w:rPr>
          <w:rFonts w:ascii="Times New Roman" w:hAnsi="Times New Roman"/>
          <w:sz w:val="24"/>
        </w:rPr>
        <w:t>UPR recommendation.</w:t>
      </w:r>
    </w:p>
    <w:p w:rsidR="00B61587" w:rsidRPr="00EB42B0" w:rsidRDefault="00B61587" w:rsidP="00B61587">
      <w:pPr>
        <w:numPr>
          <w:ilvl w:val="0"/>
          <w:numId w:val="21"/>
        </w:numPr>
        <w:spacing w:line="360" w:lineRule="auto"/>
        <w:ind w:left="426" w:hanging="426"/>
        <w:jc w:val="both"/>
        <w:rPr>
          <w:rFonts w:ascii="Times New Roman" w:hAnsi="Times New Roman"/>
          <w:sz w:val="24"/>
          <w:szCs w:val="24"/>
        </w:rPr>
      </w:pPr>
      <w:r w:rsidRPr="00EB42B0">
        <w:rPr>
          <w:rFonts w:ascii="Times New Roman" w:hAnsi="Times New Roman"/>
          <w:sz w:val="24"/>
          <w:szCs w:val="24"/>
        </w:rPr>
        <w:t>THE EXTENT OF NIGERIA’S IMPLEMENTATION OF UPR RECOMMENDATIONS</w:t>
      </w:r>
    </w:p>
    <w:p w:rsidR="00B61587" w:rsidRPr="00EB42B0" w:rsidRDefault="00B61587" w:rsidP="00B61587">
      <w:pPr>
        <w:spacing w:line="360" w:lineRule="auto"/>
        <w:jc w:val="both"/>
        <w:rPr>
          <w:rFonts w:ascii="Times New Roman" w:hAnsi="Times New Roman"/>
          <w:sz w:val="24"/>
          <w:szCs w:val="24"/>
        </w:rPr>
      </w:pPr>
      <w:r w:rsidRPr="00EB42B0">
        <w:rPr>
          <w:rFonts w:ascii="Times New Roman" w:hAnsi="Times New Roman"/>
          <w:sz w:val="24"/>
          <w:szCs w:val="24"/>
        </w:rPr>
        <w:t>This section examines the extent to which Nigeria implemented its UPR commitments and the compliance gap between the accepted and the implemented commitments.</w:t>
      </w:r>
      <w:r w:rsidRPr="00EB42B0">
        <w:rPr>
          <w:rStyle w:val="FootnoteReference"/>
          <w:rFonts w:ascii="Times New Roman" w:hAnsi="Times New Roman"/>
          <w:sz w:val="24"/>
          <w:szCs w:val="24"/>
        </w:rPr>
        <w:footnoteReference w:id="43"/>
      </w:r>
      <w:r w:rsidRPr="00EB42B0">
        <w:rPr>
          <w:rFonts w:ascii="Times New Roman" w:hAnsi="Times New Roman"/>
          <w:sz w:val="24"/>
          <w:szCs w:val="24"/>
        </w:rPr>
        <w:t xml:space="preserve"> It argues that the number of full and partially implemented recommendations underscore the potential of the UPR process to contribute to either fully effect or trigger domestic human rights changes. While the wide decoupling gap between the implemented recommendations and accepted recommendations signals that the government needs to effectively engage with the mechanism, I argue that acculturation can narrow the gap overtime through the internal and external audience effects generated by effective NGO engagement. </w:t>
      </w:r>
    </w:p>
    <w:p w:rsidR="00B61587" w:rsidRPr="00EB42B0" w:rsidRDefault="00B61587" w:rsidP="00B61587">
      <w:pPr>
        <w:numPr>
          <w:ilvl w:val="1"/>
          <w:numId w:val="21"/>
        </w:numPr>
        <w:spacing w:line="360" w:lineRule="auto"/>
        <w:jc w:val="both"/>
        <w:rPr>
          <w:rFonts w:ascii="Times New Roman" w:hAnsi="Times New Roman"/>
          <w:b/>
          <w:sz w:val="24"/>
          <w:szCs w:val="24"/>
        </w:rPr>
      </w:pPr>
      <w:r w:rsidRPr="00EB42B0">
        <w:rPr>
          <w:rFonts w:ascii="Times New Roman" w:hAnsi="Times New Roman"/>
          <w:b/>
          <w:sz w:val="24"/>
          <w:szCs w:val="24"/>
        </w:rPr>
        <w:t>How Implementation was Measured</w:t>
      </w:r>
    </w:p>
    <w:p w:rsidR="00B61587" w:rsidRPr="00EB42B0" w:rsidRDefault="00B61587" w:rsidP="00B61587">
      <w:pPr>
        <w:spacing w:line="360" w:lineRule="auto"/>
        <w:jc w:val="both"/>
        <w:rPr>
          <w:rFonts w:ascii="Times New Roman" w:hAnsi="Times New Roman"/>
          <w:sz w:val="24"/>
          <w:szCs w:val="24"/>
        </w:rPr>
      </w:pPr>
      <w:r w:rsidRPr="00EB42B0">
        <w:rPr>
          <w:rFonts w:ascii="Times New Roman" w:hAnsi="Times New Roman"/>
          <w:sz w:val="24"/>
          <w:szCs w:val="24"/>
        </w:rPr>
        <w:t>A coalition of 39 domestic NGOs known as Human Rights Agenda Network (HRAN) provided responses on each of the recommendations in their report.</w:t>
      </w:r>
      <w:r w:rsidRPr="00EB42B0">
        <w:rPr>
          <w:rFonts w:ascii="Times New Roman" w:hAnsi="Times New Roman"/>
          <w:sz w:val="24"/>
          <w:szCs w:val="24"/>
          <w:vertAlign w:val="superscript"/>
        </w:rPr>
        <w:footnoteReference w:id="44"/>
      </w:r>
      <w:r w:rsidRPr="00EB42B0">
        <w:rPr>
          <w:rFonts w:ascii="Times New Roman" w:hAnsi="Times New Roman"/>
          <w:sz w:val="24"/>
          <w:szCs w:val="24"/>
        </w:rPr>
        <w:t xml:space="preserve"> The Nigerian National Commission for Human Rights (NCHR) also provided commentary on the Nigeria’s UPR I recommendations and the extent of state compliance.</w:t>
      </w:r>
      <w:r w:rsidRPr="00EB42B0">
        <w:rPr>
          <w:rFonts w:ascii="Times New Roman" w:hAnsi="Times New Roman"/>
          <w:sz w:val="24"/>
          <w:szCs w:val="24"/>
          <w:vertAlign w:val="superscript"/>
        </w:rPr>
        <w:footnoteReference w:id="45"/>
      </w:r>
      <w:r w:rsidRPr="00EB42B0">
        <w:rPr>
          <w:rFonts w:ascii="Times New Roman" w:hAnsi="Times New Roman"/>
          <w:sz w:val="24"/>
          <w:szCs w:val="24"/>
        </w:rPr>
        <w:t xml:space="preserve"> Amnesty International (AI), Commonwealth Human Rights Initiative (CHRI), Centre for Reproductive Rights (CRR), BAOBAB for Women’s Human Rights (BWHR) and Cleen Foundation (CF) also provided </w:t>
      </w:r>
      <w:r w:rsidRPr="00EB42B0">
        <w:rPr>
          <w:rFonts w:ascii="Times New Roman" w:hAnsi="Times New Roman"/>
          <w:sz w:val="24"/>
          <w:szCs w:val="24"/>
        </w:rPr>
        <w:lastRenderedPageBreak/>
        <w:t>relevant useful responses to UPR Info which will be used here. The responses of the Nigeria government were extracted from its UPR II national report which commented on the extent of their implementation of UPR I recommendations.</w:t>
      </w:r>
    </w:p>
    <w:p w:rsidR="00B61587" w:rsidRPr="00EB42B0" w:rsidRDefault="00FA3A58" w:rsidP="00B61587">
      <w:pPr>
        <w:spacing w:line="360" w:lineRule="auto"/>
        <w:jc w:val="both"/>
        <w:rPr>
          <w:rFonts w:ascii="Times New Roman" w:hAnsi="Times New Roman"/>
          <w:sz w:val="24"/>
          <w:szCs w:val="24"/>
        </w:rPr>
      </w:pPr>
      <w:r w:rsidRPr="00EB42B0">
        <w:rPr>
          <w:rFonts w:ascii="Times New Roman" w:hAnsi="Times New Roman"/>
          <w:sz w:val="24"/>
          <w:szCs w:val="24"/>
        </w:rPr>
        <w:t xml:space="preserve">I use the </w:t>
      </w:r>
      <w:r w:rsidRPr="00EB42B0">
        <w:rPr>
          <w:rFonts w:ascii="Times New Roman" w:hAnsi="Times New Roman"/>
          <w:i/>
          <w:sz w:val="24"/>
          <w:szCs w:val="24"/>
        </w:rPr>
        <w:t>Implementation Recommendation Index</w:t>
      </w:r>
      <w:r w:rsidRPr="00EB42B0">
        <w:rPr>
          <w:rFonts w:ascii="Times New Roman" w:hAnsi="Times New Roman"/>
          <w:sz w:val="24"/>
          <w:szCs w:val="24"/>
        </w:rPr>
        <w:t xml:space="preserve"> (IRI) to measure Nigeria’s implementation of its UPR I recommendations. </w:t>
      </w:r>
      <w:r w:rsidR="002F36A8" w:rsidRPr="00EB42B0">
        <w:rPr>
          <w:rFonts w:ascii="Times New Roman" w:hAnsi="Times New Roman"/>
          <w:sz w:val="24"/>
          <w:szCs w:val="24"/>
        </w:rPr>
        <w:t>The IRI is an index developed by UPR Info which brings together an average of stakeholders</w:t>
      </w:r>
      <w:r w:rsidR="001A57FA" w:rsidRPr="00EB42B0">
        <w:rPr>
          <w:rFonts w:ascii="Times New Roman" w:hAnsi="Times New Roman"/>
          <w:sz w:val="24"/>
          <w:szCs w:val="24"/>
        </w:rPr>
        <w:t>’</w:t>
      </w:r>
      <w:r w:rsidR="002F36A8" w:rsidRPr="00EB42B0">
        <w:rPr>
          <w:rFonts w:ascii="Times New Roman" w:hAnsi="Times New Roman"/>
          <w:sz w:val="24"/>
          <w:szCs w:val="24"/>
        </w:rPr>
        <w:t xml:space="preserve"> responses. It shows the implementation level of states for recommendations that were received by the state during the UPR review. The value of this index is that it takes in to account stakeholders</w:t>
      </w:r>
      <w:r w:rsidR="00131AFB" w:rsidRPr="00EB42B0">
        <w:rPr>
          <w:rFonts w:ascii="Times New Roman" w:hAnsi="Times New Roman"/>
          <w:sz w:val="24"/>
          <w:szCs w:val="24"/>
        </w:rPr>
        <w:t>’</w:t>
      </w:r>
      <w:r w:rsidR="002F36A8" w:rsidRPr="00EB42B0">
        <w:rPr>
          <w:rFonts w:ascii="Times New Roman" w:hAnsi="Times New Roman"/>
          <w:sz w:val="24"/>
          <w:szCs w:val="24"/>
        </w:rPr>
        <w:t xml:space="preserve"> responses and any dispute which they may have over the implementation of a recommendation. Implementation is not binary. This index captures three stages of implementation. When all stakeholders agree that a recommendation was fully implemented the recommendation is scored 1. Whenever a stakeholder claimed that no aspect of a recommendation was been implemented, the index score is 0. The score is 0.75 when the state under review claims that the recommendation has been fully implemented but a stakeholder says it has only been partially implemented.  In some cases, partial implementation of a recommendation was indicative that an action was started by the state such as introducing a bill but the final action, enacting a law, was not realised. The average of the scores is then transformed into an implementation level where 0-0.32 = Not Implemented, 0.33-0.65 = Partially Implemented and 0.66-1 = Fully Implemented.</w:t>
      </w:r>
    </w:p>
    <w:p w:rsidR="00B61587" w:rsidRPr="00EB42B0" w:rsidRDefault="00B61587" w:rsidP="00B61587">
      <w:pPr>
        <w:spacing w:line="360" w:lineRule="auto"/>
        <w:jc w:val="both"/>
        <w:rPr>
          <w:rFonts w:ascii="Times New Roman" w:hAnsi="Times New Roman"/>
          <w:sz w:val="24"/>
          <w:szCs w:val="24"/>
        </w:rPr>
      </w:pPr>
      <w:r w:rsidRPr="00EB42B0">
        <w:rPr>
          <w:rFonts w:ascii="Times New Roman" w:hAnsi="Times New Roman"/>
          <w:sz w:val="24"/>
          <w:szCs w:val="24"/>
        </w:rPr>
        <w:t xml:space="preserve">A major challenge in measuring state UPR implementation is that the UPR is a dynamic and on-going process. As such recommendations which this index may classify as implemented or not implemented may have subsequently changed. To control the changes which may subsequently occur, the implementation measured is restricted within the implementation time frame allocated for each review. Another major difficulty encountered in indexing the implementation level of Nigeria’s UPR I recommendations was the fact that a recommendation sometimes embodied more than 1 recommendations. As such the full implementation of one recommendation but not the other resulted in a partial implementation level. The implementation time for Nigeria to implement its UPR I recommendations ran from February 2009 when the UPR working group adopted its UPR report till July 2013 when it submitted its UPR II report. </w:t>
      </w:r>
    </w:p>
    <w:p w:rsidR="00B61587" w:rsidRPr="00EB42B0" w:rsidRDefault="00B61587" w:rsidP="00B61587">
      <w:pPr>
        <w:spacing w:line="360" w:lineRule="auto"/>
        <w:jc w:val="both"/>
        <w:rPr>
          <w:rFonts w:ascii="Times New Roman" w:hAnsi="Times New Roman"/>
          <w:sz w:val="24"/>
        </w:rPr>
      </w:pPr>
      <w:r w:rsidRPr="00EB42B0">
        <w:rPr>
          <w:rFonts w:ascii="Times New Roman" w:hAnsi="Times New Roman"/>
          <w:sz w:val="24"/>
          <w:szCs w:val="24"/>
        </w:rPr>
        <w:t xml:space="preserve">In addition, </w:t>
      </w:r>
      <w:r w:rsidRPr="00EB42B0">
        <w:rPr>
          <w:rFonts w:ascii="Times New Roman" w:hAnsi="Times New Roman"/>
          <w:sz w:val="24"/>
        </w:rPr>
        <w:t xml:space="preserve">this research is aware of the difficulty attempting to establish a precise causal link between UPR recommendations and the actions of states. This is difficult due </w:t>
      </w:r>
      <w:r w:rsidR="00131AFB" w:rsidRPr="00EB42B0">
        <w:rPr>
          <w:rFonts w:ascii="Times New Roman" w:hAnsi="Times New Roman"/>
          <w:sz w:val="24"/>
        </w:rPr>
        <w:t>since</w:t>
      </w:r>
      <w:r w:rsidRPr="00EB42B0">
        <w:rPr>
          <w:rFonts w:ascii="Times New Roman" w:hAnsi="Times New Roman"/>
          <w:sz w:val="24"/>
        </w:rPr>
        <w:t xml:space="preserve"> changes in the human rights practices of states can be motivated by multiple factors. However, the </w:t>
      </w:r>
      <w:r w:rsidRPr="00EB42B0">
        <w:rPr>
          <w:rFonts w:ascii="Times New Roman" w:hAnsi="Times New Roman"/>
          <w:sz w:val="24"/>
        </w:rPr>
        <w:lastRenderedPageBreak/>
        <w:t>influence of the UPR recommendations is measurable with some confidence by analysing both state and NGO implementation reports to determine the extent to which the UPR contributed to human rights change within states. Other relevant studies on the UPR accept and use similar methodology.</w:t>
      </w:r>
      <w:r w:rsidRPr="00EB42B0">
        <w:rPr>
          <w:rStyle w:val="FootnoteReference"/>
          <w:rFonts w:ascii="Times New Roman" w:hAnsi="Times New Roman"/>
          <w:sz w:val="24"/>
        </w:rPr>
        <w:footnoteReference w:id="46"/>
      </w:r>
    </w:p>
    <w:p w:rsidR="00B61587" w:rsidRPr="00EB42B0" w:rsidRDefault="00B61587" w:rsidP="00B61587">
      <w:pPr>
        <w:numPr>
          <w:ilvl w:val="1"/>
          <w:numId w:val="21"/>
        </w:numPr>
        <w:spacing w:line="360" w:lineRule="auto"/>
        <w:jc w:val="both"/>
        <w:rPr>
          <w:rFonts w:ascii="Times New Roman" w:hAnsi="Times New Roman"/>
          <w:b/>
          <w:sz w:val="24"/>
          <w:szCs w:val="24"/>
        </w:rPr>
      </w:pPr>
      <w:r w:rsidRPr="00EB42B0">
        <w:rPr>
          <w:rFonts w:ascii="Times New Roman" w:hAnsi="Times New Roman"/>
          <w:b/>
          <w:sz w:val="24"/>
          <w:szCs w:val="24"/>
        </w:rPr>
        <w:t>Extent of Implementation</w:t>
      </w:r>
    </w:p>
    <w:p w:rsidR="00B61587" w:rsidRPr="00EB42B0" w:rsidRDefault="00B61587" w:rsidP="00B61587">
      <w:pPr>
        <w:spacing w:line="360" w:lineRule="auto"/>
        <w:jc w:val="both"/>
        <w:rPr>
          <w:rFonts w:ascii="Times New Roman" w:hAnsi="Times New Roman"/>
          <w:sz w:val="24"/>
          <w:szCs w:val="24"/>
        </w:rPr>
      </w:pPr>
      <w:r w:rsidRPr="00EB42B0">
        <w:rPr>
          <w:rFonts w:ascii="Times New Roman" w:hAnsi="Times New Roman"/>
          <w:sz w:val="24"/>
          <w:szCs w:val="24"/>
        </w:rPr>
        <w:t>Within the implementation period Nigeria, implemented either fully or partially about 43% of the commitment made during its UPR I. With regard to the pledges and commitments it made to the HRC, Nigeria fulfilled some of them. From among the stakeholders, only the National Human Rights Commission (NHRC) in its UPR II report</w:t>
      </w:r>
      <w:bookmarkStart w:id="8" w:name="_Ref503702562"/>
      <w:r w:rsidRPr="00EB42B0">
        <w:rPr>
          <w:rStyle w:val="FootnoteReference"/>
          <w:rFonts w:ascii="Times New Roman" w:hAnsi="Times New Roman"/>
          <w:sz w:val="24"/>
          <w:szCs w:val="24"/>
        </w:rPr>
        <w:footnoteReference w:id="47"/>
      </w:r>
      <w:bookmarkEnd w:id="8"/>
      <w:r w:rsidRPr="00EB42B0">
        <w:rPr>
          <w:rFonts w:ascii="Times New Roman" w:hAnsi="Times New Roman"/>
          <w:sz w:val="24"/>
          <w:szCs w:val="24"/>
        </w:rPr>
        <w:t xml:space="preserve"> directly addressed the level of implementation. However, some of the pledges and commitments made by Nigeria corresponded to some of the recommendations made by states during Nigeria’s UPR I review.</w:t>
      </w:r>
      <w:r w:rsidRPr="00EB42B0">
        <w:rPr>
          <w:rStyle w:val="FootnoteReference"/>
          <w:rFonts w:ascii="Times New Roman" w:hAnsi="Times New Roman"/>
          <w:sz w:val="24"/>
          <w:szCs w:val="24"/>
        </w:rPr>
        <w:footnoteReference w:id="48"/>
      </w:r>
      <w:r w:rsidRPr="00EB42B0">
        <w:rPr>
          <w:rFonts w:ascii="Times New Roman" w:hAnsi="Times New Roman"/>
          <w:sz w:val="24"/>
          <w:szCs w:val="24"/>
        </w:rPr>
        <w:t xml:space="preserve"> Other stakeholders indirectly provided responses to the pledges in their reports on Nigeria’s implementation of UPR recommendations. To comply with some of its pledges and commitments, Nigeria ratified the ICRMW; deposited its National Action Plan (NAP) which amended the National Human Rights Commission Act to grant the NHRC independence, investigative and enforcement powers; and diplomatically intervened to restore peace and democracy in Guinea, Guinea Bissau and Mali.</w:t>
      </w:r>
      <w:r w:rsidRPr="00EB42B0">
        <w:rPr>
          <w:rStyle w:val="FootnoteReference"/>
          <w:rFonts w:ascii="Times New Roman" w:hAnsi="Times New Roman"/>
          <w:sz w:val="24"/>
          <w:szCs w:val="24"/>
        </w:rPr>
        <w:footnoteReference w:id="49"/>
      </w:r>
    </w:p>
    <w:p w:rsidR="00B61587" w:rsidRPr="00EB42B0" w:rsidRDefault="00B61587" w:rsidP="00B61587">
      <w:pPr>
        <w:spacing w:line="360" w:lineRule="auto"/>
        <w:jc w:val="both"/>
        <w:rPr>
          <w:rFonts w:ascii="Times New Roman" w:hAnsi="Times New Roman"/>
          <w:sz w:val="24"/>
          <w:szCs w:val="24"/>
        </w:rPr>
      </w:pPr>
      <w:r w:rsidRPr="00EB42B0">
        <w:rPr>
          <w:rFonts w:ascii="Times New Roman" w:hAnsi="Times New Roman"/>
          <w:sz w:val="24"/>
          <w:szCs w:val="24"/>
        </w:rPr>
        <w:t>On the UPR recommendations, action</w:t>
      </w:r>
      <w:r w:rsidR="0032758A" w:rsidRPr="00EB42B0">
        <w:rPr>
          <w:rFonts w:ascii="Times New Roman" w:hAnsi="Times New Roman"/>
          <w:sz w:val="24"/>
          <w:szCs w:val="24"/>
        </w:rPr>
        <w:t>s</w:t>
      </w:r>
      <w:r w:rsidRPr="00EB42B0">
        <w:rPr>
          <w:rFonts w:ascii="Times New Roman" w:hAnsi="Times New Roman"/>
          <w:sz w:val="24"/>
          <w:szCs w:val="24"/>
        </w:rPr>
        <w:t xml:space="preserve"> w</w:t>
      </w:r>
      <w:r w:rsidR="0032758A" w:rsidRPr="00EB42B0">
        <w:rPr>
          <w:rFonts w:ascii="Times New Roman" w:hAnsi="Times New Roman"/>
          <w:sz w:val="24"/>
          <w:szCs w:val="24"/>
        </w:rPr>
        <w:t>ere</w:t>
      </w:r>
      <w:r w:rsidRPr="00EB42B0">
        <w:rPr>
          <w:rFonts w:ascii="Times New Roman" w:hAnsi="Times New Roman"/>
          <w:sz w:val="24"/>
          <w:szCs w:val="24"/>
        </w:rPr>
        <w:t xml:space="preserve"> triggered on some at the end of UPR I. Out of a summary of 30 recommendations ac</w:t>
      </w:r>
      <w:r w:rsidR="006D2CE9" w:rsidRPr="00EB42B0">
        <w:rPr>
          <w:rFonts w:ascii="Times New Roman" w:hAnsi="Times New Roman"/>
          <w:sz w:val="24"/>
          <w:szCs w:val="24"/>
        </w:rPr>
        <w:t>cepted by Nigeria, about 10% were</w:t>
      </w:r>
      <w:r w:rsidRPr="00EB42B0">
        <w:rPr>
          <w:rFonts w:ascii="Times New Roman" w:hAnsi="Times New Roman"/>
          <w:sz w:val="24"/>
          <w:szCs w:val="24"/>
        </w:rPr>
        <w:t xml:space="preserve"> </w:t>
      </w:r>
      <w:r w:rsidR="006D2CE9" w:rsidRPr="00EB42B0">
        <w:rPr>
          <w:rFonts w:ascii="Times New Roman" w:hAnsi="Times New Roman"/>
          <w:sz w:val="24"/>
          <w:szCs w:val="24"/>
        </w:rPr>
        <w:t>fully implemented (FI), about 33% were</w:t>
      </w:r>
      <w:r w:rsidRPr="00EB42B0">
        <w:rPr>
          <w:rFonts w:ascii="Times New Roman" w:hAnsi="Times New Roman"/>
          <w:sz w:val="24"/>
          <w:szCs w:val="24"/>
        </w:rPr>
        <w:t xml:space="preserve"> partially implemented (PI), about 53% was not implemented (NI) and </w:t>
      </w:r>
      <w:r w:rsidR="006D197D" w:rsidRPr="00EB42B0">
        <w:rPr>
          <w:rFonts w:ascii="Times New Roman" w:hAnsi="Times New Roman"/>
          <w:sz w:val="24"/>
          <w:szCs w:val="24"/>
        </w:rPr>
        <w:t>about 3% of the recommendations were not assessed because UPR stakeholders did not provide any information in relation to their implementation. Figure 5</w:t>
      </w:r>
      <w:r w:rsidRPr="00EB42B0">
        <w:rPr>
          <w:rFonts w:ascii="Times New Roman" w:hAnsi="Times New Roman"/>
          <w:sz w:val="24"/>
          <w:szCs w:val="24"/>
        </w:rPr>
        <w:t xml:space="preserve"> below represents percentages of the recommendations that were FI, PI and NI.</w:t>
      </w:r>
    </w:p>
    <w:p w:rsidR="00B61587" w:rsidRPr="00EB42B0" w:rsidRDefault="006D2CE9" w:rsidP="00B61587">
      <w:pPr>
        <w:spacing w:line="360" w:lineRule="auto"/>
        <w:jc w:val="center"/>
        <w:rPr>
          <w:rFonts w:ascii="Times New Roman" w:hAnsi="Times New Roman"/>
          <w:sz w:val="24"/>
          <w:szCs w:val="24"/>
        </w:rPr>
      </w:pPr>
      <w:r w:rsidRPr="00EB42B0">
        <w:rPr>
          <w:rFonts w:ascii="Times New Roman" w:hAnsi="Times New Roman"/>
          <w:noProof/>
          <w:sz w:val="24"/>
          <w:szCs w:val="24"/>
          <w:lang w:eastAsia="en-AU"/>
        </w:rPr>
        <w:lastRenderedPageBreak/>
        <w:drawing>
          <wp:inline distT="0" distB="0" distL="0" distR="0" wp14:anchorId="5593D954">
            <wp:extent cx="4584700" cy="3054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3054350"/>
                    </a:xfrm>
                    <a:prstGeom prst="rect">
                      <a:avLst/>
                    </a:prstGeom>
                    <a:noFill/>
                  </pic:spPr>
                </pic:pic>
              </a:graphicData>
            </a:graphic>
          </wp:inline>
        </w:drawing>
      </w:r>
    </w:p>
    <w:p w:rsidR="00AB5CFA" w:rsidRPr="00EB42B0" w:rsidRDefault="00AB5CFA" w:rsidP="00AB5CFA">
      <w:pPr>
        <w:spacing w:line="360" w:lineRule="auto"/>
        <w:jc w:val="both"/>
        <w:rPr>
          <w:rFonts w:ascii="Times New Roman" w:hAnsi="Times New Roman"/>
          <w:sz w:val="24"/>
          <w:szCs w:val="24"/>
        </w:rPr>
      </w:pPr>
      <w:r w:rsidRPr="00EB42B0">
        <w:rPr>
          <w:rFonts w:ascii="Times New Roman" w:hAnsi="Times New Roman"/>
          <w:sz w:val="24"/>
          <w:szCs w:val="24"/>
        </w:rPr>
        <w:t>As indicated above, about 43% of the UPR recommendations Nigeria accepted was either fully or partially implemented while about 53% was not implemented. On the FI recommendations, the state, the NHRC, domestic and some international NGOs agreed on the full implementation of some of these recommendations. For example the state,</w:t>
      </w:r>
      <w:bookmarkStart w:id="9" w:name="_Ref484527631"/>
      <w:r w:rsidRPr="00EB42B0">
        <w:rPr>
          <w:rFonts w:ascii="Times New Roman" w:hAnsi="Times New Roman"/>
          <w:sz w:val="24"/>
          <w:szCs w:val="24"/>
          <w:vertAlign w:val="superscript"/>
        </w:rPr>
        <w:footnoteReference w:id="50"/>
      </w:r>
      <w:bookmarkEnd w:id="9"/>
      <w:r w:rsidRPr="00EB42B0">
        <w:rPr>
          <w:rFonts w:ascii="Times New Roman" w:hAnsi="Times New Roman"/>
          <w:sz w:val="24"/>
          <w:szCs w:val="24"/>
        </w:rPr>
        <w:t xml:space="preserve"> NCHR</w:t>
      </w:r>
      <w:bookmarkStart w:id="10" w:name="_Ref484527548"/>
      <w:r w:rsidRPr="00EB42B0">
        <w:rPr>
          <w:rFonts w:ascii="Times New Roman" w:hAnsi="Times New Roman"/>
          <w:sz w:val="24"/>
          <w:szCs w:val="24"/>
          <w:vertAlign w:val="superscript"/>
        </w:rPr>
        <w:footnoteReference w:id="51"/>
      </w:r>
      <w:bookmarkEnd w:id="10"/>
      <w:r w:rsidRPr="00EB42B0">
        <w:rPr>
          <w:rFonts w:ascii="Times New Roman" w:hAnsi="Times New Roman"/>
          <w:sz w:val="24"/>
          <w:szCs w:val="24"/>
        </w:rPr>
        <w:t xml:space="preserve"> and Amnesty International</w:t>
      </w:r>
      <w:r w:rsidRPr="00EB42B0">
        <w:rPr>
          <w:rFonts w:ascii="Times New Roman" w:hAnsi="Times New Roman"/>
          <w:sz w:val="24"/>
          <w:szCs w:val="24"/>
          <w:vertAlign w:val="superscript"/>
        </w:rPr>
        <w:footnoteReference w:id="52"/>
      </w:r>
      <w:r w:rsidRPr="00EB42B0">
        <w:rPr>
          <w:rFonts w:ascii="Times New Roman" w:hAnsi="Times New Roman"/>
          <w:sz w:val="24"/>
          <w:szCs w:val="24"/>
        </w:rPr>
        <w:t xml:space="preserve"> were in agreement that recommendation 4 relating to the amendment of the Human Rights Commission Act to grant the NHRC independence, investigative and enforcement powers had been fully implemented. This greatly contributed to the Commission attaining an </w:t>
      </w:r>
      <w:r w:rsidRPr="00EB42B0">
        <w:rPr>
          <w:rFonts w:ascii="Times New Roman" w:hAnsi="Times New Roman"/>
          <w:sz w:val="24"/>
          <w:szCs w:val="24"/>
          <w:lang w:val="x-none"/>
        </w:rPr>
        <w:t>‘A’ status at the International Coordinating Committee of Human Rights</w:t>
      </w:r>
      <w:r w:rsidRPr="00EB42B0">
        <w:rPr>
          <w:rFonts w:ascii="Times New Roman" w:hAnsi="Times New Roman"/>
          <w:sz w:val="24"/>
          <w:szCs w:val="24"/>
          <w:lang w:val="en-US"/>
        </w:rPr>
        <w:t xml:space="preserve"> a year after</w:t>
      </w:r>
      <w:r w:rsidRPr="00EB42B0">
        <w:rPr>
          <w:rFonts w:ascii="Times New Roman" w:hAnsi="Times New Roman"/>
          <w:sz w:val="24"/>
          <w:szCs w:val="24"/>
          <w:lang w:val="x-none"/>
        </w:rPr>
        <w:t xml:space="preserve">. </w:t>
      </w:r>
      <w:r w:rsidRPr="00EB42B0">
        <w:rPr>
          <w:rFonts w:ascii="Times New Roman" w:hAnsi="Times New Roman"/>
          <w:sz w:val="24"/>
          <w:szCs w:val="24"/>
        </w:rPr>
        <w:t>Similarly</w:t>
      </w:r>
      <w:r w:rsidR="0097273F" w:rsidRPr="00EB42B0">
        <w:rPr>
          <w:rFonts w:ascii="Times New Roman" w:hAnsi="Times New Roman"/>
          <w:sz w:val="24"/>
          <w:szCs w:val="24"/>
        </w:rPr>
        <w:t>,</w:t>
      </w:r>
      <w:r w:rsidRPr="00EB42B0">
        <w:rPr>
          <w:rFonts w:ascii="Times New Roman" w:hAnsi="Times New Roman"/>
          <w:sz w:val="24"/>
          <w:szCs w:val="24"/>
        </w:rPr>
        <w:t xml:space="preserve"> the response of Human Rights Agenda Network (HRAN), a leading domestic NGO,</w:t>
      </w:r>
      <w:bookmarkStart w:id="11" w:name="_Ref484527679"/>
      <w:r w:rsidRPr="00EB42B0">
        <w:rPr>
          <w:rFonts w:ascii="Times New Roman" w:hAnsi="Times New Roman"/>
          <w:sz w:val="24"/>
          <w:szCs w:val="24"/>
          <w:vertAlign w:val="superscript"/>
        </w:rPr>
        <w:footnoteReference w:id="53"/>
      </w:r>
      <w:bookmarkEnd w:id="11"/>
      <w:r w:rsidRPr="00EB42B0">
        <w:rPr>
          <w:rFonts w:ascii="Times New Roman" w:hAnsi="Times New Roman"/>
          <w:sz w:val="24"/>
          <w:szCs w:val="24"/>
        </w:rPr>
        <w:t xml:space="preserve"> did not dispute that the government had continued to invest in education within the relevant time. As such the recommendation in this regard was fully implemented.</w:t>
      </w:r>
    </w:p>
    <w:p w:rsidR="00AB5CFA" w:rsidRPr="00EB42B0" w:rsidRDefault="00AB5CFA" w:rsidP="00AB5CFA">
      <w:pPr>
        <w:spacing w:line="360" w:lineRule="auto"/>
        <w:jc w:val="both"/>
        <w:rPr>
          <w:rFonts w:ascii="Times New Roman" w:hAnsi="Times New Roman"/>
          <w:sz w:val="24"/>
          <w:szCs w:val="24"/>
        </w:rPr>
      </w:pPr>
      <w:r w:rsidRPr="00EB42B0">
        <w:rPr>
          <w:rFonts w:ascii="Times New Roman" w:hAnsi="Times New Roman"/>
          <w:sz w:val="24"/>
          <w:szCs w:val="24"/>
        </w:rPr>
        <w:t>On the partially implemented recommendations, the government of Nigeria had triggered the process of implementation on some of the recommendations even though not yet completed. In some of the recommendations, both the state and the stakeholders agree</w:t>
      </w:r>
      <w:r w:rsidR="00D141BB" w:rsidRPr="00EB42B0">
        <w:rPr>
          <w:rFonts w:ascii="Times New Roman" w:hAnsi="Times New Roman"/>
          <w:sz w:val="24"/>
          <w:szCs w:val="24"/>
        </w:rPr>
        <w:t xml:space="preserve">d </w:t>
      </w:r>
      <w:r w:rsidRPr="00EB42B0">
        <w:rPr>
          <w:rFonts w:ascii="Times New Roman" w:hAnsi="Times New Roman"/>
          <w:sz w:val="24"/>
          <w:szCs w:val="24"/>
        </w:rPr>
        <w:t xml:space="preserve">that the </w:t>
      </w:r>
      <w:r w:rsidRPr="00EB42B0">
        <w:rPr>
          <w:rFonts w:ascii="Times New Roman" w:hAnsi="Times New Roman"/>
          <w:sz w:val="24"/>
          <w:szCs w:val="24"/>
        </w:rPr>
        <w:lastRenderedPageBreak/>
        <w:t>recommendation had only been partially implemented. On others there were dispute not only between the state and the stakeholders but equally among the stakeholders. For example</w:t>
      </w:r>
      <w:r w:rsidR="0073381C" w:rsidRPr="00EB42B0">
        <w:rPr>
          <w:rFonts w:ascii="Times New Roman" w:hAnsi="Times New Roman"/>
          <w:sz w:val="24"/>
          <w:szCs w:val="24"/>
        </w:rPr>
        <w:t>,</w:t>
      </w:r>
      <w:r w:rsidRPr="00EB42B0">
        <w:rPr>
          <w:rFonts w:ascii="Times New Roman" w:hAnsi="Times New Roman"/>
          <w:sz w:val="24"/>
          <w:szCs w:val="24"/>
        </w:rPr>
        <w:t xml:space="preserve"> HRAN</w:t>
      </w:r>
      <w:r w:rsidRPr="00EB42B0">
        <w:rPr>
          <w:rFonts w:ascii="Times New Roman" w:hAnsi="Times New Roman"/>
          <w:sz w:val="24"/>
          <w:szCs w:val="24"/>
          <w:vertAlign w:val="superscript"/>
        </w:rPr>
        <w:footnoteReference w:id="54"/>
      </w:r>
      <w:r w:rsidRPr="00EB42B0">
        <w:rPr>
          <w:rFonts w:ascii="Times New Roman" w:hAnsi="Times New Roman"/>
          <w:sz w:val="24"/>
          <w:szCs w:val="24"/>
        </w:rPr>
        <w:t>, NHRC</w:t>
      </w:r>
      <w:r w:rsidRPr="00EB42B0">
        <w:rPr>
          <w:rFonts w:ascii="Times New Roman" w:hAnsi="Times New Roman"/>
          <w:sz w:val="24"/>
          <w:szCs w:val="24"/>
          <w:vertAlign w:val="superscript"/>
        </w:rPr>
        <w:footnoteReference w:id="55"/>
      </w:r>
      <w:r w:rsidRPr="00EB42B0">
        <w:rPr>
          <w:rFonts w:ascii="Times New Roman" w:hAnsi="Times New Roman"/>
          <w:sz w:val="24"/>
          <w:szCs w:val="24"/>
        </w:rPr>
        <w:t xml:space="preserve"> and the government of Nigeria</w:t>
      </w:r>
      <w:r w:rsidRPr="00EB42B0">
        <w:rPr>
          <w:rFonts w:ascii="Times New Roman" w:hAnsi="Times New Roman"/>
          <w:sz w:val="24"/>
          <w:szCs w:val="24"/>
          <w:vertAlign w:val="superscript"/>
        </w:rPr>
        <w:footnoteReference w:id="56"/>
      </w:r>
      <w:r w:rsidRPr="00EB42B0">
        <w:rPr>
          <w:rFonts w:ascii="Times New Roman" w:hAnsi="Times New Roman"/>
          <w:sz w:val="24"/>
          <w:szCs w:val="24"/>
        </w:rPr>
        <w:t xml:space="preserve"> all accepted that recommendation 1 relating to accession to human rights instruments to which Nigeria is not yet a party had only been partially implemented. This featured among the top five recommendations that were </w:t>
      </w:r>
      <w:r w:rsidR="006D14AE" w:rsidRPr="00EB42B0">
        <w:rPr>
          <w:rFonts w:ascii="Times New Roman" w:hAnsi="Times New Roman"/>
          <w:sz w:val="24"/>
          <w:szCs w:val="24"/>
        </w:rPr>
        <w:t xml:space="preserve">made to Nigeria (See Table </w:t>
      </w:r>
      <w:r w:rsidRPr="00EB42B0">
        <w:rPr>
          <w:rFonts w:ascii="Times New Roman" w:hAnsi="Times New Roman"/>
          <w:sz w:val="24"/>
          <w:szCs w:val="24"/>
        </w:rPr>
        <w:t>1</w:t>
      </w:r>
      <w:r w:rsidR="006D2AA7" w:rsidRPr="00EB42B0">
        <w:rPr>
          <w:rFonts w:ascii="Times New Roman" w:hAnsi="Times New Roman"/>
          <w:sz w:val="24"/>
          <w:szCs w:val="24"/>
        </w:rPr>
        <w:t xml:space="preserve"> above</w:t>
      </w:r>
      <w:r w:rsidRPr="00EB42B0">
        <w:rPr>
          <w:rFonts w:ascii="Times New Roman" w:hAnsi="Times New Roman"/>
          <w:sz w:val="24"/>
          <w:szCs w:val="24"/>
        </w:rPr>
        <w:t>). Recommendation 28 required the government to take steps to bolster the national health system. While the NHRC</w:t>
      </w:r>
      <w:r w:rsidRPr="00EB42B0">
        <w:rPr>
          <w:rFonts w:ascii="Times New Roman" w:hAnsi="Times New Roman"/>
          <w:sz w:val="24"/>
          <w:szCs w:val="24"/>
          <w:vertAlign w:val="superscript"/>
        </w:rPr>
        <w:footnoteReference w:id="57"/>
      </w:r>
      <w:r w:rsidRPr="00EB42B0">
        <w:rPr>
          <w:rFonts w:ascii="Times New Roman" w:hAnsi="Times New Roman"/>
          <w:sz w:val="24"/>
          <w:szCs w:val="24"/>
        </w:rPr>
        <w:t xml:space="preserve"> and the state</w:t>
      </w:r>
      <w:r w:rsidRPr="00EB42B0">
        <w:rPr>
          <w:rFonts w:ascii="Times New Roman" w:hAnsi="Times New Roman"/>
          <w:sz w:val="24"/>
          <w:szCs w:val="24"/>
          <w:vertAlign w:val="superscript"/>
        </w:rPr>
        <w:footnoteReference w:id="58"/>
      </w:r>
      <w:r w:rsidRPr="00EB42B0">
        <w:rPr>
          <w:rFonts w:ascii="Times New Roman" w:hAnsi="Times New Roman"/>
          <w:sz w:val="24"/>
          <w:szCs w:val="24"/>
        </w:rPr>
        <w:t xml:space="preserve"> agreed that steps have been taken in this regard, HRAN’s response was not in agreement with this.</w:t>
      </w:r>
      <w:r w:rsidRPr="00EB42B0">
        <w:rPr>
          <w:rFonts w:ascii="Times New Roman" w:hAnsi="Times New Roman"/>
          <w:sz w:val="24"/>
          <w:szCs w:val="24"/>
          <w:vertAlign w:val="superscript"/>
        </w:rPr>
        <w:footnoteReference w:id="59"/>
      </w:r>
      <w:r w:rsidRPr="00EB42B0">
        <w:rPr>
          <w:rFonts w:ascii="Times New Roman" w:hAnsi="Times New Roman"/>
          <w:sz w:val="24"/>
          <w:szCs w:val="24"/>
        </w:rPr>
        <w:t xml:space="preserve"> Relevant studies on the Nigerian health system indicated that the system was deplorable and the attitude of health care workers towards patients was very poor.</w:t>
      </w:r>
      <w:r w:rsidRPr="00EB42B0">
        <w:rPr>
          <w:rFonts w:ascii="Times New Roman" w:hAnsi="Times New Roman"/>
          <w:sz w:val="24"/>
          <w:szCs w:val="24"/>
          <w:vertAlign w:val="superscript"/>
        </w:rPr>
        <w:footnoteReference w:id="60"/>
      </w:r>
      <w:r w:rsidRPr="00EB42B0">
        <w:rPr>
          <w:rFonts w:ascii="Times New Roman" w:hAnsi="Times New Roman"/>
          <w:sz w:val="24"/>
          <w:szCs w:val="24"/>
        </w:rPr>
        <w:t xml:space="preserve"> </w:t>
      </w:r>
    </w:p>
    <w:p w:rsidR="00AB5CFA" w:rsidRPr="00EB42B0" w:rsidRDefault="00AB5CFA" w:rsidP="00AB5CFA">
      <w:pPr>
        <w:spacing w:line="360" w:lineRule="auto"/>
        <w:jc w:val="both"/>
        <w:rPr>
          <w:rFonts w:ascii="Times New Roman" w:hAnsi="Times New Roman"/>
          <w:sz w:val="24"/>
          <w:szCs w:val="24"/>
        </w:rPr>
      </w:pPr>
      <w:r w:rsidRPr="00EB42B0">
        <w:rPr>
          <w:rFonts w:ascii="Times New Roman" w:hAnsi="Times New Roman"/>
          <w:sz w:val="24"/>
          <w:szCs w:val="24"/>
        </w:rPr>
        <w:t>The few recommendations that were fully implemented covered issues on the National Human Rights Institution, education and raising awareness among cultural and religious leaders. Many of the recommendations which had not been implemented concerned issues such as justice and detention, women’s rights, torture and extra-judicial executions. With the exception of extra-judicial executions, they were among the 5 prominent issues that received the most recommendations during Nigeria’s UPR 1, and constituted about 42% of the total recommendations made to Nigeria during UPR I (See Table 4.1 above).  The relevance and effects of the non-implementation of these four issues is examined below. While the state took some steps towards implementation outside the UPR I implementation timeframe, these issues still raise serious human rights concern in Nigeria.</w:t>
      </w:r>
    </w:p>
    <w:p w:rsidR="00AB5CFA" w:rsidRPr="00EB42B0" w:rsidRDefault="00AB5CFA" w:rsidP="008C6109">
      <w:pPr>
        <w:pStyle w:val="ListParagraph"/>
        <w:numPr>
          <w:ilvl w:val="2"/>
          <w:numId w:val="21"/>
        </w:numPr>
        <w:spacing w:line="360" w:lineRule="auto"/>
        <w:jc w:val="both"/>
        <w:rPr>
          <w:rFonts w:ascii="Times New Roman" w:hAnsi="Times New Roman"/>
          <w:b/>
          <w:sz w:val="24"/>
          <w:szCs w:val="24"/>
        </w:rPr>
      </w:pPr>
      <w:bookmarkStart w:id="12" w:name="_Toc488225565"/>
      <w:r w:rsidRPr="00EB42B0">
        <w:rPr>
          <w:rFonts w:ascii="Times New Roman" w:hAnsi="Times New Roman"/>
          <w:b/>
          <w:sz w:val="24"/>
          <w:szCs w:val="24"/>
        </w:rPr>
        <w:t>Justice and Detention</w:t>
      </w:r>
      <w:bookmarkEnd w:id="12"/>
    </w:p>
    <w:p w:rsidR="00AB5CFA" w:rsidRPr="00EB42B0" w:rsidRDefault="00AB5CFA" w:rsidP="00AB5CFA">
      <w:pPr>
        <w:spacing w:line="360" w:lineRule="auto"/>
        <w:jc w:val="both"/>
        <w:rPr>
          <w:rFonts w:ascii="Times New Roman" w:hAnsi="Times New Roman"/>
          <w:sz w:val="24"/>
          <w:szCs w:val="24"/>
        </w:rPr>
      </w:pPr>
      <w:r w:rsidRPr="00EB42B0">
        <w:rPr>
          <w:rFonts w:ascii="Times New Roman" w:hAnsi="Times New Roman"/>
          <w:sz w:val="24"/>
          <w:szCs w:val="24"/>
        </w:rPr>
        <w:t>Access to justice and detention conditions have been persistent problems in Nigeria. Mary Robinson, former UN High Commissioner for Huma</w:t>
      </w:r>
      <w:r w:rsidR="008015D6" w:rsidRPr="00EB42B0">
        <w:rPr>
          <w:rFonts w:ascii="Times New Roman" w:hAnsi="Times New Roman"/>
          <w:sz w:val="24"/>
          <w:szCs w:val="24"/>
        </w:rPr>
        <w:t>n Rights, pointed out that the “</w:t>
      </w:r>
      <w:r w:rsidRPr="00EB42B0">
        <w:rPr>
          <w:rFonts w:ascii="Times New Roman" w:hAnsi="Times New Roman"/>
          <w:sz w:val="24"/>
          <w:szCs w:val="24"/>
        </w:rPr>
        <w:t xml:space="preserve">way in which justice is administered is a key benchmark of a country’s commitment to human </w:t>
      </w:r>
      <w:r w:rsidR="008015D6" w:rsidRPr="00EB42B0">
        <w:rPr>
          <w:rFonts w:ascii="Times New Roman" w:hAnsi="Times New Roman"/>
          <w:sz w:val="24"/>
          <w:szCs w:val="24"/>
        </w:rPr>
        <w:lastRenderedPageBreak/>
        <w:t>rights”.</w:t>
      </w:r>
      <w:r w:rsidRPr="00EB42B0">
        <w:rPr>
          <w:rFonts w:ascii="Times New Roman" w:hAnsi="Times New Roman"/>
          <w:sz w:val="24"/>
          <w:szCs w:val="24"/>
          <w:vertAlign w:val="superscript"/>
        </w:rPr>
        <w:footnoteReference w:id="61"/>
      </w:r>
      <w:r w:rsidRPr="00EB42B0">
        <w:rPr>
          <w:rFonts w:ascii="Times New Roman" w:hAnsi="Times New Roman"/>
          <w:sz w:val="24"/>
          <w:szCs w:val="24"/>
        </w:rPr>
        <w:t xml:space="preserve"> The right to fair trial and freedom from arbitrary arrest are enshrined in sections 35 and 36 of the 1999 Constitution of Nigeria but these provisions have largely not been implemented.</w:t>
      </w:r>
      <w:r w:rsidRPr="00EB42B0">
        <w:rPr>
          <w:rFonts w:ascii="Times New Roman" w:hAnsi="Times New Roman"/>
          <w:sz w:val="24"/>
          <w:szCs w:val="24"/>
          <w:vertAlign w:val="superscript"/>
        </w:rPr>
        <w:footnoteReference w:id="62"/>
      </w:r>
      <w:r w:rsidRPr="00EB42B0">
        <w:rPr>
          <w:rFonts w:ascii="Times New Roman" w:hAnsi="Times New Roman"/>
          <w:sz w:val="24"/>
          <w:szCs w:val="24"/>
        </w:rPr>
        <w:t xml:space="preserve"> In its 2010 report on the state of human rights in Nigeria, the Nigerian NHRC recommended that the justice administration should be overhauled.</w:t>
      </w:r>
      <w:r w:rsidRPr="00EB42B0">
        <w:rPr>
          <w:rFonts w:ascii="Times New Roman" w:hAnsi="Times New Roman"/>
          <w:sz w:val="24"/>
          <w:szCs w:val="24"/>
          <w:vertAlign w:val="superscript"/>
        </w:rPr>
        <w:footnoteReference w:id="63"/>
      </w:r>
      <w:r w:rsidRPr="00EB42B0">
        <w:rPr>
          <w:rFonts w:ascii="Times New Roman" w:hAnsi="Times New Roman"/>
          <w:sz w:val="24"/>
          <w:szCs w:val="24"/>
        </w:rPr>
        <w:t xml:space="preserve"> A 2012 national prison audit undertaken by the Nigerian NHRC highlighted major issues. The prisons were old and dilapidated, congested and appalling prison facilities.</w:t>
      </w:r>
      <w:r w:rsidRPr="00EB42B0">
        <w:rPr>
          <w:rFonts w:ascii="Times New Roman" w:hAnsi="Times New Roman"/>
          <w:sz w:val="24"/>
          <w:szCs w:val="24"/>
          <w:vertAlign w:val="superscript"/>
        </w:rPr>
        <w:footnoteReference w:id="64"/>
      </w:r>
      <w:r w:rsidRPr="00EB42B0">
        <w:rPr>
          <w:rFonts w:ascii="Times New Roman" w:hAnsi="Times New Roman"/>
          <w:sz w:val="24"/>
          <w:szCs w:val="24"/>
        </w:rPr>
        <w:t xml:space="preserve"> More than 18,000 detainees had spent a long time awaiting trial with some having spent up to 16 years awaiting trial.</w:t>
      </w:r>
      <w:r w:rsidRPr="00EB42B0">
        <w:rPr>
          <w:rFonts w:ascii="Times New Roman" w:hAnsi="Times New Roman"/>
          <w:sz w:val="24"/>
          <w:szCs w:val="24"/>
          <w:vertAlign w:val="superscript"/>
        </w:rPr>
        <w:footnoteReference w:id="65"/>
      </w:r>
      <w:r w:rsidRPr="00EB42B0">
        <w:rPr>
          <w:rFonts w:ascii="Times New Roman" w:hAnsi="Times New Roman"/>
          <w:sz w:val="24"/>
          <w:szCs w:val="24"/>
        </w:rPr>
        <w:t xml:space="preserve"> Another prison audit exercise undertaken by the NHRC in 2014 at the Kuje Medium Security Prison, Abuja, reported that 86 detainees have been awaiting trial for at least 3years.</w:t>
      </w:r>
      <w:bookmarkStart w:id="13" w:name="_Ref484528105"/>
      <w:r w:rsidRPr="00EB42B0">
        <w:rPr>
          <w:rFonts w:ascii="Times New Roman" w:hAnsi="Times New Roman"/>
          <w:sz w:val="24"/>
          <w:szCs w:val="24"/>
          <w:vertAlign w:val="superscript"/>
        </w:rPr>
        <w:footnoteReference w:id="66"/>
      </w:r>
      <w:bookmarkEnd w:id="13"/>
      <w:r w:rsidRPr="00EB42B0">
        <w:rPr>
          <w:rFonts w:ascii="Times New Roman" w:hAnsi="Times New Roman"/>
          <w:sz w:val="24"/>
          <w:szCs w:val="24"/>
        </w:rPr>
        <w:t xml:space="preserve"> In 2009 there were 71 cases of unlawful arrest and detention reported by the NHRC. In 2010, this number rose to 497 and in 2012, there were 3,642 reported cases.</w:t>
      </w:r>
      <w:r w:rsidRPr="00EB42B0">
        <w:rPr>
          <w:rFonts w:ascii="Times New Roman" w:hAnsi="Times New Roman"/>
          <w:sz w:val="24"/>
          <w:szCs w:val="24"/>
          <w:vertAlign w:val="superscript"/>
        </w:rPr>
        <w:footnoteReference w:id="67"/>
      </w:r>
      <w:r w:rsidRPr="00EB42B0">
        <w:rPr>
          <w:rFonts w:ascii="Times New Roman" w:hAnsi="Times New Roman"/>
          <w:sz w:val="24"/>
          <w:szCs w:val="24"/>
        </w:rPr>
        <w:t xml:space="preserve"> While these increase numbers may simply reflect an increase in reporting rather than occurrences, they do unveil the underlying problem and underscore the relevance of the recommendations which states made during Nigeria’s UPR I. France re</w:t>
      </w:r>
      <w:r w:rsidR="008015D6" w:rsidRPr="00EB42B0">
        <w:rPr>
          <w:rFonts w:ascii="Times New Roman" w:hAnsi="Times New Roman"/>
          <w:sz w:val="24"/>
          <w:szCs w:val="24"/>
        </w:rPr>
        <w:t>commended that Nigeria should “</w:t>
      </w:r>
      <w:r w:rsidRPr="00EB42B0">
        <w:rPr>
          <w:rFonts w:ascii="Times New Roman" w:hAnsi="Times New Roman"/>
          <w:sz w:val="24"/>
          <w:szCs w:val="24"/>
        </w:rPr>
        <w:t>[i]mprove the conditions of detention within prisons, access to health and the respect for the most</w:t>
      </w:r>
      <w:r w:rsidR="008015D6" w:rsidRPr="00EB42B0">
        <w:rPr>
          <w:rFonts w:ascii="Times New Roman" w:hAnsi="Times New Roman"/>
          <w:sz w:val="24"/>
          <w:szCs w:val="24"/>
        </w:rPr>
        <w:t xml:space="preserve"> elementary rights of detainees”.</w:t>
      </w:r>
      <w:bookmarkStart w:id="14" w:name="_Ref484600410"/>
      <w:r w:rsidRPr="00EB42B0">
        <w:rPr>
          <w:rFonts w:ascii="Times New Roman" w:hAnsi="Times New Roman"/>
          <w:sz w:val="24"/>
          <w:szCs w:val="24"/>
          <w:vertAlign w:val="superscript"/>
        </w:rPr>
        <w:footnoteReference w:id="68"/>
      </w:r>
      <w:bookmarkEnd w:id="14"/>
      <w:r w:rsidRPr="00EB42B0">
        <w:rPr>
          <w:rFonts w:ascii="Times New Roman" w:hAnsi="Times New Roman"/>
          <w:sz w:val="24"/>
          <w:szCs w:val="24"/>
        </w:rPr>
        <w:t xml:space="preserve"> T</w:t>
      </w:r>
      <w:r w:rsidR="008015D6" w:rsidRPr="00EB42B0">
        <w:rPr>
          <w:rFonts w:ascii="Times New Roman" w:hAnsi="Times New Roman"/>
          <w:sz w:val="24"/>
          <w:szCs w:val="24"/>
        </w:rPr>
        <w:t>he UK recommended that Nigeria “</w:t>
      </w:r>
      <w:r w:rsidRPr="00EB42B0">
        <w:rPr>
          <w:rFonts w:ascii="Times New Roman" w:hAnsi="Times New Roman"/>
          <w:sz w:val="24"/>
          <w:szCs w:val="24"/>
        </w:rPr>
        <w:t>[t]ake action to tackle the backlog of prisoners who have been detained without trial or b</w:t>
      </w:r>
      <w:r w:rsidR="008015D6" w:rsidRPr="00EB42B0">
        <w:rPr>
          <w:rFonts w:ascii="Times New Roman" w:hAnsi="Times New Roman"/>
          <w:sz w:val="24"/>
          <w:szCs w:val="24"/>
        </w:rPr>
        <w:t>eyond the end of their sentence”</w:t>
      </w:r>
      <w:r w:rsidRPr="00EB42B0">
        <w:rPr>
          <w:rFonts w:ascii="Times New Roman" w:hAnsi="Times New Roman"/>
          <w:sz w:val="24"/>
          <w:szCs w:val="24"/>
          <w:vertAlign w:val="superscript"/>
        </w:rPr>
        <w:footnoteReference w:id="69"/>
      </w:r>
      <w:r w:rsidRPr="00EB42B0">
        <w:rPr>
          <w:rFonts w:ascii="Times New Roman" w:hAnsi="Times New Roman"/>
          <w:sz w:val="24"/>
          <w:szCs w:val="24"/>
        </w:rPr>
        <w:t xml:space="preserve"> and Be</w:t>
      </w:r>
      <w:r w:rsidR="008015D6" w:rsidRPr="00EB42B0">
        <w:rPr>
          <w:rFonts w:ascii="Times New Roman" w:hAnsi="Times New Roman"/>
          <w:sz w:val="24"/>
          <w:szCs w:val="24"/>
        </w:rPr>
        <w:t>lgium recommended that Nigeria “</w:t>
      </w:r>
      <w:r w:rsidRPr="00EB42B0">
        <w:rPr>
          <w:rFonts w:ascii="Times New Roman" w:hAnsi="Times New Roman"/>
          <w:sz w:val="24"/>
          <w:szCs w:val="24"/>
        </w:rPr>
        <w:t>[t]ake specific measures in order to address the dis-functioning of the judicial system and the lack of internal and ext</w:t>
      </w:r>
      <w:r w:rsidR="008015D6" w:rsidRPr="00EB42B0">
        <w:rPr>
          <w:rFonts w:ascii="Times New Roman" w:hAnsi="Times New Roman"/>
          <w:sz w:val="24"/>
          <w:szCs w:val="24"/>
        </w:rPr>
        <w:t>ernal monitoring of the police”.</w:t>
      </w:r>
      <w:r w:rsidRPr="00EB42B0">
        <w:rPr>
          <w:rFonts w:ascii="Times New Roman" w:hAnsi="Times New Roman"/>
          <w:sz w:val="24"/>
          <w:szCs w:val="24"/>
          <w:vertAlign w:val="superscript"/>
        </w:rPr>
        <w:footnoteReference w:id="70"/>
      </w:r>
      <w:r w:rsidRPr="00EB42B0">
        <w:rPr>
          <w:rFonts w:ascii="Times New Roman" w:hAnsi="Times New Roman"/>
          <w:sz w:val="24"/>
          <w:szCs w:val="24"/>
        </w:rPr>
        <w:t xml:space="preserve"> As indicated on </w:t>
      </w:r>
      <w:r w:rsidR="008015D6" w:rsidRPr="00EB42B0">
        <w:rPr>
          <w:rFonts w:ascii="Times New Roman" w:hAnsi="Times New Roman"/>
          <w:sz w:val="24"/>
          <w:szCs w:val="24"/>
        </w:rPr>
        <w:t xml:space="preserve">Table </w:t>
      </w:r>
      <w:r w:rsidRPr="00EB42B0">
        <w:rPr>
          <w:rFonts w:ascii="Times New Roman" w:hAnsi="Times New Roman"/>
          <w:sz w:val="24"/>
          <w:szCs w:val="24"/>
        </w:rPr>
        <w:t xml:space="preserve">1 above, this was the fourth most prominent issue during Nigeria’s UPR I, accounting for about 5% of the total recommendations. </w:t>
      </w:r>
    </w:p>
    <w:p w:rsidR="00AB5CFA" w:rsidRPr="00EB42B0" w:rsidRDefault="00AB5CFA" w:rsidP="00AB5CFA">
      <w:pPr>
        <w:spacing w:line="360" w:lineRule="auto"/>
        <w:jc w:val="both"/>
        <w:rPr>
          <w:rFonts w:ascii="Times New Roman" w:hAnsi="Times New Roman"/>
          <w:sz w:val="24"/>
          <w:szCs w:val="24"/>
        </w:rPr>
      </w:pPr>
      <w:r w:rsidRPr="00EB42B0">
        <w:rPr>
          <w:rFonts w:ascii="Times New Roman" w:hAnsi="Times New Roman"/>
          <w:sz w:val="24"/>
          <w:szCs w:val="24"/>
        </w:rPr>
        <w:t xml:space="preserve">However, in terms of implementation, very little progress was made by the state within the implementation period. There were efforts to reform the criminal justice system with new </w:t>
      </w:r>
      <w:r w:rsidRPr="00EB42B0">
        <w:rPr>
          <w:rFonts w:ascii="Times New Roman" w:hAnsi="Times New Roman"/>
          <w:sz w:val="24"/>
          <w:szCs w:val="24"/>
        </w:rPr>
        <w:lastRenderedPageBreak/>
        <w:t>judges appointed at all levels.</w:t>
      </w:r>
      <w:r w:rsidRPr="00EB42B0">
        <w:rPr>
          <w:rFonts w:ascii="Times New Roman" w:hAnsi="Times New Roman"/>
          <w:sz w:val="24"/>
          <w:szCs w:val="24"/>
          <w:vertAlign w:val="superscript"/>
        </w:rPr>
        <w:footnoteReference w:id="71"/>
      </w:r>
      <w:r w:rsidRPr="00EB42B0">
        <w:rPr>
          <w:rFonts w:ascii="Times New Roman" w:hAnsi="Times New Roman"/>
          <w:sz w:val="24"/>
          <w:szCs w:val="24"/>
        </w:rPr>
        <w:t xml:space="preserve"> However, according to the NHRC, Nigeria’s pre-trial system continues to violate human rights, the prison system is below UN Standard Minimum Rules for the Treatment of Prisoners and police oversight bodies remain weak and unable to monitor the excesses of the police.</w:t>
      </w:r>
      <w:r w:rsidRPr="00EB42B0">
        <w:rPr>
          <w:rFonts w:ascii="Times New Roman" w:hAnsi="Times New Roman"/>
          <w:sz w:val="24"/>
          <w:szCs w:val="24"/>
          <w:vertAlign w:val="superscript"/>
        </w:rPr>
        <w:footnoteReference w:id="72"/>
      </w:r>
      <w:r w:rsidRPr="00EB42B0">
        <w:rPr>
          <w:rFonts w:ascii="Times New Roman" w:hAnsi="Times New Roman"/>
          <w:sz w:val="24"/>
          <w:szCs w:val="24"/>
        </w:rPr>
        <w:t xml:space="preserve"> Nevertheless, in 2015, the </w:t>
      </w:r>
      <w:r w:rsidRPr="00EB42B0">
        <w:rPr>
          <w:rFonts w:ascii="Times New Roman" w:hAnsi="Times New Roman"/>
          <w:i/>
          <w:sz w:val="24"/>
          <w:szCs w:val="24"/>
        </w:rPr>
        <w:t>Administration of Criminal Justice Act</w:t>
      </w:r>
      <w:r w:rsidRPr="00EB42B0">
        <w:rPr>
          <w:rFonts w:ascii="Times New Roman" w:hAnsi="Times New Roman"/>
          <w:sz w:val="24"/>
          <w:szCs w:val="24"/>
        </w:rPr>
        <w:t xml:space="preserve"> was enacted to reform the criminal justice sector.</w:t>
      </w:r>
      <w:r w:rsidRPr="00EB42B0">
        <w:rPr>
          <w:rFonts w:ascii="Times New Roman" w:hAnsi="Times New Roman"/>
          <w:sz w:val="24"/>
          <w:szCs w:val="24"/>
          <w:vertAlign w:val="superscript"/>
        </w:rPr>
        <w:footnoteReference w:id="73"/>
      </w:r>
      <w:r w:rsidRPr="00EB42B0">
        <w:rPr>
          <w:rFonts w:ascii="Times New Roman" w:hAnsi="Times New Roman"/>
          <w:sz w:val="24"/>
          <w:szCs w:val="24"/>
        </w:rPr>
        <w:t xml:space="preserve"> While this falls outside the implementation period for UPR I, it lends more support to the acculturation argument (examined in the section</w:t>
      </w:r>
      <w:r w:rsidR="003B296A" w:rsidRPr="00EB42B0">
        <w:rPr>
          <w:rFonts w:ascii="Times New Roman" w:hAnsi="Times New Roman"/>
          <w:sz w:val="24"/>
          <w:szCs w:val="24"/>
        </w:rPr>
        <w:t xml:space="preserve"> 4 below</w:t>
      </w:r>
      <w:r w:rsidRPr="00EB42B0">
        <w:rPr>
          <w:rFonts w:ascii="Times New Roman" w:hAnsi="Times New Roman"/>
          <w:sz w:val="24"/>
          <w:szCs w:val="24"/>
        </w:rPr>
        <w:t xml:space="preserve">) which underscores the potential for the UPR to, over time, influence changes within states. </w:t>
      </w:r>
    </w:p>
    <w:p w:rsidR="00AB5CFA" w:rsidRPr="00EB42B0" w:rsidRDefault="00AB5CFA" w:rsidP="008C6109">
      <w:pPr>
        <w:numPr>
          <w:ilvl w:val="2"/>
          <w:numId w:val="21"/>
        </w:numPr>
        <w:spacing w:line="360" w:lineRule="auto"/>
        <w:jc w:val="both"/>
        <w:rPr>
          <w:rFonts w:ascii="Times New Roman" w:hAnsi="Times New Roman"/>
          <w:b/>
          <w:bCs/>
          <w:sz w:val="24"/>
          <w:szCs w:val="24"/>
        </w:rPr>
      </w:pPr>
      <w:bookmarkStart w:id="15" w:name="_Toc488225566"/>
      <w:r w:rsidRPr="00EB42B0">
        <w:rPr>
          <w:rFonts w:ascii="Times New Roman" w:hAnsi="Times New Roman"/>
          <w:b/>
          <w:sz w:val="24"/>
          <w:szCs w:val="24"/>
        </w:rPr>
        <w:t>Women’s Rights</w:t>
      </w:r>
      <w:bookmarkEnd w:id="15"/>
    </w:p>
    <w:p w:rsidR="00AB5CFA" w:rsidRPr="00EB42B0" w:rsidRDefault="00AB5CFA" w:rsidP="00AB5CFA">
      <w:pPr>
        <w:spacing w:line="360" w:lineRule="auto"/>
        <w:jc w:val="both"/>
        <w:rPr>
          <w:rFonts w:ascii="Times New Roman" w:hAnsi="Times New Roman"/>
          <w:sz w:val="24"/>
          <w:szCs w:val="24"/>
        </w:rPr>
      </w:pPr>
      <w:r w:rsidRPr="00EB42B0">
        <w:rPr>
          <w:rFonts w:ascii="Times New Roman" w:hAnsi="Times New Roman"/>
          <w:bCs/>
          <w:sz w:val="24"/>
          <w:szCs w:val="24"/>
        </w:rPr>
        <w:t>According to the Nigerian NHRC, reports of violence against women grew by alarming proportions within the first cycle of the UPR. In 2009, the NHRC received 30 reported cases of domestic violence.</w:t>
      </w:r>
      <w:r w:rsidRPr="00EB42B0">
        <w:rPr>
          <w:rFonts w:ascii="Times New Roman" w:hAnsi="Times New Roman"/>
          <w:bCs/>
          <w:sz w:val="24"/>
          <w:szCs w:val="24"/>
          <w:vertAlign w:val="superscript"/>
        </w:rPr>
        <w:footnoteReference w:id="74"/>
      </w:r>
      <w:r w:rsidRPr="00EB42B0">
        <w:rPr>
          <w:rFonts w:ascii="Times New Roman" w:hAnsi="Times New Roman"/>
          <w:bCs/>
          <w:sz w:val="24"/>
          <w:szCs w:val="24"/>
        </w:rPr>
        <w:t xml:space="preserve"> In 2010, this number rose to 325 and in 2011 and 2012, there were over 2,500 reported cases of domestic violence.</w:t>
      </w:r>
      <w:r w:rsidRPr="00EB42B0">
        <w:rPr>
          <w:rFonts w:ascii="Times New Roman" w:hAnsi="Times New Roman"/>
          <w:bCs/>
          <w:sz w:val="24"/>
          <w:szCs w:val="24"/>
          <w:vertAlign w:val="superscript"/>
        </w:rPr>
        <w:footnoteReference w:id="75"/>
      </w:r>
      <w:r w:rsidRPr="00EB42B0">
        <w:rPr>
          <w:rFonts w:ascii="Times New Roman" w:hAnsi="Times New Roman"/>
          <w:bCs/>
          <w:sz w:val="24"/>
          <w:szCs w:val="24"/>
        </w:rPr>
        <w:t xml:space="preserve"> Also, Nigeria has the highest number of reported female genital mutilation (FGM) cases in the world, accounting for about one-quarter of the estimated 115-130 million circumcised women worldwide.</w:t>
      </w:r>
      <w:r w:rsidRPr="00EB42B0">
        <w:rPr>
          <w:rFonts w:ascii="Times New Roman" w:hAnsi="Times New Roman"/>
          <w:bCs/>
          <w:sz w:val="24"/>
          <w:szCs w:val="24"/>
          <w:vertAlign w:val="superscript"/>
        </w:rPr>
        <w:footnoteReference w:id="76"/>
      </w:r>
      <w:r w:rsidRPr="00EB42B0">
        <w:rPr>
          <w:rFonts w:ascii="Times New Roman" w:hAnsi="Times New Roman"/>
          <w:bCs/>
          <w:sz w:val="24"/>
          <w:szCs w:val="24"/>
        </w:rPr>
        <w:t xml:space="preserve"> </w:t>
      </w:r>
      <w:r w:rsidRPr="00EB42B0">
        <w:rPr>
          <w:rFonts w:ascii="Times New Roman" w:hAnsi="Times New Roman"/>
          <w:sz w:val="24"/>
          <w:szCs w:val="24"/>
        </w:rPr>
        <w:t xml:space="preserve">Therefore states were justified to place women’s rights issues at the top of Nigeria’s UPR I recommendations, receiving more recommendations (about 21%) than any other issue (see </w:t>
      </w:r>
      <w:r w:rsidR="00545173" w:rsidRPr="00EB42B0">
        <w:rPr>
          <w:rFonts w:ascii="Times New Roman" w:hAnsi="Times New Roman"/>
          <w:sz w:val="24"/>
          <w:szCs w:val="24"/>
        </w:rPr>
        <w:t xml:space="preserve">Table </w:t>
      </w:r>
      <w:r w:rsidRPr="00EB42B0">
        <w:rPr>
          <w:rFonts w:ascii="Times New Roman" w:hAnsi="Times New Roman"/>
          <w:sz w:val="24"/>
          <w:szCs w:val="24"/>
        </w:rPr>
        <w:t>1 above). Many of these recommendations required the Nigerian government to implement legislation against sexual and gender based violence, undertake awareness raising campaigns to eradicate FGM and enact legislation to prohibit FGM.</w:t>
      </w:r>
      <w:r w:rsidRPr="00EB42B0">
        <w:rPr>
          <w:rFonts w:ascii="Times New Roman" w:hAnsi="Times New Roman"/>
          <w:sz w:val="24"/>
          <w:szCs w:val="24"/>
          <w:vertAlign w:val="superscript"/>
        </w:rPr>
        <w:footnoteReference w:id="77"/>
      </w:r>
      <w:r w:rsidRPr="00EB42B0">
        <w:rPr>
          <w:rFonts w:ascii="Times New Roman" w:hAnsi="Times New Roman"/>
          <w:sz w:val="24"/>
          <w:szCs w:val="24"/>
        </w:rPr>
        <w:t xml:space="preserve"> </w:t>
      </w:r>
    </w:p>
    <w:p w:rsidR="00AB5CFA" w:rsidRPr="00EB42B0" w:rsidRDefault="00AB5CFA" w:rsidP="00AB5CFA">
      <w:pPr>
        <w:spacing w:line="360" w:lineRule="auto"/>
        <w:jc w:val="both"/>
        <w:rPr>
          <w:rFonts w:ascii="Times New Roman" w:hAnsi="Times New Roman"/>
          <w:sz w:val="24"/>
          <w:szCs w:val="24"/>
        </w:rPr>
      </w:pPr>
      <w:r w:rsidRPr="00EB42B0">
        <w:rPr>
          <w:rFonts w:ascii="Times New Roman" w:hAnsi="Times New Roman"/>
          <w:sz w:val="24"/>
          <w:szCs w:val="24"/>
        </w:rPr>
        <w:t>Implementing these recommendations within the UPR I implementation period proved challenging for the state. As observed by the NHRC, few state governments within Nigeria enacted laws on FGM but there was no federal legislation on FGM, discrimination against women, child marriage and betrothal or gender based violence.</w:t>
      </w:r>
      <w:r w:rsidRPr="00EB42B0">
        <w:rPr>
          <w:rFonts w:ascii="Times New Roman" w:hAnsi="Times New Roman"/>
          <w:sz w:val="24"/>
          <w:szCs w:val="24"/>
          <w:vertAlign w:val="superscript"/>
        </w:rPr>
        <w:footnoteReference w:id="78"/>
      </w:r>
      <w:r w:rsidRPr="00EB42B0">
        <w:rPr>
          <w:rFonts w:ascii="Times New Roman" w:hAnsi="Times New Roman"/>
          <w:sz w:val="24"/>
          <w:szCs w:val="24"/>
        </w:rPr>
        <w:t xml:space="preserve"> Many of these recommendations which were not implemented were vital in improving the human rights </w:t>
      </w:r>
      <w:r w:rsidRPr="00EB42B0">
        <w:rPr>
          <w:rFonts w:ascii="Times New Roman" w:hAnsi="Times New Roman"/>
          <w:sz w:val="24"/>
          <w:szCs w:val="24"/>
        </w:rPr>
        <w:lastRenderedPageBreak/>
        <w:t xml:space="preserve">situation on the ground. However, as earlier noted, over time some of these recommendations have been implemented, even though outside the UPR I implementation timeframe. In 2015, the </w:t>
      </w:r>
      <w:r w:rsidRPr="00EB42B0">
        <w:rPr>
          <w:rFonts w:ascii="Times New Roman" w:hAnsi="Times New Roman"/>
          <w:bCs/>
          <w:i/>
          <w:sz w:val="24"/>
          <w:szCs w:val="24"/>
        </w:rPr>
        <w:t xml:space="preserve">Violence against Persons Prohibition Act </w:t>
      </w:r>
      <w:r w:rsidRPr="00EB42B0">
        <w:rPr>
          <w:rFonts w:ascii="Times New Roman" w:hAnsi="Times New Roman"/>
          <w:bCs/>
          <w:sz w:val="24"/>
          <w:szCs w:val="24"/>
        </w:rPr>
        <w:t>was passed into federal law. This Act specifically addresses violence against women including FGM in Article 6 and prescribes a penalty of up to 4 years imprisonment and or a fine.</w:t>
      </w:r>
      <w:r w:rsidRPr="00EB42B0">
        <w:rPr>
          <w:rFonts w:ascii="Times New Roman" w:hAnsi="Times New Roman"/>
          <w:bCs/>
          <w:sz w:val="24"/>
          <w:szCs w:val="24"/>
          <w:vertAlign w:val="superscript"/>
        </w:rPr>
        <w:footnoteReference w:id="79"/>
      </w:r>
      <w:r w:rsidRPr="00EB42B0">
        <w:rPr>
          <w:rFonts w:ascii="Times New Roman" w:hAnsi="Times New Roman"/>
          <w:bCs/>
          <w:sz w:val="24"/>
          <w:szCs w:val="24"/>
        </w:rPr>
        <w:t xml:space="preserve"> While the Act can be criticised for </w:t>
      </w:r>
      <w:r w:rsidRPr="00EB42B0">
        <w:rPr>
          <w:rFonts w:ascii="Times New Roman" w:hAnsi="Times New Roman"/>
          <w:sz w:val="24"/>
          <w:szCs w:val="24"/>
        </w:rPr>
        <w:t>its failure to recognise the particular vulnerability of women to violence by r</w:t>
      </w:r>
      <w:r w:rsidR="00545173" w:rsidRPr="00EB42B0">
        <w:rPr>
          <w:rFonts w:ascii="Times New Roman" w:hAnsi="Times New Roman"/>
          <w:sz w:val="24"/>
          <w:szCs w:val="24"/>
        </w:rPr>
        <w:t>eplacing the word ‘women’ with “persons”,</w:t>
      </w:r>
      <w:r w:rsidRPr="00EB42B0">
        <w:rPr>
          <w:rFonts w:ascii="Times New Roman" w:hAnsi="Times New Roman"/>
          <w:sz w:val="24"/>
          <w:szCs w:val="24"/>
        </w:rPr>
        <w:t xml:space="preserve"> it nevertheless demonstrates a positive move by the government of Nigeria in its fight against violence against women and other vulnerable persons. This is supplemented by a 4 year National Policy and Plan of Action for the Elimination of FGM in Nigeria which identifies and engages key stakeholders at the federal, state and community levels.</w:t>
      </w:r>
      <w:r w:rsidRPr="00EB42B0">
        <w:rPr>
          <w:rFonts w:ascii="Times New Roman" w:hAnsi="Times New Roman"/>
          <w:sz w:val="24"/>
          <w:szCs w:val="24"/>
          <w:vertAlign w:val="superscript"/>
        </w:rPr>
        <w:footnoteReference w:id="80"/>
      </w:r>
      <w:r w:rsidRPr="00EB42B0">
        <w:rPr>
          <w:rFonts w:ascii="Times New Roman" w:hAnsi="Times New Roman"/>
          <w:sz w:val="24"/>
          <w:szCs w:val="24"/>
        </w:rPr>
        <w:t xml:space="preserve"> However, there has been no evidence of their enforcement and reports ind</w:t>
      </w:r>
      <w:r w:rsidR="00262F25" w:rsidRPr="00EB42B0">
        <w:rPr>
          <w:rFonts w:ascii="Times New Roman" w:hAnsi="Times New Roman"/>
          <w:sz w:val="24"/>
          <w:szCs w:val="24"/>
        </w:rPr>
        <w:t>icate that the practice of FGM “</w:t>
      </w:r>
      <w:r w:rsidRPr="00EB42B0">
        <w:rPr>
          <w:rFonts w:ascii="Times New Roman" w:hAnsi="Times New Roman"/>
          <w:sz w:val="24"/>
          <w:szCs w:val="24"/>
        </w:rPr>
        <w:t>remain widespread, with low ra</w:t>
      </w:r>
      <w:r w:rsidR="00262F25" w:rsidRPr="00EB42B0">
        <w:rPr>
          <w:rFonts w:ascii="Times New Roman" w:hAnsi="Times New Roman"/>
          <w:sz w:val="24"/>
          <w:szCs w:val="24"/>
        </w:rPr>
        <w:t>tes of reporting”</w:t>
      </w:r>
      <w:r w:rsidRPr="00EB42B0">
        <w:rPr>
          <w:rFonts w:ascii="Times New Roman" w:hAnsi="Times New Roman"/>
          <w:sz w:val="24"/>
          <w:szCs w:val="24"/>
        </w:rPr>
        <w:t>.</w:t>
      </w:r>
      <w:r w:rsidRPr="00EB42B0">
        <w:rPr>
          <w:rFonts w:ascii="Times New Roman" w:hAnsi="Times New Roman"/>
          <w:sz w:val="24"/>
          <w:szCs w:val="24"/>
          <w:vertAlign w:val="superscript"/>
        </w:rPr>
        <w:footnoteReference w:id="81"/>
      </w:r>
      <w:r w:rsidRPr="00EB42B0">
        <w:rPr>
          <w:rFonts w:ascii="Times New Roman" w:hAnsi="Times New Roman"/>
          <w:sz w:val="24"/>
          <w:szCs w:val="24"/>
        </w:rPr>
        <w:t xml:space="preserve"> </w:t>
      </w:r>
    </w:p>
    <w:p w:rsidR="00AB5CFA" w:rsidRPr="00EB42B0" w:rsidRDefault="00AB5CFA" w:rsidP="008C6109">
      <w:pPr>
        <w:numPr>
          <w:ilvl w:val="2"/>
          <w:numId w:val="21"/>
        </w:numPr>
        <w:spacing w:line="360" w:lineRule="auto"/>
        <w:jc w:val="both"/>
        <w:rPr>
          <w:rFonts w:ascii="Times New Roman" w:hAnsi="Times New Roman"/>
          <w:b/>
          <w:sz w:val="24"/>
          <w:szCs w:val="24"/>
        </w:rPr>
      </w:pPr>
      <w:bookmarkStart w:id="16" w:name="_Toc488225567"/>
      <w:r w:rsidRPr="00EB42B0">
        <w:rPr>
          <w:rFonts w:ascii="Times New Roman" w:hAnsi="Times New Roman"/>
          <w:b/>
          <w:sz w:val="24"/>
          <w:szCs w:val="24"/>
        </w:rPr>
        <w:t>Torture, Cruel Inhuman and Degrading Treatment</w:t>
      </w:r>
      <w:bookmarkEnd w:id="16"/>
    </w:p>
    <w:p w:rsidR="00AB5CFA" w:rsidRPr="00EB42B0" w:rsidRDefault="00AB5CFA" w:rsidP="00AB5CFA">
      <w:pPr>
        <w:spacing w:line="360" w:lineRule="auto"/>
        <w:jc w:val="both"/>
        <w:rPr>
          <w:rFonts w:ascii="Times New Roman" w:hAnsi="Times New Roman"/>
          <w:sz w:val="24"/>
          <w:szCs w:val="24"/>
        </w:rPr>
      </w:pPr>
      <w:r w:rsidRPr="00EB42B0">
        <w:rPr>
          <w:rFonts w:ascii="Times New Roman" w:hAnsi="Times New Roman"/>
          <w:sz w:val="24"/>
          <w:szCs w:val="24"/>
        </w:rPr>
        <w:t>In 2006, the UN Special Rapporteur on Extra-Judicial, Summary or Arbitrary Executions observed that torture was an intrinsic part of law enforcement methods in Nigeria.</w:t>
      </w:r>
      <w:r w:rsidRPr="00EB42B0">
        <w:rPr>
          <w:rFonts w:ascii="Times New Roman" w:hAnsi="Times New Roman"/>
          <w:sz w:val="24"/>
          <w:szCs w:val="24"/>
          <w:vertAlign w:val="superscript"/>
        </w:rPr>
        <w:footnoteReference w:id="82"/>
      </w:r>
      <w:r w:rsidRPr="00EB42B0">
        <w:rPr>
          <w:rFonts w:ascii="Times New Roman" w:hAnsi="Times New Roman"/>
          <w:sz w:val="24"/>
          <w:szCs w:val="24"/>
        </w:rPr>
        <w:t xml:space="preserve"> Section 34 (1) of the 1999 </w:t>
      </w:r>
      <w:r w:rsidRPr="00EB42B0">
        <w:rPr>
          <w:rFonts w:ascii="Times New Roman" w:hAnsi="Times New Roman"/>
          <w:i/>
          <w:sz w:val="24"/>
          <w:szCs w:val="24"/>
        </w:rPr>
        <w:t>Constitution of Nigeria</w:t>
      </w:r>
      <w:r w:rsidRPr="00EB42B0">
        <w:rPr>
          <w:rFonts w:ascii="Times New Roman" w:hAnsi="Times New Roman"/>
          <w:sz w:val="24"/>
          <w:szCs w:val="24"/>
        </w:rPr>
        <w:t xml:space="preserve"> </w:t>
      </w:r>
      <w:r w:rsidR="004708B7" w:rsidRPr="00EB42B0">
        <w:rPr>
          <w:rFonts w:ascii="Times New Roman" w:hAnsi="Times New Roman"/>
          <w:sz w:val="24"/>
          <w:szCs w:val="24"/>
        </w:rPr>
        <w:t>expressly provides that “</w:t>
      </w:r>
      <w:r w:rsidRPr="00EB42B0">
        <w:rPr>
          <w:rFonts w:ascii="Times New Roman" w:hAnsi="Times New Roman"/>
          <w:sz w:val="24"/>
          <w:szCs w:val="24"/>
        </w:rPr>
        <w:t>no person shall be subjected to torture or to inhuman or degrading treatmen</w:t>
      </w:r>
      <w:r w:rsidR="004708B7" w:rsidRPr="00EB42B0">
        <w:rPr>
          <w:rFonts w:ascii="Times New Roman" w:hAnsi="Times New Roman"/>
          <w:sz w:val="24"/>
          <w:szCs w:val="24"/>
        </w:rPr>
        <w:t>”.</w:t>
      </w:r>
      <w:r w:rsidRPr="00EB42B0">
        <w:rPr>
          <w:rFonts w:ascii="Times New Roman" w:hAnsi="Times New Roman"/>
          <w:sz w:val="24"/>
          <w:szCs w:val="24"/>
          <w:vertAlign w:val="superscript"/>
        </w:rPr>
        <w:footnoteReference w:id="83"/>
      </w:r>
      <w:r w:rsidRPr="00EB42B0">
        <w:rPr>
          <w:rFonts w:ascii="Times New Roman" w:hAnsi="Times New Roman"/>
          <w:sz w:val="24"/>
          <w:szCs w:val="24"/>
        </w:rPr>
        <w:t xml:space="preserve"> Furthermore, Article 4 of the </w:t>
      </w:r>
      <w:r w:rsidRPr="00EB42B0">
        <w:rPr>
          <w:rFonts w:ascii="Times New Roman" w:hAnsi="Times New Roman"/>
          <w:i/>
          <w:sz w:val="24"/>
          <w:szCs w:val="24"/>
        </w:rPr>
        <w:t>Convention against Torture</w:t>
      </w:r>
      <w:r w:rsidR="004708B7" w:rsidRPr="00EB42B0">
        <w:rPr>
          <w:rFonts w:ascii="Times New Roman" w:hAnsi="Times New Roman"/>
          <w:sz w:val="24"/>
          <w:szCs w:val="24"/>
        </w:rPr>
        <w:t xml:space="preserve"> provides that “</w:t>
      </w:r>
      <w:r w:rsidRPr="00EB42B0">
        <w:rPr>
          <w:rFonts w:ascii="Times New Roman" w:hAnsi="Times New Roman"/>
          <w:sz w:val="24"/>
          <w:szCs w:val="24"/>
        </w:rPr>
        <w:t xml:space="preserve">[e]ach state party shall ensure that all acts of torture are </w:t>
      </w:r>
      <w:r w:rsidR="004708B7" w:rsidRPr="00EB42B0">
        <w:rPr>
          <w:rFonts w:ascii="Times New Roman" w:hAnsi="Times New Roman"/>
          <w:sz w:val="24"/>
          <w:szCs w:val="24"/>
        </w:rPr>
        <w:t>offences under its criminal law”.</w:t>
      </w:r>
      <w:r w:rsidRPr="00EB42B0">
        <w:rPr>
          <w:rFonts w:ascii="Times New Roman" w:hAnsi="Times New Roman"/>
          <w:sz w:val="24"/>
          <w:szCs w:val="24"/>
          <w:vertAlign w:val="superscript"/>
        </w:rPr>
        <w:footnoteReference w:id="84"/>
      </w:r>
      <w:r w:rsidRPr="00EB42B0">
        <w:rPr>
          <w:rFonts w:ascii="Times New Roman" w:hAnsi="Times New Roman"/>
          <w:sz w:val="24"/>
          <w:szCs w:val="24"/>
        </w:rPr>
        <w:t xml:space="preserve"> This is a non-derogable right and a peremptory norm of international law. Despite these, the number of cases reported to the Nigerian NHRC between 2009 and 2012 was on the rise. In 2009, the number of reported cases was at 94 but in 2010 the number had risen to 1,403 and in 2012 the number stood at 2,230.</w:t>
      </w:r>
      <w:r w:rsidRPr="00EB42B0">
        <w:rPr>
          <w:rFonts w:ascii="Times New Roman" w:hAnsi="Times New Roman"/>
          <w:sz w:val="24"/>
          <w:szCs w:val="24"/>
          <w:vertAlign w:val="superscript"/>
        </w:rPr>
        <w:footnoteReference w:id="85"/>
      </w:r>
      <w:r w:rsidRPr="00EB42B0">
        <w:rPr>
          <w:rFonts w:ascii="Times New Roman" w:hAnsi="Times New Roman"/>
          <w:sz w:val="24"/>
          <w:szCs w:val="24"/>
        </w:rPr>
        <w:t xml:space="preserve"> It was in this light that states like </w:t>
      </w:r>
      <w:r w:rsidRPr="00EB42B0">
        <w:rPr>
          <w:rFonts w:ascii="Times New Roman" w:hAnsi="Times New Roman"/>
          <w:sz w:val="24"/>
          <w:szCs w:val="24"/>
        </w:rPr>
        <w:lastRenderedPageBreak/>
        <w:t>Benin, Ukraine, The Netherlands and Denmark, reco</w:t>
      </w:r>
      <w:r w:rsidR="004708B7" w:rsidRPr="00EB42B0">
        <w:rPr>
          <w:rFonts w:ascii="Times New Roman" w:hAnsi="Times New Roman"/>
          <w:sz w:val="24"/>
          <w:szCs w:val="24"/>
        </w:rPr>
        <w:t>mmended that Nigeria should “</w:t>
      </w:r>
      <w:r w:rsidRPr="00EB42B0">
        <w:rPr>
          <w:rFonts w:ascii="Times New Roman" w:hAnsi="Times New Roman"/>
          <w:sz w:val="24"/>
          <w:szCs w:val="24"/>
        </w:rPr>
        <w:t>establish a national preventive mechanism to align itself with its neighbours positive practices</w:t>
      </w:r>
      <w:r w:rsidR="004708B7" w:rsidRPr="00EB42B0">
        <w:rPr>
          <w:rFonts w:ascii="Times New Roman" w:hAnsi="Times New Roman"/>
          <w:sz w:val="24"/>
          <w:szCs w:val="24"/>
        </w:rPr>
        <w:t>”</w:t>
      </w:r>
      <w:r w:rsidRPr="00EB42B0">
        <w:rPr>
          <w:rFonts w:ascii="Times New Roman" w:hAnsi="Times New Roman"/>
          <w:sz w:val="24"/>
          <w:szCs w:val="24"/>
        </w:rPr>
        <w:t>;</w:t>
      </w:r>
      <w:r w:rsidR="004708B7" w:rsidRPr="00EB42B0">
        <w:rPr>
          <w:rFonts w:ascii="Times New Roman" w:hAnsi="Times New Roman"/>
          <w:sz w:val="24"/>
          <w:szCs w:val="24"/>
        </w:rPr>
        <w:t xml:space="preserve"> “</w:t>
      </w:r>
      <w:r w:rsidRPr="00EB42B0">
        <w:rPr>
          <w:rFonts w:ascii="Times New Roman" w:hAnsi="Times New Roman"/>
          <w:sz w:val="24"/>
          <w:szCs w:val="24"/>
        </w:rPr>
        <w:t>[s]tep up its efforts to halt torture and ill-treatment</w:t>
      </w:r>
      <w:r w:rsidR="004708B7" w:rsidRPr="00EB42B0">
        <w:rPr>
          <w:rFonts w:ascii="Times New Roman" w:hAnsi="Times New Roman"/>
          <w:sz w:val="24"/>
          <w:szCs w:val="24"/>
        </w:rPr>
        <w:t>”</w:t>
      </w:r>
      <w:r w:rsidRPr="00EB42B0">
        <w:rPr>
          <w:rFonts w:ascii="Times New Roman" w:hAnsi="Times New Roman"/>
          <w:sz w:val="24"/>
          <w:szCs w:val="24"/>
        </w:rPr>
        <w:t>; adopt legislative measures to prevent and prosecute acts of torture</w:t>
      </w:r>
      <w:r w:rsidR="004708B7" w:rsidRPr="00EB42B0">
        <w:rPr>
          <w:rFonts w:ascii="Times New Roman" w:hAnsi="Times New Roman"/>
          <w:sz w:val="24"/>
          <w:szCs w:val="24"/>
        </w:rPr>
        <w:t xml:space="preserve"> and other ill-treatment; and “</w:t>
      </w:r>
      <w:r w:rsidRPr="00EB42B0">
        <w:rPr>
          <w:rFonts w:ascii="Times New Roman" w:hAnsi="Times New Roman"/>
          <w:sz w:val="24"/>
          <w:szCs w:val="24"/>
        </w:rPr>
        <w:t>[p]revent using cruel, i</w:t>
      </w:r>
      <w:r w:rsidR="004708B7" w:rsidRPr="00EB42B0">
        <w:rPr>
          <w:rFonts w:ascii="Times New Roman" w:hAnsi="Times New Roman"/>
          <w:sz w:val="24"/>
          <w:szCs w:val="24"/>
        </w:rPr>
        <w:t>nhuman and degrading punishment”.</w:t>
      </w:r>
      <w:r w:rsidRPr="00EB42B0">
        <w:rPr>
          <w:rFonts w:ascii="Times New Roman" w:hAnsi="Times New Roman"/>
          <w:sz w:val="24"/>
          <w:szCs w:val="24"/>
          <w:vertAlign w:val="superscript"/>
        </w:rPr>
        <w:footnoteReference w:id="86"/>
      </w:r>
      <w:r w:rsidRPr="00EB42B0">
        <w:rPr>
          <w:rFonts w:ascii="Times New Roman" w:hAnsi="Times New Roman"/>
          <w:sz w:val="24"/>
          <w:szCs w:val="24"/>
        </w:rPr>
        <w:t xml:space="preserve"> These recommendations accounted for about 15% of the total recommendations made to Nigeria during UPR I.</w:t>
      </w:r>
    </w:p>
    <w:p w:rsidR="00AB5CFA" w:rsidRPr="00EB42B0" w:rsidRDefault="00AB5CFA" w:rsidP="00AB5CFA">
      <w:pPr>
        <w:spacing w:line="360" w:lineRule="auto"/>
        <w:jc w:val="both"/>
        <w:rPr>
          <w:rFonts w:ascii="Times New Roman" w:hAnsi="Times New Roman"/>
          <w:sz w:val="24"/>
          <w:szCs w:val="24"/>
        </w:rPr>
      </w:pPr>
      <w:r w:rsidRPr="00EB42B0">
        <w:rPr>
          <w:rFonts w:ascii="Times New Roman" w:hAnsi="Times New Roman"/>
          <w:sz w:val="24"/>
          <w:szCs w:val="24"/>
        </w:rPr>
        <w:t>With regard to their implementation, in 2009, Nigeria set up the National Committee Against Torture (NCAT) as a national preventative mechanism.</w:t>
      </w:r>
      <w:r w:rsidRPr="00EB42B0">
        <w:rPr>
          <w:rFonts w:ascii="Times New Roman" w:hAnsi="Times New Roman"/>
          <w:sz w:val="24"/>
          <w:szCs w:val="24"/>
          <w:vertAlign w:val="superscript"/>
        </w:rPr>
        <w:footnoteReference w:id="87"/>
      </w:r>
      <w:r w:rsidRPr="00EB42B0">
        <w:rPr>
          <w:rFonts w:ascii="Times New Roman" w:hAnsi="Times New Roman"/>
          <w:sz w:val="24"/>
          <w:szCs w:val="24"/>
        </w:rPr>
        <w:t xml:space="preserve"> The NCAT is mandated amongst other things to receive and consider complaints on torture; conduct visits to places of detention and examine allegations of torture therein; review the treatment of persons in detention with a view to prevent torture; develop a national anti-torture policy and propose anti-torture legislation.</w:t>
      </w:r>
      <w:r w:rsidRPr="00EB42B0">
        <w:rPr>
          <w:rFonts w:ascii="Times New Roman" w:hAnsi="Times New Roman"/>
          <w:sz w:val="24"/>
          <w:szCs w:val="24"/>
          <w:vertAlign w:val="superscript"/>
        </w:rPr>
        <w:footnoteReference w:id="88"/>
      </w:r>
      <w:r w:rsidRPr="00EB42B0">
        <w:rPr>
          <w:rFonts w:ascii="Times New Roman" w:hAnsi="Times New Roman"/>
          <w:sz w:val="24"/>
          <w:szCs w:val="24"/>
        </w:rPr>
        <w:t xml:space="preserve"> The NCAT has partnered with the NHRC to organise training workshops and sensitise relevant actors on the UN </w:t>
      </w:r>
      <w:r w:rsidRPr="00EB42B0">
        <w:rPr>
          <w:rFonts w:ascii="Times New Roman" w:hAnsi="Times New Roman"/>
          <w:i/>
          <w:sz w:val="24"/>
          <w:szCs w:val="24"/>
        </w:rPr>
        <w:t>Convention against</w:t>
      </w:r>
      <w:r w:rsidRPr="00EB42B0">
        <w:rPr>
          <w:rFonts w:ascii="Times New Roman" w:hAnsi="Times New Roman"/>
          <w:sz w:val="24"/>
          <w:szCs w:val="24"/>
        </w:rPr>
        <w:t xml:space="preserve"> </w:t>
      </w:r>
      <w:r w:rsidRPr="00EB42B0">
        <w:rPr>
          <w:rFonts w:ascii="Times New Roman" w:hAnsi="Times New Roman"/>
          <w:i/>
          <w:sz w:val="24"/>
          <w:szCs w:val="24"/>
        </w:rPr>
        <w:t>Torture</w:t>
      </w:r>
      <w:r w:rsidRPr="00EB42B0">
        <w:rPr>
          <w:rFonts w:ascii="Times New Roman" w:hAnsi="Times New Roman"/>
          <w:sz w:val="24"/>
          <w:szCs w:val="24"/>
        </w:rPr>
        <w:t xml:space="preserve"> (CAT) and its </w:t>
      </w:r>
      <w:r w:rsidRPr="00EB42B0">
        <w:rPr>
          <w:rFonts w:ascii="Times New Roman" w:hAnsi="Times New Roman"/>
          <w:i/>
          <w:sz w:val="24"/>
          <w:szCs w:val="24"/>
        </w:rPr>
        <w:t>Optional Protocol</w:t>
      </w:r>
      <w:r w:rsidRPr="00EB42B0">
        <w:rPr>
          <w:rFonts w:ascii="Times New Roman" w:hAnsi="Times New Roman"/>
          <w:sz w:val="24"/>
          <w:szCs w:val="24"/>
        </w:rPr>
        <w:t>.</w:t>
      </w:r>
      <w:r w:rsidRPr="00EB42B0">
        <w:rPr>
          <w:rFonts w:ascii="Times New Roman" w:hAnsi="Times New Roman"/>
          <w:sz w:val="24"/>
          <w:szCs w:val="24"/>
          <w:vertAlign w:val="superscript"/>
        </w:rPr>
        <w:footnoteReference w:id="89"/>
      </w:r>
    </w:p>
    <w:p w:rsidR="00AB5CFA" w:rsidRPr="00EB42B0" w:rsidRDefault="00AB5CFA" w:rsidP="00AB5CFA">
      <w:pPr>
        <w:spacing w:line="360" w:lineRule="auto"/>
        <w:jc w:val="both"/>
        <w:rPr>
          <w:rFonts w:ascii="Times New Roman" w:hAnsi="Times New Roman"/>
          <w:sz w:val="24"/>
          <w:szCs w:val="24"/>
        </w:rPr>
      </w:pPr>
      <w:r w:rsidRPr="00EB42B0">
        <w:rPr>
          <w:rFonts w:ascii="Times New Roman" w:hAnsi="Times New Roman"/>
          <w:sz w:val="24"/>
          <w:szCs w:val="24"/>
        </w:rPr>
        <w:t>Despite these efforts, torture continues to persist. The Nigerian Criminal and Penal code does not explicitly prohibit torture and the NCAT does not have investigatory or prosecutorial powers.</w:t>
      </w:r>
      <w:r w:rsidRPr="00EB42B0">
        <w:rPr>
          <w:rFonts w:ascii="Times New Roman" w:hAnsi="Times New Roman"/>
          <w:sz w:val="24"/>
          <w:szCs w:val="24"/>
          <w:vertAlign w:val="superscript"/>
        </w:rPr>
        <w:footnoteReference w:id="90"/>
      </w:r>
      <w:r w:rsidRPr="00EB42B0">
        <w:rPr>
          <w:rFonts w:ascii="Times New Roman" w:hAnsi="Times New Roman"/>
          <w:sz w:val="24"/>
          <w:szCs w:val="24"/>
        </w:rPr>
        <w:t xml:space="preserve"> This is arguably inconsistent with the constitutional provision and international obligation earlier mentioned. Force Order 237 of Nigeria’s Police Regulations contributes to the ongoing use of torture by permitting police officers to shoot detainees and suspects who attempt to escape or avoid arrest, regardless of whether they pose a threat to life.</w:t>
      </w:r>
      <w:r w:rsidRPr="00EB42B0">
        <w:rPr>
          <w:rFonts w:ascii="Times New Roman" w:hAnsi="Times New Roman"/>
          <w:sz w:val="24"/>
          <w:szCs w:val="24"/>
          <w:vertAlign w:val="superscript"/>
        </w:rPr>
        <w:footnoteReference w:id="91"/>
      </w:r>
      <w:r w:rsidRPr="00EB42B0">
        <w:rPr>
          <w:rFonts w:ascii="Times New Roman" w:hAnsi="Times New Roman"/>
          <w:sz w:val="24"/>
          <w:szCs w:val="24"/>
        </w:rPr>
        <w:t xml:space="preserve"> Nevertheless, the work undertaken by the NCAT is a significant step. There has recently been a decline in the number of reported cases of torture and other cruel inhuman and degrading treatment between 2012 and 2014, from 1920 reported cases to below 400.</w:t>
      </w:r>
      <w:r w:rsidRPr="00EB42B0">
        <w:rPr>
          <w:rFonts w:ascii="Times New Roman" w:hAnsi="Times New Roman"/>
          <w:sz w:val="24"/>
          <w:szCs w:val="24"/>
          <w:vertAlign w:val="superscript"/>
        </w:rPr>
        <w:footnoteReference w:id="92"/>
      </w:r>
      <w:r w:rsidRPr="00EB42B0">
        <w:rPr>
          <w:rFonts w:ascii="Times New Roman" w:hAnsi="Times New Roman"/>
          <w:sz w:val="24"/>
          <w:szCs w:val="24"/>
        </w:rPr>
        <w:t xml:space="preserve"> But Nigeria is yet to recognise the competence of the Committee against Torture to receive communications from individuals under article 22 of CAT.</w:t>
      </w:r>
    </w:p>
    <w:p w:rsidR="00B61587" w:rsidRPr="00EB42B0" w:rsidRDefault="00B61587" w:rsidP="00B61587">
      <w:pPr>
        <w:spacing w:line="360" w:lineRule="auto"/>
        <w:jc w:val="both"/>
        <w:rPr>
          <w:rFonts w:ascii="Times New Roman" w:hAnsi="Times New Roman"/>
          <w:sz w:val="24"/>
          <w:szCs w:val="24"/>
        </w:rPr>
      </w:pPr>
      <w:r w:rsidRPr="00EB42B0">
        <w:rPr>
          <w:rFonts w:ascii="Times New Roman" w:hAnsi="Times New Roman"/>
          <w:sz w:val="24"/>
          <w:szCs w:val="24"/>
        </w:rPr>
        <w:lastRenderedPageBreak/>
        <w:t>It can be observed from the above analysis that the Nigerian government engaged with the implementation of many of its UPR I recommendations. This underscores the potential for cooperative mechanisms to contribute to human rights changes within states. As explaine</w:t>
      </w:r>
      <w:r w:rsidR="00B514BC" w:rsidRPr="00EB42B0">
        <w:rPr>
          <w:rFonts w:ascii="Times New Roman" w:hAnsi="Times New Roman"/>
          <w:sz w:val="24"/>
          <w:szCs w:val="24"/>
        </w:rPr>
        <w:t>d by Elvira Domínguez Redondo, “</w:t>
      </w:r>
      <w:r w:rsidRPr="00EB42B0">
        <w:rPr>
          <w:rFonts w:ascii="Times New Roman" w:hAnsi="Times New Roman"/>
          <w:sz w:val="24"/>
          <w:szCs w:val="24"/>
        </w:rPr>
        <w:t>those in charge of human rights mechanisms, scholars and practitioners tend to neglect the potential value of cooperative approaches to human rights implementation and focus instead on</w:t>
      </w:r>
      <w:r w:rsidR="00B514BC" w:rsidRPr="00EB42B0">
        <w:rPr>
          <w:rFonts w:ascii="Times New Roman" w:hAnsi="Times New Roman"/>
          <w:sz w:val="24"/>
          <w:szCs w:val="24"/>
        </w:rPr>
        <w:t xml:space="preserve"> the confrontational approaches”</w:t>
      </w:r>
      <w:bookmarkStart w:id="17" w:name="_Ref503704924"/>
      <w:r w:rsidRPr="00EB42B0">
        <w:rPr>
          <w:rStyle w:val="FootnoteReference"/>
          <w:rFonts w:ascii="Times New Roman" w:hAnsi="Times New Roman"/>
          <w:sz w:val="24"/>
          <w:szCs w:val="24"/>
        </w:rPr>
        <w:footnoteReference w:id="93"/>
      </w:r>
      <w:bookmarkEnd w:id="17"/>
      <w:r w:rsidRPr="00EB42B0">
        <w:rPr>
          <w:rFonts w:ascii="Times New Roman" w:hAnsi="Times New Roman"/>
          <w:sz w:val="24"/>
          <w:szCs w:val="24"/>
        </w:rPr>
        <w:t xml:space="preserve"> While this section demonstrates the potential for the UPR to improve the human rights situation on the ground, it examined decoupling gap between the recommendations accepted on the one hand and those implemented on the other (including both FI and PI). This is represented by more than 50% of recommendations not implemented within the implementation time periodic. As earlier indicated, </w:t>
      </w:r>
      <w:r w:rsidRPr="00EB42B0">
        <w:rPr>
          <w:rFonts w:ascii="Times New Roman" w:hAnsi="Times New Roman"/>
          <w:sz w:val="24"/>
        </w:rPr>
        <w:t xml:space="preserve">my analysis does not assert a direct causal link between a state’s action and specific UPR recommendations. Rather, it considers the extent to which the UPR contributed to the realisation of human rights changes within states. </w:t>
      </w:r>
      <w:r w:rsidRPr="00EB42B0">
        <w:rPr>
          <w:rFonts w:ascii="Times New Roman" w:hAnsi="Times New Roman"/>
          <w:sz w:val="24"/>
          <w:szCs w:val="24"/>
        </w:rPr>
        <w:t>The implementation of recommendations, especially on justice and detention, women’s rights and torture, as examined above still represent significant challenges in Nigeria, which, as argued in the next section, can be narrowed over time.</w:t>
      </w:r>
    </w:p>
    <w:p w:rsidR="008C0E47" w:rsidRPr="00EB42B0" w:rsidRDefault="006B25E4" w:rsidP="002B409E">
      <w:pPr>
        <w:numPr>
          <w:ilvl w:val="0"/>
          <w:numId w:val="21"/>
        </w:numPr>
        <w:spacing w:line="360" w:lineRule="auto"/>
        <w:jc w:val="both"/>
        <w:rPr>
          <w:rFonts w:ascii="Times New Roman" w:hAnsi="Times New Roman"/>
          <w:sz w:val="24"/>
          <w:szCs w:val="24"/>
        </w:rPr>
      </w:pPr>
      <w:r w:rsidRPr="00EB42B0">
        <w:rPr>
          <w:rFonts w:ascii="Times New Roman" w:hAnsi="Times New Roman"/>
          <w:sz w:val="24"/>
          <w:szCs w:val="24"/>
        </w:rPr>
        <w:t>ACCULTURATION AND ITS EFFECTS ON NIGERIA’S UPR ENGAGEMENT</w:t>
      </w:r>
    </w:p>
    <w:p w:rsidR="00233CF8" w:rsidRPr="00EB42B0" w:rsidRDefault="00233CF8" w:rsidP="00233CF8">
      <w:pPr>
        <w:pStyle w:val="ListParagraph"/>
        <w:numPr>
          <w:ilvl w:val="1"/>
          <w:numId w:val="25"/>
        </w:numPr>
        <w:spacing w:line="360" w:lineRule="auto"/>
        <w:jc w:val="both"/>
        <w:rPr>
          <w:rFonts w:ascii="Times New Roman" w:hAnsi="Times New Roman"/>
          <w:b/>
          <w:sz w:val="24"/>
          <w:szCs w:val="24"/>
        </w:rPr>
      </w:pPr>
      <w:r w:rsidRPr="00EB42B0">
        <w:rPr>
          <w:rFonts w:ascii="Times New Roman" w:hAnsi="Times New Roman"/>
          <w:sz w:val="24"/>
          <w:szCs w:val="24"/>
        </w:rPr>
        <w:t xml:space="preserve"> </w:t>
      </w:r>
      <w:r w:rsidRPr="00EB42B0">
        <w:rPr>
          <w:rFonts w:ascii="Times New Roman" w:hAnsi="Times New Roman"/>
          <w:b/>
          <w:sz w:val="24"/>
          <w:szCs w:val="24"/>
        </w:rPr>
        <w:t>The Theory of Acculturation</w:t>
      </w:r>
    </w:p>
    <w:p w:rsidR="007F39D4" w:rsidRPr="00EB42B0" w:rsidRDefault="008C0E47" w:rsidP="007F39D4">
      <w:pPr>
        <w:spacing w:line="360" w:lineRule="auto"/>
        <w:jc w:val="both"/>
        <w:rPr>
          <w:rFonts w:ascii="Times New Roman" w:hAnsi="Times New Roman"/>
          <w:sz w:val="24"/>
          <w:szCs w:val="24"/>
        </w:rPr>
      </w:pPr>
      <w:r w:rsidRPr="00EB42B0">
        <w:rPr>
          <w:rFonts w:ascii="Times New Roman" w:hAnsi="Times New Roman"/>
          <w:sz w:val="24"/>
          <w:szCs w:val="24"/>
        </w:rPr>
        <w:t>A</w:t>
      </w:r>
      <w:r w:rsidR="00D57907" w:rsidRPr="00EB42B0">
        <w:rPr>
          <w:rFonts w:ascii="Times New Roman" w:hAnsi="Times New Roman"/>
          <w:sz w:val="24"/>
          <w:szCs w:val="24"/>
        </w:rPr>
        <w:t>ccording to Ryan Goodman and Derek Jinks, a</w:t>
      </w:r>
      <w:r w:rsidRPr="00EB42B0">
        <w:rPr>
          <w:rFonts w:ascii="Times New Roman" w:hAnsi="Times New Roman"/>
          <w:sz w:val="24"/>
          <w:szCs w:val="24"/>
        </w:rPr>
        <w:t xml:space="preserve">cculturation is ‘the general process by which actors adopt the beliefs and behavioural patterns of the surrounding culture, without actively assessing either the merits of those beliefs and </w:t>
      </w:r>
      <w:r w:rsidR="004E0B4A" w:rsidRPr="00EB42B0">
        <w:rPr>
          <w:rFonts w:ascii="Times New Roman" w:hAnsi="Times New Roman"/>
          <w:sz w:val="24"/>
          <w:szCs w:val="24"/>
        </w:rPr>
        <w:t>behaviours</w:t>
      </w:r>
      <w:r w:rsidRPr="00EB42B0">
        <w:rPr>
          <w:rFonts w:ascii="Times New Roman" w:hAnsi="Times New Roman"/>
          <w:sz w:val="24"/>
          <w:szCs w:val="24"/>
        </w:rPr>
        <w:t xml:space="preserve"> or the material costs and benefits of conforming to them.’</w:t>
      </w:r>
      <w:bookmarkStart w:id="18" w:name="_Ref503703781"/>
      <w:r w:rsidRPr="00EB42B0">
        <w:rPr>
          <w:rStyle w:val="FootnoteReference"/>
          <w:rFonts w:ascii="Times New Roman" w:hAnsi="Times New Roman"/>
          <w:sz w:val="24"/>
          <w:szCs w:val="24"/>
        </w:rPr>
        <w:footnoteReference w:id="94"/>
      </w:r>
      <w:bookmarkEnd w:id="18"/>
      <w:r w:rsidRPr="00EB42B0">
        <w:rPr>
          <w:rFonts w:ascii="Times New Roman" w:hAnsi="Times New Roman"/>
          <w:sz w:val="24"/>
          <w:szCs w:val="24"/>
        </w:rPr>
        <w:t xml:space="preserve"> </w:t>
      </w:r>
      <w:r w:rsidR="007F39D4" w:rsidRPr="00EB42B0">
        <w:rPr>
          <w:rFonts w:ascii="Times New Roman" w:hAnsi="Times New Roman"/>
          <w:sz w:val="24"/>
          <w:szCs w:val="24"/>
        </w:rPr>
        <w:t>The theory of acculturation calls into question the view that compliance with human rights norms is best induced by the exercise of coercive power or by binding decisions emanating from human rights monitoring institutions.</w:t>
      </w:r>
      <w:r w:rsidR="007F39D4" w:rsidRPr="00EB42B0">
        <w:rPr>
          <w:rFonts w:ascii="Times New Roman" w:hAnsi="Times New Roman"/>
          <w:sz w:val="24"/>
          <w:szCs w:val="24"/>
          <w:vertAlign w:val="superscript"/>
        </w:rPr>
        <w:footnoteReference w:id="95"/>
      </w:r>
      <w:r w:rsidR="007F39D4" w:rsidRPr="00EB42B0">
        <w:rPr>
          <w:rFonts w:ascii="Times New Roman" w:hAnsi="Times New Roman"/>
          <w:sz w:val="24"/>
          <w:szCs w:val="24"/>
        </w:rPr>
        <w:t xml:space="preserve"> Central to the acculturation theory is that power is not merely prohibitive, material and centralised but also productive, cultural and diffuse.</w:t>
      </w:r>
      <w:r w:rsidR="007F39D4" w:rsidRPr="00EB42B0">
        <w:rPr>
          <w:rFonts w:ascii="Times New Roman" w:hAnsi="Times New Roman"/>
          <w:sz w:val="24"/>
          <w:szCs w:val="24"/>
          <w:vertAlign w:val="superscript"/>
        </w:rPr>
        <w:footnoteReference w:id="96"/>
      </w:r>
      <w:r w:rsidR="007F39D4" w:rsidRPr="00EB42B0">
        <w:rPr>
          <w:rFonts w:ascii="Times New Roman" w:hAnsi="Times New Roman"/>
          <w:sz w:val="24"/>
          <w:szCs w:val="24"/>
        </w:rPr>
        <w:t xml:space="preserve"> Goodman and Jinks argue that mechanisms based on coercion are </w:t>
      </w:r>
      <w:r w:rsidR="007F39D4" w:rsidRPr="00EB42B0">
        <w:rPr>
          <w:rFonts w:ascii="Times New Roman" w:hAnsi="Times New Roman"/>
          <w:sz w:val="24"/>
          <w:szCs w:val="24"/>
        </w:rPr>
        <w:lastRenderedPageBreak/>
        <w:t>inadequate because coercion ‘fails to grasp the complexity of the social environment within which states act.’</w:t>
      </w:r>
      <w:bookmarkStart w:id="19" w:name="_Ref503703626"/>
      <w:r w:rsidR="007F39D4" w:rsidRPr="00EB42B0">
        <w:rPr>
          <w:rFonts w:ascii="Times New Roman" w:hAnsi="Times New Roman"/>
          <w:sz w:val="24"/>
          <w:szCs w:val="24"/>
          <w:vertAlign w:val="superscript"/>
        </w:rPr>
        <w:footnoteReference w:id="97"/>
      </w:r>
      <w:bookmarkEnd w:id="19"/>
      <w:r w:rsidR="007F39D4" w:rsidRPr="00EB42B0">
        <w:rPr>
          <w:rFonts w:ascii="Times New Roman" w:hAnsi="Times New Roman"/>
          <w:sz w:val="24"/>
          <w:szCs w:val="24"/>
        </w:rPr>
        <w:t xml:space="preserve"> Monitoring and reporting are highly effective and important functions in an acculturation-based institutional regime, while sanctions and binding decisions are potentially counterproductive.</w:t>
      </w:r>
      <w:r w:rsidR="007F39D4" w:rsidRPr="00EB42B0">
        <w:rPr>
          <w:rFonts w:ascii="Times New Roman" w:hAnsi="Times New Roman"/>
          <w:sz w:val="24"/>
          <w:szCs w:val="24"/>
          <w:vertAlign w:val="superscript"/>
        </w:rPr>
        <w:footnoteReference w:id="98"/>
      </w:r>
      <w:r w:rsidR="007F39D4" w:rsidRPr="00EB42B0">
        <w:rPr>
          <w:rFonts w:ascii="Times New Roman" w:hAnsi="Times New Roman"/>
          <w:sz w:val="24"/>
          <w:szCs w:val="24"/>
        </w:rPr>
        <w:t xml:space="preserve"> The acculturation approach shows preference for ‘soft’ mechanisms but does not call for a complete abandonment of coercive mechanisms. Rather, it argues that acculturation, like coercion, is more likely to succeed under certain conditions or when combined with other mechanisms.</w:t>
      </w:r>
      <w:r w:rsidR="007F39D4" w:rsidRPr="00EB42B0">
        <w:rPr>
          <w:rFonts w:ascii="Times New Roman" w:hAnsi="Times New Roman"/>
          <w:sz w:val="24"/>
          <w:szCs w:val="24"/>
          <w:vertAlign w:val="superscript"/>
        </w:rPr>
        <w:footnoteReference w:id="99"/>
      </w:r>
      <w:r w:rsidR="007F39D4" w:rsidRPr="00EB42B0">
        <w:rPr>
          <w:rFonts w:ascii="Times New Roman" w:hAnsi="Times New Roman"/>
          <w:sz w:val="24"/>
          <w:szCs w:val="24"/>
        </w:rPr>
        <w:t xml:space="preserve"> </w:t>
      </w:r>
    </w:p>
    <w:p w:rsidR="0065263F" w:rsidRPr="00EB42B0" w:rsidRDefault="007F39D4" w:rsidP="007F39D4">
      <w:pPr>
        <w:spacing w:line="360" w:lineRule="auto"/>
        <w:jc w:val="both"/>
        <w:rPr>
          <w:rFonts w:ascii="Times New Roman" w:hAnsi="Times New Roman"/>
          <w:sz w:val="24"/>
          <w:szCs w:val="24"/>
        </w:rPr>
      </w:pPr>
      <w:r w:rsidRPr="00EB42B0">
        <w:rPr>
          <w:rFonts w:ascii="Times New Roman" w:hAnsi="Times New Roman"/>
          <w:sz w:val="24"/>
          <w:szCs w:val="24"/>
        </w:rPr>
        <w:t>The ‘microprocesses’ of acculturation which include ‘mimicry’ and ‘identity’ propel cognitive and social pressures which drive a state to adopt socially legitimate attitudes, beliefs and behaviours.</w:t>
      </w:r>
      <w:r w:rsidRPr="00EB42B0">
        <w:rPr>
          <w:rFonts w:ascii="Times New Roman" w:hAnsi="Times New Roman"/>
          <w:sz w:val="24"/>
          <w:szCs w:val="24"/>
          <w:vertAlign w:val="superscript"/>
        </w:rPr>
        <w:footnoteReference w:id="100"/>
      </w:r>
      <w:r w:rsidRPr="00EB42B0">
        <w:rPr>
          <w:rFonts w:ascii="Times New Roman" w:hAnsi="Times New Roman"/>
          <w:sz w:val="24"/>
          <w:szCs w:val="24"/>
        </w:rPr>
        <w:t xml:space="preserve"> Mimicry relates to states copying the behaviour of other states. Acculturation involves a social pressure to conform to the behaviour of a reference group and conformity produces mimicry. This mimicry model proposed by Goodman and Jinks has been applied to other areas of international law.</w:t>
      </w:r>
      <w:r w:rsidRPr="00EB42B0">
        <w:rPr>
          <w:rFonts w:ascii="Times New Roman" w:hAnsi="Times New Roman"/>
          <w:sz w:val="24"/>
          <w:szCs w:val="24"/>
          <w:vertAlign w:val="superscript"/>
        </w:rPr>
        <w:footnoteReference w:id="101"/>
      </w:r>
      <w:r w:rsidRPr="00EB42B0">
        <w:rPr>
          <w:rFonts w:ascii="Times New Roman" w:hAnsi="Times New Roman"/>
          <w:sz w:val="24"/>
          <w:szCs w:val="24"/>
        </w:rPr>
        <w:t xml:space="preserve"> In particular, James Munro argues that acculturation explained the creation of the ASEAN Intergovernmental Commission on Human Rights (AICHR), whereby ASEAN states copied other states and regional organisations in the process and effectively mimicked a pattern of global behaviour.</w:t>
      </w:r>
      <w:r w:rsidRPr="00EB42B0">
        <w:rPr>
          <w:rFonts w:ascii="Times New Roman" w:hAnsi="Times New Roman"/>
          <w:sz w:val="24"/>
          <w:szCs w:val="24"/>
          <w:vertAlign w:val="superscript"/>
        </w:rPr>
        <w:footnoteReference w:id="102"/>
      </w:r>
      <w:r w:rsidRPr="00EB42B0">
        <w:rPr>
          <w:rFonts w:ascii="Times New Roman" w:hAnsi="Times New Roman"/>
          <w:sz w:val="24"/>
          <w:szCs w:val="24"/>
        </w:rPr>
        <w:t xml:space="preserve"> </w:t>
      </w:r>
    </w:p>
    <w:p w:rsidR="007F39D4" w:rsidRPr="00EB42B0" w:rsidRDefault="0065263F" w:rsidP="007F39D4">
      <w:pPr>
        <w:spacing w:line="360" w:lineRule="auto"/>
        <w:jc w:val="both"/>
        <w:rPr>
          <w:rFonts w:ascii="Times New Roman" w:hAnsi="Times New Roman"/>
          <w:sz w:val="24"/>
          <w:szCs w:val="24"/>
        </w:rPr>
      </w:pPr>
      <w:r w:rsidRPr="00EB42B0">
        <w:rPr>
          <w:rFonts w:ascii="Times New Roman" w:hAnsi="Times New Roman"/>
          <w:sz w:val="24"/>
          <w:szCs w:val="24"/>
        </w:rPr>
        <w:t>Goodman and Jinks argue that</w:t>
      </w:r>
      <w:r w:rsidR="007F39D4" w:rsidRPr="00EB42B0">
        <w:rPr>
          <w:rFonts w:ascii="Times New Roman" w:hAnsi="Times New Roman"/>
          <w:sz w:val="24"/>
          <w:szCs w:val="24"/>
        </w:rPr>
        <w:t xml:space="preserve"> ‘identification’ is the touchstone of the theory of acculturation.</w:t>
      </w:r>
      <w:r w:rsidR="007F39D4" w:rsidRPr="00EB42B0">
        <w:rPr>
          <w:rFonts w:ascii="Times New Roman" w:hAnsi="Times New Roman"/>
          <w:sz w:val="24"/>
          <w:szCs w:val="24"/>
          <w:vertAlign w:val="superscript"/>
        </w:rPr>
        <w:footnoteReference w:id="103"/>
      </w:r>
      <w:r w:rsidRPr="00EB42B0">
        <w:rPr>
          <w:rFonts w:ascii="Times New Roman" w:hAnsi="Times New Roman"/>
          <w:sz w:val="24"/>
          <w:szCs w:val="24"/>
        </w:rPr>
        <w:t xml:space="preserve"> </w:t>
      </w:r>
      <w:r w:rsidR="007F39D4" w:rsidRPr="00EB42B0">
        <w:rPr>
          <w:rFonts w:ascii="Times New Roman" w:hAnsi="Times New Roman"/>
          <w:sz w:val="24"/>
          <w:szCs w:val="24"/>
        </w:rPr>
        <w:t>By identifying themselves with a reference group, states generate varying degrees of social and cognitive pressures to conform to the norms of that group.</w:t>
      </w:r>
      <w:r w:rsidR="007F39D4" w:rsidRPr="00EB42B0">
        <w:rPr>
          <w:rFonts w:ascii="Times New Roman" w:hAnsi="Times New Roman"/>
          <w:sz w:val="24"/>
          <w:szCs w:val="24"/>
          <w:vertAlign w:val="superscript"/>
        </w:rPr>
        <w:footnoteReference w:id="104"/>
      </w:r>
      <w:r w:rsidR="007F39D4" w:rsidRPr="00EB42B0">
        <w:rPr>
          <w:rFonts w:ascii="Times New Roman" w:hAnsi="Times New Roman"/>
          <w:sz w:val="24"/>
          <w:szCs w:val="24"/>
        </w:rPr>
        <w:t xml:space="preserve"> The social environment within which states act propels internal cognitive and social pressures which drive a state to adopt socially legitimate attitudes and beliefs. In his review on the theory of acculturation, </w:t>
      </w:r>
      <w:r w:rsidR="008E0FE3" w:rsidRPr="00EB42B0">
        <w:rPr>
          <w:rFonts w:ascii="Times New Roman" w:hAnsi="Times New Roman"/>
          <w:sz w:val="24"/>
          <w:szCs w:val="24"/>
        </w:rPr>
        <w:t xml:space="preserve">Harold </w:t>
      </w:r>
      <w:r w:rsidR="007F39D4" w:rsidRPr="00EB42B0">
        <w:rPr>
          <w:rFonts w:ascii="Times New Roman" w:hAnsi="Times New Roman"/>
          <w:sz w:val="24"/>
          <w:szCs w:val="24"/>
        </w:rPr>
        <w:t>Koh validates the theory of acculturation as a case study of internalisation through socialisation.</w:t>
      </w:r>
      <w:r w:rsidR="007F39D4" w:rsidRPr="00EB42B0">
        <w:rPr>
          <w:rFonts w:ascii="Times New Roman" w:hAnsi="Times New Roman"/>
          <w:sz w:val="24"/>
          <w:szCs w:val="24"/>
          <w:vertAlign w:val="superscript"/>
        </w:rPr>
        <w:footnoteReference w:id="105"/>
      </w:r>
      <w:r w:rsidR="007F39D4" w:rsidRPr="00EB42B0">
        <w:rPr>
          <w:rFonts w:ascii="Times New Roman" w:hAnsi="Times New Roman"/>
          <w:sz w:val="24"/>
          <w:szCs w:val="24"/>
        </w:rPr>
        <w:t xml:space="preserve"> He argues that by focusing on acculturation over coercion, Goodman </w:t>
      </w:r>
      <w:r w:rsidR="007F39D4" w:rsidRPr="00EB42B0">
        <w:rPr>
          <w:rFonts w:ascii="Times New Roman" w:hAnsi="Times New Roman"/>
          <w:sz w:val="24"/>
          <w:szCs w:val="24"/>
        </w:rPr>
        <w:lastRenderedPageBreak/>
        <w:t>and Jinks unmask a new approach to influence state compliance with human rights law through a ‘complex interaction between process and ideas.’</w:t>
      </w:r>
      <w:r w:rsidR="007F39D4" w:rsidRPr="00EB42B0">
        <w:rPr>
          <w:rFonts w:ascii="Times New Roman" w:hAnsi="Times New Roman"/>
          <w:sz w:val="24"/>
          <w:szCs w:val="24"/>
          <w:vertAlign w:val="superscript"/>
        </w:rPr>
        <w:footnoteReference w:id="106"/>
      </w:r>
      <w:r w:rsidR="007F39D4" w:rsidRPr="00EB42B0">
        <w:rPr>
          <w:rFonts w:ascii="Times New Roman" w:hAnsi="Times New Roman"/>
          <w:sz w:val="24"/>
          <w:szCs w:val="24"/>
        </w:rPr>
        <w:t xml:space="preserve">  </w:t>
      </w:r>
    </w:p>
    <w:p w:rsidR="00920A93" w:rsidRPr="00EB42B0" w:rsidRDefault="00920A93" w:rsidP="00920A93">
      <w:pPr>
        <w:spacing w:line="360" w:lineRule="auto"/>
        <w:jc w:val="both"/>
        <w:rPr>
          <w:rFonts w:ascii="Times New Roman" w:hAnsi="Times New Roman"/>
          <w:sz w:val="24"/>
        </w:rPr>
      </w:pPr>
      <w:r w:rsidRPr="00EB42B0">
        <w:rPr>
          <w:rFonts w:ascii="Times New Roman" w:hAnsi="Times New Roman"/>
          <w:sz w:val="24"/>
        </w:rPr>
        <w:t>The UPR mechanism shows the power of peer pressure and global culture in enforcing human rights law through state influence. Acculturation particularly favours the UPR mechanism because it is based on peer review and not configured to involve a selected group of insiders (experts), examining or reviewing those considered as outsiders (states). This helps to dispel the perception of ‘us’ versus ‘them’. According to Goodman and Jinks, the cognitive and social pressures generated by the acculturation micro process of identification is more effective when an International Governmental Organisation provides universal membership and subjects all member states to review.</w:t>
      </w:r>
      <w:r w:rsidRPr="00EB42B0">
        <w:rPr>
          <w:rStyle w:val="FootnoteReference"/>
          <w:rFonts w:ascii="Times New Roman" w:hAnsi="Times New Roman"/>
          <w:sz w:val="24"/>
        </w:rPr>
        <w:footnoteReference w:id="107"/>
      </w:r>
      <w:r w:rsidRPr="00EB42B0">
        <w:rPr>
          <w:rFonts w:ascii="Times New Roman" w:hAnsi="Times New Roman"/>
          <w:sz w:val="24"/>
          <w:szCs w:val="24"/>
        </w:rPr>
        <w:t xml:space="preserve"> Maria Stavropoulou has examined the acculturation theory in the context of refugee protection. She found that refugee protection regimes could explore the benefits of inclusive membership through the creation of additional fora building on acculturation techniques.</w:t>
      </w:r>
      <w:r w:rsidRPr="00EB42B0">
        <w:rPr>
          <w:rStyle w:val="FootnoteReference"/>
          <w:rFonts w:ascii="Times New Roman" w:hAnsi="Times New Roman"/>
          <w:sz w:val="24"/>
          <w:szCs w:val="24"/>
        </w:rPr>
        <w:footnoteReference w:id="108"/>
      </w:r>
      <w:r w:rsidRPr="00EB42B0">
        <w:rPr>
          <w:rStyle w:val="FootnoteReference"/>
          <w:rFonts w:ascii="Times New Roman" w:hAnsi="Times New Roman"/>
          <w:sz w:val="24"/>
          <w:szCs w:val="24"/>
        </w:rPr>
        <w:t xml:space="preserve"> </w:t>
      </w:r>
      <w:r w:rsidRPr="00EB42B0">
        <w:rPr>
          <w:rFonts w:ascii="Times New Roman" w:hAnsi="Times New Roman"/>
          <w:sz w:val="24"/>
        </w:rPr>
        <w:t>The UPR mechanism is inclusive, cooperative and collaborative, and has in two cycles of the UPR achieved a 100% state cooperation rate.</w:t>
      </w:r>
      <w:r w:rsidRPr="00EB42B0">
        <w:rPr>
          <w:rStyle w:val="FootnoteReference"/>
          <w:rFonts w:ascii="Times New Roman" w:hAnsi="Times New Roman"/>
          <w:sz w:val="24"/>
        </w:rPr>
        <w:footnoteReference w:id="109"/>
      </w:r>
      <w:r w:rsidRPr="00EB42B0">
        <w:rPr>
          <w:rFonts w:ascii="Times New Roman" w:hAnsi="Times New Roman"/>
          <w:sz w:val="24"/>
        </w:rPr>
        <w:t xml:space="preserve"> The cornerstone principles of the UPR – universality and cooperation, can be effective in harnessing the social and cognitive pressures associated with acculturation which can facilitate the social learning process of states as they engage with the UPR process.  However, as observed by Goodman and Jinks, acculturation can produce a ‘decoupling’ situation where public conformity with human rights norms is disconnected from local practice.</w:t>
      </w:r>
      <w:r w:rsidRPr="00EB42B0">
        <w:rPr>
          <w:rStyle w:val="FootnoteReference"/>
          <w:rFonts w:ascii="Times New Roman" w:hAnsi="Times New Roman"/>
          <w:sz w:val="24"/>
        </w:rPr>
        <w:footnoteReference w:id="110"/>
      </w:r>
    </w:p>
    <w:p w:rsidR="00EC3817" w:rsidRPr="00EB42B0" w:rsidRDefault="0045618A" w:rsidP="0045618A">
      <w:pPr>
        <w:pStyle w:val="ListParagraph"/>
        <w:numPr>
          <w:ilvl w:val="1"/>
          <w:numId w:val="25"/>
        </w:numPr>
        <w:spacing w:line="360" w:lineRule="auto"/>
        <w:jc w:val="both"/>
        <w:rPr>
          <w:rFonts w:ascii="Times New Roman" w:hAnsi="Times New Roman"/>
          <w:b/>
          <w:sz w:val="24"/>
          <w:szCs w:val="24"/>
        </w:rPr>
      </w:pPr>
      <w:r w:rsidRPr="00EB42B0">
        <w:rPr>
          <w:rFonts w:ascii="Times New Roman" w:hAnsi="Times New Roman"/>
          <w:b/>
          <w:sz w:val="24"/>
          <w:szCs w:val="24"/>
        </w:rPr>
        <w:t xml:space="preserve"> </w:t>
      </w:r>
      <w:r w:rsidR="009E1744" w:rsidRPr="00EB42B0">
        <w:rPr>
          <w:rFonts w:ascii="Times New Roman" w:hAnsi="Times New Roman"/>
          <w:b/>
          <w:sz w:val="24"/>
          <w:szCs w:val="24"/>
        </w:rPr>
        <w:t>Narrowing Nigeria’s UPR Implementation Gap: The Impact of Acculturation</w:t>
      </w:r>
    </w:p>
    <w:p w:rsidR="00C838C2" w:rsidRPr="00EB42B0" w:rsidRDefault="00C838C2" w:rsidP="00C838C2">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Nigeria has made major commitments in its UPR engagement and is a party to major international human rights instruments. Despite this, implementation has often proved problematic. As the findings above indicate, more than half of the UPR I recommendations were not implemented by Nigeria. Narrowing the gap between a government’s human rights </w:t>
      </w:r>
      <w:r w:rsidRPr="00EB42B0">
        <w:rPr>
          <w:rFonts w:ascii="Times New Roman" w:hAnsi="Times New Roman"/>
          <w:sz w:val="24"/>
        </w:rPr>
        <w:lastRenderedPageBreak/>
        <w:t>rhetoric and its human rights actions is crucial for the human rights situation on the ground to be improved. But can this gap be narrowed?</w:t>
      </w:r>
    </w:p>
    <w:p w:rsidR="00C838C2" w:rsidRPr="00EB42B0" w:rsidRDefault="00C838C2" w:rsidP="00C838C2">
      <w:pPr>
        <w:spacing w:before="100" w:beforeAutospacing="1" w:after="100" w:afterAutospacing="1" w:line="360" w:lineRule="auto"/>
        <w:jc w:val="both"/>
        <w:rPr>
          <w:rFonts w:ascii="Times New Roman" w:hAnsi="Times New Roman"/>
          <w:sz w:val="24"/>
          <w:szCs w:val="24"/>
        </w:rPr>
      </w:pPr>
      <w:r w:rsidRPr="00EB42B0">
        <w:rPr>
          <w:rFonts w:ascii="Times New Roman" w:hAnsi="Times New Roman"/>
          <w:sz w:val="24"/>
        </w:rPr>
        <w:t>The gap between compelling human rights rhetoric and meaningful political change is often a sizeable one.</w:t>
      </w:r>
      <w:r w:rsidRPr="00EB42B0">
        <w:rPr>
          <w:rStyle w:val="FootnoteReference"/>
          <w:rFonts w:ascii="Times New Roman" w:hAnsi="Times New Roman"/>
          <w:sz w:val="24"/>
        </w:rPr>
        <w:footnoteReference w:id="111"/>
      </w:r>
      <w:r w:rsidRPr="00EB42B0">
        <w:rPr>
          <w:rFonts w:ascii="Times New Roman" w:hAnsi="Times New Roman"/>
          <w:sz w:val="24"/>
        </w:rPr>
        <w:t xml:space="preserve"> However, it is arguable that over time, shallow or rhetorical human rights commitments will resonate to deeper commitments through a process th</w:t>
      </w:r>
      <w:r w:rsidR="009350DB" w:rsidRPr="00EB42B0">
        <w:rPr>
          <w:rFonts w:ascii="Times New Roman" w:hAnsi="Times New Roman"/>
          <w:sz w:val="24"/>
        </w:rPr>
        <w:t>at Jon Elster refers to as the “civilizing force of hypocrisy”.</w:t>
      </w:r>
      <w:r w:rsidRPr="00EB42B0">
        <w:rPr>
          <w:rStyle w:val="FootnoteReference"/>
          <w:rFonts w:ascii="Times New Roman" w:hAnsi="Times New Roman"/>
          <w:sz w:val="24"/>
        </w:rPr>
        <w:footnoteReference w:id="112"/>
      </w:r>
      <w:r w:rsidRPr="00EB42B0">
        <w:rPr>
          <w:rFonts w:ascii="Times New Roman" w:hAnsi="Times New Roman"/>
          <w:sz w:val="24"/>
        </w:rPr>
        <w:t xml:space="preserve"> Elster reasoned that rhetorical commitments, though hypocritically made, can lead to some positive outcomes over time because an actor would hardly deviate from the principled position to which he has publicly committed himself.</w:t>
      </w:r>
      <w:r w:rsidRPr="00EB42B0">
        <w:rPr>
          <w:rStyle w:val="FootnoteReference"/>
          <w:rFonts w:ascii="Times New Roman" w:hAnsi="Times New Roman"/>
          <w:sz w:val="24"/>
        </w:rPr>
        <w:footnoteReference w:id="113"/>
      </w:r>
      <w:r w:rsidRPr="00EB42B0">
        <w:rPr>
          <w:rFonts w:ascii="Times New Roman" w:hAnsi="Times New Roman"/>
          <w:sz w:val="24"/>
        </w:rPr>
        <w:t xml:space="preserve"> </w:t>
      </w:r>
      <w:r w:rsidRPr="00EB42B0">
        <w:rPr>
          <w:rFonts w:ascii="Times New Roman" w:hAnsi="Times New Roman"/>
          <w:sz w:val="24"/>
          <w:szCs w:val="24"/>
        </w:rPr>
        <w:t>States respond to global cultural forces just like individuals and organisations respond to cultural forces within their wider environment. By identifying themselves with a reference group, states generate varying degrees of social and cognitive pressures to conform to the norms of that group.</w:t>
      </w:r>
      <w:r w:rsidRPr="00EB42B0">
        <w:rPr>
          <w:rStyle w:val="FootnoteReference"/>
          <w:rFonts w:ascii="Times New Roman" w:hAnsi="Times New Roman"/>
          <w:sz w:val="24"/>
          <w:szCs w:val="24"/>
        </w:rPr>
        <w:footnoteReference w:id="114"/>
      </w:r>
      <w:r w:rsidRPr="00EB42B0">
        <w:rPr>
          <w:rFonts w:ascii="Times New Roman" w:hAnsi="Times New Roman"/>
          <w:sz w:val="24"/>
          <w:szCs w:val="24"/>
        </w:rPr>
        <w:t xml:space="preserve"> Identification as a microprocess of acculturation has been exploited to drive states to make human rights commitments. Identification o</w:t>
      </w:r>
      <w:r w:rsidR="00B03F1D" w:rsidRPr="00EB42B0">
        <w:rPr>
          <w:rFonts w:ascii="Times New Roman" w:hAnsi="Times New Roman"/>
          <w:sz w:val="24"/>
          <w:szCs w:val="24"/>
        </w:rPr>
        <w:t>ccurs “</w:t>
      </w:r>
      <w:r w:rsidRPr="00EB42B0">
        <w:rPr>
          <w:rFonts w:ascii="Times New Roman" w:hAnsi="Times New Roman"/>
          <w:sz w:val="24"/>
          <w:szCs w:val="24"/>
        </w:rPr>
        <w:t>when an individual accepts influence because he wants to establish or maintain a satisfying relationshi</w:t>
      </w:r>
      <w:r w:rsidR="00B03F1D" w:rsidRPr="00EB42B0">
        <w:rPr>
          <w:rFonts w:ascii="Times New Roman" w:hAnsi="Times New Roman"/>
          <w:sz w:val="24"/>
          <w:szCs w:val="24"/>
        </w:rPr>
        <w:t>p with another person or group.”</w:t>
      </w:r>
      <w:r w:rsidRPr="00EB42B0">
        <w:rPr>
          <w:rStyle w:val="FootnoteReference"/>
          <w:rFonts w:ascii="Times New Roman" w:hAnsi="Times New Roman"/>
          <w:sz w:val="24"/>
          <w:szCs w:val="24"/>
        </w:rPr>
        <w:footnoteReference w:id="115"/>
      </w:r>
      <w:r w:rsidRPr="00EB42B0">
        <w:rPr>
          <w:rFonts w:ascii="Times New Roman" w:hAnsi="Times New Roman"/>
          <w:sz w:val="24"/>
          <w:szCs w:val="24"/>
        </w:rPr>
        <w:t xml:space="preserve"> </w:t>
      </w:r>
      <w:r w:rsidRPr="00EB42B0">
        <w:rPr>
          <w:rFonts w:ascii="Times New Roman" w:hAnsi="Times New Roman"/>
          <w:sz w:val="24"/>
        </w:rPr>
        <w:t>The social environments within which states act propel internal cognitive and social pressures which drive states to adopt socially legitimate attitudes and beliefs.</w:t>
      </w:r>
      <w:r w:rsidRPr="00EB42B0">
        <w:rPr>
          <w:rStyle w:val="FootnoteReference"/>
          <w:rFonts w:ascii="Times New Roman" w:hAnsi="Times New Roman"/>
          <w:sz w:val="24"/>
        </w:rPr>
        <w:footnoteReference w:id="116"/>
      </w:r>
      <w:r w:rsidRPr="00EB42B0">
        <w:rPr>
          <w:rFonts w:ascii="Times New Roman" w:hAnsi="Times New Roman"/>
          <w:sz w:val="24"/>
        </w:rPr>
        <w:t xml:space="preserve"> </w:t>
      </w:r>
      <w:r w:rsidRPr="00EB42B0">
        <w:rPr>
          <w:rFonts w:ascii="Times New Roman" w:hAnsi="Times New Roman"/>
          <w:sz w:val="24"/>
          <w:szCs w:val="24"/>
        </w:rPr>
        <w:t xml:space="preserve">The interest of Nigeria to identify itself with the cooperative and inclusive UPR mechanism, can over time facilitate its acculturation. </w:t>
      </w:r>
    </w:p>
    <w:p w:rsidR="00C838C2" w:rsidRPr="00EB42B0" w:rsidRDefault="00C838C2" w:rsidP="00C838C2">
      <w:pPr>
        <w:spacing w:before="100" w:beforeAutospacing="1" w:after="100" w:afterAutospacing="1" w:line="360" w:lineRule="auto"/>
        <w:jc w:val="both"/>
        <w:rPr>
          <w:rFonts w:ascii="Times New Roman" w:hAnsi="Times New Roman"/>
          <w:sz w:val="24"/>
          <w:szCs w:val="24"/>
        </w:rPr>
      </w:pPr>
      <w:r w:rsidRPr="00EB42B0">
        <w:rPr>
          <w:rFonts w:ascii="Times New Roman" w:hAnsi="Times New Roman"/>
          <w:sz w:val="24"/>
          <w:szCs w:val="24"/>
        </w:rPr>
        <w:t xml:space="preserve">In the analysis </w:t>
      </w:r>
      <w:r w:rsidR="00B03F1D" w:rsidRPr="00EB42B0">
        <w:rPr>
          <w:rFonts w:ascii="Times New Roman" w:hAnsi="Times New Roman"/>
          <w:sz w:val="24"/>
          <w:szCs w:val="24"/>
        </w:rPr>
        <w:t xml:space="preserve">above </w:t>
      </w:r>
      <w:r w:rsidRPr="00EB42B0">
        <w:rPr>
          <w:rFonts w:ascii="Times New Roman" w:hAnsi="Times New Roman"/>
          <w:sz w:val="24"/>
          <w:szCs w:val="24"/>
        </w:rPr>
        <w:t xml:space="preserve">on Nigeria’s UPR engagement, acculturation through identification was evident in </w:t>
      </w:r>
      <w:r w:rsidR="002B1C62" w:rsidRPr="00EB42B0">
        <w:rPr>
          <w:rFonts w:ascii="Times New Roman" w:hAnsi="Times New Roman"/>
          <w:sz w:val="24"/>
          <w:szCs w:val="24"/>
        </w:rPr>
        <w:t>several</w:t>
      </w:r>
      <w:r w:rsidRPr="00EB42B0">
        <w:rPr>
          <w:rFonts w:ascii="Times New Roman" w:hAnsi="Times New Roman"/>
          <w:sz w:val="24"/>
          <w:szCs w:val="24"/>
        </w:rPr>
        <w:t xml:space="preserve"> ways. Identifying itself with the African Group generated internal social and cognitive pressures which induced Nigeria to accept a high percentage of recommendations from its referenced group.</w:t>
      </w:r>
      <w:r w:rsidRPr="00EB42B0">
        <w:rPr>
          <w:rStyle w:val="FootnoteReference"/>
          <w:rFonts w:ascii="Times New Roman" w:hAnsi="Times New Roman"/>
          <w:sz w:val="24"/>
          <w:szCs w:val="24"/>
        </w:rPr>
        <w:footnoteReference w:id="117"/>
      </w:r>
      <w:r w:rsidRPr="00EB42B0">
        <w:rPr>
          <w:rFonts w:ascii="Times New Roman" w:hAnsi="Times New Roman"/>
          <w:sz w:val="24"/>
          <w:szCs w:val="24"/>
        </w:rPr>
        <w:t xml:space="preserve"> While acceptance of UPR recommendations does not yield automatic implementation, it is a positive step towards implementation. While some may see </w:t>
      </w:r>
      <w:r w:rsidRPr="00EB42B0">
        <w:rPr>
          <w:rFonts w:ascii="Times New Roman" w:hAnsi="Times New Roman"/>
          <w:sz w:val="24"/>
          <w:szCs w:val="24"/>
        </w:rPr>
        <w:lastRenderedPageBreak/>
        <w:t>the existence of this regional alliance as detrimental to the UPR process,</w:t>
      </w:r>
      <w:r w:rsidRPr="00EB42B0">
        <w:rPr>
          <w:rStyle w:val="FootnoteReference"/>
          <w:rFonts w:ascii="Times New Roman" w:hAnsi="Times New Roman"/>
          <w:sz w:val="24"/>
          <w:szCs w:val="24"/>
        </w:rPr>
        <w:footnoteReference w:id="118"/>
      </w:r>
      <w:r w:rsidRPr="00EB42B0">
        <w:rPr>
          <w:rFonts w:ascii="Times New Roman" w:hAnsi="Times New Roman"/>
          <w:sz w:val="24"/>
          <w:szCs w:val="24"/>
        </w:rPr>
        <w:t xml:space="preserve"> I argue, it could favour the process of acculturation. States may tend to be more receptive to sensitive recommendations coming from the regional group they identify with, than from other groups. An example of the power of identification was evident during Nigeria’s review. During UPR I, Nigeria accepted a general recommendation (R 4) touching on the death penalty from Benin,</w:t>
      </w:r>
      <w:r w:rsidRPr="00EB42B0">
        <w:rPr>
          <w:rStyle w:val="FootnoteReference"/>
          <w:rFonts w:ascii="Times New Roman" w:hAnsi="Times New Roman"/>
          <w:sz w:val="24"/>
          <w:szCs w:val="24"/>
        </w:rPr>
        <w:footnoteReference w:id="119"/>
      </w:r>
      <w:r w:rsidRPr="00EB42B0">
        <w:rPr>
          <w:rFonts w:ascii="Times New Roman" w:hAnsi="Times New Roman"/>
          <w:sz w:val="24"/>
          <w:szCs w:val="24"/>
        </w:rPr>
        <w:t xml:space="preserve"> but rejected similar general recommendations from Western states such as the UK and Sweden.</w:t>
      </w:r>
      <w:r w:rsidRPr="00EB42B0">
        <w:rPr>
          <w:rStyle w:val="FootnoteReference"/>
          <w:rFonts w:ascii="Times New Roman" w:hAnsi="Times New Roman"/>
          <w:sz w:val="24"/>
          <w:szCs w:val="24"/>
        </w:rPr>
        <w:footnoteReference w:id="120"/>
      </w:r>
      <w:r w:rsidRPr="00EB42B0">
        <w:rPr>
          <w:rFonts w:ascii="Times New Roman" w:hAnsi="Times New Roman"/>
          <w:sz w:val="24"/>
          <w:szCs w:val="24"/>
        </w:rPr>
        <w:t xml:space="preserve"> Also, during UPR II, Chad accepted a recommendation from Cape Verde (on violence against women, female genital mutilation and forced marriages), but rejected a similar recommendation from Italy, even though both recommendations addressed the same issues and fell in the same action category.</w:t>
      </w:r>
      <w:r w:rsidRPr="00EB42B0">
        <w:rPr>
          <w:rStyle w:val="FootnoteReference"/>
          <w:rFonts w:ascii="Times New Roman" w:hAnsi="Times New Roman"/>
          <w:sz w:val="24"/>
          <w:szCs w:val="24"/>
        </w:rPr>
        <w:footnoteReference w:id="121"/>
      </w:r>
      <w:r w:rsidRPr="00EB42B0">
        <w:rPr>
          <w:rFonts w:ascii="Times New Roman" w:hAnsi="Times New Roman"/>
          <w:sz w:val="24"/>
          <w:szCs w:val="24"/>
        </w:rPr>
        <w:t xml:space="preserve"> This provides evidence of the positive outcome of identification as a micro process of acculturation by causing recommendations made by states within a regional block, which otherwise may not have been accepted, to be accepted by members of that regional block. However</w:t>
      </w:r>
      <w:r w:rsidR="00F40F31" w:rsidRPr="00EB42B0">
        <w:rPr>
          <w:rFonts w:ascii="Times New Roman" w:hAnsi="Times New Roman"/>
          <w:sz w:val="24"/>
          <w:szCs w:val="24"/>
        </w:rPr>
        <w:t>,</w:t>
      </w:r>
      <w:r w:rsidRPr="00EB42B0">
        <w:rPr>
          <w:rFonts w:ascii="Times New Roman" w:hAnsi="Times New Roman"/>
          <w:sz w:val="24"/>
          <w:szCs w:val="24"/>
        </w:rPr>
        <w:t xml:space="preserve"> the extent to which the UPR could transform the culture on gay rights within African states through acculturation </w:t>
      </w:r>
      <w:r w:rsidR="00220524" w:rsidRPr="00EB42B0">
        <w:rPr>
          <w:rFonts w:ascii="Times New Roman" w:hAnsi="Times New Roman"/>
          <w:sz w:val="24"/>
          <w:szCs w:val="24"/>
        </w:rPr>
        <w:t>remains</w:t>
      </w:r>
      <w:r w:rsidRPr="00EB42B0">
        <w:rPr>
          <w:rFonts w:ascii="Times New Roman" w:hAnsi="Times New Roman"/>
          <w:sz w:val="24"/>
          <w:szCs w:val="24"/>
        </w:rPr>
        <w:t xml:space="preserve"> to be seen, but the cognitive pressures associated with acculturation are an important part of the process.</w:t>
      </w:r>
    </w:p>
    <w:p w:rsidR="00C838C2" w:rsidRPr="00EB42B0" w:rsidRDefault="00C838C2" w:rsidP="00C838C2">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Cognitive pressures associated with the acculturation micro process of identification can push the language of human rights into some moral commitments within particular cultures even in terms that challenge one or more aspects of that culture. Benjamin Gregg employed a cognitive approach rather than a normative one to show how human rights norms can be advanced as rights internal to any given community’s culture by means of cognitive re-framing.</w:t>
      </w:r>
      <w:r w:rsidRPr="00EB42B0">
        <w:rPr>
          <w:rStyle w:val="FootnoteReference"/>
          <w:rFonts w:ascii="Times New Roman" w:hAnsi="Times New Roman"/>
          <w:sz w:val="24"/>
        </w:rPr>
        <w:footnoteReference w:id="122"/>
      </w:r>
      <w:r w:rsidR="00195364" w:rsidRPr="00EB42B0">
        <w:rPr>
          <w:rFonts w:ascii="Times New Roman" w:hAnsi="Times New Roman"/>
          <w:sz w:val="24"/>
        </w:rPr>
        <w:t xml:space="preserve"> He argued that “</w:t>
      </w:r>
      <w:r w:rsidRPr="00EB42B0">
        <w:rPr>
          <w:rFonts w:ascii="Times New Roman" w:hAnsi="Times New Roman"/>
          <w:sz w:val="24"/>
        </w:rPr>
        <w:t>an idea once external can become internal through syste</w:t>
      </w:r>
      <w:r w:rsidR="00195364" w:rsidRPr="00EB42B0">
        <w:rPr>
          <w:rFonts w:ascii="Times New Roman" w:hAnsi="Times New Roman"/>
          <w:sz w:val="24"/>
        </w:rPr>
        <w:t>m-level learning.”</w:t>
      </w:r>
      <w:r w:rsidRPr="00EB42B0">
        <w:rPr>
          <w:rStyle w:val="FootnoteReference"/>
          <w:rFonts w:ascii="Times New Roman" w:hAnsi="Times New Roman"/>
          <w:sz w:val="24"/>
        </w:rPr>
        <w:footnoteReference w:id="123"/>
      </w:r>
      <w:r w:rsidRPr="00EB42B0">
        <w:rPr>
          <w:rFonts w:ascii="Times New Roman" w:hAnsi="Times New Roman"/>
          <w:sz w:val="24"/>
        </w:rPr>
        <w:t xml:space="preserve"> While examining the issue of female genital mutilation in Africa, he noted that a cognitive rule </w:t>
      </w:r>
      <w:r w:rsidRPr="00EB42B0">
        <w:rPr>
          <w:rFonts w:ascii="Times New Roman" w:hAnsi="Times New Roman"/>
          <w:sz w:val="24"/>
        </w:rPr>
        <w:lastRenderedPageBreak/>
        <w:t>can be deployed that revises local normative rules that justify female genital mutilation, but that s</w:t>
      </w:r>
      <w:r w:rsidR="00195364" w:rsidRPr="00EB42B0">
        <w:rPr>
          <w:rFonts w:ascii="Times New Roman" w:hAnsi="Times New Roman"/>
          <w:sz w:val="24"/>
        </w:rPr>
        <w:t>uch a cognitive rule has to be “</w:t>
      </w:r>
      <w:r w:rsidRPr="00EB42B0">
        <w:rPr>
          <w:rFonts w:ascii="Times New Roman" w:hAnsi="Times New Roman"/>
          <w:sz w:val="24"/>
        </w:rPr>
        <w:t>indige</w:t>
      </w:r>
      <w:r w:rsidR="00195364" w:rsidRPr="00EB42B0">
        <w:rPr>
          <w:rFonts w:ascii="Times New Roman" w:hAnsi="Times New Roman"/>
          <w:sz w:val="24"/>
        </w:rPr>
        <w:t>nized.”</w:t>
      </w:r>
      <w:r w:rsidRPr="00EB42B0">
        <w:rPr>
          <w:rStyle w:val="FootnoteReference"/>
          <w:rFonts w:ascii="Times New Roman" w:hAnsi="Times New Roman"/>
          <w:sz w:val="24"/>
        </w:rPr>
        <w:footnoteReference w:id="124"/>
      </w:r>
      <w:r w:rsidRPr="00EB42B0">
        <w:rPr>
          <w:rFonts w:ascii="Times New Roman" w:hAnsi="Times New Roman"/>
          <w:sz w:val="24"/>
        </w:rPr>
        <w:t xml:space="preserve"> For example reframing female genital mutilation as a technical, medical issue rather than a normative human rights concern can advance the human rights issue as internal to the African culture.</w:t>
      </w:r>
      <w:r w:rsidRPr="00EB42B0">
        <w:rPr>
          <w:rStyle w:val="FootnoteReference"/>
          <w:rFonts w:ascii="Times New Roman" w:hAnsi="Times New Roman"/>
          <w:sz w:val="24"/>
        </w:rPr>
        <w:footnoteReference w:id="125"/>
      </w:r>
      <w:r w:rsidRPr="00EB42B0">
        <w:rPr>
          <w:rFonts w:ascii="Times New Roman" w:hAnsi="Times New Roman"/>
          <w:sz w:val="24"/>
        </w:rPr>
        <w:t xml:space="preserve"> Such an approach can be equally beneficial to other cultural aspects affecting the engagement of Nigeria with the UPR.</w:t>
      </w:r>
    </w:p>
    <w:p w:rsidR="00C838C2" w:rsidRPr="00EB42B0" w:rsidRDefault="00C838C2" w:rsidP="00C838C2">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As the acculturation process progresses, it will be difficult for a state to sustain purely rhetorical c</w:t>
      </w:r>
      <w:r w:rsidR="00195364" w:rsidRPr="00EB42B0">
        <w:rPr>
          <w:rFonts w:ascii="Times New Roman" w:hAnsi="Times New Roman"/>
          <w:sz w:val="24"/>
        </w:rPr>
        <w:t>ommitments because of external “audience”</w:t>
      </w:r>
      <w:r w:rsidRPr="00EB42B0">
        <w:rPr>
          <w:rFonts w:ascii="Times New Roman" w:hAnsi="Times New Roman"/>
          <w:sz w:val="24"/>
        </w:rPr>
        <w:t xml:space="preserve"> effects. External audience effects are generated by national and transnational human rights advocacy networks when they engage governments in a dialogue about norm implementation and hold them accountable for their human rights rhetoric. The publicity of a government’s UPR commitments creates expectations among informed citizens and NGOs/CSOs, making it difficult for the government to contradict or deviate from the accepted commitment/recommendations. Dia in his study</w:t>
      </w:r>
      <w:r w:rsidRPr="00EB42B0">
        <w:rPr>
          <w:rStyle w:val="FootnoteReference"/>
          <w:rFonts w:ascii="Times New Roman" w:hAnsi="Times New Roman"/>
          <w:sz w:val="24"/>
        </w:rPr>
        <w:footnoteReference w:id="126"/>
      </w:r>
      <w:r w:rsidRPr="00EB42B0">
        <w:rPr>
          <w:rFonts w:ascii="Times New Roman" w:hAnsi="Times New Roman"/>
          <w:sz w:val="24"/>
        </w:rPr>
        <w:t xml:space="preserve"> noted how the Communist regimes’ commitments under the Helsinki Accords were frequently referenced in popular struggles for freedom of association and freedom of expression.</w:t>
      </w:r>
      <w:r w:rsidRPr="00EB42B0">
        <w:rPr>
          <w:rStyle w:val="FootnoteReference"/>
          <w:rFonts w:ascii="Times New Roman" w:hAnsi="Times New Roman"/>
          <w:sz w:val="24"/>
        </w:rPr>
        <w:footnoteReference w:id="127"/>
      </w:r>
      <w:r w:rsidRPr="00EB42B0">
        <w:rPr>
          <w:rFonts w:ascii="Times New Roman" w:hAnsi="Times New Roman"/>
          <w:sz w:val="24"/>
        </w:rPr>
        <w:t xml:space="preserve"> Citizens over time may pressure their government to live up to their human rights rhetoric and commitments. This is re</w:t>
      </w:r>
      <w:r w:rsidR="00195364" w:rsidRPr="00EB42B0">
        <w:rPr>
          <w:rFonts w:ascii="Times New Roman" w:hAnsi="Times New Roman"/>
          <w:sz w:val="24"/>
        </w:rPr>
        <w:t>ferred to by O’Brien and Li as “rightful resistance”</w:t>
      </w:r>
      <w:r w:rsidRPr="00EB42B0">
        <w:rPr>
          <w:rFonts w:ascii="Times New Roman" w:hAnsi="Times New Roman"/>
          <w:sz w:val="24"/>
        </w:rPr>
        <w:t>.</w:t>
      </w:r>
      <w:r w:rsidRPr="00EB42B0">
        <w:rPr>
          <w:rStyle w:val="FootnoteReference"/>
          <w:rFonts w:ascii="Times New Roman" w:hAnsi="Times New Roman"/>
          <w:sz w:val="24"/>
        </w:rPr>
        <w:footnoteReference w:id="128"/>
      </w:r>
      <w:r w:rsidRPr="00EB42B0">
        <w:rPr>
          <w:rFonts w:ascii="Times New Roman" w:hAnsi="Times New Roman"/>
          <w:sz w:val="24"/>
        </w:rPr>
        <w:t xml:space="preserve"> They suggest that this grows from the space created when the state’s international commitment is disconnected from local practice.</w:t>
      </w:r>
      <w:r w:rsidRPr="00EB42B0">
        <w:rPr>
          <w:rStyle w:val="FootnoteReference"/>
          <w:rFonts w:ascii="Times New Roman" w:hAnsi="Times New Roman"/>
          <w:sz w:val="24"/>
        </w:rPr>
        <w:footnoteReference w:id="129"/>
      </w:r>
      <w:r w:rsidRPr="00EB42B0">
        <w:rPr>
          <w:rFonts w:ascii="Times New Roman" w:hAnsi="Times New Roman"/>
          <w:sz w:val="24"/>
        </w:rPr>
        <w:t xml:space="preserve"> </w:t>
      </w:r>
      <w:r w:rsidR="00195364" w:rsidRPr="00EB42B0">
        <w:rPr>
          <w:rFonts w:ascii="Times New Roman" w:hAnsi="Times New Roman"/>
          <w:sz w:val="24"/>
        </w:rPr>
        <w:t>According to O’Brien and Li, “</w:t>
      </w:r>
      <w:r w:rsidRPr="00EB42B0">
        <w:rPr>
          <w:rFonts w:ascii="Times New Roman" w:hAnsi="Times New Roman"/>
          <w:sz w:val="24"/>
        </w:rPr>
        <w:t>so long as a gap exists between rights promised and rights delivered, there is always room for</w:t>
      </w:r>
      <w:r w:rsidR="00195364" w:rsidRPr="00EB42B0">
        <w:rPr>
          <w:rFonts w:ascii="Times New Roman" w:hAnsi="Times New Roman"/>
          <w:sz w:val="24"/>
        </w:rPr>
        <w:t xml:space="preserve"> rightful resistance to emerge.”</w:t>
      </w:r>
      <w:r w:rsidRPr="00EB42B0">
        <w:rPr>
          <w:rStyle w:val="FootnoteReference"/>
          <w:rFonts w:ascii="Times New Roman" w:hAnsi="Times New Roman"/>
          <w:sz w:val="24"/>
        </w:rPr>
        <w:footnoteReference w:id="130"/>
      </w:r>
      <w:r w:rsidRPr="00EB42B0">
        <w:rPr>
          <w:rFonts w:ascii="Times New Roman" w:hAnsi="Times New Roman"/>
          <w:sz w:val="24"/>
        </w:rPr>
        <w:t xml:space="preserve"> In the case of Nigeria, there is a space for civil society to hold the government accountable for its UPR commitments. A strategic and well-coordinated campaign by NGOs can contribute to meaningful human rights improvement within a state.</w:t>
      </w:r>
    </w:p>
    <w:p w:rsidR="00C838C2" w:rsidRPr="00EB42B0" w:rsidRDefault="00C838C2" w:rsidP="00A75F99">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Continuous engagement of Nigeria with the UPR process has the potential to over time narrow the implementation gap. As earlier indicated, some of the UPR I recommendations to Nigeria that were not implemented during the specified time were subsequently implemented. The </w:t>
      </w:r>
      <w:r w:rsidRPr="00EB42B0">
        <w:rPr>
          <w:rFonts w:ascii="Times New Roman" w:hAnsi="Times New Roman"/>
          <w:sz w:val="24"/>
        </w:rPr>
        <w:lastRenderedPageBreak/>
        <w:t xml:space="preserve">adoption of a UPR implementation action plan would accelerate and provide greater certainty on the implementation process. In addition, </w:t>
      </w:r>
      <w:r w:rsidRPr="00EB42B0">
        <w:rPr>
          <w:rFonts w:ascii="Times New Roman" w:hAnsi="Times New Roman"/>
          <w:sz w:val="24"/>
          <w:szCs w:val="24"/>
        </w:rPr>
        <w:t>continuous engagement with the UPR process may over time influence states even on issues which it rejected in its previous review. As governments within nations change, so do their views on human rights issues so as to identify with the wider community with which they interact. This was the case with Côte d’Ivoire. During UPR I, the government of President Laurent Gbagbo rejected recommendations from the UK, Brazil and Czech Republic to sign and ratify OP-CAT.</w:t>
      </w:r>
      <w:r w:rsidRPr="00EB42B0">
        <w:rPr>
          <w:rStyle w:val="FootnoteReference"/>
          <w:rFonts w:ascii="Times New Roman" w:hAnsi="Times New Roman"/>
          <w:sz w:val="24"/>
          <w:szCs w:val="24"/>
        </w:rPr>
        <w:t xml:space="preserve"> </w:t>
      </w:r>
      <w:r w:rsidRPr="00EB42B0">
        <w:rPr>
          <w:rStyle w:val="FootnoteReference"/>
          <w:rFonts w:ascii="Times New Roman" w:hAnsi="Times New Roman"/>
          <w:sz w:val="24"/>
          <w:szCs w:val="24"/>
        </w:rPr>
        <w:footnoteReference w:id="131"/>
      </w:r>
      <w:r w:rsidRPr="00EB42B0">
        <w:rPr>
          <w:rFonts w:ascii="Times New Roman" w:hAnsi="Times New Roman"/>
          <w:sz w:val="24"/>
          <w:szCs w:val="24"/>
        </w:rPr>
        <w:t xml:space="preserve">  During UPR II, the government of President Alassane Ouattara accepted the same recommendations from states such as Ghana, Tunisia, Czech Republic, Uruguay and Burkina Faso.</w:t>
      </w:r>
      <w:r w:rsidRPr="00EB42B0">
        <w:rPr>
          <w:rStyle w:val="FootnoteReference"/>
          <w:rFonts w:ascii="Times New Roman" w:hAnsi="Times New Roman"/>
          <w:sz w:val="24"/>
          <w:szCs w:val="24"/>
        </w:rPr>
        <w:footnoteReference w:id="132"/>
      </w:r>
      <w:r w:rsidRPr="00EB42B0">
        <w:rPr>
          <w:rFonts w:ascii="Times New Roman" w:hAnsi="Times New Roman"/>
          <w:sz w:val="24"/>
          <w:szCs w:val="24"/>
        </w:rPr>
        <w:t xml:space="preserve"> With the new Nigerian government that was elected in 2015, it remains to be determined whether specific recommendations on the death penalty and the rights of sexual minorities may subsequently receive a positive response from the new government</w:t>
      </w:r>
      <w:r w:rsidR="00A75F99" w:rsidRPr="00EB42B0">
        <w:rPr>
          <w:rFonts w:ascii="Times New Roman" w:hAnsi="Times New Roman"/>
          <w:sz w:val="24"/>
          <w:szCs w:val="24"/>
        </w:rPr>
        <w:t xml:space="preserve"> during UPR III</w:t>
      </w:r>
      <w:r w:rsidRPr="00EB42B0">
        <w:rPr>
          <w:rFonts w:ascii="Times New Roman" w:hAnsi="Times New Roman"/>
          <w:sz w:val="24"/>
          <w:szCs w:val="24"/>
        </w:rPr>
        <w:t>. Acculturation in this context is seen as a continuous process which may over time produce a positive outcome.</w:t>
      </w:r>
      <w:r w:rsidRPr="00EB42B0">
        <w:rPr>
          <w:rStyle w:val="FootnoteReference"/>
          <w:rFonts w:ascii="Times New Roman" w:hAnsi="Times New Roman"/>
          <w:sz w:val="24"/>
          <w:szCs w:val="24"/>
        </w:rPr>
        <w:footnoteReference w:id="133"/>
      </w:r>
      <w:r w:rsidRPr="00EB42B0">
        <w:rPr>
          <w:rFonts w:ascii="Times New Roman" w:hAnsi="Times New Roman"/>
          <w:sz w:val="24"/>
          <w:szCs w:val="24"/>
        </w:rPr>
        <w:t xml:space="preserve"> </w:t>
      </w:r>
    </w:p>
    <w:p w:rsidR="00404BE9" w:rsidRPr="00EB42B0" w:rsidRDefault="00B825B4" w:rsidP="00A75F99">
      <w:pPr>
        <w:numPr>
          <w:ilvl w:val="0"/>
          <w:numId w:val="21"/>
        </w:numPr>
        <w:spacing w:line="360" w:lineRule="auto"/>
        <w:ind w:left="851" w:hanging="491"/>
        <w:jc w:val="both"/>
        <w:rPr>
          <w:rFonts w:ascii="Times New Roman" w:hAnsi="Times New Roman"/>
          <w:sz w:val="24"/>
          <w:szCs w:val="24"/>
        </w:rPr>
      </w:pPr>
      <w:r w:rsidRPr="00EB42B0">
        <w:rPr>
          <w:rFonts w:ascii="Times New Roman" w:hAnsi="Times New Roman"/>
          <w:sz w:val="24"/>
          <w:szCs w:val="24"/>
        </w:rPr>
        <w:t xml:space="preserve">THE SPIRAL EFFECT OF THE FIGHT AGAINST </w:t>
      </w:r>
      <w:r w:rsidRPr="00EB42B0">
        <w:rPr>
          <w:rFonts w:ascii="Times New Roman" w:hAnsi="Times New Roman"/>
          <w:i/>
          <w:sz w:val="24"/>
          <w:szCs w:val="24"/>
        </w:rPr>
        <w:t>BOKO HARAM</w:t>
      </w:r>
      <w:r w:rsidRPr="00EB42B0">
        <w:rPr>
          <w:rFonts w:ascii="Times New Roman" w:hAnsi="Times New Roman"/>
          <w:sz w:val="24"/>
          <w:szCs w:val="24"/>
        </w:rPr>
        <w:t xml:space="preserve"> ON NIGERIA’S UPR ENGAGEMENT</w:t>
      </w:r>
    </w:p>
    <w:p w:rsidR="00FC3A48" w:rsidRPr="00EB42B0" w:rsidRDefault="00FC3A48" w:rsidP="00FC3A48">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Just as terrorism has a grave impact on human rights, so too anti-terrorism laws and policies can have serious implications for human rights and individual freedoms.</w:t>
      </w:r>
      <w:r w:rsidRPr="00EB42B0">
        <w:rPr>
          <w:rStyle w:val="FootnoteReference"/>
          <w:rFonts w:ascii="Times New Roman" w:hAnsi="Times New Roman"/>
          <w:sz w:val="24"/>
        </w:rPr>
        <w:footnoteReference w:id="134"/>
      </w:r>
      <w:r w:rsidRPr="00EB42B0">
        <w:rPr>
          <w:rFonts w:ascii="Times New Roman" w:hAnsi="Times New Roman"/>
          <w:sz w:val="24"/>
        </w:rPr>
        <w:t xml:space="preserve"> When conflicts within or between states pose a threat to the nation or citizens, governments easily justify repressive measures and human rights considerations may thereby be weakened. The role of conflict and security threats in Nigeria in hindering norm compliance is an important aspect to consider when examining its engagement with the UPR. There is always a tendency for governments to trade off human rights considerations in the name of counter-terrorism measures or national security. Human rights violations mostly committed by governments under the pretext of counter terrorism measures include torture, extra-judicial executions and secret and arbitrary detention. During UPR I, Nigeria accepted a recommendation </w:t>
      </w:r>
      <w:r w:rsidR="006320B0" w:rsidRPr="00EB42B0">
        <w:rPr>
          <w:rFonts w:ascii="Times New Roman" w:hAnsi="Times New Roman"/>
          <w:sz w:val="24"/>
        </w:rPr>
        <w:t>to take “all practical measures” to end “extrajudicial executions” and “</w:t>
      </w:r>
      <w:r w:rsidRPr="00EB42B0">
        <w:rPr>
          <w:rFonts w:ascii="Times New Roman" w:hAnsi="Times New Roman"/>
          <w:sz w:val="24"/>
        </w:rPr>
        <w:t>step up its mea</w:t>
      </w:r>
      <w:r w:rsidR="006320B0" w:rsidRPr="00EB42B0">
        <w:rPr>
          <w:rFonts w:ascii="Times New Roman" w:hAnsi="Times New Roman"/>
          <w:sz w:val="24"/>
        </w:rPr>
        <w:t xml:space="preserve">sures to halt </w:t>
      </w:r>
      <w:r w:rsidR="006320B0" w:rsidRPr="00EB42B0">
        <w:rPr>
          <w:rFonts w:ascii="Times New Roman" w:hAnsi="Times New Roman"/>
          <w:sz w:val="24"/>
        </w:rPr>
        <w:lastRenderedPageBreak/>
        <w:t>torture.”</w:t>
      </w:r>
      <w:r w:rsidRPr="00EB42B0">
        <w:rPr>
          <w:rStyle w:val="FootnoteReference"/>
          <w:rFonts w:ascii="Times New Roman" w:hAnsi="Times New Roman"/>
          <w:sz w:val="24"/>
        </w:rPr>
        <w:footnoteReference w:id="135"/>
      </w:r>
      <w:r w:rsidRPr="00EB42B0">
        <w:rPr>
          <w:rFonts w:ascii="Times New Roman" w:hAnsi="Times New Roman"/>
          <w:sz w:val="24"/>
        </w:rPr>
        <w:t xml:space="preserve"> This section considers whether the escalation of the conflict between the government and </w:t>
      </w:r>
      <w:r w:rsidRPr="00EB42B0">
        <w:rPr>
          <w:rFonts w:ascii="Times New Roman" w:hAnsi="Times New Roman"/>
          <w:i/>
          <w:sz w:val="24"/>
        </w:rPr>
        <w:t>Boko Haram</w:t>
      </w:r>
      <w:r w:rsidRPr="00EB42B0">
        <w:rPr>
          <w:rFonts w:ascii="Times New Roman" w:hAnsi="Times New Roman"/>
          <w:sz w:val="24"/>
        </w:rPr>
        <w:t xml:space="preserve"> terrorist group after UPR I had a regressive effect on Nigeria’s subsequent engagement with the UPR.</w:t>
      </w:r>
    </w:p>
    <w:p w:rsidR="00FC3A48" w:rsidRPr="00EB42B0" w:rsidRDefault="00FC3A48" w:rsidP="00FC3A48">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There is some obscurity surrounding the origin of </w:t>
      </w:r>
      <w:r w:rsidRPr="00EB42B0">
        <w:rPr>
          <w:rFonts w:ascii="Times New Roman" w:hAnsi="Times New Roman"/>
          <w:i/>
          <w:sz w:val="24"/>
        </w:rPr>
        <w:t>Boko Haram</w:t>
      </w:r>
      <w:r w:rsidRPr="00EB42B0">
        <w:rPr>
          <w:rFonts w:ascii="Times New Roman" w:hAnsi="Times New Roman"/>
          <w:sz w:val="24"/>
        </w:rPr>
        <w:t>. Attempts at explaining the origin and leadership of the group have generated some confusion.</w:t>
      </w:r>
      <w:r w:rsidRPr="00EB42B0">
        <w:rPr>
          <w:rStyle w:val="FootnoteReference"/>
          <w:rFonts w:ascii="Times New Roman" w:hAnsi="Times New Roman"/>
          <w:sz w:val="24"/>
        </w:rPr>
        <w:footnoteReference w:id="136"/>
      </w:r>
      <w:r w:rsidRPr="00EB42B0">
        <w:rPr>
          <w:rFonts w:ascii="Times New Roman" w:hAnsi="Times New Roman"/>
          <w:sz w:val="24"/>
        </w:rPr>
        <w:t xml:space="preserve"> </w:t>
      </w:r>
      <w:r w:rsidRPr="00EB42B0">
        <w:rPr>
          <w:rFonts w:ascii="Times New Roman" w:hAnsi="Times New Roman"/>
          <w:i/>
          <w:sz w:val="24"/>
        </w:rPr>
        <w:t>Boko Haram</w:t>
      </w:r>
      <w:r w:rsidR="006320B0" w:rsidRPr="00EB42B0">
        <w:rPr>
          <w:rFonts w:ascii="Times New Roman" w:hAnsi="Times New Roman"/>
          <w:sz w:val="24"/>
        </w:rPr>
        <w:t>, literally translated to mean “</w:t>
      </w:r>
      <w:r w:rsidRPr="00EB42B0">
        <w:rPr>
          <w:rFonts w:ascii="Times New Roman" w:hAnsi="Times New Roman"/>
          <w:sz w:val="24"/>
        </w:rPr>
        <w:t>western</w:t>
      </w:r>
      <w:r w:rsidR="006320B0" w:rsidRPr="00EB42B0">
        <w:rPr>
          <w:rFonts w:ascii="Times New Roman" w:hAnsi="Times New Roman"/>
          <w:sz w:val="24"/>
        </w:rPr>
        <w:t xml:space="preserve"> education/civilization is sin,”</w:t>
      </w:r>
      <w:r w:rsidRPr="00EB42B0">
        <w:rPr>
          <w:rFonts w:ascii="Times New Roman" w:hAnsi="Times New Roman"/>
          <w:sz w:val="24"/>
        </w:rPr>
        <w:t xml:space="preserve"> is a sect whose early recruits were indoctrinate</w:t>
      </w:r>
      <w:r w:rsidR="006320B0" w:rsidRPr="00EB42B0">
        <w:rPr>
          <w:rFonts w:ascii="Times New Roman" w:hAnsi="Times New Roman"/>
          <w:sz w:val="24"/>
        </w:rPr>
        <w:t>d “</w:t>
      </w:r>
      <w:r w:rsidRPr="00EB42B0">
        <w:rPr>
          <w:rFonts w:ascii="Times New Roman" w:hAnsi="Times New Roman"/>
          <w:sz w:val="24"/>
        </w:rPr>
        <w:t>to believe that their state of hopelessness was caused by government which imposed Western education on them and failed to manage the resources of the country to their benefits</w:t>
      </w:r>
      <w:r w:rsidR="006320B0" w:rsidRPr="00EB42B0">
        <w:rPr>
          <w:rFonts w:ascii="Times New Roman" w:hAnsi="Times New Roman"/>
          <w:sz w:val="24"/>
        </w:rPr>
        <w:t>.”</w:t>
      </w:r>
      <w:r w:rsidRPr="00EB42B0">
        <w:rPr>
          <w:rStyle w:val="FootnoteReference"/>
          <w:rFonts w:ascii="Times New Roman" w:hAnsi="Times New Roman"/>
          <w:sz w:val="24"/>
        </w:rPr>
        <w:footnoteReference w:id="137"/>
      </w:r>
    </w:p>
    <w:p w:rsidR="00FC3A48" w:rsidRPr="00EB42B0" w:rsidRDefault="00FC3A48" w:rsidP="00FC3A48">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While the existence of the sect has been traced as far back as 1995,</w:t>
      </w:r>
      <w:r w:rsidRPr="00EB42B0">
        <w:rPr>
          <w:rStyle w:val="FootnoteReference"/>
          <w:rFonts w:ascii="Times New Roman" w:hAnsi="Times New Roman"/>
          <w:sz w:val="24"/>
        </w:rPr>
        <w:footnoteReference w:id="138"/>
      </w:r>
      <w:r w:rsidRPr="00EB42B0">
        <w:rPr>
          <w:rFonts w:ascii="Times New Roman" w:hAnsi="Times New Roman"/>
          <w:sz w:val="24"/>
        </w:rPr>
        <w:t xml:space="preserve"> it was only after Nigeria’s UPR I in 2009 that the conflict between the sect and the government escalated. Two particular incidents escalated the conflict between the government and </w:t>
      </w:r>
      <w:r w:rsidRPr="00EB42B0">
        <w:rPr>
          <w:rFonts w:ascii="Times New Roman" w:hAnsi="Times New Roman"/>
          <w:i/>
          <w:sz w:val="24"/>
        </w:rPr>
        <w:t>Boko Haram</w:t>
      </w:r>
      <w:r w:rsidRPr="00EB42B0">
        <w:rPr>
          <w:rFonts w:ascii="Times New Roman" w:hAnsi="Times New Roman"/>
          <w:sz w:val="24"/>
        </w:rPr>
        <w:t xml:space="preserve"> terrorist group. These were the bombing of the Nigerian Police Headquarters in Abuja on 16 June 2011 and the bombing of the United Nations House in Abuja on 26 August 2011. Prior to these incidents, </w:t>
      </w:r>
      <w:r w:rsidRPr="00EB42B0">
        <w:rPr>
          <w:rFonts w:ascii="Times New Roman" w:hAnsi="Times New Roman"/>
          <w:i/>
          <w:sz w:val="24"/>
        </w:rPr>
        <w:t xml:space="preserve">Boko Haram </w:t>
      </w:r>
      <w:r w:rsidRPr="00EB42B0">
        <w:rPr>
          <w:rFonts w:ascii="Times New Roman" w:hAnsi="Times New Roman"/>
          <w:sz w:val="24"/>
        </w:rPr>
        <w:t>was apparently not understood as a threat to peace and to the protection of human rights in Nigeria and the region. None of the 32 recommendations during Nigeria’s UPR I session on 9 February 2009 addressed the issue of terrorism. It only became a major concern during UPR II on 27 October 2013, receiving three recommendations from France, Portugal and the Republic of Korea.</w:t>
      </w:r>
      <w:r w:rsidRPr="00EB42B0">
        <w:rPr>
          <w:rStyle w:val="FootnoteReference"/>
          <w:rFonts w:ascii="Times New Roman" w:hAnsi="Times New Roman"/>
          <w:sz w:val="24"/>
        </w:rPr>
        <w:footnoteReference w:id="139"/>
      </w:r>
    </w:p>
    <w:p w:rsidR="00FC3A48" w:rsidRPr="00EB42B0" w:rsidRDefault="00FC3A48" w:rsidP="00FC3A48">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A major counter terrorism response by the Nigerian government immediately followed the two major incidents above. The government enacted the </w:t>
      </w:r>
      <w:r w:rsidRPr="00EB42B0">
        <w:rPr>
          <w:rFonts w:ascii="Times New Roman" w:hAnsi="Times New Roman"/>
          <w:i/>
          <w:sz w:val="24"/>
        </w:rPr>
        <w:t>Terrorism (Prevention) Act 2011</w:t>
      </w:r>
      <w:r w:rsidRPr="00EB42B0">
        <w:rPr>
          <w:rFonts w:ascii="Times New Roman" w:hAnsi="Times New Roman"/>
          <w:sz w:val="24"/>
        </w:rPr>
        <w:t xml:space="preserve"> (hereafter ‘TPA’).</w:t>
      </w:r>
      <w:r w:rsidRPr="00EB42B0">
        <w:rPr>
          <w:rStyle w:val="FootnoteReference"/>
          <w:rFonts w:ascii="Times New Roman" w:hAnsi="Times New Roman"/>
          <w:sz w:val="24"/>
        </w:rPr>
        <w:footnoteReference w:id="140"/>
      </w:r>
      <w:r w:rsidRPr="00EB42B0">
        <w:rPr>
          <w:rFonts w:ascii="Times New Roman" w:hAnsi="Times New Roman"/>
          <w:sz w:val="24"/>
        </w:rPr>
        <w:t xml:space="preserve"> This was amended on February 21, 2013 by the </w:t>
      </w:r>
      <w:r w:rsidRPr="00EB42B0">
        <w:rPr>
          <w:rFonts w:ascii="Times New Roman" w:hAnsi="Times New Roman"/>
          <w:i/>
          <w:sz w:val="24"/>
        </w:rPr>
        <w:t>Terrorism (Prevention) (Amendment) Act 2013</w:t>
      </w:r>
      <w:r w:rsidRPr="00EB42B0">
        <w:rPr>
          <w:rFonts w:ascii="Times New Roman" w:hAnsi="Times New Roman"/>
          <w:sz w:val="24"/>
        </w:rPr>
        <w:t xml:space="preserve"> (hereafter ‘TPA’ as Amended). While most of its provisions are human rights compliant, some are not. Some counter terrorism measures have been found to have </w:t>
      </w:r>
      <w:r w:rsidRPr="00EB42B0">
        <w:rPr>
          <w:rFonts w:ascii="Times New Roman" w:hAnsi="Times New Roman"/>
          <w:sz w:val="24"/>
        </w:rPr>
        <w:lastRenderedPageBreak/>
        <w:t>grave impact on the enjoyment of human rights.</w:t>
      </w:r>
      <w:r w:rsidRPr="00EB42B0">
        <w:rPr>
          <w:rStyle w:val="FootnoteReference"/>
          <w:rFonts w:ascii="Times New Roman" w:hAnsi="Times New Roman"/>
          <w:sz w:val="24"/>
        </w:rPr>
        <w:footnoteReference w:id="141"/>
      </w:r>
      <w:r w:rsidRPr="00EB42B0">
        <w:rPr>
          <w:rFonts w:ascii="Times New Roman" w:hAnsi="Times New Roman"/>
          <w:sz w:val="24"/>
        </w:rPr>
        <w:t xml:space="preserve"> For example section 32(1) of TPA (as Amended) which provides that the Federa</w:t>
      </w:r>
      <w:r w:rsidR="0066625C" w:rsidRPr="00EB42B0">
        <w:rPr>
          <w:rFonts w:ascii="Times New Roman" w:hAnsi="Times New Roman"/>
          <w:sz w:val="24"/>
        </w:rPr>
        <w:t>l High Court “</w:t>
      </w:r>
      <w:r w:rsidRPr="00EB42B0">
        <w:rPr>
          <w:rFonts w:ascii="Times New Roman" w:hAnsi="Times New Roman"/>
          <w:sz w:val="24"/>
        </w:rPr>
        <w:t>shall have the sole jurisdiction to try an offence and impose the penalties specified in this Act</w:t>
      </w:r>
      <w:r w:rsidR="0066625C" w:rsidRPr="00EB42B0">
        <w:rPr>
          <w:rFonts w:ascii="Times New Roman" w:hAnsi="Times New Roman"/>
          <w:sz w:val="24"/>
        </w:rPr>
        <w:t>”</w:t>
      </w:r>
      <w:r w:rsidRPr="00EB42B0">
        <w:rPr>
          <w:rStyle w:val="FootnoteReference"/>
          <w:rFonts w:ascii="Times New Roman" w:hAnsi="Times New Roman"/>
          <w:sz w:val="24"/>
        </w:rPr>
        <w:footnoteReference w:id="142"/>
      </w:r>
      <w:r w:rsidRPr="00EB42B0">
        <w:rPr>
          <w:rFonts w:ascii="Times New Roman" w:hAnsi="Times New Roman"/>
          <w:sz w:val="24"/>
        </w:rPr>
        <w:t xml:space="preserve"> is in conflict with the </w:t>
      </w:r>
      <w:r w:rsidRPr="00EB42B0">
        <w:rPr>
          <w:rFonts w:ascii="Times New Roman" w:hAnsi="Times New Roman"/>
          <w:i/>
          <w:sz w:val="24"/>
        </w:rPr>
        <w:t>Child Rights Act 2003</w:t>
      </w:r>
      <w:r w:rsidRPr="00EB42B0">
        <w:rPr>
          <w:rFonts w:ascii="Times New Roman" w:hAnsi="Times New Roman"/>
          <w:sz w:val="24"/>
        </w:rPr>
        <w:t>,</w:t>
      </w:r>
      <w:r w:rsidRPr="00EB42B0">
        <w:rPr>
          <w:rStyle w:val="FootnoteReference"/>
          <w:rFonts w:ascii="Times New Roman" w:hAnsi="Times New Roman"/>
          <w:sz w:val="24"/>
        </w:rPr>
        <w:footnoteReference w:id="143"/>
      </w:r>
      <w:r w:rsidRPr="00EB42B0">
        <w:rPr>
          <w:rFonts w:ascii="Times New Roman" w:hAnsi="Times New Roman"/>
          <w:sz w:val="24"/>
        </w:rPr>
        <w:t xml:space="preserve"> pursuant to which a child is to be tried by a Family Court.</w:t>
      </w:r>
      <w:r w:rsidRPr="00EB42B0">
        <w:rPr>
          <w:rStyle w:val="FootnoteReference"/>
          <w:rFonts w:ascii="Times New Roman" w:hAnsi="Times New Roman"/>
          <w:sz w:val="24"/>
        </w:rPr>
        <w:footnoteReference w:id="144"/>
      </w:r>
      <w:r w:rsidRPr="00EB42B0">
        <w:rPr>
          <w:rFonts w:ascii="Times New Roman" w:hAnsi="Times New Roman"/>
          <w:sz w:val="24"/>
        </w:rPr>
        <w:t xml:space="preserve"> This also goes against the UPR recommendations Nigeria accept</w:t>
      </w:r>
      <w:r w:rsidR="0066625C" w:rsidRPr="00EB42B0">
        <w:rPr>
          <w:rFonts w:ascii="Times New Roman" w:hAnsi="Times New Roman"/>
          <w:sz w:val="24"/>
        </w:rPr>
        <w:t>ed from Poland and Slovakia to “</w:t>
      </w:r>
      <w:r w:rsidRPr="00EB42B0">
        <w:rPr>
          <w:rFonts w:ascii="Times New Roman" w:hAnsi="Times New Roman"/>
          <w:sz w:val="24"/>
        </w:rPr>
        <w:t>[e]nsure that neither the death penalty nor life sentence is imposed for offences committed by persons below 18 years of age</w:t>
      </w:r>
      <w:r w:rsidR="0066625C" w:rsidRPr="00EB42B0">
        <w:rPr>
          <w:rFonts w:ascii="Times New Roman" w:hAnsi="Times New Roman"/>
          <w:sz w:val="24"/>
        </w:rPr>
        <w:t>”.</w:t>
      </w:r>
      <w:r w:rsidRPr="00EB42B0">
        <w:rPr>
          <w:rStyle w:val="FootnoteReference"/>
          <w:rFonts w:ascii="Times New Roman" w:hAnsi="Times New Roman"/>
          <w:sz w:val="24"/>
        </w:rPr>
        <w:footnoteReference w:id="145"/>
      </w:r>
    </w:p>
    <w:p w:rsidR="00FC3A48" w:rsidRPr="00EB42B0" w:rsidRDefault="00FC3A48" w:rsidP="00FC3A48">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Furthermore, subjecting the proscribed acts or omissions in the TPA</w:t>
      </w:r>
      <w:r w:rsidRPr="00EB42B0">
        <w:rPr>
          <w:rStyle w:val="FootnoteReference"/>
          <w:rFonts w:ascii="Times New Roman" w:hAnsi="Times New Roman"/>
          <w:sz w:val="24"/>
        </w:rPr>
        <w:footnoteReference w:id="146"/>
      </w:r>
      <w:r w:rsidR="0074263B" w:rsidRPr="00EB42B0">
        <w:rPr>
          <w:rFonts w:ascii="Times New Roman" w:hAnsi="Times New Roman"/>
          <w:sz w:val="24"/>
        </w:rPr>
        <w:t xml:space="preserve"> (including “threats”) “</w:t>
      </w:r>
      <w:r w:rsidRPr="00EB42B0">
        <w:rPr>
          <w:rFonts w:ascii="Times New Roman" w:hAnsi="Times New Roman"/>
          <w:sz w:val="24"/>
        </w:rPr>
        <w:t xml:space="preserve">to maximum of death </w:t>
      </w:r>
      <w:r w:rsidR="0074263B" w:rsidRPr="00EB42B0">
        <w:rPr>
          <w:rFonts w:ascii="Times New Roman" w:hAnsi="Times New Roman"/>
          <w:sz w:val="24"/>
        </w:rPr>
        <w:t>penalty”</w:t>
      </w:r>
      <w:r w:rsidRPr="00EB42B0">
        <w:rPr>
          <w:rFonts w:ascii="Times New Roman" w:hAnsi="Times New Roman"/>
          <w:sz w:val="24"/>
        </w:rPr>
        <w:t>,</w:t>
      </w:r>
      <w:r w:rsidRPr="00EB42B0">
        <w:rPr>
          <w:rStyle w:val="FootnoteReference"/>
          <w:rFonts w:ascii="Times New Roman" w:hAnsi="Times New Roman"/>
          <w:sz w:val="24"/>
        </w:rPr>
        <w:footnoteReference w:id="147"/>
      </w:r>
      <w:r w:rsidRPr="00EB42B0">
        <w:rPr>
          <w:rFonts w:ascii="Times New Roman" w:hAnsi="Times New Roman"/>
          <w:sz w:val="24"/>
        </w:rPr>
        <w:t xml:space="preserve"> irrespective of the gravity of the offence, is open to abuse and undermines the principle of proportionality. Amnesty International notes this fact and other inconsistencies with the TPA to which it stated: </w:t>
      </w:r>
    </w:p>
    <w:p w:rsidR="00FC3A48" w:rsidRPr="00EB42B0" w:rsidRDefault="00FC3A48" w:rsidP="00FC3A48">
      <w:pPr>
        <w:spacing w:before="100" w:beforeAutospacing="1" w:after="100" w:afterAutospacing="1" w:line="240" w:lineRule="auto"/>
        <w:ind w:left="1134" w:right="1088"/>
        <w:jc w:val="both"/>
        <w:rPr>
          <w:rFonts w:ascii="Times New Roman" w:hAnsi="Times New Roman"/>
          <w:sz w:val="24"/>
        </w:rPr>
      </w:pPr>
      <w:r w:rsidRPr="00EB42B0">
        <w:rPr>
          <w:rFonts w:ascii="Times New Roman" w:hAnsi="Times New Roman"/>
          <w:sz w:val="24"/>
        </w:rPr>
        <w:t>Key provisions of the Act are incompatible with Nigeria’s human rights obligations. Many of the provisions of the Act use terms and definitions that are imprecise and overbroad in scope, violating the ‘legality’ requirement for criminal offences, and/or unlawfully restricting a range of rights – such as freedom of thought, conscience and religion, freedom of opinion and expression, freedom of association and freedom of assembly – by failing to adhere to the requirements of demonstrable proportionality... some provisions relating to investigation, detention, and trial are not consistent with various provisions of human rights law.</w:t>
      </w:r>
      <w:r w:rsidRPr="00EB42B0">
        <w:rPr>
          <w:rStyle w:val="FootnoteReference"/>
          <w:rFonts w:ascii="Times New Roman" w:hAnsi="Times New Roman"/>
          <w:sz w:val="24"/>
        </w:rPr>
        <w:footnoteReference w:id="148"/>
      </w:r>
    </w:p>
    <w:p w:rsidR="00FC3A48" w:rsidRPr="00EB42B0" w:rsidRDefault="00FC3A48" w:rsidP="00FC3A48">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Another prominent issue during Nigeria’s UPR related to the government’s anti-terrorism campaign was torture and extra-judicial executions. Six states including Benin, Germany and Portugal recommended during UPR I that Nigeria investigate and put an end to the use of </w:t>
      </w:r>
      <w:r w:rsidRPr="00EB42B0">
        <w:rPr>
          <w:rFonts w:ascii="Times New Roman" w:hAnsi="Times New Roman"/>
          <w:sz w:val="24"/>
        </w:rPr>
        <w:lastRenderedPageBreak/>
        <w:t>torture and extra-judicial executions by the police.</w:t>
      </w:r>
      <w:r w:rsidRPr="00EB42B0">
        <w:rPr>
          <w:rStyle w:val="FootnoteReference"/>
          <w:rFonts w:ascii="Times New Roman" w:hAnsi="Times New Roman"/>
          <w:sz w:val="24"/>
        </w:rPr>
        <w:footnoteReference w:id="149"/>
      </w:r>
      <w:r w:rsidRPr="00EB42B0">
        <w:rPr>
          <w:rFonts w:ascii="Times New Roman" w:hAnsi="Times New Roman"/>
          <w:sz w:val="24"/>
        </w:rPr>
        <w:t xml:space="preserve"> These recommendations were accepted by the Nigerian government. </w:t>
      </w:r>
    </w:p>
    <w:p w:rsidR="00FC3A48" w:rsidRPr="00EB42B0" w:rsidRDefault="00FC3A48" w:rsidP="00FC3A48">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Despite the above UPR commitment to end extra-judicial executions, there has been an increase in extra-judicial executions. Government security forces have been implicated in numerous extra-judicial killings, torture, and other serious human rights abuses.</w:t>
      </w:r>
      <w:bookmarkStart w:id="20" w:name="_Ref484528884"/>
      <w:r w:rsidRPr="00EB42B0">
        <w:rPr>
          <w:rStyle w:val="FootnoteReference"/>
          <w:rFonts w:ascii="Times New Roman" w:hAnsi="Times New Roman"/>
          <w:sz w:val="24"/>
        </w:rPr>
        <w:footnoteReference w:id="150"/>
      </w:r>
      <w:bookmarkEnd w:id="20"/>
      <w:r w:rsidRPr="00EB42B0">
        <w:rPr>
          <w:rFonts w:ascii="Times New Roman" w:hAnsi="Times New Roman"/>
          <w:sz w:val="24"/>
        </w:rPr>
        <w:t xml:space="preserve"> The escalation of violence between </w:t>
      </w:r>
      <w:r w:rsidRPr="00EB42B0">
        <w:rPr>
          <w:rFonts w:ascii="Times New Roman" w:hAnsi="Times New Roman"/>
          <w:i/>
          <w:sz w:val="24"/>
        </w:rPr>
        <w:t xml:space="preserve">Boko Haram </w:t>
      </w:r>
      <w:r w:rsidRPr="00EB42B0">
        <w:rPr>
          <w:rFonts w:ascii="Times New Roman" w:hAnsi="Times New Roman"/>
          <w:sz w:val="24"/>
        </w:rPr>
        <w:t>and the government was prompted by an act of extra-judicial execution.</w:t>
      </w:r>
      <w:r w:rsidRPr="00EB42B0">
        <w:rPr>
          <w:rStyle w:val="FootnoteReference"/>
          <w:rFonts w:ascii="Times New Roman" w:hAnsi="Times New Roman"/>
          <w:sz w:val="24"/>
        </w:rPr>
        <w:footnoteReference w:id="151"/>
      </w:r>
      <w:r w:rsidRPr="00EB42B0">
        <w:rPr>
          <w:rFonts w:ascii="Times New Roman" w:hAnsi="Times New Roman"/>
          <w:sz w:val="24"/>
        </w:rPr>
        <w:t xml:space="preserve"> It was the death of Yussuf, a </w:t>
      </w:r>
      <w:r w:rsidRPr="00EB42B0">
        <w:rPr>
          <w:rFonts w:ascii="Times New Roman" w:hAnsi="Times New Roman"/>
          <w:i/>
          <w:sz w:val="24"/>
        </w:rPr>
        <w:t xml:space="preserve">Boko Haram </w:t>
      </w:r>
      <w:r w:rsidRPr="00EB42B0">
        <w:rPr>
          <w:rFonts w:ascii="Times New Roman" w:hAnsi="Times New Roman"/>
          <w:sz w:val="24"/>
        </w:rPr>
        <w:t>leader</w:t>
      </w:r>
      <w:r w:rsidRPr="00EB42B0">
        <w:rPr>
          <w:rFonts w:ascii="Times New Roman" w:hAnsi="Times New Roman"/>
          <w:i/>
          <w:sz w:val="24"/>
        </w:rPr>
        <w:t xml:space="preserve"> </w:t>
      </w:r>
      <w:r w:rsidRPr="00EB42B0">
        <w:rPr>
          <w:rFonts w:ascii="Times New Roman" w:hAnsi="Times New Roman"/>
          <w:sz w:val="24"/>
        </w:rPr>
        <w:t xml:space="preserve">in police custody that triggered </w:t>
      </w:r>
      <w:r w:rsidRPr="00EB42B0">
        <w:rPr>
          <w:rFonts w:ascii="Times New Roman" w:hAnsi="Times New Roman"/>
          <w:i/>
          <w:sz w:val="24"/>
        </w:rPr>
        <w:t xml:space="preserve">Boko Haram </w:t>
      </w:r>
      <w:r w:rsidRPr="00EB42B0">
        <w:rPr>
          <w:rFonts w:ascii="Times New Roman" w:hAnsi="Times New Roman"/>
          <w:sz w:val="24"/>
        </w:rPr>
        <w:t>to perpetuate</w:t>
      </w:r>
      <w:r w:rsidRPr="00EB42B0">
        <w:rPr>
          <w:rFonts w:ascii="Times New Roman" w:hAnsi="Times New Roman"/>
          <w:i/>
          <w:sz w:val="24"/>
        </w:rPr>
        <w:t xml:space="preserve"> </w:t>
      </w:r>
      <w:r w:rsidRPr="00EB42B0">
        <w:rPr>
          <w:rFonts w:ascii="Times New Roman" w:hAnsi="Times New Roman"/>
          <w:sz w:val="24"/>
        </w:rPr>
        <w:t>the two major bombings in 2011 as acts of retaliation.</w:t>
      </w:r>
      <w:r w:rsidRPr="00EB42B0">
        <w:rPr>
          <w:rStyle w:val="FootnoteReference"/>
          <w:rFonts w:ascii="Times New Roman" w:hAnsi="Times New Roman"/>
          <w:sz w:val="24"/>
        </w:rPr>
        <w:footnoteReference w:id="152"/>
      </w:r>
      <w:r w:rsidRPr="00EB42B0">
        <w:rPr>
          <w:rFonts w:ascii="Times New Roman" w:hAnsi="Times New Roman"/>
          <w:sz w:val="24"/>
        </w:rPr>
        <w:t xml:space="preserve"> During UPR II on Nigeria, HRAN reported an increase in the number of extra-judicial executions, torture and ill treatment committed by the Joint Task Force set up by the government in the name of fighting terrorism.</w:t>
      </w:r>
      <w:r w:rsidRPr="00EB42B0">
        <w:rPr>
          <w:rStyle w:val="FootnoteReference"/>
          <w:rFonts w:ascii="Times New Roman" w:hAnsi="Times New Roman"/>
          <w:sz w:val="24"/>
        </w:rPr>
        <w:footnoteReference w:id="153"/>
      </w:r>
    </w:p>
    <w:p w:rsidR="00FC3A48" w:rsidRPr="00EB42B0" w:rsidRDefault="00FC3A48" w:rsidP="00FC3A48">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Amnesty International also reported an increase in the number of extra-judicial executions by the government. It reported that over 950 people died in detention facilities ran by the Joint Task Force within the first six months of 2013.</w:t>
      </w:r>
      <w:r w:rsidRPr="00EB42B0">
        <w:rPr>
          <w:rStyle w:val="FootnoteReference"/>
          <w:rFonts w:ascii="Times New Roman" w:hAnsi="Times New Roman"/>
          <w:sz w:val="24"/>
        </w:rPr>
        <w:footnoteReference w:id="154"/>
      </w:r>
      <w:r w:rsidRPr="00EB42B0">
        <w:rPr>
          <w:rFonts w:ascii="Times New Roman" w:hAnsi="Times New Roman"/>
          <w:sz w:val="24"/>
        </w:rPr>
        <w:t xml:space="preserve"> Similarly, just one month after Nigeria’s UPR I, Human Rights Watch documented 28 alleged extra-judicial executions committed by the government police between 28 July and 1 August 2009</w:t>
      </w:r>
      <w:r w:rsidRPr="00EB42B0">
        <w:rPr>
          <w:rStyle w:val="FootnoteReference"/>
          <w:rFonts w:ascii="Times New Roman" w:hAnsi="Times New Roman"/>
          <w:sz w:val="24"/>
        </w:rPr>
        <w:footnoteReference w:id="155"/>
      </w:r>
      <w:r w:rsidRPr="00EB42B0">
        <w:rPr>
          <w:rFonts w:ascii="Times New Roman" w:hAnsi="Times New Roman"/>
          <w:sz w:val="24"/>
        </w:rPr>
        <w:t xml:space="preserve"> and 27 extra-judicial executions carried out by the military in Maiduguri between July 2009 and May 2012.</w:t>
      </w:r>
      <w:r w:rsidRPr="00EB42B0">
        <w:rPr>
          <w:rStyle w:val="FootnoteReference"/>
          <w:rFonts w:ascii="Times New Roman" w:hAnsi="Times New Roman"/>
          <w:sz w:val="24"/>
        </w:rPr>
        <w:footnoteReference w:id="156"/>
      </w:r>
      <w:r w:rsidRPr="00EB42B0">
        <w:rPr>
          <w:rFonts w:ascii="Times New Roman" w:hAnsi="Times New Roman"/>
          <w:sz w:val="24"/>
        </w:rPr>
        <w:t xml:space="preserve"> The Nigerian National Human Rights Commission in its UPR II submission noted that there is no body set up to monitor and investigate extra-judicial executions in Nigeria and that the National Committee against Torture has no investigative powers.</w:t>
      </w:r>
      <w:r w:rsidRPr="00EB42B0">
        <w:rPr>
          <w:rStyle w:val="FootnoteReference"/>
          <w:rFonts w:ascii="Times New Roman" w:hAnsi="Times New Roman"/>
          <w:sz w:val="24"/>
        </w:rPr>
        <w:footnoteReference w:id="157"/>
      </w:r>
      <w:r w:rsidRPr="00EB42B0">
        <w:rPr>
          <w:rFonts w:ascii="Times New Roman" w:hAnsi="Times New Roman"/>
          <w:sz w:val="24"/>
        </w:rPr>
        <w:t xml:space="preserve"> During UPR II, Portugal recommended that the Nigerian government should tackle the problem of extra-judicial executions by mainstreaming human rights into counter terrorism laws and policies.</w:t>
      </w:r>
      <w:r w:rsidRPr="00EB42B0">
        <w:rPr>
          <w:rStyle w:val="FootnoteReference"/>
          <w:rFonts w:ascii="Times New Roman" w:hAnsi="Times New Roman"/>
          <w:sz w:val="24"/>
        </w:rPr>
        <w:footnoteReference w:id="158"/>
      </w:r>
      <w:r w:rsidRPr="00EB42B0">
        <w:rPr>
          <w:rFonts w:ascii="Times New Roman" w:hAnsi="Times New Roman"/>
          <w:sz w:val="24"/>
        </w:rPr>
        <w:t xml:space="preserve"> This </w:t>
      </w:r>
      <w:r w:rsidRPr="00EB42B0">
        <w:rPr>
          <w:rFonts w:ascii="Times New Roman" w:hAnsi="Times New Roman"/>
          <w:sz w:val="24"/>
        </w:rPr>
        <w:lastRenderedPageBreak/>
        <w:t>can contribute to draw a clear line between law enforcement and terrorism. Besides, torture and extra-judicial executions are non-derogable rights recognised by international human rights law and Nigeria (as of February 2017) did not officially derogate from the ICCPR in its counter terrorism campaign.</w:t>
      </w:r>
      <w:r w:rsidRPr="00EB42B0">
        <w:rPr>
          <w:rStyle w:val="FootnoteReference"/>
          <w:rFonts w:ascii="Times New Roman" w:hAnsi="Times New Roman"/>
          <w:sz w:val="24"/>
        </w:rPr>
        <w:t xml:space="preserve"> </w:t>
      </w:r>
      <w:r w:rsidRPr="00EB42B0">
        <w:rPr>
          <w:rStyle w:val="FootnoteReference"/>
          <w:rFonts w:ascii="Times New Roman" w:hAnsi="Times New Roman"/>
          <w:sz w:val="24"/>
        </w:rPr>
        <w:footnoteReference w:id="159"/>
      </w:r>
      <w:r w:rsidRPr="00EB42B0">
        <w:rPr>
          <w:rFonts w:ascii="Times New Roman" w:hAnsi="Times New Roman"/>
          <w:sz w:val="24"/>
        </w:rPr>
        <w:t xml:space="preserve"> Nigeria accepted all five recommendations during UPR II to end, prevent and investigate extra-judicial executions and torture by security forces, and to guarantee respect for human rights in its fight against terrorism.</w:t>
      </w:r>
      <w:r w:rsidRPr="00EB42B0">
        <w:rPr>
          <w:rStyle w:val="FootnoteReference"/>
          <w:rFonts w:ascii="Times New Roman" w:hAnsi="Times New Roman"/>
          <w:sz w:val="24"/>
        </w:rPr>
        <w:footnoteReference w:id="160"/>
      </w:r>
      <w:r w:rsidRPr="00EB42B0">
        <w:rPr>
          <w:rFonts w:ascii="Times New Roman" w:hAnsi="Times New Roman"/>
          <w:sz w:val="24"/>
        </w:rPr>
        <w:t xml:space="preserve"> The extent to which this is implemented can only be determined by the end of UPR II implementation timeframe in 2018.</w:t>
      </w:r>
    </w:p>
    <w:p w:rsidR="00FC3A48" w:rsidRPr="00EB42B0" w:rsidRDefault="00FC3A48" w:rsidP="00FC3A48">
      <w:pPr>
        <w:spacing w:before="100" w:beforeAutospacing="1" w:after="100" w:afterAutospacing="1" w:line="360" w:lineRule="auto"/>
        <w:jc w:val="both"/>
        <w:rPr>
          <w:rFonts w:ascii="Times New Roman" w:hAnsi="Times New Roman"/>
          <w:sz w:val="24"/>
        </w:rPr>
      </w:pPr>
      <w:r w:rsidRPr="00EB42B0">
        <w:rPr>
          <w:rFonts w:ascii="Times New Roman" w:hAnsi="Times New Roman"/>
          <w:sz w:val="24"/>
        </w:rPr>
        <w:t xml:space="preserve">Acculturation falls within the broader socialisation theory on the ways in which human rights norms become socialised into domestic settings of states. Prominent among these theories </w:t>
      </w:r>
      <w:r w:rsidR="0009678E" w:rsidRPr="00EB42B0">
        <w:rPr>
          <w:rFonts w:ascii="Times New Roman" w:hAnsi="Times New Roman"/>
          <w:sz w:val="24"/>
        </w:rPr>
        <w:t>is</w:t>
      </w:r>
      <w:r w:rsidRPr="00EB42B0">
        <w:rPr>
          <w:rFonts w:ascii="Times New Roman" w:hAnsi="Times New Roman"/>
          <w:sz w:val="24"/>
        </w:rPr>
        <w:t xml:space="preserve"> the five-stage spiral model developed by Risse, Ropp and Sikkink. A </w:t>
      </w:r>
      <w:r w:rsidR="0009678E" w:rsidRPr="00EB42B0">
        <w:rPr>
          <w:rFonts w:ascii="Times New Roman" w:hAnsi="Times New Roman"/>
          <w:sz w:val="24"/>
        </w:rPr>
        <w:t>major deficiency</w:t>
      </w:r>
      <w:r w:rsidR="006F1020" w:rsidRPr="00EB42B0">
        <w:rPr>
          <w:rFonts w:ascii="Times New Roman" w:hAnsi="Times New Roman"/>
          <w:sz w:val="24"/>
        </w:rPr>
        <w:t xml:space="preserve"> in the various theories of human rights norm socialisation is their</w:t>
      </w:r>
      <w:r w:rsidRPr="00EB42B0">
        <w:rPr>
          <w:rFonts w:ascii="Times New Roman" w:hAnsi="Times New Roman"/>
          <w:sz w:val="24"/>
        </w:rPr>
        <w:t xml:space="preserve"> failure to consider the regressive effect of serious conflicts and security threats on human rights norm implementation. This section with focus on </w:t>
      </w:r>
      <w:r w:rsidRPr="00EB42B0">
        <w:rPr>
          <w:rFonts w:ascii="Times New Roman" w:hAnsi="Times New Roman"/>
          <w:i/>
          <w:sz w:val="24"/>
        </w:rPr>
        <w:t>Boko Haram</w:t>
      </w:r>
      <w:r w:rsidRPr="00EB42B0">
        <w:rPr>
          <w:rFonts w:ascii="Times New Roman" w:hAnsi="Times New Roman"/>
          <w:sz w:val="24"/>
        </w:rPr>
        <w:t xml:space="preserve"> terrorism has demonstrated that conflicts and security threats can have a regressive effect on state human rights compliance. The fight against </w:t>
      </w:r>
      <w:r w:rsidRPr="00EB42B0">
        <w:rPr>
          <w:rFonts w:ascii="Times New Roman" w:hAnsi="Times New Roman"/>
          <w:i/>
          <w:sz w:val="24"/>
        </w:rPr>
        <w:t xml:space="preserve">Boko Haram </w:t>
      </w:r>
      <w:r w:rsidRPr="00EB42B0">
        <w:rPr>
          <w:rFonts w:ascii="Times New Roman" w:hAnsi="Times New Roman"/>
          <w:sz w:val="24"/>
        </w:rPr>
        <w:t>terrorism</w:t>
      </w:r>
      <w:r w:rsidRPr="00EB42B0">
        <w:rPr>
          <w:rFonts w:ascii="Times New Roman" w:hAnsi="Times New Roman"/>
          <w:i/>
          <w:sz w:val="24"/>
        </w:rPr>
        <w:t xml:space="preserve"> </w:t>
      </w:r>
      <w:r w:rsidRPr="00EB42B0">
        <w:rPr>
          <w:rFonts w:ascii="Times New Roman" w:hAnsi="Times New Roman"/>
          <w:sz w:val="24"/>
        </w:rPr>
        <w:t xml:space="preserve">in Nigeria has </w:t>
      </w:r>
      <w:r w:rsidR="005E5F98" w:rsidRPr="00EB42B0">
        <w:rPr>
          <w:rFonts w:ascii="Times New Roman" w:hAnsi="Times New Roman"/>
          <w:sz w:val="24"/>
        </w:rPr>
        <w:t>contributed to</w:t>
      </w:r>
      <w:r w:rsidRPr="00EB42B0">
        <w:rPr>
          <w:rFonts w:ascii="Times New Roman" w:hAnsi="Times New Roman"/>
          <w:sz w:val="24"/>
        </w:rPr>
        <w:t xml:space="preserve"> an increase by government police and militia in the perpetuation of torture and extra-judicial executions, despite its UPR commitments and other human rights obligations. </w:t>
      </w:r>
    </w:p>
    <w:p w:rsidR="00935B98" w:rsidRPr="00EB42B0" w:rsidRDefault="00B825B4" w:rsidP="00F76666">
      <w:pPr>
        <w:spacing w:line="360" w:lineRule="auto"/>
        <w:jc w:val="both"/>
        <w:rPr>
          <w:rFonts w:ascii="Times New Roman" w:hAnsi="Times New Roman"/>
          <w:sz w:val="24"/>
          <w:szCs w:val="24"/>
        </w:rPr>
      </w:pPr>
      <w:r w:rsidRPr="00EB42B0">
        <w:rPr>
          <w:rFonts w:ascii="Times New Roman" w:hAnsi="Times New Roman"/>
          <w:sz w:val="24"/>
          <w:szCs w:val="24"/>
        </w:rPr>
        <w:t>CONCLUSION</w:t>
      </w:r>
    </w:p>
    <w:p w:rsidR="00F755B5" w:rsidRPr="00EB42B0" w:rsidRDefault="00F363D5" w:rsidP="00F76666">
      <w:pPr>
        <w:spacing w:line="360" w:lineRule="auto"/>
        <w:jc w:val="both"/>
        <w:rPr>
          <w:rFonts w:ascii="Times New Roman" w:hAnsi="Times New Roman"/>
          <w:sz w:val="24"/>
          <w:szCs w:val="24"/>
        </w:rPr>
      </w:pPr>
      <w:r w:rsidRPr="00EB42B0">
        <w:rPr>
          <w:rFonts w:ascii="Times New Roman" w:hAnsi="Times New Roman"/>
          <w:sz w:val="24"/>
          <w:szCs w:val="24"/>
        </w:rPr>
        <w:t>This article</w:t>
      </w:r>
      <w:r w:rsidR="004F2C1E" w:rsidRPr="00EB42B0">
        <w:rPr>
          <w:rFonts w:ascii="Times New Roman" w:hAnsi="Times New Roman"/>
          <w:sz w:val="24"/>
          <w:szCs w:val="24"/>
        </w:rPr>
        <w:t xml:space="preserve">, with </w:t>
      </w:r>
      <w:r w:rsidRPr="00EB42B0">
        <w:rPr>
          <w:rFonts w:ascii="Times New Roman" w:hAnsi="Times New Roman"/>
          <w:sz w:val="24"/>
          <w:szCs w:val="24"/>
        </w:rPr>
        <w:t xml:space="preserve">a focus Nigeria, underscores the potential for human rights mechanisms based on cooperation and dialogue to </w:t>
      </w:r>
      <w:r w:rsidR="004F2C1E" w:rsidRPr="00EB42B0">
        <w:rPr>
          <w:rFonts w:ascii="Times New Roman" w:hAnsi="Times New Roman"/>
          <w:sz w:val="24"/>
          <w:szCs w:val="24"/>
        </w:rPr>
        <w:t>help cause human rights changes within states in a subtle but significant way.</w:t>
      </w:r>
      <w:r w:rsidRPr="00EB42B0">
        <w:rPr>
          <w:rFonts w:ascii="Times New Roman" w:hAnsi="Times New Roman"/>
          <w:sz w:val="24"/>
          <w:szCs w:val="24"/>
        </w:rPr>
        <w:t xml:space="preserve"> Exclusive reliance on coercive/confrontational </w:t>
      </w:r>
      <w:r w:rsidR="004F2C1E" w:rsidRPr="00EB42B0">
        <w:rPr>
          <w:rFonts w:ascii="Times New Roman" w:hAnsi="Times New Roman"/>
          <w:sz w:val="24"/>
          <w:szCs w:val="24"/>
        </w:rPr>
        <w:t>mechanisms could undermine the potential for cooperative mechanisms to contribute to human rights changes within states.</w:t>
      </w:r>
      <w:r w:rsidRPr="00EB42B0">
        <w:rPr>
          <w:rFonts w:ascii="Times New Roman" w:hAnsi="Times New Roman"/>
          <w:sz w:val="24"/>
          <w:szCs w:val="24"/>
        </w:rPr>
        <w:t xml:space="preserve"> Elvira Domínguez Redondo earlier expressed this point when he states</w:t>
      </w:r>
      <w:r w:rsidR="00F755B5" w:rsidRPr="00EB42B0">
        <w:rPr>
          <w:rFonts w:ascii="Times New Roman" w:hAnsi="Times New Roman"/>
          <w:sz w:val="24"/>
          <w:szCs w:val="24"/>
        </w:rPr>
        <w:t>:</w:t>
      </w:r>
    </w:p>
    <w:p w:rsidR="00B825B4" w:rsidRPr="00EB42B0" w:rsidRDefault="00726A41" w:rsidP="00AE065B">
      <w:pPr>
        <w:spacing w:line="360" w:lineRule="auto"/>
        <w:ind w:left="993" w:right="1088"/>
        <w:jc w:val="both"/>
        <w:rPr>
          <w:rFonts w:ascii="Times New Roman" w:hAnsi="Times New Roman"/>
          <w:szCs w:val="24"/>
        </w:rPr>
      </w:pPr>
      <w:r w:rsidRPr="00EB42B0">
        <w:rPr>
          <w:rFonts w:ascii="Times New Roman" w:hAnsi="Times New Roman"/>
          <w:szCs w:val="24"/>
        </w:rPr>
        <w:t>[T]</w:t>
      </w:r>
      <w:r w:rsidR="00F755B5" w:rsidRPr="00EB42B0">
        <w:rPr>
          <w:rFonts w:ascii="Times New Roman" w:hAnsi="Times New Roman"/>
          <w:szCs w:val="24"/>
        </w:rPr>
        <w:t>hose in charge of human rights mechanisms, scholars and practitioners tend to neglect the potential value of cooperative approaches to human rights implementation and focus instead on</w:t>
      </w:r>
      <w:r w:rsidR="00AE065B" w:rsidRPr="00EB42B0">
        <w:rPr>
          <w:rFonts w:ascii="Times New Roman" w:hAnsi="Times New Roman"/>
          <w:szCs w:val="24"/>
        </w:rPr>
        <w:t xml:space="preserve"> the confrontational approaches</w:t>
      </w:r>
      <w:r w:rsidR="00F755B5" w:rsidRPr="00EB42B0">
        <w:rPr>
          <w:rStyle w:val="FootnoteReference"/>
          <w:rFonts w:ascii="Times New Roman" w:hAnsi="Times New Roman"/>
          <w:szCs w:val="24"/>
        </w:rPr>
        <w:footnoteReference w:id="161"/>
      </w:r>
    </w:p>
    <w:p w:rsidR="00F12E97" w:rsidRPr="00EB42B0" w:rsidRDefault="00F12E97" w:rsidP="00F76666">
      <w:pPr>
        <w:spacing w:line="360" w:lineRule="auto"/>
        <w:jc w:val="both"/>
        <w:rPr>
          <w:rFonts w:ascii="Times New Roman" w:hAnsi="Times New Roman"/>
          <w:sz w:val="24"/>
          <w:szCs w:val="24"/>
        </w:rPr>
      </w:pPr>
      <w:r w:rsidRPr="00EB42B0">
        <w:rPr>
          <w:rFonts w:ascii="Times New Roman" w:hAnsi="Times New Roman"/>
          <w:sz w:val="24"/>
          <w:szCs w:val="24"/>
        </w:rPr>
        <w:lastRenderedPageBreak/>
        <w:t xml:space="preserve">The UPR provides a platform for acculturation that promotes cooperation and encourages continuous improvement of the human rights situation within states. </w:t>
      </w:r>
      <w:r w:rsidRPr="00EB42B0">
        <w:rPr>
          <w:rFonts w:ascii="Times New Roman" w:hAnsi="Times New Roman"/>
          <w:sz w:val="24"/>
        </w:rPr>
        <w:t xml:space="preserve">Applying the theory of acculturation contributes to an understanding of the efficacy of human rights strategies based on cooperation. </w:t>
      </w:r>
      <w:r w:rsidRPr="00EB42B0">
        <w:rPr>
          <w:rFonts w:ascii="Times New Roman" w:hAnsi="Times New Roman"/>
          <w:sz w:val="24"/>
          <w:szCs w:val="24"/>
        </w:rPr>
        <w:t>As a cooperative mechanism, the UPR</w:t>
      </w:r>
      <w:r w:rsidRPr="00EB42B0">
        <w:rPr>
          <w:rFonts w:ascii="Times New Roman" w:hAnsi="Times New Roman"/>
          <w:sz w:val="24"/>
        </w:rPr>
        <w:t xml:space="preserve"> can be beneficial in realising incremental progress in human rights, as opposed to immediate, especially towards the decriminalisation of same-sex relations which is </w:t>
      </w:r>
      <w:r w:rsidR="00D53C3B" w:rsidRPr="00EB42B0">
        <w:rPr>
          <w:rFonts w:ascii="Times New Roman" w:hAnsi="Times New Roman"/>
          <w:sz w:val="24"/>
        </w:rPr>
        <w:t xml:space="preserve">a </w:t>
      </w:r>
      <w:r w:rsidRPr="00EB42B0">
        <w:rPr>
          <w:rFonts w:ascii="Times New Roman" w:hAnsi="Times New Roman"/>
          <w:sz w:val="24"/>
        </w:rPr>
        <w:t xml:space="preserve">culturally sensitive issue within </w:t>
      </w:r>
      <w:r w:rsidR="00FA48A7" w:rsidRPr="00EB42B0">
        <w:rPr>
          <w:rFonts w:ascii="Times New Roman" w:hAnsi="Times New Roman"/>
          <w:sz w:val="24"/>
        </w:rPr>
        <w:t>Nigeria and many other African</w:t>
      </w:r>
      <w:r w:rsidRPr="00EB42B0">
        <w:rPr>
          <w:rFonts w:ascii="Times New Roman" w:hAnsi="Times New Roman"/>
          <w:sz w:val="24"/>
        </w:rPr>
        <w:t xml:space="preserve"> states.</w:t>
      </w:r>
    </w:p>
    <w:p w:rsidR="00A15072" w:rsidRPr="00EB42B0" w:rsidRDefault="000F35E8" w:rsidP="00F76666">
      <w:pPr>
        <w:spacing w:line="360" w:lineRule="auto"/>
        <w:jc w:val="both"/>
        <w:rPr>
          <w:rFonts w:ascii="Times New Roman" w:hAnsi="Times New Roman"/>
          <w:sz w:val="24"/>
          <w:szCs w:val="24"/>
        </w:rPr>
      </w:pPr>
      <w:r w:rsidRPr="00EB42B0">
        <w:rPr>
          <w:rFonts w:ascii="Times New Roman" w:hAnsi="Times New Roman"/>
          <w:sz w:val="24"/>
          <w:szCs w:val="24"/>
        </w:rPr>
        <w:t>Nigeria’s acceptance of most of the UPR I and II recommendations (about 90% and 84% respectively), indicate its receptiveness to peer recommendations</w:t>
      </w:r>
      <w:r w:rsidR="001E7C6C" w:rsidRPr="00EB42B0">
        <w:rPr>
          <w:rFonts w:ascii="Times New Roman" w:hAnsi="Times New Roman"/>
          <w:sz w:val="24"/>
          <w:szCs w:val="24"/>
        </w:rPr>
        <w:t>. However, an important aspect</w:t>
      </w:r>
      <w:r w:rsidRPr="00EB42B0">
        <w:rPr>
          <w:rFonts w:ascii="Times New Roman" w:hAnsi="Times New Roman"/>
          <w:sz w:val="24"/>
          <w:szCs w:val="24"/>
        </w:rPr>
        <w:t xml:space="preserve"> </w:t>
      </w:r>
      <w:r w:rsidR="001E7C6C" w:rsidRPr="00EB42B0">
        <w:rPr>
          <w:rFonts w:ascii="Times New Roman" w:hAnsi="Times New Roman"/>
          <w:sz w:val="24"/>
          <w:szCs w:val="24"/>
        </w:rPr>
        <w:t xml:space="preserve">limiting </w:t>
      </w:r>
      <w:r w:rsidRPr="00EB42B0">
        <w:rPr>
          <w:rFonts w:ascii="Times New Roman" w:hAnsi="Times New Roman"/>
          <w:sz w:val="24"/>
          <w:szCs w:val="24"/>
        </w:rPr>
        <w:t>the e</w:t>
      </w:r>
      <w:r w:rsidR="001E7C6C" w:rsidRPr="00EB42B0">
        <w:rPr>
          <w:rFonts w:ascii="Times New Roman" w:hAnsi="Times New Roman"/>
          <w:sz w:val="24"/>
          <w:szCs w:val="24"/>
        </w:rPr>
        <w:t>xtent of this receptiveness was</w:t>
      </w:r>
      <w:r w:rsidRPr="00EB42B0">
        <w:rPr>
          <w:rFonts w:ascii="Times New Roman" w:hAnsi="Times New Roman"/>
          <w:sz w:val="24"/>
          <w:szCs w:val="24"/>
        </w:rPr>
        <w:t xml:space="preserve"> </w:t>
      </w:r>
      <w:r w:rsidR="00A707CE" w:rsidRPr="00EB42B0">
        <w:rPr>
          <w:rFonts w:ascii="Times New Roman" w:hAnsi="Times New Roman"/>
          <w:sz w:val="24"/>
          <w:szCs w:val="24"/>
        </w:rPr>
        <w:t>cultural relativism</w:t>
      </w:r>
      <w:r w:rsidRPr="00EB42B0">
        <w:rPr>
          <w:rFonts w:ascii="Times New Roman" w:hAnsi="Times New Roman"/>
          <w:sz w:val="24"/>
          <w:szCs w:val="24"/>
        </w:rPr>
        <w:t xml:space="preserve">. Cultural relativism </w:t>
      </w:r>
      <w:r w:rsidR="00A707CE" w:rsidRPr="00EB42B0">
        <w:rPr>
          <w:rFonts w:ascii="Times New Roman" w:hAnsi="Times New Roman"/>
          <w:sz w:val="24"/>
          <w:szCs w:val="24"/>
        </w:rPr>
        <w:t xml:space="preserve">limited Nigeria’s active engagement as it was not willing to accept recommendations on sexual orientation which it considered hyper-sensitive in socio-cultural terms. Regionalism on the other hand attracted a stronger engagement from Nigeria evidenced by its acceptance of all UPR I recommendations from African states and rejecting only about 1% of their recommendations during UPR II. </w:t>
      </w:r>
      <w:r w:rsidR="00BD2B7D" w:rsidRPr="00EB42B0">
        <w:rPr>
          <w:rFonts w:ascii="Times New Roman" w:hAnsi="Times New Roman"/>
          <w:sz w:val="24"/>
          <w:szCs w:val="24"/>
        </w:rPr>
        <w:t>S</w:t>
      </w:r>
      <w:r w:rsidR="00A707CE" w:rsidRPr="00EB42B0">
        <w:rPr>
          <w:rFonts w:ascii="Times New Roman" w:hAnsi="Times New Roman"/>
          <w:sz w:val="24"/>
          <w:szCs w:val="24"/>
        </w:rPr>
        <w:t xml:space="preserve">ome may perceive regionalism to be </w:t>
      </w:r>
      <w:r w:rsidR="00BD2B7D" w:rsidRPr="00EB42B0">
        <w:rPr>
          <w:rFonts w:ascii="Times New Roman" w:hAnsi="Times New Roman"/>
          <w:sz w:val="24"/>
          <w:szCs w:val="24"/>
        </w:rPr>
        <w:t>detrimental to the UPR mechanism. This is true to the extent that it may prevent cooperation across the regional group and affect the universality of the UPR</w:t>
      </w:r>
      <w:r w:rsidR="001E7C6C" w:rsidRPr="00EB42B0">
        <w:rPr>
          <w:rFonts w:ascii="Times New Roman" w:hAnsi="Times New Roman"/>
          <w:sz w:val="24"/>
          <w:szCs w:val="24"/>
        </w:rPr>
        <w:t xml:space="preserve"> process</w:t>
      </w:r>
      <w:r w:rsidR="00BD2B7D" w:rsidRPr="00EB42B0">
        <w:rPr>
          <w:rFonts w:ascii="Times New Roman" w:hAnsi="Times New Roman"/>
          <w:sz w:val="24"/>
          <w:szCs w:val="24"/>
        </w:rPr>
        <w:t>. However, this</w:t>
      </w:r>
      <w:r w:rsidR="00A707CE" w:rsidRPr="00EB42B0">
        <w:rPr>
          <w:rFonts w:ascii="Times New Roman" w:hAnsi="Times New Roman"/>
          <w:sz w:val="24"/>
          <w:szCs w:val="24"/>
        </w:rPr>
        <w:t xml:space="preserve"> may not </w:t>
      </w:r>
      <w:r w:rsidR="00BD2B7D" w:rsidRPr="00EB42B0">
        <w:rPr>
          <w:rFonts w:ascii="Times New Roman" w:hAnsi="Times New Roman"/>
          <w:sz w:val="24"/>
          <w:szCs w:val="24"/>
        </w:rPr>
        <w:t xml:space="preserve">entirely be the case </w:t>
      </w:r>
      <w:r w:rsidR="00A707CE" w:rsidRPr="00EB42B0">
        <w:rPr>
          <w:rFonts w:ascii="Times New Roman" w:hAnsi="Times New Roman"/>
          <w:sz w:val="24"/>
          <w:szCs w:val="24"/>
        </w:rPr>
        <w:t>because it facilitates acculturation by causing recommendations made by the regional block, which otherwise may not have been accepted, to be accepted by members of that regional block.</w:t>
      </w:r>
    </w:p>
    <w:p w:rsidR="0055104E" w:rsidRPr="00EB42B0" w:rsidRDefault="001E7C6C" w:rsidP="00F76666">
      <w:pPr>
        <w:spacing w:line="360" w:lineRule="auto"/>
        <w:jc w:val="both"/>
        <w:rPr>
          <w:rFonts w:ascii="Times New Roman" w:hAnsi="Times New Roman"/>
          <w:sz w:val="24"/>
          <w:szCs w:val="24"/>
        </w:rPr>
      </w:pPr>
      <w:r w:rsidRPr="00EB42B0">
        <w:rPr>
          <w:rFonts w:ascii="Times New Roman" w:hAnsi="Times New Roman"/>
          <w:sz w:val="24"/>
          <w:szCs w:val="24"/>
        </w:rPr>
        <w:t>Nigeria’s implementation of UPR recommendations</w:t>
      </w:r>
      <w:r w:rsidR="00BD2B7D" w:rsidRPr="00EB42B0">
        <w:rPr>
          <w:rFonts w:ascii="Times New Roman" w:hAnsi="Times New Roman"/>
          <w:sz w:val="24"/>
          <w:szCs w:val="24"/>
        </w:rPr>
        <w:t xml:space="preserve"> provided further insights into the potential value of the UPR process by the extent to which it contributed to improve the human rights situation on the ground. </w:t>
      </w:r>
      <w:r w:rsidR="0084675C" w:rsidRPr="00EB42B0">
        <w:rPr>
          <w:rFonts w:ascii="Times New Roman" w:hAnsi="Times New Roman"/>
          <w:sz w:val="24"/>
          <w:szCs w:val="24"/>
        </w:rPr>
        <w:t>Abo</w:t>
      </w:r>
      <w:r w:rsidRPr="00EB42B0">
        <w:rPr>
          <w:rFonts w:ascii="Times New Roman" w:hAnsi="Times New Roman"/>
          <w:sz w:val="24"/>
          <w:szCs w:val="24"/>
        </w:rPr>
        <w:t>ut 45</w:t>
      </w:r>
      <w:r w:rsidR="00BD2B7D" w:rsidRPr="00EB42B0">
        <w:rPr>
          <w:rFonts w:ascii="Times New Roman" w:hAnsi="Times New Roman"/>
          <w:sz w:val="24"/>
          <w:szCs w:val="24"/>
        </w:rPr>
        <w:t xml:space="preserve">% of the recommendations which were </w:t>
      </w:r>
      <w:r w:rsidRPr="00EB42B0">
        <w:rPr>
          <w:rFonts w:ascii="Times New Roman" w:hAnsi="Times New Roman"/>
          <w:sz w:val="24"/>
          <w:szCs w:val="24"/>
        </w:rPr>
        <w:t xml:space="preserve">either fully or partially </w:t>
      </w:r>
      <w:r w:rsidR="00BD2B7D" w:rsidRPr="00EB42B0">
        <w:rPr>
          <w:rFonts w:ascii="Times New Roman" w:hAnsi="Times New Roman"/>
          <w:sz w:val="24"/>
          <w:szCs w:val="24"/>
        </w:rPr>
        <w:t xml:space="preserve">implemented by </w:t>
      </w:r>
      <w:r w:rsidR="0084675C" w:rsidRPr="00EB42B0">
        <w:rPr>
          <w:rFonts w:ascii="Times New Roman" w:hAnsi="Times New Roman"/>
          <w:sz w:val="24"/>
          <w:szCs w:val="24"/>
        </w:rPr>
        <w:t>Nigeria indicated an important contribution of the UPR in improving the human rights situation on the ground.</w:t>
      </w:r>
      <w:r w:rsidR="00A40618" w:rsidRPr="00EB42B0">
        <w:rPr>
          <w:rFonts w:ascii="Times New Roman" w:hAnsi="Times New Roman"/>
          <w:sz w:val="24"/>
          <w:szCs w:val="24"/>
        </w:rPr>
        <w:t xml:space="preserve"> However, there is a significant compliance gap which poses a major challenge as was addressed on issues such as justice and detention, women’s rights and torture. But as was argued, acculturation can narrow this gap over time through the internal and external audience effects generated by effective NGO engagement. </w:t>
      </w:r>
      <w:r w:rsidR="0055104E" w:rsidRPr="00EB42B0">
        <w:rPr>
          <w:rFonts w:ascii="Times New Roman" w:hAnsi="Times New Roman"/>
          <w:sz w:val="24"/>
          <w:szCs w:val="24"/>
        </w:rPr>
        <w:t>This was seen in instances where certain steps where taking by the state to implement UPR recommendations beyond the implementation timeframe.</w:t>
      </w:r>
    </w:p>
    <w:p w:rsidR="00BD2B7D" w:rsidRPr="00EB42B0" w:rsidRDefault="00A40618" w:rsidP="00F76666">
      <w:pPr>
        <w:spacing w:line="360" w:lineRule="auto"/>
        <w:jc w:val="both"/>
        <w:rPr>
          <w:rFonts w:ascii="Times New Roman" w:hAnsi="Times New Roman"/>
          <w:sz w:val="24"/>
          <w:szCs w:val="24"/>
        </w:rPr>
      </w:pPr>
      <w:r w:rsidRPr="00EB42B0">
        <w:rPr>
          <w:rFonts w:ascii="Times New Roman" w:hAnsi="Times New Roman"/>
          <w:sz w:val="24"/>
          <w:szCs w:val="24"/>
        </w:rPr>
        <w:t xml:space="preserve">In particular, issues that are hyper-sensitive in </w:t>
      </w:r>
      <w:r w:rsidR="008F7A28" w:rsidRPr="00EB42B0">
        <w:rPr>
          <w:rFonts w:ascii="Times New Roman" w:hAnsi="Times New Roman"/>
          <w:sz w:val="24"/>
          <w:szCs w:val="24"/>
        </w:rPr>
        <w:t xml:space="preserve">African </w:t>
      </w:r>
      <w:r w:rsidRPr="00EB42B0">
        <w:rPr>
          <w:rFonts w:ascii="Times New Roman" w:hAnsi="Times New Roman"/>
          <w:sz w:val="24"/>
          <w:szCs w:val="24"/>
        </w:rPr>
        <w:t xml:space="preserve">cultural terms such as </w:t>
      </w:r>
      <w:r w:rsidR="008F7A28" w:rsidRPr="00EB42B0">
        <w:rPr>
          <w:rFonts w:ascii="Times New Roman" w:hAnsi="Times New Roman"/>
          <w:sz w:val="24"/>
          <w:szCs w:val="24"/>
        </w:rPr>
        <w:t xml:space="preserve">the recommendations on sexual orientation can be addressed by internal cognitive pressures </w:t>
      </w:r>
      <w:r w:rsidR="008F7A28" w:rsidRPr="00EB42B0">
        <w:rPr>
          <w:rFonts w:ascii="Times New Roman" w:hAnsi="Times New Roman"/>
          <w:sz w:val="24"/>
          <w:szCs w:val="24"/>
        </w:rPr>
        <w:lastRenderedPageBreak/>
        <w:t>through Greggs cognitive re-framing approach. Approaches that employ coercion or recommend immediate normative solutions may experience negative resistance which may cause further regression. For example, calls for immediate decriminalisation or threats, such as David Cameron’s threat to withhold UK aid from governments that do not reform legislation banning homosexuality,</w:t>
      </w:r>
      <w:r w:rsidR="00195628" w:rsidRPr="00EB42B0">
        <w:rPr>
          <w:rStyle w:val="FootnoteReference"/>
          <w:rFonts w:ascii="Times New Roman" w:hAnsi="Times New Roman"/>
          <w:sz w:val="24"/>
          <w:szCs w:val="24"/>
        </w:rPr>
        <w:footnoteReference w:id="162"/>
      </w:r>
      <w:r w:rsidR="008F7A28" w:rsidRPr="00EB42B0">
        <w:rPr>
          <w:rFonts w:ascii="Times New Roman" w:hAnsi="Times New Roman"/>
          <w:sz w:val="24"/>
          <w:szCs w:val="24"/>
        </w:rPr>
        <w:t xml:space="preserve"> was met with specific legislation further criminalising same sex unions in some countries like Nigeria and Uganda.</w:t>
      </w:r>
      <w:r w:rsidR="008F7A28" w:rsidRPr="00EB42B0">
        <w:rPr>
          <w:rStyle w:val="FootnoteReference"/>
          <w:rFonts w:ascii="Times New Roman" w:hAnsi="Times New Roman"/>
          <w:sz w:val="24"/>
          <w:szCs w:val="24"/>
        </w:rPr>
        <w:footnoteReference w:id="163"/>
      </w:r>
      <w:r w:rsidR="008F7A28" w:rsidRPr="00EB42B0">
        <w:rPr>
          <w:rFonts w:ascii="Times New Roman" w:hAnsi="Times New Roman"/>
          <w:sz w:val="24"/>
          <w:szCs w:val="24"/>
        </w:rPr>
        <w:t xml:space="preserve">  </w:t>
      </w:r>
      <w:r w:rsidR="0055104E" w:rsidRPr="00EB42B0">
        <w:rPr>
          <w:rFonts w:ascii="Times New Roman" w:hAnsi="Times New Roman"/>
          <w:sz w:val="24"/>
          <w:szCs w:val="24"/>
        </w:rPr>
        <w:t xml:space="preserve">This further indicates the limits and dangers of coercive or confrontational approaches in addressing human rights issues which are perceived to be hyper-sensitive in socio-cultural terms. </w:t>
      </w:r>
    </w:p>
    <w:p w:rsidR="00726A41" w:rsidRPr="00EB42B0" w:rsidRDefault="001F5AD9" w:rsidP="00F76666">
      <w:pPr>
        <w:spacing w:line="360" w:lineRule="auto"/>
        <w:jc w:val="both"/>
        <w:rPr>
          <w:rFonts w:ascii="Times New Roman" w:hAnsi="Times New Roman"/>
          <w:sz w:val="24"/>
          <w:szCs w:val="24"/>
        </w:rPr>
      </w:pPr>
      <w:r w:rsidRPr="00EB42B0">
        <w:rPr>
          <w:rFonts w:ascii="Times New Roman" w:hAnsi="Times New Roman"/>
          <w:sz w:val="24"/>
          <w:szCs w:val="24"/>
        </w:rPr>
        <w:t>Equally important f</w:t>
      </w:r>
      <w:r w:rsidR="00B03967" w:rsidRPr="00EB42B0">
        <w:rPr>
          <w:rFonts w:ascii="Times New Roman" w:hAnsi="Times New Roman"/>
          <w:sz w:val="24"/>
          <w:szCs w:val="24"/>
        </w:rPr>
        <w:t>rom the analysis in this article</w:t>
      </w:r>
      <w:r w:rsidRPr="00EB42B0">
        <w:rPr>
          <w:rFonts w:ascii="Times New Roman" w:hAnsi="Times New Roman"/>
          <w:sz w:val="24"/>
          <w:szCs w:val="24"/>
        </w:rPr>
        <w:t xml:space="preserve"> was that conflicts and security threats such as terrorism can have a regression effect on a state’s human rights compliance. Despite Nigeria’s UPR commitment with respect to putting a moratorium on the death penalty and ending torture and extrajudicial execution, the escalation of the conflict between </w:t>
      </w:r>
      <w:r w:rsidRPr="00EB42B0">
        <w:rPr>
          <w:rFonts w:ascii="Times New Roman" w:hAnsi="Times New Roman"/>
          <w:i/>
          <w:sz w:val="24"/>
          <w:szCs w:val="24"/>
        </w:rPr>
        <w:t xml:space="preserve">Boko Haram </w:t>
      </w:r>
      <w:r w:rsidRPr="00EB42B0">
        <w:rPr>
          <w:rFonts w:ascii="Times New Roman" w:hAnsi="Times New Roman"/>
          <w:sz w:val="24"/>
          <w:szCs w:val="24"/>
        </w:rPr>
        <w:t xml:space="preserve">and the government resulted in </w:t>
      </w:r>
      <w:r w:rsidR="00EC25CE" w:rsidRPr="00EB42B0">
        <w:rPr>
          <w:rFonts w:ascii="Times New Roman" w:hAnsi="Times New Roman"/>
          <w:sz w:val="24"/>
          <w:szCs w:val="24"/>
        </w:rPr>
        <w:t>further human rights violation. It is therefore important for the state to mainstream human rights standards in its counter terrorism approach. Notwithstanding, the UPR mechanism has the potential to address major human rights concerns in an inclusive and cooperative manner that can lead to incremental improvement of the human rights situation on the ground.</w:t>
      </w:r>
      <w:r w:rsidR="00A553E3" w:rsidRPr="00EB42B0">
        <w:rPr>
          <w:rFonts w:ascii="Times New Roman" w:hAnsi="Times New Roman"/>
          <w:sz w:val="24"/>
          <w:szCs w:val="24"/>
        </w:rPr>
        <w:t xml:space="preserve"> While there is the potential for acculturation by way of identification and cognitive pressures from peers, </w:t>
      </w:r>
      <w:r w:rsidR="001745A4" w:rsidRPr="00EB42B0">
        <w:rPr>
          <w:rFonts w:ascii="Times New Roman" w:hAnsi="Times New Roman"/>
          <w:sz w:val="24"/>
          <w:szCs w:val="24"/>
        </w:rPr>
        <w:t xml:space="preserve">terrorism and political instability may present a risk of regression but the potential value of the UPR process </w:t>
      </w:r>
      <w:r w:rsidR="00D674C8" w:rsidRPr="00EB42B0">
        <w:rPr>
          <w:rFonts w:ascii="Times New Roman" w:hAnsi="Times New Roman"/>
          <w:sz w:val="24"/>
          <w:szCs w:val="24"/>
        </w:rPr>
        <w:t xml:space="preserve">in addressing human rights concerns with states </w:t>
      </w:r>
      <w:r w:rsidR="001745A4" w:rsidRPr="00EB42B0">
        <w:rPr>
          <w:rFonts w:ascii="Times New Roman" w:hAnsi="Times New Roman"/>
          <w:sz w:val="24"/>
          <w:szCs w:val="24"/>
        </w:rPr>
        <w:t>should not be undermined.</w:t>
      </w:r>
    </w:p>
    <w:sectPr w:rsidR="00726A41" w:rsidRPr="00EB42B0" w:rsidSect="00386362">
      <w:footerReference w:type="default" r:id="rId13"/>
      <w:pgSz w:w="11906" w:h="16838"/>
      <w:pgMar w:top="1276" w:right="1440" w:bottom="42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77E" w:rsidRDefault="00DC377E" w:rsidP="008803F5">
      <w:pPr>
        <w:spacing w:after="0" w:line="240" w:lineRule="auto"/>
      </w:pPr>
      <w:r>
        <w:separator/>
      </w:r>
    </w:p>
  </w:endnote>
  <w:endnote w:type="continuationSeparator" w:id="0">
    <w:p w:rsidR="00DC377E" w:rsidRDefault="00DC377E" w:rsidP="0088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1ef757c0">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7BA" w:rsidRDefault="00E147BA">
    <w:pPr>
      <w:pStyle w:val="Footer"/>
      <w:jc w:val="center"/>
    </w:pPr>
    <w:r>
      <w:fldChar w:fldCharType="begin"/>
    </w:r>
    <w:r>
      <w:instrText xml:space="preserve"> PAGE   \* MERGEFORMAT </w:instrText>
    </w:r>
    <w:r>
      <w:fldChar w:fldCharType="separate"/>
    </w:r>
    <w:r w:rsidR="00A56E89">
      <w:rPr>
        <w:noProof/>
      </w:rPr>
      <w:t>30</w:t>
    </w:r>
    <w:r>
      <w:rPr>
        <w:noProof/>
      </w:rPr>
      <w:fldChar w:fldCharType="end"/>
    </w:r>
  </w:p>
  <w:p w:rsidR="00E147BA" w:rsidRDefault="00E14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77E" w:rsidRDefault="00DC377E" w:rsidP="008803F5">
      <w:pPr>
        <w:spacing w:after="0" w:line="240" w:lineRule="auto"/>
      </w:pPr>
      <w:r>
        <w:separator/>
      </w:r>
    </w:p>
  </w:footnote>
  <w:footnote w:type="continuationSeparator" w:id="0">
    <w:p w:rsidR="00DC377E" w:rsidRDefault="00DC377E" w:rsidP="008803F5">
      <w:pPr>
        <w:spacing w:after="0" w:line="240" w:lineRule="auto"/>
      </w:pPr>
      <w:r>
        <w:continuationSeparator/>
      </w:r>
    </w:p>
  </w:footnote>
  <w:footnote w:id="1">
    <w:p w:rsidR="00E147BA" w:rsidRPr="00A34125" w:rsidRDefault="00E147BA" w:rsidP="00A34125">
      <w:pPr>
        <w:pStyle w:val="NoSpacing"/>
        <w:jc w:val="both"/>
        <w:rPr>
          <w:rFonts w:ascii="Times New Roman" w:hAnsi="Times New Roman"/>
          <w:sz w:val="20"/>
          <w:szCs w:val="20"/>
        </w:rPr>
      </w:pPr>
      <w:r w:rsidRPr="00A34125">
        <w:rPr>
          <w:rFonts w:ascii="Times New Roman" w:hAnsi="Times New Roman"/>
          <w:sz w:val="20"/>
          <w:szCs w:val="20"/>
        </w:rPr>
        <w:t>*LLB (Hons), LLM (Distinction), PhD; Lecturer, School of Law, Staffordshire University, UK.</w:t>
      </w:r>
    </w:p>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See Section 32, 1963; 42, 1979; and 46, 1999 Constitutions of Nigeria.</w:t>
      </w:r>
    </w:p>
  </w:footnote>
  <w:footnote w:id="2">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It was established by the National Human Rights Commission (Amendment) Act, 1995. In 2010, it was amended by the National Human Rights Commission Act, 2010, to enable it re-attained A Status.</w:t>
      </w:r>
    </w:p>
  </w:footnote>
  <w:footnote w:id="3">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 xml:space="preserve">Jacob Abiodun Dada, Human Rights Protection in Nigeria: The Past, the Present and Goals for Role Actors for the Future’ (2013) 14 </w:t>
      </w:r>
      <w:r w:rsidRPr="00A34125">
        <w:rPr>
          <w:rFonts w:ascii="Times New Roman" w:hAnsi="Times New Roman"/>
          <w:i/>
          <w:sz w:val="20"/>
          <w:szCs w:val="20"/>
          <w:lang w:val="en-US"/>
        </w:rPr>
        <w:t>Journal of Law Policy and Globalisation</w:t>
      </w:r>
      <w:r w:rsidRPr="00A34125">
        <w:rPr>
          <w:rFonts w:ascii="Times New Roman" w:hAnsi="Times New Roman"/>
          <w:sz w:val="20"/>
          <w:szCs w:val="20"/>
          <w:lang w:val="en-US"/>
        </w:rPr>
        <w:t xml:space="preserve">, 5-6; D O Aihe, ‘Fundamental Human Rights and the Military Regime in Nigeria: What Did the Courts Say?’ (1971) 15 (2) </w:t>
      </w:r>
      <w:r w:rsidRPr="00A34125">
        <w:rPr>
          <w:rFonts w:ascii="Times New Roman" w:hAnsi="Times New Roman"/>
          <w:i/>
          <w:sz w:val="20"/>
          <w:szCs w:val="20"/>
          <w:lang w:val="en-US"/>
        </w:rPr>
        <w:t>Journal of African Law</w:t>
      </w:r>
      <w:r w:rsidRPr="00A34125">
        <w:rPr>
          <w:rFonts w:ascii="Times New Roman" w:hAnsi="Times New Roman"/>
          <w:sz w:val="20"/>
          <w:szCs w:val="20"/>
          <w:lang w:val="en-US"/>
        </w:rPr>
        <w:t xml:space="preserve"> 213-244.</w:t>
      </w:r>
    </w:p>
  </w:footnote>
  <w:footnote w:id="4">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Nigeria National Human Rights Commission, </w:t>
      </w:r>
      <w:r w:rsidRPr="00A34125">
        <w:rPr>
          <w:rFonts w:ascii="Times New Roman" w:hAnsi="Times New Roman"/>
          <w:i/>
          <w:sz w:val="20"/>
          <w:szCs w:val="20"/>
        </w:rPr>
        <w:t xml:space="preserve">The </w:t>
      </w:r>
      <w:r w:rsidRPr="00A34125">
        <w:rPr>
          <w:rFonts w:ascii="Times New Roman" w:hAnsi="Times New Roman"/>
          <w:i/>
          <w:sz w:val="20"/>
          <w:szCs w:val="20"/>
          <w:lang w:val="en-US"/>
        </w:rPr>
        <w:t>State of human rights in Nigeria: 2009-2010</w:t>
      </w:r>
      <w:r w:rsidRPr="00A34125">
        <w:rPr>
          <w:rFonts w:ascii="Times New Roman" w:hAnsi="Times New Roman"/>
          <w:sz w:val="20"/>
          <w:szCs w:val="20"/>
          <w:lang w:val="en-US"/>
        </w:rPr>
        <w:t xml:space="preserve"> (National Human Rights Commission 2010) 3-40.</w:t>
      </w:r>
    </w:p>
  </w:footnote>
  <w:footnote w:id="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Human Rights Council, </w:t>
      </w:r>
      <w:r w:rsidRPr="00A34125">
        <w:rPr>
          <w:rFonts w:ascii="Times New Roman" w:hAnsi="Times New Roman"/>
          <w:i/>
          <w:iCs/>
          <w:sz w:val="20"/>
          <w:szCs w:val="20"/>
        </w:rPr>
        <w:t xml:space="preserve">Institution Building of the United Nations Human Rights Council, </w:t>
      </w:r>
      <w:r w:rsidRPr="00A34125">
        <w:rPr>
          <w:rFonts w:ascii="Times New Roman" w:hAnsi="Times New Roman"/>
          <w:sz w:val="20"/>
          <w:szCs w:val="20"/>
        </w:rPr>
        <w:t>HRC Res. 5/1, UN HRC OR, 5th sess, Annex [IB], UN Doc A/HRC/RES/5/1 paras [3] and [4].</w:t>
      </w:r>
    </w:p>
  </w:footnote>
  <w:footnote w:id="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Cs/>
          <w:sz w:val="20"/>
          <w:szCs w:val="20"/>
        </w:rPr>
        <w:t>ibid</w:t>
      </w:r>
      <w:r w:rsidRPr="00A34125">
        <w:rPr>
          <w:rFonts w:ascii="Times New Roman" w:hAnsi="Times New Roman"/>
          <w:i/>
          <w:iCs/>
          <w:sz w:val="20"/>
          <w:szCs w:val="20"/>
        </w:rPr>
        <w:t xml:space="preserve"> </w:t>
      </w:r>
      <w:r w:rsidRPr="00A34125">
        <w:rPr>
          <w:rFonts w:ascii="Times New Roman" w:hAnsi="Times New Roman"/>
          <w:sz w:val="20"/>
          <w:szCs w:val="20"/>
        </w:rPr>
        <w:t>[4a].</w:t>
      </w:r>
    </w:p>
  </w:footnote>
  <w:footnote w:id="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[1]; Nadia Bernaz has questioned some of the legal basis for the UPR see Nadia Bernaz, ‘Reforming the UN Human Rights Procedure: A Legal perspective on the Establishment of the Universal Periodic review’ in Kevin Boyle, </w:t>
      </w:r>
      <w:r w:rsidRPr="00A34125">
        <w:rPr>
          <w:rFonts w:ascii="Times New Roman" w:hAnsi="Times New Roman"/>
          <w:i/>
          <w:sz w:val="20"/>
          <w:szCs w:val="20"/>
        </w:rPr>
        <w:t>New Institutions for Human Rights Protection</w:t>
      </w:r>
      <w:r w:rsidRPr="00A34125">
        <w:rPr>
          <w:rFonts w:ascii="Times New Roman" w:hAnsi="Times New Roman"/>
          <w:sz w:val="20"/>
          <w:szCs w:val="20"/>
        </w:rPr>
        <w:t xml:space="preserve"> (Oxford University Press, 2009) 79-82; There is also contention on the inclusion of humanitarian law as a basis for the review. See Lijiang Zhu, ‘International Humanitarian Law in the Universal Periodic Review of the UN Human Rights Council’ (2014) 5 </w:t>
      </w:r>
      <w:r w:rsidRPr="00A34125">
        <w:rPr>
          <w:rFonts w:ascii="Times New Roman" w:hAnsi="Times New Roman"/>
          <w:i/>
          <w:sz w:val="20"/>
          <w:szCs w:val="20"/>
        </w:rPr>
        <w:t>Journal of International Humanitarian Legal Studies</w:t>
      </w:r>
      <w:r w:rsidRPr="00A34125">
        <w:rPr>
          <w:rFonts w:ascii="Times New Roman" w:hAnsi="Times New Roman"/>
          <w:sz w:val="20"/>
          <w:szCs w:val="20"/>
        </w:rPr>
        <w:t xml:space="preserve"> 186, 209-210.</w:t>
      </w:r>
    </w:p>
  </w:footnote>
  <w:footnote w:id="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Human Rights Council, </w:t>
      </w:r>
      <w:r w:rsidRPr="00A34125">
        <w:rPr>
          <w:rFonts w:ascii="Times New Roman" w:hAnsi="Times New Roman"/>
          <w:i/>
          <w:iCs/>
          <w:sz w:val="20"/>
          <w:szCs w:val="20"/>
        </w:rPr>
        <w:t xml:space="preserve">Institution Building of the United Nations Human Rights Council, </w:t>
      </w:r>
      <w:r w:rsidRPr="00A34125">
        <w:rPr>
          <w:rFonts w:ascii="Times New Roman" w:hAnsi="Times New Roman"/>
          <w:iCs/>
          <w:sz w:val="20"/>
          <w:szCs w:val="20"/>
        </w:rPr>
        <w:t xml:space="preserve">(note </w:t>
      </w:r>
      <w:r w:rsidRPr="00A34125">
        <w:rPr>
          <w:rFonts w:ascii="Times New Roman" w:hAnsi="Times New Roman"/>
          <w:iCs/>
          <w:sz w:val="20"/>
          <w:szCs w:val="20"/>
        </w:rPr>
        <w:fldChar w:fldCharType="begin"/>
      </w:r>
      <w:r w:rsidRPr="00A34125">
        <w:rPr>
          <w:rFonts w:ascii="Times New Roman" w:hAnsi="Times New Roman"/>
          <w:iCs/>
          <w:sz w:val="20"/>
          <w:szCs w:val="20"/>
        </w:rPr>
        <w:instrText xml:space="preserve"> NOTEREF _Ref503699925  \* MERGEFORMAT </w:instrText>
      </w:r>
      <w:r w:rsidRPr="00A34125">
        <w:rPr>
          <w:rFonts w:ascii="Times New Roman" w:hAnsi="Times New Roman"/>
          <w:iCs/>
          <w:sz w:val="20"/>
          <w:szCs w:val="20"/>
        </w:rPr>
        <w:fldChar w:fldCharType="separate"/>
      </w:r>
      <w:r>
        <w:rPr>
          <w:rFonts w:ascii="Times New Roman" w:hAnsi="Times New Roman"/>
          <w:iCs/>
          <w:sz w:val="20"/>
          <w:szCs w:val="20"/>
        </w:rPr>
        <w:t>5</w:t>
      </w:r>
      <w:r w:rsidRPr="00A34125">
        <w:rPr>
          <w:rFonts w:ascii="Times New Roman" w:hAnsi="Times New Roman"/>
          <w:iCs/>
          <w:sz w:val="20"/>
          <w:szCs w:val="20"/>
        </w:rPr>
        <w:fldChar w:fldCharType="end"/>
      </w:r>
      <w:r w:rsidRPr="00A34125">
        <w:rPr>
          <w:rFonts w:ascii="Times New Roman" w:hAnsi="Times New Roman"/>
          <w:iCs/>
          <w:sz w:val="20"/>
          <w:szCs w:val="20"/>
        </w:rPr>
        <w:t xml:space="preserve"> above)</w:t>
      </w:r>
      <w:r w:rsidRPr="00A34125">
        <w:rPr>
          <w:rFonts w:ascii="Times New Roman" w:hAnsi="Times New Roman"/>
          <w:sz w:val="20"/>
          <w:szCs w:val="20"/>
        </w:rPr>
        <w:t xml:space="preserve"> [31].</w:t>
      </w:r>
    </w:p>
  </w:footnote>
  <w:footnote w:id="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Makau Mutua, ‘Looking past the Human Rights Committee: An Argument for De-marginalising Enforcement (1994) 4 </w:t>
      </w:r>
      <w:r w:rsidRPr="00A34125">
        <w:rPr>
          <w:rFonts w:ascii="Times New Roman" w:hAnsi="Times New Roman"/>
          <w:i/>
          <w:sz w:val="20"/>
          <w:szCs w:val="20"/>
        </w:rPr>
        <w:t>Buffalo Human Rights Review</w:t>
      </w:r>
      <w:r w:rsidRPr="00A34125">
        <w:rPr>
          <w:rFonts w:ascii="Times New Roman" w:hAnsi="Times New Roman"/>
          <w:sz w:val="20"/>
          <w:szCs w:val="20"/>
        </w:rPr>
        <w:t xml:space="preserve"> 211, 211-212; Keith, Linda Camp, ‘The United Nations International Covenant on Civil and Political Rights: Does It Make a Difference in Human Rights Behavior?’ (1999) 36 </w:t>
      </w:r>
      <w:r w:rsidRPr="00A34125">
        <w:rPr>
          <w:rFonts w:ascii="Times New Roman" w:hAnsi="Times New Roman"/>
          <w:i/>
          <w:sz w:val="20"/>
          <w:szCs w:val="20"/>
        </w:rPr>
        <w:t>Journal of Peace Research</w:t>
      </w:r>
      <w:r w:rsidRPr="00A34125">
        <w:rPr>
          <w:rFonts w:ascii="Times New Roman" w:hAnsi="Times New Roman"/>
          <w:sz w:val="20"/>
          <w:szCs w:val="20"/>
        </w:rPr>
        <w:t xml:space="preserve"> 95–118; Hafner-Burton Emilie and Kiyoteru Tsutsui, ‘Justice Lost! The Failure of International Human Rights Law to Matter Where Needed Most’ (2007) 44 (4)</w:t>
      </w:r>
      <w:r w:rsidRPr="00A34125">
        <w:rPr>
          <w:rFonts w:ascii="Times New Roman" w:hAnsi="Times New Roman"/>
          <w:i/>
          <w:sz w:val="20"/>
          <w:szCs w:val="20"/>
        </w:rPr>
        <w:t xml:space="preserve"> Journal of Peace Research</w:t>
      </w:r>
      <w:r w:rsidRPr="00A34125">
        <w:rPr>
          <w:rFonts w:ascii="Times New Roman" w:hAnsi="Times New Roman"/>
          <w:sz w:val="20"/>
          <w:szCs w:val="20"/>
        </w:rPr>
        <w:t>: 407–25.</w:t>
      </w:r>
    </w:p>
  </w:footnote>
  <w:footnote w:id="1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Olivier de Frouville, ‘Building a Universal System for the Protection of Human Rights’ in M.Cherif Bassouni and William A Schabas (eds), </w:t>
      </w:r>
      <w:r w:rsidRPr="00A34125">
        <w:rPr>
          <w:rFonts w:ascii="Times New Roman" w:hAnsi="Times New Roman"/>
          <w:i/>
          <w:sz w:val="20"/>
          <w:szCs w:val="20"/>
        </w:rPr>
        <w:t xml:space="preserve">New Challenges for the UN Human Rights Machinery: What Future for the UN Treaty Body System and the Human Rights Council Procedures? </w:t>
      </w:r>
      <w:r w:rsidRPr="00A34125">
        <w:rPr>
          <w:rFonts w:ascii="Times New Roman" w:hAnsi="Times New Roman"/>
          <w:sz w:val="20"/>
          <w:szCs w:val="20"/>
        </w:rPr>
        <w:t xml:space="preserve">(Intersentia, 2011) 250-55; For a similar argument see Nadia Bernaz, ‘Reforming the UN Human Rights Protection Procedures: A Legal Perspective on the Establishment of the Universal Periodic Review’ in Kevin Boyle (ed), </w:t>
      </w:r>
      <w:r w:rsidRPr="00A34125">
        <w:rPr>
          <w:rFonts w:ascii="Times New Roman" w:hAnsi="Times New Roman"/>
          <w:i/>
          <w:sz w:val="20"/>
          <w:szCs w:val="20"/>
        </w:rPr>
        <w:t>New Institutions for Human Rights Protection</w:t>
      </w:r>
      <w:r w:rsidRPr="00A34125">
        <w:rPr>
          <w:rFonts w:ascii="Times New Roman" w:hAnsi="Times New Roman"/>
          <w:sz w:val="20"/>
          <w:szCs w:val="20"/>
        </w:rPr>
        <w:t xml:space="preserve"> (Oxford University Press, 2009) 79-91.</w:t>
      </w:r>
    </w:p>
  </w:footnote>
  <w:footnote w:id="1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Olivier also supports the establishment of a World Court of Human Rights see De Frouville (note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_Ref484516234  \* MERGEFORMAT </w:instrText>
      </w:r>
      <w:r w:rsidRPr="00A34125">
        <w:rPr>
          <w:rFonts w:ascii="Times New Roman" w:hAnsi="Times New Roman"/>
          <w:sz w:val="20"/>
          <w:szCs w:val="20"/>
        </w:rPr>
        <w:fldChar w:fldCharType="separate"/>
      </w:r>
      <w:r>
        <w:rPr>
          <w:rFonts w:ascii="Times New Roman" w:hAnsi="Times New Roman"/>
          <w:sz w:val="20"/>
          <w:szCs w:val="20"/>
        </w:rPr>
        <w:t>10</w:t>
      </w:r>
      <w:r w:rsidRPr="00A34125">
        <w:rPr>
          <w:rFonts w:ascii="Times New Roman" w:hAnsi="Times New Roman"/>
          <w:sz w:val="20"/>
          <w:szCs w:val="20"/>
        </w:rPr>
        <w:fldChar w:fldCharType="end"/>
      </w:r>
      <w:r w:rsidRPr="00A34125">
        <w:rPr>
          <w:rFonts w:ascii="Times New Roman" w:hAnsi="Times New Roman"/>
          <w:sz w:val="20"/>
          <w:szCs w:val="20"/>
        </w:rPr>
        <w:t xml:space="preserve"> above) 264-265.</w:t>
      </w:r>
    </w:p>
  </w:footnote>
  <w:footnote w:id="12">
    <w:p w:rsidR="00E147BA" w:rsidRPr="00A34125" w:rsidRDefault="00E147BA" w:rsidP="00A34125">
      <w:pPr>
        <w:pStyle w:val="NoSpacing"/>
        <w:jc w:val="both"/>
        <w:rPr>
          <w:rFonts w:ascii="Times New Roman" w:eastAsia="Times New Roman" w:hAnsi="Times New Roman"/>
          <w:sz w:val="20"/>
          <w:szCs w:val="20"/>
          <w:lang w:eastAsia="en-AU"/>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eastAsia="Times New Roman" w:hAnsi="Times New Roman"/>
          <w:sz w:val="20"/>
          <w:szCs w:val="20"/>
          <w:lang w:eastAsia="en-AU"/>
        </w:rPr>
        <w:t xml:space="preserve">Stephen D Krasner, ‘Sovereignty, Regimes, and Human Rights’ in Volker Rittberger and Peter Mayer (eds),  </w:t>
      </w:r>
      <w:r w:rsidRPr="00A34125">
        <w:rPr>
          <w:rFonts w:ascii="Times New Roman" w:eastAsia="Times New Roman" w:hAnsi="Times New Roman"/>
          <w:i/>
          <w:sz w:val="20"/>
          <w:szCs w:val="20"/>
          <w:lang w:eastAsia="en-AU"/>
        </w:rPr>
        <w:t>Regime Theory And International Relations</w:t>
      </w:r>
      <w:r w:rsidRPr="00A34125">
        <w:rPr>
          <w:rFonts w:ascii="Times New Roman" w:eastAsia="Times New Roman" w:hAnsi="Times New Roman"/>
          <w:sz w:val="20"/>
          <w:szCs w:val="20"/>
          <w:lang w:eastAsia="en-AU"/>
        </w:rPr>
        <w:t xml:space="preserve"> (Clarendon Press, 1995) 165–67; A M Weisburd, ‘Implications of International Relations Theory for the International Law of Human Rights’ (1999) 38 </w:t>
      </w:r>
      <w:r w:rsidRPr="00A34125">
        <w:rPr>
          <w:rFonts w:ascii="Times New Roman" w:eastAsia="Times New Roman" w:hAnsi="Times New Roman"/>
          <w:i/>
          <w:sz w:val="20"/>
          <w:szCs w:val="20"/>
          <w:lang w:eastAsia="en-AU"/>
        </w:rPr>
        <w:t>Columbia Journal of Transnational Law</w:t>
      </w:r>
      <w:r w:rsidRPr="00A34125">
        <w:rPr>
          <w:rFonts w:ascii="Times New Roman" w:eastAsia="Times New Roman" w:hAnsi="Times New Roman"/>
          <w:sz w:val="20"/>
          <w:szCs w:val="20"/>
          <w:lang w:eastAsia="en-AU"/>
        </w:rPr>
        <w:t xml:space="preserve"> 45, 101–11.</w:t>
      </w:r>
    </w:p>
  </w:footnote>
  <w:footnote w:id="1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Olivier de Frouville, ‘Building a Universal System for the Protection of Human Rights’ in M Cherif Bassouni and William A Schabas (eds), </w:t>
      </w:r>
      <w:r w:rsidRPr="00A34125">
        <w:rPr>
          <w:rFonts w:ascii="Times New Roman" w:hAnsi="Times New Roman"/>
          <w:i/>
          <w:sz w:val="20"/>
          <w:szCs w:val="20"/>
        </w:rPr>
        <w:t xml:space="preserve">New Challenges for the UN Human Rights Machinery: What Future for the UN Treaty Body System and the Human Rights Council Procedures? </w:t>
      </w:r>
      <w:r w:rsidRPr="00A34125">
        <w:rPr>
          <w:rFonts w:ascii="Times New Roman" w:hAnsi="Times New Roman"/>
          <w:sz w:val="20"/>
          <w:szCs w:val="20"/>
        </w:rPr>
        <w:t xml:space="preserve">(Intersentia 2011) 253-66; Henry J Steiner, ‘Individual Claims in a World of Massive Violations: What Role for the Human Rights Committee?’ in Phillip Alston and James Crawford (eds), </w:t>
      </w:r>
      <w:r w:rsidRPr="00A34125">
        <w:rPr>
          <w:rFonts w:ascii="Times New Roman" w:hAnsi="Times New Roman"/>
          <w:i/>
          <w:sz w:val="20"/>
          <w:szCs w:val="20"/>
        </w:rPr>
        <w:t>The Future of United Nations Treaty Monitoring</w:t>
      </w:r>
      <w:r w:rsidRPr="00A34125">
        <w:rPr>
          <w:rFonts w:ascii="Times New Roman" w:hAnsi="Times New Roman"/>
          <w:sz w:val="20"/>
          <w:szCs w:val="20"/>
        </w:rPr>
        <w:t xml:space="preserve"> (Cambridge University Press, 2000) 15.</w:t>
      </w:r>
    </w:p>
  </w:footnote>
  <w:footnote w:id="1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Manfred Nowak, ‘It’s Time for a World Court of Human Rights’ in  </w:t>
      </w:r>
      <w:r w:rsidRPr="00A34125">
        <w:rPr>
          <w:rFonts w:ascii="Times New Roman" w:hAnsi="Times New Roman"/>
          <w:sz w:val="20"/>
          <w:szCs w:val="20"/>
          <w:lang w:val="en-US"/>
        </w:rPr>
        <w:t xml:space="preserve">M Cherif Bassiouni and William A Schabas (eds), </w:t>
      </w:r>
      <w:r w:rsidRPr="00A34125">
        <w:rPr>
          <w:rFonts w:ascii="Times New Roman" w:hAnsi="Times New Roman"/>
          <w:i/>
          <w:iCs/>
          <w:sz w:val="20"/>
          <w:szCs w:val="20"/>
          <w:lang w:val="en-US"/>
        </w:rPr>
        <w:t>New Challenges for the UN Human Rights Machinery</w:t>
      </w:r>
      <w:r w:rsidRPr="00A34125">
        <w:rPr>
          <w:rFonts w:ascii="Times New Roman" w:hAnsi="Times New Roman"/>
          <w:sz w:val="20"/>
          <w:szCs w:val="20"/>
          <w:lang w:val="en-US"/>
        </w:rPr>
        <w:t xml:space="preserve"> (Intersentia, 2011), 23.</w:t>
      </w:r>
    </w:p>
  </w:footnote>
  <w:footnote w:id="1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Torkel Opsahl, ‘Instruments of Implementation of Human Rights’ (1989) 10(1-2) </w:t>
      </w:r>
      <w:r w:rsidRPr="00A34125">
        <w:rPr>
          <w:rFonts w:ascii="Times New Roman" w:hAnsi="Times New Roman"/>
          <w:i/>
          <w:sz w:val="20"/>
          <w:szCs w:val="20"/>
        </w:rPr>
        <w:t>Human Rights Law Journal</w:t>
      </w:r>
      <w:r w:rsidRPr="00A34125">
        <w:rPr>
          <w:rFonts w:ascii="Times New Roman" w:hAnsi="Times New Roman"/>
          <w:sz w:val="20"/>
          <w:szCs w:val="20"/>
        </w:rPr>
        <w:t xml:space="preserve"> 13, 31-32.  </w:t>
      </w:r>
    </w:p>
  </w:footnote>
  <w:footnote w:id="1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Style w:val="Emphasis"/>
          <w:rFonts w:ascii="Times New Roman" w:hAnsi="Times New Roman"/>
          <w:i w:val="0"/>
          <w:sz w:val="20"/>
          <w:szCs w:val="20"/>
        </w:rPr>
        <w:t>Kenneth Roth</w:t>
      </w:r>
      <w:r w:rsidRPr="00A34125">
        <w:rPr>
          <w:rFonts w:ascii="Times New Roman" w:hAnsi="Times New Roman"/>
          <w:sz w:val="20"/>
          <w:szCs w:val="20"/>
        </w:rPr>
        <w:t xml:space="preserve"> is the executive director of Human Rights Watch. See Kenneth Roth, ‘Defending Economic, Social and Cultural Rights: Practical Issues Faced by and International Human Rights Organization’ (2004) 26 (1) </w:t>
      </w:r>
      <w:r w:rsidRPr="00A34125">
        <w:rPr>
          <w:rFonts w:ascii="Times New Roman" w:hAnsi="Times New Roman"/>
          <w:i/>
          <w:sz w:val="20"/>
          <w:szCs w:val="20"/>
        </w:rPr>
        <w:t xml:space="preserve">Human Rights Quarterly </w:t>
      </w:r>
      <w:r w:rsidRPr="00A34125">
        <w:rPr>
          <w:rFonts w:ascii="Times New Roman" w:hAnsi="Times New Roman"/>
          <w:sz w:val="20"/>
          <w:szCs w:val="20"/>
        </w:rPr>
        <w:t>63.</w:t>
      </w:r>
    </w:p>
  </w:footnote>
  <w:footnote w:id="1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Dursun Peksen, ‘Better or Worse? The Effect of Economic Sanctions on Human Rights’ (2009) 46 (1) </w:t>
      </w:r>
      <w:r w:rsidRPr="00A34125">
        <w:rPr>
          <w:rFonts w:ascii="Times New Roman" w:hAnsi="Times New Roman"/>
          <w:i/>
          <w:sz w:val="20"/>
          <w:szCs w:val="20"/>
        </w:rPr>
        <w:t>Journal of Peace Research</w:t>
      </w:r>
      <w:r w:rsidRPr="00A34125">
        <w:rPr>
          <w:rFonts w:ascii="Times New Roman" w:hAnsi="Times New Roman"/>
          <w:sz w:val="20"/>
          <w:szCs w:val="20"/>
        </w:rPr>
        <w:t xml:space="preserve">, 59. Also relevant is Mohamed Bennouna, ‘Les sanctions économiques des Nations Unies’ (2002-I) 200 </w:t>
      </w:r>
      <w:r w:rsidRPr="00A34125">
        <w:rPr>
          <w:rFonts w:ascii="Times New Roman" w:hAnsi="Times New Roman"/>
          <w:i/>
          <w:sz w:val="20"/>
          <w:szCs w:val="20"/>
        </w:rPr>
        <w:t>RCADI 9</w:t>
      </w:r>
      <w:r w:rsidRPr="00A34125">
        <w:rPr>
          <w:rFonts w:ascii="Times New Roman" w:hAnsi="Times New Roman"/>
          <w:sz w:val="20"/>
          <w:szCs w:val="20"/>
        </w:rPr>
        <w:t>, 40-47.</w:t>
      </w:r>
    </w:p>
  </w:footnote>
  <w:footnote w:id="1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Cristiane Careniero and Dominique Elden, ‘Economic Sanctions, Leadership survival and human rights’ (2009) 30(3) </w:t>
      </w:r>
      <w:r w:rsidRPr="00A34125">
        <w:rPr>
          <w:rFonts w:ascii="Times New Roman" w:hAnsi="Times New Roman"/>
          <w:i/>
          <w:sz w:val="20"/>
          <w:szCs w:val="20"/>
        </w:rPr>
        <w:t>University of Pennsylvania Journal of International Law</w:t>
      </w:r>
      <w:r w:rsidRPr="00A34125">
        <w:rPr>
          <w:rFonts w:ascii="Times New Roman" w:hAnsi="Times New Roman"/>
          <w:sz w:val="20"/>
          <w:szCs w:val="20"/>
        </w:rPr>
        <w:t xml:space="preserve">, 969.  </w:t>
      </w:r>
    </w:p>
  </w:footnote>
  <w:footnote w:id="1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Helen Quane, ‘The Significance of an Evolving Relationship: Asian States and the Global Human Rights Mechanisms’ (2015) 15 </w:t>
      </w:r>
      <w:r w:rsidRPr="00A34125">
        <w:rPr>
          <w:rFonts w:ascii="Times New Roman" w:hAnsi="Times New Roman"/>
          <w:i/>
          <w:sz w:val="20"/>
          <w:szCs w:val="20"/>
        </w:rPr>
        <w:t xml:space="preserve">Human Rights Law Review </w:t>
      </w:r>
      <w:r w:rsidRPr="00A34125">
        <w:rPr>
          <w:rFonts w:ascii="Times New Roman" w:hAnsi="Times New Roman"/>
          <w:sz w:val="20"/>
          <w:szCs w:val="20"/>
        </w:rPr>
        <w:t xml:space="preserve">283; Rhona Smith, ‘A Review of African States in the First Cycle of the UN Human Rights Council’s Universal Periodic Review’ (2014) 14 </w:t>
      </w:r>
      <w:r w:rsidRPr="00A34125">
        <w:rPr>
          <w:rFonts w:ascii="Times New Roman" w:hAnsi="Times New Roman"/>
          <w:i/>
          <w:sz w:val="20"/>
          <w:szCs w:val="20"/>
        </w:rPr>
        <w:t>African Human Rights Law Journal</w:t>
      </w:r>
      <w:r w:rsidRPr="00A34125">
        <w:rPr>
          <w:rFonts w:ascii="Times New Roman" w:hAnsi="Times New Roman"/>
          <w:sz w:val="20"/>
          <w:szCs w:val="20"/>
        </w:rPr>
        <w:t xml:space="preserve"> 346; Rhona Smith, ‘The Pacific Island States: Themes Emerging from the United Nations Human Rights Council’s Inaugural Universal Periodic Review’ (2012) 13(1) </w:t>
      </w:r>
      <w:r w:rsidRPr="00A34125">
        <w:rPr>
          <w:rFonts w:ascii="Times New Roman" w:hAnsi="Times New Roman"/>
          <w:i/>
          <w:sz w:val="20"/>
          <w:szCs w:val="20"/>
        </w:rPr>
        <w:t>Melbourne Journal of International Law</w:t>
      </w:r>
      <w:r w:rsidRPr="00A34125">
        <w:rPr>
          <w:rFonts w:ascii="Times New Roman" w:hAnsi="Times New Roman"/>
          <w:sz w:val="20"/>
          <w:szCs w:val="20"/>
        </w:rPr>
        <w:t xml:space="preserve">, 569; Takele Soboka Bulto, ‘Africa’s Engagement with the Universal Periodic Review: Commitment or Capitulation’ in Hilary Charlesworth and Emma Larking (eds), </w:t>
      </w:r>
      <w:r w:rsidRPr="00A34125">
        <w:rPr>
          <w:rFonts w:ascii="Times New Roman" w:hAnsi="Times New Roman"/>
          <w:i/>
          <w:sz w:val="20"/>
          <w:szCs w:val="20"/>
        </w:rPr>
        <w:t>Human Rights and the Universal Periodic Review: Rituals and Ritualism</w:t>
      </w:r>
      <w:r w:rsidRPr="00A34125">
        <w:rPr>
          <w:rFonts w:ascii="Times New Roman" w:hAnsi="Times New Roman"/>
          <w:sz w:val="20"/>
          <w:szCs w:val="20"/>
        </w:rPr>
        <w:t xml:space="preserve"> (Cambridge University Press, 2015) 235-55.</w:t>
      </w:r>
    </w:p>
  </w:footnote>
  <w:footnote w:id="2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Smith, ‘The Pacific Island States: Themes Emerging from the United Nations Human Rights Council’s Inaugural Universal Periodic Review’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_Ref484514678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19</w:t>
      </w:r>
      <w:r w:rsidRPr="00A34125">
        <w:rPr>
          <w:rFonts w:ascii="Times New Roman" w:hAnsi="Times New Roman"/>
          <w:sz w:val="20"/>
          <w:szCs w:val="20"/>
        </w:rPr>
        <w:fldChar w:fldCharType="end"/>
      </w:r>
      <w:r w:rsidRPr="00A34125">
        <w:rPr>
          <w:rFonts w:ascii="Times New Roman" w:hAnsi="Times New Roman"/>
          <w:sz w:val="20"/>
          <w:szCs w:val="20"/>
        </w:rPr>
        <w:t>, 594.</w:t>
      </w:r>
    </w:p>
  </w:footnote>
  <w:footnote w:id="2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ASEAN is an inter-governmental Asia regional arrangement comprising of 10 member states with the aim of promoting political, economic and social cooperation and regional stability. See Quane, ‘The Significance of an Evolving Relationship: ASEAN States and the Global Human Rights Mechanisms’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_Ref484514678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19</w:t>
      </w:r>
      <w:r w:rsidRPr="00A34125">
        <w:rPr>
          <w:rFonts w:ascii="Times New Roman" w:hAnsi="Times New Roman"/>
          <w:sz w:val="20"/>
          <w:szCs w:val="20"/>
        </w:rPr>
        <w:fldChar w:fldCharType="end"/>
      </w:r>
      <w:r w:rsidRPr="00A34125">
        <w:rPr>
          <w:rFonts w:ascii="Times New Roman" w:hAnsi="Times New Roman"/>
          <w:sz w:val="20"/>
          <w:szCs w:val="20"/>
        </w:rPr>
        <w:t>,</w:t>
      </w:r>
      <w:r w:rsidRPr="00A34125">
        <w:rPr>
          <w:rFonts w:ascii="Times New Roman" w:hAnsi="Times New Roman"/>
          <w:i/>
          <w:sz w:val="20"/>
          <w:szCs w:val="20"/>
        </w:rPr>
        <w:t xml:space="preserve"> </w:t>
      </w:r>
      <w:r w:rsidRPr="00A34125">
        <w:rPr>
          <w:rFonts w:ascii="Times New Roman" w:hAnsi="Times New Roman"/>
          <w:sz w:val="20"/>
          <w:szCs w:val="20"/>
        </w:rPr>
        <w:t>289.</w:t>
      </w:r>
    </w:p>
  </w:footnote>
  <w:footnote w:id="2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w:t>
      </w:r>
    </w:p>
  </w:footnote>
  <w:footnote w:id="2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289-95.</w:t>
      </w:r>
    </w:p>
  </w:footnote>
  <w:footnote w:id="2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Bulto’s analysis was a general evaluation of the participation of African states during UPR I. He did not engage in any specif</w:t>
      </w:r>
      <w:r>
        <w:rPr>
          <w:rFonts w:ascii="Times New Roman" w:hAnsi="Times New Roman"/>
          <w:sz w:val="20"/>
          <w:szCs w:val="20"/>
        </w:rPr>
        <w:t>ic case studies in his analysis</w:t>
      </w:r>
      <w:r w:rsidRPr="00A34125">
        <w:rPr>
          <w:rFonts w:ascii="Times New Roman" w:hAnsi="Times New Roman"/>
          <w:sz w:val="20"/>
          <w:szCs w:val="20"/>
        </w:rPr>
        <w:t xml:space="preserve">. See Bulto,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_Ref484514678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19</w:t>
      </w:r>
      <w:r w:rsidRPr="00A34125">
        <w:rPr>
          <w:rFonts w:ascii="Times New Roman" w:hAnsi="Times New Roman"/>
          <w:sz w:val="20"/>
          <w:szCs w:val="20"/>
        </w:rPr>
        <w:fldChar w:fldCharType="end"/>
      </w:r>
      <w:r w:rsidRPr="00A34125">
        <w:rPr>
          <w:rFonts w:ascii="Times New Roman" w:hAnsi="Times New Roman"/>
          <w:sz w:val="20"/>
          <w:szCs w:val="20"/>
        </w:rPr>
        <w:t>.</w:t>
      </w:r>
    </w:p>
  </w:footnote>
  <w:footnote w:id="2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w:t>
      </w:r>
    </w:p>
  </w:footnote>
  <w:footnote w:id="2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For more details on this approach See Damian Etone, ‘The Effectiveness of South Africa’s Engagement with the Universal Periodic Review (UPR): Potential for Ritualism?’ (2017) 33 (2) </w:t>
      </w:r>
      <w:r w:rsidRPr="00A34125">
        <w:rPr>
          <w:rFonts w:ascii="Times New Roman" w:hAnsi="Times New Roman"/>
          <w:i/>
          <w:sz w:val="20"/>
          <w:szCs w:val="20"/>
        </w:rPr>
        <w:t>South African Journal on Human Rights</w:t>
      </w:r>
      <w:r w:rsidRPr="00A34125">
        <w:rPr>
          <w:rFonts w:ascii="Times New Roman" w:hAnsi="Times New Roman"/>
          <w:sz w:val="20"/>
          <w:szCs w:val="20"/>
        </w:rPr>
        <w:t xml:space="preserve"> 258, 260-61.</w:t>
      </w:r>
    </w:p>
  </w:footnote>
  <w:footnote w:id="27">
    <w:p w:rsidR="00E147BA" w:rsidRPr="00A34125" w:rsidRDefault="00E147BA" w:rsidP="00A34125">
      <w:pPr>
        <w:pStyle w:val="NoSpacing"/>
        <w:jc w:val="both"/>
        <w:rPr>
          <w:rFonts w:ascii="Times New Roman" w:hAnsi="Times New Roman"/>
          <w:i/>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These recommendations were gleaned from the WG reports. See </w:t>
      </w:r>
      <w:r w:rsidRPr="00A34125">
        <w:rPr>
          <w:rFonts w:ascii="Times New Roman" w:hAnsi="Times New Roman"/>
          <w:i/>
          <w:sz w:val="20"/>
          <w:szCs w:val="20"/>
        </w:rPr>
        <w:t>UN Human Rights Council, Report of the Working Group on the Universal Periodic Review – Nigeria, 11</w:t>
      </w:r>
      <w:r w:rsidRPr="00A34125">
        <w:rPr>
          <w:rFonts w:ascii="Times New Roman" w:hAnsi="Times New Roman"/>
          <w:i/>
          <w:sz w:val="20"/>
          <w:szCs w:val="20"/>
          <w:vertAlign w:val="superscript"/>
        </w:rPr>
        <w:t>th</w:t>
      </w:r>
      <w:r w:rsidRPr="00A34125">
        <w:rPr>
          <w:rFonts w:ascii="Times New Roman" w:hAnsi="Times New Roman"/>
          <w:i/>
          <w:sz w:val="20"/>
          <w:szCs w:val="20"/>
        </w:rPr>
        <w:t xml:space="preserve"> sess, Agenda Item 6, UN Doc A/HRC/11/26 (5 October 2009) (‘HRC UPR I Report – Nigeria’)</w:t>
      </w:r>
      <w:r w:rsidRPr="00A34125">
        <w:rPr>
          <w:rFonts w:ascii="Times New Roman" w:hAnsi="Times New Roman"/>
          <w:sz w:val="20"/>
          <w:szCs w:val="20"/>
        </w:rPr>
        <w:t xml:space="preserve">, paras 18-24; several of these recommendations include more than one category of recommendation covering one or more issue(s). In the analysis in figure 4.5, these recommendations were separated to identify each in its own category and to easily identify implementation level. This totalled 115 recommendations. This total </w:t>
      </w:r>
      <w:proofErr w:type="gramStart"/>
      <w:r w:rsidR="003C5087">
        <w:rPr>
          <w:rFonts w:ascii="Times New Roman" w:hAnsi="Times New Roman"/>
          <w:sz w:val="20"/>
          <w:szCs w:val="20"/>
        </w:rPr>
        <w:t>correspond</w:t>
      </w:r>
      <w:proofErr w:type="gramEnd"/>
      <w:r w:rsidRPr="00A34125">
        <w:rPr>
          <w:rFonts w:ascii="Times New Roman" w:hAnsi="Times New Roman"/>
          <w:sz w:val="20"/>
          <w:szCs w:val="20"/>
        </w:rPr>
        <w:t xml:space="preserve"> with that stated by UPR info. See UPR Info &lt; </w:t>
      </w:r>
      <w:hyperlink r:id="rId1" w:history="1">
        <w:r w:rsidRPr="00A34125">
          <w:rPr>
            <w:rStyle w:val="Hyperlink"/>
            <w:rFonts w:ascii="Times New Roman" w:hAnsi="Times New Roman"/>
            <w:sz w:val="20"/>
            <w:szCs w:val="20"/>
          </w:rPr>
          <w:t>http://s.upr-info.org/1G1cXQV</w:t>
        </w:r>
      </w:hyperlink>
      <w:r w:rsidRPr="00A34125">
        <w:rPr>
          <w:rFonts w:ascii="Times New Roman" w:hAnsi="Times New Roman"/>
          <w:sz w:val="20"/>
          <w:szCs w:val="20"/>
        </w:rPr>
        <w:t xml:space="preserve">&gt;.  </w:t>
      </w:r>
    </w:p>
  </w:footnote>
  <w:footnote w:id="2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UN Human Rights Council, </w:t>
      </w:r>
      <w:r w:rsidRPr="00A34125">
        <w:rPr>
          <w:rFonts w:ascii="Times New Roman" w:hAnsi="Times New Roman"/>
          <w:i/>
          <w:sz w:val="20"/>
          <w:szCs w:val="20"/>
        </w:rPr>
        <w:t>Report of the Working Group on the Universal Periodic Review – Sudan: Addendum- Views on conclusions and/or recommendations, voluntary commitments and replies presented by the State under review</w:t>
      </w:r>
      <w:r w:rsidRPr="00A34125">
        <w:rPr>
          <w:rFonts w:ascii="Times New Roman" w:hAnsi="Times New Roman"/>
          <w:sz w:val="20"/>
          <w:szCs w:val="20"/>
        </w:rPr>
        <w:t>, 18</w:t>
      </w:r>
      <w:r w:rsidRPr="00A34125">
        <w:rPr>
          <w:rFonts w:ascii="Times New Roman" w:hAnsi="Times New Roman"/>
          <w:sz w:val="20"/>
          <w:szCs w:val="20"/>
          <w:vertAlign w:val="superscript"/>
        </w:rPr>
        <w:t>th</w:t>
      </w:r>
      <w:r w:rsidRPr="00A34125">
        <w:rPr>
          <w:rFonts w:ascii="Times New Roman" w:hAnsi="Times New Roman"/>
          <w:sz w:val="20"/>
          <w:szCs w:val="20"/>
        </w:rPr>
        <w:t xml:space="preserve"> sess, UN Doc A/HRC/18/16/Add.1 (16 September 2011) paras 1-35.</w:t>
      </w:r>
    </w:p>
  </w:footnote>
  <w:footnote w:id="29">
    <w:p w:rsidR="00E147BA" w:rsidRPr="00A34125" w:rsidRDefault="00E147BA" w:rsidP="00A34125">
      <w:pPr>
        <w:pStyle w:val="FootnoteText"/>
        <w:jc w:val="both"/>
        <w:rPr>
          <w:rFonts w:ascii="Times New Roman" w:hAnsi="Times New Roman"/>
          <w:lang w:val="en-AU"/>
        </w:rPr>
      </w:pPr>
      <w:r w:rsidRPr="00A34125">
        <w:rPr>
          <w:rStyle w:val="FootnoteReference"/>
          <w:rFonts w:ascii="Times New Roman" w:hAnsi="Times New Roman"/>
        </w:rPr>
        <w:footnoteRef/>
      </w:r>
      <w:r w:rsidRPr="00A34125">
        <w:rPr>
          <w:rFonts w:ascii="Times New Roman" w:hAnsi="Times New Roman"/>
        </w:rPr>
        <w:t xml:space="preserve"> </w:t>
      </w:r>
      <w:r w:rsidRPr="00A34125">
        <w:rPr>
          <w:rFonts w:ascii="Times New Roman" w:hAnsi="Times New Roman"/>
          <w:lang w:val="en-AU"/>
        </w:rPr>
        <w:t>There are 5 regional groups in the HRC: Group of African States; Group of Asian States; Group of Eastern European States (EEG); Group of Latin American and Caribbean States (GRULAC); and Group of Western European and other States (WEOG). See Human Rights Council,</w:t>
      </w:r>
      <w:r w:rsidRPr="00A34125">
        <w:rPr>
          <w:rFonts w:ascii="Times New Roman" w:hAnsi="Times New Roman"/>
          <w:i/>
          <w:lang w:val="en-AU"/>
        </w:rPr>
        <w:t xml:space="preserve"> GA Res 60/251, UN GAOR, 60</w:t>
      </w:r>
      <w:r w:rsidRPr="00A34125">
        <w:rPr>
          <w:rFonts w:ascii="Times New Roman" w:hAnsi="Times New Roman"/>
          <w:i/>
          <w:vertAlign w:val="superscript"/>
          <w:lang w:val="en-AU"/>
        </w:rPr>
        <w:t>th</w:t>
      </w:r>
      <w:r w:rsidRPr="00A34125">
        <w:rPr>
          <w:rFonts w:ascii="Times New Roman" w:hAnsi="Times New Roman"/>
          <w:i/>
          <w:lang w:val="en-AU"/>
        </w:rPr>
        <w:t xml:space="preserve"> sess, 72</w:t>
      </w:r>
      <w:r w:rsidRPr="00A34125">
        <w:rPr>
          <w:rFonts w:ascii="Times New Roman" w:hAnsi="Times New Roman"/>
          <w:i/>
          <w:vertAlign w:val="superscript"/>
          <w:lang w:val="en-AU"/>
        </w:rPr>
        <w:t>nd</w:t>
      </w:r>
      <w:r w:rsidRPr="00A34125">
        <w:rPr>
          <w:rFonts w:ascii="Times New Roman" w:hAnsi="Times New Roman"/>
          <w:i/>
          <w:lang w:val="en-AU"/>
        </w:rPr>
        <w:t xml:space="preserve"> plen mtg, Agenda Items 46 and 120, </w:t>
      </w:r>
      <w:r w:rsidRPr="00A34125">
        <w:rPr>
          <w:rFonts w:ascii="Times New Roman" w:hAnsi="Times New Roman"/>
          <w:lang w:val="en-AU"/>
        </w:rPr>
        <w:t>UN Doc A/Res/60/251 (3</w:t>
      </w:r>
      <w:r w:rsidRPr="00A34125">
        <w:rPr>
          <w:rFonts w:ascii="Times New Roman" w:hAnsi="Times New Roman"/>
          <w:vertAlign w:val="superscript"/>
          <w:lang w:val="en-AU"/>
        </w:rPr>
        <w:t>rd</w:t>
      </w:r>
      <w:r w:rsidRPr="00A34125">
        <w:rPr>
          <w:rFonts w:ascii="Times New Roman" w:hAnsi="Times New Roman"/>
          <w:lang w:val="en-AU"/>
        </w:rPr>
        <w:t xml:space="preserve"> April 2006) (‘Resolution 60/251’) para 7.</w:t>
      </w:r>
    </w:p>
    <w:p w:rsidR="00E147BA" w:rsidRPr="00A34125" w:rsidRDefault="00E147BA" w:rsidP="00A34125">
      <w:pPr>
        <w:pStyle w:val="FootnoteText"/>
        <w:jc w:val="both"/>
        <w:rPr>
          <w:rFonts w:ascii="Times New Roman" w:hAnsi="Times New Roman"/>
          <w:lang w:val="en-AU"/>
        </w:rPr>
      </w:pPr>
    </w:p>
  </w:footnote>
  <w:footnote w:id="3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Edward R McMahon, Kojo Busia and Marta Ascherio, ‘Comparing Peer Reviews: The Universal Periodic Review of the UN Human Rights Council and the African Peer Review Mechanism’ (2013) 12 </w:t>
      </w:r>
      <w:r w:rsidRPr="00A34125">
        <w:rPr>
          <w:rFonts w:ascii="Times New Roman" w:hAnsi="Times New Roman"/>
          <w:i/>
          <w:sz w:val="20"/>
          <w:szCs w:val="20"/>
        </w:rPr>
        <w:t>African and Asian Studies</w:t>
      </w:r>
      <w:r w:rsidRPr="00A34125">
        <w:rPr>
          <w:rFonts w:ascii="Times New Roman" w:hAnsi="Times New Roman"/>
          <w:sz w:val="20"/>
          <w:szCs w:val="20"/>
        </w:rPr>
        <w:t xml:space="preserve"> 266, 280-82.</w:t>
      </w:r>
    </w:p>
  </w:footnote>
  <w:footnote w:id="31">
    <w:p w:rsidR="00E147BA" w:rsidRPr="00A34125" w:rsidRDefault="00E147BA" w:rsidP="00A34125">
      <w:pPr>
        <w:pStyle w:val="NoSpacing"/>
        <w:jc w:val="both"/>
        <w:rPr>
          <w:rFonts w:ascii="Times New Roman" w:hAnsi="Times New Roman"/>
          <w:color w:val="FF0000"/>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Two bombings in the capital, Abuja in 2011 resulted in this escalation of violence. See Simeon H O Alozieuwa, ‘Contending Theories on Nigeria’s Security Challenge in the Era of Boko Haram Insurgency’ (2012) 7(1) </w:t>
      </w:r>
      <w:r w:rsidRPr="00A34125">
        <w:rPr>
          <w:rFonts w:ascii="Times New Roman" w:hAnsi="Times New Roman"/>
          <w:i/>
          <w:sz w:val="20"/>
          <w:szCs w:val="20"/>
        </w:rPr>
        <w:t>Peace and Conflict Review</w:t>
      </w:r>
      <w:r w:rsidRPr="00A34125">
        <w:rPr>
          <w:rFonts w:ascii="Times New Roman" w:hAnsi="Times New Roman"/>
          <w:sz w:val="20"/>
          <w:szCs w:val="20"/>
        </w:rPr>
        <w:t xml:space="preserve"> 1.</w:t>
      </w:r>
    </w:p>
  </w:footnote>
  <w:footnote w:id="3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About 600 people in early 2015 were on death row see Roger Hood and Carolyn Hoyle, </w:t>
      </w:r>
      <w:r w:rsidRPr="00A34125">
        <w:rPr>
          <w:rFonts w:ascii="Times New Roman" w:hAnsi="Times New Roman"/>
          <w:i/>
          <w:sz w:val="20"/>
          <w:szCs w:val="20"/>
        </w:rPr>
        <w:t>The Death Penalty: A Worldwide Perspective</w:t>
      </w:r>
      <w:r w:rsidRPr="00A34125">
        <w:rPr>
          <w:rFonts w:ascii="Times New Roman" w:hAnsi="Times New Roman"/>
          <w:sz w:val="20"/>
          <w:szCs w:val="20"/>
        </w:rPr>
        <w:t xml:space="preserve"> (Oxford University Press, 2015) 274.</w:t>
      </w:r>
    </w:p>
  </w:footnote>
  <w:footnote w:id="3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986A1A">
        <w:rPr>
          <w:rFonts w:ascii="Times New Roman" w:hAnsi="Times New Roman"/>
          <w:sz w:val="20"/>
          <w:szCs w:val="20"/>
        </w:rPr>
        <w:t xml:space="preserve">Edward McMahon, ‘The Universal Periodic review:  A Work in Progress, An Evaluation of the First Cycle of the New UPR Mechanism of the United Nations Human Rights Council’ (2012) </w:t>
      </w:r>
      <w:r w:rsidRPr="00986A1A">
        <w:rPr>
          <w:rFonts w:ascii="Times New Roman" w:hAnsi="Times New Roman"/>
          <w:i/>
          <w:sz w:val="20"/>
          <w:szCs w:val="20"/>
        </w:rPr>
        <w:t>Friedrich Ebert Stiftung</w:t>
      </w:r>
      <w:r w:rsidRPr="00986A1A">
        <w:rPr>
          <w:rFonts w:ascii="Times New Roman" w:hAnsi="Times New Roman"/>
          <w:sz w:val="20"/>
          <w:szCs w:val="20"/>
        </w:rPr>
        <w:t xml:space="preserve"> 1</w:t>
      </w:r>
      <w:r w:rsidRPr="00A34125">
        <w:rPr>
          <w:rFonts w:ascii="Times New Roman" w:hAnsi="Times New Roman"/>
          <w:sz w:val="20"/>
          <w:szCs w:val="20"/>
        </w:rPr>
        <w:t>, 18.</w:t>
      </w:r>
    </w:p>
  </w:footnote>
  <w:footnote w:id="3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w:t>
      </w:r>
    </w:p>
  </w:footnote>
  <w:footnote w:id="3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The recommendations were made by Togo, Benin and Rwanda respectively.</w:t>
      </w:r>
    </w:p>
  </w:footnote>
  <w:footnote w:id="3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CD0096">
        <w:rPr>
          <w:rFonts w:ascii="Times New Roman" w:hAnsi="Times New Roman"/>
          <w:sz w:val="20"/>
          <w:szCs w:val="20"/>
        </w:rPr>
        <w:t>UN Human Rights Council,</w:t>
      </w:r>
      <w:r w:rsidRPr="00CD0096">
        <w:rPr>
          <w:rFonts w:ascii="Times New Roman" w:hAnsi="Times New Roman"/>
          <w:i/>
          <w:sz w:val="20"/>
          <w:szCs w:val="20"/>
        </w:rPr>
        <w:t xml:space="preserve"> ‘Report of the Working Group on the Universal Periodic Review – Argentina’</w:t>
      </w:r>
      <w:r w:rsidRPr="00CD0096">
        <w:rPr>
          <w:rFonts w:ascii="Times New Roman" w:hAnsi="Times New Roman"/>
          <w:sz w:val="20"/>
          <w:szCs w:val="20"/>
        </w:rPr>
        <w:t>, 8</w:t>
      </w:r>
      <w:r w:rsidRPr="00CD0096">
        <w:rPr>
          <w:rFonts w:ascii="Times New Roman" w:hAnsi="Times New Roman"/>
          <w:sz w:val="20"/>
          <w:szCs w:val="20"/>
          <w:vertAlign w:val="superscript"/>
        </w:rPr>
        <w:t>th</w:t>
      </w:r>
      <w:r w:rsidRPr="00CD0096">
        <w:rPr>
          <w:rFonts w:ascii="Times New Roman" w:hAnsi="Times New Roman"/>
          <w:sz w:val="20"/>
          <w:szCs w:val="20"/>
        </w:rPr>
        <w:t xml:space="preserve"> sess, UN Doc A/HRC/8/34 (13 May 2008) para 64.21.</w:t>
      </w:r>
    </w:p>
  </w:footnote>
  <w:footnote w:id="3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Pr>
          <w:rFonts w:ascii="Times New Roman" w:hAnsi="Times New Roman"/>
          <w:sz w:val="20"/>
          <w:szCs w:val="20"/>
        </w:rPr>
        <w:t xml:space="preserve"> Edward McMahon, (note </w:t>
      </w:r>
      <w:r>
        <w:rPr>
          <w:rFonts w:ascii="Times New Roman" w:hAnsi="Times New Roman"/>
          <w:sz w:val="20"/>
          <w:szCs w:val="20"/>
        </w:rPr>
        <w:fldChar w:fldCharType="begin"/>
      </w:r>
      <w:r>
        <w:rPr>
          <w:rFonts w:ascii="Times New Roman" w:hAnsi="Times New Roman"/>
          <w:sz w:val="20"/>
          <w:szCs w:val="20"/>
        </w:rPr>
        <w:instrText xml:space="preserve"> NOTEREF _Ref503701386 </w:instrText>
      </w:r>
      <w:r>
        <w:rPr>
          <w:rFonts w:ascii="Times New Roman" w:hAnsi="Times New Roman"/>
          <w:sz w:val="20"/>
          <w:szCs w:val="20"/>
        </w:rPr>
        <w:fldChar w:fldCharType="separate"/>
      </w:r>
      <w:r>
        <w:rPr>
          <w:rFonts w:ascii="Times New Roman" w:hAnsi="Times New Roman"/>
          <w:sz w:val="20"/>
          <w:szCs w:val="20"/>
        </w:rPr>
        <w:t>33</w:t>
      </w:r>
      <w:r>
        <w:rPr>
          <w:rFonts w:ascii="Times New Roman" w:hAnsi="Times New Roman"/>
          <w:sz w:val="20"/>
          <w:szCs w:val="20"/>
        </w:rPr>
        <w:fldChar w:fldCharType="end"/>
      </w:r>
      <w:r w:rsidRPr="00A34125">
        <w:rPr>
          <w:rFonts w:ascii="Times New Roman" w:hAnsi="Times New Roman"/>
          <w:sz w:val="20"/>
          <w:szCs w:val="20"/>
        </w:rPr>
        <w:t xml:space="preserve"> above).</w:t>
      </w:r>
    </w:p>
  </w:footnote>
  <w:footnote w:id="3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UPR Info, ‘Issue Categorisation’ &lt; </w:t>
      </w:r>
      <w:hyperlink r:id="rId2" w:history="1">
        <w:r w:rsidRPr="00A34125">
          <w:rPr>
            <w:rStyle w:val="Hyperlink"/>
            <w:rFonts w:ascii="Times New Roman" w:hAnsi="Times New Roman"/>
            <w:sz w:val="20"/>
            <w:szCs w:val="20"/>
          </w:rPr>
          <w:t>https://www.upr-info.org/database/files/Database_Issues_explanation.pdf</w:t>
        </w:r>
      </w:hyperlink>
      <w:r w:rsidRPr="00A34125">
        <w:rPr>
          <w:rFonts w:ascii="Times New Roman" w:hAnsi="Times New Roman"/>
          <w:sz w:val="20"/>
          <w:szCs w:val="20"/>
        </w:rPr>
        <w:t xml:space="preserve">&gt;; The National Human Rights Commission of Nigeria, </w:t>
      </w:r>
      <w:r w:rsidRPr="00A34125">
        <w:rPr>
          <w:rFonts w:ascii="Times New Roman" w:hAnsi="Times New Roman"/>
          <w:i/>
          <w:sz w:val="20"/>
          <w:szCs w:val="20"/>
        </w:rPr>
        <w:t>Report on State of Compliance with International Minimum Standards of Human Rights by Nigeria under the Universal Periodic Review Mechanism</w:t>
      </w:r>
      <w:r w:rsidRPr="00A34125">
        <w:rPr>
          <w:rFonts w:ascii="Times New Roman" w:hAnsi="Times New Roman"/>
          <w:sz w:val="20"/>
          <w:szCs w:val="20"/>
        </w:rPr>
        <w:t xml:space="preserve"> &lt; https://uprdoc.ohchr.org/uprweb/downloadfile.aspx?filename=556&amp;file=EnglishTranslation&gt;. </w:t>
      </w:r>
    </w:p>
    <w:p w:rsidR="00E147BA" w:rsidRPr="00A34125" w:rsidRDefault="00E147BA" w:rsidP="00A34125">
      <w:pPr>
        <w:pStyle w:val="NoSpacing"/>
        <w:jc w:val="both"/>
        <w:rPr>
          <w:rFonts w:ascii="Times New Roman" w:hAnsi="Times New Roman"/>
          <w:sz w:val="20"/>
          <w:szCs w:val="20"/>
        </w:rPr>
      </w:pPr>
    </w:p>
  </w:footnote>
  <w:footnote w:id="3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757A87">
        <w:rPr>
          <w:rFonts w:ascii="Times New Roman" w:hAnsi="Times New Roman"/>
          <w:sz w:val="20"/>
          <w:szCs w:val="20"/>
        </w:rPr>
        <w:t xml:space="preserve">Nigeria’s Civil Society Coalition on the UPR, ‘Universal Periodic Review of Nigeria: A Nigeria Civil Society Coalition Report’ (2008) </w:t>
      </w:r>
      <w:r>
        <w:rPr>
          <w:rFonts w:ascii="Times New Roman" w:hAnsi="Times New Roman"/>
          <w:sz w:val="20"/>
          <w:szCs w:val="20"/>
        </w:rPr>
        <w:t>1-5 &lt;</w:t>
      </w:r>
      <w:hyperlink r:id="rId3" w:history="1">
        <w:r w:rsidRPr="00757A87">
          <w:rPr>
            <w:rStyle w:val="Hyperlink"/>
            <w:rFonts w:ascii="Times New Roman" w:hAnsi="Times New Roman"/>
            <w:sz w:val="20"/>
            <w:szCs w:val="20"/>
          </w:rPr>
          <w:t>https://www.upr-info.org/sites/default/files/document/nigeria/session_4_-_february_2009/js1ngauprs42009constitutionalrightsprojectetaljoint.pdf</w:t>
        </w:r>
      </w:hyperlink>
      <w:r w:rsidRPr="00757A87">
        <w:rPr>
          <w:rFonts w:ascii="Times New Roman" w:hAnsi="Times New Roman"/>
          <w:sz w:val="20"/>
          <w:szCs w:val="20"/>
        </w:rPr>
        <w:t>&gt;.</w:t>
      </w:r>
    </w:p>
  </w:footnote>
  <w:footnote w:id="4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2444B">
        <w:rPr>
          <w:rFonts w:ascii="Times New Roman" w:hAnsi="Times New Roman"/>
          <w:sz w:val="20"/>
          <w:szCs w:val="20"/>
        </w:rPr>
        <w:t xml:space="preserve">Civil  Society  Coalition  on  Minority Protection,  Indigenous  Peoples  Issues    and  Children’s  Rights (CS-COMIC), ‘Submission By Civil Society Coalition On Minority Protection, Indigenous Peoples Issues And Children’s Rights’ (2013) </w:t>
      </w:r>
      <w:r>
        <w:rPr>
          <w:rFonts w:ascii="Times New Roman" w:hAnsi="Times New Roman"/>
          <w:sz w:val="20"/>
          <w:szCs w:val="20"/>
        </w:rPr>
        <w:t xml:space="preserve">9-10 </w:t>
      </w:r>
      <w:r w:rsidRPr="00A2444B">
        <w:rPr>
          <w:rFonts w:ascii="Times New Roman" w:hAnsi="Times New Roman"/>
          <w:sz w:val="20"/>
          <w:szCs w:val="20"/>
        </w:rPr>
        <w:t xml:space="preserve">&lt; </w:t>
      </w:r>
      <w:hyperlink r:id="rId4" w:history="1">
        <w:r w:rsidRPr="00A2444B">
          <w:rPr>
            <w:rStyle w:val="Hyperlink"/>
            <w:rFonts w:ascii="Times New Roman" w:hAnsi="Times New Roman"/>
            <w:sz w:val="20"/>
            <w:szCs w:val="20"/>
          </w:rPr>
          <w:t>https://www.upr-info.org/sites/default/files/document/nigeria/session_17_-_october_2013/js5_upr17_nga_e_main.pdf</w:t>
        </w:r>
      </w:hyperlink>
      <w:r>
        <w:rPr>
          <w:rFonts w:ascii="Times New Roman" w:hAnsi="Times New Roman"/>
          <w:sz w:val="20"/>
          <w:szCs w:val="20"/>
        </w:rPr>
        <w:t>&gt;.</w:t>
      </w:r>
    </w:p>
  </w:footnote>
  <w:footnote w:id="41">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1F5FCD">
        <w:rPr>
          <w:rFonts w:ascii="Times New Roman" w:hAnsi="Times New Roman"/>
          <w:sz w:val="20"/>
          <w:szCs w:val="20"/>
        </w:rPr>
        <w:t>Human Rights Council,</w:t>
      </w:r>
      <w:r w:rsidRPr="001F5FCD">
        <w:rPr>
          <w:rFonts w:ascii="Times New Roman" w:hAnsi="Times New Roman"/>
          <w:i/>
          <w:sz w:val="20"/>
          <w:szCs w:val="20"/>
        </w:rPr>
        <w:t xml:space="preserve"> Report of the Working Group on the Universal Periodic Review – Nigeria, </w:t>
      </w:r>
      <w:r w:rsidRPr="001F5FCD">
        <w:rPr>
          <w:rFonts w:ascii="Times New Roman" w:hAnsi="Times New Roman"/>
          <w:sz w:val="20"/>
          <w:szCs w:val="20"/>
        </w:rPr>
        <w:t>25</w:t>
      </w:r>
      <w:r w:rsidRPr="001F5FCD">
        <w:rPr>
          <w:rFonts w:ascii="Times New Roman" w:hAnsi="Times New Roman"/>
          <w:sz w:val="20"/>
          <w:szCs w:val="20"/>
          <w:vertAlign w:val="superscript"/>
        </w:rPr>
        <w:t>th</w:t>
      </w:r>
      <w:r w:rsidRPr="001F5FCD">
        <w:rPr>
          <w:rFonts w:ascii="Times New Roman" w:hAnsi="Times New Roman"/>
          <w:sz w:val="20"/>
          <w:szCs w:val="20"/>
        </w:rPr>
        <w:t xml:space="preserve"> sess, Agenda Item 6, UN Doc A/HRC/25/6 (16 December 2013) (‘HRC UPR II Report –Nigeria’),</w:t>
      </w:r>
      <w:r w:rsidRPr="00A34125">
        <w:rPr>
          <w:rFonts w:ascii="Times New Roman" w:hAnsi="Times New Roman"/>
          <w:sz w:val="20"/>
          <w:szCs w:val="20"/>
        </w:rPr>
        <w:t xml:space="preserve"> paras 135.73, 135.56 and 135.1. </w:t>
      </w:r>
    </w:p>
  </w:footnote>
  <w:footnote w:id="4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BD1C6A">
        <w:rPr>
          <w:rFonts w:ascii="Times New Roman" w:hAnsi="Times New Roman"/>
          <w:sz w:val="20"/>
          <w:szCs w:val="20"/>
        </w:rPr>
        <w:t>Human Rights Council,</w:t>
      </w:r>
      <w:r>
        <w:rPr>
          <w:rFonts w:ascii="Times New Roman" w:hAnsi="Times New Roman"/>
          <w:i/>
          <w:sz w:val="20"/>
          <w:szCs w:val="20"/>
        </w:rPr>
        <w:t xml:space="preserve"> </w:t>
      </w:r>
      <w:r w:rsidRPr="00BD1C6A">
        <w:rPr>
          <w:rFonts w:ascii="Times New Roman" w:hAnsi="Times New Roman"/>
          <w:i/>
          <w:sz w:val="20"/>
          <w:szCs w:val="20"/>
        </w:rPr>
        <w:t>Report of the Human Rights Coun</w:t>
      </w:r>
      <w:r>
        <w:rPr>
          <w:rFonts w:ascii="Times New Roman" w:hAnsi="Times New Roman"/>
          <w:i/>
          <w:sz w:val="20"/>
          <w:szCs w:val="20"/>
        </w:rPr>
        <w:t>cil on its twenty-fifth session</w:t>
      </w:r>
      <w:r w:rsidRPr="00BD1C6A">
        <w:rPr>
          <w:rFonts w:ascii="Times New Roman" w:hAnsi="Times New Roman"/>
          <w:i/>
          <w:sz w:val="20"/>
          <w:szCs w:val="20"/>
        </w:rPr>
        <w:t xml:space="preserve">, </w:t>
      </w:r>
      <w:r w:rsidRPr="00BD1C6A">
        <w:rPr>
          <w:rFonts w:ascii="Times New Roman" w:hAnsi="Times New Roman"/>
          <w:sz w:val="20"/>
          <w:szCs w:val="20"/>
        </w:rPr>
        <w:t>25</w:t>
      </w:r>
      <w:r w:rsidRPr="00BD1C6A">
        <w:rPr>
          <w:rFonts w:ascii="Times New Roman" w:hAnsi="Times New Roman"/>
          <w:sz w:val="20"/>
          <w:szCs w:val="20"/>
          <w:vertAlign w:val="superscript"/>
        </w:rPr>
        <w:t>th</w:t>
      </w:r>
      <w:r w:rsidRPr="00BD1C6A">
        <w:rPr>
          <w:rFonts w:ascii="Times New Roman" w:hAnsi="Times New Roman"/>
          <w:sz w:val="20"/>
          <w:szCs w:val="20"/>
        </w:rPr>
        <w:t xml:space="preserve"> sess, UN Doc A/HRC/25/2 (27 May 2014),</w:t>
      </w:r>
      <w:r w:rsidRPr="00A34125">
        <w:rPr>
          <w:rFonts w:ascii="Times New Roman" w:hAnsi="Times New Roman"/>
          <w:sz w:val="20"/>
          <w:szCs w:val="20"/>
        </w:rPr>
        <w:t xml:space="preserve"> paras 1 and 14.</w:t>
      </w:r>
    </w:p>
  </w:footnote>
  <w:footnote w:id="4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Sin</w:t>
      </w:r>
      <w:r>
        <w:rPr>
          <w:rFonts w:ascii="Times New Roman" w:hAnsi="Times New Roman"/>
          <w:sz w:val="20"/>
          <w:szCs w:val="20"/>
        </w:rPr>
        <w:t>ce UPR II implementation stage wa</w:t>
      </w:r>
      <w:r w:rsidRPr="00A34125">
        <w:rPr>
          <w:rFonts w:ascii="Times New Roman" w:hAnsi="Times New Roman"/>
          <w:sz w:val="20"/>
          <w:szCs w:val="20"/>
        </w:rPr>
        <w:t>s still ongoing, I limited the analysis to UPR I.</w:t>
      </w:r>
    </w:p>
  </w:footnote>
  <w:footnote w:id="4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Human Rights Agenda Network (HRAN) ‘Written Submission to Universal Periodic Review of Nigeria, Oct-Nov 2013’ (2013) &lt; </w:t>
      </w:r>
      <w:hyperlink r:id="rId5" w:history="1">
        <w:r w:rsidRPr="00A34125">
          <w:rPr>
            <w:rStyle w:val="Hyperlink"/>
            <w:rFonts w:ascii="Times New Roman" w:hAnsi="Times New Roman"/>
            <w:color w:val="auto"/>
            <w:sz w:val="20"/>
            <w:szCs w:val="20"/>
          </w:rPr>
          <w:t>https://uprdoc.ohchr.org/uprweb/downloadfile.aspx?filename=148&amp;file=EnglishTranslation</w:t>
        </w:r>
      </w:hyperlink>
      <w:r w:rsidRPr="00A34125">
        <w:rPr>
          <w:rFonts w:ascii="Times New Roman" w:hAnsi="Times New Roman"/>
          <w:sz w:val="20"/>
          <w:szCs w:val="20"/>
        </w:rPr>
        <w:t xml:space="preserve">&gt;. </w:t>
      </w:r>
    </w:p>
  </w:footnote>
  <w:footnote w:id="4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Full version available at OHCHR&lt; </w:t>
      </w:r>
      <w:hyperlink r:id="rId6" w:history="1">
        <w:r w:rsidRPr="00A34125">
          <w:rPr>
            <w:rStyle w:val="Hyperlink"/>
            <w:rFonts w:ascii="Times New Roman" w:hAnsi="Times New Roman"/>
            <w:color w:val="auto"/>
            <w:sz w:val="20"/>
            <w:szCs w:val="20"/>
          </w:rPr>
          <w:t>https://uprdoc.ohchr.org/uprweb/downloadfile.aspx?filename=556&amp;file=Annexe1</w:t>
        </w:r>
      </w:hyperlink>
      <w:r w:rsidRPr="00A34125">
        <w:rPr>
          <w:rFonts w:ascii="Times New Roman" w:hAnsi="Times New Roman"/>
          <w:sz w:val="20"/>
          <w:szCs w:val="20"/>
        </w:rPr>
        <w:t xml:space="preserve">&gt;. </w:t>
      </w:r>
    </w:p>
  </w:footnote>
  <w:footnote w:id="4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Subhas Gujadhur and Marc Limon, </w:t>
      </w:r>
      <w:r w:rsidRPr="00A34125">
        <w:rPr>
          <w:rFonts w:ascii="Times New Roman" w:hAnsi="Times New Roman"/>
          <w:i/>
          <w:sz w:val="20"/>
          <w:szCs w:val="20"/>
        </w:rPr>
        <w:t>Towards the Third Cycle of the UPR: Stick or Twist? Lessons Learnt from the first ten years of the Universal Periodic Review</w:t>
      </w:r>
      <w:r w:rsidRPr="00A34125">
        <w:rPr>
          <w:rFonts w:ascii="Times New Roman" w:hAnsi="Times New Roman"/>
          <w:sz w:val="20"/>
          <w:szCs w:val="20"/>
        </w:rPr>
        <w:t xml:space="preserve"> (Universal Rights Group, 2016) 35-7; UPR Info, ‘Universal Periodic Review: On the Road to Implementation’ (2012) 63 &lt;</w:t>
      </w:r>
      <w:hyperlink r:id="rId7" w:history="1">
        <w:r w:rsidRPr="00A34125">
          <w:rPr>
            <w:rStyle w:val="Hyperlink"/>
            <w:rFonts w:ascii="Times New Roman" w:hAnsi="Times New Roman"/>
            <w:sz w:val="20"/>
            <w:szCs w:val="20"/>
          </w:rPr>
          <w:t>http://www.upr-info.org/sites/default/files/general-document/pdf/2012_on_the_road_to_implementation.pdf</w:t>
        </w:r>
      </w:hyperlink>
      <w:r w:rsidRPr="00A34125">
        <w:rPr>
          <w:rStyle w:val="Hyperlink"/>
          <w:rFonts w:ascii="Times New Roman" w:hAnsi="Times New Roman"/>
          <w:sz w:val="20"/>
          <w:szCs w:val="20"/>
        </w:rPr>
        <w:t>&gt;</w:t>
      </w:r>
      <w:r w:rsidRPr="00A34125">
        <w:rPr>
          <w:rFonts w:ascii="Times New Roman" w:hAnsi="Times New Roman"/>
          <w:sz w:val="20"/>
          <w:szCs w:val="20"/>
        </w:rPr>
        <w:t>.</w:t>
      </w:r>
    </w:p>
  </w:footnote>
  <w:footnote w:id="4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National Human Rights Commission of Nigeria, ‘Report on State of Compliance with International Minimum Standards of Human Rights by Nigeria under the Universal Periodic Review Mechanism’ &lt; </w:t>
      </w:r>
      <w:hyperlink r:id="rId8" w:history="1">
        <w:r w:rsidRPr="00A34125">
          <w:rPr>
            <w:rStyle w:val="Hyperlink"/>
            <w:rFonts w:ascii="Times New Roman" w:hAnsi="Times New Roman"/>
            <w:color w:val="auto"/>
            <w:sz w:val="20"/>
            <w:szCs w:val="20"/>
          </w:rPr>
          <w:t>https://uprdoc.ohchr.org/uprweb/downloadfile.aspx?filename=556&amp;file=EnglishTranslation</w:t>
        </w:r>
      </w:hyperlink>
      <w:r w:rsidRPr="00A34125">
        <w:rPr>
          <w:rFonts w:ascii="Times New Roman" w:hAnsi="Times New Roman"/>
          <w:sz w:val="20"/>
          <w:szCs w:val="20"/>
        </w:rPr>
        <w:t>&gt; 2.</w:t>
      </w:r>
    </w:p>
  </w:footnote>
  <w:footnote w:id="4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For example Nigeria undertook to accelerate the process full domestication of international human rights treaties and this correspond to its second UPR I recommendation made by Ghana, Norway, Niger, Algeria and Brazil. For details on the pledges and commitments made by Nigeria see OHCHR, ‘Human Rights Council: Nigeria’s Voluntary Pledges and Commitments’ </w:t>
      </w:r>
      <w:hyperlink r:id="rId9" w:history="1">
        <w:r w:rsidRPr="00A34125">
          <w:rPr>
            <w:rStyle w:val="Hyperlink"/>
            <w:rFonts w:ascii="Times New Roman" w:hAnsi="Times New Roman"/>
            <w:color w:val="auto"/>
            <w:sz w:val="20"/>
            <w:szCs w:val="20"/>
          </w:rPr>
          <w:t>www.un.org/ga/60/elect/hrc/nigeria.pdf</w:t>
        </w:r>
      </w:hyperlink>
      <w:r w:rsidRPr="00A34125">
        <w:rPr>
          <w:rFonts w:ascii="Times New Roman" w:hAnsi="Times New Roman"/>
          <w:sz w:val="20"/>
          <w:szCs w:val="20"/>
        </w:rPr>
        <w:t>.</w:t>
      </w:r>
    </w:p>
  </w:footnote>
  <w:footnote w:id="4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See National Human Right</w:t>
      </w:r>
      <w:r>
        <w:rPr>
          <w:rFonts w:ascii="Times New Roman" w:hAnsi="Times New Roman"/>
          <w:sz w:val="20"/>
          <w:szCs w:val="20"/>
        </w:rPr>
        <w:t xml:space="preserve">s Commission of Nigeria (note </w:t>
      </w:r>
      <w:r>
        <w:rPr>
          <w:rFonts w:ascii="Times New Roman" w:hAnsi="Times New Roman"/>
          <w:sz w:val="20"/>
          <w:szCs w:val="20"/>
        </w:rPr>
        <w:fldChar w:fldCharType="begin"/>
      </w:r>
      <w:r>
        <w:rPr>
          <w:rFonts w:ascii="Times New Roman" w:hAnsi="Times New Roman"/>
          <w:sz w:val="20"/>
          <w:szCs w:val="20"/>
        </w:rPr>
        <w:instrText xml:space="preserve"> NOTEREF _Ref503702562 </w:instrText>
      </w:r>
      <w:r>
        <w:rPr>
          <w:rFonts w:ascii="Times New Roman" w:hAnsi="Times New Roman"/>
          <w:sz w:val="20"/>
          <w:szCs w:val="20"/>
        </w:rPr>
        <w:fldChar w:fldCharType="separate"/>
      </w:r>
      <w:r>
        <w:rPr>
          <w:rFonts w:ascii="Times New Roman" w:hAnsi="Times New Roman"/>
          <w:sz w:val="20"/>
          <w:szCs w:val="20"/>
        </w:rPr>
        <w:t>47</w:t>
      </w:r>
      <w:r>
        <w:rPr>
          <w:rFonts w:ascii="Times New Roman" w:hAnsi="Times New Roman"/>
          <w:sz w:val="20"/>
          <w:szCs w:val="20"/>
        </w:rPr>
        <w:fldChar w:fldCharType="end"/>
      </w:r>
      <w:r w:rsidRPr="00A34125">
        <w:rPr>
          <w:rFonts w:ascii="Times New Roman" w:hAnsi="Times New Roman"/>
          <w:sz w:val="20"/>
          <w:szCs w:val="20"/>
        </w:rPr>
        <w:t xml:space="preserve"> above). </w:t>
      </w:r>
    </w:p>
  </w:footnote>
  <w:footnote w:id="5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 xml:space="preserve">HRC UPR II State Report – </w:t>
      </w:r>
      <w:r w:rsidRPr="00A34125">
        <w:rPr>
          <w:rFonts w:ascii="Times New Roman" w:hAnsi="Times New Roman"/>
          <w:sz w:val="20"/>
          <w:szCs w:val="20"/>
        </w:rPr>
        <w:t>Nigeria</w:t>
      </w:r>
      <w:r>
        <w:rPr>
          <w:rFonts w:ascii="Times New Roman" w:hAnsi="Times New Roman"/>
          <w:sz w:val="20"/>
          <w:szCs w:val="20"/>
        </w:rPr>
        <w:t xml:space="preserve"> (note </w:t>
      </w:r>
      <w:r>
        <w:rPr>
          <w:rFonts w:ascii="Times New Roman" w:hAnsi="Times New Roman"/>
          <w:sz w:val="20"/>
          <w:szCs w:val="20"/>
        </w:rPr>
        <w:fldChar w:fldCharType="begin"/>
      </w:r>
      <w:r>
        <w:rPr>
          <w:rFonts w:ascii="Times New Roman" w:hAnsi="Times New Roman"/>
          <w:sz w:val="20"/>
          <w:szCs w:val="20"/>
        </w:rPr>
        <w:instrText xml:space="preserve"> NOTEREF _Ref503702718 </w:instrText>
      </w:r>
      <w:r>
        <w:rPr>
          <w:rFonts w:ascii="Times New Roman" w:hAnsi="Times New Roman"/>
          <w:sz w:val="20"/>
          <w:szCs w:val="20"/>
        </w:rPr>
        <w:fldChar w:fldCharType="separate"/>
      </w:r>
      <w:r>
        <w:rPr>
          <w:rFonts w:ascii="Times New Roman" w:hAnsi="Times New Roman"/>
          <w:sz w:val="20"/>
          <w:szCs w:val="20"/>
        </w:rPr>
        <w:t>41</w:t>
      </w:r>
      <w:r>
        <w:rPr>
          <w:rFonts w:ascii="Times New Roman" w:hAnsi="Times New Roman"/>
          <w:sz w:val="20"/>
          <w:szCs w:val="20"/>
        </w:rPr>
        <w:fldChar w:fldCharType="end"/>
      </w:r>
      <w:r>
        <w:rPr>
          <w:rFonts w:ascii="Times New Roman" w:hAnsi="Times New Roman"/>
          <w:sz w:val="20"/>
          <w:szCs w:val="20"/>
        </w:rPr>
        <w:t xml:space="preserve"> above) </w:t>
      </w:r>
      <w:r w:rsidRPr="00A34125">
        <w:rPr>
          <w:rFonts w:ascii="Times New Roman" w:hAnsi="Times New Roman"/>
          <w:sz w:val="20"/>
          <w:szCs w:val="20"/>
        </w:rPr>
        <w:t>para 32.</w:t>
      </w:r>
    </w:p>
  </w:footnote>
  <w:footnote w:id="5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National Human Rights Commission of Nigeria, ‘National Human Rights Commission Table of Commentary on 2009 UPR recommendations and the extent of Compliance’ &lt; </w:t>
      </w:r>
      <w:hyperlink r:id="rId10" w:history="1">
        <w:r w:rsidRPr="00A34125">
          <w:rPr>
            <w:rStyle w:val="Hyperlink"/>
            <w:rFonts w:ascii="Times New Roman" w:hAnsi="Times New Roman"/>
            <w:sz w:val="20"/>
            <w:szCs w:val="20"/>
          </w:rPr>
          <w:t>https://uprdoc.ohchr.org/uprweb/downloadfile.aspx?filename=556&amp;file=Annexe1</w:t>
        </w:r>
      </w:hyperlink>
      <w:r w:rsidRPr="00A34125">
        <w:rPr>
          <w:rFonts w:ascii="Times New Roman" w:hAnsi="Times New Roman"/>
          <w:sz w:val="20"/>
          <w:szCs w:val="20"/>
        </w:rPr>
        <w:t>&gt;.</w:t>
      </w:r>
    </w:p>
  </w:footnote>
  <w:footnote w:id="5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Amnesty International (AI), ‘Universal Periodic Review of Nigeria: Submission by Amnesty International, 17th Session Of The UPR Working Group, October 2013 (July 2013) IOR 41/011/2013, 2 &lt; https://uprdoc.ohchr.org/uprweb/downloadfile.aspx?filename=557&amp;file=EnglishTranslation&gt;.</w:t>
      </w:r>
    </w:p>
  </w:footnote>
  <w:footnote w:id="5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A coalition of 39 domestic NGOs. See Human Rights Agenda Network (HRAN) ‘Written Submission to Universal Periodic Review of Nigeria, Oct-Nov 2013’ (2013) &lt; </w:t>
      </w:r>
      <w:hyperlink r:id="rId11" w:history="1">
        <w:r w:rsidRPr="00A34125">
          <w:rPr>
            <w:rStyle w:val="Hyperlink"/>
            <w:rFonts w:ascii="Times New Roman" w:hAnsi="Times New Roman"/>
            <w:sz w:val="20"/>
            <w:szCs w:val="20"/>
          </w:rPr>
          <w:t>https://uprdoc.ohchr.org/uprweb/downloadfile.aspx?filename=148&amp;file=EnglishTranslation</w:t>
        </w:r>
      </w:hyperlink>
      <w:r w:rsidRPr="00A34125">
        <w:rPr>
          <w:rFonts w:ascii="Times New Roman" w:hAnsi="Times New Roman"/>
          <w:sz w:val="20"/>
          <w:szCs w:val="20"/>
        </w:rPr>
        <w:t xml:space="preserve"> 8&gt;. </w:t>
      </w:r>
    </w:p>
  </w:footnote>
  <w:footnote w:id="5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2.</w:t>
      </w:r>
    </w:p>
  </w:footnote>
  <w:footnote w:id="5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National Human Rights Commission of Nigeria, ‘National Human Rights Commission Table of Commentary on 2009 UPR recommendations and the extent of Compliance’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_Ref484527548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51</w:t>
      </w:r>
      <w:r w:rsidRPr="00A34125">
        <w:rPr>
          <w:rFonts w:ascii="Times New Roman" w:hAnsi="Times New Roman"/>
          <w:sz w:val="20"/>
          <w:szCs w:val="20"/>
        </w:rPr>
        <w:fldChar w:fldCharType="end"/>
      </w:r>
      <w:r w:rsidRPr="00A34125">
        <w:rPr>
          <w:rFonts w:ascii="Times New Roman" w:hAnsi="Times New Roman"/>
          <w:sz w:val="20"/>
          <w:szCs w:val="20"/>
        </w:rPr>
        <w:t xml:space="preserve">, para 1. </w:t>
      </w:r>
    </w:p>
  </w:footnote>
  <w:footnote w:id="5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 xml:space="preserve">HRC UPR II State Report – </w:t>
      </w:r>
      <w:r>
        <w:rPr>
          <w:rFonts w:ascii="Times New Roman" w:hAnsi="Times New Roman"/>
          <w:sz w:val="20"/>
          <w:szCs w:val="20"/>
        </w:rPr>
        <w:t xml:space="preserve">Nigeria (note </w:t>
      </w:r>
      <w:r>
        <w:rPr>
          <w:rFonts w:ascii="Times New Roman" w:hAnsi="Times New Roman"/>
          <w:sz w:val="20"/>
          <w:szCs w:val="20"/>
        </w:rPr>
        <w:fldChar w:fldCharType="begin"/>
      </w:r>
      <w:r>
        <w:rPr>
          <w:rFonts w:ascii="Times New Roman" w:hAnsi="Times New Roman"/>
          <w:sz w:val="20"/>
          <w:szCs w:val="20"/>
        </w:rPr>
        <w:instrText xml:space="preserve"> NOTEREF _Ref503702718 </w:instrText>
      </w:r>
      <w:r>
        <w:rPr>
          <w:rFonts w:ascii="Times New Roman" w:hAnsi="Times New Roman"/>
          <w:sz w:val="20"/>
          <w:szCs w:val="20"/>
        </w:rPr>
        <w:fldChar w:fldCharType="separate"/>
      </w:r>
      <w:r>
        <w:rPr>
          <w:rFonts w:ascii="Times New Roman" w:hAnsi="Times New Roman"/>
          <w:sz w:val="20"/>
          <w:szCs w:val="20"/>
        </w:rPr>
        <w:t>41</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para 22.</w:t>
      </w:r>
    </w:p>
  </w:footnote>
  <w:footnote w:id="5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The National Human Rights Commission of Nigeria,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_Ref484527548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51</w:t>
      </w:r>
      <w:r w:rsidRPr="00A34125">
        <w:rPr>
          <w:rFonts w:ascii="Times New Roman" w:hAnsi="Times New Roman"/>
          <w:sz w:val="20"/>
          <w:szCs w:val="20"/>
        </w:rPr>
        <w:fldChar w:fldCharType="end"/>
      </w:r>
      <w:r w:rsidRPr="00A34125">
        <w:rPr>
          <w:rFonts w:ascii="Times New Roman" w:hAnsi="Times New Roman"/>
          <w:sz w:val="20"/>
          <w:szCs w:val="20"/>
        </w:rPr>
        <w:t>, [28]</w:t>
      </w:r>
    </w:p>
  </w:footnote>
  <w:footnote w:id="5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FD2A4F">
        <w:rPr>
          <w:rFonts w:ascii="Times New Roman" w:hAnsi="Times New Roman"/>
          <w:i/>
          <w:sz w:val="20"/>
          <w:szCs w:val="20"/>
        </w:rPr>
        <w:t xml:space="preserve">HRC UPR II State Report – </w:t>
      </w:r>
      <w:r w:rsidRPr="00FD2A4F">
        <w:rPr>
          <w:rFonts w:ascii="Times New Roman" w:hAnsi="Times New Roman"/>
          <w:sz w:val="20"/>
          <w:szCs w:val="20"/>
        </w:rPr>
        <w:t xml:space="preserve">Nigeria (note </w:t>
      </w:r>
      <w:r w:rsidRPr="00FD2A4F">
        <w:rPr>
          <w:rFonts w:ascii="Times New Roman" w:hAnsi="Times New Roman"/>
          <w:sz w:val="20"/>
          <w:szCs w:val="20"/>
        </w:rPr>
        <w:fldChar w:fldCharType="begin"/>
      </w:r>
      <w:r w:rsidRPr="00FD2A4F">
        <w:rPr>
          <w:rFonts w:ascii="Times New Roman" w:hAnsi="Times New Roman"/>
          <w:sz w:val="20"/>
          <w:szCs w:val="20"/>
        </w:rPr>
        <w:instrText xml:space="preserve"> NOTEREF _Ref503702718 </w:instrText>
      </w:r>
      <w:r w:rsidRPr="00FD2A4F">
        <w:rPr>
          <w:rFonts w:ascii="Times New Roman" w:hAnsi="Times New Roman"/>
          <w:sz w:val="20"/>
          <w:szCs w:val="20"/>
        </w:rPr>
        <w:fldChar w:fldCharType="separate"/>
      </w:r>
      <w:r w:rsidRPr="00FD2A4F">
        <w:rPr>
          <w:rFonts w:ascii="Times New Roman" w:hAnsi="Times New Roman"/>
          <w:sz w:val="20"/>
          <w:szCs w:val="20"/>
        </w:rPr>
        <w:t>41</w:t>
      </w:r>
      <w:r w:rsidRPr="00FD2A4F">
        <w:rPr>
          <w:rFonts w:ascii="Times New Roman" w:hAnsi="Times New Roman"/>
          <w:sz w:val="20"/>
          <w:szCs w:val="20"/>
        </w:rPr>
        <w:fldChar w:fldCharType="end"/>
      </w:r>
      <w:r w:rsidRPr="00FD2A4F">
        <w:rPr>
          <w:rFonts w:ascii="Times New Roman" w:hAnsi="Times New Roman"/>
          <w:sz w:val="20"/>
          <w:szCs w:val="20"/>
        </w:rPr>
        <w:t xml:space="preserve"> above)</w:t>
      </w:r>
      <w:r w:rsidRPr="00A34125">
        <w:rPr>
          <w:rFonts w:ascii="Times New Roman" w:hAnsi="Times New Roman"/>
          <w:sz w:val="20"/>
          <w:szCs w:val="20"/>
        </w:rPr>
        <w:t>, [102].</w:t>
      </w:r>
    </w:p>
  </w:footnote>
  <w:footnote w:id="5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Human Rights Agenda Network (HRAN),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_Ref484527679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53</w:t>
      </w:r>
      <w:r w:rsidRPr="00A34125">
        <w:rPr>
          <w:rFonts w:ascii="Times New Roman" w:hAnsi="Times New Roman"/>
          <w:sz w:val="20"/>
          <w:szCs w:val="20"/>
        </w:rPr>
        <w:fldChar w:fldCharType="end"/>
      </w:r>
      <w:r w:rsidRPr="00A34125">
        <w:rPr>
          <w:rFonts w:ascii="Times New Roman" w:hAnsi="Times New Roman"/>
          <w:sz w:val="20"/>
          <w:szCs w:val="20"/>
        </w:rPr>
        <w:t>, 7.</w:t>
      </w:r>
    </w:p>
  </w:footnote>
  <w:footnote w:id="60">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 xml:space="preserve">See Ajovi Scott-Emuakpor, ‘The Evolution of Health Care Systems in Nigeria: Which way Forward in the Twenty-First Century’ (2010) 51(2) </w:t>
      </w:r>
      <w:r w:rsidRPr="00A34125">
        <w:rPr>
          <w:rFonts w:ascii="Times New Roman" w:hAnsi="Times New Roman"/>
          <w:i/>
          <w:sz w:val="20"/>
          <w:szCs w:val="20"/>
          <w:lang w:val="en-US"/>
        </w:rPr>
        <w:t xml:space="preserve">Nigerian Medical Journal </w:t>
      </w:r>
      <w:r w:rsidRPr="00A34125">
        <w:rPr>
          <w:rFonts w:ascii="Times New Roman" w:hAnsi="Times New Roman"/>
          <w:sz w:val="20"/>
          <w:szCs w:val="20"/>
          <w:lang w:val="en-US"/>
        </w:rPr>
        <w:t xml:space="preserve">53; Nigeria National Human Rights Commission, </w:t>
      </w:r>
      <w:r w:rsidRPr="00A34125">
        <w:rPr>
          <w:rFonts w:ascii="Times New Roman" w:hAnsi="Times New Roman"/>
          <w:i/>
          <w:sz w:val="20"/>
          <w:szCs w:val="20"/>
          <w:lang w:val="en-US"/>
        </w:rPr>
        <w:t xml:space="preserve">Research Study on Human Rights and Maternal Mortality: Pilot Study on Women’s Access to Health Care Facilities in the Six Area Council of the Federal Capital Territory (FCT), Abuja </w:t>
      </w:r>
      <w:r w:rsidRPr="00A34125">
        <w:rPr>
          <w:rFonts w:ascii="Times New Roman" w:hAnsi="Times New Roman"/>
          <w:sz w:val="20"/>
          <w:szCs w:val="20"/>
          <w:lang w:val="en-US"/>
        </w:rPr>
        <w:t>(National Human Rights Commission, 2015) 29-30.</w:t>
      </w:r>
    </w:p>
  </w:footnote>
  <w:footnote w:id="61">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Mary Robertson, </w:t>
      </w:r>
      <w:r w:rsidRPr="00A34125">
        <w:rPr>
          <w:rFonts w:ascii="Times New Roman" w:hAnsi="Times New Roman"/>
          <w:i/>
          <w:sz w:val="20"/>
          <w:szCs w:val="20"/>
        </w:rPr>
        <w:t xml:space="preserve">A Voice for Human Rights </w:t>
      </w:r>
      <w:r w:rsidRPr="00A34125">
        <w:rPr>
          <w:rFonts w:ascii="Times New Roman" w:hAnsi="Times New Roman"/>
          <w:sz w:val="20"/>
          <w:szCs w:val="20"/>
        </w:rPr>
        <w:t>(University of Pennsylvania Press, 2010) 255</w:t>
      </w:r>
    </w:p>
  </w:footnote>
  <w:footnote w:id="62">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Nigeria National Human Rights Commission, </w:t>
      </w:r>
      <w:r w:rsidRPr="00A34125">
        <w:rPr>
          <w:rFonts w:ascii="Times New Roman" w:hAnsi="Times New Roman"/>
          <w:i/>
          <w:sz w:val="20"/>
          <w:szCs w:val="20"/>
        </w:rPr>
        <w:t xml:space="preserve">The </w:t>
      </w:r>
      <w:r w:rsidRPr="00A34125">
        <w:rPr>
          <w:rFonts w:ascii="Times New Roman" w:hAnsi="Times New Roman"/>
          <w:i/>
          <w:sz w:val="20"/>
          <w:szCs w:val="20"/>
          <w:lang w:val="en-US"/>
        </w:rPr>
        <w:t>State of Human Rights in Nigeria: 2009-2010</w:t>
      </w:r>
      <w:r w:rsidRPr="00A34125">
        <w:rPr>
          <w:rFonts w:ascii="Times New Roman" w:hAnsi="Times New Roman"/>
          <w:sz w:val="20"/>
          <w:szCs w:val="20"/>
          <w:lang w:val="en-US"/>
        </w:rPr>
        <w:t xml:space="preserve"> (National Human Rights Commission, 2010) 60.</w:t>
      </w:r>
    </w:p>
  </w:footnote>
  <w:footnote w:id="63">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Ibid.</w:t>
      </w:r>
    </w:p>
  </w:footnote>
  <w:footnote w:id="64">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 xml:space="preserve">The audit report revealed that out of 50,645 persons detained, about 70% were awaiting trial. See </w:t>
      </w:r>
      <w:proofErr w:type="gramStart"/>
      <w:r w:rsidRPr="00A34125">
        <w:rPr>
          <w:rFonts w:ascii="Times New Roman" w:hAnsi="Times New Roman"/>
          <w:sz w:val="20"/>
          <w:szCs w:val="20"/>
          <w:lang w:val="en-US"/>
        </w:rPr>
        <w:t>The</w:t>
      </w:r>
      <w:proofErr w:type="gramEnd"/>
      <w:r w:rsidRPr="00A34125">
        <w:rPr>
          <w:rFonts w:ascii="Times New Roman" w:hAnsi="Times New Roman"/>
          <w:sz w:val="20"/>
          <w:szCs w:val="20"/>
          <w:lang w:val="en-US"/>
        </w:rPr>
        <w:t xml:space="preserve"> National Human Rights Commission Nigeria, </w:t>
      </w:r>
      <w:r w:rsidRPr="00A34125">
        <w:rPr>
          <w:rFonts w:ascii="Times New Roman" w:hAnsi="Times New Roman"/>
          <w:i/>
          <w:sz w:val="20"/>
          <w:szCs w:val="20"/>
          <w:lang w:val="en-US"/>
        </w:rPr>
        <w:t>National Prison Audit 2012</w:t>
      </w:r>
      <w:r w:rsidRPr="00A34125">
        <w:rPr>
          <w:rFonts w:ascii="Times New Roman" w:hAnsi="Times New Roman"/>
          <w:sz w:val="20"/>
          <w:szCs w:val="20"/>
          <w:lang w:val="en-US"/>
        </w:rPr>
        <w:t xml:space="preserve"> (The National Human Rights Commission, 2014) 3-11.</w:t>
      </w:r>
    </w:p>
  </w:footnote>
  <w:footnote w:id="65">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 xml:space="preserve">The audit report revealed that out of 50,645 persons detained, about 70% were awaiting trial. See </w:t>
      </w:r>
      <w:proofErr w:type="gramStart"/>
      <w:r w:rsidRPr="00A34125">
        <w:rPr>
          <w:rFonts w:ascii="Times New Roman" w:hAnsi="Times New Roman"/>
          <w:sz w:val="20"/>
          <w:szCs w:val="20"/>
          <w:lang w:val="en-US"/>
        </w:rPr>
        <w:t>The</w:t>
      </w:r>
      <w:proofErr w:type="gramEnd"/>
      <w:r w:rsidRPr="00A34125">
        <w:rPr>
          <w:rFonts w:ascii="Times New Roman" w:hAnsi="Times New Roman"/>
          <w:sz w:val="20"/>
          <w:szCs w:val="20"/>
          <w:lang w:val="en-US"/>
        </w:rPr>
        <w:t xml:space="preserve"> National Human Rights Commission Nigeria, </w:t>
      </w:r>
      <w:r w:rsidRPr="00A34125">
        <w:rPr>
          <w:rFonts w:ascii="Times New Roman" w:hAnsi="Times New Roman"/>
          <w:i/>
          <w:sz w:val="20"/>
          <w:szCs w:val="20"/>
          <w:lang w:val="en-US"/>
        </w:rPr>
        <w:t>National Prison Audit 2012</w:t>
      </w:r>
      <w:r w:rsidRPr="00A34125">
        <w:rPr>
          <w:rFonts w:ascii="Times New Roman" w:hAnsi="Times New Roman"/>
          <w:sz w:val="20"/>
          <w:szCs w:val="20"/>
          <w:lang w:val="en-US"/>
        </w:rPr>
        <w:t xml:space="preserve"> (The National Human Rights Commission, 2014) 5 and 17.</w:t>
      </w:r>
    </w:p>
  </w:footnote>
  <w:footnote w:id="6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 xml:space="preserve">The National Human Rights Commission Nigeria, </w:t>
      </w:r>
      <w:r w:rsidRPr="00A34125">
        <w:rPr>
          <w:rFonts w:ascii="Times New Roman" w:hAnsi="Times New Roman"/>
          <w:i/>
          <w:sz w:val="20"/>
          <w:szCs w:val="20"/>
          <w:lang w:val="en-US"/>
        </w:rPr>
        <w:t xml:space="preserve">Annual Report 2014 </w:t>
      </w:r>
      <w:r w:rsidRPr="00A34125">
        <w:rPr>
          <w:rFonts w:ascii="Times New Roman" w:hAnsi="Times New Roman"/>
          <w:sz w:val="20"/>
          <w:szCs w:val="20"/>
          <w:lang w:val="en-US"/>
        </w:rPr>
        <w:t>(National Human Rights Commission, 2014) 87-8.</w:t>
      </w:r>
    </w:p>
  </w:footnote>
  <w:footnote w:id="67">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After 2012, there was decline in the number of cases reported. See ibid, 52.</w:t>
      </w:r>
    </w:p>
  </w:footnote>
  <w:footnote w:id="68">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Pr>
          <w:rFonts w:ascii="Times New Roman" w:hAnsi="Times New Roman"/>
          <w:i/>
          <w:sz w:val="20"/>
          <w:szCs w:val="20"/>
        </w:rPr>
        <w:t xml:space="preserve">HRC UPR I Report – Nigeria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_Ref503703091 </w:instrText>
      </w:r>
      <w:r>
        <w:rPr>
          <w:rFonts w:ascii="Times New Roman" w:hAnsi="Times New Roman"/>
          <w:sz w:val="20"/>
          <w:szCs w:val="20"/>
        </w:rPr>
        <w:fldChar w:fldCharType="separate"/>
      </w:r>
      <w:r>
        <w:rPr>
          <w:rFonts w:ascii="Times New Roman" w:hAnsi="Times New Roman"/>
          <w:sz w:val="20"/>
          <w:szCs w:val="20"/>
        </w:rPr>
        <w:t>27</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para 41.</w:t>
      </w:r>
    </w:p>
  </w:footnote>
  <w:footnote w:id="69">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para 25.</w:t>
      </w:r>
    </w:p>
  </w:footnote>
  <w:footnote w:id="70">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para 64.</w:t>
      </w:r>
    </w:p>
  </w:footnote>
  <w:footnote w:id="7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w:t>
      </w:r>
      <w:proofErr w:type="gramStart"/>
      <w:r w:rsidRPr="00A34125">
        <w:rPr>
          <w:rFonts w:ascii="Times New Roman" w:hAnsi="Times New Roman"/>
          <w:sz w:val="20"/>
          <w:szCs w:val="20"/>
        </w:rPr>
        <w:t>The</w:t>
      </w:r>
      <w:proofErr w:type="gramEnd"/>
      <w:r w:rsidRPr="00A34125">
        <w:rPr>
          <w:rFonts w:ascii="Times New Roman" w:hAnsi="Times New Roman"/>
          <w:sz w:val="20"/>
          <w:szCs w:val="20"/>
        </w:rPr>
        <w:t xml:space="preserve"> National Human Rights Commission of Nigeria,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_Ref484527548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51</w:t>
      </w:r>
      <w:r w:rsidRPr="00A34125">
        <w:rPr>
          <w:rFonts w:ascii="Times New Roman" w:hAnsi="Times New Roman"/>
          <w:sz w:val="20"/>
          <w:szCs w:val="20"/>
        </w:rPr>
        <w:fldChar w:fldCharType="end"/>
      </w:r>
      <w:r w:rsidRPr="00A34125">
        <w:rPr>
          <w:rFonts w:ascii="Times New Roman" w:hAnsi="Times New Roman"/>
          <w:sz w:val="20"/>
          <w:szCs w:val="20"/>
        </w:rPr>
        <w:t>.</w:t>
      </w:r>
    </w:p>
  </w:footnote>
  <w:footnote w:id="72">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w:t>
      </w:r>
    </w:p>
  </w:footnote>
  <w:footnote w:id="7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 xml:space="preserve">Administration of Criminal Justice Act, 2015 </w:t>
      </w:r>
      <w:r w:rsidRPr="00A34125">
        <w:rPr>
          <w:rFonts w:ascii="Times New Roman" w:hAnsi="Times New Roman"/>
          <w:sz w:val="20"/>
          <w:szCs w:val="20"/>
        </w:rPr>
        <w:t>(Nigeria).</w:t>
      </w:r>
    </w:p>
  </w:footnote>
  <w:footnote w:id="74">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 xml:space="preserve"> This continues to prevail despite section 46 (1) of the 1999 Constitution of Nigeria which protects women against violence and discrimination. See </w:t>
      </w:r>
      <w:proofErr w:type="gramStart"/>
      <w:r w:rsidRPr="00A34125">
        <w:rPr>
          <w:rFonts w:ascii="Times New Roman" w:hAnsi="Times New Roman"/>
          <w:sz w:val="20"/>
          <w:szCs w:val="20"/>
          <w:lang w:val="en-US"/>
        </w:rPr>
        <w:t>The</w:t>
      </w:r>
      <w:proofErr w:type="gramEnd"/>
      <w:r w:rsidRPr="00A34125">
        <w:rPr>
          <w:rFonts w:ascii="Times New Roman" w:hAnsi="Times New Roman"/>
          <w:sz w:val="20"/>
          <w:szCs w:val="20"/>
          <w:lang w:val="en-US"/>
        </w:rPr>
        <w:t xml:space="preserve"> National Human Rights Commission Nigeria, </w:t>
      </w:r>
      <w:r w:rsidRPr="00A34125">
        <w:rPr>
          <w:rFonts w:ascii="Times New Roman" w:hAnsi="Times New Roman"/>
          <w:i/>
          <w:sz w:val="20"/>
          <w:szCs w:val="20"/>
          <w:lang w:val="en-US"/>
        </w:rPr>
        <w:t>Annual Report 2014</w:t>
      </w:r>
      <w:r w:rsidRPr="00A34125">
        <w:rPr>
          <w:rFonts w:ascii="Times New Roman" w:hAnsi="Times New Roman"/>
          <w:sz w:val="20"/>
          <w:szCs w:val="20"/>
          <w:lang w:val="en-US"/>
        </w:rPr>
        <w:t>,</w:t>
      </w:r>
      <w:r w:rsidRPr="00A34125">
        <w:rPr>
          <w:rFonts w:ascii="Times New Roman" w:hAnsi="Times New Roman"/>
          <w:i/>
          <w:sz w:val="20"/>
          <w:szCs w:val="20"/>
          <w:lang w:val="en-US"/>
        </w:rPr>
        <w:t xml:space="preserve"> </w:t>
      </w:r>
      <w:r w:rsidRPr="00A34125">
        <w:rPr>
          <w:rFonts w:ascii="Times New Roman" w:hAnsi="Times New Roman"/>
          <w:sz w:val="20"/>
          <w:szCs w:val="20"/>
          <w:lang w:val="en-US"/>
        </w:rPr>
        <w:t xml:space="preserve">above n </w:t>
      </w:r>
      <w:r w:rsidRPr="00A34125">
        <w:rPr>
          <w:rFonts w:ascii="Times New Roman" w:hAnsi="Times New Roman"/>
          <w:sz w:val="20"/>
          <w:szCs w:val="20"/>
          <w:lang w:val="en-US"/>
        </w:rPr>
        <w:fldChar w:fldCharType="begin"/>
      </w:r>
      <w:r w:rsidRPr="00A34125">
        <w:rPr>
          <w:rFonts w:ascii="Times New Roman" w:hAnsi="Times New Roman"/>
          <w:sz w:val="20"/>
          <w:szCs w:val="20"/>
          <w:lang w:val="en-US"/>
        </w:rPr>
        <w:instrText xml:space="preserve"> NOTEREF _Ref484528105 \h  \* MERGEFORMAT </w:instrText>
      </w:r>
      <w:r w:rsidRPr="00A34125">
        <w:rPr>
          <w:rFonts w:ascii="Times New Roman" w:hAnsi="Times New Roman"/>
          <w:sz w:val="20"/>
          <w:szCs w:val="20"/>
          <w:lang w:val="en-US"/>
        </w:rPr>
      </w:r>
      <w:r w:rsidRPr="00A34125">
        <w:rPr>
          <w:rFonts w:ascii="Times New Roman" w:hAnsi="Times New Roman"/>
          <w:sz w:val="20"/>
          <w:szCs w:val="20"/>
          <w:lang w:val="en-US"/>
        </w:rPr>
        <w:fldChar w:fldCharType="separate"/>
      </w:r>
      <w:r>
        <w:rPr>
          <w:rFonts w:ascii="Times New Roman" w:hAnsi="Times New Roman"/>
          <w:sz w:val="20"/>
          <w:szCs w:val="20"/>
          <w:lang w:val="en-US"/>
        </w:rPr>
        <w:t>66</w:t>
      </w:r>
      <w:r w:rsidRPr="00A34125">
        <w:rPr>
          <w:rFonts w:ascii="Times New Roman" w:hAnsi="Times New Roman"/>
          <w:sz w:val="20"/>
          <w:szCs w:val="20"/>
          <w:lang w:val="en-US"/>
        </w:rPr>
        <w:fldChar w:fldCharType="end"/>
      </w:r>
      <w:r w:rsidRPr="00A34125">
        <w:rPr>
          <w:rFonts w:ascii="Times New Roman" w:hAnsi="Times New Roman"/>
          <w:sz w:val="20"/>
          <w:szCs w:val="20"/>
          <w:lang w:val="en-US"/>
        </w:rPr>
        <w:t>, 52.</w:t>
      </w:r>
    </w:p>
  </w:footnote>
  <w:footnote w:id="75">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Ibid 52.</w:t>
      </w:r>
    </w:p>
  </w:footnote>
  <w:footnote w:id="76">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NPC and UNICEF Nigeria, ‘Children's and Women's right in Nigeria: A wake up call - Situation Assessment and Analysis of Harmful Traditional Practice (FGM)’ (Abuja 2001) 195-200.</w:t>
      </w:r>
    </w:p>
  </w:footnote>
  <w:footnote w:id="77">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Pr>
          <w:rFonts w:ascii="Times New Roman" w:hAnsi="Times New Roman"/>
          <w:i/>
          <w:sz w:val="20"/>
          <w:szCs w:val="20"/>
        </w:rPr>
        <w:t xml:space="preserve">HRC UPR I Report – Nigeria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_Ref503703091 </w:instrText>
      </w:r>
      <w:r>
        <w:rPr>
          <w:rFonts w:ascii="Times New Roman" w:hAnsi="Times New Roman"/>
          <w:sz w:val="20"/>
          <w:szCs w:val="20"/>
        </w:rPr>
        <w:fldChar w:fldCharType="separate"/>
      </w:r>
      <w:r>
        <w:rPr>
          <w:rFonts w:ascii="Times New Roman" w:hAnsi="Times New Roman"/>
          <w:sz w:val="20"/>
          <w:szCs w:val="20"/>
        </w:rPr>
        <w:t>27</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paras 18, 62, 71, 77 and 83.</w:t>
      </w:r>
    </w:p>
  </w:footnote>
  <w:footnote w:id="78">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w:t>
      </w:r>
      <w:proofErr w:type="gramStart"/>
      <w:r w:rsidRPr="00A34125">
        <w:rPr>
          <w:rFonts w:ascii="Times New Roman" w:hAnsi="Times New Roman"/>
          <w:sz w:val="20"/>
          <w:szCs w:val="20"/>
        </w:rPr>
        <w:t>The</w:t>
      </w:r>
      <w:proofErr w:type="gramEnd"/>
      <w:r w:rsidRPr="00A34125">
        <w:rPr>
          <w:rFonts w:ascii="Times New Roman" w:hAnsi="Times New Roman"/>
          <w:sz w:val="20"/>
          <w:szCs w:val="20"/>
        </w:rPr>
        <w:t xml:space="preserve"> National Human Rights Commission of Nigeria,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_Ref484527548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51</w:t>
      </w:r>
      <w:r w:rsidRPr="00A34125">
        <w:rPr>
          <w:rFonts w:ascii="Times New Roman" w:hAnsi="Times New Roman"/>
          <w:sz w:val="20"/>
          <w:szCs w:val="20"/>
        </w:rPr>
        <w:fldChar w:fldCharType="end"/>
      </w:r>
      <w:r w:rsidRPr="00A34125">
        <w:rPr>
          <w:rFonts w:ascii="Times New Roman" w:hAnsi="Times New Roman"/>
          <w:sz w:val="20"/>
          <w:szCs w:val="20"/>
        </w:rPr>
        <w:t>, para 18.</w:t>
      </w:r>
    </w:p>
  </w:footnote>
  <w:footnote w:id="79">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Nigeria: Violence Against Persons (Prohibition) Act</w:t>
      </w:r>
      <w:r w:rsidRPr="00A34125">
        <w:rPr>
          <w:rFonts w:ascii="Times New Roman" w:hAnsi="Times New Roman"/>
          <w:sz w:val="20"/>
          <w:szCs w:val="20"/>
        </w:rPr>
        <w:t xml:space="preserve">, </w:t>
      </w:r>
      <w:r w:rsidRPr="00A34125">
        <w:rPr>
          <w:rFonts w:ascii="Times New Roman" w:hAnsi="Times New Roman"/>
          <w:i/>
          <w:sz w:val="20"/>
          <w:szCs w:val="20"/>
        </w:rPr>
        <w:t>2015 (VAPP)</w:t>
      </w:r>
      <w:r w:rsidRPr="00A34125">
        <w:rPr>
          <w:rFonts w:ascii="Times New Roman" w:hAnsi="Times New Roman"/>
          <w:sz w:val="20"/>
          <w:szCs w:val="20"/>
        </w:rPr>
        <w:t xml:space="preserve"> [Nigeria] (25 May 2015).</w:t>
      </w:r>
    </w:p>
  </w:footnote>
  <w:footnote w:id="80">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 xml:space="preserve">Federal Ministry of Health Abuja, </w:t>
      </w:r>
      <w:r w:rsidRPr="00A34125">
        <w:rPr>
          <w:rFonts w:ascii="Times New Roman" w:hAnsi="Times New Roman"/>
          <w:i/>
          <w:sz w:val="20"/>
          <w:szCs w:val="20"/>
          <w:lang w:val="en-US"/>
        </w:rPr>
        <w:t>National Policy and Plan of Action for the Elimination of Federal Genital mutilation in Nigeria</w:t>
      </w:r>
      <w:r w:rsidRPr="00A34125">
        <w:rPr>
          <w:rFonts w:ascii="Times New Roman" w:hAnsi="Times New Roman"/>
          <w:sz w:val="20"/>
          <w:szCs w:val="20"/>
          <w:lang w:val="en-US"/>
        </w:rPr>
        <w:t xml:space="preserve"> 2013-2017 (Federal Ministry of Health Abuja, 2013).</w:t>
      </w:r>
    </w:p>
  </w:footnote>
  <w:footnote w:id="8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Immigration and Refugee Board of Canada, ‘Nigeria: Prevalence of female genital mutilation (FGM) among the Urhobo, including the consequences for refusing to undergo this procedure, particularly pregnant women; state protection available (2014-March 2015)’ (2015) </w:t>
      </w:r>
      <w:hyperlink r:id="rId12" w:history="1">
        <w:r w:rsidRPr="00A34125">
          <w:rPr>
            <w:rStyle w:val="Hyperlink"/>
            <w:rFonts w:ascii="Times New Roman" w:hAnsi="Times New Roman"/>
            <w:sz w:val="20"/>
            <w:szCs w:val="20"/>
          </w:rPr>
          <w:t>http://www.refworld.org/docid/56498d834.html</w:t>
        </w:r>
      </w:hyperlink>
      <w:r w:rsidRPr="00A34125">
        <w:rPr>
          <w:rFonts w:ascii="Times New Roman" w:hAnsi="Times New Roman"/>
          <w:sz w:val="20"/>
          <w:szCs w:val="20"/>
        </w:rPr>
        <w:t>.</w:t>
      </w:r>
    </w:p>
  </w:footnote>
  <w:footnote w:id="82">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UN Human Rights Council, </w:t>
      </w:r>
      <w:r w:rsidRPr="00A34125">
        <w:rPr>
          <w:rFonts w:ascii="Times New Roman" w:hAnsi="Times New Roman"/>
          <w:i/>
          <w:sz w:val="20"/>
          <w:szCs w:val="20"/>
        </w:rPr>
        <w:t>Report of the Special Rapporteur on Torture and Other Cruel, Inhuman or Degrading Treatment or Punishment, Manfred Nowak: addendum: mission to Nigeria (4 to 10 March 2007)</w:t>
      </w:r>
      <w:r w:rsidRPr="00A34125">
        <w:rPr>
          <w:rFonts w:ascii="Times New Roman" w:hAnsi="Times New Roman"/>
          <w:sz w:val="20"/>
          <w:szCs w:val="20"/>
        </w:rPr>
        <w:t>, UN Doc A/HRC/7/3/Add.4 (22 November 2007) para 40.</w:t>
      </w:r>
    </w:p>
  </w:footnote>
  <w:footnote w:id="83">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Constitution of the Federal Republic of Nigeria (1999),</w:t>
      </w:r>
      <w:r w:rsidRPr="00A34125">
        <w:rPr>
          <w:rFonts w:ascii="Times New Roman" w:hAnsi="Times New Roman"/>
          <w:sz w:val="20"/>
          <w:szCs w:val="20"/>
        </w:rPr>
        <w:t xml:space="preserve"> s 34 (1).</w:t>
      </w:r>
    </w:p>
  </w:footnote>
  <w:footnote w:id="84">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Convention Against Torture and Other Cruel, Inhuman or Degrading Treatment or Punishment</w:t>
      </w:r>
      <w:r w:rsidRPr="00A34125">
        <w:rPr>
          <w:rFonts w:ascii="Times New Roman" w:hAnsi="Times New Roman"/>
          <w:sz w:val="20"/>
          <w:szCs w:val="20"/>
        </w:rPr>
        <w:t>, opened for signature 10 December 1984, UNTS 1465 (entered into force 26 June 1987)</w:t>
      </w:r>
      <w:r w:rsidRPr="00A34125">
        <w:rPr>
          <w:rFonts w:ascii="Times New Roman" w:hAnsi="Times New Roman"/>
          <w:sz w:val="20"/>
          <w:szCs w:val="20"/>
          <w:lang w:val="en-US"/>
        </w:rPr>
        <w:t>; Nigeria ratified the Optional Protocol of the Convention against Torture (OPCAT) in 2009. See also Article 5 of the African Charter on Human and Peoples’ Rights.</w:t>
      </w:r>
    </w:p>
  </w:footnote>
  <w:footnote w:id="85">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 xml:space="preserve">The National Human Rights Commission Nigeria, </w:t>
      </w:r>
      <w:r w:rsidRPr="00A34125">
        <w:rPr>
          <w:rFonts w:ascii="Times New Roman" w:hAnsi="Times New Roman"/>
          <w:i/>
          <w:sz w:val="20"/>
          <w:szCs w:val="20"/>
          <w:lang w:val="en-US"/>
        </w:rPr>
        <w:t xml:space="preserve">Annual Report 2013 </w:t>
      </w:r>
      <w:r w:rsidRPr="00A34125">
        <w:rPr>
          <w:rFonts w:ascii="Times New Roman" w:hAnsi="Times New Roman"/>
          <w:sz w:val="20"/>
          <w:szCs w:val="20"/>
          <w:lang w:val="en-US"/>
        </w:rPr>
        <w:t>(National Human Rights Commission, 2013).</w:t>
      </w:r>
    </w:p>
  </w:footnote>
  <w:footnote w:id="86">
    <w:p w:rsidR="00E147BA" w:rsidRPr="00A34125" w:rsidRDefault="00E147BA" w:rsidP="00A34125">
      <w:pPr>
        <w:pStyle w:val="NoSpacing"/>
        <w:jc w:val="both"/>
        <w:rPr>
          <w:rFonts w:ascii="Times New Roman" w:hAnsi="Times New Roman"/>
          <w:sz w:val="20"/>
          <w:szCs w:val="20"/>
          <w:lang w:val="en-US"/>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Pr>
          <w:rFonts w:ascii="Times New Roman" w:hAnsi="Times New Roman"/>
          <w:i/>
          <w:sz w:val="20"/>
          <w:szCs w:val="20"/>
        </w:rPr>
        <w:t xml:space="preserve">HRC UPR I Report – Nigeria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_Ref503703091 </w:instrText>
      </w:r>
      <w:r>
        <w:rPr>
          <w:rFonts w:ascii="Times New Roman" w:hAnsi="Times New Roman"/>
          <w:sz w:val="20"/>
          <w:szCs w:val="20"/>
        </w:rPr>
        <w:fldChar w:fldCharType="separate"/>
      </w:r>
      <w:r>
        <w:rPr>
          <w:rFonts w:ascii="Times New Roman" w:hAnsi="Times New Roman"/>
          <w:sz w:val="20"/>
          <w:szCs w:val="20"/>
        </w:rPr>
        <w:t>27</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para 103.1.</w:t>
      </w:r>
    </w:p>
  </w:footnote>
  <w:footnote w:id="8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Federal Ministry of Justice (Nigeria), ‘Mandate of the National Committee on Torture’ (2010) &lt; </w:t>
      </w:r>
      <w:hyperlink r:id="rId13" w:history="1">
        <w:r w:rsidRPr="00A34125">
          <w:rPr>
            <w:rStyle w:val="Hyperlink"/>
            <w:rFonts w:ascii="Times New Roman" w:hAnsi="Times New Roman"/>
            <w:sz w:val="20"/>
            <w:szCs w:val="20"/>
          </w:rPr>
          <w:t>http://www.apt.ch/content/files/npm/africa/Nigeria_NPM_ToR.pdf</w:t>
        </w:r>
      </w:hyperlink>
      <w:r w:rsidRPr="00A34125">
        <w:rPr>
          <w:rFonts w:ascii="Times New Roman" w:hAnsi="Times New Roman"/>
          <w:sz w:val="20"/>
          <w:szCs w:val="20"/>
        </w:rPr>
        <w:t>&gt;;</w:t>
      </w:r>
    </w:p>
  </w:footnote>
  <w:footnote w:id="8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National Committee against Torture, ‘Fourth Quarterly Report of the National Committee against Torture to the United Nations Sub Committee against Torture in Geneva, Switzerland (2015) &lt; </w:t>
      </w:r>
      <w:hyperlink r:id="rId14" w:history="1">
        <w:r w:rsidRPr="00A34125">
          <w:rPr>
            <w:rStyle w:val="Hyperlink"/>
            <w:rFonts w:ascii="Times New Roman" w:hAnsi="Times New Roman"/>
            <w:sz w:val="20"/>
            <w:szCs w:val="20"/>
          </w:rPr>
          <w:t>http://www.ohchr.org/Documents/HRBodies/OPCAT/NPM/Nigeria2014.pdf</w:t>
        </w:r>
      </w:hyperlink>
      <w:r w:rsidRPr="00A34125">
        <w:rPr>
          <w:rFonts w:ascii="Times New Roman" w:hAnsi="Times New Roman"/>
          <w:sz w:val="20"/>
          <w:szCs w:val="20"/>
        </w:rPr>
        <w:t xml:space="preserve">&gt;. </w:t>
      </w:r>
    </w:p>
  </w:footnote>
  <w:footnote w:id="8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 xml:space="preserve">The National Human Rights Commission Nigeria, </w:t>
      </w:r>
      <w:r w:rsidRPr="00A34125">
        <w:rPr>
          <w:rFonts w:ascii="Times New Roman" w:hAnsi="Times New Roman"/>
          <w:i/>
          <w:sz w:val="20"/>
          <w:szCs w:val="20"/>
          <w:lang w:val="en-US"/>
        </w:rPr>
        <w:t>Annual Report 2014</w:t>
      </w:r>
      <w:r w:rsidRPr="00A34125">
        <w:rPr>
          <w:rFonts w:ascii="Times New Roman" w:hAnsi="Times New Roman"/>
          <w:sz w:val="20"/>
          <w:szCs w:val="20"/>
          <w:lang w:val="en-US"/>
        </w:rPr>
        <w:t xml:space="preserve">, above n </w:t>
      </w:r>
      <w:r w:rsidRPr="00A34125">
        <w:rPr>
          <w:rFonts w:ascii="Times New Roman" w:hAnsi="Times New Roman"/>
          <w:sz w:val="20"/>
          <w:szCs w:val="20"/>
          <w:lang w:val="en-US"/>
        </w:rPr>
        <w:fldChar w:fldCharType="begin"/>
      </w:r>
      <w:r w:rsidRPr="00A34125">
        <w:rPr>
          <w:rFonts w:ascii="Times New Roman" w:hAnsi="Times New Roman"/>
          <w:sz w:val="20"/>
          <w:szCs w:val="20"/>
          <w:lang w:val="en-US"/>
        </w:rPr>
        <w:instrText xml:space="preserve"> NOTEREF _Ref484528105 \h  \* MERGEFORMAT </w:instrText>
      </w:r>
      <w:r w:rsidRPr="00A34125">
        <w:rPr>
          <w:rFonts w:ascii="Times New Roman" w:hAnsi="Times New Roman"/>
          <w:sz w:val="20"/>
          <w:szCs w:val="20"/>
          <w:lang w:val="en-US"/>
        </w:rPr>
      </w:r>
      <w:r w:rsidRPr="00A34125">
        <w:rPr>
          <w:rFonts w:ascii="Times New Roman" w:hAnsi="Times New Roman"/>
          <w:sz w:val="20"/>
          <w:szCs w:val="20"/>
          <w:lang w:val="en-US"/>
        </w:rPr>
        <w:fldChar w:fldCharType="separate"/>
      </w:r>
      <w:r>
        <w:rPr>
          <w:rFonts w:ascii="Times New Roman" w:hAnsi="Times New Roman"/>
          <w:sz w:val="20"/>
          <w:szCs w:val="20"/>
          <w:lang w:val="en-US"/>
        </w:rPr>
        <w:t>66</w:t>
      </w:r>
      <w:r w:rsidRPr="00A34125">
        <w:rPr>
          <w:rFonts w:ascii="Times New Roman" w:hAnsi="Times New Roman"/>
          <w:sz w:val="20"/>
          <w:szCs w:val="20"/>
          <w:lang w:val="en-US"/>
        </w:rPr>
        <w:fldChar w:fldCharType="end"/>
      </w:r>
      <w:r w:rsidRPr="00A34125">
        <w:rPr>
          <w:rFonts w:ascii="Times New Roman" w:hAnsi="Times New Roman"/>
          <w:sz w:val="20"/>
          <w:szCs w:val="20"/>
          <w:lang w:val="en-US"/>
        </w:rPr>
        <w:t>, 63-4.</w:t>
      </w:r>
    </w:p>
  </w:footnote>
  <w:footnote w:id="9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w:t>
      </w:r>
      <w:proofErr w:type="gramStart"/>
      <w:r w:rsidRPr="00A34125">
        <w:rPr>
          <w:rFonts w:ascii="Times New Roman" w:hAnsi="Times New Roman"/>
          <w:sz w:val="20"/>
          <w:szCs w:val="20"/>
        </w:rPr>
        <w:t>The</w:t>
      </w:r>
      <w:proofErr w:type="gramEnd"/>
      <w:r w:rsidRPr="00A34125">
        <w:rPr>
          <w:rFonts w:ascii="Times New Roman" w:hAnsi="Times New Roman"/>
          <w:sz w:val="20"/>
          <w:szCs w:val="20"/>
        </w:rPr>
        <w:t xml:space="preserve"> National Human Rights Commission of Nigeria,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_Ref484527548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51</w:t>
      </w:r>
      <w:r w:rsidRPr="00A34125">
        <w:rPr>
          <w:rFonts w:ascii="Times New Roman" w:hAnsi="Times New Roman"/>
          <w:sz w:val="20"/>
          <w:szCs w:val="20"/>
        </w:rPr>
        <w:fldChar w:fldCharType="end"/>
      </w:r>
      <w:r w:rsidRPr="00A34125">
        <w:rPr>
          <w:rFonts w:ascii="Times New Roman" w:hAnsi="Times New Roman"/>
          <w:sz w:val="20"/>
          <w:szCs w:val="20"/>
        </w:rPr>
        <w:t>, para 22.</w:t>
      </w:r>
    </w:p>
  </w:footnote>
  <w:footnote w:id="9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Federal Ministry of Justice (Nigeria), ‘Mandate of the National Committee on Torture’ (2010) &lt; </w:t>
      </w:r>
      <w:hyperlink r:id="rId15" w:history="1">
        <w:r w:rsidRPr="00A34125">
          <w:rPr>
            <w:rStyle w:val="Hyperlink"/>
            <w:rFonts w:ascii="Times New Roman" w:hAnsi="Times New Roman"/>
            <w:sz w:val="20"/>
            <w:szCs w:val="20"/>
          </w:rPr>
          <w:t>http://www.apt.ch/content/files/npm/africa/Nigeria_NPM_ToR.pdf</w:t>
        </w:r>
      </w:hyperlink>
      <w:r w:rsidRPr="00A34125">
        <w:rPr>
          <w:rFonts w:ascii="Times New Roman" w:hAnsi="Times New Roman"/>
          <w:sz w:val="20"/>
          <w:szCs w:val="20"/>
        </w:rPr>
        <w:t>&gt;;</w:t>
      </w:r>
    </w:p>
  </w:footnote>
  <w:footnote w:id="9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sz w:val="20"/>
          <w:szCs w:val="20"/>
          <w:lang w:val="en-US"/>
        </w:rPr>
        <w:t xml:space="preserve">The National Human Rights Commission Nigeria, </w:t>
      </w:r>
      <w:r w:rsidRPr="00A34125">
        <w:rPr>
          <w:rFonts w:ascii="Times New Roman" w:hAnsi="Times New Roman"/>
          <w:i/>
          <w:sz w:val="20"/>
          <w:szCs w:val="20"/>
          <w:lang w:val="en-US"/>
        </w:rPr>
        <w:t>Annual Report 2014</w:t>
      </w:r>
      <w:r w:rsidRPr="00A34125">
        <w:rPr>
          <w:rFonts w:ascii="Times New Roman" w:hAnsi="Times New Roman"/>
          <w:sz w:val="20"/>
          <w:szCs w:val="20"/>
          <w:lang w:val="en-US"/>
        </w:rPr>
        <w:t xml:space="preserve">, above n </w:t>
      </w:r>
      <w:r w:rsidRPr="00A34125">
        <w:rPr>
          <w:rFonts w:ascii="Times New Roman" w:hAnsi="Times New Roman"/>
          <w:sz w:val="20"/>
          <w:szCs w:val="20"/>
          <w:lang w:val="en-US"/>
        </w:rPr>
        <w:fldChar w:fldCharType="begin"/>
      </w:r>
      <w:r w:rsidRPr="00A34125">
        <w:rPr>
          <w:rFonts w:ascii="Times New Roman" w:hAnsi="Times New Roman"/>
          <w:sz w:val="20"/>
          <w:szCs w:val="20"/>
          <w:lang w:val="en-US"/>
        </w:rPr>
        <w:instrText xml:space="preserve"> NOTEREF _Ref484528105 \h  \* MERGEFORMAT </w:instrText>
      </w:r>
      <w:r w:rsidRPr="00A34125">
        <w:rPr>
          <w:rFonts w:ascii="Times New Roman" w:hAnsi="Times New Roman"/>
          <w:sz w:val="20"/>
          <w:szCs w:val="20"/>
          <w:lang w:val="en-US"/>
        </w:rPr>
      </w:r>
      <w:r w:rsidRPr="00A34125">
        <w:rPr>
          <w:rFonts w:ascii="Times New Roman" w:hAnsi="Times New Roman"/>
          <w:sz w:val="20"/>
          <w:szCs w:val="20"/>
          <w:lang w:val="en-US"/>
        </w:rPr>
        <w:fldChar w:fldCharType="separate"/>
      </w:r>
      <w:r>
        <w:rPr>
          <w:rFonts w:ascii="Times New Roman" w:hAnsi="Times New Roman"/>
          <w:sz w:val="20"/>
          <w:szCs w:val="20"/>
          <w:lang w:val="en-US"/>
        </w:rPr>
        <w:t>66</w:t>
      </w:r>
      <w:r w:rsidRPr="00A34125">
        <w:rPr>
          <w:rFonts w:ascii="Times New Roman" w:hAnsi="Times New Roman"/>
          <w:sz w:val="20"/>
          <w:szCs w:val="20"/>
          <w:lang w:val="en-US"/>
        </w:rPr>
        <w:fldChar w:fldCharType="end"/>
      </w:r>
      <w:r w:rsidRPr="00A34125">
        <w:rPr>
          <w:rFonts w:ascii="Times New Roman" w:hAnsi="Times New Roman"/>
          <w:sz w:val="20"/>
          <w:szCs w:val="20"/>
          <w:lang w:val="en-US"/>
        </w:rPr>
        <w:t>, 52.</w:t>
      </w:r>
    </w:p>
  </w:footnote>
  <w:footnote w:id="9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Elvira Domínguez Redondo, ‘The Universal Periodic Review-Is There Life Beyond Naming and Shaming in Human Rights Implementation?’ (2012) 4 </w:t>
      </w:r>
      <w:r w:rsidRPr="00A34125">
        <w:rPr>
          <w:rFonts w:ascii="Times New Roman" w:hAnsi="Times New Roman"/>
          <w:i/>
          <w:sz w:val="20"/>
          <w:szCs w:val="20"/>
        </w:rPr>
        <w:t>New Zealand Law Review</w:t>
      </w:r>
      <w:r w:rsidRPr="00A34125">
        <w:rPr>
          <w:rFonts w:ascii="Times New Roman" w:hAnsi="Times New Roman"/>
          <w:sz w:val="20"/>
          <w:szCs w:val="20"/>
        </w:rPr>
        <w:t xml:space="preserve"> 673, 683.</w:t>
      </w:r>
    </w:p>
  </w:footnote>
  <w:footnote w:id="9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Ryan Goodman and Derek Jinks, </w:t>
      </w:r>
      <w:r w:rsidRPr="00A34125">
        <w:rPr>
          <w:rFonts w:ascii="Times New Roman" w:hAnsi="Times New Roman"/>
          <w:i/>
          <w:sz w:val="20"/>
          <w:szCs w:val="20"/>
        </w:rPr>
        <w:t>Socializing States: Promoting Human Rights through International Law</w:t>
      </w:r>
      <w:r w:rsidRPr="00A34125">
        <w:rPr>
          <w:rFonts w:ascii="Times New Roman" w:hAnsi="Times New Roman"/>
          <w:sz w:val="20"/>
          <w:szCs w:val="20"/>
        </w:rPr>
        <w:t xml:space="preserve"> (Oxford University Press, 2013) 22.</w:t>
      </w:r>
    </w:p>
  </w:footnote>
  <w:footnote w:id="9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Pr>
          <w:rFonts w:ascii="Times New Roman" w:hAnsi="Times New Roman"/>
          <w:sz w:val="20"/>
          <w:szCs w:val="20"/>
        </w:rPr>
        <w:t xml:space="preserve"> See </w:t>
      </w:r>
      <w:r w:rsidRPr="00A34125">
        <w:rPr>
          <w:rFonts w:ascii="Times New Roman" w:hAnsi="Times New Roman"/>
          <w:sz w:val="20"/>
          <w:szCs w:val="20"/>
        </w:rPr>
        <w:t xml:space="preserve">De Frouville (note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_Ref484516234  \* MERGEFORMAT </w:instrText>
      </w:r>
      <w:r w:rsidRPr="00A34125">
        <w:rPr>
          <w:rFonts w:ascii="Times New Roman" w:hAnsi="Times New Roman"/>
          <w:sz w:val="20"/>
          <w:szCs w:val="20"/>
        </w:rPr>
        <w:fldChar w:fldCharType="separate"/>
      </w:r>
      <w:r>
        <w:rPr>
          <w:rFonts w:ascii="Times New Roman" w:hAnsi="Times New Roman"/>
          <w:sz w:val="20"/>
          <w:szCs w:val="20"/>
        </w:rPr>
        <w:t>10</w:t>
      </w:r>
      <w:r w:rsidRPr="00A34125">
        <w:rPr>
          <w:rFonts w:ascii="Times New Roman" w:hAnsi="Times New Roman"/>
          <w:sz w:val="20"/>
          <w:szCs w:val="20"/>
        </w:rPr>
        <w:fldChar w:fldCharType="end"/>
      </w:r>
      <w:r w:rsidRPr="00A34125">
        <w:rPr>
          <w:rFonts w:ascii="Times New Roman" w:hAnsi="Times New Roman"/>
          <w:sz w:val="20"/>
          <w:szCs w:val="20"/>
        </w:rPr>
        <w:t xml:space="preserve"> above) 254; Nowak, ‘It’s Time for a World Court of Human Rights’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_Ref503703433 </w:instrText>
      </w:r>
      <w:r>
        <w:rPr>
          <w:rFonts w:ascii="Times New Roman" w:hAnsi="Times New Roman"/>
          <w:sz w:val="20"/>
          <w:szCs w:val="20"/>
        </w:rPr>
        <w:fldChar w:fldCharType="separate"/>
      </w:r>
      <w:r>
        <w:rPr>
          <w:rFonts w:ascii="Times New Roman" w:hAnsi="Times New Roman"/>
          <w:sz w:val="20"/>
          <w:szCs w:val="20"/>
        </w:rPr>
        <w:t>14</w:t>
      </w:r>
      <w:r>
        <w:rPr>
          <w:rFonts w:ascii="Times New Roman" w:hAnsi="Times New Roman"/>
          <w:sz w:val="20"/>
          <w:szCs w:val="20"/>
        </w:rPr>
        <w:fldChar w:fldCharType="end"/>
      </w:r>
      <w:r>
        <w:rPr>
          <w:rFonts w:ascii="Times New Roman" w:hAnsi="Times New Roman"/>
          <w:sz w:val="20"/>
          <w:szCs w:val="20"/>
        </w:rPr>
        <w:t xml:space="preserve"> </w:t>
      </w:r>
      <w:r w:rsidRPr="00A34125">
        <w:rPr>
          <w:rFonts w:ascii="Times New Roman" w:hAnsi="Times New Roman"/>
          <w:sz w:val="20"/>
          <w:szCs w:val="20"/>
        </w:rPr>
        <w:t>above</w:t>
      </w:r>
      <w:r>
        <w:rPr>
          <w:rFonts w:ascii="Times New Roman" w:hAnsi="Times New Roman"/>
          <w:sz w:val="20"/>
          <w:szCs w:val="20"/>
        </w:rPr>
        <w:t>) 23.</w:t>
      </w:r>
    </w:p>
  </w:footnote>
  <w:footnote w:id="9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Ryan Goodman and Derek Jinks, </w:t>
      </w:r>
      <w:r w:rsidRPr="00A34125">
        <w:rPr>
          <w:rFonts w:ascii="Times New Roman" w:hAnsi="Times New Roman"/>
          <w:i/>
          <w:sz w:val="20"/>
          <w:szCs w:val="20"/>
        </w:rPr>
        <w:t>Socializing States: Promoting Human Rights through International Law</w:t>
      </w:r>
      <w:r w:rsidRPr="00A34125">
        <w:rPr>
          <w:rFonts w:ascii="Times New Roman" w:hAnsi="Times New Roman"/>
          <w:sz w:val="20"/>
          <w:szCs w:val="20"/>
        </w:rPr>
        <w:t xml:space="preserve">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_Ref503703781 </w:instrText>
      </w:r>
      <w:r>
        <w:rPr>
          <w:rFonts w:ascii="Times New Roman" w:hAnsi="Times New Roman"/>
          <w:sz w:val="20"/>
          <w:szCs w:val="20"/>
        </w:rPr>
        <w:fldChar w:fldCharType="separate"/>
      </w:r>
      <w:r>
        <w:rPr>
          <w:rFonts w:ascii="Times New Roman" w:hAnsi="Times New Roman"/>
          <w:sz w:val="20"/>
          <w:szCs w:val="20"/>
        </w:rPr>
        <w:t>94</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122.</w:t>
      </w:r>
    </w:p>
  </w:footnote>
  <w:footnote w:id="9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850684">
        <w:rPr>
          <w:rFonts w:ascii="Times New Roman" w:hAnsi="Times New Roman"/>
          <w:sz w:val="20"/>
          <w:szCs w:val="20"/>
        </w:rPr>
        <w:t>See Ryan Goodman and Derek Jinks, ‘How to Influence States: Socialization and International Human Rights Law’ (2004) 54</w:t>
      </w:r>
      <w:r w:rsidRPr="00850684">
        <w:rPr>
          <w:rFonts w:ascii="Times New Roman" w:hAnsi="Times New Roman"/>
          <w:i/>
          <w:sz w:val="20"/>
          <w:szCs w:val="20"/>
        </w:rPr>
        <w:t xml:space="preserve"> Duke Law Journal</w:t>
      </w:r>
      <w:r>
        <w:rPr>
          <w:rFonts w:ascii="Times New Roman" w:hAnsi="Times New Roman"/>
          <w:sz w:val="20"/>
          <w:szCs w:val="20"/>
        </w:rPr>
        <w:t xml:space="preserve"> 621</w:t>
      </w:r>
      <w:r w:rsidRPr="00A34125">
        <w:rPr>
          <w:rFonts w:ascii="Times New Roman" w:hAnsi="Times New Roman"/>
          <w:sz w:val="20"/>
          <w:szCs w:val="20"/>
        </w:rPr>
        <w:t>, 625.</w:t>
      </w:r>
    </w:p>
  </w:footnote>
  <w:footnote w:id="9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699.</w:t>
      </w:r>
    </w:p>
  </w:footnote>
  <w:footnote w:id="9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Ryan Goodman and Derek Jinks, ‘International Law and State Socialisation: Conceptual, Empirical and Normative Challenges’ (2005) 54 </w:t>
      </w:r>
      <w:r w:rsidRPr="00A34125">
        <w:rPr>
          <w:rFonts w:ascii="Times New Roman" w:hAnsi="Times New Roman"/>
          <w:i/>
          <w:sz w:val="20"/>
          <w:szCs w:val="20"/>
        </w:rPr>
        <w:t>Duke Law Journal</w:t>
      </w:r>
      <w:r w:rsidRPr="00A34125">
        <w:rPr>
          <w:rFonts w:ascii="Times New Roman" w:hAnsi="Times New Roman"/>
          <w:sz w:val="20"/>
          <w:szCs w:val="20"/>
        </w:rPr>
        <w:t xml:space="preserve"> 983, 991.</w:t>
      </w:r>
    </w:p>
  </w:footnote>
  <w:footnote w:id="10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Goodman and Jinks, ‘How to Influence States: Socialisation and International Human Rights Law’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_Ref503703626 </w:instrText>
      </w:r>
      <w:r>
        <w:rPr>
          <w:rFonts w:ascii="Times New Roman" w:hAnsi="Times New Roman"/>
          <w:sz w:val="20"/>
          <w:szCs w:val="20"/>
        </w:rPr>
        <w:fldChar w:fldCharType="separate"/>
      </w:r>
      <w:r>
        <w:rPr>
          <w:rFonts w:ascii="Times New Roman" w:hAnsi="Times New Roman"/>
          <w:sz w:val="20"/>
          <w:szCs w:val="20"/>
        </w:rPr>
        <w:t>97</w:t>
      </w:r>
      <w:r>
        <w:rPr>
          <w:rFonts w:ascii="Times New Roman" w:hAnsi="Times New Roman"/>
          <w:sz w:val="20"/>
          <w:szCs w:val="20"/>
        </w:rPr>
        <w:fldChar w:fldCharType="end"/>
      </w:r>
      <w:r>
        <w:rPr>
          <w:rFonts w:ascii="Times New Roman" w:hAnsi="Times New Roman"/>
          <w:sz w:val="20"/>
          <w:szCs w:val="20"/>
        </w:rPr>
        <w:t xml:space="preserve"> above) </w:t>
      </w:r>
      <w:r w:rsidRPr="00A34125">
        <w:rPr>
          <w:rFonts w:ascii="Times New Roman" w:hAnsi="Times New Roman"/>
          <w:sz w:val="20"/>
          <w:szCs w:val="20"/>
        </w:rPr>
        <w:t>639-42.</w:t>
      </w:r>
    </w:p>
  </w:footnote>
  <w:footnote w:id="10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Michael Stein and Alex Geisinger, ‘A Theory of Expressive International Law’ (2007) 60 </w:t>
      </w:r>
      <w:r w:rsidRPr="00A34125">
        <w:rPr>
          <w:rFonts w:ascii="Times New Roman" w:hAnsi="Times New Roman"/>
          <w:i/>
          <w:sz w:val="20"/>
          <w:szCs w:val="20"/>
        </w:rPr>
        <w:t>Vanderbilt Law Review</w:t>
      </w:r>
      <w:r w:rsidRPr="00A34125">
        <w:rPr>
          <w:rFonts w:ascii="Times New Roman" w:hAnsi="Times New Roman"/>
          <w:sz w:val="20"/>
          <w:szCs w:val="20"/>
        </w:rPr>
        <w:t xml:space="preserve"> 77.</w:t>
      </w:r>
    </w:p>
  </w:footnote>
  <w:footnote w:id="10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James Munro, ‘The relationship between the origins and regime design of the ASEAN Intergovernmental Commission on Human Rights (AICHR)’ (2011) 15 (8) </w:t>
      </w:r>
      <w:r w:rsidRPr="00A34125">
        <w:rPr>
          <w:rFonts w:ascii="Times New Roman" w:hAnsi="Times New Roman"/>
          <w:i/>
          <w:sz w:val="20"/>
          <w:szCs w:val="20"/>
        </w:rPr>
        <w:t>The International Journal of Human Rights</w:t>
      </w:r>
      <w:r w:rsidRPr="00A34125">
        <w:rPr>
          <w:rFonts w:ascii="Times New Roman" w:hAnsi="Times New Roman"/>
          <w:sz w:val="20"/>
          <w:szCs w:val="20"/>
        </w:rPr>
        <w:t xml:space="preserve"> 1185.</w:t>
      </w:r>
    </w:p>
  </w:footnote>
  <w:footnote w:id="10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Goodman and Jinks, ‘How to Influence States: Socialisation and International Human Rights Law’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_Ref503703626 </w:instrText>
      </w:r>
      <w:r>
        <w:rPr>
          <w:rFonts w:ascii="Times New Roman" w:hAnsi="Times New Roman"/>
          <w:sz w:val="20"/>
          <w:szCs w:val="20"/>
        </w:rPr>
        <w:fldChar w:fldCharType="separate"/>
      </w:r>
      <w:r>
        <w:rPr>
          <w:rFonts w:ascii="Times New Roman" w:hAnsi="Times New Roman"/>
          <w:sz w:val="20"/>
          <w:szCs w:val="20"/>
        </w:rPr>
        <w:t>97</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xml:space="preserve"> 626.</w:t>
      </w:r>
    </w:p>
  </w:footnote>
  <w:footnote w:id="10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w:t>
      </w:r>
    </w:p>
  </w:footnote>
  <w:footnote w:id="10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Harold Hongju Koh, ’Internalisation through Socialisation’ (2005) 54 </w:t>
      </w:r>
      <w:r w:rsidRPr="00A34125">
        <w:rPr>
          <w:rFonts w:ascii="Times New Roman" w:hAnsi="Times New Roman"/>
          <w:i/>
          <w:sz w:val="20"/>
          <w:szCs w:val="20"/>
        </w:rPr>
        <w:t>Duke Law Journal</w:t>
      </w:r>
      <w:r w:rsidRPr="00A34125">
        <w:rPr>
          <w:rFonts w:ascii="Times New Roman" w:hAnsi="Times New Roman"/>
          <w:sz w:val="20"/>
          <w:szCs w:val="20"/>
        </w:rPr>
        <w:t xml:space="preserve"> 975, 977.</w:t>
      </w:r>
    </w:p>
  </w:footnote>
  <w:footnote w:id="10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w:t>
      </w:r>
    </w:p>
  </w:footnote>
  <w:footnote w:id="10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Ryan Goodman and Derek Jinks, </w:t>
      </w:r>
      <w:r w:rsidRPr="00A34125">
        <w:rPr>
          <w:rFonts w:ascii="Times New Roman" w:hAnsi="Times New Roman"/>
          <w:i/>
          <w:sz w:val="20"/>
          <w:szCs w:val="20"/>
        </w:rPr>
        <w:t>Socializing States: Promoting Human Rights through International Law</w:t>
      </w:r>
      <w:r w:rsidRPr="00A34125">
        <w:rPr>
          <w:rFonts w:ascii="Times New Roman" w:hAnsi="Times New Roman"/>
          <w:sz w:val="20"/>
          <w:szCs w:val="20"/>
        </w:rPr>
        <w:t xml:space="preserve">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_Ref503703781 </w:instrText>
      </w:r>
      <w:r>
        <w:rPr>
          <w:rFonts w:ascii="Times New Roman" w:hAnsi="Times New Roman"/>
          <w:sz w:val="20"/>
          <w:szCs w:val="20"/>
        </w:rPr>
        <w:fldChar w:fldCharType="separate"/>
      </w:r>
      <w:r>
        <w:rPr>
          <w:rFonts w:ascii="Times New Roman" w:hAnsi="Times New Roman"/>
          <w:sz w:val="20"/>
          <w:szCs w:val="20"/>
        </w:rPr>
        <w:t>94</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w:t>
      </w:r>
      <w:r>
        <w:rPr>
          <w:rFonts w:ascii="Times New Roman" w:hAnsi="Times New Roman"/>
          <w:sz w:val="20"/>
          <w:szCs w:val="20"/>
        </w:rPr>
        <w:t xml:space="preserve"> </w:t>
      </w:r>
      <w:r w:rsidRPr="00A34125">
        <w:rPr>
          <w:rFonts w:ascii="Times New Roman" w:hAnsi="Times New Roman"/>
          <w:sz w:val="20"/>
          <w:szCs w:val="20"/>
        </w:rPr>
        <w:t>103.</w:t>
      </w:r>
    </w:p>
  </w:footnote>
  <w:footnote w:id="10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Maria Stavropoulou, ‘Influencing State Behaviour for Refugee Protection: UNHCHR and the Design of the Refugee Protection Regime’ (UNHCHR Research Paper No. 154, The UN Refugee Agency, 2008) 9-15.</w:t>
      </w:r>
    </w:p>
  </w:footnote>
  <w:footnote w:id="10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With the exception of Israel which temporarily boycotted its UPR II in January 2013, all UN member states have been reviewed in the two cycles of the UPR. In October 2013, Israel returned and undertook its UPR II.</w:t>
      </w:r>
    </w:p>
  </w:footnote>
  <w:footnote w:id="11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Goodman and Jinks, </w:t>
      </w:r>
      <w:r w:rsidRPr="00A34125">
        <w:rPr>
          <w:rFonts w:ascii="Times New Roman" w:hAnsi="Times New Roman"/>
          <w:i/>
          <w:sz w:val="20"/>
          <w:szCs w:val="20"/>
        </w:rPr>
        <w:t>Socializing States: Promoting Human Rights through International Law</w:t>
      </w:r>
      <w:r w:rsidRPr="00A34125">
        <w:rPr>
          <w:rFonts w:ascii="Times New Roman" w:hAnsi="Times New Roman"/>
          <w:sz w:val="20"/>
          <w:szCs w:val="20"/>
        </w:rPr>
        <w:t xml:space="preserve">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_Ref503703781 </w:instrText>
      </w:r>
      <w:r>
        <w:rPr>
          <w:rFonts w:ascii="Times New Roman" w:hAnsi="Times New Roman"/>
          <w:sz w:val="20"/>
          <w:szCs w:val="20"/>
        </w:rPr>
        <w:fldChar w:fldCharType="separate"/>
      </w:r>
      <w:r>
        <w:rPr>
          <w:rFonts w:ascii="Times New Roman" w:hAnsi="Times New Roman"/>
          <w:sz w:val="20"/>
          <w:szCs w:val="20"/>
        </w:rPr>
        <w:t>94</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w:t>
      </w:r>
      <w:r>
        <w:rPr>
          <w:rFonts w:ascii="Times New Roman" w:hAnsi="Times New Roman"/>
          <w:sz w:val="20"/>
          <w:szCs w:val="20"/>
        </w:rPr>
        <w:t xml:space="preserve"> </w:t>
      </w:r>
      <w:r w:rsidRPr="00A34125">
        <w:rPr>
          <w:rFonts w:ascii="Times New Roman" w:hAnsi="Times New Roman"/>
          <w:sz w:val="20"/>
          <w:szCs w:val="20"/>
        </w:rPr>
        <w:t>140.</w:t>
      </w:r>
    </w:p>
  </w:footnote>
  <w:footnote w:id="11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Emilie M Hafner-Burton, ‘Human Rights Institutions: Rhetoric and Efficacy’ (2007) 44(4) </w:t>
      </w:r>
      <w:r w:rsidRPr="00A34125">
        <w:rPr>
          <w:rFonts w:ascii="Times New Roman" w:hAnsi="Times New Roman"/>
          <w:i/>
          <w:sz w:val="20"/>
          <w:szCs w:val="20"/>
        </w:rPr>
        <w:t>Journal of Peace Research</w:t>
      </w:r>
      <w:r w:rsidRPr="00A34125">
        <w:rPr>
          <w:rFonts w:ascii="Times New Roman" w:hAnsi="Times New Roman"/>
          <w:sz w:val="20"/>
          <w:szCs w:val="20"/>
        </w:rPr>
        <w:t xml:space="preserve"> 379, 382.</w:t>
      </w:r>
    </w:p>
  </w:footnote>
  <w:footnote w:id="112">
    <w:p w:rsidR="00E147BA" w:rsidRPr="00A34125" w:rsidRDefault="00E147BA" w:rsidP="00A34125">
      <w:pPr>
        <w:pStyle w:val="NoSpacing"/>
        <w:jc w:val="both"/>
        <w:rPr>
          <w:rFonts w:ascii="Times New Roman" w:hAnsi="Times New Roman"/>
          <w:color w:val="FF0000"/>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Jon Elster, ‘Deliberation and Constitution Making’ in Jon Elster (ed), </w:t>
      </w:r>
      <w:r w:rsidRPr="00A34125">
        <w:rPr>
          <w:rFonts w:ascii="Times New Roman" w:hAnsi="Times New Roman"/>
          <w:i/>
          <w:sz w:val="20"/>
          <w:szCs w:val="20"/>
        </w:rPr>
        <w:t>Deliberative Democracy</w:t>
      </w:r>
      <w:r w:rsidRPr="00A34125">
        <w:rPr>
          <w:rFonts w:ascii="Times New Roman" w:hAnsi="Times New Roman"/>
          <w:sz w:val="20"/>
          <w:szCs w:val="20"/>
        </w:rPr>
        <w:t xml:space="preserve"> (Cambridge University Press, 1998) 111.</w:t>
      </w:r>
    </w:p>
  </w:footnote>
  <w:footnote w:id="113">
    <w:p w:rsidR="00E147BA" w:rsidRPr="00A34125" w:rsidRDefault="00E147BA" w:rsidP="00A34125">
      <w:pPr>
        <w:pStyle w:val="NoSpacing"/>
        <w:jc w:val="both"/>
        <w:rPr>
          <w:rFonts w:ascii="Times New Roman" w:hAnsi="Times New Roman"/>
          <w:color w:val="FF0000"/>
          <w:sz w:val="20"/>
          <w:szCs w:val="20"/>
        </w:rPr>
      </w:pPr>
      <w:r w:rsidRPr="00A34125">
        <w:rPr>
          <w:rStyle w:val="FootnoteReference"/>
          <w:rFonts w:ascii="Times New Roman" w:hAnsi="Times New Roman"/>
          <w:sz w:val="20"/>
          <w:szCs w:val="20"/>
        </w:rPr>
        <w:footnoteRef/>
      </w:r>
      <w:r w:rsidRPr="00A34125">
        <w:rPr>
          <w:rFonts w:ascii="Times New Roman" w:hAnsi="Times New Roman"/>
          <w:color w:val="FF0000"/>
          <w:sz w:val="20"/>
          <w:szCs w:val="20"/>
        </w:rPr>
        <w:t xml:space="preserve"> </w:t>
      </w:r>
      <w:r w:rsidRPr="00A34125">
        <w:rPr>
          <w:rFonts w:ascii="Times New Roman" w:hAnsi="Times New Roman"/>
          <w:sz w:val="20"/>
          <w:szCs w:val="20"/>
        </w:rPr>
        <w:t>Ibid 104.</w:t>
      </w:r>
    </w:p>
  </w:footnote>
  <w:footnote w:id="11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4.</w:t>
      </w:r>
    </w:p>
  </w:footnote>
  <w:footnote w:id="11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Herbert C Kelman, ‘Compliance, Emulation, and Internalization: Three Processes of Attitude Change’ (1958) 51(2) </w:t>
      </w:r>
      <w:r w:rsidRPr="00A34125">
        <w:rPr>
          <w:rFonts w:ascii="Times New Roman" w:hAnsi="Times New Roman"/>
          <w:i/>
          <w:sz w:val="20"/>
          <w:szCs w:val="20"/>
        </w:rPr>
        <w:t xml:space="preserve">Journal of Conflict Resolution </w:t>
      </w:r>
      <w:r w:rsidRPr="00A34125">
        <w:rPr>
          <w:rFonts w:ascii="Times New Roman" w:hAnsi="Times New Roman"/>
          <w:sz w:val="20"/>
          <w:szCs w:val="20"/>
        </w:rPr>
        <w:t>53.</w:t>
      </w:r>
    </w:p>
  </w:footnote>
  <w:footnote w:id="11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For example, within the framework of the UPR, even though China rejected all its UPR I recommendations relating to the abolition of the death penalty, it thereafter reduced the scope of its application by excluding 13 non-violent economic crimes. See Dui Hua, ‘NGO Submission for the Universal Periodic Review of the People’s Republic of China’ (March 2013) para 16; It is however important to note that the scope of the application of the death penalty in China is still very high. </w:t>
      </w:r>
    </w:p>
  </w:footnote>
  <w:footnote w:id="11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Figure</w:t>
      </w:r>
      <w:r>
        <w:rPr>
          <w:rFonts w:ascii="Times New Roman" w:hAnsi="Times New Roman"/>
          <w:sz w:val="20"/>
          <w:szCs w:val="20"/>
        </w:rPr>
        <w:t>s 1 and</w:t>
      </w:r>
      <w:r w:rsidRPr="00A34125">
        <w:rPr>
          <w:rFonts w:ascii="Times New Roman" w:hAnsi="Times New Roman"/>
          <w:sz w:val="20"/>
          <w:szCs w:val="20"/>
        </w:rPr>
        <w:t xml:space="preserve"> 2.</w:t>
      </w:r>
    </w:p>
  </w:footnote>
  <w:footnote w:id="11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BE6150">
        <w:rPr>
          <w:rFonts w:ascii="Times New Roman" w:hAnsi="Times New Roman"/>
          <w:sz w:val="20"/>
          <w:szCs w:val="20"/>
        </w:rPr>
        <w:t xml:space="preserve">Allehone M Abebe, ‘Of Shaming and Bargaining: African States and the Universal Periodic Review of the United Nations Human Rights Council’ (2009) </w:t>
      </w:r>
      <w:r w:rsidRPr="00BE6150">
        <w:rPr>
          <w:rFonts w:ascii="Times New Roman" w:hAnsi="Times New Roman"/>
          <w:i/>
          <w:sz w:val="20"/>
          <w:szCs w:val="20"/>
        </w:rPr>
        <w:t>Human Rights Law Review</w:t>
      </w:r>
      <w:r w:rsidRPr="00BE6150">
        <w:rPr>
          <w:rFonts w:ascii="Times New Roman" w:hAnsi="Times New Roman"/>
          <w:sz w:val="20"/>
          <w:szCs w:val="20"/>
        </w:rPr>
        <w:t xml:space="preserve"> 1</w:t>
      </w:r>
      <w:r>
        <w:rPr>
          <w:rFonts w:ascii="Times New Roman" w:hAnsi="Times New Roman"/>
          <w:sz w:val="20"/>
          <w:szCs w:val="20"/>
        </w:rPr>
        <w:t xml:space="preserve">, </w:t>
      </w:r>
      <w:r w:rsidRPr="00A34125">
        <w:rPr>
          <w:rFonts w:ascii="Times New Roman" w:hAnsi="Times New Roman"/>
          <w:sz w:val="20"/>
          <w:szCs w:val="20"/>
        </w:rPr>
        <w:t xml:space="preserve">19-21; Dominguez Redondo, ‘The Universal Periodic Review of the UN Human Rights Council: An Assessment of the First Session’ (2008) 7(3) </w:t>
      </w:r>
      <w:r w:rsidRPr="00A34125">
        <w:rPr>
          <w:rFonts w:ascii="Times New Roman" w:hAnsi="Times New Roman"/>
          <w:i/>
          <w:sz w:val="20"/>
          <w:szCs w:val="20"/>
        </w:rPr>
        <w:t xml:space="preserve">Chinese Journal of International Law </w:t>
      </w:r>
      <w:r w:rsidRPr="00A34125">
        <w:rPr>
          <w:rFonts w:ascii="Times New Roman" w:hAnsi="Times New Roman"/>
          <w:sz w:val="20"/>
          <w:szCs w:val="20"/>
        </w:rPr>
        <w:t xml:space="preserve">731; </w:t>
      </w:r>
      <w:r>
        <w:rPr>
          <w:rFonts w:ascii="Times New Roman" w:hAnsi="Times New Roman"/>
          <w:sz w:val="20"/>
          <w:szCs w:val="20"/>
        </w:rPr>
        <w:t xml:space="preserve">Edward McMahon, (note </w:t>
      </w:r>
      <w:r>
        <w:rPr>
          <w:rFonts w:ascii="Times New Roman" w:hAnsi="Times New Roman"/>
          <w:sz w:val="20"/>
          <w:szCs w:val="20"/>
        </w:rPr>
        <w:fldChar w:fldCharType="begin"/>
      </w:r>
      <w:r>
        <w:rPr>
          <w:rFonts w:ascii="Times New Roman" w:hAnsi="Times New Roman"/>
          <w:sz w:val="20"/>
          <w:szCs w:val="20"/>
        </w:rPr>
        <w:instrText xml:space="preserve"> NOTEREF _Ref503701386 </w:instrText>
      </w:r>
      <w:r>
        <w:rPr>
          <w:rFonts w:ascii="Times New Roman" w:hAnsi="Times New Roman"/>
          <w:sz w:val="20"/>
          <w:szCs w:val="20"/>
        </w:rPr>
        <w:fldChar w:fldCharType="separate"/>
      </w:r>
      <w:r>
        <w:rPr>
          <w:rFonts w:ascii="Times New Roman" w:hAnsi="Times New Roman"/>
          <w:sz w:val="20"/>
          <w:szCs w:val="20"/>
        </w:rPr>
        <w:t>33</w:t>
      </w:r>
      <w:r>
        <w:rPr>
          <w:rFonts w:ascii="Times New Roman" w:hAnsi="Times New Roman"/>
          <w:sz w:val="20"/>
          <w:szCs w:val="20"/>
        </w:rPr>
        <w:fldChar w:fldCharType="end"/>
      </w:r>
      <w:r>
        <w:rPr>
          <w:rFonts w:ascii="Times New Roman" w:hAnsi="Times New Roman"/>
          <w:sz w:val="20"/>
          <w:szCs w:val="20"/>
        </w:rPr>
        <w:t xml:space="preserve"> above) </w:t>
      </w:r>
      <w:r w:rsidRPr="00A34125">
        <w:rPr>
          <w:rFonts w:ascii="Times New Roman" w:hAnsi="Times New Roman"/>
          <w:sz w:val="20"/>
          <w:szCs w:val="20"/>
        </w:rPr>
        <w:t>19-25.</w:t>
      </w:r>
    </w:p>
  </w:footnote>
  <w:footnote w:id="11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Pr>
          <w:rFonts w:ascii="Times New Roman" w:hAnsi="Times New Roman"/>
          <w:i/>
          <w:sz w:val="20"/>
          <w:szCs w:val="20"/>
        </w:rPr>
        <w:t xml:space="preserve">HRC UPR I Report – Nigeria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_Ref503703091 </w:instrText>
      </w:r>
      <w:r>
        <w:rPr>
          <w:rFonts w:ascii="Times New Roman" w:hAnsi="Times New Roman"/>
          <w:sz w:val="20"/>
          <w:szCs w:val="20"/>
        </w:rPr>
        <w:fldChar w:fldCharType="separate"/>
      </w:r>
      <w:r>
        <w:rPr>
          <w:rFonts w:ascii="Times New Roman" w:hAnsi="Times New Roman"/>
          <w:sz w:val="20"/>
          <w:szCs w:val="20"/>
        </w:rPr>
        <w:t>27</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para 14.</w:t>
      </w:r>
    </w:p>
  </w:footnote>
  <w:footnote w:id="12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Another example of the positive impact of regionalism in the UPR, with regard to Africa states, was evident in the review of Chad. During Chad’s UPR II, Togo and Czech Republic recommended that Chad ‘Ratify the Optional Convention against Torture and Other Cruel, inhuman or Degrading Treatment or Punishment.’ Even though both recommendations were of the same action category of specific recommendations (R5), Chad refused to accept the same recommendation from Czech Republic because it added ‘without delay’. See UN Human Rights Council, </w:t>
      </w:r>
      <w:r w:rsidRPr="00A34125">
        <w:rPr>
          <w:rFonts w:ascii="Times New Roman" w:hAnsi="Times New Roman"/>
          <w:i/>
          <w:sz w:val="20"/>
          <w:szCs w:val="20"/>
        </w:rPr>
        <w:t>Report of the Working Group on the Universal Periodic Review – Chad</w:t>
      </w:r>
      <w:r w:rsidRPr="00A34125">
        <w:rPr>
          <w:rFonts w:ascii="Times New Roman" w:hAnsi="Times New Roman"/>
          <w:sz w:val="20"/>
          <w:szCs w:val="20"/>
        </w:rPr>
        <w:t>, UN Doc A/HRC/25/14 (3 January 2014) para 110.18 and 110.120.</w:t>
      </w:r>
    </w:p>
  </w:footnote>
  <w:footnote w:id="12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UN Human Rights Council, ‘Report of the Working Group on the Universal Periodic Review – Chad: Addendum’ UN Doc A/HRC/25/14/Add 1 (3 January 2014) 2. See ibid paras 110.107 and 110.110, read together with </w:t>
      </w:r>
      <w:r w:rsidRPr="00A34125">
        <w:rPr>
          <w:rFonts w:ascii="Times New Roman" w:hAnsi="Times New Roman"/>
          <w:i/>
          <w:sz w:val="20"/>
          <w:szCs w:val="20"/>
        </w:rPr>
        <w:t>Report of the HRC on its 25</w:t>
      </w:r>
      <w:r w:rsidRPr="00A34125">
        <w:rPr>
          <w:rFonts w:ascii="Times New Roman" w:hAnsi="Times New Roman"/>
          <w:i/>
          <w:sz w:val="20"/>
          <w:szCs w:val="20"/>
          <w:vertAlign w:val="superscript"/>
        </w:rPr>
        <w:t>th</w:t>
      </w:r>
      <w:r w:rsidRPr="00A34125">
        <w:rPr>
          <w:rFonts w:ascii="Times New Roman" w:hAnsi="Times New Roman"/>
          <w:i/>
          <w:sz w:val="20"/>
          <w:szCs w:val="20"/>
        </w:rPr>
        <w:t xml:space="preserve"> Session</w:t>
      </w:r>
      <w:r w:rsidRPr="00A34125">
        <w:rPr>
          <w:rFonts w:ascii="Times New Roman" w:hAnsi="Times New Roman"/>
          <w:sz w:val="20"/>
          <w:szCs w:val="20"/>
        </w:rPr>
        <w:t>, UN Doc A/HRC/25/2, paras 110.107 and 110.110.</w:t>
      </w:r>
    </w:p>
  </w:footnote>
  <w:footnote w:id="12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77845">
        <w:rPr>
          <w:rFonts w:ascii="Times New Roman" w:hAnsi="Times New Roman"/>
          <w:sz w:val="20"/>
          <w:szCs w:val="20"/>
        </w:rPr>
        <w:t>Benjamin Gregg, ‘Deploying Cognitive Sociology to Advance Human Rights’ (2010) 9</w:t>
      </w:r>
      <w:r w:rsidRPr="00A77845">
        <w:rPr>
          <w:rFonts w:ascii="Times New Roman" w:hAnsi="Times New Roman"/>
          <w:i/>
          <w:sz w:val="20"/>
          <w:szCs w:val="20"/>
        </w:rPr>
        <w:t xml:space="preserve"> Comparative Sociology</w:t>
      </w:r>
      <w:r w:rsidRPr="00A77845">
        <w:rPr>
          <w:rFonts w:ascii="Times New Roman" w:hAnsi="Times New Roman"/>
          <w:sz w:val="20"/>
          <w:szCs w:val="20"/>
        </w:rPr>
        <w:t xml:space="preserve"> 279, </w:t>
      </w:r>
      <w:r w:rsidRPr="00A34125">
        <w:rPr>
          <w:rFonts w:ascii="Times New Roman" w:hAnsi="Times New Roman"/>
          <w:sz w:val="20"/>
          <w:szCs w:val="20"/>
        </w:rPr>
        <w:t>289</w:t>
      </w:r>
    </w:p>
  </w:footnote>
  <w:footnote w:id="12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w:t>
      </w:r>
    </w:p>
  </w:footnote>
  <w:footnote w:id="12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304.</w:t>
      </w:r>
    </w:p>
  </w:footnote>
  <w:footnote w:id="12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Human Rights Norms against Child Prostitution in Asia were advanced internally by means of cognitive re-framing. See ibid 289.</w:t>
      </w:r>
    </w:p>
  </w:footnote>
  <w:footnote w:id="126">
    <w:p w:rsidR="00E147BA" w:rsidRPr="00A34125" w:rsidRDefault="00E147BA" w:rsidP="00A34125">
      <w:pPr>
        <w:pStyle w:val="NoSpacing"/>
        <w:jc w:val="both"/>
        <w:rPr>
          <w:rFonts w:ascii="Times New Roman" w:hAnsi="Times New Roman"/>
          <w:color w:val="FF0000"/>
          <w:sz w:val="20"/>
          <w:szCs w:val="20"/>
        </w:rPr>
      </w:pPr>
      <w:r w:rsidRPr="00A34125">
        <w:rPr>
          <w:rStyle w:val="FootnoteReference"/>
          <w:rFonts w:ascii="Times New Roman" w:hAnsi="Times New Roman"/>
          <w:sz w:val="20"/>
          <w:szCs w:val="20"/>
        </w:rPr>
        <w:footnoteRef/>
      </w:r>
      <w:r w:rsidRPr="00A34125">
        <w:rPr>
          <w:rFonts w:ascii="Times New Roman" w:hAnsi="Times New Roman"/>
          <w:color w:val="FF0000"/>
          <w:sz w:val="20"/>
          <w:szCs w:val="20"/>
        </w:rPr>
        <w:t xml:space="preserve"> </w:t>
      </w:r>
      <w:r w:rsidRPr="00A34125">
        <w:rPr>
          <w:rFonts w:ascii="Times New Roman" w:hAnsi="Times New Roman"/>
          <w:sz w:val="20"/>
          <w:szCs w:val="20"/>
        </w:rPr>
        <w:t xml:space="preserve">Xinyuan Dai, </w:t>
      </w:r>
      <w:r w:rsidRPr="00A34125">
        <w:rPr>
          <w:rFonts w:ascii="Times New Roman" w:hAnsi="Times New Roman"/>
          <w:i/>
          <w:sz w:val="20"/>
          <w:szCs w:val="20"/>
        </w:rPr>
        <w:t xml:space="preserve">International Institutions and National Policies </w:t>
      </w:r>
      <w:r w:rsidRPr="00A34125">
        <w:rPr>
          <w:rFonts w:ascii="Times New Roman" w:hAnsi="Times New Roman"/>
          <w:sz w:val="20"/>
          <w:szCs w:val="20"/>
        </w:rPr>
        <w:t>(Cambridge University Press, 2007).</w:t>
      </w:r>
    </w:p>
  </w:footnote>
  <w:footnote w:id="12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120.</w:t>
      </w:r>
    </w:p>
  </w:footnote>
  <w:footnote w:id="12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Kevin J O’Brien and Li Lianjiang, </w:t>
      </w:r>
      <w:r w:rsidRPr="00A34125">
        <w:rPr>
          <w:rFonts w:ascii="Times New Roman" w:hAnsi="Times New Roman"/>
          <w:i/>
          <w:sz w:val="20"/>
          <w:szCs w:val="20"/>
        </w:rPr>
        <w:t xml:space="preserve">Rightful Resistance in Rural China </w:t>
      </w:r>
      <w:r w:rsidRPr="00A34125">
        <w:rPr>
          <w:rFonts w:ascii="Times New Roman" w:hAnsi="Times New Roman"/>
          <w:sz w:val="20"/>
          <w:szCs w:val="20"/>
        </w:rPr>
        <w:t>(Cambridge University Press, 2006) 15-24; Note however that the number of offences subject to the death penalty is still very high in China.</w:t>
      </w:r>
    </w:p>
  </w:footnote>
  <w:footnote w:id="12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Relating to the situation where public conformity is disconnected from local practice see Kevin J O’Brien and Li Lianjiang, </w:t>
      </w:r>
      <w:r w:rsidRPr="00A34125">
        <w:rPr>
          <w:rFonts w:ascii="Times New Roman" w:hAnsi="Times New Roman"/>
          <w:i/>
          <w:sz w:val="20"/>
          <w:szCs w:val="20"/>
        </w:rPr>
        <w:t xml:space="preserve">Rightful Resistance in Rural China </w:t>
      </w:r>
      <w:r w:rsidRPr="00A34125">
        <w:rPr>
          <w:rFonts w:ascii="Times New Roman" w:hAnsi="Times New Roman"/>
          <w:sz w:val="20"/>
          <w:szCs w:val="20"/>
        </w:rPr>
        <w:t>(Cambridge University Press, 2006) 64.</w:t>
      </w:r>
    </w:p>
  </w:footnote>
  <w:footnote w:id="13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w:t>
      </w:r>
    </w:p>
  </w:footnote>
  <w:footnote w:id="13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UN Human Rights Council, </w:t>
      </w:r>
      <w:r w:rsidRPr="00A34125">
        <w:rPr>
          <w:rFonts w:ascii="Times New Roman" w:hAnsi="Times New Roman"/>
          <w:i/>
          <w:sz w:val="20"/>
          <w:szCs w:val="20"/>
        </w:rPr>
        <w:t>Report of the Working Group on the Universal Periodic Review – Cote d’Ivoire</w:t>
      </w:r>
      <w:r w:rsidRPr="00A34125">
        <w:rPr>
          <w:rFonts w:ascii="Times New Roman" w:hAnsi="Times New Roman"/>
          <w:sz w:val="20"/>
          <w:szCs w:val="20"/>
        </w:rPr>
        <w:t>, 13</w:t>
      </w:r>
      <w:r w:rsidRPr="00A34125">
        <w:rPr>
          <w:rFonts w:ascii="Times New Roman" w:hAnsi="Times New Roman"/>
          <w:sz w:val="20"/>
          <w:szCs w:val="20"/>
          <w:vertAlign w:val="superscript"/>
        </w:rPr>
        <w:t>th</w:t>
      </w:r>
      <w:r w:rsidRPr="00A34125">
        <w:rPr>
          <w:rFonts w:ascii="Times New Roman" w:hAnsi="Times New Roman"/>
          <w:sz w:val="20"/>
          <w:szCs w:val="20"/>
        </w:rPr>
        <w:t xml:space="preserve"> sess, UN Doc A/HRC/13/9 (4 January 2010) paras 101.7–101.9.</w:t>
      </w:r>
    </w:p>
  </w:footnote>
  <w:footnote w:id="13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UN Human Rights Council, </w:t>
      </w:r>
      <w:r w:rsidRPr="00A34125">
        <w:rPr>
          <w:rFonts w:ascii="Times New Roman" w:hAnsi="Times New Roman"/>
          <w:i/>
          <w:sz w:val="20"/>
          <w:szCs w:val="20"/>
        </w:rPr>
        <w:t>Report of the Working Group on the Universal Periodic Review – Cote d’Ivoire</w:t>
      </w:r>
      <w:r w:rsidRPr="00A34125">
        <w:rPr>
          <w:rFonts w:ascii="Times New Roman" w:hAnsi="Times New Roman"/>
          <w:sz w:val="20"/>
          <w:szCs w:val="20"/>
        </w:rPr>
        <w:t>, 27</w:t>
      </w:r>
      <w:r w:rsidRPr="00A34125">
        <w:rPr>
          <w:rFonts w:ascii="Times New Roman" w:hAnsi="Times New Roman"/>
          <w:sz w:val="20"/>
          <w:szCs w:val="20"/>
          <w:vertAlign w:val="superscript"/>
        </w:rPr>
        <w:t>th</w:t>
      </w:r>
      <w:r w:rsidRPr="00A34125">
        <w:rPr>
          <w:rFonts w:ascii="Times New Roman" w:hAnsi="Times New Roman"/>
          <w:sz w:val="20"/>
          <w:szCs w:val="20"/>
        </w:rPr>
        <w:t xml:space="preserve"> sess, UN Doc A/HRC/27/6 (</w:t>
      </w:r>
      <w:r w:rsidRPr="00A34125">
        <w:rPr>
          <w:rFonts w:ascii="Times New Roman" w:hAnsi="Times New Roman"/>
          <w:sz w:val="20"/>
          <w:szCs w:val="20"/>
          <w:lang w:eastAsia="en-AU"/>
        </w:rPr>
        <w:t>7 July 2014</w:t>
      </w:r>
      <w:r w:rsidRPr="00A34125">
        <w:rPr>
          <w:rFonts w:ascii="Times New Roman" w:hAnsi="Times New Roman"/>
          <w:sz w:val="20"/>
          <w:szCs w:val="20"/>
        </w:rPr>
        <w:t>) paras 127.3-127.4 and 127.5 respectively.</w:t>
      </w:r>
    </w:p>
  </w:footnote>
  <w:footnote w:id="13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For a description of process and outcome-based conceptions of acculturation See John W Berry, ‘Conceptual Approaches to Acculturation’ in Kevin M Chung, Pamela Ball Organista and Gerardo Marin (eds), </w:t>
      </w:r>
      <w:r w:rsidRPr="00A34125">
        <w:rPr>
          <w:rFonts w:ascii="Times New Roman" w:hAnsi="Times New Roman"/>
          <w:i/>
          <w:sz w:val="20"/>
          <w:szCs w:val="20"/>
        </w:rPr>
        <w:t xml:space="preserve">Acculturation: Advances in Theory, Measurement and Applied Research </w:t>
      </w:r>
      <w:r w:rsidRPr="00A34125">
        <w:rPr>
          <w:rFonts w:ascii="Times New Roman" w:hAnsi="Times New Roman"/>
          <w:sz w:val="20"/>
          <w:szCs w:val="20"/>
        </w:rPr>
        <w:t>(American Psychology Association, 2003).</w:t>
      </w:r>
    </w:p>
  </w:footnote>
  <w:footnote w:id="13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Cephas Lumina, ‘Counter Terrorism Legislation and the Protection of Human Rights: A Survey of Selected International Practice’ (2007) 7(1) </w:t>
      </w:r>
      <w:r w:rsidRPr="00A34125">
        <w:rPr>
          <w:rFonts w:ascii="Times New Roman" w:hAnsi="Times New Roman"/>
          <w:i/>
          <w:sz w:val="20"/>
          <w:szCs w:val="20"/>
        </w:rPr>
        <w:t xml:space="preserve">African Human Rights Journal </w:t>
      </w:r>
      <w:r w:rsidRPr="00A34125">
        <w:rPr>
          <w:rFonts w:ascii="Times New Roman" w:hAnsi="Times New Roman"/>
          <w:sz w:val="20"/>
          <w:szCs w:val="20"/>
        </w:rPr>
        <w:t>36.</w:t>
      </w:r>
    </w:p>
  </w:footnote>
  <w:footnote w:id="13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Pr>
          <w:rFonts w:ascii="Times New Roman" w:hAnsi="Times New Roman"/>
          <w:i/>
          <w:sz w:val="20"/>
          <w:szCs w:val="20"/>
        </w:rPr>
        <w:t xml:space="preserve">HRC UPR I Report – Nigeria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_Ref503703091 </w:instrText>
      </w:r>
      <w:r>
        <w:rPr>
          <w:rFonts w:ascii="Times New Roman" w:hAnsi="Times New Roman"/>
          <w:sz w:val="20"/>
          <w:szCs w:val="20"/>
        </w:rPr>
        <w:fldChar w:fldCharType="separate"/>
      </w:r>
      <w:r>
        <w:rPr>
          <w:rFonts w:ascii="Times New Roman" w:hAnsi="Times New Roman"/>
          <w:sz w:val="20"/>
          <w:szCs w:val="20"/>
        </w:rPr>
        <w:t>27</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para 22.</w:t>
      </w:r>
    </w:p>
  </w:footnote>
  <w:footnote w:id="13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Simeon H O Alozieuwa, ‘Contending Theories on Nigeria’s Security Challenge in the Era of Boko Haram Insurgency’ (2012) 7(1) </w:t>
      </w:r>
      <w:r w:rsidRPr="00A34125">
        <w:rPr>
          <w:rFonts w:ascii="Times New Roman" w:hAnsi="Times New Roman"/>
          <w:i/>
          <w:sz w:val="20"/>
          <w:szCs w:val="20"/>
        </w:rPr>
        <w:t>Peace and Conflict Review</w:t>
      </w:r>
      <w:r w:rsidRPr="00A34125">
        <w:rPr>
          <w:rFonts w:ascii="Times New Roman" w:hAnsi="Times New Roman"/>
          <w:sz w:val="20"/>
          <w:szCs w:val="20"/>
        </w:rPr>
        <w:t xml:space="preserve"> 1.</w:t>
      </w:r>
    </w:p>
  </w:footnote>
  <w:footnote w:id="13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N C Okereke, ‘Implementing the Nigerian Defence Policy: Reflections on the Boko Haram Crisis’ in O Mbachu and A A Sokoto (eds), </w:t>
      </w:r>
      <w:r w:rsidRPr="00A34125">
        <w:rPr>
          <w:rFonts w:ascii="Times New Roman" w:hAnsi="Times New Roman"/>
          <w:i/>
          <w:sz w:val="20"/>
          <w:szCs w:val="20"/>
        </w:rPr>
        <w:t>Nigerian Defence and Security: Policies and Strategies</w:t>
      </w:r>
      <w:r w:rsidRPr="00A34125">
        <w:rPr>
          <w:rFonts w:ascii="Times New Roman" w:hAnsi="Times New Roman"/>
          <w:sz w:val="20"/>
          <w:szCs w:val="20"/>
        </w:rPr>
        <w:t xml:space="preserve"> (Medusa Academic Publishers Ltd, 2011) 450; for the socio-economic, political fued, vengeance, Islamic state and conspiracy theories explaining the development of </w:t>
      </w:r>
      <w:r w:rsidRPr="00A34125">
        <w:rPr>
          <w:rFonts w:ascii="Times New Roman" w:hAnsi="Times New Roman"/>
          <w:i/>
          <w:sz w:val="20"/>
          <w:szCs w:val="20"/>
        </w:rPr>
        <w:t xml:space="preserve">Boko Haram </w:t>
      </w:r>
      <w:r w:rsidRPr="00A34125">
        <w:rPr>
          <w:rFonts w:ascii="Times New Roman" w:hAnsi="Times New Roman"/>
          <w:sz w:val="20"/>
          <w:szCs w:val="20"/>
        </w:rPr>
        <w:t>sect see Simeon H O Alozieuwa, ‘Contending Theories on Nigeria’s Security Challenge in the Era of Boko Haram Insurgency’ (2012) 7(1)</w:t>
      </w:r>
      <w:r w:rsidRPr="00A34125">
        <w:rPr>
          <w:rFonts w:ascii="Times New Roman" w:hAnsi="Times New Roman"/>
          <w:i/>
          <w:sz w:val="20"/>
          <w:szCs w:val="20"/>
        </w:rPr>
        <w:t xml:space="preserve"> Peace and Conflict Review </w:t>
      </w:r>
      <w:r w:rsidRPr="00A34125">
        <w:rPr>
          <w:rFonts w:ascii="Times New Roman" w:hAnsi="Times New Roman"/>
          <w:sz w:val="20"/>
          <w:szCs w:val="20"/>
        </w:rPr>
        <w:t>1.</w:t>
      </w:r>
    </w:p>
  </w:footnote>
  <w:footnote w:id="13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Jideofo Adibe, ‘Boko Haram: One Sect, Conflicting Narratives’ (2012) 9(1) </w:t>
      </w:r>
      <w:r w:rsidRPr="00A34125">
        <w:rPr>
          <w:rStyle w:val="Emphasis"/>
          <w:rFonts w:ascii="Times New Roman" w:hAnsi="Times New Roman"/>
          <w:sz w:val="20"/>
          <w:szCs w:val="20"/>
        </w:rPr>
        <w:t>African Renaissance</w:t>
      </w:r>
      <w:r w:rsidRPr="00A34125">
        <w:rPr>
          <w:rFonts w:ascii="Times New Roman" w:hAnsi="Times New Roman"/>
          <w:sz w:val="20"/>
          <w:szCs w:val="20"/>
        </w:rPr>
        <w:t xml:space="preserve"> 50.</w:t>
      </w:r>
    </w:p>
  </w:footnote>
  <w:footnote w:id="13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HRC UPR II Report –Nigeria</w:t>
      </w:r>
      <w:r>
        <w:rPr>
          <w:rFonts w:ascii="Times New Roman" w:hAnsi="Times New Roman"/>
          <w:i/>
          <w:sz w:val="20"/>
          <w:szCs w:val="20"/>
        </w:rPr>
        <w:t xml:space="preserve">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_Ref503702718 </w:instrText>
      </w:r>
      <w:r>
        <w:rPr>
          <w:rFonts w:ascii="Times New Roman" w:hAnsi="Times New Roman"/>
          <w:sz w:val="20"/>
          <w:szCs w:val="20"/>
        </w:rPr>
        <w:fldChar w:fldCharType="separate"/>
      </w:r>
      <w:r>
        <w:rPr>
          <w:rFonts w:ascii="Times New Roman" w:hAnsi="Times New Roman"/>
          <w:sz w:val="20"/>
          <w:szCs w:val="20"/>
        </w:rPr>
        <w:t>41</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xml:space="preserve"> paras 135.170, 135.171 and 137.171.</w:t>
      </w:r>
    </w:p>
  </w:footnote>
  <w:footnote w:id="14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The 41 sections of the TPA define and proscribe acts of terrorism including methods of intelligence gathering, prevention, investigation and prosecution of alleged terrorists and also mutual legal assistance.</w:t>
      </w:r>
    </w:p>
  </w:footnote>
  <w:footnote w:id="14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Edward Mogirea and Kennedy Mkutu Agade, ‘Counter-terrorism in Kenya’ (2011) 29(4) </w:t>
      </w:r>
      <w:r w:rsidRPr="00A34125">
        <w:rPr>
          <w:rFonts w:ascii="Times New Roman" w:hAnsi="Times New Roman"/>
          <w:i/>
          <w:sz w:val="20"/>
          <w:szCs w:val="20"/>
        </w:rPr>
        <w:t xml:space="preserve">Journal of Contemporary African Studies </w:t>
      </w:r>
      <w:r w:rsidRPr="00A34125">
        <w:rPr>
          <w:rFonts w:ascii="Times New Roman" w:hAnsi="Times New Roman"/>
          <w:sz w:val="20"/>
          <w:szCs w:val="20"/>
        </w:rPr>
        <w:t xml:space="preserve">473; Arthur Chaskalson, ‘The Widening Gyre: Counter-Terrorism, Human Rights And The Rule Of Law’ (2008) </w:t>
      </w:r>
      <w:r w:rsidRPr="00A34125">
        <w:rPr>
          <w:rFonts w:ascii="Times New Roman" w:hAnsi="Times New Roman"/>
          <w:i/>
          <w:sz w:val="20"/>
          <w:szCs w:val="20"/>
        </w:rPr>
        <w:t>The Cambridge Law Journal</w:t>
      </w:r>
      <w:r w:rsidRPr="00A34125">
        <w:rPr>
          <w:rFonts w:ascii="Times New Roman" w:hAnsi="Times New Roman"/>
          <w:sz w:val="20"/>
          <w:szCs w:val="20"/>
        </w:rPr>
        <w:t xml:space="preserve">, 67, 69-91; Alex Conte, ‘Human Rights Compliance in the Fight Against Terrorism’ in Alex Conte, </w:t>
      </w:r>
      <w:r w:rsidRPr="00A34125">
        <w:rPr>
          <w:rFonts w:ascii="Times New Roman" w:hAnsi="Times New Roman"/>
          <w:i/>
          <w:sz w:val="20"/>
          <w:szCs w:val="20"/>
        </w:rPr>
        <w:t xml:space="preserve">Human Rights in the Prevention and Punishment of Terrorism </w:t>
      </w:r>
      <w:r w:rsidRPr="00A34125">
        <w:rPr>
          <w:rFonts w:ascii="Times New Roman" w:hAnsi="Times New Roman"/>
          <w:sz w:val="20"/>
          <w:szCs w:val="20"/>
        </w:rPr>
        <w:t>(Springer, 2010) 389.</w:t>
      </w:r>
    </w:p>
  </w:footnote>
  <w:footnote w:id="14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 xml:space="preserve">Terrorism (Prevention) Act 2011 </w:t>
      </w:r>
      <w:r w:rsidRPr="00A34125">
        <w:rPr>
          <w:rFonts w:ascii="Times New Roman" w:hAnsi="Times New Roman"/>
          <w:sz w:val="20"/>
          <w:szCs w:val="20"/>
        </w:rPr>
        <w:t>(Nigeria), s 32 (1).</w:t>
      </w:r>
    </w:p>
  </w:footnote>
  <w:footnote w:id="14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This is the law domesticated the Convention on the Rights of the Child.</w:t>
      </w:r>
    </w:p>
  </w:footnote>
  <w:footnote w:id="14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Defined as a person below 18 years.</w:t>
      </w:r>
    </w:p>
  </w:footnote>
  <w:footnote w:id="14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HRC UPR II Report –Nigeria</w:t>
      </w:r>
      <w:r>
        <w:rPr>
          <w:rFonts w:ascii="Times New Roman" w:hAnsi="Times New Roman"/>
          <w:i/>
          <w:sz w:val="20"/>
          <w:szCs w:val="20"/>
        </w:rPr>
        <w:t xml:space="preserve">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_Ref503702718 </w:instrText>
      </w:r>
      <w:r>
        <w:rPr>
          <w:rFonts w:ascii="Times New Roman" w:hAnsi="Times New Roman"/>
          <w:sz w:val="20"/>
          <w:szCs w:val="20"/>
        </w:rPr>
        <w:fldChar w:fldCharType="separate"/>
      </w:r>
      <w:r>
        <w:rPr>
          <w:rFonts w:ascii="Times New Roman" w:hAnsi="Times New Roman"/>
          <w:sz w:val="20"/>
          <w:szCs w:val="20"/>
        </w:rPr>
        <w:t>41</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xml:space="preserve"> paras 137.28 and 137.29.</w:t>
      </w:r>
    </w:p>
  </w:footnote>
  <w:footnote w:id="146">
    <w:p w:rsidR="00E147BA" w:rsidRPr="00A34125" w:rsidRDefault="00E147BA" w:rsidP="00A34125">
      <w:pPr>
        <w:pStyle w:val="NoSpacing"/>
        <w:jc w:val="both"/>
        <w:rPr>
          <w:rFonts w:ascii="Times New Roman" w:hAnsi="Times New Roman"/>
          <w:i/>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Terrorism (Prevention) (Amendment) Act, 2013</w:t>
      </w:r>
      <w:r w:rsidRPr="00A34125">
        <w:rPr>
          <w:rFonts w:ascii="Times New Roman" w:hAnsi="Times New Roman"/>
          <w:sz w:val="20"/>
          <w:szCs w:val="20"/>
        </w:rPr>
        <w:t xml:space="preserve"> s 1(2).</w:t>
      </w:r>
    </w:p>
  </w:footnote>
  <w:footnote w:id="14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i/>
          <w:sz w:val="20"/>
          <w:szCs w:val="20"/>
        </w:rPr>
        <w:footnoteRef/>
      </w:r>
      <w:r w:rsidRPr="00A34125">
        <w:rPr>
          <w:rFonts w:ascii="Times New Roman" w:hAnsi="Times New Roman"/>
          <w:i/>
          <w:sz w:val="20"/>
          <w:szCs w:val="20"/>
        </w:rPr>
        <w:t xml:space="preserve"> Terrorism (Prevention) (Amendment) Act, 2013</w:t>
      </w:r>
      <w:r w:rsidRPr="00A34125">
        <w:rPr>
          <w:rFonts w:ascii="Times New Roman" w:hAnsi="Times New Roman"/>
          <w:sz w:val="20"/>
          <w:szCs w:val="20"/>
        </w:rPr>
        <w:t xml:space="preserve"> s 2.</w:t>
      </w:r>
    </w:p>
  </w:footnote>
  <w:footnote w:id="14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Amnesty International, ‘Nigeria: Trapped in the Cycle of Violence’ (2012) 47 &lt; </w:t>
      </w:r>
      <w:hyperlink r:id="rId16" w:history="1">
        <w:r w:rsidRPr="00A34125">
          <w:rPr>
            <w:rStyle w:val="Hyperlink"/>
            <w:rFonts w:ascii="Times New Roman" w:hAnsi="Times New Roman"/>
            <w:sz w:val="20"/>
            <w:szCs w:val="20"/>
          </w:rPr>
          <w:t>https://www.amnesty.org/download/Documents/16000/afr440432012en.pdf</w:t>
        </w:r>
      </w:hyperlink>
      <w:r w:rsidRPr="00A34125">
        <w:rPr>
          <w:rStyle w:val="HTMLCite"/>
          <w:rFonts w:ascii="Times New Roman" w:hAnsi="Times New Roman"/>
          <w:sz w:val="20"/>
          <w:szCs w:val="20"/>
        </w:rPr>
        <w:t>&gt;</w:t>
      </w:r>
      <w:r w:rsidRPr="00A34125">
        <w:rPr>
          <w:rFonts w:ascii="Times New Roman" w:hAnsi="Times New Roman"/>
          <w:sz w:val="20"/>
          <w:szCs w:val="20"/>
        </w:rPr>
        <w:t xml:space="preserve">.  </w:t>
      </w:r>
    </w:p>
  </w:footnote>
  <w:footnote w:id="14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paras 14, 22 and 23.</w:t>
      </w:r>
    </w:p>
  </w:footnote>
  <w:footnote w:id="15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Human Rights Watch, ‘Spiralling Violence: Boko Haram Attacks and Security Force Abuses in Nigeria’ (October 2012) </w:t>
      </w:r>
      <w:r w:rsidRPr="00A34125">
        <w:rPr>
          <w:rFonts w:ascii="Times New Roman" w:hAnsi="Times New Roman"/>
          <w:i/>
          <w:sz w:val="20"/>
          <w:szCs w:val="20"/>
        </w:rPr>
        <w:t>Human Rights Watch</w:t>
      </w:r>
      <w:r w:rsidRPr="00A34125">
        <w:rPr>
          <w:rFonts w:ascii="Times New Roman" w:hAnsi="Times New Roman"/>
          <w:sz w:val="20"/>
          <w:szCs w:val="20"/>
        </w:rPr>
        <w:t xml:space="preserve"> 61; Human Rights Agenda Network (HRAN),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_Ref484527679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53</w:t>
      </w:r>
      <w:r w:rsidRPr="00A34125">
        <w:rPr>
          <w:rFonts w:ascii="Times New Roman" w:hAnsi="Times New Roman"/>
          <w:sz w:val="20"/>
          <w:szCs w:val="20"/>
        </w:rPr>
        <w:fldChar w:fldCharType="end"/>
      </w:r>
      <w:r w:rsidRPr="00A34125">
        <w:rPr>
          <w:rFonts w:ascii="Times New Roman" w:hAnsi="Times New Roman"/>
          <w:sz w:val="20"/>
          <w:szCs w:val="20"/>
        </w:rPr>
        <w:t>.</w:t>
      </w:r>
    </w:p>
  </w:footnote>
  <w:footnote w:id="15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Simeon H O Alozieuwa, ‘Contending Theories on Nigeria’s Security Challenge in the Era of Boko Haram Insurgency’ (2012) 7(1)</w:t>
      </w:r>
      <w:r w:rsidRPr="00A34125">
        <w:rPr>
          <w:rFonts w:ascii="Times New Roman" w:hAnsi="Times New Roman"/>
          <w:i/>
          <w:sz w:val="20"/>
          <w:szCs w:val="20"/>
        </w:rPr>
        <w:t xml:space="preserve"> Peace and Conflict Review </w:t>
      </w:r>
      <w:r w:rsidRPr="00A34125">
        <w:rPr>
          <w:rFonts w:ascii="Times New Roman" w:hAnsi="Times New Roman"/>
          <w:sz w:val="20"/>
          <w:szCs w:val="20"/>
        </w:rPr>
        <w:t>1, 2.</w:t>
      </w:r>
    </w:p>
  </w:footnote>
  <w:footnote w:id="15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w:t>
      </w:r>
    </w:p>
  </w:footnote>
  <w:footnote w:id="15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See Human Rights Agenda Network (HRAN),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_Ref484527679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53</w:t>
      </w:r>
      <w:r w:rsidRPr="00A34125">
        <w:rPr>
          <w:rFonts w:ascii="Times New Roman" w:hAnsi="Times New Roman"/>
          <w:sz w:val="20"/>
          <w:szCs w:val="20"/>
        </w:rPr>
        <w:fldChar w:fldCharType="end"/>
      </w:r>
      <w:r w:rsidRPr="00A34125">
        <w:rPr>
          <w:rFonts w:ascii="Times New Roman" w:hAnsi="Times New Roman"/>
          <w:sz w:val="20"/>
          <w:szCs w:val="20"/>
        </w:rPr>
        <w:t>, 4.</w:t>
      </w:r>
    </w:p>
  </w:footnote>
  <w:footnote w:id="154">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Amnesty International, ‘Nigeria: Authorities Must Investigate Deaths of Boko Haram Suspects in Military Custody’, Index No. AFR 44/025/2013 (16 October 2013). </w:t>
      </w:r>
    </w:p>
  </w:footnote>
  <w:footnote w:id="155">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Human Rights Watch, ‘Spiralling Violence: Boko Haram Attacks and Security Force Abuses in Nigeria’ above n </w:t>
      </w:r>
      <w:r w:rsidRPr="00A34125">
        <w:rPr>
          <w:rFonts w:ascii="Times New Roman" w:hAnsi="Times New Roman"/>
          <w:sz w:val="20"/>
          <w:szCs w:val="20"/>
        </w:rPr>
        <w:fldChar w:fldCharType="begin"/>
      </w:r>
      <w:r w:rsidRPr="00A34125">
        <w:rPr>
          <w:rFonts w:ascii="Times New Roman" w:hAnsi="Times New Roman"/>
          <w:sz w:val="20"/>
          <w:szCs w:val="20"/>
        </w:rPr>
        <w:instrText xml:space="preserve"> NOTEREF _Ref484528884 \h  \* MERGEFORMAT </w:instrText>
      </w:r>
      <w:r w:rsidRPr="00A34125">
        <w:rPr>
          <w:rFonts w:ascii="Times New Roman" w:hAnsi="Times New Roman"/>
          <w:sz w:val="20"/>
          <w:szCs w:val="20"/>
        </w:rPr>
      </w:r>
      <w:r w:rsidRPr="00A34125">
        <w:rPr>
          <w:rFonts w:ascii="Times New Roman" w:hAnsi="Times New Roman"/>
          <w:sz w:val="20"/>
          <w:szCs w:val="20"/>
        </w:rPr>
        <w:fldChar w:fldCharType="separate"/>
      </w:r>
      <w:r>
        <w:rPr>
          <w:rFonts w:ascii="Times New Roman" w:hAnsi="Times New Roman"/>
          <w:sz w:val="20"/>
          <w:szCs w:val="20"/>
        </w:rPr>
        <w:t>150</w:t>
      </w:r>
      <w:r w:rsidRPr="00A34125">
        <w:rPr>
          <w:rFonts w:ascii="Times New Roman" w:hAnsi="Times New Roman"/>
          <w:sz w:val="20"/>
          <w:szCs w:val="20"/>
        </w:rPr>
        <w:fldChar w:fldCharType="end"/>
      </w:r>
      <w:r w:rsidRPr="00A34125">
        <w:rPr>
          <w:rFonts w:ascii="Times New Roman" w:hAnsi="Times New Roman"/>
          <w:sz w:val="20"/>
          <w:szCs w:val="20"/>
        </w:rPr>
        <w:t>.</w:t>
      </w:r>
    </w:p>
  </w:footnote>
  <w:footnote w:id="156">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Ibid 64.</w:t>
      </w:r>
    </w:p>
  </w:footnote>
  <w:footnote w:id="157">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National Human Rights Commission of Nigeria, ‘National Human Rights Commission Table of Commentary on 2009 UPR recommendations and the extent of Compliance’ para 22 &lt; </w:t>
      </w:r>
      <w:hyperlink r:id="rId17" w:history="1">
        <w:r w:rsidRPr="00A34125">
          <w:rPr>
            <w:rStyle w:val="Hyperlink"/>
            <w:rFonts w:ascii="Times New Roman" w:hAnsi="Times New Roman"/>
            <w:sz w:val="20"/>
            <w:szCs w:val="20"/>
          </w:rPr>
          <w:t>https://uprdoc.ohchr.org/uprweb/downloadfile.aspx?filename=556&amp;file=Annexe1</w:t>
        </w:r>
      </w:hyperlink>
      <w:r w:rsidRPr="00A34125">
        <w:rPr>
          <w:rFonts w:ascii="Times New Roman" w:hAnsi="Times New Roman"/>
          <w:sz w:val="20"/>
          <w:szCs w:val="20"/>
        </w:rPr>
        <w:t>&gt;.</w:t>
      </w:r>
    </w:p>
  </w:footnote>
  <w:footnote w:id="158">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HRC UPR II Report –Nigeria</w:t>
      </w:r>
      <w:r>
        <w:rPr>
          <w:rFonts w:ascii="Times New Roman" w:hAnsi="Times New Roman"/>
          <w:i/>
          <w:sz w:val="20"/>
          <w:szCs w:val="20"/>
        </w:rPr>
        <w:t xml:space="preserve">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_Ref503702718 </w:instrText>
      </w:r>
      <w:r>
        <w:rPr>
          <w:rFonts w:ascii="Times New Roman" w:hAnsi="Times New Roman"/>
          <w:sz w:val="20"/>
          <w:szCs w:val="20"/>
        </w:rPr>
        <w:fldChar w:fldCharType="separate"/>
      </w:r>
      <w:r>
        <w:rPr>
          <w:rFonts w:ascii="Times New Roman" w:hAnsi="Times New Roman"/>
          <w:sz w:val="20"/>
          <w:szCs w:val="20"/>
        </w:rPr>
        <w:t>41</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xml:space="preserve"> para 135.171.</w:t>
      </w:r>
    </w:p>
  </w:footnote>
  <w:footnote w:id="159">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iCs/>
          <w:sz w:val="20"/>
          <w:szCs w:val="20"/>
        </w:rPr>
        <w:t>International Covenant on Civil and Political Rights</w:t>
      </w:r>
      <w:r w:rsidRPr="00A34125">
        <w:rPr>
          <w:rFonts w:ascii="Times New Roman" w:hAnsi="Times New Roman"/>
          <w:sz w:val="20"/>
          <w:szCs w:val="20"/>
        </w:rPr>
        <w:t>, opened for signature 16 December 1966, 999 UNTS 14668 (entered into force 23</w:t>
      </w:r>
      <w:r w:rsidRPr="00A34125">
        <w:rPr>
          <w:rFonts w:ascii="Times New Roman" w:hAnsi="Times New Roman"/>
          <w:sz w:val="20"/>
          <w:szCs w:val="20"/>
          <w:vertAlign w:val="superscript"/>
        </w:rPr>
        <w:t xml:space="preserve"> </w:t>
      </w:r>
      <w:r w:rsidRPr="00A34125">
        <w:rPr>
          <w:rFonts w:ascii="Times New Roman" w:hAnsi="Times New Roman"/>
          <w:sz w:val="20"/>
          <w:szCs w:val="20"/>
        </w:rPr>
        <w:t>March 1976) arts 6 and 7. Extra-judicial execution as a non-derogable right is derived from the right to life.</w:t>
      </w:r>
    </w:p>
  </w:footnote>
  <w:footnote w:id="160">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HRC UPR II Report –Nigeria</w:t>
      </w:r>
      <w:r>
        <w:rPr>
          <w:rFonts w:ascii="Times New Roman" w:hAnsi="Times New Roman"/>
          <w:i/>
          <w:sz w:val="20"/>
          <w:szCs w:val="20"/>
        </w:rPr>
        <w:t xml:space="preserve"> </w:t>
      </w:r>
      <w:r>
        <w:rPr>
          <w:rFonts w:ascii="Times New Roman" w:hAnsi="Times New Roman"/>
          <w:sz w:val="20"/>
          <w:szCs w:val="20"/>
        </w:rPr>
        <w:t xml:space="preserve">(note </w:t>
      </w:r>
      <w:r>
        <w:rPr>
          <w:rFonts w:ascii="Times New Roman" w:hAnsi="Times New Roman"/>
          <w:sz w:val="20"/>
          <w:szCs w:val="20"/>
        </w:rPr>
        <w:fldChar w:fldCharType="begin"/>
      </w:r>
      <w:r>
        <w:rPr>
          <w:rFonts w:ascii="Times New Roman" w:hAnsi="Times New Roman"/>
          <w:sz w:val="20"/>
          <w:szCs w:val="20"/>
        </w:rPr>
        <w:instrText xml:space="preserve"> NOTEREF _Ref503702718 </w:instrText>
      </w:r>
      <w:r>
        <w:rPr>
          <w:rFonts w:ascii="Times New Roman" w:hAnsi="Times New Roman"/>
          <w:sz w:val="20"/>
          <w:szCs w:val="20"/>
        </w:rPr>
        <w:fldChar w:fldCharType="separate"/>
      </w:r>
      <w:r>
        <w:rPr>
          <w:rFonts w:ascii="Times New Roman" w:hAnsi="Times New Roman"/>
          <w:sz w:val="20"/>
          <w:szCs w:val="20"/>
        </w:rPr>
        <w:t>41</w:t>
      </w:r>
      <w:r>
        <w:rPr>
          <w:rFonts w:ascii="Times New Roman" w:hAnsi="Times New Roman"/>
          <w:sz w:val="20"/>
          <w:szCs w:val="20"/>
        </w:rPr>
        <w:fldChar w:fldCharType="end"/>
      </w:r>
      <w:r>
        <w:rPr>
          <w:rFonts w:ascii="Times New Roman" w:hAnsi="Times New Roman"/>
          <w:sz w:val="20"/>
          <w:szCs w:val="20"/>
        </w:rPr>
        <w:t xml:space="preserve"> above)</w:t>
      </w:r>
      <w:r w:rsidRPr="00A34125">
        <w:rPr>
          <w:rFonts w:ascii="Times New Roman" w:hAnsi="Times New Roman"/>
          <w:sz w:val="20"/>
          <w:szCs w:val="20"/>
        </w:rPr>
        <w:t>, paras 135.68–135.70 and 135.170.</w:t>
      </w:r>
    </w:p>
  </w:footnote>
  <w:footnote w:id="161">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Pr>
          <w:rFonts w:ascii="Times New Roman" w:hAnsi="Times New Roman"/>
          <w:sz w:val="20"/>
          <w:szCs w:val="20"/>
        </w:rPr>
        <w:t xml:space="preserve">Redondo (note </w:t>
      </w:r>
      <w:r>
        <w:rPr>
          <w:rFonts w:ascii="Times New Roman" w:hAnsi="Times New Roman"/>
          <w:sz w:val="20"/>
          <w:szCs w:val="20"/>
        </w:rPr>
        <w:fldChar w:fldCharType="begin"/>
      </w:r>
      <w:r>
        <w:rPr>
          <w:rFonts w:ascii="Times New Roman" w:hAnsi="Times New Roman"/>
          <w:sz w:val="20"/>
          <w:szCs w:val="20"/>
        </w:rPr>
        <w:instrText xml:space="preserve"> NOTEREF _Ref503704924 </w:instrText>
      </w:r>
      <w:r>
        <w:rPr>
          <w:rFonts w:ascii="Times New Roman" w:hAnsi="Times New Roman"/>
          <w:sz w:val="20"/>
          <w:szCs w:val="20"/>
        </w:rPr>
        <w:fldChar w:fldCharType="separate"/>
      </w:r>
      <w:r>
        <w:rPr>
          <w:rFonts w:ascii="Times New Roman" w:hAnsi="Times New Roman"/>
          <w:sz w:val="20"/>
          <w:szCs w:val="20"/>
        </w:rPr>
        <w:t>93</w:t>
      </w:r>
      <w:r>
        <w:rPr>
          <w:rFonts w:ascii="Times New Roman" w:hAnsi="Times New Roman"/>
          <w:sz w:val="20"/>
          <w:szCs w:val="20"/>
        </w:rPr>
        <w:fldChar w:fldCharType="end"/>
      </w:r>
      <w:r w:rsidRPr="00A34125">
        <w:rPr>
          <w:rFonts w:ascii="Times New Roman" w:hAnsi="Times New Roman"/>
          <w:sz w:val="20"/>
          <w:szCs w:val="20"/>
        </w:rPr>
        <w:t xml:space="preserve"> above) 683.</w:t>
      </w:r>
    </w:p>
  </w:footnote>
  <w:footnote w:id="162">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BBC News, ‘Cameron threat to dock some UK aid to anti-gay nations’ (2011) </w:t>
      </w:r>
      <w:hyperlink r:id="rId18" w:history="1">
        <w:r w:rsidRPr="00A34125">
          <w:rPr>
            <w:rStyle w:val="Hyperlink"/>
            <w:rFonts w:ascii="Times New Roman" w:hAnsi="Times New Roman"/>
            <w:color w:val="auto"/>
            <w:sz w:val="20"/>
            <w:szCs w:val="20"/>
          </w:rPr>
          <w:t>http://www.bbc.com/news/uk-15511081</w:t>
        </w:r>
      </w:hyperlink>
      <w:r w:rsidRPr="00A34125">
        <w:rPr>
          <w:rFonts w:ascii="Times New Roman" w:hAnsi="Times New Roman"/>
          <w:sz w:val="20"/>
          <w:szCs w:val="20"/>
        </w:rPr>
        <w:t xml:space="preserve">. </w:t>
      </w:r>
    </w:p>
  </w:footnote>
  <w:footnote w:id="163">
    <w:p w:rsidR="00E147BA" w:rsidRPr="00A34125" w:rsidRDefault="00E147BA" w:rsidP="00A34125">
      <w:pPr>
        <w:pStyle w:val="NoSpacing"/>
        <w:jc w:val="both"/>
        <w:rPr>
          <w:rFonts w:ascii="Times New Roman" w:hAnsi="Times New Roman"/>
          <w:sz w:val="20"/>
          <w:szCs w:val="20"/>
        </w:rPr>
      </w:pPr>
      <w:r w:rsidRPr="00A34125">
        <w:rPr>
          <w:rStyle w:val="FootnoteReference"/>
          <w:rFonts w:ascii="Times New Roman" w:hAnsi="Times New Roman"/>
          <w:sz w:val="20"/>
          <w:szCs w:val="20"/>
        </w:rPr>
        <w:footnoteRef/>
      </w:r>
      <w:r w:rsidRPr="00A34125">
        <w:rPr>
          <w:rFonts w:ascii="Times New Roman" w:hAnsi="Times New Roman"/>
          <w:sz w:val="20"/>
          <w:szCs w:val="20"/>
        </w:rPr>
        <w:t xml:space="preserve"> </w:t>
      </w:r>
      <w:r w:rsidRPr="00A34125">
        <w:rPr>
          <w:rFonts w:ascii="Times New Roman" w:hAnsi="Times New Roman"/>
          <w:i/>
          <w:sz w:val="20"/>
          <w:szCs w:val="20"/>
        </w:rPr>
        <w:t xml:space="preserve">Same Sex Marriage Prohibition Act 2013 </w:t>
      </w:r>
      <w:r w:rsidRPr="00A34125">
        <w:rPr>
          <w:rFonts w:ascii="Times New Roman" w:hAnsi="Times New Roman"/>
          <w:sz w:val="20"/>
          <w:szCs w:val="20"/>
        </w:rPr>
        <w:t xml:space="preserve">(Nigeria); </w:t>
      </w:r>
      <w:r w:rsidRPr="00A34125">
        <w:rPr>
          <w:rFonts w:ascii="Times New Roman" w:hAnsi="Times New Roman"/>
          <w:i/>
          <w:sz w:val="20"/>
          <w:szCs w:val="20"/>
        </w:rPr>
        <w:t>Uganda Anti-Homosexuality Act, 2014</w:t>
      </w:r>
      <w:r w:rsidRPr="00A34125">
        <w:rPr>
          <w:rFonts w:ascii="Times New Roman" w:hAnsi="Times New Roman"/>
          <w:sz w:val="20"/>
          <w:szCs w:val="20"/>
        </w:rPr>
        <w:t xml:space="preserve"> (Uganda).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1E8"/>
    <w:multiLevelType w:val="hybridMultilevel"/>
    <w:tmpl w:val="CCE865A6"/>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955483"/>
    <w:multiLevelType w:val="hybridMultilevel"/>
    <w:tmpl w:val="587C03C8"/>
    <w:lvl w:ilvl="0" w:tplc="3E0CA4EA">
      <w:start w:val="2"/>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9E1B81"/>
    <w:multiLevelType w:val="multilevel"/>
    <w:tmpl w:val="B644F5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C12026"/>
    <w:multiLevelType w:val="hybridMultilevel"/>
    <w:tmpl w:val="A32A2898"/>
    <w:lvl w:ilvl="0" w:tplc="C07245BE">
      <w:start w:val="1"/>
      <w:numFmt w:val="decimal"/>
      <w:lvlText w:val="%1."/>
      <w:lvlJc w:val="left"/>
      <w:pPr>
        <w:ind w:left="720" w:hanging="360"/>
      </w:pPr>
      <w:rPr>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0D3A16"/>
    <w:multiLevelType w:val="hybridMultilevel"/>
    <w:tmpl w:val="7CF437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414569"/>
    <w:multiLevelType w:val="hybridMultilevel"/>
    <w:tmpl w:val="90C2F7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070118"/>
    <w:multiLevelType w:val="multilevel"/>
    <w:tmpl w:val="4B2C3CE6"/>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1F0B45"/>
    <w:multiLevelType w:val="hybridMultilevel"/>
    <w:tmpl w:val="7CF437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1B56A5"/>
    <w:multiLevelType w:val="hybridMultilevel"/>
    <w:tmpl w:val="9FDC43FA"/>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75F26AD"/>
    <w:multiLevelType w:val="hybridMultilevel"/>
    <w:tmpl w:val="3AB80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964759"/>
    <w:multiLevelType w:val="hybridMultilevel"/>
    <w:tmpl w:val="C26AE1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C8311C"/>
    <w:multiLevelType w:val="hybridMultilevel"/>
    <w:tmpl w:val="72D49D9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E840364"/>
    <w:multiLevelType w:val="multilevel"/>
    <w:tmpl w:val="7E2AA9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9231D5"/>
    <w:multiLevelType w:val="multilevel"/>
    <w:tmpl w:val="6268AEA2"/>
    <w:lvl w:ilvl="0">
      <w:start w:val="1"/>
      <w:numFmt w:val="upperRoman"/>
      <w:lvlText w:val="%1."/>
      <w:lvlJc w:val="left"/>
      <w:pPr>
        <w:ind w:left="1080" w:hanging="72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280D65"/>
    <w:multiLevelType w:val="hybridMultilevel"/>
    <w:tmpl w:val="6FDCAF12"/>
    <w:lvl w:ilvl="0" w:tplc="EB48C77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D445BF"/>
    <w:multiLevelType w:val="hybridMultilevel"/>
    <w:tmpl w:val="D93C7F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8F6EF7"/>
    <w:multiLevelType w:val="hybridMultilevel"/>
    <w:tmpl w:val="3EF2373E"/>
    <w:lvl w:ilvl="0" w:tplc="997A86E8">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2B93212"/>
    <w:multiLevelType w:val="hybridMultilevel"/>
    <w:tmpl w:val="95A0AE18"/>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7B66EF4"/>
    <w:multiLevelType w:val="hybridMultilevel"/>
    <w:tmpl w:val="7E7856D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EC8355C"/>
    <w:multiLevelType w:val="hybridMultilevel"/>
    <w:tmpl w:val="8604D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FB6995"/>
    <w:multiLevelType w:val="hybridMultilevel"/>
    <w:tmpl w:val="954E49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013530"/>
    <w:multiLevelType w:val="hybridMultilevel"/>
    <w:tmpl w:val="A6EE6EE0"/>
    <w:lvl w:ilvl="0" w:tplc="FF5613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3E17FE"/>
    <w:multiLevelType w:val="hybridMultilevel"/>
    <w:tmpl w:val="3E9C30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1934B2"/>
    <w:multiLevelType w:val="hybridMultilevel"/>
    <w:tmpl w:val="378EBD78"/>
    <w:lvl w:ilvl="0" w:tplc="0C090009">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2A7329"/>
    <w:multiLevelType w:val="multilevel"/>
    <w:tmpl w:val="66A439CA"/>
    <w:lvl w:ilvl="0">
      <w:start w:val="4"/>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25" w15:restartNumberingAfterBreak="0">
    <w:nsid w:val="7C9E1397"/>
    <w:multiLevelType w:val="multilevel"/>
    <w:tmpl w:val="6FDCAF1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7E19463A"/>
    <w:multiLevelType w:val="hybridMultilevel"/>
    <w:tmpl w:val="365E29E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9"/>
  </w:num>
  <w:num w:numId="2">
    <w:abstractNumId w:val="0"/>
  </w:num>
  <w:num w:numId="3">
    <w:abstractNumId w:val="17"/>
  </w:num>
  <w:num w:numId="4">
    <w:abstractNumId w:val="8"/>
  </w:num>
  <w:num w:numId="5">
    <w:abstractNumId w:val="4"/>
  </w:num>
  <w:num w:numId="6">
    <w:abstractNumId w:val="26"/>
  </w:num>
  <w:num w:numId="7">
    <w:abstractNumId w:val="5"/>
  </w:num>
  <w:num w:numId="8">
    <w:abstractNumId w:val="15"/>
  </w:num>
  <w:num w:numId="9">
    <w:abstractNumId w:val="23"/>
  </w:num>
  <w:num w:numId="10">
    <w:abstractNumId w:val="11"/>
  </w:num>
  <w:num w:numId="11">
    <w:abstractNumId w:val="7"/>
  </w:num>
  <w:num w:numId="12">
    <w:abstractNumId w:val="20"/>
  </w:num>
  <w:num w:numId="13">
    <w:abstractNumId w:val="1"/>
  </w:num>
  <w:num w:numId="14">
    <w:abstractNumId w:val="21"/>
  </w:num>
  <w:num w:numId="15">
    <w:abstractNumId w:val="19"/>
  </w:num>
  <w:num w:numId="16">
    <w:abstractNumId w:val="3"/>
  </w:num>
  <w:num w:numId="17">
    <w:abstractNumId w:val="13"/>
  </w:num>
  <w:num w:numId="18">
    <w:abstractNumId w:val="16"/>
  </w:num>
  <w:num w:numId="19">
    <w:abstractNumId w:val="18"/>
  </w:num>
  <w:num w:numId="20">
    <w:abstractNumId w:val="10"/>
  </w:num>
  <w:num w:numId="21">
    <w:abstractNumId w:val="6"/>
  </w:num>
  <w:num w:numId="22">
    <w:abstractNumId w:val="14"/>
  </w:num>
  <w:num w:numId="23">
    <w:abstractNumId w:val="25"/>
  </w:num>
  <w:num w:numId="24">
    <w:abstractNumId w:val="22"/>
  </w:num>
  <w:num w:numId="25">
    <w:abstractNumId w:val="2"/>
  </w:num>
  <w:num w:numId="26">
    <w:abstractNumId w:val="2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2CA"/>
    <w:rsid w:val="00004932"/>
    <w:rsid w:val="00005076"/>
    <w:rsid w:val="0000653B"/>
    <w:rsid w:val="00013E51"/>
    <w:rsid w:val="00017A6A"/>
    <w:rsid w:val="00017ACC"/>
    <w:rsid w:val="000223A0"/>
    <w:rsid w:val="00023DC3"/>
    <w:rsid w:val="000248EB"/>
    <w:rsid w:val="00026676"/>
    <w:rsid w:val="000307A1"/>
    <w:rsid w:val="00031A7F"/>
    <w:rsid w:val="00033A2B"/>
    <w:rsid w:val="00033D13"/>
    <w:rsid w:val="0003401B"/>
    <w:rsid w:val="00035F6C"/>
    <w:rsid w:val="000373D2"/>
    <w:rsid w:val="00041C47"/>
    <w:rsid w:val="00043C77"/>
    <w:rsid w:val="00047142"/>
    <w:rsid w:val="000476EC"/>
    <w:rsid w:val="0005423A"/>
    <w:rsid w:val="00055066"/>
    <w:rsid w:val="000571BF"/>
    <w:rsid w:val="0006053E"/>
    <w:rsid w:val="0006127A"/>
    <w:rsid w:val="00063D3F"/>
    <w:rsid w:val="00066961"/>
    <w:rsid w:val="0006770D"/>
    <w:rsid w:val="000701AE"/>
    <w:rsid w:val="00073E0F"/>
    <w:rsid w:val="00087A72"/>
    <w:rsid w:val="0009486F"/>
    <w:rsid w:val="0009678E"/>
    <w:rsid w:val="000976E5"/>
    <w:rsid w:val="000A169A"/>
    <w:rsid w:val="000A7C84"/>
    <w:rsid w:val="000B0DF1"/>
    <w:rsid w:val="000B1E6B"/>
    <w:rsid w:val="000B581F"/>
    <w:rsid w:val="000B656B"/>
    <w:rsid w:val="000C0D8D"/>
    <w:rsid w:val="000C1455"/>
    <w:rsid w:val="000C6EB4"/>
    <w:rsid w:val="000D1968"/>
    <w:rsid w:val="000D2B05"/>
    <w:rsid w:val="000D46A7"/>
    <w:rsid w:val="000D4C4A"/>
    <w:rsid w:val="000E19F0"/>
    <w:rsid w:val="000E493C"/>
    <w:rsid w:val="000E4C78"/>
    <w:rsid w:val="000F0F04"/>
    <w:rsid w:val="000F35E8"/>
    <w:rsid w:val="000F4C28"/>
    <w:rsid w:val="00100018"/>
    <w:rsid w:val="00100956"/>
    <w:rsid w:val="00100B57"/>
    <w:rsid w:val="00103B16"/>
    <w:rsid w:val="00103F77"/>
    <w:rsid w:val="00105328"/>
    <w:rsid w:val="001054D5"/>
    <w:rsid w:val="00105658"/>
    <w:rsid w:val="001074AD"/>
    <w:rsid w:val="00111F93"/>
    <w:rsid w:val="00113353"/>
    <w:rsid w:val="001145AD"/>
    <w:rsid w:val="001150FF"/>
    <w:rsid w:val="00116F37"/>
    <w:rsid w:val="001211CC"/>
    <w:rsid w:val="001217C1"/>
    <w:rsid w:val="0012267C"/>
    <w:rsid w:val="00124F92"/>
    <w:rsid w:val="001305F9"/>
    <w:rsid w:val="00131745"/>
    <w:rsid w:val="00131AFB"/>
    <w:rsid w:val="00135887"/>
    <w:rsid w:val="00140ABB"/>
    <w:rsid w:val="00140C09"/>
    <w:rsid w:val="001450E1"/>
    <w:rsid w:val="00146949"/>
    <w:rsid w:val="00151224"/>
    <w:rsid w:val="00151695"/>
    <w:rsid w:val="001526F9"/>
    <w:rsid w:val="00153363"/>
    <w:rsid w:val="00154C98"/>
    <w:rsid w:val="00157269"/>
    <w:rsid w:val="001602EB"/>
    <w:rsid w:val="001640E4"/>
    <w:rsid w:val="00167036"/>
    <w:rsid w:val="001721B6"/>
    <w:rsid w:val="001745A4"/>
    <w:rsid w:val="001768A1"/>
    <w:rsid w:val="001808B8"/>
    <w:rsid w:val="0018645D"/>
    <w:rsid w:val="001919A5"/>
    <w:rsid w:val="00195364"/>
    <w:rsid w:val="00195420"/>
    <w:rsid w:val="00195628"/>
    <w:rsid w:val="00196903"/>
    <w:rsid w:val="001A1BC4"/>
    <w:rsid w:val="001A3BEA"/>
    <w:rsid w:val="001A57FA"/>
    <w:rsid w:val="001B2603"/>
    <w:rsid w:val="001B73ED"/>
    <w:rsid w:val="001B747B"/>
    <w:rsid w:val="001C3103"/>
    <w:rsid w:val="001D711B"/>
    <w:rsid w:val="001D7262"/>
    <w:rsid w:val="001E0AB2"/>
    <w:rsid w:val="001E2FD2"/>
    <w:rsid w:val="001E7C6C"/>
    <w:rsid w:val="001F053D"/>
    <w:rsid w:val="001F1D2E"/>
    <w:rsid w:val="001F5AD9"/>
    <w:rsid w:val="001F5FCD"/>
    <w:rsid w:val="001F6DB3"/>
    <w:rsid w:val="00201856"/>
    <w:rsid w:val="00202E08"/>
    <w:rsid w:val="002031E8"/>
    <w:rsid w:val="002069EB"/>
    <w:rsid w:val="002078F6"/>
    <w:rsid w:val="002119F0"/>
    <w:rsid w:val="00211D95"/>
    <w:rsid w:val="00212043"/>
    <w:rsid w:val="00212D1D"/>
    <w:rsid w:val="00220524"/>
    <w:rsid w:val="00224BCE"/>
    <w:rsid w:val="00233CF8"/>
    <w:rsid w:val="00241E83"/>
    <w:rsid w:val="0024423A"/>
    <w:rsid w:val="0024539E"/>
    <w:rsid w:val="002504F1"/>
    <w:rsid w:val="002507AA"/>
    <w:rsid w:val="0026155A"/>
    <w:rsid w:val="00261AFF"/>
    <w:rsid w:val="00261EBC"/>
    <w:rsid w:val="00262F25"/>
    <w:rsid w:val="002655EC"/>
    <w:rsid w:val="00271047"/>
    <w:rsid w:val="00274960"/>
    <w:rsid w:val="00274A18"/>
    <w:rsid w:val="00274B20"/>
    <w:rsid w:val="0027603B"/>
    <w:rsid w:val="00276394"/>
    <w:rsid w:val="00276B53"/>
    <w:rsid w:val="00276EAE"/>
    <w:rsid w:val="00280291"/>
    <w:rsid w:val="002810F7"/>
    <w:rsid w:val="00281651"/>
    <w:rsid w:val="00282ADB"/>
    <w:rsid w:val="0028356E"/>
    <w:rsid w:val="00284D0A"/>
    <w:rsid w:val="00284E7C"/>
    <w:rsid w:val="0028665D"/>
    <w:rsid w:val="0028747F"/>
    <w:rsid w:val="0029048C"/>
    <w:rsid w:val="002964F7"/>
    <w:rsid w:val="0029774F"/>
    <w:rsid w:val="00297A92"/>
    <w:rsid w:val="002A03A2"/>
    <w:rsid w:val="002A245D"/>
    <w:rsid w:val="002A2482"/>
    <w:rsid w:val="002A2C4A"/>
    <w:rsid w:val="002A469A"/>
    <w:rsid w:val="002A718D"/>
    <w:rsid w:val="002B1C62"/>
    <w:rsid w:val="002B4037"/>
    <w:rsid w:val="002B409E"/>
    <w:rsid w:val="002B6D1A"/>
    <w:rsid w:val="002C27B5"/>
    <w:rsid w:val="002C4CB8"/>
    <w:rsid w:val="002C51D3"/>
    <w:rsid w:val="002C5634"/>
    <w:rsid w:val="002C5C58"/>
    <w:rsid w:val="002C68EE"/>
    <w:rsid w:val="002C6A12"/>
    <w:rsid w:val="002C7480"/>
    <w:rsid w:val="002D17F0"/>
    <w:rsid w:val="002D18B3"/>
    <w:rsid w:val="002D21E3"/>
    <w:rsid w:val="002D4937"/>
    <w:rsid w:val="002D5E40"/>
    <w:rsid w:val="002E0173"/>
    <w:rsid w:val="002E2A69"/>
    <w:rsid w:val="002E415F"/>
    <w:rsid w:val="002E518B"/>
    <w:rsid w:val="002E7317"/>
    <w:rsid w:val="002E76CD"/>
    <w:rsid w:val="002E7BFB"/>
    <w:rsid w:val="002F1963"/>
    <w:rsid w:val="002F3356"/>
    <w:rsid w:val="002F36A8"/>
    <w:rsid w:val="002F536F"/>
    <w:rsid w:val="00300401"/>
    <w:rsid w:val="00300B69"/>
    <w:rsid w:val="00300CEB"/>
    <w:rsid w:val="003021AF"/>
    <w:rsid w:val="00302597"/>
    <w:rsid w:val="00304F2C"/>
    <w:rsid w:val="00306819"/>
    <w:rsid w:val="00306F27"/>
    <w:rsid w:val="00310A45"/>
    <w:rsid w:val="00312578"/>
    <w:rsid w:val="003175C5"/>
    <w:rsid w:val="00321776"/>
    <w:rsid w:val="00322B97"/>
    <w:rsid w:val="00324333"/>
    <w:rsid w:val="0032758A"/>
    <w:rsid w:val="00331D01"/>
    <w:rsid w:val="003332E9"/>
    <w:rsid w:val="00333F3A"/>
    <w:rsid w:val="003345BE"/>
    <w:rsid w:val="00336D54"/>
    <w:rsid w:val="003405A3"/>
    <w:rsid w:val="0034339E"/>
    <w:rsid w:val="003460BD"/>
    <w:rsid w:val="003464DE"/>
    <w:rsid w:val="00351900"/>
    <w:rsid w:val="003527B9"/>
    <w:rsid w:val="0035478C"/>
    <w:rsid w:val="003552CA"/>
    <w:rsid w:val="0035635A"/>
    <w:rsid w:val="0035732D"/>
    <w:rsid w:val="003578AA"/>
    <w:rsid w:val="003703AD"/>
    <w:rsid w:val="0037141B"/>
    <w:rsid w:val="00371CFD"/>
    <w:rsid w:val="00374C73"/>
    <w:rsid w:val="00376E95"/>
    <w:rsid w:val="003775A8"/>
    <w:rsid w:val="003835E4"/>
    <w:rsid w:val="0038519D"/>
    <w:rsid w:val="00386068"/>
    <w:rsid w:val="00386362"/>
    <w:rsid w:val="003870E5"/>
    <w:rsid w:val="00390340"/>
    <w:rsid w:val="00390D3E"/>
    <w:rsid w:val="00391E67"/>
    <w:rsid w:val="003922FE"/>
    <w:rsid w:val="00392C51"/>
    <w:rsid w:val="003A085F"/>
    <w:rsid w:val="003A3A25"/>
    <w:rsid w:val="003A4DB3"/>
    <w:rsid w:val="003B16DD"/>
    <w:rsid w:val="003B2016"/>
    <w:rsid w:val="003B296A"/>
    <w:rsid w:val="003B49B2"/>
    <w:rsid w:val="003B5322"/>
    <w:rsid w:val="003C095B"/>
    <w:rsid w:val="003C1C4B"/>
    <w:rsid w:val="003C5087"/>
    <w:rsid w:val="003D0E6F"/>
    <w:rsid w:val="003D44D8"/>
    <w:rsid w:val="003D4DDF"/>
    <w:rsid w:val="003D5D00"/>
    <w:rsid w:val="003D642A"/>
    <w:rsid w:val="003E0458"/>
    <w:rsid w:val="003E2E11"/>
    <w:rsid w:val="003E41BE"/>
    <w:rsid w:val="003E779D"/>
    <w:rsid w:val="003F169C"/>
    <w:rsid w:val="003F346F"/>
    <w:rsid w:val="003F3E12"/>
    <w:rsid w:val="003F4215"/>
    <w:rsid w:val="003F4251"/>
    <w:rsid w:val="003F5685"/>
    <w:rsid w:val="0040022D"/>
    <w:rsid w:val="0040093D"/>
    <w:rsid w:val="00402A7D"/>
    <w:rsid w:val="004036F1"/>
    <w:rsid w:val="0040385C"/>
    <w:rsid w:val="004038FE"/>
    <w:rsid w:val="00404BE9"/>
    <w:rsid w:val="004143CC"/>
    <w:rsid w:val="00421BDE"/>
    <w:rsid w:val="00423627"/>
    <w:rsid w:val="0042567E"/>
    <w:rsid w:val="0043013B"/>
    <w:rsid w:val="00432822"/>
    <w:rsid w:val="00435D76"/>
    <w:rsid w:val="004366DB"/>
    <w:rsid w:val="00440A86"/>
    <w:rsid w:val="00442879"/>
    <w:rsid w:val="004431E7"/>
    <w:rsid w:val="00444D6D"/>
    <w:rsid w:val="00450FD2"/>
    <w:rsid w:val="0045618A"/>
    <w:rsid w:val="00457DFF"/>
    <w:rsid w:val="00460A0C"/>
    <w:rsid w:val="00461DF3"/>
    <w:rsid w:val="004641DC"/>
    <w:rsid w:val="00466CCE"/>
    <w:rsid w:val="0046773E"/>
    <w:rsid w:val="004708B7"/>
    <w:rsid w:val="00483211"/>
    <w:rsid w:val="004843A0"/>
    <w:rsid w:val="0048477B"/>
    <w:rsid w:val="00487732"/>
    <w:rsid w:val="00487DEA"/>
    <w:rsid w:val="00492B7F"/>
    <w:rsid w:val="00493B2E"/>
    <w:rsid w:val="00493CEF"/>
    <w:rsid w:val="00493D47"/>
    <w:rsid w:val="004A0E0D"/>
    <w:rsid w:val="004A1922"/>
    <w:rsid w:val="004A48A2"/>
    <w:rsid w:val="004A505C"/>
    <w:rsid w:val="004A7835"/>
    <w:rsid w:val="004B381B"/>
    <w:rsid w:val="004B7B8C"/>
    <w:rsid w:val="004C1CD9"/>
    <w:rsid w:val="004C5712"/>
    <w:rsid w:val="004C6647"/>
    <w:rsid w:val="004C76F5"/>
    <w:rsid w:val="004D09FB"/>
    <w:rsid w:val="004D10EC"/>
    <w:rsid w:val="004D6E11"/>
    <w:rsid w:val="004E0B4A"/>
    <w:rsid w:val="004E1313"/>
    <w:rsid w:val="004E1B3F"/>
    <w:rsid w:val="004E3C90"/>
    <w:rsid w:val="004F2C1E"/>
    <w:rsid w:val="004F54D6"/>
    <w:rsid w:val="004F6A7A"/>
    <w:rsid w:val="004F7537"/>
    <w:rsid w:val="00507045"/>
    <w:rsid w:val="005115D4"/>
    <w:rsid w:val="00512AF7"/>
    <w:rsid w:val="00515688"/>
    <w:rsid w:val="005203C9"/>
    <w:rsid w:val="0052466E"/>
    <w:rsid w:val="00526E3A"/>
    <w:rsid w:val="005317C4"/>
    <w:rsid w:val="005411D8"/>
    <w:rsid w:val="00542793"/>
    <w:rsid w:val="00543A24"/>
    <w:rsid w:val="00543FAE"/>
    <w:rsid w:val="00544730"/>
    <w:rsid w:val="00545173"/>
    <w:rsid w:val="005478F8"/>
    <w:rsid w:val="0055104E"/>
    <w:rsid w:val="005522DC"/>
    <w:rsid w:val="00553FAB"/>
    <w:rsid w:val="0056044D"/>
    <w:rsid w:val="005604E4"/>
    <w:rsid w:val="00563F5A"/>
    <w:rsid w:val="0056480D"/>
    <w:rsid w:val="00565FF9"/>
    <w:rsid w:val="00570EC3"/>
    <w:rsid w:val="0057205C"/>
    <w:rsid w:val="00572C31"/>
    <w:rsid w:val="005754AF"/>
    <w:rsid w:val="00580642"/>
    <w:rsid w:val="005817D5"/>
    <w:rsid w:val="005823A9"/>
    <w:rsid w:val="00585765"/>
    <w:rsid w:val="00592F3F"/>
    <w:rsid w:val="00594258"/>
    <w:rsid w:val="005951B7"/>
    <w:rsid w:val="0059727F"/>
    <w:rsid w:val="00597502"/>
    <w:rsid w:val="005A1113"/>
    <w:rsid w:val="005A1FF9"/>
    <w:rsid w:val="005A346B"/>
    <w:rsid w:val="005A46B2"/>
    <w:rsid w:val="005A4A28"/>
    <w:rsid w:val="005A7D3C"/>
    <w:rsid w:val="005B4C56"/>
    <w:rsid w:val="005B687F"/>
    <w:rsid w:val="005C2500"/>
    <w:rsid w:val="005C282F"/>
    <w:rsid w:val="005C296E"/>
    <w:rsid w:val="005C2A1A"/>
    <w:rsid w:val="005C4FD1"/>
    <w:rsid w:val="005C5262"/>
    <w:rsid w:val="005D4C13"/>
    <w:rsid w:val="005E0944"/>
    <w:rsid w:val="005E1AA8"/>
    <w:rsid w:val="005E1D7D"/>
    <w:rsid w:val="005E2270"/>
    <w:rsid w:val="005E4D4C"/>
    <w:rsid w:val="005E58B1"/>
    <w:rsid w:val="005E5DE9"/>
    <w:rsid w:val="005E5F98"/>
    <w:rsid w:val="005E7223"/>
    <w:rsid w:val="005E7A1B"/>
    <w:rsid w:val="005F104B"/>
    <w:rsid w:val="005F45CB"/>
    <w:rsid w:val="005F6EA9"/>
    <w:rsid w:val="005F7EEE"/>
    <w:rsid w:val="00600529"/>
    <w:rsid w:val="00600FD7"/>
    <w:rsid w:val="0060629F"/>
    <w:rsid w:val="00611413"/>
    <w:rsid w:val="006125FE"/>
    <w:rsid w:val="0061415C"/>
    <w:rsid w:val="0061465B"/>
    <w:rsid w:val="006152DB"/>
    <w:rsid w:val="006201CF"/>
    <w:rsid w:val="00622881"/>
    <w:rsid w:val="00624580"/>
    <w:rsid w:val="00624CCD"/>
    <w:rsid w:val="006274B7"/>
    <w:rsid w:val="006320B0"/>
    <w:rsid w:val="00632895"/>
    <w:rsid w:val="00634C40"/>
    <w:rsid w:val="00634CFB"/>
    <w:rsid w:val="00635B4A"/>
    <w:rsid w:val="006375E9"/>
    <w:rsid w:val="006401BB"/>
    <w:rsid w:val="00641E7B"/>
    <w:rsid w:val="006507A9"/>
    <w:rsid w:val="0065206E"/>
    <w:rsid w:val="0065263F"/>
    <w:rsid w:val="0065559C"/>
    <w:rsid w:val="00655E61"/>
    <w:rsid w:val="00656FB1"/>
    <w:rsid w:val="006618F7"/>
    <w:rsid w:val="0066302A"/>
    <w:rsid w:val="00663A7D"/>
    <w:rsid w:val="00664B7B"/>
    <w:rsid w:val="00665AED"/>
    <w:rsid w:val="0066625C"/>
    <w:rsid w:val="00670A5E"/>
    <w:rsid w:val="00670C53"/>
    <w:rsid w:val="0067112D"/>
    <w:rsid w:val="0068036A"/>
    <w:rsid w:val="0068113D"/>
    <w:rsid w:val="00681FDF"/>
    <w:rsid w:val="00683789"/>
    <w:rsid w:val="00685FD3"/>
    <w:rsid w:val="006871F1"/>
    <w:rsid w:val="0068727E"/>
    <w:rsid w:val="00697084"/>
    <w:rsid w:val="006A143F"/>
    <w:rsid w:val="006A6F4E"/>
    <w:rsid w:val="006A6F81"/>
    <w:rsid w:val="006B25E4"/>
    <w:rsid w:val="006B39FA"/>
    <w:rsid w:val="006B3BF3"/>
    <w:rsid w:val="006B4252"/>
    <w:rsid w:val="006B5D14"/>
    <w:rsid w:val="006C407F"/>
    <w:rsid w:val="006C728E"/>
    <w:rsid w:val="006D02A8"/>
    <w:rsid w:val="006D14AE"/>
    <w:rsid w:val="006D197D"/>
    <w:rsid w:val="006D2AA7"/>
    <w:rsid w:val="006D2CE9"/>
    <w:rsid w:val="006D2FC0"/>
    <w:rsid w:val="006D645F"/>
    <w:rsid w:val="006E4B61"/>
    <w:rsid w:val="006F0116"/>
    <w:rsid w:val="006F0574"/>
    <w:rsid w:val="006F1020"/>
    <w:rsid w:val="006F27DF"/>
    <w:rsid w:val="006F2B82"/>
    <w:rsid w:val="006F39C7"/>
    <w:rsid w:val="006F5C0A"/>
    <w:rsid w:val="006F62F8"/>
    <w:rsid w:val="006F6D9D"/>
    <w:rsid w:val="00700723"/>
    <w:rsid w:val="00706553"/>
    <w:rsid w:val="0070704A"/>
    <w:rsid w:val="00707C81"/>
    <w:rsid w:val="00707EB8"/>
    <w:rsid w:val="00710E3C"/>
    <w:rsid w:val="007163A5"/>
    <w:rsid w:val="00717E07"/>
    <w:rsid w:val="00721C77"/>
    <w:rsid w:val="0072252D"/>
    <w:rsid w:val="00723A88"/>
    <w:rsid w:val="00726342"/>
    <w:rsid w:val="00726A41"/>
    <w:rsid w:val="00726DA0"/>
    <w:rsid w:val="0073381C"/>
    <w:rsid w:val="00735C1C"/>
    <w:rsid w:val="00740289"/>
    <w:rsid w:val="0074263B"/>
    <w:rsid w:val="00743D95"/>
    <w:rsid w:val="0074491B"/>
    <w:rsid w:val="0074760E"/>
    <w:rsid w:val="00750B59"/>
    <w:rsid w:val="00750F02"/>
    <w:rsid w:val="00751529"/>
    <w:rsid w:val="00751EF9"/>
    <w:rsid w:val="00752CFC"/>
    <w:rsid w:val="0075797F"/>
    <w:rsid w:val="007579CA"/>
    <w:rsid w:val="00757A87"/>
    <w:rsid w:val="007610B9"/>
    <w:rsid w:val="00761299"/>
    <w:rsid w:val="007624FC"/>
    <w:rsid w:val="007655D2"/>
    <w:rsid w:val="00766591"/>
    <w:rsid w:val="00773D81"/>
    <w:rsid w:val="0077429F"/>
    <w:rsid w:val="00776FCB"/>
    <w:rsid w:val="0077714E"/>
    <w:rsid w:val="007771E4"/>
    <w:rsid w:val="007811EF"/>
    <w:rsid w:val="0078397C"/>
    <w:rsid w:val="00792960"/>
    <w:rsid w:val="00792AE0"/>
    <w:rsid w:val="00795631"/>
    <w:rsid w:val="0079790F"/>
    <w:rsid w:val="007A1CB2"/>
    <w:rsid w:val="007A48C5"/>
    <w:rsid w:val="007A4AD5"/>
    <w:rsid w:val="007A5E6F"/>
    <w:rsid w:val="007B02A2"/>
    <w:rsid w:val="007B056C"/>
    <w:rsid w:val="007B0EF9"/>
    <w:rsid w:val="007B1BD3"/>
    <w:rsid w:val="007B269A"/>
    <w:rsid w:val="007B39E7"/>
    <w:rsid w:val="007B5245"/>
    <w:rsid w:val="007B5C63"/>
    <w:rsid w:val="007B6D9B"/>
    <w:rsid w:val="007B7C21"/>
    <w:rsid w:val="007C7789"/>
    <w:rsid w:val="007D168B"/>
    <w:rsid w:val="007D4710"/>
    <w:rsid w:val="007D70DD"/>
    <w:rsid w:val="007E1B3C"/>
    <w:rsid w:val="007E2847"/>
    <w:rsid w:val="007E2901"/>
    <w:rsid w:val="007E4D3E"/>
    <w:rsid w:val="007E52D3"/>
    <w:rsid w:val="007E619E"/>
    <w:rsid w:val="007E6C03"/>
    <w:rsid w:val="007E77CF"/>
    <w:rsid w:val="007F261D"/>
    <w:rsid w:val="007F39D4"/>
    <w:rsid w:val="007F5B02"/>
    <w:rsid w:val="007F6396"/>
    <w:rsid w:val="008015D6"/>
    <w:rsid w:val="00801CEA"/>
    <w:rsid w:val="00807634"/>
    <w:rsid w:val="00807B14"/>
    <w:rsid w:val="0081036F"/>
    <w:rsid w:val="008115E3"/>
    <w:rsid w:val="00813F85"/>
    <w:rsid w:val="0081757B"/>
    <w:rsid w:val="00820B56"/>
    <w:rsid w:val="008222E0"/>
    <w:rsid w:val="00824053"/>
    <w:rsid w:val="00824C09"/>
    <w:rsid w:val="00825B28"/>
    <w:rsid w:val="008263DD"/>
    <w:rsid w:val="00831176"/>
    <w:rsid w:val="008401BB"/>
    <w:rsid w:val="00840876"/>
    <w:rsid w:val="00841C25"/>
    <w:rsid w:val="00841EAF"/>
    <w:rsid w:val="008449C4"/>
    <w:rsid w:val="00845D1C"/>
    <w:rsid w:val="0084675C"/>
    <w:rsid w:val="00850684"/>
    <w:rsid w:val="00850ADC"/>
    <w:rsid w:val="008530B5"/>
    <w:rsid w:val="00854430"/>
    <w:rsid w:val="00854EBF"/>
    <w:rsid w:val="00855477"/>
    <w:rsid w:val="0086164E"/>
    <w:rsid w:val="008619EA"/>
    <w:rsid w:val="00863584"/>
    <w:rsid w:val="00865993"/>
    <w:rsid w:val="0086668F"/>
    <w:rsid w:val="00867DCE"/>
    <w:rsid w:val="0087032C"/>
    <w:rsid w:val="00871A31"/>
    <w:rsid w:val="00875142"/>
    <w:rsid w:val="00875F04"/>
    <w:rsid w:val="0088027A"/>
    <w:rsid w:val="008803F5"/>
    <w:rsid w:val="00880663"/>
    <w:rsid w:val="00881EDC"/>
    <w:rsid w:val="008836E7"/>
    <w:rsid w:val="008844C2"/>
    <w:rsid w:val="00892C33"/>
    <w:rsid w:val="008932A0"/>
    <w:rsid w:val="008937F6"/>
    <w:rsid w:val="0089548C"/>
    <w:rsid w:val="00895769"/>
    <w:rsid w:val="00897841"/>
    <w:rsid w:val="008A13FA"/>
    <w:rsid w:val="008A1CA6"/>
    <w:rsid w:val="008A371F"/>
    <w:rsid w:val="008A6025"/>
    <w:rsid w:val="008A6BA8"/>
    <w:rsid w:val="008B1031"/>
    <w:rsid w:val="008C06D0"/>
    <w:rsid w:val="008C0E47"/>
    <w:rsid w:val="008C52AD"/>
    <w:rsid w:val="008C6109"/>
    <w:rsid w:val="008C68E7"/>
    <w:rsid w:val="008C6E43"/>
    <w:rsid w:val="008C784E"/>
    <w:rsid w:val="008D0783"/>
    <w:rsid w:val="008D148D"/>
    <w:rsid w:val="008D7A86"/>
    <w:rsid w:val="008D7E78"/>
    <w:rsid w:val="008E0FE3"/>
    <w:rsid w:val="008E604A"/>
    <w:rsid w:val="008E611E"/>
    <w:rsid w:val="008E6935"/>
    <w:rsid w:val="008E7014"/>
    <w:rsid w:val="008F21F1"/>
    <w:rsid w:val="008F2766"/>
    <w:rsid w:val="008F7232"/>
    <w:rsid w:val="008F7A28"/>
    <w:rsid w:val="009000E7"/>
    <w:rsid w:val="009004A7"/>
    <w:rsid w:val="00900526"/>
    <w:rsid w:val="0090287C"/>
    <w:rsid w:val="009111CB"/>
    <w:rsid w:val="00912DCA"/>
    <w:rsid w:val="00913402"/>
    <w:rsid w:val="00916C23"/>
    <w:rsid w:val="00920A93"/>
    <w:rsid w:val="00927ECA"/>
    <w:rsid w:val="00933449"/>
    <w:rsid w:val="009350DB"/>
    <w:rsid w:val="00935B90"/>
    <w:rsid w:val="00935B98"/>
    <w:rsid w:val="00937321"/>
    <w:rsid w:val="0093761E"/>
    <w:rsid w:val="0093768A"/>
    <w:rsid w:val="00937E28"/>
    <w:rsid w:val="009445E0"/>
    <w:rsid w:val="009535A5"/>
    <w:rsid w:val="009617DE"/>
    <w:rsid w:val="0096333E"/>
    <w:rsid w:val="00965FC9"/>
    <w:rsid w:val="0096781E"/>
    <w:rsid w:val="009710EC"/>
    <w:rsid w:val="0097273F"/>
    <w:rsid w:val="00981265"/>
    <w:rsid w:val="00982891"/>
    <w:rsid w:val="0098365E"/>
    <w:rsid w:val="009852A9"/>
    <w:rsid w:val="009852EC"/>
    <w:rsid w:val="00986A1A"/>
    <w:rsid w:val="009A4529"/>
    <w:rsid w:val="009A53A4"/>
    <w:rsid w:val="009B13FB"/>
    <w:rsid w:val="009B4934"/>
    <w:rsid w:val="009B6FA2"/>
    <w:rsid w:val="009C05F1"/>
    <w:rsid w:val="009C5251"/>
    <w:rsid w:val="009C6440"/>
    <w:rsid w:val="009C793B"/>
    <w:rsid w:val="009C7DFA"/>
    <w:rsid w:val="009D0E81"/>
    <w:rsid w:val="009D325E"/>
    <w:rsid w:val="009D5130"/>
    <w:rsid w:val="009D524C"/>
    <w:rsid w:val="009D7721"/>
    <w:rsid w:val="009E1744"/>
    <w:rsid w:val="009E62F6"/>
    <w:rsid w:val="009E7DF3"/>
    <w:rsid w:val="009E7EC9"/>
    <w:rsid w:val="009F0E2A"/>
    <w:rsid w:val="009F1343"/>
    <w:rsid w:val="009F1B08"/>
    <w:rsid w:val="009F1EB4"/>
    <w:rsid w:val="009F1FD1"/>
    <w:rsid w:val="009F5020"/>
    <w:rsid w:val="009F5752"/>
    <w:rsid w:val="00A120E2"/>
    <w:rsid w:val="00A13FC5"/>
    <w:rsid w:val="00A15072"/>
    <w:rsid w:val="00A2266B"/>
    <w:rsid w:val="00A22C96"/>
    <w:rsid w:val="00A2444B"/>
    <w:rsid w:val="00A2602D"/>
    <w:rsid w:val="00A309DD"/>
    <w:rsid w:val="00A34125"/>
    <w:rsid w:val="00A35D58"/>
    <w:rsid w:val="00A40618"/>
    <w:rsid w:val="00A40B7A"/>
    <w:rsid w:val="00A42BEF"/>
    <w:rsid w:val="00A47AB8"/>
    <w:rsid w:val="00A51C49"/>
    <w:rsid w:val="00A52A61"/>
    <w:rsid w:val="00A52E82"/>
    <w:rsid w:val="00A54D13"/>
    <w:rsid w:val="00A54D4D"/>
    <w:rsid w:val="00A553E3"/>
    <w:rsid w:val="00A55C0B"/>
    <w:rsid w:val="00A56E89"/>
    <w:rsid w:val="00A60C58"/>
    <w:rsid w:val="00A617FB"/>
    <w:rsid w:val="00A618B7"/>
    <w:rsid w:val="00A677BD"/>
    <w:rsid w:val="00A707CE"/>
    <w:rsid w:val="00A709EA"/>
    <w:rsid w:val="00A72B73"/>
    <w:rsid w:val="00A72D66"/>
    <w:rsid w:val="00A733C3"/>
    <w:rsid w:val="00A73D0C"/>
    <w:rsid w:val="00A741BF"/>
    <w:rsid w:val="00A75E17"/>
    <w:rsid w:val="00A75F99"/>
    <w:rsid w:val="00A761B9"/>
    <w:rsid w:val="00A77845"/>
    <w:rsid w:val="00A80CB7"/>
    <w:rsid w:val="00A80D5B"/>
    <w:rsid w:val="00A816B2"/>
    <w:rsid w:val="00A832A8"/>
    <w:rsid w:val="00A83DF3"/>
    <w:rsid w:val="00A83F9E"/>
    <w:rsid w:val="00A84B9F"/>
    <w:rsid w:val="00A856D3"/>
    <w:rsid w:val="00A86C2E"/>
    <w:rsid w:val="00A904B6"/>
    <w:rsid w:val="00A92042"/>
    <w:rsid w:val="00AA04C9"/>
    <w:rsid w:val="00AA0A48"/>
    <w:rsid w:val="00AA6CFE"/>
    <w:rsid w:val="00AB096E"/>
    <w:rsid w:val="00AB5CFA"/>
    <w:rsid w:val="00AB669F"/>
    <w:rsid w:val="00AC15EE"/>
    <w:rsid w:val="00AC3C73"/>
    <w:rsid w:val="00AC3EAB"/>
    <w:rsid w:val="00AC64B8"/>
    <w:rsid w:val="00AD2455"/>
    <w:rsid w:val="00AD4F8E"/>
    <w:rsid w:val="00AD51C2"/>
    <w:rsid w:val="00AD557D"/>
    <w:rsid w:val="00AD59FA"/>
    <w:rsid w:val="00AD7EC8"/>
    <w:rsid w:val="00AE065B"/>
    <w:rsid w:val="00AE08DE"/>
    <w:rsid w:val="00AE18A3"/>
    <w:rsid w:val="00AE20C1"/>
    <w:rsid w:val="00AE23C8"/>
    <w:rsid w:val="00AE3F6C"/>
    <w:rsid w:val="00AE5670"/>
    <w:rsid w:val="00AE7945"/>
    <w:rsid w:val="00AF533E"/>
    <w:rsid w:val="00AF66B6"/>
    <w:rsid w:val="00AF7C42"/>
    <w:rsid w:val="00B01690"/>
    <w:rsid w:val="00B03967"/>
    <w:rsid w:val="00B03F1D"/>
    <w:rsid w:val="00B05569"/>
    <w:rsid w:val="00B05804"/>
    <w:rsid w:val="00B07083"/>
    <w:rsid w:val="00B07816"/>
    <w:rsid w:val="00B13A59"/>
    <w:rsid w:val="00B16681"/>
    <w:rsid w:val="00B166CA"/>
    <w:rsid w:val="00B16F26"/>
    <w:rsid w:val="00B253B1"/>
    <w:rsid w:val="00B2751A"/>
    <w:rsid w:val="00B31BA6"/>
    <w:rsid w:val="00B34089"/>
    <w:rsid w:val="00B3794E"/>
    <w:rsid w:val="00B4643C"/>
    <w:rsid w:val="00B46B01"/>
    <w:rsid w:val="00B502B9"/>
    <w:rsid w:val="00B50E95"/>
    <w:rsid w:val="00B5121A"/>
    <w:rsid w:val="00B514BC"/>
    <w:rsid w:val="00B517A1"/>
    <w:rsid w:val="00B53B57"/>
    <w:rsid w:val="00B57D14"/>
    <w:rsid w:val="00B610CD"/>
    <w:rsid w:val="00B61587"/>
    <w:rsid w:val="00B62312"/>
    <w:rsid w:val="00B629BE"/>
    <w:rsid w:val="00B642FB"/>
    <w:rsid w:val="00B67178"/>
    <w:rsid w:val="00B67DCB"/>
    <w:rsid w:val="00B67FF2"/>
    <w:rsid w:val="00B711E4"/>
    <w:rsid w:val="00B71B86"/>
    <w:rsid w:val="00B72944"/>
    <w:rsid w:val="00B72D9C"/>
    <w:rsid w:val="00B74B68"/>
    <w:rsid w:val="00B75D82"/>
    <w:rsid w:val="00B75FB7"/>
    <w:rsid w:val="00B76D6A"/>
    <w:rsid w:val="00B76EF5"/>
    <w:rsid w:val="00B77F82"/>
    <w:rsid w:val="00B825B4"/>
    <w:rsid w:val="00B832AE"/>
    <w:rsid w:val="00B869ED"/>
    <w:rsid w:val="00B9092C"/>
    <w:rsid w:val="00B91DFA"/>
    <w:rsid w:val="00B94794"/>
    <w:rsid w:val="00B95888"/>
    <w:rsid w:val="00B963F5"/>
    <w:rsid w:val="00B96F35"/>
    <w:rsid w:val="00BA1254"/>
    <w:rsid w:val="00BA4B34"/>
    <w:rsid w:val="00BB1E68"/>
    <w:rsid w:val="00BC0ADE"/>
    <w:rsid w:val="00BC1917"/>
    <w:rsid w:val="00BC1DDB"/>
    <w:rsid w:val="00BC24E8"/>
    <w:rsid w:val="00BC3C43"/>
    <w:rsid w:val="00BC484C"/>
    <w:rsid w:val="00BC7701"/>
    <w:rsid w:val="00BD007B"/>
    <w:rsid w:val="00BD1C6A"/>
    <w:rsid w:val="00BD2B7D"/>
    <w:rsid w:val="00BD4151"/>
    <w:rsid w:val="00BD4A5A"/>
    <w:rsid w:val="00BD4FF5"/>
    <w:rsid w:val="00BD659F"/>
    <w:rsid w:val="00BD6BDB"/>
    <w:rsid w:val="00BD7DEC"/>
    <w:rsid w:val="00BE1A1A"/>
    <w:rsid w:val="00BE3501"/>
    <w:rsid w:val="00BE3E11"/>
    <w:rsid w:val="00BE3F9D"/>
    <w:rsid w:val="00BE46F5"/>
    <w:rsid w:val="00BE4D1D"/>
    <w:rsid w:val="00BE53CB"/>
    <w:rsid w:val="00BE5D6E"/>
    <w:rsid w:val="00BE6150"/>
    <w:rsid w:val="00BE6308"/>
    <w:rsid w:val="00BF1D2B"/>
    <w:rsid w:val="00BF520D"/>
    <w:rsid w:val="00BF6922"/>
    <w:rsid w:val="00BF7DB2"/>
    <w:rsid w:val="00C0583C"/>
    <w:rsid w:val="00C11008"/>
    <w:rsid w:val="00C15445"/>
    <w:rsid w:val="00C2215F"/>
    <w:rsid w:val="00C22F07"/>
    <w:rsid w:val="00C2424E"/>
    <w:rsid w:val="00C25447"/>
    <w:rsid w:val="00C27F51"/>
    <w:rsid w:val="00C30579"/>
    <w:rsid w:val="00C31938"/>
    <w:rsid w:val="00C347D7"/>
    <w:rsid w:val="00C36229"/>
    <w:rsid w:val="00C421F8"/>
    <w:rsid w:val="00C42A92"/>
    <w:rsid w:val="00C44BE2"/>
    <w:rsid w:val="00C45AC0"/>
    <w:rsid w:val="00C460F4"/>
    <w:rsid w:val="00C528B0"/>
    <w:rsid w:val="00C52BCD"/>
    <w:rsid w:val="00C55040"/>
    <w:rsid w:val="00C64968"/>
    <w:rsid w:val="00C64B60"/>
    <w:rsid w:val="00C67BC8"/>
    <w:rsid w:val="00C71B1E"/>
    <w:rsid w:val="00C73899"/>
    <w:rsid w:val="00C746F1"/>
    <w:rsid w:val="00C81D1A"/>
    <w:rsid w:val="00C838C2"/>
    <w:rsid w:val="00C83E17"/>
    <w:rsid w:val="00C84885"/>
    <w:rsid w:val="00C854FD"/>
    <w:rsid w:val="00C87D28"/>
    <w:rsid w:val="00C87EC5"/>
    <w:rsid w:val="00C92836"/>
    <w:rsid w:val="00C92FDB"/>
    <w:rsid w:val="00C9680B"/>
    <w:rsid w:val="00CA0D0E"/>
    <w:rsid w:val="00CA5397"/>
    <w:rsid w:val="00CA6DB1"/>
    <w:rsid w:val="00CB20B4"/>
    <w:rsid w:val="00CB2BFE"/>
    <w:rsid w:val="00CC263F"/>
    <w:rsid w:val="00CC3C0E"/>
    <w:rsid w:val="00CC5CA9"/>
    <w:rsid w:val="00CC67CB"/>
    <w:rsid w:val="00CC69DE"/>
    <w:rsid w:val="00CD0096"/>
    <w:rsid w:val="00CD2FFB"/>
    <w:rsid w:val="00CD6B6D"/>
    <w:rsid w:val="00CD6E1B"/>
    <w:rsid w:val="00CE1446"/>
    <w:rsid w:val="00CE2757"/>
    <w:rsid w:val="00CF2180"/>
    <w:rsid w:val="00CF3CD1"/>
    <w:rsid w:val="00CF6304"/>
    <w:rsid w:val="00D0033A"/>
    <w:rsid w:val="00D0244B"/>
    <w:rsid w:val="00D03B34"/>
    <w:rsid w:val="00D04573"/>
    <w:rsid w:val="00D048F7"/>
    <w:rsid w:val="00D06FAE"/>
    <w:rsid w:val="00D141BB"/>
    <w:rsid w:val="00D1466A"/>
    <w:rsid w:val="00D17904"/>
    <w:rsid w:val="00D208B9"/>
    <w:rsid w:val="00D239F7"/>
    <w:rsid w:val="00D245B0"/>
    <w:rsid w:val="00D27905"/>
    <w:rsid w:val="00D311FA"/>
    <w:rsid w:val="00D44460"/>
    <w:rsid w:val="00D44D07"/>
    <w:rsid w:val="00D45425"/>
    <w:rsid w:val="00D47FE4"/>
    <w:rsid w:val="00D50433"/>
    <w:rsid w:val="00D50942"/>
    <w:rsid w:val="00D53C3B"/>
    <w:rsid w:val="00D53C8E"/>
    <w:rsid w:val="00D54F40"/>
    <w:rsid w:val="00D565CD"/>
    <w:rsid w:val="00D56CF5"/>
    <w:rsid w:val="00D57907"/>
    <w:rsid w:val="00D57DE0"/>
    <w:rsid w:val="00D61039"/>
    <w:rsid w:val="00D62771"/>
    <w:rsid w:val="00D62B62"/>
    <w:rsid w:val="00D64C99"/>
    <w:rsid w:val="00D66C86"/>
    <w:rsid w:val="00D674C8"/>
    <w:rsid w:val="00D67F34"/>
    <w:rsid w:val="00D707DB"/>
    <w:rsid w:val="00D70C9D"/>
    <w:rsid w:val="00D740D4"/>
    <w:rsid w:val="00D75A93"/>
    <w:rsid w:val="00D80F8F"/>
    <w:rsid w:val="00D848AC"/>
    <w:rsid w:val="00D84C7B"/>
    <w:rsid w:val="00D852B4"/>
    <w:rsid w:val="00D86BF7"/>
    <w:rsid w:val="00D879D2"/>
    <w:rsid w:val="00D90C64"/>
    <w:rsid w:val="00D92738"/>
    <w:rsid w:val="00D94E4E"/>
    <w:rsid w:val="00D95C44"/>
    <w:rsid w:val="00DA74DE"/>
    <w:rsid w:val="00DB4DC5"/>
    <w:rsid w:val="00DB5FC6"/>
    <w:rsid w:val="00DB72F1"/>
    <w:rsid w:val="00DC2A86"/>
    <w:rsid w:val="00DC377E"/>
    <w:rsid w:val="00DC7785"/>
    <w:rsid w:val="00DD4539"/>
    <w:rsid w:val="00DD6F73"/>
    <w:rsid w:val="00DD7A98"/>
    <w:rsid w:val="00DD7DBE"/>
    <w:rsid w:val="00DE0081"/>
    <w:rsid w:val="00DE077C"/>
    <w:rsid w:val="00DE1457"/>
    <w:rsid w:val="00DE15D6"/>
    <w:rsid w:val="00DE21A2"/>
    <w:rsid w:val="00DE3D1D"/>
    <w:rsid w:val="00DE3FE7"/>
    <w:rsid w:val="00DE60AB"/>
    <w:rsid w:val="00DE7548"/>
    <w:rsid w:val="00DE7DC5"/>
    <w:rsid w:val="00DF00C2"/>
    <w:rsid w:val="00DF080D"/>
    <w:rsid w:val="00DF0A60"/>
    <w:rsid w:val="00DF0ADB"/>
    <w:rsid w:val="00DF6FDA"/>
    <w:rsid w:val="00DF7C91"/>
    <w:rsid w:val="00E018C5"/>
    <w:rsid w:val="00E020AA"/>
    <w:rsid w:val="00E023B3"/>
    <w:rsid w:val="00E05F3F"/>
    <w:rsid w:val="00E062C9"/>
    <w:rsid w:val="00E108F5"/>
    <w:rsid w:val="00E13B6F"/>
    <w:rsid w:val="00E147BA"/>
    <w:rsid w:val="00E16CFE"/>
    <w:rsid w:val="00E20771"/>
    <w:rsid w:val="00E20A49"/>
    <w:rsid w:val="00E21EE5"/>
    <w:rsid w:val="00E275E6"/>
    <w:rsid w:val="00E339FF"/>
    <w:rsid w:val="00E3605D"/>
    <w:rsid w:val="00E36BA2"/>
    <w:rsid w:val="00E373AD"/>
    <w:rsid w:val="00E402B9"/>
    <w:rsid w:val="00E4456D"/>
    <w:rsid w:val="00E46051"/>
    <w:rsid w:val="00E53FF4"/>
    <w:rsid w:val="00E54115"/>
    <w:rsid w:val="00E57414"/>
    <w:rsid w:val="00E57D29"/>
    <w:rsid w:val="00E61155"/>
    <w:rsid w:val="00E646A7"/>
    <w:rsid w:val="00E64942"/>
    <w:rsid w:val="00E7271E"/>
    <w:rsid w:val="00E731A1"/>
    <w:rsid w:val="00E74102"/>
    <w:rsid w:val="00E75314"/>
    <w:rsid w:val="00E771B3"/>
    <w:rsid w:val="00E77C52"/>
    <w:rsid w:val="00E825A9"/>
    <w:rsid w:val="00E849B7"/>
    <w:rsid w:val="00E87B2E"/>
    <w:rsid w:val="00EA4EC8"/>
    <w:rsid w:val="00EA5179"/>
    <w:rsid w:val="00EA52E9"/>
    <w:rsid w:val="00EB0A7D"/>
    <w:rsid w:val="00EB32A9"/>
    <w:rsid w:val="00EB42B0"/>
    <w:rsid w:val="00EB7CDB"/>
    <w:rsid w:val="00EC1B4E"/>
    <w:rsid w:val="00EC25CE"/>
    <w:rsid w:val="00EC29A6"/>
    <w:rsid w:val="00EC3817"/>
    <w:rsid w:val="00EC4F89"/>
    <w:rsid w:val="00EC6F53"/>
    <w:rsid w:val="00EC72F9"/>
    <w:rsid w:val="00ED0AB1"/>
    <w:rsid w:val="00ED46D8"/>
    <w:rsid w:val="00ED5292"/>
    <w:rsid w:val="00ED55B8"/>
    <w:rsid w:val="00EE4671"/>
    <w:rsid w:val="00EE614A"/>
    <w:rsid w:val="00EE75F1"/>
    <w:rsid w:val="00EF5526"/>
    <w:rsid w:val="00EF597D"/>
    <w:rsid w:val="00EF644D"/>
    <w:rsid w:val="00F0105C"/>
    <w:rsid w:val="00F019DF"/>
    <w:rsid w:val="00F02A92"/>
    <w:rsid w:val="00F0531F"/>
    <w:rsid w:val="00F054DC"/>
    <w:rsid w:val="00F06905"/>
    <w:rsid w:val="00F1130D"/>
    <w:rsid w:val="00F11AFF"/>
    <w:rsid w:val="00F12E97"/>
    <w:rsid w:val="00F16BE0"/>
    <w:rsid w:val="00F17F2B"/>
    <w:rsid w:val="00F205C9"/>
    <w:rsid w:val="00F23244"/>
    <w:rsid w:val="00F23276"/>
    <w:rsid w:val="00F232B4"/>
    <w:rsid w:val="00F25ECA"/>
    <w:rsid w:val="00F351EB"/>
    <w:rsid w:val="00F35848"/>
    <w:rsid w:val="00F363D5"/>
    <w:rsid w:val="00F36505"/>
    <w:rsid w:val="00F40C21"/>
    <w:rsid w:val="00F40F31"/>
    <w:rsid w:val="00F4101B"/>
    <w:rsid w:val="00F41909"/>
    <w:rsid w:val="00F42388"/>
    <w:rsid w:val="00F426AF"/>
    <w:rsid w:val="00F44667"/>
    <w:rsid w:val="00F57037"/>
    <w:rsid w:val="00F57A82"/>
    <w:rsid w:val="00F6506A"/>
    <w:rsid w:val="00F65108"/>
    <w:rsid w:val="00F6585C"/>
    <w:rsid w:val="00F7116D"/>
    <w:rsid w:val="00F750FD"/>
    <w:rsid w:val="00F755B5"/>
    <w:rsid w:val="00F75FBF"/>
    <w:rsid w:val="00F76666"/>
    <w:rsid w:val="00F83AF1"/>
    <w:rsid w:val="00F902A3"/>
    <w:rsid w:val="00F93DE7"/>
    <w:rsid w:val="00F94460"/>
    <w:rsid w:val="00F954E6"/>
    <w:rsid w:val="00F97027"/>
    <w:rsid w:val="00FA014D"/>
    <w:rsid w:val="00FA0281"/>
    <w:rsid w:val="00FA3277"/>
    <w:rsid w:val="00FA3A58"/>
    <w:rsid w:val="00FA48A7"/>
    <w:rsid w:val="00FA492D"/>
    <w:rsid w:val="00FA52A3"/>
    <w:rsid w:val="00FA5473"/>
    <w:rsid w:val="00FA5845"/>
    <w:rsid w:val="00FA6107"/>
    <w:rsid w:val="00FA74D7"/>
    <w:rsid w:val="00FB2494"/>
    <w:rsid w:val="00FC06D1"/>
    <w:rsid w:val="00FC1793"/>
    <w:rsid w:val="00FC3A48"/>
    <w:rsid w:val="00FC61F9"/>
    <w:rsid w:val="00FD0A8E"/>
    <w:rsid w:val="00FD1419"/>
    <w:rsid w:val="00FD2A4F"/>
    <w:rsid w:val="00FD3A2F"/>
    <w:rsid w:val="00FD54DA"/>
    <w:rsid w:val="00FD5572"/>
    <w:rsid w:val="00FD7D90"/>
    <w:rsid w:val="00FD7F63"/>
    <w:rsid w:val="00FE0F92"/>
    <w:rsid w:val="00FE5405"/>
    <w:rsid w:val="00FE7617"/>
    <w:rsid w:val="00FF09CD"/>
    <w:rsid w:val="00FF200B"/>
    <w:rsid w:val="00FF5352"/>
    <w:rsid w:val="00FF7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5:chartTrackingRefBased/>
  <w15:docId w15:val="{AD58510E-D43C-4C4C-BDE9-E502D467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A7D"/>
    <w:pPr>
      <w:ind w:left="720"/>
      <w:contextualSpacing/>
    </w:pPr>
  </w:style>
  <w:style w:type="paragraph" w:styleId="FootnoteText">
    <w:name w:val="footnote text"/>
    <w:basedOn w:val="Normal"/>
    <w:link w:val="FootnoteTextChar"/>
    <w:uiPriority w:val="99"/>
    <w:unhideWhenUsed/>
    <w:rsid w:val="008803F5"/>
    <w:rPr>
      <w:sz w:val="20"/>
      <w:szCs w:val="20"/>
      <w:lang w:val="x-none"/>
    </w:rPr>
  </w:style>
  <w:style w:type="character" w:customStyle="1" w:styleId="FootnoteTextChar">
    <w:name w:val="Footnote Text Char"/>
    <w:link w:val="FootnoteText"/>
    <w:uiPriority w:val="99"/>
    <w:rsid w:val="008803F5"/>
    <w:rPr>
      <w:lang w:eastAsia="en-US"/>
    </w:rPr>
  </w:style>
  <w:style w:type="character" w:styleId="FootnoteReference">
    <w:name w:val="footnote reference"/>
    <w:uiPriority w:val="99"/>
    <w:semiHidden/>
    <w:unhideWhenUsed/>
    <w:rsid w:val="008803F5"/>
    <w:rPr>
      <w:vertAlign w:val="superscript"/>
    </w:rPr>
  </w:style>
  <w:style w:type="paragraph" w:styleId="NoSpacing">
    <w:name w:val="No Spacing"/>
    <w:link w:val="NoSpacingChar"/>
    <w:uiPriority w:val="1"/>
    <w:qFormat/>
    <w:rsid w:val="00670A5E"/>
    <w:rPr>
      <w:sz w:val="22"/>
      <w:szCs w:val="22"/>
      <w:lang w:eastAsia="en-US"/>
    </w:rPr>
  </w:style>
  <w:style w:type="character" w:styleId="Hyperlink">
    <w:name w:val="Hyperlink"/>
    <w:uiPriority w:val="99"/>
    <w:unhideWhenUsed/>
    <w:rsid w:val="00B72D9C"/>
    <w:rPr>
      <w:color w:val="0000FF"/>
      <w:u w:val="single"/>
    </w:rPr>
  </w:style>
  <w:style w:type="paragraph" w:styleId="Caption">
    <w:name w:val="caption"/>
    <w:basedOn w:val="Normal"/>
    <w:next w:val="Normal"/>
    <w:uiPriority w:val="35"/>
    <w:semiHidden/>
    <w:unhideWhenUsed/>
    <w:qFormat/>
    <w:rsid w:val="004C5712"/>
    <w:rPr>
      <w:b/>
      <w:bCs/>
      <w:sz w:val="20"/>
      <w:szCs w:val="20"/>
    </w:rPr>
  </w:style>
  <w:style w:type="paragraph" w:styleId="Header">
    <w:name w:val="header"/>
    <w:basedOn w:val="Normal"/>
    <w:link w:val="HeaderChar"/>
    <w:uiPriority w:val="99"/>
    <w:unhideWhenUsed/>
    <w:rsid w:val="00274B20"/>
    <w:pPr>
      <w:tabs>
        <w:tab w:val="center" w:pos="4513"/>
        <w:tab w:val="right" w:pos="9026"/>
      </w:tabs>
    </w:pPr>
    <w:rPr>
      <w:lang w:val="x-none"/>
    </w:rPr>
  </w:style>
  <w:style w:type="character" w:customStyle="1" w:styleId="HeaderChar">
    <w:name w:val="Header Char"/>
    <w:link w:val="Header"/>
    <w:uiPriority w:val="99"/>
    <w:rsid w:val="00274B20"/>
    <w:rPr>
      <w:sz w:val="22"/>
      <w:szCs w:val="22"/>
      <w:lang w:eastAsia="en-US"/>
    </w:rPr>
  </w:style>
  <w:style w:type="paragraph" w:styleId="Footer">
    <w:name w:val="footer"/>
    <w:basedOn w:val="Normal"/>
    <w:link w:val="FooterChar"/>
    <w:uiPriority w:val="99"/>
    <w:unhideWhenUsed/>
    <w:rsid w:val="00274B20"/>
    <w:pPr>
      <w:tabs>
        <w:tab w:val="center" w:pos="4513"/>
        <w:tab w:val="right" w:pos="9026"/>
      </w:tabs>
    </w:pPr>
    <w:rPr>
      <w:lang w:val="x-none"/>
    </w:rPr>
  </w:style>
  <w:style w:type="character" w:customStyle="1" w:styleId="FooterChar">
    <w:name w:val="Footer Char"/>
    <w:link w:val="Footer"/>
    <w:uiPriority w:val="99"/>
    <w:rsid w:val="00274B20"/>
    <w:rPr>
      <w:sz w:val="22"/>
      <w:szCs w:val="22"/>
      <w:lang w:eastAsia="en-US"/>
    </w:rPr>
  </w:style>
  <w:style w:type="paragraph" w:styleId="BalloonText">
    <w:name w:val="Balloon Text"/>
    <w:basedOn w:val="Normal"/>
    <w:link w:val="BalloonTextChar"/>
    <w:uiPriority w:val="99"/>
    <w:semiHidden/>
    <w:unhideWhenUsed/>
    <w:rsid w:val="00D311F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311FA"/>
    <w:rPr>
      <w:rFonts w:ascii="Tahoma" w:hAnsi="Tahoma" w:cs="Tahoma"/>
      <w:sz w:val="16"/>
      <w:szCs w:val="16"/>
      <w:lang w:eastAsia="en-US"/>
    </w:rPr>
  </w:style>
  <w:style w:type="character" w:styleId="Emphasis">
    <w:name w:val="Emphasis"/>
    <w:uiPriority w:val="20"/>
    <w:qFormat/>
    <w:rsid w:val="001526F9"/>
    <w:rPr>
      <w:i/>
      <w:iCs/>
    </w:rPr>
  </w:style>
  <w:style w:type="character" w:styleId="HTMLCite">
    <w:name w:val="HTML Cite"/>
    <w:uiPriority w:val="99"/>
    <w:semiHidden/>
    <w:unhideWhenUsed/>
    <w:rsid w:val="002D21E3"/>
    <w:rPr>
      <w:i/>
      <w:iCs/>
    </w:rPr>
  </w:style>
  <w:style w:type="character" w:styleId="FollowedHyperlink">
    <w:name w:val="FollowedHyperlink"/>
    <w:uiPriority w:val="99"/>
    <w:semiHidden/>
    <w:unhideWhenUsed/>
    <w:rsid w:val="002D21E3"/>
    <w:rPr>
      <w:color w:val="800080"/>
      <w:u w:val="single"/>
    </w:rPr>
  </w:style>
  <w:style w:type="table" w:styleId="TableGrid">
    <w:name w:val="Table Grid"/>
    <w:basedOn w:val="TableNormal"/>
    <w:uiPriority w:val="59"/>
    <w:rsid w:val="0017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D65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15387">
      <w:bodyDiv w:val="1"/>
      <w:marLeft w:val="0"/>
      <w:marRight w:val="0"/>
      <w:marTop w:val="0"/>
      <w:marBottom w:val="0"/>
      <w:divBdr>
        <w:top w:val="none" w:sz="0" w:space="0" w:color="auto"/>
        <w:left w:val="none" w:sz="0" w:space="0" w:color="auto"/>
        <w:bottom w:val="none" w:sz="0" w:space="0" w:color="auto"/>
        <w:right w:val="none" w:sz="0" w:space="0" w:color="auto"/>
      </w:divBdr>
      <w:divsChild>
        <w:div w:id="2058891958">
          <w:marLeft w:val="0"/>
          <w:marRight w:val="0"/>
          <w:marTop w:val="0"/>
          <w:marBottom w:val="0"/>
          <w:divBdr>
            <w:top w:val="none" w:sz="0" w:space="0" w:color="auto"/>
            <w:left w:val="none" w:sz="0" w:space="0" w:color="auto"/>
            <w:bottom w:val="none" w:sz="0" w:space="0" w:color="auto"/>
            <w:right w:val="none" w:sz="0" w:space="0" w:color="auto"/>
          </w:divBdr>
        </w:div>
      </w:divsChild>
    </w:div>
    <w:div w:id="84233144">
      <w:bodyDiv w:val="1"/>
      <w:marLeft w:val="0"/>
      <w:marRight w:val="0"/>
      <w:marTop w:val="0"/>
      <w:marBottom w:val="0"/>
      <w:divBdr>
        <w:top w:val="none" w:sz="0" w:space="0" w:color="auto"/>
        <w:left w:val="none" w:sz="0" w:space="0" w:color="auto"/>
        <w:bottom w:val="none" w:sz="0" w:space="0" w:color="auto"/>
        <w:right w:val="none" w:sz="0" w:space="0" w:color="auto"/>
      </w:divBdr>
    </w:div>
    <w:div w:id="87893571">
      <w:bodyDiv w:val="1"/>
      <w:marLeft w:val="0"/>
      <w:marRight w:val="0"/>
      <w:marTop w:val="0"/>
      <w:marBottom w:val="0"/>
      <w:divBdr>
        <w:top w:val="none" w:sz="0" w:space="0" w:color="auto"/>
        <w:left w:val="none" w:sz="0" w:space="0" w:color="auto"/>
        <w:bottom w:val="none" w:sz="0" w:space="0" w:color="auto"/>
        <w:right w:val="none" w:sz="0" w:space="0" w:color="auto"/>
      </w:divBdr>
      <w:divsChild>
        <w:div w:id="1910117234">
          <w:marLeft w:val="0"/>
          <w:marRight w:val="0"/>
          <w:marTop w:val="0"/>
          <w:marBottom w:val="0"/>
          <w:divBdr>
            <w:top w:val="none" w:sz="0" w:space="0" w:color="auto"/>
            <w:left w:val="none" w:sz="0" w:space="0" w:color="auto"/>
            <w:bottom w:val="none" w:sz="0" w:space="0" w:color="auto"/>
            <w:right w:val="none" w:sz="0" w:space="0" w:color="auto"/>
          </w:divBdr>
        </w:div>
      </w:divsChild>
    </w:div>
    <w:div w:id="97987219">
      <w:bodyDiv w:val="1"/>
      <w:marLeft w:val="0"/>
      <w:marRight w:val="0"/>
      <w:marTop w:val="0"/>
      <w:marBottom w:val="0"/>
      <w:divBdr>
        <w:top w:val="none" w:sz="0" w:space="0" w:color="auto"/>
        <w:left w:val="none" w:sz="0" w:space="0" w:color="auto"/>
        <w:bottom w:val="none" w:sz="0" w:space="0" w:color="auto"/>
        <w:right w:val="none" w:sz="0" w:space="0" w:color="auto"/>
      </w:divBdr>
    </w:div>
    <w:div w:id="129635992">
      <w:bodyDiv w:val="1"/>
      <w:marLeft w:val="0"/>
      <w:marRight w:val="0"/>
      <w:marTop w:val="0"/>
      <w:marBottom w:val="0"/>
      <w:divBdr>
        <w:top w:val="none" w:sz="0" w:space="0" w:color="auto"/>
        <w:left w:val="none" w:sz="0" w:space="0" w:color="auto"/>
        <w:bottom w:val="none" w:sz="0" w:space="0" w:color="auto"/>
        <w:right w:val="none" w:sz="0" w:space="0" w:color="auto"/>
      </w:divBdr>
    </w:div>
    <w:div w:id="136841887">
      <w:bodyDiv w:val="1"/>
      <w:marLeft w:val="0"/>
      <w:marRight w:val="0"/>
      <w:marTop w:val="0"/>
      <w:marBottom w:val="0"/>
      <w:divBdr>
        <w:top w:val="none" w:sz="0" w:space="0" w:color="auto"/>
        <w:left w:val="none" w:sz="0" w:space="0" w:color="auto"/>
        <w:bottom w:val="none" w:sz="0" w:space="0" w:color="auto"/>
        <w:right w:val="none" w:sz="0" w:space="0" w:color="auto"/>
      </w:divBdr>
      <w:divsChild>
        <w:div w:id="175197160">
          <w:marLeft w:val="0"/>
          <w:marRight w:val="0"/>
          <w:marTop w:val="0"/>
          <w:marBottom w:val="0"/>
          <w:divBdr>
            <w:top w:val="none" w:sz="0" w:space="0" w:color="auto"/>
            <w:left w:val="none" w:sz="0" w:space="0" w:color="auto"/>
            <w:bottom w:val="none" w:sz="0" w:space="0" w:color="auto"/>
            <w:right w:val="none" w:sz="0" w:space="0" w:color="auto"/>
          </w:divBdr>
        </w:div>
        <w:div w:id="813105289">
          <w:marLeft w:val="0"/>
          <w:marRight w:val="0"/>
          <w:marTop w:val="0"/>
          <w:marBottom w:val="0"/>
          <w:divBdr>
            <w:top w:val="none" w:sz="0" w:space="0" w:color="auto"/>
            <w:left w:val="none" w:sz="0" w:space="0" w:color="auto"/>
            <w:bottom w:val="none" w:sz="0" w:space="0" w:color="auto"/>
            <w:right w:val="none" w:sz="0" w:space="0" w:color="auto"/>
          </w:divBdr>
        </w:div>
        <w:div w:id="862012100">
          <w:marLeft w:val="0"/>
          <w:marRight w:val="0"/>
          <w:marTop w:val="0"/>
          <w:marBottom w:val="0"/>
          <w:divBdr>
            <w:top w:val="none" w:sz="0" w:space="0" w:color="auto"/>
            <w:left w:val="none" w:sz="0" w:space="0" w:color="auto"/>
            <w:bottom w:val="none" w:sz="0" w:space="0" w:color="auto"/>
            <w:right w:val="none" w:sz="0" w:space="0" w:color="auto"/>
          </w:divBdr>
        </w:div>
        <w:div w:id="964508947">
          <w:marLeft w:val="0"/>
          <w:marRight w:val="0"/>
          <w:marTop w:val="0"/>
          <w:marBottom w:val="0"/>
          <w:divBdr>
            <w:top w:val="none" w:sz="0" w:space="0" w:color="auto"/>
            <w:left w:val="none" w:sz="0" w:space="0" w:color="auto"/>
            <w:bottom w:val="none" w:sz="0" w:space="0" w:color="auto"/>
            <w:right w:val="none" w:sz="0" w:space="0" w:color="auto"/>
          </w:divBdr>
        </w:div>
        <w:div w:id="1505394149">
          <w:marLeft w:val="0"/>
          <w:marRight w:val="0"/>
          <w:marTop w:val="0"/>
          <w:marBottom w:val="0"/>
          <w:divBdr>
            <w:top w:val="none" w:sz="0" w:space="0" w:color="auto"/>
            <w:left w:val="none" w:sz="0" w:space="0" w:color="auto"/>
            <w:bottom w:val="none" w:sz="0" w:space="0" w:color="auto"/>
            <w:right w:val="none" w:sz="0" w:space="0" w:color="auto"/>
          </w:divBdr>
        </w:div>
        <w:div w:id="1677608484">
          <w:marLeft w:val="0"/>
          <w:marRight w:val="0"/>
          <w:marTop w:val="0"/>
          <w:marBottom w:val="0"/>
          <w:divBdr>
            <w:top w:val="none" w:sz="0" w:space="0" w:color="auto"/>
            <w:left w:val="none" w:sz="0" w:space="0" w:color="auto"/>
            <w:bottom w:val="none" w:sz="0" w:space="0" w:color="auto"/>
            <w:right w:val="none" w:sz="0" w:space="0" w:color="auto"/>
          </w:divBdr>
        </w:div>
        <w:div w:id="1779056396">
          <w:marLeft w:val="0"/>
          <w:marRight w:val="0"/>
          <w:marTop w:val="0"/>
          <w:marBottom w:val="0"/>
          <w:divBdr>
            <w:top w:val="none" w:sz="0" w:space="0" w:color="auto"/>
            <w:left w:val="none" w:sz="0" w:space="0" w:color="auto"/>
            <w:bottom w:val="none" w:sz="0" w:space="0" w:color="auto"/>
            <w:right w:val="none" w:sz="0" w:space="0" w:color="auto"/>
          </w:divBdr>
        </w:div>
        <w:div w:id="2126071819">
          <w:marLeft w:val="0"/>
          <w:marRight w:val="0"/>
          <w:marTop w:val="0"/>
          <w:marBottom w:val="0"/>
          <w:divBdr>
            <w:top w:val="none" w:sz="0" w:space="0" w:color="auto"/>
            <w:left w:val="none" w:sz="0" w:space="0" w:color="auto"/>
            <w:bottom w:val="none" w:sz="0" w:space="0" w:color="auto"/>
            <w:right w:val="none" w:sz="0" w:space="0" w:color="auto"/>
          </w:divBdr>
        </w:div>
      </w:divsChild>
    </w:div>
    <w:div w:id="146870947">
      <w:bodyDiv w:val="1"/>
      <w:marLeft w:val="0"/>
      <w:marRight w:val="0"/>
      <w:marTop w:val="0"/>
      <w:marBottom w:val="0"/>
      <w:divBdr>
        <w:top w:val="none" w:sz="0" w:space="0" w:color="auto"/>
        <w:left w:val="none" w:sz="0" w:space="0" w:color="auto"/>
        <w:bottom w:val="none" w:sz="0" w:space="0" w:color="auto"/>
        <w:right w:val="none" w:sz="0" w:space="0" w:color="auto"/>
      </w:divBdr>
      <w:divsChild>
        <w:div w:id="752971683">
          <w:marLeft w:val="0"/>
          <w:marRight w:val="0"/>
          <w:marTop w:val="0"/>
          <w:marBottom w:val="0"/>
          <w:divBdr>
            <w:top w:val="none" w:sz="0" w:space="0" w:color="auto"/>
            <w:left w:val="none" w:sz="0" w:space="0" w:color="auto"/>
            <w:bottom w:val="none" w:sz="0" w:space="0" w:color="auto"/>
            <w:right w:val="none" w:sz="0" w:space="0" w:color="auto"/>
          </w:divBdr>
        </w:div>
        <w:div w:id="1845588213">
          <w:marLeft w:val="0"/>
          <w:marRight w:val="0"/>
          <w:marTop w:val="0"/>
          <w:marBottom w:val="0"/>
          <w:divBdr>
            <w:top w:val="none" w:sz="0" w:space="0" w:color="auto"/>
            <w:left w:val="none" w:sz="0" w:space="0" w:color="auto"/>
            <w:bottom w:val="none" w:sz="0" w:space="0" w:color="auto"/>
            <w:right w:val="none" w:sz="0" w:space="0" w:color="auto"/>
          </w:divBdr>
        </w:div>
      </w:divsChild>
    </w:div>
    <w:div w:id="493448913">
      <w:bodyDiv w:val="1"/>
      <w:marLeft w:val="0"/>
      <w:marRight w:val="0"/>
      <w:marTop w:val="0"/>
      <w:marBottom w:val="0"/>
      <w:divBdr>
        <w:top w:val="none" w:sz="0" w:space="0" w:color="auto"/>
        <w:left w:val="none" w:sz="0" w:space="0" w:color="auto"/>
        <w:bottom w:val="none" w:sz="0" w:space="0" w:color="auto"/>
        <w:right w:val="none" w:sz="0" w:space="0" w:color="auto"/>
      </w:divBdr>
    </w:div>
    <w:div w:id="509832039">
      <w:bodyDiv w:val="1"/>
      <w:marLeft w:val="0"/>
      <w:marRight w:val="0"/>
      <w:marTop w:val="0"/>
      <w:marBottom w:val="0"/>
      <w:divBdr>
        <w:top w:val="none" w:sz="0" w:space="0" w:color="auto"/>
        <w:left w:val="none" w:sz="0" w:space="0" w:color="auto"/>
        <w:bottom w:val="none" w:sz="0" w:space="0" w:color="auto"/>
        <w:right w:val="none" w:sz="0" w:space="0" w:color="auto"/>
      </w:divBdr>
    </w:div>
    <w:div w:id="640579029">
      <w:bodyDiv w:val="1"/>
      <w:marLeft w:val="0"/>
      <w:marRight w:val="0"/>
      <w:marTop w:val="0"/>
      <w:marBottom w:val="0"/>
      <w:divBdr>
        <w:top w:val="none" w:sz="0" w:space="0" w:color="auto"/>
        <w:left w:val="none" w:sz="0" w:space="0" w:color="auto"/>
        <w:bottom w:val="none" w:sz="0" w:space="0" w:color="auto"/>
        <w:right w:val="none" w:sz="0" w:space="0" w:color="auto"/>
      </w:divBdr>
    </w:div>
    <w:div w:id="662314508">
      <w:bodyDiv w:val="1"/>
      <w:marLeft w:val="0"/>
      <w:marRight w:val="0"/>
      <w:marTop w:val="0"/>
      <w:marBottom w:val="0"/>
      <w:divBdr>
        <w:top w:val="none" w:sz="0" w:space="0" w:color="auto"/>
        <w:left w:val="none" w:sz="0" w:space="0" w:color="auto"/>
        <w:bottom w:val="none" w:sz="0" w:space="0" w:color="auto"/>
        <w:right w:val="none" w:sz="0" w:space="0" w:color="auto"/>
      </w:divBdr>
      <w:divsChild>
        <w:div w:id="600139861">
          <w:marLeft w:val="0"/>
          <w:marRight w:val="0"/>
          <w:marTop w:val="0"/>
          <w:marBottom w:val="0"/>
          <w:divBdr>
            <w:top w:val="none" w:sz="0" w:space="0" w:color="auto"/>
            <w:left w:val="none" w:sz="0" w:space="0" w:color="auto"/>
            <w:bottom w:val="none" w:sz="0" w:space="0" w:color="auto"/>
            <w:right w:val="none" w:sz="0" w:space="0" w:color="auto"/>
          </w:divBdr>
        </w:div>
        <w:div w:id="919486938">
          <w:marLeft w:val="0"/>
          <w:marRight w:val="0"/>
          <w:marTop w:val="0"/>
          <w:marBottom w:val="0"/>
          <w:divBdr>
            <w:top w:val="none" w:sz="0" w:space="0" w:color="auto"/>
            <w:left w:val="none" w:sz="0" w:space="0" w:color="auto"/>
            <w:bottom w:val="none" w:sz="0" w:space="0" w:color="auto"/>
            <w:right w:val="none" w:sz="0" w:space="0" w:color="auto"/>
          </w:divBdr>
        </w:div>
        <w:div w:id="930819030">
          <w:marLeft w:val="0"/>
          <w:marRight w:val="0"/>
          <w:marTop w:val="0"/>
          <w:marBottom w:val="0"/>
          <w:divBdr>
            <w:top w:val="none" w:sz="0" w:space="0" w:color="auto"/>
            <w:left w:val="none" w:sz="0" w:space="0" w:color="auto"/>
            <w:bottom w:val="none" w:sz="0" w:space="0" w:color="auto"/>
            <w:right w:val="none" w:sz="0" w:space="0" w:color="auto"/>
          </w:divBdr>
        </w:div>
        <w:div w:id="1583099773">
          <w:marLeft w:val="0"/>
          <w:marRight w:val="0"/>
          <w:marTop w:val="0"/>
          <w:marBottom w:val="0"/>
          <w:divBdr>
            <w:top w:val="none" w:sz="0" w:space="0" w:color="auto"/>
            <w:left w:val="none" w:sz="0" w:space="0" w:color="auto"/>
            <w:bottom w:val="none" w:sz="0" w:space="0" w:color="auto"/>
            <w:right w:val="none" w:sz="0" w:space="0" w:color="auto"/>
          </w:divBdr>
        </w:div>
        <w:div w:id="1957566547">
          <w:marLeft w:val="0"/>
          <w:marRight w:val="0"/>
          <w:marTop w:val="0"/>
          <w:marBottom w:val="0"/>
          <w:divBdr>
            <w:top w:val="none" w:sz="0" w:space="0" w:color="auto"/>
            <w:left w:val="none" w:sz="0" w:space="0" w:color="auto"/>
            <w:bottom w:val="none" w:sz="0" w:space="0" w:color="auto"/>
            <w:right w:val="none" w:sz="0" w:space="0" w:color="auto"/>
          </w:divBdr>
        </w:div>
      </w:divsChild>
    </w:div>
    <w:div w:id="927032625">
      <w:bodyDiv w:val="1"/>
      <w:marLeft w:val="0"/>
      <w:marRight w:val="0"/>
      <w:marTop w:val="0"/>
      <w:marBottom w:val="0"/>
      <w:divBdr>
        <w:top w:val="none" w:sz="0" w:space="0" w:color="auto"/>
        <w:left w:val="none" w:sz="0" w:space="0" w:color="auto"/>
        <w:bottom w:val="none" w:sz="0" w:space="0" w:color="auto"/>
        <w:right w:val="none" w:sz="0" w:space="0" w:color="auto"/>
      </w:divBdr>
      <w:divsChild>
        <w:div w:id="398091722">
          <w:marLeft w:val="0"/>
          <w:marRight w:val="0"/>
          <w:marTop w:val="0"/>
          <w:marBottom w:val="0"/>
          <w:divBdr>
            <w:top w:val="none" w:sz="0" w:space="0" w:color="auto"/>
            <w:left w:val="none" w:sz="0" w:space="0" w:color="auto"/>
            <w:bottom w:val="none" w:sz="0" w:space="0" w:color="auto"/>
            <w:right w:val="none" w:sz="0" w:space="0" w:color="auto"/>
          </w:divBdr>
        </w:div>
        <w:div w:id="787889503">
          <w:marLeft w:val="0"/>
          <w:marRight w:val="0"/>
          <w:marTop w:val="0"/>
          <w:marBottom w:val="0"/>
          <w:divBdr>
            <w:top w:val="none" w:sz="0" w:space="0" w:color="auto"/>
            <w:left w:val="none" w:sz="0" w:space="0" w:color="auto"/>
            <w:bottom w:val="none" w:sz="0" w:space="0" w:color="auto"/>
            <w:right w:val="none" w:sz="0" w:space="0" w:color="auto"/>
          </w:divBdr>
        </w:div>
        <w:div w:id="2006591876">
          <w:marLeft w:val="0"/>
          <w:marRight w:val="0"/>
          <w:marTop w:val="0"/>
          <w:marBottom w:val="0"/>
          <w:divBdr>
            <w:top w:val="none" w:sz="0" w:space="0" w:color="auto"/>
            <w:left w:val="none" w:sz="0" w:space="0" w:color="auto"/>
            <w:bottom w:val="none" w:sz="0" w:space="0" w:color="auto"/>
            <w:right w:val="none" w:sz="0" w:space="0" w:color="auto"/>
          </w:divBdr>
        </w:div>
      </w:divsChild>
    </w:div>
    <w:div w:id="1112166103">
      <w:bodyDiv w:val="1"/>
      <w:marLeft w:val="0"/>
      <w:marRight w:val="0"/>
      <w:marTop w:val="0"/>
      <w:marBottom w:val="0"/>
      <w:divBdr>
        <w:top w:val="none" w:sz="0" w:space="0" w:color="auto"/>
        <w:left w:val="none" w:sz="0" w:space="0" w:color="auto"/>
        <w:bottom w:val="none" w:sz="0" w:space="0" w:color="auto"/>
        <w:right w:val="none" w:sz="0" w:space="0" w:color="auto"/>
      </w:divBdr>
      <w:divsChild>
        <w:div w:id="810485246">
          <w:marLeft w:val="0"/>
          <w:marRight w:val="0"/>
          <w:marTop w:val="0"/>
          <w:marBottom w:val="0"/>
          <w:divBdr>
            <w:top w:val="none" w:sz="0" w:space="0" w:color="auto"/>
            <w:left w:val="none" w:sz="0" w:space="0" w:color="auto"/>
            <w:bottom w:val="none" w:sz="0" w:space="0" w:color="auto"/>
            <w:right w:val="none" w:sz="0" w:space="0" w:color="auto"/>
          </w:divBdr>
        </w:div>
        <w:div w:id="1133521688">
          <w:marLeft w:val="0"/>
          <w:marRight w:val="0"/>
          <w:marTop w:val="0"/>
          <w:marBottom w:val="0"/>
          <w:divBdr>
            <w:top w:val="none" w:sz="0" w:space="0" w:color="auto"/>
            <w:left w:val="none" w:sz="0" w:space="0" w:color="auto"/>
            <w:bottom w:val="none" w:sz="0" w:space="0" w:color="auto"/>
            <w:right w:val="none" w:sz="0" w:space="0" w:color="auto"/>
          </w:divBdr>
        </w:div>
        <w:div w:id="1386222182">
          <w:marLeft w:val="0"/>
          <w:marRight w:val="0"/>
          <w:marTop w:val="0"/>
          <w:marBottom w:val="0"/>
          <w:divBdr>
            <w:top w:val="none" w:sz="0" w:space="0" w:color="auto"/>
            <w:left w:val="none" w:sz="0" w:space="0" w:color="auto"/>
            <w:bottom w:val="none" w:sz="0" w:space="0" w:color="auto"/>
            <w:right w:val="none" w:sz="0" w:space="0" w:color="auto"/>
          </w:divBdr>
        </w:div>
        <w:div w:id="1412240641">
          <w:marLeft w:val="0"/>
          <w:marRight w:val="0"/>
          <w:marTop w:val="0"/>
          <w:marBottom w:val="0"/>
          <w:divBdr>
            <w:top w:val="none" w:sz="0" w:space="0" w:color="auto"/>
            <w:left w:val="none" w:sz="0" w:space="0" w:color="auto"/>
            <w:bottom w:val="none" w:sz="0" w:space="0" w:color="auto"/>
            <w:right w:val="none" w:sz="0" w:space="0" w:color="auto"/>
          </w:divBdr>
        </w:div>
        <w:div w:id="1827284285">
          <w:marLeft w:val="0"/>
          <w:marRight w:val="0"/>
          <w:marTop w:val="0"/>
          <w:marBottom w:val="0"/>
          <w:divBdr>
            <w:top w:val="none" w:sz="0" w:space="0" w:color="auto"/>
            <w:left w:val="none" w:sz="0" w:space="0" w:color="auto"/>
            <w:bottom w:val="none" w:sz="0" w:space="0" w:color="auto"/>
            <w:right w:val="none" w:sz="0" w:space="0" w:color="auto"/>
          </w:divBdr>
        </w:div>
        <w:div w:id="1876235575">
          <w:marLeft w:val="0"/>
          <w:marRight w:val="0"/>
          <w:marTop w:val="0"/>
          <w:marBottom w:val="0"/>
          <w:divBdr>
            <w:top w:val="none" w:sz="0" w:space="0" w:color="auto"/>
            <w:left w:val="none" w:sz="0" w:space="0" w:color="auto"/>
            <w:bottom w:val="none" w:sz="0" w:space="0" w:color="auto"/>
            <w:right w:val="none" w:sz="0" w:space="0" w:color="auto"/>
          </w:divBdr>
        </w:div>
        <w:div w:id="1977878970">
          <w:marLeft w:val="0"/>
          <w:marRight w:val="0"/>
          <w:marTop w:val="0"/>
          <w:marBottom w:val="0"/>
          <w:divBdr>
            <w:top w:val="none" w:sz="0" w:space="0" w:color="auto"/>
            <w:left w:val="none" w:sz="0" w:space="0" w:color="auto"/>
            <w:bottom w:val="none" w:sz="0" w:space="0" w:color="auto"/>
            <w:right w:val="none" w:sz="0" w:space="0" w:color="auto"/>
          </w:divBdr>
        </w:div>
      </w:divsChild>
    </w:div>
    <w:div w:id="1219324117">
      <w:bodyDiv w:val="1"/>
      <w:marLeft w:val="0"/>
      <w:marRight w:val="0"/>
      <w:marTop w:val="0"/>
      <w:marBottom w:val="0"/>
      <w:divBdr>
        <w:top w:val="none" w:sz="0" w:space="0" w:color="auto"/>
        <w:left w:val="none" w:sz="0" w:space="0" w:color="auto"/>
        <w:bottom w:val="none" w:sz="0" w:space="0" w:color="auto"/>
        <w:right w:val="none" w:sz="0" w:space="0" w:color="auto"/>
      </w:divBdr>
    </w:div>
    <w:div w:id="1580753085">
      <w:bodyDiv w:val="1"/>
      <w:marLeft w:val="0"/>
      <w:marRight w:val="0"/>
      <w:marTop w:val="0"/>
      <w:marBottom w:val="0"/>
      <w:divBdr>
        <w:top w:val="none" w:sz="0" w:space="0" w:color="auto"/>
        <w:left w:val="none" w:sz="0" w:space="0" w:color="auto"/>
        <w:bottom w:val="none" w:sz="0" w:space="0" w:color="auto"/>
        <w:right w:val="none" w:sz="0" w:space="0" w:color="auto"/>
      </w:divBdr>
      <w:divsChild>
        <w:div w:id="859974975">
          <w:marLeft w:val="0"/>
          <w:marRight w:val="0"/>
          <w:marTop w:val="0"/>
          <w:marBottom w:val="0"/>
          <w:divBdr>
            <w:top w:val="none" w:sz="0" w:space="0" w:color="auto"/>
            <w:left w:val="none" w:sz="0" w:space="0" w:color="auto"/>
            <w:bottom w:val="none" w:sz="0" w:space="0" w:color="auto"/>
            <w:right w:val="none" w:sz="0" w:space="0" w:color="auto"/>
          </w:divBdr>
        </w:div>
        <w:div w:id="970746692">
          <w:marLeft w:val="0"/>
          <w:marRight w:val="0"/>
          <w:marTop w:val="0"/>
          <w:marBottom w:val="0"/>
          <w:divBdr>
            <w:top w:val="none" w:sz="0" w:space="0" w:color="auto"/>
            <w:left w:val="none" w:sz="0" w:space="0" w:color="auto"/>
            <w:bottom w:val="none" w:sz="0" w:space="0" w:color="auto"/>
            <w:right w:val="none" w:sz="0" w:space="0" w:color="auto"/>
          </w:divBdr>
        </w:div>
        <w:div w:id="1182821420">
          <w:marLeft w:val="0"/>
          <w:marRight w:val="0"/>
          <w:marTop w:val="0"/>
          <w:marBottom w:val="0"/>
          <w:divBdr>
            <w:top w:val="none" w:sz="0" w:space="0" w:color="auto"/>
            <w:left w:val="none" w:sz="0" w:space="0" w:color="auto"/>
            <w:bottom w:val="none" w:sz="0" w:space="0" w:color="auto"/>
            <w:right w:val="none" w:sz="0" w:space="0" w:color="auto"/>
          </w:divBdr>
        </w:div>
        <w:div w:id="1863400583">
          <w:marLeft w:val="0"/>
          <w:marRight w:val="0"/>
          <w:marTop w:val="0"/>
          <w:marBottom w:val="0"/>
          <w:divBdr>
            <w:top w:val="none" w:sz="0" w:space="0" w:color="auto"/>
            <w:left w:val="none" w:sz="0" w:space="0" w:color="auto"/>
            <w:bottom w:val="none" w:sz="0" w:space="0" w:color="auto"/>
            <w:right w:val="none" w:sz="0" w:space="0" w:color="auto"/>
          </w:divBdr>
        </w:div>
      </w:divsChild>
    </w:div>
    <w:div w:id="1676805173">
      <w:bodyDiv w:val="1"/>
      <w:marLeft w:val="0"/>
      <w:marRight w:val="0"/>
      <w:marTop w:val="0"/>
      <w:marBottom w:val="0"/>
      <w:divBdr>
        <w:top w:val="none" w:sz="0" w:space="0" w:color="auto"/>
        <w:left w:val="none" w:sz="0" w:space="0" w:color="auto"/>
        <w:bottom w:val="none" w:sz="0" w:space="0" w:color="auto"/>
        <w:right w:val="none" w:sz="0" w:space="0" w:color="auto"/>
      </w:divBdr>
      <w:divsChild>
        <w:div w:id="224489505">
          <w:marLeft w:val="0"/>
          <w:marRight w:val="0"/>
          <w:marTop w:val="0"/>
          <w:marBottom w:val="0"/>
          <w:divBdr>
            <w:top w:val="none" w:sz="0" w:space="0" w:color="auto"/>
            <w:left w:val="none" w:sz="0" w:space="0" w:color="auto"/>
            <w:bottom w:val="none" w:sz="0" w:space="0" w:color="auto"/>
            <w:right w:val="none" w:sz="0" w:space="0" w:color="auto"/>
          </w:divBdr>
        </w:div>
        <w:div w:id="1047797248">
          <w:marLeft w:val="0"/>
          <w:marRight w:val="0"/>
          <w:marTop w:val="0"/>
          <w:marBottom w:val="0"/>
          <w:divBdr>
            <w:top w:val="none" w:sz="0" w:space="0" w:color="auto"/>
            <w:left w:val="none" w:sz="0" w:space="0" w:color="auto"/>
            <w:bottom w:val="none" w:sz="0" w:space="0" w:color="auto"/>
            <w:right w:val="none" w:sz="0" w:space="0" w:color="auto"/>
          </w:divBdr>
        </w:div>
        <w:div w:id="1744644328">
          <w:marLeft w:val="0"/>
          <w:marRight w:val="0"/>
          <w:marTop w:val="0"/>
          <w:marBottom w:val="0"/>
          <w:divBdr>
            <w:top w:val="none" w:sz="0" w:space="0" w:color="auto"/>
            <w:left w:val="none" w:sz="0" w:space="0" w:color="auto"/>
            <w:bottom w:val="none" w:sz="0" w:space="0" w:color="auto"/>
            <w:right w:val="none" w:sz="0" w:space="0" w:color="auto"/>
          </w:divBdr>
        </w:div>
      </w:divsChild>
    </w:div>
    <w:div w:id="1680306807">
      <w:bodyDiv w:val="1"/>
      <w:marLeft w:val="0"/>
      <w:marRight w:val="0"/>
      <w:marTop w:val="0"/>
      <w:marBottom w:val="0"/>
      <w:divBdr>
        <w:top w:val="none" w:sz="0" w:space="0" w:color="auto"/>
        <w:left w:val="none" w:sz="0" w:space="0" w:color="auto"/>
        <w:bottom w:val="none" w:sz="0" w:space="0" w:color="auto"/>
        <w:right w:val="none" w:sz="0" w:space="0" w:color="auto"/>
      </w:divBdr>
      <w:divsChild>
        <w:div w:id="794563414">
          <w:marLeft w:val="0"/>
          <w:marRight w:val="0"/>
          <w:marTop w:val="0"/>
          <w:marBottom w:val="0"/>
          <w:divBdr>
            <w:top w:val="none" w:sz="0" w:space="0" w:color="auto"/>
            <w:left w:val="none" w:sz="0" w:space="0" w:color="auto"/>
            <w:bottom w:val="none" w:sz="0" w:space="0" w:color="auto"/>
            <w:right w:val="none" w:sz="0" w:space="0" w:color="auto"/>
          </w:divBdr>
        </w:div>
        <w:div w:id="1310131335">
          <w:marLeft w:val="0"/>
          <w:marRight w:val="0"/>
          <w:marTop w:val="0"/>
          <w:marBottom w:val="0"/>
          <w:divBdr>
            <w:top w:val="none" w:sz="0" w:space="0" w:color="auto"/>
            <w:left w:val="none" w:sz="0" w:space="0" w:color="auto"/>
            <w:bottom w:val="none" w:sz="0" w:space="0" w:color="auto"/>
            <w:right w:val="none" w:sz="0" w:space="0" w:color="auto"/>
          </w:divBdr>
        </w:div>
        <w:div w:id="1347948087">
          <w:marLeft w:val="0"/>
          <w:marRight w:val="0"/>
          <w:marTop w:val="0"/>
          <w:marBottom w:val="0"/>
          <w:divBdr>
            <w:top w:val="none" w:sz="0" w:space="0" w:color="auto"/>
            <w:left w:val="none" w:sz="0" w:space="0" w:color="auto"/>
            <w:bottom w:val="none" w:sz="0" w:space="0" w:color="auto"/>
            <w:right w:val="none" w:sz="0" w:space="0" w:color="auto"/>
          </w:divBdr>
        </w:div>
        <w:div w:id="1372920516">
          <w:marLeft w:val="0"/>
          <w:marRight w:val="0"/>
          <w:marTop w:val="0"/>
          <w:marBottom w:val="0"/>
          <w:divBdr>
            <w:top w:val="none" w:sz="0" w:space="0" w:color="auto"/>
            <w:left w:val="none" w:sz="0" w:space="0" w:color="auto"/>
            <w:bottom w:val="none" w:sz="0" w:space="0" w:color="auto"/>
            <w:right w:val="none" w:sz="0" w:space="0" w:color="auto"/>
          </w:divBdr>
        </w:div>
        <w:div w:id="1584333052">
          <w:marLeft w:val="0"/>
          <w:marRight w:val="0"/>
          <w:marTop w:val="0"/>
          <w:marBottom w:val="0"/>
          <w:divBdr>
            <w:top w:val="none" w:sz="0" w:space="0" w:color="auto"/>
            <w:left w:val="none" w:sz="0" w:space="0" w:color="auto"/>
            <w:bottom w:val="none" w:sz="0" w:space="0" w:color="auto"/>
            <w:right w:val="none" w:sz="0" w:space="0" w:color="auto"/>
          </w:divBdr>
        </w:div>
        <w:div w:id="1627928636">
          <w:marLeft w:val="0"/>
          <w:marRight w:val="0"/>
          <w:marTop w:val="0"/>
          <w:marBottom w:val="0"/>
          <w:divBdr>
            <w:top w:val="none" w:sz="0" w:space="0" w:color="auto"/>
            <w:left w:val="none" w:sz="0" w:space="0" w:color="auto"/>
            <w:bottom w:val="none" w:sz="0" w:space="0" w:color="auto"/>
            <w:right w:val="none" w:sz="0" w:space="0" w:color="auto"/>
          </w:divBdr>
        </w:div>
        <w:div w:id="1871146705">
          <w:marLeft w:val="0"/>
          <w:marRight w:val="0"/>
          <w:marTop w:val="0"/>
          <w:marBottom w:val="0"/>
          <w:divBdr>
            <w:top w:val="none" w:sz="0" w:space="0" w:color="auto"/>
            <w:left w:val="none" w:sz="0" w:space="0" w:color="auto"/>
            <w:bottom w:val="none" w:sz="0" w:space="0" w:color="auto"/>
            <w:right w:val="none" w:sz="0" w:space="0" w:color="auto"/>
          </w:divBdr>
        </w:div>
        <w:div w:id="1880511669">
          <w:marLeft w:val="0"/>
          <w:marRight w:val="0"/>
          <w:marTop w:val="0"/>
          <w:marBottom w:val="0"/>
          <w:divBdr>
            <w:top w:val="none" w:sz="0" w:space="0" w:color="auto"/>
            <w:left w:val="none" w:sz="0" w:space="0" w:color="auto"/>
            <w:bottom w:val="none" w:sz="0" w:space="0" w:color="auto"/>
            <w:right w:val="none" w:sz="0" w:space="0" w:color="auto"/>
          </w:divBdr>
        </w:div>
        <w:div w:id="1889608842">
          <w:marLeft w:val="0"/>
          <w:marRight w:val="0"/>
          <w:marTop w:val="0"/>
          <w:marBottom w:val="0"/>
          <w:divBdr>
            <w:top w:val="none" w:sz="0" w:space="0" w:color="auto"/>
            <w:left w:val="none" w:sz="0" w:space="0" w:color="auto"/>
            <w:bottom w:val="none" w:sz="0" w:space="0" w:color="auto"/>
            <w:right w:val="none" w:sz="0" w:space="0" w:color="auto"/>
          </w:divBdr>
        </w:div>
      </w:divsChild>
    </w:div>
    <w:div w:id="206471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uprdoc.ohchr.org/uprweb/downloadfile.aspx?filename=556&amp;file=EnglishTranslation" TargetMode="External"/><Relationship Id="rId13" Type="http://schemas.openxmlformats.org/officeDocument/2006/relationships/hyperlink" Target="http://www.apt.ch/content/files/npm/africa/Nigeria_NPM_ToR.pdf" TargetMode="External"/><Relationship Id="rId18" Type="http://schemas.openxmlformats.org/officeDocument/2006/relationships/hyperlink" Target="http://www.bbc.com/news/uk-15511081" TargetMode="External"/><Relationship Id="rId3" Type="http://schemas.openxmlformats.org/officeDocument/2006/relationships/hyperlink" Target="https://www.upr-info.org/sites/default/files/document/nigeria/session_4_-_february_2009/js1ngauprs42009constitutionalrightsprojectetaljoint.pdf" TargetMode="External"/><Relationship Id="rId7" Type="http://schemas.openxmlformats.org/officeDocument/2006/relationships/hyperlink" Target="http://www.upr-info.org/sites/default/files/general-document/pdf/2012_on_the_road_to_implementation.pdf" TargetMode="External"/><Relationship Id="rId12" Type="http://schemas.openxmlformats.org/officeDocument/2006/relationships/hyperlink" Target="http://www.refworld.org/docid/56498d834.html" TargetMode="External"/><Relationship Id="rId17" Type="http://schemas.openxmlformats.org/officeDocument/2006/relationships/hyperlink" Target="https://uprdoc.ohchr.org/uprweb/downloadfile.aspx?filename=556&amp;file=Annexe1" TargetMode="External"/><Relationship Id="rId2" Type="http://schemas.openxmlformats.org/officeDocument/2006/relationships/hyperlink" Target="https://www.upr-info.org/database/files/Database_Issues_explanation.pdf" TargetMode="External"/><Relationship Id="rId16" Type="http://schemas.openxmlformats.org/officeDocument/2006/relationships/hyperlink" Target="https://www.amnesty.org/download/Documents/16000/afr440432012en.pdf" TargetMode="External"/><Relationship Id="rId1" Type="http://schemas.openxmlformats.org/officeDocument/2006/relationships/hyperlink" Target="http://s.upr-info.org/1G1cXQV" TargetMode="External"/><Relationship Id="rId6" Type="http://schemas.openxmlformats.org/officeDocument/2006/relationships/hyperlink" Target="https://uprdoc.ohchr.org/uprweb/downloadfile.aspx?filename=556&amp;file=Annexe1" TargetMode="External"/><Relationship Id="rId11" Type="http://schemas.openxmlformats.org/officeDocument/2006/relationships/hyperlink" Target="https://uprdoc.ohchr.org/uprweb/downloadfile.aspx?filename=148&amp;file=EnglishTranslation" TargetMode="External"/><Relationship Id="rId5" Type="http://schemas.openxmlformats.org/officeDocument/2006/relationships/hyperlink" Target="https://uprdoc.ohchr.org/uprweb/downloadfile.aspx?filename=148&amp;file=EnglishTranslation" TargetMode="External"/><Relationship Id="rId15" Type="http://schemas.openxmlformats.org/officeDocument/2006/relationships/hyperlink" Target="http://www.apt.ch/content/files/npm/africa/Nigeria_NPM_ToR.pdf" TargetMode="External"/><Relationship Id="rId10" Type="http://schemas.openxmlformats.org/officeDocument/2006/relationships/hyperlink" Target="https://uprdoc.ohchr.org/uprweb/downloadfile.aspx?filename=556&amp;file=Annexe1" TargetMode="External"/><Relationship Id="rId4" Type="http://schemas.openxmlformats.org/officeDocument/2006/relationships/hyperlink" Target="https://www.upr-info.org/sites/default/files/document/nigeria/session_17_-_october_2013/js5_upr17_nga_e_main.pdf" TargetMode="External"/><Relationship Id="rId9" Type="http://schemas.openxmlformats.org/officeDocument/2006/relationships/hyperlink" Target="http://www.un.org/ga/60/elect/hrc/nigeria.pdf" TargetMode="External"/><Relationship Id="rId14" Type="http://schemas.openxmlformats.org/officeDocument/2006/relationships/hyperlink" Target="http://www.ohchr.org/Documents/HRBodies/OPCAT/NPM/Nigeria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1E471-48FC-4AF2-ACD7-AABAF03E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9238</Words>
  <Characters>52658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61773</CharactersWithSpaces>
  <SharedDoc>false</SharedDoc>
  <HLinks>
    <vt:vector size="96" baseType="variant">
      <vt:variant>
        <vt:i4>7602214</vt:i4>
      </vt:variant>
      <vt:variant>
        <vt:i4>45</vt:i4>
      </vt:variant>
      <vt:variant>
        <vt:i4>0</vt:i4>
      </vt:variant>
      <vt:variant>
        <vt:i4>5</vt:i4>
      </vt:variant>
      <vt:variant>
        <vt:lpwstr>http://www.bbc.com/news/uk-15511081</vt:lpwstr>
      </vt:variant>
      <vt:variant>
        <vt:lpwstr/>
      </vt:variant>
      <vt:variant>
        <vt:i4>3407932</vt:i4>
      </vt:variant>
      <vt:variant>
        <vt:i4>42</vt:i4>
      </vt:variant>
      <vt:variant>
        <vt:i4>0</vt:i4>
      </vt:variant>
      <vt:variant>
        <vt:i4>5</vt:i4>
      </vt:variant>
      <vt:variant>
        <vt:lpwstr>https://www.amnesty.org/download/Documents/16000/afr440432012en.pdf</vt:lpwstr>
      </vt:variant>
      <vt:variant>
        <vt:lpwstr/>
      </vt:variant>
      <vt:variant>
        <vt:i4>1835088</vt:i4>
      </vt:variant>
      <vt:variant>
        <vt:i4>39</vt:i4>
      </vt:variant>
      <vt:variant>
        <vt:i4>0</vt:i4>
      </vt:variant>
      <vt:variant>
        <vt:i4>5</vt:i4>
      </vt:variant>
      <vt:variant>
        <vt:lpwstr>http://www.google.com.au/url?sa=t&amp;rct=j&amp;q=&amp;esrc=s&amp;source=web&amp;cd=6&amp;cad=rja&amp;uact=8&amp;ved=0CDwQFjAF&amp;url=http%3A%2F%2Fduihua.org%2Fwp%2Fwp-content%2Fuploads%2F2013%2F09%2F20130304_DuiHuaUPRSubmission.pdf&amp;ei=Z_QpVbDSAcTOmwXk5YGIBA&amp;usg=AFQjCNE_ik0S0fQpyEqyyV9zX_7WuSMj8g&amp;sig2=jU0l9kKdMhIiNvmPbdOd8A&amp;bvm=bv.90491159,d.dGY</vt:lpwstr>
      </vt:variant>
      <vt:variant>
        <vt:lpwstr/>
      </vt:variant>
      <vt:variant>
        <vt:i4>3342447</vt:i4>
      </vt:variant>
      <vt:variant>
        <vt:i4>36</vt:i4>
      </vt:variant>
      <vt:variant>
        <vt:i4>0</vt:i4>
      </vt:variant>
      <vt:variant>
        <vt:i4>5</vt:i4>
      </vt:variant>
      <vt:variant>
        <vt:lpwstr>http://www.apt.ch/content/files/npm/africa/Nigeria_NPM_ToR.pdf</vt:lpwstr>
      </vt:variant>
      <vt:variant>
        <vt:lpwstr/>
      </vt:variant>
      <vt:variant>
        <vt:i4>4390933</vt:i4>
      </vt:variant>
      <vt:variant>
        <vt:i4>33</vt:i4>
      </vt:variant>
      <vt:variant>
        <vt:i4>0</vt:i4>
      </vt:variant>
      <vt:variant>
        <vt:i4>5</vt:i4>
      </vt:variant>
      <vt:variant>
        <vt:lpwstr>http://www.ohchr.org/Documents/HRBodies/OPCAT/NPM/Nigeria2014.pdf</vt:lpwstr>
      </vt:variant>
      <vt:variant>
        <vt:lpwstr/>
      </vt:variant>
      <vt:variant>
        <vt:i4>3342447</vt:i4>
      </vt:variant>
      <vt:variant>
        <vt:i4>30</vt:i4>
      </vt:variant>
      <vt:variant>
        <vt:i4>0</vt:i4>
      </vt:variant>
      <vt:variant>
        <vt:i4>5</vt:i4>
      </vt:variant>
      <vt:variant>
        <vt:lpwstr>http://www.apt.ch/content/files/npm/africa/Nigeria_NPM_ToR.pdf</vt:lpwstr>
      </vt:variant>
      <vt:variant>
        <vt:lpwstr/>
      </vt:variant>
      <vt:variant>
        <vt:i4>2556029</vt:i4>
      </vt:variant>
      <vt:variant>
        <vt:i4>27</vt:i4>
      </vt:variant>
      <vt:variant>
        <vt:i4>0</vt:i4>
      </vt:variant>
      <vt:variant>
        <vt:i4>5</vt:i4>
      </vt:variant>
      <vt:variant>
        <vt:lpwstr>https://uprdoc.ohchr.org/uprweb/downloadfile.aspx?filename=556&amp;file=Annexe1</vt:lpwstr>
      </vt:variant>
      <vt:variant>
        <vt:lpwstr/>
      </vt:variant>
      <vt:variant>
        <vt:i4>458843</vt:i4>
      </vt:variant>
      <vt:variant>
        <vt:i4>24</vt:i4>
      </vt:variant>
      <vt:variant>
        <vt:i4>0</vt:i4>
      </vt:variant>
      <vt:variant>
        <vt:i4>5</vt:i4>
      </vt:variant>
      <vt:variant>
        <vt:lpwstr>http://www.un.org/ga/60/elect/hrc/nigeria.pdf</vt:lpwstr>
      </vt:variant>
      <vt:variant>
        <vt:lpwstr/>
      </vt:variant>
      <vt:variant>
        <vt:i4>3670114</vt:i4>
      </vt:variant>
      <vt:variant>
        <vt:i4>21</vt:i4>
      </vt:variant>
      <vt:variant>
        <vt:i4>0</vt:i4>
      </vt:variant>
      <vt:variant>
        <vt:i4>5</vt:i4>
      </vt:variant>
      <vt:variant>
        <vt:lpwstr>https://uprdoc.ohchr.org/uprweb/downloadfile.aspx?filename=556&amp;file=EnglishTranslation</vt:lpwstr>
      </vt:variant>
      <vt:variant>
        <vt:lpwstr/>
      </vt:variant>
      <vt:variant>
        <vt:i4>2556029</vt:i4>
      </vt:variant>
      <vt:variant>
        <vt:i4>18</vt:i4>
      </vt:variant>
      <vt:variant>
        <vt:i4>0</vt:i4>
      </vt:variant>
      <vt:variant>
        <vt:i4>5</vt:i4>
      </vt:variant>
      <vt:variant>
        <vt:lpwstr>https://uprdoc.ohchr.org/uprweb/downloadfile.aspx?filename=556&amp;file=Annexe1</vt:lpwstr>
      </vt:variant>
      <vt:variant>
        <vt:lpwstr/>
      </vt:variant>
      <vt:variant>
        <vt:i4>3276899</vt:i4>
      </vt:variant>
      <vt:variant>
        <vt:i4>15</vt:i4>
      </vt:variant>
      <vt:variant>
        <vt:i4>0</vt:i4>
      </vt:variant>
      <vt:variant>
        <vt:i4>5</vt:i4>
      </vt:variant>
      <vt:variant>
        <vt:lpwstr>https://uprdoc.ohchr.org/uprweb/downloadfile.aspx?filename=148&amp;file=EnglishTranslation</vt:lpwstr>
      </vt:variant>
      <vt:variant>
        <vt:lpwstr/>
      </vt:variant>
      <vt:variant>
        <vt:i4>4980863</vt:i4>
      </vt:variant>
      <vt:variant>
        <vt:i4>12</vt:i4>
      </vt:variant>
      <vt:variant>
        <vt:i4>0</vt:i4>
      </vt:variant>
      <vt:variant>
        <vt:i4>5</vt:i4>
      </vt:variant>
      <vt:variant>
        <vt:lpwstr>http://www.ohchr.org/Documents/HRBodies/UPR/TOR_TF_for_TC_assistance_UPR.pdf</vt:lpwstr>
      </vt:variant>
      <vt:variant>
        <vt:lpwstr/>
      </vt:variant>
      <vt:variant>
        <vt:i4>7274532</vt:i4>
      </vt:variant>
      <vt:variant>
        <vt:i4>9</vt:i4>
      </vt:variant>
      <vt:variant>
        <vt:i4>0</vt:i4>
      </vt:variant>
      <vt:variant>
        <vt:i4>5</vt:i4>
      </vt:variant>
      <vt:variant>
        <vt:lpwstr>http://www.ohchr.org/EN/HRBodies/UPR/Pages/UPRVoluntaryFundFinancialAndTechnicalAssistance.aspx</vt:lpwstr>
      </vt:variant>
      <vt:variant>
        <vt:lpwstr/>
      </vt:variant>
      <vt:variant>
        <vt:i4>458843</vt:i4>
      </vt:variant>
      <vt:variant>
        <vt:i4>6</vt:i4>
      </vt:variant>
      <vt:variant>
        <vt:i4>0</vt:i4>
      </vt:variant>
      <vt:variant>
        <vt:i4>5</vt:i4>
      </vt:variant>
      <vt:variant>
        <vt:lpwstr>http://www.un.org/ga/60/elect/hrc/nigeria.pdf</vt:lpwstr>
      </vt:variant>
      <vt:variant>
        <vt:lpwstr/>
      </vt:variant>
      <vt:variant>
        <vt:i4>1114126</vt:i4>
      </vt:variant>
      <vt:variant>
        <vt:i4>3</vt:i4>
      </vt:variant>
      <vt:variant>
        <vt:i4>0</vt:i4>
      </vt:variant>
      <vt:variant>
        <vt:i4>5</vt:i4>
      </vt:variant>
      <vt:variant>
        <vt:lpwstr>http://library.fes.de/pdf-files/bueros/genf/09297.pdf</vt:lpwstr>
      </vt:variant>
      <vt:variant>
        <vt:lpwstr/>
      </vt:variant>
      <vt:variant>
        <vt:i4>5636107</vt:i4>
      </vt:variant>
      <vt:variant>
        <vt:i4>0</vt:i4>
      </vt:variant>
      <vt:variant>
        <vt:i4>0</vt:i4>
      </vt:variant>
      <vt:variant>
        <vt:i4>5</vt:i4>
      </vt:variant>
      <vt:variant>
        <vt:lpwstr>http://s.upr-info.org/1G1cXQV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Etone</dc:creator>
  <cp:keywords/>
  <cp:lastModifiedBy>BEIGHTON Sarah E</cp:lastModifiedBy>
  <cp:revision>2</cp:revision>
  <cp:lastPrinted>2018-01-12T00:57:00Z</cp:lastPrinted>
  <dcterms:created xsi:type="dcterms:W3CDTF">2018-10-29T12:12:00Z</dcterms:created>
  <dcterms:modified xsi:type="dcterms:W3CDTF">2018-10-29T12:12:00Z</dcterms:modified>
</cp:coreProperties>
</file>