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54F" w:rsidRPr="00D00EB9" w:rsidRDefault="005F5EB5" w:rsidP="005F5EB5">
      <w:pPr>
        <w:spacing w:after="0" w:line="480" w:lineRule="auto"/>
        <w:ind w:right="95"/>
        <w:jc w:val="center"/>
        <w:rPr>
          <w:rFonts w:ascii="Arial" w:hAnsi="Arial" w:cs="Arial"/>
          <w:b/>
          <w:sz w:val="36"/>
          <w:szCs w:val="36"/>
        </w:rPr>
      </w:pPr>
      <w:r w:rsidRPr="00D00EB9">
        <w:rPr>
          <w:rFonts w:ascii="Arial" w:hAnsi="Arial" w:cs="Arial"/>
          <w:b/>
          <w:sz w:val="36"/>
          <w:szCs w:val="36"/>
        </w:rPr>
        <w:t xml:space="preserve">10   </w:t>
      </w:r>
      <w:r w:rsidR="0058654F" w:rsidRPr="00D00EB9">
        <w:rPr>
          <w:rFonts w:ascii="Arial" w:hAnsi="Arial" w:cs="Arial"/>
          <w:b/>
          <w:sz w:val="36"/>
          <w:szCs w:val="36"/>
        </w:rPr>
        <w:tab/>
        <w:t xml:space="preserve"> </w:t>
      </w:r>
      <w:proofErr w:type="gramStart"/>
      <w:r w:rsidR="0058654F" w:rsidRPr="00D00EB9">
        <w:rPr>
          <w:rFonts w:ascii="Arial" w:hAnsi="Arial" w:cs="Arial"/>
          <w:b/>
          <w:sz w:val="36"/>
          <w:szCs w:val="36"/>
        </w:rPr>
        <w:t xml:space="preserve">   </w:t>
      </w:r>
      <w:r w:rsidRPr="00D00EB9">
        <w:rPr>
          <w:rFonts w:ascii="Arial" w:hAnsi="Arial" w:cs="Arial"/>
          <w:b/>
          <w:sz w:val="36"/>
          <w:szCs w:val="36"/>
        </w:rPr>
        <w:t>‘</w:t>
      </w:r>
      <w:proofErr w:type="gramEnd"/>
      <w:r w:rsidRPr="00D00EB9">
        <w:rPr>
          <w:rFonts w:ascii="Arial" w:hAnsi="Arial" w:cs="Arial"/>
          <w:b/>
          <w:sz w:val="36"/>
          <w:szCs w:val="36"/>
        </w:rPr>
        <w:t>I am Afraid she is Perfectly Responsible for her Actions and is Simply Wicked’</w:t>
      </w:r>
      <w:r w:rsidR="00E37E6E">
        <w:rPr>
          <w:rStyle w:val="EndnoteReference"/>
          <w:rFonts w:ascii="Arial" w:hAnsi="Arial" w:cs="Arial"/>
          <w:b/>
          <w:sz w:val="36"/>
          <w:szCs w:val="36"/>
        </w:rPr>
        <w:endnoteReference w:id="1"/>
      </w:r>
      <w:r w:rsidR="0058654F" w:rsidRPr="00D00EB9">
        <w:rPr>
          <w:rFonts w:ascii="Arial" w:hAnsi="Arial" w:cs="Arial"/>
          <w:b/>
          <w:sz w:val="36"/>
          <w:szCs w:val="36"/>
        </w:rPr>
        <w:t>:</w:t>
      </w:r>
      <w:r w:rsidRPr="00D00EB9">
        <w:rPr>
          <w:rFonts w:ascii="Arial" w:hAnsi="Arial" w:cs="Arial"/>
          <w:b/>
          <w:sz w:val="36"/>
          <w:szCs w:val="36"/>
        </w:rPr>
        <w:t xml:space="preserve"> Reconstructing the Criminal Career of Julia Hyland.</w:t>
      </w:r>
    </w:p>
    <w:p w:rsidR="0058654F" w:rsidRPr="00D00EB9" w:rsidRDefault="005F5EB5" w:rsidP="0058654F">
      <w:pPr>
        <w:pBdr>
          <w:bottom w:val="single" w:sz="12" w:space="1" w:color="auto"/>
        </w:pBdr>
        <w:spacing w:after="0" w:line="480" w:lineRule="auto"/>
        <w:ind w:right="-46"/>
        <w:jc w:val="center"/>
        <w:rPr>
          <w:rFonts w:ascii="Arial" w:hAnsi="Arial" w:cs="Arial"/>
          <w:sz w:val="28"/>
          <w:szCs w:val="28"/>
        </w:rPr>
      </w:pPr>
      <w:r w:rsidRPr="00D00EB9">
        <w:rPr>
          <w:rFonts w:ascii="Arial" w:hAnsi="Arial" w:cs="Arial"/>
          <w:sz w:val="28"/>
          <w:szCs w:val="28"/>
        </w:rPr>
        <w:t>Helen Johnston</w:t>
      </w:r>
      <w:r w:rsidR="004A2E56">
        <w:rPr>
          <w:rFonts w:ascii="Arial" w:hAnsi="Arial" w:cs="Arial"/>
          <w:sz w:val="28"/>
          <w:szCs w:val="28"/>
        </w:rPr>
        <w:t>,</w:t>
      </w:r>
      <w:r w:rsidRPr="00D00EB9">
        <w:rPr>
          <w:rFonts w:ascii="Arial" w:hAnsi="Arial" w:cs="Arial"/>
          <w:sz w:val="28"/>
          <w:szCs w:val="28"/>
        </w:rPr>
        <w:t xml:space="preserve"> Barry Godfrey</w:t>
      </w:r>
      <w:r w:rsidR="004A2E56">
        <w:rPr>
          <w:rFonts w:ascii="Arial" w:hAnsi="Arial" w:cs="Arial"/>
          <w:sz w:val="28"/>
          <w:szCs w:val="28"/>
        </w:rPr>
        <w:t xml:space="preserve"> and Jo Turner</w:t>
      </w:r>
    </w:p>
    <w:p w:rsidR="0058654F" w:rsidRPr="00D00EB9" w:rsidRDefault="0058654F" w:rsidP="0058654F">
      <w:pPr>
        <w:spacing w:after="0" w:line="480" w:lineRule="auto"/>
        <w:ind w:right="-46"/>
        <w:jc w:val="both"/>
        <w:rPr>
          <w:rFonts w:ascii="Arial" w:hAnsi="Arial" w:cs="Arial"/>
        </w:rPr>
      </w:pPr>
    </w:p>
    <w:p w:rsidR="000C725F" w:rsidRPr="00D00EB9" w:rsidRDefault="0058654F" w:rsidP="005F5EB5">
      <w:pPr>
        <w:spacing w:after="0" w:line="480" w:lineRule="auto"/>
        <w:ind w:right="-46"/>
        <w:jc w:val="center"/>
        <w:rPr>
          <w:rFonts w:ascii="Arial" w:hAnsi="Arial" w:cs="Arial"/>
          <w:sz w:val="28"/>
          <w:szCs w:val="28"/>
        </w:rPr>
      </w:pPr>
      <w:r w:rsidRPr="00D00EB9">
        <w:rPr>
          <w:rFonts w:ascii="Arial" w:hAnsi="Arial" w:cs="Arial"/>
          <w:sz w:val="28"/>
          <w:szCs w:val="28"/>
        </w:rPr>
        <w:t>I</w:t>
      </w:r>
    </w:p>
    <w:p w:rsidR="000C725F" w:rsidRPr="00D00EB9" w:rsidRDefault="000C725F" w:rsidP="0058654F">
      <w:pPr>
        <w:tabs>
          <w:tab w:val="left" w:pos="1234"/>
        </w:tabs>
        <w:spacing w:after="0" w:line="480" w:lineRule="auto"/>
        <w:contextualSpacing/>
        <w:jc w:val="both"/>
        <w:rPr>
          <w:rFonts w:ascii="Arial" w:eastAsiaTheme="minorEastAsia" w:hAnsi="Arial" w:cs="Arial"/>
          <w:sz w:val="24"/>
          <w:szCs w:val="24"/>
        </w:rPr>
      </w:pPr>
      <w:r w:rsidRPr="00D00EB9">
        <w:rPr>
          <w:rFonts w:ascii="Arial" w:eastAsiaTheme="minorEastAsia" w:hAnsi="Arial" w:cs="Arial"/>
          <w:sz w:val="24"/>
          <w:szCs w:val="24"/>
        </w:rPr>
        <w:t xml:space="preserve">A micro-historical approach to the reconstruction of criminal careers and lives provides the historian with a unique insight into everyday lives of people; in our case, as crime historians, the everyday lives we are concerned with </w:t>
      </w:r>
      <w:proofErr w:type="gramStart"/>
      <w:r w:rsidR="001B450B" w:rsidRPr="00D00EB9">
        <w:rPr>
          <w:rFonts w:ascii="Arial" w:eastAsiaTheme="minorEastAsia" w:hAnsi="Arial" w:cs="Arial"/>
          <w:sz w:val="24"/>
          <w:szCs w:val="24"/>
        </w:rPr>
        <w:t>in particular relate</w:t>
      </w:r>
      <w:proofErr w:type="gramEnd"/>
      <w:r w:rsidR="001B450B" w:rsidRPr="00D00EB9">
        <w:rPr>
          <w:rFonts w:ascii="Arial" w:eastAsiaTheme="minorEastAsia" w:hAnsi="Arial" w:cs="Arial"/>
          <w:sz w:val="24"/>
          <w:szCs w:val="24"/>
        </w:rPr>
        <w:t xml:space="preserve"> to </w:t>
      </w:r>
      <w:r w:rsidRPr="00D00EB9">
        <w:rPr>
          <w:rFonts w:ascii="Arial" w:eastAsiaTheme="minorEastAsia" w:hAnsi="Arial" w:cs="Arial"/>
          <w:sz w:val="24"/>
          <w:szCs w:val="24"/>
        </w:rPr>
        <w:t xml:space="preserve">convicts who experienced the nineteenth-century criminal justice system. </w:t>
      </w:r>
      <w:bookmarkStart w:id="0" w:name="_GoBack"/>
      <w:bookmarkEnd w:id="0"/>
      <w:r w:rsidRPr="00D00EB9">
        <w:rPr>
          <w:rFonts w:ascii="Arial" w:eastAsiaTheme="minorEastAsia" w:hAnsi="Arial" w:cs="Arial"/>
          <w:sz w:val="24"/>
          <w:szCs w:val="24"/>
        </w:rPr>
        <w:t>Micro-history offers us the opportunity not only to reconstruct the everyday life of these long-term prisoners</w:t>
      </w:r>
      <w:r w:rsidR="001B450B" w:rsidRPr="00D00EB9">
        <w:rPr>
          <w:rFonts w:ascii="Arial" w:eastAsiaTheme="minorEastAsia" w:hAnsi="Arial" w:cs="Arial"/>
          <w:sz w:val="24"/>
          <w:szCs w:val="24"/>
        </w:rPr>
        <w:t>,</w:t>
      </w:r>
      <w:r w:rsidRPr="00D00EB9">
        <w:rPr>
          <w:rFonts w:ascii="Arial" w:eastAsiaTheme="minorEastAsia" w:hAnsi="Arial" w:cs="Arial"/>
          <w:sz w:val="24"/>
          <w:szCs w:val="24"/>
        </w:rPr>
        <w:t xml:space="preserve"> but also enables us to ground their experiences within the reality of nineteenth-century penal policy and as much as possible, their lives outside of this system. From such </w:t>
      </w:r>
      <w:r w:rsidR="001B450B" w:rsidRPr="00D00EB9">
        <w:rPr>
          <w:rFonts w:ascii="Arial" w:eastAsiaTheme="minorEastAsia" w:hAnsi="Arial" w:cs="Arial"/>
          <w:sz w:val="24"/>
          <w:szCs w:val="24"/>
        </w:rPr>
        <w:t>analysis</w:t>
      </w:r>
      <w:r w:rsidRPr="00D00EB9">
        <w:rPr>
          <w:rFonts w:ascii="Arial" w:eastAsiaTheme="minorEastAsia" w:hAnsi="Arial" w:cs="Arial"/>
          <w:sz w:val="24"/>
          <w:szCs w:val="24"/>
        </w:rPr>
        <w:t xml:space="preserve">, we can draw out the </w:t>
      </w:r>
      <w:r w:rsidR="001B450B" w:rsidRPr="00D00EB9">
        <w:rPr>
          <w:rFonts w:ascii="Arial" w:eastAsiaTheme="minorEastAsia" w:hAnsi="Arial" w:cs="Arial"/>
          <w:sz w:val="24"/>
          <w:szCs w:val="24"/>
        </w:rPr>
        <w:t>‘</w:t>
      </w:r>
      <w:r w:rsidRPr="00D00EB9">
        <w:rPr>
          <w:rFonts w:ascii="Arial" w:eastAsiaTheme="minorEastAsia" w:hAnsi="Arial" w:cs="Arial"/>
          <w:sz w:val="24"/>
          <w:szCs w:val="24"/>
        </w:rPr>
        <w:t>general</w:t>
      </w:r>
      <w:r w:rsidR="001B450B" w:rsidRPr="00D00EB9">
        <w:rPr>
          <w:rFonts w:ascii="Arial" w:eastAsiaTheme="minorEastAsia" w:hAnsi="Arial" w:cs="Arial"/>
          <w:sz w:val="24"/>
          <w:szCs w:val="24"/>
        </w:rPr>
        <w:t>’</w:t>
      </w:r>
      <w:r w:rsidRPr="00D00EB9">
        <w:rPr>
          <w:rFonts w:ascii="Arial" w:eastAsiaTheme="minorEastAsia" w:hAnsi="Arial" w:cs="Arial"/>
          <w:sz w:val="24"/>
          <w:szCs w:val="24"/>
        </w:rPr>
        <w:t xml:space="preserve"> experience </w:t>
      </w:r>
      <w:proofErr w:type="gramStart"/>
      <w:r w:rsidRPr="00D00EB9">
        <w:rPr>
          <w:rFonts w:ascii="Arial" w:eastAsiaTheme="minorEastAsia" w:hAnsi="Arial" w:cs="Arial"/>
          <w:sz w:val="24"/>
          <w:szCs w:val="24"/>
        </w:rPr>
        <w:t>and also</w:t>
      </w:r>
      <w:proofErr w:type="gramEnd"/>
      <w:r w:rsidRPr="00D00EB9">
        <w:rPr>
          <w:rFonts w:ascii="Arial" w:eastAsiaTheme="minorEastAsia" w:hAnsi="Arial" w:cs="Arial"/>
          <w:sz w:val="24"/>
          <w:szCs w:val="24"/>
        </w:rPr>
        <w:t xml:space="preserve"> contribute to a historical approach which is often regarded as of great interest to the public.</w:t>
      </w:r>
      <w:r w:rsidRPr="00D00EB9">
        <w:rPr>
          <w:rStyle w:val="EndnoteReference"/>
          <w:rFonts w:ascii="Arial" w:eastAsiaTheme="minorEastAsia" w:hAnsi="Arial" w:cs="Arial"/>
          <w:sz w:val="24"/>
          <w:szCs w:val="24"/>
        </w:rPr>
        <w:endnoteReference w:id="2"/>
      </w:r>
      <w:r w:rsidRPr="00D00EB9">
        <w:rPr>
          <w:rFonts w:ascii="Arial" w:eastAsiaTheme="minorEastAsia" w:hAnsi="Arial" w:cs="Arial"/>
          <w:sz w:val="24"/>
          <w:szCs w:val="24"/>
        </w:rPr>
        <w:t xml:space="preserve"> In this chapter, we will examine the life of one female convict, Julia Hyland, reconstructing her life inside and outside of the criminal justice system</w:t>
      </w:r>
      <w:r w:rsidR="001B450B" w:rsidRPr="00D00EB9">
        <w:rPr>
          <w:rFonts w:ascii="Arial" w:eastAsiaTheme="minorEastAsia" w:hAnsi="Arial" w:cs="Arial"/>
          <w:sz w:val="24"/>
          <w:szCs w:val="24"/>
        </w:rPr>
        <w:t>. Initially, however</w:t>
      </w:r>
      <w:r w:rsidRPr="00D00EB9">
        <w:rPr>
          <w:rFonts w:ascii="Arial" w:eastAsiaTheme="minorEastAsia" w:hAnsi="Arial" w:cs="Arial"/>
          <w:sz w:val="24"/>
          <w:szCs w:val="24"/>
        </w:rPr>
        <w:t>, we shall examine the methods by which we created these micro-histories and the sources on which they are based.</w:t>
      </w:r>
    </w:p>
    <w:p w:rsidR="001B450B" w:rsidRPr="00D00EB9" w:rsidRDefault="001B450B" w:rsidP="0058654F">
      <w:pPr>
        <w:tabs>
          <w:tab w:val="left" w:pos="1234"/>
        </w:tabs>
        <w:spacing w:after="0" w:line="480" w:lineRule="auto"/>
        <w:contextualSpacing/>
        <w:jc w:val="both"/>
        <w:rPr>
          <w:rFonts w:ascii="Arial" w:eastAsiaTheme="minorEastAsia" w:hAnsi="Arial" w:cs="Arial"/>
          <w:sz w:val="24"/>
          <w:szCs w:val="24"/>
        </w:rPr>
      </w:pPr>
    </w:p>
    <w:p w:rsidR="000C725F" w:rsidRPr="00D00EB9" w:rsidRDefault="001B450B" w:rsidP="001B450B">
      <w:pPr>
        <w:tabs>
          <w:tab w:val="left" w:pos="1234"/>
        </w:tabs>
        <w:spacing w:after="0" w:line="480" w:lineRule="auto"/>
        <w:contextualSpacing/>
        <w:jc w:val="center"/>
        <w:rPr>
          <w:rFonts w:ascii="Arial" w:eastAsiaTheme="minorEastAsia" w:hAnsi="Arial" w:cs="Arial"/>
          <w:sz w:val="28"/>
          <w:szCs w:val="28"/>
        </w:rPr>
      </w:pPr>
      <w:r w:rsidRPr="00D00EB9">
        <w:rPr>
          <w:rFonts w:ascii="Arial" w:eastAsiaTheme="minorEastAsia" w:hAnsi="Arial" w:cs="Arial"/>
          <w:sz w:val="28"/>
          <w:szCs w:val="28"/>
        </w:rPr>
        <w:t>II</w:t>
      </w:r>
    </w:p>
    <w:p w:rsidR="000C725F" w:rsidRPr="00D00EB9" w:rsidRDefault="000C725F" w:rsidP="0058654F">
      <w:pPr>
        <w:tabs>
          <w:tab w:val="left" w:pos="1234"/>
        </w:tabs>
        <w:spacing w:after="0" w:line="480" w:lineRule="auto"/>
        <w:contextualSpacing/>
        <w:jc w:val="both"/>
        <w:rPr>
          <w:rFonts w:ascii="Arial" w:eastAsiaTheme="minorEastAsia" w:hAnsi="Arial" w:cs="Arial"/>
          <w:sz w:val="24"/>
          <w:szCs w:val="24"/>
        </w:rPr>
      </w:pPr>
      <w:r w:rsidRPr="00D00EB9">
        <w:rPr>
          <w:rFonts w:ascii="Arial" w:eastAsiaTheme="minorEastAsia" w:hAnsi="Arial" w:cs="Arial"/>
          <w:sz w:val="24"/>
          <w:szCs w:val="24"/>
        </w:rPr>
        <w:t xml:space="preserve">When penal transportation to Australia began to decline from the 1850s and then ended in 1868, a system of licensing that had encouraged the resettlement of </w:t>
      </w:r>
      <w:r w:rsidRPr="00D00EB9">
        <w:rPr>
          <w:rFonts w:ascii="Arial" w:eastAsiaTheme="minorEastAsia" w:hAnsi="Arial" w:cs="Arial"/>
          <w:sz w:val="24"/>
          <w:szCs w:val="24"/>
        </w:rPr>
        <w:lastRenderedPageBreak/>
        <w:t>convicts released in Australia was transferred for use in England and Wales. The licensing or ‘ticket’ of leave' system became part of the newly created convict prison system. The convict prisons, administered and controlled by the government (and not by local authorities as was the case with local prisons)</w:t>
      </w:r>
      <w:r w:rsidR="00D00EB9" w:rsidRPr="00D00EB9">
        <w:rPr>
          <w:rFonts w:ascii="Arial" w:eastAsiaTheme="minorEastAsia" w:hAnsi="Arial" w:cs="Arial"/>
          <w:sz w:val="24"/>
          <w:szCs w:val="24"/>
        </w:rPr>
        <w:t>,</w:t>
      </w:r>
      <w:r w:rsidRPr="00D00EB9">
        <w:rPr>
          <w:rFonts w:ascii="Arial" w:eastAsiaTheme="minorEastAsia" w:hAnsi="Arial" w:cs="Arial"/>
          <w:sz w:val="24"/>
          <w:szCs w:val="24"/>
        </w:rPr>
        <w:t xml:space="preserve"> was where prisoners sentenced to long periods of incarceration, known as ‘penal servitude’, would serve their sentences.</w:t>
      </w:r>
      <w:r w:rsidR="00636448">
        <w:rPr>
          <w:rStyle w:val="EndnoteReference"/>
          <w:rFonts w:ascii="Arial" w:eastAsiaTheme="minorEastAsia" w:hAnsi="Arial" w:cs="Arial"/>
          <w:sz w:val="24"/>
          <w:szCs w:val="24"/>
        </w:rPr>
        <w:endnoteReference w:id="3"/>
      </w:r>
      <w:r w:rsidRPr="00D00EB9">
        <w:rPr>
          <w:rFonts w:ascii="Arial" w:eastAsiaTheme="minorEastAsia" w:hAnsi="Arial" w:cs="Arial"/>
          <w:sz w:val="24"/>
          <w:szCs w:val="24"/>
        </w:rPr>
        <w:t xml:space="preserve"> A sentence of penal servitude gradually and then completely replaced the sentence of transportation</w:t>
      </w:r>
      <w:r w:rsidR="00D00EB9" w:rsidRPr="00D00EB9">
        <w:rPr>
          <w:rFonts w:ascii="Arial" w:eastAsiaTheme="minorEastAsia" w:hAnsi="Arial" w:cs="Arial"/>
          <w:sz w:val="24"/>
          <w:szCs w:val="24"/>
        </w:rPr>
        <w:t>,</w:t>
      </w:r>
      <w:r w:rsidRPr="00D00EB9">
        <w:rPr>
          <w:rFonts w:ascii="Arial" w:eastAsiaTheme="minorEastAsia" w:hAnsi="Arial" w:cs="Arial"/>
          <w:sz w:val="24"/>
          <w:szCs w:val="24"/>
        </w:rPr>
        <w:t xml:space="preserve"> as the system evolved in the middle decades of the nineteenth century. Penal servitude was made up of three parts</w:t>
      </w:r>
      <w:r w:rsidR="00D00EB9" w:rsidRPr="00D00EB9">
        <w:rPr>
          <w:rFonts w:ascii="Arial" w:eastAsiaTheme="minorEastAsia" w:hAnsi="Arial" w:cs="Arial"/>
          <w:sz w:val="24"/>
          <w:szCs w:val="24"/>
        </w:rPr>
        <w:t>. T</w:t>
      </w:r>
      <w:r w:rsidRPr="00D00EB9">
        <w:rPr>
          <w:rFonts w:ascii="Arial" w:eastAsiaTheme="minorEastAsia" w:hAnsi="Arial" w:cs="Arial"/>
          <w:sz w:val="24"/>
          <w:szCs w:val="24"/>
        </w:rPr>
        <w:t xml:space="preserve">he first </w:t>
      </w:r>
      <w:r w:rsidR="00D00EB9" w:rsidRPr="00D00EB9">
        <w:rPr>
          <w:rFonts w:ascii="Arial" w:eastAsiaTheme="minorEastAsia" w:hAnsi="Arial" w:cs="Arial"/>
          <w:sz w:val="24"/>
          <w:szCs w:val="24"/>
        </w:rPr>
        <w:t xml:space="preserve">was </w:t>
      </w:r>
      <w:r w:rsidRPr="00D00EB9">
        <w:rPr>
          <w:rFonts w:ascii="Arial" w:eastAsiaTheme="minorEastAsia" w:hAnsi="Arial" w:cs="Arial"/>
          <w:sz w:val="24"/>
          <w:szCs w:val="24"/>
        </w:rPr>
        <w:t>separate confinement (up to twelve months’ relative isolation in prison, where prisoners only left their cells for chapel and exercise and where all communication between inmates was prohibited)</w:t>
      </w:r>
      <w:r w:rsidR="00D00EB9" w:rsidRPr="00D00EB9">
        <w:rPr>
          <w:rFonts w:ascii="Arial" w:eastAsiaTheme="minorEastAsia" w:hAnsi="Arial" w:cs="Arial"/>
          <w:sz w:val="24"/>
          <w:szCs w:val="24"/>
        </w:rPr>
        <w:t>. The second was</w:t>
      </w:r>
      <w:r w:rsidRPr="00D00EB9">
        <w:rPr>
          <w:rFonts w:ascii="Arial" w:eastAsiaTheme="minorEastAsia" w:hAnsi="Arial" w:cs="Arial"/>
          <w:sz w:val="24"/>
          <w:szCs w:val="24"/>
        </w:rPr>
        <w:t xml:space="preserve"> labour on the ‘public works’ (working for the government or in the interest of the prison</w:t>
      </w:r>
      <w:r w:rsidR="00D00EB9" w:rsidRPr="00D00EB9">
        <w:rPr>
          <w:rFonts w:ascii="Arial" w:eastAsiaTheme="minorEastAsia" w:hAnsi="Arial" w:cs="Arial"/>
          <w:sz w:val="24"/>
          <w:szCs w:val="24"/>
        </w:rPr>
        <w:t>. M</w:t>
      </w:r>
      <w:r w:rsidRPr="00D00EB9">
        <w:rPr>
          <w:rFonts w:ascii="Arial" w:eastAsiaTheme="minorEastAsia" w:hAnsi="Arial" w:cs="Arial"/>
          <w:sz w:val="24"/>
          <w:szCs w:val="24"/>
        </w:rPr>
        <w:t>ale convicts</w:t>
      </w:r>
      <w:r w:rsidR="00D00EB9" w:rsidRPr="00D00EB9">
        <w:rPr>
          <w:rFonts w:ascii="Arial" w:eastAsiaTheme="minorEastAsia" w:hAnsi="Arial" w:cs="Arial"/>
          <w:sz w:val="24"/>
          <w:szCs w:val="24"/>
        </w:rPr>
        <w:t xml:space="preserve"> for example</w:t>
      </w:r>
      <w:r w:rsidRPr="00D00EB9">
        <w:rPr>
          <w:rFonts w:ascii="Arial" w:eastAsiaTheme="minorEastAsia" w:hAnsi="Arial" w:cs="Arial"/>
          <w:sz w:val="24"/>
          <w:szCs w:val="24"/>
        </w:rPr>
        <w:t xml:space="preserve"> laboured </w:t>
      </w:r>
      <w:r w:rsidR="00DA0B5A" w:rsidRPr="00D00EB9">
        <w:rPr>
          <w:rFonts w:ascii="Arial" w:eastAsiaTheme="minorEastAsia" w:hAnsi="Arial" w:cs="Arial"/>
          <w:sz w:val="24"/>
          <w:szCs w:val="24"/>
        </w:rPr>
        <w:t xml:space="preserve">at </w:t>
      </w:r>
      <w:r w:rsidRPr="00D00EB9">
        <w:rPr>
          <w:rFonts w:ascii="Arial" w:eastAsiaTheme="minorEastAsia" w:hAnsi="Arial" w:cs="Arial"/>
          <w:sz w:val="24"/>
          <w:szCs w:val="24"/>
        </w:rPr>
        <w:t>constructing dockyards</w:t>
      </w:r>
      <w:r w:rsidR="00D00EB9" w:rsidRPr="00D00EB9">
        <w:rPr>
          <w:rFonts w:ascii="Arial" w:eastAsiaTheme="minorEastAsia" w:hAnsi="Arial" w:cs="Arial"/>
          <w:sz w:val="24"/>
          <w:szCs w:val="24"/>
        </w:rPr>
        <w:t xml:space="preserve"> and </w:t>
      </w:r>
      <w:r w:rsidRPr="00D00EB9">
        <w:rPr>
          <w:rFonts w:ascii="Arial" w:eastAsiaTheme="minorEastAsia" w:hAnsi="Arial" w:cs="Arial"/>
          <w:sz w:val="24"/>
          <w:szCs w:val="24"/>
        </w:rPr>
        <w:t xml:space="preserve">roads or </w:t>
      </w:r>
      <w:r w:rsidR="00D00EB9" w:rsidRPr="00D00EB9">
        <w:rPr>
          <w:rFonts w:ascii="Arial" w:eastAsiaTheme="minorEastAsia" w:hAnsi="Arial" w:cs="Arial"/>
          <w:sz w:val="24"/>
          <w:szCs w:val="24"/>
        </w:rPr>
        <w:t xml:space="preserve">undertook </w:t>
      </w:r>
      <w:r w:rsidRPr="00D00EB9">
        <w:rPr>
          <w:rFonts w:ascii="Arial" w:eastAsiaTheme="minorEastAsia" w:hAnsi="Arial" w:cs="Arial"/>
          <w:sz w:val="24"/>
          <w:szCs w:val="24"/>
        </w:rPr>
        <w:t xml:space="preserve">excavations, whilst female convicts </w:t>
      </w:r>
      <w:r w:rsidR="00D00EB9" w:rsidRPr="00D00EB9">
        <w:rPr>
          <w:rFonts w:ascii="Arial" w:eastAsiaTheme="minorEastAsia" w:hAnsi="Arial" w:cs="Arial"/>
          <w:sz w:val="24"/>
          <w:szCs w:val="24"/>
        </w:rPr>
        <w:t xml:space="preserve">worked in </w:t>
      </w:r>
      <w:r w:rsidRPr="00D00EB9">
        <w:rPr>
          <w:rFonts w:ascii="Arial" w:eastAsiaTheme="minorEastAsia" w:hAnsi="Arial" w:cs="Arial"/>
          <w:sz w:val="24"/>
          <w:szCs w:val="24"/>
        </w:rPr>
        <w:t>the laundry for their own prison and others</w:t>
      </w:r>
      <w:r w:rsidR="00D00EB9" w:rsidRPr="00D00EB9">
        <w:rPr>
          <w:rFonts w:ascii="Arial" w:eastAsiaTheme="minorEastAsia" w:hAnsi="Arial" w:cs="Arial"/>
          <w:sz w:val="24"/>
          <w:szCs w:val="24"/>
        </w:rPr>
        <w:t>,</w:t>
      </w:r>
      <w:r w:rsidRPr="00D00EB9">
        <w:rPr>
          <w:rFonts w:ascii="Arial" w:eastAsiaTheme="minorEastAsia" w:hAnsi="Arial" w:cs="Arial"/>
          <w:sz w:val="24"/>
          <w:szCs w:val="24"/>
        </w:rPr>
        <w:t xml:space="preserve"> as well as sewing for the whole convict system). The final part of the sentence was release on licence or a ‘ticket of leave’.</w:t>
      </w:r>
      <w:r w:rsidR="00636448">
        <w:rPr>
          <w:rStyle w:val="EndnoteReference"/>
          <w:rFonts w:ascii="Arial" w:eastAsiaTheme="minorEastAsia" w:hAnsi="Arial" w:cs="Arial"/>
          <w:sz w:val="24"/>
          <w:szCs w:val="24"/>
        </w:rPr>
        <w:endnoteReference w:id="4"/>
      </w:r>
      <w:r w:rsidRPr="00D00EB9">
        <w:rPr>
          <w:rFonts w:ascii="Arial" w:eastAsiaTheme="minorEastAsia" w:hAnsi="Arial" w:cs="Arial"/>
          <w:sz w:val="24"/>
          <w:szCs w:val="24"/>
        </w:rPr>
        <w:t xml:space="preserve"> In serving a five-year sentence of penal servitude, the offender might serve up to </w:t>
      </w:r>
      <w:r w:rsidR="00DA0B5A" w:rsidRPr="00D00EB9">
        <w:rPr>
          <w:rFonts w:ascii="Arial" w:eastAsiaTheme="minorEastAsia" w:hAnsi="Arial" w:cs="Arial"/>
          <w:sz w:val="24"/>
          <w:szCs w:val="24"/>
        </w:rPr>
        <w:t xml:space="preserve">twelve </w:t>
      </w:r>
      <w:r w:rsidRPr="00D00EB9">
        <w:rPr>
          <w:rFonts w:ascii="Arial" w:eastAsiaTheme="minorEastAsia" w:hAnsi="Arial" w:cs="Arial"/>
          <w:sz w:val="24"/>
          <w:szCs w:val="24"/>
        </w:rPr>
        <w:t>months in separate confinement before being moved to the public works</w:t>
      </w:r>
      <w:r w:rsidR="00D00EB9">
        <w:rPr>
          <w:rFonts w:ascii="Arial" w:eastAsiaTheme="minorEastAsia" w:hAnsi="Arial" w:cs="Arial"/>
          <w:sz w:val="24"/>
          <w:szCs w:val="24"/>
        </w:rPr>
        <w:t>. T</w:t>
      </w:r>
      <w:r w:rsidRPr="00D00EB9">
        <w:rPr>
          <w:rFonts w:ascii="Arial" w:eastAsiaTheme="minorEastAsia" w:hAnsi="Arial" w:cs="Arial"/>
          <w:sz w:val="24"/>
          <w:szCs w:val="24"/>
        </w:rPr>
        <w:t xml:space="preserve">hey could then spend a maximum of four years on public </w:t>
      </w:r>
      <w:proofErr w:type="gramStart"/>
      <w:r w:rsidRPr="00D00EB9">
        <w:rPr>
          <w:rFonts w:ascii="Arial" w:eastAsiaTheme="minorEastAsia" w:hAnsi="Arial" w:cs="Arial"/>
          <w:sz w:val="24"/>
          <w:szCs w:val="24"/>
        </w:rPr>
        <w:t>works</w:t>
      </w:r>
      <w:proofErr w:type="gramEnd"/>
      <w:r w:rsidRPr="00D00EB9">
        <w:rPr>
          <w:rFonts w:ascii="Arial" w:eastAsiaTheme="minorEastAsia" w:hAnsi="Arial" w:cs="Arial"/>
          <w:sz w:val="24"/>
          <w:szCs w:val="24"/>
        </w:rPr>
        <w:t xml:space="preserve"> but the system operated to release all but the most recalcitrant prisoners early. The overwhelming majority of convicts did not serve their whole sentence and were released from prison</w:t>
      </w:r>
      <w:r w:rsidR="00D00EB9">
        <w:rPr>
          <w:rFonts w:ascii="Arial" w:eastAsiaTheme="minorEastAsia" w:hAnsi="Arial" w:cs="Arial"/>
          <w:sz w:val="24"/>
          <w:szCs w:val="24"/>
        </w:rPr>
        <w:t>,</w:t>
      </w:r>
      <w:r w:rsidRPr="00D00EB9">
        <w:rPr>
          <w:rFonts w:ascii="Arial" w:eastAsiaTheme="minorEastAsia" w:hAnsi="Arial" w:cs="Arial"/>
          <w:sz w:val="24"/>
          <w:szCs w:val="24"/>
        </w:rPr>
        <w:t xml:space="preserve"> with up to thirty or forty per cent of their sentence unserved. On average</w:t>
      </w:r>
      <w:r w:rsidR="00D00EB9">
        <w:rPr>
          <w:rFonts w:ascii="Arial" w:eastAsiaTheme="minorEastAsia" w:hAnsi="Arial" w:cs="Arial"/>
          <w:sz w:val="24"/>
          <w:szCs w:val="24"/>
        </w:rPr>
        <w:t>,</w:t>
      </w:r>
      <w:r w:rsidRPr="00D00EB9">
        <w:rPr>
          <w:rFonts w:ascii="Arial" w:eastAsiaTheme="minorEastAsia" w:hAnsi="Arial" w:cs="Arial"/>
          <w:sz w:val="24"/>
          <w:szCs w:val="24"/>
        </w:rPr>
        <w:t xml:space="preserve"> 1,300 prisoners were released on licence per year between 1854 and 1919, </w:t>
      </w:r>
      <w:r w:rsidR="00D00EB9">
        <w:rPr>
          <w:rFonts w:ascii="Arial" w:eastAsiaTheme="minorEastAsia" w:hAnsi="Arial" w:cs="Arial"/>
          <w:sz w:val="24"/>
          <w:szCs w:val="24"/>
        </w:rPr>
        <w:t xml:space="preserve">which was </w:t>
      </w:r>
      <w:r w:rsidRPr="00D00EB9">
        <w:rPr>
          <w:rFonts w:ascii="Arial" w:eastAsiaTheme="minorEastAsia" w:hAnsi="Arial" w:cs="Arial"/>
          <w:sz w:val="24"/>
          <w:szCs w:val="24"/>
        </w:rPr>
        <w:t>roughly a quarter of the sentenced convict prison population.</w:t>
      </w:r>
      <w:r w:rsidR="00636448">
        <w:rPr>
          <w:rStyle w:val="EndnoteReference"/>
          <w:rFonts w:ascii="Arial" w:eastAsiaTheme="minorEastAsia" w:hAnsi="Arial" w:cs="Arial"/>
          <w:sz w:val="24"/>
          <w:szCs w:val="24"/>
        </w:rPr>
        <w:endnoteReference w:id="5"/>
      </w:r>
      <w:r w:rsidRPr="00D00EB9">
        <w:rPr>
          <w:rFonts w:ascii="Arial" w:eastAsiaTheme="minorEastAsia" w:hAnsi="Arial" w:cs="Arial"/>
          <w:sz w:val="24"/>
          <w:szCs w:val="24"/>
        </w:rPr>
        <w:t xml:space="preserve"> On licence they were subject to </w:t>
      </w:r>
      <w:r w:rsidR="00D00EB9">
        <w:rPr>
          <w:rFonts w:ascii="Arial" w:eastAsiaTheme="minorEastAsia" w:hAnsi="Arial" w:cs="Arial"/>
          <w:sz w:val="24"/>
          <w:szCs w:val="24"/>
        </w:rPr>
        <w:t>certain</w:t>
      </w:r>
      <w:r w:rsidR="00D00EB9" w:rsidRPr="00D00EB9">
        <w:rPr>
          <w:rFonts w:ascii="Arial" w:eastAsiaTheme="minorEastAsia" w:hAnsi="Arial" w:cs="Arial"/>
          <w:sz w:val="24"/>
          <w:szCs w:val="24"/>
        </w:rPr>
        <w:t xml:space="preserve"> </w:t>
      </w:r>
      <w:r w:rsidRPr="00D00EB9">
        <w:rPr>
          <w:rFonts w:ascii="Arial" w:eastAsiaTheme="minorEastAsia" w:hAnsi="Arial" w:cs="Arial"/>
          <w:sz w:val="24"/>
          <w:szCs w:val="24"/>
        </w:rPr>
        <w:t xml:space="preserve">terms and conditions: </w:t>
      </w:r>
      <w:r w:rsidR="00D00EB9">
        <w:rPr>
          <w:rFonts w:ascii="Arial" w:eastAsiaTheme="minorEastAsia" w:hAnsi="Arial" w:cs="Arial"/>
          <w:sz w:val="24"/>
          <w:szCs w:val="24"/>
        </w:rPr>
        <w:t xml:space="preserve">they had </w:t>
      </w:r>
      <w:r w:rsidRPr="00D00EB9">
        <w:rPr>
          <w:rFonts w:ascii="Arial" w:eastAsiaTheme="minorEastAsia" w:hAnsi="Arial" w:cs="Arial"/>
          <w:sz w:val="24"/>
          <w:szCs w:val="24"/>
        </w:rPr>
        <w:t>to report to the police after release and the</w:t>
      </w:r>
      <w:r w:rsidR="00D00EB9">
        <w:rPr>
          <w:rFonts w:ascii="Arial" w:eastAsiaTheme="minorEastAsia" w:hAnsi="Arial" w:cs="Arial"/>
          <w:sz w:val="24"/>
          <w:szCs w:val="24"/>
        </w:rPr>
        <w:t xml:space="preserve">reafter on </w:t>
      </w:r>
      <w:r w:rsidR="00D00EB9">
        <w:rPr>
          <w:rFonts w:ascii="Arial" w:eastAsiaTheme="minorEastAsia" w:hAnsi="Arial" w:cs="Arial"/>
          <w:sz w:val="24"/>
          <w:szCs w:val="24"/>
        </w:rPr>
        <w:lastRenderedPageBreak/>
        <w:t>a</w:t>
      </w:r>
      <w:r w:rsidRPr="00D00EB9">
        <w:rPr>
          <w:rFonts w:ascii="Arial" w:eastAsiaTheme="minorEastAsia" w:hAnsi="Arial" w:cs="Arial"/>
          <w:sz w:val="24"/>
          <w:szCs w:val="24"/>
        </w:rPr>
        <w:t xml:space="preserve"> monthly</w:t>
      </w:r>
      <w:r w:rsidR="00D00EB9">
        <w:rPr>
          <w:rFonts w:ascii="Arial" w:eastAsiaTheme="minorEastAsia" w:hAnsi="Arial" w:cs="Arial"/>
          <w:sz w:val="24"/>
          <w:szCs w:val="24"/>
        </w:rPr>
        <w:t xml:space="preserve"> basis</w:t>
      </w:r>
      <w:r w:rsidRPr="00D00EB9">
        <w:rPr>
          <w:rFonts w:ascii="Arial" w:eastAsiaTheme="minorEastAsia" w:hAnsi="Arial" w:cs="Arial"/>
          <w:sz w:val="24"/>
          <w:szCs w:val="24"/>
        </w:rPr>
        <w:t xml:space="preserve">; </w:t>
      </w:r>
      <w:r w:rsidR="00D00EB9">
        <w:rPr>
          <w:rFonts w:ascii="Arial" w:eastAsiaTheme="minorEastAsia" w:hAnsi="Arial" w:cs="Arial"/>
          <w:sz w:val="24"/>
          <w:szCs w:val="24"/>
        </w:rPr>
        <w:t xml:space="preserve">they had </w:t>
      </w:r>
      <w:r w:rsidRPr="00D00EB9">
        <w:rPr>
          <w:rFonts w:ascii="Arial" w:eastAsiaTheme="minorEastAsia" w:hAnsi="Arial" w:cs="Arial"/>
          <w:sz w:val="24"/>
          <w:szCs w:val="24"/>
        </w:rPr>
        <w:t xml:space="preserve">not to commit any further offences; </w:t>
      </w:r>
      <w:r w:rsidR="00D00EB9">
        <w:rPr>
          <w:rFonts w:ascii="Arial" w:eastAsiaTheme="minorEastAsia" w:hAnsi="Arial" w:cs="Arial"/>
          <w:sz w:val="24"/>
          <w:szCs w:val="24"/>
        </w:rPr>
        <w:t>and more generally,</w:t>
      </w:r>
      <w:r w:rsidR="00D00EB9" w:rsidRPr="00D00EB9">
        <w:rPr>
          <w:rFonts w:ascii="Arial" w:eastAsiaTheme="minorEastAsia" w:hAnsi="Arial" w:cs="Arial"/>
          <w:sz w:val="24"/>
          <w:szCs w:val="24"/>
        </w:rPr>
        <w:t xml:space="preserve"> </w:t>
      </w:r>
      <w:r w:rsidRPr="00D00EB9">
        <w:rPr>
          <w:rFonts w:ascii="Arial" w:eastAsiaTheme="minorEastAsia" w:hAnsi="Arial" w:cs="Arial"/>
          <w:sz w:val="24"/>
          <w:szCs w:val="24"/>
        </w:rPr>
        <w:t xml:space="preserve">they were encouraged to gain employment and lead an honest life. Those who </w:t>
      </w:r>
      <w:r w:rsidR="00D00EB9">
        <w:rPr>
          <w:rFonts w:ascii="Arial" w:eastAsiaTheme="minorEastAsia" w:hAnsi="Arial" w:cs="Arial"/>
          <w:sz w:val="24"/>
          <w:szCs w:val="24"/>
        </w:rPr>
        <w:t>failed to</w:t>
      </w:r>
      <w:r w:rsidRPr="00D00EB9">
        <w:rPr>
          <w:rFonts w:ascii="Arial" w:eastAsiaTheme="minorEastAsia" w:hAnsi="Arial" w:cs="Arial"/>
          <w:sz w:val="24"/>
          <w:szCs w:val="24"/>
        </w:rPr>
        <w:t xml:space="preserve"> report themselves, </w:t>
      </w:r>
      <w:r w:rsidR="00D00EB9">
        <w:rPr>
          <w:rFonts w:ascii="Arial" w:eastAsiaTheme="minorEastAsia" w:hAnsi="Arial" w:cs="Arial"/>
          <w:sz w:val="24"/>
          <w:szCs w:val="24"/>
        </w:rPr>
        <w:t>who</w:t>
      </w:r>
      <w:r w:rsidR="00D00EB9" w:rsidRPr="00D00EB9">
        <w:rPr>
          <w:rFonts w:ascii="Arial" w:eastAsiaTheme="minorEastAsia" w:hAnsi="Arial" w:cs="Arial"/>
          <w:sz w:val="24"/>
          <w:szCs w:val="24"/>
        </w:rPr>
        <w:t xml:space="preserve"> </w:t>
      </w:r>
      <w:r w:rsidRPr="00D00EB9">
        <w:rPr>
          <w:rFonts w:ascii="Arial" w:eastAsiaTheme="minorEastAsia" w:hAnsi="Arial" w:cs="Arial"/>
          <w:sz w:val="24"/>
          <w:szCs w:val="24"/>
        </w:rPr>
        <w:t>committed further offences, or who were suspected of leading a dishonest life had their licence revoked and were returned to the convict system to serve out the rest of their sentence. Those who committed crimes serious enough to warrant a further sentence of penal servitude would have to serve out their previous sentence in addition to the new one imposed.</w:t>
      </w:r>
      <w:r w:rsidR="00636448">
        <w:rPr>
          <w:rStyle w:val="EndnoteReference"/>
          <w:rFonts w:ascii="Arial" w:eastAsiaTheme="minorEastAsia" w:hAnsi="Arial" w:cs="Arial"/>
          <w:sz w:val="24"/>
          <w:szCs w:val="24"/>
        </w:rPr>
        <w:endnoteReference w:id="6"/>
      </w:r>
      <w:r w:rsidRPr="00D00EB9">
        <w:rPr>
          <w:rFonts w:ascii="Arial" w:eastAsiaTheme="minorEastAsia" w:hAnsi="Arial" w:cs="Arial"/>
          <w:sz w:val="24"/>
          <w:szCs w:val="24"/>
        </w:rPr>
        <w:t xml:space="preserve">  </w:t>
      </w:r>
    </w:p>
    <w:p w:rsidR="000C725F" w:rsidRPr="00D00EB9" w:rsidRDefault="000C725F" w:rsidP="0058654F">
      <w:pPr>
        <w:tabs>
          <w:tab w:val="left" w:pos="1234"/>
        </w:tabs>
        <w:spacing w:after="0" w:line="480" w:lineRule="auto"/>
        <w:contextualSpacing/>
        <w:jc w:val="both"/>
        <w:rPr>
          <w:rFonts w:ascii="Arial" w:eastAsiaTheme="minorEastAsia" w:hAnsi="Arial" w:cs="Arial"/>
          <w:sz w:val="24"/>
          <w:szCs w:val="24"/>
        </w:rPr>
      </w:pPr>
      <w:r w:rsidRPr="00D00EB9">
        <w:rPr>
          <w:rFonts w:ascii="Arial" w:eastAsiaTheme="minorEastAsia" w:hAnsi="Arial" w:cs="Arial"/>
          <w:sz w:val="24"/>
          <w:szCs w:val="24"/>
        </w:rPr>
        <w:tab/>
      </w:r>
    </w:p>
    <w:p w:rsidR="000C725F" w:rsidRPr="00D00EB9" w:rsidRDefault="000C725F" w:rsidP="0058654F">
      <w:pPr>
        <w:tabs>
          <w:tab w:val="left" w:pos="1234"/>
        </w:tabs>
        <w:spacing w:after="0" w:line="480" w:lineRule="auto"/>
        <w:contextualSpacing/>
        <w:jc w:val="both"/>
        <w:rPr>
          <w:rFonts w:ascii="Arial" w:eastAsiaTheme="minorEastAsia" w:hAnsi="Arial" w:cs="Arial"/>
          <w:sz w:val="24"/>
          <w:szCs w:val="24"/>
        </w:rPr>
      </w:pPr>
      <w:r w:rsidRPr="00D00EB9">
        <w:rPr>
          <w:rFonts w:ascii="Arial" w:eastAsiaTheme="minorEastAsia" w:hAnsi="Arial" w:cs="Arial"/>
          <w:sz w:val="24"/>
          <w:szCs w:val="24"/>
        </w:rPr>
        <w:t>Despite media and public disquiet about serious offenders being released from prison in England and Wales and committing further offences, the system worked to a fairly regularised and mechanical structure by the 1870s.</w:t>
      </w:r>
      <w:r w:rsidR="00DA0B5A" w:rsidRPr="00D00EB9">
        <w:rPr>
          <w:rStyle w:val="EndnoteReference"/>
          <w:rFonts w:ascii="Arial" w:eastAsiaTheme="minorEastAsia" w:hAnsi="Arial" w:cs="Arial"/>
          <w:sz w:val="24"/>
          <w:szCs w:val="24"/>
        </w:rPr>
        <w:endnoteReference w:id="7"/>
      </w:r>
      <w:r w:rsidRPr="00D00EB9">
        <w:rPr>
          <w:rFonts w:ascii="Arial" w:eastAsiaTheme="minorEastAsia" w:hAnsi="Arial" w:cs="Arial"/>
          <w:sz w:val="24"/>
          <w:szCs w:val="24"/>
        </w:rPr>
        <w:t xml:space="preserve"> As criminologists and historians, the records of </w:t>
      </w:r>
      <w:r w:rsidR="00071774">
        <w:rPr>
          <w:rFonts w:ascii="Arial" w:eastAsiaTheme="minorEastAsia" w:hAnsi="Arial" w:cs="Arial"/>
          <w:sz w:val="24"/>
          <w:szCs w:val="24"/>
        </w:rPr>
        <w:t xml:space="preserve">the prison </w:t>
      </w:r>
      <w:r w:rsidRPr="00D00EB9">
        <w:rPr>
          <w:rFonts w:ascii="Arial" w:eastAsiaTheme="minorEastAsia" w:hAnsi="Arial" w:cs="Arial"/>
          <w:sz w:val="24"/>
          <w:szCs w:val="24"/>
        </w:rPr>
        <w:t>system offer us a window into the everyday prison-life of those who experienced penal servitude and enable us to reconstruct the micro-histories of hundreds of male and female convicts</w:t>
      </w:r>
      <w:r w:rsidR="00071774">
        <w:rPr>
          <w:rFonts w:ascii="Arial" w:eastAsiaTheme="minorEastAsia" w:hAnsi="Arial" w:cs="Arial"/>
          <w:sz w:val="24"/>
          <w:szCs w:val="24"/>
        </w:rPr>
        <w:t>’</w:t>
      </w:r>
      <w:r w:rsidRPr="00D00EB9">
        <w:rPr>
          <w:rFonts w:ascii="Arial" w:eastAsiaTheme="minorEastAsia" w:hAnsi="Arial" w:cs="Arial"/>
          <w:sz w:val="24"/>
          <w:szCs w:val="24"/>
        </w:rPr>
        <w:t xml:space="preserve"> experiences</w:t>
      </w:r>
      <w:r w:rsidR="00071774">
        <w:rPr>
          <w:rFonts w:ascii="Arial" w:eastAsiaTheme="minorEastAsia" w:hAnsi="Arial" w:cs="Arial"/>
          <w:sz w:val="24"/>
          <w:szCs w:val="24"/>
        </w:rPr>
        <w:t>. M</w:t>
      </w:r>
      <w:r w:rsidRPr="00D00EB9">
        <w:rPr>
          <w:rFonts w:ascii="Arial" w:eastAsiaTheme="minorEastAsia" w:hAnsi="Arial" w:cs="Arial"/>
          <w:sz w:val="24"/>
          <w:szCs w:val="24"/>
        </w:rPr>
        <w:t xml:space="preserve">any of </w:t>
      </w:r>
      <w:r w:rsidR="00071774">
        <w:rPr>
          <w:rFonts w:ascii="Arial" w:eastAsiaTheme="minorEastAsia" w:hAnsi="Arial" w:cs="Arial"/>
          <w:sz w:val="24"/>
          <w:szCs w:val="24"/>
        </w:rPr>
        <w:t>these life histories</w:t>
      </w:r>
      <w:r w:rsidRPr="00D00EB9">
        <w:rPr>
          <w:rFonts w:ascii="Arial" w:eastAsiaTheme="minorEastAsia" w:hAnsi="Arial" w:cs="Arial"/>
          <w:sz w:val="24"/>
          <w:szCs w:val="24"/>
        </w:rPr>
        <w:t xml:space="preserve"> would otherwise be invisible or lost within the machinery of nineteenth-century criminal justice.  Using a methodology previously employed by Godfrey </w:t>
      </w:r>
      <w:r w:rsidRPr="00D00EB9">
        <w:rPr>
          <w:rFonts w:ascii="Arial" w:eastAsiaTheme="minorEastAsia" w:hAnsi="Arial" w:cs="Arial"/>
          <w:i/>
          <w:sz w:val="24"/>
          <w:szCs w:val="24"/>
        </w:rPr>
        <w:t>et al</w:t>
      </w:r>
      <w:r w:rsidRPr="00D00EB9">
        <w:rPr>
          <w:rFonts w:ascii="Arial" w:eastAsiaTheme="minorEastAsia" w:hAnsi="Arial" w:cs="Arial"/>
          <w:sz w:val="24"/>
          <w:szCs w:val="24"/>
        </w:rPr>
        <w:t xml:space="preserve">, we created </w:t>
      </w:r>
      <w:r w:rsidR="00071774">
        <w:rPr>
          <w:rFonts w:ascii="Arial" w:eastAsiaTheme="minorEastAsia" w:hAnsi="Arial" w:cs="Arial"/>
          <w:sz w:val="24"/>
          <w:szCs w:val="24"/>
        </w:rPr>
        <w:t>‘</w:t>
      </w:r>
      <w:r w:rsidRPr="00D00EB9">
        <w:rPr>
          <w:rFonts w:ascii="Arial" w:eastAsiaTheme="minorEastAsia" w:hAnsi="Arial" w:cs="Arial"/>
          <w:sz w:val="24"/>
          <w:szCs w:val="24"/>
        </w:rPr>
        <w:t>lifegrids</w:t>
      </w:r>
      <w:r w:rsidR="00071774">
        <w:rPr>
          <w:rFonts w:ascii="Arial" w:eastAsiaTheme="minorEastAsia" w:hAnsi="Arial" w:cs="Arial"/>
          <w:sz w:val="24"/>
          <w:szCs w:val="24"/>
        </w:rPr>
        <w:t>’</w:t>
      </w:r>
      <w:r w:rsidRPr="00D00EB9">
        <w:rPr>
          <w:rFonts w:ascii="Arial" w:eastAsiaTheme="minorEastAsia" w:hAnsi="Arial" w:cs="Arial"/>
          <w:sz w:val="24"/>
          <w:szCs w:val="24"/>
        </w:rPr>
        <w:t xml:space="preserve"> of 650 male and female convicts who were released on licence from convict prisons between 1853 and 1887.</w:t>
      </w:r>
      <w:r w:rsidRPr="00D00EB9">
        <w:rPr>
          <w:rStyle w:val="EndnoteReference"/>
          <w:rFonts w:ascii="Arial" w:eastAsiaTheme="minorEastAsia" w:hAnsi="Arial" w:cs="Arial"/>
          <w:sz w:val="24"/>
          <w:szCs w:val="24"/>
        </w:rPr>
        <w:endnoteReference w:id="8"/>
      </w:r>
      <w:r w:rsidRPr="00D00EB9">
        <w:rPr>
          <w:rFonts w:ascii="Arial" w:eastAsiaTheme="minorEastAsia" w:hAnsi="Arial" w:cs="Arial"/>
          <w:sz w:val="24"/>
          <w:szCs w:val="24"/>
        </w:rPr>
        <w:t xml:space="preserve"> The penal records and licensing papers of those convicts are held in the National Archives, classified as Prison Commission 3 and 4 (PCOM 3 &amp; 4)</w:t>
      </w:r>
      <w:r w:rsidR="00071774">
        <w:rPr>
          <w:rFonts w:ascii="Arial" w:eastAsiaTheme="minorEastAsia" w:hAnsi="Arial" w:cs="Arial"/>
          <w:sz w:val="24"/>
          <w:szCs w:val="24"/>
        </w:rPr>
        <w:t>. T</w:t>
      </w:r>
      <w:r w:rsidRPr="00D00EB9">
        <w:rPr>
          <w:rFonts w:ascii="Arial" w:eastAsiaTheme="minorEastAsia" w:hAnsi="Arial" w:cs="Arial"/>
          <w:sz w:val="24"/>
          <w:szCs w:val="24"/>
        </w:rPr>
        <w:t xml:space="preserve">here are </w:t>
      </w:r>
      <w:r w:rsidR="00DA0B5A" w:rsidRPr="00D00EB9">
        <w:rPr>
          <w:rFonts w:ascii="Arial" w:eastAsiaTheme="minorEastAsia" w:hAnsi="Arial" w:cs="Arial"/>
          <w:sz w:val="24"/>
          <w:szCs w:val="24"/>
        </w:rPr>
        <w:t xml:space="preserve">some </w:t>
      </w:r>
      <w:r w:rsidRPr="00D00EB9">
        <w:rPr>
          <w:rFonts w:ascii="Arial" w:eastAsiaTheme="minorEastAsia" w:hAnsi="Arial" w:cs="Arial"/>
          <w:sz w:val="24"/>
          <w:szCs w:val="24"/>
        </w:rPr>
        <w:t xml:space="preserve">45,000 in total and a proportion of these have been digitised by www.ancestry.co.uk (currently </w:t>
      </w:r>
      <w:r w:rsidR="00071774">
        <w:rPr>
          <w:rFonts w:ascii="Arial" w:eastAsiaTheme="minorEastAsia" w:hAnsi="Arial" w:cs="Arial"/>
          <w:sz w:val="24"/>
          <w:szCs w:val="24"/>
        </w:rPr>
        <w:t xml:space="preserve">only </w:t>
      </w:r>
      <w:r w:rsidRPr="00D00EB9">
        <w:rPr>
          <w:rFonts w:ascii="Arial" w:eastAsiaTheme="minorEastAsia" w:hAnsi="Arial" w:cs="Arial"/>
          <w:sz w:val="24"/>
          <w:szCs w:val="24"/>
        </w:rPr>
        <w:t xml:space="preserve">female licences). The licensing papers and penal record of the individual convict provide a wealth of information on the personal details and prison experiences of each inmate. </w:t>
      </w:r>
      <w:r w:rsidRPr="00D00EB9">
        <w:rPr>
          <w:rFonts w:ascii="Arial" w:hAnsi="Arial" w:cs="Arial"/>
          <w:sz w:val="24"/>
          <w:szCs w:val="24"/>
        </w:rPr>
        <w:t xml:space="preserve">The penal record details the names and known aliases of the prisoner, the sentence they received, where they were convicted and to which prisons they </w:t>
      </w:r>
      <w:r w:rsidR="00071774">
        <w:rPr>
          <w:rFonts w:ascii="Arial" w:hAnsi="Arial" w:cs="Arial"/>
          <w:sz w:val="24"/>
          <w:szCs w:val="24"/>
        </w:rPr>
        <w:lastRenderedPageBreak/>
        <w:t>were</w:t>
      </w:r>
      <w:r w:rsidRPr="00D00EB9">
        <w:rPr>
          <w:rFonts w:ascii="Arial" w:hAnsi="Arial" w:cs="Arial"/>
          <w:sz w:val="24"/>
          <w:szCs w:val="24"/>
        </w:rPr>
        <w:t xml:space="preserve"> sent. They also include details of any previous convictions and the penalties received. Other personal details include their age, marital status and number of children, previous occupation, </w:t>
      </w:r>
      <w:proofErr w:type="gramStart"/>
      <w:r w:rsidRPr="00D00EB9">
        <w:rPr>
          <w:rFonts w:ascii="Arial" w:hAnsi="Arial" w:cs="Arial"/>
          <w:sz w:val="24"/>
          <w:szCs w:val="24"/>
        </w:rPr>
        <w:t>whether or not</w:t>
      </w:r>
      <w:proofErr w:type="gramEnd"/>
      <w:r w:rsidRPr="00D00EB9">
        <w:rPr>
          <w:rFonts w:ascii="Arial" w:hAnsi="Arial" w:cs="Arial"/>
          <w:sz w:val="24"/>
          <w:szCs w:val="24"/>
        </w:rPr>
        <w:t xml:space="preserve"> they could read or write</w:t>
      </w:r>
      <w:r w:rsidR="00071774">
        <w:rPr>
          <w:rFonts w:ascii="Arial" w:hAnsi="Arial" w:cs="Arial"/>
          <w:sz w:val="24"/>
          <w:szCs w:val="24"/>
        </w:rPr>
        <w:t xml:space="preserve"> and</w:t>
      </w:r>
      <w:r w:rsidRPr="00D00EB9">
        <w:rPr>
          <w:rFonts w:ascii="Arial" w:hAnsi="Arial" w:cs="Arial"/>
          <w:sz w:val="24"/>
          <w:szCs w:val="24"/>
        </w:rPr>
        <w:t xml:space="preserve"> their </w:t>
      </w:r>
      <w:r w:rsidR="00071774" w:rsidRPr="00D00EB9">
        <w:rPr>
          <w:rFonts w:ascii="Arial" w:hAnsi="Arial" w:cs="Arial"/>
          <w:sz w:val="24"/>
          <w:szCs w:val="24"/>
        </w:rPr>
        <w:t>religi</w:t>
      </w:r>
      <w:r w:rsidR="00071774">
        <w:rPr>
          <w:rFonts w:ascii="Arial" w:hAnsi="Arial" w:cs="Arial"/>
          <w:sz w:val="24"/>
          <w:szCs w:val="24"/>
        </w:rPr>
        <w:t>ous preference. The</w:t>
      </w:r>
      <w:r w:rsidRPr="00D00EB9">
        <w:rPr>
          <w:rFonts w:ascii="Arial" w:hAnsi="Arial" w:cs="Arial"/>
          <w:sz w:val="24"/>
          <w:szCs w:val="24"/>
        </w:rPr>
        <w:t xml:space="preserve"> record may also contain a photograph of the convict. </w:t>
      </w:r>
      <w:proofErr w:type="gramStart"/>
      <w:r w:rsidR="00071774">
        <w:rPr>
          <w:rFonts w:ascii="Arial" w:hAnsi="Arial" w:cs="Arial"/>
          <w:sz w:val="24"/>
          <w:szCs w:val="24"/>
        </w:rPr>
        <w:t>With regard to</w:t>
      </w:r>
      <w:proofErr w:type="gramEnd"/>
      <w:r w:rsidRPr="00D00EB9">
        <w:rPr>
          <w:rFonts w:ascii="Arial" w:hAnsi="Arial" w:cs="Arial"/>
          <w:sz w:val="24"/>
          <w:szCs w:val="24"/>
        </w:rPr>
        <w:t xml:space="preserve"> the internal workings of the convict prison system and the prisoner’s experience of prison, the penal record also contains all of the details of the date of every prison they have been committed to and the work or employment undertak</w:t>
      </w:r>
      <w:r w:rsidR="00071774">
        <w:rPr>
          <w:rFonts w:ascii="Arial" w:hAnsi="Arial" w:cs="Arial"/>
          <w:sz w:val="24"/>
          <w:szCs w:val="24"/>
        </w:rPr>
        <w:t>en</w:t>
      </w:r>
      <w:r w:rsidRPr="00D00EB9">
        <w:rPr>
          <w:rFonts w:ascii="Arial" w:hAnsi="Arial" w:cs="Arial"/>
          <w:sz w:val="24"/>
          <w:szCs w:val="24"/>
        </w:rPr>
        <w:t xml:space="preserve"> there, as well as </w:t>
      </w:r>
      <w:r w:rsidR="00071774">
        <w:rPr>
          <w:rFonts w:ascii="Arial" w:hAnsi="Arial" w:cs="Arial"/>
          <w:sz w:val="24"/>
          <w:szCs w:val="24"/>
        </w:rPr>
        <w:t xml:space="preserve">information on </w:t>
      </w:r>
      <w:r w:rsidRPr="00D00EB9">
        <w:rPr>
          <w:rFonts w:ascii="Arial" w:hAnsi="Arial" w:cs="Arial"/>
          <w:sz w:val="24"/>
          <w:szCs w:val="24"/>
        </w:rPr>
        <w:t xml:space="preserve">their progress at school and </w:t>
      </w:r>
      <w:r w:rsidR="00071774">
        <w:rPr>
          <w:rFonts w:ascii="Arial" w:hAnsi="Arial" w:cs="Arial"/>
          <w:sz w:val="24"/>
          <w:szCs w:val="24"/>
        </w:rPr>
        <w:t xml:space="preserve">a </w:t>
      </w:r>
      <w:r w:rsidRPr="00D00EB9">
        <w:rPr>
          <w:rFonts w:ascii="Arial" w:hAnsi="Arial" w:cs="Arial"/>
          <w:sz w:val="24"/>
          <w:szCs w:val="24"/>
        </w:rPr>
        <w:t>comment</w:t>
      </w:r>
      <w:r w:rsidR="00071774">
        <w:rPr>
          <w:rFonts w:ascii="Arial" w:hAnsi="Arial" w:cs="Arial"/>
          <w:sz w:val="24"/>
          <w:szCs w:val="24"/>
        </w:rPr>
        <w:t>ary</w:t>
      </w:r>
      <w:r w:rsidRPr="00D00EB9">
        <w:rPr>
          <w:rFonts w:ascii="Arial" w:hAnsi="Arial" w:cs="Arial"/>
          <w:sz w:val="24"/>
          <w:szCs w:val="24"/>
        </w:rPr>
        <w:t xml:space="preserve"> on their behaviour. In addition</w:t>
      </w:r>
      <w:r w:rsidR="00071774">
        <w:rPr>
          <w:rFonts w:ascii="Arial" w:hAnsi="Arial" w:cs="Arial"/>
          <w:sz w:val="24"/>
          <w:szCs w:val="24"/>
        </w:rPr>
        <w:t>,</w:t>
      </w:r>
      <w:r w:rsidRPr="00D00EB9">
        <w:rPr>
          <w:rFonts w:ascii="Arial" w:hAnsi="Arial" w:cs="Arial"/>
          <w:sz w:val="24"/>
          <w:szCs w:val="24"/>
        </w:rPr>
        <w:t xml:space="preserve"> we can observe the letters that </w:t>
      </w:r>
      <w:r w:rsidR="00071774">
        <w:rPr>
          <w:rFonts w:ascii="Arial" w:hAnsi="Arial" w:cs="Arial"/>
          <w:sz w:val="24"/>
          <w:szCs w:val="24"/>
        </w:rPr>
        <w:t>convicts</w:t>
      </w:r>
      <w:r w:rsidRPr="00D00EB9">
        <w:rPr>
          <w:rFonts w:ascii="Arial" w:hAnsi="Arial" w:cs="Arial"/>
          <w:sz w:val="24"/>
          <w:szCs w:val="24"/>
        </w:rPr>
        <w:t xml:space="preserve"> sent out and received (when permitted)</w:t>
      </w:r>
      <w:r w:rsidR="00071774">
        <w:rPr>
          <w:rFonts w:ascii="Arial" w:hAnsi="Arial" w:cs="Arial"/>
          <w:sz w:val="24"/>
          <w:szCs w:val="24"/>
        </w:rPr>
        <w:t>; whether</w:t>
      </w:r>
      <w:r w:rsidRPr="00D00EB9">
        <w:rPr>
          <w:rFonts w:ascii="Arial" w:hAnsi="Arial" w:cs="Arial"/>
          <w:sz w:val="24"/>
          <w:szCs w:val="24"/>
        </w:rPr>
        <w:t xml:space="preserve"> they made any special requests (e.g. a special letter to find out about their children or </w:t>
      </w:r>
      <w:r w:rsidR="00071774">
        <w:rPr>
          <w:rFonts w:ascii="Arial" w:hAnsi="Arial" w:cs="Arial"/>
          <w:sz w:val="24"/>
          <w:szCs w:val="24"/>
        </w:rPr>
        <w:t xml:space="preserve">to inquire about preparations being made </w:t>
      </w:r>
      <w:r w:rsidRPr="00D00EB9">
        <w:rPr>
          <w:rFonts w:ascii="Arial" w:hAnsi="Arial" w:cs="Arial"/>
          <w:sz w:val="24"/>
          <w:szCs w:val="24"/>
        </w:rPr>
        <w:t xml:space="preserve">due to </w:t>
      </w:r>
      <w:r w:rsidR="00071774">
        <w:rPr>
          <w:rFonts w:ascii="Arial" w:hAnsi="Arial" w:cs="Arial"/>
          <w:sz w:val="24"/>
          <w:szCs w:val="24"/>
        </w:rPr>
        <w:t xml:space="preserve">a </w:t>
      </w:r>
      <w:r w:rsidRPr="00D00EB9">
        <w:rPr>
          <w:rFonts w:ascii="Arial" w:hAnsi="Arial" w:cs="Arial"/>
          <w:sz w:val="24"/>
          <w:szCs w:val="24"/>
        </w:rPr>
        <w:t>death in family)</w:t>
      </w:r>
      <w:r w:rsidR="00071774">
        <w:rPr>
          <w:rFonts w:ascii="Arial" w:hAnsi="Arial" w:cs="Arial"/>
          <w:sz w:val="24"/>
          <w:szCs w:val="24"/>
        </w:rPr>
        <w:t>;</w:t>
      </w:r>
      <w:r w:rsidRPr="00D00EB9">
        <w:rPr>
          <w:rFonts w:ascii="Arial" w:hAnsi="Arial" w:cs="Arial"/>
          <w:sz w:val="24"/>
          <w:szCs w:val="24"/>
        </w:rPr>
        <w:t xml:space="preserve"> if they had any visitors</w:t>
      </w:r>
      <w:r w:rsidR="00071774">
        <w:rPr>
          <w:rFonts w:ascii="Arial" w:hAnsi="Arial" w:cs="Arial"/>
          <w:sz w:val="24"/>
          <w:szCs w:val="24"/>
        </w:rPr>
        <w:t>;</w:t>
      </w:r>
      <w:r w:rsidRPr="00D00EB9">
        <w:rPr>
          <w:rFonts w:ascii="Arial" w:hAnsi="Arial" w:cs="Arial"/>
          <w:sz w:val="24"/>
          <w:szCs w:val="24"/>
        </w:rPr>
        <w:t xml:space="preserve"> and</w:t>
      </w:r>
      <w:r w:rsidR="00071774">
        <w:rPr>
          <w:rFonts w:ascii="Arial" w:hAnsi="Arial" w:cs="Arial"/>
          <w:sz w:val="24"/>
          <w:szCs w:val="24"/>
        </w:rPr>
        <w:t>,</w:t>
      </w:r>
      <w:r w:rsidRPr="00D00EB9">
        <w:rPr>
          <w:rFonts w:ascii="Arial" w:hAnsi="Arial" w:cs="Arial"/>
          <w:sz w:val="24"/>
          <w:szCs w:val="24"/>
        </w:rPr>
        <w:t xml:space="preserve"> whether or not they broke any of the rules and regulations of the prison, and if so, how they were punished. </w:t>
      </w:r>
    </w:p>
    <w:p w:rsidR="000C725F" w:rsidRPr="00D00EB9" w:rsidRDefault="000C725F" w:rsidP="0058654F">
      <w:pPr>
        <w:tabs>
          <w:tab w:val="left" w:pos="1234"/>
        </w:tabs>
        <w:spacing w:after="0" w:line="480" w:lineRule="auto"/>
        <w:contextualSpacing/>
        <w:jc w:val="both"/>
        <w:rPr>
          <w:rFonts w:ascii="Arial" w:eastAsiaTheme="minorEastAsia" w:hAnsi="Arial" w:cs="Arial"/>
          <w:sz w:val="24"/>
          <w:szCs w:val="24"/>
        </w:rPr>
      </w:pPr>
      <w:r w:rsidRPr="00D00EB9">
        <w:rPr>
          <w:rFonts w:ascii="Arial" w:eastAsiaTheme="minorEastAsia" w:hAnsi="Arial" w:cs="Arial"/>
          <w:sz w:val="24"/>
          <w:szCs w:val="24"/>
        </w:rPr>
        <w:tab/>
      </w:r>
    </w:p>
    <w:p w:rsidR="000C725F" w:rsidRPr="00D00EB9" w:rsidRDefault="000C725F" w:rsidP="0058654F">
      <w:pPr>
        <w:tabs>
          <w:tab w:val="left" w:pos="1234"/>
        </w:tabs>
        <w:spacing w:after="0" w:line="480" w:lineRule="auto"/>
        <w:contextualSpacing/>
        <w:jc w:val="both"/>
        <w:rPr>
          <w:rFonts w:ascii="Arial" w:hAnsi="Arial" w:cs="Arial"/>
          <w:color w:val="000000"/>
          <w:sz w:val="24"/>
          <w:szCs w:val="24"/>
        </w:rPr>
      </w:pPr>
      <w:r w:rsidRPr="00D00EB9">
        <w:rPr>
          <w:rFonts w:ascii="Arial" w:eastAsiaTheme="minorEastAsia" w:hAnsi="Arial" w:cs="Arial"/>
          <w:sz w:val="24"/>
          <w:szCs w:val="24"/>
        </w:rPr>
        <w:t xml:space="preserve">These penal records and licensing papers formed the </w:t>
      </w:r>
      <w:r w:rsidR="00071774">
        <w:rPr>
          <w:rFonts w:ascii="Arial" w:eastAsiaTheme="minorEastAsia" w:hAnsi="Arial" w:cs="Arial"/>
          <w:sz w:val="24"/>
          <w:szCs w:val="24"/>
        </w:rPr>
        <w:t xml:space="preserve">central </w:t>
      </w:r>
      <w:r w:rsidRPr="00D00EB9">
        <w:rPr>
          <w:rFonts w:ascii="Arial" w:eastAsiaTheme="minorEastAsia" w:hAnsi="Arial" w:cs="Arial"/>
          <w:sz w:val="24"/>
          <w:szCs w:val="24"/>
        </w:rPr>
        <w:t xml:space="preserve">spine or </w:t>
      </w:r>
      <w:r w:rsidR="00071774">
        <w:rPr>
          <w:rFonts w:ascii="Arial" w:eastAsiaTheme="minorEastAsia" w:hAnsi="Arial" w:cs="Arial"/>
          <w:sz w:val="24"/>
          <w:szCs w:val="24"/>
        </w:rPr>
        <w:t xml:space="preserve">foundation of our research narrative and building on this, we then </w:t>
      </w:r>
      <w:r w:rsidRPr="00D00EB9">
        <w:rPr>
          <w:rFonts w:ascii="Arial" w:eastAsiaTheme="minorEastAsia" w:hAnsi="Arial" w:cs="Arial"/>
          <w:sz w:val="24"/>
          <w:szCs w:val="24"/>
        </w:rPr>
        <w:t xml:space="preserve">searched to find every record we could about </w:t>
      </w:r>
      <w:proofErr w:type="gramStart"/>
      <w:r w:rsidRPr="00D00EB9">
        <w:rPr>
          <w:rFonts w:ascii="Arial" w:eastAsiaTheme="minorEastAsia" w:hAnsi="Arial" w:cs="Arial"/>
          <w:sz w:val="24"/>
          <w:szCs w:val="24"/>
        </w:rPr>
        <w:t>each individual</w:t>
      </w:r>
      <w:proofErr w:type="gramEnd"/>
      <w:r w:rsidRPr="00D00EB9">
        <w:rPr>
          <w:rFonts w:ascii="Arial" w:eastAsiaTheme="minorEastAsia" w:hAnsi="Arial" w:cs="Arial"/>
          <w:sz w:val="24"/>
          <w:szCs w:val="24"/>
        </w:rPr>
        <w:t xml:space="preserve"> thus reconstructing as much as possible about their life outside as well as inside the convict system. We then spanned out from the prison record, to their criminal histories through the use of</w:t>
      </w:r>
      <w:r w:rsidRPr="00D00EB9">
        <w:rPr>
          <w:rFonts w:ascii="Arial" w:hAnsi="Arial" w:cs="Arial"/>
          <w:sz w:val="24"/>
          <w:szCs w:val="24"/>
        </w:rPr>
        <w:t>: the Old Bailey Proceedings Online, subsequently appearances at the Central Criminal Court); Home Office Criminal Registers (HO26 and HO27) that give details of offenders from 1805-1892; Metropolitan Police Habitual Criminal Registers (MEPO 6) covering 1881-1940</w:t>
      </w:r>
      <w:r w:rsidR="00071774">
        <w:rPr>
          <w:rFonts w:ascii="Arial" w:hAnsi="Arial" w:cs="Arial"/>
          <w:sz w:val="24"/>
          <w:szCs w:val="24"/>
        </w:rPr>
        <w:t>;</w:t>
      </w:r>
      <w:r w:rsidRPr="00D00EB9">
        <w:rPr>
          <w:rFonts w:ascii="Arial" w:hAnsi="Arial" w:cs="Arial"/>
          <w:sz w:val="24"/>
          <w:szCs w:val="24"/>
        </w:rPr>
        <w:t xml:space="preserve"> and</w:t>
      </w:r>
      <w:r w:rsidR="00071774">
        <w:rPr>
          <w:rFonts w:ascii="Arial" w:hAnsi="Arial" w:cs="Arial"/>
          <w:sz w:val="24"/>
          <w:szCs w:val="24"/>
        </w:rPr>
        <w:t>,</w:t>
      </w:r>
      <w:r w:rsidRPr="00D00EB9">
        <w:rPr>
          <w:rFonts w:ascii="Arial" w:hAnsi="Arial" w:cs="Arial"/>
          <w:sz w:val="24"/>
          <w:szCs w:val="24"/>
        </w:rPr>
        <w:t xml:space="preserve"> other Prison Commission records such as Prison Registers (PCOM 6), which contain details of all prisoners held at various English prisons from 1856 onwards. </w:t>
      </w:r>
      <w:r w:rsidRPr="00071774">
        <w:rPr>
          <w:rFonts w:ascii="Arial" w:eastAsiaTheme="minorEastAsia" w:hAnsi="Arial" w:cs="Arial"/>
          <w:sz w:val="24"/>
          <w:szCs w:val="24"/>
        </w:rPr>
        <w:t>Beyond the reach of the criminal justice system</w:t>
      </w:r>
      <w:r w:rsidR="00071774">
        <w:rPr>
          <w:rFonts w:ascii="Arial" w:eastAsiaTheme="minorEastAsia" w:hAnsi="Arial" w:cs="Arial"/>
          <w:sz w:val="24"/>
          <w:szCs w:val="24"/>
        </w:rPr>
        <w:t>,</w:t>
      </w:r>
      <w:r w:rsidRPr="00071774">
        <w:rPr>
          <w:rFonts w:ascii="Arial" w:eastAsiaTheme="minorEastAsia" w:hAnsi="Arial" w:cs="Arial"/>
          <w:sz w:val="24"/>
          <w:szCs w:val="24"/>
        </w:rPr>
        <w:t xml:space="preserve"> we</w:t>
      </w:r>
      <w:r w:rsidR="00071774">
        <w:rPr>
          <w:rFonts w:ascii="Arial" w:eastAsiaTheme="minorEastAsia" w:hAnsi="Arial" w:cs="Arial"/>
          <w:sz w:val="24"/>
          <w:szCs w:val="24"/>
        </w:rPr>
        <w:t xml:space="preserve"> also</w:t>
      </w:r>
      <w:r w:rsidRPr="00071774">
        <w:rPr>
          <w:rFonts w:ascii="Arial" w:eastAsiaTheme="minorEastAsia" w:hAnsi="Arial" w:cs="Arial"/>
          <w:sz w:val="24"/>
          <w:szCs w:val="24"/>
        </w:rPr>
        <w:t xml:space="preserve"> searched their personal, family and </w:t>
      </w:r>
      <w:r w:rsidRPr="00071774">
        <w:rPr>
          <w:rFonts w:ascii="Arial" w:eastAsiaTheme="minorEastAsia" w:hAnsi="Arial" w:cs="Arial"/>
          <w:sz w:val="24"/>
          <w:szCs w:val="24"/>
        </w:rPr>
        <w:lastRenderedPageBreak/>
        <w:t xml:space="preserve">employment histories, through a continued process of record linkage or prosopography. We used a wide range of extant sources including: </w:t>
      </w:r>
      <w:r w:rsidRPr="00D00EB9">
        <w:rPr>
          <w:rFonts w:ascii="Arial" w:hAnsi="Arial" w:cs="Arial"/>
          <w:sz w:val="24"/>
          <w:szCs w:val="24"/>
        </w:rPr>
        <w:t xml:space="preserve">Census returns from 1841-1911 inclusive (which detailed residence, family status, and occupation at an individual level); birth, marriage and death indices (detailing if and when an offender married, if they had children and why they died); military records; British Library Nineteenth Century Newspapers Online, </w:t>
      </w:r>
      <w:r w:rsidRPr="00D00EB9">
        <w:rPr>
          <w:rFonts w:ascii="Arial" w:hAnsi="Arial" w:cs="Arial"/>
          <w:i/>
          <w:sz w:val="24"/>
          <w:szCs w:val="24"/>
        </w:rPr>
        <w:t>The Times</w:t>
      </w:r>
      <w:r w:rsidRPr="00D00EB9">
        <w:rPr>
          <w:rFonts w:ascii="Arial" w:hAnsi="Arial" w:cs="Arial"/>
          <w:sz w:val="24"/>
          <w:szCs w:val="24"/>
        </w:rPr>
        <w:t xml:space="preserve"> Digital Archive, and the</w:t>
      </w:r>
      <w:r w:rsidRPr="00D00EB9">
        <w:rPr>
          <w:rFonts w:ascii="Arial" w:hAnsi="Arial" w:cs="Arial"/>
          <w:i/>
          <w:sz w:val="24"/>
          <w:szCs w:val="24"/>
        </w:rPr>
        <w:t xml:space="preserve"> Guardian</w:t>
      </w:r>
      <w:r w:rsidRPr="00D00EB9">
        <w:rPr>
          <w:rFonts w:ascii="Arial" w:hAnsi="Arial" w:cs="Arial"/>
          <w:sz w:val="24"/>
          <w:szCs w:val="24"/>
        </w:rPr>
        <w:t xml:space="preserve"> Digital Archive (which provided trial reports as well as potential reports on other family members).</w:t>
      </w:r>
      <w:r w:rsidR="00071774">
        <w:rPr>
          <w:rFonts w:ascii="Arial" w:hAnsi="Arial" w:cs="Arial"/>
          <w:sz w:val="24"/>
          <w:szCs w:val="24"/>
        </w:rPr>
        <w:t xml:space="preserve"> </w:t>
      </w:r>
      <w:r w:rsidRPr="00D00EB9">
        <w:rPr>
          <w:rFonts w:ascii="Arial" w:hAnsi="Arial" w:cs="Arial"/>
          <w:sz w:val="24"/>
          <w:szCs w:val="24"/>
        </w:rPr>
        <w:t xml:space="preserve">The now considerable data we had collected on individuals was then organized into a </w:t>
      </w:r>
      <w:r w:rsidR="00071774">
        <w:rPr>
          <w:rFonts w:ascii="Arial" w:hAnsi="Arial" w:cs="Arial"/>
          <w:sz w:val="24"/>
          <w:szCs w:val="24"/>
        </w:rPr>
        <w:t>‘</w:t>
      </w:r>
      <w:proofErr w:type="spellStart"/>
      <w:r w:rsidRPr="00D00EB9">
        <w:rPr>
          <w:rFonts w:ascii="Arial" w:hAnsi="Arial" w:cs="Arial"/>
          <w:sz w:val="24"/>
          <w:szCs w:val="24"/>
        </w:rPr>
        <w:t>lifegrid</w:t>
      </w:r>
      <w:proofErr w:type="spellEnd"/>
      <w:r w:rsidR="00071774">
        <w:rPr>
          <w:rFonts w:ascii="Arial" w:hAnsi="Arial" w:cs="Arial"/>
          <w:sz w:val="24"/>
          <w:szCs w:val="24"/>
        </w:rPr>
        <w:t>’:</w:t>
      </w:r>
      <w:r w:rsidRPr="00D00EB9">
        <w:rPr>
          <w:rFonts w:ascii="Arial" w:hAnsi="Arial" w:cs="Arial"/>
          <w:sz w:val="24"/>
          <w:szCs w:val="24"/>
        </w:rPr>
        <w:t xml:space="preserve"> a micro-history of one individual’s life and life events. We then used this information to analyse their social and personal circumstances alongside their offending and incarceration.</w:t>
      </w:r>
    </w:p>
    <w:p w:rsidR="000C725F" w:rsidRPr="00071774" w:rsidRDefault="000C725F" w:rsidP="0058654F">
      <w:pPr>
        <w:tabs>
          <w:tab w:val="left" w:pos="1234"/>
        </w:tabs>
        <w:spacing w:after="0" w:line="480" w:lineRule="auto"/>
        <w:contextualSpacing/>
        <w:jc w:val="both"/>
        <w:rPr>
          <w:rFonts w:ascii="Arial" w:eastAsiaTheme="minorEastAsia" w:hAnsi="Arial" w:cs="Arial"/>
          <w:sz w:val="24"/>
          <w:szCs w:val="24"/>
        </w:rPr>
      </w:pPr>
      <w:r w:rsidRPr="00071774">
        <w:rPr>
          <w:rFonts w:ascii="Arial" w:eastAsiaTheme="minorEastAsia" w:hAnsi="Arial" w:cs="Arial"/>
          <w:sz w:val="24"/>
          <w:szCs w:val="24"/>
        </w:rPr>
        <w:tab/>
      </w:r>
    </w:p>
    <w:p w:rsidR="000C725F" w:rsidRPr="00071774" w:rsidRDefault="000C725F" w:rsidP="0058654F">
      <w:pPr>
        <w:tabs>
          <w:tab w:val="left" w:pos="1234"/>
        </w:tabs>
        <w:spacing w:after="0" w:line="480" w:lineRule="auto"/>
        <w:contextualSpacing/>
        <w:jc w:val="both"/>
        <w:rPr>
          <w:rFonts w:ascii="Arial" w:eastAsiaTheme="minorEastAsia" w:hAnsi="Arial" w:cs="Arial"/>
          <w:sz w:val="24"/>
          <w:szCs w:val="24"/>
        </w:rPr>
      </w:pPr>
      <w:r w:rsidRPr="00071774">
        <w:rPr>
          <w:rFonts w:ascii="Arial" w:eastAsiaTheme="minorEastAsia" w:hAnsi="Arial" w:cs="Arial"/>
          <w:sz w:val="24"/>
          <w:szCs w:val="24"/>
        </w:rPr>
        <w:t>The micro-histories of individual offenders are important in revealing everyday prison experiences</w:t>
      </w:r>
      <w:r w:rsidR="003F4AB8">
        <w:rPr>
          <w:rFonts w:ascii="Arial" w:eastAsiaTheme="minorEastAsia" w:hAnsi="Arial" w:cs="Arial"/>
          <w:sz w:val="24"/>
          <w:szCs w:val="24"/>
        </w:rPr>
        <w:t>,</w:t>
      </w:r>
      <w:r w:rsidRPr="00071774">
        <w:rPr>
          <w:rFonts w:ascii="Arial" w:eastAsiaTheme="minorEastAsia" w:hAnsi="Arial" w:cs="Arial"/>
          <w:sz w:val="24"/>
          <w:szCs w:val="24"/>
        </w:rPr>
        <w:t xml:space="preserve"> but they can also contribute to larger questions about the power and operation of nineteenth-century penal policy and criminal justice.</w:t>
      </w:r>
      <w:r w:rsidR="003F4AB8">
        <w:rPr>
          <w:rFonts w:ascii="Arial" w:eastAsiaTheme="minorEastAsia" w:hAnsi="Arial" w:cs="Arial"/>
          <w:sz w:val="24"/>
          <w:szCs w:val="24"/>
        </w:rPr>
        <w:t xml:space="preserve"> </w:t>
      </w:r>
      <w:r w:rsidRPr="00071774">
        <w:rPr>
          <w:rFonts w:ascii="Arial" w:eastAsiaTheme="minorEastAsia" w:hAnsi="Arial" w:cs="Arial"/>
          <w:sz w:val="24"/>
          <w:szCs w:val="24"/>
        </w:rPr>
        <w:t>In addition, this approach has a considerable amount to contribute to ‘history from below’</w:t>
      </w:r>
      <w:r w:rsidR="003F4AB8">
        <w:rPr>
          <w:rFonts w:ascii="Arial" w:eastAsiaTheme="minorEastAsia" w:hAnsi="Arial" w:cs="Arial"/>
          <w:sz w:val="24"/>
          <w:szCs w:val="24"/>
        </w:rPr>
        <w:t>. W</w:t>
      </w:r>
      <w:r w:rsidRPr="00071774">
        <w:rPr>
          <w:rFonts w:ascii="Arial" w:eastAsiaTheme="minorEastAsia" w:hAnsi="Arial" w:cs="Arial"/>
          <w:sz w:val="24"/>
          <w:szCs w:val="24"/>
        </w:rPr>
        <w:t xml:space="preserve">hilst most marginalised populations have left few traces of their lives, this </w:t>
      </w:r>
      <w:r w:rsidR="003F4AB8">
        <w:rPr>
          <w:rFonts w:ascii="Arial" w:eastAsiaTheme="minorEastAsia" w:hAnsi="Arial" w:cs="Arial"/>
          <w:sz w:val="24"/>
          <w:szCs w:val="24"/>
        </w:rPr>
        <w:t>detailed and eclectic methodology</w:t>
      </w:r>
      <w:r w:rsidRPr="00071774">
        <w:rPr>
          <w:rFonts w:ascii="Arial" w:eastAsiaTheme="minorEastAsia" w:hAnsi="Arial" w:cs="Arial"/>
          <w:sz w:val="24"/>
          <w:szCs w:val="24"/>
        </w:rPr>
        <w:t>, drawing on hugely detailed sources about a disadvantaged population</w:t>
      </w:r>
      <w:r w:rsidR="003F4AB8">
        <w:rPr>
          <w:rFonts w:ascii="Arial" w:eastAsiaTheme="minorEastAsia" w:hAnsi="Arial" w:cs="Arial"/>
          <w:sz w:val="24"/>
          <w:szCs w:val="24"/>
        </w:rPr>
        <w:t>,</w:t>
      </w:r>
      <w:r w:rsidRPr="00071774">
        <w:rPr>
          <w:rFonts w:ascii="Arial" w:eastAsiaTheme="minorEastAsia" w:hAnsi="Arial" w:cs="Arial"/>
          <w:sz w:val="24"/>
          <w:szCs w:val="24"/>
        </w:rPr>
        <w:t xml:space="preserve"> has the potential to help us answer the larger questions about crime, criminal careers and imprisonment in the nineteenth century.</w:t>
      </w:r>
      <w:r w:rsidR="004F1972">
        <w:rPr>
          <w:rFonts w:ascii="Arial" w:eastAsiaTheme="minorEastAsia" w:hAnsi="Arial" w:cs="Arial"/>
          <w:sz w:val="24"/>
          <w:szCs w:val="24"/>
        </w:rPr>
        <w:t xml:space="preserve">  In addition, the case study chosen, the life of Julia Hyland, allows us to explore more documentation about her life through her request to change religion whilst in prison, this was not an uncommon request and provides yet further insight into the </w:t>
      </w:r>
      <w:r w:rsidR="00A84B32">
        <w:rPr>
          <w:rFonts w:ascii="Arial" w:eastAsiaTheme="minorEastAsia" w:hAnsi="Arial" w:cs="Arial"/>
          <w:sz w:val="24"/>
          <w:szCs w:val="24"/>
        </w:rPr>
        <w:t>place of religio</w:t>
      </w:r>
      <w:r w:rsidR="008E4BDE">
        <w:rPr>
          <w:rFonts w:ascii="Arial" w:eastAsiaTheme="minorEastAsia" w:hAnsi="Arial" w:cs="Arial"/>
          <w:sz w:val="24"/>
          <w:szCs w:val="24"/>
        </w:rPr>
        <w:t xml:space="preserve">n within the </w:t>
      </w:r>
      <w:r w:rsidR="004F1972">
        <w:rPr>
          <w:rFonts w:ascii="Arial" w:eastAsiaTheme="minorEastAsia" w:hAnsi="Arial" w:cs="Arial"/>
          <w:sz w:val="24"/>
          <w:szCs w:val="24"/>
        </w:rPr>
        <w:t>lives of those experiencing imprisonment.</w:t>
      </w:r>
    </w:p>
    <w:p w:rsidR="000C725F" w:rsidRPr="00071774" w:rsidRDefault="000C725F" w:rsidP="0058654F">
      <w:pPr>
        <w:spacing w:after="0" w:line="480" w:lineRule="auto"/>
        <w:jc w:val="both"/>
        <w:rPr>
          <w:rFonts w:ascii="Arial" w:eastAsiaTheme="minorEastAsia" w:hAnsi="Arial" w:cs="Arial"/>
          <w:b/>
          <w:sz w:val="24"/>
          <w:szCs w:val="24"/>
        </w:rPr>
      </w:pPr>
    </w:p>
    <w:p w:rsidR="00FB16DC" w:rsidRPr="003F4AB8" w:rsidRDefault="003F4AB8" w:rsidP="003F4AB8">
      <w:pPr>
        <w:spacing w:after="0" w:line="480" w:lineRule="auto"/>
        <w:jc w:val="center"/>
        <w:rPr>
          <w:rFonts w:ascii="Arial" w:eastAsiaTheme="minorEastAsia" w:hAnsi="Arial" w:cs="Arial"/>
          <w:sz w:val="28"/>
          <w:szCs w:val="28"/>
        </w:rPr>
      </w:pPr>
      <w:r w:rsidRPr="003F4AB8">
        <w:rPr>
          <w:rFonts w:ascii="Arial" w:eastAsiaTheme="minorEastAsia" w:hAnsi="Arial" w:cs="Arial"/>
          <w:sz w:val="28"/>
          <w:szCs w:val="28"/>
        </w:rPr>
        <w:lastRenderedPageBreak/>
        <w:t>III</w:t>
      </w:r>
    </w:p>
    <w:p w:rsidR="00602568" w:rsidRPr="00D00EB9" w:rsidRDefault="00FB16DC" w:rsidP="0058654F">
      <w:pPr>
        <w:tabs>
          <w:tab w:val="left" w:pos="2854"/>
        </w:tabs>
        <w:spacing w:after="0" w:line="480" w:lineRule="auto"/>
        <w:contextualSpacing/>
        <w:jc w:val="both"/>
        <w:rPr>
          <w:rFonts w:ascii="Arial" w:hAnsi="Arial" w:cs="Arial"/>
          <w:sz w:val="24"/>
          <w:szCs w:val="24"/>
        </w:rPr>
      </w:pPr>
      <w:r w:rsidRPr="00D00EB9">
        <w:rPr>
          <w:rFonts w:ascii="Arial" w:hAnsi="Arial" w:cs="Arial"/>
          <w:sz w:val="24"/>
          <w:szCs w:val="24"/>
        </w:rPr>
        <w:t>Wigan-born Julia Hyland was first before the courts in 186</w:t>
      </w:r>
      <w:r w:rsidR="00DF3EC7" w:rsidRPr="00D00EB9">
        <w:rPr>
          <w:rFonts w:ascii="Arial" w:hAnsi="Arial" w:cs="Arial"/>
          <w:sz w:val="24"/>
          <w:szCs w:val="24"/>
        </w:rPr>
        <w:t xml:space="preserve">8. Aged just fourteen years old, </w:t>
      </w:r>
      <w:r w:rsidRPr="00D00EB9">
        <w:rPr>
          <w:rFonts w:ascii="Arial" w:hAnsi="Arial" w:cs="Arial"/>
          <w:sz w:val="24"/>
          <w:szCs w:val="24"/>
        </w:rPr>
        <w:t xml:space="preserve">she was prosecuted for being drunk and riotous in Manchester and sentenced to a fine of </w:t>
      </w:r>
      <w:r w:rsidR="00E77A9B" w:rsidRPr="00D00EB9">
        <w:rPr>
          <w:rFonts w:ascii="Arial" w:hAnsi="Arial" w:cs="Arial"/>
          <w:sz w:val="24"/>
          <w:szCs w:val="24"/>
        </w:rPr>
        <w:t>ten</w:t>
      </w:r>
      <w:r w:rsidRPr="00D00EB9">
        <w:rPr>
          <w:rFonts w:ascii="Arial" w:hAnsi="Arial" w:cs="Arial"/>
          <w:sz w:val="24"/>
          <w:szCs w:val="24"/>
        </w:rPr>
        <w:t xml:space="preserve"> shillings by the magistrates.</w:t>
      </w:r>
      <w:r w:rsidR="008E4DC2">
        <w:rPr>
          <w:rStyle w:val="EndnoteReference"/>
          <w:rFonts w:ascii="Arial" w:hAnsi="Arial" w:cs="Arial"/>
          <w:sz w:val="24"/>
          <w:szCs w:val="24"/>
        </w:rPr>
        <w:endnoteReference w:id="9"/>
      </w:r>
      <w:r w:rsidRPr="00D00EB9">
        <w:rPr>
          <w:rFonts w:ascii="Arial" w:hAnsi="Arial" w:cs="Arial"/>
          <w:sz w:val="24"/>
          <w:szCs w:val="24"/>
        </w:rPr>
        <w:t xml:space="preserve"> As a fourteen-year old this was a fairly large sum, and in default she may have been imprisoned for fourteen days. The records do not state whether this was Julia</w:t>
      </w:r>
      <w:r w:rsidR="00014D97" w:rsidRPr="00D00EB9">
        <w:rPr>
          <w:rFonts w:ascii="Arial" w:hAnsi="Arial" w:cs="Arial"/>
          <w:sz w:val="24"/>
          <w:szCs w:val="24"/>
        </w:rPr>
        <w:t>’</w:t>
      </w:r>
      <w:r w:rsidRPr="00D00EB9">
        <w:rPr>
          <w:rFonts w:ascii="Arial" w:hAnsi="Arial" w:cs="Arial"/>
          <w:sz w:val="24"/>
          <w:szCs w:val="24"/>
        </w:rPr>
        <w:t xml:space="preserve">s first experience of prison life. In other ways the records would also </w:t>
      </w:r>
      <w:r w:rsidR="006243E3" w:rsidRPr="00D00EB9">
        <w:rPr>
          <w:rFonts w:ascii="Arial" w:hAnsi="Arial" w:cs="Arial"/>
          <w:sz w:val="24"/>
          <w:szCs w:val="24"/>
        </w:rPr>
        <w:t>reveal</w:t>
      </w:r>
      <w:r w:rsidRPr="00D00EB9">
        <w:rPr>
          <w:rFonts w:ascii="Arial" w:hAnsi="Arial" w:cs="Arial"/>
          <w:sz w:val="24"/>
          <w:szCs w:val="24"/>
        </w:rPr>
        <w:t xml:space="preserve"> inaccura</w:t>
      </w:r>
      <w:r w:rsidR="006243E3" w:rsidRPr="00D00EB9">
        <w:rPr>
          <w:rFonts w:ascii="Arial" w:hAnsi="Arial" w:cs="Arial"/>
          <w:sz w:val="24"/>
          <w:szCs w:val="24"/>
        </w:rPr>
        <w:t>cies (h</w:t>
      </w:r>
      <w:r w:rsidRPr="00D00EB9">
        <w:rPr>
          <w:rFonts w:ascii="Arial" w:hAnsi="Arial" w:cs="Arial"/>
          <w:sz w:val="24"/>
          <w:szCs w:val="24"/>
        </w:rPr>
        <w:t>er s</w:t>
      </w:r>
      <w:r w:rsidR="00361328" w:rsidRPr="00D00EB9">
        <w:rPr>
          <w:rFonts w:ascii="Arial" w:hAnsi="Arial" w:cs="Arial"/>
          <w:sz w:val="24"/>
          <w:szCs w:val="24"/>
        </w:rPr>
        <w:t xml:space="preserve">urname was recorded as </w:t>
      </w:r>
      <w:r w:rsidR="00014D97" w:rsidRPr="00D00EB9">
        <w:rPr>
          <w:rFonts w:ascii="Arial" w:hAnsi="Arial" w:cs="Arial"/>
          <w:sz w:val="24"/>
          <w:szCs w:val="24"/>
        </w:rPr>
        <w:t>‘</w:t>
      </w:r>
      <w:proofErr w:type="spellStart"/>
      <w:r w:rsidR="00361328" w:rsidRPr="00D00EB9">
        <w:rPr>
          <w:rFonts w:ascii="Arial" w:hAnsi="Arial" w:cs="Arial"/>
          <w:sz w:val="24"/>
          <w:szCs w:val="24"/>
        </w:rPr>
        <w:t>Hiland</w:t>
      </w:r>
      <w:proofErr w:type="spellEnd"/>
      <w:r w:rsidR="00014D97" w:rsidRPr="00D00EB9">
        <w:rPr>
          <w:rFonts w:ascii="Arial" w:hAnsi="Arial" w:cs="Arial"/>
          <w:sz w:val="24"/>
          <w:szCs w:val="24"/>
        </w:rPr>
        <w:t>’</w:t>
      </w:r>
      <w:r w:rsidR="00361328" w:rsidRPr="00D00EB9">
        <w:rPr>
          <w:rFonts w:ascii="Arial" w:hAnsi="Arial" w:cs="Arial"/>
          <w:sz w:val="24"/>
          <w:szCs w:val="24"/>
        </w:rPr>
        <w:t xml:space="preserve"> in some documents</w:t>
      </w:r>
      <w:r w:rsidR="006243E3" w:rsidRPr="00D00EB9">
        <w:rPr>
          <w:rFonts w:ascii="Arial" w:hAnsi="Arial" w:cs="Arial"/>
          <w:sz w:val="24"/>
          <w:szCs w:val="24"/>
        </w:rPr>
        <w:t xml:space="preserve"> </w:t>
      </w:r>
      <w:r w:rsidR="00765593" w:rsidRPr="00D00EB9">
        <w:rPr>
          <w:rFonts w:ascii="Arial" w:hAnsi="Arial" w:cs="Arial"/>
          <w:sz w:val="24"/>
          <w:szCs w:val="24"/>
        </w:rPr>
        <w:t>whilst</w:t>
      </w:r>
      <w:r w:rsidR="006243E3" w:rsidRPr="00D00EB9">
        <w:rPr>
          <w:rFonts w:ascii="Arial" w:hAnsi="Arial" w:cs="Arial"/>
          <w:sz w:val="24"/>
          <w:szCs w:val="24"/>
        </w:rPr>
        <w:t xml:space="preserve"> in other</w:t>
      </w:r>
      <w:r w:rsidR="00361328" w:rsidRPr="00D00EB9">
        <w:rPr>
          <w:rFonts w:ascii="Arial" w:hAnsi="Arial" w:cs="Arial"/>
          <w:sz w:val="24"/>
          <w:szCs w:val="24"/>
        </w:rPr>
        <w:t>s</w:t>
      </w:r>
      <w:r w:rsidR="006243E3" w:rsidRPr="00D00EB9">
        <w:rPr>
          <w:rFonts w:ascii="Arial" w:hAnsi="Arial" w:cs="Arial"/>
          <w:sz w:val="24"/>
          <w:szCs w:val="24"/>
        </w:rPr>
        <w:t xml:space="preserve"> it was</w:t>
      </w:r>
      <w:r w:rsidRPr="00D00EB9">
        <w:rPr>
          <w:rFonts w:ascii="Arial" w:hAnsi="Arial" w:cs="Arial"/>
          <w:sz w:val="24"/>
          <w:szCs w:val="24"/>
        </w:rPr>
        <w:t xml:space="preserve"> recorded as </w:t>
      </w:r>
      <w:r w:rsidR="00014D97" w:rsidRPr="00D00EB9">
        <w:rPr>
          <w:rFonts w:ascii="Arial" w:hAnsi="Arial" w:cs="Arial"/>
          <w:sz w:val="24"/>
          <w:szCs w:val="24"/>
        </w:rPr>
        <w:t>‘</w:t>
      </w:r>
      <w:r w:rsidRPr="00D00EB9">
        <w:rPr>
          <w:rFonts w:ascii="Arial" w:hAnsi="Arial" w:cs="Arial"/>
          <w:sz w:val="24"/>
          <w:szCs w:val="24"/>
        </w:rPr>
        <w:t>Highland</w:t>
      </w:r>
      <w:r w:rsidR="00014D97" w:rsidRPr="00D00EB9">
        <w:rPr>
          <w:rFonts w:ascii="Arial" w:hAnsi="Arial" w:cs="Arial"/>
          <w:sz w:val="24"/>
          <w:szCs w:val="24"/>
        </w:rPr>
        <w:t>’</w:t>
      </w:r>
      <w:r w:rsidR="006243E3" w:rsidRPr="00D00EB9">
        <w:rPr>
          <w:rFonts w:ascii="Arial" w:hAnsi="Arial" w:cs="Arial"/>
          <w:sz w:val="24"/>
          <w:szCs w:val="24"/>
        </w:rPr>
        <w:t xml:space="preserve">) and </w:t>
      </w:r>
      <w:r w:rsidR="003F4AB8">
        <w:rPr>
          <w:rFonts w:ascii="Arial" w:hAnsi="Arial" w:cs="Arial"/>
          <w:sz w:val="24"/>
          <w:szCs w:val="24"/>
        </w:rPr>
        <w:t xml:space="preserve">the </w:t>
      </w:r>
      <w:r w:rsidR="006243E3" w:rsidRPr="00D00EB9">
        <w:rPr>
          <w:rFonts w:ascii="Arial" w:hAnsi="Arial" w:cs="Arial"/>
          <w:sz w:val="24"/>
          <w:szCs w:val="24"/>
        </w:rPr>
        <w:t xml:space="preserve">information </w:t>
      </w:r>
      <w:r w:rsidR="003F4AB8">
        <w:rPr>
          <w:rFonts w:ascii="Arial" w:hAnsi="Arial" w:cs="Arial"/>
          <w:sz w:val="24"/>
          <w:szCs w:val="24"/>
        </w:rPr>
        <w:t>therein</w:t>
      </w:r>
      <w:r w:rsidR="003F4AB8" w:rsidRPr="00D00EB9">
        <w:rPr>
          <w:rFonts w:ascii="Arial" w:hAnsi="Arial" w:cs="Arial"/>
          <w:sz w:val="24"/>
          <w:szCs w:val="24"/>
        </w:rPr>
        <w:t xml:space="preserve"> </w:t>
      </w:r>
      <w:r w:rsidR="006243E3" w:rsidRPr="00D00EB9">
        <w:rPr>
          <w:rFonts w:ascii="Arial" w:hAnsi="Arial" w:cs="Arial"/>
          <w:sz w:val="24"/>
          <w:szCs w:val="24"/>
        </w:rPr>
        <w:t xml:space="preserve">should be treated with </w:t>
      </w:r>
      <w:r w:rsidR="00361328" w:rsidRPr="00D00EB9">
        <w:rPr>
          <w:rFonts w:ascii="Arial" w:hAnsi="Arial" w:cs="Arial"/>
          <w:sz w:val="24"/>
          <w:szCs w:val="24"/>
        </w:rPr>
        <w:t xml:space="preserve">a degree of </w:t>
      </w:r>
      <w:r w:rsidR="003F4AB8">
        <w:rPr>
          <w:rFonts w:ascii="Arial" w:hAnsi="Arial" w:cs="Arial"/>
          <w:sz w:val="24"/>
          <w:szCs w:val="24"/>
        </w:rPr>
        <w:t>caution until verified by other sources</w:t>
      </w:r>
      <w:r w:rsidRPr="00D00EB9">
        <w:rPr>
          <w:rFonts w:ascii="Arial" w:hAnsi="Arial" w:cs="Arial"/>
          <w:sz w:val="24"/>
          <w:szCs w:val="24"/>
        </w:rPr>
        <w:t xml:space="preserve">. </w:t>
      </w:r>
      <w:r w:rsidR="006243E3" w:rsidRPr="00D00EB9">
        <w:rPr>
          <w:rFonts w:ascii="Arial" w:hAnsi="Arial" w:cs="Arial"/>
          <w:sz w:val="24"/>
          <w:szCs w:val="24"/>
        </w:rPr>
        <w:t xml:space="preserve">For example, </w:t>
      </w:r>
      <w:r w:rsidR="003F4AB8">
        <w:rPr>
          <w:rFonts w:ascii="Arial" w:hAnsi="Arial" w:cs="Arial"/>
          <w:sz w:val="24"/>
          <w:szCs w:val="24"/>
        </w:rPr>
        <w:t>Hyland</w:t>
      </w:r>
      <w:r w:rsidR="003F4AB8" w:rsidRPr="00D00EB9">
        <w:rPr>
          <w:rFonts w:ascii="Arial" w:hAnsi="Arial" w:cs="Arial"/>
          <w:sz w:val="24"/>
          <w:szCs w:val="24"/>
        </w:rPr>
        <w:t xml:space="preserve"> </w:t>
      </w:r>
      <w:r w:rsidR="006243E3" w:rsidRPr="00D00EB9">
        <w:rPr>
          <w:rFonts w:ascii="Arial" w:hAnsi="Arial" w:cs="Arial"/>
          <w:sz w:val="24"/>
          <w:szCs w:val="24"/>
        </w:rPr>
        <w:t>is</w:t>
      </w:r>
      <w:r w:rsidRPr="00D00EB9">
        <w:rPr>
          <w:rFonts w:ascii="Arial" w:hAnsi="Arial" w:cs="Arial"/>
          <w:sz w:val="24"/>
          <w:szCs w:val="24"/>
        </w:rPr>
        <w:t xml:space="preserve"> recorded as having had a child by the age of fourteen, which </w:t>
      </w:r>
      <w:r w:rsidR="003F4AB8">
        <w:rPr>
          <w:rFonts w:ascii="Arial" w:hAnsi="Arial" w:cs="Arial"/>
          <w:sz w:val="24"/>
          <w:szCs w:val="24"/>
        </w:rPr>
        <w:t>seems</w:t>
      </w:r>
      <w:r w:rsidRPr="00D00EB9">
        <w:rPr>
          <w:rFonts w:ascii="Arial" w:hAnsi="Arial" w:cs="Arial"/>
          <w:sz w:val="24"/>
          <w:szCs w:val="24"/>
        </w:rPr>
        <w:t xml:space="preserve"> unlikely</w:t>
      </w:r>
      <w:r w:rsidR="003F4AB8">
        <w:rPr>
          <w:rFonts w:ascii="Arial" w:hAnsi="Arial" w:cs="Arial"/>
          <w:sz w:val="24"/>
          <w:szCs w:val="24"/>
        </w:rPr>
        <w:t xml:space="preserve">. Yet as </w:t>
      </w:r>
      <w:r w:rsidR="006243E3" w:rsidRPr="00D00EB9">
        <w:rPr>
          <w:rFonts w:ascii="Arial" w:hAnsi="Arial" w:cs="Arial"/>
          <w:sz w:val="24"/>
          <w:szCs w:val="24"/>
        </w:rPr>
        <w:t>this information is repeated consistently in the prison records and in the census</w:t>
      </w:r>
      <w:r w:rsidR="003F4AB8">
        <w:rPr>
          <w:rFonts w:ascii="Arial" w:hAnsi="Arial" w:cs="Arial"/>
          <w:sz w:val="24"/>
          <w:szCs w:val="24"/>
        </w:rPr>
        <w:t>,</w:t>
      </w:r>
      <w:r w:rsidR="006243E3" w:rsidRPr="00D00EB9">
        <w:rPr>
          <w:rFonts w:ascii="Arial" w:hAnsi="Arial" w:cs="Arial"/>
          <w:sz w:val="24"/>
          <w:szCs w:val="24"/>
        </w:rPr>
        <w:t xml:space="preserve"> it is </w:t>
      </w:r>
      <w:proofErr w:type="gramStart"/>
      <w:r w:rsidR="006243E3" w:rsidRPr="00D00EB9">
        <w:rPr>
          <w:rFonts w:ascii="Arial" w:hAnsi="Arial" w:cs="Arial"/>
          <w:sz w:val="24"/>
          <w:szCs w:val="24"/>
        </w:rPr>
        <w:t>actually likely</w:t>
      </w:r>
      <w:proofErr w:type="gramEnd"/>
      <w:r w:rsidR="006243E3" w:rsidRPr="00D00EB9">
        <w:rPr>
          <w:rFonts w:ascii="Arial" w:hAnsi="Arial" w:cs="Arial"/>
          <w:sz w:val="24"/>
          <w:szCs w:val="24"/>
        </w:rPr>
        <w:t xml:space="preserve"> to be true</w:t>
      </w:r>
      <w:r w:rsidRPr="00D00EB9">
        <w:rPr>
          <w:rFonts w:ascii="Arial" w:hAnsi="Arial" w:cs="Arial"/>
          <w:sz w:val="24"/>
          <w:szCs w:val="24"/>
        </w:rPr>
        <w:t xml:space="preserve">. </w:t>
      </w:r>
      <w:r w:rsidR="006243E3" w:rsidRPr="00D00EB9">
        <w:rPr>
          <w:rFonts w:ascii="Arial" w:hAnsi="Arial" w:cs="Arial"/>
          <w:sz w:val="24"/>
          <w:szCs w:val="24"/>
        </w:rPr>
        <w:t xml:space="preserve">The records </w:t>
      </w:r>
      <w:r w:rsidR="003F4AB8">
        <w:rPr>
          <w:rFonts w:ascii="Arial" w:hAnsi="Arial" w:cs="Arial"/>
          <w:sz w:val="24"/>
          <w:szCs w:val="24"/>
        </w:rPr>
        <w:t xml:space="preserve">also </w:t>
      </w:r>
      <w:r w:rsidR="006243E3" w:rsidRPr="00D00EB9">
        <w:rPr>
          <w:rFonts w:ascii="Arial" w:hAnsi="Arial" w:cs="Arial"/>
          <w:sz w:val="24"/>
          <w:szCs w:val="24"/>
        </w:rPr>
        <w:t xml:space="preserve">state that </w:t>
      </w:r>
      <w:r w:rsidR="003F4AB8">
        <w:rPr>
          <w:rFonts w:ascii="Arial" w:hAnsi="Arial" w:cs="Arial"/>
          <w:sz w:val="24"/>
          <w:szCs w:val="24"/>
        </w:rPr>
        <w:t>Julia</w:t>
      </w:r>
      <w:r w:rsidR="003F4AB8" w:rsidRPr="00D00EB9">
        <w:rPr>
          <w:rFonts w:ascii="Arial" w:hAnsi="Arial" w:cs="Arial"/>
          <w:sz w:val="24"/>
          <w:szCs w:val="24"/>
        </w:rPr>
        <w:t xml:space="preserve"> </w:t>
      </w:r>
      <w:r w:rsidR="006243E3" w:rsidRPr="00D00EB9">
        <w:rPr>
          <w:rFonts w:ascii="Arial" w:hAnsi="Arial" w:cs="Arial"/>
          <w:sz w:val="24"/>
          <w:szCs w:val="24"/>
        </w:rPr>
        <w:t xml:space="preserve">had several summary convictions for drunkenness in her teens. </w:t>
      </w:r>
      <w:r w:rsidR="007976AC" w:rsidRPr="00D00EB9">
        <w:rPr>
          <w:rFonts w:ascii="Arial" w:hAnsi="Arial" w:cs="Arial"/>
          <w:sz w:val="24"/>
          <w:szCs w:val="24"/>
        </w:rPr>
        <w:t>However, it was property offending that would help to determine the course of Julia</w:t>
      </w:r>
      <w:r w:rsidR="00014D97" w:rsidRPr="00D00EB9">
        <w:rPr>
          <w:rFonts w:ascii="Arial" w:hAnsi="Arial" w:cs="Arial"/>
          <w:sz w:val="24"/>
          <w:szCs w:val="24"/>
        </w:rPr>
        <w:t>’</w:t>
      </w:r>
      <w:r w:rsidR="007976AC" w:rsidRPr="00D00EB9">
        <w:rPr>
          <w:rFonts w:ascii="Arial" w:hAnsi="Arial" w:cs="Arial"/>
          <w:sz w:val="24"/>
          <w:szCs w:val="24"/>
        </w:rPr>
        <w:t xml:space="preserve">s life. </w:t>
      </w:r>
      <w:r w:rsidRPr="00D00EB9">
        <w:rPr>
          <w:rFonts w:ascii="Arial" w:hAnsi="Arial" w:cs="Arial"/>
          <w:sz w:val="24"/>
          <w:szCs w:val="24"/>
        </w:rPr>
        <w:t xml:space="preserve">On </w:t>
      </w:r>
      <w:r w:rsidR="003F4AB8">
        <w:rPr>
          <w:rFonts w:ascii="Arial" w:hAnsi="Arial" w:cs="Arial"/>
          <w:sz w:val="24"/>
          <w:szCs w:val="24"/>
        </w:rPr>
        <w:t xml:space="preserve">the </w:t>
      </w:r>
      <w:r w:rsidR="00602568" w:rsidRPr="00D00EB9">
        <w:rPr>
          <w:rFonts w:ascii="Arial" w:hAnsi="Arial" w:cs="Arial"/>
          <w:sz w:val="24"/>
          <w:szCs w:val="24"/>
        </w:rPr>
        <w:t>27</w:t>
      </w:r>
      <w:r w:rsidR="00110F2E" w:rsidRPr="00110F2E">
        <w:rPr>
          <w:rFonts w:ascii="Arial" w:hAnsi="Arial" w:cs="Arial"/>
          <w:sz w:val="24"/>
          <w:szCs w:val="24"/>
          <w:vertAlign w:val="superscript"/>
        </w:rPr>
        <w:t>th</w:t>
      </w:r>
      <w:r w:rsidR="003F4AB8">
        <w:rPr>
          <w:rFonts w:ascii="Arial" w:hAnsi="Arial" w:cs="Arial"/>
          <w:sz w:val="24"/>
          <w:szCs w:val="24"/>
        </w:rPr>
        <w:t xml:space="preserve"> of</w:t>
      </w:r>
      <w:r w:rsidR="00602568" w:rsidRPr="00D00EB9">
        <w:rPr>
          <w:rFonts w:ascii="Arial" w:hAnsi="Arial" w:cs="Arial"/>
          <w:sz w:val="24"/>
          <w:szCs w:val="24"/>
        </w:rPr>
        <w:t xml:space="preserve"> March 1871</w:t>
      </w:r>
      <w:r w:rsidRPr="00D00EB9">
        <w:rPr>
          <w:rFonts w:ascii="Arial" w:hAnsi="Arial" w:cs="Arial"/>
          <w:sz w:val="24"/>
          <w:szCs w:val="24"/>
        </w:rPr>
        <w:t xml:space="preserve"> she was back before the </w:t>
      </w:r>
      <w:r w:rsidR="008E4DC2">
        <w:rPr>
          <w:rFonts w:ascii="Arial" w:hAnsi="Arial" w:cs="Arial"/>
          <w:sz w:val="24"/>
          <w:szCs w:val="24"/>
        </w:rPr>
        <w:t xml:space="preserve">same </w:t>
      </w:r>
      <w:r w:rsidRPr="00D00EB9">
        <w:rPr>
          <w:rFonts w:ascii="Arial" w:hAnsi="Arial" w:cs="Arial"/>
          <w:sz w:val="24"/>
          <w:szCs w:val="24"/>
        </w:rPr>
        <w:t>court in Manchester for stealing two sheets and she was immediately imprisoned for two months.</w:t>
      </w:r>
      <w:r w:rsidR="00724F3D">
        <w:rPr>
          <w:rStyle w:val="EndnoteReference"/>
          <w:rFonts w:ascii="Arial" w:hAnsi="Arial" w:cs="Arial"/>
          <w:sz w:val="24"/>
          <w:szCs w:val="24"/>
        </w:rPr>
        <w:endnoteReference w:id="10"/>
      </w:r>
    </w:p>
    <w:p w:rsidR="00456AEF" w:rsidRPr="00D00EB9" w:rsidRDefault="00456AEF" w:rsidP="0058654F">
      <w:pPr>
        <w:tabs>
          <w:tab w:val="left" w:pos="2854"/>
        </w:tabs>
        <w:spacing w:after="0" w:line="480" w:lineRule="auto"/>
        <w:contextualSpacing/>
        <w:jc w:val="both"/>
        <w:rPr>
          <w:rFonts w:ascii="Arial" w:hAnsi="Arial" w:cs="Arial"/>
          <w:sz w:val="24"/>
          <w:szCs w:val="24"/>
        </w:rPr>
      </w:pPr>
    </w:p>
    <w:p w:rsidR="00815A0C" w:rsidRPr="00D00EB9" w:rsidRDefault="00DB0AAD" w:rsidP="0058654F">
      <w:pPr>
        <w:spacing w:after="0" w:line="480" w:lineRule="auto"/>
        <w:contextualSpacing/>
        <w:jc w:val="both"/>
        <w:rPr>
          <w:rFonts w:ascii="Arial" w:hAnsi="Arial" w:cs="Arial"/>
          <w:sz w:val="24"/>
          <w:szCs w:val="24"/>
        </w:rPr>
      </w:pPr>
      <w:r w:rsidRPr="00D00EB9">
        <w:rPr>
          <w:rFonts w:ascii="Arial" w:hAnsi="Arial" w:cs="Arial"/>
          <w:sz w:val="24"/>
          <w:szCs w:val="24"/>
        </w:rPr>
        <w:t xml:space="preserve">The lessons the magistrates intended </w:t>
      </w:r>
      <w:r w:rsidR="003F4AB8">
        <w:rPr>
          <w:rFonts w:ascii="Arial" w:hAnsi="Arial" w:cs="Arial"/>
          <w:sz w:val="24"/>
          <w:szCs w:val="24"/>
        </w:rPr>
        <w:t>Julia</w:t>
      </w:r>
      <w:r w:rsidR="003F4AB8" w:rsidRPr="00D00EB9">
        <w:rPr>
          <w:rFonts w:ascii="Arial" w:hAnsi="Arial" w:cs="Arial"/>
          <w:sz w:val="24"/>
          <w:szCs w:val="24"/>
        </w:rPr>
        <w:t xml:space="preserve"> </w:t>
      </w:r>
      <w:r w:rsidRPr="00D00EB9">
        <w:rPr>
          <w:rFonts w:ascii="Arial" w:hAnsi="Arial" w:cs="Arial"/>
          <w:sz w:val="24"/>
          <w:szCs w:val="24"/>
        </w:rPr>
        <w:t xml:space="preserve">to learn had not hit home, and later </w:t>
      </w:r>
      <w:r w:rsidR="007976AC" w:rsidRPr="00D00EB9">
        <w:rPr>
          <w:rFonts w:ascii="Arial" w:hAnsi="Arial" w:cs="Arial"/>
          <w:sz w:val="24"/>
          <w:szCs w:val="24"/>
        </w:rPr>
        <w:t>that year she was sentenced to three</w:t>
      </w:r>
      <w:r w:rsidRPr="00D00EB9">
        <w:rPr>
          <w:rFonts w:ascii="Arial" w:hAnsi="Arial" w:cs="Arial"/>
          <w:sz w:val="24"/>
          <w:szCs w:val="24"/>
        </w:rPr>
        <w:t xml:space="preserve"> months in Manchester for stealing another sheet.</w:t>
      </w:r>
      <w:r w:rsidR="00724F3D">
        <w:rPr>
          <w:rStyle w:val="EndnoteReference"/>
          <w:rFonts w:ascii="Arial" w:hAnsi="Arial" w:cs="Arial"/>
          <w:sz w:val="24"/>
          <w:szCs w:val="24"/>
        </w:rPr>
        <w:endnoteReference w:id="11"/>
      </w:r>
      <w:r w:rsidRPr="00D00EB9">
        <w:rPr>
          <w:rFonts w:ascii="Arial" w:hAnsi="Arial" w:cs="Arial"/>
          <w:sz w:val="24"/>
          <w:szCs w:val="24"/>
        </w:rPr>
        <w:t xml:space="preserve"> Sheets, and all kinds of cloth and linen, were easily disposed of. Rag-gatherers and market-stall holders bought cheap and stolen cloth regularly, and as it was difficult to identify as stolen</w:t>
      </w:r>
      <w:r w:rsidR="003F4AB8">
        <w:rPr>
          <w:rFonts w:ascii="Arial" w:hAnsi="Arial" w:cs="Arial"/>
          <w:sz w:val="24"/>
          <w:szCs w:val="24"/>
        </w:rPr>
        <w:t>,</w:t>
      </w:r>
      <w:r w:rsidRPr="00D00EB9">
        <w:rPr>
          <w:rFonts w:ascii="Arial" w:hAnsi="Arial" w:cs="Arial"/>
          <w:sz w:val="24"/>
          <w:szCs w:val="24"/>
        </w:rPr>
        <w:t xml:space="preserve"> the risks were </w:t>
      </w:r>
      <w:proofErr w:type="gramStart"/>
      <w:r w:rsidRPr="00D00EB9">
        <w:rPr>
          <w:rFonts w:ascii="Arial" w:hAnsi="Arial" w:cs="Arial"/>
          <w:sz w:val="24"/>
          <w:szCs w:val="24"/>
        </w:rPr>
        <w:t>fairly low</w:t>
      </w:r>
      <w:proofErr w:type="gramEnd"/>
      <w:r w:rsidRPr="00D00EB9">
        <w:rPr>
          <w:rFonts w:ascii="Arial" w:hAnsi="Arial" w:cs="Arial"/>
          <w:sz w:val="24"/>
          <w:szCs w:val="24"/>
        </w:rPr>
        <w:t xml:space="preserve">. She might also, of course, have stolen the sheets for her own home, which was now filled with new husband, John Hardman, and a child (which may or may not have </w:t>
      </w:r>
      <w:r w:rsidR="00456AEF" w:rsidRPr="00D00EB9">
        <w:rPr>
          <w:rFonts w:ascii="Arial" w:hAnsi="Arial" w:cs="Arial"/>
          <w:sz w:val="24"/>
          <w:szCs w:val="24"/>
        </w:rPr>
        <w:t xml:space="preserve">also </w:t>
      </w:r>
      <w:r w:rsidRPr="00D00EB9">
        <w:rPr>
          <w:rFonts w:ascii="Arial" w:hAnsi="Arial" w:cs="Arial"/>
          <w:sz w:val="24"/>
          <w:szCs w:val="24"/>
        </w:rPr>
        <w:t>been John</w:t>
      </w:r>
      <w:r w:rsidR="00014D97" w:rsidRPr="00D00EB9">
        <w:rPr>
          <w:rFonts w:ascii="Arial" w:hAnsi="Arial" w:cs="Arial"/>
          <w:sz w:val="24"/>
          <w:szCs w:val="24"/>
        </w:rPr>
        <w:t>’</w:t>
      </w:r>
      <w:r w:rsidRPr="00D00EB9">
        <w:rPr>
          <w:rFonts w:ascii="Arial" w:hAnsi="Arial" w:cs="Arial"/>
          <w:sz w:val="24"/>
          <w:szCs w:val="24"/>
        </w:rPr>
        <w:t>s child).</w:t>
      </w:r>
      <w:r w:rsidR="00724F3D">
        <w:rPr>
          <w:rStyle w:val="EndnoteReference"/>
          <w:rFonts w:ascii="Arial" w:hAnsi="Arial" w:cs="Arial"/>
          <w:sz w:val="24"/>
          <w:szCs w:val="24"/>
        </w:rPr>
        <w:endnoteReference w:id="12"/>
      </w:r>
      <w:r w:rsidR="00FC2D43" w:rsidRPr="00D00EB9">
        <w:rPr>
          <w:rFonts w:ascii="Arial" w:hAnsi="Arial" w:cs="Arial"/>
          <w:sz w:val="24"/>
          <w:szCs w:val="24"/>
        </w:rPr>
        <w:t xml:space="preserve"> </w:t>
      </w:r>
    </w:p>
    <w:p w:rsidR="00456AEF" w:rsidRPr="00D00EB9" w:rsidRDefault="00456AEF" w:rsidP="0058654F">
      <w:pPr>
        <w:spacing w:after="0" w:line="480" w:lineRule="auto"/>
        <w:contextualSpacing/>
        <w:jc w:val="both"/>
        <w:rPr>
          <w:rFonts w:ascii="Arial" w:hAnsi="Arial" w:cs="Arial"/>
          <w:sz w:val="24"/>
          <w:szCs w:val="24"/>
        </w:rPr>
      </w:pPr>
    </w:p>
    <w:p w:rsidR="00815A0C" w:rsidRPr="00D00EB9" w:rsidRDefault="00FC2D43" w:rsidP="0058654F">
      <w:pPr>
        <w:spacing w:after="0" w:line="480" w:lineRule="auto"/>
        <w:contextualSpacing/>
        <w:jc w:val="both"/>
        <w:rPr>
          <w:rFonts w:ascii="Arial" w:hAnsi="Arial" w:cs="Arial"/>
          <w:sz w:val="24"/>
          <w:szCs w:val="24"/>
        </w:rPr>
      </w:pPr>
      <w:r w:rsidRPr="00D00EB9">
        <w:rPr>
          <w:rFonts w:ascii="Arial" w:hAnsi="Arial" w:cs="Arial"/>
          <w:sz w:val="24"/>
          <w:szCs w:val="24"/>
        </w:rPr>
        <w:lastRenderedPageBreak/>
        <w:t xml:space="preserve">In October 1872, aged eighteen, </w:t>
      </w:r>
      <w:r w:rsidR="007976AC" w:rsidRPr="00D00EB9">
        <w:rPr>
          <w:rFonts w:ascii="Arial" w:hAnsi="Arial" w:cs="Arial"/>
          <w:sz w:val="24"/>
          <w:szCs w:val="24"/>
        </w:rPr>
        <w:t>Julia</w:t>
      </w:r>
      <w:r w:rsidRPr="00D00EB9">
        <w:rPr>
          <w:rFonts w:ascii="Arial" w:hAnsi="Arial" w:cs="Arial"/>
          <w:sz w:val="24"/>
          <w:szCs w:val="24"/>
        </w:rPr>
        <w:t xml:space="preserve"> was prosecuted for stealing clothes, but, because she had previously been convicted of indictable crimes, her punishment </w:t>
      </w:r>
      <w:r w:rsidR="007976AC" w:rsidRPr="00D00EB9">
        <w:rPr>
          <w:rFonts w:ascii="Arial" w:hAnsi="Arial" w:cs="Arial"/>
          <w:sz w:val="24"/>
          <w:szCs w:val="24"/>
        </w:rPr>
        <w:t xml:space="preserve">this time </w:t>
      </w:r>
      <w:r w:rsidRPr="00D00EB9">
        <w:rPr>
          <w:rFonts w:ascii="Arial" w:hAnsi="Arial" w:cs="Arial"/>
          <w:sz w:val="24"/>
          <w:szCs w:val="24"/>
        </w:rPr>
        <w:t>would be considerable. She was sentenced to twelve months custody, but also a further seven years</w:t>
      </w:r>
      <w:r w:rsidR="00014D97" w:rsidRPr="00D00EB9">
        <w:rPr>
          <w:rFonts w:ascii="Arial" w:hAnsi="Arial" w:cs="Arial"/>
          <w:sz w:val="24"/>
          <w:szCs w:val="24"/>
        </w:rPr>
        <w:t>’</w:t>
      </w:r>
      <w:r w:rsidRPr="00D00EB9">
        <w:rPr>
          <w:rFonts w:ascii="Arial" w:hAnsi="Arial" w:cs="Arial"/>
          <w:sz w:val="24"/>
          <w:szCs w:val="24"/>
        </w:rPr>
        <w:t xml:space="preserve"> police supervision under the 1871 Preventio</w:t>
      </w:r>
      <w:r w:rsidR="00861E18" w:rsidRPr="00D00EB9">
        <w:rPr>
          <w:rFonts w:ascii="Arial" w:hAnsi="Arial" w:cs="Arial"/>
          <w:sz w:val="24"/>
          <w:szCs w:val="24"/>
        </w:rPr>
        <w:t>n of Crime Act (passed in 1871)</w:t>
      </w:r>
      <w:r w:rsidRPr="00D00EB9">
        <w:rPr>
          <w:rFonts w:ascii="Arial" w:hAnsi="Arial" w:cs="Arial"/>
          <w:sz w:val="24"/>
          <w:szCs w:val="24"/>
        </w:rPr>
        <w:t>.</w:t>
      </w:r>
      <w:r w:rsidR="00B61F11">
        <w:rPr>
          <w:rStyle w:val="EndnoteReference"/>
          <w:rFonts w:ascii="Arial" w:hAnsi="Arial" w:cs="Arial"/>
          <w:sz w:val="24"/>
          <w:szCs w:val="24"/>
        </w:rPr>
        <w:endnoteReference w:id="13"/>
      </w:r>
      <w:r w:rsidR="00861E18" w:rsidRPr="00D00EB9">
        <w:rPr>
          <w:rFonts w:ascii="Arial" w:hAnsi="Arial" w:cs="Arial"/>
          <w:sz w:val="24"/>
          <w:szCs w:val="24"/>
        </w:rPr>
        <w:t xml:space="preserve"> Since the 1860s</w:t>
      </w:r>
      <w:r w:rsidR="003F4AB8">
        <w:rPr>
          <w:rFonts w:ascii="Arial" w:hAnsi="Arial" w:cs="Arial"/>
          <w:sz w:val="24"/>
          <w:szCs w:val="24"/>
        </w:rPr>
        <w:t>,</w:t>
      </w:r>
      <w:r w:rsidR="00861E18" w:rsidRPr="00D00EB9">
        <w:rPr>
          <w:rFonts w:ascii="Arial" w:hAnsi="Arial" w:cs="Arial"/>
          <w:sz w:val="24"/>
          <w:szCs w:val="24"/>
        </w:rPr>
        <w:t xml:space="preserve"> there were attempts to keep a watchful eye over released convicts, at least for the period they were released on licence. The 1869 Habitual Offender Act and the Prevention of Crime Act of 1871 extended this power by giving the sentencing Judge the power to order a set period of police supervision for persistent offenders. On release from prison, supervisees were required to report to the police, </w:t>
      </w:r>
      <w:r w:rsidR="00361328" w:rsidRPr="00D00EB9">
        <w:rPr>
          <w:rFonts w:ascii="Arial" w:hAnsi="Arial" w:cs="Arial"/>
          <w:sz w:val="24"/>
          <w:szCs w:val="24"/>
        </w:rPr>
        <w:t xml:space="preserve">and </w:t>
      </w:r>
      <w:r w:rsidR="00861E18" w:rsidRPr="00D00EB9">
        <w:rPr>
          <w:rFonts w:ascii="Arial" w:hAnsi="Arial" w:cs="Arial"/>
          <w:sz w:val="24"/>
          <w:szCs w:val="24"/>
        </w:rPr>
        <w:t xml:space="preserve">inform them every fortnight of where they were residing. If any person under supervision re-offended, consorted with thieves and prostitutes, or could not prove they were making an honest living, they could be imprisoned for up to a year. </w:t>
      </w:r>
      <w:r w:rsidR="000D0A2D" w:rsidRPr="00D00EB9">
        <w:rPr>
          <w:rFonts w:ascii="Arial" w:hAnsi="Arial" w:cs="Arial"/>
          <w:sz w:val="24"/>
          <w:szCs w:val="24"/>
        </w:rPr>
        <w:t xml:space="preserve">Julia served the full year </w:t>
      </w:r>
      <w:r w:rsidR="00361328" w:rsidRPr="00D00EB9">
        <w:rPr>
          <w:rFonts w:ascii="Arial" w:hAnsi="Arial" w:cs="Arial"/>
          <w:sz w:val="24"/>
          <w:szCs w:val="24"/>
        </w:rPr>
        <w:t xml:space="preserve">to which </w:t>
      </w:r>
      <w:r w:rsidR="007976AC" w:rsidRPr="00D00EB9">
        <w:rPr>
          <w:rFonts w:ascii="Arial" w:hAnsi="Arial" w:cs="Arial"/>
          <w:sz w:val="24"/>
          <w:szCs w:val="24"/>
        </w:rPr>
        <w:t>she was sentenced</w:t>
      </w:r>
      <w:r w:rsidR="00361328" w:rsidRPr="00D00EB9">
        <w:rPr>
          <w:rFonts w:ascii="Arial" w:hAnsi="Arial" w:cs="Arial"/>
          <w:sz w:val="24"/>
          <w:szCs w:val="24"/>
        </w:rPr>
        <w:t xml:space="preserve"> and</w:t>
      </w:r>
      <w:r w:rsidR="000D0A2D" w:rsidRPr="00D00EB9">
        <w:rPr>
          <w:rFonts w:ascii="Arial" w:hAnsi="Arial" w:cs="Arial"/>
          <w:sz w:val="24"/>
          <w:szCs w:val="24"/>
        </w:rPr>
        <w:t xml:space="preserve"> was </w:t>
      </w:r>
      <w:r w:rsidR="007976AC" w:rsidRPr="00D00EB9">
        <w:rPr>
          <w:rFonts w:ascii="Arial" w:hAnsi="Arial" w:cs="Arial"/>
          <w:sz w:val="24"/>
          <w:szCs w:val="24"/>
        </w:rPr>
        <w:t xml:space="preserve">then </w:t>
      </w:r>
      <w:r w:rsidR="000D0A2D" w:rsidRPr="00D00EB9">
        <w:rPr>
          <w:rFonts w:ascii="Arial" w:hAnsi="Arial" w:cs="Arial"/>
          <w:sz w:val="24"/>
          <w:szCs w:val="24"/>
        </w:rPr>
        <w:t>r</w:t>
      </w:r>
      <w:r w:rsidR="00590DB6" w:rsidRPr="00D00EB9">
        <w:rPr>
          <w:rFonts w:ascii="Arial" w:hAnsi="Arial" w:cs="Arial"/>
          <w:sz w:val="24"/>
          <w:szCs w:val="24"/>
        </w:rPr>
        <w:t xml:space="preserve">eleased from </w:t>
      </w:r>
      <w:r w:rsidR="000D0A2D" w:rsidRPr="00D00EB9">
        <w:rPr>
          <w:rFonts w:ascii="Arial" w:hAnsi="Arial" w:cs="Arial"/>
          <w:sz w:val="24"/>
          <w:szCs w:val="24"/>
        </w:rPr>
        <w:t>Manchester City P</w:t>
      </w:r>
      <w:r w:rsidR="00590DB6" w:rsidRPr="00D00EB9">
        <w:rPr>
          <w:rFonts w:ascii="Arial" w:hAnsi="Arial" w:cs="Arial"/>
          <w:sz w:val="24"/>
          <w:szCs w:val="24"/>
        </w:rPr>
        <w:t xml:space="preserve">rison </w:t>
      </w:r>
      <w:r w:rsidR="000D0A2D" w:rsidRPr="00D00EB9">
        <w:rPr>
          <w:rFonts w:ascii="Arial" w:hAnsi="Arial" w:cs="Arial"/>
          <w:sz w:val="24"/>
          <w:szCs w:val="24"/>
        </w:rPr>
        <w:t xml:space="preserve">on </w:t>
      </w:r>
      <w:r w:rsidR="003F4AB8">
        <w:rPr>
          <w:rFonts w:ascii="Arial" w:hAnsi="Arial" w:cs="Arial"/>
          <w:sz w:val="24"/>
          <w:szCs w:val="24"/>
        </w:rPr>
        <w:t xml:space="preserve">the </w:t>
      </w:r>
      <w:r w:rsidR="00590DB6" w:rsidRPr="00D00EB9">
        <w:rPr>
          <w:rFonts w:ascii="Arial" w:hAnsi="Arial" w:cs="Arial"/>
          <w:sz w:val="24"/>
          <w:szCs w:val="24"/>
        </w:rPr>
        <w:t>23</w:t>
      </w:r>
      <w:r w:rsidR="00C22DA4" w:rsidRPr="00C22DA4">
        <w:rPr>
          <w:rFonts w:ascii="Arial" w:hAnsi="Arial" w:cs="Arial"/>
          <w:sz w:val="24"/>
          <w:szCs w:val="24"/>
          <w:vertAlign w:val="superscript"/>
        </w:rPr>
        <w:t>rd</w:t>
      </w:r>
      <w:r w:rsidR="003F4AB8">
        <w:rPr>
          <w:rFonts w:ascii="Arial" w:hAnsi="Arial" w:cs="Arial"/>
          <w:sz w:val="24"/>
          <w:szCs w:val="24"/>
        </w:rPr>
        <w:t xml:space="preserve"> of</w:t>
      </w:r>
      <w:r w:rsidR="00590DB6" w:rsidRPr="00D00EB9">
        <w:rPr>
          <w:rFonts w:ascii="Arial" w:hAnsi="Arial" w:cs="Arial"/>
          <w:sz w:val="24"/>
          <w:szCs w:val="24"/>
        </w:rPr>
        <w:t xml:space="preserve"> October 1873</w:t>
      </w:r>
      <w:r w:rsidR="00101EAC" w:rsidRPr="00D00EB9">
        <w:rPr>
          <w:rFonts w:ascii="Arial" w:hAnsi="Arial" w:cs="Arial"/>
          <w:sz w:val="24"/>
          <w:szCs w:val="24"/>
        </w:rPr>
        <w:t>.</w:t>
      </w:r>
      <w:r w:rsidR="00B61F11">
        <w:rPr>
          <w:rStyle w:val="EndnoteReference"/>
          <w:rFonts w:ascii="Arial" w:hAnsi="Arial" w:cs="Arial"/>
          <w:sz w:val="24"/>
          <w:szCs w:val="24"/>
        </w:rPr>
        <w:endnoteReference w:id="14"/>
      </w:r>
      <w:r w:rsidR="00101EAC" w:rsidRPr="00D00EB9">
        <w:rPr>
          <w:rFonts w:ascii="Arial" w:hAnsi="Arial" w:cs="Arial"/>
          <w:sz w:val="24"/>
          <w:szCs w:val="24"/>
        </w:rPr>
        <w:t xml:space="preserve"> </w:t>
      </w:r>
    </w:p>
    <w:p w:rsidR="00456AEF" w:rsidRPr="00D00EB9" w:rsidRDefault="00456AEF" w:rsidP="0058654F">
      <w:pPr>
        <w:spacing w:after="0" w:line="480" w:lineRule="auto"/>
        <w:contextualSpacing/>
        <w:jc w:val="both"/>
        <w:rPr>
          <w:rFonts w:ascii="Arial" w:hAnsi="Arial" w:cs="Arial"/>
          <w:sz w:val="24"/>
          <w:szCs w:val="24"/>
        </w:rPr>
      </w:pPr>
    </w:p>
    <w:p w:rsidR="000C725F" w:rsidRPr="00D00EB9" w:rsidRDefault="00101EAC" w:rsidP="0058654F">
      <w:pPr>
        <w:spacing w:after="0" w:line="480" w:lineRule="auto"/>
        <w:contextualSpacing/>
        <w:jc w:val="both"/>
        <w:rPr>
          <w:rFonts w:ascii="Arial" w:hAnsi="Arial" w:cs="Arial"/>
          <w:sz w:val="24"/>
          <w:szCs w:val="24"/>
        </w:rPr>
      </w:pPr>
      <w:r w:rsidRPr="00D00EB9">
        <w:rPr>
          <w:rFonts w:ascii="Arial" w:hAnsi="Arial" w:cs="Arial"/>
          <w:sz w:val="24"/>
          <w:szCs w:val="24"/>
        </w:rPr>
        <w:t xml:space="preserve">The following </w:t>
      </w:r>
      <w:r w:rsidR="00361328" w:rsidRPr="00D00EB9">
        <w:rPr>
          <w:rFonts w:ascii="Arial" w:hAnsi="Arial" w:cs="Arial"/>
          <w:sz w:val="24"/>
          <w:szCs w:val="24"/>
        </w:rPr>
        <w:t>s</w:t>
      </w:r>
      <w:r w:rsidRPr="00D00EB9">
        <w:rPr>
          <w:rFonts w:ascii="Arial" w:hAnsi="Arial" w:cs="Arial"/>
          <w:sz w:val="24"/>
          <w:szCs w:val="24"/>
        </w:rPr>
        <w:t>pring</w:t>
      </w:r>
      <w:r w:rsidR="003F4AB8">
        <w:rPr>
          <w:rFonts w:ascii="Arial" w:hAnsi="Arial" w:cs="Arial"/>
          <w:sz w:val="24"/>
          <w:szCs w:val="24"/>
        </w:rPr>
        <w:t>, Julia Hyland</w:t>
      </w:r>
      <w:r w:rsidRPr="00D00EB9">
        <w:rPr>
          <w:rFonts w:ascii="Arial" w:hAnsi="Arial" w:cs="Arial"/>
          <w:sz w:val="24"/>
          <w:szCs w:val="24"/>
        </w:rPr>
        <w:t xml:space="preserve"> was arrested for being drunk and</w:t>
      </w:r>
      <w:r w:rsidR="002450C6" w:rsidRPr="00D00EB9">
        <w:rPr>
          <w:rFonts w:ascii="Arial" w:hAnsi="Arial" w:cs="Arial"/>
          <w:sz w:val="24"/>
          <w:szCs w:val="24"/>
        </w:rPr>
        <w:t xml:space="preserve"> riotous again in Manchester, but </w:t>
      </w:r>
      <w:r w:rsidR="007976AC" w:rsidRPr="00D00EB9">
        <w:rPr>
          <w:rFonts w:ascii="Arial" w:hAnsi="Arial" w:cs="Arial"/>
          <w:sz w:val="24"/>
          <w:szCs w:val="24"/>
        </w:rPr>
        <w:t xml:space="preserve">she </w:t>
      </w:r>
      <w:r w:rsidR="002450C6" w:rsidRPr="00D00EB9">
        <w:rPr>
          <w:rFonts w:ascii="Arial" w:hAnsi="Arial" w:cs="Arial"/>
          <w:sz w:val="24"/>
          <w:szCs w:val="24"/>
        </w:rPr>
        <w:t>only received a small fine.</w:t>
      </w:r>
      <w:r w:rsidR="00B61F11">
        <w:rPr>
          <w:rStyle w:val="EndnoteReference"/>
          <w:rFonts w:ascii="Arial" w:hAnsi="Arial" w:cs="Arial"/>
          <w:sz w:val="24"/>
          <w:szCs w:val="24"/>
        </w:rPr>
        <w:endnoteReference w:id="15"/>
      </w:r>
      <w:r w:rsidR="002450C6" w:rsidRPr="00D00EB9">
        <w:rPr>
          <w:rFonts w:ascii="Arial" w:hAnsi="Arial" w:cs="Arial"/>
          <w:sz w:val="24"/>
          <w:szCs w:val="24"/>
        </w:rPr>
        <w:t xml:space="preserve"> As a factory worker (probably in the cotton mills) she was able to clear the debt, avoiding seven </w:t>
      </w:r>
      <w:r w:rsidR="003F4AB8" w:rsidRPr="00D00EB9">
        <w:rPr>
          <w:rFonts w:ascii="Arial" w:hAnsi="Arial" w:cs="Arial"/>
          <w:sz w:val="24"/>
          <w:szCs w:val="24"/>
        </w:rPr>
        <w:t xml:space="preserve">more </w:t>
      </w:r>
      <w:r w:rsidR="002450C6" w:rsidRPr="00D00EB9">
        <w:rPr>
          <w:rFonts w:ascii="Arial" w:hAnsi="Arial" w:cs="Arial"/>
          <w:sz w:val="24"/>
          <w:szCs w:val="24"/>
        </w:rPr>
        <w:t xml:space="preserve">days in gaol. However, the legacy of her last theft was still hanging over her, and she breached her liabilities under the Prevention of Crime Act in July 1874. </w:t>
      </w:r>
      <w:r w:rsidR="00361328" w:rsidRPr="00D00EB9">
        <w:rPr>
          <w:rFonts w:ascii="Arial" w:hAnsi="Arial" w:cs="Arial"/>
          <w:sz w:val="24"/>
          <w:szCs w:val="24"/>
        </w:rPr>
        <w:t xml:space="preserve">In a contemporary newspaper report she is recorded as stating that </w:t>
      </w:r>
      <w:r w:rsidR="00014D97" w:rsidRPr="00D00EB9">
        <w:rPr>
          <w:rFonts w:ascii="Arial" w:hAnsi="Arial" w:cs="Arial"/>
          <w:sz w:val="24"/>
          <w:szCs w:val="24"/>
        </w:rPr>
        <w:t>‘</w:t>
      </w:r>
      <w:r w:rsidR="00361328" w:rsidRPr="00D00EB9">
        <w:rPr>
          <w:rFonts w:ascii="Arial" w:hAnsi="Arial" w:cs="Arial"/>
          <w:sz w:val="24"/>
          <w:szCs w:val="24"/>
        </w:rPr>
        <w:t>she had reported herself, but she had been in the workhouse several times, owing to her husband not supporting her</w:t>
      </w:r>
      <w:r w:rsidR="00014D97" w:rsidRPr="00D00EB9">
        <w:rPr>
          <w:rFonts w:ascii="Arial" w:hAnsi="Arial" w:cs="Arial"/>
          <w:sz w:val="24"/>
          <w:szCs w:val="24"/>
        </w:rPr>
        <w:t>’</w:t>
      </w:r>
      <w:r w:rsidR="00361328" w:rsidRPr="00D00EB9">
        <w:rPr>
          <w:rFonts w:ascii="Arial" w:hAnsi="Arial" w:cs="Arial"/>
          <w:sz w:val="24"/>
          <w:szCs w:val="24"/>
        </w:rPr>
        <w:t>.</w:t>
      </w:r>
      <w:r w:rsidR="000C725F" w:rsidRPr="00D00EB9">
        <w:rPr>
          <w:rStyle w:val="EndnoteReference"/>
          <w:rFonts w:ascii="Arial" w:hAnsi="Arial" w:cs="Arial"/>
          <w:sz w:val="24"/>
          <w:szCs w:val="24"/>
        </w:rPr>
        <w:endnoteReference w:id="16"/>
      </w:r>
      <w:r w:rsidR="000C725F" w:rsidRPr="00D00EB9">
        <w:rPr>
          <w:rFonts w:ascii="Arial" w:hAnsi="Arial" w:cs="Arial"/>
          <w:sz w:val="24"/>
          <w:szCs w:val="24"/>
        </w:rPr>
        <w:t xml:space="preserve">  Her failure to report to the police on a fortnightly basis earned her a further six months in custody.</w:t>
      </w:r>
      <w:r w:rsidR="00B61F11">
        <w:rPr>
          <w:rStyle w:val="EndnoteReference"/>
          <w:rFonts w:ascii="Arial" w:hAnsi="Arial" w:cs="Arial"/>
          <w:sz w:val="24"/>
          <w:szCs w:val="24"/>
        </w:rPr>
        <w:endnoteReference w:id="17"/>
      </w:r>
      <w:r w:rsidR="003F4AB8">
        <w:rPr>
          <w:rFonts w:ascii="Arial" w:hAnsi="Arial" w:cs="Arial"/>
          <w:sz w:val="24"/>
          <w:szCs w:val="24"/>
        </w:rPr>
        <w:t xml:space="preserve"> Julia</w:t>
      </w:r>
      <w:r w:rsidR="003F4AB8" w:rsidRPr="00D00EB9">
        <w:rPr>
          <w:rFonts w:ascii="Arial" w:hAnsi="Arial" w:cs="Arial"/>
          <w:sz w:val="24"/>
          <w:szCs w:val="24"/>
        </w:rPr>
        <w:t xml:space="preserve"> </w:t>
      </w:r>
      <w:r w:rsidR="000C725F" w:rsidRPr="00D00EB9">
        <w:rPr>
          <w:rFonts w:ascii="Arial" w:hAnsi="Arial" w:cs="Arial"/>
          <w:sz w:val="24"/>
          <w:szCs w:val="24"/>
        </w:rPr>
        <w:t xml:space="preserve">was released back to the marital home (which now contained two children as well as her husband) at Greys Mill, Pollard Street, </w:t>
      </w:r>
      <w:proofErr w:type="spellStart"/>
      <w:r w:rsidR="000C725F" w:rsidRPr="00D00EB9">
        <w:rPr>
          <w:rFonts w:ascii="Arial" w:hAnsi="Arial" w:cs="Arial"/>
          <w:sz w:val="24"/>
          <w:szCs w:val="24"/>
        </w:rPr>
        <w:lastRenderedPageBreak/>
        <w:t>Ancoats</w:t>
      </w:r>
      <w:proofErr w:type="spellEnd"/>
      <w:r w:rsidR="000C725F" w:rsidRPr="00D00EB9">
        <w:rPr>
          <w:rFonts w:ascii="Arial" w:hAnsi="Arial" w:cs="Arial"/>
          <w:sz w:val="24"/>
          <w:szCs w:val="24"/>
        </w:rPr>
        <w:t xml:space="preserve">, in January 1875. In July of the same year, however, she was convicted of the larceny of oilcloth and the courts felt that this time the full weight of the Prevention of Crimes Act should be imposed. They sentenced Julia at Manchester </w:t>
      </w:r>
      <w:r w:rsidR="003F4AB8">
        <w:rPr>
          <w:rFonts w:ascii="Arial" w:hAnsi="Arial" w:cs="Arial"/>
          <w:sz w:val="24"/>
          <w:szCs w:val="24"/>
        </w:rPr>
        <w:t>Q</w:t>
      </w:r>
      <w:r w:rsidR="000C725F" w:rsidRPr="00D00EB9">
        <w:rPr>
          <w:rFonts w:ascii="Arial" w:hAnsi="Arial" w:cs="Arial"/>
          <w:sz w:val="24"/>
          <w:szCs w:val="24"/>
        </w:rPr>
        <w:t xml:space="preserve">uarter </w:t>
      </w:r>
      <w:r w:rsidR="003F4AB8">
        <w:rPr>
          <w:rFonts w:ascii="Arial" w:hAnsi="Arial" w:cs="Arial"/>
          <w:sz w:val="24"/>
          <w:szCs w:val="24"/>
        </w:rPr>
        <w:t>S</w:t>
      </w:r>
      <w:r w:rsidR="003F4AB8" w:rsidRPr="00D00EB9">
        <w:rPr>
          <w:rFonts w:ascii="Arial" w:hAnsi="Arial" w:cs="Arial"/>
          <w:sz w:val="24"/>
          <w:szCs w:val="24"/>
        </w:rPr>
        <w:t xml:space="preserve">essions </w:t>
      </w:r>
      <w:r w:rsidR="000C725F" w:rsidRPr="00D00EB9">
        <w:rPr>
          <w:rFonts w:ascii="Arial" w:hAnsi="Arial" w:cs="Arial"/>
          <w:sz w:val="24"/>
          <w:szCs w:val="24"/>
        </w:rPr>
        <w:t>to seven years’ penal servitude and, following release from prison, a further seven years’ police supervision</w:t>
      </w:r>
      <w:r w:rsidR="00B61F11">
        <w:rPr>
          <w:rFonts w:ascii="Arial" w:hAnsi="Arial" w:cs="Arial"/>
          <w:sz w:val="24"/>
          <w:szCs w:val="24"/>
        </w:rPr>
        <w:t>, a standard sentence at the time, for a recidivist offender</w:t>
      </w:r>
      <w:r w:rsidR="000C725F" w:rsidRPr="00D00EB9">
        <w:rPr>
          <w:rFonts w:ascii="Arial" w:hAnsi="Arial" w:cs="Arial"/>
          <w:sz w:val="24"/>
          <w:szCs w:val="24"/>
        </w:rPr>
        <w:t>.</w:t>
      </w:r>
      <w:r w:rsidR="00B61F11">
        <w:rPr>
          <w:rStyle w:val="EndnoteReference"/>
          <w:rFonts w:ascii="Arial" w:hAnsi="Arial" w:cs="Arial"/>
          <w:sz w:val="24"/>
          <w:szCs w:val="24"/>
        </w:rPr>
        <w:endnoteReference w:id="18"/>
      </w:r>
    </w:p>
    <w:p w:rsidR="000C725F" w:rsidRPr="00D00EB9" w:rsidRDefault="000C725F" w:rsidP="0058654F">
      <w:pPr>
        <w:spacing w:after="0" w:line="480" w:lineRule="auto"/>
        <w:contextualSpacing/>
        <w:jc w:val="both"/>
        <w:rPr>
          <w:rFonts w:ascii="Arial" w:hAnsi="Arial" w:cs="Arial"/>
          <w:sz w:val="24"/>
          <w:szCs w:val="24"/>
        </w:rPr>
      </w:pPr>
    </w:p>
    <w:p w:rsidR="008F6C8D" w:rsidRPr="00D00EB9" w:rsidRDefault="000C725F" w:rsidP="0058654F">
      <w:pPr>
        <w:widowControl w:val="0"/>
        <w:autoSpaceDE w:val="0"/>
        <w:autoSpaceDN w:val="0"/>
        <w:adjustRightInd w:val="0"/>
        <w:spacing w:after="0" w:line="480" w:lineRule="auto"/>
        <w:contextualSpacing/>
        <w:jc w:val="both"/>
        <w:rPr>
          <w:rFonts w:ascii="Arial" w:hAnsi="Arial" w:cs="Arial"/>
          <w:sz w:val="24"/>
          <w:szCs w:val="24"/>
        </w:rPr>
      </w:pPr>
      <w:r w:rsidRPr="00D00EB9">
        <w:rPr>
          <w:rFonts w:ascii="Arial" w:hAnsi="Arial" w:cs="Arial"/>
          <w:sz w:val="24"/>
          <w:szCs w:val="24"/>
        </w:rPr>
        <w:t xml:space="preserve">Julia was first received at Millbank to carry out the mandatory part of every penal servitude sentence, a period when she was kept separated from other prisoners. When the training part of her sentence commenced, ‘Prisoner B. J. 184’ was then put to work in the prison in the sewing and knitting rooms. Julia </w:t>
      </w:r>
      <w:proofErr w:type="gramStart"/>
      <w:r w:rsidRPr="00D00EB9">
        <w:rPr>
          <w:rFonts w:ascii="Arial" w:hAnsi="Arial" w:cs="Arial"/>
          <w:sz w:val="24"/>
          <w:szCs w:val="24"/>
        </w:rPr>
        <w:t>was allowed to</w:t>
      </w:r>
      <w:proofErr w:type="gramEnd"/>
      <w:r w:rsidRPr="00D00EB9">
        <w:rPr>
          <w:rFonts w:ascii="Arial" w:hAnsi="Arial" w:cs="Arial"/>
          <w:sz w:val="24"/>
          <w:szCs w:val="24"/>
        </w:rPr>
        <w:t xml:space="preserve"> attend chapel along with the other prisoners, but on </w:t>
      </w:r>
      <w:r w:rsidR="00772CE3">
        <w:rPr>
          <w:rFonts w:ascii="Arial" w:hAnsi="Arial" w:cs="Arial"/>
          <w:sz w:val="24"/>
          <w:szCs w:val="24"/>
        </w:rPr>
        <w:t xml:space="preserve">the </w:t>
      </w:r>
      <w:r w:rsidRPr="00D00EB9">
        <w:rPr>
          <w:rFonts w:ascii="Arial" w:hAnsi="Arial" w:cs="Arial"/>
          <w:sz w:val="24"/>
          <w:szCs w:val="24"/>
        </w:rPr>
        <w:t>19</w:t>
      </w:r>
      <w:r w:rsidR="00C22DA4" w:rsidRPr="00C22DA4">
        <w:rPr>
          <w:rFonts w:ascii="Arial" w:hAnsi="Arial" w:cs="Arial"/>
          <w:sz w:val="24"/>
          <w:szCs w:val="24"/>
          <w:vertAlign w:val="superscript"/>
        </w:rPr>
        <w:t>th</w:t>
      </w:r>
      <w:r w:rsidR="00772CE3">
        <w:rPr>
          <w:rFonts w:ascii="Arial" w:hAnsi="Arial" w:cs="Arial"/>
          <w:sz w:val="24"/>
          <w:szCs w:val="24"/>
        </w:rPr>
        <w:t xml:space="preserve"> of</w:t>
      </w:r>
      <w:r w:rsidRPr="00D00EB9">
        <w:rPr>
          <w:rFonts w:ascii="Arial" w:hAnsi="Arial" w:cs="Arial"/>
          <w:sz w:val="24"/>
          <w:szCs w:val="24"/>
        </w:rPr>
        <w:t xml:space="preserve"> December 1875 she was charged with ‘refractory conduct on way back from chapel and destroying prison property’.</w:t>
      </w:r>
      <w:r w:rsidRPr="00D00EB9">
        <w:rPr>
          <w:rStyle w:val="EndnoteReference"/>
          <w:rFonts w:ascii="Arial" w:hAnsi="Arial" w:cs="Arial"/>
          <w:sz w:val="24"/>
          <w:szCs w:val="24"/>
        </w:rPr>
        <w:endnoteReference w:id="19"/>
      </w:r>
      <w:r w:rsidRPr="00D00EB9">
        <w:rPr>
          <w:rFonts w:ascii="Arial" w:hAnsi="Arial" w:cs="Arial"/>
          <w:sz w:val="24"/>
          <w:szCs w:val="24"/>
        </w:rPr>
        <w:t xml:space="preserve"> </w:t>
      </w:r>
      <w:r w:rsidR="002F7E1D" w:rsidRPr="00D00EB9">
        <w:rPr>
          <w:rFonts w:ascii="Arial" w:hAnsi="Arial" w:cs="Arial"/>
          <w:sz w:val="24"/>
          <w:szCs w:val="24"/>
        </w:rPr>
        <w:t>Under the progressive marks system</w:t>
      </w:r>
      <w:r w:rsidR="00772CE3">
        <w:rPr>
          <w:rFonts w:ascii="Arial" w:hAnsi="Arial" w:cs="Arial"/>
          <w:sz w:val="24"/>
          <w:szCs w:val="24"/>
        </w:rPr>
        <w:t>,</w:t>
      </w:r>
      <w:r w:rsidR="002F7E1D" w:rsidRPr="00D00EB9">
        <w:rPr>
          <w:rFonts w:ascii="Arial" w:hAnsi="Arial" w:cs="Arial"/>
          <w:sz w:val="24"/>
          <w:szCs w:val="24"/>
        </w:rPr>
        <w:t xml:space="preserve"> Julia had been accumulating remission marks and earning a better diet and a quicker release on </w:t>
      </w:r>
      <w:r w:rsidR="004E1B7B">
        <w:rPr>
          <w:rFonts w:ascii="Arial" w:hAnsi="Arial" w:cs="Arial"/>
          <w:sz w:val="24"/>
          <w:szCs w:val="24"/>
        </w:rPr>
        <w:t>licence</w:t>
      </w:r>
      <w:r w:rsidR="002F7E1D" w:rsidRPr="00D00EB9">
        <w:rPr>
          <w:rFonts w:ascii="Arial" w:hAnsi="Arial" w:cs="Arial"/>
          <w:sz w:val="24"/>
          <w:szCs w:val="24"/>
        </w:rPr>
        <w:t xml:space="preserve">. </w:t>
      </w:r>
      <w:r w:rsidR="00297BE4" w:rsidRPr="00D00EB9">
        <w:rPr>
          <w:rFonts w:ascii="Arial" w:hAnsi="Arial" w:cs="Arial"/>
          <w:sz w:val="24"/>
          <w:szCs w:val="24"/>
        </w:rPr>
        <w:t>However, a</w:t>
      </w:r>
      <w:r w:rsidR="002F7E1D" w:rsidRPr="00D00EB9">
        <w:rPr>
          <w:rFonts w:ascii="Arial" w:hAnsi="Arial" w:cs="Arial"/>
          <w:sz w:val="24"/>
          <w:szCs w:val="24"/>
        </w:rPr>
        <w:t xml:space="preserve">s a result of her prison </w:t>
      </w:r>
      <w:r w:rsidR="00014D97" w:rsidRPr="00D00EB9">
        <w:rPr>
          <w:rFonts w:ascii="Arial" w:hAnsi="Arial" w:cs="Arial"/>
          <w:sz w:val="24"/>
          <w:szCs w:val="24"/>
        </w:rPr>
        <w:t>‘</w:t>
      </w:r>
      <w:r w:rsidR="002F7E1D" w:rsidRPr="00D00EB9">
        <w:rPr>
          <w:rFonts w:ascii="Arial" w:hAnsi="Arial" w:cs="Arial"/>
          <w:sz w:val="24"/>
          <w:szCs w:val="24"/>
        </w:rPr>
        <w:t>offence</w:t>
      </w:r>
      <w:r w:rsidR="00014D97" w:rsidRPr="00D00EB9">
        <w:rPr>
          <w:rFonts w:ascii="Arial" w:hAnsi="Arial" w:cs="Arial"/>
          <w:sz w:val="24"/>
          <w:szCs w:val="24"/>
        </w:rPr>
        <w:t>’</w:t>
      </w:r>
      <w:r w:rsidR="00772CE3">
        <w:rPr>
          <w:rFonts w:ascii="Arial" w:hAnsi="Arial" w:cs="Arial"/>
          <w:sz w:val="24"/>
          <w:szCs w:val="24"/>
        </w:rPr>
        <w:t>,</w:t>
      </w:r>
      <w:r w:rsidR="002F7E1D" w:rsidRPr="00D00EB9">
        <w:rPr>
          <w:rFonts w:ascii="Arial" w:hAnsi="Arial" w:cs="Arial"/>
          <w:sz w:val="24"/>
          <w:szCs w:val="24"/>
        </w:rPr>
        <w:t xml:space="preserve"> she was deprived of fifty-six remission marks, </w:t>
      </w:r>
      <w:proofErr w:type="gramStart"/>
      <w:r w:rsidR="002F7E1D" w:rsidRPr="00D00EB9">
        <w:rPr>
          <w:rFonts w:ascii="Arial" w:hAnsi="Arial" w:cs="Arial"/>
          <w:sz w:val="24"/>
          <w:szCs w:val="24"/>
        </w:rPr>
        <w:t xml:space="preserve">and </w:t>
      </w:r>
      <w:r w:rsidR="00772CE3">
        <w:rPr>
          <w:rFonts w:ascii="Arial" w:hAnsi="Arial" w:cs="Arial"/>
          <w:sz w:val="24"/>
          <w:szCs w:val="24"/>
        </w:rPr>
        <w:t xml:space="preserve"> </w:t>
      </w:r>
      <w:r w:rsidR="002F7E1D" w:rsidRPr="00D00EB9">
        <w:rPr>
          <w:rFonts w:ascii="Arial" w:hAnsi="Arial" w:cs="Arial"/>
          <w:sz w:val="24"/>
          <w:szCs w:val="24"/>
        </w:rPr>
        <w:t>fur</w:t>
      </w:r>
      <w:r w:rsidR="00B76D2F" w:rsidRPr="00D00EB9">
        <w:rPr>
          <w:rFonts w:ascii="Arial" w:hAnsi="Arial" w:cs="Arial"/>
          <w:sz w:val="24"/>
          <w:szCs w:val="24"/>
        </w:rPr>
        <w:t>ther</w:t>
      </w:r>
      <w:proofErr w:type="gramEnd"/>
      <w:r w:rsidR="00B76D2F" w:rsidRPr="00D00EB9">
        <w:rPr>
          <w:rFonts w:ascii="Arial" w:hAnsi="Arial" w:cs="Arial"/>
          <w:sz w:val="24"/>
          <w:szCs w:val="24"/>
        </w:rPr>
        <w:t xml:space="preserve"> punished with Penal Class d</w:t>
      </w:r>
      <w:r w:rsidR="002F7E1D" w:rsidRPr="00D00EB9">
        <w:rPr>
          <w:rFonts w:ascii="Arial" w:hAnsi="Arial" w:cs="Arial"/>
          <w:sz w:val="24"/>
          <w:szCs w:val="24"/>
        </w:rPr>
        <w:t>iet (bread and water) for twenty-eight days and she was not allowed to have any books (Juli</w:t>
      </w:r>
      <w:r w:rsidR="004008E1" w:rsidRPr="00D00EB9">
        <w:rPr>
          <w:rFonts w:ascii="Arial" w:hAnsi="Arial" w:cs="Arial"/>
          <w:sz w:val="24"/>
          <w:szCs w:val="24"/>
        </w:rPr>
        <w:t xml:space="preserve">a </w:t>
      </w:r>
      <w:r w:rsidR="002F7E1D" w:rsidRPr="00D00EB9">
        <w:rPr>
          <w:rFonts w:ascii="Arial" w:hAnsi="Arial" w:cs="Arial"/>
          <w:sz w:val="24"/>
          <w:szCs w:val="24"/>
        </w:rPr>
        <w:t xml:space="preserve">could both read and write). She would </w:t>
      </w:r>
      <w:r w:rsidR="00297BE4" w:rsidRPr="00D00EB9">
        <w:rPr>
          <w:rFonts w:ascii="Arial" w:hAnsi="Arial" w:cs="Arial"/>
          <w:sz w:val="24"/>
          <w:szCs w:val="24"/>
        </w:rPr>
        <w:t xml:space="preserve">also have to </w:t>
      </w:r>
      <w:r w:rsidR="002F7E1D" w:rsidRPr="00D00EB9">
        <w:rPr>
          <w:rFonts w:ascii="Arial" w:hAnsi="Arial" w:cs="Arial"/>
          <w:sz w:val="24"/>
          <w:szCs w:val="24"/>
        </w:rPr>
        <w:t>pay compensation for the damage she had caused.</w:t>
      </w:r>
      <w:r w:rsidR="00670862">
        <w:rPr>
          <w:rStyle w:val="EndnoteReference"/>
          <w:rFonts w:ascii="Arial" w:hAnsi="Arial" w:cs="Arial"/>
          <w:sz w:val="24"/>
          <w:szCs w:val="24"/>
        </w:rPr>
        <w:endnoteReference w:id="20"/>
      </w:r>
      <w:r w:rsidR="002F7E1D" w:rsidRPr="00D00EB9">
        <w:rPr>
          <w:rFonts w:ascii="Arial" w:hAnsi="Arial" w:cs="Arial"/>
          <w:sz w:val="24"/>
          <w:szCs w:val="24"/>
        </w:rPr>
        <w:t xml:space="preserve"> Julia must have been quite ill in the </w:t>
      </w:r>
      <w:r w:rsidR="00361328" w:rsidRPr="00D00EB9">
        <w:rPr>
          <w:rFonts w:ascii="Arial" w:hAnsi="Arial" w:cs="Arial"/>
          <w:sz w:val="24"/>
          <w:szCs w:val="24"/>
        </w:rPr>
        <w:t>s</w:t>
      </w:r>
      <w:r w:rsidR="002F7E1D" w:rsidRPr="00D00EB9">
        <w:rPr>
          <w:rFonts w:ascii="Arial" w:hAnsi="Arial" w:cs="Arial"/>
          <w:sz w:val="24"/>
          <w:szCs w:val="24"/>
        </w:rPr>
        <w:t xml:space="preserve">pring of 1876 because she was removed to the </w:t>
      </w:r>
      <w:r w:rsidR="00297BE4" w:rsidRPr="00D00EB9">
        <w:rPr>
          <w:rFonts w:ascii="Arial" w:hAnsi="Arial" w:cs="Arial"/>
          <w:sz w:val="24"/>
          <w:szCs w:val="24"/>
        </w:rPr>
        <w:t xml:space="preserve">Fulham </w:t>
      </w:r>
      <w:r w:rsidR="00361328" w:rsidRPr="00D00EB9">
        <w:rPr>
          <w:rFonts w:ascii="Arial" w:hAnsi="Arial" w:cs="Arial"/>
          <w:sz w:val="24"/>
          <w:szCs w:val="24"/>
        </w:rPr>
        <w:t>I</w:t>
      </w:r>
      <w:r w:rsidR="00297BE4" w:rsidRPr="00D00EB9">
        <w:rPr>
          <w:rFonts w:ascii="Arial" w:hAnsi="Arial" w:cs="Arial"/>
          <w:sz w:val="24"/>
          <w:szCs w:val="24"/>
        </w:rPr>
        <w:t>nfirmary. A</w:t>
      </w:r>
      <w:r w:rsidR="002F7E1D" w:rsidRPr="00D00EB9">
        <w:rPr>
          <w:rFonts w:ascii="Arial" w:hAnsi="Arial" w:cs="Arial"/>
          <w:sz w:val="24"/>
          <w:szCs w:val="24"/>
        </w:rPr>
        <w:t xml:space="preserve">lthough no further details are given in her prison record, prisoners </w:t>
      </w:r>
      <w:r w:rsidR="000E1218" w:rsidRPr="00D00EB9">
        <w:rPr>
          <w:rFonts w:ascii="Arial" w:hAnsi="Arial" w:cs="Arial"/>
          <w:sz w:val="24"/>
          <w:szCs w:val="24"/>
        </w:rPr>
        <w:t>were rarely</w:t>
      </w:r>
      <w:r w:rsidR="002F7E1D" w:rsidRPr="00D00EB9">
        <w:rPr>
          <w:rFonts w:ascii="Arial" w:hAnsi="Arial" w:cs="Arial"/>
          <w:sz w:val="24"/>
          <w:szCs w:val="24"/>
        </w:rPr>
        <w:t xml:space="preserve"> hospitalised outside of their own prisons</w:t>
      </w:r>
      <w:r w:rsidR="000E1218" w:rsidRPr="00D00EB9">
        <w:rPr>
          <w:rFonts w:ascii="Arial" w:hAnsi="Arial" w:cs="Arial"/>
          <w:sz w:val="24"/>
          <w:szCs w:val="24"/>
        </w:rPr>
        <w:t xml:space="preserve"> unless the condition was chronic or serious (for sick female convicts, Woking </w:t>
      </w:r>
      <w:r w:rsidR="00361328" w:rsidRPr="00D00EB9">
        <w:rPr>
          <w:rFonts w:ascii="Arial" w:hAnsi="Arial" w:cs="Arial"/>
          <w:sz w:val="24"/>
          <w:szCs w:val="24"/>
        </w:rPr>
        <w:t>P</w:t>
      </w:r>
      <w:r w:rsidR="000E1218" w:rsidRPr="00D00EB9">
        <w:rPr>
          <w:rFonts w:ascii="Arial" w:hAnsi="Arial" w:cs="Arial"/>
          <w:sz w:val="24"/>
          <w:szCs w:val="24"/>
        </w:rPr>
        <w:t>rison was usually the place they were sent)</w:t>
      </w:r>
      <w:r w:rsidR="002F7E1D" w:rsidRPr="00D00EB9">
        <w:rPr>
          <w:rFonts w:ascii="Arial" w:hAnsi="Arial" w:cs="Arial"/>
          <w:sz w:val="24"/>
          <w:szCs w:val="24"/>
        </w:rPr>
        <w:t xml:space="preserve">. </w:t>
      </w:r>
      <w:r w:rsidR="008F6C8D" w:rsidRPr="00D00EB9">
        <w:rPr>
          <w:rFonts w:ascii="Arial" w:hAnsi="Arial" w:cs="Arial"/>
          <w:sz w:val="24"/>
          <w:szCs w:val="24"/>
        </w:rPr>
        <w:t>She remained in Fulham Prison</w:t>
      </w:r>
      <w:r w:rsidR="000E1218" w:rsidRPr="00D00EB9">
        <w:rPr>
          <w:rFonts w:ascii="Arial" w:hAnsi="Arial" w:cs="Arial"/>
          <w:sz w:val="24"/>
          <w:szCs w:val="24"/>
        </w:rPr>
        <w:t xml:space="preserve">, which was a training prison where female prisoners were educated, and where they carried out work in the </w:t>
      </w:r>
      <w:r w:rsidR="000E1218" w:rsidRPr="00D00EB9">
        <w:rPr>
          <w:rFonts w:ascii="Arial" w:hAnsi="Arial" w:cs="Arial"/>
          <w:sz w:val="24"/>
          <w:szCs w:val="24"/>
        </w:rPr>
        <w:lastRenderedPageBreak/>
        <w:t>laundries, kitchens, and sewing/knitting rooms, for</w:t>
      </w:r>
      <w:r w:rsidR="00772CE3">
        <w:rPr>
          <w:rFonts w:ascii="Arial" w:hAnsi="Arial" w:cs="Arial"/>
          <w:sz w:val="24"/>
          <w:szCs w:val="24"/>
        </w:rPr>
        <w:t xml:space="preserve"> some</w:t>
      </w:r>
      <w:r w:rsidR="000E1218" w:rsidRPr="00D00EB9">
        <w:rPr>
          <w:rFonts w:ascii="Arial" w:hAnsi="Arial" w:cs="Arial"/>
          <w:sz w:val="24"/>
          <w:szCs w:val="24"/>
        </w:rPr>
        <w:t xml:space="preserve"> three years.</w:t>
      </w:r>
    </w:p>
    <w:p w:rsidR="00456AEF" w:rsidRPr="00D00EB9" w:rsidRDefault="00456AEF" w:rsidP="0058654F">
      <w:pPr>
        <w:widowControl w:val="0"/>
        <w:autoSpaceDE w:val="0"/>
        <w:autoSpaceDN w:val="0"/>
        <w:adjustRightInd w:val="0"/>
        <w:spacing w:after="0" w:line="480" w:lineRule="auto"/>
        <w:contextualSpacing/>
        <w:jc w:val="both"/>
        <w:rPr>
          <w:rFonts w:ascii="Arial" w:hAnsi="Arial" w:cs="Arial"/>
          <w:sz w:val="24"/>
          <w:szCs w:val="24"/>
        </w:rPr>
      </w:pPr>
    </w:p>
    <w:p w:rsidR="00025D72" w:rsidRPr="00D00EB9" w:rsidRDefault="003E690D" w:rsidP="0058654F">
      <w:pPr>
        <w:spacing w:after="0" w:line="480" w:lineRule="auto"/>
        <w:contextualSpacing/>
        <w:jc w:val="both"/>
        <w:rPr>
          <w:rFonts w:ascii="Arial" w:hAnsi="Arial" w:cs="Arial"/>
          <w:sz w:val="24"/>
          <w:szCs w:val="24"/>
        </w:rPr>
      </w:pPr>
      <w:r w:rsidRPr="00D00EB9">
        <w:rPr>
          <w:rFonts w:ascii="Arial" w:hAnsi="Arial" w:cs="Arial"/>
          <w:sz w:val="24"/>
          <w:szCs w:val="24"/>
        </w:rPr>
        <w:t xml:space="preserve">Julia </w:t>
      </w:r>
      <w:r w:rsidR="00992601" w:rsidRPr="00D00EB9">
        <w:rPr>
          <w:rFonts w:ascii="Arial" w:hAnsi="Arial" w:cs="Arial"/>
          <w:sz w:val="24"/>
          <w:szCs w:val="24"/>
        </w:rPr>
        <w:t xml:space="preserve">seemed to have </w:t>
      </w:r>
      <w:r w:rsidRPr="00D00EB9">
        <w:rPr>
          <w:rFonts w:ascii="Arial" w:hAnsi="Arial" w:cs="Arial"/>
          <w:sz w:val="24"/>
          <w:szCs w:val="24"/>
        </w:rPr>
        <w:t xml:space="preserve">entered a turbulent phase of her confinement. In July 1876 she was punished for destroying prison property, using </w:t>
      </w:r>
      <w:r w:rsidR="00025D72" w:rsidRPr="00D00EB9">
        <w:rPr>
          <w:rFonts w:ascii="Arial" w:hAnsi="Arial" w:cs="Arial"/>
          <w:sz w:val="24"/>
          <w:szCs w:val="24"/>
        </w:rPr>
        <w:t>threatening language to</w:t>
      </w:r>
      <w:r w:rsidRPr="00D00EB9">
        <w:rPr>
          <w:rFonts w:ascii="Arial" w:hAnsi="Arial" w:cs="Arial"/>
          <w:sz w:val="24"/>
          <w:szCs w:val="24"/>
        </w:rPr>
        <w:t>wards</w:t>
      </w:r>
      <w:r w:rsidR="00025D72" w:rsidRPr="00D00EB9">
        <w:rPr>
          <w:rFonts w:ascii="Arial" w:hAnsi="Arial" w:cs="Arial"/>
          <w:sz w:val="24"/>
          <w:szCs w:val="24"/>
        </w:rPr>
        <w:t xml:space="preserve"> another prisoner</w:t>
      </w:r>
      <w:r w:rsidRPr="00D00EB9">
        <w:rPr>
          <w:rFonts w:ascii="Arial" w:hAnsi="Arial" w:cs="Arial"/>
          <w:sz w:val="24"/>
          <w:szCs w:val="24"/>
        </w:rPr>
        <w:t xml:space="preserve">, and </w:t>
      </w:r>
      <w:r w:rsidR="00025D72" w:rsidRPr="00D00EB9">
        <w:rPr>
          <w:rFonts w:ascii="Arial" w:hAnsi="Arial" w:cs="Arial"/>
          <w:sz w:val="24"/>
          <w:szCs w:val="24"/>
        </w:rPr>
        <w:t>violently striking another prisoner on the head and face with her shoe and dragging her along the ward by her hair</w:t>
      </w:r>
      <w:r w:rsidRPr="00D00EB9">
        <w:rPr>
          <w:rFonts w:ascii="Arial" w:hAnsi="Arial" w:cs="Arial"/>
          <w:sz w:val="24"/>
          <w:szCs w:val="24"/>
        </w:rPr>
        <w:t>, apparently without provocation.</w:t>
      </w:r>
      <w:r w:rsidR="00670862">
        <w:rPr>
          <w:rStyle w:val="EndnoteReference"/>
          <w:rFonts w:ascii="Arial" w:hAnsi="Arial" w:cs="Arial"/>
          <w:sz w:val="24"/>
          <w:szCs w:val="24"/>
        </w:rPr>
        <w:endnoteReference w:id="21"/>
      </w:r>
      <w:r w:rsidRPr="00D00EB9">
        <w:rPr>
          <w:rFonts w:ascii="Arial" w:hAnsi="Arial" w:cs="Arial"/>
          <w:sz w:val="24"/>
          <w:szCs w:val="24"/>
        </w:rPr>
        <w:t xml:space="preserve"> She then received punishment for resisting prison warders, </w:t>
      </w:r>
      <w:r w:rsidR="00772CE3">
        <w:rPr>
          <w:rFonts w:ascii="Arial" w:hAnsi="Arial" w:cs="Arial"/>
          <w:sz w:val="24"/>
          <w:szCs w:val="24"/>
        </w:rPr>
        <w:t xml:space="preserve">and for </w:t>
      </w:r>
      <w:r w:rsidRPr="00D00EB9">
        <w:rPr>
          <w:rFonts w:ascii="Arial" w:hAnsi="Arial" w:cs="Arial"/>
          <w:sz w:val="24"/>
          <w:szCs w:val="24"/>
        </w:rPr>
        <w:t>tearing out pages</w:t>
      </w:r>
      <w:r w:rsidR="00025D72" w:rsidRPr="00D00EB9">
        <w:rPr>
          <w:rFonts w:ascii="Arial" w:hAnsi="Arial" w:cs="Arial"/>
          <w:sz w:val="24"/>
          <w:szCs w:val="24"/>
        </w:rPr>
        <w:t xml:space="preserve"> from her spelling </w:t>
      </w:r>
      <w:r w:rsidRPr="00D00EB9">
        <w:rPr>
          <w:rFonts w:ascii="Arial" w:hAnsi="Arial" w:cs="Arial"/>
          <w:sz w:val="24"/>
          <w:szCs w:val="24"/>
        </w:rPr>
        <w:t>and library books.</w:t>
      </w:r>
      <w:r w:rsidR="00670862">
        <w:rPr>
          <w:rStyle w:val="EndnoteReference"/>
          <w:rFonts w:ascii="Arial" w:hAnsi="Arial" w:cs="Arial"/>
          <w:sz w:val="24"/>
          <w:szCs w:val="24"/>
        </w:rPr>
        <w:endnoteReference w:id="22"/>
      </w:r>
      <w:r w:rsidRPr="00D00EB9">
        <w:rPr>
          <w:rFonts w:ascii="Arial" w:hAnsi="Arial" w:cs="Arial"/>
          <w:sz w:val="24"/>
          <w:szCs w:val="24"/>
        </w:rPr>
        <w:t xml:space="preserve"> She assaulted two other prisoners in October (including her previous victim, with who</w:t>
      </w:r>
      <w:r w:rsidR="00347A06" w:rsidRPr="00D00EB9">
        <w:rPr>
          <w:rFonts w:ascii="Arial" w:hAnsi="Arial" w:cs="Arial"/>
          <w:sz w:val="24"/>
          <w:szCs w:val="24"/>
        </w:rPr>
        <w:t>m</w:t>
      </w:r>
      <w:r w:rsidRPr="00D00EB9">
        <w:rPr>
          <w:rFonts w:ascii="Arial" w:hAnsi="Arial" w:cs="Arial"/>
          <w:sz w:val="24"/>
          <w:szCs w:val="24"/>
        </w:rPr>
        <w:t xml:space="preserve"> she seemed to be developing a feud).</w:t>
      </w:r>
      <w:r w:rsidR="00670862">
        <w:rPr>
          <w:rStyle w:val="EndnoteReference"/>
          <w:rFonts w:ascii="Arial" w:hAnsi="Arial" w:cs="Arial"/>
          <w:sz w:val="24"/>
          <w:szCs w:val="24"/>
        </w:rPr>
        <w:endnoteReference w:id="23"/>
      </w:r>
      <w:r w:rsidRPr="00D00EB9">
        <w:rPr>
          <w:rFonts w:ascii="Arial" w:hAnsi="Arial" w:cs="Arial"/>
          <w:sz w:val="24"/>
          <w:szCs w:val="24"/>
        </w:rPr>
        <w:t xml:space="preserve"> </w:t>
      </w:r>
      <w:r w:rsidR="00772CE3">
        <w:rPr>
          <w:rFonts w:ascii="Arial" w:hAnsi="Arial" w:cs="Arial"/>
          <w:sz w:val="24"/>
          <w:szCs w:val="24"/>
        </w:rPr>
        <w:t>Then, o</w:t>
      </w:r>
      <w:r w:rsidR="004D6043" w:rsidRPr="00D00EB9">
        <w:rPr>
          <w:rFonts w:ascii="Arial" w:hAnsi="Arial" w:cs="Arial"/>
          <w:sz w:val="24"/>
          <w:szCs w:val="24"/>
        </w:rPr>
        <w:t>n Christmas Eve</w:t>
      </w:r>
      <w:r w:rsidR="00772CE3">
        <w:rPr>
          <w:rFonts w:ascii="Arial" w:hAnsi="Arial" w:cs="Arial"/>
          <w:sz w:val="24"/>
          <w:szCs w:val="24"/>
        </w:rPr>
        <w:t>,</w:t>
      </w:r>
      <w:r w:rsidR="004D6043" w:rsidRPr="00D00EB9">
        <w:rPr>
          <w:rFonts w:ascii="Arial" w:hAnsi="Arial" w:cs="Arial"/>
          <w:sz w:val="24"/>
          <w:szCs w:val="24"/>
        </w:rPr>
        <w:t xml:space="preserve"> she assaulted prisoner</w:t>
      </w:r>
      <w:r w:rsidR="00025D72" w:rsidRPr="00D00EB9">
        <w:rPr>
          <w:rFonts w:ascii="Arial" w:hAnsi="Arial" w:cs="Arial"/>
          <w:sz w:val="24"/>
          <w:szCs w:val="24"/>
        </w:rPr>
        <w:t xml:space="preserve"> Ellen Smith in </w:t>
      </w:r>
      <w:r w:rsidR="004D6043" w:rsidRPr="00D00EB9">
        <w:rPr>
          <w:rFonts w:ascii="Arial" w:hAnsi="Arial" w:cs="Arial"/>
          <w:sz w:val="24"/>
          <w:szCs w:val="24"/>
        </w:rPr>
        <w:t xml:space="preserve">the </w:t>
      </w:r>
      <w:r w:rsidR="00025D72" w:rsidRPr="00D00EB9">
        <w:rPr>
          <w:rFonts w:ascii="Arial" w:hAnsi="Arial" w:cs="Arial"/>
          <w:sz w:val="24"/>
          <w:szCs w:val="24"/>
        </w:rPr>
        <w:t xml:space="preserve">exercise yard, </w:t>
      </w:r>
      <w:r w:rsidR="004D6043" w:rsidRPr="00D00EB9">
        <w:rPr>
          <w:rFonts w:ascii="Arial" w:hAnsi="Arial" w:cs="Arial"/>
          <w:sz w:val="24"/>
          <w:szCs w:val="24"/>
        </w:rPr>
        <w:t>and was locked in her cell for the whole of</w:t>
      </w:r>
      <w:r w:rsidR="001F0589" w:rsidRPr="00D00EB9">
        <w:rPr>
          <w:rFonts w:ascii="Arial" w:hAnsi="Arial" w:cs="Arial"/>
          <w:sz w:val="24"/>
          <w:szCs w:val="24"/>
        </w:rPr>
        <w:t xml:space="preserve"> </w:t>
      </w:r>
      <w:r w:rsidR="00347A06" w:rsidRPr="00D00EB9">
        <w:rPr>
          <w:rFonts w:ascii="Arial" w:hAnsi="Arial" w:cs="Arial"/>
          <w:sz w:val="24"/>
          <w:szCs w:val="24"/>
        </w:rPr>
        <w:t>Christmas Day as a punishment.</w:t>
      </w:r>
      <w:r w:rsidR="00670862">
        <w:rPr>
          <w:rStyle w:val="EndnoteReference"/>
          <w:rFonts w:ascii="Arial" w:hAnsi="Arial" w:cs="Arial"/>
          <w:sz w:val="24"/>
          <w:szCs w:val="24"/>
        </w:rPr>
        <w:endnoteReference w:id="24"/>
      </w:r>
    </w:p>
    <w:p w:rsidR="00456AEF" w:rsidRPr="00D00EB9" w:rsidRDefault="00456AEF" w:rsidP="0058654F">
      <w:pPr>
        <w:spacing w:after="0" w:line="480" w:lineRule="auto"/>
        <w:contextualSpacing/>
        <w:jc w:val="both"/>
        <w:rPr>
          <w:rFonts w:ascii="Arial" w:hAnsi="Arial" w:cs="Arial"/>
          <w:sz w:val="24"/>
          <w:szCs w:val="24"/>
        </w:rPr>
      </w:pPr>
    </w:p>
    <w:p w:rsidR="00505183" w:rsidRPr="00D00EB9" w:rsidRDefault="00070140" w:rsidP="0058654F">
      <w:pPr>
        <w:tabs>
          <w:tab w:val="left" w:pos="2854"/>
        </w:tabs>
        <w:spacing w:after="0" w:line="480" w:lineRule="auto"/>
        <w:contextualSpacing/>
        <w:jc w:val="both"/>
        <w:rPr>
          <w:rFonts w:ascii="Arial" w:hAnsi="Arial" w:cs="Arial"/>
          <w:sz w:val="24"/>
          <w:szCs w:val="24"/>
        </w:rPr>
      </w:pPr>
      <w:r w:rsidRPr="00D00EB9">
        <w:rPr>
          <w:rFonts w:ascii="Arial" w:hAnsi="Arial" w:cs="Arial"/>
          <w:sz w:val="24"/>
          <w:szCs w:val="24"/>
        </w:rPr>
        <w:t>Julia</w:t>
      </w:r>
      <w:r w:rsidR="00014D97" w:rsidRPr="00D00EB9">
        <w:rPr>
          <w:rFonts w:ascii="Arial" w:hAnsi="Arial" w:cs="Arial"/>
          <w:sz w:val="24"/>
          <w:szCs w:val="24"/>
        </w:rPr>
        <w:t>’</w:t>
      </w:r>
      <w:r w:rsidRPr="00D00EB9">
        <w:rPr>
          <w:rFonts w:ascii="Arial" w:hAnsi="Arial" w:cs="Arial"/>
          <w:sz w:val="24"/>
          <w:szCs w:val="24"/>
        </w:rPr>
        <w:t>s</w:t>
      </w:r>
      <w:r w:rsidR="00A93EF9" w:rsidRPr="00D00EB9">
        <w:rPr>
          <w:rFonts w:ascii="Arial" w:hAnsi="Arial" w:cs="Arial"/>
          <w:sz w:val="24"/>
          <w:szCs w:val="24"/>
        </w:rPr>
        <w:t xml:space="preserve"> physical description in the prison records reflect</w:t>
      </w:r>
      <w:r w:rsidRPr="00D00EB9">
        <w:rPr>
          <w:rFonts w:ascii="Arial" w:hAnsi="Arial" w:cs="Arial"/>
          <w:sz w:val="24"/>
          <w:szCs w:val="24"/>
        </w:rPr>
        <w:t>s</w:t>
      </w:r>
      <w:r w:rsidR="00A93EF9" w:rsidRPr="00D00EB9">
        <w:rPr>
          <w:rFonts w:ascii="Arial" w:hAnsi="Arial" w:cs="Arial"/>
          <w:sz w:val="24"/>
          <w:szCs w:val="24"/>
        </w:rPr>
        <w:t xml:space="preserve"> the toll that her fi</w:t>
      </w:r>
      <w:r w:rsidRPr="00D00EB9">
        <w:rPr>
          <w:rFonts w:ascii="Arial" w:hAnsi="Arial" w:cs="Arial"/>
          <w:sz w:val="24"/>
          <w:szCs w:val="24"/>
        </w:rPr>
        <w:t>ghts, and the prison regime, were</w:t>
      </w:r>
      <w:r w:rsidR="00A93EF9" w:rsidRPr="00D00EB9">
        <w:rPr>
          <w:rFonts w:ascii="Arial" w:hAnsi="Arial" w:cs="Arial"/>
          <w:sz w:val="24"/>
          <w:szCs w:val="24"/>
        </w:rPr>
        <w:t xml:space="preserve"> </w:t>
      </w:r>
      <w:r w:rsidR="00F26ED9" w:rsidRPr="00D00EB9">
        <w:rPr>
          <w:rFonts w:ascii="Arial" w:hAnsi="Arial" w:cs="Arial"/>
          <w:sz w:val="24"/>
          <w:szCs w:val="24"/>
        </w:rPr>
        <w:t xml:space="preserve">both </w:t>
      </w:r>
      <w:r w:rsidR="00A93EF9" w:rsidRPr="00D00EB9">
        <w:rPr>
          <w:rFonts w:ascii="Arial" w:hAnsi="Arial" w:cs="Arial"/>
          <w:sz w:val="24"/>
          <w:szCs w:val="24"/>
        </w:rPr>
        <w:t xml:space="preserve">taking. She </w:t>
      </w:r>
      <w:proofErr w:type="gramStart"/>
      <w:r w:rsidR="00A93EF9" w:rsidRPr="00D00EB9">
        <w:rPr>
          <w:rFonts w:ascii="Arial" w:hAnsi="Arial" w:cs="Arial"/>
          <w:sz w:val="24"/>
          <w:szCs w:val="24"/>
        </w:rPr>
        <w:t xml:space="preserve">was </w:t>
      </w:r>
      <w:r w:rsidR="00F26ED9" w:rsidRPr="00D00EB9">
        <w:rPr>
          <w:rFonts w:ascii="Arial" w:hAnsi="Arial" w:cs="Arial"/>
          <w:sz w:val="24"/>
          <w:szCs w:val="24"/>
        </w:rPr>
        <w:t>described as being</w:t>
      </w:r>
      <w:proofErr w:type="gramEnd"/>
      <w:r w:rsidR="00F26ED9" w:rsidRPr="00D00EB9">
        <w:rPr>
          <w:rFonts w:ascii="Arial" w:hAnsi="Arial" w:cs="Arial"/>
          <w:sz w:val="24"/>
          <w:szCs w:val="24"/>
        </w:rPr>
        <w:t xml:space="preserve"> </w:t>
      </w:r>
      <w:r w:rsidR="00A93EF9" w:rsidRPr="00D00EB9">
        <w:rPr>
          <w:rFonts w:ascii="Arial" w:hAnsi="Arial" w:cs="Arial"/>
          <w:sz w:val="24"/>
          <w:szCs w:val="24"/>
        </w:rPr>
        <w:t>4 feet 11 inches tall, with cut</w:t>
      </w:r>
      <w:r w:rsidR="005F5063" w:rsidRPr="00D00EB9">
        <w:rPr>
          <w:rFonts w:ascii="Arial" w:hAnsi="Arial" w:cs="Arial"/>
          <w:sz w:val="24"/>
          <w:szCs w:val="24"/>
        </w:rPr>
        <w:t>s and scars on her</w:t>
      </w:r>
      <w:r w:rsidR="00A93EF9" w:rsidRPr="00D00EB9">
        <w:rPr>
          <w:rFonts w:ascii="Arial" w:hAnsi="Arial" w:cs="Arial"/>
          <w:sz w:val="24"/>
          <w:szCs w:val="24"/>
        </w:rPr>
        <w:t xml:space="preserve"> eyebrow</w:t>
      </w:r>
      <w:r w:rsidR="005F5063" w:rsidRPr="00D00EB9">
        <w:rPr>
          <w:rFonts w:ascii="Arial" w:hAnsi="Arial" w:cs="Arial"/>
          <w:sz w:val="24"/>
          <w:szCs w:val="24"/>
        </w:rPr>
        <w:t>s,</w:t>
      </w:r>
      <w:r w:rsidR="00A93EF9" w:rsidRPr="00D00EB9">
        <w:rPr>
          <w:rFonts w:ascii="Arial" w:hAnsi="Arial" w:cs="Arial"/>
          <w:sz w:val="24"/>
          <w:szCs w:val="24"/>
        </w:rPr>
        <w:t xml:space="preserve"> forehead, cheek</w:t>
      </w:r>
      <w:r w:rsidR="005F5063" w:rsidRPr="00D00EB9">
        <w:rPr>
          <w:rFonts w:ascii="Arial" w:hAnsi="Arial" w:cs="Arial"/>
          <w:sz w:val="24"/>
          <w:szCs w:val="24"/>
        </w:rPr>
        <w:t>s, nose, and shoulders. She was</w:t>
      </w:r>
      <w:r w:rsidR="00A93EF9" w:rsidRPr="00D00EB9">
        <w:rPr>
          <w:rFonts w:ascii="Arial" w:hAnsi="Arial" w:cs="Arial"/>
          <w:sz w:val="24"/>
          <w:szCs w:val="24"/>
        </w:rPr>
        <w:t xml:space="preserve"> slightly marked with small pox, </w:t>
      </w:r>
      <w:r w:rsidR="005F5063" w:rsidRPr="00D00EB9">
        <w:rPr>
          <w:rFonts w:ascii="Arial" w:hAnsi="Arial" w:cs="Arial"/>
          <w:sz w:val="24"/>
          <w:szCs w:val="24"/>
        </w:rPr>
        <w:t xml:space="preserve">with </w:t>
      </w:r>
      <w:r w:rsidR="00A93EF9" w:rsidRPr="00D00EB9">
        <w:rPr>
          <w:rFonts w:ascii="Arial" w:hAnsi="Arial" w:cs="Arial"/>
          <w:sz w:val="24"/>
          <w:szCs w:val="24"/>
        </w:rPr>
        <w:t>extensive burn</w:t>
      </w:r>
      <w:r w:rsidR="005F5063" w:rsidRPr="00D00EB9">
        <w:rPr>
          <w:rFonts w:ascii="Arial" w:hAnsi="Arial" w:cs="Arial"/>
          <w:sz w:val="24"/>
          <w:szCs w:val="24"/>
        </w:rPr>
        <w:t xml:space="preserve">s on </w:t>
      </w:r>
      <w:r w:rsidR="00D62DF8" w:rsidRPr="00D00EB9">
        <w:rPr>
          <w:rFonts w:ascii="Arial" w:hAnsi="Arial" w:cs="Arial"/>
          <w:sz w:val="24"/>
          <w:szCs w:val="24"/>
        </w:rPr>
        <w:t xml:space="preserve">her </w:t>
      </w:r>
      <w:r w:rsidR="005F5063" w:rsidRPr="00D00EB9">
        <w:rPr>
          <w:rFonts w:ascii="Arial" w:hAnsi="Arial" w:cs="Arial"/>
          <w:sz w:val="24"/>
          <w:szCs w:val="24"/>
        </w:rPr>
        <w:t>back.</w:t>
      </w:r>
      <w:r w:rsidR="00670862">
        <w:rPr>
          <w:rStyle w:val="EndnoteReference"/>
          <w:rFonts w:ascii="Arial" w:hAnsi="Arial" w:cs="Arial"/>
          <w:sz w:val="24"/>
          <w:szCs w:val="24"/>
        </w:rPr>
        <w:endnoteReference w:id="25"/>
      </w:r>
      <w:r w:rsidR="005F5063" w:rsidRPr="00D00EB9">
        <w:rPr>
          <w:rFonts w:ascii="Arial" w:hAnsi="Arial" w:cs="Arial"/>
          <w:sz w:val="24"/>
          <w:szCs w:val="24"/>
        </w:rPr>
        <w:t xml:space="preserve"> </w:t>
      </w:r>
      <w:r w:rsidRPr="00D00EB9">
        <w:rPr>
          <w:rFonts w:ascii="Arial" w:hAnsi="Arial" w:cs="Arial"/>
          <w:sz w:val="24"/>
          <w:szCs w:val="24"/>
        </w:rPr>
        <w:t xml:space="preserve">She probably gained or gave more physical </w:t>
      </w:r>
      <w:r w:rsidR="00544141" w:rsidRPr="00D00EB9">
        <w:rPr>
          <w:rFonts w:ascii="Arial" w:hAnsi="Arial" w:cs="Arial"/>
          <w:sz w:val="24"/>
          <w:szCs w:val="24"/>
        </w:rPr>
        <w:t>scar</w:t>
      </w:r>
      <w:r w:rsidRPr="00D00EB9">
        <w:rPr>
          <w:rFonts w:ascii="Arial" w:hAnsi="Arial" w:cs="Arial"/>
          <w:sz w:val="24"/>
          <w:szCs w:val="24"/>
        </w:rPr>
        <w:t>s during her next fights with prisoners (some of whom she had tan</w:t>
      </w:r>
      <w:r w:rsidR="00FE6448" w:rsidRPr="00D00EB9">
        <w:rPr>
          <w:rFonts w:ascii="Arial" w:hAnsi="Arial" w:cs="Arial"/>
          <w:sz w:val="24"/>
          <w:szCs w:val="24"/>
        </w:rPr>
        <w:t>gled with in the past)</w:t>
      </w:r>
      <w:r w:rsidR="00F26ED9" w:rsidRPr="00D00EB9">
        <w:rPr>
          <w:rFonts w:ascii="Arial" w:hAnsi="Arial" w:cs="Arial"/>
          <w:sz w:val="24"/>
          <w:szCs w:val="24"/>
        </w:rPr>
        <w:t>, but s</w:t>
      </w:r>
      <w:r w:rsidR="00FE6448" w:rsidRPr="00D00EB9">
        <w:rPr>
          <w:rFonts w:ascii="Arial" w:hAnsi="Arial" w:cs="Arial"/>
          <w:sz w:val="24"/>
          <w:szCs w:val="24"/>
        </w:rPr>
        <w:t>he was provided with an opportunity to leave past feuds and conflicts behind when she was transferred back to Millbank.</w:t>
      </w:r>
    </w:p>
    <w:p w:rsidR="00456AEF" w:rsidRPr="00D00EB9" w:rsidRDefault="00456AEF" w:rsidP="0058654F">
      <w:pPr>
        <w:tabs>
          <w:tab w:val="left" w:pos="2854"/>
        </w:tabs>
        <w:spacing w:after="0" w:line="480" w:lineRule="auto"/>
        <w:contextualSpacing/>
        <w:jc w:val="both"/>
        <w:rPr>
          <w:rFonts w:ascii="Arial" w:hAnsi="Arial" w:cs="Arial"/>
          <w:sz w:val="24"/>
          <w:szCs w:val="24"/>
        </w:rPr>
      </w:pPr>
    </w:p>
    <w:p w:rsidR="00025D72" w:rsidRPr="00D00EB9" w:rsidRDefault="00070140" w:rsidP="0058654F">
      <w:pPr>
        <w:tabs>
          <w:tab w:val="left" w:pos="2854"/>
        </w:tabs>
        <w:spacing w:after="0" w:line="480" w:lineRule="auto"/>
        <w:contextualSpacing/>
        <w:jc w:val="both"/>
        <w:rPr>
          <w:rFonts w:ascii="Arial" w:hAnsi="Arial" w:cs="Arial"/>
          <w:sz w:val="24"/>
          <w:szCs w:val="24"/>
        </w:rPr>
      </w:pPr>
      <w:r w:rsidRPr="00D00EB9">
        <w:rPr>
          <w:rFonts w:ascii="Arial" w:hAnsi="Arial" w:cs="Arial"/>
          <w:sz w:val="24"/>
          <w:szCs w:val="24"/>
        </w:rPr>
        <w:t xml:space="preserve">During her sentence she had </w:t>
      </w:r>
      <w:r w:rsidR="00FE6448" w:rsidRPr="00D00EB9">
        <w:rPr>
          <w:rFonts w:ascii="Arial" w:hAnsi="Arial" w:cs="Arial"/>
          <w:sz w:val="24"/>
          <w:szCs w:val="24"/>
        </w:rPr>
        <w:t xml:space="preserve">often </w:t>
      </w:r>
      <w:r w:rsidRPr="00D00EB9">
        <w:rPr>
          <w:rFonts w:ascii="Arial" w:hAnsi="Arial" w:cs="Arial"/>
          <w:sz w:val="24"/>
          <w:szCs w:val="24"/>
        </w:rPr>
        <w:t xml:space="preserve">asked for permission to write additional letters to her children. Prisoners </w:t>
      </w:r>
      <w:proofErr w:type="gramStart"/>
      <w:r w:rsidRPr="00D00EB9">
        <w:rPr>
          <w:rFonts w:ascii="Arial" w:hAnsi="Arial" w:cs="Arial"/>
          <w:sz w:val="24"/>
          <w:szCs w:val="24"/>
        </w:rPr>
        <w:t>were allowed to</w:t>
      </w:r>
      <w:proofErr w:type="gramEnd"/>
      <w:r w:rsidRPr="00D00EB9">
        <w:rPr>
          <w:rFonts w:ascii="Arial" w:hAnsi="Arial" w:cs="Arial"/>
          <w:sz w:val="24"/>
          <w:szCs w:val="24"/>
        </w:rPr>
        <w:t xml:space="preserve"> write every six months, but Julia asked repeatedly to send out more letters, and in September 1878</w:t>
      </w:r>
      <w:r w:rsidR="00772CE3">
        <w:rPr>
          <w:rFonts w:ascii="Arial" w:hAnsi="Arial" w:cs="Arial"/>
          <w:sz w:val="24"/>
          <w:szCs w:val="24"/>
        </w:rPr>
        <w:t>,</w:t>
      </w:r>
      <w:r w:rsidRPr="00D00EB9">
        <w:rPr>
          <w:rFonts w:ascii="Arial" w:hAnsi="Arial" w:cs="Arial"/>
          <w:sz w:val="24"/>
          <w:szCs w:val="24"/>
        </w:rPr>
        <w:t xml:space="preserve"> she requested a portrait </w:t>
      </w:r>
      <w:r w:rsidRPr="00D00EB9">
        <w:rPr>
          <w:rFonts w:ascii="Arial" w:hAnsi="Arial" w:cs="Arial"/>
          <w:sz w:val="24"/>
          <w:szCs w:val="24"/>
        </w:rPr>
        <w:lastRenderedPageBreak/>
        <w:t>of her youngest</w:t>
      </w:r>
      <w:r w:rsidR="00D62DF8" w:rsidRPr="00D00EB9">
        <w:rPr>
          <w:rFonts w:ascii="Arial" w:hAnsi="Arial" w:cs="Arial"/>
          <w:sz w:val="24"/>
          <w:szCs w:val="24"/>
        </w:rPr>
        <w:t xml:space="preserve"> child</w:t>
      </w:r>
      <w:r w:rsidR="00772CE3">
        <w:rPr>
          <w:rFonts w:ascii="Arial" w:hAnsi="Arial" w:cs="Arial"/>
          <w:sz w:val="24"/>
          <w:szCs w:val="24"/>
        </w:rPr>
        <w:t>. However,</w:t>
      </w:r>
      <w:r w:rsidRPr="00D00EB9">
        <w:rPr>
          <w:rFonts w:ascii="Arial" w:hAnsi="Arial" w:cs="Arial"/>
          <w:sz w:val="24"/>
          <w:szCs w:val="24"/>
        </w:rPr>
        <w:t xml:space="preserve"> </w:t>
      </w:r>
      <w:proofErr w:type="gramStart"/>
      <w:r w:rsidRPr="00D00EB9">
        <w:rPr>
          <w:rFonts w:ascii="Arial" w:hAnsi="Arial" w:cs="Arial"/>
          <w:sz w:val="24"/>
          <w:szCs w:val="24"/>
        </w:rPr>
        <w:t>all of</w:t>
      </w:r>
      <w:proofErr w:type="gramEnd"/>
      <w:r w:rsidRPr="00D00EB9">
        <w:rPr>
          <w:rFonts w:ascii="Arial" w:hAnsi="Arial" w:cs="Arial"/>
          <w:sz w:val="24"/>
          <w:szCs w:val="24"/>
        </w:rPr>
        <w:t xml:space="preserve"> her requests were refused. After every refusal</w:t>
      </w:r>
      <w:r w:rsidR="00772CE3">
        <w:rPr>
          <w:rFonts w:ascii="Arial" w:hAnsi="Arial" w:cs="Arial"/>
          <w:sz w:val="24"/>
          <w:szCs w:val="24"/>
        </w:rPr>
        <w:t>,</w:t>
      </w:r>
      <w:r w:rsidRPr="00D00EB9">
        <w:rPr>
          <w:rFonts w:ascii="Arial" w:hAnsi="Arial" w:cs="Arial"/>
          <w:sz w:val="24"/>
          <w:szCs w:val="24"/>
        </w:rPr>
        <w:t xml:space="preserve"> </w:t>
      </w:r>
      <w:r w:rsidR="00772CE3">
        <w:rPr>
          <w:rFonts w:ascii="Arial" w:hAnsi="Arial" w:cs="Arial"/>
          <w:sz w:val="24"/>
          <w:szCs w:val="24"/>
        </w:rPr>
        <w:t>Julia engaged in</w:t>
      </w:r>
      <w:r w:rsidRPr="00D00EB9">
        <w:rPr>
          <w:rFonts w:ascii="Arial" w:hAnsi="Arial" w:cs="Arial"/>
          <w:sz w:val="24"/>
          <w:szCs w:val="24"/>
        </w:rPr>
        <w:t xml:space="preserve"> acts of rebellion and disturbance, but, in truth, she was committing acts of disobedience or violence </w:t>
      </w:r>
      <w:proofErr w:type="gramStart"/>
      <w:r w:rsidRPr="00D00EB9">
        <w:rPr>
          <w:rFonts w:ascii="Arial" w:hAnsi="Arial" w:cs="Arial"/>
          <w:sz w:val="24"/>
          <w:szCs w:val="24"/>
        </w:rPr>
        <w:t>fairly regularly</w:t>
      </w:r>
      <w:proofErr w:type="gramEnd"/>
      <w:r w:rsidRPr="00D00EB9">
        <w:rPr>
          <w:rFonts w:ascii="Arial" w:hAnsi="Arial" w:cs="Arial"/>
          <w:sz w:val="24"/>
          <w:szCs w:val="24"/>
        </w:rPr>
        <w:t xml:space="preserve"> by this stage. In October</w:t>
      </w:r>
      <w:r w:rsidR="00772CE3">
        <w:rPr>
          <w:rFonts w:ascii="Arial" w:hAnsi="Arial" w:cs="Arial"/>
          <w:sz w:val="24"/>
          <w:szCs w:val="24"/>
        </w:rPr>
        <w:t xml:space="preserve"> for instance,</w:t>
      </w:r>
      <w:r w:rsidRPr="00D00EB9">
        <w:rPr>
          <w:rFonts w:ascii="Arial" w:hAnsi="Arial" w:cs="Arial"/>
          <w:sz w:val="24"/>
          <w:szCs w:val="24"/>
        </w:rPr>
        <w:t xml:space="preserve"> she was punished </w:t>
      </w:r>
      <w:r w:rsidR="00025D72" w:rsidRPr="00D00EB9">
        <w:rPr>
          <w:rFonts w:ascii="Arial" w:hAnsi="Arial" w:cs="Arial"/>
          <w:sz w:val="24"/>
          <w:szCs w:val="24"/>
        </w:rPr>
        <w:t xml:space="preserve">for leaving her place in </w:t>
      </w:r>
      <w:r w:rsidR="00772CE3">
        <w:rPr>
          <w:rFonts w:ascii="Arial" w:hAnsi="Arial" w:cs="Arial"/>
          <w:sz w:val="24"/>
          <w:szCs w:val="24"/>
        </w:rPr>
        <w:t xml:space="preserve">the </w:t>
      </w:r>
      <w:r w:rsidR="00025D72" w:rsidRPr="00D00EB9">
        <w:rPr>
          <w:rFonts w:ascii="Arial" w:hAnsi="Arial" w:cs="Arial"/>
          <w:sz w:val="24"/>
          <w:szCs w:val="24"/>
        </w:rPr>
        <w:t>chapel line, rushing at prisoner Mary Young and throwing her down, st</w:t>
      </w:r>
      <w:r w:rsidRPr="00D00EB9">
        <w:rPr>
          <w:rFonts w:ascii="Arial" w:hAnsi="Arial" w:cs="Arial"/>
          <w:sz w:val="24"/>
          <w:szCs w:val="24"/>
        </w:rPr>
        <w:t xml:space="preserve">riking her and pulling her hair, </w:t>
      </w:r>
      <w:r w:rsidR="004008E1" w:rsidRPr="00D00EB9">
        <w:rPr>
          <w:rFonts w:ascii="Arial" w:hAnsi="Arial" w:cs="Arial"/>
          <w:sz w:val="24"/>
          <w:szCs w:val="24"/>
        </w:rPr>
        <w:t>breaking the</w:t>
      </w:r>
      <w:r w:rsidR="00924618" w:rsidRPr="00D00EB9">
        <w:rPr>
          <w:rFonts w:ascii="Arial" w:hAnsi="Arial" w:cs="Arial"/>
          <w:sz w:val="24"/>
          <w:szCs w:val="24"/>
        </w:rPr>
        <w:t xml:space="preserve"> </w:t>
      </w:r>
      <w:r w:rsidR="00025D72" w:rsidRPr="00D00EB9">
        <w:rPr>
          <w:rFonts w:ascii="Arial" w:hAnsi="Arial" w:cs="Arial"/>
          <w:sz w:val="24"/>
          <w:szCs w:val="24"/>
        </w:rPr>
        <w:t>wi</w:t>
      </w:r>
      <w:r w:rsidRPr="00D00EB9">
        <w:rPr>
          <w:rFonts w:ascii="Arial" w:hAnsi="Arial" w:cs="Arial"/>
          <w:sz w:val="24"/>
          <w:szCs w:val="24"/>
        </w:rPr>
        <w:t xml:space="preserve">ndow in </w:t>
      </w:r>
      <w:r w:rsidR="004008E1" w:rsidRPr="00D00EB9">
        <w:rPr>
          <w:rFonts w:ascii="Arial" w:hAnsi="Arial" w:cs="Arial"/>
          <w:sz w:val="24"/>
          <w:szCs w:val="24"/>
        </w:rPr>
        <w:t xml:space="preserve">the </w:t>
      </w:r>
      <w:r w:rsidRPr="00D00EB9">
        <w:rPr>
          <w:rFonts w:ascii="Arial" w:hAnsi="Arial" w:cs="Arial"/>
          <w:sz w:val="24"/>
          <w:szCs w:val="24"/>
        </w:rPr>
        <w:t>penal cell, throwing</w:t>
      </w:r>
      <w:r w:rsidR="00025D72" w:rsidRPr="00D00EB9">
        <w:rPr>
          <w:rFonts w:ascii="Arial" w:hAnsi="Arial" w:cs="Arial"/>
          <w:sz w:val="24"/>
          <w:szCs w:val="24"/>
        </w:rPr>
        <w:t xml:space="preserve"> slops over the floor, shouting, screaming, using bad language, threateni</w:t>
      </w:r>
      <w:r w:rsidR="00553D8F" w:rsidRPr="00D00EB9">
        <w:rPr>
          <w:rFonts w:ascii="Arial" w:hAnsi="Arial" w:cs="Arial"/>
          <w:sz w:val="24"/>
          <w:szCs w:val="24"/>
        </w:rPr>
        <w:t xml:space="preserve">ng to take the life of Matron, </w:t>
      </w:r>
      <w:r w:rsidR="00025D72" w:rsidRPr="00D00EB9">
        <w:rPr>
          <w:rFonts w:ascii="Arial" w:hAnsi="Arial" w:cs="Arial"/>
          <w:sz w:val="24"/>
          <w:szCs w:val="24"/>
        </w:rPr>
        <w:t xml:space="preserve">and using threatening language to </w:t>
      </w:r>
      <w:r w:rsidRPr="00D00EB9">
        <w:rPr>
          <w:rFonts w:ascii="Arial" w:hAnsi="Arial" w:cs="Arial"/>
          <w:sz w:val="24"/>
          <w:szCs w:val="24"/>
        </w:rPr>
        <w:t>the Lady Superintendent. She then violently resisted</w:t>
      </w:r>
      <w:r w:rsidR="00025D72" w:rsidRPr="00D00EB9">
        <w:rPr>
          <w:rFonts w:ascii="Arial" w:hAnsi="Arial" w:cs="Arial"/>
          <w:sz w:val="24"/>
          <w:szCs w:val="24"/>
        </w:rPr>
        <w:t xml:space="preserve"> the male officer when being removed from the surgery to the penal ward, kicking</w:t>
      </w:r>
      <w:r w:rsidR="00CE0253">
        <w:rPr>
          <w:rFonts w:ascii="Arial" w:hAnsi="Arial" w:cs="Arial"/>
          <w:sz w:val="24"/>
          <w:szCs w:val="24"/>
        </w:rPr>
        <w:t xml:space="preserve"> him and other</w:t>
      </w:r>
      <w:r w:rsidR="00025D72" w:rsidRPr="00D00EB9">
        <w:rPr>
          <w:rFonts w:ascii="Arial" w:hAnsi="Arial" w:cs="Arial"/>
          <w:sz w:val="24"/>
          <w:szCs w:val="24"/>
        </w:rPr>
        <w:t xml:space="preserve"> </w:t>
      </w:r>
      <w:r w:rsidR="00553D8F" w:rsidRPr="00D00EB9">
        <w:rPr>
          <w:rFonts w:ascii="Arial" w:hAnsi="Arial" w:cs="Arial"/>
          <w:sz w:val="24"/>
          <w:szCs w:val="24"/>
        </w:rPr>
        <w:t>wardens</w:t>
      </w:r>
      <w:r w:rsidR="00025D72" w:rsidRPr="00D00EB9">
        <w:rPr>
          <w:rFonts w:ascii="Arial" w:hAnsi="Arial" w:cs="Arial"/>
          <w:sz w:val="24"/>
          <w:szCs w:val="24"/>
        </w:rPr>
        <w:t xml:space="preserve">, shouting, screaming, and using </w:t>
      </w:r>
      <w:r w:rsidR="00924618" w:rsidRPr="00D00EB9">
        <w:rPr>
          <w:rFonts w:ascii="Arial" w:hAnsi="Arial" w:cs="Arial"/>
          <w:sz w:val="24"/>
          <w:szCs w:val="24"/>
        </w:rPr>
        <w:t xml:space="preserve">more </w:t>
      </w:r>
      <w:r w:rsidR="009B5923" w:rsidRPr="00D00EB9">
        <w:rPr>
          <w:rFonts w:ascii="Arial" w:hAnsi="Arial" w:cs="Arial"/>
          <w:sz w:val="24"/>
          <w:szCs w:val="24"/>
        </w:rPr>
        <w:t>obscene language.</w:t>
      </w:r>
      <w:r w:rsidR="00670862">
        <w:rPr>
          <w:rStyle w:val="EndnoteReference"/>
          <w:rFonts w:ascii="Arial" w:hAnsi="Arial" w:cs="Arial"/>
          <w:sz w:val="24"/>
          <w:szCs w:val="24"/>
        </w:rPr>
        <w:endnoteReference w:id="26"/>
      </w:r>
      <w:r w:rsidR="009B5923" w:rsidRPr="00D00EB9">
        <w:rPr>
          <w:rFonts w:ascii="Arial" w:hAnsi="Arial" w:cs="Arial"/>
          <w:sz w:val="24"/>
          <w:szCs w:val="24"/>
        </w:rPr>
        <w:t xml:space="preserve"> She lost remission for all of these prison offences, and was also reduce</w:t>
      </w:r>
      <w:r w:rsidR="00924618" w:rsidRPr="00D00EB9">
        <w:rPr>
          <w:rFonts w:ascii="Arial" w:hAnsi="Arial" w:cs="Arial"/>
          <w:sz w:val="24"/>
          <w:szCs w:val="24"/>
        </w:rPr>
        <w:t>d to Penal Class again</w:t>
      </w:r>
      <w:r w:rsidR="009B5923" w:rsidRPr="00D00EB9">
        <w:rPr>
          <w:rFonts w:ascii="Arial" w:hAnsi="Arial" w:cs="Arial"/>
          <w:sz w:val="24"/>
          <w:szCs w:val="24"/>
        </w:rPr>
        <w:t>.</w:t>
      </w:r>
      <w:r w:rsidR="00670862">
        <w:rPr>
          <w:rStyle w:val="EndnoteReference"/>
          <w:rFonts w:ascii="Arial" w:hAnsi="Arial" w:cs="Arial"/>
          <w:sz w:val="24"/>
          <w:szCs w:val="24"/>
        </w:rPr>
        <w:endnoteReference w:id="27"/>
      </w:r>
      <w:r w:rsidR="009B5923" w:rsidRPr="00D00EB9">
        <w:rPr>
          <w:rFonts w:ascii="Arial" w:hAnsi="Arial" w:cs="Arial"/>
          <w:sz w:val="24"/>
          <w:szCs w:val="24"/>
        </w:rPr>
        <w:t xml:space="preserve"> The same month she was punished </w:t>
      </w:r>
      <w:r w:rsidR="00025D72" w:rsidRPr="00D00EB9">
        <w:rPr>
          <w:rFonts w:ascii="Arial" w:hAnsi="Arial" w:cs="Arial"/>
          <w:sz w:val="24"/>
          <w:szCs w:val="24"/>
        </w:rPr>
        <w:t xml:space="preserve">for destroying her clothing and </w:t>
      </w:r>
      <w:r w:rsidR="00924618" w:rsidRPr="00D00EB9">
        <w:rPr>
          <w:rFonts w:ascii="Arial" w:hAnsi="Arial" w:cs="Arial"/>
          <w:sz w:val="24"/>
          <w:szCs w:val="24"/>
        </w:rPr>
        <w:t xml:space="preserve">her </w:t>
      </w:r>
      <w:r w:rsidR="00025D72" w:rsidRPr="00D00EB9">
        <w:rPr>
          <w:rFonts w:ascii="Arial" w:hAnsi="Arial" w:cs="Arial"/>
          <w:sz w:val="24"/>
          <w:szCs w:val="24"/>
        </w:rPr>
        <w:t xml:space="preserve">cell pan, </w:t>
      </w:r>
      <w:r w:rsidR="009B5923" w:rsidRPr="00D00EB9">
        <w:rPr>
          <w:rFonts w:ascii="Arial" w:hAnsi="Arial" w:cs="Arial"/>
          <w:sz w:val="24"/>
          <w:szCs w:val="24"/>
        </w:rPr>
        <w:t>by being forced to wear a heavy and uncomfortable</w:t>
      </w:r>
      <w:r w:rsidR="00025D72" w:rsidRPr="00D00EB9">
        <w:rPr>
          <w:rFonts w:ascii="Arial" w:hAnsi="Arial" w:cs="Arial"/>
          <w:sz w:val="24"/>
          <w:szCs w:val="24"/>
        </w:rPr>
        <w:t xml:space="preserve"> canvas dress</w:t>
      </w:r>
      <w:r w:rsidR="009B5923" w:rsidRPr="00D00EB9">
        <w:rPr>
          <w:rFonts w:ascii="Arial" w:hAnsi="Arial" w:cs="Arial"/>
          <w:sz w:val="24"/>
          <w:szCs w:val="24"/>
        </w:rPr>
        <w:t>, and she was</w:t>
      </w:r>
      <w:r w:rsidR="00025D72" w:rsidRPr="00D00EB9">
        <w:rPr>
          <w:rFonts w:ascii="Arial" w:hAnsi="Arial" w:cs="Arial"/>
          <w:sz w:val="24"/>
          <w:szCs w:val="24"/>
        </w:rPr>
        <w:t xml:space="preserve"> </w:t>
      </w:r>
      <w:r w:rsidR="009B5923" w:rsidRPr="00D00EB9">
        <w:rPr>
          <w:rFonts w:ascii="Arial" w:hAnsi="Arial" w:cs="Arial"/>
          <w:sz w:val="24"/>
          <w:szCs w:val="24"/>
        </w:rPr>
        <w:t xml:space="preserve">physically </w:t>
      </w:r>
      <w:r w:rsidR="00025D72" w:rsidRPr="00D00EB9">
        <w:rPr>
          <w:rFonts w:ascii="Arial" w:hAnsi="Arial" w:cs="Arial"/>
          <w:sz w:val="24"/>
          <w:szCs w:val="24"/>
        </w:rPr>
        <w:t xml:space="preserve">restrained </w:t>
      </w:r>
      <w:r w:rsidR="00924618" w:rsidRPr="00D00EB9">
        <w:rPr>
          <w:rFonts w:ascii="Arial" w:hAnsi="Arial" w:cs="Arial"/>
          <w:sz w:val="24"/>
          <w:szCs w:val="24"/>
        </w:rPr>
        <w:t xml:space="preserve">in a </w:t>
      </w:r>
      <w:r w:rsidR="00EE76BF" w:rsidRPr="00D00EB9">
        <w:rPr>
          <w:rFonts w:ascii="Arial" w:hAnsi="Arial" w:cs="Arial"/>
          <w:sz w:val="24"/>
          <w:szCs w:val="24"/>
        </w:rPr>
        <w:t>straitjacket</w:t>
      </w:r>
      <w:r w:rsidR="00924618" w:rsidRPr="00D00EB9">
        <w:rPr>
          <w:rFonts w:ascii="Arial" w:hAnsi="Arial" w:cs="Arial"/>
          <w:sz w:val="24"/>
          <w:szCs w:val="24"/>
        </w:rPr>
        <w:t xml:space="preserve"> </w:t>
      </w:r>
      <w:r w:rsidR="00025D72" w:rsidRPr="00D00EB9">
        <w:rPr>
          <w:rFonts w:ascii="Arial" w:hAnsi="Arial" w:cs="Arial"/>
          <w:sz w:val="24"/>
          <w:szCs w:val="24"/>
        </w:rPr>
        <w:t xml:space="preserve">whenever </w:t>
      </w:r>
      <w:r w:rsidR="009B5923" w:rsidRPr="00D00EB9">
        <w:rPr>
          <w:rFonts w:ascii="Arial" w:hAnsi="Arial" w:cs="Arial"/>
          <w:sz w:val="24"/>
          <w:szCs w:val="24"/>
        </w:rPr>
        <w:t xml:space="preserve">she was let </w:t>
      </w:r>
      <w:r w:rsidR="00025D72" w:rsidRPr="00D00EB9">
        <w:rPr>
          <w:rFonts w:ascii="Arial" w:hAnsi="Arial" w:cs="Arial"/>
          <w:sz w:val="24"/>
          <w:szCs w:val="24"/>
        </w:rPr>
        <w:t>out of her cell</w:t>
      </w:r>
      <w:r w:rsidR="00924618" w:rsidRPr="00D00EB9">
        <w:rPr>
          <w:rFonts w:ascii="Arial" w:hAnsi="Arial" w:cs="Arial"/>
          <w:sz w:val="24"/>
          <w:szCs w:val="24"/>
        </w:rPr>
        <w:t>.</w:t>
      </w:r>
      <w:r w:rsidR="00670862">
        <w:rPr>
          <w:rStyle w:val="EndnoteReference"/>
          <w:rFonts w:ascii="Arial" w:hAnsi="Arial" w:cs="Arial"/>
          <w:sz w:val="24"/>
          <w:szCs w:val="24"/>
        </w:rPr>
        <w:endnoteReference w:id="28"/>
      </w:r>
      <w:r w:rsidR="0095418A" w:rsidRPr="00D00EB9">
        <w:rPr>
          <w:rFonts w:ascii="Arial" w:hAnsi="Arial" w:cs="Arial"/>
          <w:sz w:val="24"/>
          <w:szCs w:val="24"/>
        </w:rPr>
        <w:t xml:space="preserve"> </w:t>
      </w:r>
      <w:r w:rsidR="00DD4565">
        <w:rPr>
          <w:rFonts w:ascii="Arial" w:hAnsi="Arial" w:cs="Arial"/>
          <w:sz w:val="24"/>
          <w:szCs w:val="24"/>
        </w:rPr>
        <w:t xml:space="preserve"> Whilst it was relatively common for female prisoners to commit minor offences, it was less common for them to be placed in a canvas dress or straitjacket.</w:t>
      </w:r>
    </w:p>
    <w:p w:rsidR="00456AEF" w:rsidRPr="00D00EB9" w:rsidRDefault="00456AEF" w:rsidP="0058654F">
      <w:pPr>
        <w:tabs>
          <w:tab w:val="left" w:pos="2854"/>
        </w:tabs>
        <w:spacing w:after="0" w:line="480" w:lineRule="auto"/>
        <w:contextualSpacing/>
        <w:jc w:val="both"/>
        <w:rPr>
          <w:rFonts w:ascii="Arial" w:hAnsi="Arial" w:cs="Arial"/>
          <w:sz w:val="24"/>
          <w:szCs w:val="24"/>
        </w:rPr>
      </w:pPr>
    </w:p>
    <w:p w:rsidR="0095418A" w:rsidRPr="00D00EB9" w:rsidRDefault="0095418A" w:rsidP="0058654F">
      <w:pPr>
        <w:tabs>
          <w:tab w:val="left" w:pos="2854"/>
        </w:tabs>
        <w:spacing w:after="0" w:line="480" w:lineRule="auto"/>
        <w:contextualSpacing/>
        <w:jc w:val="both"/>
        <w:rPr>
          <w:rFonts w:ascii="Arial" w:hAnsi="Arial" w:cs="Arial"/>
          <w:sz w:val="24"/>
          <w:szCs w:val="24"/>
        </w:rPr>
      </w:pPr>
      <w:r w:rsidRPr="00D00EB9">
        <w:rPr>
          <w:rFonts w:ascii="Arial" w:hAnsi="Arial" w:cs="Arial"/>
          <w:sz w:val="24"/>
          <w:szCs w:val="24"/>
        </w:rPr>
        <w:t>A</w:t>
      </w:r>
      <w:r w:rsidR="004008E1" w:rsidRPr="00D00EB9">
        <w:rPr>
          <w:rFonts w:ascii="Arial" w:hAnsi="Arial" w:cs="Arial"/>
          <w:sz w:val="24"/>
          <w:szCs w:val="24"/>
        </w:rPr>
        <w:t>l</w:t>
      </w:r>
      <w:r w:rsidRPr="00D00EB9">
        <w:rPr>
          <w:rFonts w:ascii="Arial" w:hAnsi="Arial" w:cs="Arial"/>
          <w:sz w:val="24"/>
          <w:szCs w:val="24"/>
        </w:rPr>
        <w:t>though the canvas dress was removed after one month, t</w:t>
      </w:r>
      <w:r w:rsidR="005B513B" w:rsidRPr="00D00EB9">
        <w:rPr>
          <w:rFonts w:ascii="Arial" w:hAnsi="Arial" w:cs="Arial"/>
          <w:sz w:val="24"/>
          <w:szCs w:val="24"/>
        </w:rPr>
        <w:t xml:space="preserve">he physical restraints must have been applied for a very long time, because the records state that </w:t>
      </w:r>
      <w:r w:rsidR="00CE0253">
        <w:rPr>
          <w:rFonts w:ascii="Arial" w:hAnsi="Arial" w:cs="Arial"/>
          <w:sz w:val="24"/>
          <w:szCs w:val="24"/>
        </w:rPr>
        <w:t>Julia</w:t>
      </w:r>
      <w:r w:rsidR="00CE0253" w:rsidRPr="00D00EB9">
        <w:rPr>
          <w:rFonts w:ascii="Arial" w:hAnsi="Arial" w:cs="Arial"/>
          <w:sz w:val="24"/>
          <w:szCs w:val="24"/>
        </w:rPr>
        <w:t xml:space="preserve"> </w:t>
      </w:r>
      <w:r w:rsidR="005B513B" w:rsidRPr="00D00EB9">
        <w:rPr>
          <w:rFonts w:ascii="Arial" w:hAnsi="Arial" w:cs="Arial"/>
          <w:sz w:val="24"/>
          <w:szCs w:val="24"/>
        </w:rPr>
        <w:t>was</w:t>
      </w:r>
      <w:r w:rsidRPr="00D00EB9">
        <w:rPr>
          <w:rFonts w:ascii="Arial" w:hAnsi="Arial" w:cs="Arial"/>
          <w:sz w:val="24"/>
          <w:szCs w:val="24"/>
        </w:rPr>
        <w:t xml:space="preserve"> punished for removing them in January 1878. As a punishment </w:t>
      </w:r>
      <w:r w:rsidR="003A5D30" w:rsidRPr="00D00EB9">
        <w:rPr>
          <w:rFonts w:ascii="Arial" w:hAnsi="Arial" w:cs="Arial"/>
          <w:sz w:val="24"/>
          <w:szCs w:val="24"/>
        </w:rPr>
        <w:t>for that infraction</w:t>
      </w:r>
      <w:r w:rsidR="00CE0253">
        <w:rPr>
          <w:rFonts w:ascii="Arial" w:hAnsi="Arial" w:cs="Arial"/>
          <w:sz w:val="24"/>
          <w:szCs w:val="24"/>
        </w:rPr>
        <w:t>,</w:t>
      </w:r>
      <w:r w:rsidR="003A5D30" w:rsidRPr="00D00EB9">
        <w:rPr>
          <w:rFonts w:ascii="Arial" w:hAnsi="Arial" w:cs="Arial"/>
          <w:sz w:val="24"/>
          <w:szCs w:val="24"/>
        </w:rPr>
        <w:t xml:space="preserve"> </w:t>
      </w:r>
      <w:r w:rsidRPr="00D00EB9">
        <w:rPr>
          <w:rFonts w:ascii="Arial" w:hAnsi="Arial" w:cs="Arial"/>
          <w:sz w:val="24"/>
          <w:szCs w:val="24"/>
        </w:rPr>
        <w:t>she was made to wear the canvas dress again, this time for three months.</w:t>
      </w:r>
      <w:r w:rsidR="00670862">
        <w:rPr>
          <w:rStyle w:val="EndnoteReference"/>
          <w:rFonts w:ascii="Arial" w:hAnsi="Arial" w:cs="Arial"/>
          <w:sz w:val="24"/>
          <w:szCs w:val="24"/>
        </w:rPr>
        <w:endnoteReference w:id="29"/>
      </w:r>
      <w:r w:rsidRPr="00D00EB9">
        <w:rPr>
          <w:rFonts w:ascii="Arial" w:hAnsi="Arial" w:cs="Arial"/>
          <w:sz w:val="24"/>
          <w:szCs w:val="24"/>
        </w:rPr>
        <w:t xml:space="preserve"> Later that </w:t>
      </w:r>
      <w:r w:rsidR="00CE0253">
        <w:rPr>
          <w:rFonts w:ascii="Arial" w:hAnsi="Arial" w:cs="Arial"/>
          <w:sz w:val="24"/>
          <w:szCs w:val="24"/>
        </w:rPr>
        <w:t xml:space="preserve">same </w:t>
      </w:r>
      <w:r w:rsidRPr="00D00EB9">
        <w:rPr>
          <w:rFonts w:ascii="Arial" w:hAnsi="Arial" w:cs="Arial"/>
          <w:sz w:val="24"/>
          <w:szCs w:val="24"/>
        </w:rPr>
        <w:t>year, more offences followed, and on many occasions the records note that she was excitable when she got in trouble</w:t>
      </w:r>
      <w:r w:rsidR="00CE0253">
        <w:rPr>
          <w:rFonts w:ascii="Arial" w:hAnsi="Arial" w:cs="Arial"/>
          <w:sz w:val="24"/>
          <w:szCs w:val="24"/>
        </w:rPr>
        <w:t xml:space="preserve"> and</w:t>
      </w:r>
      <w:r w:rsidRPr="00D00EB9">
        <w:rPr>
          <w:rFonts w:ascii="Arial" w:hAnsi="Arial" w:cs="Arial"/>
          <w:sz w:val="24"/>
          <w:szCs w:val="24"/>
        </w:rPr>
        <w:t xml:space="preserve"> that she was violent and abusive towards prison staff (</w:t>
      </w:r>
      <w:r w:rsidR="00CE0253">
        <w:rPr>
          <w:rFonts w:ascii="Arial" w:hAnsi="Arial" w:cs="Arial"/>
          <w:sz w:val="24"/>
          <w:szCs w:val="24"/>
        </w:rPr>
        <w:t xml:space="preserve">including </w:t>
      </w:r>
      <w:r w:rsidRPr="00D00EB9">
        <w:rPr>
          <w:rFonts w:ascii="Arial" w:hAnsi="Arial" w:cs="Arial"/>
          <w:sz w:val="24"/>
          <w:szCs w:val="24"/>
        </w:rPr>
        <w:t>the Medical Officers, the Lady Superintendent, the wardens, and so on).</w:t>
      </w:r>
      <w:r w:rsidR="00670862">
        <w:rPr>
          <w:rStyle w:val="EndnoteReference"/>
          <w:rFonts w:ascii="Arial" w:hAnsi="Arial" w:cs="Arial"/>
          <w:sz w:val="24"/>
          <w:szCs w:val="24"/>
        </w:rPr>
        <w:endnoteReference w:id="30"/>
      </w:r>
      <w:r w:rsidRPr="00D00EB9">
        <w:rPr>
          <w:rFonts w:ascii="Arial" w:hAnsi="Arial" w:cs="Arial"/>
          <w:sz w:val="24"/>
          <w:szCs w:val="24"/>
        </w:rPr>
        <w:t xml:space="preserve"> For spitting in an officer</w:t>
      </w:r>
      <w:r w:rsidR="00014D97" w:rsidRPr="00D00EB9">
        <w:rPr>
          <w:rFonts w:ascii="Arial" w:hAnsi="Arial" w:cs="Arial"/>
          <w:sz w:val="24"/>
          <w:szCs w:val="24"/>
        </w:rPr>
        <w:t>’</w:t>
      </w:r>
      <w:r w:rsidRPr="00D00EB9">
        <w:rPr>
          <w:rFonts w:ascii="Arial" w:hAnsi="Arial" w:cs="Arial"/>
          <w:sz w:val="24"/>
          <w:szCs w:val="24"/>
        </w:rPr>
        <w:t xml:space="preserve">s face, attacking </w:t>
      </w:r>
      <w:r w:rsidRPr="00D00EB9">
        <w:rPr>
          <w:rFonts w:ascii="Arial" w:hAnsi="Arial" w:cs="Arial"/>
          <w:sz w:val="24"/>
          <w:szCs w:val="24"/>
        </w:rPr>
        <w:lastRenderedPageBreak/>
        <w:t>a fellow prisoner, and other offences</w:t>
      </w:r>
      <w:r w:rsidR="003A5D30" w:rsidRPr="00D00EB9">
        <w:rPr>
          <w:rFonts w:ascii="Arial" w:hAnsi="Arial" w:cs="Arial"/>
          <w:sz w:val="24"/>
          <w:szCs w:val="24"/>
        </w:rPr>
        <w:t>,</w:t>
      </w:r>
      <w:r w:rsidRPr="00D00EB9">
        <w:rPr>
          <w:rFonts w:ascii="Arial" w:hAnsi="Arial" w:cs="Arial"/>
          <w:sz w:val="24"/>
          <w:szCs w:val="24"/>
        </w:rPr>
        <w:t xml:space="preserve"> </w:t>
      </w:r>
      <w:r w:rsidR="00CE0253">
        <w:rPr>
          <w:rFonts w:ascii="Arial" w:hAnsi="Arial" w:cs="Arial"/>
          <w:sz w:val="24"/>
          <w:szCs w:val="24"/>
        </w:rPr>
        <w:t>Julia</w:t>
      </w:r>
      <w:r w:rsidR="00CE0253" w:rsidRPr="00D00EB9">
        <w:rPr>
          <w:rFonts w:ascii="Arial" w:hAnsi="Arial" w:cs="Arial"/>
          <w:sz w:val="24"/>
          <w:szCs w:val="24"/>
        </w:rPr>
        <w:t xml:space="preserve"> </w:t>
      </w:r>
      <w:r w:rsidRPr="00D00EB9">
        <w:rPr>
          <w:rFonts w:ascii="Arial" w:hAnsi="Arial" w:cs="Arial"/>
          <w:sz w:val="24"/>
          <w:szCs w:val="24"/>
        </w:rPr>
        <w:t xml:space="preserve">was forced back into the canvas dress and the </w:t>
      </w:r>
      <w:r w:rsidR="00EE76BF" w:rsidRPr="00D00EB9">
        <w:rPr>
          <w:rFonts w:ascii="Arial" w:hAnsi="Arial" w:cs="Arial"/>
          <w:sz w:val="24"/>
          <w:szCs w:val="24"/>
        </w:rPr>
        <w:t>straitjacket</w:t>
      </w:r>
      <w:r w:rsidRPr="00D00EB9">
        <w:rPr>
          <w:rFonts w:ascii="Arial" w:hAnsi="Arial" w:cs="Arial"/>
          <w:sz w:val="24"/>
          <w:szCs w:val="24"/>
        </w:rPr>
        <w:t xml:space="preserve"> at night.</w:t>
      </w:r>
      <w:r w:rsidR="00670862">
        <w:rPr>
          <w:rStyle w:val="EndnoteReference"/>
          <w:rFonts w:ascii="Arial" w:hAnsi="Arial" w:cs="Arial"/>
          <w:sz w:val="24"/>
          <w:szCs w:val="24"/>
        </w:rPr>
        <w:endnoteReference w:id="31"/>
      </w:r>
      <w:r w:rsidRPr="00D00EB9">
        <w:rPr>
          <w:rFonts w:ascii="Arial" w:hAnsi="Arial" w:cs="Arial"/>
          <w:sz w:val="24"/>
          <w:szCs w:val="24"/>
        </w:rPr>
        <w:t xml:space="preserve"> </w:t>
      </w:r>
      <w:r w:rsidR="00881427" w:rsidRPr="00D00EB9">
        <w:rPr>
          <w:rFonts w:ascii="Arial" w:hAnsi="Arial" w:cs="Arial"/>
          <w:sz w:val="24"/>
          <w:szCs w:val="24"/>
        </w:rPr>
        <w:t xml:space="preserve">Six months later she was allowed to take the </w:t>
      </w:r>
      <w:r w:rsidR="00EE76BF" w:rsidRPr="00D00EB9">
        <w:rPr>
          <w:rFonts w:ascii="Arial" w:hAnsi="Arial" w:cs="Arial"/>
          <w:sz w:val="24"/>
          <w:szCs w:val="24"/>
        </w:rPr>
        <w:t>straitjacket</w:t>
      </w:r>
      <w:r w:rsidR="00881427" w:rsidRPr="00D00EB9">
        <w:rPr>
          <w:rFonts w:ascii="Arial" w:hAnsi="Arial" w:cs="Arial"/>
          <w:sz w:val="24"/>
          <w:szCs w:val="24"/>
        </w:rPr>
        <w:t xml:space="preserve"> off at nights, so long as two trusted female prisoners were in the cell with her</w:t>
      </w:r>
      <w:r w:rsidR="003A5D30" w:rsidRPr="00D00EB9">
        <w:rPr>
          <w:rFonts w:ascii="Arial" w:hAnsi="Arial" w:cs="Arial"/>
          <w:sz w:val="24"/>
          <w:szCs w:val="24"/>
        </w:rPr>
        <w:t xml:space="preserve"> at the time</w:t>
      </w:r>
      <w:r w:rsidR="00881427" w:rsidRPr="00D00EB9">
        <w:rPr>
          <w:rFonts w:ascii="Arial" w:hAnsi="Arial" w:cs="Arial"/>
          <w:sz w:val="24"/>
          <w:szCs w:val="24"/>
        </w:rPr>
        <w:t>.</w:t>
      </w:r>
      <w:r w:rsidR="00670862">
        <w:rPr>
          <w:rStyle w:val="EndnoteReference"/>
          <w:rFonts w:ascii="Arial" w:hAnsi="Arial" w:cs="Arial"/>
          <w:sz w:val="24"/>
          <w:szCs w:val="24"/>
        </w:rPr>
        <w:endnoteReference w:id="32"/>
      </w:r>
    </w:p>
    <w:p w:rsidR="00456AEF" w:rsidRPr="00D00EB9" w:rsidRDefault="00456AEF" w:rsidP="0058654F">
      <w:pPr>
        <w:tabs>
          <w:tab w:val="left" w:pos="2854"/>
        </w:tabs>
        <w:spacing w:after="0" w:line="480" w:lineRule="auto"/>
        <w:contextualSpacing/>
        <w:jc w:val="both"/>
        <w:rPr>
          <w:rFonts w:ascii="Arial" w:hAnsi="Arial" w:cs="Arial"/>
          <w:sz w:val="24"/>
          <w:szCs w:val="24"/>
        </w:rPr>
      </w:pPr>
    </w:p>
    <w:p w:rsidR="00025D72" w:rsidRPr="00D00EB9" w:rsidRDefault="00881427" w:rsidP="0058654F">
      <w:pPr>
        <w:tabs>
          <w:tab w:val="left" w:pos="2854"/>
        </w:tabs>
        <w:spacing w:after="0" w:line="480" w:lineRule="auto"/>
        <w:contextualSpacing/>
        <w:jc w:val="both"/>
        <w:rPr>
          <w:rFonts w:ascii="Arial" w:hAnsi="Arial" w:cs="Arial"/>
          <w:sz w:val="24"/>
          <w:szCs w:val="24"/>
        </w:rPr>
      </w:pPr>
      <w:r w:rsidRPr="00D00EB9">
        <w:rPr>
          <w:rFonts w:ascii="Arial" w:hAnsi="Arial" w:cs="Arial"/>
          <w:sz w:val="24"/>
          <w:szCs w:val="24"/>
        </w:rPr>
        <w:t xml:space="preserve">The </w:t>
      </w:r>
      <w:r w:rsidR="00EE76BF" w:rsidRPr="00D00EB9">
        <w:rPr>
          <w:rFonts w:ascii="Arial" w:hAnsi="Arial" w:cs="Arial"/>
          <w:sz w:val="24"/>
          <w:szCs w:val="24"/>
        </w:rPr>
        <w:t>straitjacket</w:t>
      </w:r>
      <w:r w:rsidRPr="00D00EB9">
        <w:rPr>
          <w:rFonts w:ascii="Arial" w:hAnsi="Arial" w:cs="Arial"/>
          <w:sz w:val="24"/>
          <w:szCs w:val="24"/>
        </w:rPr>
        <w:t xml:space="preserve"> did not stop </w:t>
      </w:r>
      <w:r w:rsidR="00CE0253">
        <w:rPr>
          <w:rFonts w:ascii="Arial" w:hAnsi="Arial" w:cs="Arial"/>
          <w:sz w:val="24"/>
          <w:szCs w:val="24"/>
        </w:rPr>
        <w:t>Julia</w:t>
      </w:r>
      <w:r w:rsidR="00CE0253" w:rsidRPr="00D00EB9">
        <w:rPr>
          <w:rFonts w:ascii="Arial" w:hAnsi="Arial" w:cs="Arial"/>
          <w:sz w:val="24"/>
          <w:szCs w:val="24"/>
        </w:rPr>
        <w:t xml:space="preserve"> </w:t>
      </w:r>
      <w:r w:rsidRPr="00D00EB9">
        <w:rPr>
          <w:rFonts w:ascii="Arial" w:hAnsi="Arial" w:cs="Arial"/>
          <w:sz w:val="24"/>
          <w:szCs w:val="24"/>
        </w:rPr>
        <w:t>r</w:t>
      </w:r>
      <w:r w:rsidR="00D12A51" w:rsidRPr="00D00EB9">
        <w:rPr>
          <w:rFonts w:ascii="Arial" w:hAnsi="Arial" w:cs="Arial"/>
          <w:sz w:val="24"/>
          <w:szCs w:val="24"/>
        </w:rPr>
        <w:t>esisting the prison authorities and s</w:t>
      </w:r>
      <w:r w:rsidRPr="00D00EB9">
        <w:rPr>
          <w:rFonts w:ascii="Arial" w:hAnsi="Arial" w:cs="Arial"/>
          <w:sz w:val="24"/>
          <w:szCs w:val="24"/>
        </w:rPr>
        <w:t xml:space="preserve">he was accused of </w:t>
      </w:r>
      <w:r w:rsidR="00025D72" w:rsidRPr="00D00EB9">
        <w:rPr>
          <w:rFonts w:ascii="Arial" w:hAnsi="Arial" w:cs="Arial"/>
          <w:sz w:val="24"/>
          <w:szCs w:val="24"/>
        </w:rPr>
        <w:t xml:space="preserve">resisting </w:t>
      </w:r>
      <w:r w:rsidRPr="00D00EB9">
        <w:rPr>
          <w:rFonts w:ascii="Arial" w:hAnsi="Arial" w:cs="Arial"/>
          <w:sz w:val="24"/>
          <w:szCs w:val="24"/>
        </w:rPr>
        <w:t xml:space="preserve">a </w:t>
      </w:r>
      <w:r w:rsidR="00025D72" w:rsidRPr="00D00EB9">
        <w:rPr>
          <w:rFonts w:ascii="Arial" w:hAnsi="Arial" w:cs="Arial"/>
          <w:sz w:val="24"/>
          <w:szCs w:val="24"/>
        </w:rPr>
        <w:t xml:space="preserve">male officer whilst being restrained in </w:t>
      </w:r>
      <w:r w:rsidRPr="00D00EB9">
        <w:rPr>
          <w:rFonts w:ascii="Arial" w:hAnsi="Arial" w:cs="Arial"/>
          <w:sz w:val="24"/>
          <w:szCs w:val="24"/>
        </w:rPr>
        <w:t xml:space="preserve">the </w:t>
      </w:r>
      <w:r w:rsidR="00EE76BF" w:rsidRPr="00D00EB9">
        <w:rPr>
          <w:rFonts w:ascii="Arial" w:hAnsi="Arial" w:cs="Arial"/>
          <w:sz w:val="24"/>
          <w:szCs w:val="24"/>
        </w:rPr>
        <w:t>straitjacket</w:t>
      </w:r>
      <w:r w:rsidRPr="00D00EB9">
        <w:rPr>
          <w:rFonts w:ascii="Arial" w:hAnsi="Arial" w:cs="Arial"/>
          <w:sz w:val="24"/>
          <w:szCs w:val="24"/>
        </w:rPr>
        <w:t xml:space="preserve">, </w:t>
      </w:r>
      <w:proofErr w:type="gramStart"/>
      <w:r w:rsidRPr="00D00EB9">
        <w:rPr>
          <w:rFonts w:ascii="Arial" w:hAnsi="Arial" w:cs="Arial"/>
          <w:sz w:val="24"/>
          <w:szCs w:val="24"/>
        </w:rPr>
        <w:t>and also</w:t>
      </w:r>
      <w:proofErr w:type="gramEnd"/>
      <w:r w:rsidRPr="00D00EB9">
        <w:rPr>
          <w:rFonts w:ascii="Arial" w:hAnsi="Arial" w:cs="Arial"/>
          <w:sz w:val="24"/>
          <w:szCs w:val="24"/>
        </w:rPr>
        <w:t xml:space="preserve"> </w:t>
      </w:r>
      <w:r w:rsidR="00CE0253">
        <w:rPr>
          <w:rFonts w:ascii="Arial" w:hAnsi="Arial" w:cs="Arial"/>
          <w:sz w:val="24"/>
          <w:szCs w:val="24"/>
        </w:rPr>
        <w:t xml:space="preserve">of </w:t>
      </w:r>
      <w:r w:rsidRPr="00D00EB9">
        <w:rPr>
          <w:rFonts w:ascii="Arial" w:hAnsi="Arial" w:cs="Arial"/>
          <w:sz w:val="24"/>
          <w:szCs w:val="24"/>
        </w:rPr>
        <w:t xml:space="preserve">insulting the Female Matron. However, on this occasion she was not punished. </w:t>
      </w:r>
      <w:r w:rsidR="00A313B1" w:rsidRPr="00D00EB9">
        <w:rPr>
          <w:rFonts w:ascii="Arial" w:hAnsi="Arial" w:cs="Arial"/>
          <w:sz w:val="24"/>
          <w:szCs w:val="24"/>
        </w:rPr>
        <w:t>Instead, t</w:t>
      </w:r>
      <w:r w:rsidRPr="00D00EB9">
        <w:rPr>
          <w:rFonts w:ascii="Arial" w:hAnsi="Arial" w:cs="Arial"/>
          <w:sz w:val="24"/>
          <w:szCs w:val="24"/>
        </w:rPr>
        <w:t xml:space="preserve">he Medical Officer </w:t>
      </w:r>
      <w:r w:rsidR="00025D72" w:rsidRPr="00D00EB9">
        <w:rPr>
          <w:rFonts w:ascii="Arial" w:hAnsi="Arial" w:cs="Arial"/>
          <w:sz w:val="24"/>
          <w:szCs w:val="24"/>
        </w:rPr>
        <w:t xml:space="preserve">referred </w:t>
      </w:r>
      <w:r w:rsidRPr="00D00EB9">
        <w:rPr>
          <w:rFonts w:ascii="Arial" w:hAnsi="Arial" w:cs="Arial"/>
          <w:sz w:val="24"/>
          <w:szCs w:val="24"/>
        </w:rPr>
        <w:t xml:space="preserve">Julia to the attention of </w:t>
      </w:r>
      <w:r w:rsidR="00025D72" w:rsidRPr="00D00EB9">
        <w:rPr>
          <w:rFonts w:ascii="Arial" w:hAnsi="Arial" w:cs="Arial"/>
          <w:sz w:val="24"/>
          <w:szCs w:val="24"/>
        </w:rPr>
        <w:t>t</w:t>
      </w:r>
      <w:r w:rsidRPr="00D00EB9">
        <w:rPr>
          <w:rFonts w:ascii="Arial" w:hAnsi="Arial" w:cs="Arial"/>
          <w:sz w:val="24"/>
          <w:szCs w:val="24"/>
        </w:rPr>
        <w:t>he</w:t>
      </w:r>
      <w:r w:rsidR="00025D72" w:rsidRPr="00D00EB9">
        <w:rPr>
          <w:rFonts w:ascii="Arial" w:hAnsi="Arial" w:cs="Arial"/>
          <w:sz w:val="24"/>
          <w:szCs w:val="24"/>
        </w:rPr>
        <w:t xml:space="preserve"> </w:t>
      </w:r>
      <w:r w:rsidRPr="00D00EB9">
        <w:rPr>
          <w:rFonts w:ascii="Arial" w:hAnsi="Arial" w:cs="Arial"/>
          <w:sz w:val="24"/>
          <w:szCs w:val="24"/>
        </w:rPr>
        <w:t xml:space="preserve">Prison </w:t>
      </w:r>
      <w:r w:rsidR="00025D72" w:rsidRPr="00D00EB9">
        <w:rPr>
          <w:rFonts w:ascii="Arial" w:hAnsi="Arial" w:cs="Arial"/>
          <w:sz w:val="24"/>
          <w:szCs w:val="24"/>
        </w:rPr>
        <w:t xml:space="preserve">Director as </w:t>
      </w:r>
      <w:r w:rsidRPr="00D00EB9">
        <w:rPr>
          <w:rFonts w:ascii="Arial" w:hAnsi="Arial" w:cs="Arial"/>
          <w:sz w:val="24"/>
          <w:szCs w:val="24"/>
        </w:rPr>
        <w:t xml:space="preserve">she was, in his opinion, </w:t>
      </w:r>
      <w:r w:rsidR="00025D72" w:rsidRPr="00D00EB9">
        <w:rPr>
          <w:rFonts w:ascii="Arial" w:hAnsi="Arial" w:cs="Arial"/>
          <w:sz w:val="24"/>
          <w:szCs w:val="24"/>
        </w:rPr>
        <w:t xml:space="preserve">medically unfit </w:t>
      </w:r>
      <w:r w:rsidR="00A313B1" w:rsidRPr="00D00EB9">
        <w:rPr>
          <w:rFonts w:ascii="Arial" w:hAnsi="Arial" w:cs="Arial"/>
          <w:sz w:val="24"/>
          <w:szCs w:val="24"/>
        </w:rPr>
        <w:t xml:space="preserve">to be </w:t>
      </w:r>
      <w:r w:rsidR="00025D72" w:rsidRPr="00D00EB9">
        <w:rPr>
          <w:rFonts w:ascii="Arial" w:hAnsi="Arial" w:cs="Arial"/>
          <w:sz w:val="24"/>
          <w:szCs w:val="24"/>
        </w:rPr>
        <w:t>punish</w:t>
      </w:r>
      <w:r w:rsidR="00A313B1" w:rsidRPr="00D00EB9">
        <w:rPr>
          <w:rFonts w:ascii="Arial" w:hAnsi="Arial" w:cs="Arial"/>
          <w:sz w:val="24"/>
          <w:szCs w:val="24"/>
        </w:rPr>
        <w:t>ed.</w:t>
      </w:r>
      <w:r w:rsidR="00DD4565">
        <w:rPr>
          <w:rStyle w:val="EndnoteReference"/>
          <w:rFonts w:ascii="Arial" w:hAnsi="Arial" w:cs="Arial"/>
          <w:sz w:val="24"/>
          <w:szCs w:val="24"/>
        </w:rPr>
        <w:endnoteReference w:id="33"/>
      </w:r>
      <w:r w:rsidR="00A313B1" w:rsidRPr="00D00EB9">
        <w:rPr>
          <w:rFonts w:ascii="Arial" w:hAnsi="Arial" w:cs="Arial"/>
          <w:sz w:val="24"/>
          <w:szCs w:val="24"/>
        </w:rPr>
        <w:t xml:space="preserve"> There was</w:t>
      </w:r>
      <w:r w:rsidRPr="00D00EB9">
        <w:rPr>
          <w:rFonts w:ascii="Arial" w:hAnsi="Arial" w:cs="Arial"/>
          <w:sz w:val="24"/>
          <w:szCs w:val="24"/>
        </w:rPr>
        <w:t xml:space="preserve"> further evidence of her mental anxiety in August 1878</w:t>
      </w:r>
      <w:r w:rsidR="00CE0253">
        <w:rPr>
          <w:rFonts w:ascii="Arial" w:hAnsi="Arial" w:cs="Arial"/>
          <w:sz w:val="24"/>
          <w:szCs w:val="24"/>
        </w:rPr>
        <w:t>,</w:t>
      </w:r>
      <w:r w:rsidRPr="00D00EB9">
        <w:rPr>
          <w:rFonts w:ascii="Arial" w:hAnsi="Arial" w:cs="Arial"/>
          <w:sz w:val="24"/>
          <w:szCs w:val="24"/>
        </w:rPr>
        <w:t xml:space="preserve"> when she was found to be trying to </w:t>
      </w:r>
      <w:r w:rsidR="00025D72" w:rsidRPr="00D00EB9">
        <w:rPr>
          <w:rFonts w:ascii="Arial" w:hAnsi="Arial" w:cs="Arial"/>
          <w:sz w:val="24"/>
          <w:szCs w:val="24"/>
        </w:rPr>
        <w:t xml:space="preserve">strangle herself with </w:t>
      </w:r>
      <w:r w:rsidRPr="00D00EB9">
        <w:rPr>
          <w:rFonts w:ascii="Arial" w:hAnsi="Arial" w:cs="Arial"/>
          <w:sz w:val="24"/>
          <w:szCs w:val="24"/>
        </w:rPr>
        <w:t xml:space="preserve">a </w:t>
      </w:r>
      <w:r w:rsidR="00025D72" w:rsidRPr="00D00EB9">
        <w:rPr>
          <w:rFonts w:ascii="Arial" w:hAnsi="Arial" w:cs="Arial"/>
          <w:sz w:val="24"/>
          <w:szCs w:val="24"/>
        </w:rPr>
        <w:t xml:space="preserve">piece of her cotton </w:t>
      </w:r>
      <w:r w:rsidR="00A313B1" w:rsidRPr="00D00EB9">
        <w:rPr>
          <w:rFonts w:ascii="Arial" w:hAnsi="Arial" w:cs="Arial"/>
          <w:sz w:val="24"/>
          <w:szCs w:val="24"/>
        </w:rPr>
        <w:t>underwear</w:t>
      </w:r>
      <w:r w:rsidRPr="00D00EB9">
        <w:rPr>
          <w:rFonts w:ascii="Arial" w:hAnsi="Arial" w:cs="Arial"/>
          <w:sz w:val="24"/>
          <w:szCs w:val="24"/>
        </w:rPr>
        <w:t xml:space="preserve">. </w:t>
      </w:r>
      <w:r w:rsidR="00CE0253">
        <w:rPr>
          <w:rFonts w:ascii="Arial" w:hAnsi="Arial" w:cs="Arial"/>
          <w:sz w:val="24"/>
          <w:szCs w:val="24"/>
        </w:rPr>
        <w:t>Indeed, she had</w:t>
      </w:r>
      <w:r w:rsidRPr="00D00EB9">
        <w:rPr>
          <w:rFonts w:ascii="Arial" w:hAnsi="Arial" w:cs="Arial"/>
          <w:sz w:val="24"/>
          <w:szCs w:val="24"/>
        </w:rPr>
        <w:t xml:space="preserve"> tried to strangle herself</w:t>
      </w:r>
      <w:r w:rsidR="00025D72" w:rsidRPr="00D00EB9">
        <w:rPr>
          <w:rFonts w:ascii="Arial" w:hAnsi="Arial" w:cs="Arial"/>
          <w:sz w:val="24"/>
          <w:szCs w:val="24"/>
        </w:rPr>
        <w:t xml:space="preserve"> several </w:t>
      </w:r>
      <w:r w:rsidRPr="00D00EB9">
        <w:rPr>
          <w:rFonts w:ascii="Arial" w:hAnsi="Arial" w:cs="Arial"/>
          <w:sz w:val="24"/>
          <w:szCs w:val="24"/>
        </w:rPr>
        <w:t xml:space="preserve">times </w:t>
      </w:r>
      <w:r w:rsidR="00A313B1" w:rsidRPr="00D00EB9">
        <w:rPr>
          <w:rFonts w:ascii="Arial" w:hAnsi="Arial" w:cs="Arial"/>
          <w:sz w:val="24"/>
          <w:szCs w:val="24"/>
        </w:rPr>
        <w:t>that</w:t>
      </w:r>
      <w:r w:rsidR="00D62DF8" w:rsidRPr="00D00EB9">
        <w:rPr>
          <w:rFonts w:ascii="Arial" w:hAnsi="Arial" w:cs="Arial"/>
          <w:sz w:val="24"/>
          <w:szCs w:val="24"/>
        </w:rPr>
        <w:t xml:space="preserve"> month. Again she was referr</w:t>
      </w:r>
      <w:r w:rsidRPr="00D00EB9">
        <w:rPr>
          <w:rFonts w:ascii="Arial" w:hAnsi="Arial" w:cs="Arial"/>
          <w:sz w:val="24"/>
          <w:szCs w:val="24"/>
        </w:rPr>
        <w:t>ed to the Director.</w:t>
      </w:r>
      <w:r w:rsidR="00DD4565">
        <w:rPr>
          <w:rStyle w:val="EndnoteReference"/>
          <w:rFonts w:ascii="Arial" w:hAnsi="Arial" w:cs="Arial"/>
          <w:sz w:val="24"/>
          <w:szCs w:val="24"/>
        </w:rPr>
        <w:endnoteReference w:id="34"/>
      </w:r>
      <w:r w:rsidRPr="00D00EB9">
        <w:rPr>
          <w:rFonts w:ascii="Arial" w:hAnsi="Arial" w:cs="Arial"/>
          <w:sz w:val="24"/>
          <w:szCs w:val="24"/>
        </w:rPr>
        <w:t xml:space="preserve"> It does not appear that any action was taken, for a few days later, Julia </w:t>
      </w:r>
      <w:r w:rsidR="00025D72" w:rsidRPr="00D00EB9">
        <w:rPr>
          <w:rFonts w:ascii="Arial" w:hAnsi="Arial" w:cs="Arial"/>
          <w:sz w:val="24"/>
          <w:szCs w:val="24"/>
        </w:rPr>
        <w:t xml:space="preserve">was found in her cell </w:t>
      </w:r>
      <w:r w:rsidR="00014D97" w:rsidRPr="00D00EB9">
        <w:rPr>
          <w:rFonts w:ascii="Arial" w:hAnsi="Arial" w:cs="Arial"/>
          <w:sz w:val="24"/>
          <w:szCs w:val="24"/>
        </w:rPr>
        <w:t>‘</w:t>
      </w:r>
      <w:r w:rsidR="00025D72" w:rsidRPr="00D00EB9">
        <w:rPr>
          <w:rFonts w:ascii="Arial" w:hAnsi="Arial" w:cs="Arial"/>
          <w:sz w:val="24"/>
          <w:szCs w:val="24"/>
        </w:rPr>
        <w:t xml:space="preserve">lying on the ground with a piece of calico twisted tightly around her neck, there was also another piece passed through the perforated board at the end of her cell, both pieces were particles of her cotton dress – ordered to be restrained in jacket by </w:t>
      </w:r>
      <w:r w:rsidRPr="00D00EB9">
        <w:rPr>
          <w:rFonts w:ascii="Arial" w:hAnsi="Arial" w:cs="Arial"/>
          <w:sz w:val="24"/>
          <w:szCs w:val="24"/>
        </w:rPr>
        <w:t xml:space="preserve">the </w:t>
      </w:r>
      <w:r w:rsidR="00025D72" w:rsidRPr="00D00EB9">
        <w:rPr>
          <w:rFonts w:ascii="Arial" w:hAnsi="Arial" w:cs="Arial"/>
          <w:sz w:val="24"/>
          <w:szCs w:val="24"/>
        </w:rPr>
        <w:t>M</w:t>
      </w:r>
      <w:r w:rsidRPr="00D00EB9">
        <w:rPr>
          <w:rFonts w:ascii="Arial" w:hAnsi="Arial" w:cs="Arial"/>
          <w:sz w:val="24"/>
          <w:szCs w:val="24"/>
        </w:rPr>
        <w:t xml:space="preserve">edical </w:t>
      </w:r>
      <w:r w:rsidR="00025D72" w:rsidRPr="00D00EB9">
        <w:rPr>
          <w:rFonts w:ascii="Arial" w:hAnsi="Arial" w:cs="Arial"/>
          <w:sz w:val="24"/>
          <w:szCs w:val="24"/>
        </w:rPr>
        <w:t>O</w:t>
      </w:r>
      <w:r w:rsidRPr="00D00EB9">
        <w:rPr>
          <w:rFonts w:ascii="Arial" w:hAnsi="Arial" w:cs="Arial"/>
          <w:sz w:val="24"/>
          <w:szCs w:val="24"/>
        </w:rPr>
        <w:t>fficer</w:t>
      </w:r>
      <w:r w:rsidR="00025D72" w:rsidRPr="00D00EB9">
        <w:rPr>
          <w:rFonts w:ascii="Arial" w:hAnsi="Arial" w:cs="Arial"/>
          <w:sz w:val="24"/>
          <w:szCs w:val="24"/>
        </w:rPr>
        <w:t xml:space="preserve"> – who regarded it as </w:t>
      </w:r>
      <w:r w:rsidR="00014D97" w:rsidRPr="00D00EB9">
        <w:rPr>
          <w:rFonts w:ascii="Arial" w:hAnsi="Arial" w:cs="Arial"/>
          <w:sz w:val="24"/>
          <w:szCs w:val="24"/>
        </w:rPr>
        <w:t>‘</w:t>
      </w:r>
      <w:r w:rsidR="00025D72" w:rsidRPr="00D00EB9">
        <w:rPr>
          <w:rFonts w:ascii="Arial" w:hAnsi="Arial" w:cs="Arial"/>
          <w:sz w:val="24"/>
          <w:szCs w:val="24"/>
        </w:rPr>
        <w:t>a feigned attempt in order to give trouble</w:t>
      </w:r>
      <w:r w:rsidR="00014D97" w:rsidRPr="00D00EB9">
        <w:rPr>
          <w:rFonts w:ascii="Arial" w:hAnsi="Arial" w:cs="Arial"/>
          <w:sz w:val="24"/>
          <w:szCs w:val="24"/>
        </w:rPr>
        <w:t>’</w:t>
      </w:r>
      <w:r w:rsidR="00025D72" w:rsidRPr="00D00EB9">
        <w:rPr>
          <w:rFonts w:ascii="Arial" w:hAnsi="Arial" w:cs="Arial"/>
          <w:sz w:val="24"/>
          <w:szCs w:val="24"/>
        </w:rPr>
        <w:t>.</w:t>
      </w:r>
      <w:r w:rsidR="00DD4565">
        <w:rPr>
          <w:rStyle w:val="EndnoteReference"/>
          <w:rFonts w:ascii="Arial" w:hAnsi="Arial" w:cs="Arial"/>
          <w:sz w:val="24"/>
          <w:szCs w:val="24"/>
        </w:rPr>
        <w:endnoteReference w:id="35"/>
      </w:r>
      <w:r w:rsidR="00025D72" w:rsidRPr="00D00EB9">
        <w:rPr>
          <w:rFonts w:ascii="Arial" w:hAnsi="Arial" w:cs="Arial"/>
          <w:sz w:val="24"/>
          <w:szCs w:val="24"/>
        </w:rPr>
        <w:t xml:space="preserve"> </w:t>
      </w:r>
      <w:r w:rsidRPr="00D00EB9">
        <w:rPr>
          <w:rFonts w:ascii="Arial" w:hAnsi="Arial" w:cs="Arial"/>
          <w:sz w:val="24"/>
          <w:szCs w:val="24"/>
        </w:rPr>
        <w:t xml:space="preserve">The </w:t>
      </w:r>
      <w:r w:rsidR="00025D72" w:rsidRPr="00D00EB9">
        <w:rPr>
          <w:rFonts w:ascii="Arial" w:hAnsi="Arial" w:cs="Arial"/>
          <w:sz w:val="24"/>
          <w:szCs w:val="24"/>
        </w:rPr>
        <w:t xml:space="preserve">Roman Catholic priest </w:t>
      </w:r>
      <w:r w:rsidRPr="00D00EB9">
        <w:rPr>
          <w:rFonts w:ascii="Arial" w:hAnsi="Arial" w:cs="Arial"/>
          <w:sz w:val="24"/>
          <w:szCs w:val="24"/>
        </w:rPr>
        <w:t xml:space="preserve">stationed at the prison </w:t>
      </w:r>
      <w:r w:rsidR="00025D72" w:rsidRPr="00D00EB9">
        <w:rPr>
          <w:rFonts w:ascii="Arial" w:hAnsi="Arial" w:cs="Arial"/>
          <w:sz w:val="24"/>
          <w:szCs w:val="24"/>
        </w:rPr>
        <w:t>confirmed this view</w:t>
      </w:r>
      <w:r w:rsidRPr="00D00EB9">
        <w:rPr>
          <w:rFonts w:ascii="Arial" w:hAnsi="Arial" w:cs="Arial"/>
          <w:sz w:val="24"/>
          <w:szCs w:val="24"/>
        </w:rPr>
        <w:t xml:space="preserve">. He stated that, </w:t>
      </w:r>
      <w:r w:rsidR="00014D97" w:rsidRPr="00D00EB9">
        <w:rPr>
          <w:rFonts w:ascii="Arial" w:hAnsi="Arial" w:cs="Arial"/>
          <w:sz w:val="24"/>
          <w:szCs w:val="24"/>
        </w:rPr>
        <w:t>‘</w:t>
      </w:r>
      <w:r w:rsidR="00025D72" w:rsidRPr="00D00EB9">
        <w:rPr>
          <w:rFonts w:ascii="Arial" w:hAnsi="Arial" w:cs="Arial"/>
          <w:sz w:val="24"/>
          <w:szCs w:val="24"/>
        </w:rPr>
        <w:t>I am afraid that the prisoner is perfectly responsible for her actions and is simply wicked</w:t>
      </w:r>
      <w:r w:rsidR="00014D97" w:rsidRPr="00D00EB9">
        <w:rPr>
          <w:rFonts w:ascii="Arial" w:hAnsi="Arial" w:cs="Arial"/>
          <w:sz w:val="24"/>
          <w:szCs w:val="24"/>
        </w:rPr>
        <w:t>’</w:t>
      </w:r>
      <w:r w:rsidR="00025D72" w:rsidRPr="00D00EB9">
        <w:rPr>
          <w:rFonts w:ascii="Arial" w:hAnsi="Arial" w:cs="Arial"/>
          <w:sz w:val="24"/>
          <w:szCs w:val="24"/>
        </w:rPr>
        <w:t>.</w:t>
      </w:r>
      <w:r w:rsidR="00DD4565">
        <w:rPr>
          <w:rStyle w:val="EndnoteReference"/>
          <w:rFonts w:ascii="Arial" w:hAnsi="Arial" w:cs="Arial"/>
          <w:sz w:val="24"/>
          <w:szCs w:val="24"/>
        </w:rPr>
        <w:endnoteReference w:id="36"/>
      </w:r>
      <w:r w:rsidR="00511648" w:rsidRPr="00D00EB9">
        <w:rPr>
          <w:rFonts w:ascii="Arial" w:hAnsi="Arial" w:cs="Arial"/>
          <w:sz w:val="24"/>
          <w:szCs w:val="24"/>
        </w:rPr>
        <w:t xml:space="preserve"> This </w:t>
      </w:r>
      <w:r w:rsidR="00BC6D99" w:rsidRPr="00D00EB9">
        <w:rPr>
          <w:rFonts w:ascii="Arial" w:hAnsi="Arial" w:cs="Arial"/>
          <w:sz w:val="24"/>
          <w:szCs w:val="24"/>
        </w:rPr>
        <w:t>exchange</w:t>
      </w:r>
      <w:r w:rsidR="00511648" w:rsidRPr="00D00EB9">
        <w:rPr>
          <w:rFonts w:ascii="Arial" w:hAnsi="Arial" w:cs="Arial"/>
          <w:sz w:val="24"/>
          <w:szCs w:val="24"/>
        </w:rPr>
        <w:t xml:space="preserve"> reflects the interplay between medical power, which was second only to the authority of the prison Director, and the power of the prison</w:t>
      </w:r>
      <w:r w:rsidR="00014D97" w:rsidRPr="00D00EB9">
        <w:rPr>
          <w:rFonts w:ascii="Arial" w:hAnsi="Arial" w:cs="Arial"/>
          <w:sz w:val="24"/>
          <w:szCs w:val="24"/>
        </w:rPr>
        <w:t>’</w:t>
      </w:r>
      <w:r w:rsidR="00511648" w:rsidRPr="00D00EB9">
        <w:rPr>
          <w:rFonts w:ascii="Arial" w:hAnsi="Arial" w:cs="Arial"/>
          <w:sz w:val="24"/>
          <w:szCs w:val="24"/>
        </w:rPr>
        <w:t xml:space="preserve">s religious bodies. </w:t>
      </w:r>
      <w:r w:rsidR="00BC6D99" w:rsidRPr="00D00EB9">
        <w:rPr>
          <w:rFonts w:ascii="Arial" w:hAnsi="Arial" w:cs="Arial"/>
          <w:sz w:val="24"/>
          <w:szCs w:val="24"/>
        </w:rPr>
        <w:t xml:space="preserve">It also reflects the </w:t>
      </w:r>
      <w:r w:rsidR="00511648" w:rsidRPr="00D00EB9">
        <w:rPr>
          <w:rFonts w:ascii="Arial" w:hAnsi="Arial" w:cs="Arial"/>
          <w:sz w:val="24"/>
          <w:szCs w:val="24"/>
        </w:rPr>
        <w:t>considerable tension</w:t>
      </w:r>
      <w:r w:rsidR="00BC6D99" w:rsidRPr="00D00EB9">
        <w:rPr>
          <w:rFonts w:ascii="Arial" w:hAnsi="Arial" w:cs="Arial"/>
          <w:sz w:val="24"/>
          <w:szCs w:val="24"/>
        </w:rPr>
        <w:t xml:space="preserve"> between modernism (medical knowledge) and traditional moral authority (the Church). However, a compromise of sorts seems to have been arrived at, since, f</w:t>
      </w:r>
      <w:r w:rsidR="00511648" w:rsidRPr="00D00EB9">
        <w:rPr>
          <w:rFonts w:ascii="Arial" w:hAnsi="Arial" w:cs="Arial"/>
          <w:sz w:val="24"/>
          <w:szCs w:val="24"/>
        </w:rPr>
        <w:t xml:space="preserve">ollowing more threats to </w:t>
      </w:r>
      <w:r w:rsidR="00511648" w:rsidRPr="00D00EB9">
        <w:rPr>
          <w:rFonts w:ascii="Arial" w:hAnsi="Arial" w:cs="Arial"/>
          <w:sz w:val="24"/>
          <w:szCs w:val="24"/>
        </w:rPr>
        <w:lastRenderedPageBreak/>
        <w:t xml:space="preserve">kill wardens and </w:t>
      </w:r>
      <w:r w:rsidR="00CE0253">
        <w:rPr>
          <w:rFonts w:ascii="Arial" w:hAnsi="Arial" w:cs="Arial"/>
          <w:sz w:val="24"/>
          <w:szCs w:val="24"/>
        </w:rPr>
        <w:t xml:space="preserve">further </w:t>
      </w:r>
      <w:r w:rsidR="00511648" w:rsidRPr="00D00EB9">
        <w:rPr>
          <w:rFonts w:ascii="Arial" w:hAnsi="Arial" w:cs="Arial"/>
          <w:sz w:val="24"/>
          <w:szCs w:val="24"/>
        </w:rPr>
        <w:t>destruction of prison property, Julia</w:t>
      </w:r>
      <w:r w:rsidR="00BC6D99" w:rsidRPr="00D00EB9">
        <w:rPr>
          <w:rFonts w:ascii="Arial" w:hAnsi="Arial" w:cs="Arial"/>
          <w:sz w:val="24"/>
          <w:szCs w:val="24"/>
        </w:rPr>
        <w:t xml:space="preserve"> was sent </w:t>
      </w:r>
      <w:r w:rsidR="00C90DC8" w:rsidRPr="00D00EB9">
        <w:rPr>
          <w:rFonts w:ascii="Arial" w:hAnsi="Arial" w:cs="Arial"/>
          <w:sz w:val="24"/>
          <w:szCs w:val="24"/>
        </w:rPr>
        <w:t>away from Fulham Prison</w:t>
      </w:r>
      <w:r w:rsidR="00BC6D99" w:rsidRPr="00D00EB9">
        <w:rPr>
          <w:rFonts w:ascii="Arial" w:hAnsi="Arial" w:cs="Arial"/>
          <w:sz w:val="24"/>
          <w:szCs w:val="24"/>
        </w:rPr>
        <w:t>. The removal document stated that she was removed to Mil</w:t>
      </w:r>
      <w:r w:rsidR="0048453E" w:rsidRPr="00D00EB9">
        <w:rPr>
          <w:rFonts w:ascii="Arial" w:hAnsi="Arial" w:cs="Arial"/>
          <w:sz w:val="24"/>
          <w:szCs w:val="24"/>
        </w:rPr>
        <w:t>l</w:t>
      </w:r>
      <w:r w:rsidR="00BC6D99" w:rsidRPr="00D00EB9">
        <w:rPr>
          <w:rFonts w:ascii="Arial" w:hAnsi="Arial" w:cs="Arial"/>
          <w:sz w:val="24"/>
          <w:szCs w:val="24"/>
        </w:rPr>
        <w:t xml:space="preserve">bank </w:t>
      </w:r>
      <w:r w:rsidR="00014D97" w:rsidRPr="00D00EB9">
        <w:rPr>
          <w:rFonts w:ascii="Arial" w:hAnsi="Arial" w:cs="Arial"/>
          <w:sz w:val="24"/>
          <w:szCs w:val="24"/>
        </w:rPr>
        <w:t>‘</w:t>
      </w:r>
      <w:r w:rsidR="00025D72" w:rsidRPr="00D00EB9">
        <w:rPr>
          <w:rFonts w:ascii="Arial" w:hAnsi="Arial" w:cs="Arial"/>
          <w:sz w:val="24"/>
          <w:szCs w:val="24"/>
        </w:rPr>
        <w:t xml:space="preserve">for insubordinate conduct and suicidal </w:t>
      </w:r>
      <w:proofErr w:type="gramStart"/>
      <w:r w:rsidR="00025D72" w:rsidRPr="00D00EB9">
        <w:rPr>
          <w:rFonts w:ascii="Arial" w:hAnsi="Arial" w:cs="Arial"/>
          <w:sz w:val="24"/>
          <w:szCs w:val="24"/>
        </w:rPr>
        <w:t>tendencies</w:t>
      </w:r>
      <w:r w:rsidR="00014D97" w:rsidRPr="00D00EB9">
        <w:rPr>
          <w:rFonts w:ascii="Arial" w:hAnsi="Arial" w:cs="Arial"/>
          <w:sz w:val="24"/>
          <w:szCs w:val="24"/>
        </w:rPr>
        <w:t>’</w:t>
      </w:r>
      <w:proofErr w:type="gramEnd"/>
      <w:r w:rsidR="00BC6D99" w:rsidRPr="00D00EB9">
        <w:rPr>
          <w:rFonts w:ascii="Arial" w:hAnsi="Arial" w:cs="Arial"/>
          <w:sz w:val="24"/>
          <w:szCs w:val="24"/>
        </w:rPr>
        <w:t>.</w:t>
      </w:r>
      <w:r w:rsidR="00DD4565">
        <w:rPr>
          <w:rStyle w:val="EndnoteReference"/>
          <w:rFonts w:ascii="Arial" w:hAnsi="Arial" w:cs="Arial"/>
          <w:sz w:val="24"/>
          <w:szCs w:val="24"/>
        </w:rPr>
        <w:endnoteReference w:id="37"/>
      </w:r>
      <w:r w:rsidR="00BC6D99" w:rsidRPr="00D00EB9">
        <w:rPr>
          <w:rFonts w:ascii="Arial" w:hAnsi="Arial" w:cs="Arial"/>
          <w:sz w:val="24"/>
          <w:szCs w:val="24"/>
        </w:rPr>
        <w:t xml:space="preserve"> </w:t>
      </w:r>
    </w:p>
    <w:p w:rsidR="00456AEF" w:rsidRPr="00D00EB9" w:rsidRDefault="00456AEF" w:rsidP="0058654F">
      <w:pPr>
        <w:tabs>
          <w:tab w:val="left" w:pos="2854"/>
        </w:tabs>
        <w:spacing w:after="0" w:line="480" w:lineRule="auto"/>
        <w:contextualSpacing/>
        <w:jc w:val="both"/>
        <w:rPr>
          <w:rFonts w:ascii="Arial" w:hAnsi="Arial" w:cs="Arial"/>
          <w:sz w:val="24"/>
          <w:szCs w:val="24"/>
        </w:rPr>
      </w:pPr>
    </w:p>
    <w:p w:rsidR="00D62DF8" w:rsidRPr="00D00EB9" w:rsidRDefault="00F00FD6" w:rsidP="0058654F">
      <w:pPr>
        <w:tabs>
          <w:tab w:val="left" w:pos="2854"/>
        </w:tabs>
        <w:spacing w:after="0" w:line="480" w:lineRule="auto"/>
        <w:contextualSpacing/>
        <w:jc w:val="both"/>
        <w:rPr>
          <w:rFonts w:ascii="Arial" w:hAnsi="Arial" w:cs="Arial"/>
          <w:sz w:val="24"/>
          <w:szCs w:val="24"/>
        </w:rPr>
      </w:pPr>
      <w:r w:rsidRPr="00D00EB9">
        <w:rPr>
          <w:rFonts w:ascii="Arial" w:hAnsi="Arial" w:cs="Arial"/>
          <w:sz w:val="24"/>
          <w:szCs w:val="24"/>
        </w:rPr>
        <w:t>The Medical Officer at the I</w:t>
      </w:r>
      <w:r w:rsidR="00025D72" w:rsidRPr="00D00EB9">
        <w:rPr>
          <w:rFonts w:ascii="Arial" w:hAnsi="Arial" w:cs="Arial"/>
          <w:sz w:val="24"/>
          <w:szCs w:val="24"/>
        </w:rPr>
        <w:t xml:space="preserve">nfirmary reported </w:t>
      </w:r>
      <w:r w:rsidRPr="00D00EB9">
        <w:rPr>
          <w:rFonts w:ascii="Arial" w:hAnsi="Arial" w:cs="Arial"/>
          <w:sz w:val="24"/>
          <w:szCs w:val="24"/>
        </w:rPr>
        <w:t xml:space="preserve">on </w:t>
      </w:r>
      <w:r w:rsidR="00CE0253">
        <w:rPr>
          <w:rFonts w:ascii="Arial" w:hAnsi="Arial" w:cs="Arial"/>
          <w:sz w:val="24"/>
          <w:szCs w:val="24"/>
        </w:rPr>
        <w:t xml:space="preserve">the </w:t>
      </w:r>
      <w:r w:rsidR="00025D72" w:rsidRPr="00D00EB9">
        <w:rPr>
          <w:rFonts w:ascii="Arial" w:hAnsi="Arial" w:cs="Arial"/>
          <w:sz w:val="24"/>
          <w:szCs w:val="24"/>
        </w:rPr>
        <w:t>28</w:t>
      </w:r>
      <w:r w:rsidR="00C22DA4" w:rsidRPr="00C22DA4">
        <w:rPr>
          <w:rFonts w:ascii="Arial" w:hAnsi="Arial" w:cs="Arial"/>
          <w:sz w:val="24"/>
          <w:szCs w:val="24"/>
          <w:vertAlign w:val="superscript"/>
        </w:rPr>
        <w:t>th</w:t>
      </w:r>
      <w:r w:rsidR="00CE0253">
        <w:rPr>
          <w:rFonts w:ascii="Arial" w:hAnsi="Arial" w:cs="Arial"/>
          <w:sz w:val="24"/>
          <w:szCs w:val="24"/>
        </w:rPr>
        <w:t xml:space="preserve"> of</w:t>
      </w:r>
      <w:r w:rsidR="00025D72" w:rsidRPr="00D00EB9">
        <w:rPr>
          <w:rFonts w:ascii="Arial" w:hAnsi="Arial" w:cs="Arial"/>
          <w:sz w:val="24"/>
          <w:szCs w:val="24"/>
        </w:rPr>
        <w:t xml:space="preserve"> Feb</w:t>
      </w:r>
      <w:r w:rsidRPr="00D00EB9">
        <w:rPr>
          <w:rFonts w:ascii="Arial" w:hAnsi="Arial" w:cs="Arial"/>
          <w:sz w:val="24"/>
          <w:szCs w:val="24"/>
        </w:rPr>
        <w:t>ruary</w:t>
      </w:r>
      <w:r w:rsidR="00025D72" w:rsidRPr="00D00EB9">
        <w:rPr>
          <w:rFonts w:ascii="Arial" w:hAnsi="Arial" w:cs="Arial"/>
          <w:sz w:val="24"/>
          <w:szCs w:val="24"/>
        </w:rPr>
        <w:t xml:space="preserve"> 1879 that</w:t>
      </w:r>
      <w:r w:rsidR="00D62DF8" w:rsidRPr="00D00EB9">
        <w:rPr>
          <w:rFonts w:ascii="Arial" w:hAnsi="Arial" w:cs="Arial"/>
          <w:sz w:val="24"/>
          <w:szCs w:val="24"/>
        </w:rPr>
        <w:t>:</w:t>
      </w:r>
    </w:p>
    <w:p w:rsidR="00D62DF8" w:rsidRPr="00D00EB9" w:rsidRDefault="00D62DF8" w:rsidP="0058654F">
      <w:pPr>
        <w:tabs>
          <w:tab w:val="left" w:pos="2854"/>
        </w:tabs>
        <w:spacing w:after="0" w:line="480" w:lineRule="auto"/>
        <w:contextualSpacing/>
        <w:jc w:val="both"/>
        <w:rPr>
          <w:rFonts w:ascii="Arial" w:hAnsi="Arial" w:cs="Arial"/>
          <w:sz w:val="24"/>
          <w:szCs w:val="24"/>
        </w:rPr>
      </w:pPr>
    </w:p>
    <w:p w:rsidR="00D62DF8" w:rsidRPr="00D00EB9" w:rsidRDefault="00D62DF8" w:rsidP="00CE0253">
      <w:pPr>
        <w:tabs>
          <w:tab w:val="left" w:pos="2854"/>
          <w:tab w:val="left" w:pos="8505"/>
        </w:tabs>
        <w:spacing w:after="0" w:line="360" w:lineRule="auto"/>
        <w:ind w:left="567" w:right="522"/>
        <w:contextualSpacing/>
        <w:jc w:val="both"/>
        <w:rPr>
          <w:rFonts w:ascii="Arial" w:hAnsi="Arial" w:cs="Arial"/>
          <w:sz w:val="24"/>
          <w:szCs w:val="24"/>
        </w:rPr>
      </w:pPr>
      <w:r w:rsidRPr="00D00EB9">
        <w:rPr>
          <w:rFonts w:ascii="Arial" w:hAnsi="Arial" w:cs="Arial"/>
          <w:sz w:val="24"/>
          <w:szCs w:val="24"/>
        </w:rPr>
        <w:t>S</w:t>
      </w:r>
      <w:r w:rsidR="00025D72" w:rsidRPr="00D00EB9">
        <w:rPr>
          <w:rFonts w:ascii="Arial" w:hAnsi="Arial" w:cs="Arial"/>
          <w:sz w:val="24"/>
          <w:szCs w:val="24"/>
        </w:rPr>
        <w:t xml:space="preserve">oon after her arrival in Millbank </w:t>
      </w:r>
      <w:r w:rsidR="00F00FD6" w:rsidRPr="00D00EB9">
        <w:rPr>
          <w:rFonts w:ascii="Arial" w:hAnsi="Arial" w:cs="Arial"/>
          <w:sz w:val="24"/>
          <w:szCs w:val="24"/>
        </w:rPr>
        <w:t>Julia</w:t>
      </w:r>
      <w:r w:rsidR="00025D72" w:rsidRPr="00D00EB9">
        <w:rPr>
          <w:rFonts w:ascii="Arial" w:hAnsi="Arial" w:cs="Arial"/>
          <w:sz w:val="24"/>
          <w:szCs w:val="24"/>
        </w:rPr>
        <w:t xml:space="preserve"> </w:t>
      </w:r>
      <w:r w:rsidR="00DA0B5A" w:rsidRPr="00D00EB9">
        <w:rPr>
          <w:rFonts w:ascii="Arial" w:hAnsi="Arial" w:cs="Arial"/>
          <w:sz w:val="24"/>
          <w:szCs w:val="24"/>
        </w:rPr>
        <w:t>‘</w:t>
      </w:r>
      <w:r w:rsidR="00025D72" w:rsidRPr="00D00EB9">
        <w:rPr>
          <w:rFonts w:ascii="Arial" w:hAnsi="Arial" w:cs="Arial"/>
          <w:sz w:val="24"/>
          <w:szCs w:val="24"/>
        </w:rPr>
        <w:t>broke out</w:t>
      </w:r>
      <w:r w:rsidR="00DA0B5A" w:rsidRPr="00D00EB9">
        <w:rPr>
          <w:rFonts w:ascii="Arial" w:hAnsi="Arial" w:cs="Arial"/>
          <w:sz w:val="24"/>
          <w:szCs w:val="24"/>
        </w:rPr>
        <w:t>’</w:t>
      </w:r>
      <w:r w:rsidR="00025D72" w:rsidRPr="00D00EB9">
        <w:rPr>
          <w:rFonts w:ascii="Arial" w:hAnsi="Arial" w:cs="Arial"/>
          <w:sz w:val="24"/>
          <w:szCs w:val="24"/>
        </w:rPr>
        <w:t xml:space="preserve"> and it was only after effectual restraint in jacket and ankle straps that she was subdued.  For many weeks </w:t>
      </w:r>
      <w:proofErr w:type="gramStart"/>
      <w:r w:rsidR="00025D72" w:rsidRPr="00D00EB9">
        <w:rPr>
          <w:rFonts w:ascii="Arial" w:hAnsi="Arial" w:cs="Arial"/>
          <w:sz w:val="24"/>
          <w:szCs w:val="24"/>
        </w:rPr>
        <w:t>past</w:t>
      </w:r>
      <w:proofErr w:type="gramEnd"/>
      <w:r w:rsidR="00025D72" w:rsidRPr="00D00EB9">
        <w:rPr>
          <w:rFonts w:ascii="Arial" w:hAnsi="Arial" w:cs="Arial"/>
          <w:sz w:val="24"/>
          <w:szCs w:val="24"/>
        </w:rPr>
        <w:t xml:space="preserve"> she has been more manageable, although it has been necessary to grant her some indulgence in her diet.  She is passionate, wilful, and impatient, and she complained much of pain in the top of her head.  Her mental and physical disorders are aggravated if not caused by derangement in her uterine functions.</w:t>
      </w:r>
      <w:r w:rsidR="00DD4565">
        <w:rPr>
          <w:rStyle w:val="EndnoteReference"/>
          <w:rFonts w:ascii="Arial" w:hAnsi="Arial" w:cs="Arial"/>
          <w:sz w:val="24"/>
          <w:szCs w:val="24"/>
        </w:rPr>
        <w:endnoteReference w:id="38"/>
      </w:r>
      <w:r w:rsidR="00026C45" w:rsidRPr="00D00EB9">
        <w:rPr>
          <w:rFonts w:ascii="Arial" w:hAnsi="Arial" w:cs="Arial"/>
          <w:sz w:val="24"/>
          <w:szCs w:val="24"/>
        </w:rPr>
        <w:t xml:space="preserve"> </w:t>
      </w:r>
    </w:p>
    <w:p w:rsidR="00D62DF8" w:rsidRPr="00D00EB9" w:rsidRDefault="00D62DF8" w:rsidP="0058654F">
      <w:pPr>
        <w:tabs>
          <w:tab w:val="left" w:pos="2854"/>
        </w:tabs>
        <w:spacing w:after="0" w:line="480" w:lineRule="auto"/>
        <w:contextualSpacing/>
        <w:jc w:val="both"/>
        <w:rPr>
          <w:rFonts w:ascii="Arial" w:hAnsi="Arial" w:cs="Arial"/>
          <w:sz w:val="24"/>
          <w:szCs w:val="24"/>
        </w:rPr>
      </w:pPr>
    </w:p>
    <w:p w:rsidR="00C84A1D" w:rsidRPr="00D00EB9" w:rsidRDefault="00CE0253" w:rsidP="0058654F">
      <w:pPr>
        <w:tabs>
          <w:tab w:val="left" w:pos="2854"/>
        </w:tabs>
        <w:spacing w:after="0" w:line="480" w:lineRule="auto"/>
        <w:contextualSpacing/>
        <w:jc w:val="both"/>
        <w:rPr>
          <w:rFonts w:ascii="Arial" w:hAnsi="Arial" w:cs="Arial"/>
          <w:sz w:val="24"/>
          <w:szCs w:val="24"/>
        </w:rPr>
      </w:pPr>
      <w:r>
        <w:rPr>
          <w:rFonts w:ascii="Arial" w:hAnsi="Arial" w:cs="Arial"/>
          <w:sz w:val="24"/>
          <w:szCs w:val="24"/>
        </w:rPr>
        <w:t>Julia Hyland</w:t>
      </w:r>
      <w:r w:rsidRPr="00D00EB9">
        <w:rPr>
          <w:rFonts w:ascii="Arial" w:hAnsi="Arial" w:cs="Arial"/>
          <w:sz w:val="24"/>
          <w:szCs w:val="24"/>
        </w:rPr>
        <w:t xml:space="preserve"> </w:t>
      </w:r>
      <w:r w:rsidR="00026C45" w:rsidRPr="00D00EB9">
        <w:rPr>
          <w:rFonts w:ascii="Arial" w:hAnsi="Arial" w:cs="Arial"/>
          <w:sz w:val="24"/>
          <w:szCs w:val="24"/>
        </w:rPr>
        <w:t xml:space="preserve">was </w:t>
      </w:r>
      <w:r w:rsidR="005D5EC2" w:rsidRPr="00D00EB9">
        <w:rPr>
          <w:rFonts w:ascii="Arial" w:hAnsi="Arial" w:cs="Arial"/>
          <w:sz w:val="24"/>
          <w:szCs w:val="24"/>
        </w:rPr>
        <w:t xml:space="preserve">moved to Woking Prison </w:t>
      </w:r>
      <w:r w:rsidR="00DD4565">
        <w:rPr>
          <w:rFonts w:ascii="Arial" w:hAnsi="Arial" w:cs="Arial"/>
          <w:sz w:val="24"/>
          <w:szCs w:val="24"/>
        </w:rPr>
        <w:t xml:space="preserve">in May 1879, </w:t>
      </w:r>
      <w:r w:rsidR="005D5EC2" w:rsidRPr="00D00EB9">
        <w:rPr>
          <w:rFonts w:ascii="Arial" w:hAnsi="Arial" w:cs="Arial"/>
          <w:sz w:val="24"/>
          <w:szCs w:val="24"/>
        </w:rPr>
        <w:t xml:space="preserve">to be </w:t>
      </w:r>
      <w:r w:rsidR="00026C45" w:rsidRPr="00D00EB9">
        <w:rPr>
          <w:rFonts w:ascii="Arial" w:hAnsi="Arial" w:cs="Arial"/>
          <w:sz w:val="24"/>
          <w:szCs w:val="24"/>
        </w:rPr>
        <w:t xml:space="preserve">kept under further </w:t>
      </w:r>
      <w:r w:rsidR="00025D72" w:rsidRPr="00D00EB9">
        <w:rPr>
          <w:rFonts w:ascii="Arial" w:hAnsi="Arial" w:cs="Arial"/>
          <w:sz w:val="24"/>
          <w:szCs w:val="24"/>
        </w:rPr>
        <w:t>medical observation</w:t>
      </w:r>
      <w:r w:rsidR="00026C45" w:rsidRPr="00D00EB9">
        <w:rPr>
          <w:rFonts w:ascii="Arial" w:hAnsi="Arial" w:cs="Arial"/>
          <w:sz w:val="24"/>
          <w:szCs w:val="24"/>
        </w:rPr>
        <w:t>.</w:t>
      </w:r>
      <w:r w:rsidR="00DD4565">
        <w:rPr>
          <w:rStyle w:val="EndnoteReference"/>
          <w:rFonts w:ascii="Arial" w:hAnsi="Arial" w:cs="Arial"/>
          <w:sz w:val="24"/>
          <w:szCs w:val="24"/>
        </w:rPr>
        <w:endnoteReference w:id="39"/>
      </w:r>
      <w:r w:rsidR="00D62DF8" w:rsidRPr="00D00EB9">
        <w:rPr>
          <w:rFonts w:ascii="Arial" w:hAnsi="Arial" w:cs="Arial"/>
          <w:sz w:val="24"/>
          <w:szCs w:val="24"/>
        </w:rPr>
        <w:t xml:space="preserve"> </w:t>
      </w:r>
      <w:r w:rsidR="00DD4565">
        <w:rPr>
          <w:rFonts w:ascii="Arial" w:hAnsi="Arial" w:cs="Arial"/>
          <w:sz w:val="24"/>
          <w:szCs w:val="24"/>
        </w:rPr>
        <w:t xml:space="preserve"> Woking prison served as a public works prison for women but also held those under medical observation.  </w:t>
      </w:r>
      <w:r w:rsidR="005D5EC2" w:rsidRPr="00D00EB9">
        <w:rPr>
          <w:rFonts w:ascii="Arial" w:hAnsi="Arial" w:cs="Arial"/>
          <w:sz w:val="24"/>
          <w:szCs w:val="24"/>
        </w:rPr>
        <w:t xml:space="preserve">By this </w:t>
      </w:r>
      <w:proofErr w:type="gramStart"/>
      <w:r w:rsidR="005D5EC2" w:rsidRPr="00D00EB9">
        <w:rPr>
          <w:rFonts w:ascii="Arial" w:hAnsi="Arial" w:cs="Arial"/>
          <w:sz w:val="24"/>
          <w:szCs w:val="24"/>
        </w:rPr>
        <w:t>time</w:t>
      </w:r>
      <w:proofErr w:type="gramEnd"/>
      <w:r w:rsidR="005D5EC2" w:rsidRPr="00D00EB9">
        <w:rPr>
          <w:rFonts w:ascii="Arial" w:hAnsi="Arial" w:cs="Arial"/>
          <w:sz w:val="24"/>
          <w:szCs w:val="24"/>
        </w:rPr>
        <w:t xml:space="preserve"> she had committed over thirty prison offences and lost nearly one a</w:t>
      </w:r>
      <w:r w:rsidR="004008E1" w:rsidRPr="00D00EB9">
        <w:rPr>
          <w:rFonts w:ascii="Arial" w:hAnsi="Arial" w:cs="Arial"/>
          <w:sz w:val="24"/>
          <w:szCs w:val="24"/>
        </w:rPr>
        <w:t>nd a</w:t>
      </w:r>
      <w:r w:rsidR="005D5EC2" w:rsidRPr="00D00EB9">
        <w:rPr>
          <w:rFonts w:ascii="Arial" w:hAnsi="Arial" w:cs="Arial"/>
          <w:sz w:val="24"/>
          <w:szCs w:val="24"/>
        </w:rPr>
        <w:t xml:space="preserve"> half year</w:t>
      </w:r>
      <w:r w:rsidR="00014D97" w:rsidRPr="00D00EB9">
        <w:rPr>
          <w:rFonts w:ascii="Arial" w:hAnsi="Arial" w:cs="Arial"/>
          <w:sz w:val="24"/>
          <w:szCs w:val="24"/>
        </w:rPr>
        <w:t>’</w:t>
      </w:r>
      <w:r w:rsidR="005D5EC2" w:rsidRPr="00D00EB9">
        <w:rPr>
          <w:rFonts w:ascii="Arial" w:hAnsi="Arial" w:cs="Arial"/>
          <w:sz w:val="24"/>
          <w:szCs w:val="24"/>
        </w:rPr>
        <w:t>s remission.</w:t>
      </w:r>
      <w:r w:rsidR="00FC6FB6" w:rsidRPr="00D00EB9">
        <w:rPr>
          <w:rFonts w:ascii="Arial" w:hAnsi="Arial" w:cs="Arial"/>
          <w:sz w:val="24"/>
          <w:szCs w:val="24"/>
        </w:rPr>
        <w:t xml:space="preserve"> Her troubles had not ended. </w:t>
      </w:r>
      <w:r w:rsidR="005D5EC2" w:rsidRPr="00D00EB9">
        <w:rPr>
          <w:rFonts w:ascii="Arial" w:hAnsi="Arial" w:cs="Arial"/>
          <w:sz w:val="24"/>
          <w:szCs w:val="24"/>
        </w:rPr>
        <w:t xml:space="preserve">She was punished for </w:t>
      </w:r>
      <w:r w:rsidR="00FA122E" w:rsidRPr="00D00EB9">
        <w:rPr>
          <w:rFonts w:ascii="Arial" w:hAnsi="Arial" w:cs="Arial"/>
          <w:sz w:val="24"/>
          <w:szCs w:val="24"/>
        </w:rPr>
        <w:t xml:space="preserve">yet </w:t>
      </w:r>
      <w:r w:rsidR="005D5EC2" w:rsidRPr="00D00EB9">
        <w:rPr>
          <w:rFonts w:ascii="Arial" w:hAnsi="Arial" w:cs="Arial"/>
          <w:sz w:val="24"/>
          <w:szCs w:val="24"/>
        </w:rPr>
        <w:t>another set of offences committed in her first months in Woking, and she continued to be treated for pains in her head and general debilities.</w:t>
      </w:r>
      <w:r w:rsidR="00DD4565">
        <w:rPr>
          <w:rStyle w:val="EndnoteReference"/>
          <w:rFonts w:ascii="Arial" w:hAnsi="Arial" w:cs="Arial"/>
          <w:sz w:val="24"/>
          <w:szCs w:val="24"/>
        </w:rPr>
        <w:endnoteReference w:id="40"/>
      </w:r>
      <w:r w:rsidR="005D5EC2" w:rsidRPr="00D00EB9">
        <w:rPr>
          <w:rFonts w:ascii="Arial" w:hAnsi="Arial" w:cs="Arial"/>
          <w:sz w:val="24"/>
          <w:szCs w:val="24"/>
        </w:rPr>
        <w:t xml:space="preserve"> </w:t>
      </w:r>
      <w:r>
        <w:rPr>
          <w:rFonts w:ascii="Arial" w:hAnsi="Arial" w:cs="Arial"/>
          <w:sz w:val="24"/>
          <w:szCs w:val="24"/>
        </w:rPr>
        <w:t>For instance, s</w:t>
      </w:r>
      <w:r w:rsidR="005D5EC2" w:rsidRPr="00D00EB9">
        <w:rPr>
          <w:rFonts w:ascii="Arial" w:hAnsi="Arial" w:cs="Arial"/>
          <w:sz w:val="24"/>
          <w:szCs w:val="24"/>
        </w:rPr>
        <w:t xml:space="preserve">he </w:t>
      </w:r>
      <w:r w:rsidR="00C84A1D" w:rsidRPr="00D00EB9">
        <w:rPr>
          <w:rFonts w:ascii="Arial" w:hAnsi="Arial" w:cs="Arial"/>
          <w:sz w:val="24"/>
          <w:szCs w:val="24"/>
        </w:rPr>
        <w:t xml:space="preserve">was punished for feigning a suicide attempt, and was yet </w:t>
      </w:r>
      <w:r w:rsidR="00D62DF8" w:rsidRPr="00D00EB9">
        <w:rPr>
          <w:rFonts w:ascii="Arial" w:hAnsi="Arial" w:cs="Arial"/>
          <w:sz w:val="24"/>
          <w:szCs w:val="24"/>
        </w:rPr>
        <w:t>again forced to wear the canvas</w:t>
      </w:r>
      <w:r w:rsidR="00C84A1D" w:rsidRPr="00D00EB9">
        <w:rPr>
          <w:rFonts w:ascii="Arial" w:hAnsi="Arial" w:cs="Arial"/>
          <w:sz w:val="24"/>
          <w:szCs w:val="24"/>
        </w:rPr>
        <w:t xml:space="preserve"> dress.</w:t>
      </w:r>
      <w:r w:rsidR="00971495">
        <w:rPr>
          <w:rStyle w:val="EndnoteReference"/>
          <w:rFonts w:ascii="Arial" w:hAnsi="Arial" w:cs="Arial"/>
          <w:sz w:val="24"/>
          <w:szCs w:val="24"/>
        </w:rPr>
        <w:endnoteReference w:id="41"/>
      </w:r>
      <w:r w:rsidR="00C84A1D" w:rsidRPr="00D00EB9">
        <w:rPr>
          <w:rFonts w:ascii="Arial" w:hAnsi="Arial" w:cs="Arial"/>
          <w:sz w:val="24"/>
          <w:szCs w:val="24"/>
        </w:rPr>
        <w:t xml:space="preserve"> Further </w:t>
      </w:r>
      <w:r w:rsidR="00014D97" w:rsidRPr="00D00EB9">
        <w:rPr>
          <w:rFonts w:ascii="Arial" w:hAnsi="Arial" w:cs="Arial"/>
          <w:sz w:val="24"/>
          <w:szCs w:val="24"/>
        </w:rPr>
        <w:t>‘</w:t>
      </w:r>
      <w:r w:rsidR="00C84A1D" w:rsidRPr="00D00EB9">
        <w:rPr>
          <w:rFonts w:ascii="Arial" w:hAnsi="Arial" w:cs="Arial"/>
          <w:sz w:val="24"/>
          <w:szCs w:val="24"/>
        </w:rPr>
        <w:t>feigned</w:t>
      </w:r>
      <w:r w:rsidR="00014D97" w:rsidRPr="00D00EB9">
        <w:rPr>
          <w:rFonts w:ascii="Arial" w:hAnsi="Arial" w:cs="Arial"/>
          <w:sz w:val="24"/>
          <w:szCs w:val="24"/>
        </w:rPr>
        <w:t>’</w:t>
      </w:r>
      <w:r w:rsidR="00C84A1D" w:rsidRPr="00D00EB9">
        <w:rPr>
          <w:rFonts w:ascii="Arial" w:hAnsi="Arial" w:cs="Arial"/>
          <w:sz w:val="24"/>
          <w:szCs w:val="24"/>
        </w:rPr>
        <w:t xml:space="preserve"> su</w:t>
      </w:r>
      <w:r w:rsidR="004008E1" w:rsidRPr="00D00EB9">
        <w:rPr>
          <w:rFonts w:ascii="Arial" w:hAnsi="Arial" w:cs="Arial"/>
          <w:sz w:val="24"/>
          <w:szCs w:val="24"/>
        </w:rPr>
        <w:t>icide attempts followed, and</w:t>
      </w:r>
      <w:r w:rsidR="00C84A1D" w:rsidRPr="00D00EB9">
        <w:rPr>
          <w:rFonts w:ascii="Arial" w:hAnsi="Arial" w:cs="Arial"/>
          <w:sz w:val="24"/>
          <w:szCs w:val="24"/>
        </w:rPr>
        <w:t xml:space="preserve"> her health started to fail. She was treated for </w:t>
      </w:r>
      <w:proofErr w:type="spellStart"/>
      <w:r w:rsidR="00C84A1D" w:rsidRPr="00D00EB9">
        <w:rPr>
          <w:rFonts w:ascii="Arial" w:hAnsi="Arial" w:cs="Arial"/>
          <w:sz w:val="24"/>
          <w:szCs w:val="24"/>
        </w:rPr>
        <w:t>pleurodynia</w:t>
      </w:r>
      <w:proofErr w:type="spellEnd"/>
      <w:r w:rsidR="00C84A1D" w:rsidRPr="00D00EB9">
        <w:rPr>
          <w:rFonts w:ascii="Arial" w:hAnsi="Arial" w:cs="Arial"/>
          <w:sz w:val="24"/>
          <w:szCs w:val="24"/>
        </w:rPr>
        <w:t xml:space="preserve"> (painful breathing), and cephalalgia (pains in the head).</w:t>
      </w:r>
      <w:r w:rsidR="00971495">
        <w:rPr>
          <w:rStyle w:val="EndnoteReference"/>
          <w:rFonts w:ascii="Arial" w:hAnsi="Arial" w:cs="Arial"/>
          <w:sz w:val="24"/>
          <w:szCs w:val="24"/>
        </w:rPr>
        <w:endnoteReference w:id="42"/>
      </w:r>
      <w:r w:rsidR="00C84A1D" w:rsidRPr="00D00EB9">
        <w:rPr>
          <w:rFonts w:ascii="Arial" w:hAnsi="Arial" w:cs="Arial"/>
          <w:sz w:val="24"/>
          <w:szCs w:val="24"/>
        </w:rPr>
        <w:t xml:space="preserve"> Her reques</w:t>
      </w:r>
      <w:r w:rsidR="004008E1" w:rsidRPr="00D00EB9">
        <w:rPr>
          <w:rFonts w:ascii="Arial" w:hAnsi="Arial" w:cs="Arial"/>
          <w:sz w:val="24"/>
          <w:szCs w:val="24"/>
        </w:rPr>
        <w:t>ts to have the canva</w:t>
      </w:r>
      <w:r w:rsidR="00C84A1D" w:rsidRPr="00D00EB9">
        <w:rPr>
          <w:rFonts w:ascii="Arial" w:hAnsi="Arial" w:cs="Arial"/>
          <w:sz w:val="24"/>
          <w:szCs w:val="24"/>
        </w:rPr>
        <w:t xml:space="preserve">s dress removed were denied until August 1879 </w:t>
      </w:r>
      <w:r w:rsidR="00076C95" w:rsidRPr="00D00EB9">
        <w:rPr>
          <w:rFonts w:ascii="Arial" w:hAnsi="Arial" w:cs="Arial"/>
          <w:sz w:val="24"/>
          <w:szCs w:val="24"/>
        </w:rPr>
        <w:t xml:space="preserve">at which </w:t>
      </w:r>
      <w:proofErr w:type="gramStart"/>
      <w:r w:rsidR="00076C95" w:rsidRPr="00D00EB9">
        <w:rPr>
          <w:rFonts w:ascii="Arial" w:hAnsi="Arial" w:cs="Arial"/>
          <w:sz w:val="24"/>
          <w:szCs w:val="24"/>
        </w:rPr>
        <w:t>point</w:t>
      </w:r>
      <w:proofErr w:type="gramEnd"/>
      <w:r w:rsidR="00C84A1D" w:rsidRPr="00D00EB9">
        <w:rPr>
          <w:rFonts w:ascii="Arial" w:hAnsi="Arial" w:cs="Arial"/>
          <w:sz w:val="24"/>
          <w:szCs w:val="24"/>
        </w:rPr>
        <w:t xml:space="preserve"> she had been wearing it for three months.</w:t>
      </w:r>
      <w:r w:rsidR="00971495">
        <w:rPr>
          <w:rStyle w:val="EndnoteReference"/>
          <w:rFonts w:ascii="Arial" w:hAnsi="Arial" w:cs="Arial"/>
          <w:sz w:val="24"/>
          <w:szCs w:val="24"/>
        </w:rPr>
        <w:endnoteReference w:id="43"/>
      </w:r>
      <w:r w:rsidR="00E4036A" w:rsidRPr="00D00EB9">
        <w:rPr>
          <w:rFonts w:ascii="Arial" w:hAnsi="Arial" w:cs="Arial"/>
          <w:sz w:val="24"/>
          <w:szCs w:val="24"/>
        </w:rPr>
        <w:t xml:space="preserve"> </w:t>
      </w:r>
    </w:p>
    <w:p w:rsidR="00456AEF" w:rsidRPr="00D00EB9" w:rsidRDefault="00456AEF" w:rsidP="0058654F">
      <w:pPr>
        <w:tabs>
          <w:tab w:val="left" w:pos="2854"/>
        </w:tabs>
        <w:spacing w:after="0" w:line="480" w:lineRule="auto"/>
        <w:contextualSpacing/>
        <w:jc w:val="both"/>
        <w:rPr>
          <w:rFonts w:ascii="Arial" w:hAnsi="Arial" w:cs="Arial"/>
          <w:sz w:val="24"/>
          <w:szCs w:val="24"/>
        </w:rPr>
      </w:pPr>
    </w:p>
    <w:p w:rsidR="00E11BB6" w:rsidRPr="00D00EB9" w:rsidRDefault="00E4036A" w:rsidP="0058654F">
      <w:pPr>
        <w:spacing w:after="0" w:line="480" w:lineRule="auto"/>
        <w:contextualSpacing/>
        <w:jc w:val="both"/>
        <w:rPr>
          <w:rFonts w:ascii="Arial" w:hAnsi="Arial" w:cs="Arial"/>
          <w:sz w:val="24"/>
          <w:szCs w:val="24"/>
        </w:rPr>
      </w:pPr>
      <w:r w:rsidRPr="00D00EB9">
        <w:rPr>
          <w:rFonts w:ascii="Arial" w:hAnsi="Arial" w:cs="Arial"/>
          <w:sz w:val="24"/>
          <w:szCs w:val="24"/>
        </w:rPr>
        <w:lastRenderedPageBreak/>
        <w:t xml:space="preserve">None of the punishments </w:t>
      </w:r>
      <w:r w:rsidR="00076C95" w:rsidRPr="00D00EB9">
        <w:rPr>
          <w:rFonts w:ascii="Arial" w:hAnsi="Arial" w:cs="Arial"/>
          <w:sz w:val="24"/>
          <w:szCs w:val="24"/>
        </w:rPr>
        <w:t xml:space="preserve">that were imposed on her, or the restraints </w:t>
      </w:r>
      <w:r w:rsidR="00CE0253">
        <w:rPr>
          <w:rFonts w:ascii="Arial" w:hAnsi="Arial" w:cs="Arial"/>
          <w:sz w:val="24"/>
          <w:szCs w:val="24"/>
        </w:rPr>
        <w:t xml:space="preserve">that </w:t>
      </w:r>
      <w:r w:rsidRPr="00D00EB9">
        <w:rPr>
          <w:rFonts w:ascii="Arial" w:hAnsi="Arial" w:cs="Arial"/>
          <w:sz w:val="24"/>
          <w:szCs w:val="24"/>
        </w:rPr>
        <w:t>she endured</w:t>
      </w:r>
      <w:r w:rsidR="00076C95" w:rsidRPr="00D00EB9">
        <w:rPr>
          <w:rFonts w:ascii="Arial" w:hAnsi="Arial" w:cs="Arial"/>
          <w:sz w:val="24"/>
          <w:szCs w:val="24"/>
        </w:rPr>
        <w:t>,</w:t>
      </w:r>
      <w:r w:rsidRPr="00D00EB9">
        <w:rPr>
          <w:rFonts w:ascii="Arial" w:hAnsi="Arial" w:cs="Arial"/>
          <w:sz w:val="24"/>
          <w:szCs w:val="24"/>
        </w:rPr>
        <w:t xml:space="preserve"> stopped </w:t>
      </w:r>
      <w:r w:rsidR="00CE0253">
        <w:rPr>
          <w:rFonts w:ascii="Arial" w:hAnsi="Arial" w:cs="Arial"/>
          <w:sz w:val="24"/>
          <w:szCs w:val="24"/>
        </w:rPr>
        <w:t>Julia</w:t>
      </w:r>
      <w:r w:rsidR="00CE0253" w:rsidRPr="00D00EB9">
        <w:rPr>
          <w:rFonts w:ascii="Arial" w:hAnsi="Arial" w:cs="Arial"/>
          <w:sz w:val="24"/>
          <w:szCs w:val="24"/>
        </w:rPr>
        <w:t xml:space="preserve"> </w:t>
      </w:r>
      <w:r w:rsidR="00076C95" w:rsidRPr="00D00EB9">
        <w:rPr>
          <w:rFonts w:ascii="Arial" w:hAnsi="Arial" w:cs="Arial"/>
          <w:sz w:val="24"/>
          <w:szCs w:val="24"/>
        </w:rPr>
        <w:t xml:space="preserve">from </w:t>
      </w:r>
      <w:r w:rsidRPr="00D00EB9">
        <w:rPr>
          <w:rFonts w:ascii="Arial" w:hAnsi="Arial" w:cs="Arial"/>
          <w:sz w:val="24"/>
          <w:szCs w:val="24"/>
        </w:rPr>
        <w:t>getting in trouble with the prison authorities</w:t>
      </w:r>
      <w:r w:rsidR="00CE0253">
        <w:rPr>
          <w:rFonts w:ascii="Arial" w:hAnsi="Arial" w:cs="Arial"/>
          <w:sz w:val="24"/>
          <w:szCs w:val="24"/>
        </w:rPr>
        <w:t>, however</w:t>
      </w:r>
      <w:r w:rsidRPr="00D00EB9">
        <w:rPr>
          <w:rFonts w:ascii="Arial" w:hAnsi="Arial" w:cs="Arial"/>
          <w:sz w:val="24"/>
          <w:szCs w:val="24"/>
        </w:rPr>
        <w:t xml:space="preserve">. She suffered more bouts of solitary confinement and </w:t>
      </w:r>
      <w:r w:rsidR="00D62DF8" w:rsidRPr="00D00EB9">
        <w:rPr>
          <w:rFonts w:ascii="Arial" w:hAnsi="Arial" w:cs="Arial"/>
          <w:sz w:val="24"/>
          <w:szCs w:val="24"/>
        </w:rPr>
        <w:t xml:space="preserve">a diet of </w:t>
      </w:r>
      <w:r w:rsidRPr="00D00EB9">
        <w:rPr>
          <w:rFonts w:ascii="Arial" w:hAnsi="Arial" w:cs="Arial"/>
          <w:sz w:val="24"/>
          <w:szCs w:val="24"/>
        </w:rPr>
        <w:t xml:space="preserve">bread and water over </w:t>
      </w:r>
      <w:r w:rsidR="00CE0253">
        <w:rPr>
          <w:rFonts w:ascii="Arial" w:hAnsi="Arial" w:cs="Arial"/>
          <w:sz w:val="24"/>
          <w:szCs w:val="24"/>
        </w:rPr>
        <w:t>several</w:t>
      </w:r>
      <w:r w:rsidRPr="00D00EB9">
        <w:rPr>
          <w:rFonts w:ascii="Arial" w:hAnsi="Arial" w:cs="Arial"/>
          <w:sz w:val="24"/>
          <w:szCs w:val="24"/>
        </w:rPr>
        <w:t xml:space="preserve"> months, until 1880. </w:t>
      </w:r>
      <w:r w:rsidR="002C0B4C" w:rsidRPr="00D00EB9">
        <w:rPr>
          <w:rFonts w:ascii="Arial" w:hAnsi="Arial" w:cs="Arial"/>
          <w:sz w:val="24"/>
          <w:szCs w:val="24"/>
        </w:rPr>
        <w:t xml:space="preserve">Julia was </w:t>
      </w:r>
      <w:r w:rsidR="00051191" w:rsidRPr="00D00EB9">
        <w:rPr>
          <w:rFonts w:ascii="Arial" w:hAnsi="Arial" w:cs="Arial"/>
          <w:sz w:val="24"/>
          <w:szCs w:val="24"/>
        </w:rPr>
        <w:t xml:space="preserve">then </w:t>
      </w:r>
      <w:r w:rsidR="002C0B4C" w:rsidRPr="00D00EB9">
        <w:rPr>
          <w:rFonts w:ascii="Arial" w:hAnsi="Arial" w:cs="Arial"/>
          <w:sz w:val="24"/>
          <w:szCs w:val="24"/>
        </w:rPr>
        <w:t>discharged from invalid class because the authorities had decided</w:t>
      </w:r>
      <w:r w:rsidR="00CE0253">
        <w:rPr>
          <w:rFonts w:ascii="Arial" w:hAnsi="Arial" w:cs="Arial"/>
          <w:sz w:val="24"/>
          <w:szCs w:val="24"/>
        </w:rPr>
        <w:t xml:space="preserve"> that</w:t>
      </w:r>
      <w:r w:rsidR="002C0B4C" w:rsidRPr="00D00EB9">
        <w:rPr>
          <w:rFonts w:ascii="Arial" w:hAnsi="Arial" w:cs="Arial"/>
          <w:sz w:val="24"/>
          <w:szCs w:val="24"/>
        </w:rPr>
        <w:t xml:space="preserve"> </w:t>
      </w:r>
      <w:r w:rsidR="00E76A5D" w:rsidRPr="00D00EB9">
        <w:rPr>
          <w:rFonts w:ascii="Arial" w:hAnsi="Arial" w:cs="Arial"/>
          <w:sz w:val="24"/>
          <w:szCs w:val="24"/>
        </w:rPr>
        <w:t xml:space="preserve">although </w:t>
      </w:r>
      <w:r w:rsidR="002C0B4C" w:rsidRPr="00D00EB9">
        <w:rPr>
          <w:rFonts w:ascii="Arial" w:hAnsi="Arial" w:cs="Arial"/>
          <w:sz w:val="24"/>
          <w:szCs w:val="24"/>
        </w:rPr>
        <w:t>that Julia may be</w:t>
      </w:r>
      <w:r w:rsidR="00E76A5D" w:rsidRPr="00D00EB9">
        <w:rPr>
          <w:rFonts w:ascii="Arial" w:hAnsi="Arial" w:cs="Arial"/>
          <w:sz w:val="24"/>
          <w:szCs w:val="24"/>
        </w:rPr>
        <w:t xml:space="preserve"> </w:t>
      </w:r>
      <w:r w:rsidR="00014D97" w:rsidRPr="00D00EB9">
        <w:rPr>
          <w:rFonts w:ascii="Arial" w:hAnsi="Arial" w:cs="Arial"/>
          <w:sz w:val="24"/>
          <w:szCs w:val="24"/>
        </w:rPr>
        <w:t>‘</w:t>
      </w:r>
      <w:r w:rsidR="00E76A5D" w:rsidRPr="00D00EB9">
        <w:rPr>
          <w:rFonts w:ascii="Arial" w:hAnsi="Arial" w:cs="Arial"/>
          <w:sz w:val="24"/>
          <w:szCs w:val="24"/>
        </w:rPr>
        <w:t>excitable</w:t>
      </w:r>
      <w:r w:rsidR="00014D97" w:rsidRPr="00D00EB9">
        <w:rPr>
          <w:rFonts w:ascii="Arial" w:hAnsi="Arial" w:cs="Arial"/>
          <w:sz w:val="24"/>
          <w:szCs w:val="24"/>
        </w:rPr>
        <w:t>’</w:t>
      </w:r>
      <w:r w:rsidR="00E76A5D" w:rsidRPr="00D00EB9">
        <w:rPr>
          <w:rFonts w:ascii="Arial" w:hAnsi="Arial" w:cs="Arial"/>
          <w:sz w:val="24"/>
          <w:szCs w:val="24"/>
        </w:rPr>
        <w:t xml:space="preserve">, she was otherwise </w:t>
      </w:r>
      <w:r w:rsidR="00014D97" w:rsidRPr="00D00EB9">
        <w:rPr>
          <w:rFonts w:ascii="Arial" w:hAnsi="Arial" w:cs="Arial"/>
          <w:sz w:val="24"/>
          <w:szCs w:val="24"/>
        </w:rPr>
        <w:t>‘</w:t>
      </w:r>
      <w:r w:rsidR="00E76A5D" w:rsidRPr="00D00EB9">
        <w:rPr>
          <w:rFonts w:ascii="Arial" w:hAnsi="Arial" w:cs="Arial"/>
          <w:sz w:val="24"/>
          <w:szCs w:val="24"/>
        </w:rPr>
        <w:t>sane</w:t>
      </w:r>
      <w:r w:rsidR="00014D97" w:rsidRPr="00D00EB9">
        <w:rPr>
          <w:rFonts w:ascii="Arial" w:hAnsi="Arial" w:cs="Arial"/>
          <w:sz w:val="24"/>
          <w:szCs w:val="24"/>
        </w:rPr>
        <w:t>’</w:t>
      </w:r>
      <w:r w:rsidR="00E76A5D" w:rsidRPr="00D00EB9">
        <w:rPr>
          <w:rFonts w:ascii="Arial" w:hAnsi="Arial" w:cs="Arial"/>
          <w:sz w:val="24"/>
          <w:szCs w:val="24"/>
        </w:rPr>
        <w:t>.</w:t>
      </w:r>
      <w:r w:rsidR="00971495">
        <w:rPr>
          <w:rStyle w:val="EndnoteReference"/>
          <w:rFonts w:ascii="Arial" w:hAnsi="Arial" w:cs="Arial"/>
          <w:sz w:val="24"/>
          <w:szCs w:val="24"/>
        </w:rPr>
        <w:endnoteReference w:id="44"/>
      </w:r>
      <w:r w:rsidR="00E76A5D" w:rsidRPr="00D00EB9">
        <w:rPr>
          <w:rFonts w:ascii="Arial" w:hAnsi="Arial" w:cs="Arial"/>
          <w:sz w:val="24"/>
          <w:szCs w:val="24"/>
        </w:rPr>
        <w:t xml:space="preserve"> </w:t>
      </w:r>
      <w:r w:rsidR="004008E1" w:rsidRPr="00D00EB9">
        <w:rPr>
          <w:rFonts w:ascii="Arial" w:hAnsi="Arial" w:cs="Arial"/>
          <w:sz w:val="24"/>
          <w:szCs w:val="24"/>
        </w:rPr>
        <w:t>She committed t</w:t>
      </w:r>
      <w:r w:rsidR="00F744BE" w:rsidRPr="00D00EB9">
        <w:rPr>
          <w:rFonts w:ascii="Arial" w:hAnsi="Arial" w:cs="Arial"/>
          <w:sz w:val="24"/>
          <w:szCs w:val="24"/>
        </w:rPr>
        <w:t xml:space="preserve">en more offences in 1881, some of which were extremely minor. On </w:t>
      </w:r>
      <w:r w:rsidR="00CE0253">
        <w:rPr>
          <w:rFonts w:ascii="Arial" w:hAnsi="Arial" w:cs="Arial"/>
          <w:sz w:val="24"/>
          <w:szCs w:val="24"/>
        </w:rPr>
        <w:t xml:space="preserve">the </w:t>
      </w:r>
      <w:r w:rsidR="00B37D80" w:rsidRPr="00D00EB9">
        <w:rPr>
          <w:rFonts w:ascii="Arial" w:hAnsi="Arial" w:cs="Arial"/>
          <w:sz w:val="24"/>
          <w:szCs w:val="24"/>
        </w:rPr>
        <w:t>19</w:t>
      </w:r>
      <w:r w:rsidR="00CE0253" w:rsidRPr="00CE0253">
        <w:rPr>
          <w:rFonts w:ascii="Arial" w:hAnsi="Arial" w:cs="Arial"/>
          <w:sz w:val="24"/>
          <w:szCs w:val="24"/>
          <w:vertAlign w:val="superscript"/>
        </w:rPr>
        <w:t>th</w:t>
      </w:r>
      <w:r w:rsidR="00CE0253">
        <w:rPr>
          <w:rFonts w:ascii="Arial" w:hAnsi="Arial" w:cs="Arial"/>
          <w:sz w:val="24"/>
          <w:szCs w:val="24"/>
        </w:rPr>
        <w:t xml:space="preserve"> of</w:t>
      </w:r>
      <w:r w:rsidR="00B37D80" w:rsidRPr="00D00EB9">
        <w:rPr>
          <w:rFonts w:ascii="Arial" w:hAnsi="Arial" w:cs="Arial"/>
          <w:sz w:val="24"/>
          <w:szCs w:val="24"/>
        </w:rPr>
        <w:t xml:space="preserve"> May </w:t>
      </w:r>
      <w:r w:rsidR="00051191" w:rsidRPr="00D00EB9">
        <w:rPr>
          <w:rFonts w:ascii="Arial" w:hAnsi="Arial" w:cs="Arial"/>
          <w:sz w:val="24"/>
          <w:szCs w:val="24"/>
        </w:rPr>
        <w:t>1881</w:t>
      </w:r>
      <w:r w:rsidR="00F744BE" w:rsidRPr="00D00EB9">
        <w:rPr>
          <w:rFonts w:ascii="Arial" w:hAnsi="Arial" w:cs="Arial"/>
          <w:sz w:val="24"/>
          <w:szCs w:val="24"/>
        </w:rPr>
        <w:t xml:space="preserve"> she was brought up for</w:t>
      </w:r>
      <w:r w:rsidR="00B37D80" w:rsidRPr="00D00EB9">
        <w:rPr>
          <w:rFonts w:ascii="Arial" w:hAnsi="Arial" w:cs="Arial"/>
          <w:sz w:val="24"/>
          <w:szCs w:val="24"/>
        </w:rPr>
        <w:t xml:space="preserve"> having extra items of wet clothing hangin</w:t>
      </w:r>
      <w:r w:rsidR="00F744BE" w:rsidRPr="00D00EB9">
        <w:rPr>
          <w:rFonts w:ascii="Arial" w:hAnsi="Arial" w:cs="Arial"/>
          <w:sz w:val="24"/>
          <w:szCs w:val="24"/>
        </w:rPr>
        <w:t xml:space="preserve">g on a line in the kitchen yard. She was removed from kitchen duties for this </w:t>
      </w:r>
      <w:r w:rsidR="00014D97" w:rsidRPr="00D00EB9">
        <w:rPr>
          <w:rFonts w:ascii="Arial" w:hAnsi="Arial" w:cs="Arial"/>
          <w:sz w:val="24"/>
          <w:szCs w:val="24"/>
        </w:rPr>
        <w:t>‘</w:t>
      </w:r>
      <w:r w:rsidR="00F744BE" w:rsidRPr="00D00EB9">
        <w:rPr>
          <w:rFonts w:ascii="Arial" w:hAnsi="Arial" w:cs="Arial"/>
          <w:sz w:val="24"/>
          <w:szCs w:val="24"/>
        </w:rPr>
        <w:t>offence</w:t>
      </w:r>
      <w:r w:rsidR="00014D97" w:rsidRPr="00D00EB9">
        <w:rPr>
          <w:rFonts w:ascii="Arial" w:hAnsi="Arial" w:cs="Arial"/>
          <w:sz w:val="24"/>
          <w:szCs w:val="24"/>
        </w:rPr>
        <w:t>’</w:t>
      </w:r>
      <w:r w:rsidR="008B15B1">
        <w:rPr>
          <w:rFonts w:ascii="Arial" w:hAnsi="Arial" w:cs="Arial"/>
          <w:sz w:val="24"/>
          <w:szCs w:val="24"/>
        </w:rPr>
        <w:t>. She also</w:t>
      </w:r>
      <w:r w:rsidR="00F744BE" w:rsidRPr="00D00EB9">
        <w:rPr>
          <w:rFonts w:ascii="Arial" w:hAnsi="Arial" w:cs="Arial"/>
          <w:sz w:val="24"/>
          <w:szCs w:val="24"/>
        </w:rPr>
        <w:t xml:space="preserve"> served another</w:t>
      </w:r>
      <w:r w:rsidR="00E11BB6" w:rsidRPr="00D00EB9">
        <w:rPr>
          <w:rFonts w:ascii="Arial" w:hAnsi="Arial" w:cs="Arial"/>
          <w:sz w:val="24"/>
          <w:szCs w:val="24"/>
        </w:rPr>
        <w:t xml:space="preserve"> three day</w:t>
      </w:r>
      <w:r w:rsidR="00F744BE" w:rsidRPr="00D00EB9">
        <w:rPr>
          <w:rFonts w:ascii="Arial" w:hAnsi="Arial" w:cs="Arial"/>
          <w:sz w:val="24"/>
          <w:szCs w:val="24"/>
        </w:rPr>
        <w:t>s</w:t>
      </w:r>
      <w:r w:rsidR="00014D97" w:rsidRPr="00D00EB9">
        <w:rPr>
          <w:rFonts w:ascii="Arial" w:hAnsi="Arial" w:cs="Arial"/>
          <w:sz w:val="24"/>
          <w:szCs w:val="24"/>
        </w:rPr>
        <w:t>’</w:t>
      </w:r>
      <w:r w:rsidR="00F744BE" w:rsidRPr="00D00EB9">
        <w:rPr>
          <w:rFonts w:ascii="Arial" w:hAnsi="Arial" w:cs="Arial"/>
          <w:sz w:val="24"/>
          <w:szCs w:val="24"/>
        </w:rPr>
        <w:t xml:space="preserve"> close confinement in her cell merely for singing at night.</w:t>
      </w:r>
      <w:r w:rsidR="00971495">
        <w:rPr>
          <w:rStyle w:val="EndnoteReference"/>
          <w:rFonts w:ascii="Arial" w:hAnsi="Arial" w:cs="Arial"/>
          <w:sz w:val="24"/>
          <w:szCs w:val="24"/>
        </w:rPr>
        <w:endnoteReference w:id="45"/>
      </w:r>
      <w:r w:rsidR="00F744BE" w:rsidRPr="00D00EB9">
        <w:rPr>
          <w:rFonts w:ascii="Arial" w:hAnsi="Arial" w:cs="Arial"/>
          <w:sz w:val="24"/>
          <w:szCs w:val="24"/>
        </w:rPr>
        <w:t xml:space="preserve"> </w:t>
      </w:r>
    </w:p>
    <w:p w:rsidR="00456AEF" w:rsidRPr="00D00EB9" w:rsidRDefault="00456AEF" w:rsidP="0058654F">
      <w:pPr>
        <w:spacing w:after="0" w:line="480" w:lineRule="auto"/>
        <w:contextualSpacing/>
        <w:jc w:val="both"/>
        <w:rPr>
          <w:rFonts w:ascii="Arial" w:hAnsi="Arial" w:cs="Arial"/>
          <w:sz w:val="24"/>
          <w:szCs w:val="24"/>
        </w:rPr>
      </w:pPr>
    </w:p>
    <w:p w:rsidR="00CD0D6F" w:rsidRPr="00D00EB9" w:rsidRDefault="00E11BB6" w:rsidP="0058654F">
      <w:pPr>
        <w:spacing w:after="0" w:line="480" w:lineRule="auto"/>
        <w:contextualSpacing/>
        <w:jc w:val="both"/>
        <w:rPr>
          <w:rFonts w:ascii="Arial" w:hAnsi="Arial" w:cs="Arial"/>
          <w:sz w:val="24"/>
          <w:szCs w:val="24"/>
        </w:rPr>
      </w:pPr>
      <w:r w:rsidRPr="00D00EB9">
        <w:rPr>
          <w:rFonts w:ascii="Arial" w:hAnsi="Arial" w:cs="Arial"/>
          <w:sz w:val="24"/>
          <w:szCs w:val="24"/>
        </w:rPr>
        <w:t>Julia was removed to Woking where she was treated for bronchitis in the infirmary. Due to her aggression towards w</w:t>
      </w:r>
      <w:r w:rsidR="004008E1" w:rsidRPr="00D00EB9">
        <w:rPr>
          <w:rFonts w:ascii="Arial" w:hAnsi="Arial" w:cs="Arial"/>
          <w:sz w:val="24"/>
          <w:szCs w:val="24"/>
        </w:rPr>
        <w:t>arders she was kept in a canvas</w:t>
      </w:r>
      <w:r w:rsidRPr="00D00EB9">
        <w:rPr>
          <w:rFonts w:ascii="Arial" w:hAnsi="Arial" w:cs="Arial"/>
          <w:sz w:val="24"/>
          <w:szCs w:val="24"/>
        </w:rPr>
        <w:t xml:space="preserve"> dress during her treatment, which cannot have aided her recovery.</w:t>
      </w:r>
      <w:r w:rsidR="00971495">
        <w:rPr>
          <w:rStyle w:val="EndnoteReference"/>
          <w:rFonts w:ascii="Arial" w:hAnsi="Arial" w:cs="Arial"/>
          <w:sz w:val="24"/>
          <w:szCs w:val="24"/>
        </w:rPr>
        <w:endnoteReference w:id="46"/>
      </w:r>
      <w:r w:rsidRPr="00D00EB9">
        <w:rPr>
          <w:rFonts w:ascii="Arial" w:hAnsi="Arial" w:cs="Arial"/>
          <w:sz w:val="24"/>
          <w:szCs w:val="24"/>
        </w:rPr>
        <w:t xml:space="preserve"> Nevertheless</w:t>
      </w:r>
      <w:r w:rsidR="008B15B1">
        <w:rPr>
          <w:rFonts w:ascii="Arial" w:hAnsi="Arial" w:cs="Arial"/>
          <w:sz w:val="24"/>
          <w:szCs w:val="24"/>
        </w:rPr>
        <w:t>,</w:t>
      </w:r>
      <w:r w:rsidRPr="00D00EB9">
        <w:rPr>
          <w:rFonts w:ascii="Arial" w:hAnsi="Arial" w:cs="Arial"/>
          <w:sz w:val="24"/>
          <w:szCs w:val="24"/>
        </w:rPr>
        <w:t xml:space="preserve"> she seems to have regained some of her strength as, in April, she </w:t>
      </w:r>
      <w:r w:rsidR="00014D97" w:rsidRPr="00D00EB9">
        <w:rPr>
          <w:rFonts w:ascii="Arial" w:hAnsi="Arial" w:cs="Arial"/>
          <w:sz w:val="24"/>
          <w:szCs w:val="24"/>
        </w:rPr>
        <w:t>‘</w:t>
      </w:r>
      <w:r w:rsidRPr="00D00EB9">
        <w:rPr>
          <w:rFonts w:ascii="Arial" w:hAnsi="Arial" w:cs="Arial"/>
          <w:sz w:val="24"/>
          <w:szCs w:val="24"/>
        </w:rPr>
        <w:t>rushed at the medical officer, stabbing him in the back of the neck, calling him disgusting names when he visited her cell</w:t>
      </w:r>
      <w:r w:rsidR="00014D97" w:rsidRPr="00D00EB9">
        <w:rPr>
          <w:rFonts w:ascii="Arial" w:hAnsi="Arial" w:cs="Arial"/>
          <w:sz w:val="24"/>
          <w:szCs w:val="24"/>
        </w:rPr>
        <w:t>’</w:t>
      </w:r>
      <w:r w:rsidRPr="00D00EB9">
        <w:rPr>
          <w:rFonts w:ascii="Arial" w:hAnsi="Arial" w:cs="Arial"/>
          <w:sz w:val="24"/>
          <w:szCs w:val="24"/>
        </w:rPr>
        <w:t>.</w:t>
      </w:r>
      <w:r w:rsidR="00971495">
        <w:rPr>
          <w:rStyle w:val="EndnoteReference"/>
          <w:rFonts w:ascii="Arial" w:hAnsi="Arial" w:cs="Arial"/>
          <w:sz w:val="24"/>
          <w:szCs w:val="24"/>
        </w:rPr>
        <w:endnoteReference w:id="47"/>
      </w:r>
      <w:r w:rsidRPr="00D00EB9">
        <w:rPr>
          <w:rFonts w:ascii="Arial" w:hAnsi="Arial" w:cs="Arial"/>
          <w:sz w:val="24"/>
          <w:szCs w:val="24"/>
        </w:rPr>
        <w:t xml:space="preserve"> The Medical Officer reported that</w:t>
      </w:r>
      <w:r w:rsidR="00274CA1" w:rsidRPr="00D00EB9">
        <w:rPr>
          <w:rFonts w:ascii="Arial" w:hAnsi="Arial" w:cs="Arial"/>
          <w:sz w:val="24"/>
          <w:szCs w:val="24"/>
        </w:rPr>
        <w:t xml:space="preserve"> </w:t>
      </w:r>
      <w:r w:rsidR="00014D97" w:rsidRPr="00D00EB9">
        <w:rPr>
          <w:rFonts w:ascii="Arial" w:hAnsi="Arial" w:cs="Arial"/>
          <w:sz w:val="24"/>
          <w:szCs w:val="24"/>
        </w:rPr>
        <w:t>‘</w:t>
      </w:r>
      <w:r w:rsidRPr="00D00EB9">
        <w:rPr>
          <w:rFonts w:ascii="Arial" w:hAnsi="Arial" w:cs="Arial"/>
          <w:sz w:val="24"/>
          <w:szCs w:val="24"/>
        </w:rPr>
        <w:t xml:space="preserve">her general health is good but she is subject to occasional outbursts of violent temper </w:t>
      </w:r>
      <w:r w:rsidR="00274CA1" w:rsidRPr="00D00EB9">
        <w:rPr>
          <w:rFonts w:ascii="Arial" w:hAnsi="Arial" w:cs="Arial"/>
          <w:sz w:val="24"/>
          <w:szCs w:val="24"/>
        </w:rPr>
        <w:t xml:space="preserve">during which she is dangerous. </w:t>
      </w:r>
      <w:r w:rsidRPr="00D00EB9">
        <w:rPr>
          <w:rFonts w:ascii="Arial" w:hAnsi="Arial" w:cs="Arial"/>
          <w:sz w:val="24"/>
          <w:szCs w:val="24"/>
        </w:rPr>
        <w:t>Her disposition is treacherous, so that in dealing with her it is well to be guarded.</w:t>
      </w:r>
      <w:r w:rsidR="00014D97" w:rsidRPr="00D00EB9">
        <w:rPr>
          <w:rFonts w:ascii="Arial" w:hAnsi="Arial" w:cs="Arial"/>
          <w:sz w:val="24"/>
          <w:szCs w:val="24"/>
        </w:rPr>
        <w:t>’</w:t>
      </w:r>
      <w:r w:rsidR="00971495">
        <w:rPr>
          <w:rStyle w:val="EndnoteReference"/>
          <w:rFonts w:ascii="Arial" w:hAnsi="Arial" w:cs="Arial"/>
          <w:sz w:val="24"/>
          <w:szCs w:val="24"/>
        </w:rPr>
        <w:endnoteReference w:id="48"/>
      </w:r>
      <w:r w:rsidRPr="00D00EB9">
        <w:rPr>
          <w:rFonts w:ascii="Arial" w:hAnsi="Arial" w:cs="Arial"/>
          <w:sz w:val="24"/>
          <w:szCs w:val="24"/>
        </w:rPr>
        <w:t xml:space="preserve"> </w:t>
      </w:r>
      <w:r w:rsidR="008B15B1">
        <w:rPr>
          <w:rFonts w:ascii="Arial" w:hAnsi="Arial" w:cs="Arial"/>
          <w:sz w:val="24"/>
          <w:szCs w:val="24"/>
        </w:rPr>
        <w:t>Subsequently, s</w:t>
      </w:r>
      <w:r w:rsidRPr="00D00EB9">
        <w:rPr>
          <w:rFonts w:ascii="Arial" w:hAnsi="Arial" w:cs="Arial"/>
          <w:sz w:val="24"/>
          <w:szCs w:val="24"/>
        </w:rPr>
        <w:t xml:space="preserve">he was ordered to serve the remainder of her sentence at Millbank in Penal Class. </w:t>
      </w:r>
      <w:r w:rsidR="00CD0D6F" w:rsidRPr="00D00EB9">
        <w:rPr>
          <w:rFonts w:ascii="Arial" w:hAnsi="Arial" w:cs="Arial"/>
          <w:sz w:val="24"/>
          <w:szCs w:val="24"/>
        </w:rPr>
        <w:t>However, her time i</w:t>
      </w:r>
      <w:r w:rsidR="00D62DF8" w:rsidRPr="00D00EB9">
        <w:rPr>
          <w:rFonts w:ascii="Arial" w:hAnsi="Arial" w:cs="Arial"/>
          <w:sz w:val="24"/>
          <w:szCs w:val="24"/>
        </w:rPr>
        <w:t xml:space="preserve">n prison was coming to an end – </w:t>
      </w:r>
      <w:r w:rsidR="004008E1" w:rsidRPr="00D00EB9">
        <w:rPr>
          <w:rFonts w:ascii="Arial" w:hAnsi="Arial" w:cs="Arial"/>
          <w:sz w:val="24"/>
          <w:szCs w:val="24"/>
        </w:rPr>
        <w:t>s</w:t>
      </w:r>
      <w:r w:rsidR="00CD0D6F" w:rsidRPr="00D00EB9">
        <w:rPr>
          <w:rFonts w:ascii="Arial" w:hAnsi="Arial" w:cs="Arial"/>
          <w:sz w:val="24"/>
          <w:szCs w:val="24"/>
        </w:rPr>
        <w:t xml:space="preserve">he was released on expiration of her licence on </w:t>
      </w:r>
      <w:r w:rsidR="00446E34" w:rsidRPr="00D00EB9">
        <w:rPr>
          <w:rFonts w:ascii="Arial" w:hAnsi="Arial" w:cs="Arial"/>
          <w:sz w:val="24"/>
          <w:szCs w:val="24"/>
        </w:rPr>
        <w:t>7 July 1882</w:t>
      </w:r>
      <w:r w:rsidR="00274CA1" w:rsidRPr="00D00EB9">
        <w:rPr>
          <w:rFonts w:ascii="Arial" w:hAnsi="Arial" w:cs="Arial"/>
          <w:sz w:val="24"/>
          <w:szCs w:val="24"/>
        </w:rPr>
        <w:t xml:space="preserve"> and she</w:t>
      </w:r>
      <w:r w:rsidR="00CD0D6F" w:rsidRPr="00D00EB9">
        <w:rPr>
          <w:rFonts w:ascii="Arial" w:hAnsi="Arial" w:cs="Arial"/>
          <w:sz w:val="24"/>
          <w:szCs w:val="24"/>
        </w:rPr>
        <w:t xml:space="preserve"> immediately headed </w:t>
      </w:r>
      <w:r w:rsidR="00274CA1" w:rsidRPr="00D00EB9">
        <w:rPr>
          <w:rFonts w:ascii="Arial" w:hAnsi="Arial" w:cs="Arial"/>
          <w:sz w:val="24"/>
          <w:szCs w:val="24"/>
        </w:rPr>
        <w:t xml:space="preserve">back </w:t>
      </w:r>
      <w:r w:rsidR="00CD0D6F" w:rsidRPr="00D00EB9">
        <w:rPr>
          <w:rFonts w:ascii="Arial" w:hAnsi="Arial" w:cs="Arial"/>
          <w:sz w:val="24"/>
          <w:szCs w:val="24"/>
        </w:rPr>
        <w:t>up north to be with her husband</w:t>
      </w:r>
      <w:r w:rsidRPr="00D00EB9">
        <w:rPr>
          <w:rFonts w:ascii="Arial" w:hAnsi="Arial" w:cs="Arial"/>
          <w:sz w:val="24"/>
          <w:szCs w:val="24"/>
        </w:rPr>
        <w:t>, her son Cornelius,</w:t>
      </w:r>
      <w:r w:rsidR="00CD0D6F" w:rsidRPr="00D00EB9">
        <w:rPr>
          <w:rFonts w:ascii="Arial" w:hAnsi="Arial" w:cs="Arial"/>
          <w:sz w:val="24"/>
          <w:szCs w:val="24"/>
        </w:rPr>
        <w:t xml:space="preserve"> </w:t>
      </w:r>
      <w:r w:rsidR="00F217EA" w:rsidRPr="00D00EB9">
        <w:rPr>
          <w:rFonts w:ascii="Arial" w:hAnsi="Arial" w:cs="Arial"/>
          <w:sz w:val="24"/>
          <w:szCs w:val="24"/>
        </w:rPr>
        <w:t xml:space="preserve">and her sisters who all </w:t>
      </w:r>
      <w:r w:rsidR="004A63B7" w:rsidRPr="00D00EB9">
        <w:rPr>
          <w:rFonts w:ascii="Arial" w:hAnsi="Arial" w:cs="Arial"/>
          <w:sz w:val="24"/>
          <w:szCs w:val="24"/>
        </w:rPr>
        <w:t xml:space="preserve">still </w:t>
      </w:r>
      <w:r w:rsidR="00F217EA" w:rsidRPr="00D00EB9">
        <w:rPr>
          <w:rFonts w:ascii="Arial" w:hAnsi="Arial" w:cs="Arial"/>
          <w:sz w:val="24"/>
          <w:szCs w:val="24"/>
        </w:rPr>
        <w:t xml:space="preserve">lived </w:t>
      </w:r>
      <w:r w:rsidR="00CD0D6F" w:rsidRPr="00D00EB9">
        <w:rPr>
          <w:rFonts w:ascii="Arial" w:hAnsi="Arial" w:cs="Arial"/>
          <w:sz w:val="24"/>
          <w:szCs w:val="24"/>
        </w:rPr>
        <w:t xml:space="preserve">in Manchester. Unfortunately for Julia, </w:t>
      </w:r>
      <w:r w:rsidR="008B15B1">
        <w:rPr>
          <w:rFonts w:ascii="Arial" w:hAnsi="Arial" w:cs="Arial"/>
          <w:sz w:val="24"/>
          <w:szCs w:val="24"/>
        </w:rPr>
        <w:t>however, her reunion</w:t>
      </w:r>
      <w:r w:rsidR="00CD0D6F" w:rsidRPr="00D00EB9">
        <w:rPr>
          <w:rFonts w:ascii="Arial" w:hAnsi="Arial" w:cs="Arial"/>
          <w:sz w:val="24"/>
          <w:szCs w:val="24"/>
        </w:rPr>
        <w:t xml:space="preserve"> with </w:t>
      </w:r>
      <w:r w:rsidR="00274CA1" w:rsidRPr="00D00EB9">
        <w:rPr>
          <w:rFonts w:ascii="Arial" w:hAnsi="Arial" w:cs="Arial"/>
          <w:sz w:val="24"/>
          <w:szCs w:val="24"/>
        </w:rPr>
        <w:t>her family</w:t>
      </w:r>
      <w:r w:rsidR="00CD0D6F" w:rsidRPr="00D00EB9">
        <w:rPr>
          <w:rFonts w:ascii="Arial" w:hAnsi="Arial" w:cs="Arial"/>
          <w:sz w:val="24"/>
          <w:szCs w:val="24"/>
        </w:rPr>
        <w:t xml:space="preserve"> at 56 Ridgeway Street </w:t>
      </w:r>
      <w:r w:rsidR="008B15B1">
        <w:rPr>
          <w:rFonts w:ascii="Arial" w:hAnsi="Arial" w:cs="Arial"/>
          <w:sz w:val="24"/>
          <w:szCs w:val="24"/>
        </w:rPr>
        <w:t xml:space="preserve">lasted </w:t>
      </w:r>
      <w:r w:rsidR="00CD0D6F" w:rsidRPr="00D00EB9">
        <w:rPr>
          <w:rFonts w:ascii="Arial" w:hAnsi="Arial" w:cs="Arial"/>
          <w:sz w:val="24"/>
          <w:szCs w:val="24"/>
        </w:rPr>
        <w:t xml:space="preserve">for </w:t>
      </w:r>
      <w:r w:rsidR="004008E1" w:rsidRPr="00D00EB9">
        <w:rPr>
          <w:rFonts w:ascii="Arial" w:hAnsi="Arial" w:cs="Arial"/>
          <w:sz w:val="24"/>
          <w:szCs w:val="24"/>
        </w:rPr>
        <w:t xml:space="preserve">only </w:t>
      </w:r>
      <w:r w:rsidR="00CD0D6F" w:rsidRPr="00D00EB9">
        <w:rPr>
          <w:rFonts w:ascii="Arial" w:hAnsi="Arial" w:cs="Arial"/>
          <w:sz w:val="24"/>
          <w:szCs w:val="24"/>
        </w:rPr>
        <w:t>a few months.</w:t>
      </w:r>
      <w:r w:rsidR="00F2139C">
        <w:rPr>
          <w:rStyle w:val="EndnoteReference"/>
          <w:rFonts w:ascii="Arial" w:hAnsi="Arial" w:cs="Arial"/>
          <w:sz w:val="24"/>
          <w:szCs w:val="24"/>
        </w:rPr>
        <w:endnoteReference w:id="49"/>
      </w:r>
    </w:p>
    <w:p w:rsidR="00456AEF" w:rsidRPr="00D00EB9" w:rsidRDefault="00456AEF" w:rsidP="0058654F">
      <w:pPr>
        <w:spacing w:after="0" w:line="480" w:lineRule="auto"/>
        <w:contextualSpacing/>
        <w:jc w:val="both"/>
        <w:rPr>
          <w:rFonts w:ascii="Arial" w:hAnsi="Arial" w:cs="Arial"/>
          <w:sz w:val="24"/>
          <w:szCs w:val="24"/>
        </w:rPr>
      </w:pPr>
    </w:p>
    <w:p w:rsidR="008B15B1" w:rsidRDefault="008B15B1" w:rsidP="0058654F">
      <w:pPr>
        <w:spacing w:after="0" w:line="480" w:lineRule="auto"/>
        <w:contextualSpacing/>
        <w:jc w:val="both"/>
        <w:rPr>
          <w:rFonts w:ascii="Arial" w:hAnsi="Arial" w:cs="Arial"/>
          <w:sz w:val="24"/>
          <w:szCs w:val="24"/>
        </w:rPr>
      </w:pPr>
      <w:r>
        <w:rPr>
          <w:rFonts w:ascii="Arial" w:hAnsi="Arial" w:cs="Arial"/>
          <w:sz w:val="24"/>
          <w:szCs w:val="24"/>
        </w:rPr>
        <w:t>Julia Hyland</w:t>
      </w:r>
      <w:r w:rsidR="00CD0D6F" w:rsidRPr="00D00EB9">
        <w:rPr>
          <w:rFonts w:ascii="Arial" w:hAnsi="Arial" w:cs="Arial"/>
          <w:sz w:val="24"/>
          <w:szCs w:val="24"/>
        </w:rPr>
        <w:t xml:space="preserve"> was </w:t>
      </w:r>
      <w:r w:rsidR="00C812DD" w:rsidRPr="00D00EB9">
        <w:rPr>
          <w:rFonts w:ascii="Arial" w:hAnsi="Arial" w:cs="Arial"/>
          <w:sz w:val="24"/>
          <w:szCs w:val="24"/>
        </w:rPr>
        <w:t>remanded</w:t>
      </w:r>
      <w:r w:rsidR="00CD0D6F" w:rsidRPr="00D00EB9">
        <w:rPr>
          <w:rFonts w:ascii="Arial" w:hAnsi="Arial" w:cs="Arial"/>
          <w:sz w:val="24"/>
          <w:szCs w:val="24"/>
        </w:rPr>
        <w:t xml:space="preserve"> to </w:t>
      </w:r>
      <w:r w:rsidR="00C812DD" w:rsidRPr="00D00EB9">
        <w:rPr>
          <w:rFonts w:ascii="Arial" w:hAnsi="Arial" w:cs="Arial"/>
          <w:sz w:val="24"/>
          <w:szCs w:val="24"/>
        </w:rPr>
        <w:t xml:space="preserve">Manchester </w:t>
      </w:r>
      <w:r w:rsidR="00274CA1" w:rsidRPr="00D00EB9">
        <w:rPr>
          <w:rFonts w:ascii="Arial" w:hAnsi="Arial" w:cs="Arial"/>
          <w:sz w:val="24"/>
          <w:szCs w:val="24"/>
        </w:rPr>
        <w:t xml:space="preserve">City </w:t>
      </w:r>
      <w:r w:rsidR="00574E5C" w:rsidRPr="00D00EB9">
        <w:rPr>
          <w:rFonts w:ascii="Arial" w:hAnsi="Arial" w:cs="Arial"/>
          <w:sz w:val="24"/>
          <w:szCs w:val="24"/>
        </w:rPr>
        <w:t>P</w:t>
      </w:r>
      <w:r w:rsidR="00C812DD" w:rsidRPr="00D00EB9">
        <w:rPr>
          <w:rFonts w:ascii="Arial" w:hAnsi="Arial" w:cs="Arial"/>
          <w:sz w:val="24"/>
          <w:szCs w:val="24"/>
        </w:rPr>
        <w:t xml:space="preserve">rison on </w:t>
      </w:r>
      <w:proofErr w:type="gramStart"/>
      <w:r>
        <w:rPr>
          <w:rFonts w:ascii="Arial" w:hAnsi="Arial" w:cs="Arial"/>
          <w:sz w:val="24"/>
          <w:szCs w:val="24"/>
        </w:rPr>
        <w:t xml:space="preserve">the </w:t>
      </w:r>
      <w:r w:rsidR="00446E34" w:rsidRPr="00D00EB9">
        <w:rPr>
          <w:rFonts w:ascii="Arial" w:hAnsi="Arial" w:cs="Arial"/>
          <w:sz w:val="24"/>
          <w:szCs w:val="24"/>
        </w:rPr>
        <w:t>11</w:t>
      </w:r>
      <w:r w:rsidR="00C22DA4" w:rsidRPr="00C22DA4">
        <w:rPr>
          <w:rFonts w:ascii="Arial" w:hAnsi="Arial" w:cs="Arial"/>
          <w:sz w:val="24"/>
          <w:szCs w:val="24"/>
          <w:vertAlign w:val="superscript"/>
        </w:rPr>
        <w:t>th</w:t>
      </w:r>
      <w:r>
        <w:rPr>
          <w:rFonts w:ascii="Arial" w:hAnsi="Arial" w:cs="Arial"/>
          <w:sz w:val="24"/>
          <w:szCs w:val="24"/>
        </w:rPr>
        <w:t xml:space="preserve"> of</w:t>
      </w:r>
      <w:r w:rsidR="00D62DF8" w:rsidRPr="00D00EB9">
        <w:rPr>
          <w:rFonts w:ascii="Arial" w:hAnsi="Arial" w:cs="Arial"/>
          <w:sz w:val="24"/>
          <w:szCs w:val="24"/>
        </w:rPr>
        <w:t xml:space="preserve"> </w:t>
      </w:r>
      <w:r w:rsidR="00446E34" w:rsidRPr="00D00EB9">
        <w:rPr>
          <w:rFonts w:ascii="Arial" w:hAnsi="Arial" w:cs="Arial"/>
          <w:sz w:val="24"/>
          <w:szCs w:val="24"/>
        </w:rPr>
        <w:t xml:space="preserve">December 1882, </w:t>
      </w:r>
      <w:r w:rsidR="00C812DD" w:rsidRPr="00D00EB9">
        <w:rPr>
          <w:rFonts w:ascii="Arial" w:hAnsi="Arial" w:cs="Arial"/>
          <w:sz w:val="24"/>
          <w:szCs w:val="24"/>
        </w:rPr>
        <w:t>and</w:t>
      </w:r>
      <w:proofErr w:type="gramEnd"/>
      <w:r w:rsidR="00C812DD" w:rsidRPr="00D00EB9">
        <w:rPr>
          <w:rFonts w:ascii="Arial" w:hAnsi="Arial" w:cs="Arial"/>
          <w:sz w:val="24"/>
          <w:szCs w:val="24"/>
        </w:rPr>
        <w:t xml:space="preserve"> convicted of the theft of a frying pan in February 1883. Sentenced to seven years penal servitude</w:t>
      </w:r>
      <w:r w:rsidR="00274CA1" w:rsidRPr="00D00EB9">
        <w:rPr>
          <w:rFonts w:ascii="Arial" w:hAnsi="Arial" w:cs="Arial"/>
          <w:sz w:val="24"/>
          <w:szCs w:val="24"/>
        </w:rPr>
        <w:t xml:space="preserve"> (again under the 1871 Prevention of Crimes Act)</w:t>
      </w:r>
      <w:r w:rsidR="00832CA4" w:rsidRPr="00D00EB9">
        <w:rPr>
          <w:rFonts w:ascii="Arial" w:hAnsi="Arial" w:cs="Arial"/>
          <w:sz w:val="24"/>
          <w:szCs w:val="24"/>
        </w:rPr>
        <w:t xml:space="preserve">, she found </w:t>
      </w:r>
      <w:r w:rsidR="00E11BB6" w:rsidRPr="00D00EB9">
        <w:rPr>
          <w:rFonts w:ascii="Arial" w:hAnsi="Arial" w:cs="Arial"/>
          <w:sz w:val="24"/>
          <w:szCs w:val="24"/>
        </w:rPr>
        <w:t>herself back in Mil</w:t>
      </w:r>
      <w:r w:rsidR="0048453E" w:rsidRPr="00D00EB9">
        <w:rPr>
          <w:rFonts w:ascii="Arial" w:hAnsi="Arial" w:cs="Arial"/>
          <w:sz w:val="24"/>
          <w:szCs w:val="24"/>
        </w:rPr>
        <w:t>l</w:t>
      </w:r>
      <w:r w:rsidR="00E11BB6" w:rsidRPr="00D00EB9">
        <w:rPr>
          <w:rFonts w:ascii="Arial" w:hAnsi="Arial" w:cs="Arial"/>
          <w:sz w:val="24"/>
          <w:szCs w:val="24"/>
        </w:rPr>
        <w:t>bank Prison.</w:t>
      </w:r>
      <w:r w:rsidR="00F2139C">
        <w:rPr>
          <w:rStyle w:val="EndnoteReference"/>
          <w:rFonts w:ascii="Arial" w:hAnsi="Arial" w:cs="Arial"/>
          <w:sz w:val="24"/>
          <w:szCs w:val="24"/>
        </w:rPr>
        <w:endnoteReference w:id="50"/>
      </w:r>
      <w:r w:rsidR="003E328B" w:rsidRPr="00D00EB9">
        <w:rPr>
          <w:rFonts w:ascii="Arial" w:hAnsi="Arial" w:cs="Arial"/>
          <w:sz w:val="24"/>
          <w:szCs w:val="24"/>
        </w:rPr>
        <w:t xml:space="preserve"> </w:t>
      </w:r>
      <w:r w:rsidR="00F2139C">
        <w:rPr>
          <w:rFonts w:ascii="Arial" w:hAnsi="Arial" w:cs="Arial"/>
          <w:sz w:val="24"/>
          <w:szCs w:val="24"/>
        </w:rPr>
        <w:t xml:space="preserve"> Having now spent a considerable part of the last ten to fifteen years in prison, sh</w:t>
      </w:r>
      <w:r w:rsidR="003E328B" w:rsidRPr="00D00EB9">
        <w:rPr>
          <w:rFonts w:ascii="Arial" w:hAnsi="Arial" w:cs="Arial"/>
          <w:sz w:val="24"/>
          <w:szCs w:val="24"/>
        </w:rPr>
        <w:t>e s</w:t>
      </w:r>
      <w:r w:rsidR="00274CA1" w:rsidRPr="00D00EB9">
        <w:rPr>
          <w:rFonts w:ascii="Arial" w:hAnsi="Arial" w:cs="Arial"/>
          <w:sz w:val="24"/>
          <w:szCs w:val="24"/>
        </w:rPr>
        <w:t>eems to have been settled in the</w:t>
      </w:r>
      <w:r w:rsidR="003E328B" w:rsidRPr="00D00EB9">
        <w:rPr>
          <w:rFonts w:ascii="Arial" w:hAnsi="Arial" w:cs="Arial"/>
          <w:sz w:val="24"/>
          <w:szCs w:val="24"/>
        </w:rPr>
        <w:t xml:space="preserve"> first years </w:t>
      </w:r>
      <w:r w:rsidR="00274CA1" w:rsidRPr="00D00EB9">
        <w:rPr>
          <w:rFonts w:ascii="Arial" w:hAnsi="Arial" w:cs="Arial"/>
          <w:sz w:val="24"/>
          <w:szCs w:val="24"/>
        </w:rPr>
        <w:t>of this new sentence</w:t>
      </w:r>
      <w:r w:rsidR="003E328B" w:rsidRPr="00D00EB9">
        <w:rPr>
          <w:rFonts w:ascii="Arial" w:hAnsi="Arial" w:cs="Arial"/>
          <w:sz w:val="24"/>
          <w:szCs w:val="24"/>
        </w:rPr>
        <w:t xml:space="preserve">. During the whole of </w:t>
      </w:r>
      <w:r>
        <w:rPr>
          <w:rFonts w:ascii="Arial" w:hAnsi="Arial" w:cs="Arial"/>
          <w:sz w:val="24"/>
          <w:szCs w:val="24"/>
        </w:rPr>
        <w:t>this phase of her incarceration history</w:t>
      </w:r>
      <w:r w:rsidR="003E328B" w:rsidRPr="00D00EB9">
        <w:rPr>
          <w:rFonts w:ascii="Arial" w:hAnsi="Arial" w:cs="Arial"/>
          <w:sz w:val="24"/>
          <w:szCs w:val="24"/>
        </w:rPr>
        <w:t xml:space="preserve">, she did get involved in some fighting, and </w:t>
      </w:r>
      <w:r w:rsidR="00274CA1" w:rsidRPr="00D00EB9">
        <w:rPr>
          <w:rFonts w:ascii="Arial" w:hAnsi="Arial" w:cs="Arial"/>
          <w:sz w:val="24"/>
          <w:szCs w:val="24"/>
        </w:rPr>
        <w:t xml:space="preserve">she also made </w:t>
      </w:r>
      <w:r w:rsidR="003E328B" w:rsidRPr="00D00EB9">
        <w:rPr>
          <w:rFonts w:ascii="Arial" w:hAnsi="Arial" w:cs="Arial"/>
          <w:sz w:val="24"/>
          <w:szCs w:val="24"/>
        </w:rPr>
        <w:t xml:space="preserve">some threats to the </w:t>
      </w:r>
      <w:r w:rsidR="00274CA1" w:rsidRPr="00D00EB9">
        <w:rPr>
          <w:rFonts w:ascii="Arial" w:hAnsi="Arial" w:cs="Arial"/>
          <w:sz w:val="24"/>
          <w:szCs w:val="24"/>
        </w:rPr>
        <w:t xml:space="preserve">Lady </w:t>
      </w:r>
      <w:r w:rsidR="003E328B" w:rsidRPr="00D00EB9">
        <w:rPr>
          <w:rFonts w:ascii="Arial" w:hAnsi="Arial" w:cs="Arial"/>
          <w:sz w:val="24"/>
          <w:szCs w:val="24"/>
        </w:rPr>
        <w:t xml:space="preserve">Superintendent, but considering her previous turbulent history of </w:t>
      </w:r>
      <w:r w:rsidR="00274CA1" w:rsidRPr="00D00EB9">
        <w:rPr>
          <w:rFonts w:ascii="Arial" w:hAnsi="Arial" w:cs="Arial"/>
          <w:sz w:val="24"/>
          <w:szCs w:val="24"/>
        </w:rPr>
        <w:t xml:space="preserve">repeated </w:t>
      </w:r>
      <w:r w:rsidR="003E328B" w:rsidRPr="00D00EB9">
        <w:rPr>
          <w:rFonts w:ascii="Arial" w:hAnsi="Arial" w:cs="Arial"/>
          <w:sz w:val="24"/>
          <w:szCs w:val="24"/>
        </w:rPr>
        <w:t xml:space="preserve">aggression, fighting, and violence, this was a considerable reduction in her prison </w:t>
      </w:r>
      <w:r w:rsidR="00014D97" w:rsidRPr="00D00EB9">
        <w:rPr>
          <w:rFonts w:ascii="Arial" w:hAnsi="Arial" w:cs="Arial"/>
          <w:sz w:val="24"/>
          <w:szCs w:val="24"/>
        </w:rPr>
        <w:t>‘</w:t>
      </w:r>
      <w:r w:rsidR="003E328B" w:rsidRPr="00D00EB9">
        <w:rPr>
          <w:rFonts w:ascii="Arial" w:hAnsi="Arial" w:cs="Arial"/>
          <w:sz w:val="24"/>
          <w:szCs w:val="24"/>
        </w:rPr>
        <w:t>offending</w:t>
      </w:r>
      <w:r w:rsidR="00014D97" w:rsidRPr="00D00EB9">
        <w:rPr>
          <w:rFonts w:ascii="Arial" w:hAnsi="Arial" w:cs="Arial"/>
          <w:sz w:val="24"/>
          <w:szCs w:val="24"/>
        </w:rPr>
        <w:t>’</w:t>
      </w:r>
      <w:r w:rsidR="003E328B" w:rsidRPr="00D00EB9">
        <w:rPr>
          <w:rFonts w:ascii="Arial" w:hAnsi="Arial" w:cs="Arial"/>
          <w:sz w:val="24"/>
          <w:szCs w:val="24"/>
        </w:rPr>
        <w:t xml:space="preserve">. In 1887 </w:t>
      </w:r>
      <w:r>
        <w:rPr>
          <w:rFonts w:ascii="Arial" w:hAnsi="Arial" w:cs="Arial"/>
          <w:sz w:val="24"/>
          <w:szCs w:val="24"/>
        </w:rPr>
        <w:t>Julia</w:t>
      </w:r>
      <w:r w:rsidRPr="00D00EB9">
        <w:rPr>
          <w:rFonts w:ascii="Arial" w:hAnsi="Arial" w:cs="Arial"/>
          <w:sz w:val="24"/>
          <w:szCs w:val="24"/>
        </w:rPr>
        <w:t xml:space="preserve"> </w:t>
      </w:r>
      <w:proofErr w:type="gramStart"/>
      <w:r w:rsidR="003E328B" w:rsidRPr="00D00EB9">
        <w:rPr>
          <w:rFonts w:ascii="Arial" w:hAnsi="Arial" w:cs="Arial"/>
          <w:sz w:val="24"/>
          <w:szCs w:val="24"/>
        </w:rPr>
        <w:t>was allowed to</w:t>
      </w:r>
      <w:proofErr w:type="gramEnd"/>
      <w:r w:rsidR="003E328B" w:rsidRPr="00D00EB9">
        <w:rPr>
          <w:rFonts w:ascii="Arial" w:hAnsi="Arial" w:cs="Arial"/>
          <w:sz w:val="24"/>
          <w:szCs w:val="24"/>
        </w:rPr>
        <w:t xml:space="preserve"> go to the </w:t>
      </w:r>
      <w:r w:rsidR="00FC388D" w:rsidRPr="00D00EB9">
        <w:rPr>
          <w:rFonts w:ascii="Arial" w:hAnsi="Arial" w:cs="Arial"/>
          <w:sz w:val="24"/>
          <w:szCs w:val="24"/>
        </w:rPr>
        <w:t xml:space="preserve">East End Refuge </w:t>
      </w:r>
      <w:r w:rsidR="003E328B" w:rsidRPr="00D00EB9">
        <w:rPr>
          <w:rFonts w:ascii="Arial" w:hAnsi="Arial" w:cs="Arial"/>
          <w:sz w:val="24"/>
          <w:szCs w:val="24"/>
        </w:rPr>
        <w:t>in London</w:t>
      </w:r>
      <w:r w:rsidR="00DD7BA9" w:rsidRPr="00D00EB9">
        <w:rPr>
          <w:rFonts w:ascii="Arial" w:hAnsi="Arial" w:cs="Arial"/>
          <w:sz w:val="24"/>
          <w:szCs w:val="24"/>
        </w:rPr>
        <w:t xml:space="preserve"> prior to her </w:t>
      </w:r>
      <w:r w:rsidR="000A018B" w:rsidRPr="00D00EB9">
        <w:rPr>
          <w:rFonts w:ascii="Arial" w:hAnsi="Arial" w:cs="Arial"/>
          <w:sz w:val="24"/>
          <w:szCs w:val="24"/>
        </w:rPr>
        <w:t xml:space="preserve">formal </w:t>
      </w:r>
      <w:r w:rsidR="00DD7BA9" w:rsidRPr="00D00EB9">
        <w:rPr>
          <w:rFonts w:ascii="Arial" w:hAnsi="Arial" w:cs="Arial"/>
          <w:sz w:val="24"/>
          <w:szCs w:val="24"/>
        </w:rPr>
        <w:t xml:space="preserve">release, and she was finally released on </w:t>
      </w:r>
      <w:r w:rsidR="000A018B" w:rsidRPr="00D00EB9">
        <w:rPr>
          <w:rFonts w:ascii="Arial" w:hAnsi="Arial" w:cs="Arial"/>
          <w:sz w:val="24"/>
          <w:szCs w:val="24"/>
        </w:rPr>
        <w:t xml:space="preserve">a </w:t>
      </w:r>
      <w:r w:rsidR="00DD7BA9" w:rsidRPr="00D00EB9">
        <w:rPr>
          <w:rFonts w:ascii="Arial" w:hAnsi="Arial" w:cs="Arial"/>
          <w:sz w:val="24"/>
          <w:szCs w:val="24"/>
        </w:rPr>
        <w:t>condi</w:t>
      </w:r>
      <w:r w:rsidR="00DD27F6" w:rsidRPr="00D00EB9">
        <w:rPr>
          <w:rFonts w:ascii="Arial" w:hAnsi="Arial" w:cs="Arial"/>
          <w:sz w:val="24"/>
          <w:szCs w:val="24"/>
        </w:rPr>
        <w:t>tional licenc</w:t>
      </w:r>
      <w:r w:rsidR="00DD7BA9" w:rsidRPr="00D00EB9">
        <w:rPr>
          <w:rFonts w:ascii="Arial" w:hAnsi="Arial" w:cs="Arial"/>
          <w:sz w:val="24"/>
          <w:szCs w:val="24"/>
        </w:rPr>
        <w:t>e in January 1887.</w:t>
      </w:r>
      <w:r w:rsidR="00F2139C">
        <w:rPr>
          <w:rStyle w:val="EndnoteReference"/>
          <w:rFonts w:ascii="Arial" w:hAnsi="Arial" w:cs="Arial"/>
          <w:sz w:val="24"/>
          <w:szCs w:val="24"/>
        </w:rPr>
        <w:endnoteReference w:id="51"/>
      </w:r>
      <w:r w:rsidR="00DD7BA9" w:rsidRPr="00D00EB9">
        <w:rPr>
          <w:rFonts w:ascii="Arial" w:hAnsi="Arial" w:cs="Arial"/>
          <w:sz w:val="24"/>
          <w:szCs w:val="24"/>
        </w:rPr>
        <w:t xml:space="preserve"> She returned to Manchester with three years of her penal servitude </w:t>
      </w:r>
      <w:r w:rsidR="00014D97" w:rsidRPr="00D00EB9">
        <w:rPr>
          <w:rFonts w:ascii="Arial" w:hAnsi="Arial" w:cs="Arial"/>
          <w:sz w:val="24"/>
          <w:szCs w:val="24"/>
        </w:rPr>
        <w:t>‘</w:t>
      </w:r>
      <w:r w:rsidR="00DD7BA9" w:rsidRPr="00D00EB9">
        <w:rPr>
          <w:rFonts w:ascii="Arial" w:hAnsi="Arial" w:cs="Arial"/>
          <w:sz w:val="24"/>
          <w:szCs w:val="24"/>
        </w:rPr>
        <w:t>unserved</w:t>
      </w:r>
      <w:r w:rsidR="00014D97" w:rsidRPr="00D00EB9">
        <w:rPr>
          <w:rFonts w:ascii="Arial" w:hAnsi="Arial" w:cs="Arial"/>
          <w:sz w:val="24"/>
          <w:szCs w:val="24"/>
        </w:rPr>
        <w:t>’</w:t>
      </w:r>
      <w:r w:rsidR="00DD7BA9" w:rsidRPr="00D00EB9">
        <w:rPr>
          <w:rFonts w:ascii="Arial" w:hAnsi="Arial" w:cs="Arial"/>
          <w:sz w:val="24"/>
          <w:szCs w:val="24"/>
        </w:rPr>
        <w:t xml:space="preserve">. </w:t>
      </w:r>
    </w:p>
    <w:p w:rsidR="008B15B1" w:rsidRDefault="008B15B1" w:rsidP="0058654F">
      <w:pPr>
        <w:spacing w:after="0" w:line="480" w:lineRule="auto"/>
        <w:contextualSpacing/>
        <w:jc w:val="both"/>
        <w:rPr>
          <w:rFonts w:ascii="Arial" w:hAnsi="Arial" w:cs="Arial"/>
          <w:sz w:val="24"/>
          <w:szCs w:val="24"/>
        </w:rPr>
      </w:pPr>
    </w:p>
    <w:p w:rsidR="00D147E1" w:rsidRDefault="00A26697" w:rsidP="0058654F">
      <w:pPr>
        <w:spacing w:after="0" w:line="480" w:lineRule="auto"/>
        <w:contextualSpacing/>
        <w:jc w:val="both"/>
        <w:rPr>
          <w:rFonts w:ascii="Arial" w:hAnsi="Arial" w:cs="Arial"/>
          <w:sz w:val="24"/>
          <w:szCs w:val="24"/>
        </w:rPr>
      </w:pPr>
      <w:r w:rsidRPr="00D00EB9">
        <w:rPr>
          <w:rFonts w:ascii="Arial" w:hAnsi="Arial" w:cs="Arial"/>
          <w:sz w:val="24"/>
          <w:szCs w:val="24"/>
        </w:rPr>
        <w:t>Julia</w:t>
      </w:r>
      <w:r w:rsidR="00014D97" w:rsidRPr="00D00EB9">
        <w:rPr>
          <w:rFonts w:ascii="Arial" w:hAnsi="Arial" w:cs="Arial"/>
          <w:sz w:val="24"/>
          <w:szCs w:val="24"/>
        </w:rPr>
        <w:t>’</w:t>
      </w:r>
      <w:r w:rsidRPr="00D00EB9">
        <w:rPr>
          <w:rFonts w:ascii="Arial" w:hAnsi="Arial" w:cs="Arial"/>
          <w:sz w:val="24"/>
          <w:szCs w:val="24"/>
        </w:rPr>
        <w:t xml:space="preserve">s life, so far as the official record is concerned, is a story of incarceration. </w:t>
      </w:r>
      <w:r w:rsidR="00694D99" w:rsidRPr="00D00EB9">
        <w:rPr>
          <w:rFonts w:ascii="Arial" w:hAnsi="Arial" w:cs="Arial"/>
          <w:sz w:val="24"/>
          <w:szCs w:val="24"/>
        </w:rPr>
        <w:t xml:space="preserve">We do not know much about her before she served her first prison sentence. Although she was first incarcerated at an early age, she had had time to grow into a teenager, have a baby, experience living in a poor area of town, work in a cotton mill, and so on, and </w:t>
      </w:r>
      <w:proofErr w:type="gramStart"/>
      <w:r w:rsidR="00694D99" w:rsidRPr="00D00EB9">
        <w:rPr>
          <w:rFonts w:ascii="Arial" w:hAnsi="Arial" w:cs="Arial"/>
          <w:sz w:val="24"/>
          <w:szCs w:val="24"/>
        </w:rPr>
        <w:t>all of</w:t>
      </w:r>
      <w:proofErr w:type="gramEnd"/>
      <w:r w:rsidR="00694D99" w:rsidRPr="00D00EB9">
        <w:rPr>
          <w:rFonts w:ascii="Arial" w:hAnsi="Arial" w:cs="Arial"/>
          <w:sz w:val="24"/>
          <w:szCs w:val="24"/>
        </w:rPr>
        <w:t xml:space="preserve"> that experience receives little attention in the prison records. We also lack detail on </w:t>
      </w:r>
      <w:r w:rsidR="00437434" w:rsidRPr="00D00EB9">
        <w:rPr>
          <w:rFonts w:ascii="Arial" w:hAnsi="Arial" w:cs="Arial"/>
          <w:sz w:val="24"/>
          <w:szCs w:val="24"/>
        </w:rPr>
        <w:t>Julia</w:t>
      </w:r>
      <w:r w:rsidR="00014D97" w:rsidRPr="00D00EB9">
        <w:rPr>
          <w:rFonts w:ascii="Arial" w:hAnsi="Arial" w:cs="Arial"/>
          <w:sz w:val="24"/>
          <w:szCs w:val="24"/>
        </w:rPr>
        <w:t>’</w:t>
      </w:r>
      <w:r w:rsidR="0017296E" w:rsidRPr="00D00EB9">
        <w:rPr>
          <w:rFonts w:ascii="Arial" w:hAnsi="Arial" w:cs="Arial"/>
          <w:sz w:val="24"/>
          <w:szCs w:val="24"/>
        </w:rPr>
        <w:t xml:space="preserve">s life </w:t>
      </w:r>
      <w:r w:rsidR="00437434" w:rsidRPr="00D00EB9">
        <w:rPr>
          <w:rFonts w:ascii="Arial" w:hAnsi="Arial" w:cs="Arial"/>
          <w:sz w:val="24"/>
          <w:szCs w:val="24"/>
        </w:rPr>
        <w:t xml:space="preserve">after she </w:t>
      </w:r>
      <w:r w:rsidR="0017296E" w:rsidRPr="00D00EB9">
        <w:rPr>
          <w:rFonts w:ascii="Arial" w:hAnsi="Arial" w:cs="Arial"/>
          <w:sz w:val="24"/>
          <w:szCs w:val="24"/>
        </w:rPr>
        <w:t>was released from prison</w:t>
      </w:r>
      <w:r w:rsidR="00437434" w:rsidRPr="00D00EB9">
        <w:rPr>
          <w:rFonts w:ascii="Arial" w:hAnsi="Arial" w:cs="Arial"/>
          <w:sz w:val="24"/>
          <w:szCs w:val="24"/>
        </w:rPr>
        <w:t>. There is a death certificate for a Julia Hyland who died in Manchester in 1888, but this may or may not be the same woman.</w:t>
      </w:r>
      <w:r w:rsidR="00F2139C">
        <w:rPr>
          <w:rStyle w:val="EndnoteReference"/>
          <w:rFonts w:ascii="Arial" w:hAnsi="Arial" w:cs="Arial"/>
          <w:sz w:val="24"/>
          <w:szCs w:val="24"/>
        </w:rPr>
        <w:endnoteReference w:id="52"/>
      </w:r>
      <w:r w:rsidR="00437434" w:rsidRPr="00D00EB9">
        <w:rPr>
          <w:rFonts w:ascii="Arial" w:hAnsi="Arial" w:cs="Arial"/>
          <w:sz w:val="24"/>
          <w:szCs w:val="24"/>
        </w:rPr>
        <w:t xml:space="preserve"> If it is, </w:t>
      </w:r>
      <w:r w:rsidR="00A0674B" w:rsidRPr="00D00EB9">
        <w:rPr>
          <w:rFonts w:ascii="Arial" w:hAnsi="Arial" w:cs="Arial"/>
          <w:sz w:val="24"/>
          <w:szCs w:val="24"/>
        </w:rPr>
        <w:t xml:space="preserve">then </w:t>
      </w:r>
      <w:r w:rsidR="00437434" w:rsidRPr="00D00EB9">
        <w:rPr>
          <w:rFonts w:ascii="Arial" w:hAnsi="Arial" w:cs="Arial"/>
          <w:sz w:val="24"/>
          <w:szCs w:val="24"/>
        </w:rPr>
        <w:t xml:space="preserve">that </w:t>
      </w:r>
      <w:r w:rsidR="00F54E60" w:rsidRPr="00D00EB9">
        <w:rPr>
          <w:rFonts w:ascii="Arial" w:hAnsi="Arial" w:cs="Arial"/>
          <w:sz w:val="24"/>
          <w:szCs w:val="24"/>
        </w:rPr>
        <w:t>might</w:t>
      </w:r>
      <w:r w:rsidR="00437434" w:rsidRPr="00D00EB9">
        <w:rPr>
          <w:rFonts w:ascii="Arial" w:hAnsi="Arial" w:cs="Arial"/>
          <w:sz w:val="24"/>
          <w:szCs w:val="24"/>
        </w:rPr>
        <w:t xml:space="preserve"> explain her sudden </w:t>
      </w:r>
      <w:r w:rsidR="004E1B7B">
        <w:rPr>
          <w:rFonts w:ascii="Arial" w:hAnsi="Arial" w:cs="Arial"/>
          <w:sz w:val="24"/>
          <w:szCs w:val="24"/>
        </w:rPr>
        <w:t>desistance</w:t>
      </w:r>
      <w:r w:rsidR="00437434" w:rsidRPr="00D00EB9">
        <w:rPr>
          <w:rFonts w:ascii="Arial" w:hAnsi="Arial" w:cs="Arial"/>
          <w:sz w:val="24"/>
          <w:szCs w:val="24"/>
        </w:rPr>
        <w:t xml:space="preserve"> fr</w:t>
      </w:r>
      <w:r w:rsidR="00F54E60" w:rsidRPr="00D00EB9">
        <w:rPr>
          <w:rFonts w:ascii="Arial" w:hAnsi="Arial" w:cs="Arial"/>
          <w:sz w:val="24"/>
          <w:szCs w:val="24"/>
        </w:rPr>
        <w:t>om offending; i</w:t>
      </w:r>
      <w:r w:rsidR="00437434" w:rsidRPr="00D00EB9">
        <w:rPr>
          <w:rFonts w:ascii="Arial" w:hAnsi="Arial" w:cs="Arial"/>
          <w:sz w:val="24"/>
          <w:szCs w:val="24"/>
        </w:rPr>
        <w:t>t would also be a very sad end for a</w:t>
      </w:r>
      <w:r w:rsidR="00B76D2F" w:rsidRPr="00D00EB9">
        <w:rPr>
          <w:rFonts w:ascii="Arial" w:hAnsi="Arial" w:cs="Arial"/>
          <w:sz w:val="24"/>
          <w:szCs w:val="24"/>
        </w:rPr>
        <w:t xml:space="preserve"> troubled woman, who spent the m</w:t>
      </w:r>
      <w:r w:rsidR="00437434" w:rsidRPr="00D00EB9">
        <w:rPr>
          <w:rFonts w:ascii="Arial" w:hAnsi="Arial" w:cs="Arial"/>
          <w:sz w:val="24"/>
          <w:szCs w:val="24"/>
        </w:rPr>
        <w:t xml:space="preserve">ajority of her short life in prison, and who only had a few months of freedom before </w:t>
      </w:r>
      <w:r w:rsidR="00437434" w:rsidRPr="00D00EB9">
        <w:rPr>
          <w:rFonts w:ascii="Arial" w:hAnsi="Arial" w:cs="Arial"/>
          <w:sz w:val="24"/>
          <w:szCs w:val="24"/>
        </w:rPr>
        <w:lastRenderedPageBreak/>
        <w:t xml:space="preserve">dying in the place of her birth. </w:t>
      </w:r>
      <w:r w:rsidR="009F3952" w:rsidRPr="00D00EB9">
        <w:rPr>
          <w:rFonts w:ascii="Arial" w:hAnsi="Arial" w:cs="Arial"/>
          <w:sz w:val="24"/>
          <w:szCs w:val="24"/>
        </w:rPr>
        <w:t xml:space="preserve">We do not know where Julia was buried. We do not even know whether she was buried in a Catholic </w:t>
      </w:r>
      <w:r w:rsidR="008B15B1">
        <w:rPr>
          <w:rFonts w:ascii="Arial" w:hAnsi="Arial" w:cs="Arial"/>
          <w:sz w:val="24"/>
          <w:szCs w:val="24"/>
        </w:rPr>
        <w:t>or</w:t>
      </w:r>
      <w:r w:rsidR="008B15B1" w:rsidRPr="00D00EB9">
        <w:rPr>
          <w:rFonts w:ascii="Arial" w:hAnsi="Arial" w:cs="Arial"/>
          <w:sz w:val="24"/>
          <w:szCs w:val="24"/>
        </w:rPr>
        <w:t xml:space="preserve"> </w:t>
      </w:r>
      <w:r w:rsidR="009F3952" w:rsidRPr="00D00EB9">
        <w:rPr>
          <w:rFonts w:ascii="Arial" w:hAnsi="Arial" w:cs="Arial"/>
          <w:sz w:val="24"/>
          <w:szCs w:val="24"/>
        </w:rPr>
        <w:t xml:space="preserve">Protestant burial ground. </w:t>
      </w:r>
      <w:r w:rsidR="007A1093" w:rsidRPr="00D00EB9">
        <w:rPr>
          <w:rFonts w:ascii="Arial" w:hAnsi="Arial" w:cs="Arial"/>
          <w:sz w:val="24"/>
          <w:szCs w:val="24"/>
        </w:rPr>
        <w:t xml:space="preserve">Julia </w:t>
      </w:r>
      <w:r w:rsidR="009F3952" w:rsidRPr="00D00EB9">
        <w:rPr>
          <w:rFonts w:ascii="Arial" w:hAnsi="Arial" w:cs="Arial"/>
          <w:sz w:val="24"/>
          <w:szCs w:val="24"/>
        </w:rPr>
        <w:t xml:space="preserve">had entered prison in 1875 registered as a </w:t>
      </w:r>
      <w:proofErr w:type="gramStart"/>
      <w:r w:rsidR="009F3952" w:rsidRPr="00D00EB9">
        <w:rPr>
          <w:rFonts w:ascii="Arial" w:hAnsi="Arial" w:cs="Arial"/>
          <w:sz w:val="24"/>
          <w:szCs w:val="24"/>
        </w:rPr>
        <w:t>Protestant, but</w:t>
      </w:r>
      <w:proofErr w:type="gramEnd"/>
      <w:r w:rsidR="009F3952" w:rsidRPr="00D00EB9">
        <w:rPr>
          <w:rFonts w:ascii="Arial" w:hAnsi="Arial" w:cs="Arial"/>
          <w:sz w:val="24"/>
          <w:szCs w:val="24"/>
        </w:rPr>
        <w:t xml:space="preserve"> applied to change her religious affiliation to Roman Catholic.</w:t>
      </w:r>
      <w:r w:rsidR="00F2139C">
        <w:rPr>
          <w:rStyle w:val="EndnoteReference"/>
          <w:rFonts w:ascii="Arial" w:hAnsi="Arial" w:cs="Arial"/>
          <w:sz w:val="24"/>
          <w:szCs w:val="24"/>
        </w:rPr>
        <w:endnoteReference w:id="53"/>
      </w:r>
      <w:r w:rsidR="009F3952" w:rsidRPr="00D00EB9">
        <w:rPr>
          <w:rFonts w:ascii="Arial" w:hAnsi="Arial" w:cs="Arial"/>
          <w:sz w:val="24"/>
          <w:szCs w:val="24"/>
        </w:rPr>
        <w:t xml:space="preserve"> Cha</w:t>
      </w:r>
      <w:r w:rsidR="004008E1" w:rsidRPr="00D00EB9">
        <w:rPr>
          <w:rFonts w:ascii="Arial" w:hAnsi="Arial" w:cs="Arial"/>
          <w:sz w:val="24"/>
          <w:szCs w:val="24"/>
        </w:rPr>
        <w:t>n</w:t>
      </w:r>
      <w:r w:rsidR="009F3952" w:rsidRPr="00D00EB9">
        <w:rPr>
          <w:rFonts w:ascii="Arial" w:hAnsi="Arial" w:cs="Arial"/>
          <w:sz w:val="24"/>
          <w:szCs w:val="24"/>
        </w:rPr>
        <w:t>ges of affiliation were allowed, and in fact they were not uncommon, but they did require a good deal of bureaucratic investigation by prison authorities, as the following section explains.</w:t>
      </w:r>
      <w:r w:rsidR="00D147E1" w:rsidRPr="00D00EB9">
        <w:rPr>
          <w:rFonts w:ascii="Arial" w:hAnsi="Arial" w:cs="Arial"/>
          <w:sz w:val="24"/>
          <w:szCs w:val="24"/>
        </w:rPr>
        <w:t xml:space="preserve"> </w:t>
      </w:r>
    </w:p>
    <w:p w:rsidR="008B15B1" w:rsidRDefault="008B15B1" w:rsidP="0058654F">
      <w:pPr>
        <w:spacing w:after="0" w:line="480" w:lineRule="auto"/>
        <w:contextualSpacing/>
        <w:jc w:val="both"/>
        <w:rPr>
          <w:rFonts w:ascii="Arial" w:hAnsi="Arial" w:cs="Arial"/>
          <w:sz w:val="24"/>
          <w:szCs w:val="24"/>
        </w:rPr>
      </w:pPr>
    </w:p>
    <w:p w:rsidR="008B15B1" w:rsidRPr="008B15B1" w:rsidRDefault="008B15B1" w:rsidP="008B15B1">
      <w:pPr>
        <w:spacing w:after="0" w:line="480" w:lineRule="auto"/>
        <w:contextualSpacing/>
        <w:jc w:val="center"/>
        <w:rPr>
          <w:rFonts w:ascii="Arial" w:hAnsi="Arial" w:cs="Arial"/>
          <w:sz w:val="28"/>
          <w:szCs w:val="28"/>
        </w:rPr>
      </w:pPr>
      <w:r w:rsidRPr="008B15B1">
        <w:rPr>
          <w:rFonts w:ascii="Arial" w:hAnsi="Arial" w:cs="Arial"/>
          <w:sz w:val="28"/>
          <w:szCs w:val="28"/>
        </w:rPr>
        <w:t>IV</w:t>
      </w:r>
    </w:p>
    <w:p w:rsidR="002F76E3" w:rsidRPr="00FE4FDB"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t>Prior to 1774</w:t>
      </w:r>
      <w:r w:rsidR="008B15B1">
        <w:rPr>
          <w:rFonts w:ascii="Arial" w:hAnsi="Arial" w:cs="Arial"/>
          <w:sz w:val="24"/>
          <w:szCs w:val="24"/>
        </w:rPr>
        <w:t>,</w:t>
      </w:r>
      <w:r w:rsidRPr="00D00EB9">
        <w:rPr>
          <w:rFonts w:ascii="Arial" w:hAnsi="Arial" w:cs="Arial"/>
          <w:sz w:val="24"/>
          <w:szCs w:val="24"/>
        </w:rPr>
        <w:t xml:space="preserve"> there was little if any provision for religious instruction, either Protestant or Catholic</w:t>
      </w:r>
      <w:r w:rsidR="00D62DF8" w:rsidRPr="00D00EB9">
        <w:rPr>
          <w:rFonts w:ascii="Arial" w:hAnsi="Arial" w:cs="Arial"/>
          <w:sz w:val="24"/>
          <w:szCs w:val="24"/>
        </w:rPr>
        <w:t>,</w:t>
      </w:r>
      <w:r w:rsidRPr="00D00EB9">
        <w:rPr>
          <w:rFonts w:ascii="Arial" w:hAnsi="Arial" w:cs="Arial"/>
          <w:sz w:val="24"/>
          <w:szCs w:val="24"/>
        </w:rPr>
        <w:t xml:space="preserve"> in local prisons. It was not until the passing of an Act of Parliament in 1773 </w:t>
      </w:r>
      <w:r w:rsidR="008B15B1">
        <w:rPr>
          <w:rFonts w:ascii="Arial" w:hAnsi="Arial" w:cs="Arial"/>
          <w:sz w:val="24"/>
          <w:szCs w:val="24"/>
        </w:rPr>
        <w:t xml:space="preserve">which </w:t>
      </w:r>
      <w:r w:rsidRPr="00D00EB9">
        <w:rPr>
          <w:rFonts w:ascii="Arial" w:hAnsi="Arial" w:cs="Arial"/>
          <w:sz w:val="24"/>
          <w:szCs w:val="24"/>
        </w:rPr>
        <w:t>entitled Appointment of Chaplains to County Gaols (13 Geo. III c.58) that any progress was made</w:t>
      </w:r>
      <w:r w:rsidR="008B15B1">
        <w:rPr>
          <w:rFonts w:ascii="Arial" w:hAnsi="Arial" w:cs="Arial"/>
          <w:sz w:val="24"/>
          <w:szCs w:val="24"/>
        </w:rPr>
        <w:t xml:space="preserve">. Moreover, </w:t>
      </w:r>
      <w:r w:rsidRPr="00D00EB9">
        <w:rPr>
          <w:rFonts w:ascii="Arial" w:hAnsi="Arial" w:cs="Arial"/>
          <w:sz w:val="24"/>
          <w:szCs w:val="24"/>
        </w:rPr>
        <w:t xml:space="preserve">this Act was only </w:t>
      </w:r>
      <w:r w:rsidR="00A042DD">
        <w:rPr>
          <w:rFonts w:ascii="Arial" w:hAnsi="Arial" w:cs="Arial"/>
          <w:sz w:val="24"/>
          <w:szCs w:val="24"/>
        </w:rPr>
        <w:t>permissive r</w:t>
      </w:r>
      <w:r w:rsidRPr="00D00EB9">
        <w:rPr>
          <w:rFonts w:ascii="Arial" w:hAnsi="Arial" w:cs="Arial"/>
          <w:sz w:val="24"/>
          <w:szCs w:val="24"/>
        </w:rPr>
        <w:t>ather than obligatory</w:t>
      </w:r>
      <w:r w:rsidR="008B15B1">
        <w:rPr>
          <w:rFonts w:ascii="Arial" w:hAnsi="Arial" w:cs="Arial"/>
          <w:sz w:val="24"/>
          <w:szCs w:val="24"/>
        </w:rPr>
        <w:t>, as</w:t>
      </w:r>
      <w:r w:rsidRPr="00D00EB9">
        <w:rPr>
          <w:rFonts w:ascii="Arial" w:hAnsi="Arial" w:cs="Arial"/>
          <w:sz w:val="24"/>
          <w:szCs w:val="24"/>
        </w:rPr>
        <w:t xml:space="preserve"> it stated that </w:t>
      </w:r>
      <w:r w:rsidR="00014D97" w:rsidRPr="00D00EB9">
        <w:rPr>
          <w:rFonts w:ascii="Arial" w:hAnsi="Arial" w:cs="Arial"/>
          <w:sz w:val="24"/>
          <w:szCs w:val="24"/>
        </w:rPr>
        <w:t>‘</w:t>
      </w:r>
      <w:r w:rsidRPr="00D00EB9">
        <w:rPr>
          <w:rFonts w:ascii="Arial" w:hAnsi="Arial" w:cs="Arial"/>
          <w:sz w:val="24"/>
          <w:szCs w:val="24"/>
        </w:rPr>
        <w:t xml:space="preserve">clergymen </w:t>
      </w:r>
      <w:r w:rsidR="00110F2E" w:rsidRPr="00110F2E">
        <w:rPr>
          <w:rFonts w:ascii="Arial" w:hAnsi="Arial" w:cs="Arial"/>
          <w:i/>
          <w:sz w:val="24"/>
          <w:szCs w:val="24"/>
        </w:rPr>
        <w:t>may</w:t>
      </w:r>
      <w:r w:rsidRPr="00D00EB9">
        <w:rPr>
          <w:rFonts w:ascii="Arial" w:hAnsi="Arial" w:cs="Arial"/>
          <w:sz w:val="24"/>
          <w:szCs w:val="24"/>
        </w:rPr>
        <w:t xml:space="preserve"> </w:t>
      </w:r>
      <w:r w:rsidR="00F34CA4">
        <w:rPr>
          <w:rFonts w:ascii="Arial" w:hAnsi="Arial" w:cs="Arial"/>
          <w:sz w:val="24"/>
          <w:szCs w:val="24"/>
        </w:rPr>
        <w:t xml:space="preserve">(our emphasis) </w:t>
      </w:r>
      <w:r w:rsidRPr="00D00EB9">
        <w:rPr>
          <w:rFonts w:ascii="Arial" w:hAnsi="Arial" w:cs="Arial"/>
          <w:sz w:val="24"/>
          <w:szCs w:val="24"/>
        </w:rPr>
        <w:t>be provided to officiate in gaols</w:t>
      </w:r>
      <w:r w:rsidR="00014D97" w:rsidRPr="00D00EB9">
        <w:rPr>
          <w:rFonts w:ascii="Arial" w:hAnsi="Arial" w:cs="Arial"/>
          <w:sz w:val="24"/>
          <w:szCs w:val="24"/>
        </w:rPr>
        <w:t>’</w:t>
      </w:r>
      <w:r w:rsidRPr="00D00EB9">
        <w:rPr>
          <w:rFonts w:ascii="Arial" w:hAnsi="Arial" w:cs="Arial"/>
          <w:sz w:val="24"/>
          <w:szCs w:val="24"/>
        </w:rPr>
        <w:t>. The Act was amended during its passage through Parliament to also include Houses of Correction.  However, as John Howard was to find as a result of his perambulations throughout the gaols of England, such provision was patchy at best</w:t>
      </w:r>
      <w:r w:rsidR="00FE4FDB">
        <w:rPr>
          <w:rFonts w:ascii="Arial" w:hAnsi="Arial" w:cs="Arial"/>
          <w:sz w:val="24"/>
          <w:szCs w:val="24"/>
        </w:rPr>
        <w:t>.</w:t>
      </w:r>
      <w:r w:rsidRPr="00D00EB9">
        <w:rPr>
          <w:rFonts w:ascii="Arial" w:hAnsi="Arial" w:cs="Arial"/>
          <w:sz w:val="24"/>
          <w:szCs w:val="24"/>
        </w:rPr>
        <w:t xml:space="preserve"> Bath Gaol</w:t>
      </w:r>
      <w:r w:rsidR="00FE4FDB">
        <w:rPr>
          <w:rFonts w:ascii="Arial" w:hAnsi="Arial" w:cs="Arial"/>
          <w:sz w:val="24"/>
          <w:szCs w:val="24"/>
        </w:rPr>
        <w:t>,</w:t>
      </w:r>
      <w:r w:rsidRPr="00D00EB9">
        <w:rPr>
          <w:rFonts w:ascii="Arial" w:hAnsi="Arial" w:cs="Arial"/>
          <w:sz w:val="24"/>
          <w:szCs w:val="24"/>
        </w:rPr>
        <w:t xml:space="preserve"> for example</w:t>
      </w:r>
      <w:r w:rsidR="00FE4FDB">
        <w:rPr>
          <w:rFonts w:ascii="Arial" w:hAnsi="Arial" w:cs="Arial"/>
          <w:sz w:val="24"/>
          <w:szCs w:val="24"/>
        </w:rPr>
        <w:t>,</w:t>
      </w:r>
      <w:r w:rsidRPr="00D00EB9">
        <w:rPr>
          <w:rFonts w:ascii="Arial" w:hAnsi="Arial" w:cs="Arial"/>
          <w:sz w:val="24"/>
          <w:szCs w:val="24"/>
        </w:rPr>
        <w:t xml:space="preserve"> did not appoint a Chaplain for another thirty years.</w:t>
      </w:r>
      <w:r w:rsidRPr="00D00EB9">
        <w:rPr>
          <w:rStyle w:val="EndnoteReference"/>
          <w:rFonts w:ascii="Arial" w:hAnsi="Arial" w:cs="Arial"/>
          <w:sz w:val="24"/>
          <w:szCs w:val="24"/>
        </w:rPr>
        <w:endnoteReference w:id="54"/>
      </w:r>
      <w:r w:rsidRPr="00D00EB9">
        <w:rPr>
          <w:rFonts w:ascii="Arial" w:hAnsi="Arial" w:cs="Arial"/>
          <w:sz w:val="24"/>
          <w:szCs w:val="24"/>
        </w:rPr>
        <w:t xml:space="preserve">  The reason for this was fundamentally financial – such chaplains were to be paid for out of the County Rate.  It was therefore not until 1823</w:t>
      </w:r>
      <w:r w:rsidR="00FE4FDB">
        <w:rPr>
          <w:rFonts w:ascii="Arial" w:hAnsi="Arial" w:cs="Arial"/>
          <w:sz w:val="24"/>
          <w:szCs w:val="24"/>
        </w:rPr>
        <w:t>,</w:t>
      </w:r>
      <w:r w:rsidRPr="00D00EB9">
        <w:rPr>
          <w:rFonts w:ascii="Arial" w:hAnsi="Arial" w:cs="Arial"/>
          <w:sz w:val="24"/>
          <w:szCs w:val="24"/>
        </w:rPr>
        <w:t xml:space="preserve"> with the passing of the Gaols Act </w:t>
      </w:r>
      <w:r w:rsidRPr="00FE4FDB">
        <w:rPr>
          <w:rFonts w:ascii="Arial" w:hAnsi="Arial" w:cs="Arial"/>
          <w:sz w:val="24"/>
          <w:szCs w:val="24"/>
        </w:rPr>
        <w:t>(4 Geo IV c 64)</w:t>
      </w:r>
      <w:r w:rsidR="00FE4FDB">
        <w:rPr>
          <w:rFonts w:ascii="Arial" w:hAnsi="Arial" w:cs="Arial"/>
          <w:sz w:val="24"/>
          <w:szCs w:val="24"/>
        </w:rPr>
        <w:t>,</w:t>
      </w:r>
      <w:r w:rsidRPr="00FE4FDB">
        <w:rPr>
          <w:rFonts w:ascii="Arial" w:hAnsi="Arial" w:cs="Arial"/>
          <w:sz w:val="24"/>
          <w:szCs w:val="24"/>
        </w:rPr>
        <w:t xml:space="preserve"> that local gaols were created in every county (and many major towns), paid for out of the local taxes</w:t>
      </w:r>
      <w:r w:rsidR="00FE4FDB">
        <w:rPr>
          <w:rFonts w:ascii="Arial" w:hAnsi="Arial" w:cs="Arial"/>
          <w:sz w:val="24"/>
          <w:szCs w:val="24"/>
        </w:rPr>
        <w:t>. A</w:t>
      </w:r>
      <w:r w:rsidRPr="00FE4FDB">
        <w:rPr>
          <w:rFonts w:ascii="Arial" w:hAnsi="Arial" w:cs="Arial"/>
          <w:sz w:val="24"/>
          <w:szCs w:val="24"/>
        </w:rPr>
        <w:t>s part of this cost, provision was made for regular prison visits by chaplains.</w:t>
      </w:r>
      <w:r w:rsidR="003C5E3E" w:rsidRPr="00FE4FDB">
        <w:rPr>
          <w:rFonts w:ascii="Arial" w:hAnsi="Arial" w:cs="Arial"/>
          <w:sz w:val="24"/>
          <w:szCs w:val="24"/>
        </w:rPr>
        <w:t xml:space="preserve"> </w:t>
      </w:r>
      <w:r w:rsidRPr="00FE4FDB">
        <w:rPr>
          <w:rFonts w:ascii="Arial" w:hAnsi="Arial" w:cs="Arial"/>
          <w:sz w:val="24"/>
          <w:szCs w:val="24"/>
        </w:rPr>
        <w:t xml:space="preserve">Whilst </w:t>
      </w:r>
      <w:proofErr w:type="gramStart"/>
      <w:r w:rsidRPr="00FE4FDB">
        <w:rPr>
          <w:rFonts w:ascii="Arial" w:hAnsi="Arial" w:cs="Arial"/>
          <w:sz w:val="24"/>
          <w:szCs w:val="24"/>
        </w:rPr>
        <w:t>the vast majority of</w:t>
      </w:r>
      <w:proofErr w:type="gramEnd"/>
      <w:r w:rsidRPr="00FE4FDB">
        <w:rPr>
          <w:rFonts w:ascii="Arial" w:hAnsi="Arial" w:cs="Arial"/>
          <w:sz w:val="24"/>
          <w:szCs w:val="24"/>
        </w:rPr>
        <w:t xml:space="preserve"> </w:t>
      </w:r>
      <w:r w:rsidR="00FE4FDB">
        <w:rPr>
          <w:rFonts w:ascii="Arial" w:hAnsi="Arial" w:cs="Arial"/>
          <w:sz w:val="24"/>
          <w:szCs w:val="24"/>
        </w:rPr>
        <w:t>these</w:t>
      </w:r>
      <w:r w:rsidR="00FE4FDB" w:rsidRPr="00FE4FDB">
        <w:rPr>
          <w:rFonts w:ascii="Arial" w:hAnsi="Arial" w:cs="Arial"/>
          <w:sz w:val="24"/>
          <w:szCs w:val="24"/>
        </w:rPr>
        <w:t xml:space="preserve"> </w:t>
      </w:r>
      <w:r w:rsidRPr="00FE4FDB">
        <w:rPr>
          <w:rFonts w:ascii="Arial" w:hAnsi="Arial" w:cs="Arial"/>
          <w:sz w:val="24"/>
          <w:szCs w:val="24"/>
        </w:rPr>
        <w:t>chaplains were Church of England, some provision was made for Roman Catholic prisoners and members of minority faiths</w:t>
      </w:r>
      <w:r w:rsidR="00FE4FDB">
        <w:rPr>
          <w:rFonts w:ascii="Arial" w:hAnsi="Arial" w:cs="Arial"/>
          <w:sz w:val="24"/>
          <w:szCs w:val="24"/>
        </w:rPr>
        <w:t xml:space="preserve"> with</w:t>
      </w:r>
      <w:r w:rsidRPr="00FE4FDB">
        <w:rPr>
          <w:rFonts w:ascii="Arial" w:hAnsi="Arial" w:cs="Arial"/>
          <w:sz w:val="24"/>
          <w:szCs w:val="24"/>
        </w:rPr>
        <w:t xml:space="preserve"> guidance published by the Home Office in 1840 </w:t>
      </w:r>
      <w:r w:rsidR="00FE4FDB">
        <w:rPr>
          <w:rFonts w:ascii="Arial" w:hAnsi="Arial" w:cs="Arial"/>
          <w:sz w:val="24"/>
          <w:szCs w:val="24"/>
        </w:rPr>
        <w:t xml:space="preserve">which </w:t>
      </w:r>
      <w:r w:rsidRPr="00FE4FDB">
        <w:rPr>
          <w:rFonts w:ascii="Arial" w:hAnsi="Arial" w:cs="Arial"/>
          <w:sz w:val="24"/>
          <w:szCs w:val="24"/>
        </w:rPr>
        <w:t>stated that:</w:t>
      </w:r>
    </w:p>
    <w:p w:rsidR="002F76E3" w:rsidRPr="00FE4FDB" w:rsidRDefault="002F76E3" w:rsidP="00FE4FDB">
      <w:pPr>
        <w:spacing w:after="0" w:line="360" w:lineRule="auto"/>
        <w:ind w:left="567" w:right="522"/>
        <w:contextualSpacing/>
        <w:jc w:val="both"/>
        <w:rPr>
          <w:rFonts w:ascii="Arial" w:hAnsi="Arial" w:cs="Arial"/>
          <w:sz w:val="24"/>
          <w:szCs w:val="24"/>
        </w:rPr>
      </w:pPr>
      <w:r w:rsidRPr="00FE4FDB">
        <w:rPr>
          <w:rFonts w:ascii="Arial" w:hAnsi="Arial" w:cs="Arial"/>
          <w:sz w:val="24"/>
          <w:szCs w:val="24"/>
        </w:rPr>
        <w:lastRenderedPageBreak/>
        <w:t>Any prisoner of a religious persuasion differing from that of the established church may, on request to the governor and chaplain, be visited by a minister of his persuasion on Sundays, or any other days, at such reasonable hours as may not interfere with the good order of the prison; the name and address of such minister to be left in the governor</w:t>
      </w:r>
      <w:r w:rsidR="00014D97" w:rsidRPr="00FE4FDB">
        <w:rPr>
          <w:rFonts w:ascii="Arial" w:hAnsi="Arial" w:cs="Arial"/>
          <w:sz w:val="24"/>
          <w:szCs w:val="24"/>
        </w:rPr>
        <w:t>’</w:t>
      </w:r>
      <w:r w:rsidRPr="00FE4FDB">
        <w:rPr>
          <w:rFonts w:ascii="Arial" w:hAnsi="Arial" w:cs="Arial"/>
          <w:sz w:val="24"/>
          <w:szCs w:val="24"/>
        </w:rPr>
        <w:t>s office, and to be communicated by him to the chaplain.</w:t>
      </w:r>
      <w:r w:rsidRPr="00FE4FDB">
        <w:rPr>
          <w:rStyle w:val="EndnoteReference"/>
          <w:rFonts w:ascii="Arial" w:hAnsi="Arial" w:cs="Arial"/>
          <w:sz w:val="24"/>
          <w:szCs w:val="24"/>
        </w:rPr>
        <w:endnoteReference w:id="55"/>
      </w:r>
    </w:p>
    <w:p w:rsidR="000C725F" w:rsidRPr="00FE4FDB" w:rsidRDefault="000C725F" w:rsidP="0058654F">
      <w:pPr>
        <w:spacing w:after="0" w:line="480" w:lineRule="auto"/>
        <w:ind w:left="284" w:right="284"/>
        <w:contextualSpacing/>
        <w:jc w:val="both"/>
        <w:rPr>
          <w:rFonts w:ascii="Arial" w:hAnsi="Arial" w:cs="Arial"/>
          <w:sz w:val="24"/>
          <w:szCs w:val="24"/>
        </w:rPr>
      </w:pPr>
    </w:p>
    <w:p w:rsidR="004D7455" w:rsidRPr="00D00EB9" w:rsidRDefault="00C20CEB" w:rsidP="0058654F">
      <w:pPr>
        <w:spacing w:after="0" w:line="480" w:lineRule="auto"/>
        <w:contextualSpacing/>
        <w:jc w:val="both"/>
        <w:rPr>
          <w:rFonts w:ascii="Arial" w:hAnsi="Arial" w:cs="Arial"/>
          <w:sz w:val="24"/>
          <w:szCs w:val="24"/>
        </w:rPr>
      </w:pPr>
      <w:r w:rsidRPr="00D00EB9">
        <w:rPr>
          <w:rFonts w:ascii="Arial" w:hAnsi="Arial" w:cs="Arial"/>
          <w:sz w:val="24"/>
          <w:szCs w:val="24"/>
        </w:rPr>
        <w:t>In the 1878 Commissioners</w:t>
      </w:r>
      <w:r w:rsidR="00014D97" w:rsidRPr="00D00EB9">
        <w:rPr>
          <w:rFonts w:ascii="Arial" w:hAnsi="Arial" w:cs="Arial"/>
          <w:sz w:val="24"/>
          <w:szCs w:val="24"/>
        </w:rPr>
        <w:t>’</w:t>
      </w:r>
      <w:r w:rsidRPr="00D00EB9">
        <w:rPr>
          <w:rFonts w:ascii="Arial" w:hAnsi="Arial" w:cs="Arial"/>
          <w:sz w:val="24"/>
          <w:szCs w:val="24"/>
        </w:rPr>
        <w:t xml:space="preserve"> Report, it </w:t>
      </w:r>
      <w:r w:rsidR="004D7455" w:rsidRPr="00D00EB9">
        <w:rPr>
          <w:rFonts w:ascii="Arial" w:hAnsi="Arial" w:cs="Arial"/>
          <w:sz w:val="24"/>
          <w:szCs w:val="24"/>
        </w:rPr>
        <w:t>was</w:t>
      </w:r>
      <w:r w:rsidRPr="00D00EB9">
        <w:rPr>
          <w:rFonts w:ascii="Arial" w:hAnsi="Arial" w:cs="Arial"/>
          <w:sz w:val="24"/>
          <w:szCs w:val="24"/>
        </w:rPr>
        <w:t xml:space="preserve"> made clear that </w:t>
      </w:r>
      <w:r w:rsidR="004D7455" w:rsidRPr="00D00EB9">
        <w:rPr>
          <w:rFonts w:ascii="Arial" w:hAnsi="Arial" w:cs="Arial"/>
          <w:sz w:val="24"/>
          <w:szCs w:val="24"/>
        </w:rPr>
        <w:t>each convict prison could only accept convicts of one</w:t>
      </w:r>
      <w:r w:rsidRPr="00D00EB9">
        <w:rPr>
          <w:rFonts w:ascii="Arial" w:hAnsi="Arial" w:cs="Arial"/>
          <w:sz w:val="24"/>
          <w:szCs w:val="24"/>
        </w:rPr>
        <w:t xml:space="preserve"> </w:t>
      </w:r>
      <w:proofErr w:type="gramStart"/>
      <w:r w:rsidRPr="00D00EB9">
        <w:rPr>
          <w:rFonts w:ascii="Arial" w:hAnsi="Arial" w:cs="Arial"/>
          <w:sz w:val="24"/>
          <w:szCs w:val="24"/>
        </w:rPr>
        <w:t>particular religion</w:t>
      </w:r>
      <w:proofErr w:type="gramEnd"/>
      <w:r w:rsidRPr="00D00EB9">
        <w:rPr>
          <w:rFonts w:ascii="Arial" w:hAnsi="Arial" w:cs="Arial"/>
          <w:sz w:val="24"/>
          <w:szCs w:val="24"/>
        </w:rPr>
        <w:t xml:space="preserve"> (presumably for two main reasons: to reduce possible religious tensions between convicts, and to save money and trouble by only employing one chaplain of a particular faith). Millbank </w:t>
      </w:r>
      <w:r w:rsidR="00574E5C" w:rsidRPr="00D00EB9">
        <w:rPr>
          <w:rFonts w:ascii="Arial" w:hAnsi="Arial" w:cs="Arial"/>
          <w:sz w:val="24"/>
          <w:szCs w:val="24"/>
        </w:rPr>
        <w:t>P</w:t>
      </w:r>
      <w:r w:rsidRPr="00D00EB9">
        <w:rPr>
          <w:rFonts w:ascii="Arial" w:hAnsi="Arial" w:cs="Arial"/>
          <w:sz w:val="24"/>
          <w:szCs w:val="24"/>
        </w:rPr>
        <w:t>rison was designated as a Roman Catholic prison, whilst Pentonville only</w:t>
      </w:r>
      <w:r w:rsidR="00AA14C4" w:rsidRPr="00D00EB9">
        <w:rPr>
          <w:rFonts w:ascii="Arial" w:hAnsi="Arial" w:cs="Arial"/>
          <w:sz w:val="24"/>
          <w:szCs w:val="24"/>
        </w:rPr>
        <w:t xml:space="preserve"> accepted Protestant convicts.</w:t>
      </w:r>
      <w:r w:rsidR="00A042DD">
        <w:rPr>
          <w:rStyle w:val="EndnoteReference"/>
          <w:rFonts w:ascii="Arial" w:hAnsi="Arial" w:cs="Arial"/>
          <w:sz w:val="24"/>
          <w:szCs w:val="24"/>
        </w:rPr>
        <w:endnoteReference w:id="56"/>
      </w:r>
      <w:r w:rsidR="00AA14C4" w:rsidRPr="00D00EB9">
        <w:rPr>
          <w:rFonts w:ascii="Arial" w:hAnsi="Arial" w:cs="Arial"/>
          <w:sz w:val="24"/>
          <w:szCs w:val="24"/>
        </w:rPr>
        <w:t xml:space="preserve"> </w:t>
      </w:r>
      <w:r w:rsidRPr="00D00EB9">
        <w:rPr>
          <w:rFonts w:ascii="Arial" w:hAnsi="Arial" w:cs="Arial"/>
          <w:sz w:val="24"/>
          <w:szCs w:val="24"/>
        </w:rPr>
        <w:t xml:space="preserve">In his evidence to the Commissioners, </w:t>
      </w:r>
      <w:r w:rsidR="00D62DF8" w:rsidRPr="00D00EB9">
        <w:rPr>
          <w:rFonts w:ascii="Arial" w:hAnsi="Arial" w:cs="Arial"/>
          <w:sz w:val="24"/>
          <w:szCs w:val="24"/>
        </w:rPr>
        <w:t xml:space="preserve">convict </w:t>
      </w:r>
      <w:r w:rsidRPr="00D00EB9">
        <w:rPr>
          <w:rFonts w:ascii="Arial" w:hAnsi="Arial" w:cs="Arial"/>
          <w:sz w:val="24"/>
          <w:szCs w:val="24"/>
        </w:rPr>
        <w:t xml:space="preserve">Henry Harcourt (who was born in Constantinople and raised as a Muslim) stated that his faith was not recognised </w:t>
      </w:r>
      <w:r w:rsidR="00FE4FDB">
        <w:rPr>
          <w:rFonts w:ascii="Arial" w:hAnsi="Arial" w:cs="Arial"/>
          <w:sz w:val="24"/>
          <w:szCs w:val="24"/>
        </w:rPr>
        <w:t>by</w:t>
      </w:r>
      <w:r w:rsidR="00FE4FDB" w:rsidRPr="00D00EB9">
        <w:rPr>
          <w:rFonts w:ascii="Arial" w:hAnsi="Arial" w:cs="Arial"/>
          <w:sz w:val="24"/>
          <w:szCs w:val="24"/>
        </w:rPr>
        <w:t xml:space="preserve"> </w:t>
      </w:r>
      <w:r w:rsidRPr="00D00EB9">
        <w:rPr>
          <w:rFonts w:ascii="Arial" w:hAnsi="Arial" w:cs="Arial"/>
          <w:sz w:val="24"/>
          <w:szCs w:val="24"/>
        </w:rPr>
        <w:t>either prison, and that he had been forced to attend Roman Catholic services and was subsequently very badly treated when he resisted.</w:t>
      </w:r>
      <w:r w:rsidRPr="00D00EB9">
        <w:rPr>
          <w:rStyle w:val="EndnoteReference"/>
          <w:rFonts w:ascii="Arial" w:hAnsi="Arial" w:cs="Arial"/>
          <w:sz w:val="24"/>
          <w:szCs w:val="24"/>
        </w:rPr>
        <w:endnoteReference w:id="57"/>
      </w:r>
      <w:r w:rsidRPr="00D00EB9">
        <w:rPr>
          <w:rFonts w:ascii="Arial" w:hAnsi="Arial" w:cs="Arial"/>
          <w:sz w:val="24"/>
          <w:szCs w:val="24"/>
        </w:rPr>
        <w:t xml:space="preserve"> Convicts were well aware of the semi-official position of such prisons, and at least one convict, George Boreham, who was serving five years</w:t>
      </w:r>
      <w:r w:rsidR="00014D97" w:rsidRPr="00D00EB9">
        <w:rPr>
          <w:rFonts w:ascii="Arial" w:hAnsi="Arial" w:cs="Arial"/>
          <w:sz w:val="24"/>
          <w:szCs w:val="24"/>
        </w:rPr>
        <w:t>’</w:t>
      </w:r>
      <w:r w:rsidRPr="00D00EB9">
        <w:rPr>
          <w:rFonts w:ascii="Arial" w:hAnsi="Arial" w:cs="Arial"/>
          <w:sz w:val="24"/>
          <w:szCs w:val="24"/>
        </w:rPr>
        <w:t xml:space="preserve"> penal servitude, tried to change prisons on numerous occasions, and admitted that </w:t>
      </w:r>
      <w:r w:rsidR="00014D97" w:rsidRPr="00D00EB9">
        <w:rPr>
          <w:rFonts w:ascii="Arial" w:hAnsi="Arial" w:cs="Arial"/>
          <w:sz w:val="24"/>
          <w:szCs w:val="24"/>
        </w:rPr>
        <w:t>‘</w:t>
      </w:r>
      <w:r w:rsidRPr="00D00EB9">
        <w:rPr>
          <w:rFonts w:ascii="Arial" w:hAnsi="Arial" w:cs="Arial"/>
          <w:sz w:val="24"/>
          <w:szCs w:val="24"/>
        </w:rPr>
        <w:t>his object in making application [to change his religion] is to change prisons.</w:t>
      </w:r>
      <w:r w:rsidRPr="00D00EB9">
        <w:rPr>
          <w:rStyle w:val="EndnoteReference"/>
          <w:rFonts w:ascii="Arial" w:hAnsi="Arial" w:cs="Arial"/>
          <w:sz w:val="24"/>
          <w:szCs w:val="24"/>
        </w:rPr>
        <w:endnoteReference w:id="58"/>
      </w:r>
    </w:p>
    <w:p w:rsidR="00456AEF" w:rsidRPr="00D00EB9" w:rsidRDefault="00456AEF" w:rsidP="0058654F">
      <w:pPr>
        <w:spacing w:after="0" w:line="480" w:lineRule="auto"/>
        <w:contextualSpacing/>
        <w:jc w:val="both"/>
        <w:rPr>
          <w:rFonts w:ascii="Arial" w:hAnsi="Arial" w:cs="Arial"/>
          <w:sz w:val="24"/>
          <w:szCs w:val="24"/>
        </w:rPr>
      </w:pPr>
    </w:p>
    <w:p w:rsidR="002F76E3" w:rsidRPr="00D00EB9" w:rsidRDefault="000B79B6" w:rsidP="0058654F">
      <w:pPr>
        <w:spacing w:after="0" w:line="480" w:lineRule="auto"/>
        <w:contextualSpacing/>
        <w:jc w:val="both"/>
        <w:rPr>
          <w:rFonts w:ascii="Arial" w:hAnsi="Arial" w:cs="Arial"/>
          <w:sz w:val="24"/>
          <w:szCs w:val="24"/>
        </w:rPr>
      </w:pPr>
      <w:r w:rsidRPr="00D00EB9">
        <w:rPr>
          <w:rFonts w:ascii="Arial" w:hAnsi="Arial" w:cs="Arial"/>
          <w:sz w:val="24"/>
          <w:szCs w:val="24"/>
        </w:rPr>
        <w:t xml:space="preserve">Julia Hyland entered Millbank Prison as a </w:t>
      </w:r>
      <w:r w:rsidR="004D7455" w:rsidRPr="00D00EB9">
        <w:rPr>
          <w:rFonts w:ascii="Arial" w:hAnsi="Arial" w:cs="Arial"/>
          <w:sz w:val="24"/>
          <w:szCs w:val="24"/>
        </w:rPr>
        <w:t>prisoner who wished to convert to the Catholic faith</w:t>
      </w:r>
      <w:r w:rsidR="00A042DD">
        <w:rPr>
          <w:rFonts w:ascii="Arial" w:hAnsi="Arial" w:cs="Arial"/>
          <w:sz w:val="24"/>
          <w:szCs w:val="24"/>
        </w:rPr>
        <w:t xml:space="preserve"> in 1883</w:t>
      </w:r>
      <w:r w:rsidR="004D7455" w:rsidRPr="00D00EB9">
        <w:rPr>
          <w:rFonts w:ascii="Arial" w:hAnsi="Arial" w:cs="Arial"/>
          <w:sz w:val="24"/>
          <w:szCs w:val="24"/>
        </w:rPr>
        <w:t xml:space="preserve">. Indeed, </w:t>
      </w:r>
      <w:r w:rsidR="00590E0E">
        <w:rPr>
          <w:rFonts w:ascii="Arial" w:hAnsi="Arial" w:cs="Arial"/>
          <w:sz w:val="24"/>
          <w:szCs w:val="24"/>
        </w:rPr>
        <w:t xml:space="preserve">she wished to convert </w:t>
      </w:r>
      <w:r w:rsidR="004D7455" w:rsidRPr="00D00EB9">
        <w:rPr>
          <w:rFonts w:ascii="Arial" w:hAnsi="Arial" w:cs="Arial"/>
          <w:sz w:val="24"/>
          <w:szCs w:val="24"/>
        </w:rPr>
        <w:t>back to Catholicism</w:t>
      </w:r>
      <w:r w:rsidR="00590E0E">
        <w:rPr>
          <w:rFonts w:ascii="Arial" w:hAnsi="Arial" w:cs="Arial"/>
          <w:sz w:val="24"/>
          <w:szCs w:val="24"/>
        </w:rPr>
        <w:t>,</w:t>
      </w:r>
      <w:r w:rsidR="004D7455" w:rsidRPr="00D00EB9">
        <w:rPr>
          <w:rFonts w:ascii="Arial" w:hAnsi="Arial" w:cs="Arial"/>
          <w:sz w:val="24"/>
          <w:szCs w:val="24"/>
        </w:rPr>
        <w:t xml:space="preserve"> as she had been brought up in that faith.</w:t>
      </w:r>
      <w:r w:rsidR="00A042DD">
        <w:rPr>
          <w:rStyle w:val="EndnoteReference"/>
          <w:rFonts w:ascii="Arial" w:hAnsi="Arial" w:cs="Arial"/>
          <w:sz w:val="24"/>
          <w:szCs w:val="24"/>
        </w:rPr>
        <w:endnoteReference w:id="59"/>
      </w:r>
      <w:r w:rsidR="004D7455" w:rsidRPr="00D00EB9">
        <w:rPr>
          <w:rFonts w:ascii="Arial" w:hAnsi="Arial" w:cs="Arial"/>
          <w:sz w:val="24"/>
          <w:szCs w:val="24"/>
        </w:rPr>
        <w:t xml:space="preserve"> </w:t>
      </w:r>
      <w:r w:rsidRPr="00D00EB9">
        <w:rPr>
          <w:rFonts w:ascii="Arial" w:hAnsi="Arial" w:cs="Arial"/>
          <w:sz w:val="24"/>
          <w:szCs w:val="24"/>
        </w:rPr>
        <w:t>Julia was not alone in changing her declared religion whilst in prison</w:t>
      </w:r>
      <w:r w:rsidR="00590E0E">
        <w:rPr>
          <w:rFonts w:ascii="Arial" w:hAnsi="Arial" w:cs="Arial"/>
          <w:sz w:val="24"/>
          <w:szCs w:val="24"/>
        </w:rPr>
        <w:t>. M</w:t>
      </w:r>
      <w:r w:rsidRPr="00D00EB9">
        <w:rPr>
          <w:rFonts w:ascii="Arial" w:hAnsi="Arial" w:cs="Arial"/>
          <w:sz w:val="24"/>
          <w:szCs w:val="24"/>
        </w:rPr>
        <w:t xml:space="preserve">any other convicts, both male and female, made similar requests throughout their incarceration. Their reasons were varied. Some applied to change religion following a misguided attempt to deceive, such as Patrick Madden, serving </w:t>
      </w:r>
      <w:r w:rsidRPr="00D00EB9">
        <w:rPr>
          <w:rFonts w:ascii="Arial" w:hAnsi="Arial" w:cs="Arial"/>
          <w:sz w:val="24"/>
          <w:szCs w:val="24"/>
        </w:rPr>
        <w:lastRenderedPageBreak/>
        <w:t>ten years</w:t>
      </w:r>
      <w:r w:rsidR="00014D97" w:rsidRPr="00D00EB9">
        <w:rPr>
          <w:rFonts w:ascii="Arial" w:hAnsi="Arial" w:cs="Arial"/>
          <w:sz w:val="24"/>
          <w:szCs w:val="24"/>
        </w:rPr>
        <w:t>’</w:t>
      </w:r>
      <w:r w:rsidRPr="00D00EB9">
        <w:rPr>
          <w:rFonts w:ascii="Arial" w:hAnsi="Arial" w:cs="Arial"/>
          <w:sz w:val="24"/>
          <w:szCs w:val="24"/>
        </w:rPr>
        <w:t xml:space="preserve"> penal servitude from 1879 as the result of being found guilty of assault and robbery with violence at Wakefield Sessions. He applied to change from being a member of the Church of England to become a Roman Catholic in 1880 – but not through any religious conviction</w:t>
      </w:r>
      <w:r w:rsidR="00590E0E">
        <w:rPr>
          <w:rFonts w:ascii="Arial" w:hAnsi="Arial" w:cs="Arial"/>
          <w:sz w:val="24"/>
          <w:szCs w:val="24"/>
        </w:rPr>
        <w:t xml:space="preserve">. Rather, </w:t>
      </w:r>
      <w:r w:rsidRPr="00D00EB9">
        <w:rPr>
          <w:rFonts w:ascii="Arial" w:hAnsi="Arial" w:cs="Arial"/>
          <w:sz w:val="24"/>
          <w:szCs w:val="24"/>
        </w:rPr>
        <w:t xml:space="preserve">on his prison record it states that </w:t>
      </w:r>
      <w:r w:rsidR="00014D97" w:rsidRPr="00D00EB9">
        <w:rPr>
          <w:rFonts w:ascii="Arial" w:hAnsi="Arial" w:cs="Arial"/>
          <w:sz w:val="24"/>
          <w:szCs w:val="24"/>
        </w:rPr>
        <w:t>‘</w:t>
      </w:r>
      <w:r w:rsidRPr="00D00EB9">
        <w:rPr>
          <w:rFonts w:ascii="Arial" w:hAnsi="Arial" w:cs="Arial"/>
          <w:sz w:val="24"/>
          <w:szCs w:val="24"/>
        </w:rPr>
        <w:t>he entered his religion as C. of E. to avoid being recognised as a former convict.</w:t>
      </w:r>
      <w:r w:rsidR="00014D97" w:rsidRPr="00D00EB9">
        <w:rPr>
          <w:rFonts w:ascii="Arial" w:hAnsi="Arial" w:cs="Arial"/>
          <w:sz w:val="24"/>
          <w:szCs w:val="24"/>
        </w:rPr>
        <w:t>’</w:t>
      </w:r>
      <w:r w:rsidR="002F76E3" w:rsidRPr="00D00EB9">
        <w:rPr>
          <w:rStyle w:val="EndnoteReference"/>
          <w:rFonts w:ascii="Arial" w:hAnsi="Arial" w:cs="Arial"/>
          <w:sz w:val="24"/>
          <w:szCs w:val="24"/>
        </w:rPr>
        <w:endnoteReference w:id="60"/>
      </w:r>
      <w:r w:rsidR="002F76E3" w:rsidRPr="00D00EB9">
        <w:rPr>
          <w:rFonts w:ascii="Arial" w:hAnsi="Arial" w:cs="Arial"/>
          <w:sz w:val="24"/>
          <w:szCs w:val="24"/>
        </w:rPr>
        <w:t xml:space="preserve"> </w:t>
      </w:r>
      <w:r w:rsidRPr="00D00EB9">
        <w:rPr>
          <w:rFonts w:ascii="Arial" w:hAnsi="Arial" w:cs="Arial"/>
          <w:sz w:val="24"/>
          <w:szCs w:val="24"/>
        </w:rPr>
        <w:t xml:space="preserve">The Governor of Wakefield Prison wrote to the Chaplain of the convict prison stating that </w:t>
      </w:r>
      <w:r w:rsidR="00014D97" w:rsidRPr="00D00EB9">
        <w:rPr>
          <w:rFonts w:ascii="Arial" w:hAnsi="Arial" w:cs="Arial"/>
          <w:sz w:val="24"/>
          <w:szCs w:val="24"/>
        </w:rPr>
        <w:t>‘</w:t>
      </w:r>
      <w:r w:rsidRPr="00D00EB9">
        <w:rPr>
          <w:rFonts w:ascii="Arial" w:hAnsi="Arial" w:cs="Arial"/>
          <w:sz w:val="24"/>
          <w:szCs w:val="24"/>
        </w:rPr>
        <w:t>Madden has often been committed in his prison, always as a Catholic</w:t>
      </w:r>
      <w:r w:rsidR="00014D97" w:rsidRPr="00D00EB9">
        <w:rPr>
          <w:rFonts w:ascii="Arial" w:hAnsi="Arial" w:cs="Arial"/>
          <w:sz w:val="24"/>
          <w:szCs w:val="24"/>
        </w:rPr>
        <w:t>’</w:t>
      </w:r>
      <w:r w:rsidRPr="00D00EB9">
        <w:rPr>
          <w:rFonts w:ascii="Arial" w:hAnsi="Arial" w:cs="Arial"/>
          <w:sz w:val="24"/>
          <w:szCs w:val="24"/>
        </w:rPr>
        <w:t>.</w:t>
      </w:r>
      <w:r w:rsidR="002F76E3" w:rsidRPr="00D00EB9">
        <w:rPr>
          <w:rStyle w:val="EndnoteReference"/>
          <w:rFonts w:ascii="Arial" w:hAnsi="Arial" w:cs="Arial"/>
          <w:sz w:val="24"/>
          <w:szCs w:val="24"/>
        </w:rPr>
        <w:endnoteReference w:id="61"/>
      </w:r>
      <w:r w:rsidR="002F76E3" w:rsidRPr="00D00EB9">
        <w:rPr>
          <w:rFonts w:ascii="Arial" w:hAnsi="Arial" w:cs="Arial"/>
          <w:sz w:val="24"/>
          <w:szCs w:val="24"/>
        </w:rPr>
        <w:t xml:space="preserve"> Similarly, William </w:t>
      </w:r>
      <w:proofErr w:type="spellStart"/>
      <w:r w:rsidR="002F76E3" w:rsidRPr="00D00EB9">
        <w:rPr>
          <w:rFonts w:ascii="Arial" w:hAnsi="Arial" w:cs="Arial"/>
          <w:sz w:val="24"/>
          <w:szCs w:val="24"/>
        </w:rPr>
        <w:t>Willcock</w:t>
      </w:r>
      <w:proofErr w:type="spellEnd"/>
      <w:r w:rsidR="002F76E3" w:rsidRPr="00D00EB9">
        <w:rPr>
          <w:rFonts w:ascii="Arial" w:hAnsi="Arial" w:cs="Arial"/>
          <w:sz w:val="24"/>
          <w:szCs w:val="24"/>
        </w:rPr>
        <w:t>, serving seven years in Millbank, requested to change religion from R</w:t>
      </w:r>
      <w:r w:rsidR="00B44076" w:rsidRPr="00D00EB9">
        <w:rPr>
          <w:rFonts w:ascii="Arial" w:hAnsi="Arial" w:cs="Arial"/>
          <w:sz w:val="24"/>
          <w:szCs w:val="24"/>
        </w:rPr>
        <w:t>oman Catholic</w:t>
      </w:r>
      <w:r w:rsidR="002F76E3" w:rsidRPr="00D00EB9">
        <w:rPr>
          <w:rFonts w:ascii="Arial" w:hAnsi="Arial" w:cs="Arial"/>
          <w:sz w:val="24"/>
          <w:szCs w:val="24"/>
        </w:rPr>
        <w:t xml:space="preserve"> to Protestant on 10 March 1883 – he stated that his father, who is now dead, was a Protestant, and that he (the prisoner) was previously convicted under another name and religion, as he did not want his relations to know that he had been convicted (his real name was Walter Harvey). Following a written r</w:t>
      </w:r>
      <w:r w:rsidR="00C42D15" w:rsidRPr="00D00EB9">
        <w:rPr>
          <w:rFonts w:ascii="Arial" w:hAnsi="Arial" w:cs="Arial"/>
          <w:sz w:val="24"/>
          <w:szCs w:val="24"/>
        </w:rPr>
        <w:t>equest from prison to his wife</w:t>
      </w:r>
      <w:r w:rsidR="002F76E3" w:rsidRPr="00D00EB9">
        <w:rPr>
          <w:rFonts w:ascii="Arial" w:hAnsi="Arial" w:cs="Arial"/>
          <w:sz w:val="24"/>
          <w:szCs w:val="24"/>
        </w:rPr>
        <w:t xml:space="preserve">, </w:t>
      </w:r>
      <w:r w:rsidR="00C42D15" w:rsidRPr="00D00EB9">
        <w:rPr>
          <w:rFonts w:ascii="Arial" w:hAnsi="Arial" w:cs="Arial"/>
          <w:sz w:val="24"/>
          <w:szCs w:val="24"/>
        </w:rPr>
        <w:t xml:space="preserve">requesting her </w:t>
      </w:r>
      <w:r w:rsidR="002F76E3" w:rsidRPr="00D00EB9">
        <w:rPr>
          <w:rFonts w:ascii="Arial" w:hAnsi="Arial" w:cs="Arial"/>
          <w:sz w:val="24"/>
          <w:szCs w:val="24"/>
        </w:rPr>
        <w:t>to state his religion, she plaintively replied that he was bapti</w:t>
      </w:r>
      <w:r w:rsidR="00B44076" w:rsidRPr="00D00EB9">
        <w:rPr>
          <w:rFonts w:ascii="Arial" w:hAnsi="Arial" w:cs="Arial"/>
          <w:sz w:val="24"/>
          <w:szCs w:val="24"/>
        </w:rPr>
        <w:t>s</w:t>
      </w:r>
      <w:r w:rsidR="002F76E3" w:rsidRPr="00D00EB9">
        <w:rPr>
          <w:rFonts w:ascii="Arial" w:hAnsi="Arial" w:cs="Arial"/>
          <w:sz w:val="24"/>
          <w:szCs w:val="24"/>
        </w:rPr>
        <w:t xml:space="preserve">ed as Church of England and wanted to know why he had </w:t>
      </w:r>
      <w:r w:rsidR="00014D97" w:rsidRPr="00D00EB9">
        <w:rPr>
          <w:rFonts w:ascii="Arial" w:hAnsi="Arial" w:cs="Arial"/>
          <w:sz w:val="24"/>
          <w:szCs w:val="24"/>
        </w:rPr>
        <w:t>‘</w:t>
      </w:r>
      <w:r w:rsidR="002F76E3" w:rsidRPr="00D00EB9">
        <w:rPr>
          <w:rFonts w:ascii="Arial" w:hAnsi="Arial" w:cs="Arial"/>
          <w:sz w:val="24"/>
          <w:szCs w:val="24"/>
        </w:rPr>
        <w:t>not written for a considerable time?</w:t>
      </w:r>
      <w:r w:rsidR="00014D97" w:rsidRPr="00D00EB9">
        <w:rPr>
          <w:rFonts w:ascii="Arial" w:hAnsi="Arial" w:cs="Arial"/>
          <w:sz w:val="24"/>
          <w:szCs w:val="24"/>
        </w:rPr>
        <w:t>’</w:t>
      </w:r>
      <w:r w:rsidR="002F76E3" w:rsidRPr="00D00EB9">
        <w:rPr>
          <w:rStyle w:val="EndnoteReference"/>
          <w:rFonts w:ascii="Arial" w:hAnsi="Arial" w:cs="Arial"/>
          <w:sz w:val="24"/>
          <w:szCs w:val="24"/>
        </w:rPr>
        <w:endnoteReference w:id="62"/>
      </w:r>
    </w:p>
    <w:p w:rsidR="00456AEF" w:rsidRPr="00D00EB9" w:rsidRDefault="00456AEF" w:rsidP="0058654F">
      <w:pPr>
        <w:spacing w:after="0" w:line="480" w:lineRule="auto"/>
        <w:contextualSpacing/>
        <w:jc w:val="both"/>
        <w:rPr>
          <w:rFonts w:ascii="Arial" w:hAnsi="Arial" w:cs="Arial"/>
          <w:sz w:val="24"/>
          <w:szCs w:val="24"/>
        </w:rPr>
      </w:pPr>
    </w:p>
    <w:p w:rsidR="002F76E3" w:rsidRPr="00D00EB9"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t>Others, such as Mary Pearson, sentenced to seven years</w:t>
      </w:r>
      <w:r w:rsidR="00014D97" w:rsidRPr="00D00EB9">
        <w:rPr>
          <w:rFonts w:ascii="Arial" w:hAnsi="Arial" w:cs="Arial"/>
          <w:sz w:val="24"/>
          <w:szCs w:val="24"/>
        </w:rPr>
        <w:t>’</w:t>
      </w:r>
      <w:r w:rsidRPr="00D00EB9">
        <w:rPr>
          <w:rFonts w:ascii="Arial" w:hAnsi="Arial" w:cs="Arial"/>
          <w:sz w:val="24"/>
          <w:szCs w:val="24"/>
        </w:rPr>
        <w:t xml:space="preserve"> penal servitude for larceny at Stafford Sessions in April 1880, applied </w:t>
      </w:r>
      <w:r w:rsidR="00C42D15" w:rsidRPr="00D00EB9">
        <w:rPr>
          <w:rFonts w:ascii="Arial" w:hAnsi="Arial" w:cs="Arial"/>
          <w:sz w:val="24"/>
          <w:szCs w:val="24"/>
        </w:rPr>
        <w:t>in order to secure what they perceived to be better conditions</w:t>
      </w:r>
      <w:r w:rsidRPr="00D00EB9">
        <w:rPr>
          <w:rFonts w:ascii="Arial" w:hAnsi="Arial" w:cs="Arial"/>
          <w:sz w:val="24"/>
          <w:szCs w:val="24"/>
        </w:rPr>
        <w:t xml:space="preserve">. She petitioned twice in May 1880 to be recorded as a Protestant because, as she stated, </w:t>
      </w:r>
      <w:r w:rsidR="00014D97" w:rsidRPr="00D00EB9">
        <w:rPr>
          <w:rFonts w:ascii="Arial" w:hAnsi="Arial" w:cs="Arial"/>
          <w:sz w:val="24"/>
          <w:szCs w:val="24"/>
        </w:rPr>
        <w:t>‘</w:t>
      </w:r>
      <w:r w:rsidRPr="00D00EB9">
        <w:rPr>
          <w:rFonts w:ascii="Arial" w:hAnsi="Arial" w:cs="Arial"/>
          <w:sz w:val="24"/>
          <w:szCs w:val="24"/>
        </w:rPr>
        <w:t xml:space="preserve">four out of six </w:t>
      </w:r>
      <w:r w:rsidR="00C42D15" w:rsidRPr="00D00EB9">
        <w:rPr>
          <w:rFonts w:ascii="Arial" w:hAnsi="Arial" w:cs="Arial"/>
          <w:sz w:val="24"/>
          <w:szCs w:val="24"/>
        </w:rPr>
        <w:t xml:space="preserve">other </w:t>
      </w:r>
      <w:r w:rsidRPr="00D00EB9">
        <w:rPr>
          <w:rFonts w:ascii="Arial" w:hAnsi="Arial" w:cs="Arial"/>
          <w:sz w:val="24"/>
          <w:szCs w:val="24"/>
        </w:rPr>
        <w:t>RCs do the same [i.e. change religion], as Protestants walk to their chapel every morning</w:t>
      </w:r>
      <w:r w:rsidR="00014D97" w:rsidRPr="00D00EB9">
        <w:rPr>
          <w:rFonts w:ascii="Arial" w:hAnsi="Arial" w:cs="Arial"/>
          <w:sz w:val="24"/>
          <w:szCs w:val="24"/>
        </w:rPr>
        <w:t>’</w:t>
      </w:r>
      <w:r w:rsidRPr="00D00EB9">
        <w:rPr>
          <w:rFonts w:ascii="Arial" w:hAnsi="Arial" w:cs="Arial"/>
          <w:sz w:val="24"/>
          <w:szCs w:val="24"/>
        </w:rPr>
        <w:t>.</w:t>
      </w:r>
      <w:r w:rsidRPr="00D00EB9">
        <w:rPr>
          <w:rStyle w:val="EndnoteReference"/>
          <w:rFonts w:ascii="Arial" w:hAnsi="Arial" w:cs="Arial"/>
          <w:sz w:val="24"/>
          <w:szCs w:val="24"/>
        </w:rPr>
        <w:endnoteReference w:id="63"/>
      </w:r>
      <w:r w:rsidRPr="00D00EB9">
        <w:rPr>
          <w:rFonts w:ascii="Arial" w:hAnsi="Arial" w:cs="Arial"/>
          <w:sz w:val="24"/>
          <w:szCs w:val="24"/>
        </w:rPr>
        <w:t xml:space="preserve"> Roman Catholics only received three visits during the week from a priest and two visits on a Sunday – just a simple opportunity to get out of her prison cell on a more regular basis was the catalyst for Mary</w:t>
      </w:r>
      <w:r w:rsidR="00014D97" w:rsidRPr="00D00EB9">
        <w:rPr>
          <w:rFonts w:ascii="Arial" w:hAnsi="Arial" w:cs="Arial"/>
          <w:sz w:val="24"/>
          <w:szCs w:val="24"/>
        </w:rPr>
        <w:t>’</w:t>
      </w:r>
      <w:r w:rsidRPr="00D00EB9">
        <w:rPr>
          <w:rFonts w:ascii="Arial" w:hAnsi="Arial" w:cs="Arial"/>
          <w:sz w:val="24"/>
          <w:szCs w:val="24"/>
        </w:rPr>
        <w:t xml:space="preserve">s </w:t>
      </w:r>
      <w:r w:rsidR="00014D97" w:rsidRPr="00D00EB9">
        <w:rPr>
          <w:rFonts w:ascii="Arial" w:hAnsi="Arial" w:cs="Arial"/>
          <w:sz w:val="24"/>
          <w:szCs w:val="24"/>
        </w:rPr>
        <w:t>‘</w:t>
      </w:r>
      <w:r w:rsidRPr="00D00EB9">
        <w:rPr>
          <w:rFonts w:ascii="Arial" w:hAnsi="Arial" w:cs="Arial"/>
          <w:sz w:val="24"/>
          <w:szCs w:val="24"/>
        </w:rPr>
        <w:t>conversion</w:t>
      </w:r>
      <w:r w:rsidR="00014D97" w:rsidRPr="00D00EB9">
        <w:rPr>
          <w:rFonts w:ascii="Arial" w:hAnsi="Arial" w:cs="Arial"/>
          <w:sz w:val="24"/>
          <w:szCs w:val="24"/>
        </w:rPr>
        <w:t>’</w:t>
      </w:r>
      <w:r w:rsidRPr="00D00EB9">
        <w:rPr>
          <w:rFonts w:ascii="Arial" w:hAnsi="Arial" w:cs="Arial"/>
          <w:sz w:val="24"/>
          <w:szCs w:val="24"/>
        </w:rPr>
        <w:t>. Rather unusually</w:t>
      </w:r>
      <w:r w:rsidR="00590E0E">
        <w:rPr>
          <w:rFonts w:ascii="Arial" w:hAnsi="Arial" w:cs="Arial"/>
          <w:sz w:val="24"/>
          <w:szCs w:val="24"/>
        </w:rPr>
        <w:t>,</w:t>
      </w:r>
      <w:r w:rsidRPr="00D00EB9">
        <w:rPr>
          <w:rFonts w:ascii="Arial" w:hAnsi="Arial" w:cs="Arial"/>
          <w:sz w:val="24"/>
          <w:szCs w:val="24"/>
        </w:rPr>
        <w:t xml:space="preserve"> her request was </w:t>
      </w:r>
      <w:r w:rsidRPr="00D00EB9">
        <w:rPr>
          <w:rFonts w:ascii="Arial" w:hAnsi="Arial" w:cs="Arial"/>
          <w:sz w:val="24"/>
          <w:szCs w:val="24"/>
        </w:rPr>
        <w:lastRenderedPageBreak/>
        <w:t>granted</w:t>
      </w:r>
      <w:r w:rsidR="00590E0E">
        <w:rPr>
          <w:rFonts w:ascii="Arial" w:hAnsi="Arial" w:cs="Arial"/>
          <w:sz w:val="24"/>
          <w:szCs w:val="24"/>
        </w:rPr>
        <w:t>. N</w:t>
      </w:r>
      <w:r w:rsidRPr="00D00EB9">
        <w:rPr>
          <w:rFonts w:ascii="Arial" w:hAnsi="Arial" w:cs="Arial"/>
          <w:sz w:val="24"/>
          <w:szCs w:val="24"/>
        </w:rPr>
        <w:t>ormally</w:t>
      </w:r>
      <w:r w:rsidR="00590E0E">
        <w:rPr>
          <w:rFonts w:ascii="Arial" w:hAnsi="Arial" w:cs="Arial"/>
          <w:sz w:val="24"/>
          <w:szCs w:val="24"/>
        </w:rPr>
        <w:t>,</w:t>
      </w:r>
      <w:r w:rsidRPr="00D00EB9">
        <w:rPr>
          <w:rFonts w:ascii="Arial" w:hAnsi="Arial" w:cs="Arial"/>
          <w:sz w:val="24"/>
          <w:szCs w:val="24"/>
        </w:rPr>
        <w:t xml:space="preserve"> such a trivial and spurious reason would have been cause for denial. </w:t>
      </w:r>
    </w:p>
    <w:p w:rsidR="00456AEF" w:rsidRPr="00D00EB9" w:rsidRDefault="00456AEF" w:rsidP="0058654F">
      <w:pPr>
        <w:spacing w:after="0" w:line="480" w:lineRule="auto"/>
        <w:contextualSpacing/>
        <w:jc w:val="both"/>
        <w:rPr>
          <w:rFonts w:ascii="Arial" w:hAnsi="Arial" w:cs="Arial"/>
          <w:sz w:val="24"/>
          <w:szCs w:val="24"/>
        </w:rPr>
      </w:pPr>
    </w:p>
    <w:p w:rsidR="00B44076" w:rsidRPr="00D00EB9"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t xml:space="preserve">Maud Percival, confined in Millbank </w:t>
      </w:r>
      <w:r w:rsidR="00574E5C" w:rsidRPr="00D00EB9">
        <w:rPr>
          <w:rFonts w:ascii="Arial" w:hAnsi="Arial" w:cs="Arial"/>
          <w:sz w:val="24"/>
          <w:szCs w:val="24"/>
        </w:rPr>
        <w:t>P</w:t>
      </w:r>
      <w:r w:rsidRPr="00D00EB9">
        <w:rPr>
          <w:rFonts w:ascii="Arial" w:hAnsi="Arial" w:cs="Arial"/>
          <w:sz w:val="24"/>
          <w:szCs w:val="24"/>
        </w:rPr>
        <w:t>rison for a second time in 1880, also requested a change in religion from Catholicism to Protestantism, but once again not from any deep-seated religious conviction. The prison chaplain, Reverend Zanetti, stated in her prison file that</w:t>
      </w:r>
      <w:r w:rsidR="00B44076" w:rsidRPr="00D00EB9">
        <w:rPr>
          <w:rFonts w:ascii="Arial" w:hAnsi="Arial" w:cs="Arial"/>
          <w:sz w:val="24"/>
          <w:szCs w:val="24"/>
        </w:rPr>
        <w:t>:</w:t>
      </w:r>
    </w:p>
    <w:p w:rsidR="00B44076" w:rsidRPr="00D00EB9" w:rsidRDefault="00B44076" w:rsidP="0058654F">
      <w:pPr>
        <w:spacing w:after="0" w:line="480" w:lineRule="auto"/>
        <w:contextualSpacing/>
        <w:jc w:val="both"/>
        <w:rPr>
          <w:rFonts w:ascii="Arial" w:hAnsi="Arial" w:cs="Arial"/>
          <w:sz w:val="24"/>
          <w:szCs w:val="24"/>
        </w:rPr>
      </w:pPr>
    </w:p>
    <w:p w:rsidR="00B44076" w:rsidRPr="00D00EB9" w:rsidRDefault="00B44076" w:rsidP="00590E0E">
      <w:pPr>
        <w:spacing w:after="0" w:line="360" w:lineRule="auto"/>
        <w:ind w:left="567" w:right="522"/>
        <w:contextualSpacing/>
        <w:jc w:val="both"/>
        <w:rPr>
          <w:rFonts w:ascii="Arial" w:hAnsi="Arial" w:cs="Arial"/>
          <w:sz w:val="24"/>
          <w:szCs w:val="24"/>
        </w:rPr>
      </w:pPr>
      <w:r w:rsidRPr="00D00EB9">
        <w:rPr>
          <w:rFonts w:ascii="Arial" w:hAnsi="Arial" w:cs="Arial"/>
          <w:sz w:val="24"/>
          <w:szCs w:val="24"/>
        </w:rPr>
        <w:t>T</w:t>
      </w:r>
      <w:r w:rsidR="002F76E3" w:rsidRPr="00D00EB9">
        <w:rPr>
          <w:rFonts w:ascii="Arial" w:hAnsi="Arial" w:cs="Arial"/>
          <w:sz w:val="24"/>
          <w:szCs w:val="24"/>
        </w:rPr>
        <w:t>here is no doubt that this woman is a Roman Catholic and of Catholic parents – she was before in Millbank under the name of Elizabeth Robinson. I remember her well. […] She said (like so many Catholics) that she was a Protestant, “not to lose her privileges” i.e. principally not to be shut up in their cells when Protestants go daily to service.</w:t>
      </w:r>
      <w:r w:rsidR="00014D97" w:rsidRPr="00D00EB9">
        <w:rPr>
          <w:rFonts w:ascii="Arial" w:hAnsi="Arial" w:cs="Arial"/>
          <w:sz w:val="24"/>
          <w:szCs w:val="24"/>
        </w:rPr>
        <w:t>’</w:t>
      </w:r>
      <w:r w:rsidR="002F76E3" w:rsidRPr="00D00EB9">
        <w:rPr>
          <w:rStyle w:val="EndnoteReference"/>
          <w:rFonts w:ascii="Arial" w:hAnsi="Arial" w:cs="Arial"/>
          <w:sz w:val="24"/>
          <w:szCs w:val="24"/>
        </w:rPr>
        <w:endnoteReference w:id="64"/>
      </w:r>
      <w:r w:rsidR="002F76E3" w:rsidRPr="00D00EB9">
        <w:rPr>
          <w:rFonts w:ascii="Arial" w:hAnsi="Arial" w:cs="Arial"/>
          <w:sz w:val="24"/>
          <w:szCs w:val="24"/>
        </w:rPr>
        <w:t xml:space="preserve"> </w:t>
      </w:r>
    </w:p>
    <w:p w:rsidR="00B44076" w:rsidRPr="00D00EB9" w:rsidRDefault="00B44076" w:rsidP="0058654F">
      <w:pPr>
        <w:spacing w:after="0" w:line="480" w:lineRule="auto"/>
        <w:contextualSpacing/>
        <w:jc w:val="both"/>
        <w:rPr>
          <w:rFonts w:ascii="Arial" w:hAnsi="Arial" w:cs="Arial"/>
          <w:sz w:val="24"/>
          <w:szCs w:val="24"/>
        </w:rPr>
      </w:pPr>
    </w:p>
    <w:p w:rsidR="00B44076" w:rsidRPr="00D00EB9"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t>Similarly, Lucy Brent in 1883 requested to change her religion from Protestant to Roman Catholic, stating:</w:t>
      </w:r>
      <w:r w:rsidR="00225480" w:rsidRPr="00D00EB9">
        <w:rPr>
          <w:rFonts w:ascii="Arial" w:hAnsi="Arial" w:cs="Arial"/>
          <w:sz w:val="24"/>
          <w:szCs w:val="24"/>
        </w:rPr>
        <w:t xml:space="preserve"> </w:t>
      </w:r>
    </w:p>
    <w:p w:rsidR="00B44076" w:rsidRPr="00D00EB9" w:rsidRDefault="00B44076" w:rsidP="0058654F">
      <w:pPr>
        <w:spacing w:after="0" w:line="480" w:lineRule="auto"/>
        <w:contextualSpacing/>
        <w:jc w:val="both"/>
        <w:rPr>
          <w:rFonts w:ascii="Arial" w:hAnsi="Arial" w:cs="Arial"/>
          <w:sz w:val="24"/>
          <w:szCs w:val="24"/>
        </w:rPr>
      </w:pPr>
    </w:p>
    <w:p w:rsidR="002F76E3" w:rsidRPr="00D00EB9" w:rsidRDefault="002F76E3" w:rsidP="00590E0E">
      <w:pPr>
        <w:tabs>
          <w:tab w:val="left" w:pos="8505"/>
        </w:tabs>
        <w:spacing w:after="0" w:line="360" w:lineRule="auto"/>
        <w:ind w:left="567" w:right="521"/>
        <w:contextualSpacing/>
        <w:jc w:val="both"/>
        <w:rPr>
          <w:rFonts w:ascii="Arial" w:hAnsi="Arial" w:cs="Arial"/>
          <w:sz w:val="24"/>
          <w:szCs w:val="24"/>
        </w:rPr>
      </w:pPr>
      <w:r w:rsidRPr="00D00EB9">
        <w:rPr>
          <w:rFonts w:ascii="Arial" w:hAnsi="Arial" w:cs="Arial"/>
          <w:sz w:val="24"/>
          <w:szCs w:val="24"/>
        </w:rPr>
        <w:t>I am really a Roman Catholic.  I am very unhappy having denied my religion and I was given to understand the Catholics was badly treated, another reason was I wished to go to Nine Elms Laundry at the expiration of my sentence. I</w:t>
      </w:r>
      <w:r w:rsidR="00014D97" w:rsidRPr="00D00EB9">
        <w:rPr>
          <w:rFonts w:ascii="Arial" w:hAnsi="Arial" w:cs="Arial"/>
          <w:sz w:val="24"/>
          <w:szCs w:val="24"/>
        </w:rPr>
        <w:t>’</w:t>
      </w:r>
      <w:r w:rsidRPr="00D00EB9">
        <w:rPr>
          <w:rFonts w:ascii="Arial" w:hAnsi="Arial" w:cs="Arial"/>
          <w:sz w:val="24"/>
          <w:szCs w:val="24"/>
        </w:rPr>
        <w:t>m very sorry to give this trouble.</w:t>
      </w:r>
      <w:r w:rsidRPr="00D00EB9">
        <w:rPr>
          <w:rStyle w:val="EndnoteReference"/>
          <w:rFonts w:ascii="Arial" w:hAnsi="Arial" w:cs="Arial"/>
          <w:sz w:val="24"/>
          <w:szCs w:val="24"/>
        </w:rPr>
        <w:endnoteReference w:id="65"/>
      </w:r>
    </w:p>
    <w:p w:rsidR="00B44076" w:rsidRPr="00D00EB9" w:rsidRDefault="00B44076" w:rsidP="0058654F">
      <w:pPr>
        <w:spacing w:after="0" w:line="480" w:lineRule="auto"/>
        <w:contextualSpacing/>
        <w:jc w:val="both"/>
        <w:rPr>
          <w:rFonts w:ascii="Arial" w:hAnsi="Arial" w:cs="Arial"/>
          <w:sz w:val="24"/>
          <w:szCs w:val="24"/>
        </w:rPr>
      </w:pPr>
    </w:p>
    <w:p w:rsidR="002F76E3" w:rsidRPr="00D00EB9" w:rsidRDefault="00225480" w:rsidP="0058654F">
      <w:pPr>
        <w:spacing w:after="0" w:line="480" w:lineRule="auto"/>
        <w:contextualSpacing/>
        <w:jc w:val="both"/>
        <w:rPr>
          <w:rFonts w:ascii="Arial" w:hAnsi="Arial" w:cs="Arial"/>
          <w:sz w:val="24"/>
          <w:szCs w:val="24"/>
        </w:rPr>
      </w:pPr>
      <w:r w:rsidRPr="00D00EB9">
        <w:rPr>
          <w:rFonts w:ascii="Arial" w:hAnsi="Arial" w:cs="Arial"/>
          <w:sz w:val="24"/>
          <w:szCs w:val="24"/>
        </w:rPr>
        <w:t xml:space="preserve">This is not to imply that conversions were never the result </w:t>
      </w:r>
      <w:r w:rsidR="002F76E3" w:rsidRPr="00D00EB9">
        <w:rPr>
          <w:rFonts w:ascii="Arial" w:hAnsi="Arial" w:cs="Arial"/>
          <w:sz w:val="24"/>
          <w:szCs w:val="24"/>
        </w:rPr>
        <w:t>of serious and genuine doubts about their professed faith. Lydia Lloyd, serving seven years for larceny in Oxf</w:t>
      </w:r>
      <w:r w:rsidRPr="00D00EB9">
        <w:rPr>
          <w:rFonts w:ascii="Arial" w:hAnsi="Arial" w:cs="Arial"/>
          <w:sz w:val="24"/>
          <w:szCs w:val="24"/>
        </w:rPr>
        <w:t>ord, requested to convert from</w:t>
      </w:r>
      <w:r w:rsidR="002F76E3" w:rsidRPr="00D00EB9">
        <w:rPr>
          <w:rFonts w:ascii="Arial" w:hAnsi="Arial" w:cs="Arial"/>
          <w:sz w:val="24"/>
          <w:szCs w:val="24"/>
        </w:rPr>
        <w:t xml:space="preserve"> Protestant</w:t>
      </w:r>
      <w:r w:rsidRPr="00D00EB9">
        <w:rPr>
          <w:rFonts w:ascii="Arial" w:hAnsi="Arial" w:cs="Arial"/>
          <w:sz w:val="24"/>
          <w:szCs w:val="24"/>
        </w:rPr>
        <w:t xml:space="preserve">ism to </w:t>
      </w:r>
      <w:r w:rsidR="002F76E3" w:rsidRPr="00D00EB9">
        <w:rPr>
          <w:rFonts w:ascii="Arial" w:hAnsi="Arial" w:cs="Arial"/>
          <w:sz w:val="24"/>
          <w:szCs w:val="24"/>
        </w:rPr>
        <w:t>Roman Catholic</w:t>
      </w:r>
      <w:r w:rsidRPr="00D00EB9">
        <w:rPr>
          <w:rFonts w:ascii="Arial" w:hAnsi="Arial" w:cs="Arial"/>
          <w:sz w:val="24"/>
          <w:szCs w:val="24"/>
        </w:rPr>
        <w:t>ism</w:t>
      </w:r>
      <w:r w:rsidR="002F76E3" w:rsidRPr="00D00EB9">
        <w:rPr>
          <w:rFonts w:ascii="Arial" w:hAnsi="Arial" w:cs="Arial"/>
          <w:sz w:val="24"/>
          <w:szCs w:val="24"/>
        </w:rPr>
        <w:t xml:space="preserve"> in 1875</w:t>
      </w:r>
      <w:r w:rsidR="00590E0E">
        <w:rPr>
          <w:rFonts w:ascii="Arial" w:hAnsi="Arial" w:cs="Arial"/>
          <w:sz w:val="24"/>
          <w:szCs w:val="24"/>
        </w:rPr>
        <w:t>. T</w:t>
      </w:r>
      <w:r w:rsidR="002F76E3" w:rsidRPr="00D00EB9">
        <w:rPr>
          <w:rFonts w:ascii="Arial" w:hAnsi="Arial" w:cs="Arial"/>
          <w:sz w:val="24"/>
          <w:szCs w:val="24"/>
        </w:rPr>
        <w:t xml:space="preserve">he prison chaplain </w:t>
      </w:r>
      <w:r w:rsidR="00590E0E" w:rsidRPr="00D00EB9">
        <w:rPr>
          <w:rFonts w:ascii="Arial" w:hAnsi="Arial" w:cs="Arial"/>
          <w:sz w:val="24"/>
          <w:szCs w:val="24"/>
        </w:rPr>
        <w:t>stat</w:t>
      </w:r>
      <w:r w:rsidR="00590E0E">
        <w:rPr>
          <w:rFonts w:ascii="Arial" w:hAnsi="Arial" w:cs="Arial"/>
          <w:sz w:val="24"/>
          <w:szCs w:val="24"/>
        </w:rPr>
        <w:t>ed</w:t>
      </w:r>
      <w:r w:rsidR="00590E0E" w:rsidRPr="00D00EB9">
        <w:rPr>
          <w:rFonts w:ascii="Arial" w:hAnsi="Arial" w:cs="Arial"/>
          <w:sz w:val="24"/>
          <w:szCs w:val="24"/>
        </w:rPr>
        <w:t xml:space="preserve"> </w:t>
      </w:r>
      <w:r w:rsidR="002F76E3" w:rsidRPr="00D00EB9">
        <w:rPr>
          <w:rFonts w:ascii="Arial" w:hAnsi="Arial" w:cs="Arial"/>
          <w:sz w:val="24"/>
          <w:szCs w:val="24"/>
        </w:rPr>
        <w:t xml:space="preserve">that </w:t>
      </w:r>
      <w:r w:rsidR="00014D97" w:rsidRPr="00D00EB9">
        <w:rPr>
          <w:rFonts w:ascii="Arial" w:hAnsi="Arial" w:cs="Arial"/>
          <w:sz w:val="24"/>
          <w:szCs w:val="24"/>
        </w:rPr>
        <w:t>‘</w:t>
      </w:r>
      <w:r w:rsidR="002F76E3" w:rsidRPr="00D00EB9">
        <w:rPr>
          <w:rFonts w:ascii="Arial" w:hAnsi="Arial" w:cs="Arial"/>
          <w:sz w:val="24"/>
          <w:szCs w:val="24"/>
        </w:rPr>
        <w:t>prisoner was baptised and confirmed as a R.C. at Stafford but was persuaded to declare herself Protestant, regrets it and desires to return to the church in which she was brought up</w:t>
      </w:r>
      <w:r w:rsidR="00014D97" w:rsidRPr="00D00EB9">
        <w:rPr>
          <w:rFonts w:ascii="Arial" w:hAnsi="Arial" w:cs="Arial"/>
          <w:sz w:val="24"/>
          <w:szCs w:val="24"/>
        </w:rPr>
        <w:t>’</w:t>
      </w:r>
      <w:r w:rsidR="002F76E3" w:rsidRPr="00D00EB9">
        <w:rPr>
          <w:rFonts w:ascii="Arial" w:hAnsi="Arial" w:cs="Arial"/>
          <w:sz w:val="24"/>
          <w:szCs w:val="24"/>
        </w:rPr>
        <w:t>.</w:t>
      </w:r>
      <w:r w:rsidR="002F76E3" w:rsidRPr="00D00EB9">
        <w:rPr>
          <w:rStyle w:val="EndnoteReference"/>
          <w:rFonts w:ascii="Arial" w:hAnsi="Arial" w:cs="Arial"/>
          <w:sz w:val="24"/>
          <w:szCs w:val="24"/>
        </w:rPr>
        <w:endnoteReference w:id="66"/>
      </w:r>
      <w:r w:rsidR="002F76E3" w:rsidRPr="00D00EB9">
        <w:rPr>
          <w:rFonts w:ascii="Arial" w:hAnsi="Arial" w:cs="Arial"/>
          <w:sz w:val="24"/>
          <w:szCs w:val="24"/>
        </w:rPr>
        <w:t xml:space="preserve"> Similarly, Ann Carney, a sixty-</w:t>
      </w:r>
      <w:r w:rsidR="002F76E3" w:rsidRPr="00D00EB9">
        <w:rPr>
          <w:rFonts w:ascii="Arial" w:hAnsi="Arial" w:cs="Arial"/>
          <w:sz w:val="24"/>
          <w:szCs w:val="24"/>
        </w:rPr>
        <w:lastRenderedPageBreak/>
        <w:t xml:space="preserve">four-year-old serving seven years in Millbank for a larceny conviction in 1881, requested to change her religion, as she did not enjoy good health and feared that her life was ending. On </w:t>
      </w:r>
      <w:r w:rsidR="00590E0E">
        <w:rPr>
          <w:rFonts w:ascii="Arial" w:hAnsi="Arial" w:cs="Arial"/>
          <w:sz w:val="24"/>
          <w:szCs w:val="24"/>
        </w:rPr>
        <w:t xml:space="preserve">the </w:t>
      </w:r>
      <w:r w:rsidR="002F76E3" w:rsidRPr="00D00EB9">
        <w:rPr>
          <w:rFonts w:ascii="Arial" w:hAnsi="Arial" w:cs="Arial"/>
          <w:sz w:val="24"/>
          <w:szCs w:val="24"/>
        </w:rPr>
        <w:t>25</w:t>
      </w:r>
      <w:r w:rsidR="00C22DA4" w:rsidRPr="00C22DA4">
        <w:rPr>
          <w:rFonts w:ascii="Arial" w:hAnsi="Arial" w:cs="Arial"/>
          <w:sz w:val="24"/>
          <w:szCs w:val="24"/>
          <w:vertAlign w:val="superscript"/>
        </w:rPr>
        <w:t>th</w:t>
      </w:r>
      <w:r w:rsidR="00590E0E">
        <w:rPr>
          <w:rFonts w:ascii="Arial" w:hAnsi="Arial" w:cs="Arial"/>
          <w:sz w:val="24"/>
          <w:szCs w:val="24"/>
        </w:rPr>
        <w:t xml:space="preserve"> of</w:t>
      </w:r>
      <w:r w:rsidR="002F76E3" w:rsidRPr="00D00EB9">
        <w:rPr>
          <w:rFonts w:ascii="Arial" w:hAnsi="Arial" w:cs="Arial"/>
          <w:sz w:val="24"/>
          <w:szCs w:val="24"/>
        </w:rPr>
        <w:t xml:space="preserve"> August 1881</w:t>
      </w:r>
      <w:r w:rsidR="00590E0E">
        <w:rPr>
          <w:rFonts w:ascii="Arial" w:hAnsi="Arial" w:cs="Arial"/>
          <w:sz w:val="24"/>
          <w:szCs w:val="24"/>
        </w:rPr>
        <w:t>,</w:t>
      </w:r>
      <w:r w:rsidR="002F76E3" w:rsidRPr="00D00EB9">
        <w:rPr>
          <w:rFonts w:ascii="Arial" w:hAnsi="Arial" w:cs="Arial"/>
          <w:sz w:val="24"/>
          <w:szCs w:val="24"/>
        </w:rPr>
        <w:t xml:space="preserve"> she petitioned to change her religion</w:t>
      </w:r>
      <w:r w:rsidR="00590E0E">
        <w:rPr>
          <w:rFonts w:ascii="Arial" w:hAnsi="Arial" w:cs="Arial"/>
          <w:sz w:val="24"/>
          <w:szCs w:val="24"/>
        </w:rPr>
        <w:t xml:space="preserve"> and</w:t>
      </w:r>
      <w:r w:rsidR="002F76E3" w:rsidRPr="00D00EB9">
        <w:rPr>
          <w:rFonts w:ascii="Arial" w:hAnsi="Arial" w:cs="Arial"/>
          <w:sz w:val="24"/>
          <w:szCs w:val="24"/>
        </w:rPr>
        <w:t xml:space="preserve"> her prison file noted that she </w:t>
      </w:r>
      <w:r w:rsidR="00014D97" w:rsidRPr="00D00EB9">
        <w:rPr>
          <w:rFonts w:ascii="Arial" w:hAnsi="Arial" w:cs="Arial"/>
          <w:sz w:val="24"/>
          <w:szCs w:val="24"/>
        </w:rPr>
        <w:t>‘</w:t>
      </w:r>
      <w:r w:rsidR="002F76E3" w:rsidRPr="00D00EB9">
        <w:rPr>
          <w:rFonts w:ascii="Arial" w:hAnsi="Arial" w:cs="Arial"/>
          <w:sz w:val="24"/>
          <w:szCs w:val="24"/>
        </w:rPr>
        <w:t>was brought up R.C. and all relatives R.C.</w:t>
      </w:r>
      <w:r w:rsidR="00014D97" w:rsidRPr="00D00EB9">
        <w:rPr>
          <w:rFonts w:ascii="Arial" w:hAnsi="Arial" w:cs="Arial"/>
          <w:sz w:val="24"/>
          <w:szCs w:val="24"/>
        </w:rPr>
        <w:t>’</w:t>
      </w:r>
      <w:r w:rsidR="002F76E3" w:rsidRPr="00D00EB9">
        <w:rPr>
          <w:rFonts w:ascii="Arial" w:hAnsi="Arial" w:cs="Arial"/>
          <w:sz w:val="24"/>
          <w:szCs w:val="24"/>
        </w:rPr>
        <w:t>.</w:t>
      </w:r>
      <w:r w:rsidR="002F76E3" w:rsidRPr="00D00EB9">
        <w:rPr>
          <w:rStyle w:val="EndnoteReference"/>
          <w:rFonts w:ascii="Arial" w:hAnsi="Arial" w:cs="Arial"/>
          <w:sz w:val="24"/>
          <w:szCs w:val="24"/>
        </w:rPr>
        <w:endnoteReference w:id="67"/>
      </w:r>
      <w:r w:rsidR="002F76E3" w:rsidRPr="00D00EB9">
        <w:rPr>
          <w:rFonts w:ascii="Arial" w:hAnsi="Arial" w:cs="Arial"/>
          <w:sz w:val="24"/>
          <w:szCs w:val="24"/>
        </w:rPr>
        <w:t xml:space="preserve"> The Roman Catholic </w:t>
      </w:r>
      <w:r w:rsidR="00574E5C" w:rsidRPr="00D00EB9">
        <w:rPr>
          <w:rFonts w:ascii="Arial" w:hAnsi="Arial" w:cs="Arial"/>
          <w:sz w:val="24"/>
          <w:szCs w:val="24"/>
        </w:rPr>
        <w:t>c</w:t>
      </w:r>
      <w:r w:rsidR="002F76E3" w:rsidRPr="00D00EB9">
        <w:rPr>
          <w:rFonts w:ascii="Arial" w:hAnsi="Arial" w:cs="Arial"/>
          <w:sz w:val="24"/>
          <w:szCs w:val="24"/>
        </w:rPr>
        <w:t>haplain, Reverend Zanetti, reported that she signed up as Protestant in Stafford prison because they got more times out of cell than R</w:t>
      </w:r>
      <w:r w:rsidR="00B44076" w:rsidRPr="00D00EB9">
        <w:rPr>
          <w:rFonts w:ascii="Arial" w:hAnsi="Arial" w:cs="Arial"/>
          <w:sz w:val="24"/>
          <w:szCs w:val="24"/>
        </w:rPr>
        <w:t>oman Catholics</w:t>
      </w:r>
      <w:r w:rsidR="002F76E3" w:rsidRPr="00D00EB9">
        <w:rPr>
          <w:rFonts w:ascii="Arial" w:hAnsi="Arial" w:cs="Arial"/>
          <w:sz w:val="24"/>
          <w:szCs w:val="24"/>
        </w:rPr>
        <w:t xml:space="preserve">. She </w:t>
      </w:r>
      <w:r w:rsidR="00014D97" w:rsidRPr="00D00EB9">
        <w:rPr>
          <w:rFonts w:ascii="Arial" w:hAnsi="Arial" w:cs="Arial"/>
          <w:sz w:val="24"/>
          <w:szCs w:val="24"/>
        </w:rPr>
        <w:t>‘</w:t>
      </w:r>
      <w:r w:rsidR="002F76E3" w:rsidRPr="00D00EB9">
        <w:rPr>
          <w:rFonts w:ascii="Arial" w:hAnsi="Arial" w:cs="Arial"/>
          <w:sz w:val="24"/>
          <w:szCs w:val="24"/>
        </w:rPr>
        <w:t>did not care much about religion then, but is feeling old now, and fears much to be out of her religion</w:t>
      </w:r>
      <w:r w:rsidR="00014D97" w:rsidRPr="00D00EB9">
        <w:rPr>
          <w:rFonts w:ascii="Arial" w:hAnsi="Arial" w:cs="Arial"/>
          <w:sz w:val="24"/>
          <w:szCs w:val="24"/>
        </w:rPr>
        <w:t>’</w:t>
      </w:r>
      <w:r w:rsidR="002F76E3" w:rsidRPr="00D00EB9">
        <w:rPr>
          <w:rFonts w:ascii="Arial" w:hAnsi="Arial" w:cs="Arial"/>
          <w:sz w:val="24"/>
          <w:szCs w:val="24"/>
        </w:rPr>
        <w:t>.</w:t>
      </w:r>
      <w:r w:rsidR="002F76E3" w:rsidRPr="00D00EB9">
        <w:rPr>
          <w:rStyle w:val="EndnoteReference"/>
          <w:rFonts w:ascii="Arial" w:hAnsi="Arial" w:cs="Arial"/>
          <w:sz w:val="24"/>
          <w:szCs w:val="24"/>
        </w:rPr>
        <w:endnoteReference w:id="68"/>
      </w:r>
      <w:r w:rsidR="002F76E3" w:rsidRPr="00D00EB9">
        <w:rPr>
          <w:rFonts w:ascii="Arial" w:hAnsi="Arial" w:cs="Arial"/>
          <w:sz w:val="24"/>
          <w:szCs w:val="24"/>
        </w:rPr>
        <w:t xml:space="preserve"> He supported her case and the change was granted </w:t>
      </w:r>
      <w:r w:rsidR="00590E0E">
        <w:rPr>
          <w:rFonts w:ascii="Arial" w:hAnsi="Arial" w:cs="Arial"/>
          <w:sz w:val="24"/>
          <w:szCs w:val="24"/>
        </w:rPr>
        <w:t>nearly a month after her application had been submitted</w:t>
      </w:r>
      <w:r w:rsidR="002F76E3" w:rsidRPr="00D00EB9">
        <w:rPr>
          <w:rFonts w:ascii="Arial" w:hAnsi="Arial" w:cs="Arial"/>
          <w:sz w:val="24"/>
          <w:szCs w:val="24"/>
        </w:rPr>
        <w:t>. Despite her morbid fears, Ann did not die until ten years later at the age of seventy-four.</w:t>
      </w:r>
    </w:p>
    <w:p w:rsidR="00456AEF" w:rsidRPr="00D00EB9" w:rsidRDefault="00456AEF" w:rsidP="0058654F">
      <w:pPr>
        <w:spacing w:after="0" w:line="480" w:lineRule="auto"/>
        <w:contextualSpacing/>
        <w:jc w:val="both"/>
        <w:rPr>
          <w:rFonts w:ascii="Arial" w:hAnsi="Arial" w:cs="Arial"/>
          <w:sz w:val="24"/>
          <w:szCs w:val="24"/>
        </w:rPr>
      </w:pPr>
    </w:p>
    <w:p w:rsidR="00B44076" w:rsidRPr="00D00EB9"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t xml:space="preserve">With the development of convict prisons following the long and drawn-out ending of transportation from the 1840s onward, a somewhat proscriptive system </w:t>
      </w:r>
      <w:r w:rsidR="00B55CFF" w:rsidRPr="00D00EB9">
        <w:rPr>
          <w:rFonts w:ascii="Arial" w:hAnsi="Arial" w:cs="Arial"/>
          <w:sz w:val="24"/>
          <w:szCs w:val="24"/>
        </w:rPr>
        <w:t>evolved to deal</w:t>
      </w:r>
      <w:r w:rsidRPr="00D00EB9">
        <w:rPr>
          <w:rFonts w:ascii="Arial" w:hAnsi="Arial" w:cs="Arial"/>
          <w:sz w:val="24"/>
          <w:szCs w:val="24"/>
        </w:rPr>
        <w:t xml:space="preserve"> with convicts</w:t>
      </w:r>
      <w:r w:rsidR="00014D97" w:rsidRPr="00D00EB9">
        <w:rPr>
          <w:rFonts w:ascii="Arial" w:hAnsi="Arial" w:cs="Arial"/>
          <w:sz w:val="24"/>
          <w:szCs w:val="24"/>
        </w:rPr>
        <w:t>’</w:t>
      </w:r>
      <w:r w:rsidRPr="00D00EB9">
        <w:rPr>
          <w:rFonts w:ascii="Arial" w:hAnsi="Arial" w:cs="Arial"/>
          <w:sz w:val="24"/>
          <w:szCs w:val="24"/>
        </w:rPr>
        <w:t xml:space="preserve"> requests to change their religion</w:t>
      </w:r>
      <w:r w:rsidR="00B55CFF" w:rsidRPr="00D00EB9">
        <w:rPr>
          <w:rFonts w:ascii="Arial" w:hAnsi="Arial" w:cs="Arial"/>
          <w:sz w:val="24"/>
          <w:szCs w:val="24"/>
        </w:rPr>
        <w:t xml:space="preserve">. </w:t>
      </w:r>
      <w:r w:rsidRPr="00D00EB9">
        <w:rPr>
          <w:rFonts w:ascii="Arial" w:hAnsi="Arial" w:cs="Arial"/>
          <w:sz w:val="24"/>
          <w:szCs w:val="24"/>
        </w:rPr>
        <w:t>The convict first had to petition the governor of the respective prison for a requested change in his or her religion, and the governor had the final say in the matter</w:t>
      </w:r>
      <w:r w:rsidR="00590E0E">
        <w:rPr>
          <w:rFonts w:ascii="Arial" w:hAnsi="Arial" w:cs="Arial"/>
          <w:sz w:val="24"/>
          <w:szCs w:val="24"/>
        </w:rPr>
        <w:t>. For instance,</w:t>
      </w:r>
      <w:r w:rsidRPr="00D00EB9">
        <w:rPr>
          <w:rFonts w:ascii="Arial" w:hAnsi="Arial" w:cs="Arial"/>
          <w:sz w:val="24"/>
          <w:szCs w:val="24"/>
        </w:rPr>
        <w:t xml:space="preserve"> the </w:t>
      </w:r>
      <w:proofErr w:type="gramStart"/>
      <w:r w:rsidRPr="00D00EB9">
        <w:rPr>
          <w:rFonts w:ascii="Arial" w:hAnsi="Arial" w:cs="Arial"/>
          <w:sz w:val="24"/>
          <w:szCs w:val="24"/>
        </w:rPr>
        <w:t>aforementioned Lydia</w:t>
      </w:r>
      <w:proofErr w:type="gramEnd"/>
      <w:r w:rsidRPr="00D00EB9">
        <w:rPr>
          <w:rFonts w:ascii="Arial" w:hAnsi="Arial" w:cs="Arial"/>
          <w:sz w:val="24"/>
          <w:szCs w:val="24"/>
        </w:rPr>
        <w:t xml:space="preserve"> Lloyd</w:t>
      </w:r>
      <w:r w:rsidR="00014D97" w:rsidRPr="00D00EB9">
        <w:rPr>
          <w:rFonts w:ascii="Arial" w:hAnsi="Arial" w:cs="Arial"/>
          <w:sz w:val="24"/>
          <w:szCs w:val="24"/>
        </w:rPr>
        <w:t>’</w:t>
      </w:r>
      <w:r w:rsidRPr="00D00EB9">
        <w:rPr>
          <w:rFonts w:ascii="Arial" w:hAnsi="Arial" w:cs="Arial"/>
          <w:sz w:val="24"/>
          <w:szCs w:val="24"/>
        </w:rPr>
        <w:t xml:space="preserve">s attempts to change her religion from Roman Catholic to Protestant were dismissed by the governor of Woking </w:t>
      </w:r>
      <w:r w:rsidR="00574E5C" w:rsidRPr="00D00EB9">
        <w:rPr>
          <w:rFonts w:ascii="Arial" w:hAnsi="Arial" w:cs="Arial"/>
          <w:sz w:val="24"/>
          <w:szCs w:val="24"/>
        </w:rPr>
        <w:t>P</w:t>
      </w:r>
      <w:r w:rsidRPr="00D00EB9">
        <w:rPr>
          <w:rFonts w:ascii="Arial" w:hAnsi="Arial" w:cs="Arial"/>
          <w:sz w:val="24"/>
          <w:szCs w:val="24"/>
        </w:rPr>
        <w:t xml:space="preserve">rison: </w:t>
      </w:r>
    </w:p>
    <w:p w:rsidR="00B44076" w:rsidRPr="00D00EB9" w:rsidRDefault="00B44076" w:rsidP="0058654F">
      <w:pPr>
        <w:spacing w:after="0" w:line="480" w:lineRule="auto"/>
        <w:contextualSpacing/>
        <w:jc w:val="both"/>
        <w:rPr>
          <w:rFonts w:ascii="Arial" w:hAnsi="Arial" w:cs="Arial"/>
          <w:sz w:val="24"/>
          <w:szCs w:val="24"/>
        </w:rPr>
      </w:pPr>
    </w:p>
    <w:p w:rsidR="00B44076" w:rsidRPr="00D00EB9" w:rsidRDefault="002F76E3" w:rsidP="00590E0E">
      <w:pPr>
        <w:spacing w:after="0" w:line="360" w:lineRule="auto"/>
        <w:ind w:left="567" w:right="521"/>
        <w:contextualSpacing/>
        <w:jc w:val="both"/>
        <w:rPr>
          <w:rFonts w:ascii="Arial" w:hAnsi="Arial" w:cs="Arial"/>
          <w:sz w:val="24"/>
          <w:szCs w:val="24"/>
        </w:rPr>
      </w:pPr>
      <w:r w:rsidRPr="00D00EB9">
        <w:rPr>
          <w:rFonts w:ascii="Arial" w:hAnsi="Arial" w:cs="Arial"/>
          <w:sz w:val="24"/>
          <w:szCs w:val="24"/>
        </w:rPr>
        <w:t>There is no evidence as to the prisoner</w:t>
      </w:r>
      <w:r w:rsidR="00014D97" w:rsidRPr="00D00EB9">
        <w:rPr>
          <w:rFonts w:ascii="Arial" w:hAnsi="Arial" w:cs="Arial"/>
          <w:sz w:val="24"/>
          <w:szCs w:val="24"/>
        </w:rPr>
        <w:t>’</w:t>
      </w:r>
      <w:r w:rsidRPr="00D00EB9">
        <w:rPr>
          <w:rFonts w:ascii="Arial" w:hAnsi="Arial" w:cs="Arial"/>
          <w:sz w:val="24"/>
          <w:szCs w:val="24"/>
        </w:rPr>
        <w:t>s religion beyond her own statement; under her former sentence she declared herself a protestant on reception and subsequently be allowed to be treated as Roman Catholic. Under her present sentence she declared herself Roman Catholic on reception, I can make no other further changes that she seeks.</w:t>
      </w:r>
      <w:r w:rsidRPr="00D00EB9">
        <w:rPr>
          <w:rStyle w:val="EndnoteReference"/>
          <w:rFonts w:ascii="Arial" w:hAnsi="Arial" w:cs="Arial"/>
          <w:sz w:val="24"/>
          <w:szCs w:val="24"/>
        </w:rPr>
        <w:endnoteReference w:id="69"/>
      </w:r>
      <w:r w:rsidR="003C5E3E" w:rsidRPr="00D00EB9">
        <w:rPr>
          <w:rFonts w:ascii="Arial" w:hAnsi="Arial" w:cs="Arial"/>
          <w:sz w:val="24"/>
          <w:szCs w:val="24"/>
        </w:rPr>
        <w:t xml:space="preserve"> </w:t>
      </w:r>
    </w:p>
    <w:p w:rsidR="00B44076" w:rsidRPr="00D00EB9" w:rsidRDefault="00B44076" w:rsidP="0058654F">
      <w:pPr>
        <w:spacing w:after="0" w:line="480" w:lineRule="auto"/>
        <w:contextualSpacing/>
        <w:jc w:val="both"/>
        <w:rPr>
          <w:rFonts w:ascii="Arial" w:hAnsi="Arial" w:cs="Arial"/>
          <w:sz w:val="24"/>
          <w:szCs w:val="24"/>
        </w:rPr>
      </w:pPr>
    </w:p>
    <w:p w:rsidR="002F76E3" w:rsidRPr="00D00EB9"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t>In 1878 Edmund Du Cane (Chairman of the Prison Commission) stated how the system worked:</w:t>
      </w:r>
    </w:p>
    <w:p w:rsidR="00B44076" w:rsidRPr="00D00EB9" w:rsidRDefault="00B44076" w:rsidP="0058654F">
      <w:pPr>
        <w:spacing w:after="0" w:line="480" w:lineRule="auto"/>
        <w:contextualSpacing/>
        <w:jc w:val="both"/>
        <w:rPr>
          <w:rFonts w:ascii="Arial" w:hAnsi="Arial" w:cs="Arial"/>
          <w:sz w:val="24"/>
          <w:szCs w:val="24"/>
        </w:rPr>
      </w:pPr>
    </w:p>
    <w:p w:rsidR="002F76E3" w:rsidRPr="00D00EB9" w:rsidRDefault="002F76E3" w:rsidP="00590E0E">
      <w:pPr>
        <w:spacing w:after="0" w:line="360" w:lineRule="auto"/>
        <w:ind w:left="567" w:right="522"/>
        <w:contextualSpacing/>
        <w:jc w:val="both"/>
        <w:rPr>
          <w:rFonts w:ascii="Arial" w:hAnsi="Arial" w:cs="Arial"/>
          <w:sz w:val="24"/>
          <w:szCs w:val="24"/>
        </w:rPr>
      </w:pPr>
      <w:r w:rsidRPr="00D00EB9">
        <w:rPr>
          <w:rFonts w:ascii="Arial" w:hAnsi="Arial" w:cs="Arial"/>
          <w:sz w:val="24"/>
          <w:szCs w:val="24"/>
        </w:rPr>
        <w:t>A prisoner when he comes into a convict prison states what his religion is; if after that he wished to alter that statement, he has to go through a certain process; he first of all records his name to be allowed to change his religion, and nothing is done upon that for a month; at the end of the month the chaplain of the religion to which he belongs is asked to report his opinion upon the point, and the chaplain of the religion to which the man wishes to change is asked to report his opinion. It then goes before the director [governor], who decides what shall be done. […] We send out to find from the convict</w:t>
      </w:r>
      <w:r w:rsidR="00014D97" w:rsidRPr="00D00EB9">
        <w:rPr>
          <w:rFonts w:ascii="Arial" w:hAnsi="Arial" w:cs="Arial"/>
          <w:sz w:val="24"/>
          <w:szCs w:val="24"/>
        </w:rPr>
        <w:t>’</w:t>
      </w:r>
      <w:r w:rsidRPr="00D00EB9">
        <w:rPr>
          <w:rFonts w:ascii="Arial" w:hAnsi="Arial" w:cs="Arial"/>
          <w:sz w:val="24"/>
          <w:szCs w:val="24"/>
        </w:rPr>
        <w:t xml:space="preserve">s </w:t>
      </w:r>
      <w:proofErr w:type="gramStart"/>
      <w:r w:rsidRPr="00D00EB9">
        <w:rPr>
          <w:rFonts w:ascii="Arial" w:hAnsi="Arial" w:cs="Arial"/>
          <w:sz w:val="24"/>
          <w:szCs w:val="24"/>
        </w:rPr>
        <w:t>friends</w:t>
      </w:r>
      <w:proofErr w:type="gramEnd"/>
      <w:r w:rsidRPr="00D00EB9">
        <w:rPr>
          <w:rFonts w:ascii="Arial" w:hAnsi="Arial" w:cs="Arial"/>
          <w:sz w:val="24"/>
          <w:szCs w:val="24"/>
        </w:rPr>
        <w:t xml:space="preserve"> what religion he has been brought up in, and if he is recorded as of a different religion, he is allowed to go back to the religion in which his friends say that he has been brought up. If, on the other hand, he is already recorded as of the religion in which he was brought up, and wishes to change to another, we do not allow it.</w:t>
      </w:r>
      <w:r w:rsidRPr="00D00EB9">
        <w:rPr>
          <w:rStyle w:val="EndnoteReference"/>
          <w:rFonts w:ascii="Arial" w:hAnsi="Arial" w:cs="Arial"/>
          <w:sz w:val="24"/>
          <w:szCs w:val="24"/>
        </w:rPr>
        <w:endnoteReference w:id="70"/>
      </w:r>
    </w:p>
    <w:p w:rsidR="00B44076" w:rsidRPr="00D00EB9" w:rsidRDefault="00B44076" w:rsidP="0058654F">
      <w:pPr>
        <w:spacing w:after="0" w:line="480" w:lineRule="auto"/>
        <w:ind w:left="284" w:right="284"/>
        <w:contextualSpacing/>
        <w:jc w:val="both"/>
        <w:rPr>
          <w:rFonts w:ascii="Arial" w:hAnsi="Arial" w:cs="Arial"/>
          <w:sz w:val="24"/>
          <w:szCs w:val="24"/>
        </w:rPr>
      </w:pPr>
    </w:p>
    <w:p w:rsidR="00B44076" w:rsidRPr="00D00EB9"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t>A few of the friends</w:t>
      </w:r>
      <w:r w:rsidR="00014D97" w:rsidRPr="00D00EB9">
        <w:rPr>
          <w:rFonts w:ascii="Arial" w:hAnsi="Arial" w:cs="Arial"/>
          <w:sz w:val="24"/>
          <w:szCs w:val="24"/>
        </w:rPr>
        <w:t>’</w:t>
      </w:r>
      <w:r w:rsidRPr="00D00EB9">
        <w:rPr>
          <w:rFonts w:ascii="Arial" w:hAnsi="Arial" w:cs="Arial"/>
          <w:sz w:val="24"/>
          <w:szCs w:val="24"/>
        </w:rPr>
        <w:t xml:space="preserve"> or relatives</w:t>
      </w:r>
      <w:r w:rsidR="00014D97" w:rsidRPr="00D00EB9">
        <w:rPr>
          <w:rFonts w:ascii="Arial" w:hAnsi="Arial" w:cs="Arial"/>
          <w:sz w:val="24"/>
          <w:szCs w:val="24"/>
        </w:rPr>
        <w:t>’</w:t>
      </w:r>
      <w:r w:rsidRPr="00D00EB9">
        <w:rPr>
          <w:rFonts w:ascii="Arial" w:hAnsi="Arial" w:cs="Arial"/>
          <w:sz w:val="24"/>
          <w:szCs w:val="24"/>
        </w:rPr>
        <w:t xml:space="preserve"> replies are preserved on record</w:t>
      </w:r>
      <w:r w:rsidR="00590E0E">
        <w:rPr>
          <w:rFonts w:ascii="Arial" w:hAnsi="Arial" w:cs="Arial"/>
          <w:sz w:val="24"/>
          <w:szCs w:val="24"/>
        </w:rPr>
        <w:t>. A</w:t>
      </w:r>
      <w:r w:rsidRPr="00D00EB9">
        <w:rPr>
          <w:rFonts w:ascii="Arial" w:hAnsi="Arial" w:cs="Arial"/>
          <w:sz w:val="24"/>
          <w:szCs w:val="24"/>
        </w:rPr>
        <w:t xml:space="preserve"> letter was written to </w:t>
      </w:r>
      <w:proofErr w:type="gramStart"/>
      <w:r w:rsidRPr="00D00EB9">
        <w:rPr>
          <w:rFonts w:ascii="Arial" w:hAnsi="Arial" w:cs="Arial"/>
          <w:sz w:val="24"/>
          <w:szCs w:val="24"/>
        </w:rPr>
        <w:t>twenty-one year-old</w:t>
      </w:r>
      <w:proofErr w:type="gramEnd"/>
      <w:r w:rsidRPr="00D00EB9">
        <w:rPr>
          <w:rFonts w:ascii="Arial" w:hAnsi="Arial" w:cs="Arial"/>
          <w:sz w:val="24"/>
          <w:szCs w:val="24"/>
        </w:rPr>
        <w:t xml:space="preserve"> John James Giblin</w:t>
      </w:r>
      <w:r w:rsidR="00014D97" w:rsidRPr="00D00EB9">
        <w:rPr>
          <w:rFonts w:ascii="Arial" w:hAnsi="Arial" w:cs="Arial"/>
          <w:sz w:val="24"/>
          <w:szCs w:val="24"/>
        </w:rPr>
        <w:t>’</w:t>
      </w:r>
      <w:r w:rsidRPr="00D00EB9">
        <w:rPr>
          <w:rFonts w:ascii="Arial" w:hAnsi="Arial" w:cs="Arial"/>
          <w:sz w:val="24"/>
          <w:szCs w:val="24"/>
        </w:rPr>
        <w:t xml:space="preserve">s parents in January 1882 </w:t>
      </w:r>
      <w:r w:rsidR="00590E0E">
        <w:rPr>
          <w:rFonts w:ascii="Arial" w:hAnsi="Arial" w:cs="Arial"/>
          <w:sz w:val="24"/>
          <w:szCs w:val="24"/>
        </w:rPr>
        <w:t>for instance, asking</w:t>
      </w:r>
      <w:r w:rsidRPr="00D00EB9">
        <w:rPr>
          <w:rFonts w:ascii="Arial" w:hAnsi="Arial" w:cs="Arial"/>
          <w:sz w:val="24"/>
          <w:szCs w:val="24"/>
        </w:rPr>
        <w:t xml:space="preserve"> what religion he was brought up in</w:t>
      </w:r>
      <w:r w:rsidR="00590E0E">
        <w:rPr>
          <w:rFonts w:ascii="Arial" w:hAnsi="Arial" w:cs="Arial"/>
          <w:sz w:val="24"/>
          <w:szCs w:val="24"/>
        </w:rPr>
        <w:t>. The</w:t>
      </w:r>
      <w:r w:rsidRPr="00D00EB9">
        <w:rPr>
          <w:rFonts w:ascii="Arial" w:hAnsi="Arial" w:cs="Arial"/>
          <w:sz w:val="24"/>
          <w:szCs w:val="24"/>
        </w:rPr>
        <w:t xml:space="preserve"> parents replied that he was brought up a Roman Catholic, but also added </w:t>
      </w:r>
      <w:r w:rsidR="00014D97" w:rsidRPr="00D00EB9">
        <w:rPr>
          <w:rFonts w:ascii="Arial" w:hAnsi="Arial" w:cs="Arial"/>
          <w:sz w:val="24"/>
          <w:szCs w:val="24"/>
        </w:rPr>
        <w:t>‘</w:t>
      </w:r>
      <w:r w:rsidRPr="00D00EB9">
        <w:rPr>
          <w:rFonts w:ascii="Arial" w:hAnsi="Arial" w:cs="Arial"/>
          <w:sz w:val="24"/>
          <w:szCs w:val="24"/>
        </w:rPr>
        <w:t>but we think he is old enough to enjoy his own opinion</w:t>
      </w:r>
      <w:r w:rsidR="00014D97" w:rsidRPr="00D00EB9">
        <w:rPr>
          <w:rFonts w:ascii="Arial" w:hAnsi="Arial" w:cs="Arial"/>
          <w:sz w:val="24"/>
          <w:szCs w:val="24"/>
        </w:rPr>
        <w:t>’</w:t>
      </w:r>
      <w:r w:rsidRPr="00D00EB9">
        <w:rPr>
          <w:rFonts w:ascii="Arial" w:hAnsi="Arial" w:cs="Arial"/>
          <w:sz w:val="24"/>
          <w:szCs w:val="24"/>
        </w:rPr>
        <w:t>.</w:t>
      </w:r>
      <w:r w:rsidRPr="00D00EB9">
        <w:rPr>
          <w:rStyle w:val="EndnoteReference"/>
          <w:rFonts w:ascii="Arial" w:hAnsi="Arial" w:cs="Arial"/>
          <w:sz w:val="24"/>
          <w:szCs w:val="24"/>
        </w:rPr>
        <w:endnoteReference w:id="71"/>
      </w:r>
      <w:r w:rsidR="00B55CFF" w:rsidRPr="00D00EB9">
        <w:rPr>
          <w:rFonts w:ascii="Arial" w:hAnsi="Arial" w:cs="Arial"/>
          <w:sz w:val="24"/>
          <w:szCs w:val="24"/>
        </w:rPr>
        <w:t xml:space="preserve"> </w:t>
      </w:r>
      <w:r w:rsidRPr="00D00EB9">
        <w:rPr>
          <w:rFonts w:ascii="Arial" w:hAnsi="Arial" w:cs="Arial"/>
          <w:sz w:val="24"/>
          <w:szCs w:val="24"/>
        </w:rPr>
        <w:t>Annie Price, serving twelve years</w:t>
      </w:r>
      <w:r w:rsidR="00014D97" w:rsidRPr="00D00EB9">
        <w:rPr>
          <w:rFonts w:ascii="Arial" w:hAnsi="Arial" w:cs="Arial"/>
          <w:sz w:val="24"/>
          <w:szCs w:val="24"/>
        </w:rPr>
        <w:t>’</w:t>
      </w:r>
      <w:r w:rsidRPr="00D00EB9">
        <w:rPr>
          <w:rFonts w:ascii="Arial" w:hAnsi="Arial" w:cs="Arial"/>
          <w:sz w:val="24"/>
          <w:szCs w:val="24"/>
        </w:rPr>
        <w:t xml:space="preserve"> penal servitude for manslaughter, requested to change from being recorded as a Protestant to a Roman Catholic in 1883.  A letter requesting the religion of convict was sent to her friend, Mrs Mahar of Bradford, whose husband replied:</w:t>
      </w:r>
      <w:r w:rsidR="00B55CFF" w:rsidRPr="00D00EB9">
        <w:rPr>
          <w:rFonts w:ascii="Arial" w:hAnsi="Arial" w:cs="Arial"/>
          <w:sz w:val="24"/>
          <w:szCs w:val="24"/>
        </w:rPr>
        <w:t xml:space="preserve"> </w:t>
      </w:r>
    </w:p>
    <w:p w:rsidR="00B44076" w:rsidRPr="00D00EB9" w:rsidRDefault="00B44076" w:rsidP="0058654F">
      <w:pPr>
        <w:spacing w:after="0" w:line="480" w:lineRule="auto"/>
        <w:contextualSpacing/>
        <w:jc w:val="both"/>
        <w:rPr>
          <w:rFonts w:ascii="Arial" w:hAnsi="Arial" w:cs="Arial"/>
          <w:sz w:val="24"/>
          <w:szCs w:val="24"/>
        </w:rPr>
      </w:pPr>
    </w:p>
    <w:p w:rsidR="00B44076" w:rsidRPr="00D00EB9" w:rsidRDefault="002F76E3" w:rsidP="00590E0E">
      <w:pPr>
        <w:spacing w:after="0" w:line="360" w:lineRule="auto"/>
        <w:ind w:left="567" w:right="522"/>
        <w:contextualSpacing/>
        <w:jc w:val="both"/>
        <w:rPr>
          <w:rFonts w:ascii="Arial" w:hAnsi="Arial" w:cs="Arial"/>
          <w:sz w:val="24"/>
          <w:szCs w:val="24"/>
        </w:rPr>
      </w:pPr>
      <w:r w:rsidRPr="00D00EB9">
        <w:rPr>
          <w:rFonts w:ascii="Arial" w:hAnsi="Arial" w:cs="Arial"/>
          <w:sz w:val="24"/>
          <w:szCs w:val="24"/>
        </w:rPr>
        <w:t xml:space="preserve">Sir Anne Lane is a Roman Catholic and a native of the </w:t>
      </w:r>
      <w:proofErr w:type="spellStart"/>
      <w:r w:rsidRPr="00D00EB9">
        <w:rPr>
          <w:rFonts w:ascii="Arial" w:hAnsi="Arial" w:cs="Arial"/>
          <w:sz w:val="24"/>
          <w:szCs w:val="24"/>
        </w:rPr>
        <w:t>citty</w:t>
      </w:r>
      <w:proofErr w:type="spellEnd"/>
      <w:r w:rsidRPr="00D00EB9">
        <w:rPr>
          <w:rFonts w:ascii="Arial" w:hAnsi="Arial" w:cs="Arial"/>
          <w:sz w:val="24"/>
          <w:szCs w:val="24"/>
        </w:rPr>
        <w:t xml:space="preserve"> of Cork. Dear </w:t>
      </w:r>
      <w:proofErr w:type="spellStart"/>
      <w:r w:rsidRPr="00D00EB9">
        <w:rPr>
          <w:rFonts w:ascii="Arial" w:hAnsi="Arial" w:cs="Arial"/>
          <w:sz w:val="24"/>
          <w:szCs w:val="24"/>
        </w:rPr>
        <w:t>anne</w:t>
      </w:r>
      <w:proofErr w:type="spellEnd"/>
      <w:r w:rsidRPr="00D00EB9">
        <w:rPr>
          <w:rFonts w:ascii="Arial" w:hAnsi="Arial" w:cs="Arial"/>
          <w:sz w:val="24"/>
          <w:szCs w:val="24"/>
        </w:rPr>
        <w:t xml:space="preserve"> we are all on good </w:t>
      </w:r>
      <w:proofErr w:type="spellStart"/>
      <w:r w:rsidRPr="00D00EB9">
        <w:rPr>
          <w:rFonts w:ascii="Arial" w:hAnsi="Arial" w:cs="Arial"/>
          <w:sz w:val="24"/>
          <w:szCs w:val="24"/>
        </w:rPr>
        <w:t>helth</w:t>
      </w:r>
      <w:proofErr w:type="spellEnd"/>
      <w:r w:rsidRPr="00D00EB9">
        <w:rPr>
          <w:rFonts w:ascii="Arial" w:hAnsi="Arial" w:cs="Arial"/>
          <w:sz w:val="24"/>
          <w:szCs w:val="24"/>
        </w:rPr>
        <w:t xml:space="preserve"> and I hope you enjoy the same and I hope you will come home when you are free. I remain yours James Mahar, Roman Catholic, Bradford.</w:t>
      </w:r>
      <w:r w:rsidRPr="00D00EB9">
        <w:rPr>
          <w:rStyle w:val="EndnoteReference"/>
          <w:rFonts w:ascii="Arial" w:hAnsi="Arial" w:cs="Arial"/>
          <w:sz w:val="24"/>
          <w:szCs w:val="24"/>
        </w:rPr>
        <w:endnoteReference w:id="72"/>
      </w:r>
      <w:r w:rsidR="003C5E3E" w:rsidRPr="00D00EB9">
        <w:rPr>
          <w:rFonts w:ascii="Arial" w:hAnsi="Arial" w:cs="Arial"/>
          <w:sz w:val="24"/>
          <w:szCs w:val="24"/>
        </w:rPr>
        <w:t xml:space="preserve"> </w:t>
      </w:r>
    </w:p>
    <w:p w:rsidR="00B44076" w:rsidRPr="00D00EB9" w:rsidRDefault="00B44076" w:rsidP="0058654F">
      <w:pPr>
        <w:spacing w:after="0" w:line="480" w:lineRule="auto"/>
        <w:contextualSpacing/>
        <w:jc w:val="both"/>
        <w:rPr>
          <w:rFonts w:ascii="Arial" w:hAnsi="Arial" w:cs="Arial"/>
          <w:sz w:val="24"/>
          <w:szCs w:val="24"/>
        </w:rPr>
      </w:pPr>
    </w:p>
    <w:p w:rsidR="002F76E3" w:rsidRPr="00D00EB9" w:rsidRDefault="002F76E3" w:rsidP="0058654F">
      <w:pPr>
        <w:spacing w:after="0" w:line="480" w:lineRule="auto"/>
        <w:contextualSpacing/>
        <w:jc w:val="both"/>
        <w:rPr>
          <w:rFonts w:ascii="Arial" w:hAnsi="Arial" w:cs="Arial"/>
          <w:sz w:val="24"/>
          <w:szCs w:val="24"/>
        </w:rPr>
      </w:pPr>
      <w:r w:rsidRPr="00D00EB9">
        <w:rPr>
          <w:rFonts w:ascii="Arial" w:hAnsi="Arial" w:cs="Arial"/>
          <w:sz w:val="24"/>
          <w:szCs w:val="24"/>
        </w:rPr>
        <w:lastRenderedPageBreak/>
        <w:t>Remarks fr</w:t>
      </w:r>
      <w:r w:rsidR="00B55CFF" w:rsidRPr="00D00EB9">
        <w:rPr>
          <w:rFonts w:ascii="Arial" w:hAnsi="Arial" w:cs="Arial"/>
          <w:sz w:val="24"/>
          <w:szCs w:val="24"/>
        </w:rPr>
        <w:t>om the visiting Catholic priest</w:t>
      </w:r>
      <w:r w:rsidRPr="00D00EB9">
        <w:rPr>
          <w:rFonts w:ascii="Arial" w:hAnsi="Arial" w:cs="Arial"/>
          <w:sz w:val="24"/>
          <w:szCs w:val="24"/>
        </w:rPr>
        <w:t xml:space="preserve"> stated that he had no doubt that </w:t>
      </w:r>
      <w:r w:rsidR="00590E0E">
        <w:rPr>
          <w:rFonts w:ascii="Arial" w:hAnsi="Arial" w:cs="Arial"/>
          <w:sz w:val="24"/>
          <w:szCs w:val="24"/>
        </w:rPr>
        <w:t>Annie</w:t>
      </w:r>
      <w:r w:rsidR="00590E0E" w:rsidRPr="00D00EB9">
        <w:rPr>
          <w:rFonts w:ascii="Arial" w:hAnsi="Arial" w:cs="Arial"/>
          <w:sz w:val="24"/>
          <w:szCs w:val="24"/>
        </w:rPr>
        <w:t xml:space="preserve"> </w:t>
      </w:r>
      <w:r w:rsidRPr="00D00EB9">
        <w:rPr>
          <w:rFonts w:ascii="Arial" w:hAnsi="Arial" w:cs="Arial"/>
          <w:sz w:val="24"/>
          <w:szCs w:val="24"/>
        </w:rPr>
        <w:t xml:space="preserve">was a Roman Catholic, and </w:t>
      </w:r>
      <w:r w:rsidR="00B55CFF" w:rsidRPr="00D00EB9">
        <w:rPr>
          <w:rFonts w:ascii="Arial" w:hAnsi="Arial" w:cs="Arial"/>
          <w:sz w:val="24"/>
          <w:szCs w:val="24"/>
        </w:rPr>
        <w:t xml:space="preserve">that she </w:t>
      </w:r>
      <w:r w:rsidRPr="00D00EB9">
        <w:rPr>
          <w:rFonts w:ascii="Arial" w:hAnsi="Arial" w:cs="Arial"/>
          <w:sz w:val="24"/>
          <w:szCs w:val="24"/>
        </w:rPr>
        <w:t xml:space="preserve">had Roman Catholic parents. He further remarked that she was formerly under his care at Millbank and that she told him she had transferred to the Protestant faith in order to get away from the Roman Catholic priest and act as she liked. </w:t>
      </w:r>
      <w:r w:rsidR="00014D97" w:rsidRPr="00D00EB9">
        <w:rPr>
          <w:rFonts w:ascii="Arial" w:hAnsi="Arial" w:cs="Arial"/>
          <w:sz w:val="24"/>
          <w:szCs w:val="24"/>
        </w:rPr>
        <w:t>‘</w:t>
      </w:r>
      <w:r w:rsidRPr="00D00EB9">
        <w:rPr>
          <w:rFonts w:ascii="Arial" w:hAnsi="Arial" w:cs="Arial"/>
          <w:sz w:val="24"/>
          <w:szCs w:val="24"/>
        </w:rPr>
        <w:t>But she now really wishes to be better and to follow her own religion and she feels herself very unhappy […] I believe the prisoner to be sincere</w:t>
      </w:r>
      <w:r w:rsidR="00014D97" w:rsidRPr="00D00EB9">
        <w:rPr>
          <w:rFonts w:ascii="Arial" w:hAnsi="Arial" w:cs="Arial"/>
          <w:sz w:val="24"/>
          <w:szCs w:val="24"/>
        </w:rPr>
        <w:t>’</w:t>
      </w:r>
      <w:r w:rsidRPr="00D00EB9">
        <w:rPr>
          <w:rFonts w:ascii="Arial" w:hAnsi="Arial" w:cs="Arial"/>
          <w:sz w:val="24"/>
          <w:szCs w:val="24"/>
        </w:rPr>
        <w:t>.</w:t>
      </w:r>
      <w:r w:rsidRPr="00D00EB9">
        <w:rPr>
          <w:rStyle w:val="EndnoteReference"/>
          <w:rFonts w:ascii="Arial" w:hAnsi="Arial" w:cs="Arial"/>
          <w:sz w:val="24"/>
          <w:szCs w:val="24"/>
        </w:rPr>
        <w:endnoteReference w:id="73"/>
      </w:r>
    </w:p>
    <w:p w:rsidR="00456AEF" w:rsidRPr="00D00EB9" w:rsidRDefault="00456AEF" w:rsidP="0058654F">
      <w:pPr>
        <w:spacing w:after="0" w:line="480" w:lineRule="auto"/>
        <w:contextualSpacing/>
        <w:jc w:val="both"/>
        <w:rPr>
          <w:rFonts w:ascii="Arial" w:hAnsi="Arial" w:cs="Arial"/>
          <w:sz w:val="24"/>
          <w:szCs w:val="24"/>
        </w:rPr>
      </w:pPr>
    </w:p>
    <w:p w:rsidR="009B50DA" w:rsidRPr="00D00EB9" w:rsidRDefault="002D7868" w:rsidP="0058654F">
      <w:pPr>
        <w:spacing w:after="0" w:line="480" w:lineRule="auto"/>
        <w:contextualSpacing/>
        <w:jc w:val="both"/>
        <w:rPr>
          <w:rFonts w:ascii="Arial" w:hAnsi="Arial" w:cs="Arial"/>
          <w:sz w:val="24"/>
          <w:szCs w:val="24"/>
        </w:rPr>
      </w:pPr>
      <w:r w:rsidRPr="00D00EB9">
        <w:rPr>
          <w:rFonts w:ascii="Arial" w:hAnsi="Arial" w:cs="Arial"/>
          <w:sz w:val="24"/>
          <w:szCs w:val="24"/>
        </w:rPr>
        <w:t>We do not know whether Julia</w:t>
      </w:r>
      <w:r w:rsidR="00014D97" w:rsidRPr="00D00EB9">
        <w:rPr>
          <w:rFonts w:ascii="Arial" w:hAnsi="Arial" w:cs="Arial"/>
          <w:sz w:val="24"/>
          <w:szCs w:val="24"/>
        </w:rPr>
        <w:t>’</w:t>
      </w:r>
      <w:r w:rsidRPr="00D00EB9">
        <w:rPr>
          <w:rFonts w:ascii="Arial" w:hAnsi="Arial" w:cs="Arial"/>
          <w:sz w:val="24"/>
          <w:szCs w:val="24"/>
        </w:rPr>
        <w:t>s request to change her religion, and the subsequent granting of her request by the prison authorities, made her any happier. Her request could be taken to be a sign of her mental instability, although she was not unusual in wanting to make a change. More than one in ten</w:t>
      </w:r>
      <w:r w:rsidR="00B44076" w:rsidRPr="00D00EB9">
        <w:rPr>
          <w:rFonts w:ascii="Arial" w:hAnsi="Arial" w:cs="Arial"/>
          <w:sz w:val="24"/>
          <w:szCs w:val="24"/>
        </w:rPr>
        <w:t xml:space="preserve"> </w:t>
      </w:r>
      <w:r w:rsidRPr="00D00EB9">
        <w:rPr>
          <w:rFonts w:ascii="Arial" w:hAnsi="Arial" w:cs="Arial"/>
          <w:sz w:val="24"/>
          <w:szCs w:val="24"/>
        </w:rPr>
        <w:t>(11.3%) prisoners applied to change religion.</w:t>
      </w:r>
      <w:r w:rsidRPr="00D00EB9">
        <w:rPr>
          <w:rStyle w:val="EndnoteReference"/>
          <w:rFonts w:ascii="Arial" w:hAnsi="Arial" w:cs="Arial"/>
          <w:sz w:val="24"/>
          <w:szCs w:val="24"/>
        </w:rPr>
        <w:endnoteReference w:id="74"/>
      </w:r>
      <w:r w:rsidR="00F526C5" w:rsidRPr="00D00EB9">
        <w:rPr>
          <w:rFonts w:ascii="Arial" w:hAnsi="Arial" w:cs="Arial"/>
          <w:sz w:val="24"/>
          <w:szCs w:val="24"/>
        </w:rPr>
        <w:t xml:space="preserve"> Of those approximately eight out of ten</w:t>
      </w:r>
      <w:r w:rsidRPr="00D00EB9">
        <w:rPr>
          <w:rFonts w:ascii="Arial" w:hAnsi="Arial" w:cs="Arial"/>
          <w:sz w:val="24"/>
          <w:szCs w:val="24"/>
        </w:rPr>
        <w:t xml:space="preserve"> </w:t>
      </w:r>
      <w:r w:rsidR="00F526C5" w:rsidRPr="00D00EB9">
        <w:rPr>
          <w:rFonts w:ascii="Arial" w:hAnsi="Arial" w:cs="Arial"/>
          <w:sz w:val="24"/>
          <w:szCs w:val="24"/>
        </w:rPr>
        <w:t>(81%)</w:t>
      </w:r>
      <w:r w:rsidRPr="00D00EB9">
        <w:rPr>
          <w:rFonts w:ascii="Arial" w:hAnsi="Arial" w:cs="Arial"/>
          <w:sz w:val="24"/>
          <w:szCs w:val="24"/>
        </w:rPr>
        <w:t xml:space="preserve"> were granted.</w:t>
      </w:r>
      <w:r w:rsidR="00F34CA4">
        <w:rPr>
          <w:rStyle w:val="EndnoteReference"/>
          <w:rFonts w:ascii="Arial" w:hAnsi="Arial" w:cs="Arial"/>
          <w:sz w:val="24"/>
          <w:szCs w:val="24"/>
        </w:rPr>
        <w:endnoteReference w:id="75"/>
      </w:r>
      <w:r w:rsidRPr="00D00EB9">
        <w:rPr>
          <w:rFonts w:ascii="Arial" w:hAnsi="Arial" w:cs="Arial"/>
          <w:sz w:val="24"/>
          <w:szCs w:val="24"/>
        </w:rPr>
        <w:t xml:space="preserve"> </w:t>
      </w:r>
      <w:r w:rsidR="009B50DA" w:rsidRPr="00D00EB9">
        <w:rPr>
          <w:rFonts w:ascii="Arial" w:hAnsi="Arial" w:cs="Arial"/>
          <w:sz w:val="24"/>
          <w:szCs w:val="24"/>
        </w:rPr>
        <w:t>There was clearly a multiplicity of reasons behind convicts</w:t>
      </w:r>
      <w:r w:rsidR="00014D97" w:rsidRPr="00D00EB9">
        <w:rPr>
          <w:rFonts w:ascii="Arial" w:hAnsi="Arial" w:cs="Arial"/>
          <w:sz w:val="24"/>
          <w:szCs w:val="24"/>
        </w:rPr>
        <w:t>’</w:t>
      </w:r>
      <w:r w:rsidR="009B50DA" w:rsidRPr="00D00EB9">
        <w:rPr>
          <w:rFonts w:ascii="Arial" w:hAnsi="Arial" w:cs="Arial"/>
          <w:sz w:val="24"/>
          <w:szCs w:val="24"/>
        </w:rPr>
        <w:t xml:space="preserve"> requests to change their recorded religion, ranging from genuine doubt or conversion, through to blatant attempts to achieve another objective.  Whatever the reasons, as in Julia Hyland</w:t>
      </w:r>
      <w:r w:rsidR="00014D97" w:rsidRPr="00D00EB9">
        <w:rPr>
          <w:rFonts w:ascii="Arial" w:hAnsi="Arial" w:cs="Arial"/>
          <w:sz w:val="24"/>
          <w:szCs w:val="24"/>
        </w:rPr>
        <w:t>’</w:t>
      </w:r>
      <w:r w:rsidR="009B50DA" w:rsidRPr="00D00EB9">
        <w:rPr>
          <w:rFonts w:ascii="Arial" w:hAnsi="Arial" w:cs="Arial"/>
          <w:sz w:val="24"/>
          <w:szCs w:val="24"/>
        </w:rPr>
        <w:t>s case, many were successful.</w:t>
      </w:r>
      <w:r w:rsidR="00874D8C" w:rsidRPr="00D00EB9">
        <w:rPr>
          <w:rFonts w:ascii="Arial" w:hAnsi="Arial" w:cs="Arial"/>
          <w:sz w:val="24"/>
          <w:szCs w:val="24"/>
        </w:rPr>
        <w:t xml:space="preserve"> It would be heartening to think that Julia derived some pleasure and comfort from her change of religion.</w:t>
      </w:r>
    </w:p>
    <w:p w:rsidR="00456AEF" w:rsidRPr="00D00EB9" w:rsidRDefault="00456AEF" w:rsidP="0058654F">
      <w:pPr>
        <w:widowControl w:val="0"/>
        <w:autoSpaceDE w:val="0"/>
        <w:autoSpaceDN w:val="0"/>
        <w:adjustRightInd w:val="0"/>
        <w:spacing w:after="0" w:line="480" w:lineRule="auto"/>
        <w:contextualSpacing/>
        <w:jc w:val="both"/>
        <w:rPr>
          <w:rFonts w:ascii="Arial" w:hAnsi="Arial" w:cs="Arial"/>
          <w:b/>
          <w:sz w:val="24"/>
          <w:szCs w:val="24"/>
        </w:rPr>
      </w:pPr>
    </w:p>
    <w:p w:rsidR="000C725F" w:rsidRPr="00E5770C" w:rsidRDefault="00E5770C" w:rsidP="00E5770C">
      <w:pPr>
        <w:widowControl w:val="0"/>
        <w:autoSpaceDE w:val="0"/>
        <w:autoSpaceDN w:val="0"/>
        <w:adjustRightInd w:val="0"/>
        <w:spacing w:after="0" w:line="480" w:lineRule="auto"/>
        <w:contextualSpacing/>
        <w:jc w:val="center"/>
        <w:rPr>
          <w:rFonts w:ascii="Arial" w:hAnsi="Arial" w:cs="Arial"/>
          <w:sz w:val="28"/>
          <w:szCs w:val="28"/>
        </w:rPr>
      </w:pPr>
      <w:r w:rsidRPr="00E5770C">
        <w:rPr>
          <w:rFonts w:ascii="Arial" w:hAnsi="Arial" w:cs="Arial"/>
          <w:sz w:val="28"/>
          <w:szCs w:val="28"/>
        </w:rPr>
        <w:t>V</w:t>
      </w:r>
    </w:p>
    <w:p w:rsidR="002A43CC" w:rsidRPr="00D00EB9" w:rsidRDefault="002A43CC" w:rsidP="0058654F">
      <w:pPr>
        <w:pStyle w:val="ListParagraph"/>
        <w:spacing w:after="0" w:line="480" w:lineRule="auto"/>
        <w:ind w:left="0"/>
        <w:jc w:val="both"/>
        <w:rPr>
          <w:rFonts w:ascii="Arial" w:hAnsi="Arial" w:cs="Arial"/>
          <w:sz w:val="24"/>
          <w:szCs w:val="24"/>
        </w:rPr>
      </w:pPr>
      <w:r w:rsidRPr="00D00EB9">
        <w:rPr>
          <w:rFonts w:ascii="Arial" w:hAnsi="Arial" w:cs="Arial"/>
          <w:sz w:val="24"/>
          <w:szCs w:val="24"/>
        </w:rPr>
        <w:t>Historical research has been greatly enhanced and expanded in recent years as more and more archival documents have been digitised</w:t>
      </w:r>
      <w:r w:rsidR="00E5770C">
        <w:rPr>
          <w:rFonts w:ascii="Arial" w:hAnsi="Arial" w:cs="Arial"/>
          <w:sz w:val="24"/>
          <w:szCs w:val="24"/>
        </w:rPr>
        <w:t>. R</w:t>
      </w:r>
      <w:r w:rsidRPr="00D00EB9">
        <w:rPr>
          <w:rFonts w:ascii="Arial" w:hAnsi="Arial" w:cs="Arial"/>
          <w:sz w:val="24"/>
          <w:szCs w:val="24"/>
        </w:rPr>
        <w:t>econstructing past lives has flourished into an earnest academic enterprise</w:t>
      </w:r>
      <w:r w:rsidR="00E5770C">
        <w:rPr>
          <w:rFonts w:ascii="Arial" w:hAnsi="Arial" w:cs="Arial"/>
          <w:sz w:val="24"/>
          <w:szCs w:val="24"/>
        </w:rPr>
        <w:t xml:space="preserve"> as a result</w:t>
      </w:r>
      <w:r w:rsidRPr="00D00EB9">
        <w:rPr>
          <w:rFonts w:ascii="Arial" w:hAnsi="Arial" w:cs="Arial"/>
          <w:sz w:val="24"/>
          <w:szCs w:val="24"/>
        </w:rPr>
        <w:t xml:space="preserve">. Such reconstructions provide a window through which we can begin to understand the past. Even the smallest of glimpses through this window can collectively provide understandings of </w:t>
      </w:r>
      <w:r w:rsidRPr="00D00EB9">
        <w:rPr>
          <w:rFonts w:ascii="Arial" w:hAnsi="Arial" w:cs="Arial"/>
          <w:sz w:val="24"/>
          <w:szCs w:val="24"/>
        </w:rPr>
        <w:lastRenderedPageBreak/>
        <w:t>the workings and effects of a past criminal justice system. Micro-histories, suc</w:t>
      </w:r>
      <w:r w:rsidR="003A318C" w:rsidRPr="00D00EB9">
        <w:rPr>
          <w:rFonts w:ascii="Arial" w:hAnsi="Arial" w:cs="Arial"/>
          <w:sz w:val="24"/>
          <w:szCs w:val="24"/>
        </w:rPr>
        <w:t>h as the featured micro-history</w:t>
      </w:r>
      <w:r w:rsidRPr="00D00EB9">
        <w:rPr>
          <w:rFonts w:ascii="Arial" w:hAnsi="Arial" w:cs="Arial"/>
          <w:sz w:val="24"/>
          <w:szCs w:val="24"/>
        </w:rPr>
        <w:t xml:space="preserve"> of the criminal career of Julia Hyland, provide those glimpses and demonstrate the rich historical material that is available on people caught up in the criminal justice system of the past. </w:t>
      </w:r>
    </w:p>
    <w:p w:rsidR="00456AEF" w:rsidRPr="00D00EB9" w:rsidRDefault="00456AEF" w:rsidP="0058654F">
      <w:pPr>
        <w:pStyle w:val="ListParagraph"/>
        <w:spacing w:after="0" w:line="480" w:lineRule="auto"/>
        <w:ind w:left="0"/>
        <w:jc w:val="both"/>
        <w:rPr>
          <w:rFonts w:ascii="Arial" w:hAnsi="Arial" w:cs="Arial"/>
          <w:sz w:val="24"/>
          <w:szCs w:val="24"/>
        </w:rPr>
      </w:pPr>
    </w:p>
    <w:p w:rsidR="00456AEF" w:rsidRPr="00D00EB9" w:rsidRDefault="002A43CC" w:rsidP="0058654F">
      <w:pPr>
        <w:pStyle w:val="ListParagraph"/>
        <w:spacing w:after="0" w:line="480" w:lineRule="auto"/>
        <w:ind w:left="0"/>
        <w:jc w:val="both"/>
        <w:rPr>
          <w:rFonts w:ascii="Arial" w:hAnsi="Arial" w:cs="Arial"/>
          <w:sz w:val="24"/>
          <w:szCs w:val="24"/>
        </w:rPr>
      </w:pPr>
      <w:r w:rsidRPr="00D00EB9">
        <w:rPr>
          <w:rFonts w:ascii="Arial" w:hAnsi="Arial" w:cs="Arial"/>
          <w:sz w:val="24"/>
          <w:szCs w:val="24"/>
        </w:rPr>
        <w:t>Through reconstructing Julia</w:t>
      </w:r>
      <w:r w:rsidR="00014D97" w:rsidRPr="00D00EB9">
        <w:rPr>
          <w:rFonts w:ascii="Arial" w:hAnsi="Arial" w:cs="Arial"/>
          <w:sz w:val="24"/>
          <w:szCs w:val="24"/>
        </w:rPr>
        <w:t>’</w:t>
      </w:r>
      <w:r w:rsidRPr="00D00EB9">
        <w:rPr>
          <w:rFonts w:ascii="Arial" w:hAnsi="Arial" w:cs="Arial"/>
          <w:sz w:val="24"/>
          <w:szCs w:val="24"/>
        </w:rPr>
        <w:t xml:space="preserve">s criminal </w:t>
      </w:r>
      <w:proofErr w:type="gramStart"/>
      <w:r w:rsidRPr="00D00EB9">
        <w:rPr>
          <w:rFonts w:ascii="Arial" w:hAnsi="Arial" w:cs="Arial"/>
          <w:sz w:val="24"/>
          <w:szCs w:val="24"/>
        </w:rPr>
        <w:t>career</w:t>
      </w:r>
      <w:proofErr w:type="gramEnd"/>
      <w:r w:rsidRPr="00D00EB9">
        <w:rPr>
          <w:rFonts w:ascii="Arial" w:hAnsi="Arial" w:cs="Arial"/>
          <w:sz w:val="24"/>
          <w:szCs w:val="24"/>
        </w:rPr>
        <w:t xml:space="preserve"> we can begin to piece together some of her experiences and see them with fresh eyes. Julia appears to have been reasonably typical of the female convicts in the latter half of the nineteenth century. She had an early entry </w:t>
      </w:r>
      <w:r w:rsidR="00014D97" w:rsidRPr="00D00EB9">
        <w:rPr>
          <w:rFonts w:ascii="Arial" w:hAnsi="Arial" w:cs="Arial"/>
          <w:sz w:val="24"/>
          <w:szCs w:val="24"/>
        </w:rPr>
        <w:t>into criminality with six minor</w:t>
      </w:r>
      <w:r w:rsidRPr="00D00EB9">
        <w:rPr>
          <w:rFonts w:ascii="Arial" w:hAnsi="Arial" w:cs="Arial"/>
          <w:sz w:val="24"/>
          <w:szCs w:val="24"/>
        </w:rPr>
        <w:t xml:space="preserve"> summary convictions mainly for drunkenness and stealing before her appearance at the Quarter Sessions. The reliance on official sources for data means that</w:t>
      </w:r>
      <w:r w:rsidR="003A318C" w:rsidRPr="00D00EB9">
        <w:rPr>
          <w:rFonts w:ascii="Arial" w:hAnsi="Arial" w:cs="Arial"/>
          <w:sz w:val="24"/>
          <w:szCs w:val="24"/>
        </w:rPr>
        <w:t xml:space="preserve"> there are certain details that have the appearance of being indisputable</w:t>
      </w:r>
      <w:r w:rsidRPr="00D00EB9">
        <w:rPr>
          <w:rFonts w:ascii="Arial" w:hAnsi="Arial" w:cs="Arial"/>
          <w:sz w:val="24"/>
          <w:szCs w:val="24"/>
        </w:rPr>
        <w:t xml:space="preserve">. For example, we </w:t>
      </w:r>
      <w:r w:rsidR="003A318C" w:rsidRPr="00D00EB9">
        <w:rPr>
          <w:rFonts w:ascii="Arial" w:hAnsi="Arial" w:cs="Arial"/>
          <w:sz w:val="24"/>
          <w:szCs w:val="24"/>
        </w:rPr>
        <w:t>are told</w:t>
      </w:r>
      <w:r w:rsidRPr="00D00EB9">
        <w:rPr>
          <w:rFonts w:ascii="Arial" w:hAnsi="Arial" w:cs="Arial"/>
          <w:sz w:val="24"/>
          <w:szCs w:val="24"/>
        </w:rPr>
        <w:t xml:space="preserve"> that she was born in Wigan in 1845 and she was first imprisoned in 1868 for fourteen days for being </w:t>
      </w:r>
      <w:r w:rsidR="00014D97" w:rsidRPr="00D00EB9">
        <w:rPr>
          <w:rFonts w:ascii="Arial" w:hAnsi="Arial" w:cs="Arial"/>
          <w:sz w:val="24"/>
          <w:szCs w:val="24"/>
        </w:rPr>
        <w:t>‘</w:t>
      </w:r>
      <w:r w:rsidRPr="00D00EB9">
        <w:rPr>
          <w:rFonts w:ascii="Arial" w:hAnsi="Arial" w:cs="Arial"/>
          <w:sz w:val="24"/>
          <w:szCs w:val="24"/>
        </w:rPr>
        <w:t>drunk and riotous</w:t>
      </w:r>
      <w:r w:rsidR="00014D97" w:rsidRPr="00D00EB9">
        <w:rPr>
          <w:rFonts w:ascii="Arial" w:hAnsi="Arial" w:cs="Arial"/>
          <w:sz w:val="24"/>
          <w:szCs w:val="24"/>
        </w:rPr>
        <w:t>’</w:t>
      </w:r>
      <w:r w:rsidR="003A318C" w:rsidRPr="00D00EB9">
        <w:rPr>
          <w:rFonts w:ascii="Arial" w:hAnsi="Arial" w:cs="Arial"/>
          <w:sz w:val="24"/>
          <w:szCs w:val="24"/>
        </w:rPr>
        <w:t xml:space="preserve"> aged fourteen</w:t>
      </w:r>
      <w:r w:rsidRPr="00D00EB9">
        <w:rPr>
          <w:rFonts w:ascii="Arial" w:hAnsi="Arial" w:cs="Arial"/>
          <w:sz w:val="24"/>
          <w:szCs w:val="24"/>
        </w:rPr>
        <w:t xml:space="preserve"> with one child. We </w:t>
      </w:r>
      <w:r w:rsidR="003A318C" w:rsidRPr="00D00EB9">
        <w:rPr>
          <w:rFonts w:ascii="Arial" w:hAnsi="Arial" w:cs="Arial"/>
          <w:sz w:val="24"/>
          <w:szCs w:val="24"/>
        </w:rPr>
        <w:t xml:space="preserve">can also rely on the record that shows that she was </w:t>
      </w:r>
      <w:r w:rsidRPr="00D00EB9">
        <w:rPr>
          <w:rFonts w:ascii="Arial" w:hAnsi="Arial" w:cs="Arial"/>
          <w:sz w:val="24"/>
          <w:szCs w:val="24"/>
        </w:rPr>
        <w:t xml:space="preserve">sentenced to penal servitude for seven years in 1875 by Manchester Quarter Sessions for larceny of an oilcloth. These are </w:t>
      </w:r>
      <w:r w:rsidR="003A318C" w:rsidRPr="00D00EB9">
        <w:rPr>
          <w:rFonts w:ascii="Arial" w:hAnsi="Arial" w:cs="Arial"/>
          <w:sz w:val="24"/>
          <w:szCs w:val="24"/>
        </w:rPr>
        <w:t>more reliable pieces of information that we can gain</w:t>
      </w:r>
      <w:r w:rsidRPr="00D00EB9">
        <w:rPr>
          <w:rFonts w:ascii="Arial" w:hAnsi="Arial" w:cs="Arial"/>
          <w:sz w:val="24"/>
          <w:szCs w:val="24"/>
        </w:rPr>
        <w:t>. Other elements of Julia</w:t>
      </w:r>
      <w:r w:rsidR="00014D97" w:rsidRPr="00D00EB9">
        <w:rPr>
          <w:rFonts w:ascii="Arial" w:hAnsi="Arial" w:cs="Arial"/>
          <w:sz w:val="24"/>
          <w:szCs w:val="24"/>
        </w:rPr>
        <w:t>’</w:t>
      </w:r>
      <w:r w:rsidRPr="00D00EB9">
        <w:rPr>
          <w:rFonts w:ascii="Arial" w:hAnsi="Arial" w:cs="Arial"/>
          <w:sz w:val="24"/>
          <w:szCs w:val="24"/>
        </w:rPr>
        <w:t>s micro-history are less certain.</w:t>
      </w:r>
    </w:p>
    <w:p w:rsidR="002A43CC" w:rsidRPr="00D00EB9" w:rsidRDefault="002A43CC" w:rsidP="0058654F">
      <w:pPr>
        <w:pStyle w:val="ListParagraph"/>
        <w:spacing w:after="0" w:line="480" w:lineRule="auto"/>
        <w:ind w:left="0"/>
        <w:jc w:val="both"/>
        <w:rPr>
          <w:rFonts w:ascii="Arial" w:hAnsi="Arial" w:cs="Arial"/>
          <w:sz w:val="24"/>
          <w:szCs w:val="24"/>
        </w:rPr>
      </w:pPr>
      <w:r w:rsidRPr="00D00EB9">
        <w:rPr>
          <w:rFonts w:ascii="Arial" w:hAnsi="Arial" w:cs="Arial"/>
          <w:sz w:val="24"/>
          <w:szCs w:val="24"/>
        </w:rPr>
        <w:t xml:space="preserve"> </w:t>
      </w:r>
    </w:p>
    <w:p w:rsidR="002A43CC" w:rsidRPr="00D00EB9" w:rsidRDefault="002A43CC" w:rsidP="0058654F">
      <w:pPr>
        <w:pStyle w:val="ListParagraph"/>
        <w:spacing w:after="0" w:line="480" w:lineRule="auto"/>
        <w:ind w:left="0"/>
        <w:jc w:val="both"/>
        <w:rPr>
          <w:rFonts w:ascii="Arial" w:hAnsi="Arial" w:cs="Arial"/>
          <w:sz w:val="24"/>
          <w:szCs w:val="24"/>
        </w:rPr>
      </w:pPr>
      <w:r w:rsidRPr="00D00EB9">
        <w:rPr>
          <w:rFonts w:ascii="Arial" w:hAnsi="Arial" w:cs="Arial"/>
          <w:sz w:val="24"/>
          <w:szCs w:val="24"/>
        </w:rPr>
        <w:t xml:space="preserve">Although she was repeatedly in trouble during her first sentence of penal servitude, as documented in the licence document, we </w:t>
      </w:r>
      <w:proofErr w:type="gramStart"/>
      <w:r w:rsidRPr="00D00EB9">
        <w:rPr>
          <w:rFonts w:ascii="Arial" w:hAnsi="Arial" w:cs="Arial"/>
          <w:sz w:val="24"/>
          <w:szCs w:val="24"/>
        </w:rPr>
        <w:t>have to</w:t>
      </w:r>
      <w:proofErr w:type="gramEnd"/>
      <w:r w:rsidRPr="00D00EB9">
        <w:rPr>
          <w:rFonts w:ascii="Arial" w:hAnsi="Arial" w:cs="Arial"/>
          <w:sz w:val="24"/>
          <w:szCs w:val="24"/>
        </w:rPr>
        <w:t xml:space="preserve"> apply an historian</w:t>
      </w:r>
      <w:r w:rsidR="00014D97" w:rsidRPr="00D00EB9">
        <w:rPr>
          <w:rFonts w:ascii="Arial" w:hAnsi="Arial" w:cs="Arial"/>
          <w:sz w:val="24"/>
          <w:szCs w:val="24"/>
        </w:rPr>
        <w:t>’</w:t>
      </w:r>
      <w:r w:rsidRPr="00D00EB9">
        <w:rPr>
          <w:rFonts w:ascii="Arial" w:hAnsi="Arial" w:cs="Arial"/>
          <w:sz w:val="24"/>
          <w:szCs w:val="24"/>
        </w:rPr>
        <w:t xml:space="preserve">s gaze and </w:t>
      </w:r>
      <w:r w:rsidR="00014D97" w:rsidRPr="00D00EB9">
        <w:rPr>
          <w:rFonts w:ascii="Arial" w:hAnsi="Arial" w:cs="Arial"/>
          <w:sz w:val="24"/>
          <w:szCs w:val="24"/>
        </w:rPr>
        <w:t>‘</w:t>
      </w:r>
      <w:r w:rsidRPr="00D00EB9">
        <w:rPr>
          <w:rFonts w:ascii="Arial" w:hAnsi="Arial" w:cs="Arial"/>
          <w:sz w:val="24"/>
          <w:szCs w:val="24"/>
        </w:rPr>
        <w:t>interpret</w:t>
      </w:r>
      <w:r w:rsidR="00014D97" w:rsidRPr="00D00EB9">
        <w:rPr>
          <w:rFonts w:ascii="Arial" w:hAnsi="Arial" w:cs="Arial"/>
          <w:sz w:val="24"/>
          <w:szCs w:val="24"/>
        </w:rPr>
        <w:t>’</w:t>
      </w:r>
      <w:r w:rsidRPr="00D00EB9">
        <w:rPr>
          <w:rFonts w:ascii="Arial" w:hAnsi="Arial" w:cs="Arial"/>
          <w:sz w:val="24"/>
          <w:szCs w:val="24"/>
        </w:rPr>
        <w:t xml:space="preserve"> her behaviour. We can interpret Julia</w:t>
      </w:r>
      <w:r w:rsidR="00014D97" w:rsidRPr="00D00EB9">
        <w:rPr>
          <w:rFonts w:ascii="Arial" w:hAnsi="Arial" w:cs="Arial"/>
          <w:sz w:val="24"/>
          <w:szCs w:val="24"/>
        </w:rPr>
        <w:t>’</w:t>
      </w:r>
      <w:r w:rsidRPr="00D00EB9">
        <w:rPr>
          <w:rFonts w:ascii="Arial" w:hAnsi="Arial" w:cs="Arial"/>
          <w:sz w:val="24"/>
          <w:szCs w:val="24"/>
        </w:rPr>
        <w:t xml:space="preserve">s behaviour </w:t>
      </w:r>
      <w:r w:rsidR="00887DF3" w:rsidRPr="00D00EB9">
        <w:rPr>
          <w:rFonts w:ascii="Arial" w:hAnsi="Arial" w:cs="Arial"/>
          <w:sz w:val="24"/>
          <w:szCs w:val="24"/>
        </w:rPr>
        <w:t xml:space="preserve">in one of two ways. We can see </w:t>
      </w:r>
      <w:r w:rsidRPr="00D00EB9">
        <w:rPr>
          <w:rFonts w:ascii="Arial" w:hAnsi="Arial" w:cs="Arial"/>
          <w:sz w:val="24"/>
          <w:szCs w:val="24"/>
        </w:rPr>
        <w:t xml:space="preserve">the repeated suicide attempts, regular infirmary stays for </w:t>
      </w:r>
      <w:r w:rsidR="00014D97" w:rsidRPr="00D00EB9">
        <w:rPr>
          <w:rFonts w:ascii="Arial" w:hAnsi="Arial" w:cs="Arial"/>
          <w:sz w:val="24"/>
          <w:szCs w:val="24"/>
        </w:rPr>
        <w:t>‘</w:t>
      </w:r>
      <w:r w:rsidRPr="00D00EB9">
        <w:rPr>
          <w:rFonts w:ascii="Arial" w:hAnsi="Arial" w:cs="Arial"/>
          <w:sz w:val="24"/>
          <w:szCs w:val="24"/>
        </w:rPr>
        <w:t>debility</w:t>
      </w:r>
      <w:r w:rsidR="00014D97" w:rsidRPr="00D00EB9">
        <w:rPr>
          <w:rFonts w:ascii="Arial" w:hAnsi="Arial" w:cs="Arial"/>
          <w:sz w:val="24"/>
          <w:szCs w:val="24"/>
        </w:rPr>
        <w:t>’</w:t>
      </w:r>
      <w:r w:rsidRPr="00D00EB9">
        <w:rPr>
          <w:rFonts w:ascii="Arial" w:hAnsi="Arial" w:cs="Arial"/>
          <w:sz w:val="24"/>
          <w:szCs w:val="24"/>
        </w:rPr>
        <w:t xml:space="preserve">, repeatedly </w:t>
      </w:r>
      <w:r w:rsidR="00014D97" w:rsidRPr="00D00EB9">
        <w:rPr>
          <w:rFonts w:ascii="Arial" w:hAnsi="Arial" w:cs="Arial"/>
          <w:sz w:val="24"/>
          <w:szCs w:val="24"/>
        </w:rPr>
        <w:t>‘</w:t>
      </w:r>
      <w:r w:rsidRPr="00D00EB9">
        <w:rPr>
          <w:rFonts w:ascii="Arial" w:hAnsi="Arial" w:cs="Arial"/>
          <w:sz w:val="24"/>
          <w:szCs w:val="24"/>
        </w:rPr>
        <w:t>destroying her clothing</w:t>
      </w:r>
      <w:r w:rsidR="00014D97" w:rsidRPr="00D00EB9">
        <w:rPr>
          <w:rFonts w:ascii="Arial" w:hAnsi="Arial" w:cs="Arial"/>
          <w:sz w:val="24"/>
          <w:szCs w:val="24"/>
        </w:rPr>
        <w:t>’</w:t>
      </w:r>
      <w:r w:rsidRPr="00D00EB9">
        <w:rPr>
          <w:rFonts w:ascii="Arial" w:hAnsi="Arial" w:cs="Arial"/>
          <w:sz w:val="24"/>
          <w:szCs w:val="24"/>
        </w:rPr>
        <w:t xml:space="preserve"> and </w:t>
      </w:r>
      <w:r w:rsidR="00014D97" w:rsidRPr="00D00EB9">
        <w:rPr>
          <w:rFonts w:ascii="Arial" w:hAnsi="Arial" w:cs="Arial"/>
          <w:sz w:val="24"/>
          <w:szCs w:val="24"/>
        </w:rPr>
        <w:t>‘</w:t>
      </w:r>
      <w:r w:rsidRPr="00D00EB9">
        <w:rPr>
          <w:rFonts w:ascii="Arial" w:hAnsi="Arial" w:cs="Arial"/>
          <w:sz w:val="24"/>
          <w:szCs w:val="24"/>
        </w:rPr>
        <w:t>prison property</w:t>
      </w:r>
      <w:r w:rsidR="00014D97" w:rsidRPr="00D00EB9">
        <w:rPr>
          <w:rFonts w:ascii="Arial" w:hAnsi="Arial" w:cs="Arial"/>
          <w:sz w:val="24"/>
          <w:szCs w:val="24"/>
        </w:rPr>
        <w:t>’</w:t>
      </w:r>
      <w:r w:rsidRPr="00D00EB9">
        <w:rPr>
          <w:rFonts w:ascii="Arial" w:hAnsi="Arial" w:cs="Arial"/>
          <w:sz w:val="24"/>
          <w:szCs w:val="24"/>
        </w:rPr>
        <w:t xml:space="preserve">, the </w:t>
      </w:r>
      <w:r w:rsidR="00014D97" w:rsidRPr="00D00EB9">
        <w:rPr>
          <w:rFonts w:ascii="Arial" w:hAnsi="Arial" w:cs="Arial"/>
          <w:sz w:val="24"/>
          <w:szCs w:val="24"/>
        </w:rPr>
        <w:t>‘</w:t>
      </w:r>
      <w:r w:rsidRPr="00D00EB9">
        <w:rPr>
          <w:rFonts w:ascii="Arial" w:hAnsi="Arial" w:cs="Arial"/>
          <w:sz w:val="24"/>
          <w:szCs w:val="24"/>
        </w:rPr>
        <w:t>pains in her head</w:t>
      </w:r>
      <w:r w:rsidR="00014D97" w:rsidRPr="00D00EB9">
        <w:rPr>
          <w:rFonts w:ascii="Arial" w:hAnsi="Arial" w:cs="Arial"/>
          <w:sz w:val="24"/>
          <w:szCs w:val="24"/>
        </w:rPr>
        <w:t>’</w:t>
      </w:r>
      <w:r w:rsidRPr="00D00EB9">
        <w:rPr>
          <w:rFonts w:ascii="Arial" w:hAnsi="Arial" w:cs="Arial"/>
          <w:sz w:val="24"/>
          <w:szCs w:val="24"/>
        </w:rPr>
        <w:t xml:space="preserve"> and </w:t>
      </w:r>
      <w:r w:rsidR="00014D97" w:rsidRPr="00D00EB9">
        <w:rPr>
          <w:rFonts w:ascii="Arial" w:hAnsi="Arial" w:cs="Arial"/>
          <w:sz w:val="24"/>
          <w:szCs w:val="24"/>
        </w:rPr>
        <w:t>‘</w:t>
      </w:r>
      <w:r w:rsidRPr="00D00EB9">
        <w:rPr>
          <w:rFonts w:ascii="Arial" w:hAnsi="Arial" w:cs="Arial"/>
          <w:sz w:val="24"/>
          <w:szCs w:val="24"/>
        </w:rPr>
        <w:t>derangement of her uterine functions</w:t>
      </w:r>
      <w:r w:rsidR="00014D97" w:rsidRPr="00D00EB9">
        <w:rPr>
          <w:rFonts w:ascii="Arial" w:hAnsi="Arial" w:cs="Arial"/>
          <w:sz w:val="24"/>
          <w:szCs w:val="24"/>
        </w:rPr>
        <w:t>’</w:t>
      </w:r>
      <w:r w:rsidRPr="00D00EB9">
        <w:rPr>
          <w:rFonts w:ascii="Arial" w:hAnsi="Arial" w:cs="Arial"/>
          <w:sz w:val="24"/>
          <w:szCs w:val="24"/>
        </w:rPr>
        <w:t xml:space="preserve">, and the </w:t>
      </w:r>
      <w:r w:rsidR="00014D97" w:rsidRPr="00D00EB9">
        <w:rPr>
          <w:rFonts w:ascii="Arial" w:hAnsi="Arial" w:cs="Arial"/>
          <w:sz w:val="24"/>
          <w:szCs w:val="24"/>
        </w:rPr>
        <w:t>‘</w:t>
      </w:r>
      <w:r w:rsidRPr="00D00EB9">
        <w:rPr>
          <w:rFonts w:ascii="Arial" w:hAnsi="Arial" w:cs="Arial"/>
          <w:sz w:val="24"/>
          <w:szCs w:val="24"/>
        </w:rPr>
        <w:t xml:space="preserve">occasional outbursts of violent </w:t>
      </w:r>
      <w:r w:rsidRPr="00D00EB9">
        <w:rPr>
          <w:rFonts w:ascii="Arial" w:hAnsi="Arial" w:cs="Arial"/>
          <w:sz w:val="24"/>
          <w:szCs w:val="24"/>
        </w:rPr>
        <w:lastRenderedPageBreak/>
        <w:t>temper during which she is dangerous</w:t>
      </w:r>
      <w:r w:rsidR="00014D97" w:rsidRPr="00D00EB9">
        <w:rPr>
          <w:rFonts w:ascii="Arial" w:hAnsi="Arial" w:cs="Arial"/>
          <w:sz w:val="24"/>
          <w:szCs w:val="24"/>
        </w:rPr>
        <w:t>’</w:t>
      </w:r>
      <w:r w:rsidRPr="00D00EB9">
        <w:rPr>
          <w:rFonts w:ascii="Arial" w:hAnsi="Arial" w:cs="Arial"/>
          <w:sz w:val="24"/>
          <w:szCs w:val="24"/>
        </w:rPr>
        <w:t xml:space="preserve"> as displays of mental instability and possible psychotic tendencies. But we are not </w:t>
      </w:r>
      <w:proofErr w:type="gramStart"/>
      <w:r w:rsidRPr="00D00EB9">
        <w:rPr>
          <w:rFonts w:ascii="Arial" w:hAnsi="Arial" w:cs="Arial"/>
          <w:sz w:val="24"/>
          <w:szCs w:val="24"/>
        </w:rPr>
        <w:t>doctors</w:t>
      </w:r>
      <w:proofErr w:type="gramEnd"/>
      <w:r w:rsidRPr="00D00EB9">
        <w:rPr>
          <w:rFonts w:ascii="Arial" w:hAnsi="Arial" w:cs="Arial"/>
          <w:sz w:val="24"/>
          <w:szCs w:val="24"/>
        </w:rPr>
        <w:t xml:space="preserve"> and cannot therefore judge for certain that this behaviour is evidence of psychiatric problems. Alternatively, we can see Julia</w:t>
      </w:r>
      <w:r w:rsidR="00014D97" w:rsidRPr="00D00EB9">
        <w:rPr>
          <w:rFonts w:ascii="Arial" w:hAnsi="Arial" w:cs="Arial"/>
          <w:sz w:val="24"/>
          <w:szCs w:val="24"/>
        </w:rPr>
        <w:t>’</w:t>
      </w:r>
      <w:r w:rsidRPr="00D00EB9">
        <w:rPr>
          <w:rFonts w:ascii="Arial" w:hAnsi="Arial" w:cs="Arial"/>
          <w:sz w:val="24"/>
          <w:szCs w:val="24"/>
        </w:rPr>
        <w:t>s behaviour as a desperate and exaggerated reaction to a rigid and harsh environment. It is interesting to note that Julia was much more amenable to prison life when sentenced for a second time to seven years</w:t>
      </w:r>
      <w:r w:rsidR="00014D97" w:rsidRPr="00D00EB9">
        <w:rPr>
          <w:rFonts w:ascii="Arial" w:hAnsi="Arial" w:cs="Arial"/>
          <w:sz w:val="24"/>
          <w:szCs w:val="24"/>
        </w:rPr>
        <w:t>’</w:t>
      </w:r>
      <w:r w:rsidRPr="00D00EB9">
        <w:rPr>
          <w:rFonts w:ascii="Arial" w:hAnsi="Arial" w:cs="Arial"/>
          <w:sz w:val="24"/>
          <w:szCs w:val="24"/>
        </w:rPr>
        <w:t xml:space="preserve"> penal </w:t>
      </w:r>
      <w:proofErr w:type="gramStart"/>
      <w:r w:rsidRPr="00D00EB9">
        <w:rPr>
          <w:rFonts w:ascii="Arial" w:hAnsi="Arial" w:cs="Arial"/>
          <w:sz w:val="24"/>
          <w:szCs w:val="24"/>
        </w:rPr>
        <w:t>servitude, and</w:t>
      </w:r>
      <w:proofErr w:type="gramEnd"/>
      <w:r w:rsidRPr="00D00EB9">
        <w:rPr>
          <w:rFonts w:ascii="Arial" w:hAnsi="Arial" w:cs="Arial"/>
          <w:sz w:val="24"/>
          <w:szCs w:val="24"/>
        </w:rPr>
        <w:t xml:space="preserve"> was judged suitable for the care of the Catholic </w:t>
      </w:r>
      <w:r w:rsidR="00014D97" w:rsidRPr="00D00EB9">
        <w:rPr>
          <w:rFonts w:ascii="Arial" w:hAnsi="Arial" w:cs="Arial"/>
          <w:sz w:val="24"/>
          <w:szCs w:val="24"/>
        </w:rPr>
        <w:t>S</w:t>
      </w:r>
      <w:r w:rsidRPr="00D00EB9">
        <w:rPr>
          <w:rFonts w:ascii="Arial" w:hAnsi="Arial" w:cs="Arial"/>
          <w:sz w:val="24"/>
          <w:szCs w:val="24"/>
        </w:rPr>
        <w:t>isters in c</w:t>
      </w:r>
      <w:r w:rsidR="00887DF3" w:rsidRPr="00D00EB9">
        <w:rPr>
          <w:rFonts w:ascii="Arial" w:hAnsi="Arial" w:cs="Arial"/>
          <w:sz w:val="24"/>
          <w:szCs w:val="24"/>
        </w:rPr>
        <w:t>harge of the East End Refuge</w:t>
      </w:r>
      <w:r w:rsidR="00E5770C">
        <w:rPr>
          <w:rFonts w:ascii="Arial" w:hAnsi="Arial" w:cs="Arial"/>
          <w:sz w:val="24"/>
          <w:szCs w:val="24"/>
        </w:rPr>
        <w:t>. This was</w:t>
      </w:r>
      <w:r w:rsidR="00887DF3" w:rsidRPr="00D00EB9">
        <w:rPr>
          <w:rFonts w:ascii="Arial" w:hAnsi="Arial" w:cs="Arial"/>
          <w:sz w:val="24"/>
          <w:szCs w:val="24"/>
        </w:rPr>
        <w:t>,</w:t>
      </w:r>
      <w:r w:rsidRPr="00D00EB9">
        <w:rPr>
          <w:rFonts w:ascii="Arial" w:hAnsi="Arial" w:cs="Arial"/>
          <w:sz w:val="24"/>
          <w:szCs w:val="24"/>
        </w:rPr>
        <w:t xml:space="preserve"> one of a few refuges that took women released from penal servitude on conditional </w:t>
      </w:r>
      <w:r w:rsidR="004E1B7B">
        <w:rPr>
          <w:rFonts w:ascii="Arial" w:hAnsi="Arial" w:cs="Arial"/>
          <w:sz w:val="24"/>
          <w:szCs w:val="24"/>
        </w:rPr>
        <w:t>licence</w:t>
      </w:r>
      <w:r w:rsidR="00E5770C" w:rsidRPr="00D00EB9">
        <w:rPr>
          <w:rFonts w:ascii="Arial" w:hAnsi="Arial" w:cs="Arial"/>
          <w:sz w:val="24"/>
          <w:szCs w:val="24"/>
        </w:rPr>
        <w:t>, usually for up to nine months</w:t>
      </w:r>
      <w:r w:rsidRPr="00D00EB9">
        <w:rPr>
          <w:rFonts w:ascii="Arial" w:hAnsi="Arial" w:cs="Arial"/>
          <w:sz w:val="24"/>
          <w:szCs w:val="24"/>
        </w:rPr>
        <w:t xml:space="preserve">. Such refuges would not have tolerated the behaviour Julia displayed whilst incarcerated in Millbank, </w:t>
      </w:r>
      <w:r w:rsidR="00765593" w:rsidRPr="00D00EB9">
        <w:rPr>
          <w:rFonts w:ascii="Arial" w:hAnsi="Arial" w:cs="Arial"/>
          <w:sz w:val="24"/>
          <w:szCs w:val="24"/>
        </w:rPr>
        <w:t>Fulham</w:t>
      </w:r>
      <w:r w:rsidRPr="00D00EB9">
        <w:rPr>
          <w:rFonts w:ascii="Arial" w:hAnsi="Arial" w:cs="Arial"/>
          <w:sz w:val="24"/>
          <w:szCs w:val="24"/>
        </w:rPr>
        <w:t xml:space="preserve"> and Woking prisons during her first sentence</w:t>
      </w:r>
      <w:r w:rsidR="00E5770C">
        <w:rPr>
          <w:rFonts w:ascii="Arial" w:hAnsi="Arial" w:cs="Arial"/>
          <w:sz w:val="24"/>
          <w:szCs w:val="24"/>
        </w:rPr>
        <w:t>:</w:t>
      </w:r>
      <w:r w:rsidRPr="00D00EB9">
        <w:rPr>
          <w:rFonts w:ascii="Arial" w:hAnsi="Arial" w:cs="Arial"/>
          <w:sz w:val="24"/>
          <w:szCs w:val="24"/>
        </w:rPr>
        <w:t xml:space="preserve"> they would </w:t>
      </w:r>
      <w:r w:rsidR="00E5770C">
        <w:rPr>
          <w:rFonts w:ascii="Arial" w:hAnsi="Arial" w:cs="Arial"/>
          <w:sz w:val="24"/>
          <w:szCs w:val="24"/>
        </w:rPr>
        <w:t xml:space="preserve">simply </w:t>
      </w:r>
      <w:r w:rsidRPr="00D00EB9">
        <w:rPr>
          <w:rFonts w:ascii="Arial" w:hAnsi="Arial" w:cs="Arial"/>
          <w:sz w:val="24"/>
          <w:szCs w:val="24"/>
        </w:rPr>
        <w:t>have returned her to the prison</w:t>
      </w:r>
      <w:r w:rsidR="00E5770C">
        <w:rPr>
          <w:rFonts w:ascii="Arial" w:hAnsi="Arial" w:cs="Arial"/>
          <w:sz w:val="24"/>
          <w:szCs w:val="24"/>
        </w:rPr>
        <w:t>. N</w:t>
      </w:r>
      <w:r w:rsidRPr="00D00EB9">
        <w:rPr>
          <w:rFonts w:ascii="Arial" w:hAnsi="Arial" w:cs="Arial"/>
          <w:sz w:val="24"/>
          <w:szCs w:val="24"/>
        </w:rPr>
        <w:t xml:space="preserve">or would it have accepted a woman displaying signs of mental illness. </w:t>
      </w:r>
    </w:p>
    <w:p w:rsidR="00456AEF" w:rsidRPr="00D00EB9" w:rsidRDefault="00456AEF" w:rsidP="0058654F">
      <w:pPr>
        <w:pStyle w:val="ListParagraph"/>
        <w:spacing w:after="0" w:line="480" w:lineRule="auto"/>
        <w:ind w:left="0"/>
        <w:jc w:val="both"/>
        <w:rPr>
          <w:rFonts w:ascii="Arial" w:hAnsi="Arial" w:cs="Arial"/>
          <w:sz w:val="24"/>
          <w:szCs w:val="24"/>
        </w:rPr>
      </w:pPr>
    </w:p>
    <w:p w:rsidR="009B50DA" w:rsidRPr="00D00EB9" w:rsidRDefault="002A43CC" w:rsidP="0058654F">
      <w:pPr>
        <w:pStyle w:val="ListParagraph"/>
        <w:spacing w:after="0" w:line="480" w:lineRule="auto"/>
        <w:ind w:left="0"/>
        <w:jc w:val="both"/>
        <w:rPr>
          <w:rFonts w:ascii="Arial" w:hAnsi="Arial" w:cs="Arial"/>
          <w:sz w:val="24"/>
          <w:szCs w:val="24"/>
        </w:rPr>
      </w:pPr>
      <w:r w:rsidRPr="00D00EB9">
        <w:rPr>
          <w:rFonts w:ascii="Arial" w:hAnsi="Arial" w:cs="Arial"/>
          <w:sz w:val="24"/>
          <w:szCs w:val="24"/>
        </w:rPr>
        <w:t>What we cannot determine, however, are the actions of prison officers that Julia might have been reacting to. Although Julia</w:t>
      </w:r>
      <w:r w:rsidR="00014D97" w:rsidRPr="00D00EB9">
        <w:rPr>
          <w:rFonts w:ascii="Arial" w:hAnsi="Arial" w:cs="Arial"/>
          <w:sz w:val="24"/>
          <w:szCs w:val="24"/>
        </w:rPr>
        <w:t>’</w:t>
      </w:r>
      <w:r w:rsidRPr="00D00EB9">
        <w:rPr>
          <w:rFonts w:ascii="Arial" w:hAnsi="Arial" w:cs="Arial"/>
          <w:sz w:val="24"/>
          <w:szCs w:val="24"/>
        </w:rPr>
        <w:t>s behaviour and official judgements of that behaviour were intricately recorded, as could be expected, the words and actions that might have provoked her behaviour were not. Thus, the interpretation historians might make has to be careful not to see Julia</w:t>
      </w:r>
      <w:r w:rsidR="00014D97" w:rsidRPr="00D00EB9">
        <w:rPr>
          <w:rFonts w:ascii="Arial" w:hAnsi="Arial" w:cs="Arial"/>
          <w:sz w:val="24"/>
          <w:szCs w:val="24"/>
        </w:rPr>
        <w:t>’</w:t>
      </w:r>
      <w:r w:rsidRPr="00D00EB9">
        <w:rPr>
          <w:rFonts w:ascii="Arial" w:hAnsi="Arial" w:cs="Arial"/>
          <w:sz w:val="24"/>
          <w:szCs w:val="24"/>
        </w:rPr>
        <w:t xml:space="preserve">s behaviour as unprovoked or triggered by the actions of others. Conversely, they must be careful not to imagine or attribute words or actions that cannot be verified or should not be assumed, or at least only do so with caution. Historians </w:t>
      </w:r>
      <w:r w:rsidRPr="00D00EB9">
        <w:rPr>
          <w:rFonts w:ascii="Arial" w:hAnsi="Arial" w:cs="Arial"/>
          <w:sz w:val="24"/>
          <w:szCs w:val="24"/>
          <w:u w:val="single"/>
        </w:rPr>
        <w:t>do</w:t>
      </w:r>
      <w:r w:rsidRPr="00D00EB9">
        <w:rPr>
          <w:rFonts w:ascii="Arial" w:hAnsi="Arial" w:cs="Arial"/>
          <w:sz w:val="24"/>
          <w:szCs w:val="24"/>
        </w:rPr>
        <w:t xml:space="preserve"> have to make links between events, this is part of the historian</w:t>
      </w:r>
      <w:r w:rsidR="00014D97" w:rsidRPr="00D00EB9">
        <w:rPr>
          <w:rFonts w:ascii="Arial" w:hAnsi="Arial" w:cs="Arial"/>
          <w:sz w:val="24"/>
          <w:szCs w:val="24"/>
        </w:rPr>
        <w:t>’</w:t>
      </w:r>
      <w:r w:rsidRPr="00D00EB9">
        <w:rPr>
          <w:rFonts w:ascii="Arial" w:hAnsi="Arial" w:cs="Arial"/>
          <w:sz w:val="24"/>
          <w:szCs w:val="24"/>
        </w:rPr>
        <w:t>s craft and without doing so history would just be a sequence of events</w:t>
      </w:r>
      <w:r w:rsidR="00E5770C">
        <w:rPr>
          <w:rFonts w:ascii="Arial" w:hAnsi="Arial" w:cs="Arial"/>
          <w:sz w:val="24"/>
          <w:szCs w:val="24"/>
        </w:rPr>
        <w:t>. B</w:t>
      </w:r>
      <w:r w:rsidRPr="00D00EB9">
        <w:rPr>
          <w:rFonts w:ascii="Arial" w:hAnsi="Arial" w:cs="Arial"/>
          <w:sz w:val="24"/>
          <w:szCs w:val="24"/>
        </w:rPr>
        <w:t xml:space="preserve">ut in making the connections, correlations rather than causal links need to be suggested. This is especially important as Julia is not even privy to the </w:t>
      </w:r>
      <w:proofErr w:type="gramStart"/>
      <w:r w:rsidRPr="00D00EB9">
        <w:rPr>
          <w:rFonts w:ascii="Arial" w:hAnsi="Arial" w:cs="Arial"/>
          <w:sz w:val="24"/>
          <w:szCs w:val="24"/>
        </w:rPr>
        <w:t>history</w:t>
      </w:r>
      <w:proofErr w:type="gramEnd"/>
      <w:r w:rsidRPr="00D00EB9">
        <w:rPr>
          <w:rFonts w:ascii="Arial" w:hAnsi="Arial" w:cs="Arial"/>
          <w:sz w:val="24"/>
          <w:szCs w:val="24"/>
        </w:rPr>
        <w:t xml:space="preserve"> we have constructed for her, let alone able correct us in any errors or </w:t>
      </w:r>
      <w:r w:rsidRPr="00D00EB9">
        <w:rPr>
          <w:rFonts w:ascii="Arial" w:hAnsi="Arial" w:cs="Arial"/>
          <w:sz w:val="24"/>
          <w:szCs w:val="24"/>
        </w:rPr>
        <w:lastRenderedPageBreak/>
        <w:t xml:space="preserve">misunderstandings that may have been made. Nor is Julia able to give or withhold consent for the dissemination of her history. She may, however, be particularly pleased that, as an </w:t>
      </w:r>
      <w:r w:rsidR="00014D97" w:rsidRPr="00D00EB9">
        <w:rPr>
          <w:rFonts w:ascii="Arial" w:hAnsi="Arial" w:cs="Arial"/>
          <w:sz w:val="24"/>
          <w:szCs w:val="24"/>
        </w:rPr>
        <w:t>‘</w:t>
      </w:r>
      <w:r w:rsidRPr="00D00EB9">
        <w:rPr>
          <w:rFonts w:ascii="Arial" w:hAnsi="Arial" w:cs="Arial"/>
          <w:sz w:val="24"/>
          <w:szCs w:val="24"/>
        </w:rPr>
        <w:t>invisible</w:t>
      </w:r>
      <w:r w:rsidR="00014D97" w:rsidRPr="00D00EB9">
        <w:rPr>
          <w:rFonts w:ascii="Arial" w:hAnsi="Arial" w:cs="Arial"/>
          <w:sz w:val="24"/>
          <w:szCs w:val="24"/>
        </w:rPr>
        <w:t>’</w:t>
      </w:r>
      <w:r w:rsidRPr="00D00EB9">
        <w:rPr>
          <w:rFonts w:ascii="Arial" w:hAnsi="Arial" w:cs="Arial"/>
          <w:sz w:val="24"/>
          <w:szCs w:val="24"/>
        </w:rPr>
        <w:t xml:space="preserve"> subject who probably would never have thought of recording her life, her experiences have been brought to life and given a voice. </w:t>
      </w:r>
      <w:r w:rsidR="00E5770C">
        <w:rPr>
          <w:rFonts w:ascii="Arial" w:hAnsi="Arial" w:cs="Arial"/>
          <w:sz w:val="24"/>
          <w:szCs w:val="24"/>
        </w:rPr>
        <w:t>Nevertheless, h</w:t>
      </w:r>
      <w:r w:rsidRPr="00D00EB9">
        <w:rPr>
          <w:rFonts w:ascii="Arial" w:hAnsi="Arial" w:cs="Arial"/>
          <w:sz w:val="24"/>
          <w:szCs w:val="24"/>
        </w:rPr>
        <w:t xml:space="preserve">istorians do have to be mindful of the ethics of their craft. </w:t>
      </w:r>
    </w:p>
    <w:p w:rsidR="00456AEF" w:rsidRPr="00D00EB9" w:rsidRDefault="00456AEF" w:rsidP="0058654F">
      <w:pPr>
        <w:pStyle w:val="ListParagraph"/>
        <w:spacing w:after="0" w:line="480" w:lineRule="auto"/>
        <w:ind w:left="0"/>
        <w:jc w:val="both"/>
        <w:rPr>
          <w:rFonts w:ascii="Arial" w:hAnsi="Arial" w:cs="Arial"/>
          <w:sz w:val="24"/>
          <w:szCs w:val="24"/>
        </w:rPr>
      </w:pPr>
    </w:p>
    <w:p w:rsidR="009B50DA" w:rsidRPr="00D00EB9" w:rsidRDefault="002A43CC" w:rsidP="0058654F">
      <w:pPr>
        <w:pStyle w:val="ListParagraph"/>
        <w:spacing w:after="0" w:line="480" w:lineRule="auto"/>
        <w:ind w:left="0"/>
        <w:jc w:val="both"/>
        <w:rPr>
          <w:rFonts w:ascii="Arial" w:hAnsi="Arial" w:cs="Arial"/>
          <w:sz w:val="24"/>
          <w:szCs w:val="24"/>
        </w:rPr>
      </w:pPr>
      <w:r w:rsidRPr="00D00EB9">
        <w:rPr>
          <w:rFonts w:ascii="Arial" w:hAnsi="Arial" w:cs="Arial"/>
          <w:sz w:val="24"/>
          <w:szCs w:val="24"/>
        </w:rPr>
        <w:t xml:space="preserve">There is no doubt that micro-histories aid in understanding the past. They give us a unique, detailed insight into past lives as lived and, along with a macro-history, can provide a fuller, richer understanding of the past. The mass of data and the speed at which it can be collected through digitisation can overwhelm the </w:t>
      </w:r>
      <w:proofErr w:type="gramStart"/>
      <w:r w:rsidRPr="00D00EB9">
        <w:rPr>
          <w:rFonts w:ascii="Arial" w:hAnsi="Arial" w:cs="Arial"/>
          <w:sz w:val="24"/>
          <w:szCs w:val="24"/>
        </w:rPr>
        <w:t>researcher, and</w:t>
      </w:r>
      <w:proofErr w:type="gramEnd"/>
      <w:r w:rsidRPr="00D00EB9">
        <w:rPr>
          <w:rFonts w:ascii="Arial" w:hAnsi="Arial" w:cs="Arial"/>
          <w:sz w:val="24"/>
          <w:szCs w:val="24"/>
        </w:rPr>
        <w:t xml:space="preserve"> concentrating on individual lives or experiences can bring some order to the research process. Although this micro-history is just one of many created during a larger research project, through trying to understand the criminal career of Julia Hyland, we have been able to consider the individual experiences of a convict</w:t>
      </w:r>
      <w:r w:rsidR="00014D97" w:rsidRPr="00D00EB9">
        <w:rPr>
          <w:rFonts w:ascii="Arial" w:hAnsi="Arial" w:cs="Arial"/>
          <w:sz w:val="24"/>
          <w:szCs w:val="24"/>
        </w:rPr>
        <w:t>’</w:t>
      </w:r>
      <w:r w:rsidRPr="00D00EB9">
        <w:rPr>
          <w:rFonts w:ascii="Arial" w:hAnsi="Arial" w:cs="Arial"/>
          <w:sz w:val="24"/>
          <w:szCs w:val="24"/>
        </w:rPr>
        <w:t xml:space="preserve">s time during penal servitude. In so doing, we have been able to consider some broader questions regarding convicts and the convict system </w:t>
      </w:r>
      <w:r w:rsidR="001D6A31" w:rsidRPr="00D00EB9">
        <w:rPr>
          <w:rFonts w:ascii="Arial" w:hAnsi="Arial" w:cs="Arial"/>
          <w:sz w:val="24"/>
          <w:szCs w:val="24"/>
        </w:rPr>
        <w:t>–</w:t>
      </w:r>
      <w:r w:rsidRPr="00D00EB9">
        <w:rPr>
          <w:rFonts w:ascii="Arial" w:hAnsi="Arial" w:cs="Arial"/>
          <w:sz w:val="24"/>
          <w:szCs w:val="24"/>
        </w:rPr>
        <w:t xml:space="preserve"> </w:t>
      </w:r>
      <w:r w:rsidR="00E5770C">
        <w:rPr>
          <w:rFonts w:ascii="Arial" w:hAnsi="Arial" w:cs="Arial"/>
          <w:sz w:val="24"/>
          <w:szCs w:val="24"/>
        </w:rPr>
        <w:t>such as</w:t>
      </w:r>
      <w:r w:rsidR="00E5770C" w:rsidRPr="00D00EB9">
        <w:rPr>
          <w:rFonts w:ascii="Arial" w:hAnsi="Arial" w:cs="Arial"/>
          <w:sz w:val="24"/>
          <w:szCs w:val="24"/>
        </w:rPr>
        <w:t xml:space="preserve"> </w:t>
      </w:r>
      <w:r w:rsidRPr="00D00EB9">
        <w:rPr>
          <w:rFonts w:ascii="Arial" w:hAnsi="Arial" w:cs="Arial"/>
          <w:sz w:val="24"/>
          <w:szCs w:val="24"/>
        </w:rPr>
        <w:t xml:space="preserve">whether the system helped or </w:t>
      </w:r>
      <w:r w:rsidR="00E5770C">
        <w:rPr>
          <w:rFonts w:ascii="Arial" w:hAnsi="Arial" w:cs="Arial"/>
          <w:sz w:val="24"/>
          <w:szCs w:val="24"/>
        </w:rPr>
        <w:t>hindered</w:t>
      </w:r>
      <w:r w:rsidRPr="00D00EB9">
        <w:rPr>
          <w:rFonts w:ascii="Arial" w:hAnsi="Arial" w:cs="Arial"/>
          <w:sz w:val="24"/>
          <w:szCs w:val="24"/>
        </w:rPr>
        <w:t xml:space="preserve"> those caught up in it, and what the cost, </w:t>
      </w:r>
      <w:r w:rsidR="00E5770C">
        <w:rPr>
          <w:rFonts w:ascii="Arial" w:hAnsi="Arial" w:cs="Arial"/>
          <w:sz w:val="24"/>
          <w:szCs w:val="24"/>
        </w:rPr>
        <w:t xml:space="preserve">for example </w:t>
      </w:r>
      <w:r w:rsidRPr="00D00EB9">
        <w:rPr>
          <w:rFonts w:ascii="Arial" w:hAnsi="Arial" w:cs="Arial"/>
          <w:sz w:val="24"/>
          <w:szCs w:val="24"/>
        </w:rPr>
        <w:t>in terms of health and family</w:t>
      </w:r>
      <w:r w:rsidR="00E5770C">
        <w:rPr>
          <w:rFonts w:ascii="Arial" w:hAnsi="Arial" w:cs="Arial"/>
          <w:sz w:val="24"/>
          <w:szCs w:val="24"/>
        </w:rPr>
        <w:t xml:space="preserve"> may have been</w:t>
      </w:r>
      <w:r w:rsidRPr="00D00EB9">
        <w:rPr>
          <w:rFonts w:ascii="Arial" w:hAnsi="Arial" w:cs="Arial"/>
          <w:sz w:val="24"/>
          <w:szCs w:val="24"/>
        </w:rPr>
        <w:t xml:space="preserve"> to the individual offender. Whether we suggest Julia was helped or </w:t>
      </w:r>
      <w:r w:rsidR="00E5770C">
        <w:rPr>
          <w:rFonts w:ascii="Arial" w:hAnsi="Arial" w:cs="Arial"/>
          <w:sz w:val="24"/>
          <w:szCs w:val="24"/>
        </w:rPr>
        <w:t>hindered</w:t>
      </w:r>
      <w:r w:rsidRPr="00D00EB9">
        <w:rPr>
          <w:rFonts w:ascii="Arial" w:hAnsi="Arial" w:cs="Arial"/>
          <w:sz w:val="24"/>
          <w:szCs w:val="24"/>
        </w:rPr>
        <w:t xml:space="preserve">, </w:t>
      </w:r>
      <w:proofErr w:type="gramStart"/>
      <w:r w:rsidRPr="00D00EB9">
        <w:rPr>
          <w:rFonts w:ascii="Arial" w:hAnsi="Arial" w:cs="Arial"/>
          <w:sz w:val="24"/>
          <w:szCs w:val="24"/>
        </w:rPr>
        <w:t xml:space="preserve">it is clear that </w:t>
      </w:r>
      <w:r w:rsidR="00E5770C">
        <w:rPr>
          <w:rFonts w:ascii="Arial" w:hAnsi="Arial" w:cs="Arial"/>
          <w:sz w:val="24"/>
          <w:szCs w:val="24"/>
        </w:rPr>
        <w:t>she</w:t>
      </w:r>
      <w:proofErr w:type="gramEnd"/>
      <w:r w:rsidR="00E5770C" w:rsidRPr="00D00EB9">
        <w:rPr>
          <w:rFonts w:ascii="Arial" w:hAnsi="Arial" w:cs="Arial"/>
          <w:sz w:val="24"/>
          <w:szCs w:val="24"/>
        </w:rPr>
        <w:t xml:space="preserve"> </w:t>
      </w:r>
      <w:r w:rsidRPr="00D00EB9">
        <w:rPr>
          <w:rFonts w:ascii="Arial" w:hAnsi="Arial" w:cs="Arial"/>
          <w:sz w:val="24"/>
          <w:szCs w:val="24"/>
        </w:rPr>
        <w:t xml:space="preserve">did not find her time in prison easy and she suffered the consequences of that difficulty. </w:t>
      </w:r>
    </w:p>
    <w:p w:rsidR="00456AEF" w:rsidRPr="00D00EB9" w:rsidRDefault="00456AEF" w:rsidP="0058654F">
      <w:pPr>
        <w:pStyle w:val="ListParagraph"/>
        <w:spacing w:after="0" w:line="480" w:lineRule="auto"/>
        <w:ind w:left="0"/>
        <w:jc w:val="both"/>
        <w:rPr>
          <w:rFonts w:ascii="Arial" w:hAnsi="Arial" w:cs="Arial"/>
          <w:sz w:val="24"/>
          <w:szCs w:val="24"/>
        </w:rPr>
      </w:pPr>
    </w:p>
    <w:p w:rsidR="00874D8C" w:rsidRPr="00D00EB9" w:rsidRDefault="002A43CC" w:rsidP="0058654F">
      <w:pPr>
        <w:pStyle w:val="ListParagraph"/>
        <w:spacing w:after="0" w:line="480" w:lineRule="auto"/>
        <w:ind w:left="0"/>
        <w:jc w:val="both"/>
        <w:rPr>
          <w:rFonts w:ascii="Arial" w:hAnsi="Arial" w:cs="Arial"/>
          <w:sz w:val="24"/>
          <w:szCs w:val="24"/>
        </w:rPr>
      </w:pPr>
      <w:r w:rsidRPr="00D00EB9">
        <w:rPr>
          <w:rFonts w:ascii="Arial" w:hAnsi="Arial" w:cs="Arial"/>
          <w:sz w:val="24"/>
          <w:szCs w:val="24"/>
        </w:rPr>
        <w:t xml:space="preserve">In creating the micro-history of Julia Hyland, though, we might not be able to give a conclusive answer to the question – was she </w:t>
      </w:r>
      <w:r w:rsidR="001D6A31" w:rsidRPr="00D00EB9">
        <w:rPr>
          <w:rFonts w:ascii="Arial" w:hAnsi="Arial" w:cs="Arial"/>
          <w:sz w:val="24"/>
          <w:szCs w:val="24"/>
        </w:rPr>
        <w:t>‘</w:t>
      </w:r>
      <w:r w:rsidRPr="00D00EB9">
        <w:rPr>
          <w:rFonts w:ascii="Arial" w:hAnsi="Arial" w:cs="Arial"/>
          <w:sz w:val="24"/>
          <w:szCs w:val="24"/>
        </w:rPr>
        <w:t>simply wicked</w:t>
      </w:r>
      <w:r w:rsidR="001D6A31" w:rsidRPr="00D00EB9">
        <w:rPr>
          <w:rFonts w:ascii="Arial" w:hAnsi="Arial" w:cs="Arial"/>
          <w:sz w:val="24"/>
          <w:szCs w:val="24"/>
        </w:rPr>
        <w:t>’</w:t>
      </w:r>
      <w:r w:rsidRPr="00D00EB9">
        <w:rPr>
          <w:rFonts w:ascii="Arial" w:hAnsi="Arial" w:cs="Arial"/>
          <w:sz w:val="24"/>
          <w:szCs w:val="24"/>
        </w:rPr>
        <w:t xml:space="preserve"> or </w:t>
      </w:r>
      <w:r w:rsidR="00E5770C">
        <w:rPr>
          <w:rFonts w:ascii="Arial" w:hAnsi="Arial" w:cs="Arial"/>
          <w:sz w:val="24"/>
          <w:szCs w:val="24"/>
        </w:rPr>
        <w:t xml:space="preserve">was she a </w:t>
      </w:r>
      <w:r w:rsidRPr="00D00EB9">
        <w:rPr>
          <w:rFonts w:ascii="Arial" w:hAnsi="Arial" w:cs="Arial"/>
          <w:sz w:val="24"/>
          <w:szCs w:val="24"/>
        </w:rPr>
        <w:t xml:space="preserve">victim of the convict system? </w:t>
      </w:r>
      <w:r w:rsidR="00E5770C">
        <w:rPr>
          <w:rFonts w:ascii="Arial" w:hAnsi="Arial" w:cs="Arial"/>
          <w:sz w:val="24"/>
          <w:szCs w:val="24"/>
        </w:rPr>
        <w:t>However,</w:t>
      </w:r>
      <w:r w:rsidR="00E5770C" w:rsidRPr="00D00EB9">
        <w:rPr>
          <w:rFonts w:ascii="Arial" w:hAnsi="Arial" w:cs="Arial"/>
          <w:sz w:val="24"/>
          <w:szCs w:val="24"/>
        </w:rPr>
        <w:t xml:space="preserve"> </w:t>
      </w:r>
      <w:r w:rsidRPr="00D00EB9">
        <w:rPr>
          <w:rFonts w:ascii="Arial" w:hAnsi="Arial" w:cs="Arial"/>
          <w:sz w:val="24"/>
          <w:szCs w:val="24"/>
        </w:rPr>
        <w:t>we can suggest that Julia</w:t>
      </w:r>
      <w:r w:rsidR="00014D97" w:rsidRPr="00D00EB9">
        <w:rPr>
          <w:rFonts w:ascii="Arial" w:hAnsi="Arial" w:cs="Arial"/>
          <w:sz w:val="24"/>
          <w:szCs w:val="24"/>
        </w:rPr>
        <w:t>’</w:t>
      </w:r>
      <w:r w:rsidRPr="00D00EB9">
        <w:rPr>
          <w:rFonts w:ascii="Arial" w:hAnsi="Arial" w:cs="Arial"/>
          <w:sz w:val="24"/>
          <w:szCs w:val="24"/>
        </w:rPr>
        <w:t xml:space="preserve">s violent conduct whilst in the convict system only appeared once committed to a convict prison, and even </w:t>
      </w:r>
      <w:r w:rsidRPr="00D00EB9">
        <w:rPr>
          <w:rFonts w:ascii="Arial" w:hAnsi="Arial" w:cs="Arial"/>
          <w:sz w:val="24"/>
          <w:szCs w:val="24"/>
        </w:rPr>
        <w:lastRenderedPageBreak/>
        <w:t>then</w:t>
      </w:r>
      <w:r w:rsidR="00E5770C">
        <w:rPr>
          <w:rFonts w:ascii="Arial" w:hAnsi="Arial" w:cs="Arial"/>
          <w:sz w:val="24"/>
          <w:szCs w:val="24"/>
        </w:rPr>
        <w:t>,</w:t>
      </w:r>
      <w:r w:rsidRPr="00D00EB9">
        <w:rPr>
          <w:rFonts w:ascii="Arial" w:hAnsi="Arial" w:cs="Arial"/>
          <w:sz w:val="24"/>
          <w:szCs w:val="24"/>
        </w:rPr>
        <w:t xml:space="preserve"> mainly during her first sentence of penal servitude. Prior to that</w:t>
      </w:r>
      <w:r w:rsidR="00E5770C">
        <w:rPr>
          <w:rFonts w:ascii="Arial" w:hAnsi="Arial" w:cs="Arial"/>
          <w:sz w:val="24"/>
          <w:szCs w:val="24"/>
        </w:rPr>
        <w:t>,</w:t>
      </w:r>
      <w:r w:rsidRPr="00D00EB9">
        <w:rPr>
          <w:rFonts w:ascii="Arial" w:hAnsi="Arial" w:cs="Arial"/>
          <w:sz w:val="24"/>
          <w:szCs w:val="24"/>
        </w:rPr>
        <w:t xml:space="preserve"> Julia had displayed no violent tendencies in her previous offending and none had been suggested during her previous prison committals (although we cannot know for sure whether none took place as we do not have access to those records). It was during her first sentence of penal servitude that Julia displayed the conduct that prison officers, prison doctors, and prison chaplains all perceived to be </w:t>
      </w:r>
      <w:r w:rsidR="00014D97" w:rsidRPr="00D00EB9">
        <w:rPr>
          <w:rFonts w:ascii="Arial" w:hAnsi="Arial" w:cs="Arial"/>
          <w:sz w:val="24"/>
          <w:szCs w:val="24"/>
        </w:rPr>
        <w:t>‘</w:t>
      </w:r>
      <w:r w:rsidRPr="00D00EB9">
        <w:rPr>
          <w:rFonts w:ascii="Arial" w:hAnsi="Arial" w:cs="Arial"/>
          <w:sz w:val="24"/>
          <w:szCs w:val="24"/>
        </w:rPr>
        <w:t>wicked</w:t>
      </w:r>
      <w:r w:rsidR="00014D97" w:rsidRPr="00D00EB9">
        <w:rPr>
          <w:rFonts w:ascii="Arial" w:hAnsi="Arial" w:cs="Arial"/>
          <w:sz w:val="24"/>
          <w:szCs w:val="24"/>
        </w:rPr>
        <w:t>’</w:t>
      </w:r>
      <w:r w:rsidRPr="00D00EB9">
        <w:rPr>
          <w:rFonts w:ascii="Arial" w:hAnsi="Arial" w:cs="Arial"/>
          <w:sz w:val="24"/>
          <w:szCs w:val="24"/>
        </w:rPr>
        <w:t xml:space="preserve"> behaviour. Given that it is difficult even with contemporary research to </w:t>
      </w:r>
      <w:r w:rsidR="00014D97" w:rsidRPr="00D00EB9">
        <w:rPr>
          <w:rFonts w:ascii="Arial" w:hAnsi="Arial" w:cs="Arial"/>
          <w:sz w:val="24"/>
          <w:szCs w:val="24"/>
        </w:rPr>
        <w:t>‘</w:t>
      </w:r>
      <w:r w:rsidRPr="00D00EB9">
        <w:rPr>
          <w:rFonts w:ascii="Arial" w:hAnsi="Arial" w:cs="Arial"/>
          <w:sz w:val="24"/>
          <w:szCs w:val="24"/>
        </w:rPr>
        <w:t>know</w:t>
      </w:r>
      <w:r w:rsidR="00014D97" w:rsidRPr="00D00EB9">
        <w:rPr>
          <w:rFonts w:ascii="Arial" w:hAnsi="Arial" w:cs="Arial"/>
          <w:sz w:val="24"/>
          <w:szCs w:val="24"/>
        </w:rPr>
        <w:t>’</w:t>
      </w:r>
      <w:r w:rsidRPr="00D00EB9">
        <w:rPr>
          <w:rFonts w:ascii="Arial" w:hAnsi="Arial" w:cs="Arial"/>
          <w:sz w:val="24"/>
          <w:szCs w:val="24"/>
        </w:rPr>
        <w:t xml:space="preserve"> what people are thinking, this then is surely the importance of micro-history –</w:t>
      </w:r>
      <w:r w:rsidR="001D6A31" w:rsidRPr="00D00EB9">
        <w:rPr>
          <w:rFonts w:ascii="Arial" w:hAnsi="Arial" w:cs="Arial"/>
          <w:sz w:val="24"/>
          <w:szCs w:val="24"/>
        </w:rPr>
        <w:t xml:space="preserve"> </w:t>
      </w:r>
      <w:r w:rsidR="00E5770C">
        <w:rPr>
          <w:rFonts w:ascii="Arial" w:hAnsi="Arial" w:cs="Arial"/>
          <w:sz w:val="24"/>
          <w:szCs w:val="24"/>
        </w:rPr>
        <w:t>t</w:t>
      </w:r>
      <w:r w:rsidRPr="00D00EB9">
        <w:rPr>
          <w:rFonts w:ascii="Arial" w:hAnsi="Arial" w:cs="Arial"/>
          <w:sz w:val="24"/>
          <w:szCs w:val="24"/>
        </w:rPr>
        <w:t xml:space="preserve">hat it can tell us about perceptions, especially the perceptions of those who had contact </w:t>
      </w:r>
      <w:proofErr w:type="gramStart"/>
      <w:r w:rsidRPr="00D00EB9">
        <w:rPr>
          <w:rFonts w:ascii="Arial" w:hAnsi="Arial" w:cs="Arial"/>
          <w:sz w:val="24"/>
          <w:szCs w:val="24"/>
        </w:rPr>
        <w:t>on a daily basis</w:t>
      </w:r>
      <w:proofErr w:type="gramEnd"/>
      <w:r w:rsidRPr="00D00EB9">
        <w:rPr>
          <w:rFonts w:ascii="Arial" w:hAnsi="Arial" w:cs="Arial"/>
          <w:sz w:val="24"/>
          <w:szCs w:val="24"/>
        </w:rPr>
        <w:t xml:space="preserve"> with those incarcerated</w:t>
      </w:r>
      <w:r w:rsidR="00E5770C">
        <w:rPr>
          <w:rFonts w:ascii="Arial" w:hAnsi="Arial" w:cs="Arial"/>
          <w:sz w:val="24"/>
          <w:szCs w:val="24"/>
        </w:rPr>
        <w:t>. This information is</w:t>
      </w:r>
      <w:r w:rsidRPr="00D00EB9">
        <w:rPr>
          <w:rFonts w:ascii="Arial" w:hAnsi="Arial" w:cs="Arial"/>
          <w:sz w:val="24"/>
          <w:szCs w:val="24"/>
        </w:rPr>
        <w:t xml:space="preserve"> crucial to our understanding of past events. It allows us to look at the detail and debate, with the benefit of hindsight, how those perceptions had been formed, how those perceptions affected those on the receiving end of the sanctions imposed because of them, and what this means for our understanding of the past.</w:t>
      </w:r>
    </w:p>
    <w:p w:rsidR="00456AEF" w:rsidRPr="00D00EB9" w:rsidRDefault="00456AEF" w:rsidP="0058654F">
      <w:pPr>
        <w:pStyle w:val="ListParagraph"/>
        <w:spacing w:after="0" w:line="480" w:lineRule="auto"/>
        <w:ind w:left="0"/>
        <w:jc w:val="both"/>
        <w:rPr>
          <w:rFonts w:ascii="Arial" w:hAnsi="Arial" w:cs="Arial"/>
          <w:sz w:val="24"/>
          <w:szCs w:val="24"/>
        </w:rPr>
      </w:pPr>
    </w:p>
    <w:p w:rsidR="00B06848" w:rsidRDefault="00A533B6" w:rsidP="0058654F">
      <w:pPr>
        <w:spacing w:after="0" w:line="480" w:lineRule="auto"/>
        <w:contextualSpacing/>
        <w:jc w:val="both"/>
        <w:rPr>
          <w:rFonts w:ascii="Arial" w:hAnsi="Arial" w:cs="Arial"/>
          <w:sz w:val="24"/>
          <w:szCs w:val="24"/>
        </w:rPr>
      </w:pPr>
      <w:r w:rsidRPr="00D00EB9">
        <w:rPr>
          <w:rFonts w:ascii="Arial" w:hAnsi="Arial" w:cs="Arial"/>
          <w:sz w:val="24"/>
          <w:szCs w:val="24"/>
        </w:rPr>
        <w:t>Julia</w:t>
      </w:r>
      <w:r w:rsidR="00E5770C">
        <w:rPr>
          <w:rFonts w:ascii="Arial" w:hAnsi="Arial" w:cs="Arial"/>
          <w:sz w:val="24"/>
          <w:szCs w:val="24"/>
        </w:rPr>
        <w:t xml:space="preserve"> Hyland</w:t>
      </w:r>
      <w:r w:rsidR="00014D97" w:rsidRPr="00D00EB9">
        <w:rPr>
          <w:rFonts w:ascii="Arial" w:hAnsi="Arial" w:cs="Arial"/>
          <w:sz w:val="24"/>
          <w:szCs w:val="24"/>
        </w:rPr>
        <w:t>’</w:t>
      </w:r>
      <w:r w:rsidRPr="00D00EB9">
        <w:rPr>
          <w:rFonts w:ascii="Arial" w:hAnsi="Arial" w:cs="Arial"/>
          <w:sz w:val="24"/>
          <w:szCs w:val="24"/>
        </w:rPr>
        <w:t xml:space="preserve">s life </w:t>
      </w:r>
      <w:r w:rsidR="001D6A31" w:rsidRPr="00D00EB9">
        <w:rPr>
          <w:rFonts w:ascii="Arial" w:hAnsi="Arial" w:cs="Arial"/>
          <w:sz w:val="24"/>
          <w:szCs w:val="24"/>
        </w:rPr>
        <w:t>was</w:t>
      </w:r>
      <w:r w:rsidRPr="00D00EB9">
        <w:rPr>
          <w:rFonts w:ascii="Arial" w:hAnsi="Arial" w:cs="Arial"/>
          <w:sz w:val="24"/>
          <w:szCs w:val="24"/>
        </w:rPr>
        <w:t xml:space="preserve"> one mainly spent in prison, and our knowledge of how she lived is depend</w:t>
      </w:r>
      <w:r w:rsidR="001D6A31" w:rsidRPr="00D00EB9">
        <w:rPr>
          <w:rFonts w:ascii="Arial" w:hAnsi="Arial" w:cs="Arial"/>
          <w:sz w:val="24"/>
          <w:szCs w:val="24"/>
        </w:rPr>
        <w:t>e</w:t>
      </w:r>
      <w:r w:rsidRPr="00D00EB9">
        <w:rPr>
          <w:rFonts w:ascii="Arial" w:hAnsi="Arial" w:cs="Arial"/>
          <w:sz w:val="24"/>
          <w:szCs w:val="24"/>
        </w:rPr>
        <w:t xml:space="preserve">nt on official sources. We do not know anything about her life after incarceration because there are few sources that would capture any detail of her life back in Manchester; even the date of her death is vague. The official source we have, the prison licence, is invaluable and is immensely detailed. However, we </w:t>
      </w:r>
      <w:proofErr w:type="gramStart"/>
      <w:r w:rsidRPr="00D00EB9">
        <w:rPr>
          <w:rFonts w:ascii="Arial" w:hAnsi="Arial" w:cs="Arial"/>
          <w:sz w:val="24"/>
          <w:szCs w:val="24"/>
        </w:rPr>
        <w:t>have to</w:t>
      </w:r>
      <w:proofErr w:type="gramEnd"/>
      <w:r w:rsidRPr="00D00EB9">
        <w:rPr>
          <w:rFonts w:ascii="Arial" w:hAnsi="Arial" w:cs="Arial"/>
          <w:sz w:val="24"/>
          <w:szCs w:val="24"/>
        </w:rPr>
        <w:t xml:space="preserve"> remember that these records are partial, and do not capture the records of every convict passing through the system. We would not know very much about Julia</w:t>
      </w:r>
      <w:r w:rsidR="00014D97" w:rsidRPr="00D00EB9">
        <w:rPr>
          <w:rFonts w:ascii="Arial" w:hAnsi="Arial" w:cs="Arial"/>
          <w:sz w:val="24"/>
          <w:szCs w:val="24"/>
        </w:rPr>
        <w:t>’</w:t>
      </w:r>
      <w:r w:rsidRPr="00D00EB9">
        <w:rPr>
          <w:rFonts w:ascii="Arial" w:hAnsi="Arial" w:cs="Arial"/>
          <w:sz w:val="24"/>
          <w:szCs w:val="24"/>
        </w:rPr>
        <w:t xml:space="preserve">s first period in prison, or her second, or indeed much about her life at all, if she had not been </w:t>
      </w:r>
      <w:r w:rsidR="004E1B7B">
        <w:rPr>
          <w:rFonts w:ascii="Arial" w:hAnsi="Arial" w:cs="Arial"/>
          <w:sz w:val="24"/>
          <w:szCs w:val="24"/>
        </w:rPr>
        <w:t>licence</w:t>
      </w:r>
      <w:r w:rsidRPr="00D00EB9">
        <w:rPr>
          <w:rFonts w:ascii="Arial" w:hAnsi="Arial" w:cs="Arial"/>
          <w:sz w:val="24"/>
          <w:szCs w:val="24"/>
        </w:rPr>
        <w:t>d at the end of her second period of penal servitude. She served the full period of her sentence for the first period of penal servitude, and therefore no licen</w:t>
      </w:r>
      <w:r w:rsidR="001D6A31" w:rsidRPr="00D00EB9">
        <w:rPr>
          <w:rFonts w:ascii="Arial" w:hAnsi="Arial" w:cs="Arial"/>
          <w:sz w:val="24"/>
          <w:szCs w:val="24"/>
        </w:rPr>
        <w:t>c</w:t>
      </w:r>
      <w:r w:rsidRPr="00D00EB9">
        <w:rPr>
          <w:rFonts w:ascii="Arial" w:hAnsi="Arial" w:cs="Arial"/>
          <w:sz w:val="24"/>
          <w:szCs w:val="24"/>
        </w:rPr>
        <w:t xml:space="preserve">e </w:t>
      </w:r>
      <w:r w:rsidRPr="00D00EB9">
        <w:rPr>
          <w:rFonts w:ascii="Arial" w:hAnsi="Arial" w:cs="Arial"/>
          <w:sz w:val="24"/>
          <w:szCs w:val="24"/>
        </w:rPr>
        <w:lastRenderedPageBreak/>
        <w:t>record was created. If she had not been reconvicted, sentenced to penal servitude, and been released on conditional licence, we would not know anything about the poor and disrupted life of Julia Hyland.</w:t>
      </w:r>
    </w:p>
    <w:p w:rsidR="00F34CA4" w:rsidRDefault="00F34CA4" w:rsidP="0058654F">
      <w:pPr>
        <w:spacing w:after="0" w:line="480" w:lineRule="auto"/>
        <w:contextualSpacing/>
        <w:jc w:val="both"/>
        <w:rPr>
          <w:rFonts w:ascii="Arial" w:hAnsi="Arial" w:cs="Arial"/>
          <w:sz w:val="24"/>
          <w:szCs w:val="24"/>
        </w:rPr>
      </w:pPr>
    </w:p>
    <w:p w:rsidR="00F34CA4" w:rsidRPr="00D00EB9" w:rsidRDefault="00F34CA4" w:rsidP="0058654F">
      <w:pPr>
        <w:spacing w:after="0" w:line="480" w:lineRule="auto"/>
        <w:contextualSpacing/>
        <w:jc w:val="both"/>
        <w:rPr>
          <w:rFonts w:ascii="Arial" w:hAnsi="Arial" w:cs="Arial"/>
          <w:sz w:val="24"/>
          <w:szCs w:val="24"/>
        </w:rPr>
      </w:pPr>
    </w:p>
    <w:sectPr w:rsidR="00F34CA4" w:rsidRPr="00D00EB9" w:rsidSect="005F5EB5">
      <w:footerReference w:type="default" r:id="rId7"/>
      <w:endnotePr>
        <w:numFmt w:val="decimal"/>
      </w:endnotePr>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EE5" w:rsidRDefault="00182EE5">
      <w:pPr>
        <w:spacing w:after="0" w:line="240" w:lineRule="auto"/>
      </w:pPr>
      <w:r>
        <w:separator/>
      </w:r>
    </w:p>
  </w:endnote>
  <w:endnote w:type="continuationSeparator" w:id="0">
    <w:p w:rsidR="00182EE5" w:rsidRDefault="00182EE5">
      <w:pPr>
        <w:spacing w:after="0" w:line="240" w:lineRule="auto"/>
      </w:pPr>
      <w:r>
        <w:continuationSeparator/>
      </w:r>
    </w:p>
  </w:endnote>
  <w:endnote w:id="1">
    <w:p w:rsidR="00110F2E" w:rsidRPr="00110F2E" w:rsidRDefault="00110F2E" w:rsidP="00110F2E">
      <w:pPr>
        <w:pStyle w:val="EndnoteText"/>
        <w:spacing w:line="480" w:lineRule="auto"/>
        <w:rPr>
          <w:rFonts w:ascii="Arial" w:hAnsi="Arial" w:cs="Arial"/>
        </w:rPr>
      </w:pPr>
      <w:r w:rsidRPr="00110F2E">
        <w:rPr>
          <w:rStyle w:val="EndnoteReference"/>
          <w:rFonts w:ascii="Arial" w:hAnsi="Arial" w:cs="Arial"/>
        </w:rPr>
        <w:endnoteRef/>
      </w:r>
      <w:r w:rsidRPr="00110F2E">
        <w:rPr>
          <w:rFonts w:ascii="Arial" w:hAnsi="Arial" w:cs="Arial"/>
        </w:rPr>
        <w:t xml:space="preserve"> The National Archives (hereafter TNA) Prison Commission Records, Female Licenses (hereafter PCOM</w:t>
      </w:r>
      <w:r w:rsidR="00B61F11">
        <w:rPr>
          <w:rFonts w:ascii="Arial" w:hAnsi="Arial" w:cs="Arial"/>
        </w:rPr>
        <w:t>)</w:t>
      </w:r>
      <w:r w:rsidRPr="00110F2E">
        <w:rPr>
          <w:rFonts w:ascii="Arial" w:hAnsi="Arial" w:cs="Arial"/>
        </w:rPr>
        <w:t xml:space="preserve"> 4/71/9. All subsequent details of Julia’s prison records are taken from this source.</w:t>
      </w:r>
      <w:r w:rsidR="00852A82">
        <w:rPr>
          <w:rFonts w:ascii="Arial" w:hAnsi="Arial" w:cs="Arial"/>
        </w:rPr>
        <w:t xml:space="preserve">  The authors would also like to thank Dr David Cox (University of Wolverhampton) for his assistance with this research.</w:t>
      </w:r>
    </w:p>
  </w:endnote>
  <w:endnote w:id="2">
    <w:p w:rsidR="00B61F11" w:rsidRPr="0058654F" w:rsidRDefault="00B61F11" w:rsidP="0058654F">
      <w:pPr>
        <w:autoSpaceDE w:val="0"/>
        <w:autoSpaceDN w:val="0"/>
        <w:adjustRightInd w:val="0"/>
        <w:spacing w:after="0" w:line="480" w:lineRule="auto"/>
        <w:jc w:val="both"/>
        <w:rPr>
          <w:rFonts w:ascii="Arial" w:hAnsi="Arial" w:cs="Arial"/>
          <w:color w:val="000000"/>
          <w:sz w:val="24"/>
          <w:szCs w:val="24"/>
        </w:rPr>
      </w:pPr>
      <w:r w:rsidRPr="0058654F">
        <w:rPr>
          <w:rStyle w:val="EndnoteReference"/>
          <w:rFonts w:ascii="Arial" w:hAnsi="Arial" w:cs="Arial"/>
          <w:sz w:val="24"/>
          <w:szCs w:val="24"/>
        </w:rPr>
        <w:endnoteRef/>
      </w:r>
      <w:r w:rsidRPr="0058654F">
        <w:rPr>
          <w:rFonts w:ascii="Arial" w:hAnsi="Arial" w:cs="Arial"/>
          <w:sz w:val="24"/>
          <w:szCs w:val="24"/>
        </w:rPr>
        <w:t xml:space="preserve"> </w:t>
      </w:r>
      <w:r>
        <w:rPr>
          <w:rFonts w:ascii="Arial" w:hAnsi="Arial" w:cs="Arial"/>
          <w:sz w:val="24"/>
          <w:szCs w:val="24"/>
        </w:rPr>
        <w:t xml:space="preserve">I. </w:t>
      </w:r>
      <w:r w:rsidRPr="0058654F">
        <w:rPr>
          <w:rFonts w:ascii="Arial" w:hAnsi="Arial" w:cs="Arial"/>
          <w:color w:val="000000"/>
          <w:sz w:val="24"/>
          <w:szCs w:val="24"/>
        </w:rPr>
        <w:t xml:space="preserve">Szijártó (2002) ‘Four Arguments for Microhistory’, </w:t>
      </w:r>
      <w:r w:rsidRPr="0058654F">
        <w:rPr>
          <w:rFonts w:ascii="Arial" w:hAnsi="Arial" w:cs="Arial"/>
          <w:i/>
          <w:color w:val="000000"/>
          <w:sz w:val="24"/>
          <w:szCs w:val="24"/>
        </w:rPr>
        <w:t>Rethinking History: The Journal of Theory and Practice</w:t>
      </w:r>
      <w:r w:rsidRPr="0058654F">
        <w:rPr>
          <w:rFonts w:ascii="Arial" w:hAnsi="Arial" w:cs="Arial"/>
          <w:color w:val="000000"/>
          <w:sz w:val="24"/>
          <w:szCs w:val="24"/>
        </w:rPr>
        <w:t xml:space="preserve">, </w:t>
      </w:r>
      <w:r>
        <w:rPr>
          <w:rFonts w:ascii="Arial" w:hAnsi="Arial" w:cs="Arial"/>
          <w:color w:val="000000"/>
          <w:sz w:val="24"/>
          <w:szCs w:val="24"/>
        </w:rPr>
        <w:t xml:space="preserve">Vol. </w:t>
      </w:r>
      <w:r w:rsidRPr="0058654F">
        <w:rPr>
          <w:rFonts w:ascii="Arial" w:hAnsi="Arial" w:cs="Arial"/>
          <w:color w:val="000000"/>
          <w:sz w:val="24"/>
          <w:szCs w:val="24"/>
        </w:rPr>
        <w:t>6</w:t>
      </w:r>
      <w:r>
        <w:rPr>
          <w:rFonts w:ascii="Arial" w:hAnsi="Arial" w:cs="Arial"/>
          <w:color w:val="000000"/>
          <w:sz w:val="24"/>
          <w:szCs w:val="24"/>
        </w:rPr>
        <w:t xml:space="preserve">, No. </w:t>
      </w:r>
      <w:r w:rsidRPr="0058654F">
        <w:rPr>
          <w:rFonts w:ascii="Arial" w:hAnsi="Arial" w:cs="Arial"/>
          <w:color w:val="000000"/>
          <w:sz w:val="24"/>
          <w:szCs w:val="24"/>
        </w:rPr>
        <w:t xml:space="preserve">2, </w:t>
      </w:r>
      <w:r>
        <w:rPr>
          <w:rFonts w:ascii="Arial" w:hAnsi="Arial" w:cs="Arial"/>
          <w:color w:val="000000"/>
          <w:sz w:val="24"/>
          <w:szCs w:val="24"/>
        </w:rPr>
        <w:t xml:space="preserve">pp. </w:t>
      </w:r>
      <w:r w:rsidRPr="0058654F">
        <w:rPr>
          <w:rFonts w:ascii="Arial" w:hAnsi="Arial" w:cs="Arial"/>
          <w:color w:val="000000"/>
          <w:sz w:val="24"/>
          <w:szCs w:val="24"/>
        </w:rPr>
        <w:t>209-215.</w:t>
      </w:r>
    </w:p>
  </w:endnote>
  <w:endnote w:id="3">
    <w:p w:rsidR="00110F2E" w:rsidRPr="00110F2E" w:rsidRDefault="00B61F11" w:rsidP="00110F2E">
      <w:pPr>
        <w:pStyle w:val="EndnoteText"/>
        <w:spacing w:line="480" w:lineRule="auto"/>
        <w:rPr>
          <w:rFonts w:ascii="Arial" w:hAnsi="Arial" w:cs="Arial"/>
        </w:rPr>
      </w:pPr>
      <w:r>
        <w:rPr>
          <w:rStyle w:val="EndnoteReference"/>
        </w:rPr>
        <w:endnoteRef/>
      </w:r>
      <w:r>
        <w:t xml:space="preserve"> </w:t>
      </w:r>
      <w:r w:rsidRPr="0058654F">
        <w:rPr>
          <w:rFonts w:ascii="Arial" w:hAnsi="Arial" w:cs="Arial"/>
        </w:rPr>
        <w:t xml:space="preserve">1878-79 [C.2368] [C.2368-I] [C.2368-II] Penal Servitude Acts Commission. </w:t>
      </w:r>
      <w:r w:rsidRPr="0058654F">
        <w:rPr>
          <w:rFonts w:ascii="Arial" w:hAnsi="Arial" w:cs="Arial"/>
          <w:i/>
        </w:rPr>
        <w:t>Report of the commissioners appointed to inquire into the working of the penal servitude acts</w:t>
      </w:r>
      <w:r w:rsidRPr="0058654F">
        <w:rPr>
          <w:rFonts w:ascii="Arial" w:hAnsi="Arial" w:cs="Arial"/>
        </w:rPr>
        <w:t xml:space="preserve">. </w:t>
      </w:r>
      <w:r w:rsidRPr="0058654F">
        <w:rPr>
          <w:rFonts w:ascii="Arial" w:hAnsi="Arial" w:cs="Arial"/>
          <w:i/>
        </w:rPr>
        <w:t>Vol. I. -Commissions and report</w:t>
      </w:r>
      <w:r w:rsidRPr="0058654F">
        <w:rPr>
          <w:rFonts w:ascii="Arial" w:hAnsi="Arial" w:cs="Arial"/>
        </w:rPr>
        <w:t>, pp.</w:t>
      </w:r>
      <w:r>
        <w:rPr>
          <w:rFonts w:ascii="Arial" w:hAnsi="Arial" w:cs="Arial"/>
        </w:rPr>
        <w:t xml:space="preserve"> 7-10.</w:t>
      </w:r>
    </w:p>
  </w:endnote>
  <w:endnote w:id="4">
    <w:p w:rsidR="00110F2E" w:rsidRDefault="00B61F11" w:rsidP="00110F2E">
      <w:pPr>
        <w:pStyle w:val="EndnoteText"/>
        <w:spacing w:line="480" w:lineRule="auto"/>
      </w:pPr>
      <w:r>
        <w:rPr>
          <w:rStyle w:val="EndnoteReference"/>
        </w:rPr>
        <w:endnoteRef/>
      </w:r>
      <w:r>
        <w:t xml:space="preserve"> </w:t>
      </w:r>
      <w:r w:rsidRPr="0058654F">
        <w:rPr>
          <w:rFonts w:ascii="Arial" w:hAnsi="Arial" w:cs="Arial"/>
        </w:rPr>
        <w:t xml:space="preserve">1878-79 [C.2368] [C.2368-I] [C.2368-II] Penal Servitude Acts Commission. </w:t>
      </w:r>
      <w:r w:rsidRPr="0058654F">
        <w:rPr>
          <w:rFonts w:ascii="Arial" w:hAnsi="Arial" w:cs="Arial"/>
          <w:i/>
        </w:rPr>
        <w:t>Report of the commissioners appointed to inquire into the working of the penal servitude acts</w:t>
      </w:r>
      <w:r w:rsidRPr="0058654F">
        <w:rPr>
          <w:rFonts w:ascii="Arial" w:hAnsi="Arial" w:cs="Arial"/>
        </w:rPr>
        <w:t xml:space="preserve">. </w:t>
      </w:r>
      <w:r w:rsidRPr="0058654F">
        <w:rPr>
          <w:rFonts w:ascii="Arial" w:hAnsi="Arial" w:cs="Arial"/>
          <w:i/>
        </w:rPr>
        <w:t>Vol. I. -Commissions and report</w:t>
      </w:r>
      <w:r w:rsidRPr="0058654F">
        <w:rPr>
          <w:rFonts w:ascii="Arial" w:hAnsi="Arial" w:cs="Arial"/>
        </w:rPr>
        <w:t>, pp.</w:t>
      </w:r>
      <w:r>
        <w:rPr>
          <w:rFonts w:ascii="Arial" w:hAnsi="Arial" w:cs="Arial"/>
        </w:rPr>
        <w:t xml:space="preserve"> 7-10.</w:t>
      </w:r>
    </w:p>
  </w:endnote>
  <w:endnote w:id="5">
    <w:p w:rsidR="00110F2E" w:rsidRPr="00110F2E" w:rsidRDefault="00110F2E" w:rsidP="00110F2E">
      <w:pPr>
        <w:spacing w:after="0" w:line="480" w:lineRule="auto"/>
        <w:jc w:val="both"/>
        <w:rPr>
          <w:rFonts w:ascii="Arial" w:hAnsi="Arial" w:cs="Arial"/>
          <w:i/>
        </w:rPr>
      </w:pPr>
      <w:r w:rsidRPr="00110F2E">
        <w:rPr>
          <w:rStyle w:val="EndnoteReference"/>
          <w:rFonts w:ascii="Arial" w:hAnsi="Arial" w:cs="Arial"/>
          <w:sz w:val="24"/>
          <w:szCs w:val="24"/>
        </w:rPr>
        <w:endnoteRef/>
      </w:r>
      <w:r w:rsidRPr="00110F2E">
        <w:rPr>
          <w:rFonts w:ascii="Arial" w:hAnsi="Arial" w:cs="Arial"/>
          <w:sz w:val="24"/>
          <w:szCs w:val="24"/>
        </w:rPr>
        <w:t xml:space="preserve"> H. Johnston and B. Godfrey (2013) </w:t>
      </w:r>
      <w:r w:rsidRPr="00110F2E">
        <w:rPr>
          <w:rFonts w:ascii="Arial" w:hAnsi="Arial" w:cs="Arial"/>
          <w:i/>
          <w:sz w:val="24"/>
          <w:szCs w:val="24"/>
        </w:rPr>
        <w:t xml:space="preserve">The Costs of Imprisonment: A Longitudinal Study, ESRC End of Award Report, RES-062-23-3102, </w:t>
      </w:r>
      <w:r w:rsidRPr="00110F2E">
        <w:rPr>
          <w:rFonts w:ascii="Arial" w:hAnsi="Arial" w:cs="Arial"/>
          <w:sz w:val="24"/>
          <w:szCs w:val="24"/>
        </w:rPr>
        <w:t>Swindon: ESRC.</w:t>
      </w:r>
    </w:p>
  </w:endnote>
  <w:endnote w:id="6">
    <w:p w:rsidR="00110F2E" w:rsidRDefault="00B61F11" w:rsidP="00110F2E">
      <w:pPr>
        <w:pStyle w:val="EndnoteText"/>
        <w:spacing w:line="480" w:lineRule="auto"/>
      </w:pPr>
      <w:r>
        <w:rPr>
          <w:rStyle w:val="EndnoteReference"/>
        </w:rPr>
        <w:endnoteRef/>
      </w:r>
      <w:r>
        <w:t xml:space="preserve"> </w:t>
      </w:r>
      <w:r w:rsidRPr="0058654F">
        <w:rPr>
          <w:rFonts w:ascii="Arial" w:hAnsi="Arial" w:cs="Arial"/>
        </w:rPr>
        <w:t xml:space="preserve">1878-79 [C.2368] [C.2368-I] [C.2368-II] Penal Servitude Acts Commission. </w:t>
      </w:r>
      <w:r w:rsidRPr="0058654F">
        <w:rPr>
          <w:rFonts w:ascii="Arial" w:hAnsi="Arial" w:cs="Arial"/>
          <w:i/>
        </w:rPr>
        <w:t>Report of the commissioners appointed to inquire into the working of the penal servitude acts</w:t>
      </w:r>
      <w:r w:rsidRPr="0058654F">
        <w:rPr>
          <w:rFonts w:ascii="Arial" w:hAnsi="Arial" w:cs="Arial"/>
        </w:rPr>
        <w:t xml:space="preserve">. </w:t>
      </w:r>
      <w:r w:rsidRPr="0058654F">
        <w:rPr>
          <w:rFonts w:ascii="Arial" w:hAnsi="Arial" w:cs="Arial"/>
          <w:i/>
        </w:rPr>
        <w:t>Vol. I. -Commissions and report</w:t>
      </w:r>
      <w:r w:rsidRPr="0058654F">
        <w:rPr>
          <w:rFonts w:ascii="Arial" w:hAnsi="Arial" w:cs="Arial"/>
        </w:rPr>
        <w:t>, pp.</w:t>
      </w:r>
      <w:r>
        <w:rPr>
          <w:rFonts w:ascii="Arial" w:hAnsi="Arial" w:cs="Arial"/>
        </w:rPr>
        <w:t xml:space="preserve"> 11-13.</w:t>
      </w:r>
    </w:p>
  </w:endnote>
  <w:endnote w:id="7">
    <w:p w:rsidR="00B61F11" w:rsidRPr="0058654F" w:rsidRDefault="00B61F11" w:rsidP="0058654F">
      <w:pPr>
        <w:spacing w:after="0" w:line="480" w:lineRule="auto"/>
        <w:jc w:val="both"/>
        <w:rPr>
          <w:rFonts w:ascii="Arial" w:hAnsi="Arial" w:cs="Arial"/>
          <w:bCs/>
          <w:sz w:val="24"/>
          <w:szCs w:val="24"/>
        </w:rPr>
      </w:pPr>
      <w:r w:rsidRPr="0058654F">
        <w:rPr>
          <w:rStyle w:val="EndnoteReference"/>
          <w:rFonts w:ascii="Arial" w:hAnsi="Arial" w:cs="Arial"/>
          <w:sz w:val="24"/>
          <w:szCs w:val="24"/>
        </w:rPr>
        <w:endnoteRef/>
      </w:r>
      <w:r w:rsidRPr="0058654F">
        <w:rPr>
          <w:rFonts w:ascii="Arial" w:hAnsi="Arial" w:cs="Arial"/>
          <w:sz w:val="24"/>
          <w:szCs w:val="24"/>
        </w:rPr>
        <w:t xml:space="preserve"> </w:t>
      </w:r>
      <w:r>
        <w:rPr>
          <w:rFonts w:ascii="Arial" w:hAnsi="Arial" w:cs="Arial"/>
          <w:sz w:val="24"/>
          <w:szCs w:val="24"/>
        </w:rPr>
        <w:t xml:space="preserve">J. </w:t>
      </w:r>
      <w:r w:rsidRPr="0058654F">
        <w:rPr>
          <w:rFonts w:ascii="Arial" w:hAnsi="Arial" w:cs="Arial"/>
          <w:bCs/>
          <w:sz w:val="24"/>
          <w:szCs w:val="24"/>
        </w:rPr>
        <w:t xml:space="preserve">Davis (1980) ‘The London </w:t>
      </w:r>
      <w:r w:rsidRPr="0058654F">
        <w:rPr>
          <w:rFonts w:ascii="Arial" w:hAnsi="Arial" w:cs="Arial"/>
          <w:bCs/>
          <w:sz w:val="24"/>
          <w:szCs w:val="24"/>
        </w:rPr>
        <w:t xml:space="preserve">Garotting Panic of 1862: A Moral Panic and the creation of a Criminal Class in mid-Victorian England’ in V.A.C. Gatrell, B. Lenman and G. Parker (eds) </w:t>
      </w:r>
      <w:r w:rsidRPr="0058654F">
        <w:rPr>
          <w:rFonts w:ascii="Arial" w:hAnsi="Arial" w:cs="Arial"/>
          <w:bCs/>
          <w:i/>
          <w:sz w:val="24"/>
          <w:szCs w:val="24"/>
        </w:rPr>
        <w:t>Crime and the Law: A Social History of Crime in Western Europe since 1500</w:t>
      </w:r>
      <w:r>
        <w:rPr>
          <w:rFonts w:ascii="Arial" w:hAnsi="Arial" w:cs="Arial"/>
          <w:bCs/>
          <w:sz w:val="24"/>
          <w:szCs w:val="24"/>
        </w:rPr>
        <w:t xml:space="preserve"> (</w:t>
      </w:r>
      <w:r w:rsidRPr="0058654F">
        <w:rPr>
          <w:rFonts w:ascii="Arial" w:hAnsi="Arial" w:cs="Arial"/>
          <w:bCs/>
          <w:sz w:val="24"/>
          <w:szCs w:val="24"/>
        </w:rPr>
        <w:t>London: Europa</w:t>
      </w:r>
      <w:r>
        <w:rPr>
          <w:rFonts w:ascii="Arial" w:hAnsi="Arial" w:cs="Arial"/>
          <w:bCs/>
          <w:sz w:val="24"/>
          <w:szCs w:val="24"/>
        </w:rPr>
        <w:t>), pp.</w:t>
      </w:r>
      <w:r w:rsidRPr="0058654F">
        <w:rPr>
          <w:rFonts w:ascii="Arial" w:hAnsi="Arial" w:cs="Arial"/>
          <w:bCs/>
          <w:sz w:val="24"/>
          <w:szCs w:val="24"/>
        </w:rPr>
        <w:t xml:space="preserve"> 190-213; </w:t>
      </w:r>
      <w:r>
        <w:rPr>
          <w:rFonts w:ascii="Arial" w:hAnsi="Arial" w:cs="Arial"/>
          <w:bCs/>
          <w:sz w:val="24"/>
          <w:szCs w:val="24"/>
        </w:rPr>
        <w:t xml:space="preserve">P. </w:t>
      </w:r>
      <w:r w:rsidRPr="0058654F">
        <w:rPr>
          <w:rFonts w:ascii="Arial" w:hAnsi="Arial" w:cs="Arial"/>
          <w:bCs/>
          <w:sz w:val="24"/>
          <w:szCs w:val="24"/>
        </w:rPr>
        <w:t xml:space="preserve">Bartrip (1981) ‘Public Opinion and Law Enforcement: The Ticket of Leave Scares in Mid-Victorian Britain’ in V. Bailey (ed.) </w:t>
      </w:r>
      <w:r w:rsidRPr="0058654F">
        <w:rPr>
          <w:rFonts w:ascii="Arial" w:hAnsi="Arial" w:cs="Arial"/>
          <w:bCs/>
          <w:i/>
          <w:sz w:val="24"/>
          <w:szCs w:val="24"/>
        </w:rPr>
        <w:t>Policing and Punishment in Nineteenth century Britain</w:t>
      </w:r>
      <w:r w:rsidRPr="0058654F">
        <w:rPr>
          <w:rFonts w:ascii="Arial" w:hAnsi="Arial" w:cs="Arial"/>
          <w:bCs/>
          <w:sz w:val="24"/>
          <w:szCs w:val="24"/>
        </w:rPr>
        <w:t xml:space="preserve"> </w:t>
      </w:r>
      <w:r>
        <w:rPr>
          <w:rFonts w:ascii="Arial" w:hAnsi="Arial" w:cs="Arial"/>
          <w:bCs/>
          <w:sz w:val="24"/>
          <w:szCs w:val="24"/>
        </w:rPr>
        <w:t>(</w:t>
      </w:r>
      <w:r w:rsidRPr="0058654F">
        <w:rPr>
          <w:rFonts w:ascii="Arial" w:hAnsi="Arial" w:cs="Arial"/>
          <w:bCs/>
          <w:sz w:val="24"/>
          <w:szCs w:val="24"/>
        </w:rPr>
        <w:t>London: Croom Helm</w:t>
      </w:r>
      <w:r>
        <w:rPr>
          <w:rFonts w:ascii="Arial" w:hAnsi="Arial" w:cs="Arial"/>
          <w:bCs/>
          <w:sz w:val="24"/>
          <w:szCs w:val="24"/>
        </w:rPr>
        <w:t>), pp.</w:t>
      </w:r>
      <w:r w:rsidRPr="0058654F">
        <w:rPr>
          <w:rFonts w:ascii="Arial" w:hAnsi="Arial" w:cs="Arial"/>
          <w:bCs/>
          <w:sz w:val="24"/>
          <w:szCs w:val="24"/>
        </w:rPr>
        <w:t xml:space="preserve"> 150-81</w:t>
      </w:r>
      <w:r>
        <w:rPr>
          <w:rFonts w:ascii="Arial" w:hAnsi="Arial" w:cs="Arial"/>
          <w:bCs/>
          <w:sz w:val="24"/>
          <w:szCs w:val="24"/>
        </w:rPr>
        <w:t xml:space="preserve"> and</w:t>
      </w:r>
      <w:r w:rsidRPr="0058654F">
        <w:rPr>
          <w:rFonts w:ascii="Arial" w:hAnsi="Arial" w:cs="Arial"/>
          <w:bCs/>
          <w:sz w:val="24"/>
          <w:szCs w:val="24"/>
        </w:rPr>
        <w:t xml:space="preserve"> </w:t>
      </w:r>
      <w:r>
        <w:rPr>
          <w:rFonts w:ascii="Arial" w:hAnsi="Arial" w:cs="Arial"/>
          <w:bCs/>
          <w:sz w:val="24"/>
          <w:szCs w:val="24"/>
        </w:rPr>
        <w:t xml:space="preserve">R.S. </w:t>
      </w:r>
      <w:r w:rsidRPr="0058654F">
        <w:rPr>
          <w:rFonts w:ascii="Arial" w:hAnsi="Arial" w:cs="Arial"/>
          <w:bCs/>
          <w:sz w:val="24"/>
          <w:szCs w:val="24"/>
        </w:rPr>
        <w:t xml:space="preserve">Sindall (1987) ‘The London </w:t>
      </w:r>
      <w:r>
        <w:rPr>
          <w:rFonts w:ascii="Arial" w:hAnsi="Arial" w:cs="Arial"/>
          <w:bCs/>
          <w:sz w:val="24"/>
          <w:szCs w:val="24"/>
        </w:rPr>
        <w:t>G</w:t>
      </w:r>
      <w:r w:rsidRPr="0058654F">
        <w:rPr>
          <w:rFonts w:ascii="Arial" w:hAnsi="Arial" w:cs="Arial"/>
          <w:bCs/>
          <w:sz w:val="24"/>
          <w:szCs w:val="24"/>
        </w:rPr>
        <w:t xml:space="preserve">arrotting </w:t>
      </w:r>
      <w:r>
        <w:rPr>
          <w:rFonts w:ascii="Arial" w:hAnsi="Arial" w:cs="Arial"/>
          <w:bCs/>
          <w:sz w:val="24"/>
          <w:szCs w:val="24"/>
        </w:rPr>
        <w:t>P</w:t>
      </w:r>
      <w:r w:rsidRPr="0058654F">
        <w:rPr>
          <w:rFonts w:ascii="Arial" w:hAnsi="Arial" w:cs="Arial"/>
          <w:bCs/>
          <w:sz w:val="24"/>
          <w:szCs w:val="24"/>
        </w:rPr>
        <w:t xml:space="preserve">anics of 1856 and 1862’, </w:t>
      </w:r>
      <w:r w:rsidRPr="0058654F">
        <w:rPr>
          <w:rFonts w:ascii="Arial" w:hAnsi="Arial" w:cs="Arial"/>
          <w:bCs/>
          <w:i/>
          <w:sz w:val="24"/>
          <w:szCs w:val="24"/>
        </w:rPr>
        <w:t>Social History</w:t>
      </w:r>
      <w:r w:rsidRPr="0058654F">
        <w:rPr>
          <w:rFonts w:ascii="Arial" w:hAnsi="Arial" w:cs="Arial"/>
          <w:bCs/>
          <w:sz w:val="24"/>
          <w:szCs w:val="24"/>
        </w:rPr>
        <w:t xml:space="preserve">, </w:t>
      </w:r>
      <w:r>
        <w:rPr>
          <w:rFonts w:ascii="Arial" w:hAnsi="Arial" w:cs="Arial"/>
          <w:bCs/>
          <w:sz w:val="24"/>
          <w:szCs w:val="24"/>
        </w:rPr>
        <w:t xml:space="preserve">Vol. </w:t>
      </w:r>
      <w:r w:rsidRPr="0058654F">
        <w:rPr>
          <w:rFonts w:ascii="Arial" w:hAnsi="Arial" w:cs="Arial"/>
          <w:bCs/>
          <w:sz w:val="24"/>
          <w:szCs w:val="24"/>
        </w:rPr>
        <w:t xml:space="preserve">12, </w:t>
      </w:r>
      <w:r>
        <w:rPr>
          <w:rFonts w:ascii="Arial" w:hAnsi="Arial" w:cs="Arial"/>
          <w:bCs/>
          <w:sz w:val="24"/>
          <w:szCs w:val="24"/>
        </w:rPr>
        <w:t xml:space="preserve">No. </w:t>
      </w:r>
      <w:r w:rsidRPr="0058654F">
        <w:rPr>
          <w:rFonts w:ascii="Arial" w:hAnsi="Arial" w:cs="Arial"/>
          <w:bCs/>
          <w:sz w:val="24"/>
          <w:szCs w:val="24"/>
        </w:rPr>
        <w:t>3</w:t>
      </w:r>
      <w:r>
        <w:rPr>
          <w:rFonts w:ascii="Arial" w:hAnsi="Arial" w:cs="Arial"/>
          <w:bCs/>
          <w:sz w:val="24"/>
          <w:szCs w:val="24"/>
        </w:rPr>
        <w:t>, pp.</w:t>
      </w:r>
      <w:r w:rsidRPr="0058654F">
        <w:rPr>
          <w:rFonts w:ascii="Arial" w:hAnsi="Arial" w:cs="Arial"/>
          <w:bCs/>
          <w:sz w:val="24"/>
          <w:szCs w:val="24"/>
        </w:rPr>
        <w:t xml:space="preserve"> 351-9.</w:t>
      </w:r>
    </w:p>
  </w:endnote>
  <w:endnote w:id="8">
    <w:p w:rsidR="00B61F11" w:rsidRPr="0058654F" w:rsidRDefault="00B61F11" w:rsidP="0058654F">
      <w:pPr>
        <w:spacing w:after="0" w:line="480" w:lineRule="auto"/>
        <w:jc w:val="both"/>
        <w:rPr>
          <w:rFonts w:ascii="Arial" w:hAnsi="Arial" w:cs="Arial"/>
          <w:sz w:val="24"/>
          <w:szCs w:val="24"/>
        </w:rPr>
      </w:pPr>
      <w:r w:rsidRPr="0058654F">
        <w:rPr>
          <w:rStyle w:val="EndnoteReference"/>
          <w:rFonts w:ascii="Arial" w:hAnsi="Arial" w:cs="Arial"/>
          <w:sz w:val="24"/>
          <w:szCs w:val="24"/>
        </w:rPr>
        <w:endnoteRef/>
      </w:r>
      <w:r w:rsidRPr="0058654F">
        <w:rPr>
          <w:rFonts w:ascii="Arial" w:hAnsi="Arial" w:cs="Arial"/>
          <w:sz w:val="24"/>
          <w:szCs w:val="24"/>
        </w:rPr>
        <w:t xml:space="preserve"> </w:t>
      </w:r>
      <w:r>
        <w:rPr>
          <w:rFonts w:ascii="Arial" w:hAnsi="Arial" w:cs="Arial"/>
          <w:sz w:val="24"/>
          <w:szCs w:val="24"/>
        </w:rPr>
        <w:t xml:space="preserve">B. </w:t>
      </w:r>
      <w:r w:rsidRPr="0058654F">
        <w:rPr>
          <w:rFonts w:ascii="Arial" w:hAnsi="Arial" w:cs="Arial"/>
          <w:sz w:val="24"/>
          <w:szCs w:val="24"/>
        </w:rPr>
        <w:t xml:space="preserve">Godfrey, </w:t>
      </w:r>
      <w:r>
        <w:rPr>
          <w:rFonts w:ascii="Arial" w:hAnsi="Arial" w:cs="Arial"/>
          <w:sz w:val="24"/>
          <w:szCs w:val="24"/>
        </w:rPr>
        <w:t>D.J.</w:t>
      </w:r>
      <w:r w:rsidRPr="0058654F">
        <w:rPr>
          <w:rFonts w:ascii="Arial" w:hAnsi="Arial" w:cs="Arial"/>
          <w:sz w:val="24"/>
          <w:szCs w:val="24"/>
        </w:rPr>
        <w:t xml:space="preserve"> Cox and S. </w:t>
      </w:r>
      <w:r w:rsidRPr="0058654F">
        <w:rPr>
          <w:rFonts w:ascii="Arial" w:hAnsi="Arial" w:cs="Arial"/>
          <w:sz w:val="24"/>
          <w:szCs w:val="24"/>
        </w:rPr>
        <w:t>Farrall (2007)</w:t>
      </w:r>
      <w:r w:rsidRPr="0058654F">
        <w:rPr>
          <w:rFonts w:ascii="Arial" w:hAnsi="Arial" w:cs="Arial"/>
          <w:i/>
          <w:sz w:val="24"/>
          <w:szCs w:val="24"/>
        </w:rPr>
        <w:t xml:space="preserve"> Criminal Lives: Family, Employment and Offending</w:t>
      </w:r>
      <w:r>
        <w:rPr>
          <w:rFonts w:ascii="Arial" w:hAnsi="Arial" w:cs="Arial"/>
          <w:sz w:val="24"/>
          <w:szCs w:val="24"/>
        </w:rPr>
        <w:t xml:space="preserve"> (</w:t>
      </w:r>
      <w:r w:rsidRPr="0058654F">
        <w:rPr>
          <w:rFonts w:ascii="Arial" w:hAnsi="Arial" w:cs="Arial"/>
          <w:sz w:val="24"/>
          <w:szCs w:val="24"/>
        </w:rPr>
        <w:t>Oxford: Oxford University Press</w:t>
      </w:r>
      <w:r>
        <w:rPr>
          <w:rFonts w:ascii="Arial" w:hAnsi="Arial" w:cs="Arial"/>
          <w:sz w:val="24"/>
          <w:szCs w:val="24"/>
        </w:rPr>
        <w:t xml:space="preserve">) and B. </w:t>
      </w:r>
      <w:r w:rsidRPr="0058654F">
        <w:rPr>
          <w:rFonts w:ascii="Arial" w:hAnsi="Arial" w:cs="Arial"/>
          <w:sz w:val="24"/>
          <w:szCs w:val="24"/>
        </w:rPr>
        <w:t xml:space="preserve">Godfrey, </w:t>
      </w:r>
      <w:r>
        <w:rPr>
          <w:rFonts w:ascii="Arial" w:hAnsi="Arial" w:cs="Arial"/>
          <w:sz w:val="24"/>
          <w:szCs w:val="24"/>
        </w:rPr>
        <w:t>D.J.</w:t>
      </w:r>
      <w:r w:rsidRPr="0058654F">
        <w:rPr>
          <w:rFonts w:ascii="Arial" w:hAnsi="Arial" w:cs="Arial"/>
          <w:sz w:val="24"/>
          <w:szCs w:val="24"/>
        </w:rPr>
        <w:t xml:space="preserve"> Cox and S. Farrall (2010) </w:t>
      </w:r>
      <w:r w:rsidRPr="0058654F">
        <w:rPr>
          <w:rFonts w:ascii="Arial" w:hAnsi="Arial" w:cs="Arial"/>
          <w:i/>
          <w:sz w:val="24"/>
          <w:szCs w:val="24"/>
        </w:rPr>
        <w:t>Serious Offenders</w:t>
      </w:r>
      <w:r>
        <w:rPr>
          <w:rFonts w:ascii="Arial" w:hAnsi="Arial" w:cs="Arial"/>
          <w:i/>
          <w:sz w:val="24"/>
          <w:szCs w:val="24"/>
        </w:rPr>
        <w:t xml:space="preserve"> </w:t>
      </w:r>
      <w:r>
        <w:rPr>
          <w:rFonts w:ascii="Arial" w:hAnsi="Arial" w:cs="Arial"/>
          <w:sz w:val="24"/>
          <w:szCs w:val="24"/>
        </w:rPr>
        <w:t>(</w:t>
      </w:r>
      <w:r w:rsidRPr="0058654F">
        <w:rPr>
          <w:rFonts w:ascii="Arial" w:hAnsi="Arial" w:cs="Arial"/>
          <w:sz w:val="24"/>
          <w:szCs w:val="24"/>
        </w:rPr>
        <w:t>Oxford: Oxford University Press</w:t>
      </w:r>
      <w:r>
        <w:rPr>
          <w:rFonts w:ascii="Arial" w:hAnsi="Arial" w:cs="Arial"/>
          <w:sz w:val="24"/>
          <w:szCs w:val="24"/>
        </w:rPr>
        <w:t>)</w:t>
      </w:r>
      <w:r w:rsidRPr="0058654F">
        <w:rPr>
          <w:rFonts w:ascii="Arial" w:hAnsi="Arial" w:cs="Arial"/>
          <w:sz w:val="24"/>
          <w:szCs w:val="24"/>
        </w:rPr>
        <w:t>.</w:t>
      </w:r>
    </w:p>
  </w:endnote>
  <w:endnote w:id="9">
    <w:p w:rsidR="00110F2E" w:rsidRPr="00110F2E" w:rsidRDefault="00110F2E" w:rsidP="00110F2E">
      <w:pPr>
        <w:pStyle w:val="EndnoteText"/>
        <w:spacing w:line="480" w:lineRule="auto"/>
        <w:rPr>
          <w:rFonts w:ascii="Arial" w:hAnsi="Arial" w:cs="Arial"/>
        </w:rPr>
      </w:pPr>
      <w:r w:rsidRPr="00110F2E">
        <w:rPr>
          <w:rStyle w:val="EndnoteReference"/>
          <w:rFonts w:ascii="Arial" w:hAnsi="Arial" w:cs="Arial"/>
        </w:rPr>
        <w:endnoteRef/>
      </w:r>
      <w:r w:rsidRPr="00110F2E">
        <w:rPr>
          <w:rFonts w:ascii="Arial" w:hAnsi="Arial" w:cs="Arial"/>
        </w:rPr>
        <w:t xml:space="preserve"> Home Office</w:t>
      </w:r>
      <w:r w:rsidR="00B61F11">
        <w:rPr>
          <w:rFonts w:ascii="Arial" w:hAnsi="Arial" w:cs="Arial"/>
        </w:rPr>
        <w:t>,</w:t>
      </w:r>
      <w:r w:rsidRPr="00110F2E">
        <w:rPr>
          <w:rFonts w:ascii="Arial" w:hAnsi="Arial" w:cs="Arial"/>
        </w:rPr>
        <w:t xml:space="preserve"> Criminal Registers</w:t>
      </w:r>
      <w:r w:rsidR="00B61F11">
        <w:rPr>
          <w:rFonts w:ascii="Arial" w:hAnsi="Arial" w:cs="Arial"/>
        </w:rPr>
        <w:t xml:space="preserve">, </w:t>
      </w:r>
      <w:r w:rsidRPr="00110F2E">
        <w:rPr>
          <w:rFonts w:ascii="Arial" w:hAnsi="Arial" w:cs="Arial"/>
        </w:rPr>
        <w:t>HO26 and HO27</w:t>
      </w:r>
      <w:r w:rsidR="00B61F11">
        <w:rPr>
          <w:rFonts w:ascii="Arial" w:hAnsi="Arial" w:cs="Arial"/>
        </w:rPr>
        <w:t xml:space="preserve">, (hereafter </w:t>
      </w:r>
      <w:r w:rsidR="00A042DD">
        <w:rPr>
          <w:rFonts w:ascii="Arial" w:hAnsi="Arial" w:cs="Arial"/>
        </w:rPr>
        <w:t>HO Criminal</w:t>
      </w:r>
      <w:r w:rsidR="00B61F11">
        <w:rPr>
          <w:rFonts w:ascii="Arial" w:hAnsi="Arial" w:cs="Arial"/>
        </w:rPr>
        <w:t xml:space="preserve"> Registers), </w:t>
      </w:r>
      <w:r w:rsidRPr="00110F2E">
        <w:rPr>
          <w:rFonts w:ascii="Arial" w:hAnsi="Arial" w:cs="Arial"/>
        </w:rPr>
        <w:t>1805-1892</w:t>
      </w:r>
      <w:r w:rsidR="00B61F11">
        <w:rPr>
          <w:rFonts w:ascii="Arial" w:hAnsi="Arial" w:cs="Arial"/>
        </w:rPr>
        <w:t>.</w:t>
      </w:r>
    </w:p>
  </w:endnote>
  <w:endnote w:id="10">
    <w:p w:rsidR="00110F2E" w:rsidRPr="00110F2E" w:rsidRDefault="00110F2E" w:rsidP="00110F2E">
      <w:pPr>
        <w:pStyle w:val="EndnoteText"/>
        <w:spacing w:line="480" w:lineRule="auto"/>
        <w:rPr>
          <w:rFonts w:ascii="Arial" w:hAnsi="Arial" w:cs="Arial"/>
        </w:rPr>
      </w:pPr>
      <w:r w:rsidRPr="00110F2E">
        <w:rPr>
          <w:rStyle w:val="EndnoteReference"/>
          <w:rFonts w:ascii="Arial" w:hAnsi="Arial" w:cs="Arial"/>
        </w:rPr>
        <w:endnoteRef/>
      </w:r>
      <w:r w:rsidRPr="00110F2E">
        <w:rPr>
          <w:rFonts w:ascii="Arial" w:hAnsi="Arial" w:cs="Arial"/>
        </w:rPr>
        <w:t xml:space="preserve"> </w:t>
      </w:r>
      <w:r w:rsidR="00A042DD">
        <w:rPr>
          <w:rFonts w:ascii="Arial" w:hAnsi="Arial" w:cs="Arial"/>
        </w:rPr>
        <w:t xml:space="preserve">HO </w:t>
      </w:r>
      <w:r w:rsidRPr="00110F2E">
        <w:rPr>
          <w:rFonts w:ascii="Arial" w:hAnsi="Arial" w:cs="Arial"/>
        </w:rPr>
        <w:t>Criminal Registers</w:t>
      </w:r>
      <w:r w:rsidR="00B61F11">
        <w:rPr>
          <w:rFonts w:ascii="Arial" w:hAnsi="Arial" w:cs="Arial"/>
        </w:rPr>
        <w:t>,</w:t>
      </w:r>
      <w:r w:rsidRPr="00110F2E">
        <w:rPr>
          <w:rFonts w:ascii="Arial" w:hAnsi="Arial" w:cs="Arial"/>
        </w:rPr>
        <w:t xml:space="preserve"> 1805-1892</w:t>
      </w:r>
      <w:r w:rsidR="00B61F11">
        <w:rPr>
          <w:rFonts w:ascii="Arial" w:hAnsi="Arial" w:cs="Arial"/>
        </w:rPr>
        <w:t>.</w:t>
      </w:r>
    </w:p>
  </w:endnote>
  <w:endnote w:id="11">
    <w:p w:rsidR="00110F2E" w:rsidRDefault="00110F2E" w:rsidP="00110F2E">
      <w:pPr>
        <w:pStyle w:val="EndnoteText"/>
        <w:spacing w:line="480" w:lineRule="auto"/>
      </w:pPr>
      <w:r w:rsidRPr="00110F2E">
        <w:rPr>
          <w:rStyle w:val="EndnoteReference"/>
          <w:rFonts w:ascii="Arial" w:hAnsi="Arial" w:cs="Arial"/>
        </w:rPr>
        <w:endnoteRef/>
      </w:r>
      <w:r w:rsidR="00B61F11">
        <w:rPr>
          <w:rFonts w:ascii="Arial" w:hAnsi="Arial" w:cs="Arial"/>
        </w:rPr>
        <w:t xml:space="preserve"> </w:t>
      </w:r>
      <w:r w:rsidR="00A042DD">
        <w:rPr>
          <w:rFonts w:ascii="Arial" w:hAnsi="Arial" w:cs="Arial"/>
        </w:rPr>
        <w:t xml:space="preserve">HO </w:t>
      </w:r>
      <w:r w:rsidRPr="00110F2E">
        <w:rPr>
          <w:rFonts w:ascii="Arial" w:hAnsi="Arial" w:cs="Arial"/>
        </w:rPr>
        <w:t>Criminal Registers</w:t>
      </w:r>
      <w:r w:rsidR="00B61F11">
        <w:rPr>
          <w:rFonts w:ascii="Arial" w:hAnsi="Arial" w:cs="Arial"/>
        </w:rPr>
        <w:t>,</w:t>
      </w:r>
      <w:r w:rsidRPr="00110F2E">
        <w:rPr>
          <w:rFonts w:ascii="Arial" w:hAnsi="Arial" w:cs="Arial"/>
        </w:rPr>
        <w:t xml:space="preserve"> 1805-1892</w:t>
      </w:r>
      <w:r w:rsidR="00B61F11">
        <w:rPr>
          <w:rFonts w:ascii="Arial" w:hAnsi="Arial" w:cs="Arial"/>
        </w:rPr>
        <w:t>.</w:t>
      </w:r>
    </w:p>
  </w:endnote>
  <w:endnote w:id="12">
    <w:p w:rsidR="00B61F11" w:rsidRDefault="00110F2E" w:rsidP="00B61F11">
      <w:pPr>
        <w:pStyle w:val="EndnoteText"/>
        <w:rPr>
          <w:rFonts w:ascii="Arial" w:hAnsi="Arial" w:cs="Arial"/>
        </w:rPr>
      </w:pPr>
      <w:r w:rsidRPr="00110F2E">
        <w:rPr>
          <w:rStyle w:val="EndnoteReference"/>
          <w:rFonts w:ascii="Arial" w:hAnsi="Arial" w:cs="Arial"/>
        </w:rPr>
        <w:endnoteRef/>
      </w:r>
      <w:r w:rsidRPr="00110F2E">
        <w:rPr>
          <w:rFonts w:ascii="Arial" w:hAnsi="Arial" w:cs="Arial"/>
        </w:rPr>
        <w:t xml:space="preserve"> Manchester Prison Records, 1872.</w:t>
      </w:r>
    </w:p>
    <w:p w:rsidR="00B61F11" w:rsidRPr="00B61F11" w:rsidRDefault="00B61F11" w:rsidP="00B61F11">
      <w:pPr>
        <w:pStyle w:val="EndnoteText"/>
        <w:rPr>
          <w:rFonts w:ascii="Arial" w:hAnsi="Arial" w:cs="Arial"/>
        </w:rPr>
      </w:pPr>
    </w:p>
  </w:endnote>
  <w:endnote w:id="13">
    <w:p w:rsidR="00110F2E" w:rsidRPr="00110F2E" w:rsidRDefault="00110F2E" w:rsidP="00110F2E">
      <w:pPr>
        <w:pStyle w:val="EndnoteText"/>
        <w:spacing w:line="480" w:lineRule="auto"/>
        <w:rPr>
          <w:rFonts w:ascii="Arial" w:hAnsi="Arial" w:cs="Arial"/>
        </w:rPr>
      </w:pPr>
      <w:r w:rsidRPr="00110F2E">
        <w:rPr>
          <w:rStyle w:val="EndnoteReference"/>
          <w:rFonts w:ascii="Arial" w:hAnsi="Arial" w:cs="Arial"/>
        </w:rPr>
        <w:endnoteRef/>
      </w:r>
      <w:r w:rsidRPr="00110F2E">
        <w:rPr>
          <w:rFonts w:ascii="Arial" w:hAnsi="Arial" w:cs="Arial"/>
        </w:rPr>
        <w:t xml:space="preserve"> </w:t>
      </w:r>
      <w:r w:rsidR="00B61F11" w:rsidRPr="00B61F11">
        <w:rPr>
          <w:rFonts w:ascii="Arial" w:hAnsi="Arial" w:cs="Arial"/>
        </w:rPr>
        <w:t>Manchester Prison Records, 1872</w:t>
      </w:r>
    </w:p>
  </w:endnote>
  <w:endnote w:id="14">
    <w:p w:rsidR="00B61F11" w:rsidRPr="00B61F11" w:rsidRDefault="00110F2E">
      <w:pPr>
        <w:pStyle w:val="EndnoteText"/>
        <w:rPr>
          <w:rFonts w:ascii="Arial" w:hAnsi="Arial" w:cs="Arial"/>
        </w:rPr>
      </w:pPr>
      <w:r w:rsidRPr="00110F2E">
        <w:rPr>
          <w:rStyle w:val="EndnoteReference"/>
          <w:rFonts w:ascii="Arial" w:hAnsi="Arial" w:cs="Arial"/>
        </w:rPr>
        <w:endnoteRef/>
      </w:r>
      <w:r w:rsidRPr="00110F2E">
        <w:rPr>
          <w:rFonts w:ascii="Arial" w:hAnsi="Arial" w:cs="Arial"/>
        </w:rPr>
        <w:t xml:space="preserve"> </w:t>
      </w:r>
      <w:r w:rsidR="00B61F11" w:rsidRPr="00B61F11">
        <w:rPr>
          <w:rFonts w:ascii="Arial" w:hAnsi="Arial" w:cs="Arial"/>
        </w:rPr>
        <w:t>Manchester Prison Records, 1872</w:t>
      </w:r>
      <w:r w:rsidR="00B61F11">
        <w:rPr>
          <w:rFonts w:ascii="Arial" w:hAnsi="Arial" w:cs="Arial"/>
        </w:rPr>
        <w:t>.</w:t>
      </w:r>
    </w:p>
    <w:p w:rsidR="00B61F11" w:rsidRDefault="00B61F11">
      <w:pPr>
        <w:pStyle w:val="EndnoteText"/>
      </w:pPr>
    </w:p>
  </w:endnote>
  <w:endnote w:id="15">
    <w:p w:rsidR="00B61F11" w:rsidRPr="00A042DD" w:rsidRDefault="00110F2E">
      <w:pPr>
        <w:pStyle w:val="EndnoteText"/>
        <w:rPr>
          <w:rFonts w:ascii="Arial" w:hAnsi="Arial" w:cs="Arial"/>
        </w:rPr>
      </w:pPr>
      <w:r w:rsidRPr="00110F2E">
        <w:rPr>
          <w:rStyle w:val="EndnoteReference"/>
          <w:rFonts w:ascii="Arial" w:hAnsi="Arial" w:cs="Arial"/>
        </w:rPr>
        <w:endnoteRef/>
      </w:r>
      <w:r w:rsidRPr="00110F2E">
        <w:rPr>
          <w:rFonts w:ascii="Arial" w:hAnsi="Arial" w:cs="Arial"/>
        </w:rPr>
        <w:t xml:space="preserve"> HO </w:t>
      </w:r>
      <w:r w:rsidR="00B61F11" w:rsidRPr="00A042DD">
        <w:rPr>
          <w:rFonts w:ascii="Arial" w:hAnsi="Arial" w:cs="Arial"/>
        </w:rPr>
        <w:t>Criminal Registers, 1805-1892.</w:t>
      </w:r>
    </w:p>
    <w:p w:rsidR="00B61F11" w:rsidRDefault="00B61F11">
      <w:pPr>
        <w:pStyle w:val="EndnoteText"/>
      </w:pPr>
    </w:p>
  </w:endnote>
  <w:endnote w:id="16">
    <w:p w:rsidR="00B61F11" w:rsidRPr="0058654F" w:rsidRDefault="00B61F11" w:rsidP="0058654F">
      <w:pPr>
        <w:pStyle w:val="EndnoteText"/>
        <w:spacing w:line="480" w:lineRule="auto"/>
        <w:jc w:val="both"/>
        <w:rPr>
          <w:rFonts w:ascii="Arial" w:hAnsi="Arial" w:cs="Arial"/>
        </w:rPr>
      </w:pPr>
      <w:r w:rsidRPr="0058654F">
        <w:rPr>
          <w:rStyle w:val="EndnoteReference"/>
          <w:rFonts w:ascii="Arial" w:hAnsi="Arial" w:cs="Arial"/>
        </w:rPr>
        <w:endnoteRef/>
      </w:r>
      <w:r w:rsidRPr="0058654F">
        <w:rPr>
          <w:rFonts w:ascii="Arial" w:hAnsi="Arial" w:cs="Arial"/>
        </w:rPr>
        <w:t xml:space="preserve"> </w:t>
      </w:r>
      <w:r w:rsidRPr="0058654F">
        <w:rPr>
          <w:rFonts w:ascii="Arial" w:hAnsi="Arial" w:cs="Arial"/>
          <w:i/>
        </w:rPr>
        <w:t>Edinburgh Evening News</w:t>
      </w:r>
      <w:r w:rsidRPr="0058654F">
        <w:rPr>
          <w:rFonts w:ascii="Arial" w:hAnsi="Arial" w:cs="Arial"/>
        </w:rPr>
        <w:t>, 4</w:t>
      </w:r>
      <w:r w:rsidRPr="00C2578B">
        <w:rPr>
          <w:rFonts w:ascii="Arial" w:hAnsi="Arial" w:cs="Arial"/>
          <w:vertAlign w:val="superscript"/>
        </w:rPr>
        <w:t>th</w:t>
      </w:r>
      <w:r>
        <w:rPr>
          <w:rFonts w:ascii="Arial" w:hAnsi="Arial" w:cs="Arial"/>
        </w:rPr>
        <w:t xml:space="preserve"> </w:t>
      </w:r>
      <w:r w:rsidRPr="0058654F">
        <w:rPr>
          <w:rFonts w:ascii="Arial" w:hAnsi="Arial" w:cs="Arial"/>
        </w:rPr>
        <w:t>July 1874.</w:t>
      </w:r>
    </w:p>
  </w:endnote>
  <w:endnote w:id="17">
    <w:p w:rsidR="00B61F11" w:rsidRDefault="00B61F11">
      <w:pPr>
        <w:pStyle w:val="EndnoteText"/>
        <w:rPr>
          <w:rFonts w:ascii="Arial" w:hAnsi="Arial" w:cs="Arial"/>
        </w:rPr>
      </w:pPr>
      <w:r>
        <w:rPr>
          <w:rStyle w:val="EndnoteReference"/>
        </w:rPr>
        <w:endnoteRef/>
      </w:r>
      <w:r>
        <w:t xml:space="preserve"> </w:t>
      </w:r>
      <w:r w:rsidRPr="0058654F">
        <w:rPr>
          <w:rFonts w:ascii="Arial" w:hAnsi="Arial" w:cs="Arial"/>
          <w:i/>
        </w:rPr>
        <w:t>Edinburgh Evening News</w:t>
      </w:r>
      <w:r w:rsidRPr="0058654F">
        <w:rPr>
          <w:rFonts w:ascii="Arial" w:hAnsi="Arial" w:cs="Arial"/>
        </w:rPr>
        <w:t>, 4</w:t>
      </w:r>
      <w:r w:rsidRPr="00C2578B">
        <w:rPr>
          <w:rFonts w:ascii="Arial" w:hAnsi="Arial" w:cs="Arial"/>
          <w:vertAlign w:val="superscript"/>
        </w:rPr>
        <w:t>th</w:t>
      </w:r>
      <w:r>
        <w:rPr>
          <w:rFonts w:ascii="Arial" w:hAnsi="Arial" w:cs="Arial"/>
        </w:rPr>
        <w:t xml:space="preserve"> </w:t>
      </w:r>
      <w:r w:rsidRPr="0058654F">
        <w:rPr>
          <w:rFonts w:ascii="Arial" w:hAnsi="Arial" w:cs="Arial"/>
        </w:rPr>
        <w:t>July 1874</w:t>
      </w:r>
      <w:r>
        <w:rPr>
          <w:rFonts w:ascii="Arial" w:hAnsi="Arial" w:cs="Arial"/>
        </w:rPr>
        <w:t>.</w:t>
      </w:r>
    </w:p>
    <w:p w:rsidR="00B61F11" w:rsidRDefault="00B61F11">
      <w:pPr>
        <w:pStyle w:val="EndnoteText"/>
      </w:pPr>
    </w:p>
  </w:endnote>
  <w:endnote w:id="18">
    <w:p w:rsidR="00B61F11" w:rsidRPr="00A042DD" w:rsidRDefault="00B61F11">
      <w:pPr>
        <w:pStyle w:val="EndnoteText"/>
        <w:rPr>
          <w:rFonts w:ascii="Arial" w:hAnsi="Arial" w:cs="Arial"/>
        </w:rPr>
      </w:pPr>
      <w:r>
        <w:rPr>
          <w:rStyle w:val="EndnoteReference"/>
        </w:rPr>
        <w:endnoteRef/>
      </w:r>
      <w:r>
        <w:t xml:space="preserve"> </w:t>
      </w:r>
      <w:r w:rsidR="00110F2E" w:rsidRPr="00110F2E">
        <w:rPr>
          <w:rFonts w:ascii="Arial" w:hAnsi="Arial" w:cs="Arial"/>
        </w:rPr>
        <w:t xml:space="preserve">TNA, </w:t>
      </w:r>
      <w:r w:rsidRPr="00A042DD">
        <w:rPr>
          <w:rFonts w:ascii="Arial" w:hAnsi="Arial" w:cs="Arial"/>
        </w:rPr>
        <w:t>PCOM 4/71/9.</w:t>
      </w:r>
    </w:p>
    <w:p w:rsidR="00670862" w:rsidRDefault="00670862">
      <w:pPr>
        <w:pStyle w:val="EndnoteText"/>
      </w:pPr>
    </w:p>
  </w:endnote>
  <w:endnote w:id="19">
    <w:p w:rsidR="00B61F11" w:rsidRPr="0058654F" w:rsidRDefault="00B61F11" w:rsidP="0058654F">
      <w:pPr>
        <w:pStyle w:val="EndnoteText"/>
        <w:spacing w:line="480" w:lineRule="auto"/>
        <w:jc w:val="both"/>
        <w:rPr>
          <w:rFonts w:ascii="Arial" w:hAnsi="Arial" w:cs="Arial"/>
        </w:rPr>
      </w:pPr>
      <w:r w:rsidRPr="0058654F">
        <w:rPr>
          <w:rStyle w:val="EndnoteReference"/>
          <w:rFonts w:ascii="Arial" w:hAnsi="Arial" w:cs="Arial"/>
        </w:rPr>
        <w:endnoteRef/>
      </w:r>
      <w:r w:rsidRPr="0058654F">
        <w:rPr>
          <w:rFonts w:ascii="Arial" w:hAnsi="Arial" w:cs="Arial"/>
        </w:rPr>
        <w:t xml:space="preserve"> </w:t>
      </w:r>
      <w:r w:rsidR="00A042DD">
        <w:rPr>
          <w:rFonts w:ascii="Arial" w:hAnsi="Arial" w:cs="Arial"/>
        </w:rPr>
        <w:t xml:space="preserve">TNA, </w:t>
      </w:r>
      <w:r>
        <w:rPr>
          <w:rFonts w:ascii="Arial" w:hAnsi="Arial" w:cs="Arial"/>
        </w:rPr>
        <w:t>PCOM</w:t>
      </w:r>
      <w:r w:rsidRPr="0058654F">
        <w:rPr>
          <w:rFonts w:ascii="Arial" w:hAnsi="Arial" w:cs="Arial"/>
        </w:rPr>
        <w:t xml:space="preserve"> 4/71/9.</w:t>
      </w:r>
    </w:p>
  </w:endnote>
  <w:endnote w:id="20">
    <w:p w:rsidR="00670862" w:rsidRPr="00670862" w:rsidRDefault="00670862" w:rsidP="00670862">
      <w:pPr>
        <w:pStyle w:val="EndnoteText"/>
        <w:spacing w:line="480" w:lineRule="auto"/>
        <w:rPr>
          <w:rFonts w:ascii="Arial" w:hAnsi="Arial" w:cs="Arial"/>
        </w:rPr>
      </w:pPr>
      <w:r>
        <w:rPr>
          <w:rStyle w:val="EndnoteReference"/>
        </w:rPr>
        <w:endnoteRef/>
      </w:r>
      <w:r>
        <w:t xml:space="preserve"> </w:t>
      </w:r>
      <w:r w:rsidR="00A042DD">
        <w:rPr>
          <w:rFonts w:ascii="Arial" w:hAnsi="Arial" w:cs="Arial"/>
        </w:rPr>
        <w:t xml:space="preserve">TNA, </w:t>
      </w:r>
      <w:r>
        <w:rPr>
          <w:rFonts w:ascii="Arial" w:hAnsi="Arial" w:cs="Arial"/>
        </w:rPr>
        <w:t>PCOM</w:t>
      </w:r>
      <w:r w:rsidRPr="0058654F">
        <w:rPr>
          <w:rFonts w:ascii="Arial" w:hAnsi="Arial" w:cs="Arial"/>
        </w:rPr>
        <w:t xml:space="preserve"> 4/71/9.</w:t>
      </w:r>
    </w:p>
  </w:endnote>
  <w:endnote w:id="21">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2">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3">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4">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5">
    <w:p w:rsidR="00670862" w:rsidRDefault="00670862">
      <w:pPr>
        <w:pStyle w:val="EndnoteText"/>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6">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7">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8">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29">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30">
    <w:p w:rsidR="00110F2E" w:rsidRDefault="00670862" w:rsidP="00110F2E">
      <w:pPr>
        <w:pStyle w:val="EndnoteText"/>
        <w:spacing w:line="480" w:lineRule="auto"/>
      </w:pPr>
      <w:r>
        <w:rPr>
          <w:rStyle w:val="EndnoteReference"/>
        </w:rPr>
        <w:endnoteRef/>
      </w:r>
      <w:r>
        <w:t xml:space="preserve"> </w:t>
      </w:r>
      <w:r w:rsidR="00A042DD">
        <w:rPr>
          <w:rFonts w:ascii="Arial" w:hAnsi="Arial" w:cs="Arial"/>
        </w:rPr>
        <w:t>TNA, P</w:t>
      </w:r>
      <w:r>
        <w:rPr>
          <w:rFonts w:ascii="Arial" w:hAnsi="Arial" w:cs="Arial"/>
        </w:rPr>
        <w:t>COM</w:t>
      </w:r>
      <w:r w:rsidRPr="0058654F">
        <w:rPr>
          <w:rFonts w:ascii="Arial" w:hAnsi="Arial" w:cs="Arial"/>
        </w:rPr>
        <w:t xml:space="preserve"> 4/71/9.</w:t>
      </w:r>
    </w:p>
  </w:endnote>
  <w:endnote w:id="31">
    <w:p w:rsidR="00110F2E" w:rsidRDefault="00670862"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2">
    <w:p w:rsidR="00110F2E" w:rsidRDefault="00670862"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3">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4">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5">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6">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7">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8">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39">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0">
    <w:p w:rsidR="00110F2E" w:rsidRDefault="00DD456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1">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2">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3">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4">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5">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6">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7">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8">
    <w:p w:rsidR="00110F2E" w:rsidRDefault="00971495"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49">
    <w:p w:rsidR="00110F2E" w:rsidRDefault="00F2139C"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50">
    <w:p w:rsidR="00110F2E" w:rsidRDefault="00F2139C"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51">
    <w:p w:rsidR="00110F2E" w:rsidRDefault="00F2139C"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52">
    <w:p w:rsidR="00110F2E" w:rsidRDefault="00F2139C"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53">
    <w:p w:rsidR="00110F2E" w:rsidRDefault="00F2139C"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54">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w:t>
      </w:r>
      <w:r>
        <w:rPr>
          <w:rFonts w:ascii="Arial" w:hAnsi="Arial" w:cs="Arial"/>
        </w:rPr>
        <w:t xml:space="preserve">C. </w:t>
      </w:r>
      <w:r w:rsidRPr="0058654F">
        <w:rPr>
          <w:rFonts w:ascii="Arial" w:hAnsi="Arial" w:cs="Arial"/>
        </w:rPr>
        <w:t>Noble</w:t>
      </w:r>
      <w:r>
        <w:rPr>
          <w:rFonts w:ascii="Arial" w:hAnsi="Arial" w:cs="Arial"/>
        </w:rPr>
        <w:t xml:space="preserve"> (2002)</w:t>
      </w:r>
      <w:r w:rsidRPr="0058654F">
        <w:rPr>
          <w:rFonts w:ascii="Arial" w:hAnsi="Arial" w:cs="Arial"/>
        </w:rPr>
        <w:t xml:space="preserve"> ‘The New Gaol in </w:t>
      </w:r>
      <w:r w:rsidRPr="0058654F">
        <w:rPr>
          <w:rFonts w:ascii="Arial" w:hAnsi="Arial" w:cs="Arial"/>
        </w:rPr>
        <w:t xml:space="preserve">Bathwick, 1172-1842’, </w:t>
      </w:r>
      <w:r w:rsidRPr="0058654F">
        <w:rPr>
          <w:rStyle w:val="st1"/>
          <w:rFonts w:ascii="Arial" w:hAnsi="Arial" w:cs="Arial"/>
          <w:i/>
        </w:rPr>
        <w:t>Bath History</w:t>
      </w:r>
      <w:r>
        <w:rPr>
          <w:rStyle w:val="st1"/>
          <w:rFonts w:ascii="Arial" w:hAnsi="Arial" w:cs="Arial"/>
        </w:rPr>
        <w:t>, Vol.</w:t>
      </w:r>
      <w:r w:rsidRPr="0058654F">
        <w:rPr>
          <w:rStyle w:val="st1"/>
          <w:rFonts w:ascii="Arial" w:hAnsi="Arial" w:cs="Arial"/>
        </w:rPr>
        <w:t xml:space="preserve"> IX</w:t>
      </w:r>
      <w:r>
        <w:rPr>
          <w:rStyle w:val="st1"/>
          <w:rFonts w:ascii="Arial" w:hAnsi="Arial" w:cs="Arial"/>
        </w:rPr>
        <w:t xml:space="preserve">, pp. </w:t>
      </w:r>
      <w:r w:rsidRPr="0058654F">
        <w:rPr>
          <w:rFonts w:ascii="Arial" w:hAnsi="Arial" w:cs="Arial"/>
        </w:rPr>
        <w:t>64-86</w:t>
      </w:r>
      <w:r>
        <w:rPr>
          <w:rFonts w:ascii="Arial" w:hAnsi="Arial" w:cs="Arial"/>
        </w:rPr>
        <w:t xml:space="preserve"> at p.</w:t>
      </w:r>
      <w:r w:rsidRPr="0058654F">
        <w:rPr>
          <w:rFonts w:ascii="Arial" w:hAnsi="Arial" w:cs="Arial"/>
        </w:rPr>
        <w:t xml:space="preserve"> 77.</w:t>
      </w:r>
    </w:p>
  </w:endnote>
  <w:endnote w:id="55">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Regulation 229, </w:t>
      </w:r>
      <w:r w:rsidRPr="0058654F">
        <w:rPr>
          <w:rFonts w:ascii="Arial" w:hAnsi="Arial" w:cs="Arial"/>
          <w:i/>
        </w:rPr>
        <w:t>Home Office Regulations for Prisons in England and Wales</w:t>
      </w:r>
      <w:r w:rsidRPr="0058654F">
        <w:rPr>
          <w:rFonts w:ascii="Arial" w:hAnsi="Arial" w:cs="Arial"/>
        </w:rPr>
        <w:t xml:space="preserve"> (London: Shaw &amp; Sons, 1840), p. 37.</w:t>
      </w:r>
    </w:p>
  </w:endnote>
  <w:endnote w:id="56">
    <w:p w:rsidR="00110F2E" w:rsidRDefault="00A042DD" w:rsidP="00110F2E">
      <w:pPr>
        <w:pStyle w:val="EndnoteText"/>
        <w:spacing w:line="480" w:lineRule="auto"/>
      </w:pPr>
      <w:r>
        <w:rPr>
          <w:rStyle w:val="EndnoteReference"/>
        </w:rPr>
        <w:endnoteRef/>
      </w:r>
      <w:r>
        <w:t xml:space="preserve"> </w:t>
      </w:r>
      <w:r w:rsidRPr="0058654F">
        <w:rPr>
          <w:rFonts w:ascii="Arial" w:hAnsi="Arial" w:cs="Arial"/>
        </w:rPr>
        <w:t xml:space="preserve">1878-79 [C.2368] [C.2368-I] [C.2368-II] Penal Servitude Acts Commission. </w:t>
      </w:r>
      <w:r w:rsidRPr="0058654F">
        <w:rPr>
          <w:rFonts w:ascii="Arial" w:hAnsi="Arial" w:cs="Arial"/>
          <w:i/>
        </w:rPr>
        <w:t>Report of the commissioners appointed to inquire into the working of the penal servitude acts</w:t>
      </w:r>
      <w:r w:rsidRPr="0058654F">
        <w:rPr>
          <w:rFonts w:ascii="Arial" w:hAnsi="Arial" w:cs="Arial"/>
        </w:rPr>
        <w:t xml:space="preserve">. </w:t>
      </w:r>
      <w:r w:rsidRPr="0058654F">
        <w:rPr>
          <w:rFonts w:ascii="Arial" w:hAnsi="Arial" w:cs="Arial"/>
          <w:i/>
        </w:rPr>
        <w:t>Vol. I. -Commissions and report</w:t>
      </w:r>
      <w:r w:rsidRPr="0058654F">
        <w:rPr>
          <w:rFonts w:ascii="Arial" w:hAnsi="Arial" w:cs="Arial"/>
        </w:rPr>
        <w:t>, pp. 335-38.</w:t>
      </w:r>
    </w:p>
  </w:endnote>
  <w:endnote w:id="57">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1878-79 [C.2368] [C.2368-I] [C.2368-II] Penal Servitude Acts Commission. </w:t>
      </w:r>
      <w:r w:rsidRPr="0058654F">
        <w:rPr>
          <w:rFonts w:ascii="Arial" w:hAnsi="Arial" w:cs="Arial"/>
          <w:i/>
        </w:rPr>
        <w:t>Report of the commissioners appointed to inquire into the working of the penal servitude acts</w:t>
      </w:r>
      <w:r w:rsidRPr="0058654F">
        <w:rPr>
          <w:rFonts w:ascii="Arial" w:hAnsi="Arial" w:cs="Arial"/>
        </w:rPr>
        <w:t xml:space="preserve">. </w:t>
      </w:r>
      <w:r w:rsidRPr="0058654F">
        <w:rPr>
          <w:rFonts w:ascii="Arial" w:hAnsi="Arial" w:cs="Arial"/>
          <w:i/>
        </w:rPr>
        <w:t>Vol. I. -Commissions and report</w:t>
      </w:r>
      <w:r w:rsidRPr="0058654F">
        <w:rPr>
          <w:rFonts w:ascii="Arial" w:hAnsi="Arial" w:cs="Arial"/>
        </w:rPr>
        <w:t>, pp. 335-38.</w:t>
      </w:r>
    </w:p>
  </w:endnote>
  <w:endnote w:id="58">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3/769/31.</w:t>
      </w:r>
    </w:p>
  </w:endnote>
  <w:endnote w:id="59">
    <w:p w:rsidR="00110F2E" w:rsidRDefault="00A042DD" w:rsidP="00110F2E">
      <w:pPr>
        <w:pStyle w:val="EndnoteText"/>
        <w:spacing w:line="480" w:lineRule="auto"/>
      </w:pPr>
      <w:r>
        <w:rPr>
          <w:rStyle w:val="EndnoteReference"/>
        </w:rPr>
        <w:endnoteRef/>
      </w:r>
      <w:r>
        <w:t xml:space="preserve"> </w:t>
      </w:r>
      <w:r w:rsidR="00F34CA4">
        <w:rPr>
          <w:rFonts w:ascii="Arial" w:hAnsi="Arial" w:cs="Arial"/>
        </w:rPr>
        <w:t>TNA, P</w:t>
      </w:r>
      <w:r>
        <w:rPr>
          <w:rFonts w:ascii="Arial" w:hAnsi="Arial" w:cs="Arial"/>
        </w:rPr>
        <w:t>COM</w:t>
      </w:r>
      <w:r w:rsidRPr="0058654F">
        <w:rPr>
          <w:rFonts w:ascii="Arial" w:hAnsi="Arial" w:cs="Arial"/>
        </w:rPr>
        <w:t xml:space="preserve"> 4/71/9.</w:t>
      </w:r>
    </w:p>
  </w:endnote>
  <w:endnote w:id="60">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3/770/10. </w:t>
      </w:r>
    </w:p>
  </w:endnote>
  <w:endnote w:id="61">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3/770/10.</w:t>
      </w:r>
    </w:p>
  </w:endnote>
  <w:endnote w:id="62">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3/762/207.</w:t>
      </w:r>
    </w:p>
  </w:endnote>
  <w:endnote w:id="63">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w:t>
      </w:r>
      <w:r w:rsidRPr="0058654F">
        <w:rPr>
          <w:rStyle w:val="Emphasis"/>
          <w:rFonts w:ascii="Arial" w:hAnsi="Arial" w:cs="Arial"/>
          <w:i w:val="0"/>
        </w:rPr>
        <w:t>PCOM 4/71/17.</w:t>
      </w:r>
    </w:p>
  </w:endnote>
  <w:endnote w:id="64">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w:t>
      </w:r>
      <w:r w:rsidRPr="0058654F">
        <w:rPr>
          <w:rStyle w:val="Emphasis"/>
          <w:rFonts w:ascii="Arial" w:hAnsi="Arial" w:cs="Arial"/>
          <w:i w:val="0"/>
        </w:rPr>
        <w:t>PCOM 4/69/13</w:t>
      </w:r>
      <w:r w:rsidRPr="0058654F">
        <w:rPr>
          <w:rStyle w:val="Emphasis"/>
          <w:rFonts w:ascii="Arial" w:hAnsi="Arial" w:cs="Arial"/>
        </w:rPr>
        <w:t>.</w:t>
      </w:r>
    </w:p>
  </w:endnote>
  <w:endnote w:id="65">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4/69/19.  The Nine Elms Laundry was founded in the 1860s by the Discharged Female Prisoners’ Aid Society, a largely Protestant organisation, in order to provide a home and paid work for female prisoners upon their release from convict prison.</w:t>
      </w:r>
    </w:p>
  </w:endnote>
  <w:endnote w:id="66">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4/71/5</w:t>
      </w:r>
      <w:r w:rsidRPr="0058654F">
        <w:rPr>
          <w:rStyle w:val="Emphasis"/>
          <w:rFonts w:ascii="Arial" w:hAnsi="Arial" w:cs="Arial"/>
        </w:rPr>
        <w:t>.</w:t>
      </w:r>
    </w:p>
  </w:endnote>
  <w:endnote w:id="67">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4/66/5.</w:t>
      </w:r>
    </w:p>
  </w:endnote>
  <w:endnote w:id="68">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4/66/5.</w:t>
      </w:r>
    </w:p>
  </w:endnote>
  <w:endnote w:id="69">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4/71/5.</w:t>
      </w:r>
    </w:p>
  </w:endnote>
  <w:endnote w:id="70">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1878-79 [C.2368] [C.2368-I] [C.2368-II] </w:t>
      </w:r>
      <w:r w:rsidRPr="0058654F">
        <w:rPr>
          <w:rFonts w:ascii="Arial" w:hAnsi="Arial" w:cs="Arial"/>
          <w:i/>
        </w:rPr>
        <w:t>Penal Servitude Acts Commission. Report of the commissioners appointed to inquire into the working of the penal servitude acts. Vol. I. -Commissions and report,</w:t>
      </w:r>
      <w:r w:rsidRPr="0058654F">
        <w:rPr>
          <w:rFonts w:ascii="Arial" w:hAnsi="Arial" w:cs="Arial"/>
        </w:rPr>
        <w:t xml:space="preserve"> p. 54.</w:t>
      </w:r>
    </w:p>
  </w:endnote>
  <w:endnote w:id="71">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3/764/146.</w:t>
      </w:r>
    </w:p>
  </w:endnote>
  <w:endnote w:id="72">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4/70/2.</w:t>
      </w:r>
    </w:p>
  </w:endnote>
  <w:endnote w:id="73">
    <w:p w:rsidR="00B61F11" w:rsidRPr="0058654F" w:rsidRDefault="00B61F11" w:rsidP="0058654F">
      <w:pPr>
        <w:pStyle w:val="EndnoteText"/>
        <w:spacing w:line="480" w:lineRule="auto"/>
        <w:contextualSpacing/>
        <w:jc w:val="both"/>
        <w:rPr>
          <w:rFonts w:ascii="Arial" w:hAnsi="Arial" w:cs="Arial"/>
        </w:rPr>
      </w:pPr>
      <w:r w:rsidRPr="0058654F">
        <w:rPr>
          <w:rStyle w:val="EndnoteReference"/>
          <w:rFonts w:ascii="Arial" w:hAnsi="Arial" w:cs="Arial"/>
        </w:rPr>
        <w:endnoteRef/>
      </w:r>
      <w:r w:rsidRPr="0058654F">
        <w:rPr>
          <w:rFonts w:ascii="Arial" w:hAnsi="Arial" w:cs="Arial"/>
        </w:rPr>
        <w:t xml:space="preserve"> TNA</w:t>
      </w:r>
      <w:r>
        <w:rPr>
          <w:rFonts w:ascii="Arial" w:hAnsi="Arial" w:cs="Arial"/>
        </w:rPr>
        <w:t>,</w:t>
      </w:r>
      <w:r w:rsidRPr="0058654F">
        <w:rPr>
          <w:rFonts w:ascii="Arial" w:hAnsi="Arial" w:cs="Arial"/>
        </w:rPr>
        <w:t xml:space="preserve"> PCOM 4/70/2.</w:t>
      </w:r>
    </w:p>
  </w:endnote>
  <w:endnote w:id="74">
    <w:p w:rsidR="00B61F11" w:rsidRPr="000C725F" w:rsidRDefault="00B61F11" w:rsidP="0058654F">
      <w:pPr>
        <w:pStyle w:val="EndnoteText"/>
        <w:spacing w:line="480" w:lineRule="auto"/>
        <w:jc w:val="both"/>
        <w:rPr>
          <w:rFonts w:ascii="Times New Roman" w:hAnsi="Times New Roman" w:cs="Times New Roman"/>
          <w:sz w:val="20"/>
          <w:szCs w:val="20"/>
          <w:lang w:val="en-US"/>
        </w:rPr>
      </w:pPr>
      <w:r w:rsidRPr="0058654F">
        <w:rPr>
          <w:rStyle w:val="EndnoteReference"/>
          <w:rFonts w:ascii="Arial" w:hAnsi="Arial" w:cs="Arial"/>
        </w:rPr>
        <w:endnoteRef/>
      </w:r>
      <w:r w:rsidRPr="0058654F">
        <w:rPr>
          <w:rFonts w:ascii="Arial" w:hAnsi="Arial" w:cs="Arial"/>
        </w:rPr>
        <w:t xml:space="preserve"> </w:t>
      </w:r>
      <w:r w:rsidR="00F34CA4" w:rsidRPr="00636448">
        <w:rPr>
          <w:rFonts w:ascii="Arial" w:hAnsi="Arial" w:cs="Arial"/>
        </w:rPr>
        <w:t xml:space="preserve">H. Johnston and B. Godfrey (2013) </w:t>
      </w:r>
      <w:r w:rsidR="00F34CA4" w:rsidRPr="00636448">
        <w:rPr>
          <w:rFonts w:ascii="Arial" w:hAnsi="Arial" w:cs="Arial"/>
          <w:i/>
        </w:rPr>
        <w:t xml:space="preserve">The Costs of Imprisonment: A Longitudinal Study, ESRC End of Award Report, RES-062-23-3102, </w:t>
      </w:r>
      <w:r w:rsidR="00F34CA4" w:rsidRPr="00636448">
        <w:rPr>
          <w:rFonts w:ascii="Arial" w:hAnsi="Arial" w:cs="Arial"/>
        </w:rPr>
        <w:t>Swindon: ESRC.</w:t>
      </w:r>
      <w:r w:rsidRPr="0058654F">
        <w:rPr>
          <w:rFonts w:ascii="Arial" w:hAnsi="Arial" w:cs="Arial"/>
          <w:lang w:val="en-US"/>
        </w:rPr>
        <w:t>.</w:t>
      </w:r>
    </w:p>
  </w:endnote>
  <w:endnote w:id="75">
    <w:p w:rsidR="00110F2E" w:rsidRPr="00110F2E" w:rsidRDefault="00110F2E" w:rsidP="00110F2E">
      <w:pPr>
        <w:pStyle w:val="EndnoteText"/>
        <w:spacing w:line="480" w:lineRule="auto"/>
        <w:rPr>
          <w:rFonts w:ascii="Arial" w:hAnsi="Arial" w:cs="Arial"/>
        </w:rPr>
      </w:pPr>
      <w:r w:rsidRPr="00110F2E">
        <w:rPr>
          <w:rStyle w:val="EndnoteReference"/>
          <w:rFonts w:ascii="Arial" w:hAnsi="Arial" w:cs="Arial"/>
        </w:rPr>
        <w:endnoteRef/>
      </w:r>
      <w:r w:rsidRPr="00110F2E">
        <w:rPr>
          <w:rFonts w:ascii="Arial" w:hAnsi="Arial" w:cs="Arial"/>
        </w:rPr>
        <w:t xml:space="preserve"> </w:t>
      </w:r>
      <w:r w:rsidR="00F34CA4" w:rsidRPr="00F34CA4">
        <w:rPr>
          <w:rFonts w:ascii="Arial" w:hAnsi="Arial" w:cs="Arial"/>
        </w:rPr>
        <w:t>H. Johnston and B. Godfrey (2013)</w:t>
      </w:r>
      <w:r w:rsidRPr="00110F2E">
        <w:rPr>
          <w:rFonts w:ascii="Arial" w:hAnsi="Arial" w:cs="Arial"/>
        </w:rPr>
        <w:t xml:space="preserve"> </w:t>
      </w:r>
      <w:r w:rsidRPr="00110F2E">
        <w:rPr>
          <w:rFonts w:ascii="Arial" w:hAnsi="Arial" w:cs="Arial"/>
          <w:i/>
        </w:rPr>
        <w:t xml:space="preserve">The Costs of Imprisonment: A Longitudinal Study, ESRC End of Award Report, RES-062-23-3102, </w:t>
      </w:r>
      <w:r w:rsidRPr="00110F2E">
        <w:rPr>
          <w:rFonts w:ascii="Arial" w:hAnsi="Arial" w:cs="Arial"/>
        </w:rPr>
        <w:t>Swindon: ESRC.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0422"/>
      <w:docPartObj>
        <w:docPartGallery w:val="Page Numbers (Bottom of Page)"/>
        <w:docPartUnique/>
      </w:docPartObj>
    </w:sdtPr>
    <w:sdtEndPr>
      <w:rPr>
        <w:rFonts w:ascii="Arial" w:hAnsi="Arial" w:cs="Arial"/>
      </w:rPr>
    </w:sdtEndPr>
    <w:sdtContent>
      <w:p w:rsidR="00B61F11" w:rsidRPr="005F5EB5" w:rsidRDefault="00110F2E">
        <w:pPr>
          <w:pStyle w:val="Footer"/>
          <w:jc w:val="right"/>
          <w:rPr>
            <w:rFonts w:ascii="Arial" w:hAnsi="Arial" w:cs="Arial"/>
          </w:rPr>
        </w:pPr>
        <w:r w:rsidRPr="005F5EB5">
          <w:rPr>
            <w:rFonts w:ascii="Arial" w:hAnsi="Arial" w:cs="Arial"/>
            <w:sz w:val="24"/>
            <w:szCs w:val="24"/>
          </w:rPr>
          <w:fldChar w:fldCharType="begin"/>
        </w:r>
        <w:r w:rsidR="00B61F11" w:rsidRPr="005F5EB5">
          <w:rPr>
            <w:rFonts w:ascii="Arial" w:hAnsi="Arial" w:cs="Arial"/>
            <w:sz w:val="24"/>
            <w:szCs w:val="24"/>
          </w:rPr>
          <w:instrText xml:space="preserve"> PAGE   \* MERGEFORMAT </w:instrText>
        </w:r>
        <w:r w:rsidRPr="005F5EB5">
          <w:rPr>
            <w:rFonts w:ascii="Arial" w:hAnsi="Arial" w:cs="Arial"/>
            <w:sz w:val="24"/>
            <w:szCs w:val="24"/>
          </w:rPr>
          <w:fldChar w:fldCharType="separate"/>
        </w:r>
        <w:r w:rsidR="00B7737E">
          <w:rPr>
            <w:rFonts w:ascii="Arial" w:hAnsi="Arial" w:cs="Arial"/>
            <w:noProof/>
            <w:sz w:val="24"/>
            <w:szCs w:val="24"/>
          </w:rPr>
          <w:t>22</w:t>
        </w:r>
        <w:r w:rsidRPr="005F5EB5">
          <w:rPr>
            <w:rFonts w:ascii="Arial" w:hAnsi="Arial" w:cs="Arial"/>
            <w:noProof/>
            <w:sz w:val="24"/>
            <w:szCs w:val="24"/>
          </w:rPr>
          <w:fldChar w:fldCharType="end"/>
        </w:r>
      </w:p>
    </w:sdtContent>
  </w:sdt>
  <w:p w:rsidR="00B61F11" w:rsidRDefault="00B61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EE5" w:rsidRDefault="00182EE5">
      <w:pPr>
        <w:spacing w:after="0" w:line="240" w:lineRule="auto"/>
      </w:pPr>
      <w:r>
        <w:separator/>
      </w:r>
    </w:p>
  </w:footnote>
  <w:footnote w:type="continuationSeparator" w:id="0">
    <w:p w:rsidR="00182EE5" w:rsidRDefault="00182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CC"/>
    <w:rsid w:val="0000365B"/>
    <w:rsid w:val="00014D97"/>
    <w:rsid w:val="00024293"/>
    <w:rsid w:val="000257EF"/>
    <w:rsid w:val="00025D72"/>
    <w:rsid w:val="00026C45"/>
    <w:rsid w:val="00051191"/>
    <w:rsid w:val="00070140"/>
    <w:rsid w:val="00071774"/>
    <w:rsid w:val="00076C95"/>
    <w:rsid w:val="00084234"/>
    <w:rsid w:val="000A018B"/>
    <w:rsid w:val="000B188D"/>
    <w:rsid w:val="000B79B6"/>
    <w:rsid w:val="000C725F"/>
    <w:rsid w:val="000D0A2D"/>
    <w:rsid w:val="000D13BB"/>
    <w:rsid w:val="000E1218"/>
    <w:rsid w:val="00101EAC"/>
    <w:rsid w:val="00110F2E"/>
    <w:rsid w:val="0015619E"/>
    <w:rsid w:val="0017296E"/>
    <w:rsid w:val="00182EE5"/>
    <w:rsid w:val="001B450B"/>
    <w:rsid w:val="001D0C32"/>
    <w:rsid w:val="001D6A31"/>
    <w:rsid w:val="001E1A4E"/>
    <w:rsid w:val="001F0589"/>
    <w:rsid w:val="001F3D95"/>
    <w:rsid w:val="00225480"/>
    <w:rsid w:val="002423CF"/>
    <w:rsid w:val="002450C6"/>
    <w:rsid w:val="002502E5"/>
    <w:rsid w:val="00251E74"/>
    <w:rsid w:val="002665ED"/>
    <w:rsid w:val="00274CA1"/>
    <w:rsid w:val="00297BE4"/>
    <w:rsid w:val="002A3BBB"/>
    <w:rsid w:val="002A43CC"/>
    <w:rsid w:val="002C0B4C"/>
    <w:rsid w:val="002D7868"/>
    <w:rsid w:val="002F76E3"/>
    <w:rsid w:val="002F7E1D"/>
    <w:rsid w:val="00347A06"/>
    <w:rsid w:val="00361328"/>
    <w:rsid w:val="00372DA1"/>
    <w:rsid w:val="003A318C"/>
    <w:rsid w:val="003A5D30"/>
    <w:rsid w:val="003C5E3E"/>
    <w:rsid w:val="003E328B"/>
    <w:rsid w:val="003E690D"/>
    <w:rsid w:val="003F4AB8"/>
    <w:rsid w:val="003F4DB2"/>
    <w:rsid w:val="004008E1"/>
    <w:rsid w:val="0042044B"/>
    <w:rsid w:val="004336B9"/>
    <w:rsid w:val="00437434"/>
    <w:rsid w:val="00446E34"/>
    <w:rsid w:val="00456AEF"/>
    <w:rsid w:val="0048453E"/>
    <w:rsid w:val="004A2E56"/>
    <w:rsid w:val="004A63B7"/>
    <w:rsid w:val="004D6043"/>
    <w:rsid w:val="004D7455"/>
    <w:rsid w:val="004E1B7B"/>
    <w:rsid w:val="004F1972"/>
    <w:rsid w:val="00505183"/>
    <w:rsid w:val="00511648"/>
    <w:rsid w:val="00544141"/>
    <w:rsid w:val="00544D05"/>
    <w:rsid w:val="00553CA3"/>
    <w:rsid w:val="00553D8F"/>
    <w:rsid w:val="00574E5C"/>
    <w:rsid w:val="0058654F"/>
    <w:rsid w:val="00590DB6"/>
    <w:rsid w:val="00590E0E"/>
    <w:rsid w:val="005931A0"/>
    <w:rsid w:val="0059329A"/>
    <w:rsid w:val="005A3E29"/>
    <w:rsid w:val="005B513B"/>
    <w:rsid w:val="005D5EC2"/>
    <w:rsid w:val="005F5063"/>
    <w:rsid w:val="005F5EB5"/>
    <w:rsid w:val="00602568"/>
    <w:rsid w:val="006243E3"/>
    <w:rsid w:val="00636448"/>
    <w:rsid w:val="00670862"/>
    <w:rsid w:val="006734E4"/>
    <w:rsid w:val="00682193"/>
    <w:rsid w:val="00683640"/>
    <w:rsid w:val="006926A2"/>
    <w:rsid w:val="00694D99"/>
    <w:rsid w:val="006E2B31"/>
    <w:rsid w:val="006E7032"/>
    <w:rsid w:val="007144A6"/>
    <w:rsid w:val="00724F3D"/>
    <w:rsid w:val="00734838"/>
    <w:rsid w:val="00745907"/>
    <w:rsid w:val="00765593"/>
    <w:rsid w:val="00772CE3"/>
    <w:rsid w:val="007976AC"/>
    <w:rsid w:val="007A1093"/>
    <w:rsid w:val="007E7E5D"/>
    <w:rsid w:val="00815A0C"/>
    <w:rsid w:val="00832CA4"/>
    <w:rsid w:val="00852A82"/>
    <w:rsid w:val="00861E18"/>
    <w:rsid w:val="00874D8C"/>
    <w:rsid w:val="00881427"/>
    <w:rsid w:val="00887DF3"/>
    <w:rsid w:val="008B15B1"/>
    <w:rsid w:val="008E4BDE"/>
    <w:rsid w:val="008E4DC2"/>
    <w:rsid w:val="008F06D3"/>
    <w:rsid w:val="008F6C8D"/>
    <w:rsid w:val="00924618"/>
    <w:rsid w:val="0095418A"/>
    <w:rsid w:val="00971495"/>
    <w:rsid w:val="00990DCB"/>
    <w:rsid w:val="00992601"/>
    <w:rsid w:val="009A2F24"/>
    <w:rsid w:val="009B50DA"/>
    <w:rsid w:val="009B5923"/>
    <w:rsid w:val="009F3952"/>
    <w:rsid w:val="00A042DD"/>
    <w:rsid w:val="00A0674B"/>
    <w:rsid w:val="00A26697"/>
    <w:rsid w:val="00A313B1"/>
    <w:rsid w:val="00A35BD9"/>
    <w:rsid w:val="00A4144B"/>
    <w:rsid w:val="00A530AB"/>
    <w:rsid w:val="00A533B6"/>
    <w:rsid w:val="00A53BD5"/>
    <w:rsid w:val="00A65163"/>
    <w:rsid w:val="00A84B32"/>
    <w:rsid w:val="00A93EF9"/>
    <w:rsid w:val="00AA14C4"/>
    <w:rsid w:val="00AA6A27"/>
    <w:rsid w:val="00AD0400"/>
    <w:rsid w:val="00AF3578"/>
    <w:rsid w:val="00B06848"/>
    <w:rsid w:val="00B13B7C"/>
    <w:rsid w:val="00B37D80"/>
    <w:rsid w:val="00B44076"/>
    <w:rsid w:val="00B55CFF"/>
    <w:rsid w:val="00B61F11"/>
    <w:rsid w:val="00B76D2F"/>
    <w:rsid w:val="00B7737E"/>
    <w:rsid w:val="00BC6D99"/>
    <w:rsid w:val="00C1123D"/>
    <w:rsid w:val="00C20CEB"/>
    <w:rsid w:val="00C22DA4"/>
    <w:rsid w:val="00C2578B"/>
    <w:rsid w:val="00C42A83"/>
    <w:rsid w:val="00C42D15"/>
    <w:rsid w:val="00C73335"/>
    <w:rsid w:val="00C812DD"/>
    <w:rsid w:val="00C84A1D"/>
    <w:rsid w:val="00C90DC8"/>
    <w:rsid w:val="00CB6137"/>
    <w:rsid w:val="00CC0AAB"/>
    <w:rsid w:val="00CD0D6F"/>
    <w:rsid w:val="00CE0253"/>
    <w:rsid w:val="00CE2AA3"/>
    <w:rsid w:val="00D00EB9"/>
    <w:rsid w:val="00D12A51"/>
    <w:rsid w:val="00D147E1"/>
    <w:rsid w:val="00D17872"/>
    <w:rsid w:val="00D62DF8"/>
    <w:rsid w:val="00D746A4"/>
    <w:rsid w:val="00D828FD"/>
    <w:rsid w:val="00D9164A"/>
    <w:rsid w:val="00D9762F"/>
    <w:rsid w:val="00DA0B5A"/>
    <w:rsid w:val="00DA31BA"/>
    <w:rsid w:val="00DA4D6D"/>
    <w:rsid w:val="00DB0AAD"/>
    <w:rsid w:val="00DB1617"/>
    <w:rsid w:val="00DD27F6"/>
    <w:rsid w:val="00DD4565"/>
    <w:rsid w:val="00DD7BA9"/>
    <w:rsid w:val="00DF3EC7"/>
    <w:rsid w:val="00E10A60"/>
    <w:rsid w:val="00E11BB6"/>
    <w:rsid w:val="00E33B1F"/>
    <w:rsid w:val="00E37E6E"/>
    <w:rsid w:val="00E4036A"/>
    <w:rsid w:val="00E41CD5"/>
    <w:rsid w:val="00E47ABF"/>
    <w:rsid w:val="00E53490"/>
    <w:rsid w:val="00E5770C"/>
    <w:rsid w:val="00E76A5D"/>
    <w:rsid w:val="00E77A9B"/>
    <w:rsid w:val="00E85435"/>
    <w:rsid w:val="00EB1800"/>
    <w:rsid w:val="00EB2EA7"/>
    <w:rsid w:val="00EE76BF"/>
    <w:rsid w:val="00F00FD6"/>
    <w:rsid w:val="00F17580"/>
    <w:rsid w:val="00F2139C"/>
    <w:rsid w:val="00F217EA"/>
    <w:rsid w:val="00F26ED9"/>
    <w:rsid w:val="00F27069"/>
    <w:rsid w:val="00F34CA4"/>
    <w:rsid w:val="00F526C5"/>
    <w:rsid w:val="00F54E60"/>
    <w:rsid w:val="00F744BE"/>
    <w:rsid w:val="00F91105"/>
    <w:rsid w:val="00FA122E"/>
    <w:rsid w:val="00FA1D99"/>
    <w:rsid w:val="00FB16DC"/>
    <w:rsid w:val="00FC2D43"/>
    <w:rsid w:val="00FC388D"/>
    <w:rsid w:val="00FC6FB6"/>
    <w:rsid w:val="00FE4FDB"/>
    <w:rsid w:val="00FE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F4BFBB-E8F2-459A-91B7-80A83AE6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3CC"/>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4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CC"/>
    <w:rPr>
      <w:rFonts w:eastAsiaTheme="minorHAnsi"/>
      <w:sz w:val="22"/>
      <w:szCs w:val="22"/>
      <w:lang w:val="en-GB"/>
    </w:rPr>
  </w:style>
  <w:style w:type="paragraph" w:styleId="ListParagraph">
    <w:name w:val="List Paragraph"/>
    <w:basedOn w:val="Normal"/>
    <w:uiPriority w:val="34"/>
    <w:qFormat/>
    <w:rsid w:val="002A43CC"/>
    <w:pPr>
      <w:ind w:left="720"/>
      <w:contextualSpacing/>
    </w:pPr>
  </w:style>
  <w:style w:type="table" w:styleId="TableGrid">
    <w:name w:val="Table Grid"/>
    <w:basedOn w:val="TableNormal"/>
    <w:uiPriority w:val="59"/>
    <w:rsid w:val="00025D72"/>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79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9B6"/>
    <w:rPr>
      <w:rFonts w:eastAsiaTheme="minorHAnsi"/>
      <w:sz w:val="20"/>
      <w:szCs w:val="20"/>
      <w:lang w:val="en-GB"/>
    </w:rPr>
  </w:style>
  <w:style w:type="character" w:styleId="FootnoteReference">
    <w:name w:val="footnote reference"/>
    <w:basedOn w:val="DefaultParagraphFont"/>
    <w:uiPriority w:val="99"/>
    <w:semiHidden/>
    <w:unhideWhenUsed/>
    <w:rsid w:val="000B79B6"/>
    <w:rPr>
      <w:vertAlign w:val="superscript"/>
    </w:rPr>
  </w:style>
  <w:style w:type="character" w:customStyle="1" w:styleId="st1">
    <w:name w:val="st1"/>
    <w:basedOn w:val="DefaultParagraphFont"/>
    <w:rsid w:val="000B79B6"/>
  </w:style>
  <w:style w:type="character" w:styleId="Emphasis">
    <w:name w:val="Emphasis"/>
    <w:basedOn w:val="DefaultParagraphFont"/>
    <w:uiPriority w:val="20"/>
    <w:qFormat/>
    <w:rsid w:val="000B79B6"/>
    <w:rPr>
      <w:i/>
      <w:iCs/>
    </w:rPr>
  </w:style>
  <w:style w:type="paragraph" w:styleId="EndnoteText">
    <w:name w:val="endnote text"/>
    <w:basedOn w:val="Normal"/>
    <w:link w:val="EndnoteTextChar"/>
    <w:uiPriority w:val="99"/>
    <w:unhideWhenUsed/>
    <w:rsid w:val="002F76E3"/>
    <w:pPr>
      <w:spacing w:after="0" w:line="240" w:lineRule="auto"/>
    </w:pPr>
    <w:rPr>
      <w:sz w:val="24"/>
      <w:szCs w:val="24"/>
    </w:rPr>
  </w:style>
  <w:style w:type="character" w:customStyle="1" w:styleId="EndnoteTextChar">
    <w:name w:val="Endnote Text Char"/>
    <w:basedOn w:val="DefaultParagraphFont"/>
    <w:link w:val="EndnoteText"/>
    <w:uiPriority w:val="99"/>
    <w:rsid w:val="002F76E3"/>
    <w:rPr>
      <w:rFonts w:eastAsiaTheme="minorHAnsi"/>
      <w:lang w:val="en-GB"/>
    </w:rPr>
  </w:style>
  <w:style w:type="character" w:styleId="EndnoteReference">
    <w:name w:val="endnote reference"/>
    <w:basedOn w:val="DefaultParagraphFont"/>
    <w:uiPriority w:val="99"/>
    <w:unhideWhenUsed/>
    <w:rsid w:val="002F76E3"/>
    <w:rPr>
      <w:vertAlign w:val="superscript"/>
    </w:rPr>
  </w:style>
  <w:style w:type="paragraph" w:styleId="Header">
    <w:name w:val="header"/>
    <w:basedOn w:val="Normal"/>
    <w:link w:val="HeaderChar"/>
    <w:uiPriority w:val="99"/>
    <w:unhideWhenUsed/>
    <w:rsid w:val="005F5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EB5"/>
    <w:rPr>
      <w:rFonts w:eastAsiaTheme="minorHAnsi"/>
      <w:sz w:val="22"/>
      <w:szCs w:val="22"/>
      <w:lang w:val="en-GB"/>
    </w:rPr>
  </w:style>
  <w:style w:type="character" w:styleId="CommentReference">
    <w:name w:val="annotation reference"/>
    <w:basedOn w:val="DefaultParagraphFont"/>
    <w:uiPriority w:val="99"/>
    <w:semiHidden/>
    <w:unhideWhenUsed/>
    <w:rsid w:val="001B450B"/>
    <w:rPr>
      <w:sz w:val="16"/>
      <w:szCs w:val="16"/>
    </w:rPr>
  </w:style>
  <w:style w:type="paragraph" w:styleId="CommentText">
    <w:name w:val="annotation text"/>
    <w:basedOn w:val="Normal"/>
    <w:link w:val="CommentTextChar"/>
    <w:uiPriority w:val="99"/>
    <w:semiHidden/>
    <w:unhideWhenUsed/>
    <w:rsid w:val="001B450B"/>
    <w:pPr>
      <w:spacing w:line="240" w:lineRule="auto"/>
    </w:pPr>
    <w:rPr>
      <w:sz w:val="20"/>
      <w:szCs w:val="20"/>
    </w:rPr>
  </w:style>
  <w:style w:type="character" w:customStyle="1" w:styleId="CommentTextChar">
    <w:name w:val="Comment Text Char"/>
    <w:basedOn w:val="DefaultParagraphFont"/>
    <w:link w:val="CommentText"/>
    <w:uiPriority w:val="99"/>
    <w:semiHidden/>
    <w:rsid w:val="001B450B"/>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1B450B"/>
    <w:rPr>
      <w:b/>
      <w:bCs/>
    </w:rPr>
  </w:style>
  <w:style w:type="character" w:customStyle="1" w:styleId="CommentSubjectChar">
    <w:name w:val="Comment Subject Char"/>
    <w:basedOn w:val="CommentTextChar"/>
    <w:link w:val="CommentSubject"/>
    <w:uiPriority w:val="99"/>
    <w:semiHidden/>
    <w:rsid w:val="001B450B"/>
    <w:rPr>
      <w:rFonts w:eastAsiaTheme="minorHAnsi"/>
      <w:b/>
      <w:bCs/>
      <w:sz w:val="20"/>
      <w:szCs w:val="20"/>
      <w:lang w:val="en-GB"/>
    </w:rPr>
  </w:style>
  <w:style w:type="paragraph" w:styleId="BalloonText">
    <w:name w:val="Balloon Text"/>
    <w:basedOn w:val="Normal"/>
    <w:link w:val="BalloonTextChar"/>
    <w:uiPriority w:val="99"/>
    <w:semiHidden/>
    <w:unhideWhenUsed/>
    <w:rsid w:val="001B4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50B"/>
    <w:rPr>
      <w:rFonts w:ascii="Segoe UI" w:eastAsiaTheme="minorHAnsi" w:hAnsi="Segoe UI" w:cs="Segoe UI"/>
      <w:sz w:val="18"/>
      <w:szCs w:val="18"/>
      <w:lang w:val="en-GB"/>
    </w:rPr>
  </w:style>
  <w:style w:type="paragraph" w:styleId="Revision">
    <w:name w:val="Revision"/>
    <w:hidden/>
    <w:uiPriority w:val="99"/>
    <w:semiHidden/>
    <w:rsid w:val="00D00EB9"/>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1492-5678-4D27-A9E6-9B83380F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6890</Words>
  <Characters>39279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Godfrey</dc:creator>
  <cp:lastModifiedBy>BEIGHTON Sarah E</cp:lastModifiedBy>
  <cp:revision>2</cp:revision>
  <dcterms:created xsi:type="dcterms:W3CDTF">2019-01-22T15:03:00Z</dcterms:created>
  <dcterms:modified xsi:type="dcterms:W3CDTF">2019-01-22T15:03:00Z</dcterms:modified>
</cp:coreProperties>
</file>