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702" w:rsidRPr="004E5F94" w:rsidRDefault="002B7C79" w:rsidP="004E5F94">
      <w:pPr>
        <w:spacing w:line="360" w:lineRule="auto"/>
        <w:rPr>
          <w:rFonts w:cstheme="minorHAnsi"/>
        </w:rPr>
      </w:pPr>
      <w:r>
        <w:rPr>
          <w:rFonts w:cstheme="minorHAnsi"/>
        </w:rPr>
        <w:t>‘DID YOU KNOW THAT THE RSPCA WAS SET UP SIXTY YEARS EARLIER THAN THE NSPCC</w:t>
      </w:r>
      <w:r w:rsidR="00DB7702" w:rsidRPr="004E5F94">
        <w:rPr>
          <w:rFonts w:cstheme="minorHAnsi"/>
        </w:rPr>
        <w:t xml:space="preserve">?’ </w:t>
      </w:r>
    </w:p>
    <w:p w:rsidR="00DB7702" w:rsidRPr="004E5F94" w:rsidRDefault="00DB7702" w:rsidP="004E5F94">
      <w:pPr>
        <w:spacing w:line="360" w:lineRule="auto"/>
        <w:rPr>
          <w:rFonts w:cstheme="minorHAnsi"/>
        </w:rPr>
      </w:pPr>
    </w:p>
    <w:p w:rsidR="00B80D1E" w:rsidRDefault="005E4FD0" w:rsidP="004E5F94">
      <w:pPr>
        <w:spacing w:line="360" w:lineRule="auto"/>
      </w:pPr>
      <w:r w:rsidRPr="004E5F94">
        <w:t xml:space="preserve">Contemporary society is peppered with </w:t>
      </w:r>
      <w:r w:rsidR="002B7C79">
        <w:t>s</w:t>
      </w:r>
      <w:r w:rsidR="001078A1" w:rsidRPr="004E5F94">
        <w:t xml:space="preserve">tate </w:t>
      </w:r>
      <w:r w:rsidRPr="004E5F94">
        <w:t>regulation – regulation of housing, driving, communication, education</w:t>
      </w:r>
      <w:r w:rsidR="00ED0CDA" w:rsidRPr="004E5F94">
        <w:t xml:space="preserve"> to name but a few</w:t>
      </w:r>
      <w:r w:rsidR="00B80D1E" w:rsidRPr="004E5F94">
        <w:t>. Even without taking the mass of health and safety regulation that has increased over the 20</w:t>
      </w:r>
      <w:r w:rsidR="00B80D1E" w:rsidRPr="004E5F94">
        <w:rPr>
          <w:vertAlign w:val="superscript"/>
        </w:rPr>
        <w:t>th</w:t>
      </w:r>
      <w:r w:rsidR="00B80D1E" w:rsidRPr="004E5F94">
        <w:t xml:space="preserve"> century, </w:t>
      </w:r>
      <w:r w:rsidR="002B7C79">
        <w:t>s</w:t>
      </w:r>
      <w:r w:rsidR="005F1BCD">
        <w:t xml:space="preserve">tate regulation controls </w:t>
      </w:r>
      <w:r w:rsidR="005F1BCD" w:rsidRPr="004E5F94">
        <w:t xml:space="preserve">virtually </w:t>
      </w:r>
      <w:r w:rsidR="001078A1" w:rsidRPr="004E5F94">
        <w:t>a</w:t>
      </w:r>
      <w:r w:rsidR="005F1BCD">
        <w:t>ll activity people engage in</w:t>
      </w:r>
      <w:r w:rsidR="001078A1" w:rsidRPr="004E5F94">
        <w:t xml:space="preserve"> and all instituti</w:t>
      </w:r>
      <w:r w:rsidR="005F1BCD">
        <w:t xml:space="preserve">ons that </w:t>
      </w:r>
      <w:r w:rsidR="00FA587A">
        <w:t>activity</w:t>
      </w:r>
      <w:r w:rsidR="005F1BCD">
        <w:t xml:space="preserve"> involve</w:t>
      </w:r>
      <w:r w:rsidR="00B80D1E" w:rsidRPr="004E5F94">
        <w:t xml:space="preserve">. </w:t>
      </w:r>
      <w:r w:rsidR="001078A1" w:rsidRPr="004E5F94">
        <w:t>We live very much in a ‘regulat</w:t>
      </w:r>
      <w:r w:rsidR="005F1BCD">
        <w:t xml:space="preserve">ory-state’ </w:t>
      </w:r>
      <w:r w:rsidR="00CC787B">
        <w:t xml:space="preserve">where there are rules, regulations and laws that govern everyday life </w:t>
      </w:r>
      <w:r w:rsidR="005F1BCD">
        <w:t>(Braithwaite, 2011). B</w:t>
      </w:r>
      <w:r w:rsidR="001078A1" w:rsidRPr="004E5F94">
        <w:t>ut l</w:t>
      </w:r>
      <w:r w:rsidR="00B80D1E" w:rsidRPr="004E5F94">
        <w:t xml:space="preserve">ife was not always like this. </w:t>
      </w:r>
      <w:r w:rsidR="00734C9A" w:rsidRPr="004E5F94">
        <w:t xml:space="preserve">Godfrey </w:t>
      </w:r>
      <w:r w:rsidR="00734C9A" w:rsidRPr="004E5F94">
        <w:rPr>
          <w:i/>
          <w:iCs/>
        </w:rPr>
        <w:t xml:space="preserve">et al </w:t>
      </w:r>
      <w:r w:rsidR="00734C9A" w:rsidRPr="004E5F94">
        <w:t xml:space="preserve">(2007) argue that </w:t>
      </w:r>
      <w:r w:rsidR="00B80D1E" w:rsidRPr="004E5F94">
        <w:t xml:space="preserve">it was </w:t>
      </w:r>
      <w:r w:rsidR="00734C9A" w:rsidRPr="004E5F94">
        <w:t xml:space="preserve">the </w:t>
      </w:r>
      <w:r w:rsidR="00CC787B">
        <w:t>second half</w:t>
      </w:r>
      <w:r w:rsidR="00734C9A" w:rsidRPr="004E5F94">
        <w:t xml:space="preserve"> of the</w:t>
      </w:r>
      <w:r w:rsidR="006F2C27">
        <w:t xml:space="preserve"> 19</w:t>
      </w:r>
      <w:r w:rsidR="006F2C27" w:rsidRPr="006F2C27">
        <w:rPr>
          <w:vertAlign w:val="superscript"/>
        </w:rPr>
        <w:t>th</w:t>
      </w:r>
      <w:r w:rsidR="00734C9A" w:rsidRPr="004E5F94">
        <w:t xml:space="preserve"> century </w:t>
      </w:r>
      <w:r w:rsidR="00B80D1E" w:rsidRPr="004E5F94">
        <w:t xml:space="preserve">that </w:t>
      </w:r>
      <w:r w:rsidR="000877E4" w:rsidRPr="004E5F94">
        <w:t xml:space="preserve">Britain </w:t>
      </w:r>
      <w:r w:rsidR="006F2C27">
        <w:t>saw the beginning of this</w:t>
      </w:r>
      <w:r w:rsidR="001078A1" w:rsidRPr="004E5F94">
        <w:t xml:space="preserve"> regulatory state</w:t>
      </w:r>
      <w:r w:rsidR="00B80D1E" w:rsidRPr="004E5F94">
        <w:t>, which</w:t>
      </w:r>
      <w:r w:rsidR="00734C9A" w:rsidRPr="004E5F94">
        <w:t xml:space="preserve"> </w:t>
      </w:r>
      <w:r w:rsidR="00B80D1E" w:rsidRPr="004E5F94">
        <w:t xml:space="preserve">then grew exponentially over the </w:t>
      </w:r>
      <w:r w:rsidR="006F2C27">
        <w:t>20</w:t>
      </w:r>
      <w:r w:rsidR="006F2C27" w:rsidRPr="006F2C27">
        <w:rPr>
          <w:vertAlign w:val="superscript"/>
        </w:rPr>
        <w:t>th</w:t>
      </w:r>
      <w:r w:rsidR="00B80D1E" w:rsidRPr="004E5F94">
        <w:t xml:space="preserve"> century. They</w:t>
      </w:r>
      <w:r w:rsidR="00734C9A" w:rsidRPr="004E5F94">
        <w:t xml:space="preserve"> </w:t>
      </w:r>
      <w:r w:rsidR="00B80D1E" w:rsidRPr="004E5F94">
        <w:t>argue that</w:t>
      </w:r>
      <w:r w:rsidR="00734C9A" w:rsidRPr="004E5F94">
        <w:t xml:space="preserve"> private and local authority agencies, backed by central government, turned to social regulation to alleviate the poverty and deprivation </w:t>
      </w:r>
      <w:r w:rsidR="00E846B6">
        <w:t>caused by</w:t>
      </w:r>
      <w:r w:rsidR="00734C9A" w:rsidRPr="004E5F94">
        <w:t xml:space="preserve"> industrial, economic and urban changes that took place during the previous decades of the </w:t>
      </w:r>
      <w:r w:rsidR="00E846B6">
        <w:t>19</w:t>
      </w:r>
      <w:r w:rsidR="00E846B6" w:rsidRPr="00E846B6">
        <w:rPr>
          <w:vertAlign w:val="superscript"/>
        </w:rPr>
        <w:t>th</w:t>
      </w:r>
      <w:r w:rsidR="00B80D1E" w:rsidRPr="004E5F94">
        <w:t xml:space="preserve"> century</w:t>
      </w:r>
      <w:r w:rsidR="00734C9A" w:rsidRPr="004E5F94">
        <w:t xml:space="preserve">.  </w:t>
      </w:r>
      <w:r w:rsidR="006F2C27">
        <w:t>Thus</w:t>
      </w:r>
      <w:r w:rsidR="00ED0CDA" w:rsidRPr="004E5F94">
        <w:t xml:space="preserve"> began a time of social responsibly that the problems caused by the enormous change</w:t>
      </w:r>
      <w:r w:rsidR="00E846B6">
        <w:t>s of the Industrial Revolution w</w:t>
      </w:r>
      <w:r w:rsidR="00ED0CDA" w:rsidRPr="004E5F94">
        <w:t>ould now</w:t>
      </w:r>
      <w:r w:rsidR="005F1BCD">
        <w:t xml:space="preserve"> be addressed. It was during </w:t>
      </w:r>
      <w:r w:rsidR="00CE4D3E">
        <w:t>this period, over the 19</w:t>
      </w:r>
      <w:r w:rsidR="00CE4D3E" w:rsidRPr="00CE4D3E">
        <w:rPr>
          <w:vertAlign w:val="superscript"/>
        </w:rPr>
        <w:t>th</w:t>
      </w:r>
      <w:r w:rsidR="00CE4D3E">
        <w:t xml:space="preserve"> century,</w:t>
      </w:r>
      <w:r w:rsidR="00ED0CDA" w:rsidRPr="004E5F94">
        <w:t xml:space="preserve"> </w:t>
      </w:r>
      <w:r w:rsidR="00CC787B">
        <w:t>in this atmosphere</w:t>
      </w:r>
      <w:r w:rsidR="005451FA">
        <w:t>,</w:t>
      </w:r>
      <w:r w:rsidR="00CC787B" w:rsidRPr="004E5F94">
        <w:t xml:space="preserve"> </w:t>
      </w:r>
      <w:r w:rsidR="00B80D1E" w:rsidRPr="004E5F94">
        <w:t>that the conditions under which children and animals were kept and how they were</w:t>
      </w:r>
      <w:r w:rsidR="006F2C27">
        <w:t xml:space="preserve"> treated became pressing issues. I</w:t>
      </w:r>
      <w:r w:rsidR="00175D96" w:rsidRPr="004E5F94">
        <w:t xml:space="preserve">t seemed that </w:t>
      </w:r>
      <w:r w:rsidR="006F2C27">
        <w:t>their</w:t>
      </w:r>
      <w:r w:rsidR="00B80D1E" w:rsidRPr="004E5F94">
        <w:t xml:space="preserve"> life experiences could be improved through regulation</w:t>
      </w:r>
      <w:r w:rsidR="006F2C27">
        <w:t>. However,</w:t>
      </w:r>
      <w:r w:rsidR="005D6D9D" w:rsidRPr="004E5F94">
        <w:t xml:space="preserve"> </w:t>
      </w:r>
      <w:r w:rsidR="005F1BCD">
        <w:t>it was</w:t>
      </w:r>
      <w:r w:rsidR="006F2C27">
        <w:t xml:space="preserve"> </w:t>
      </w:r>
      <w:r w:rsidR="005D6D9D" w:rsidRPr="004E5F94">
        <w:t>the</w:t>
      </w:r>
      <w:r w:rsidR="006F2C27">
        <w:t xml:space="preserve"> welfare of a</w:t>
      </w:r>
      <w:r w:rsidR="005F1BCD">
        <w:t>nimals</w:t>
      </w:r>
      <w:r w:rsidR="00CC787B">
        <w:t xml:space="preserve"> that took precedence</w:t>
      </w:r>
      <w:r w:rsidR="00B80D1E" w:rsidRPr="004E5F94">
        <w:t xml:space="preserve">. </w:t>
      </w:r>
    </w:p>
    <w:p w:rsidR="006F2C27" w:rsidRPr="004E5F94" w:rsidRDefault="006F2C27" w:rsidP="004E5F94">
      <w:pPr>
        <w:spacing w:line="360" w:lineRule="auto"/>
      </w:pPr>
    </w:p>
    <w:p w:rsidR="00B80D1E" w:rsidRPr="00CC787B" w:rsidRDefault="00B70DCB" w:rsidP="00CC787B">
      <w:pPr>
        <w:spacing w:line="360" w:lineRule="auto"/>
        <w:rPr>
          <w:rFonts w:cstheme="minorHAnsi"/>
        </w:rPr>
      </w:pPr>
      <w:r>
        <w:t>T</w:t>
      </w:r>
      <w:r w:rsidR="00CA0F6F">
        <w:t xml:space="preserve">he </w:t>
      </w:r>
      <w:r w:rsidR="00CA0F6F" w:rsidRPr="004E5F94">
        <w:t xml:space="preserve">Royal Society for the Prevention of Cruelty to Animals (RSPCA) </w:t>
      </w:r>
      <w:r w:rsidR="00CA0F6F">
        <w:t xml:space="preserve">originated in the early </w:t>
      </w:r>
      <w:r>
        <w:t>19</w:t>
      </w:r>
      <w:r w:rsidR="00CA0F6F" w:rsidRPr="00CA0F6F">
        <w:rPr>
          <w:vertAlign w:val="superscript"/>
        </w:rPr>
        <w:t>th</w:t>
      </w:r>
      <w:r w:rsidR="00CA0F6F">
        <w:t xml:space="preserve"> century</w:t>
      </w:r>
      <w:r w:rsidR="006F2C27">
        <w:t xml:space="preserve"> (Rivito, 1987)</w:t>
      </w:r>
      <w:r>
        <w:t>. It was the first animal charity in the world</w:t>
      </w:r>
      <w:r w:rsidRPr="00B70DCB">
        <w:t xml:space="preserve"> </w:t>
      </w:r>
      <w:r>
        <w:t>although many other European countries and America followed suit shortly afterwards</w:t>
      </w:r>
      <w:r w:rsidR="00CA0F6F">
        <w:t xml:space="preserve">. </w:t>
      </w:r>
      <w:r w:rsidR="00175D96" w:rsidRPr="004E5F94">
        <w:t xml:space="preserve">The Society for the Prevention of Cruelty to Animals was founded in a London Coffee shop in 1824 but became the </w:t>
      </w:r>
      <w:r w:rsidR="00CA0F6F">
        <w:t xml:space="preserve">RSPCA </w:t>
      </w:r>
      <w:r w:rsidR="00175D96" w:rsidRPr="004E5F94">
        <w:t xml:space="preserve">in 1840 when Queen Victoria bestowed her patronage on the Society. </w:t>
      </w:r>
      <w:r w:rsidR="000877E4" w:rsidRPr="004E5F94">
        <w:t>At a time when animals were used for food, chattels or sport</w:t>
      </w:r>
      <w:r w:rsidR="002B7C79">
        <w:t xml:space="preserve"> rather than as pets</w:t>
      </w:r>
      <w:r w:rsidR="000877E4" w:rsidRPr="004E5F94">
        <w:t>, the RSPCA’s</w:t>
      </w:r>
      <w:r w:rsidR="00175D96" w:rsidRPr="004E5F94">
        <w:t xml:space="preserve"> focus in those early</w:t>
      </w:r>
      <w:r w:rsidR="000877E4" w:rsidRPr="004E5F94">
        <w:t xml:space="preserve"> days was the welfare</w:t>
      </w:r>
      <w:r w:rsidR="00175D96" w:rsidRPr="004E5F94">
        <w:t xml:space="preserve"> of animals in dangerous occupations such as ‘pit ponies’ and horses and ponies used to pull traps</w:t>
      </w:r>
      <w:r w:rsidR="000877E4" w:rsidRPr="004E5F94">
        <w:t xml:space="preserve"> for example</w:t>
      </w:r>
      <w:r w:rsidR="00175D96" w:rsidRPr="004E5F94">
        <w:t>.</w:t>
      </w:r>
      <w:r w:rsidR="000877E4" w:rsidRPr="004E5F94">
        <w:t xml:space="preserve"> </w:t>
      </w:r>
      <w:r>
        <w:t xml:space="preserve">As well as bringing prosecutions for the maltreatment of animals, the RSPCA </w:t>
      </w:r>
      <w:r w:rsidR="006F2C27">
        <w:t xml:space="preserve">also </w:t>
      </w:r>
      <w:r>
        <w:t>campaigned to</w:t>
      </w:r>
      <w:r w:rsidR="00175D96" w:rsidRPr="004E5F94">
        <w:t xml:space="preserve"> </w:t>
      </w:r>
      <w:r>
        <w:t>influence</w:t>
      </w:r>
      <w:r w:rsidR="00175D96" w:rsidRPr="004E5F94">
        <w:t xml:space="preserve"> the law</w:t>
      </w:r>
      <w:r>
        <w:t xml:space="preserve"> regarding animal welfare. It was</w:t>
      </w:r>
      <w:r w:rsidR="00175D96" w:rsidRPr="004E5F94">
        <w:t xml:space="preserve"> instrumental in prohibiting cruelty to cattle, then domestic animals such as dogs</w:t>
      </w:r>
      <w:r w:rsidR="000877E4" w:rsidRPr="004E5F94">
        <w:t>, and t</w:t>
      </w:r>
      <w:r w:rsidR="00175D96" w:rsidRPr="004E5F94">
        <w:t xml:space="preserve">he </w:t>
      </w:r>
      <w:r w:rsidR="000877E4" w:rsidRPr="004E5F94">
        <w:t xml:space="preserve">passing of the </w:t>
      </w:r>
      <w:r w:rsidR="00175D96" w:rsidRPr="004E5F94">
        <w:t xml:space="preserve">1835 Pease Act </w:t>
      </w:r>
      <w:r w:rsidR="000877E4" w:rsidRPr="004E5F94">
        <w:t xml:space="preserve">which </w:t>
      </w:r>
      <w:r w:rsidR="00175D96" w:rsidRPr="004E5F94">
        <w:t xml:space="preserve">forbade </w:t>
      </w:r>
      <w:r w:rsidR="006F2C27">
        <w:t xml:space="preserve">bear baiting and cock-fighting - </w:t>
      </w:r>
      <w:r w:rsidR="00175D96" w:rsidRPr="004E5F94">
        <w:t>popular but cruel ‘sports’</w:t>
      </w:r>
      <w:r w:rsidR="006F2C27">
        <w:t xml:space="preserve">. More recent </w:t>
      </w:r>
      <w:r w:rsidR="000877E4" w:rsidRPr="004E5F94">
        <w:t>20</w:t>
      </w:r>
      <w:r w:rsidR="000877E4" w:rsidRPr="004E5F94">
        <w:rPr>
          <w:vertAlign w:val="superscript"/>
        </w:rPr>
        <w:t>th</w:t>
      </w:r>
      <w:r w:rsidR="006F2C27">
        <w:t xml:space="preserve"> century</w:t>
      </w:r>
      <w:r w:rsidR="000877E4" w:rsidRPr="004E5F94">
        <w:t xml:space="preserve"> successes have been </w:t>
      </w:r>
      <w:r w:rsidR="002B7C79">
        <w:t xml:space="preserve">their influence on legislation </w:t>
      </w:r>
      <w:r w:rsidR="000877E4" w:rsidRPr="004E5F94">
        <w:t>o</w:t>
      </w:r>
      <w:r w:rsidR="000877E4" w:rsidRPr="00CC787B">
        <w:rPr>
          <w:rFonts w:cstheme="minorHAnsi"/>
        </w:rPr>
        <w:t xml:space="preserve">n the use of animals in laboratories, fur farming, and the banning of fox hunting with dogs. </w:t>
      </w:r>
    </w:p>
    <w:p w:rsidR="006F2C27" w:rsidRPr="00CC787B" w:rsidRDefault="006F2C27" w:rsidP="00CC787B">
      <w:pPr>
        <w:spacing w:line="360" w:lineRule="auto"/>
        <w:rPr>
          <w:rFonts w:cstheme="minorHAnsi"/>
        </w:rPr>
      </w:pPr>
    </w:p>
    <w:p w:rsidR="005F1BCD" w:rsidRPr="00CC787B" w:rsidRDefault="00CC787B" w:rsidP="00CC787B">
      <w:pPr>
        <w:spacing w:line="360" w:lineRule="auto"/>
        <w:rPr>
          <w:rFonts w:cstheme="minorHAnsi"/>
        </w:rPr>
      </w:pPr>
      <w:r w:rsidRPr="005D43AE">
        <w:lastRenderedPageBreak/>
        <w:t xml:space="preserve">During the </w:t>
      </w:r>
      <w:r w:rsidRPr="005D43AE">
        <w:rPr>
          <w:noProof/>
        </w:rPr>
        <w:t>19th century,</w:t>
      </w:r>
      <w:r w:rsidRPr="005D43AE">
        <w:t xml:space="preserve"> child cruelty and neglect were considered tragic consequences of life among the poor. Child labour exploitation </w:t>
      </w:r>
      <w:r w:rsidRPr="005D43AE">
        <w:rPr>
          <w:noProof/>
        </w:rPr>
        <w:t>was tolerated</w:t>
      </w:r>
      <w:r w:rsidRPr="005D43AE">
        <w:t xml:space="preserve"> as it was cheap, children were also able to carry out many tasks that adults could not, for example, crawling into confined spaces. Furthermore, much child cruelty was deemed necessary</w:t>
      </w:r>
      <w:r w:rsidRPr="005D43AE">
        <w:rPr>
          <w:noProof/>
        </w:rPr>
        <w:t xml:space="preserve"> to</w:t>
      </w:r>
      <w:r w:rsidRPr="005D43AE">
        <w:t xml:space="preserve"> discipline the child. Much of this cruelty took place within </w:t>
      </w:r>
      <w:r w:rsidRPr="00CC787B">
        <w:rPr>
          <w:rFonts w:cstheme="minorHAnsi"/>
        </w:rPr>
        <w:t xml:space="preserve">families, schools and factories. However, </w:t>
      </w:r>
      <w:r w:rsidR="005451FA">
        <w:rPr>
          <w:rFonts w:cstheme="minorHAnsi"/>
        </w:rPr>
        <w:t xml:space="preserve">similar to animal protection, </w:t>
      </w:r>
      <w:r w:rsidR="005451FA" w:rsidRPr="00CC787B">
        <w:rPr>
          <w:rFonts w:cstheme="minorHAnsi"/>
        </w:rPr>
        <w:t xml:space="preserve">work to protect child welfare </w:t>
      </w:r>
      <w:r w:rsidR="005451FA">
        <w:rPr>
          <w:rFonts w:cstheme="minorHAnsi"/>
        </w:rPr>
        <w:t>also started</w:t>
      </w:r>
      <w:r w:rsidR="005451FA" w:rsidRPr="00CC787B">
        <w:rPr>
          <w:rFonts w:cstheme="minorHAnsi"/>
        </w:rPr>
        <w:t xml:space="preserve"> in the early 19</w:t>
      </w:r>
      <w:r w:rsidR="005451FA" w:rsidRPr="00CC787B">
        <w:rPr>
          <w:rFonts w:cstheme="minorHAnsi"/>
          <w:vertAlign w:val="superscript"/>
        </w:rPr>
        <w:t>th</w:t>
      </w:r>
      <w:r w:rsidR="005451FA" w:rsidRPr="00CC787B">
        <w:rPr>
          <w:rFonts w:cstheme="minorHAnsi"/>
        </w:rPr>
        <w:t xml:space="preserve"> century. </w:t>
      </w:r>
      <w:r w:rsidR="001E6F22" w:rsidRPr="00CC787B">
        <w:rPr>
          <w:rFonts w:cstheme="minorHAnsi"/>
        </w:rPr>
        <w:t>The 1834 Poor Law Amendment Act</w:t>
      </w:r>
      <w:r w:rsidR="005451FA">
        <w:rPr>
          <w:rFonts w:cstheme="minorHAnsi"/>
        </w:rPr>
        <w:t xml:space="preserve"> </w:t>
      </w:r>
      <w:r w:rsidR="001E6F22" w:rsidRPr="00CC787B">
        <w:rPr>
          <w:rFonts w:cstheme="minorHAnsi"/>
        </w:rPr>
        <w:t>set up workhouses for destitute people in England</w:t>
      </w:r>
      <w:r w:rsidRPr="00CC787B">
        <w:rPr>
          <w:rFonts w:cstheme="minorHAnsi"/>
        </w:rPr>
        <w:t xml:space="preserve"> and W</w:t>
      </w:r>
      <w:r w:rsidR="001E6F22" w:rsidRPr="00CC787B">
        <w:rPr>
          <w:rFonts w:cstheme="minorHAnsi"/>
        </w:rPr>
        <w:t>ales</w:t>
      </w:r>
      <w:r w:rsidRPr="00CC787B">
        <w:rPr>
          <w:rFonts w:cstheme="minorHAnsi"/>
        </w:rPr>
        <w:t>,</w:t>
      </w:r>
      <w:r w:rsidR="001E6F22" w:rsidRPr="00CC787B">
        <w:rPr>
          <w:rFonts w:cstheme="minorHAnsi"/>
        </w:rPr>
        <w:t xml:space="preserve"> and</w:t>
      </w:r>
      <w:r w:rsidR="001E6F22" w:rsidRPr="00CC787B">
        <w:rPr>
          <w:rFonts w:cstheme="minorHAnsi"/>
          <w:lang w:val="en-US"/>
        </w:rPr>
        <w:t xml:space="preserve"> </w:t>
      </w:r>
      <w:r w:rsidRPr="00CC787B">
        <w:rPr>
          <w:rFonts w:cstheme="minorHAnsi"/>
          <w:lang w:val="en-US"/>
        </w:rPr>
        <w:t xml:space="preserve">for </w:t>
      </w:r>
      <w:r w:rsidR="001E6F22" w:rsidRPr="00CC787B">
        <w:rPr>
          <w:rFonts w:cstheme="minorHAnsi"/>
          <w:lang w:val="en-US"/>
        </w:rPr>
        <w:t xml:space="preserve">children who had been deserted or neglected by their parents the workhouse </w:t>
      </w:r>
      <w:r w:rsidRPr="00CC787B">
        <w:rPr>
          <w:rFonts w:cstheme="minorHAnsi"/>
          <w:lang w:val="en-US"/>
        </w:rPr>
        <w:t xml:space="preserve">became a refuge </w:t>
      </w:r>
      <w:r w:rsidR="001E6F22" w:rsidRPr="00CC787B">
        <w:rPr>
          <w:rFonts w:cstheme="minorHAnsi"/>
          <w:lang w:val="en-US"/>
        </w:rPr>
        <w:t>(Hulonce, 2017).</w:t>
      </w:r>
      <w:r w:rsidRPr="00CC787B">
        <w:rPr>
          <w:rFonts w:cstheme="minorHAnsi"/>
          <w:lang w:val="en-US"/>
        </w:rPr>
        <w:t xml:space="preserve"> </w:t>
      </w:r>
      <w:r w:rsidR="002B7C79">
        <w:rPr>
          <w:rFonts w:cstheme="minorHAnsi"/>
          <w:color w:val="000000"/>
          <w:shd w:val="clear" w:color="auto" w:fill="FFFFFF"/>
        </w:rPr>
        <w:t>Campaigning</w:t>
      </w:r>
      <w:r w:rsidR="006A2BE1">
        <w:rPr>
          <w:rFonts w:cstheme="minorHAnsi"/>
          <w:color w:val="000000"/>
          <w:shd w:val="clear" w:color="auto" w:fill="FFFFFF"/>
        </w:rPr>
        <w:t xml:space="preserve"> to alleviate the horrors of </w:t>
      </w:r>
      <w:r w:rsidR="005451FA">
        <w:rPr>
          <w:rFonts w:cstheme="minorHAnsi"/>
          <w:color w:val="000000"/>
          <w:shd w:val="clear" w:color="auto" w:fill="FFFFFF"/>
        </w:rPr>
        <w:t>19</w:t>
      </w:r>
      <w:r w:rsidR="005451FA" w:rsidRPr="005451FA">
        <w:rPr>
          <w:rFonts w:cstheme="minorHAnsi"/>
          <w:color w:val="000000"/>
          <w:shd w:val="clear" w:color="auto" w:fill="FFFFFF"/>
          <w:vertAlign w:val="superscript"/>
        </w:rPr>
        <w:t>th</w:t>
      </w:r>
      <w:r w:rsidR="005451FA">
        <w:rPr>
          <w:rFonts w:cstheme="minorHAnsi"/>
          <w:color w:val="000000"/>
          <w:shd w:val="clear" w:color="auto" w:fill="FFFFFF"/>
        </w:rPr>
        <w:t xml:space="preserve"> century </w:t>
      </w:r>
      <w:r w:rsidRPr="00CC787B">
        <w:rPr>
          <w:rFonts w:cstheme="minorHAnsi"/>
          <w:color w:val="000000"/>
          <w:shd w:val="clear" w:color="auto" w:fill="FFFFFF"/>
        </w:rPr>
        <w:t xml:space="preserve">child labour culminated in the </w:t>
      </w:r>
      <w:r w:rsidR="006A2BE1">
        <w:rPr>
          <w:rFonts w:cstheme="minorHAnsi"/>
          <w:color w:val="000000"/>
          <w:shd w:val="clear" w:color="auto" w:fill="FFFFFF"/>
        </w:rPr>
        <w:t xml:space="preserve">1833 </w:t>
      </w:r>
      <w:r w:rsidRPr="00CC787B">
        <w:rPr>
          <w:rFonts w:cstheme="minorHAnsi"/>
          <w:color w:val="000000"/>
          <w:shd w:val="clear" w:color="auto" w:fill="FFFFFF"/>
        </w:rPr>
        <w:t>Factory Act</w:t>
      </w:r>
      <w:r w:rsidR="005451FA">
        <w:rPr>
          <w:rFonts w:cstheme="minorHAnsi"/>
          <w:color w:val="000000"/>
          <w:shd w:val="clear" w:color="auto" w:fill="FFFFFF"/>
        </w:rPr>
        <w:t>,</w:t>
      </w:r>
      <w:r w:rsidRPr="00CC787B">
        <w:rPr>
          <w:rFonts w:cstheme="minorHAnsi"/>
          <w:color w:val="000000"/>
          <w:shd w:val="clear" w:color="auto" w:fill="FFFFFF"/>
        </w:rPr>
        <w:t xml:space="preserve"> </w:t>
      </w:r>
      <w:r w:rsidR="006A2BE1">
        <w:rPr>
          <w:rFonts w:cstheme="minorHAnsi"/>
          <w:color w:val="000000"/>
          <w:shd w:val="clear" w:color="auto" w:fill="FFFFFF"/>
        </w:rPr>
        <w:t xml:space="preserve">which </w:t>
      </w:r>
      <w:r w:rsidR="006A2BE1" w:rsidRPr="00CC787B">
        <w:rPr>
          <w:rFonts w:cstheme="minorHAnsi"/>
          <w:color w:val="000000"/>
          <w:shd w:val="clear" w:color="auto" w:fill="FFFFFF"/>
        </w:rPr>
        <w:t>prohibited the employme</w:t>
      </w:r>
      <w:r w:rsidR="006A2BE1">
        <w:rPr>
          <w:rFonts w:cstheme="minorHAnsi"/>
          <w:color w:val="000000"/>
          <w:shd w:val="clear" w:color="auto" w:fill="FFFFFF"/>
        </w:rPr>
        <w:t>nt of children younger than 9</w:t>
      </w:r>
      <w:r w:rsidR="006A2BE1" w:rsidRPr="00CC787B">
        <w:rPr>
          <w:rFonts w:cstheme="minorHAnsi"/>
          <w:color w:val="000000"/>
          <w:shd w:val="clear" w:color="auto" w:fill="FFFFFF"/>
        </w:rPr>
        <w:t xml:space="preserve"> years of age and limited the hours that children </w:t>
      </w:r>
      <w:r w:rsidR="006A2BE1">
        <w:rPr>
          <w:rFonts w:cstheme="minorHAnsi"/>
          <w:color w:val="000000"/>
          <w:shd w:val="clear" w:color="auto" w:fill="FFFFFF"/>
        </w:rPr>
        <w:t>between 9 and 13 could work</w:t>
      </w:r>
      <w:r w:rsidR="00F374F2">
        <w:rPr>
          <w:rFonts w:cstheme="minorHAnsi"/>
          <w:color w:val="000000"/>
          <w:shd w:val="clear" w:color="auto" w:fill="FFFFFF"/>
        </w:rPr>
        <w:t>,</w:t>
      </w:r>
      <w:r w:rsidR="006A2BE1">
        <w:rPr>
          <w:rFonts w:cstheme="minorHAnsi"/>
          <w:color w:val="000000"/>
          <w:shd w:val="clear" w:color="auto" w:fill="FFFFFF"/>
        </w:rPr>
        <w:t xml:space="preserve"> </w:t>
      </w:r>
      <w:r w:rsidRPr="00CC787B">
        <w:rPr>
          <w:rFonts w:cstheme="minorHAnsi"/>
          <w:color w:val="000000"/>
          <w:shd w:val="clear" w:color="auto" w:fill="FFFFFF"/>
        </w:rPr>
        <w:t xml:space="preserve">and the </w:t>
      </w:r>
      <w:r w:rsidR="006A2BE1">
        <w:rPr>
          <w:rFonts w:cstheme="minorHAnsi"/>
          <w:color w:val="000000"/>
          <w:shd w:val="clear" w:color="auto" w:fill="FFFFFF"/>
        </w:rPr>
        <w:t>1842 Mines Act</w:t>
      </w:r>
      <w:r w:rsidR="005451FA">
        <w:rPr>
          <w:rFonts w:cstheme="minorHAnsi"/>
          <w:color w:val="000000"/>
          <w:shd w:val="clear" w:color="auto" w:fill="FFFFFF"/>
        </w:rPr>
        <w:t>,</w:t>
      </w:r>
      <w:r w:rsidR="006A2BE1">
        <w:rPr>
          <w:rFonts w:cstheme="minorHAnsi"/>
          <w:color w:val="000000"/>
          <w:shd w:val="clear" w:color="auto" w:fill="FFFFFF"/>
        </w:rPr>
        <w:t xml:space="preserve"> which</w:t>
      </w:r>
      <w:r w:rsidRPr="00CC787B">
        <w:rPr>
          <w:rFonts w:cstheme="minorHAnsi"/>
          <w:color w:val="000000"/>
          <w:shd w:val="clear" w:color="auto" w:fill="FFFFFF"/>
        </w:rPr>
        <w:t xml:space="preserve"> raised the starting age of colliery workers to 10 years.</w:t>
      </w:r>
    </w:p>
    <w:p w:rsidR="005F1BCD" w:rsidRPr="00CC787B" w:rsidRDefault="005F1BCD" w:rsidP="00CC787B">
      <w:pPr>
        <w:spacing w:line="360" w:lineRule="auto"/>
        <w:rPr>
          <w:rFonts w:cstheme="minorHAnsi"/>
        </w:rPr>
      </w:pPr>
    </w:p>
    <w:p w:rsidR="00041375" w:rsidRDefault="005F1BCD" w:rsidP="004E5F94">
      <w:pPr>
        <w:spacing w:line="360" w:lineRule="auto"/>
        <w:rPr>
          <w:rFonts w:cstheme="minorHAnsi"/>
        </w:rPr>
      </w:pPr>
      <w:r w:rsidRPr="00CC787B">
        <w:rPr>
          <w:rFonts w:cstheme="minorHAnsi"/>
        </w:rPr>
        <w:t>However, formal means to regulate the welfare of children cam</w:t>
      </w:r>
      <w:r w:rsidR="00CC787B">
        <w:rPr>
          <w:rFonts w:cstheme="minorHAnsi"/>
        </w:rPr>
        <w:t>e</w:t>
      </w:r>
      <w:r w:rsidRPr="00CC787B">
        <w:rPr>
          <w:rFonts w:cstheme="minorHAnsi"/>
        </w:rPr>
        <w:t xml:space="preserve"> </w:t>
      </w:r>
      <w:r w:rsidR="00CC787B">
        <w:rPr>
          <w:rFonts w:cstheme="minorHAnsi"/>
        </w:rPr>
        <w:t>40 years later than the setting up of the RSPCA</w:t>
      </w:r>
      <w:r w:rsidR="001E6F22">
        <w:rPr>
          <w:rFonts w:cstheme="minorHAnsi"/>
        </w:rPr>
        <w:t xml:space="preserve"> with the setting up of </w:t>
      </w:r>
      <w:r w:rsidR="00DB7702" w:rsidRPr="004E5F94">
        <w:rPr>
          <w:rFonts w:cstheme="minorHAnsi"/>
        </w:rPr>
        <w:t>The London Society for the Prevention</w:t>
      </w:r>
      <w:r w:rsidR="005D6D9D" w:rsidRPr="004E5F94">
        <w:rPr>
          <w:rFonts w:cstheme="minorHAnsi"/>
        </w:rPr>
        <w:t xml:space="preserve"> of Cruelty to Childr</w:t>
      </w:r>
      <w:r w:rsidR="001E6F22">
        <w:rPr>
          <w:rFonts w:cstheme="minorHAnsi"/>
        </w:rPr>
        <w:t>en</w:t>
      </w:r>
      <w:r w:rsidR="00CC787B" w:rsidRPr="00CC787B">
        <w:rPr>
          <w:rFonts w:cstheme="minorHAnsi"/>
        </w:rPr>
        <w:t xml:space="preserve"> </w:t>
      </w:r>
      <w:r w:rsidR="00CC787B">
        <w:rPr>
          <w:rFonts w:cstheme="minorHAnsi"/>
        </w:rPr>
        <w:t>in 1884</w:t>
      </w:r>
      <w:r w:rsidR="00DB7702" w:rsidRPr="004E5F94">
        <w:rPr>
          <w:rFonts w:cstheme="minorHAnsi"/>
        </w:rPr>
        <w:t xml:space="preserve">. In </w:t>
      </w:r>
      <w:r w:rsidR="00F61F10" w:rsidRPr="004E5F94">
        <w:rPr>
          <w:rFonts w:cstheme="minorHAnsi"/>
        </w:rPr>
        <w:t>1889,</w:t>
      </w:r>
      <w:r w:rsidR="00DB7702" w:rsidRPr="004E5F94">
        <w:rPr>
          <w:rFonts w:cstheme="minorHAnsi"/>
        </w:rPr>
        <w:t xml:space="preserve"> it became the N</w:t>
      </w:r>
      <w:r w:rsidR="005D6D9D" w:rsidRPr="004E5F94">
        <w:rPr>
          <w:rFonts w:cstheme="minorHAnsi"/>
        </w:rPr>
        <w:t xml:space="preserve">ational </w:t>
      </w:r>
      <w:r w:rsidR="00DB7702" w:rsidRPr="004E5F94">
        <w:rPr>
          <w:rFonts w:cstheme="minorHAnsi"/>
        </w:rPr>
        <w:t>S</w:t>
      </w:r>
      <w:r w:rsidR="005D6D9D" w:rsidRPr="004E5F94">
        <w:rPr>
          <w:rFonts w:cstheme="minorHAnsi"/>
        </w:rPr>
        <w:t xml:space="preserve">ociety for the </w:t>
      </w:r>
      <w:r w:rsidR="00DB7702" w:rsidRPr="004E5F94">
        <w:rPr>
          <w:rFonts w:cstheme="minorHAnsi"/>
        </w:rPr>
        <w:t>P</w:t>
      </w:r>
      <w:r w:rsidR="005D6D9D" w:rsidRPr="004E5F94">
        <w:rPr>
          <w:rFonts w:cstheme="minorHAnsi"/>
        </w:rPr>
        <w:t xml:space="preserve">revention of </w:t>
      </w:r>
      <w:r w:rsidR="00DB7702" w:rsidRPr="004E5F94">
        <w:rPr>
          <w:rFonts w:cstheme="minorHAnsi"/>
        </w:rPr>
        <w:t>C</w:t>
      </w:r>
      <w:r w:rsidR="005D6D9D" w:rsidRPr="004E5F94">
        <w:rPr>
          <w:rFonts w:cstheme="minorHAnsi"/>
        </w:rPr>
        <w:t xml:space="preserve">ruelty to </w:t>
      </w:r>
      <w:r w:rsidR="00DB7702" w:rsidRPr="004E5F94">
        <w:rPr>
          <w:rFonts w:cstheme="minorHAnsi"/>
        </w:rPr>
        <w:t>C</w:t>
      </w:r>
      <w:r w:rsidR="005D6D9D" w:rsidRPr="004E5F94">
        <w:rPr>
          <w:rFonts w:cstheme="minorHAnsi"/>
        </w:rPr>
        <w:t>hildren (NSPCC)</w:t>
      </w:r>
      <w:r w:rsidR="00DB7702" w:rsidRPr="004E5F94">
        <w:rPr>
          <w:rFonts w:cstheme="minorHAnsi"/>
        </w:rPr>
        <w:t xml:space="preserve"> and set up a number a regional Aid Committees to dea</w:t>
      </w:r>
      <w:r w:rsidR="005D6D9D" w:rsidRPr="004E5F94">
        <w:rPr>
          <w:rFonts w:cstheme="minorHAnsi"/>
        </w:rPr>
        <w:t>l with business outside London (</w:t>
      </w:r>
      <w:r w:rsidR="00F61F10">
        <w:rPr>
          <w:rFonts w:cstheme="minorHAnsi"/>
        </w:rPr>
        <w:t>Behlmer</w:t>
      </w:r>
      <w:r w:rsidR="00257102">
        <w:rPr>
          <w:rFonts w:cstheme="minorHAnsi"/>
        </w:rPr>
        <w:t>,</w:t>
      </w:r>
      <w:r w:rsidR="00F61F10">
        <w:rPr>
          <w:rFonts w:cstheme="minorHAnsi"/>
        </w:rPr>
        <w:t xml:space="preserve"> 1982</w:t>
      </w:r>
      <w:r w:rsidR="005D6D9D" w:rsidRPr="004E5F94">
        <w:rPr>
          <w:rFonts w:cstheme="minorHAnsi"/>
        </w:rPr>
        <w:t>)</w:t>
      </w:r>
      <w:r w:rsidR="002F7B2A">
        <w:rPr>
          <w:rFonts w:cstheme="minorHAnsi"/>
        </w:rPr>
        <w:t>. Hence</w:t>
      </w:r>
      <w:r w:rsidR="00DB7702" w:rsidRPr="004E5F94">
        <w:rPr>
          <w:rFonts w:cstheme="minorHAnsi"/>
        </w:rPr>
        <w:t xml:space="preserve">, the NSPCC, in setting up a nation-wide body of professional inspectors following a set of clear policy guidelines and answerable to a central head office, established </w:t>
      </w:r>
      <w:r w:rsidR="0052759D">
        <w:rPr>
          <w:rFonts w:cstheme="minorHAnsi"/>
        </w:rPr>
        <w:t>t</w:t>
      </w:r>
      <w:r w:rsidR="0052759D" w:rsidRPr="004E5F94">
        <w:rPr>
          <w:rFonts w:cstheme="minorHAnsi"/>
        </w:rPr>
        <w:t xml:space="preserve">hroughout England </w:t>
      </w:r>
      <w:r w:rsidR="00DB7702" w:rsidRPr="004E5F94">
        <w:rPr>
          <w:rFonts w:cstheme="minorHAnsi"/>
        </w:rPr>
        <w:t>a systematic programme of welfare intervention that was based on modern notions of family surveillance: regular visits, advice and warning</w:t>
      </w:r>
      <w:r w:rsidR="00F61F10">
        <w:rPr>
          <w:rFonts w:cstheme="minorHAnsi"/>
        </w:rPr>
        <w:t xml:space="preserve"> (</w:t>
      </w:r>
      <w:r w:rsidR="00F61F10" w:rsidRPr="004E5F94">
        <w:rPr>
          <w:rFonts w:cstheme="minorHAnsi"/>
        </w:rPr>
        <w:t>Hendrick</w:t>
      </w:r>
      <w:r w:rsidR="00257102">
        <w:rPr>
          <w:rFonts w:cstheme="minorHAnsi"/>
        </w:rPr>
        <w:t>,</w:t>
      </w:r>
      <w:r w:rsidR="00F61F10" w:rsidRPr="004E5F94">
        <w:rPr>
          <w:rFonts w:cstheme="minorHAnsi"/>
        </w:rPr>
        <w:t xml:space="preserve"> 1994</w:t>
      </w:r>
      <w:r w:rsidR="00F61F10">
        <w:rPr>
          <w:rFonts w:cstheme="minorHAnsi"/>
        </w:rPr>
        <w:t>)</w:t>
      </w:r>
      <w:r w:rsidR="00DB7702" w:rsidRPr="004E5F94">
        <w:rPr>
          <w:rFonts w:cstheme="minorHAnsi"/>
        </w:rPr>
        <w:t xml:space="preserve">. In 1892 Asquith, as </w:t>
      </w:r>
      <w:r w:rsidR="0052759D">
        <w:rPr>
          <w:rFonts w:cstheme="minorHAnsi"/>
        </w:rPr>
        <w:t>Home Secretary, said the NSPCC</w:t>
      </w:r>
      <w:r w:rsidR="00DB7702" w:rsidRPr="004E5F94">
        <w:rPr>
          <w:rFonts w:cstheme="minorHAnsi"/>
        </w:rPr>
        <w:t xml:space="preserve"> offered an essential and complementary </w:t>
      </w:r>
      <w:r w:rsidR="0052759D">
        <w:rPr>
          <w:rFonts w:cstheme="minorHAnsi"/>
        </w:rPr>
        <w:t>role to the police</w:t>
      </w:r>
      <w:r w:rsidR="00DB7702" w:rsidRPr="004E5F94">
        <w:rPr>
          <w:rFonts w:cstheme="minorHAnsi"/>
        </w:rPr>
        <w:t xml:space="preserve"> primarily because its main concern was not to punish the wrongdoer but to prevent cr</w:t>
      </w:r>
      <w:r w:rsidR="002B7C79">
        <w:rPr>
          <w:rFonts w:cstheme="minorHAnsi"/>
        </w:rPr>
        <w:t>ime</w:t>
      </w:r>
      <w:r w:rsidR="00F61F10">
        <w:rPr>
          <w:rFonts w:cstheme="minorHAnsi"/>
        </w:rPr>
        <w:t>. In this vein, t</w:t>
      </w:r>
      <w:r w:rsidR="00DB7702" w:rsidRPr="004E5F94">
        <w:rPr>
          <w:rFonts w:cstheme="minorHAnsi"/>
        </w:rPr>
        <w:t>he bulk of NSPCC business increasingly took the form of neglect cases where offending parents would be advised, warned, and kept under the regu</w:t>
      </w:r>
      <w:r w:rsidR="0052759D">
        <w:rPr>
          <w:rFonts w:cstheme="minorHAnsi"/>
        </w:rPr>
        <w:t xml:space="preserve">lar surveillance of inspectors. </w:t>
      </w:r>
    </w:p>
    <w:p w:rsidR="00041375" w:rsidRDefault="00041375" w:rsidP="004E5F94">
      <w:pPr>
        <w:spacing w:line="360" w:lineRule="auto"/>
        <w:rPr>
          <w:rFonts w:cstheme="minorHAnsi"/>
        </w:rPr>
      </w:pPr>
    </w:p>
    <w:p w:rsidR="00DB7702" w:rsidRDefault="0052759D" w:rsidP="004E5F94">
      <w:pPr>
        <w:spacing w:line="360" w:lineRule="auto"/>
        <w:rPr>
          <w:rFonts w:cstheme="minorHAnsi"/>
        </w:rPr>
      </w:pPr>
      <w:r>
        <w:rPr>
          <w:rFonts w:cstheme="minorHAnsi"/>
        </w:rPr>
        <w:t>T</w:t>
      </w:r>
      <w:r w:rsidR="004E5F94" w:rsidRPr="004E5F94">
        <w:rPr>
          <w:rFonts w:cstheme="minorHAnsi"/>
        </w:rPr>
        <w:t xml:space="preserve">he </w:t>
      </w:r>
      <w:r>
        <w:rPr>
          <w:rFonts w:cstheme="minorHAnsi"/>
        </w:rPr>
        <w:t>NSPCC</w:t>
      </w:r>
      <w:r w:rsidR="002F7B2A">
        <w:rPr>
          <w:rFonts w:cstheme="minorHAnsi"/>
        </w:rPr>
        <w:t>,</w:t>
      </w:r>
      <w:r>
        <w:rPr>
          <w:rFonts w:cstheme="minorHAnsi"/>
        </w:rPr>
        <w:t xml:space="preserve"> working with the police</w:t>
      </w:r>
      <w:r w:rsidR="002F7B2A">
        <w:rPr>
          <w:rFonts w:cstheme="minorHAnsi"/>
        </w:rPr>
        <w:t>,</w:t>
      </w:r>
      <w:r w:rsidR="004E5F94" w:rsidRPr="004E5F94">
        <w:rPr>
          <w:rFonts w:cstheme="minorHAnsi"/>
        </w:rPr>
        <w:t xml:space="preserve"> paid particular attention to specific families, keeping them under surveillance </w:t>
      </w:r>
      <w:r w:rsidR="002F7B2A">
        <w:rPr>
          <w:rFonts w:cstheme="minorHAnsi"/>
        </w:rPr>
        <w:t>for quite lengthy time periods although t</w:t>
      </w:r>
      <w:r w:rsidR="005D43AE" w:rsidRPr="004E5F94">
        <w:rPr>
          <w:rFonts w:cstheme="minorHAnsi"/>
        </w:rPr>
        <w:t xml:space="preserve">he </w:t>
      </w:r>
      <w:r w:rsidR="00F374F2">
        <w:rPr>
          <w:rFonts w:cstheme="minorHAnsi"/>
        </w:rPr>
        <w:t>NSPCC</w:t>
      </w:r>
      <w:r w:rsidR="002F7B2A">
        <w:rPr>
          <w:rFonts w:cstheme="minorHAnsi"/>
        </w:rPr>
        <w:t xml:space="preserve"> emphasise</w:t>
      </w:r>
      <w:r w:rsidR="00F374F2">
        <w:rPr>
          <w:rFonts w:cstheme="minorHAnsi"/>
        </w:rPr>
        <w:t>d</w:t>
      </w:r>
      <w:r w:rsidR="005D43AE" w:rsidRPr="005D43AE">
        <w:rPr>
          <w:rFonts w:cstheme="minorHAnsi"/>
        </w:rPr>
        <w:t xml:space="preserve"> its reluctance to remove children from the</w:t>
      </w:r>
      <w:r w:rsidR="00257102">
        <w:rPr>
          <w:rFonts w:cstheme="minorHAnsi"/>
        </w:rPr>
        <w:t>ir parental home. Behlmer (1982, p.</w:t>
      </w:r>
      <w:bookmarkStart w:id="0" w:name="_GoBack"/>
      <w:bookmarkEnd w:id="0"/>
      <w:r w:rsidR="005D43AE" w:rsidRPr="005D43AE">
        <w:rPr>
          <w:rFonts w:cstheme="minorHAnsi"/>
        </w:rPr>
        <w:t xml:space="preserve"> 175) has estimated that </w:t>
      </w:r>
      <w:r w:rsidR="002F7B2A">
        <w:rPr>
          <w:rFonts w:cstheme="minorHAnsi"/>
        </w:rPr>
        <w:t xml:space="preserve">between 1870 and 1908 (when the Children’s Act came into force) </w:t>
      </w:r>
      <w:r w:rsidR="005D43AE" w:rsidRPr="005D43AE">
        <w:rPr>
          <w:rFonts w:cstheme="minorHAnsi"/>
        </w:rPr>
        <w:t xml:space="preserve">less than 1% of all children involved in NSPCC cases were removed from the parents. </w:t>
      </w:r>
      <w:r w:rsidR="002F7B2A">
        <w:rPr>
          <w:rFonts w:cstheme="minorHAnsi"/>
        </w:rPr>
        <w:t>During this time, b</w:t>
      </w:r>
      <w:r w:rsidR="00F61F10">
        <w:rPr>
          <w:rFonts w:cstheme="minorHAnsi"/>
        </w:rPr>
        <w:t>oth parents (</w:t>
      </w:r>
      <w:r>
        <w:rPr>
          <w:rFonts w:cstheme="minorHAnsi"/>
        </w:rPr>
        <w:t>or guardians</w:t>
      </w:r>
      <w:r w:rsidR="00F61F10">
        <w:rPr>
          <w:rFonts w:cstheme="minorHAnsi"/>
        </w:rPr>
        <w:t>)</w:t>
      </w:r>
      <w:r w:rsidR="00DB7702" w:rsidRPr="004E5F94">
        <w:rPr>
          <w:rFonts w:cstheme="minorHAnsi"/>
        </w:rPr>
        <w:t xml:space="preserve"> </w:t>
      </w:r>
      <w:r w:rsidR="002F7B2A">
        <w:rPr>
          <w:rFonts w:cstheme="minorHAnsi"/>
        </w:rPr>
        <w:t xml:space="preserve">were considered to have </w:t>
      </w:r>
      <w:r w:rsidR="00DB7702" w:rsidRPr="004E5F94">
        <w:rPr>
          <w:rFonts w:cstheme="minorHAnsi"/>
        </w:rPr>
        <w:t>equal but different responsibility fo</w:t>
      </w:r>
      <w:r>
        <w:rPr>
          <w:rFonts w:cstheme="minorHAnsi"/>
        </w:rPr>
        <w:t xml:space="preserve">r </w:t>
      </w:r>
      <w:r w:rsidR="002F7B2A">
        <w:rPr>
          <w:rFonts w:cstheme="minorHAnsi"/>
        </w:rPr>
        <w:t xml:space="preserve">the </w:t>
      </w:r>
      <w:r>
        <w:rPr>
          <w:rFonts w:cstheme="minorHAnsi"/>
        </w:rPr>
        <w:t>children</w:t>
      </w:r>
      <w:r w:rsidR="002F7B2A">
        <w:rPr>
          <w:rFonts w:cstheme="minorHAnsi"/>
        </w:rPr>
        <w:t xml:space="preserve"> under their care</w:t>
      </w:r>
      <w:r>
        <w:rPr>
          <w:rFonts w:cstheme="minorHAnsi"/>
        </w:rPr>
        <w:t xml:space="preserve"> - the man</w:t>
      </w:r>
      <w:r w:rsidR="00DB7702" w:rsidRPr="004E5F94">
        <w:rPr>
          <w:rFonts w:cstheme="minorHAnsi"/>
        </w:rPr>
        <w:t xml:space="preserve"> provided financially and the woman took responsibility for nurturing the children. </w:t>
      </w:r>
      <w:r w:rsidR="00B744EE" w:rsidRPr="004E5F94">
        <w:rPr>
          <w:rFonts w:cstheme="minorHAnsi"/>
        </w:rPr>
        <w:t xml:space="preserve">These gender assumptions fundamentally affected the way the law functioned in relation to cases of alleged </w:t>
      </w:r>
      <w:r w:rsidR="00B744EE" w:rsidRPr="004E5F94">
        <w:rPr>
          <w:rFonts w:cstheme="minorHAnsi"/>
        </w:rPr>
        <w:lastRenderedPageBreak/>
        <w:t xml:space="preserve">neglect </w:t>
      </w:r>
      <w:r w:rsidR="002B7C79">
        <w:rPr>
          <w:rFonts w:cstheme="minorHAnsi"/>
        </w:rPr>
        <w:t>(</w:t>
      </w:r>
      <w:r w:rsidR="00B744EE" w:rsidRPr="004E5F94">
        <w:rPr>
          <w:rFonts w:cstheme="minorHAnsi"/>
        </w:rPr>
        <w:t>despite the recognition by the 1870 Married Women’s Property Act that married women were as liable as men for the support of their children</w:t>
      </w:r>
      <w:r w:rsidR="002B7C79">
        <w:rPr>
          <w:rFonts w:cstheme="minorHAnsi"/>
        </w:rPr>
        <w:t>)</w:t>
      </w:r>
      <w:r w:rsidR="00B744EE" w:rsidRPr="004E5F94">
        <w:rPr>
          <w:rFonts w:cstheme="minorHAnsi"/>
        </w:rPr>
        <w:t xml:space="preserve">. </w:t>
      </w:r>
      <w:r w:rsidR="002F7B2A">
        <w:rPr>
          <w:rFonts w:cstheme="minorHAnsi"/>
        </w:rPr>
        <w:t xml:space="preserve">So, as long as a man could show in court that he had worked and provided financially for the family, it was women who bore the brunt of prosecutions for neglect (Turner, 2012). </w:t>
      </w:r>
      <w:r w:rsidR="004E5F94" w:rsidRPr="004E5F94">
        <w:rPr>
          <w:rFonts w:cstheme="minorHAnsi"/>
        </w:rPr>
        <w:t xml:space="preserve">Cases of child sexual abuse </w:t>
      </w:r>
      <w:r w:rsidR="002B7C79">
        <w:rPr>
          <w:rFonts w:cstheme="minorHAnsi"/>
        </w:rPr>
        <w:t>were few, but fewer still w</w:t>
      </w:r>
      <w:r w:rsidR="004E5F94" w:rsidRPr="004E5F94">
        <w:rPr>
          <w:rFonts w:cstheme="minorHAnsi"/>
        </w:rPr>
        <w:t>ere</w:t>
      </w:r>
      <w:r w:rsidR="002B7C79">
        <w:rPr>
          <w:rFonts w:cstheme="minorHAnsi"/>
        </w:rPr>
        <w:t xml:space="preserve"> those where a</w:t>
      </w:r>
      <w:r>
        <w:rPr>
          <w:rFonts w:cstheme="minorHAnsi"/>
        </w:rPr>
        <w:t xml:space="preserve"> woman appe</w:t>
      </w:r>
      <w:r w:rsidR="002B7C79">
        <w:rPr>
          <w:rFonts w:cstheme="minorHAnsi"/>
        </w:rPr>
        <w:t>ared as defendant</w:t>
      </w:r>
      <w:r w:rsidR="004E5F94" w:rsidRPr="004E5F94">
        <w:rPr>
          <w:rFonts w:cstheme="minorHAnsi"/>
        </w:rPr>
        <w:t>; this is not to say that the offence did not take place,</w:t>
      </w:r>
      <w:r w:rsidR="00C60AB2">
        <w:rPr>
          <w:rFonts w:cstheme="minorHAnsi"/>
        </w:rPr>
        <w:t xml:space="preserve"> rather that few</w:t>
      </w:r>
      <w:r>
        <w:rPr>
          <w:rFonts w:cstheme="minorHAnsi"/>
        </w:rPr>
        <w:t xml:space="preserve"> were reported or</w:t>
      </w:r>
      <w:r w:rsidR="004E5F94" w:rsidRPr="004E5F94">
        <w:rPr>
          <w:rFonts w:cstheme="minorHAnsi"/>
        </w:rPr>
        <w:t xml:space="preserve"> de</w:t>
      </w:r>
      <w:r>
        <w:rPr>
          <w:rFonts w:cstheme="minorHAnsi"/>
        </w:rPr>
        <w:t>tected</w:t>
      </w:r>
      <w:r w:rsidR="004E5F94" w:rsidRPr="004E5F94">
        <w:rPr>
          <w:rFonts w:cstheme="minorHAnsi"/>
        </w:rPr>
        <w:t xml:space="preserve">. Jackson (2000: 108), in her study of the way in which sexual abuse was debated and dealt with in the Victorian and Edwardian period, found that in 99% of her sample the defendant was male. </w:t>
      </w:r>
    </w:p>
    <w:p w:rsidR="00962179" w:rsidRPr="005D43AE" w:rsidRDefault="00962179" w:rsidP="004E5F94">
      <w:pPr>
        <w:spacing w:line="360" w:lineRule="auto"/>
        <w:rPr>
          <w:rFonts w:cstheme="minorHAnsi"/>
        </w:rPr>
      </w:pPr>
    </w:p>
    <w:p w:rsidR="005D43AE" w:rsidRPr="005D43AE" w:rsidRDefault="00F61F10" w:rsidP="004E5F94">
      <w:pPr>
        <w:spacing w:line="360" w:lineRule="auto"/>
        <w:rPr>
          <w:rFonts w:cstheme="minorHAnsi"/>
        </w:rPr>
      </w:pPr>
      <w:r>
        <w:t>So, w</w:t>
      </w:r>
      <w:r w:rsidR="00F374F2">
        <w:t>hy was</w:t>
      </w:r>
      <w:r>
        <w:t xml:space="preserve"> </w:t>
      </w:r>
      <w:r w:rsidR="00F374F2">
        <w:t>the RSPCA</w:t>
      </w:r>
      <w:r>
        <w:t xml:space="preserve"> </w:t>
      </w:r>
      <w:r w:rsidR="00F374F2">
        <w:t>set up before</w:t>
      </w:r>
      <w:r>
        <w:t xml:space="preserve"> </w:t>
      </w:r>
      <w:r w:rsidR="00F374F2">
        <w:t>the NSPCC</w:t>
      </w:r>
      <w:r>
        <w:t xml:space="preserve">? </w:t>
      </w:r>
      <w:r w:rsidR="005F1BCD" w:rsidRPr="005D43AE">
        <w:t xml:space="preserve">During the </w:t>
      </w:r>
      <w:r w:rsidR="005F1BCD" w:rsidRPr="005D43AE">
        <w:rPr>
          <w:noProof/>
        </w:rPr>
        <w:t>19th century,</w:t>
      </w:r>
      <w:r w:rsidR="005F1BCD" w:rsidRPr="005D43AE">
        <w:t xml:space="preserve"> </w:t>
      </w:r>
      <w:r w:rsidR="00F374F2">
        <w:t xml:space="preserve">both animal mistreatment and </w:t>
      </w:r>
      <w:r w:rsidR="005F1BCD" w:rsidRPr="005D43AE">
        <w:t xml:space="preserve">child cruelty and neglect were considered tragic consequences </w:t>
      </w:r>
      <w:r w:rsidR="00041375">
        <w:t>of life among the poor. However, c</w:t>
      </w:r>
      <w:r w:rsidR="005F1BCD" w:rsidRPr="005D43AE">
        <w:t xml:space="preserve">hild labour exploitation </w:t>
      </w:r>
      <w:r w:rsidR="005F1BCD" w:rsidRPr="005D43AE">
        <w:rPr>
          <w:noProof/>
        </w:rPr>
        <w:t>was tolerated</w:t>
      </w:r>
      <w:r w:rsidR="00041375">
        <w:t xml:space="preserve"> as it was cheap;</w:t>
      </w:r>
      <w:r w:rsidR="005F1BCD" w:rsidRPr="005D43AE">
        <w:t xml:space="preserve"> children were also able to carry out many tasks that adults could not, for example, crawling into confined spaces. Furthermore, much child cruelty was deemed necessary</w:t>
      </w:r>
      <w:r w:rsidR="005F1BCD" w:rsidRPr="005D43AE">
        <w:rPr>
          <w:noProof/>
        </w:rPr>
        <w:t xml:space="preserve"> to</w:t>
      </w:r>
      <w:r w:rsidR="005F1BCD" w:rsidRPr="005D43AE">
        <w:t xml:space="preserve"> discipline the child. Much of this cruelty took place within families, schools and factories. The well-known principle of ‘spare the rod and spoil the child’ indicated that corporal punishment of children was considered an appropriate measure in child rearing</w:t>
      </w:r>
      <w:r w:rsidR="005F1BCD">
        <w:t xml:space="preserve"> (Taylor and Powell, 2017)</w:t>
      </w:r>
      <w:r w:rsidR="005F1BCD" w:rsidRPr="005D43AE">
        <w:t xml:space="preserve">. </w:t>
      </w:r>
      <w:r>
        <w:t>There was a lo</w:t>
      </w:r>
      <w:r w:rsidR="002B7C79">
        <w:t>ng-standing tradition that private or s</w:t>
      </w:r>
      <w:r>
        <w:t>tate</w:t>
      </w:r>
      <w:r w:rsidR="002B7C79">
        <w:t xml:space="preserve"> agencies</w:t>
      </w:r>
      <w:r>
        <w:t xml:space="preserve"> did not interfere with family affairs – men, as head of the household, were expect to keep their wives and children under control, to discipline them. They were his property. Hence, even when other areas of life were being increasingly regulated, family affairs, including the welfare of children, were deemed</w:t>
      </w:r>
      <w:r w:rsidR="002B7C79">
        <w:t xml:space="preserve"> to be out of the reach of the s</w:t>
      </w:r>
      <w:r>
        <w:t xml:space="preserve">tate; there was a reluctance to </w:t>
      </w:r>
      <w:r w:rsidR="00041375">
        <w:t>‘</w:t>
      </w:r>
      <w:r>
        <w:t>interfere</w:t>
      </w:r>
      <w:r w:rsidR="00041375">
        <w:t>’</w:t>
      </w:r>
      <w:r>
        <w:t xml:space="preserve">. </w:t>
      </w:r>
      <w:r w:rsidR="005F1BCD" w:rsidRPr="005D43AE">
        <w:t>The family was deemed to be a private and sacred enclave into which the law had no</w:t>
      </w:r>
      <w:r w:rsidR="005F1BCD">
        <w:t xml:space="preserve"> place to venture (Morley, 2017</w:t>
      </w:r>
      <w:r w:rsidR="005F1BCD" w:rsidRPr="005D43AE">
        <w:t>).</w:t>
      </w:r>
      <w:r w:rsidR="005F1BCD">
        <w:t xml:space="preserve"> </w:t>
      </w:r>
      <w:r w:rsidR="00B6053D">
        <w:t>During the 19</w:t>
      </w:r>
      <w:r w:rsidR="00B6053D" w:rsidRPr="00B6053D">
        <w:rPr>
          <w:vertAlign w:val="superscript"/>
        </w:rPr>
        <w:t>th</w:t>
      </w:r>
      <w:r w:rsidR="00B6053D">
        <w:t xml:space="preserve"> century</w:t>
      </w:r>
      <w:r w:rsidR="005D43AE">
        <w:t>, p</w:t>
      </w:r>
      <w:r w:rsidR="005D43AE" w:rsidRPr="005D43AE">
        <w:t xml:space="preserve">arental rights </w:t>
      </w:r>
      <w:r w:rsidR="005D43AE">
        <w:t>to discipline and punish their children were paramount</w:t>
      </w:r>
      <w:r w:rsidR="00B6053D">
        <w:t xml:space="preserve">; </w:t>
      </w:r>
      <w:r w:rsidR="00041375">
        <w:t xml:space="preserve">inch by inch, the NSPCC has developed and extended its reach to protect more and more children. However, </w:t>
      </w:r>
      <w:r w:rsidR="00B6053D">
        <w:t>even now</w:t>
      </w:r>
      <w:r w:rsidR="00041375">
        <w:t>,</w:t>
      </w:r>
      <w:r w:rsidR="00B6053D">
        <w:t xml:space="preserve"> parents </w:t>
      </w:r>
      <w:r w:rsidR="00F374F2">
        <w:t xml:space="preserve">in England and Wales </w:t>
      </w:r>
      <w:r w:rsidR="00B6053D">
        <w:t xml:space="preserve">still retain the right to smack their child </w:t>
      </w:r>
      <w:r>
        <w:t>if</w:t>
      </w:r>
      <w:r w:rsidR="00B6053D">
        <w:t xml:space="preserve"> it can be deemed ‘reasonable punishment’</w:t>
      </w:r>
      <w:r w:rsidR="00F374F2">
        <w:t>.</w:t>
      </w:r>
      <w:r w:rsidR="005D43AE">
        <w:t xml:space="preserve"> </w:t>
      </w:r>
    </w:p>
    <w:p w:rsidR="00DB7702" w:rsidRPr="004E5F94" w:rsidRDefault="00DB7702" w:rsidP="004E5F94">
      <w:pPr>
        <w:spacing w:line="360" w:lineRule="auto"/>
        <w:jc w:val="right"/>
        <w:rPr>
          <w:rFonts w:cstheme="minorHAnsi"/>
        </w:rPr>
      </w:pPr>
      <w:r w:rsidRPr="004E5F94">
        <w:rPr>
          <w:rFonts w:cstheme="minorHAnsi"/>
        </w:rPr>
        <w:t>Jo Turner</w:t>
      </w:r>
    </w:p>
    <w:p w:rsidR="00DB7702" w:rsidRPr="004E5F94" w:rsidRDefault="00DB7702" w:rsidP="004E5F94">
      <w:pPr>
        <w:spacing w:line="360" w:lineRule="auto"/>
        <w:jc w:val="right"/>
        <w:rPr>
          <w:rFonts w:cstheme="minorHAnsi"/>
        </w:rPr>
      </w:pPr>
      <w:r w:rsidRPr="004E5F94">
        <w:rPr>
          <w:rFonts w:cstheme="minorHAnsi"/>
        </w:rPr>
        <w:t>Staffordshire University</w:t>
      </w:r>
    </w:p>
    <w:p w:rsidR="00DB7702" w:rsidRPr="004E5F94" w:rsidRDefault="00DB7702" w:rsidP="004E5F94">
      <w:pPr>
        <w:spacing w:line="360" w:lineRule="auto"/>
        <w:rPr>
          <w:rFonts w:cstheme="minorHAnsi"/>
          <w:u w:val="single"/>
        </w:rPr>
      </w:pPr>
      <w:r w:rsidRPr="004E5F94">
        <w:rPr>
          <w:rFonts w:cstheme="minorHAnsi"/>
          <w:u w:val="single"/>
        </w:rPr>
        <w:t>References</w:t>
      </w:r>
    </w:p>
    <w:p w:rsidR="00DB7702" w:rsidRPr="004E5F94" w:rsidRDefault="00DB7702" w:rsidP="004E5F94">
      <w:pPr>
        <w:spacing w:line="360" w:lineRule="auto"/>
        <w:jc w:val="both"/>
        <w:rPr>
          <w:rFonts w:cstheme="minorHAnsi"/>
        </w:rPr>
      </w:pPr>
      <w:r w:rsidRPr="004E5F94">
        <w:rPr>
          <w:rFonts w:cstheme="minorHAnsi"/>
        </w:rPr>
        <w:t xml:space="preserve">Behlmer, G. (1982) </w:t>
      </w:r>
      <w:r w:rsidRPr="004E5F94">
        <w:rPr>
          <w:rFonts w:cstheme="minorHAnsi"/>
          <w:i/>
          <w:iCs/>
        </w:rPr>
        <w:t>Child Abuse and Moral Reform in England 1870-1908</w:t>
      </w:r>
      <w:r w:rsidRPr="004E5F94">
        <w:rPr>
          <w:rFonts w:cstheme="minorHAnsi"/>
        </w:rPr>
        <w:t>. California: Stanford University Press.</w:t>
      </w:r>
    </w:p>
    <w:p w:rsidR="001078A1" w:rsidRPr="004E5F94" w:rsidRDefault="001078A1" w:rsidP="004E5F94">
      <w:pPr>
        <w:spacing w:line="360" w:lineRule="auto"/>
        <w:jc w:val="both"/>
        <w:rPr>
          <w:lang w:val="en"/>
        </w:rPr>
      </w:pPr>
      <w:r w:rsidRPr="004E5F94">
        <w:rPr>
          <w:lang w:val="en"/>
        </w:rPr>
        <w:lastRenderedPageBreak/>
        <w:t xml:space="preserve">Braithwaite, J. (2011) ‘The Regulatory State’ in R. E. Goodwin (ed.) </w:t>
      </w:r>
      <w:r w:rsidRPr="004E5F94">
        <w:rPr>
          <w:i/>
          <w:lang w:val="en"/>
        </w:rPr>
        <w:t>The Oxford Handbook of Political Science</w:t>
      </w:r>
      <w:r w:rsidRPr="004E5F94">
        <w:rPr>
          <w:lang w:val="en"/>
        </w:rPr>
        <w:t>, Oxford University Press, Oxford, pp. 217-240.</w:t>
      </w:r>
    </w:p>
    <w:p w:rsidR="00734C9A" w:rsidRPr="004E5F94" w:rsidRDefault="00734C9A" w:rsidP="004E5F94">
      <w:pPr>
        <w:spacing w:line="360" w:lineRule="auto"/>
        <w:jc w:val="both"/>
      </w:pPr>
      <w:r w:rsidRPr="004E5F94">
        <w:rPr>
          <w:lang w:val="en"/>
        </w:rPr>
        <w:t xml:space="preserve">Godfrey, B. S., Farrall, S. and Cox, D. J. (2007) </w:t>
      </w:r>
      <w:r w:rsidRPr="004E5F94">
        <w:rPr>
          <w:i/>
          <w:iCs/>
          <w:lang w:val="en"/>
        </w:rPr>
        <w:t>Criminal Lives: Family Life, Employment, and Offending</w:t>
      </w:r>
      <w:r w:rsidRPr="004E5F94">
        <w:rPr>
          <w:lang w:val="en"/>
        </w:rPr>
        <w:t xml:space="preserve">. Oxford: Oxford University Press. </w:t>
      </w:r>
    </w:p>
    <w:p w:rsidR="00DB7702" w:rsidRPr="004E5F94" w:rsidRDefault="00DB7702" w:rsidP="004E5F94">
      <w:pPr>
        <w:spacing w:line="360" w:lineRule="auto"/>
        <w:jc w:val="both"/>
        <w:rPr>
          <w:rFonts w:cstheme="minorHAnsi"/>
        </w:rPr>
      </w:pPr>
      <w:r w:rsidRPr="004E5F94">
        <w:rPr>
          <w:rFonts w:cstheme="minorHAnsi"/>
        </w:rPr>
        <w:t xml:space="preserve">Hendrick, H. (1994) </w:t>
      </w:r>
      <w:r w:rsidRPr="004E5F94">
        <w:rPr>
          <w:rFonts w:cstheme="minorHAnsi"/>
          <w:i/>
          <w:iCs/>
        </w:rPr>
        <w:t>Child Welfare. England 1872-1989</w:t>
      </w:r>
      <w:r w:rsidRPr="004E5F94">
        <w:rPr>
          <w:rFonts w:cstheme="minorHAnsi"/>
        </w:rPr>
        <w:t>. London: Routledge.</w:t>
      </w:r>
    </w:p>
    <w:p w:rsidR="001E6F22" w:rsidRDefault="001E6F22" w:rsidP="004E5F94">
      <w:pPr>
        <w:spacing w:line="360" w:lineRule="auto"/>
        <w:jc w:val="both"/>
        <w:rPr>
          <w:rFonts w:cstheme="minorHAnsi"/>
        </w:rPr>
      </w:pPr>
      <w:r>
        <w:rPr>
          <w:rFonts w:cstheme="minorHAnsi"/>
        </w:rPr>
        <w:t xml:space="preserve">Hulonce, L. (2017) ‘Workhouse Children’ </w:t>
      </w:r>
      <w:r w:rsidRPr="004E5F94">
        <w:rPr>
          <w:rFonts w:cstheme="minorHAnsi"/>
        </w:rPr>
        <w:t xml:space="preserve">in </w:t>
      </w:r>
      <w:r w:rsidRPr="004E5F94">
        <w:rPr>
          <w:rFonts w:eastAsia="Times New Roman" w:cstheme="minorHAnsi"/>
          <w:noProof/>
          <w:lang w:eastAsia="en-GB"/>
        </w:rPr>
        <w:t>Turner, J</w:t>
      </w:r>
      <w:r w:rsidRPr="004E5F94">
        <w:rPr>
          <w:rFonts w:eastAsia="Times New Roman" w:cstheme="minorHAnsi"/>
          <w:bCs/>
          <w:noProof/>
          <w:lang w:eastAsia="en-GB"/>
        </w:rPr>
        <w:t>.</w:t>
      </w:r>
      <w:r w:rsidRPr="004E5F94">
        <w:rPr>
          <w:rFonts w:eastAsia="Times New Roman" w:cstheme="minorHAnsi"/>
          <w:noProof/>
          <w:lang w:eastAsia="en-GB"/>
        </w:rPr>
        <w:t xml:space="preserve">, Taylor, P., Corteen, K., and Morley, S. (eds.) </w:t>
      </w:r>
      <w:r w:rsidRPr="004E5F94">
        <w:rPr>
          <w:rFonts w:eastAsia="Times New Roman" w:cstheme="minorHAnsi"/>
          <w:i/>
          <w:iCs/>
          <w:noProof/>
          <w:lang w:eastAsia="en-GB"/>
        </w:rPr>
        <w:t>A Companion to the History of Crime and Criminal Justice</w:t>
      </w:r>
      <w:r w:rsidRPr="004E5F94">
        <w:rPr>
          <w:rFonts w:eastAsia="Times New Roman" w:cstheme="minorHAnsi"/>
          <w:noProof/>
          <w:lang w:eastAsia="en-GB"/>
        </w:rPr>
        <w:t>. Po</w:t>
      </w:r>
      <w:r>
        <w:rPr>
          <w:rFonts w:eastAsia="Times New Roman" w:cstheme="minorHAnsi"/>
          <w:noProof/>
          <w:lang w:eastAsia="en-GB"/>
        </w:rPr>
        <w:t>licy Press: Bristol, pp. 286-288</w:t>
      </w:r>
      <w:r w:rsidRPr="004E5F94">
        <w:rPr>
          <w:rFonts w:eastAsia="Times New Roman" w:cstheme="minorHAnsi"/>
          <w:noProof/>
          <w:lang w:eastAsia="en-GB"/>
        </w:rPr>
        <w:t>.</w:t>
      </w:r>
    </w:p>
    <w:p w:rsidR="00DB7702" w:rsidRPr="004E5F94" w:rsidRDefault="00DB7702" w:rsidP="004E5F94">
      <w:pPr>
        <w:spacing w:line="360" w:lineRule="auto"/>
        <w:jc w:val="both"/>
        <w:rPr>
          <w:rFonts w:cstheme="minorHAnsi"/>
        </w:rPr>
      </w:pPr>
      <w:r w:rsidRPr="004E5F94">
        <w:rPr>
          <w:rFonts w:cstheme="minorHAnsi"/>
        </w:rPr>
        <w:t xml:space="preserve">Jackson, L. (2000) </w:t>
      </w:r>
      <w:r w:rsidRPr="004E5F94">
        <w:rPr>
          <w:rFonts w:cstheme="minorHAnsi"/>
          <w:i/>
          <w:iCs/>
        </w:rPr>
        <w:t>Child Sexual Abuse in Victorian England</w:t>
      </w:r>
      <w:r w:rsidRPr="004E5F94">
        <w:rPr>
          <w:rFonts w:cstheme="minorHAnsi"/>
        </w:rPr>
        <w:t>. London: Routledge.</w:t>
      </w:r>
    </w:p>
    <w:p w:rsidR="00DB7702" w:rsidRPr="004E5F94" w:rsidRDefault="00DB7702" w:rsidP="004E5F94">
      <w:pPr>
        <w:spacing w:line="360" w:lineRule="auto"/>
        <w:jc w:val="both"/>
        <w:rPr>
          <w:rFonts w:cstheme="minorHAnsi"/>
          <w:b/>
        </w:rPr>
      </w:pPr>
      <w:r w:rsidRPr="004E5F94">
        <w:rPr>
          <w:rFonts w:cstheme="minorHAnsi"/>
        </w:rPr>
        <w:t xml:space="preserve">Morley, S. (2017) ‘National Society for the Prevention of Cruelty to Children’ in </w:t>
      </w:r>
      <w:r w:rsidRPr="004E5F94">
        <w:rPr>
          <w:rFonts w:eastAsia="Times New Roman" w:cstheme="minorHAnsi"/>
          <w:noProof/>
          <w:lang w:eastAsia="en-GB"/>
        </w:rPr>
        <w:t>Turner, J</w:t>
      </w:r>
      <w:r w:rsidRPr="004E5F94">
        <w:rPr>
          <w:rFonts w:eastAsia="Times New Roman" w:cstheme="minorHAnsi"/>
          <w:bCs/>
          <w:noProof/>
          <w:lang w:eastAsia="en-GB"/>
        </w:rPr>
        <w:t>.</w:t>
      </w:r>
      <w:r w:rsidRPr="004E5F94">
        <w:rPr>
          <w:rFonts w:eastAsia="Times New Roman" w:cstheme="minorHAnsi"/>
          <w:noProof/>
          <w:lang w:eastAsia="en-GB"/>
        </w:rPr>
        <w:t xml:space="preserve">, Taylor, P., Corteen, </w:t>
      </w:r>
      <w:r w:rsidR="00B744EE" w:rsidRPr="004E5F94">
        <w:rPr>
          <w:rFonts w:eastAsia="Times New Roman" w:cstheme="minorHAnsi"/>
          <w:noProof/>
          <w:lang w:eastAsia="en-GB"/>
        </w:rPr>
        <w:t>K., and Morley, S. (eds.)</w:t>
      </w:r>
      <w:r w:rsidRPr="004E5F94">
        <w:rPr>
          <w:rFonts w:eastAsia="Times New Roman" w:cstheme="minorHAnsi"/>
          <w:noProof/>
          <w:lang w:eastAsia="en-GB"/>
        </w:rPr>
        <w:t xml:space="preserve"> </w:t>
      </w:r>
      <w:r w:rsidRPr="004E5F94">
        <w:rPr>
          <w:rFonts w:eastAsia="Times New Roman" w:cstheme="minorHAnsi"/>
          <w:i/>
          <w:iCs/>
          <w:noProof/>
          <w:lang w:eastAsia="en-GB"/>
        </w:rPr>
        <w:t>A Companion to the History of Crime and Criminal Justice</w:t>
      </w:r>
      <w:r w:rsidR="00B744EE" w:rsidRPr="004E5F94">
        <w:rPr>
          <w:rFonts w:eastAsia="Times New Roman" w:cstheme="minorHAnsi"/>
          <w:noProof/>
          <w:lang w:eastAsia="en-GB"/>
        </w:rPr>
        <w:t>. Policy Press: Bristol, pp. 149-151.</w:t>
      </w:r>
    </w:p>
    <w:p w:rsidR="006F2C27" w:rsidRPr="006F2C27" w:rsidRDefault="006F2C27" w:rsidP="002F7B2A">
      <w:pPr>
        <w:shd w:val="clear" w:color="auto" w:fill="FFFFFF"/>
        <w:spacing w:line="360" w:lineRule="auto"/>
        <w:rPr>
          <w:rFonts w:cstheme="minorHAnsi"/>
          <w:color w:val="333333"/>
          <w:lang w:val="en"/>
        </w:rPr>
      </w:pPr>
      <w:r w:rsidRPr="006F2C27">
        <w:rPr>
          <w:rFonts w:cstheme="minorHAnsi"/>
          <w:color w:val="333333"/>
          <w:lang w:val="en"/>
        </w:rPr>
        <w:t xml:space="preserve">Rivito, H. (1987) </w:t>
      </w:r>
      <w:r w:rsidRPr="006F2C27">
        <w:rPr>
          <w:rFonts w:cstheme="minorHAnsi"/>
          <w:i/>
          <w:color w:val="333333"/>
          <w:lang w:val="en"/>
        </w:rPr>
        <w:t>The animal estate: the English and other creatures in the Victorian age.</w:t>
      </w:r>
      <w:r>
        <w:rPr>
          <w:rFonts w:cstheme="minorHAnsi"/>
          <w:i/>
          <w:color w:val="333333"/>
          <w:lang w:val="en"/>
        </w:rPr>
        <w:t xml:space="preserve"> </w:t>
      </w:r>
      <w:r>
        <w:rPr>
          <w:rFonts w:cstheme="minorHAnsi"/>
          <w:color w:val="333333"/>
          <w:lang w:val="en"/>
        </w:rPr>
        <w:t xml:space="preserve">Harvard University Press: Cambridge, USA. </w:t>
      </w:r>
    </w:p>
    <w:p w:rsidR="00C60AB2" w:rsidRDefault="00C60AB2" w:rsidP="002F7B2A">
      <w:pPr>
        <w:shd w:val="clear" w:color="auto" w:fill="FFFFFF"/>
        <w:spacing w:line="360" w:lineRule="auto"/>
        <w:rPr>
          <w:rFonts w:eastAsia="Times New Roman" w:cstheme="minorHAnsi"/>
          <w:noProof/>
          <w:lang w:eastAsia="en-GB"/>
        </w:rPr>
      </w:pPr>
      <w:r>
        <w:rPr>
          <w:rFonts w:eastAsia="Times New Roman" w:cstheme="minorHAnsi"/>
          <w:noProof/>
          <w:lang w:eastAsia="en-GB"/>
        </w:rPr>
        <w:t>Taylor, P.</w:t>
      </w:r>
      <w:r w:rsidR="0057578B">
        <w:rPr>
          <w:rFonts w:eastAsia="Times New Roman" w:cstheme="minorHAnsi"/>
          <w:noProof/>
          <w:lang w:eastAsia="en-GB"/>
        </w:rPr>
        <w:t xml:space="preserve"> and Powell, J.</w:t>
      </w:r>
      <w:r>
        <w:rPr>
          <w:rFonts w:eastAsia="Times New Roman" w:cstheme="minorHAnsi"/>
          <w:noProof/>
          <w:lang w:eastAsia="en-GB"/>
        </w:rPr>
        <w:t xml:space="preserve"> (2017) ‘Corporal Punishment’ </w:t>
      </w:r>
      <w:r w:rsidRPr="004E5F94">
        <w:rPr>
          <w:rFonts w:cstheme="minorHAnsi"/>
        </w:rPr>
        <w:t xml:space="preserve">in </w:t>
      </w:r>
      <w:r w:rsidRPr="004E5F94">
        <w:rPr>
          <w:rFonts w:eastAsia="Times New Roman" w:cstheme="minorHAnsi"/>
          <w:noProof/>
          <w:lang w:eastAsia="en-GB"/>
        </w:rPr>
        <w:t>Turner, J</w:t>
      </w:r>
      <w:r w:rsidRPr="004E5F94">
        <w:rPr>
          <w:rFonts w:eastAsia="Times New Roman" w:cstheme="minorHAnsi"/>
          <w:bCs/>
          <w:noProof/>
          <w:lang w:eastAsia="en-GB"/>
        </w:rPr>
        <w:t>.</w:t>
      </w:r>
      <w:r w:rsidRPr="004E5F94">
        <w:rPr>
          <w:rFonts w:eastAsia="Times New Roman" w:cstheme="minorHAnsi"/>
          <w:noProof/>
          <w:lang w:eastAsia="en-GB"/>
        </w:rPr>
        <w:t xml:space="preserve">, Taylor, P., Corteen, K., and Morley, S. (eds.) </w:t>
      </w:r>
      <w:r w:rsidRPr="004E5F94">
        <w:rPr>
          <w:rFonts w:eastAsia="Times New Roman" w:cstheme="minorHAnsi"/>
          <w:i/>
          <w:iCs/>
          <w:noProof/>
          <w:lang w:eastAsia="en-GB"/>
        </w:rPr>
        <w:t>A Companion to the History of Crime and Criminal Justice</w:t>
      </w:r>
      <w:r w:rsidRPr="004E5F94">
        <w:rPr>
          <w:rFonts w:eastAsia="Times New Roman" w:cstheme="minorHAnsi"/>
          <w:noProof/>
          <w:lang w:eastAsia="en-GB"/>
        </w:rPr>
        <w:t>. Policy Press: Bristol,</w:t>
      </w:r>
      <w:r>
        <w:rPr>
          <w:rFonts w:eastAsia="Times New Roman" w:cstheme="minorHAnsi"/>
          <w:noProof/>
          <w:lang w:eastAsia="en-GB"/>
        </w:rPr>
        <w:t xml:space="preserve"> pp. </w:t>
      </w:r>
      <w:r w:rsidR="0057578B">
        <w:rPr>
          <w:rFonts w:eastAsia="Times New Roman" w:cstheme="minorHAnsi"/>
          <w:noProof/>
          <w:lang w:eastAsia="en-GB"/>
        </w:rPr>
        <w:t>43-45.</w:t>
      </w:r>
    </w:p>
    <w:p w:rsidR="002F7B2A" w:rsidRDefault="002F7B2A" w:rsidP="002F7B2A">
      <w:pPr>
        <w:spacing w:after="0" w:line="360" w:lineRule="auto"/>
        <w:rPr>
          <w:rFonts w:ascii="Calibri" w:hAnsi="Calibri" w:cs="Tahoma"/>
        </w:rPr>
      </w:pPr>
      <w:r w:rsidRPr="002F7B2A">
        <w:rPr>
          <w:rFonts w:ascii="Calibri" w:hAnsi="Calibri" w:cs="Tahoma"/>
        </w:rPr>
        <w:t>Turner, J.</w:t>
      </w:r>
      <w:r w:rsidRPr="00E1227D">
        <w:rPr>
          <w:rFonts w:ascii="Calibri" w:hAnsi="Calibri" w:cs="Tahoma"/>
        </w:rPr>
        <w:t xml:space="preserve"> (2012) ‘Ordinary Female Offenders: Stafford Borough, 1880-1905’. </w:t>
      </w:r>
      <w:r w:rsidRPr="00E1227D">
        <w:rPr>
          <w:rFonts w:ascii="Calibri" w:hAnsi="Calibri" w:cs="Tahoma"/>
          <w:i/>
          <w:iCs/>
        </w:rPr>
        <w:t>Crime, Histoire &amp; Sociétiés / Crime, History &amp; Societies</w:t>
      </w:r>
      <w:r w:rsidRPr="00E1227D">
        <w:rPr>
          <w:rFonts w:ascii="Calibri" w:hAnsi="Calibri" w:cs="Tahoma"/>
        </w:rPr>
        <w:t xml:space="preserve">. 16(2), pp. 55-78. </w:t>
      </w:r>
    </w:p>
    <w:p w:rsidR="002F7B2A" w:rsidRPr="004E5F94" w:rsidRDefault="002F7B2A" w:rsidP="00C60AB2">
      <w:pPr>
        <w:shd w:val="clear" w:color="auto" w:fill="FFFFFF"/>
        <w:spacing w:line="360" w:lineRule="auto"/>
        <w:rPr>
          <w:rFonts w:eastAsia="Times New Roman" w:cstheme="minorHAnsi"/>
          <w:noProof/>
          <w:lang w:eastAsia="en-GB"/>
        </w:rPr>
      </w:pPr>
    </w:p>
    <w:p w:rsidR="00DB7702" w:rsidRPr="004E5F94" w:rsidRDefault="00DB7702" w:rsidP="004E5F94">
      <w:pPr>
        <w:spacing w:line="360" w:lineRule="auto"/>
      </w:pPr>
    </w:p>
    <w:sectPr w:rsidR="00DB7702" w:rsidRPr="004E5F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3EF" w:rsidRDefault="000E63EF" w:rsidP="00DB7702">
      <w:pPr>
        <w:spacing w:after="0" w:line="240" w:lineRule="auto"/>
      </w:pPr>
      <w:r>
        <w:separator/>
      </w:r>
    </w:p>
  </w:endnote>
  <w:endnote w:type="continuationSeparator" w:id="0">
    <w:p w:rsidR="000E63EF" w:rsidRDefault="000E63EF" w:rsidP="00DB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3EF" w:rsidRDefault="000E63EF" w:rsidP="00DB7702">
      <w:pPr>
        <w:spacing w:after="0" w:line="240" w:lineRule="auto"/>
      </w:pPr>
      <w:r>
        <w:separator/>
      </w:r>
    </w:p>
  </w:footnote>
  <w:footnote w:type="continuationSeparator" w:id="0">
    <w:p w:rsidR="000E63EF" w:rsidRDefault="000E63EF" w:rsidP="00DB7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A69"/>
    <w:multiLevelType w:val="hybridMultilevel"/>
    <w:tmpl w:val="DC067DDE"/>
    <w:lvl w:ilvl="0" w:tplc="A58C9F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02"/>
    <w:rsid w:val="00041375"/>
    <w:rsid w:val="000877E4"/>
    <w:rsid w:val="000E63EF"/>
    <w:rsid w:val="001078A1"/>
    <w:rsid w:val="00175D96"/>
    <w:rsid w:val="001E6F22"/>
    <w:rsid w:val="00257102"/>
    <w:rsid w:val="002B0BE7"/>
    <w:rsid w:val="002B7C79"/>
    <w:rsid w:val="002F7B2A"/>
    <w:rsid w:val="003A7221"/>
    <w:rsid w:val="004E5F94"/>
    <w:rsid w:val="0052759D"/>
    <w:rsid w:val="005451FA"/>
    <w:rsid w:val="005642F5"/>
    <w:rsid w:val="0057578B"/>
    <w:rsid w:val="005D43AE"/>
    <w:rsid w:val="005D6D9D"/>
    <w:rsid w:val="005E4FD0"/>
    <w:rsid w:val="005F1BCD"/>
    <w:rsid w:val="006A2BE1"/>
    <w:rsid w:val="006F2C27"/>
    <w:rsid w:val="00734C9A"/>
    <w:rsid w:val="007E59C9"/>
    <w:rsid w:val="00962179"/>
    <w:rsid w:val="00A657D1"/>
    <w:rsid w:val="00AD145D"/>
    <w:rsid w:val="00AF6008"/>
    <w:rsid w:val="00B6053D"/>
    <w:rsid w:val="00B70DCB"/>
    <w:rsid w:val="00B744EE"/>
    <w:rsid w:val="00B80D1E"/>
    <w:rsid w:val="00C60AB2"/>
    <w:rsid w:val="00CA0F6F"/>
    <w:rsid w:val="00CC787B"/>
    <w:rsid w:val="00CE4D3E"/>
    <w:rsid w:val="00D24546"/>
    <w:rsid w:val="00DB7702"/>
    <w:rsid w:val="00E846B6"/>
    <w:rsid w:val="00ED0CDA"/>
    <w:rsid w:val="00F374F2"/>
    <w:rsid w:val="00F61F10"/>
    <w:rsid w:val="00FA5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179A"/>
  <w15:chartTrackingRefBased/>
  <w15:docId w15:val="{69F13D6B-7AA5-4ACC-A9D4-6D1B405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B7702"/>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B7702"/>
    <w:rPr>
      <w:rFonts w:ascii="Times New Roman" w:eastAsia="Times New Roman" w:hAnsi="Times New Roman" w:cs="Times New Roman"/>
      <w:sz w:val="24"/>
      <w:szCs w:val="24"/>
    </w:rPr>
  </w:style>
  <w:style w:type="character" w:styleId="FootnoteReference">
    <w:name w:val="footnote reference"/>
    <w:basedOn w:val="DefaultParagraphFont"/>
    <w:semiHidden/>
    <w:rsid w:val="00DB7702"/>
    <w:rPr>
      <w:vertAlign w:val="superscript"/>
    </w:rPr>
  </w:style>
  <w:style w:type="paragraph" w:styleId="FootnoteText">
    <w:name w:val="footnote text"/>
    <w:basedOn w:val="Normal"/>
    <w:link w:val="FootnoteTextChar"/>
    <w:semiHidden/>
    <w:rsid w:val="00DB77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B7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6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23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1</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Jo</dc:creator>
  <cp:keywords/>
  <dc:description/>
  <cp:lastModifiedBy>TURNER Jo</cp:lastModifiedBy>
  <cp:revision>20</cp:revision>
  <cp:lastPrinted>2017-11-27T13:02:00Z</cp:lastPrinted>
  <dcterms:created xsi:type="dcterms:W3CDTF">2017-11-23T09:15:00Z</dcterms:created>
  <dcterms:modified xsi:type="dcterms:W3CDTF">2017-11-27T15:55:00Z</dcterms:modified>
</cp:coreProperties>
</file>