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B3" w:rsidRPr="00D070EF" w:rsidRDefault="002B6303" w:rsidP="00491F02">
      <w:pPr>
        <w:pStyle w:val="NoSpacing"/>
      </w:pPr>
      <w:r w:rsidRPr="00D070EF">
        <w:t>Genocide, Harm and Victimisation</w:t>
      </w:r>
    </w:p>
    <w:p w:rsidR="00491F02" w:rsidRDefault="00491F02" w:rsidP="00D070EF">
      <w:pPr>
        <w:spacing w:line="240" w:lineRule="auto"/>
      </w:pPr>
    </w:p>
    <w:p w:rsidR="00F95EF7" w:rsidRPr="00D070EF" w:rsidRDefault="001920B3" w:rsidP="00D070EF">
      <w:pPr>
        <w:spacing w:line="240" w:lineRule="auto"/>
      </w:pPr>
      <w:r w:rsidRPr="00D070EF">
        <w:t xml:space="preserve">Proclamations of </w:t>
      </w:r>
      <w:r w:rsidRPr="00D070EF">
        <w:rPr>
          <w:i/>
        </w:rPr>
        <w:t xml:space="preserve">never again </w:t>
      </w:r>
      <w:r w:rsidRPr="00D070EF">
        <w:t xml:space="preserve">following the liberation of the Nazi concentration and death camps after the Second World War </w:t>
      </w:r>
      <w:r w:rsidR="00950ED1">
        <w:t xml:space="preserve">led </w:t>
      </w:r>
      <w:r w:rsidR="008558B0" w:rsidRPr="00D070EF">
        <w:t>to the</w:t>
      </w:r>
      <w:r w:rsidRPr="00D070EF">
        <w:t xml:space="preserve"> </w:t>
      </w:r>
      <w:r w:rsidR="00950ED1">
        <w:t xml:space="preserve">1948 </w:t>
      </w:r>
      <w:r w:rsidRPr="00D070EF">
        <w:t>United Nations Convention on the Prevention and Punishment of the Crime of Genocide</w:t>
      </w:r>
      <w:r w:rsidR="00C42446">
        <w:t xml:space="preserve">. The Convention </w:t>
      </w:r>
      <w:r w:rsidR="008558B0" w:rsidRPr="00D070EF">
        <w:t xml:space="preserve">defined genocide </w:t>
      </w:r>
      <w:r w:rsidRPr="00D070EF">
        <w:t xml:space="preserve">as </w:t>
      </w:r>
      <w:r w:rsidR="00E2349D">
        <w:t>‘</w:t>
      </w:r>
      <w:r w:rsidRPr="00D070EF">
        <w:t>acts committed with the intent to destroy, in whole or in part, a national, ethnical, racial, or religious group</w:t>
      </w:r>
      <w:r w:rsidR="00E2349D">
        <w:t>’</w:t>
      </w:r>
      <w:r w:rsidRPr="00D070EF">
        <w:t>.</w:t>
      </w:r>
      <w:r w:rsidR="006A46B3" w:rsidRPr="00D070EF">
        <w:t xml:space="preserve"> </w:t>
      </w:r>
      <w:r w:rsidRPr="00D070EF">
        <w:t xml:space="preserve">Combining the Greek </w:t>
      </w:r>
      <w:proofErr w:type="spellStart"/>
      <w:r w:rsidRPr="00D070EF">
        <w:rPr>
          <w:i/>
        </w:rPr>
        <w:t>genos</w:t>
      </w:r>
      <w:proofErr w:type="spellEnd"/>
      <w:r w:rsidRPr="00D070EF">
        <w:rPr>
          <w:i/>
        </w:rPr>
        <w:t xml:space="preserve"> </w:t>
      </w:r>
      <w:r w:rsidRPr="00D070EF">
        <w:t xml:space="preserve">for kin, race or tribe and the Latin suffix </w:t>
      </w:r>
      <w:r w:rsidRPr="00D070EF">
        <w:rPr>
          <w:i/>
        </w:rPr>
        <w:t>-</w:t>
      </w:r>
      <w:proofErr w:type="spellStart"/>
      <w:r w:rsidRPr="00D070EF">
        <w:rPr>
          <w:i/>
        </w:rPr>
        <w:t>cide</w:t>
      </w:r>
      <w:proofErr w:type="spellEnd"/>
      <w:r w:rsidRPr="00D070EF">
        <w:rPr>
          <w:i/>
        </w:rPr>
        <w:t xml:space="preserve"> </w:t>
      </w:r>
      <w:r w:rsidR="0029300C" w:rsidRPr="00D070EF">
        <w:t>for to kill or murder,</w:t>
      </w:r>
      <w:r w:rsidR="009C0300">
        <w:t xml:space="preserve"> </w:t>
      </w:r>
      <w:proofErr w:type="spellStart"/>
      <w:r w:rsidRPr="00D070EF">
        <w:t>Lemkin</w:t>
      </w:r>
      <w:proofErr w:type="spellEnd"/>
      <w:r w:rsidRPr="00D070EF">
        <w:t xml:space="preserve"> (a Polish lawyer</w:t>
      </w:r>
      <w:r w:rsidR="00B06234" w:rsidRPr="00D070EF">
        <w:t xml:space="preserve"> of Jewish origin</w:t>
      </w:r>
      <w:r w:rsidR="00950ED1">
        <w:t xml:space="preserve">) </w:t>
      </w:r>
      <w:r w:rsidR="0029300C" w:rsidRPr="00D070EF">
        <w:t>in 1944</w:t>
      </w:r>
      <w:r w:rsidR="00B34855" w:rsidRPr="00B34855">
        <w:t xml:space="preserve"> </w:t>
      </w:r>
      <w:r w:rsidR="00B34855" w:rsidRPr="00D070EF">
        <w:t>coined</w:t>
      </w:r>
      <w:r w:rsidRPr="00D070EF">
        <w:t xml:space="preserve"> the term 'genocide' for a practice that </w:t>
      </w:r>
      <w:r w:rsidR="00950ED1">
        <w:t xml:space="preserve">arguably </w:t>
      </w:r>
      <w:r w:rsidRPr="00D070EF">
        <w:t xml:space="preserve">has been perpetrated through the ages. </w:t>
      </w:r>
      <w:r w:rsidR="006A46B3" w:rsidRPr="00D070EF">
        <w:t>However, i</w:t>
      </w:r>
      <w:r w:rsidR="00A13A3B" w:rsidRPr="00D070EF">
        <w:t xml:space="preserve">t is no longer the historical occurrence of genocide that preoccupies social scientists, rather its disturbing recurrence in recent times despite the </w:t>
      </w:r>
      <w:r w:rsidR="008558B0" w:rsidRPr="00D070EF">
        <w:t>above</w:t>
      </w:r>
      <w:r w:rsidR="00DC3310">
        <w:t>,</w:t>
      </w:r>
      <w:r w:rsidR="008558B0" w:rsidRPr="00D070EF">
        <w:t xml:space="preserve"> and other </w:t>
      </w:r>
      <w:r w:rsidR="00A13A3B" w:rsidRPr="00D070EF">
        <w:t xml:space="preserve">international conventions drawn up to protect human rights. </w:t>
      </w:r>
    </w:p>
    <w:p w:rsidR="00D070EF" w:rsidRPr="00D070EF" w:rsidRDefault="00B9272F" w:rsidP="00D070EF">
      <w:pPr>
        <w:spacing w:line="240" w:lineRule="auto"/>
        <w:jc w:val="both"/>
        <w:rPr>
          <w:rFonts w:cs="Arial"/>
          <w:bCs/>
        </w:rPr>
      </w:pPr>
      <w:r>
        <w:t>Although genocide is a</w:t>
      </w:r>
      <w:r w:rsidR="00EE3A20">
        <w:t xml:space="preserve"> crime under international law</w:t>
      </w:r>
      <w:r>
        <w:t>, it</w:t>
      </w:r>
      <w:r w:rsidR="0044007A" w:rsidRPr="00D070EF">
        <w:t xml:space="preserve"> has only recently been the subject of the </w:t>
      </w:r>
      <w:r w:rsidR="007D72BC" w:rsidRPr="00D070EF">
        <w:t>criminological gaze, and more recently</w:t>
      </w:r>
      <w:r w:rsidR="0044007A" w:rsidRPr="00D070EF">
        <w:t xml:space="preserve"> still the subject of the victimological gaze (</w:t>
      </w:r>
      <w:r w:rsidR="00B61610">
        <w:t xml:space="preserve">see </w:t>
      </w:r>
      <w:r w:rsidR="0044007A" w:rsidRPr="00D070EF">
        <w:t xml:space="preserve">Rafter </w:t>
      </w:r>
      <w:r w:rsidR="00E2349D">
        <w:t>and</w:t>
      </w:r>
      <w:r w:rsidR="0044007A" w:rsidRPr="00D070EF">
        <w:t xml:space="preserve"> </w:t>
      </w:r>
      <w:proofErr w:type="spellStart"/>
      <w:r w:rsidR="0044007A" w:rsidRPr="00D070EF">
        <w:t>Walklate</w:t>
      </w:r>
      <w:proofErr w:type="spellEnd"/>
      <w:r w:rsidR="0044007A" w:rsidRPr="00D070EF">
        <w:t>, 2012</w:t>
      </w:r>
      <w:r w:rsidR="0044007A" w:rsidRPr="00DD42EF">
        <w:t xml:space="preserve">). </w:t>
      </w:r>
      <w:r w:rsidR="00EE3A20">
        <w:t xml:space="preserve">Rafter and </w:t>
      </w:r>
      <w:proofErr w:type="spellStart"/>
      <w:r w:rsidR="00EE3A20">
        <w:t>Walklate</w:t>
      </w:r>
      <w:proofErr w:type="spellEnd"/>
      <w:r w:rsidR="00DC3310">
        <w:t xml:space="preserve"> (2012)</w:t>
      </w:r>
      <w:r w:rsidR="00F773F7" w:rsidRPr="00DD42EF">
        <w:t xml:space="preserve"> </w:t>
      </w:r>
      <w:r w:rsidR="007D72BC" w:rsidRPr="00DD42EF">
        <w:t>relate this, in part, to the problems of avoiding charges of victim blaming</w:t>
      </w:r>
      <w:r w:rsidR="00F773F7" w:rsidRPr="00DD42EF">
        <w:t xml:space="preserve"> whereby some people </w:t>
      </w:r>
      <w:r w:rsidR="00EE3A20">
        <w:t xml:space="preserve">(or groups) </w:t>
      </w:r>
      <w:r w:rsidR="00F773F7" w:rsidRPr="00DD42EF">
        <w:t xml:space="preserve">are either seen to be more prone to victimisation than others or </w:t>
      </w:r>
      <w:r w:rsidR="0029300C" w:rsidRPr="00DD42EF">
        <w:t xml:space="preserve">to </w:t>
      </w:r>
      <w:r w:rsidR="00F773F7" w:rsidRPr="00DD42EF">
        <w:t>have some culpability in their vic</w:t>
      </w:r>
      <w:r w:rsidR="008558B0" w:rsidRPr="00DD42EF">
        <w:t xml:space="preserve">timhood. </w:t>
      </w:r>
      <w:r w:rsidR="00914AA0" w:rsidRPr="00DD42EF">
        <w:t>However, this is simply not the nature of genocide victimhood</w:t>
      </w:r>
      <w:r w:rsidR="00DD42EF" w:rsidRPr="00DD42EF">
        <w:t>; rather,</w:t>
      </w:r>
      <w:r w:rsidR="00DD42EF" w:rsidRPr="00DD42EF">
        <w:rPr>
          <w:rFonts w:cs="Arial"/>
          <w:bCs/>
        </w:rPr>
        <w:t xml:space="preserve"> genocide is fundamentally connected to concepts of difference and otherness</w:t>
      </w:r>
      <w:r w:rsidR="00914AA0" w:rsidRPr="00DD42EF">
        <w:t xml:space="preserve">. </w:t>
      </w:r>
      <w:r w:rsidR="00D070EF" w:rsidRPr="00DD42EF">
        <w:t xml:space="preserve">Bauman </w:t>
      </w:r>
      <w:r w:rsidR="00D070EF" w:rsidRPr="00DD42EF">
        <w:rPr>
          <w:rFonts w:cs="Arial"/>
          <w:bCs/>
        </w:rPr>
        <w:t xml:space="preserve">(1995, p 203) </w:t>
      </w:r>
      <w:r w:rsidR="00DD42EF" w:rsidRPr="00DD42EF">
        <w:rPr>
          <w:rFonts w:cs="Arial"/>
          <w:bCs/>
        </w:rPr>
        <w:t>demonstrates this</w:t>
      </w:r>
      <w:r w:rsidR="00D070EF" w:rsidRPr="00DD42EF">
        <w:rPr>
          <w:rFonts w:cs="Arial"/>
          <w:bCs/>
        </w:rPr>
        <w:t xml:space="preserve"> well:</w:t>
      </w:r>
    </w:p>
    <w:p w:rsidR="009E71D5" w:rsidRDefault="00D070EF" w:rsidP="00D070EF">
      <w:pPr>
        <w:pStyle w:val="BodyText2"/>
        <w:spacing w:line="240" w:lineRule="auto"/>
        <w:ind w:left="720"/>
        <w:rPr>
          <w:rFonts w:asciiTheme="minorHAnsi" w:hAnsiTheme="minorHAnsi" w:cs="Arial"/>
          <w:b w:val="0"/>
          <w:sz w:val="22"/>
          <w:szCs w:val="22"/>
        </w:rPr>
      </w:pPr>
      <w:r w:rsidRPr="00D070EF">
        <w:rPr>
          <w:rFonts w:asciiTheme="minorHAnsi" w:hAnsiTheme="minorHAnsi" w:cs="Arial"/>
          <w:b w:val="0"/>
          <w:sz w:val="22"/>
          <w:szCs w:val="22"/>
        </w:rPr>
        <w:t>'In every genocide, the victims are killed not for what they have done, but for what they are; more precisely still, for what they, being what they are, may yet become; or for what they, they being what they are, may not become.  Nothing the appointed victims may or may not do affects the sentence of death - and that includes their choice between submissiveness or militancy, surrender or resistance'.</w:t>
      </w:r>
    </w:p>
    <w:p w:rsidR="009C0300" w:rsidRDefault="009C0300" w:rsidP="00D070EF">
      <w:pPr>
        <w:pStyle w:val="NormalWeb"/>
        <w:shd w:val="clear" w:color="auto" w:fill="FFFFFF"/>
        <w:spacing w:before="0" w:beforeAutospacing="0" w:after="0" w:afterAutospacing="0"/>
        <w:ind w:right="153"/>
        <w:rPr>
          <w:rFonts w:asciiTheme="minorHAnsi" w:hAnsiTheme="minorHAnsi"/>
          <w:sz w:val="22"/>
          <w:szCs w:val="22"/>
        </w:rPr>
      </w:pPr>
    </w:p>
    <w:p w:rsidR="009C0300" w:rsidRPr="007831B1" w:rsidRDefault="0029300C" w:rsidP="00D070EF">
      <w:pPr>
        <w:pStyle w:val="NormalWeb"/>
        <w:shd w:val="clear" w:color="auto" w:fill="FFFFFF"/>
        <w:spacing w:before="0" w:beforeAutospacing="0" w:after="0" w:afterAutospacing="0"/>
        <w:ind w:right="153"/>
        <w:rPr>
          <w:rFonts w:asciiTheme="minorHAnsi" w:hAnsiTheme="minorHAnsi" w:cs="Arial"/>
          <w:bCs/>
          <w:sz w:val="22"/>
          <w:szCs w:val="22"/>
        </w:rPr>
      </w:pPr>
      <w:r w:rsidRPr="00D070EF">
        <w:rPr>
          <w:rFonts w:asciiTheme="minorHAnsi" w:hAnsiTheme="minorHAnsi"/>
          <w:sz w:val="22"/>
          <w:szCs w:val="22"/>
        </w:rPr>
        <w:t xml:space="preserve">The </w:t>
      </w:r>
      <w:r w:rsidR="00803B49">
        <w:rPr>
          <w:rFonts w:asciiTheme="minorHAnsi" w:hAnsiTheme="minorHAnsi"/>
          <w:sz w:val="22"/>
          <w:szCs w:val="22"/>
        </w:rPr>
        <w:t xml:space="preserve">crimes, </w:t>
      </w:r>
      <w:r w:rsidRPr="00D070EF">
        <w:rPr>
          <w:rFonts w:asciiTheme="minorHAnsi" w:hAnsiTheme="minorHAnsi"/>
          <w:sz w:val="22"/>
          <w:szCs w:val="22"/>
        </w:rPr>
        <w:t>harm</w:t>
      </w:r>
      <w:r w:rsidR="00803B49">
        <w:rPr>
          <w:rFonts w:asciiTheme="minorHAnsi" w:hAnsiTheme="minorHAnsi"/>
          <w:sz w:val="22"/>
          <w:szCs w:val="22"/>
        </w:rPr>
        <w:t xml:space="preserve"> and victimisation</w:t>
      </w:r>
      <w:r w:rsidRPr="00D070EF">
        <w:rPr>
          <w:rFonts w:asciiTheme="minorHAnsi" w:hAnsiTheme="minorHAnsi"/>
          <w:sz w:val="22"/>
          <w:szCs w:val="22"/>
        </w:rPr>
        <w:t xml:space="preserve"> suffered by </w:t>
      </w:r>
      <w:r w:rsidR="008B2D24" w:rsidRPr="00D070EF">
        <w:rPr>
          <w:rFonts w:asciiTheme="minorHAnsi" w:hAnsiTheme="minorHAnsi"/>
          <w:sz w:val="22"/>
          <w:szCs w:val="22"/>
        </w:rPr>
        <w:t>those su</w:t>
      </w:r>
      <w:r w:rsidR="008C74F5" w:rsidRPr="00D070EF">
        <w:rPr>
          <w:rFonts w:asciiTheme="minorHAnsi" w:hAnsiTheme="minorHAnsi"/>
          <w:sz w:val="22"/>
          <w:szCs w:val="22"/>
        </w:rPr>
        <w:t xml:space="preserve">bject to genocide is patent. Although death of members of the group is the ultimate intention, there are recognised processes or common elements that lead up to the final act. </w:t>
      </w:r>
      <w:r w:rsidR="00EE3A20">
        <w:rPr>
          <w:rFonts w:asciiTheme="minorHAnsi" w:hAnsiTheme="minorHAnsi"/>
          <w:sz w:val="22"/>
          <w:szCs w:val="22"/>
        </w:rPr>
        <w:t xml:space="preserve">Stanton </w:t>
      </w:r>
      <w:r w:rsidR="00E2349D">
        <w:rPr>
          <w:rFonts w:asciiTheme="minorHAnsi" w:hAnsiTheme="minorHAnsi"/>
          <w:sz w:val="22"/>
          <w:szCs w:val="22"/>
        </w:rPr>
        <w:t>(</w:t>
      </w:r>
      <w:r w:rsidR="00AB1D03">
        <w:rPr>
          <w:rFonts w:asciiTheme="minorHAnsi" w:hAnsiTheme="minorHAnsi"/>
          <w:sz w:val="22"/>
          <w:szCs w:val="22"/>
        </w:rPr>
        <w:t>2013</w:t>
      </w:r>
      <w:r w:rsidR="00E2349D">
        <w:rPr>
          <w:rFonts w:asciiTheme="minorHAnsi" w:hAnsiTheme="minorHAnsi"/>
          <w:sz w:val="22"/>
          <w:szCs w:val="22"/>
        </w:rPr>
        <w:t xml:space="preserve">) 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>has identified ten stages that genocides go through (</w:t>
      </w:r>
      <w:r w:rsidR="00DC3310">
        <w:rPr>
          <w:rFonts w:asciiTheme="minorHAnsi" w:hAnsiTheme="minorHAnsi" w:cs="Arial"/>
          <w:bCs/>
          <w:sz w:val="22"/>
          <w:szCs w:val="22"/>
        </w:rPr>
        <w:t>with</w:t>
      </w:r>
      <w:r w:rsidR="00DC3310" w:rsidRPr="00D070EF" w:rsidDel="00DC331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C3310">
        <w:rPr>
          <w:rFonts w:asciiTheme="minorHAnsi" w:hAnsiTheme="minorHAnsi" w:cs="Arial"/>
          <w:bCs/>
          <w:sz w:val="22"/>
          <w:szCs w:val="22"/>
        </w:rPr>
        <w:t>h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>arm</w:t>
      </w:r>
      <w:r w:rsidR="00DC3310">
        <w:rPr>
          <w:rFonts w:asciiTheme="minorHAnsi" w:hAnsiTheme="minorHAnsi" w:cs="Arial"/>
          <w:bCs/>
          <w:sz w:val="22"/>
          <w:szCs w:val="22"/>
        </w:rPr>
        <w:t>s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 occu</w:t>
      </w:r>
      <w:r w:rsidR="00491F02">
        <w:rPr>
          <w:rFonts w:asciiTheme="minorHAnsi" w:hAnsiTheme="minorHAnsi" w:cs="Arial"/>
          <w:bCs/>
          <w:sz w:val="22"/>
          <w:szCs w:val="22"/>
        </w:rPr>
        <w:t>r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>r</w:t>
      </w:r>
      <w:r w:rsidR="00DC3310">
        <w:rPr>
          <w:rFonts w:asciiTheme="minorHAnsi" w:hAnsiTheme="minorHAnsi" w:cs="Arial"/>
          <w:bCs/>
          <w:sz w:val="22"/>
          <w:szCs w:val="22"/>
        </w:rPr>
        <w:t>ing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 at </w:t>
      </w:r>
      <w:r w:rsidR="00DC3310">
        <w:rPr>
          <w:rFonts w:asciiTheme="minorHAnsi" w:hAnsiTheme="minorHAnsi" w:cs="Arial"/>
          <w:bCs/>
          <w:sz w:val="22"/>
          <w:szCs w:val="22"/>
        </w:rPr>
        <w:t>every</w:t>
      </w:r>
      <w:r w:rsidR="00DC3310" w:rsidRPr="00D070E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stage. </w:t>
      </w:r>
      <w:r w:rsidR="00DC3310">
        <w:rPr>
          <w:rFonts w:asciiTheme="minorHAnsi" w:hAnsiTheme="minorHAnsi" w:cs="Arial"/>
          <w:bCs/>
          <w:sz w:val="22"/>
          <w:szCs w:val="22"/>
        </w:rPr>
        <w:t>I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>n the lead up to the Holocaust, Jewish people were subject to discrimination before being dehumanised</w:t>
      </w:r>
      <w:r w:rsidR="00C42446">
        <w:rPr>
          <w:rFonts w:asciiTheme="minorHAnsi" w:hAnsiTheme="minorHAnsi" w:cs="Arial"/>
          <w:bCs/>
          <w:sz w:val="22"/>
          <w:szCs w:val="22"/>
        </w:rPr>
        <w:t>,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 and they and their property violently targeted in pogroms. Such processes can be seen in </w:t>
      </w:r>
      <w:r w:rsidR="00914AA0">
        <w:rPr>
          <w:rFonts w:asciiTheme="minorHAnsi" w:hAnsiTheme="minorHAnsi" w:cs="Arial"/>
          <w:bCs/>
          <w:sz w:val="22"/>
          <w:szCs w:val="22"/>
        </w:rPr>
        <w:t xml:space="preserve">previous and </w:t>
      </w:r>
      <w:r w:rsidR="009C0300">
        <w:rPr>
          <w:rFonts w:asciiTheme="minorHAnsi" w:hAnsiTheme="minorHAnsi" w:cs="Arial"/>
          <w:bCs/>
          <w:sz w:val="22"/>
          <w:szCs w:val="22"/>
        </w:rPr>
        <w:t>subsequent</w:t>
      </w:r>
      <w:r w:rsidR="009C0300" w:rsidRPr="00D070E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E3A20">
        <w:rPr>
          <w:rFonts w:asciiTheme="minorHAnsi" w:hAnsiTheme="minorHAnsi" w:cs="Arial"/>
          <w:bCs/>
          <w:sz w:val="22"/>
          <w:szCs w:val="22"/>
        </w:rPr>
        <w:t>genocides. For example, a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>s Jewish people were equated with vermin and disease</w:t>
      </w:r>
      <w:r w:rsidR="005A3F57" w:rsidRPr="00D070EF">
        <w:rPr>
          <w:rFonts w:asciiTheme="minorHAnsi" w:hAnsiTheme="minorHAnsi" w:cs="Arial"/>
          <w:bCs/>
          <w:sz w:val="22"/>
          <w:szCs w:val="22"/>
        </w:rPr>
        <w:t xml:space="preserve"> in the middle of the twentieth century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, so too </w:t>
      </w:r>
      <w:r w:rsidR="005A3F57" w:rsidRPr="00D070EF">
        <w:rPr>
          <w:rFonts w:asciiTheme="minorHAnsi" w:hAnsiTheme="minorHAnsi" w:cs="Arial"/>
          <w:bCs/>
          <w:sz w:val="22"/>
          <w:szCs w:val="22"/>
        </w:rPr>
        <w:t xml:space="preserve">had the Armenian people at the beginning of the century and so 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were the </w:t>
      </w:r>
      <w:r w:rsidR="005A3F57" w:rsidRPr="00D070EF">
        <w:rPr>
          <w:rFonts w:asciiTheme="minorHAnsi" w:hAnsiTheme="minorHAnsi" w:cs="Arial"/>
          <w:bCs/>
          <w:sz w:val="22"/>
          <w:szCs w:val="22"/>
        </w:rPr>
        <w:t>Tutsis</w:t>
      </w:r>
      <w:r w:rsidR="0095668D" w:rsidRPr="00D070EF">
        <w:rPr>
          <w:rFonts w:asciiTheme="minorHAnsi" w:hAnsiTheme="minorHAnsi" w:cs="Arial"/>
          <w:bCs/>
          <w:sz w:val="22"/>
          <w:szCs w:val="22"/>
        </w:rPr>
        <w:t xml:space="preserve"> in the Rwandan genocide</w:t>
      </w:r>
      <w:r w:rsidR="005A3F57" w:rsidRPr="00D070EF">
        <w:rPr>
          <w:rFonts w:asciiTheme="minorHAnsi" w:hAnsiTheme="minorHAnsi" w:cs="Arial"/>
          <w:bCs/>
          <w:sz w:val="22"/>
          <w:szCs w:val="22"/>
        </w:rPr>
        <w:t xml:space="preserve"> towards the end of it. </w:t>
      </w:r>
      <w:r w:rsidR="007831B1">
        <w:rPr>
          <w:rFonts w:asciiTheme="minorHAnsi" w:hAnsiTheme="minorHAnsi" w:cs="Arial"/>
          <w:bCs/>
          <w:sz w:val="22"/>
          <w:szCs w:val="22"/>
        </w:rPr>
        <w:t xml:space="preserve"> Harm </w:t>
      </w:r>
      <w:r w:rsidR="009C0300">
        <w:rPr>
          <w:rFonts w:asciiTheme="minorHAnsi" w:hAnsiTheme="minorHAnsi" w:cs="Arial"/>
          <w:bCs/>
          <w:sz w:val="22"/>
          <w:szCs w:val="22"/>
        </w:rPr>
        <w:t xml:space="preserve">can also </w:t>
      </w:r>
      <w:r w:rsidR="007831B1">
        <w:rPr>
          <w:rFonts w:asciiTheme="minorHAnsi" w:hAnsiTheme="minorHAnsi" w:cs="Arial"/>
          <w:bCs/>
          <w:sz w:val="22"/>
          <w:szCs w:val="22"/>
        </w:rPr>
        <w:t xml:space="preserve">be </w:t>
      </w:r>
      <w:r w:rsidR="009C0300">
        <w:rPr>
          <w:rFonts w:asciiTheme="minorHAnsi" w:hAnsiTheme="minorHAnsi" w:cs="Arial"/>
          <w:bCs/>
          <w:sz w:val="22"/>
          <w:szCs w:val="22"/>
        </w:rPr>
        <w:t>inflicted in others ways. 'Destroying' a grou</w:t>
      </w:r>
      <w:r w:rsidR="00C42446">
        <w:rPr>
          <w:rFonts w:asciiTheme="minorHAnsi" w:hAnsiTheme="minorHAnsi" w:cs="Arial"/>
          <w:bCs/>
          <w:sz w:val="22"/>
          <w:szCs w:val="22"/>
        </w:rPr>
        <w:t>p</w:t>
      </w:r>
      <w:r w:rsidR="009C0300">
        <w:rPr>
          <w:rFonts w:asciiTheme="minorHAnsi" w:hAnsiTheme="minorHAnsi" w:cs="Arial"/>
          <w:bCs/>
          <w:sz w:val="22"/>
          <w:szCs w:val="22"/>
        </w:rPr>
        <w:t xml:space="preserve"> can be achieved through murdering the male population of the group, or certain males in the group, and raping and infecting t</w:t>
      </w:r>
      <w:r w:rsidR="00B61610">
        <w:rPr>
          <w:rFonts w:asciiTheme="minorHAnsi" w:hAnsiTheme="minorHAnsi" w:cs="Arial"/>
          <w:bCs/>
          <w:sz w:val="22"/>
          <w:szCs w:val="22"/>
        </w:rPr>
        <w:t xml:space="preserve">he females with fatal </w:t>
      </w:r>
      <w:r w:rsidR="00803B49">
        <w:rPr>
          <w:rFonts w:asciiTheme="minorHAnsi" w:hAnsiTheme="minorHAnsi" w:cs="Arial"/>
          <w:bCs/>
          <w:sz w:val="22"/>
          <w:szCs w:val="22"/>
        </w:rPr>
        <w:t>infections</w:t>
      </w:r>
      <w:r w:rsidR="00B61610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9C0300">
        <w:rPr>
          <w:rFonts w:asciiTheme="minorHAnsi" w:hAnsiTheme="minorHAnsi" w:cs="Arial"/>
          <w:bCs/>
          <w:sz w:val="22"/>
          <w:szCs w:val="22"/>
        </w:rPr>
        <w:t>as o</w:t>
      </w:r>
      <w:r w:rsidR="00B61610">
        <w:rPr>
          <w:rFonts w:asciiTheme="minorHAnsi" w:hAnsiTheme="minorHAnsi" w:cs="Arial"/>
          <w:bCs/>
          <w:sz w:val="22"/>
          <w:szCs w:val="22"/>
        </w:rPr>
        <w:t>ccurred in the Rwandan genocide</w:t>
      </w:r>
      <w:r w:rsidR="009C0300">
        <w:rPr>
          <w:rFonts w:asciiTheme="minorHAnsi" w:hAnsiTheme="minorHAnsi" w:cs="Arial"/>
          <w:bCs/>
          <w:sz w:val="22"/>
          <w:szCs w:val="22"/>
        </w:rPr>
        <w:t>, or by forcing the females, children and old men on marches whereby they die thr</w:t>
      </w:r>
      <w:r w:rsidR="00B61610">
        <w:rPr>
          <w:rFonts w:asciiTheme="minorHAnsi" w:hAnsiTheme="minorHAnsi" w:cs="Arial"/>
          <w:bCs/>
          <w:sz w:val="22"/>
          <w:szCs w:val="22"/>
        </w:rPr>
        <w:t xml:space="preserve">ough starvation and exhaustion, </w:t>
      </w:r>
      <w:r w:rsidR="009C0300">
        <w:rPr>
          <w:rFonts w:asciiTheme="minorHAnsi" w:hAnsiTheme="minorHAnsi" w:cs="Arial"/>
          <w:bCs/>
          <w:sz w:val="22"/>
          <w:szCs w:val="22"/>
        </w:rPr>
        <w:t>as oc</w:t>
      </w:r>
      <w:r w:rsidR="00B61610">
        <w:rPr>
          <w:rFonts w:asciiTheme="minorHAnsi" w:hAnsiTheme="minorHAnsi" w:cs="Arial"/>
          <w:bCs/>
          <w:sz w:val="22"/>
          <w:szCs w:val="22"/>
        </w:rPr>
        <w:t>curred in the Armenian genocide</w:t>
      </w:r>
      <w:r w:rsidR="009C0300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95668D" w:rsidRPr="00D070EF" w:rsidRDefault="0095668D" w:rsidP="00D070EF">
      <w:pPr>
        <w:pStyle w:val="NormalWeb"/>
        <w:shd w:val="clear" w:color="auto" w:fill="FFFFFF"/>
        <w:spacing w:before="0" w:beforeAutospacing="0" w:after="0" w:afterAutospacing="0"/>
        <w:ind w:right="153"/>
        <w:rPr>
          <w:rFonts w:asciiTheme="minorHAnsi" w:hAnsiTheme="minorHAnsi" w:cs="Arial"/>
          <w:sz w:val="22"/>
          <w:szCs w:val="22"/>
        </w:rPr>
      </w:pPr>
    </w:p>
    <w:p w:rsidR="005A3F57" w:rsidRPr="00D070EF" w:rsidRDefault="008C74F5" w:rsidP="00D070EF">
      <w:pPr>
        <w:spacing w:line="240" w:lineRule="auto"/>
      </w:pPr>
      <w:r w:rsidRPr="00D070EF">
        <w:t>F</w:t>
      </w:r>
      <w:r w:rsidR="008B2D24" w:rsidRPr="00D070EF">
        <w:t xml:space="preserve">or the </w:t>
      </w:r>
      <w:r w:rsidR="0029300C" w:rsidRPr="00D070EF">
        <w:t>survivors of genocide</w:t>
      </w:r>
      <w:r w:rsidR="008B2D24" w:rsidRPr="00D070EF">
        <w:t xml:space="preserve"> the lasting </w:t>
      </w:r>
      <w:r w:rsidR="00803B49">
        <w:t xml:space="preserve">victimisation and </w:t>
      </w:r>
      <w:r w:rsidR="008B2D24" w:rsidRPr="00D070EF">
        <w:t>harm</w:t>
      </w:r>
      <w:r w:rsidR="0029300C" w:rsidRPr="00D070EF">
        <w:t xml:space="preserve"> is undeniably immeasurable. </w:t>
      </w:r>
      <w:r w:rsidR="00933C89" w:rsidRPr="00D070EF">
        <w:t>Those who survive genocide can</w:t>
      </w:r>
      <w:r w:rsidR="005A3F57" w:rsidRPr="00D070EF">
        <w:t xml:space="preserve"> and do</w:t>
      </w:r>
      <w:r w:rsidR="00933C89" w:rsidRPr="00D070EF">
        <w:t xml:space="preserve"> bear witness to their experiences of humiliation, loss and pain.</w:t>
      </w:r>
      <w:r w:rsidR="005A3F57" w:rsidRPr="00D070EF">
        <w:t xml:space="preserve"> </w:t>
      </w:r>
      <w:r w:rsidR="00933C89" w:rsidRPr="00D070EF">
        <w:t>Oral testimonies can allow an unshielded tr</w:t>
      </w:r>
      <w:r w:rsidR="00F64492">
        <w:t>uth to emerge (</w:t>
      </w:r>
      <w:r w:rsidR="00B61610">
        <w:t xml:space="preserve">see </w:t>
      </w:r>
      <w:r w:rsidR="00933C89" w:rsidRPr="00D070EF">
        <w:t>Langer, 1991); and autobiographical novels written by survivors can provide such testimonies through imager</w:t>
      </w:r>
      <w:r w:rsidR="00207BCB">
        <w:t>y and style (</w:t>
      </w:r>
      <w:r w:rsidR="00B61610">
        <w:t xml:space="preserve">see </w:t>
      </w:r>
      <w:r w:rsidR="00207BCB">
        <w:t>Levi, 1947</w:t>
      </w:r>
      <w:r w:rsidR="00DC3310">
        <w:t>;</w:t>
      </w:r>
      <w:r w:rsidR="00B61610">
        <w:t xml:space="preserve"> </w:t>
      </w:r>
      <w:proofErr w:type="spellStart"/>
      <w:r w:rsidR="00CA3092">
        <w:t>Delbo</w:t>
      </w:r>
      <w:proofErr w:type="spellEnd"/>
      <w:r w:rsidR="00CA3092">
        <w:t>, 1968</w:t>
      </w:r>
      <w:r w:rsidR="00933C89" w:rsidRPr="00D070EF">
        <w:t xml:space="preserve">). </w:t>
      </w:r>
      <w:r w:rsidR="0029300C" w:rsidRPr="00D070EF">
        <w:t>For some, the guilt at surviving</w:t>
      </w:r>
      <w:r w:rsidR="004C6312" w:rsidRPr="00D070EF">
        <w:t xml:space="preserve"> and the traumatic experiences are too much to bear</w:t>
      </w:r>
      <w:r w:rsidR="0029300C" w:rsidRPr="00D070EF">
        <w:t>. Levi</w:t>
      </w:r>
      <w:r w:rsidR="00A85C02" w:rsidRPr="00D070EF">
        <w:t xml:space="preserve"> </w:t>
      </w:r>
      <w:r w:rsidR="00803B49">
        <w:t xml:space="preserve">(1947) </w:t>
      </w:r>
      <w:r w:rsidR="00A85C02" w:rsidRPr="00D070EF">
        <w:t xml:space="preserve">claimed he </w:t>
      </w:r>
      <w:r w:rsidR="00334386" w:rsidRPr="00D070EF">
        <w:t xml:space="preserve">could not be a true witness to the horrors of the Nazi death camps as only those who had, those who had faced the </w:t>
      </w:r>
      <w:r w:rsidR="00334386" w:rsidRPr="00B61610">
        <w:rPr>
          <w:i/>
        </w:rPr>
        <w:t>Gorgon</w:t>
      </w:r>
      <w:r w:rsidR="00B61610">
        <w:rPr>
          <w:i/>
        </w:rPr>
        <w:t xml:space="preserve">, </w:t>
      </w:r>
      <w:r w:rsidR="00B61610">
        <w:t>and not returned</w:t>
      </w:r>
      <w:r w:rsidR="00334386" w:rsidRPr="00D070EF">
        <w:t xml:space="preserve">, could truly bear witness. </w:t>
      </w:r>
      <w:r w:rsidR="008B2D24" w:rsidRPr="00D070EF">
        <w:t>Despite surviving Auschwitz, Levi</w:t>
      </w:r>
      <w:r w:rsidR="00803B49">
        <w:t xml:space="preserve"> </w:t>
      </w:r>
      <w:r w:rsidR="008B2D24" w:rsidRPr="00D070EF">
        <w:t xml:space="preserve">took his own life many years later. </w:t>
      </w:r>
      <w:r w:rsidR="004C6312" w:rsidRPr="00D070EF">
        <w:t xml:space="preserve"> </w:t>
      </w:r>
      <w:r w:rsidR="00803B49">
        <w:t>The crimes, harms and victimisation of past and present genocides continue to resonate.</w:t>
      </w:r>
      <w:r w:rsidR="004C6312" w:rsidRPr="00D070EF">
        <w:t xml:space="preserve"> </w:t>
      </w:r>
      <w:r w:rsidR="0029300C" w:rsidRPr="00D070EF">
        <w:t xml:space="preserve"> </w:t>
      </w:r>
      <w:r w:rsidR="005A3F57" w:rsidRPr="00D070EF">
        <w:t xml:space="preserve"> </w:t>
      </w:r>
    </w:p>
    <w:p w:rsidR="00A13A3B" w:rsidRPr="00D070EF" w:rsidRDefault="002B6303" w:rsidP="00B34855">
      <w:pPr>
        <w:spacing w:line="240" w:lineRule="auto"/>
        <w:ind w:left="720" w:hanging="720"/>
        <w:jc w:val="right"/>
      </w:pPr>
      <w:r w:rsidRPr="00D070EF">
        <w:t>Jo Turner</w:t>
      </w:r>
    </w:p>
    <w:p w:rsidR="00DC3310" w:rsidRPr="00491F02" w:rsidRDefault="00DC3310" w:rsidP="00C424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i/>
          <w:lang w:eastAsia="en-GB"/>
        </w:rPr>
      </w:pPr>
      <w:r w:rsidRPr="00491F02">
        <w:rPr>
          <w:rFonts w:eastAsia="Times New Roman" w:cs="Helvetica"/>
          <w:b/>
          <w:i/>
          <w:lang w:eastAsia="en-GB"/>
        </w:rPr>
        <w:lastRenderedPageBreak/>
        <w:t>See also:</w:t>
      </w:r>
    </w:p>
    <w:p w:rsidR="00DC3310" w:rsidRPr="00491F02" w:rsidRDefault="00DC3310" w:rsidP="00C424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lang w:eastAsia="en-GB"/>
        </w:rPr>
      </w:pPr>
      <w:r>
        <w:rPr>
          <w:rFonts w:eastAsia="Times New Roman" w:cs="Helvetica"/>
          <w:b/>
          <w:lang w:eastAsia="en-GB"/>
        </w:rPr>
        <w:t>Readings</w:t>
      </w:r>
    </w:p>
    <w:p w:rsidR="00C42446" w:rsidRDefault="00D070EF" w:rsidP="00C424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Bauman, Z. (1995) </w:t>
      </w:r>
      <w:r>
        <w:rPr>
          <w:rFonts w:eastAsia="Times New Roman" w:cs="Helvetica"/>
          <w:i/>
          <w:lang w:eastAsia="en-GB"/>
        </w:rPr>
        <w:t>Life in fragments</w:t>
      </w:r>
      <w:r w:rsidRPr="00D070EF">
        <w:rPr>
          <w:rFonts w:eastAsia="Times New Roman" w:cs="Helvetica"/>
          <w:i/>
          <w:lang w:eastAsia="en-GB"/>
        </w:rPr>
        <w:t>: essays in postmodern morality</w:t>
      </w:r>
      <w:r>
        <w:rPr>
          <w:rFonts w:eastAsia="Times New Roman" w:cs="Helvetica"/>
          <w:lang w:eastAsia="en-GB"/>
        </w:rPr>
        <w:t xml:space="preserve">. </w:t>
      </w:r>
      <w:r w:rsidR="00AB1D03">
        <w:rPr>
          <w:rFonts w:eastAsia="Times New Roman" w:cs="Helvetica"/>
          <w:lang w:eastAsia="en-GB"/>
        </w:rPr>
        <w:t xml:space="preserve">Oxford, UK: </w:t>
      </w:r>
      <w:r>
        <w:rPr>
          <w:rFonts w:eastAsia="Times New Roman" w:cs="Helvetica"/>
          <w:lang w:eastAsia="en-GB"/>
        </w:rPr>
        <w:t xml:space="preserve">Blackwell Publishers. </w:t>
      </w:r>
    </w:p>
    <w:p w:rsidR="00CA3092" w:rsidRPr="00CA3092" w:rsidRDefault="00CA3092" w:rsidP="00C424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lang w:eastAsia="en-GB"/>
        </w:rPr>
      </w:pPr>
      <w:proofErr w:type="spellStart"/>
      <w:r>
        <w:rPr>
          <w:rFonts w:eastAsia="Times New Roman" w:cs="Helvetica"/>
          <w:lang w:eastAsia="en-GB"/>
        </w:rPr>
        <w:t>Delbo</w:t>
      </w:r>
      <w:proofErr w:type="spellEnd"/>
      <w:r>
        <w:rPr>
          <w:rFonts w:eastAsia="Times New Roman" w:cs="Helvetica"/>
          <w:lang w:eastAsia="en-GB"/>
        </w:rPr>
        <w:t xml:space="preserve">, C., (1968) </w:t>
      </w:r>
      <w:r w:rsidR="00B34855">
        <w:rPr>
          <w:rFonts w:eastAsia="Times New Roman" w:cs="Helvetica"/>
          <w:i/>
          <w:lang w:eastAsia="en-GB"/>
        </w:rPr>
        <w:t>None of</w:t>
      </w:r>
      <w:r w:rsidR="00803B49">
        <w:rPr>
          <w:rFonts w:eastAsia="Times New Roman" w:cs="Helvetica"/>
          <w:i/>
          <w:lang w:eastAsia="en-GB"/>
        </w:rPr>
        <w:t xml:space="preserve"> u</w:t>
      </w:r>
      <w:r w:rsidR="00B34855">
        <w:rPr>
          <w:rFonts w:eastAsia="Times New Roman" w:cs="Helvetica"/>
          <w:i/>
          <w:lang w:eastAsia="en-GB"/>
        </w:rPr>
        <w:t>s</w:t>
      </w:r>
      <w:r w:rsidR="00803B49">
        <w:rPr>
          <w:rFonts w:eastAsia="Times New Roman" w:cs="Helvetica"/>
          <w:i/>
          <w:lang w:eastAsia="en-GB"/>
        </w:rPr>
        <w:t xml:space="preserve"> w</w:t>
      </w:r>
      <w:r w:rsidR="00B34855">
        <w:rPr>
          <w:rFonts w:eastAsia="Times New Roman" w:cs="Helvetica"/>
          <w:i/>
          <w:lang w:eastAsia="en-GB"/>
        </w:rPr>
        <w:t>ill</w:t>
      </w:r>
      <w:r>
        <w:rPr>
          <w:rFonts w:eastAsia="Times New Roman" w:cs="Helvetica"/>
          <w:i/>
          <w:lang w:eastAsia="en-GB"/>
        </w:rPr>
        <w:t xml:space="preserve"> </w:t>
      </w:r>
      <w:r w:rsidR="00803B49">
        <w:rPr>
          <w:rFonts w:eastAsia="Times New Roman" w:cs="Helvetica"/>
          <w:i/>
          <w:lang w:eastAsia="en-GB"/>
        </w:rPr>
        <w:t>r</w:t>
      </w:r>
      <w:r w:rsidRPr="00CA3092">
        <w:rPr>
          <w:rFonts w:eastAsia="Times New Roman" w:cs="Helvetica"/>
          <w:i/>
          <w:lang w:eastAsia="en-GB"/>
        </w:rPr>
        <w:t>eturn.</w:t>
      </w:r>
      <w:r>
        <w:rPr>
          <w:rFonts w:eastAsia="Times New Roman" w:cs="Helvetica"/>
          <w:i/>
          <w:lang w:eastAsia="en-GB"/>
        </w:rPr>
        <w:t xml:space="preserve"> </w:t>
      </w:r>
      <w:r w:rsidR="00B34855" w:rsidRPr="00B34855">
        <w:rPr>
          <w:rFonts w:eastAsia="Times New Roman" w:cs="Helvetica"/>
          <w:lang w:eastAsia="en-GB"/>
        </w:rPr>
        <w:t xml:space="preserve">New York, </w:t>
      </w:r>
      <w:r w:rsidR="00803B49">
        <w:rPr>
          <w:rFonts w:eastAsia="Times New Roman" w:cs="Helvetica"/>
          <w:lang w:eastAsia="en-GB"/>
        </w:rPr>
        <w:t>NY</w:t>
      </w:r>
      <w:r w:rsidR="00B34855" w:rsidRPr="00B34855">
        <w:rPr>
          <w:rFonts w:eastAsia="Times New Roman" w:cs="Helvetica"/>
          <w:lang w:eastAsia="en-GB"/>
        </w:rPr>
        <w:t xml:space="preserve">: </w:t>
      </w:r>
      <w:r w:rsidRPr="00B34855">
        <w:rPr>
          <w:rFonts w:eastAsia="Times New Roman" w:cs="Helvetica"/>
          <w:lang w:eastAsia="en-GB"/>
        </w:rPr>
        <w:t>Grove</w:t>
      </w:r>
      <w:r>
        <w:rPr>
          <w:rFonts w:eastAsia="Times New Roman" w:cs="Helvetica"/>
          <w:lang w:eastAsia="en-GB"/>
        </w:rPr>
        <w:t xml:space="preserve"> Press.</w:t>
      </w:r>
    </w:p>
    <w:p w:rsidR="00933C89" w:rsidRPr="00933C89" w:rsidRDefault="00933C89" w:rsidP="00D070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lang w:eastAsia="en-GB"/>
        </w:rPr>
      </w:pPr>
      <w:r w:rsidRPr="00CA3092">
        <w:rPr>
          <w:rFonts w:eastAsia="Times New Roman" w:cs="Helvetica"/>
          <w:lang w:eastAsia="en-GB"/>
        </w:rPr>
        <w:t>Langer</w:t>
      </w:r>
      <w:r w:rsidRPr="00933C89">
        <w:rPr>
          <w:rFonts w:eastAsia="Times New Roman" w:cs="Helvetica"/>
          <w:lang w:eastAsia="en-GB"/>
        </w:rPr>
        <w:t xml:space="preserve">, L. L. (1991). </w:t>
      </w:r>
      <w:r w:rsidRPr="00933C89">
        <w:rPr>
          <w:rFonts w:eastAsia="Times New Roman" w:cs="Helvetica"/>
          <w:i/>
          <w:lang w:eastAsia="en-GB"/>
        </w:rPr>
        <w:t xml:space="preserve">Holocaust testimonies: </w:t>
      </w:r>
      <w:r w:rsidR="00FD6A05">
        <w:rPr>
          <w:rFonts w:eastAsia="Times New Roman" w:cs="Helvetica"/>
          <w:i/>
          <w:lang w:eastAsia="en-GB"/>
        </w:rPr>
        <w:t>t</w:t>
      </w:r>
      <w:r w:rsidRPr="00933C89">
        <w:rPr>
          <w:rFonts w:eastAsia="Times New Roman" w:cs="Helvetica"/>
          <w:i/>
          <w:lang w:eastAsia="en-GB"/>
        </w:rPr>
        <w:t>he ruins of memory.</w:t>
      </w:r>
      <w:r w:rsidRPr="00933C89">
        <w:rPr>
          <w:rFonts w:eastAsia="Times New Roman" w:cs="Helvetica"/>
          <w:lang w:eastAsia="en-GB"/>
        </w:rPr>
        <w:t xml:space="preserve"> New Haven, Conn: Yale University Press.</w:t>
      </w:r>
    </w:p>
    <w:p w:rsidR="00334386" w:rsidRPr="00D070EF" w:rsidRDefault="00334386" w:rsidP="00D070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lang w:eastAsia="en-GB"/>
        </w:rPr>
      </w:pPr>
      <w:r w:rsidRPr="00D070EF">
        <w:rPr>
          <w:rFonts w:eastAsia="Times New Roman" w:cs="Helvetica"/>
          <w:lang w:eastAsia="en-GB"/>
        </w:rPr>
        <w:t xml:space="preserve">Levi, P. (1947). </w:t>
      </w:r>
      <w:r w:rsidRPr="00D070EF">
        <w:rPr>
          <w:rFonts w:eastAsia="Times New Roman" w:cs="Helvetica"/>
          <w:i/>
          <w:lang w:eastAsia="en-GB"/>
        </w:rPr>
        <w:t>If this is a man</w:t>
      </w:r>
      <w:r w:rsidRPr="00D070EF">
        <w:rPr>
          <w:rFonts w:eastAsia="Times New Roman" w:cs="Helvetica"/>
          <w:lang w:eastAsia="en-GB"/>
        </w:rPr>
        <w:t>. London: Abacus.</w:t>
      </w:r>
    </w:p>
    <w:p w:rsidR="006543B2" w:rsidRDefault="006543B2" w:rsidP="00D070EF">
      <w:pPr>
        <w:spacing w:line="240" w:lineRule="auto"/>
        <w:jc w:val="both"/>
      </w:pPr>
      <w:r w:rsidRPr="00D070EF">
        <w:t>Rafter, N.</w:t>
      </w:r>
      <w:r w:rsidR="00FD6A05">
        <w:t xml:space="preserve"> and </w:t>
      </w:r>
      <w:r w:rsidRPr="00D070EF">
        <w:t xml:space="preserve"> </w:t>
      </w:r>
      <w:proofErr w:type="spellStart"/>
      <w:r w:rsidRPr="00D070EF">
        <w:t>Walklate</w:t>
      </w:r>
      <w:proofErr w:type="spellEnd"/>
      <w:r w:rsidRPr="00D070EF">
        <w:t xml:space="preserve">, S.,  (2012). Genocide and the dynamics of victimization: </w:t>
      </w:r>
      <w:r w:rsidR="00FD6A05">
        <w:t>s</w:t>
      </w:r>
      <w:r w:rsidRPr="00D070EF">
        <w:t xml:space="preserve">ome observations on Armenia. </w:t>
      </w:r>
      <w:r w:rsidRPr="00D070EF">
        <w:rPr>
          <w:i/>
        </w:rPr>
        <w:t>European Journal of Criminology</w:t>
      </w:r>
      <w:r w:rsidRPr="00D070EF">
        <w:t xml:space="preserve">, 9(5): 514–526. </w:t>
      </w:r>
    </w:p>
    <w:p w:rsidR="00AB1D03" w:rsidRPr="00D070EF" w:rsidRDefault="00AB1D03" w:rsidP="00AB1D03">
      <w:pPr>
        <w:spacing w:line="240" w:lineRule="auto"/>
      </w:pPr>
      <w:r>
        <w:t xml:space="preserve">Stanton, G. H. (2013). </w:t>
      </w:r>
      <w:r>
        <w:rPr>
          <w:i/>
        </w:rPr>
        <w:t xml:space="preserve">The ten stages of genocide. </w:t>
      </w:r>
      <w:hyperlink r:id="rId5" w:history="1">
        <w:r w:rsidRPr="00F7604F">
          <w:rPr>
            <w:rStyle w:val="Hyperlink"/>
            <w:rFonts w:cs="Arial"/>
            <w:bCs/>
          </w:rPr>
          <w:t>http://genocidewatch.org/genocide/tensta</w:t>
        </w:r>
        <w:r w:rsidRPr="00F7604F">
          <w:rPr>
            <w:rStyle w:val="Hyperlink"/>
            <w:rFonts w:cs="Arial"/>
            <w:bCs/>
          </w:rPr>
          <w:t>gesofgenocide.html</w:t>
        </w:r>
      </w:hyperlink>
      <w:r>
        <w:rPr>
          <w:rFonts w:cs="Arial"/>
          <w:bCs/>
        </w:rPr>
        <w:t>.</w:t>
      </w:r>
    </w:p>
    <w:p w:rsidR="00A13A3B" w:rsidRPr="00D070EF" w:rsidRDefault="00A13A3B" w:rsidP="00D070EF">
      <w:pPr>
        <w:spacing w:line="240" w:lineRule="auto"/>
        <w:ind w:left="720" w:hanging="720"/>
      </w:pPr>
      <w:r w:rsidRPr="00D070EF">
        <w:t>Totten, S.</w:t>
      </w:r>
      <w:r w:rsidR="00FD6A05">
        <w:t xml:space="preserve"> and </w:t>
      </w:r>
      <w:r w:rsidRPr="00D070EF">
        <w:t xml:space="preserve"> </w:t>
      </w:r>
      <w:proofErr w:type="spellStart"/>
      <w:r w:rsidRPr="00D070EF">
        <w:t>Bartrop</w:t>
      </w:r>
      <w:proofErr w:type="spellEnd"/>
      <w:r w:rsidRPr="00D070EF">
        <w:t xml:space="preserve">, P. R. (eds) (2009). </w:t>
      </w:r>
      <w:r w:rsidRPr="00D070EF">
        <w:rPr>
          <w:i/>
        </w:rPr>
        <w:t xml:space="preserve">The </w:t>
      </w:r>
      <w:r w:rsidR="00FD6A05">
        <w:rPr>
          <w:i/>
        </w:rPr>
        <w:t>g</w:t>
      </w:r>
      <w:r w:rsidRPr="00D070EF">
        <w:rPr>
          <w:i/>
        </w:rPr>
        <w:t xml:space="preserve">enocide </w:t>
      </w:r>
      <w:r w:rsidR="00FD6A05">
        <w:rPr>
          <w:i/>
        </w:rPr>
        <w:t>s</w:t>
      </w:r>
      <w:r w:rsidRPr="00D070EF">
        <w:rPr>
          <w:i/>
        </w:rPr>
        <w:t xml:space="preserve">tudies </w:t>
      </w:r>
      <w:r w:rsidR="00FD6A05">
        <w:rPr>
          <w:i/>
        </w:rPr>
        <w:t>r</w:t>
      </w:r>
      <w:r w:rsidRPr="00D070EF">
        <w:rPr>
          <w:i/>
        </w:rPr>
        <w:t>eader</w:t>
      </w:r>
      <w:r w:rsidRPr="00D070EF">
        <w:t>. New York</w:t>
      </w:r>
      <w:r w:rsidR="00FD6A05">
        <w:t>, NY</w:t>
      </w:r>
      <w:r w:rsidRPr="00D070EF">
        <w:t xml:space="preserve">: Routledge. </w:t>
      </w:r>
    </w:p>
    <w:p w:rsidR="002B6303" w:rsidRPr="00D070EF" w:rsidRDefault="002B6303" w:rsidP="00D070EF">
      <w:pPr>
        <w:spacing w:line="240" w:lineRule="auto"/>
        <w:ind w:left="720" w:hanging="720"/>
        <w:jc w:val="right"/>
      </w:pPr>
    </w:p>
    <w:sectPr w:rsidR="002B6303" w:rsidRPr="00D070EF" w:rsidSect="00F9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A4D683" w15:done="0"/>
  <w15:commentEx w15:paraId="3CC63635" w15:done="0"/>
  <w15:commentEx w15:paraId="110DE2E7" w15:done="0"/>
  <w15:commentEx w15:paraId="3134EB6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6EF"/>
    <w:multiLevelType w:val="multilevel"/>
    <w:tmpl w:val="364E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907C1"/>
    <w:multiLevelType w:val="hybridMultilevel"/>
    <w:tmpl w:val="5020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47C64"/>
    <w:multiLevelType w:val="multilevel"/>
    <w:tmpl w:val="4496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80D2F"/>
    <w:multiLevelType w:val="hybridMultilevel"/>
    <w:tmpl w:val="D618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Taylor">
    <w15:presenceInfo w15:providerId="AD" w15:userId="S-1-5-21-1247565615-3610816133-3880077738-170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trackRevisions/>
  <w:defaultTabStop w:val="720"/>
  <w:characterSpacingControl w:val="doNotCompress"/>
  <w:compat>
    <w:useFELayout/>
  </w:compat>
  <w:rsids>
    <w:rsidRoot w:val="002B6303"/>
    <w:rsid w:val="00016387"/>
    <w:rsid w:val="000D2E35"/>
    <w:rsid w:val="00146F93"/>
    <w:rsid w:val="001920B3"/>
    <w:rsid w:val="00207BCB"/>
    <w:rsid w:val="00250D9E"/>
    <w:rsid w:val="0029300C"/>
    <w:rsid w:val="002A642A"/>
    <w:rsid w:val="002B6303"/>
    <w:rsid w:val="00312E98"/>
    <w:rsid w:val="003240CF"/>
    <w:rsid w:val="00334386"/>
    <w:rsid w:val="0040091E"/>
    <w:rsid w:val="0044007A"/>
    <w:rsid w:val="00491F02"/>
    <w:rsid w:val="004C6312"/>
    <w:rsid w:val="004D7711"/>
    <w:rsid w:val="005A3F57"/>
    <w:rsid w:val="006150DE"/>
    <w:rsid w:val="0061595E"/>
    <w:rsid w:val="006543B2"/>
    <w:rsid w:val="006A46B3"/>
    <w:rsid w:val="007831B1"/>
    <w:rsid w:val="0078587D"/>
    <w:rsid w:val="007C01B6"/>
    <w:rsid w:val="007D72BC"/>
    <w:rsid w:val="00803B49"/>
    <w:rsid w:val="008558B0"/>
    <w:rsid w:val="008B0DAC"/>
    <w:rsid w:val="008B2D24"/>
    <w:rsid w:val="008C74F5"/>
    <w:rsid w:val="00914AA0"/>
    <w:rsid w:val="009273B7"/>
    <w:rsid w:val="00933C89"/>
    <w:rsid w:val="00950ED1"/>
    <w:rsid w:val="0095668D"/>
    <w:rsid w:val="00972E6C"/>
    <w:rsid w:val="0097786E"/>
    <w:rsid w:val="009C0300"/>
    <w:rsid w:val="009D1097"/>
    <w:rsid w:val="009E71D5"/>
    <w:rsid w:val="00A13A3B"/>
    <w:rsid w:val="00A35139"/>
    <w:rsid w:val="00A801EB"/>
    <w:rsid w:val="00A85C02"/>
    <w:rsid w:val="00AB1D03"/>
    <w:rsid w:val="00B06234"/>
    <w:rsid w:val="00B34855"/>
    <w:rsid w:val="00B61610"/>
    <w:rsid w:val="00B7472C"/>
    <w:rsid w:val="00B9272F"/>
    <w:rsid w:val="00BD0506"/>
    <w:rsid w:val="00C42446"/>
    <w:rsid w:val="00C73135"/>
    <w:rsid w:val="00CA3092"/>
    <w:rsid w:val="00D02163"/>
    <w:rsid w:val="00D070EF"/>
    <w:rsid w:val="00D409C6"/>
    <w:rsid w:val="00D444CA"/>
    <w:rsid w:val="00D56520"/>
    <w:rsid w:val="00DC3310"/>
    <w:rsid w:val="00DD42EF"/>
    <w:rsid w:val="00E216D6"/>
    <w:rsid w:val="00E2349D"/>
    <w:rsid w:val="00E247D4"/>
    <w:rsid w:val="00E570C2"/>
    <w:rsid w:val="00E62CEB"/>
    <w:rsid w:val="00EE3A20"/>
    <w:rsid w:val="00F64492"/>
    <w:rsid w:val="00F773F7"/>
    <w:rsid w:val="00F95EF7"/>
    <w:rsid w:val="00FD6A05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D070EF"/>
    <w:pPr>
      <w:spacing w:after="0" w:line="36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070EF"/>
    <w:rPr>
      <w:rFonts w:ascii="Arial" w:eastAsia="Times New Roman" w:hAnsi="Arial" w:cs="Times New Roman"/>
      <w:b/>
      <w:bCs/>
      <w:i/>
      <w:i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9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3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4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3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570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1D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D070EF"/>
    <w:pPr>
      <w:spacing w:after="0" w:line="36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070EF"/>
    <w:rPr>
      <w:rFonts w:ascii="Arial" w:eastAsia="Times New Roman" w:hAnsi="Arial" w:cs="Times New Roman"/>
      <w:b/>
      <w:bCs/>
      <w:i/>
      <w:i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9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3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4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3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570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nocidewatch.org/genocide/tenstagesofgenocide.htm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2015-09-11T19:19:00Z</dcterms:created>
  <dcterms:modified xsi:type="dcterms:W3CDTF">2015-09-11T19:19:00Z</dcterms:modified>
</cp:coreProperties>
</file>