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8F" w:rsidRDefault="00D24F8F">
      <w:r>
        <w:t>Victims</w:t>
      </w:r>
      <w:r w:rsidR="00D57742">
        <w:t xml:space="preserve"> - </w:t>
      </w:r>
      <w:r>
        <w:t>An Historical Perspective</w:t>
      </w:r>
    </w:p>
    <w:p w:rsidR="003F68A8" w:rsidRDefault="00822A6D" w:rsidP="00031AA6">
      <w:r>
        <w:t>The role and visibility of</w:t>
      </w:r>
      <w:r w:rsidR="008F35D7">
        <w:t xml:space="preserve"> victims</w:t>
      </w:r>
      <w:r w:rsidR="00681CA0">
        <w:t xml:space="preserve"> of crime</w:t>
      </w:r>
      <w:r>
        <w:t xml:space="preserve"> in a</w:t>
      </w:r>
      <w:r w:rsidR="001812DC">
        <w:t xml:space="preserve"> criminal justice system</w:t>
      </w:r>
      <w:r w:rsidR="003A3421">
        <w:t xml:space="preserve"> varies according to jurisdictions.</w:t>
      </w:r>
      <w:r w:rsidR="00982D13">
        <w:t xml:space="preserve"> </w:t>
      </w:r>
      <w:r w:rsidR="003A3421">
        <w:t>This role and visibility</w:t>
      </w:r>
      <w:r w:rsidR="00EB1CC7">
        <w:t xml:space="preserve"> has also varied </w:t>
      </w:r>
      <w:r w:rsidR="004A646E">
        <w:t>over time</w:t>
      </w:r>
      <w:r w:rsidR="003A3421">
        <w:t xml:space="preserve"> within jurisdictions</w:t>
      </w:r>
      <w:r w:rsidR="004A646E">
        <w:t>.</w:t>
      </w:r>
      <w:r w:rsidR="006B0A9F">
        <w:t xml:space="preserve"> These variations reflect the historical evolution of legal concepts, as well as diverse approaches to the interpretation of such notions as that of individual responsibility. </w:t>
      </w:r>
      <w:r w:rsidR="00D24F8F">
        <w:t>Whilst it is true that the victim of a crime plays, and has always played, a central role</w:t>
      </w:r>
      <w:r w:rsidR="00D24F8F" w:rsidRPr="00D24F8F">
        <w:t xml:space="preserve"> </w:t>
      </w:r>
      <w:r w:rsidR="006B0A9F">
        <w:t xml:space="preserve">in Western </w:t>
      </w:r>
      <w:r w:rsidR="00D24F8F">
        <w:t>criminal justice system</w:t>
      </w:r>
      <w:r w:rsidR="006B0A9F">
        <w:t>s</w:t>
      </w:r>
      <w:r w:rsidR="00D24F8F">
        <w:t>, that role today is much more passive</w:t>
      </w:r>
      <w:r w:rsidR="006B0A9F">
        <w:t>, less visible and arguably less important</w:t>
      </w:r>
      <w:r w:rsidR="00D24F8F">
        <w:t xml:space="preserve"> than it was in the past</w:t>
      </w:r>
      <w:r w:rsidR="00623A15">
        <w:t xml:space="preserve"> (</w:t>
      </w:r>
      <w:proofErr w:type="spellStart"/>
      <w:r w:rsidR="00623A15">
        <w:t>Kirchengast</w:t>
      </w:r>
      <w:proofErr w:type="spellEnd"/>
      <w:r w:rsidR="00623A15">
        <w:t>, 2006; Godfrey and Lawrence, 2014)</w:t>
      </w:r>
      <w:r w:rsidR="00D24F8F">
        <w:t xml:space="preserve">. </w:t>
      </w:r>
    </w:p>
    <w:p w:rsidR="00977D69" w:rsidRDefault="00031AA6" w:rsidP="00031AA6">
      <w:r>
        <w:t xml:space="preserve">The 11th century </w:t>
      </w:r>
      <w:r w:rsidR="003F68A8">
        <w:t xml:space="preserve">British </w:t>
      </w:r>
      <w:r w:rsidR="00681CA0">
        <w:t>crime victim</w:t>
      </w:r>
      <w:r w:rsidR="003F68A8">
        <w:t xml:space="preserve"> </w:t>
      </w:r>
      <w:r>
        <w:t>occupied a central position in common law</w:t>
      </w:r>
      <w:r w:rsidR="00623A15">
        <w:t>,</w:t>
      </w:r>
      <w:r>
        <w:t xml:space="preserve"> being responsible for the apprehension, </w:t>
      </w:r>
      <w:r w:rsidR="003F68A8">
        <w:t>charge</w:t>
      </w:r>
      <w:r>
        <w:t xml:space="preserve"> and </w:t>
      </w:r>
      <w:r w:rsidR="003F68A8">
        <w:t>prosecution</w:t>
      </w:r>
      <w:r>
        <w:t xml:space="preserve"> of offenders. </w:t>
      </w:r>
      <w:r w:rsidR="009832C5">
        <w:t xml:space="preserve">However, the law at this time was feudal in character with little </w:t>
      </w:r>
      <w:r w:rsidR="003F68A8">
        <w:t>distinction</w:t>
      </w:r>
      <w:r w:rsidR="009832C5">
        <w:t xml:space="preserve"> between civil and criminal </w:t>
      </w:r>
      <w:r w:rsidR="003F68A8">
        <w:t>jurisdictions</w:t>
      </w:r>
      <w:r w:rsidR="009832C5">
        <w:t xml:space="preserve">, and mainly served to protect the </w:t>
      </w:r>
      <w:r w:rsidR="003F68A8">
        <w:t>property</w:t>
      </w:r>
      <w:r w:rsidR="009832C5">
        <w:t xml:space="preserve"> of the </w:t>
      </w:r>
      <w:r w:rsidR="003F68A8">
        <w:t>landed gentry.</w:t>
      </w:r>
      <w:r w:rsidR="00681CA0" w:rsidRPr="00681CA0">
        <w:t xml:space="preserve"> </w:t>
      </w:r>
      <w:proofErr w:type="spellStart"/>
      <w:r w:rsidR="00681CA0">
        <w:t>Kirchengast</w:t>
      </w:r>
      <w:proofErr w:type="spellEnd"/>
      <w:r w:rsidR="00681CA0">
        <w:t xml:space="preserve"> (2006) argues that the growth of the state out of feudal relations is central to the relocation of the victim from criminal law and justice. </w:t>
      </w:r>
      <w:r w:rsidR="003F68A8">
        <w:t>T</w:t>
      </w:r>
      <w:r w:rsidR="00681CA0">
        <w:t>hus t</w:t>
      </w:r>
      <w:r w:rsidR="00B33FA9">
        <w:t xml:space="preserve">he role of the </w:t>
      </w:r>
      <w:r w:rsidR="003F68A8">
        <w:t>victim</w:t>
      </w:r>
      <w:r w:rsidR="00B33FA9">
        <w:t xml:space="preserve"> began to be weakened from the 12th century onwards</w:t>
      </w:r>
      <w:r w:rsidR="003A3421">
        <w:t xml:space="preserve"> mainly due to</w:t>
      </w:r>
      <w:r w:rsidR="00B33FA9">
        <w:t xml:space="preserve"> the rise of the jury</w:t>
      </w:r>
      <w:r w:rsidR="003A3421">
        <w:t>,</w:t>
      </w:r>
      <w:r w:rsidR="00B33FA9">
        <w:t xml:space="preserve"> the rise of the constable</w:t>
      </w:r>
      <w:r w:rsidR="003F68A8">
        <w:t xml:space="preserve"> and other policing methods</w:t>
      </w:r>
      <w:r w:rsidR="00B33FA9">
        <w:t xml:space="preserve">, and </w:t>
      </w:r>
      <w:r w:rsidR="003F68A8">
        <w:t xml:space="preserve">the collective and individual </w:t>
      </w:r>
      <w:r w:rsidR="00B33FA9">
        <w:t>obligation of citi</w:t>
      </w:r>
      <w:r w:rsidR="003F68A8">
        <w:t xml:space="preserve">zens to keep the </w:t>
      </w:r>
      <w:r w:rsidR="00680E82">
        <w:t>King’s peace</w:t>
      </w:r>
      <w:r w:rsidR="003F68A8">
        <w:t>. The 14</w:t>
      </w:r>
      <w:r w:rsidR="00B33FA9">
        <w:t>th</w:t>
      </w:r>
      <w:r w:rsidR="003F68A8">
        <w:t xml:space="preserve"> century saw the Crown and state taking a</w:t>
      </w:r>
      <w:r w:rsidR="003A3421">
        <w:t>n increasingly</w:t>
      </w:r>
      <w:r w:rsidR="003F68A8">
        <w:t xml:space="preserve"> active role </w:t>
      </w:r>
      <w:r w:rsidR="00681CA0">
        <w:t xml:space="preserve">in </w:t>
      </w:r>
      <w:r w:rsidR="003F68A8">
        <w:t>managing and regulating civil society, such that the</w:t>
      </w:r>
      <w:r w:rsidR="003A3421">
        <w:t>y began</w:t>
      </w:r>
      <w:r w:rsidR="003F68A8">
        <w:t xml:space="preserve"> solely</w:t>
      </w:r>
      <w:r w:rsidR="003A3421">
        <w:t xml:space="preserve"> to</w:t>
      </w:r>
      <w:r w:rsidR="003F68A8">
        <w:t xml:space="preserve"> define what constituted 'crime'. </w:t>
      </w:r>
      <w:r w:rsidR="005112CE">
        <w:t>This rise of the early state also saw discipline being consciously planned, designed, implemented and imposed on the population. By the 17th century, criminal justice, along with poor</w:t>
      </w:r>
      <w:r w:rsidR="00EB1CC7">
        <w:t xml:space="preserve"> relief and public order law</w:t>
      </w:r>
      <w:r w:rsidR="005112CE">
        <w:t>, had become</w:t>
      </w:r>
      <w:r w:rsidR="00681CA0">
        <w:t xml:space="preserve"> the way to control</w:t>
      </w:r>
      <w:r w:rsidR="005112CE">
        <w:t xml:space="preserve"> society. </w:t>
      </w:r>
    </w:p>
    <w:p w:rsidR="00136F5D" w:rsidRDefault="007B0692">
      <w:r>
        <w:t>In western societies, t</w:t>
      </w:r>
      <w:r w:rsidR="00590709">
        <w:t xml:space="preserve">he relationship between </w:t>
      </w:r>
      <w:r w:rsidR="00837445">
        <w:t>the</w:t>
      </w:r>
      <w:r w:rsidR="00C01C01">
        <w:t xml:space="preserve"> </w:t>
      </w:r>
      <w:r w:rsidR="00822A6D">
        <w:t>offender, the offended</w:t>
      </w:r>
      <w:r w:rsidR="00680E82">
        <w:t>,</w:t>
      </w:r>
      <w:r w:rsidR="00822A6D">
        <w:t xml:space="preserve"> and criminal justice </w:t>
      </w:r>
      <w:r w:rsidR="00590709">
        <w:t>significantly altere</w:t>
      </w:r>
      <w:r w:rsidR="00822A6D">
        <w:t>d during the period spanning</w:t>
      </w:r>
      <w:r>
        <w:t xml:space="preserve"> roughly 1750 and 1950</w:t>
      </w:r>
      <w:r w:rsidR="00590709">
        <w:t>, but this change was due as much to broad changes in society as to the expansion of the remit of the state</w:t>
      </w:r>
      <w:r w:rsidR="00861A48">
        <w:t xml:space="preserve"> (Godfrey and Lawrence, 2014)</w:t>
      </w:r>
      <w:r w:rsidR="00590709">
        <w:t>. There was no sin</w:t>
      </w:r>
      <w:r w:rsidR="004B1F79">
        <w:t>gle turning point</w:t>
      </w:r>
      <w:r w:rsidR="00923590">
        <w:t xml:space="preserve"> but</w:t>
      </w:r>
      <w:r w:rsidR="004B1F79">
        <w:t>,</w:t>
      </w:r>
      <w:r w:rsidR="00590709">
        <w:t xml:space="preserve"> </w:t>
      </w:r>
      <w:r w:rsidR="004B1F79">
        <w:t xml:space="preserve">for example, </w:t>
      </w:r>
      <w:r w:rsidR="00861A48">
        <w:t>developments over the 19th</w:t>
      </w:r>
      <w:r w:rsidR="00590709">
        <w:t xml:space="preserve"> century in English and Welsh policing certainly had a great effect. </w:t>
      </w:r>
      <w:r w:rsidR="00861A48">
        <w:t>These c</w:t>
      </w:r>
      <w:r w:rsidR="00861A48" w:rsidRPr="00861A48">
        <w:t>hanges in policing were part of changing attitudes to violen</w:t>
      </w:r>
      <w:r w:rsidR="00923590">
        <w:t xml:space="preserve">ce. </w:t>
      </w:r>
      <w:r w:rsidR="009E6360" w:rsidRPr="009E6360">
        <w:t xml:space="preserve">Weiner </w:t>
      </w:r>
      <w:r w:rsidR="009E6360">
        <w:t>(</w:t>
      </w:r>
      <w:r w:rsidR="009E6360" w:rsidRPr="009E6360">
        <w:t>2004</w:t>
      </w:r>
      <w:r w:rsidR="009E6360">
        <w:t>)</w:t>
      </w:r>
      <w:r w:rsidR="00B139ED">
        <w:t xml:space="preserve"> has</w:t>
      </w:r>
      <w:r w:rsidR="00837445">
        <w:t xml:space="preserve"> </w:t>
      </w:r>
      <w:r w:rsidR="009E6360" w:rsidRPr="009E6360">
        <w:t>shown that levels of interpersonal violence that would never be accepted today were accepted previously</w:t>
      </w:r>
      <w:r w:rsidR="003C1B29">
        <w:t xml:space="preserve"> </w:t>
      </w:r>
      <w:r w:rsidR="009E6360" w:rsidRPr="009E6360">
        <w:t>and</w:t>
      </w:r>
      <w:r w:rsidR="003C1B29">
        <w:t>, given the cost of bringing a prosecution,</w:t>
      </w:r>
      <w:r w:rsidR="009E6360" w:rsidRPr="009E6360">
        <w:t xml:space="preserve"> </w:t>
      </w:r>
      <w:r w:rsidR="009E6360">
        <w:t xml:space="preserve">many violent cases were </w:t>
      </w:r>
      <w:r w:rsidR="009E6360" w:rsidRPr="009E6360">
        <w:t>settled</w:t>
      </w:r>
      <w:r w:rsidR="00822A6D">
        <w:t xml:space="preserve"> by the offender and the victim</w:t>
      </w:r>
      <w:r w:rsidR="009E6360" w:rsidRPr="009E6360">
        <w:t xml:space="preserve"> outside the court. </w:t>
      </w:r>
      <w:r w:rsidR="00923590">
        <w:t xml:space="preserve">For example, </w:t>
      </w:r>
      <w:r w:rsidR="003C1B29">
        <w:t>p</w:t>
      </w:r>
      <w:r w:rsidR="00861A48">
        <w:t>a</w:t>
      </w:r>
      <w:r w:rsidR="00837445">
        <w:t xml:space="preserve">rticularly </w:t>
      </w:r>
      <w:r w:rsidR="00861A48">
        <w:t>in working class communities, 'f</w:t>
      </w:r>
      <w:r w:rsidR="00861A48" w:rsidRPr="00861A48">
        <w:t>air fights</w:t>
      </w:r>
      <w:r w:rsidR="00861A48">
        <w:t>'</w:t>
      </w:r>
      <w:r w:rsidR="00861A48" w:rsidRPr="00861A48">
        <w:t xml:space="preserve"> were a common way for working men</w:t>
      </w:r>
      <w:r w:rsidR="00923590">
        <w:t xml:space="preserve"> (and sometimes women)</w:t>
      </w:r>
      <w:r w:rsidR="00861A48" w:rsidRPr="00861A48">
        <w:t xml:space="preserve"> to settle their disagreements. </w:t>
      </w:r>
      <w:r w:rsidR="00861A48">
        <w:t>This continued through the</w:t>
      </w:r>
      <w:r w:rsidR="007E0634">
        <w:t xml:space="preserve"> 19th century and into the 20th</w:t>
      </w:r>
      <w:r w:rsidR="00861A48">
        <w:t xml:space="preserve"> </w:t>
      </w:r>
      <w:r w:rsidR="007E0634">
        <w:t>as</w:t>
      </w:r>
      <w:r w:rsidR="00861A48">
        <w:t xml:space="preserve"> the New Police tended to </w:t>
      </w:r>
      <w:r w:rsidR="00680E82">
        <w:t>‘</w:t>
      </w:r>
      <w:r w:rsidR="00861A48">
        <w:t>look the other way</w:t>
      </w:r>
      <w:r w:rsidR="00680E82">
        <w:t>’</w:t>
      </w:r>
      <w:r w:rsidR="00861A48">
        <w:t xml:space="preserve"> rather than interfere in a 'fair fight'. </w:t>
      </w:r>
      <w:r w:rsidR="00B139ED">
        <w:t xml:space="preserve">Other </w:t>
      </w:r>
      <w:r w:rsidR="00804478">
        <w:t>system</w:t>
      </w:r>
      <w:r w:rsidR="00837445">
        <w:t>s</w:t>
      </w:r>
      <w:r w:rsidR="00804478">
        <w:t xml:space="preserve"> o</w:t>
      </w:r>
      <w:r w:rsidR="00837445">
        <w:t>f informal justice were</w:t>
      </w:r>
      <w:r w:rsidR="009E6360">
        <w:t xml:space="preserve"> </w:t>
      </w:r>
      <w:r w:rsidR="00B139ED">
        <w:t xml:space="preserve">also </w:t>
      </w:r>
      <w:r w:rsidR="009E6360">
        <w:t>accepted.</w:t>
      </w:r>
      <w:r w:rsidR="00804478">
        <w:t xml:space="preserve"> </w:t>
      </w:r>
      <w:r w:rsidR="00837445">
        <w:t>O</w:t>
      </w:r>
      <w:r w:rsidR="00136F5D">
        <w:t>ffences</w:t>
      </w:r>
      <w:r w:rsidR="00837445">
        <w:t xml:space="preserve"> c</w:t>
      </w:r>
      <w:r w:rsidR="00D67B1A">
        <w:t xml:space="preserve">ould have been dealt with </w:t>
      </w:r>
      <w:r w:rsidR="00804478" w:rsidRPr="00804478">
        <w:t>by communit</w:t>
      </w:r>
      <w:r w:rsidR="00D67B1A">
        <w:t>y action</w:t>
      </w:r>
      <w:r w:rsidR="00804478" w:rsidRPr="00804478">
        <w:t xml:space="preserve"> on behalf of </w:t>
      </w:r>
      <w:r w:rsidR="00822A6D">
        <w:t xml:space="preserve">or by </w:t>
      </w:r>
      <w:r w:rsidR="00804478" w:rsidRPr="00804478">
        <w:t>the victim</w:t>
      </w:r>
      <w:r w:rsidR="00837445">
        <w:t xml:space="preserve">, such as ducking </w:t>
      </w:r>
      <w:r w:rsidR="00B139ED">
        <w:t xml:space="preserve">the offender </w:t>
      </w:r>
      <w:r w:rsidR="00837445">
        <w:t>in rivers and ponds</w:t>
      </w:r>
      <w:r w:rsidR="00B139ED">
        <w:t>; o</w:t>
      </w:r>
      <w:r w:rsidR="00804478" w:rsidRPr="00804478">
        <w:t>thers still would have been dealt with by ‘rough music’</w:t>
      </w:r>
      <w:r w:rsidR="00804478">
        <w:t xml:space="preserve"> - </w:t>
      </w:r>
      <w:r w:rsidR="00804478" w:rsidRPr="00804478">
        <w:t>public shaming rituals – often used for adult</w:t>
      </w:r>
      <w:r w:rsidR="00804478">
        <w:t>erous couples or henpecked men</w:t>
      </w:r>
      <w:r w:rsidR="00B139ED">
        <w:t xml:space="preserve"> (</w:t>
      </w:r>
      <w:r w:rsidR="00590709">
        <w:t>Banks, 2014)</w:t>
      </w:r>
      <w:r w:rsidR="00804478">
        <w:t>.</w:t>
      </w:r>
      <w:r w:rsidR="00804478" w:rsidRPr="00804478">
        <w:t xml:space="preserve">  </w:t>
      </w:r>
    </w:p>
    <w:p w:rsidR="002926DA" w:rsidRDefault="009E6360" w:rsidP="00D67B1A">
      <w:r>
        <w:t>Ironically, then</w:t>
      </w:r>
      <w:r w:rsidR="00CE7334">
        <w:t xml:space="preserve">, changes in policing and </w:t>
      </w:r>
      <w:r w:rsidR="006C18CD">
        <w:t xml:space="preserve">increasing </w:t>
      </w:r>
      <w:r w:rsidR="00CE7334">
        <w:t xml:space="preserve">societal </w:t>
      </w:r>
      <w:r w:rsidR="006C18CD">
        <w:t>in</w:t>
      </w:r>
      <w:r w:rsidR="00CE7334">
        <w:t>tolerance of violence</w:t>
      </w:r>
      <w:r>
        <w:t xml:space="preserve"> have increased the </w:t>
      </w:r>
      <w:r w:rsidRPr="00837445">
        <w:rPr>
          <w:i/>
        </w:rPr>
        <w:t xml:space="preserve">visibility </w:t>
      </w:r>
      <w:r>
        <w:t>of the victim in the criminal justice process</w:t>
      </w:r>
      <w:r w:rsidR="00B139ED">
        <w:t>, as more cases came to court</w:t>
      </w:r>
      <w:r w:rsidRPr="00804478">
        <w:t>.</w:t>
      </w:r>
      <w:r w:rsidR="00CE7334">
        <w:t xml:space="preserve"> However, the </w:t>
      </w:r>
      <w:r w:rsidR="00CE7334" w:rsidRPr="00837445">
        <w:rPr>
          <w:i/>
        </w:rPr>
        <w:t xml:space="preserve">role </w:t>
      </w:r>
      <w:r w:rsidR="00CE7334">
        <w:t xml:space="preserve">of the victim diminished. </w:t>
      </w:r>
      <w:r w:rsidR="00CE7334" w:rsidRPr="00FD124F">
        <w:t>Hay (1989) has shown that during the period 1750-1850, victims (or someone acting on behalf of the victim) brought 80% of all criminal cases to court rather than an agent of national or local government.</w:t>
      </w:r>
      <w:r w:rsidR="00CE7334">
        <w:t xml:space="preserve"> However, by about 1950 the police</w:t>
      </w:r>
      <w:r w:rsidR="00B709C5">
        <w:t>, and since 1986 the Crown Prosecution Service,</w:t>
      </w:r>
      <w:r w:rsidR="00CE7334">
        <w:t xml:space="preserve"> had more or less assumed responsibility </w:t>
      </w:r>
      <w:r w:rsidR="00F46C63">
        <w:t>for prosecuting a case in court.</w:t>
      </w:r>
    </w:p>
    <w:p w:rsidR="00590709" w:rsidRPr="00590709" w:rsidRDefault="001812DC" w:rsidP="00D67B1A">
      <w:r>
        <w:lastRenderedPageBreak/>
        <w:t>T</w:t>
      </w:r>
      <w:r w:rsidR="00923590">
        <w:t xml:space="preserve">he state </w:t>
      </w:r>
      <w:r w:rsidR="00B139ED">
        <w:t xml:space="preserve">therefore </w:t>
      </w:r>
      <w:r w:rsidR="00923590">
        <w:t>continues to be</w:t>
      </w:r>
      <w:r w:rsidR="005E5869" w:rsidRPr="00590709">
        <w:t xml:space="preserve"> the power restricting the victim's access to the courts and ultimately the criminal trial. </w:t>
      </w:r>
      <w:r w:rsidR="00D67B1A">
        <w:t>However</w:t>
      </w:r>
      <w:r w:rsidR="0010536F">
        <w:t>, ther</w:t>
      </w:r>
      <w:r w:rsidR="00837445">
        <w:t>e have been attempts</w:t>
      </w:r>
      <w:r w:rsidR="0010536F">
        <w:t xml:space="preserve"> recently</w:t>
      </w:r>
      <w:r w:rsidR="00837445">
        <w:t xml:space="preserve"> to redress this imbalance</w:t>
      </w:r>
      <w:r w:rsidR="006C18CD">
        <w:t xml:space="preserve">. In Britain, </w:t>
      </w:r>
      <w:r w:rsidR="00D57742">
        <w:t xml:space="preserve">one such measure </w:t>
      </w:r>
      <w:r w:rsidR="00623A15">
        <w:t xml:space="preserve">- </w:t>
      </w:r>
      <w:r w:rsidR="006C18CD">
        <w:t>t</w:t>
      </w:r>
      <w:r w:rsidR="00D67B1A">
        <w:t xml:space="preserve">he 2013 </w:t>
      </w:r>
      <w:r w:rsidR="00D67B1A" w:rsidRPr="00D67B1A">
        <w:t>Code of Practice for Victims of Crime</w:t>
      </w:r>
      <w:r w:rsidR="00623A15">
        <w:t xml:space="preserve"> -</w:t>
      </w:r>
      <w:r w:rsidR="00D57742">
        <w:t xml:space="preserve"> </w:t>
      </w:r>
      <w:r w:rsidR="00D67B1A" w:rsidRPr="00D67B1A">
        <w:t>states that extra s</w:t>
      </w:r>
      <w:r>
        <w:t>upport should be given to</w:t>
      </w:r>
      <w:r w:rsidR="00D67B1A" w:rsidRPr="00D67B1A">
        <w:t xml:space="preserve"> victims of the most serious crime, </w:t>
      </w:r>
      <w:r w:rsidR="006C18CD">
        <w:t xml:space="preserve">those </w:t>
      </w:r>
      <w:r w:rsidR="00D67B1A" w:rsidRPr="00D67B1A">
        <w:t>persistently targeted</w:t>
      </w:r>
      <w:r w:rsidR="00923590">
        <w:t>,</w:t>
      </w:r>
      <w:r w:rsidR="00D67B1A" w:rsidRPr="00D67B1A">
        <w:t xml:space="preserve"> and vulnerable </w:t>
      </w:r>
      <w:r>
        <w:t xml:space="preserve">or intimidated victims. It </w:t>
      </w:r>
      <w:r w:rsidR="00D67B1A" w:rsidRPr="00D67B1A">
        <w:t>includes new sections aimed at businesses and young victims of crime.</w:t>
      </w:r>
      <w:r w:rsidR="00D67B1A">
        <w:t xml:space="preserve"> The Code also allows victims</w:t>
      </w:r>
      <w:r w:rsidR="00D67B1A" w:rsidRPr="00D67B1A">
        <w:t xml:space="preserve"> to choose to make a</w:t>
      </w:r>
      <w:r w:rsidR="00837445">
        <w:t xml:space="preserve"> Victim Personal Statement</w:t>
      </w:r>
      <w:r w:rsidR="00D67B1A" w:rsidRPr="00D67B1A">
        <w:t xml:space="preserve"> and to read</w:t>
      </w:r>
      <w:r w:rsidR="006C18CD">
        <w:t xml:space="preserve"> it out in court if the defendant</w:t>
      </w:r>
      <w:r w:rsidR="00D67B1A" w:rsidRPr="00D67B1A">
        <w:t xml:space="preserve"> is found guilty.</w:t>
      </w:r>
      <w:r w:rsidR="00D67B1A">
        <w:t xml:space="preserve"> </w:t>
      </w:r>
      <w:r w:rsidR="002926DA">
        <w:t>Along with enhanced victim services generally</w:t>
      </w:r>
      <w:r w:rsidR="00623A15">
        <w:t xml:space="preserve"> </w:t>
      </w:r>
      <w:r w:rsidR="00D57742">
        <w:t xml:space="preserve">in Britain and elsewhere </w:t>
      </w:r>
      <w:r w:rsidR="002926DA">
        <w:t>these changes go</w:t>
      </w:r>
      <w:r w:rsidR="00B139ED">
        <w:t xml:space="preserve"> some way to restoring</w:t>
      </w:r>
      <w:r w:rsidR="002926DA">
        <w:t xml:space="preserve"> the role and visibility of the victim of crime </w:t>
      </w:r>
      <w:r>
        <w:t>in the criminal justice system.</w:t>
      </w:r>
    </w:p>
    <w:p w:rsidR="001812DC" w:rsidRDefault="0019200A" w:rsidP="00590709">
      <w:pPr>
        <w:jc w:val="right"/>
      </w:pPr>
      <w:r w:rsidRPr="00590709">
        <w:t>Jo Turner</w:t>
      </w:r>
    </w:p>
    <w:p w:rsidR="00680E82" w:rsidRDefault="00680E82" w:rsidP="00163E2D">
      <w:pPr>
        <w:jc w:val="both"/>
        <w:rPr>
          <w:b/>
          <w:i/>
        </w:rPr>
      </w:pPr>
      <w:r>
        <w:rPr>
          <w:b/>
          <w:i/>
        </w:rPr>
        <w:t>See also:</w:t>
      </w:r>
    </w:p>
    <w:p w:rsidR="00680E82" w:rsidRPr="00163E2D" w:rsidRDefault="00680E82" w:rsidP="00163E2D">
      <w:pPr>
        <w:jc w:val="both"/>
        <w:rPr>
          <w:b/>
        </w:rPr>
      </w:pPr>
      <w:r w:rsidRPr="00163E2D">
        <w:rPr>
          <w:b/>
        </w:rPr>
        <w:t>Readings</w:t>
      </w:r>
    </w:p>
    <w:p w:rsidR="00590709" w:rsidRPr="008850C8" w:rsidRDefault="00590709" w:rsidP="008850C8">
      <w:pPr>
        <w:jc w:val="both"/>
        <w:rPr>
          <w:rFonts w:cs="Times New Roman"/>
        </w:rPr>
      </w:pPr>
      <w:r w:rsidRPr="008850C8">
        <w:rPr>
          <w:rFonts w:cs="Times New Roman"/>
        </w:rPr>
        <w:t xml:space="preserve">Banks, S. (2014) </w:t>
      </w:r>
      <w:r w:rsidRPr="008850C8">
        <w:rPr>
          <w:rFonts w:cs="Times New Roman"/>
          <w:i/>
        </w:rPr>
        <w:t>Informal</w:t>
      </w:r>
      <w:r w:rsidR="00D57742">
        <w:rPr>
          <w:rFonts w:cs="Times New Roman"/>
          <w:i/>
        </w:rPr>
        <w:t xml:space="preserve"> j</w:t>
      </w:r>
      <w:r w:rsidRPr="008850C8">
        <w:rPr>
          <w:rFonts w:cs="Times New Roman"/>
          <w:i/>
        </w:rPr>
        <w:t xml:space="preserve">ustice in England and Wales, 1760 – 1914: </w:t>
      </w:r>
      <w:r w:rsidR="00D57742">
        <w:rPr>
          <w:rFonts w:cs="Times New Roman"/>
          <w:i/>
        </w:rPr>
        <w:t>t</w:t>
      </w:r>
      <w:r w:rsidRPr="008850C8">
        <w:rPr>
          <w:rFonts w:cs="Times New Roman"/>
          <w:i/>
        </w:rPr>
        <w:t xml:space="preserve">he </w:t>
      </w:r>
      <w:r w:rsidR="00D57742">
        <w:rPr>
          <w:rFonts w:cs="Times New Roman"/>
          <w:i/>
        </w:rPr>
        <w:t>c</w:t>
      </w:r>
      <w:r w:rsidRPr="008850C8">
        <w:rPr>
          <w:rFonts w:cs="Times New Roman"/>
          <w:i/>
        </w:rPr>
        <w:t xml:space="preserve">ourts of </w:t>
      </w:r>
      <w:r w:rsidR="00D57742">
        <w:rPr>
          <w:rFonts w:cs="Times New Roman"/>
          <w:i/>
        </w:rPr>
        <w:t>p</w:t>
      </w:r>
      <w:r w:rsidRPr="008850C8">
        <w:rPr>
          <w:rFonts w:cs="Times New Roman"/>
          <w:i/>
        </w:rPr>
        <w:t xml:space="preserve">opular </w:t>
      </w:r>
      <w:r w:rsidR="00D57742">
        <w:rPr>
          <w:rFonts w:cs="Times New Roman"/>
          <w:i/>
        </w:rPr>
        <w:t>o</w:t>
      </w:r>
      <w:r w:rsidRPr="008850C8">
        <w:rPr>
          <w:rFonts w:cs="Times New Roman"/>
          <w:i/>
        </w:rPr>
        <w:t>pinion</w:t>
      </w:r>
      <w:r w:rsidRPr="008850C8">
        <w:rPr>
          <w:rFonts w:cs="Times New Roman"/>
        </w:rPr>
        <w:t xml:space="preserve">. Woodbridge: </w:t>
      </w:r>
      <w:proofErr w:type="spellStart"/>
      <w:r w:rsidRPr="008850C8">
        <w:rPr>
          <w:rFonts w:cs="Times New Roman"/>
        </w:rPr>
        <w:t>Boydell</w:t>
      </w:r>
      <w:proofErr w:type="spellEnd"/>
      <w:r w:rsidRPr="008850C8">
        <w:rPr>
          <w:rFonts w:cs="Times New Roman"/>
        </w:rPr>
        <w:t xml:space="preserve"> and Brewer.</w:t>
      </w:r>
    </w:p>
    <w:p w:rsidR="004A646E" w:rsidRPr="00590709" w:rsidRDefault="004A646E" w:rsidP="005A7BDB">
      <w:pPr>
        <w:jc w:val="both"/>
      </w:pPr>
      <w:r w:rsidRPr="00590709">
        <w:t xml:space="preserve">Godfrey, B. &amp; Lawrence, P. (2014). </w:t>
      </w:r>
      <w:r w:rsidRPr="005A7BDB">
        <w:rPr>
          <w:i/>
        </w:rPr>
        <w:t>Crime and</w:t>
      </w:r>
      <w:r w:rsidR="00D57742">
        <w:rPr>
          <w:i/>
        </w:rPr>
        <w:t xml:space="preserve"> j</w:t>
      </w:r>
      <w:r w:rsidRPr="005A7BDB">
        <w:rPr>
          <w:i/>
        </w:rPr>
        <w:t>ustice, 1750-1950.</w:t>
      </w:r>
      <w:r w:rsidRPr="00590709">
        <w:t xml:space="preserve"> </w:t>
      </w:r>
      <w:r w:rsidR="00B52EB6">
        <w:t xml:space="preserve">Abingdon: </w:t>
      </w:r>
      <w:r w:rsidRPr="00590709">
        <w:t>Routledge</w:t>
      </w:r>
      <w:r w:rsidR="00B52EB6">
        <w:t>.</w:t>
      </w:r>
    </w:p>
    <w:p w:rsidR="00264B57" w:rsidRPr="002257F4" w:rsidRDefault="007E0634" w:rsidP="005A7BDB">
      <w:pPr>
        <w:jc w:val="both"/>
      </w:pPr>
      <w:r w:rsidRPr="002257F4">
        <w:t xml:space="preserve">Hay, D. (1989). ‘Using the criminal law, 1750-1850: policing, private prosecution, and the state’ in D. Hay </w:t>
      </w:r>
      <w:r w:rsidR="00D57742">
        <w:t>and</w:t>
      </w:r>
      <w:r w:rsidRPr="002257F4">
        <w:t xml:space="preserve"> F. Snyder (eds) </w:t>
      </w:r>
      <w:r w:rsidRPr="002257F4">
        <w:rPr>
          <w:i/>
          <w:iCs/>
        </w:rPr>
        <w:t xml:space="preserve">Policing </w:t>
      </w:r>
      <w:r w:rsidR="00D57742" w:rsidRPr="002257F4">
        <w:rPr>
          <w:i/>
          <w:iCs/>
        </w:rPr>
        <w:t>and private prosecution</w:t>
      </w:r>
      <w:r w:rsidRPr="002257F4">
        <w:rPr>
          <w:i/>
          <w:iCs/>
        </w:rPr>
        <w:t xml:space="preserve"> in  Britain 1750-1850</w:t>
      </w:r>
      <w:r w:rsidR="006C18CD">
        <w:t>. Oxford</w:t>
      </w:r>
      <w:r w:rsidRPr="002257F4">
        <w:t xml:space="preserve">: Clarendon Press.  </w:t>
      </w:r>
    </w:p>
    <w:p w:rsidR="00110168" w:rsidRDefault="00110168" w:rsidP="005A7BDB">
      <w:pPr>
        <w:jc w:val="both"/>
      </w:pPr>
      <w:proofErr w:type="spellStart"/>
      <w:r w:rsidRPr="00590709">
        <w:t>Kirchengast</w:t>
      </w:r>
      <w:proofErr w:type="spellEnd"/>
      <w:r w:rsidRPr="00590709">
        <w:t xml:space="preserve">, T. (2006). </w:t>
      </w:r>
      <w:r w:rsidRPr="005A7BDB">
        <w:rPr>
          <w:i/>
        </w:rPr>
        <w:t xml:space="preserve">The </w:t>
      </w:r>
      <w:r w:rsidR="00D57742" w:rsidRPr="005A7BDB">
        <w:rPr>
          <w:i/>
        </w:rPr>
        <w:t>victim in criminal law and justice</w:t>
      </w:r>
      <w:r w:rsidRPr="005A7BDB">
        <w:rPr>
          <w:i/>
        </w:rPr>
        <w:t>.</w:t>
      </w:r>
      <w:r w:rsidR="00031AA6" w:rsidRPr="00590709">
        <w:t xml:space="preserve"> Basingstoke: Palgrave Macm</w:t>
      </w:r>
      <w:r w:rsidRPr="00590709">
        <w:t xml:space="preserve">illan. </w:t>
      </w:r>
    </w:p>
    <w:p w:rsidR="008850C8" w:rsidRPr="00590709" w:rsidRDefault="007E0634" w:rsidP="008850C8">
      <w:pPr>
        <w:jc w:val="both"/>
      </w:pPr>
      <w:r w:rsidRPr="008850C8">
        <w:t xml:space="preserve">Weiner, M (2004) </w:t>
      </w:r>
      <w:r w:rsidRPr="008850C8">
        <w:rPr>
          <w:i/>
          <w:iCs/>
        </w:rPr>
        <w:t xml:space="preserve">Men of </w:t>
      </w:r>
      <w:bookmarkStart w:id="0" w:name="_GoBack"/>
      <w:r w:rsidR="00D57742">
        <w:rPr>
          <w:i/>
          <w:iCs/>
        </w:rPr>
        <w:t>b</w:t>
      </w:r>
      <w:bookmarkEnd w:id="0"/>
      <w:r w:rsidRPr="008850C8">
        <w:rPr>
          <w:i/>
          <w:iCs/>
        </w:rPr>
        <w:t xml:space="preserve">lood. Violence, </w:t>
      </w:r>
      <w:r w:rsidR="00D57742" w:rsidRPr="008850C8">
        <w:rPr>
          <w:i/>
          <w:iCs/>
        </w:rPr>
        <w:t xml:space="preserve">manliness and criminal justice </w:t>
      </w:r>
      <w:r w:rsidRPr="008850C8">
        <w:rPr>
          <w:i/>
          <w:iCs/>
        </w:rPr>
        <w:t xml:space="preserve">in Victorian England. </w:t>
      </w:r>
      <w:r w:rsidR="006C18CD">
        <w:t>Cambridge</w:t>
      </w:r>
      <w:r w:rsidRPr="008850C8">
        <w:t xml:space="preserve">: Cambridge University Press.  </w:t>
      </w:r>
    </w:p>
    <w:p w:rsidR="0019200A" w:rsidRPr="00590709" w:rsidRDefault="0019200A" w:rsidP="00590709"/>
    <w:sectPr w:rsidR="0019200A" w:rsidRPr="00590709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297A67" w15:done="0"/>
  <w15:commentEx w15:paraId="0DD392D8" w15:done="0"/>
  <w15:commentEx w15:paraId="29D5FF28" w15:done="0"/>
  <w15:commentEx w15:paraId="7900EC9D" w15:done="0"/>
  <w15:commentEx w15:paraId="11AA6AA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3CF8"/>
    <w:multiLevelType w:val="hybridMultilevel"/>
    <w:tmpl w:val="8A9E54BA"/>
    <w:lvl w:ilvl="0" w:tplc="DE08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0C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88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4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62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27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0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4F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A0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A8146E"/>
    <w:multiLevelType w:val="hybridMultilevel"/>
    <w:tmpl w:val="D5247F38"/>
    <w:lvl w:ilvl="0" w:tplc="0C22C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67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E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CF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6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6B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A4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6A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8E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186713"/>
    <w:multiLevelType w:val="hybridMultilevel"/>
    <w:tmpl w:val="07861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34E39"/>
    <w:multiLevelType w:val="hybridMultilevel"/>
    <w:tmpl w:val="63C4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620D7"/>
    <w:multiLevelType w:val="hybridMultilevel"/>
    <w:tmpl w:val="374CEED4"/>
    <w:lvl w:ilvl="0" w:tplc="F114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E0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C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28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0E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C9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4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4B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02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Taylor">
    <w15:presenceInfo w15:providerId="AD" w15:userId="S-1-5-21-1247565615-3610816133-3880077738-170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trackRevisions/>
  <w:defaultTabStop w:val="720"/>
  <w:characterSpacingControl w:val="doNotCompress"/>
  <w:compat>
    <w:useFELayout/>
  </w:compat>
  <w:rsids>
    <w:rsidRoot w:val="00D24F8F"/>
    <w:rsid w:val="00013877"/>
    <w:rsid w:val="00031AA6"/>
    <w:rsid w:val="000D1192"/>
    <w:rsid w:val="000D2E35"/>
    <w:rsid w:val="0010536F"/>
    <w:rsid w:val="00110168"/>
    <w:rsid w:val="00136F5D"/>
    <w:rsid w:val="00163E2D"/>
    <w:rsid w:val="00167F2D"/>
    <w:rsid w:val="001812DC"/>
    <w:rsid w:val="0019200A"/>
    <w:rsid w:val="002257F4"/>
    <w:rsid w:val="00264B57"/>
    <w:rsid w:val="002926DA"/>
    <w:rsid w:val="00292DC0"/>
    <w:rsid w:val="003240CF"/>
    <w:rsid w:val="00336E55"/>
    <w:rsid w:val="00363348"/>
    <w:rsid w:val="00371631"/>
    <w:rsid w:val="003A3421"/>
    <w:rsid w:val="003C1B29"/>
    <w:rsid w:val="003E772A"/>
    <w:rsid w:val="003F68A8"/>
    <w:rsid w:val="004A646E"/>
    <w:rsid w:val="004B1F79"/>
    <w:rsid w:val="005112CE"/>
    <w:rsid w:val="005553DB"/>
    <w:rsid w:val="00590709"/>
    <w:rsid w:val="0059245F"/>
    <w:rsid w:val="005A7BDB"/>
    <w:rsid w:val="005E5869"/>
    <w:rsid w:val="00602E0C"/>
    <w:rsid w:val="0061595E"/>
    <w:rsid w:val="00623A15"/>
    <w:rsid w:val="00680E82"/>
    <w:rsid w:val="00681CA0"/>
    <w:rsid w:val="006B0A9F"/>
    <w:rsid w:val="006C18CD"/>
    <w:rsid w:val="006F7B4A"/>
    <w:rsid w:val="007333AD"/>
    <w:rsid w:val="007B0692"/>
    <w:rsid w:val="007B786C"/>
    <w:rsid w:val="007E0634"/>
    <w:rsid w:val="00804478"/>
    <w:rsid w:val="00822A6D"/>
    <w:rsid w:val="00837445"/>
    <w:rsid w:val="00847588"/>
    <w:rsid w:val="00861A48"/>
    <w:rsid w:val="008850C8"/>
    <w:rsid w:val="008A6045"/>
    <w:rsid w:val="008B0DAC"/>
    <w:rsid w:val="008F35D7"/>
    <w:rsid w:val="00923590"/>
    <w:rsid w:val="009478C7"/>
    <w:rsid w:val="00977D69"/>
    <w:rsid w:val="00982D13"/>
    <w:rsid w:val="009832C5"/>
    <w:rsid w:val="009D1097"/>
    <w:rsid w:val="009D1437"/>
    <w:rsid w:val="009E6360"/>
    <w:rsid w:val="00A35139"/>
    <w:rsid w:val="00A50D03"/>
    <w:rsid w:val="00B139ED"/>
    <w:rsid w:val="00B33FA9"/>
    <w:rsid w:val="00B52EB6"/>
    <w:rsid w:val="00B709C5"/>
    <w:rsid w:val="00BD0506"/>
    <w:rsid w:val="00BD1BD3"/>
    <w:rsid w:val="00C01C01"/>
    <w:rsid w:val="00CA41DD"/>
    <w:rsid w:val="00CE7334"/>
    <w:rsid w:val="00D02163"/>
    <w:rsid w:val="00D24F8F"/>
    <w:rsid w:val="00D409C6"/>
    <w:rsid w:val="00D57742"/>
    <w:rsid w:val="00D67B1A"/>
    <w:rsid w:val="00E247D4"/>
    <w:rsid w:val="00E62CEB"/>
    <w:rsid w:val="00EB1CC7"/>
    <w:rsid w:val="00F32393"/>
    <w:rsid w:val="00F46C63"/>
    <w:rsid w:val="00F813C1"/>
    <w:rsid w:val="00F95EF7"/>
    <w:rsid w:val="00FA6852"/>
    <w:rsid w:val="00FC4FD8"/>
    <w:rsid w:val="00FD124F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0168"/>
  </w:style>
  <w:style w:type="character" w:styleId="Emphasis">
    <w:name w:val="Emphasis"/>
    <w:basedOn w:val="DefaultParagraphFont"/>
    <w:uiPriority w:val="20"/>
    <w:qFormat/>
    <w:rsid w:val="001101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590709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07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85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7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7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0168"/>
  </w:style>
  <w:style w:type="character" w:styleId="Emphasis">
    <w:name w:val="Emphasis"/>
    <w:basedOn w:val="DefaultParagraphFont"/>
    <w:uiPriority w:val="20"/>
    <w:qFormat/>
    <w:rsid w:val="001101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590709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07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85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7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74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8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1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2015-08-18T09:20:00Z</cp:lastPrinted>
  <dcterms:created xsi:type="dcterms:W3CDTF">2015-09-11T19:31:00Z</dcterms:created>
  <dcterms:modified xsi:type="dcterms:W3CDTF">2015-09-11T19:31:00Z</dcterms:modified>
</cp:coreProperties>
</file>